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2.xml" ContentType="application/vnd.openxmlformats-officedocument.themeOverride+xml"/>
  <Override PartName="/word/charts/chart14.xml" ContentType="application/vnd.openxmlformats-officedocument.drawingml.chart+xml"/>
  <Override PartName="/word/theme/themeOverride3.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09" w:rsidRPr="008E4EA2" w:rsidRDefault="00B65D7A" w:rsidP="003A0029">
      <w:pPr>
        <w:spacing w:before="120" w:after="120" w:line="276" w:lineRule="auto"/>
        <w:rPr>
          <w:color w:val="000000" w:themeColor="text1"/>
          <w:szCs w:val="24"/>
          <w:highlight w:val="yellow"/>
        </w:rPr>
      </w:pPr>
      <w:bookmarkStart w:id="0" w:name="OLE_LINK4"/>
      <w:bookmarkStart w:id="1" w:name="OLE_LINK5"/>
      <w:r w:rsidRPr="008E4EA2">
        <w:rPr>
          <w:noProof/>
          <w:color w:val="000000" w:themeColor="text1"/>
          <w:szCs w:val="24"/>
          <w:highlight w:val="yellow"/>
          <w:lang w:eastAsia="lv-LV"/>
        </w:rPr>
        <w:drawing>
          <wp:anchor distT="0" distB="0" distL="114300" distR="114300" simplePos="0" relativeHeight="251657216" behindDoc="0" locked="0" layoutInCell="1" allowOverlap="1" wp14:anchorId="05AEB1B7" wp14:editId="19E46E02">
            <wp:simplePos x="0" y="0"/>
            <wp:positionH relativeFrom="column">
              <wp:posOffset>577850</wp:posOffset>
            </wp:positionH>
            <wp:positionV relativeFrom="paragraph">
              <wp:posOffset>-314960</wp:posOffset>
            </wp:positionV>
            <wp:extent cx="2604770" cy="701675"/>
            <wp:effectExtent l="0" t="0" r="5080" b="3175"/>
            <wp:wrapSquare wrapText="bothSides"/>
            <wp:docPr id="33" name="Picture 27" descr="Description: Description: Description: Description: Swiss Contribution_garaa_vers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Description: Description: Swiss Contribution_garaa_versija"/>
                    <pic:cNvPicPr>
                      <a:picLocks noChangeAspect="1" noChangeArrowheads="1"/>
                    </pic:cNvPicPr>
                  </pic:nvPicPr>
                  <pic:blipFill>
                    <a:blip r:embed="rId9" r:link="rId10">
                      <a:extLst>
                        <a:ext uri="{28A0092B-C50C-407E-A947-70E740481C1C}">
                          <a14:useLocalDpi xmlns:a14="http://schemas.microsoft.com/office/drawing/2010/main"/>
                        </a:ext>
                      </a:extLst>
                    </a:blip>
                    <a:srcRect/>
                    <a:stretch>
                      <a:fillRect/>
                    </a:stretch>
                  </pic:blipFill>
                  <pic:spPr bwMode="auto">
                    <a:xfrm>
                      <a:off x="0" y="0"/>
                      <a:ext cx="260477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EA2">
        <w:rPr>
          <w:noProof/>
          <w:color w:val="000000" w:themeColor="text1"/>
          <w:szCs w:val="24"/>
          <w:highlight w:val="yellow"/>
          <w:lang w:eastAsia="lv-LV"/>
        </w:rPr>
        <w:drawing>
          <wp:anchor distT="0" distB="0" distL="114300" distR="114300" simplePos="0" relativeHeight="251658240" behindDoc="0" locked="0" layoutInCell="1" allowOverlap="1" wp14:anchorId="6B5D02DD" wp14:editId="6A43C4B4">
            <wp:simplePos x="0" y="0"/>
            <wp:positionH relativeFrom="column">
              <wp:posOffset>3204210</wp:posOffset>
            </wp:positionH>
            <wp:positionV relativeFrom="paragraph">
              <wp:posOffset>-433070</wp:posOffset>
            </wp:positionV>
            <wp:extent cx="1329055" cy="935355"/>
            <wp:effectExtent l="0" t="0" r="4445" b="0"/>
            <wp:wrapSquare wrapText="bothSides"/>
            <wp:docPr id="32" name="Picture 12" descr="Description: Description: http://www.eeagrants.lv/images/logo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http://www.eeagrants.lv/images/logo_left.jpg"/>
                    <pic:cNvPicPr>
                      <a:picLocks noChangeAspect="1" noChangeArrowheads="1"/>
                    </pic:cNvPicPr>
                  </pic:nvPicPr>
                  <pic:blipFill>
                    <a:blip r:embed="rId11" r:link="rId12">
                      <a:extLst>
                        <a:ext uri="{28A0092B-C50C-407E-A947-70E740481C1C}">
                          <a14:useLocalDpi xmlns:a14="http://schemas.microsoft.com/office/drawing/2010/main"/>
                        </a:ext>
                      </a:extLst>
                    </a:blip>
                    <a:srcRect/>
                    <a:stretch>
                      <a:fillRect/>
                    </a:stretch>
                  </pic:blipFill>
                  <pic:spPr bwMode="auto">
                    <a:xfrm>
                      <a:off x="0" y="0"/>
                      <a:ext cx="132905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EA2">
        <w:rPr>
          <w:noProof/>
          <w:color w:val="000000" w:themeColor="text1"/>
          <w:szCs w:val="24"/>
          <w:highlight w:val="yellow"/>
          <w:lang w:eastAsia="lv-LV"/>
        </w:rPr>
        <w:drawing>
          <wp:anchor distT="0" distB="0" distL="114300" distR="114300" simplePos="0" relativeHeight="251656192" behindDoc="0" locked="0" layoutInCell="1" allowOverlap="1" wp14:anchorId="44DE274D" wp14:editId="19967CC2">
            <wp:simplePos x="0" y="0"/>
            <wp:positionH relativeFrom="column">
              <wp:posOffset>-574675</wp:posOffset>
            </wp:positionH>
            <wp:positionV relativeFrom="paragraph">
              <wp:posOffset>-409575</wp:posOffset>
            </wp:positionV>
            <wp:extent cx="1137285" cy="924560"/>
            <wp:effectExtent l="0" t="0" r="5715" b="8890"/>
            <wp:wrapSquare wrapText="bothSides"/>
            <wp:docPr id="31" name="Picture 26" descr="Description: Description: http://www.esfondi.lv/upload/Logotipi/EK_logo_ar_atsauc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http://www.esfondi.lv/upload/Logotipi/EK_logo_ar_atsauci.bmp"/>
                    <pic:cNvPicPr>
                      <a:picLocks noChangeAspect="1" noChangeArrowheads="1"/>
                    </pic:cNvPicPr>
                  </pic:nvPicPr>
                  <pic:blipFill>
                    <a:blip r:embed="rId13" r:link="rId14">
                      <a:extLst>
                        <a:ext uri="{28A0092B-C50C-407E-A947-70E740481C1C}">
                          <a14:useLocalDpi xmlns:a14="http://schemas.microsoft.com/office/drawing/2010/main"/>
                        </a:ext>
                      </a:extLst>
                    </a:blip>
                    <a:srcRect/>
                    <a:stretch>
                      <a:fillRect/>
                    </a:stretch>
                  </pic:blipFill>
                  <pic:spPr bwMode="auto">
                    <a:xfrm>
                      <a:off x="0" y="0"/>
                      <a:ext cx="1137285"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EA2">
        <w:rPr>
          <w:noProof/>
          <w:color w:val="000000" w:themeColor="text1"/>
          <w:szCs w:val="24"/>
          <w:highlight w:val="yellow"/>
          <w:lang w:eastAsia="lv-LV"/>
        </w:rPr>
        <w:drawing>
          <wp:anchor distT="0" distB="0" distL="114300" distR="114300" simplePos="0" relativeHeight="251659264" behindDoc="0" locked="0" layoutInCell="1" allowOverlap="1" wp14:anchorId="3D3CD267" wp14:editId="61608E89">
            <wp:simplePos x="0" y="0"/>
            <wp:positionH relativeFrom="column">
              <wp:posOffset>4532630</wp:posOffset>
            </wp:positionH>
            <wp:positionV relativeFrom="paragraph">
              <wp:posOffset>-423545</wp:posOffset>
            </wp:positionV>
            <wp:extent cx="1488440" cy="924560"/>
            <wp:effectExtent l="0" t="0" r="0" b="8890"/>
            <wp:wrapSquare wrapText="bothSides"/>
            <wp:docPr id="30" name="Picture 9" descr="Description: Description: cid:image011.png@01CBC3A8.FD1A1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id:image011.png@01CBC3A8.FD1A1C60"/>
                    <pic:cNvPicPr>
                      <a:picLocks noChangeAspect="1" noChangeArrowheads="1"/>
                    </pic:cNvPicPr>
                  </pic:nvPicPr>
                  <pic:blipFill>
                    <a:blip r:embed="rId15" r:link="rId16">
                      <a:extLst>
                        <a:ext uri="{28A0092B-C50C-407E-A947-70E740481C1C}">
                          <a14:useLocalDpi xmlns:a14="http://schemas.microsoft.com/office/drawing/2010/main"/>
                        </a:ext>
                      </a:extLst>
                    </a:blip>
                    <a:srcRect/>
                    <a:stretch>
                      <a:fillRect/>
                    </a:stretch>
                  </pic:blipFill>
                  <pic:spPr bwMode="auto">
                    <a:xfrm>
                      <a:off x="0" y="0"/>
                      <a:ext cx="148844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209" w:rsidRPr="008E4EA2" w:rsidRDefault="00FF4209" w:rsidP="003A0029">
      <w:pPr>
        <w:pStyle w:val="BodyText"/>
        <w:spacing w:before="120" w:after="120" w:line="276" w:lineRule="auto"/>
        <w:jc w:val="both"/>
        <w:rPr>
          <w:b w:val="0"/>
          <w:color w:val="000000" w:themeColor="text1"/>
          <w:highlight w:val="yellow"/>
          <w:lang w:val="lv-LV"/>
        </w:rPr>
      </w:pPr>
    </w:p>
    <w:p w:rsidR="00FF4209" w:rsidRPr="008E4EA2" w:rsidRDefault="00FF4209" w:rsidP="003A0029">
      <w:pPr>
        <w:pStyle w:val="BodyText"/>
        <w:spacing w:before="120" w:after="120" w:line="276" w:lineRule="auto"/>
        <w:jc w:val="both"/>
        <w:rPr>
          <w:b w:val="0"/>
          <w:color w:val="000000" w:themeColor="text1"/>
          <w:highlight w:val="yellow"/>
          <w:lang w:val="lv-LV"/>
        </w:rPr>
      </w:pPr>
    </w:p>
    <w:p w:rsidR="00FF4209" w:rsidRPr="008E4EA2" w:rsidRDefault="00FF4209" w:rsidP="003A0029">
      <w:pPr>
        <w:pStyle w:val="BodyText"/>
        <w:spacing w:before="120" w:after="120" w:line="276" w:lineRule="auto"/>
        <w:jc w:val="both"/>
        <w:rPr>
          <w:b w:val="0"/>
          <w:color w:val="000000" w:themeColor="text1"/>
          <w:lang w:val="lv-LV"/>
        </w:rPr>
      </w:pPr>
    </w:p>
    <w:p w:rsidR="00FF4209" w:rsidRPr="008E4EA2" w:rsidRDefault="00FF4209" w:rsidP="003A0029">
      <w:pPr>
        <w:pStyle w:val="BodyText"/>
        <w:spacing w:before="120" w:after="120" w:line="276" w:lineRule="auto"/>
        <w:jc w:val="both"/>
        <w:rPr>
          <w:b w:val="0"/>
          <w:color w:val="000000" w:themeColor="text1"/>
          <w:lang w:val="lv-LV"/>
        </w:rPr>
      </w:pPr>
    </w:p>
    <w:p w:rsidR="00FF4209" w:rsidRPr="008E4EA2" w:rsidRDefault="00FF4209" w:rsidP="003A0029">
      <w:pPr>
        <w:pStyle w:val="BodyText"/>
        <w:spacing w:before="120" w:after="120" w:line="276" w:lineRule="auto"/>
        <w:jc w:val="both"/>
        <w:rPr>
          <w:b w:val="0"/>
          <w:color w:val="000000" w:themeColor="text1"/>
          <w:lang w:val="lv-LV"/>
        </w:rPr>
      </w:pPr>
    </w:p>
    <w:p w:rsidR="00FF4209" w:rsidRPr="008E4EA2" w:rsidRDefault="00FF4209" w:rsidP="003A0029">
      <w:pPr>
        <w:pStyle w:val="BodyText"/>
        <w:spacing w:before="120" w:after="120" w:line="276" w:lineRule="auto"/>
        <w:jc w:val="both"/>
        <w:rPr>
          <w:b w:val="0"/>
          <w:color w:val="000000" w:themeColor="text1"/>
          <w:lang w:val="lv-LV"/>
        </w:rPr>
      </w:pPr>
    </w:p>
    <w:p w:rsidR="00FF4209" w:rsidRPr="008E4EA2" w:rsidRDefault="00FF4209" w:rsidP="003A0029">
      <w:pPr>
        <w:pStyle w:val="BodyText"/>
        <w:spacing w:before="120" w:after="120" w:line="276" w:lineRule="auto"/>
        <w:jc w:val="both"/>
        <w:rPr>
          <w:b w:val="0"/>
          <w:color w:val="000000" w:themeColor="text1"/>
          <w:lang w:val="lv-LV"/>
        </w:rPr>
      </w:pPr>
    </w:p>
    <w:p w:rsidR="00392FDF" w:rsidRPr="008E4EA2" w:rsidDel="00392FDF" w:rsidRDefault="001947E2" w:rsidP="003A0029">
      <w:pPr>
        <w:pStyle w:val="BodyText"/>
        <w:spacing w:line="276" w:lineRule="auto"/>
        <w:jc w:val="center"/>
        <w:rPr>
          <w:color w:val="000000" w:themeColor="text1"/>
          <w:lang w:val="lv-LV"/>
        </w:rPr>
      </w:pPr>
      <w:bookmarkStart w:id="2" w:name="OLE_LINK8"/>
      <w:bookmarkStart w:id="3" w:name="OLE_LINK9"/>
      <w:r w:rsidRPr="008E4EA2">
        <w:rPr>
          <w:color w:val="000000" w:themeColor="text1"/>
          <w:lang w:val="lv-LV"/>
        </w:rPr>
        <w:t>I</w:t>
      </w:r>
      <w:r w:rsidR="00596455" w:rsidRPr="008E4EA2">
        <w:rPr>
          <w:color w:val="000000" w:themeColor="text1"/>
          <w:lang w:val="lv-LV"/>
        </w:rPr>
        <w:t>nformatīvais ziņojums par</w:t>
      </w:r>
    </w:p>
    <w:p w:rsidR="00596455" w:rsidRPr="008E4EA2" w:rsidRDefault="00596455" w:rsidP="003A0029">
      <w:pPr>
        <w:pStyle w:val="Title"/>
        <w:spacing w:line="276" w:lineRule="auto"/>
        <w:rPr>
          <w:color w:val="000000" w:themeColor="text1"/>
          <w:sz w:val="24"/>
          <w:szCs w:val="24"/>
          <w:lang w:val="lv-LV"/>
        </w:rPr>
      </w:pPr>
      <w:r w:rsidRPr="008E4EA2">
        <w:rPr>
          <w:color w:val="000000" w:themeColor="text1"/>
          <w:sz w:val="24"/>
          <w:szCs w:val="24"/>
          <w:lang w:val="lv-LV"/>
        </w:rPr>
        <w:t xml:space="preserve">Eiropas Savienības struktūrfondu un Kohēzijas fonda, Eiropas Ekonomikas zonas finanšu instrumenta, Norvēģijas finanšu instrumenta un Latvijas un </w:t>
      </w:r>
      <w:r w:rsidR="00392FDF" w:rsidRPr="008E4EA2">
        <w:rPr>
          <w:color w:val="000000" w:themeColor="text1"/>
          <w:sz w:val="24"/>
          <w:szCs w:val="24"/>
          <w:lang w:val="lv-LV"/>
        </w:rPr>
        <w:t>Šveices sadarbības programmas</w:t>
      </w:r>
      <w:r w:rsidRPr="008E4EA2">
        <w:rPr>
          <w:color w:val="000000" w:themeColor="text1"/>
          <w:sz w:val="24"/>
          <w:szCs w:val="24"/>
          <w:lang w:val="lv-LV"/>
        </w:rPr>
        <w:t xml:space="preserve"> apguvi</w:t>
      </w:r>
      <w:r w:rsidR="001C3852" w:rsidRPr="008E4EA2">
        <w:rPr>
          <w:color w:val="000000" w:themeColor="text1"/>
          <w:sz w:val="24"/>
          <w:szCs w:val="24"/>
          <w:lang w:val="lv-LV"/>
        </w:rPr>
        <w:t xml:space="preserve"> </w:t>
      </w:r>
      <w:r w:rsidR="00F77C0D" w:rsidRPr="008E4EA2">
        <w:rPr>
          <w:color w:val="000000" w:themeColor="text1"/>
          <w:sz w:val="24"/>
          <w:szCs w:val="24"/>
          <w:lang w:val="lv-LV"/>
        </w:rPr>
        <w:t>līdz 201</w:t>
      </w:r>
      <w:r w:rsidR="005B7478" w:rsidRPr="008E4EA2">
        <w:rPr>
          <w:color w:val="000000" w:themeColor="text1"/>
          <w:sz w:val="24"/>
          <w:szCs w:val="24"/>
          <w:lang w:val="lv-LV"/>
        </w:rPr>
        <w:t>2</w:t>
      </w:r>
      <w:r w:rsidR="00F77C0D" w:rsidRPr="008E4EA2">
        <w:rPr>
          <w:color w:val="000000" w:themeColor="text1"/>
          <w:sz w:val="24"/>
          <w:szCs w:val="24"/>
          <w:lang w:val="lv-LV"/>
        </w:rPr>
        <w:t xml:space="preserve">.gada </w:t>
      </w:r>
      <w:r w:rsidR="00D12C0C" w:rsidRPr="008E4EA2">
        <w:rPr>
          <w:color w:val="000000" w:themeColor="text1"/>
          <w:sz w:val="24"/>
          <w:szCs w:val="24"/>
          <w:lang w:val="lv-LV"/>
        </w:rPr>
        <w:t>30</w:t>
      </w:r>
      <w:r w:rsidR="00020680" w:rsidRPr="008E4EA2">
        <w:rPr>
          <w:color w:val="000000" w:themeColor="text1"/>
          <w:sz w:val="24"/>
          <w:szCs w:val="24"/>
          <w:lang w:val="lv-LV"/>
        </w:rPr>
        <w:t>.</w:t>
      </w:r>
      <w:r w:rsidR="00EC578D" w:rsidRPr="008E4EA2">
        <w:rPr>
          <w:color w:val="000000" w:themeColor="text1"/>
          <w:sz w:val="24"/>
          <w:szCs w:val="24"/>
          <w:lang w:val="lv-LV"/>
        </w:rPr>
        <w:t>septembrim</w:t>
      </w:r>
    </w:p>
    <w:bookmarkEnd w:id="2"/>
    <w:bookmarkEnd w:id="3"/>
    <w:p w:rsidR="00FF4209" w:rsidRPr="008E4EA2" w:rsidRDefault="00FF4209" w:rsidP="003A0029">
      <w:pPr>
        <w:pStyle w:val="BodyText"/>
        <w:spacing w:before="120" w:after="120" w:line="276" w:lineRule="auto"/>
        <w:jc w:val="both"/>
        <w:rPr>
          <w:b w:val="0"/>
          <w:color w:val="000000" w:themeColor="text1"/>
          <w:lang w:val="lv-LV"/>
        </w:rPr>
      </w:pPr>
    </w:p>
    <w:p w:rsidR="00111702" w:rsidRPr="008E4EA2" w:rsidRDefault="00111702" w:rsidP="003A0029">
      <w:pPr>
        <w:spacing w:before="120" w:after="120" w:line="276" w:lineRule="auto"/>
        <w:rPr>
          <w:bCs/>
          <w:color w:val="000000" w:themeColor="text1"/>
          <w:szCs w:val="24"/>
        </w:rPr>
      </w:pPr>
      <w:r w:rsidRPr="008E4EA2">
        <w:rPr>
          <w:bCs/>
          <w:color w:val="000000" w:themeColor="text1"/>
          <w:szCs w:val="24"/>
        </w:rPr>
        <w:br w:type="page"/>
      </w:r>
    </w:p>
    <w:p w:rsidR="0042642A" w:rsidRPr="00B302C0" w:rsidRDefault="0042642A" w:rsidP="003A0029">
      <w:pPr>
        <w:pStyle w:val="1lmenis"/>
        <w:numPr>
          <w:ilvl w:val="0"/>
          <w:numId w:val="0"/>
        </w:numPr>
        <w:spacing w:before="120" w:after="120" w:line="276" w:lineRule="auto"/>
        <w:ind w:left="491"/>
        <w:rPr>
          <w:rFonts w:ascii="Times New Roman" w:hAnsi="Times New Roman"/>
          <w:color w:val="000000" w:themeColor="text1"/>
          <w:sz w:val="24"/>
          <w:szCs w:val="24"/>
          <w:lang w:val="lv-LV"/>
        </w:rPr>
      </w:pPr>
      <w:bookmarkStart w:id="4" w:name="_Toc293402658"/>
      <w:bookmarkStart w:id="5" w:name="_Toc324948874"/>
      <w:bookmarkStart w:id="6" w:name="_Toc340241682"/>
      <w:r w:rsidRPr="00B302C0">
        <w:rPr>
          <w:rFonts w:ascii="Times New Roman" w:hAnsi="Times New Roman"/>
          <w:color w:val="000000" w:themeColor="text1"/>
          <w:sz w:val="24"/>
          <w:szCs w:val="24"/>
          <w:lang w:val="lv-LV"/>
        </w:rPr>
        <w:lastRenderedPageBreak/>
        <w:t>Satura rādītājs</w:t>
      </w:r>
      <w:bookmarkEnd w:id="4"/>
      <w:bookmarkEnd w:id="5"/>
      <w:bookmarkEnd w:id="6"/>
    </w:p>
    <w:bookmarkStart w:id="7" w:name="_Toc276049969"/>
    <w:bookmarkStart w:id="8" w:name="_Toc290449010"/>
    <w:p w:rsidR="0021797A" w:rsidRPr="00B302C0" w:rsidRDefault="00D36275">
      <w:pPr>
        <w:pStyle w:val="TOC1"/>
        <w:rPr>
          <w:rFonts w:eastAsiaTheme="minorEastAsia"/>
          <w:b w:val="0"/>
          <w:bCs w:val="0"/>
          <w:caps w:val="0"/>
          <w:lang w:eastAsia="lv-LV"/>
        </w:rPr>
      </w:pPr>
      <w:r w:rsidRPr="00B302C0">
        <w:rPr>
          <w:color w:val="000000" w:themeColor="text1"/>
          <w:highlight w:val="yellow"/>
        </w:rPr>
        <w:fldChar w:fldCharType="begin"/>
      </w:r>
      <w:r w:rsidRPr="00B302C0">
        <w:rPr>
          <w:color w:val="000000" w:themeColor="text1"/>
          <w:highlight w:val="yellow"/>
        </w:rPr>
        <w:instrText xml:space="preserve"> TOC \o "1-3" \h \z \u </w:instrText>
      </w:r>
      <w:r w:rsidRPr="00B302C0">
        <w:rPr>
          <w:color w:val="000000" w:themeColor="text1"/>
          <w:highlight w:val="yellow"/>
        </w:rPr>
        <w:fldChar w:fldCharType="separate"/>
      </w:r>
      <w:hyperlink w:anchor="_Toc340241682" w:history="1">
        <w:r w:rsidR="0021797A" w:rsidRPr="00B302C0">
          <w:rPr>
            <w:rStyle w:val="Hyperlink"/>
            <w:rFonts w:ascii="Times New Roman" w:hAnsi="Times New Roman" w:cs="Times New Roman"/>
            <w:sz w:val="24"/>
            <w:szCs w:val="24"/>
          </w:rPr>
          <w:t>Satura rādītājs</w:t>
        </w:r>
        <w:r w:rsidR="0021797A" w:rsidRPr="00B302C0">
          <w:rPr>
            <w:webHidden/>
          </w:rPr>
          <w:tab/>
        </w:r>
        <w:r w:rsidR="0021797A" w:rsidRPr="00B302C0">
          <w:rPr>
            <w:webHidden/>
          </w:rPr>
          <w:fldChar w:fldCharType="begin"/>
        </w:r>
        <w:r w:rsidR="0021797A" w:rsidRPr="00B302C0">
          <w:rPr>
            <w:webHidden/>
          </w:rPr>
          <w:instrText xml:space="preserve"> PAGEREF _Toc340241682 \h </w:instrText>
        </w:r>
        <w:r w:rsidR="0021797A" w:rsidRPr="00B302C0">
          <w:rPr>
            <w:webHidden/>
          </w:rPr>
        </w:r>
        <w:r w:rsidR="0021797A" w:rsidRPr="00B302C0">
          <w:rPr>
            <w:webHidden/>
          </w:rPr>
          <w:fldChar w:fldCharType="separate"/>
        </w:r>
        <w:r w:rsidR="00BA4562">
          <w:rPr>
            <w:webHidden/>
          </w:rPr>
          <w:t>2</w:t>
        </w:r>
        <w:r w:rsidR="0021797A" w:rsidRPr="00B302C0">
          <w:rPr>
            <w:webHidden/>
          </w:rPr>
          <w:fldChar w:fldCharType="end"/>
        </w:r>
      </w:hyperlink>
    </w:p>
    <w:p w:rsidR="0021797A" w:rsidRPr="00B302C0" w:rsidRDefault="00E61B97">
      <w:pPr>
        <w:pStyle w:val="TOC1"/>
        <w:rPr>
          <w:rFonts w:eastAsiaTheme="minorEastAsia"/>
          <w:b w:val="0"/>
          <w:bCs w:val="0"/>
          <w:caps w:val="0"/>
          <w:lang w:eastAsia="lv-LV"/>
        </w:rPr>
      </w:pPr>
      <w:hyperlink w:anchor="_Toc340241683" w:history="1">
        <w:r w:rsidR="0021797A" w:rsidRPr="00B302C0">
          <w:rPr>
            <w:rStyle w:val="Hyperlink"/>
            <w:rFonts w:ascii="Times New Roman" w:hAnsi="Times New Roman" w:cs="Times New Roman"/>
            <w:sz w:val="24"/>
            <w:szCs w:val="24"/>
          </w:rPr>
          <w:t>Ievads</w:t>
        </w:r>
        <w:r w:rsidR="0021797A" w:rsidRPr="00B302C0">
          <w:rPr>
            <w:webHidden/>
          </w:rPr>
          <w:tab/>
        </w:r>
        <w:r w:rsidR="0021797A" w:rsidRPr="00B302C0">
          <w:rPr>
            <w:webHidden/>
          </w:rPr>
          <w:fldChar w:fldCharType="begin"/>
        </w:r>
        <w:r w:rsidR="0021797A" w:rsidRPr="00B302C0">
          <w:rPr>
            <w:webHidden/>
          </w:rPr>
          <w:instrText xml:space="preserve"> PAGEREF _Toc340241683 \h </w:instrText>
        </w:r>
        <w:r w:rsidR="0021797A" w:rsidRPr="00B302C0">
          <w:rPr>
            <w:webHidden/>
          </w:rPr>
        </w:r>
        <w:r w:rsidR="0021797A" w:rsidRPr="00B302C0">
          <w:rPr>
            <w:webHidden/>
          </w:rPr>
          <w:fldChar w:fldCharType="separate"/>
        </w:r>
        <w:r w:rsidR="00BA4562">
          <w:rPr>
            <w:webHidden/>
          </w:rPr>
          <w:t>7</w:t>
        </w:r>
        <w:r w:rsidR="0021797A" w:rsidRPr="00B302C0">
          <w:rPr>
            <w:webHidden/>
          </w:rPr>
          <w:fldChar w:fldCharType="end"/>
        </w:r>
      </w:hyperlink>
    </w:p>
    <w:p w:rsidR="0021797A" w:rsidRPr="00B302C0" w:rsidRDefault="00E61B97">
      <w:pPr>
        <w:pStyle w:val="TOC1"/>
        <w:rPr>
          <w:rFonts w:eastAsiaTheme="minorEastAsia"/>
          <w:b w:val="0"/>
          <w:bCs w:val="0"/>
          <w:caps w:val="0"/>
          <w:lang w:eastAsia="lv-LV"/>
        </w:rPr>
      </w:pPr>
      <w:hyperlink w:anchor="_Toc340241684" w:history="1">
        <w:r w:rsidR="0021797A" w:rsidRPr="00B302C0">
          <w:rPr>
            <w:rStyle w:val="Hyperlink"/>
            <w:rFonts w:ascii="Times New Roman" w:hAnsi="Times New Roman" w:cs="Times New Roman"/>
            <w:sz w:val="24"/>
            <w:szCs w:val="24"/>
          </w:rPr>
          <w:t>Kopsavilkums</w:t>
        </w:r>
        <w:r w:rsidR="0021797A" w:rsidRPr="00B302C0">
          <w:rPr>
            <w:webHidden/>
          </w:rPr>
          <w:tab/>
        </w:r>
        <w:r w:rsidR="0021797A" w:rsidRPr="00B302C0">
          <w:rPr>
            <w:webHidden/>
          </w:rPr>
          <w:fldChar w:fldCharType="begin"/>
        </w:r>
        <w:r w:rsidR="0021797A" w:rsidRPr="00B302C0">
          <w:rPr>
            <w:webHidden/>
          </w:rPr>
          <w:instrText xml:space="preserve"> PAGEREF _Toc340241684 \h </w:instrText>
        </w:r>
        <w:r w:rsidR="0021797A" w:rsidRPr="00B302C0">
          <w:rPr>
            <w:webHidden/>
          </w:rPr>
        </w:r>
        <w:r w:rsidR="0021797A" w:rsidRPr="00B302C0">
          <w:rPr>
            <w:webHidden/>
          </w:rPr>
          <w:fldChar w:fldCharType="separate"/>
        </w:r>
        <w:r w:rsidR="00BA4562">
          <w:rPr>
            <w:webHidden/>
          </w:rPr>
          <w:t>8</w:t>
        </w:r>
        <w:r w:rsidR="0021797A" w:rsidRPr="00B302C0">
          <w:rPr>
            <w:webHidden/>
          </w:rPr>
          <w:fldChar w:fldCharType="end"/>
        </w:r>
      </w:hyperlink>
    </w:p>
    <w:p w:rsidR="0021797A" w:rsidRPr="00B302C0" w:rsidRDefault="00E61B97">
      <w:pPr>
        <w:pStyle w:val="TOC1"/>
        <w:rPr>
          <w:rFonts w:eastAsiaTheme="minorEastAsia"/>
          <w:b w:val="0"/>
          <w:bCs w:val="0"/>
          <w:caps w:val="0"/>
          <w:lang w:eastAsia="lv-LV"/>
        </w:rPr>
      </w:pPr>
      <w:hyperlink w:anchor="_Toc340241685" w:history="1">
        <w:r w:rsidR="0021797A" w:rsidRPr="00B302C0">
          <w:rPr>
            <w:rStyle w:val="Hyperlink"/>
            <w:rFonts w:ascii="Times New Roman" w:hAnsi="Times New Roman" w:cs="Times New Roman"/>
            <w:sz w:val="24"/>
            <w:szCs w:val="24"/>
          </w:rPr>
          <w:t>1.</w:t>
        </w:r>
        <w:r w:rsidR="0021797A" w:rsidRPr="00B302C0">
          <w:rPr>
            <w:rFonts w:eastAsiaTheme="minorEastAsia"/>
            <w:b w:val="0"/>
            <w:bCs w:val="0"/>
            <w:caps w:val="0"/>
            <w:lang w:eastAsia="lv-LV"/>
          </w:rPr>
          <w:tab/>
        </w:r>
        <w:r w:rsidR="0021797A" w:rsidRPr="00B302C0">
          <w:rPr>
            <w:rStyle w:val="Hyperlink"/>
            <w:rFonts w:ascii="Times New Roman" w:hAnsi="Times New Roman" w:cs="Times New Roman"/>
            <w:sz w:val="24"/>
            <w:szCs w:val="24"/>
          </w:rPr>
          <w:t>ES fondu finansējuma ietekme uz Latvijas tautsaimniecības attīstību</w:t>
        </w:r>
        <w:r w:rsidR="0021797A" w:rsidRPr="00B302C0">
          <w:rPr>
            <w:webHidden/>
          </w:rPr>
          <w:tab/>
        </w:r>
        <w:r w:rsidR="0021797A" w:rsidRPr="00B302C0">
          <w:rPr>
            <w:webHidden/>
          </w:rPr>
          <w:fldChar w:fldCharType="begin"/>
        </w:r>
        <w:r w:rsidR="0021797A" w:rsidRPr="00B302C0">
          <w:rPr>
            <w:webHidden/>
          </w:rPr>
          <w:instrText xml:space="preserve"> PAGEREF _Toc340241685 \h </w:instrText>
        </w:r>
        <w:r w:rsidR="0021797A" w:rsidRPr="00B302C0">
          <w:rPr>
            <w:webHidden/>
          </w:rPr>
        </w:r>
        <w:r w:rsidR="0021797A" w:rsidRPr="00B302C0">
          <w:rPr>
            <w:webHidden/>
          </w:rPr>
          <w:fldChar w:fldCharType="separate"/>
        </w:r>
        <w:r w:rsidR="00BA4562">
          <w:rPr>
            <w:webHidden/>
          </w:rPr>
          <w:t>13</w:t>
        </w:r>
        <w:r w:rsidR="0021797A" w:rsidRPr="00B302C0">
          <w:rPr>
            <w:webHidden/>
          </w:rPr>
          <w:fldChar w:fldCharType="end"/>
        </w:r>
      </w:hyperlink>
    </w:p>
    <w:p w:rsidR="0021797A" w:rsidRPr="00B302C0" w:rsidRDefault="00E61B97">
      <w:pPr>
        <w:pStyle w:val="TOC1"/>
        <w:rPr>
          <w:rFonts w:eastAsiaTheme="minorEastAsia"/>
          <w:b w:val="0"/>
          <w:bCs w:val="0"/>
          <w:caps w:val="0"/>
          <w:lang w:eastAsia="lv-LV"/>
        </w:rPr>
      </w:pPr>
      <w:hyperlink w:anchor="_Toc340241686" w:history="1">
        <w:r w:rsidR="0021797A" w:rsidRPr="00B302C0">
          <w:rPr>
            <w:rStyle w:val="Hyperlink"/>
            <w:rFonts w:ascii="Times New Roman" w:hAnsi="Times New Roman" w:cs="Times New Roman"/>
            <w:sz w:val="24"/>
            <w:szCs w:val="24"/>
          </w:rPr>
          <w:t>2.</w:t>
        </w:r>
        <w:r w:rsidR="0021797A" w:rsidRPr="00B302C0">
          <w:rPr>
            <w:rFonts w:eastAsiaTheme="minorEastAsia"/>
            <w:b w:val="0"/>
            <w:bCs w:val="0"/>
            <w:caps w:val="0"/>
            <w:lang w:eastAsia="lv-LV"/>
          </w:rPr>
          <w:tab/>
        </w:r>
        <w:r w:rsidR="0021797A" w:rsidRPr="00B302C0">
          <w:rPr>
            <w:rStyle w:val="Hyperlink"/>
            <w:rFonts w:ascii="Times New Roman" w:hAnsi="Times New Roman" w:cs="Times New Roman"/>
            <w:sz w:val="24"/>
            <w:szCs w:val="24"/>
          </w:rPr>
          <w:t>2007. -2013.gada plānošanas perioda ES fondu apguve</w:t>
        </w:r>
        <w:r w:rsidR="0021797A" w:rsidRPr="00B302C0">
          <w:rPr>
            <w:webHidden/>
          </w:rPr>
          <w:tab/>
        </w:r>
        <w:r w:rsidR="0021797A" w:rsidRPr="00B302C0">
          <w:rPr>
            <w:webHidden/>
          </w:rPr>
          <w:fldChar w:fldCharType="begin"/>
        </w:r>
        <w:r w:rsidR="0021797A" w:rsidRPr="00B302C0">
          <w:rPr>
            <w:webHidden/>
          </w:rPr>
          <w:instrText xml:space="preserve"> PAGEREF _Toc340241686 \h </w:instrText>
        </w:r>
        <w:r w:rsidR="0021797A" w:rsidRPr="00B302C0">
          <w:rPr>
            <w:webHidden/>
          </w:rPr>
        </w:r>
        <w:r w:rsidR="0021797A" w:rsidRPr="00B302C0">
          <w:rPr>
            <w:webHidden/>
          </w:rPr>
          <w:fldChar w:fldCharType="separate"/>
        </w:r>
        <w:r w:rsidR="00BA4562">
          <w:rPr>
            <w:webHidden/>
          </w:rPr>
          <w:t>14</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687" w:history="1">
        <w:r w:rsidR="0021797A" w:rsidRPr="00B302C0">
          <w:rPr>
            <w:rStyle w:val="Hyperlink"/>
            <w:rFonts w:ascii="Times New Roman" w:hAnsi="Times New Roman" w:cs="Times New Roman"/>
            <w:sz w:val="24"/>
            <w:szCs w:val="24"/>
          </w:rPr>
          <w:t>2.1.</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Darbības programmu un darbības programmu papildinājumu grozījumi</w:t>
        </w:r>
        <w:r w:rsidR="0021797A" w:rsidRPr="00B302C0">
          <w:rPr>
            <w:webHidden/>
          </w:rPr>
          <w:tab/>
        </w:r>
        <w:r w:rsidR="0021797A" w:rsidRPr="00B302C0">
          <w:rPr>
            <w:webHidden/>
          </w:rPr>
          <w:fldChar w:fldCharType="begin"/>
        </w:r>
        <w:r w:rsidR="0021797A" w:rsidRPr="00B302C0">
          <w:rPr>
            <w:webHidden/>
          </w:rPr>
          <w:instrText xml:space="preserve"> PAGEREF _Toc340241687 \h </w:instrText>
        </w:r>
        <w:r w:rsidR="0021797A" w:rsidRPr="00B302C0">
          <w:rPr>
            <w:webHidden/>
          </w:rPr>
        </w:r>
        <w:r w:rsidR="0021797A" w:rsidRPr="00B302C0">
          <w:rPr>
            <w:webHidden/>
          </w:rPr>
          <w:fldChar w:fldCharType="separate"/>
        </w:r>
        <w:r w:rsidR="00BA4562">
          <w:rPr>
            <w:webHidden/>
          </w:rPr>
          <w:t>14</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688" w:history="1">
        <w:r w:rsidR="0021797A" w:rsidRPr="00B302C0">
          <w:rPr>
            <w:rStyle w:val="Hyperlink"/>
            <w:rFonts w:ascii="Times New Roman" w:hAnsi="Times New Roman" w:cs="Times New Roman"/>
            <w:sz w:val="24"/>
            <w:szCs w:val="24"/>
          </w:rPr>
          <w:t>2.2.</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Projektu iesniegumu atlases darbības programmās</w:t>
        </w:r>
        <w:r w:rsidR="0021797A" w:rsidRPr="00B302C0">
          <w:rPr>
            <w:webHidden/>
          </w:rPr>
          <w:tab/>
        </w:r>
        <w:r w:rsidR="0021797A" w:rsidRPr="00B302C0">
          <w:rPr>
            <w:webHidden/>
          </w:rPr>
          <w:fldChar w:fldCharType="begin"/>
        </w:r>
        <w:r w:rsidR="0021797A" w:rsidRPr="00B302C0">
          <w:rPr>
            <w:webHidden/>
          </w:rPr>
          <w:instrText xml:space="preserve"> PAGEREF _Toc340241688 \h </w:instrText>
        </w:r>
        <w:r w:rsidR="0021797A" w:rsidRPr="00B302C0">
          <w:rPr>
            <w:webHidden/>
          </w:rPr>
        </w:r>
        <w:r w:rsidR="0021797A" w:rsidRPr="00B302C0">
          <w:rPr>
            <w:webHidden/>
          </w:rPr>
          <w:fldChar w:fldCharType="separate"/>
        </w:r>
        <w:r w:rsidR="00BA4562">
          <w:rPr>
            <w:webHidden/>
          </w:rPr>
          <w:t>15</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689" w:history="1">
        <w:r w:rsidR="0021797A" w:rsidRPr="00B302C0">
          <w:rPr>
            <w:rStyle w:val="Hyperlink"/>
            <w:rFonts w:ascii="Times New Roman" w:hAnsi="Times New Roman" w:cs="Times New Roman"/>
            <w:sz w:val="24"/>
            <w:szCs w:val="24"/>
          </w:rPr>
          <w:t>2.3.</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Citi aktuāli jautājumi</w:t>
        </w:r>
        <w:r w:rsidR="0021797A" w:rsidRPr="00B302C0">
          <w:rPr>
            <w:webHidden/>
          </w:rPr>
          <w:tab/>
        </w:r>
        <w:r w:rsidR="0021797A" w:rsidRPr="00B302C0">
          <w:rPr>
            <w:webHidden/>
          </w:rPr>
          <w:fldChar w:fldCharType="begin"/>
        </w:r>
        <w:r w:rsidR="0021797A" w:rsidRPr="00B302C0">
          <w:rPr>
            <w:webHidden/>
          </w:rPr>
          <w:instrText xml:space="preserve"> PAGEREF _Toc340241689 \h </w:instrText>
        </w:r>
        <w:r w:rsidR="0021797A" w:rsidRPr="00B302C0">
          <w:rPr>
            <w:webHidden/>
          </w:rPr>
        </w:r>
        <w:r w:rsidR="0021797A" w:rsidRPr="00B302C0">
          <w:rPr>
            <w:webHidden/>
          </w:rPr>
          <w:fldChar w:fldCharType="separate"/>
        </w:r>
        <w:r w:rsidR="00BA4562">
          <w:rPr>
            <w:webHidden/>
          </w:rPr>
          <w:t>18</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690" w:history="1">
        <w:r w:rsidR="0021797A" w:rsidRPr="00B302C0">
          <w:rPr>
            <w:rStyle w:val="Hyperlink"/>
            <w:rFonts w:ascii="Times New Roman" w:hAnsi="Times New Roman" w:cs="Times New Roman"/>
            <w:sz w:val="24"/>
            <w:szCs w:val="24"/>
          </w:rPr>
          <w:t>2.4.</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2007. – 2013.gada plānošanas perioda ES fondu finanšu rādītāji</w:t>
        </w:r>
        <w:r w:rsidR="0021797A" w:rsidRPr="00B302C0">
          <w:rPr>
            <w:webHidden/>
          </w:rPr>
          <w:tab/>
        </w:r>
        <w:r w:rsidR="0021797A" w:rsidRPr="00B302C0">
          <w:rPr>
            <w:webHidden/>
          </w:rPr>
          <w:fldChar w:fldCharType="begin"/>
        </w:r>
        <w:r w:rsidR="0021797A" w:rsidRPr="00B302C0">
          <w:rPr>
            <w:webHidden/>
          </w:rPr>
          <w:instrText xml:space="preserve"> PAGEREF _Toc340241690 \h </w:instrText>
        </w:r>
        <w:r w:rsidR="0021797A" w:rsidRPr="00B302C0">
          <w:rPr>
            <w:webHidden/>
          </w:rPr>
        </w:r>
        <w:r w:rsidR="0021797A" w:rsidRPr="00B302C0">
          <w:rPr>
            <w:webHidden/>
          </w:rPr>
          <w:fldChar w:fldCharType="separate"/>
        </w:r>
        <w:r w:rsidR="00BA4562">
          <w:rPr>
            <w:webHidden/>
          </w:rPr>
          <w:t>18</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691" w:history="1">
        <w:r w:rsidR="0021797A" w:rsidRPr="00B302C0">
          <w:rPr>
            <w:rStyle w:val="Hyperlink"/>
            <w:rFonts w:ascii="Times New Roman" w:hAnsi="Times New Roman" w:cs="Times New Roman"/>
            <w:sz w:val="24"/>
            <w:szCs w:val="24"/>
          </w:rPr>
          <w:t>2.4.1.</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ES fondu finanšu apguves progress un mērķu sasniegšana</w:t>
        </w:r>
        <w:r w:rsidR="0021797A" w:rsidRPr="00B302C0">
          <w:rPr>
            <w:webHidden/>
          </w:rPr>
          <w:tab/>
        </w:r>
        <w:r w:rsidR="0021797A" w:rsidRPr="00B302C0">
          <w:rPr>
            <w:webHidden/>
          </w:rPr>
          <w:fldChar w:fldCharType="begin"/>
        </w:r>
        <w:r w:rsidR="0021797A" w:rsidRPr="00B302C0">
          <w:rPr>
            <w:webHidden/>
          </w:rPr>
          <w:instrText xml:space="preserve"> PAGEREF _Toc340241691 \h </w:instrText>
        </w:r>
        <w:r w:rsidR="0021797A" w:rsidRPr="00B302C0">
          <w:rPr>
            <w:webHidden/>
          </w:rPr>
        </w:r>
        <w:r w:rsidR="0021797A" w:rsidRPr="00B302C0">
          <w:rPr>
            <w:webHidden/>
          </w:rPr>
          <w:fldChar w:fldCharType="separate"/>
        </w:r>
        <w:r w:rsidR="00BA4562">
          <w:rPr>
            <w:webHidden/>
          </w:rPr>
          <w:t>18</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692" w:history="1">
        <w:r w:rsidR="0021797A" w:rsidRPr="00B302C0">
          <w:rPr>
            <w:rStyle w:val="Hyperlink"/>
            <w:rFonts w:ascii="Times New Roman" w:hAnsi="Times New Roman" w:cs="Times New Roman"/>
            <w:sz w:val="24"/>
            <w:szCs w:val="24"/>
          </w:rPr>
          <w:t>2.4.2.</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ES fondu valsts budžeta apguve</w:t>
        </w:r>
        <w:r w:rsidR="0021797A" w:rsidRPr="00B302C0">
          <w:rPr>
            <w:webHidden/>
          </w:rPr>
          <w:tab/>
        </w:r>
        <w:r w:rsidR="0021797A" w:rsidRPr="00B302C0">
          <w:rPr>
            <w:webHidden/>
          </w:rPr>
          <w:fldChar w:fldCharType="begin"/>
        </w:r>
        <w:r w:rsidR="0021797A" w:rsidRPr="00B302C0">
          <w:rPr>
            <w:webHidden/>
          </w:rPr>
          <w:instrText xml:space="preserve"> PAGEREF _Toc340241692 \h </w:instrText>
        </w:r>
        <w:r w:rsidR="0021797A" w:rsidRPr="00B302C0">
          <w:rPr>
            <w:webHidden/>
          </w:rPr>
        </w:r>
        <w:r w:rsidR="0021797A" w:rsidRPr="00B302C0">
          <w:rPr>
            <w:webHidden/>
          </w:rPr>
          <w:fldChar w:fldCharType="separate"/>
        </w:r>
        <w:r w:rsidR="00BA4562">
          <w:rPr>
            <w:webHidden/>
          </w:rPr>
          <w:t>23</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693" w:history="1">
        <w:r w:rsidR="0021797A" w:rsidRPr="00B302C0">
          <w:rPr>
            <w:rStyle w:val="Hyperlink"/>
            <w:rFonts w:ascii="Times New Roman" w:eastAsiaTheme="minorHAnsi" w:hAnsi="Times New Roman" w:cs="Times New Roman"/>
            <w:sz w:val="24"/>
            <w:szCs w:val="24"/>
          </w:rPr>
          <w:t>2.5.</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Informācija</w:t>
        </w:r>
        <w:r w:rsidR="0021797A" w:rsidRPr="00B302C0">
          <w:rPr>
            <w:rStyle w:val="Hyperlink"/>
            <w:rFonts w:ascii="Times New Roman" w:eastAsiaTheme="minorHAnsi" w:hAnsi="Times New Roman" w:cs="Times New Roman"/>
            <w:sz w:val="24"/>
            <w:szCs w:val="24"/>
          </w:rPr>
          <w:t xml:space="preserve"> par valsts budžeta virssaistībām</w:t>
        </w:r>
        <w:r w:rsidR="0021797A" w:rsidRPr="00B302C0">
          <w:rPr>
            <w:webHidden/>
          </w:rPr>
          <w:tab/>
        </w:r>
        <w:r w:rsidR="0021797A" w:rsidRPr="00B302C0">
          <w:rPr>
            <w:webHidden/>
          </w:rPr>
          <w:fldChar w:fldCharType="begin"/>
        </w:r>
        <w:r w:rsidR="0021797A" w:rsidRPr="00B302C0">
          <w:rPr>
            <w:webHidden/>
          </w:rPr>
          <w:instrText xml:space="preserve"> PAGEREF _Toc340241693 \h </w:instrText>
        </w:r>
        <w:r w:rsidR="0021797A" w:rsidRPr="00B302C0">
          <w:rPr>
            <w:webHidden/>
          </w:rPr>
        </w:r>
        <w:r w:rsidR="0021797A" w:rsidRPr="00B302C0">
          <w:rPr>
            <w:webHidden/>
          </w:rPr>
          <w:fldChar w:fldCharType="separate"/>
        </w:r>
        <w:r w:rsidR="00BA4562">
          <w:rPr>
            <w:webHidden/>
          </w:rPr>
          <w:t>25</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694" w:history="1">
        <w:r w:rsidR="0021797A" w:rsidRPr="00B302C0">
          <w:rPr>
            <w:rStyle w:val="Hyperlink"/>
            <w:rFonts w:ascii="Times New Roman" w:hAnsi="Times New Roman" w:cs="Times New Roman"/>
            <w:sz w:val="24"/>
            <w:szCs w:val="24"/>
          </w:rPr>
          <w:t>2.6.</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Publisko resursu ieguldījums</w:t>
        </w:r>
        <w:r w:rsidR="0021797A" w:rsidRPr="00B302C0">
          <w:rPr>
            <w:webHidden/>
          </w:rPr>
          <w:tab/>
        </w:r>
        <w:r w:rsidR="0021797A" w:rsidRPr="00B302C0">
          <w:rPr>
            <w:webHidden/>
          </w:rPr>
          <w:fldChar w:fldCharType="begin"/>
        </w:r>
        <w:r w:rsidR="0021797A" w:rsidRPr="00B302C0">
          <w:rPr>
            <w:webHidden/>
          </w:rPr>
          <w:instrText xml:space="preserve"> PAGEREF _Toc340241694 \h </w:instrText>
        </w:r>
        <w:r w:rsidR="0021797A" w:rsidRPr="00B302C0">
          <w:rPr>
            <w:webHidden/>
          </w:rPr>
        </w:r>
        <w:r w:rsidR="0021797A" w:rsidRPr="00B302C0">
          <w:rPr>
            <w:webHidden/>
          </w:rPr>
          <w:fldChar w:fldCharType="separate"/>
        </w:r>
        <w:r w:rsidR="00BA4562">
          <w:rPr>
            <w:webHidden/>
          </w:rPr>
          <w:t>29</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695" w:history="1">
        <w:r w:rsidR="0021797A" w:rsidRPr="00B302C0">
          <w:rPr>
            <w:rStyle w:val="Hyperlink"/>
            <w:rFonts w:ascii="Times New Roman" w:hAnsi="Times New Roman" w:cs="Times New Roman"/>
            <w:sz w:val="24"/>
            <w:szCs w:val="24"/>
          </w:rPr>
          <w:t>2.6.1.</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Publisko resursu ieguldījums darbības programmā „Cilvēkresursi un nodarbinātība”</w:t>
        </w:r>
        <w:r w:rsidR="0021797A" w:rsidRPr="00B302C0">
          <w:rPr>
            <w:webHidden/>
          </w:rPr>
          <w:tab/>
        </w:r>
        <w:r w:rsidR="0021797A" w:rsidRPr="00B302C0">
          <w:rPr>
            <w:webHidden/>
          </w:rPr>
          <w:fldChar w:fldCharType="begin"/>
        </w:r>
        <w:r w:rsidR="0021797A" w:rsidRPr="00B302C0">
          <w:rPr>
            <w:webHidden/>
          </w:rPr>
          <w:instrText xml:space="preserve"> PAGEREF _Toc340241695 \h </w:instrText>
        </w:r>
        <w:r w:rsidR="0021797A" w:rsidRPr="00B302C0">
          <w:rPr>
            <w:webHidden/>
          </w:rPr>
        </w:r>
        <w:r w:rsidR="0021797A" w:rsidRPr="00B302C0">
          <w:rPr>
            <w:webHidden/>
          </w:rPr>
          <w:fldChar w:fldCharType="separate"/>
        </w:r>
        <w:r w:rsidR="00BA4562">
          <w:rPr>
            <w:webHidden/>
          </w:rPr>
          <w:t>29</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696" w:history="1">
        <w:r w:rsidR="0021797A" w:rsidRPr="00B302C0">
          <w:rPr>
            <w:rStyle w:val="Hyperlink"/>
            <w:rFonts w:ascii="Times New Roman" w:hAnsi="Times New Roman" w:cs="Times New Roman"/>
            <w:sz w:val="24"/>
            <w:szCs w:val="24"/>
          </w:rPr>
          <w:t>2.6.2.</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Publisko resursu ieguldījums darbības programmā „Uzņēmējdarbība un inovācijas”</w:t>
        </w:r>
        <w:r w:rsidR="0021797A" w:rsidRPr="00B302C0">
          <w:rPr>
            <w:webHidden/>
          </w:rPr>
          <w:tab/>
        </w:r>
        <w:r w:rsidR="0021797A" w:rsidRPr="00B302C0">
          <w:rPr>
            <w:webHidden/>
          </w:rPr>
          <w:fldChar w:fldCharType="begin"/>
        </w:r>
        <w:r w:rsidR="0021797A" w:rsidRPr="00B302C0">
          <w:rPr>
            <w:webHidden/>
          </w:rPr>
          <w:instrText xml:space="preserve"> PAGEREF _Toc340241696 \h </w:instrText>
        </w:r>
        <w:r w:rsidR="0021797A" w:rsidRPr="00B302C0">
          <w:rPr>
            <w:webHidden/>
          </w:rPr>
        </w:r>
        <w:r w:rsidR="0021797A" w:rsidRPr="00B302C0">
          <w:rPr>
            <w:webHidden/>
          </w:rPr>
          <w:fldChar w:fldCharType="separate"/>
        </w:r>
        <w:r w:rsidR="00BA4562">
          <w:rPr>
            <w:webHidden/>
          </w:rPr>
          <w:t>36</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697" w:history="1">
        <w:r w:rsidR="0021797A" w:rsidRPr="00B302C0">
          <w:rPr>
            <w:rStyle w:val="Hyperlink"/>
            <w:rFonts w:ascii="Times New Roman" w:hAnsi="Times New Roman" w:cs="Times New Roman"/>
            <w:sz w:val="24"/>
            <w:szCs w:val="24"/>
          </w:rPr>
          <w:t>2.6.3.</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Publisko resursu ieguldījums darbības programmā „Infrastruktūra un pakalpojumi”</w:t>
        </w:r>
        <w:r w:rsidR="0021797A" w:rsidRPr="00B302C0">
          <w:rPr>
            <w:webHidden/>
          </w:rPr>
          <w:tab/>
        </w:r>
        <w:r w:rsidR="0021797A" w:rsidRPr="00B302C0">
          <w:rPr>
            <w:webHidden/>
          </w:rPr>
          <w:fldChar w:fldCharType="begin"/>
        </w:r>
        <w:r w:rsidR="0021797A" w:rsidRPr="00B302C0">
          <w:rPr>
            <w:webHidden/>
          </w:rPr>
          <w:instrText xml:space="preserve"> PAGEREF _Toc340241697 \h </w:instrText>
        </w:r>
        <w:r w:rsidR="0021797A" w:rsidRPr="00B302C0">
          <w:rPr>
            <w:webHidden/>
          </w:rPr>
        </w:r>
        <w:r w:rsidR="0021797A" w:rsidRPr="00B302C0">
          <w:rPr>
            <w:webHidden/>
          </w:rPr>
          <w:fldChar w:fldCharType="separate"/>
        </w:r>
        <w:r w:rsidR="00BA4562">
          <w:rPr>
            <w:webHidden/>
          </w:rPr>
          <w:t>42</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698" w:history="1">
        <w:r w:rsidR="0021797A" w:rsidRPr="00B302C0">
          <w:rPr>
            <w:rStyle w:val="Hyperlink"/>
            <w:rFonts w:ascii="Times New Roman" w:hAnsi="Times New Roman" w:cs="Times New Roman"/>
            <w:sz w:val="24"/>
            <w:szCs w:val="24"/>
          </w:rPr>
          <w:t>2.7.</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Lielo projektu īstenošana</w:t>
        </w:r>
        <w:r w:rsidR="0021797A" w:rsidRPr="00B302C0">
          <w:rPr>
            <w:webHidden/>
          </w:rPr>
          <w:tab/>
        </w:r>
        <w:r w:rsidR="0021797A" w:rsidRPr="00B302C0">
          <w:rPr>
            <w:webHidden/>
          </w:rPr>
          <w:fldChar w:fldCharType="begin"/>
        </w:r>
        <w:r w:rsidR="0021797A" w:rsidRPr="00B302C0">
          <w:rPr>
            <w:webHidden/>
          </w:rPr>
          <w:instrText xml:space="preserve"> PAGEREF _Toc340241698 \h </w:instrText>
        </w:r>
        <w:r w:rsidR="0021797A" w:rsidRPr="00B302C0">
          <w:rPr>
            <w:webHidden/>
          </w:rPr>
        </w:r>
        <w:r w:rsidR="0021797A" w:rsidRPr="00B302C0">
          <w:rPr>
            <w:webHidden/>
          </w:rPr>
          <w:fldChar w:fldCharType="separate"/>
        </w:r>
        <w:r w:rsidR="00BA4562">
          <w:rPr>
            <w:webHidden/>
          </w:rPr>
          <w:t>53</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699" w:history="1">
        <w:r w:rsidR="0021797A" w:rsidRPr="00B302C0">
          <w:rPr>
            <w:rStyle w:val="Hyperlink"/>
            <w:rFonts w:ascii="Times New Roman" w:hAnsi="Times New Roman" w:cs="Times New Roman"/>
            <w:sz w:val="24"/>
            <w:szCs w:val="24"/>
          </w:rPr>
          <w:t>2.8.</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Kopsavilkums par ES fondu TP aktivitāšu īstenošanu</w:t>
        </w:r>
        <w:r w:rsidR="0021797A" w:rsidRPr="00B302C0">
          <w:rPr>
            <w:webHidden/>
          </w:rPr>
          <w:tab/>
        </w:r>
        <w:r w:rsidR="0021797A" w:rsidRPr="00B302C0">
          <w:rPr>
            <w:webHidden/>
          </w:rPr>
          <w:fldChar w:fldCharType="begin"/>
        </w:r>
        <w:r w:rsidR="0021797A" w:rsidRPr="00B302C0">
          <w:rPr>
            <w:webHidden/>
          </w:rPr>
          <w:instrText xml:space="preserve"> PAGEREF _Toc340241699 \h </w:instrText>
        </w:r>
        <w:r w:rsidR="0021797A" w:rsidRPr="00B302C0">
          <w:rPr>
            <w:webHidden/>
          </w:rPr>
        </w:r>
        <w:r w:rsidR="0021797A" w:rsidRPr="00B302C0">
          <w:rPr>
            <w:webHidden/>
          </w:rPr>
          <w:fldChar w:fldCharType="separate"/>
        </w:r>
        <w:r w:rsidR="00BA4562">
          <w:rPr>
            <w:webHidden/>
          </w:rPr>
          <w:t>55</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700" w:history="1">
        <w:r w:rsidR="0021797A" w:rsidRPr="00B302C0">
          <w:rPr>
            <w:rStyle w:val="Hyperlink"/>
            <w:rFonts w:ascii="Times New Roman" w:hAnsi="Times New Roman" w:cs="Times New Roman"/>
            <w:sz w:val="24"/>
            <w:szCs w:val="24"/>
          </w:rPr>
          <w:t>2.9.</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2007.-2013.gada plānošanas perioda finanšu apguves salīdzinājums starp jaunajām ES dalībvalstīm</w:t>
        </w:r>
        <w:r w:rsidR="0021797A" w:rsidRPr="00B302C0">
          <w:rPr>
            <w:webHidden/>
          </w:rPr>
          <w:tab/>
        </w:r>
        <w:r w:rsidR="0021797A" w:rsidRPr="00B302C0">
          <w:rPr>
            <w:webHidden/>
          </w:rPr>
          <w:fldChar w:fldCharType="begin"/>
        </w:r>
        <w:r w:rsidR="0021797A" w:rsidRPr="00B302C0">
          <w:rPr>
            <w:webHidden/>
          </w:rPr>
          <w:instrText xml:space="preserve"> PAGEREF _Toc340241700 \h </w:instrText>
        </w:r>
        <w:r w:rsidR="0021797A" w:rsidRPr="00B302C0">
          <w:rPr>
            <w:webHidden/>
          </w:rPr>
        </w:r>
        <w:r w:rsidR="0021797A" w:rsidRPr="00B302C0">
          <w:rPr>
            <w:webHidden/>
          </w:rPr>
          <w:fldChar w:fldCharType="separate"/>
        </w:r>
        <w:r w:rsidR="00BA4562">
          <w:rPr>
            <w:webHidden/>
          </w:rPr>
          <w:t>57</w:t>
        </w:r>
        <w:r w:rsidR="0021797A" w:rsidRPr="00B302C0">
          <w:rPr>
            <w:webHidden/>
          </w:rPr>
          <w:fldChar w:fldCharType="end"/>
        </w:r>
      </w:hyperlink>
    </w:p>
    <w:p w:rsidR="0021797A" w:rsidRPr="00B302C0" w:rsidRDefault="00E61B97">
      <w:pPr>
        <w:pStyle w:val="TOC1"/>
        <w:rPr>
          <w:rFonts w:eastAsiaTheme="minorEastAsia"/>
          <w:b w:val="0"/>
          <w:bCs w:val="0"/>
          <w:caps w:val="0"/>
          <w:lang w:eastAsia="lv-LV"/>
        </w:rPr>
      </w:pPr>
      <w:hyperlink w:anchor="_Toc340241701" w:history="1">
        <w:r w:rsidR="0021797A" w:rsidRPr="00B302C0">
          <w:rPr>
            <w:rStyle w:val="Hyperlink"/>
            <w:rFonts w:ascii="Times New Roman" w:hAnsi="Times New Roman" w:cs="Times New Roman"/>
            <w:sz w:val="24"/>
            <w:szCs w:val="24"/>
          </w:rPr>
          <w:t>3.</w:t>
        </w:r>
        <w:r w:rsidR="0021797A" w:rsidRPr="00B302C0">
          <w:rPr>
            <w:rFonts w:eastAsiaTheme="minorEastAsia"/>
            <w:b w:val="0"/>
            <w:bCs w:val="0"/>
            <w:caps w:val="0"/>
            <w:lang w:eastAsia="lv-LV"/>
          </w:rPr>
          <w:tab/>
        </w:r>
        <w:r w:rsidR="0021797A" w:rsidRPr="00B302C0">
          <w:rPr>
            <w:rStyle w:val="Hyperlink"/>
            <w:rFonts w:ascii="Times New Roman" w:hAnsi="Times New Roman" w:cs="Times New Roman"/>
            <w:sz w:val="24"/>
            <w:szCs w:val="24"/>
          </w:rPr>
          <w:t>2004.-2006.gada plānošanas perioda ES fondu slēgšana</w:t>
        </w:r>
        <w:r w:rsidR="0021797A" w:rsidRPr="00B302C0">
          <w:rPr>
            <w:webHidden/>
          </w:rPr>
          <w:tab/>
        </w:r>
        <w:r w:rsidR="0021797A" w:rsidRPr="00B302C0">
          <w:rPr>
            <w:webHidden/>
          </w:rPr>
          <w:fldChar w:fldCharType="begin"/>
        </w:r>
        <w:r w:rsidR="0021797A" w:rsidRPr="00B302C0">
          <w:rPr>
            <w:webHidden/>
          </w:rPr>
          <w:instrText xml:space="preserve"> PAGEREF _Toc340241701 \h </w:instrText>
        </w:r>
        <w:r w:rsidR="0021797A" w:rsidRPr="00B302C0">
          <w:rPr>
            <w:webHidden/>
          </w:rPr>
        </w:r>
        <w:r w:rsidR="0021797A" w:rsidRPr="00B302C0">
          <w:rPr>
            <w:webHidden/>
          </w:rPr>
          <w:fldChar w:fldCharType="separate"/>
        </w:r>
        <w:r w:rsidR="00BA4562">
          <w:rPr>
            <w:webHidden/>
          </w:rPr>
          <w:t>58</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702" w:history="1">
        <w:r w:rsidR="0021797A" w:rsidRPr="00B302C0">
          <w:rPr>
            <w:rStyle w:val="Hyperlink"/>
            <w:rFonts w:ascii="Times New Roman" w:hAnsi="Times New Roman" w:cs="Times New Roman"/>
            <w:sz w:val="24"/>
            <w:szCs w:val="24"/>
          </w:rPr>
          <w:t>3.1.</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2004.-2006.gada plānošanas perioda KF slēgšana</w:t>
        </w:r>
        <w:r w:rsidR="0021797A" w:rsidRPr="00B302C0">
          <w:rPr>
            <w:webHidden/>
          </w:rPr>
          <w:tab/>
        </w:r>
        <w:r w:rsidR="0021797A" w:rsidRPr="00B302C0">
          <w:rPr>
            <w:webHidden/>
          </w:rPr>
          <w:fldChar w:fldCharType="begin"/>
        </w:r>
        <w:r w:rsidR="0021797A" w:rsidRPr="00B302C0">
          <w:rPr>
            <w:webHidden/>
          </w:rPr>
          <w:instrText xml:space="preserve"> PAGEREF _Toc340241702 \h </w:instrText>
        </w:r>
        <w:r w:rsidR="0021797A" w:rsidRPr="00B302C0">
          <w:rPr>
            <w:webHidden/>
          </w:rPr>
        </w:r>
        <w:r w:rsidR="0021797A" w:rsidRPr="00B302C0">
          <w:rPr>
            <w:webHidden/>
          </w:rPr>
          <w:fldChar w:fldCharType="separate"/>
        </w:r>
        <w:r w:rsidR="00BA4562">
          <w:rPr>
            <w:webHidden/>
          </w:rPr>
          <w:t>58</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703" w:history="1">
        <w:r w:rsidR="0021797A" w:rsidRPr="00B302C0">
          <w:rPr>
            <w:rStyle w:val="Hyperlink"/>
            <w:rFonts w:ascii="Times New Roman" w:hAnsi="Times New Roman" w:cs="Times New Roman"/>
            <w:sz w:val="24"/>
            <w:szCs w:val="24"/>
          </w:rPr>
          <w:t>3.2.</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2004.-2006.gada plānošanas perioda ERAF slēgšana</w:t>
        </w:r>
        <w:r w:rsidR="0021797A" w:rsidRPr="00B302C0">
          <w:rPr>
            <w:webHidden/>
          </w:rPr>
          <w:tab/>
        </w:r>
        <w:r w:rsidR="0021797A" w:rsidRPr="00B302C0">
          <w:rPr>
            <w:webHidden/>
          </w:rPr>
          <w:fldChar w:fldCharType="begin"/>
        </w:r>
        <w:r w:rsidR="0021797A" w:rsidRPr="00B302C0">
          <w:rPr>
            <w:webHidden/>
          </w:rPr>
          <w:instrText xml:space="preserve"> PAGEREF _Toc340241703 \h </w:instrText>
        </w:r>
        <w:r w:rsidR="0021797A" w:rsidRPr="00B302C0">
          <w:rPr>
            <w:webHidden/>
          </w:rPr>
        </w:r>
        <w:r w:rsidR="0021797A" w:rsidRPr="00B302C0">
          <w:rPr>
            <w:webHidden/>
          </w:rPr>
          <w:fldChar w:fldCharType="separate"/>
        </w:r>
        <w:r w:rsidR="00BA4562">
          <w:rPr>
            <w:webHidden/>
          </w:rPr>
          <w:t>59</w:t>
        </w:r>
        <w:r w:rsidR="0021797A" w:rsidRPr="00B302C0">
          <w:rPr>
            <w:webHidden/>
          </w:rPr>
          <w:fldChar w:fldCharType="end"/>
        </w:r>
      </w:hyperlink>
    </w:p>
    <w:p w:rsidR="0021797A" w:rsidRPr="00B302C0" w:rsidRDefault="00E61B97">
      <w:pPr>
        <w:pStyle w:val="TOC1"/>
        <w:rPr>
          <w:rFonts w:eastAsiaTheme="minorEastAsia"/>
          <w:b w:val="0"/>
          <w:bCs w:val="0"/>
          <w:caps w:val="0"/>
          <w:lang w:eastAsia="lv-LV"/>
        </w:rPr>
      </w:pPr>
      <w:hyperlink w:anchor="_Toc340241704" w:history="1">
        <w:r w:rsidR="0021797A" w:rsidRPr="00B302C0">
          <w:rPr>
            <w:rStyle w:val="Hyperlink"/>
            <w:rFonts w:ascii="Times New Roman" w:hAnsi="Times New Roman" w:cs="Times New Roman"/>
            <w:sz w:val="24"/>
            <w:szCs w:val="24"/>
          </w:rPr>
          <w:t>4.</w:t>
        </w:r>
        <w:r w:rsidR="0021797A" w:rsidRPr="00B302C0">
          <w:rPr>
            <w:rFonts w:eastAsiaTheme="minorEastAsia"/>
            <w:b w:val="0"/>
            <w:bCs w:val="0"/>
            <w:caps w:val="0"/>
            <w:lang w:eastAsia="lv-LV"/>
          </w:rPr>
          <w:tab/>
        </w:r>
        <w:r w:rsidR="0021797A" w:rsidRPr="00B302C0">
          <w:rPr>
            <w:rStyle w:val="Hyperlink"/>
            <w:rFonts w:ascii="Times New Roman" w:hAnsi="Times New Roman" w:cs="Times New Roman"/>
            <w:sz w:val="24"/>
            <w:szCs w:val="24"/>
          </w:rPr>
          <w:t>EEZ/Norvēģijas finanšu instrumentu apguve</w:t>
        </w:r>
        <w:r w:rsidR="0021797A" w:rsidRPr="00B302C0">
          <w:rPr>
            <w:webHidden/>
          </w:rPr>
          <w:tab/>
        </w:r>
        <w:r w:rsidR="0021797A" w:rsidRPr="00B302C0">
          <w:rPr>
            <w:webHidden/>
          </w:rPr>
          <w:fldChar w:fldCharType="begin"/>
        </w:r>
        <w:r w:rsidR="0021797A" w:rsidRPr="00B302C0">
          <w:rPr>
            <w:webHidden/>
          </w:rPr>
          <w:instrText xml:space="preserve"> PAGEREF _Toc340241704 \h </w:instrText>
        </w:r>
        <w:r w:rsidR="0021797A" w:rsidRPr="00B302C0">
          <w:rPr>
            <w:webHidden/>
          </w:rPr>
        </w:r>
        <w:r w:rsidR="0021797A" w:rsidRPr="00B302C0">
          <w:rPr>
            <w:webHidden/>
          </w:rPr>
          <w:fldChar w:fldCharType="separate"/>
        </w:r>
        <w:r w:rsidR="00BA4562">
          <w:rPr>
            <w:webHidden/>
          </w:rPr>
          <w:t>60</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705" w:history="1">
        <w:r w:rsidR="0021797A" w:rsidRPr="00B302C0">
          <w:rPr>
            <w:rStyle w:val="Hyperlink"/>
            <w:rFonts w:ascii="Times New Roman" w:hAnsi="Times New Roman" w:cs="Times New Roman"/>
            <w:sz w:val="24"/>
            <w:szCs w:val="24"/>
          </w:rPr>
          <w:t>4.1.</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2004.-2009.gada periods</w:t>
        </w:r>
        <w:r w:rsidR="0021797A" w:rsidRPr="00B302C0">
          <w:rPr>
            <w:webHidden/>
          </w:rPr>
          <w:tab/>
        </w:r>
        <w:r w:rsidR="0021797A" w:rsidRPr="00B302C0">
          <w:rPr>
            <w:webHidden/>
          </w:rPr>
          <w:fldChar w:fldCharType="begin"/>
        </w:r>
        <w:r w:rsidR="0021797A" w:rsidRPr="00B302C0">
          <w:rPr>
            <w:webHidden/>
          </w:rPr>
          <w:instrText xml:space="preserve"> PAGEREF _Toc340241705 \h </w:instrText>
        </w:r>
        <w:r w:rsidR="0021797A" w:rsidRPr="00B302C0">
          <w:rPr>
            <w:webHidden/>
          </w:rPr>
        </w:r>
        <w:r w:rsidR="0021797A" w:rsidRPr="00B302C0">
          <w:rPr>
            <w:webHidden/>
          </w:rPr>
          <w:fldChar w:fldCharType="separate"/>
        </w:r>
        <w:r w:rsidR="00BA4562">
          <w:rPr>
            <w:webHidden/>
          </w:rPr>
          <w:t>60</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706" w:history="1">
        <w:r w:rsidR="0021797A" w:rsidRPr="00B302C0">
          <w:rPr>
            <w:rStyle w:val="Hyperlink"/>
            <w:rFonts w:ascii="Times New Roman" w:hAnsi="Times New Roman" w:cs="Times New Roman"/>
            <w:sz w:val="24"/>
            <w:szCs w:val="24"/>
          </w:rPr>
          <w:t>4.2.</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2009.-2014.gada periods</w:t>
        </w:r>
        <w:r w:rsidR="0021797A" w:rsidRPr="00B302C0">
          <w:rPr>
            <w:webHidden/>
          </w:rPr>
          <w:tab/>
        </w:r>
        <w:r w:rsidR="0021797A" w:rsidRPr="00B302C0">
          <w:rPr>
            <w:webHidden/>
          </w:rPr>
          <w:fldChar w:fldCharType="begin"/>
        </w:r>
        <w:r w:rsidR="0021797A" w:rsidRPr="00B302C0">
          <w:rPr>
            <w:webHidden/>
          </w:rPr>
          <w:instrText xml:space="preserve"> PAGEREF _Toc340241706 \h </w:instrText>
        </w:r>
        <w:r w:rsidR="0021797A" w:rsidRPr="00B302C0">
          <w:rPr>
            <w:webHidden/>
          </w:rPr>
        </w:r>
        <w:r w:rsidR="0021797A" w:rsidRPr="00B302C0">
          <w:rPr>
            <w:webHidden/>
          </w:rPr>
          <w:fldChar w:fldCharType="separate"/>
        </w:r>
        <w:r w:rsidR="00BA4562">
          <w:rPr>
            <w:webHidden/>
          </w:rPr>
          <w:t>61</w:t>
        </w:r>
        <w:r w:rsidR="0021797A" w:rsidRPr="00B302C0">
          <w:rPr>
            <w:webHidden/>
          </w:rPr>
          <w:fldChar w:fldCharType="end"/>
        </w:r>
      </w:hyperlink>
    </w:p>
    <w:p w:rsidR="0021797A" w:rsidRPr="00B302C0" w:rsidRDefault="00E61B97">
      <w:pPr>
        <w:pStyle w:val="TOC1"/>
        <w:rPr>
          <w:rFonts w:eastAsiaTheme="minorEastAsia"/>
          <w:b w:val="0"/>
          <w:bCs w:val="0"/>
          <w:caps w:val="0"/>
          <w:lang w:eastAsia="lv-LV"/>
        </w:rPr>
      </w:pPr>
      <w:hyperlink w:anchor="_Toc340241707" w:history="1">
        <w:r w:rsidR="0021797A" w:rsidRPr="00B302C0">
          <w:rPr>
            <w:rStyle w:val="Hyperlink"/>
            <w:rFonts w:ascii="Times New Roman" w:hAnsi="Times New Roman" w:cs="Times New Roman"/>
            <w:sz w:val="24"/>
            <w:szCs w:val="24"/>
          </w:rPr>
          <w:t>5.</w:t>
        </w:r>
        <w:r w:rsidR="0021797A" w:rsidRPr="00B302C0">
          <w:rPr>
            <w:rFonts w:eastAsiaTheme="minorEastAsia"/>
            <w:b w:val="0"/>
            <w:bCs w:val="0"/>
            <w:caps w:val="0"/>
            <w:lang w:eastAsia="lv-LV"/>
          </w:rPr>
          <w:tab/>
        </w:r>
        <w:r w:rsidR="0021797A" w:rsidRPr="00B302C0">
          <w:rPr>
            <w:rStyle w:val="Hyperlink"/>
            <w:rFonts w:ascii="Times New Roman" w:hAnsi="Times New Roman" w:cs="Times New Roman"/>
            <w:sz w:val="24"/>
            <w:szCs w:val="24"/>
          </w:rPr>
          <w:t>Šveices programmas apguve</w:t>
        </w:r>
        <w:r w:rsidR="0021797A" w:rsidRPr="00B302C0">
          <w:rPr>
            <w:webHidden/>
          </w:rPr>
          <w:tab/>
        </w:r>
        <w:r w:rsidR="0021797A" w:rsidRPr="00B302C0">
          <w:rPr>
            <w:webHidden/>
          </w:rPr>
          <w:fldChar w:fldCharType="begin"/>
        </w:r>
        <w:r w:rsidR="0021797A" w:rsidRPr="00B302C0">
          <w:rPr>
            <w:webHidden/>
          </w:rPr>
          <w:instrText xml:space="preserve"> PAGEREF _Toc340241707 \h </w:instrText>
        </w:r>
        <w:r w:rsidR="0021797A" w:rsidRPr="00B302C0">
          <w:rPr>
            <w:webHidden/>
          </w:rPr>
        </w:r>
        <w:r w:rsidR="0021797A" w:rsidRPr="00B302C0">
          <w:rPr>
            <w:webHidden/>
          </w:rPr>
          <w:fldChar w:fldCharType="separate"/>
        </w:r>
        <w:r w:rsidR="00BA4562">
          <w:rPr>
            <w:webHidden/>
          </w:rPr>
          <w:t>63</w:t>
        </w:r>
        <w:r w:rsidR="0021797A" w:rsidRPr="00B302C0">
          <w:rPr>
            <w:webHidden/>
          </w:rPr>
          <w:fldChar w:fldCharType="end"/>
        </w:r>
      </w:hyperlink>
    </w:p>
    <w:p w:rsidR="0021797A" w:rsidRPr="00B302C0" w:rsidRDefault="00E61B97">
      <w:pPr>
        <w:pStyle w:val="TOC1"/>
        <w:rPr>
          <w:rFonts w:eastAsiaTheme="minorEastAsia"/>
          <w:b w:val="0"/>
          <w:bCs w:val="0"/>
          <w:caps w:val="0"/>
          <w:lang w:eastAsia="lv-LV"/>
        </w:rPr>
      </w:pPr>
      <w:hyperlink w:anchor="_Toc340241708" w:history="1">
        <w:r w:rsidR="0021797A" w:rsidRPr="00B302C0">
          <w:rPr>
            <w:rStyle w:val="Hyperlink"/>
            <w:rFonts w:ascii="Times New Roman" w:hAnsi="Times New Roman" w:cs="Times New Roman"/>
            <w:sz w:val="24"/>
            <w:szCs w:val="24"/>
          </w:rPr>
          <w:t>6.</w:t>
        </w:r>
        <w:r w:rsidR="0021797A" w:rsidRPr="00B302C0">
          <w:rPr>
            <w:rFonts w:eastAsiaTheme="minorEastAsia"/>
            <w:b w:val="0"/>
            <w:bCs w:val="0"/>
            <w:caps w:val="0"/>
            <w:lang w:eastAsia="lv-LV"/>
          </w:rPr>
          <w:tab/>
        </w:r>
        <w:r w:rsidR="0021797A" w:rsidRPr="00B302C0">
          <w:rPr>
            <w:rStyle w:val="Hyperlink"/>
            <w:rFonts w:ascii="Times New Roman" w:hAnsi="Times New Roman" w:cs="Times New Roman"/>
            <w:sz w:val="24"/>
            <w:szCs w:val="24"/>
          </w:rPr>
          <w:t>Neatbilstības un neatbilstoši veikti izdevumi ES fondu un citu ārvalstu finanšu palīdzības līdzfinansētu projektu ietvaros</w:t>
        </w:r>
        <w:r w:rsidR="0021797A" w:rsidRPr="00B302C0">
          <w:rPr>
            <w:webHidden/>
          </w:rPr>
          <w:tab/>
        </w:r>
        <w:r w:rsidR="0021797A" w:rsidRPr="00B302C0">
          <w:rPr>
            <w:webHidden/>
          </w:rPr>
          <w:fldChar w:fldCharType="begin"/>
        </w:r>
        <w:r w:rsidR="0021797A" w:rsidRPr="00B302C0">
          <w:rPr>
            <w:webHidden/>
          </w:rPr>
          <w:instrText xml:space="preserve"> PAGEREF _Toc340241708 \h </w:instrText>
        </w:r>
        <w:r w:rsidR="0021797A" w:rsidRPr="00B302C0">
          <w:rPr>
            <w:webHidden/>
          </w:rPr>
        </w:r>
        <w:r w:rsidR="0021797A" w:rsidRPr="00B302C0">
          <w:rPr>
            <w:webHidden/>
          </w:rPr>
          <w:fldChar w:fldCharType="separate"/>
        </w:r>
        <w:r w:rsidR="00BA4562">
          <w:rPr>
            <w:webHidden/>
          </w:rPr>
          <w:t>66</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709" w:history="1">
        <w:r w:rsidR="0021797A" w:rsidRPr="00B302C0">
          <w:rPr>
            <w:rStyle w:val="Hyperlink"/>
            <w:rFonts w:ascii="Times New Roman" w:hAnsi="Times New Roman" w:cs="Times New Roman"/>
            <w:sz w:val="24"/>
            <w:szCs w:val="24"/>
          </w:rPr>
          <w:t>6.1.</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Neatbilstības un neatbilstoši veikti izdevumi ES fondu 2007.-2013.gada plānošanas periodā ES fondos</w:t>
        </w:r>
        <w:r w:rsidR="0021797A" w:rsidRPr="00B302C0">
          <w:rPr>
            <w:webHidden/>
          </w:rPr>
          <w:tab/>
        </w:r>
        <w:r w:rsidR="0021797A" w:rsidRPr="00B302C0">
          <w:rPr>
            <w:webHidden/>
          </w:rPr>
          <w:fldChar w:fldCharType="begin"/>
        </w:r>
        <w:r w:rsidR="0021797A" w:rsidRPr="00B302C0">
          <w:rPr>
            <w:webHidden/>
          </w:rPr>
          <w:instrText xml:space="preserve"> PAGEREF _Toc340241709 \h </w:instrText>
        </w:r>
        <w:r w:rsidR="0021797A" w:rsidRPr="00B302C0">
          <w:rPr>
            <w:webHidden/>
          </w:rPr>
        </w:r>
        <w:r w:rsidR="0021797A" w:rsidRPr="00B302C0">
          <w:rPr>
            <w:webHidden/>
          </w:rPr>
          <w:fldChar w:fldCharType="separate"/>
        </w:r>
        <w:r w:rsidR="00BA4562">
          <w:rPr>
            <w:webHidden/>
          </w:rPr>
          <w:t>66</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710" w:history="1">
        <w:r w:rsidR="0021797A" w:rsidRPr="00B302C0">
          <w:rPr>
            <w:rStyle w:val="Hyperlink"/>
            <w:rFonts w:ascii="Times New Roman" w:hAnsi="Times New Roman" w:cs="Times New Roman"/>
            <w:sz w:val="24"/>
            <w:szCs w:val="24"/>
          </w:rPr>
          <w:t>6.1.1.</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Neatbilstības un neatbilstoši veikti izdevumi līdz 2012.gada 30.septembrim</w:t>
        </w:r>
        <w:r w:rsidR="0021797A" w:rsidRPr="00B302C0">
          <w:rPr>
            <w:webHidden/>
          </w:rPr>
          <w:tab/>
        </w:r>
        <w:r w:rsidR="0021797A" w:rsidRPr="00B302C0">
          <w:rPr>
            <w:webHidden/>
          </w:rPr>
          <w:fldChar w:fldCharType="begin"/>
        </w:r>
        <w:r w:rsidR="0021797A" w:rsidRPr="00B302C0">
          <w:rPr>
            <w:webHidden/>
          </w:rPr>
          <w:instrText xml:space="preserve"> PAGEREF _Toc340241710 \h </w:instrText>
        </w:r>
        <w:r w:rsidR="0021797A" w:rsidRPr="00B302C0">
          <w:rPr>
            <w:webHidden/>
          </w:rPr>
        </w:r>
        <w:r w:rsidR="0021797A" w:rsidRPr="00B302C0">
          <w:rPr>
            <w:webHidden/>
          </w:rPr>
          <w:fldChar w:fldCharType="separate"/>
        </w:r>
        <w:r w:rsidR="00BA4562">
          <w:rPr>
            <w:webHidden/>
          </w:rPr>
          <w:t>66</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711" w:history="1">
        <w:r w:rsidR="0021797A" w:rsidRPr="00B302C0">
          <w:rPr>
            <w:rStyle w:val="Hyperlink"/>
            <w:rFonts w:ascii="Times New Roman" w:hAnsi="Times New Roman" w:cs="Times New Roman"/>
            <w:sz w:val="24"/>
            <w:szCs w:val="24"/>
          </w:rPr>
          <w:t>6.2.</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Konstatētie neatbilstoši veiktie izdevumi pārskata periodā (2012.gada otrajā ceturksnī) ES fondos</w:t>
        </w:r>
        <w:r w:rsidR="0021797A" w:rsidRPr="00B302C0">
          <w:rPr>
            <w:webHidden/>
          </w:rPr>
          <w:tab/>
        </w:r>
        <w:r w:rsidR="0021797A" w:rsidRPr="00B302C0">
          <w:rPr>
            <w:webHidden/>
          </w:rPr>
          <w:fldChar w:fldCharType="begin"/>
        </w:r>
        <w:r w:rsidR="0021797A" w:rsidRPr="00B302C0">
          <w:rPr>
            <w:webHidden/>
          </w:rPr>
          <w:instrText xml:space="preserve"> PAGEREF _Toc340241711 \h </w:instrText>
        </w:r>
        <w:r w:rsidR="0021797A" w:rsidRPr="00B302C0">
          <w:rPr>
            <w:webHidden/>
          </w:rPr>
        </w:r>
        <w:r w:rsidR="0021797A" w:rsidRPr="00B302C0">
          <w:rPr>
            <w:webHidden/>
          </w:rPr>
          <w:fldChar w:fldCharType="separate"/>
        </w:r>
        <w:r w:rsidR="00BA4562">
          <w:rPr>
            <w:webHidden/>
          </w:rPr>
          <w:t>69</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712" w:history="1">
        <w:r w:rsidR="0021797A" w:rsidRPr="00B302C0">
          <w:rPr>
            <w:rStyle w:val="Hyperlink"/>
            <w:rFonts w:ascii="Times New Roman" w:hAnsi="Times New Roman" w:cs="Times New Roman"/>
            <w:sz w:val="24"/>
            <w:szCs w:val="24"/>
          </w:rPr>
          <w:t>6.3.</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Neatbilstoši veikti izdevumi un zaudējumi valsts budžetam 2007. – 2013. gada plānošanas periodā ES fondos</w:t>
        </w:r>
        <w:r w:rsidR="0021797A" w:rsidRPr="00B302C0">
          <w:rPr>
            <w:webHidden/>
          </w:rPr>
          <w:tab/>
        </w:r>
        <w:r w:rsidR="0021797A" w:rsidRPr="00B302C0">
          <w:rPr>
            <w:webHidden/>
          </w:rPr>
          <w:fldChar w:fldCharType="begin"/>
        </w:r>
        <w:r w:rsidR="0021797A" w:rsidRPr="00B302C0">
          <w:rPr>
            <w:webHidden/>
          </w:rPr>
          <w:instrText xml:space="preserve"> PAGEREF _Toc340241712 \h </w:instrText>
        </w:r>
        <w:r w:rsidR="0021797A" w:rsidRPr="00B302C0">
          <w:rPr>
            <w:webHidden/>
          </w:rPr>
        </w:r>
        <w:r w:rsidR="0021797A" w:rsidRPr="00B302C0">
          <w:rPr>
            <w:webHidden/>
          </w:rPr>
          <w:fldChar w:fldCharType="separate"/>
        </w:r>
        <w:r w:rsidR="00BA4562">
          <w:rPr>
            <w:webHidden/>
          </w:rPr>
          <w:t>72</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713" w:history="1">
        <w:r w:rsidR="0021797A" w:rsidRPr="00B302C0">
          <w:rPr>
            <w:rStyle w:val="Hyperlink"/>
            <w:rFonts w:ascii="Times New Roman" w:hAnsi="Times New Roman" w:cs="Times New Roman"/>
            <w:sz w:val="24"/>
            <w:szCs w:val="24"/>
          </w:rPr>
          <w:t>6.3.1.</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Neatbilstoši veikti izdevumi un zaudējumi valsts budžetam līdz 2012.gada 30.septembrim</w:t>
        </w:r>
        <w:r w:rsidR="0021797A" w:rsidRPr="00B302C0">
          <w:rPr>
            <w:webHidden/>
          </w:rPr>
          <w:tab/>
        </w:r>
        <w:r w:rsidR="0021797A" w:rsidRPr="00B302C0">
          <w:rPr>
            <w:webHidden/>
          </w:rPr>
          <w:fldChar w:fldCharType="begin"/>
        </w:r>
        <w:r w:rsidR="0021797A" w:rsidRPr="00B302C0">
          <w:rPr>
            <w:webHidden/>
          </w:rPr>
          <w:instrText xml:space="preserve"> PAGEREF _Toc340241713 \h </w:instrText>
        </w:r>
        <w:r w:rsidR="0021797A" w:rsidRPr="00B302C0">
          <w:rPr>
            <w:webHidden/>
          </w:rPr>
        </w:r>
        <w:r w:rsidR="0021797A" w:rsidRPr="00B302C0">
          <w:rPr>
            <w:webHidden/>
          </w:rPr>
          <w:fldChar w:fldCharType="separate"/>
        </w:r>
        <w:r w:rsidR="00BA4562">
          <w:rPr>
            <w:webHidden/>
          </w:rPr>
          <w:t>72</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714" w:history="1">
        <w:r w:rsidR="0021797A" w:rsidRPr="00B302C0">
          <w:rPr>
            <w:rStyle w:val="Hyperlink"/>
            <w:rFonts w:ascii="Times New Roman" w:hAnsi="Times New Roman" w:cs="Times New Roman"/>
            <w:sz w:val="24"/>
            <w:szCs w:val="24"/>
          </w:rPr>
          <w:t>6.3.2.</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Neatbilstoši veiktie izdevumi un zaudējumi valsts budžetam pārskata periodā (2012.gada trešajā ceturksnī)</w:t>
        </w:r>
        <w:r w:rsidR="0021797A" w:rsidRPr="00B302C0">
          <w:rPr>
            <w:webHidden/>
          </w:rPr>
          <w:tab/>
        </w:r>
        <w:r w:rsidR="0021797A" w:rsidRPr="00B302C0">
          <w:rPr>
            <w:webHidden/>
          </w:rPr>
          <w:fldChar w:fldCharType="begin"/>
        </w:r>
        <w:r w:rsidR="0021797A" w:rsidRPr="00B302C0">
          <w:rPr>
            <w:webHidden/>
          </w:rPr>
          <w:instrText xml:space="preserve"> PAGEREF _Toc340241714 \h </w:instrText>
        </w:r>
        <w:r w:rsidR="0021797A" w:rsidRPr="00B302C0">
          <w:rPr>
            <w:webHidden/>
          </w:rPr>
        </w:r>
        <w:r w:rsidR="0021797A" w:rsidRPr="00B302C0">
          <w:rPr>
            <w:webHidden/>
          </w:rPr>
          <w:fldChar w:fldCharType="separate"/>
        </w:r>
        <w:r w:rsidR="00BA4562">
          <w:rPr>
            <w:webHidden/>
          </w:rPr>
          <w:t>73</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715" w:history="1">
        <w:r w:rsidR="0021797A" w:rsidRPr="00B302C0">
          <w:rPr>
            <w:rStyle w:val="Hyperlink"/>
            <w:rFonts w:ascii="Times New Roman" w:hAnsi="Times New Roman" w:cs="Times New Roman"/>
            <w:sz w:val="24"/>
            <w:szCs w:val="24"/>
          </w:rPr>
          <w:t>6.3.3.</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EEZ/Norvēģijas finanšu instrumenti</w:t>
        </w:r>
        <w:r w:rsidR="0021797A" w:rsidRPr="00B302C0">
          <w:rPr>
            <w:webHidden/>
          </w:rPr>
          <w:tab/>
        </w:r>
        <w:r w:rsidR="0021797A" w:rsidRPr="00B302C0">
          <w:rPr>
            <w:webHidden/>
          </w:rPr>
          <w:fldChar w:fldCharType="begin"/>
        </w:r>
        <w:r w:rsidR="0021797A" w:rsidRPr="00B302C0">
          <w:rPr>
            <w:webHidden/>
          </w:rPr>
          <w:instrText xml:space="preserve"> PAGEREF _Toc340241715 \h </w:instrText>
        </w:r>
        <w:r w:rsidR="0021797A" w:rsidRPr="00B302C0">
          <w:rPr>
            <w:webHidden/>
          </w:rPr>
        </w:r>
        <w:r w:rsidR="0021797A" w:rsidRPr="00B302C0">
          <w:rPr>
            <w:webHidden/>
          </w:rPr>
          <w:fldChar w:fldCharType="separate"/>
        </w:r>
        <w:r w:rsidR="00BA4562">
          <w:rPr>
            <w:webHidden/>
          </w:rPr>
          <w:t>76</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716" w:history="1">
        <w:r w:rsidR="0021797A" w:rsidRPr="00B302C0">
          <w:rPr>
            <w:rStyle w:val="Hyperlink"/>
            <w:rFonts w:ascii="Times New Roman" w:hAnsi="Times New Roman" w:cs="Times New Roman"/>
            <w:sz w:val="24"/>
            <w:szCs w:val="24"/>
          </w:rPr>
          <w:t>6.3.4.</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Šveices programma</w:t>
        </w:r>
        <w:r w:rsidR="0021797A" w:rsidRPr="00B302C0">
          <w:rPr>
            <w:webHidden/>
          </w:rPr>
          <w:tab/>
        </w:r>
        <w:r w:rsidR="0021797A" w:rsidRPr="00B302C0">
          <w:rPr>
            <w:webHidden/>
          </w:rPr>
          <w:fldChar w:fldCharType="begin"/>
        </w:r>
        <w:r w:rsidR="0021797A" w:rsidRPr="00B302C0">
          <w:rPr>
            <w:webHidden/>
          </w:rPr>
          <w:instrText xml:space="preserve"> PAGEREF _Toc340241716 \h </w:instrText>
        </w:r>
        <w:r w:rsidR="0021797A" w:rsidRPr="00B302C0">
          <w:rPr>
            <w:webHidden/>
          </w:rPr>
        </w:r>
        <w:r w:rsidR="0021797A" w:rsidRPr="00B302C0">
          <w:rPr>
            <w:webHidden/>
          </w:rPr>
          <w:fldChar w:fldCharType="separate"/>
        </w:r>
        <w:r w:rsidR="00BA4562">
          <w:rPr>
            <w:webHidden/>
          </w:rPr>
          <w:t>76</w:t>
        </w:r>
        <w:r w:rsidR="0021797A" w:rsidRPr="00B302C0">
          <w:rPr>
            <w:webHidden/>
          </w:rPr>
          <w:fldChar w:fldCharType="end"/>
        </w:r>
      </w:hyperlink>
    </w:p>
    <w:p w:rsidR="0021797A" w:rsidRPr="00B302C0" w:rsidRDefault="00E61B97">
      <w:pPr>
        <w:pStyle w:val="TOC1"/>
        <w:rPr>
          <w:rFonts w:eastAsiaTheme="minorEastAsia"/>
          <w:b w:val="0"/>
          <w:bCs w:val="0"/>
          <w:caps w:val="0"/>
          <w:lang w:eastAsia="lv-LV"/>
        </w:rPr>
      </w:pPr>
      <w:hyperlink w:anchor="_Toc340241717" w:history="1">
        <w:r w:rsidR="0021797A" w:rsidRPr="00B302C0">
          <w:rPr>
            <w:rStyle w:val="Hyperlink"/>
            <w:rFonts w:ascii="Times New Roman" w:hAnsi="Times New Roman" w:cs="Times New Roman"/>
            <w:sz w:val="24"/>
            <w:szCs w:val="24"/>
          </w:rPr>
          <w:t>7.</w:t>
        </w:r>
        <w:r w:rsidR="0021797A" w:rsidRPr="00B302C0">
          <w:rPr>
            <w:rFonts w:eastAsiaTheme="minorEastAsia"/>
            <w:b w:val="0"/>
            <w:bCs w:val="0"/>
            <w:caps w:val="0"/>
            <w:lang w:eastAsia="lv-LV"/>
          </w:rPr>
          <w:tab/>
        </w:r>
        <w:r w:rsidR="0021797A" w:rsidRPr="00B302C0">
          <w:rPr>
            <w:rStyle w:val="Hyperlink"/>
            <w:rFonts w:ascii="Times New Roman" w:hAnsi="Times New Roman" w:cs="Times New Roman"/>
            <w:sz w:val="24"/>
            <w:szCs w:val="24"/>
          </w:rPr>
          <w:t>ES fondu un citu ārvalstu finanšu palīdzības līdzfinansētu programmu vadības, kontroles un uzraudzības sistēmas darbība</w:t>
        </w:r>
        <w:r w:rsidR="0021797A" w:rsidRPr="00B302C0">
          <w:rPr>
            <w:webHidden/>
          </w:rPr>
          <w:tab/>
        </w:r>
        <w:r w:rsidR="0021797A" w:rsidRPr="00B302C0">
          <w:rPr>
            <w:webHidden/>
          </w:rPr>
          <w:fldChar w:fldCharType="begin"/>
        </w:r>
        <w:r w:rsidR="0021797A" w:rsidRPr="00B302C0">
          <w:rPr>
            <w:webHidden/>
          </w:rPr>
          <w:instrText xml:space="preserve"> PAGEREF _Toc340241717 \h </w:instrText>
        </w:r>
        <w:r w:rsidR="0021797A" w:rsidRPr="00B302C0">
          <w:rPr>
            <w:webHidden/>
          </w:rPr>
        </w:r>
        <w:r w:rsidR="0021797A" w:rsidRPr="00B302C0">
          <w:rPr>
            <w:webHidden/>
          </w:rPr>
          <w:fldChar w:fldCharType="separate"/>
        </w:r>
        <w:r w:rsidR="00BA4562">
          <w:rPr>
            <w:webHidden/>
          </w:rPr>
          <w:t>77</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718" w:history="1">
        <w:r w:rsidR="0021797A" w:rsidRPr="00B302C0">
          <w:rPr>
            <w:rStyle w:val="Hyperlink"/>
            <w:rFonts w:ascii="Times New Roman" w:hAnsi="Times New Roman" w:cs="Times New Roman"/>
            <w:sz w:val="24"/>
            <w:szCs w:val="24"/>
          </w:rPr>
          <w:t>7.1.</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Veiktie pasākumi ES fondu vadības un kontroles sistēmas pilnveidošanai</w:t>
        </w:r>
        <w:r w:rsidR="0021797A" w:rsidRPr="00B302C0">
          <w:rPr>
            <w:webHidden/>
          </w:rPr>
          <w:tab/>
        </w:r>
        <w:r w:rsidR="0021797A" w:rsidRPr="00B302C0">
          <w:rPr>
            <w:webHidden/>
          </w:rPr>
          <w:fldChar w:fldCharType="begin"/>
        </w:r>
        <w:r w:rsidR="0021797A" w:rsidRPr="00B302C0">
          <w:rPr>
            <w:webHidden/>
          </w:rPr>
          <w:instrText xml:space="preserve"> PAGEREF _Toc340241718 \h </w:instrText>
        </w:r>
        <w:r w:rsidR="0021797A" w:rsidRPr="00B302C0">
          <w:rPr>
            <w:webHidden/>
          </w:rPr>
        </w:r>
        <w:r w:rsidR="0021797A" w:rsidRPr="00B302C0">
          <w:rPr>
            <w:webHidden/>
          </w:rPr>
          <w:fldChar w:fldCharType="separate"/>
        </w:r>
        <w:r w:rsidR="00BA4562">
          <w:rPr>
            <w:webHidden/>
          </w:rPr>
          <w:t>77</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719" w:history="1">
        <w:r w:rsidR="0021797A" w:rsidRPr="00B302C0">
          <w:rPr>
            <w:rStyle w:val="Hyperlink"/>
            <w:rFonts w:ascii="Times New Roman" w:hAnsi="Times New Roman" w:cs="Times New Roman"/>
            <w:sz w:val="24"/>
            <w:szCs w:val="24"/>
          </w:rPr>
          <w:t>7.2.</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Plānotie pasākumi ES fondu vadības un kontroles sistēmas pilnveidošanai</w:t>
        </w:r>
        <w:r w:rsidR="0021797A" w:rsidRPr="00B302C0">
          <w:rPr>
            <w:webHidden/>
          </w:rPr>
          <w:tab/>
        </w:r>
        <w:r w:rsidR="0021797A" w:rsidRPr="00B302C0">
          <w:rPr>
            <w:webHidden/>
          </w:rPr>
          <w:fldChar w:fldCharType="begin"/>
        </w:r>
        <w:r w:rsidR="0021797A" w:rsidRPr="00B302C0">
          <w:rPr>
            <w:webHidden/>
          </w:rPr>
          <w:instrText xml:space="preserve"> PAGEREF _Toc340241719 \h </w:instrText>
        </w:r>
        <w:r w:rsidR="0021797A" w:rsidRPr="00B302C0">
          <w:rPr>
            <w:webHidden/>
          </w:rPr>
        </w:r>
        <w:r w:rsidR="0021797A" w:rsidRPr="00B302C0">
          <w:rPr>
            <w:webHidden/>
          </w:rPr>
          <w:fldChar w:fldCharType="separate"/>
        </w:r>
        <w:r w:rsidR="00BA4562">
          <w:rPr>
            <w:webHidden/>
          </w:rPr>
          <w:t>81</w:t>
        </w:r>
        <w:r w:rsidR="0021797A" w:rsidRPr="00B302C0">
          <w:rPr>
            <w:webHidden/>
          </w:rPr>
          <w:fldChar w:fldCharType="end"/>
        </w:r>
      </w:hyperlink>
    </w:p>
    <w:p w:rsidR="0021797A" w:rsidRPr="00B302C0" w:rsidRDefault="00E61B97">
      <w:pPr>
        <w:pStyle w:val="TOC1"/>
        <w:rPr>
          <w:rFonts w:eastAsiaTheme="minorEastAsia"/>
          <w:b w:val="0"/>
          <w:bCs w:val="0"/>
          <w:caps w:val="0"/>
          <w:lang w:eastAsia="lv-LV"/>
        </w:rPr>
      </w:pPr>
      <w:hyperlink w:anchor="_Toc340241720" w:history="1">
        <w:r w:rsidR="0021797A" w:rsidRPr="00B302C0">
          <w:rPr>
            <w:rStyle w:val="Hyperlink"/>
            <w:rFonts w:ascii="Times New Roman" w:hAnsi="Times New Roman" w:cs="Times New Roman"/>
            <w:sz w:val="24"/>
            <w:szCs w:val="24"/>
          </w:rPr>
          <w:t>8.</w:t>
        </w:r>
        <w:r w:rsidR="0021797A" w:rsidRPr="00B302C0">
          <w:rPr>
            <w:rFonts w:eastAsiaTheme="minorEastAsia"/>
            <w:b w:val="0"/>
            <w:bCs w:val="0"/>
            <w:caps w:val="0"/>
            <w:lang w:eastAsia="lv-LV"/>
          </w:rPr>
          <w:tab/>
        </w:r>
        <w:r w:rsidR="0021797A" w:rsidRPr="00B302C0">
          <w:rPr>
            <w:rStyle w:val="Hyperlink"/>
            <w:rFonts w:ascii="Times New Roman" w:hAnsi="Times New Roman" w:cs="Times New Roman"/>
            <w:sz w:val="24"/>
            <w:szCs w:val="24"/>
          </w:rPr>
          <w:t>Jaunais ES fondu 2014.-2020.gada plānošanas periods</w:t>
        </w:r>
        <w:r w:rsidR="0021797A" w:rsidRPr="00B302C0">
          <w:rPr>
            <w:webHidden/>
          </w:rPr>
          <w:tab/>
        </w:r>
        <w:r w:rsidR="0021797A" w:rsidRPr="00B302C0">
          <w:rPr>
            <w:webHidden/>
          </w:rPr>
          <w:fldChar w:fldCharType="begin"/>
        </w:r>
        <w:r w:rsidR="0021797A" w:rsidRPr="00B302C0">
          <w:rPr>
            <w:webHidden/>
          </w:rPr>
          <w:instrText xml:space="preserve"> PAGEREF _Toc340241720 \h </w:instrText>
        </w:r>
        <w:r w:rsidR="0021797A" w:rsidRPr="00B302C0">
          <w:rPr>
            <w:webHidden/>
          </w:rPr>
        </w:r>
        <w:r w:rsidR="0021797A" w:rsidRPr="00B302C0">
          <w:rPr>
            <w:webHidden/>
          </w:rPr>
          <w:fldChar w:fldCharType="separate"/>
        </w:r>
        <w:r w:rsidR="00BA4562">
          <w:rPr>
            <w:webHidden/>
          </w:rPr>
          <w:t>86</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721" w:history="1">
        <w:r w:rsidR="0021797A" w:rsidRPr="00B302C0">
          <w:rPr>
            <w:rStyle w:val="Hyperlink"/>
            <w:rFonts w:ascii="Times New Roman" w:hAnsi="Times New Roman" w:cs="Times New Roman"/>
            <w:sz w:val="24"/>
            <w:szCs w:val="24"/>
          </w:rPr>
          <w:t>8.1.</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Pārskata periodā īstenotās aktivitātes, sadarbība ar EK un citām institūcijām</w:t>
        </w:r>
        <w:r w:rsidR="0021797A" w:rsidRPr="00B302C0">
          <w:rPr>
            <w:webHidden/>
          </w:rPr>
          <w:tab/>
        </w:r>
        <w:r w:rsidR="0021797A" w:rsidRPr="00B302C0">
          <w:rPr>
            <w:webHidden/>
          </w:rPr>
          <w:fldChar w:fldCharType="begin"/>
        </w:r>
        <w:r w:rsidR="0021797A" w:rsidRPr="00B302C0">
          <w:rPr>
            <w:webHidden/>
          </w:rPr>
          <w:instrText xml:space="preserve"> PAGEREF _Toc340241721 \h </w:instrText>
        </w:r>
        <w:r w:rsidR="0021797A" w:rsidRPr="00B302C0">
          <w:rPr>
            <w:webHidden/>
          </w:rPr>
        </w:r>
        <w:r w:rsidR="0021797A" w:rsidRPr="00B302C0">
          <w:rPr>
            <w:webHidden/>
          </w:rPr>
          <w:fldChar w:fldCharType="separate"/>
        </w:r>
        <w:r w:rsidR="00BA4562">
          <w:rPr>
            <w:webHidden/>
          </w:rPr>
          <w:t>86</w:t>
        </w:r>
        <w:r w:rsidR="0021797A" w:rsidRPr="00B302C0">
          <w:rPr>
            <w:webHidden/>
          </w:rPr>
          <w:fldChar w:fldCharType="end"/>
        </w:r>
      </w:hyperlink>
    </w:p>
    <w:p w:rsidR="0021797A" w:rsidRPr="00B302C0" w:rsidRDefault="00E61B97">
      <w:pPr>
        <w:pStyle w:val="TOC2"/>
        <w:rPr>
          <w:rFonts w:eastAsiaTheme="minorEastAsia"/>
          <w:bCs w:val="0"/>
          <w:lang w:eastAsia="lv-LV"/>
        </w:rPr>
      </w:pPr>
      <w:hyperlink w:anchor="_Toc340241722" w:history="1">
        <w:r w:rsidR="0021797A" w:rsidRPr="00B302C0">
          <w:rPr>
            <w:rStyle w:val="Hyperlink"/>
            <w:rFonts w:ascii="Times New Roman" w:hAnsi="Times New Roman" w:cs="Times New Roman"/>
            <w:sz w:val="24"/>
            <w:szCs w:val="24"/>
          </w:rPr>
          <w:t>8.2.</w:t>
        </w:r>
        <w:r w:rsidR="0021797A" w:rsidRPr="00B302C0">
          <w:rPr>
            <w:rFonts w:eastAsiaTheme="minorEastAsia"/>
            <w:bCs w:val="0"/>
            <w:lang w:eastAsia="lv-LV"/>
          </w:rPr>
          <w:tab/>
        </w:r>
        <w:r w:rsidR="0021797A" w:rsidRPr="00B302C0">
          <w:rPr>
            <w:rStyle w:val="Hyperlink"/>
            <w:rFonts w:ascii="Times New Roman" w:hAnsi="Times New Roman" w:cs="Times New Roman"/>
            <w:sz w:val="24"/>
            <w:szCs w:val="24"/>
          </w:rPr>
          <w:t>Nākamā pārskata periodā plānotie pasākumi</w:t>
        </w:r>
        <w:r w:rsidR="0021797A" w:rsidRPr="00B302C0">
          <w:rPr>
            <w:webHidden/>
          </w:rPr>
          <w:tab/>
        </w:r>
        <w:r w:rsidR="0021797A" w:rsidRPr="00B302C0">
          <w:rPr>
            <w:webHidden/>
          </w:rPr>
          <w:fldChar w:fldCharType="begin"/>
        </w:r>
        <w:r w:rsidR="0021797A" w:rsidRPr="00B302C0">
          <w:rPr>
            <w:webHidden/>
          </w:rPr>
          <w:instrText xml:space="preserve"> PAGEREF _Toc340241722 \h </w:instrText>
        </w:r>
        <w:r w:rsidR="0021797A" w:rsidRPr="00B302C0">
          <w:rPr>
            <w:webHidden/>
          </w:rPr>
        </w:r>
        <w:r w:rsidR="0021797A" w:rsidRPr="00B302C0">
          <w:rPr>
            <w:webHidden/>
          </w:rPr>
          <w:fldChar w:fldCharType="separate"/>
        </w:r>
        <w:r w:rsidR="00BA4562">
          <w:rPr>
            <w:webHidden/>
          </w:rPr>
          <w:t>87</w:t>
        </w:r>
        <w:r w:rsidR="0021797A" w:rsidRPr="00B302C0">
          <w:rPr>
            <w:webHidden/>
          </w:rPr>
          <w:fldChar w:fldCharType="end"/>
        </w:r>
      </w:hyperlink>
    </w:p>
    <w:p w:rsidR="0021797A" w:rsidRPr="00B302C0" w:rsidRDefault="00E61B97">
      <w:pPr>
        <w:pStyle w:val="TOC1"/>
        <w:rPr>
          <w:rFonts w:eastAsiaTheme="minorEastAsia"/>
          <w:b w:val="0"/>
          <w:bCs w:val="0"/>
          <w:caps w:val="0"/>
          <w:lang w:eastAsia="lv-LV"/>
        </w:rPr>
      </w:pPr>
      <w:hyperlink w:anchor="_Toc340241723" w:history="1">
        <w:r w:rsidR="0021797A" w:rsidRPr="00B302C0">
          <w:rPr>
            <w:rStyle w:val="Hyperlink"/>
            <w:rFonts w:ascii="Times New Roman" w:hAnsi="Times New Roman" w:cs="Times New Roman"/>
            <w:sz w:val="24"/>
            <w:szCs w:val="24"/>
          </w:rPr>
          <w:t>9.</w:t>
        </w:r>
        <w:r w:rsidR="0021797A" w:rsidRPr="00B302C0">
          <w:rPr>
            <w:rFonts w:eastAsiaTheme="minorEastAsia"/>
            <w:b w:val="0"/>
            <w:bCs w:val="0"/>
            <w:caps w:val="0"/>
            <w:lang w:eastAsia="lv-LV"/>
          </w:rPr>
          <w:tab/>
        </w:r>
        <w:r w:rsidR="0021797A" w:rsidRPr="00B302C0">
          <w:rPr>
            <w:rStyle w:val="Hyperlink"/>
            <w:rFonts w:ascii="Times New Roman" w:hAnsi="Times New Roman" w:cs="Times New Roman"/>
            <w:sz w:val="24"/>
            <w:szCs w:val="24"/>
          </w:rPr>
          <w:t>Informācija par publicitātes pasākumiem</w:t>
        </w:r>
        <w:r w:rsidR="0021797A" w:rsidRPr="00B302C0">
          <w:rPr>
            <w:webHidden/>
          </w:rPr>
          <w:tab/>
        </w:r>
        <w:r w:rsidR="0021797A" w:rsidRPr="00B302C0">
          <w:rPr>
            <w:webHidden/>
          </w:rPr>
          <w:fldChar w:fldCharType="begin"/>
        </w:r>
        <w:r w:rsidR="0021797A" w:rsidRPr="00B302C0">
          <w:rPr>
            <w:webHidden/>
          </w:rPr>
          <w:instrText xml:space="preserve"> PAGEREF _Toc340241723 \h </w:instrText>
        </w:r>
        <w:r w:rsidR="0021797A" w:rsidRPr="00B302C0">
          <w:rPr>
            <w:webHidden/>
          </w:rPr>
        </w:r>
        <w:r w:rsidR="0021797A" w:rsidRPr="00B302C0">
          <w:rPr>
            <w:webHidden/>
          </w:rPr>
          <w:fldChar w:fldCharType="separate"/>
        </w:r>
        <w:r w:rsidR="00BA4562">
          <w:rPr>
            <w:webHidden/>
          </w:rPr>
          <w:t>88</w:t>
        </w:r>
        <w:r w:rsidR="0021797A" w:rsidRPr="00B302C0">
          <w:rPr>
            <w:webHidden/>
          </w:rPr>
          <w:fldChar w:fldCharType="end"/>
        </w:r>
      </w:hyperlink>
    </w:p>
    <w:p w:rsidR="0021797A" w:rsidRPr="00B302C0" w:rsidRDefault="00E61B97">
      <w:pPr>
        <w:pStyle w:val="TOC1"/>
        <w:rPr>
          <w:rFonts w:eastAsiaTheme="minorEastAsia"/>
          <w:b w:val="0"/>
          <w:bCs w:val="0"/>
          <w:caps w:val="0"/>
          <w:lang w:eastAsia="lv-LV"/>
        </w:rPr>
      </w:pPr>
      <w:hyperlink w:anchor="_Toc340241724" w:history="1">
        <w:r w:rsidR="0021797A" w:rsidRPr="00B302C0">
          <w:rPr>
            <w:rStyle w:val="Hyperlink"/>
            <w:rFonts w:ascii="Times New Roman" w:hAnsi="Times New Roman" w:cs="Times New Roman"/>
            <w:sz w:val="24"/>
            <w:szCs w:val="24"/>
          </w:rPr>
          <w:t>10.</w:t>
        </w:r>
        <w:r w:rsidR="0021797A" w:rsidRPr="00B302C0">
          <w:rPr>
            <w:rFonts w:eastAsiaTheme="minorEastAsia"/>
            <w:b w:val="0"/>
            <w:bCs w:val="0"/>
            <w:caps w:val="0"/>
            <w:lang w:eastAsia="lv-LV"/>
          </w:rPr>
          <w:tab/>
        </w:r>
        <w:r w:rsidR="0021797A" w:rsidRPr="00B302C0">
          <w:rPr>
            <w:rStyle w:val="Hyperlink"/>
            <w:rFonts w:ascii="Times New Roman" w:hAnsi="Times New Roman" w:cs="Times New Roman"/>
            <w:sz w:val="24"/>
            <w:szCs w:val="24"/>
          </w:rPr>
          <w:t>Secinājumi un turpmākā rīcība</w:t>
        </w:r>
        <w:r w:rsidR="0021797A" w:rsidRPr="00B302C0">
          <w:rPr>
            <w:webHidden/>
          </w:rPr>
          <w:tab/>
        </w:r>
        <w:r w:rsidR="0021797A" w:rsidRPr="00B302C0">
          <w:rPr>
            <w:webHidden/>
          </w:rPr>
          <w:fldChar w:fldCharType="begin"/>
        </w:r>
        <w:r w:rsidR="0021797A" w:rsidRPr="00B302C0">
          <w:rPr>
            <w:webHidden/>
          </w:rPr>
          <w:instrText xml:space="preserve"> PAGEREF _Toc340241724 \h </w:instrText>
        </w:r>
        <w:r w:rsidR="0021797A" w:rsidRPr="00B302C0">
          <w:rPr>
            <w:webHidden/>
          </w:rPr>
        </w:r>
        <w:r w:rsidR="0021797A" w:rsidRPr="00B302C0">
          <w:rPr>
            <w:webHidden/>
          </w:rPr>
          <w:fldChar w:fldCharType="separate"/>
        </w:r>
        <w:r w:rsidR="00BA4562">
          <w:rPr>
            <w:webHidden/>
          </w:rPr>
          <w:t>90</w:t>
        </w:r>
        <w:r w:rsidR="0021797A" w:rsidRPr="00B302C0">
          <w:rPr>
            <w:webHidden/>
          </w:rPr>
          <w:fldChar w:fldCharType="end"/>
        </w:r>
      </w:hyperlink>
    </w:p>
    <w:p w:rsidR="00135981" w:rsidRPr="008E4EA2" w:rsidRDefault="00D36275" w:rsidP="003A0029">
      <w:pPr>
        <w:tabs>
          <w:tab w:val="right" w:leader="dot" w:pos="9072"/>
        </w:tabs>
        <w:spacing w:before="120" w:after="120" w:line="276" w:lineRule="auto"/>
        <w:rPr>
          <w:bCs/>
          <w:noProof/>
          <w:color w:val="000000" w:themeColor="text1"/>
          <w:szCs w:val="24"/>
        </w:rPr>
      </w:pPr>
      <w:r w:rsidRPr="00B302C0">
        <w:rPr>
          <w:bCs/>
          <w:caps/>
          <w:color w:val="000000" w:themeColor="text1"/>
          <w:szCs w:val="24"/>
          <w:highlight w:val="yellow"/>
        </w:rPr>
        <w:fldChar w:fldCharType="end"/>
      </w:r>
      <w:r w:rsidR="00135981" w:rsidRPr="008E4EA2">
        <w:rPr>
          <w:bCs/>
          <w:noProof/>
          <w:color w:val="000000" w:themeColor="text1"/>
          <w:szCs w:val="24"/>
        </w:rPr>
        <w:t>PIELIKUMI:</w:t>
      </w:r>
    </w:p>
    <w:p w:rsidR="004646A5" w:rsidRPr="008E4EA2" w:rsidRDefault="004646A5" w:rsidP="003A0029">
      <w:pPr>
        <w:pStyle w:val="ListParagraph"/>
        <w:numPr>
          <w:ilvl w:val="0"/>
          <w:numId w:val="7"/>
        </w:numPr>
        <w:spacing w:before="120" w:after="120"/>
        <w:ind w:left="426"/>
        <w:jc w:val="both"/>
        <w:rPr>
          <w:rFonts w:ascii="Times New Roman" w:hAnsi="Times New Roman"/>
          <w:color w:val="000000" w:themeColor="text1"/>
          <w:sz w:val="24"/>
          <w:szCs w:val="24"/>
        </w:rPr>
      </w:pPr>
      <w:r w:rsidRPr="008E4EA2">
        <w:rPr>
          <w:rFonts w:ascii="Times New Roman" w:hAnsi="Times New Roman"/>
          <w:color w:val="000000" w:themeColor="text1"/>
          <w:sz w:val="24"/>
          <w:szCs w:val="24"/>
        </w:rPr>
        <w:t>pielikums informatīvajam ziņojumam „2007</w:t>
      </w:r>
      <w:r w:rsidR="002B2547" w:rsidRPr="008E4EA2">
        <w:rPr>
          <w:rFonts w:ascii="Times New Roman" w:hAnsi="Times New Roman"/>
          <w:color w:val="000000" w:themeColor="text1"/>
          <w:sz w:val="24"/>
          <w:szCs w:val="24"/>
        </w:rPr>
        <w:t xml:space="preserve">. – </w:t>
      </w:r>
      <w:r w:rsidRPr="008E4EA2">
        <w:rPr>
          <w:rFonts w:ascii="Times New Roman" w:hAnsi="Times New Roman"/>
          <w:color w:val="000000" w:themeColor="text1"/>
          <w:sz w:val="24"/>
          <w:szCs w:val="24"/>
        </w:rPr>
        <w:t xml:space="preserve">2013.gada plānošanas perioda ES fondu </w:t>
      </w:r>
      <w:r w:rsidR="00805B03" w:rsidRPr="008E4EA2">
        <w:rPr>
          <w:rFonts w:ascii="Times New Roman" w:hAnsi="Times New Roman"/>
          <w:color w:val="000000" w:themeColor="text1"/>
          <w:sz w:val="24"/>
          <w:szCs w:val="24"/>
        </w:rPr>
        <w:t xml:space="preserve">apguve </w:t>
      </w:r>
      <w:r w:rsidR="006C442D" w:rsidRPr="008E4EA2">
        <w:rPr>
          <w:rFonts w:ascii="Times New Roman" w:hAnsi="Times New Roman"/>
          <w:color w:val="000000" w:themeColor="text1"/>
          <w:sz w:val="24"/>
          <w:szCs w:val="24"/>
        </w:rPr>
        <w:t xml:space="preserve">prioritāšu līmenī </w:t>
      </w:r>
      <w:r w:rsidR="00805B03" w:rsidRPr="008E4EA2">
        <w:rPr>
          <w:rFonts w:ascii="Times New Roman" w:hAnsi="Times New Roman"/>
          <w:color w:val="000000" w:themeColor="text1"/>
          <w:sz w:val="24"/>
          <w:szCs w:val="24"/>
        </w:rPr>
        <w:t>līdz 2012.gada 30</w:t>
      </w:r>
      <w:r w:rsidRPr="008E4EA2">
        <w:rPr>
          <w:rFonts w:ascii="Times New Roman" w:hAnsi="Times New Roman"/>
          <w:color w:val="000000" w:themeColor="text1"/>
          <w:sz w:val="24"/>
          <w:szCs w:val="24"/>
        </w:rPr>
        <w:t>.</w:t>
      </w:r>
      <w:r w:rsidR="00840018" w:rsidRPr="008E4EA2">
        <w:rPr>
          <w:rFonts w:ascii="Times New Roman" w:hAnsi="Times New Roman"/>
          <w:color w:val="000000" w:themeColor="text1"/>
          <w:sz w:val="24"/>
          <w:szCs w:val="24"/>
        </w:rPr>
        <w:t>septembrim</w:t>
      </w:r>
      <w:r w:rsidRPr="008E4EA2">
        <w:rPr>
          <w:rFonts w:ascii="Times New Roman" w:hAnsi="Times New Roman"/>
          <w:color w:val="000000" w:themeColor="text1"/>
          <w:sz w:val="24"/>
          <w:szCs w:val="24"/>
        </w:rPr>
        <w:t>”;</w:t>
      </w:r>
    </w:p>
    <w:p w:rsidR="0050326E" w:rsidRPr="008E4EA2" w:rsidRDefault="00A75F7E" w:rsidP="003A0029">
      <w:pPr>
        <w:pStyle w:val="ListParagraph"/>
        <w:numPr>
          <w:ilvl w:val="0"/>
          <w:numId w:val="7"/>
        </w:numPr>
        <w:spacing w:before="120" w:after="120"/>
        <w:ind w:left="426"/>
        <w:jc w:val="both"/>
        <w:rPr>
          <w:rFonts w:ascii="Times New Roman" w:hAnsi="Times New Roman"/>
          <w:color w:val="000000" w:themeColor="text1"/>
          <w:sz w:val="24"/>
          <w:szCs w:val="24"/>
        </w:rPr>
      </w:pPr>
      <w:r w:rsidRPr="008E4EA2">
        <w:rPr>
          <w:rFonts w:ascii="Times New Roman" w:hAnsi="Times New Roman"/>
          <w:color w:val="000000" w:themeColor="text1"/>
          <w:sz w:val="24"/>
          <w:szCs w:val="24"/>
        </w:rPr>
        <w:t>pielikums informatīvajam ziņojumam „</w:t>
      </w:r>
      <w:proofErr w:type="spellStart"/>
      <w:r w:rsidR="002B2547" w:rsidRPr="008E4EA2">
        <w:rPr>
          <w:rFonts w:ascii="Times New Roman" w:hAnsi="Times New Roman"/>
          <w:color w:val="000000" w:themeColor="text1"/>
          <w:sz w:val="24"/>
          <w:szCs w:val="24"/>
        </w:rPr>
        <w:t>Virssaistību</w:t>
      </w:r>
      <w:proofErr w:type="spellEnd"/>
      <w:r w:rsidR="002B2547" w:rsidRPr="008E4EA2">
        <w:rPr>
          <w:rFonts w:ascii="Times New Roman" w:hAnsi="Times New Roman"/>
          <w:color w:val="000000" w:themeColor="text1"/>
          <w:sz w:val="24"/>
          <w:szCs w:val="24"/>
        </w:rPr>
        <w:t xml:space="preserve"> iespējas 2007. – </w:t>
      </w:r>
      <w:r w:rsidR="00B15554" w:rsidRPr="008E4EA2">
        <w:rPr>
          <w:rFonts w:ascii="Times New Roman" w:hAnsi="Times New Roman"/>
          <w:color w:val="000000" w:themeColor="text1"/>
          <w:sz w:val="24"/>
          <w:szCs w:val="24"/>
        </w:rPr>
        <w:t>2013.gada plānošanas perioda ES fondu projektos dalījumā pa ceturkšņiem un gadiem (</w:t>
      </w:r>
      <w:r w:rsidR="00083C6A">
        <w:rPr>
          <w:rFonts w:ascii="Times New Roman" w:hAnsi="Times New Roman"/>
          <w:color w:val="000000" w:themeColor="text1"/>
          <w:sz w:val="24"/>
          <w:szCs w:val="24"/>
        </w:rPr>
        <w:t>latos</w:t>
      </w:r>
      <w:r w:rsidR="00B15554" w:rsidRPr="008E4EA2">
        <w:rPr>
          <w:rFonts w:ascii="Times New Roman" w:hAnsi="Times New Roman"/>
          <w:color w:val="000000" w:themeColor="text1"/>
          <w:sz w:val="24"/>
          <w:szCs w:val="24"/>
        </w:rPr>
        <w:t>), kumulatīvi gada ietvaros</w:t>
      </w:r>
      <w:r w:rsidRPr="008E4EA2">
        <w:rPr>
          <w:rFonts w:ascii="Times New Roman" w:hAnsi="Times New Roman"/>
          <w:color w:val="000000" w:themeColor="text1"/>
          <w:sz w:val="24"/>
          <w:szCs w:val="24"/>
        </w:rPr>
        <w:t>”</w:t>
      </w:r>
      <w:r w:rsidR="001301E7" w:rsidRPr="008E4EA2">
        <w:rPr>
          <w:rFonts w:ascii="Times New Roman" w:hAnsi="Times New Roman"/>
          <w:color w:val="000000" w:themeColor="text1"/>
          <w:sz w:val="24"/>
          <w:szCs w:val="24"/>
        </w:rPr>
        <w:t>;</w:t>
      </w:r>
    </w:p>
    <w:p w:rsidR="004646A5" w:rsidRPr="008E4EA2" w:rsidRDefault="001301E7" w:rsidP="003A0029">
      <w:pPr>
        <w:pStyle w:val="ListParagraph"/>
        <w:numPr>
          <w:ilvl w:val="0"/>
          <w:numId w:val="7"/>
        </w:numPr>
        <w:spacing w:before="120" w:after="120"/>
        <w:ind w:left="426"/>
        <w:jc w:val="both"/>
        <w:rPr>
          <w:rFonts w:ascii="Times New Roman" w:hAnsi="Times New Roman"/>
          <w:color w:val="000000" w:themeColor="text1"/>
          <w:sz w:val="24"/>
          <w:szCs w:val="24"/>
        </w:rPr>
      </w:pPr>
      <w:r w:rsidRPr="008E4EA2">
        <w:rPr>
          <w:rFonts w:ascii="Times New Roman" w:hAnsi="Times New Roman"/>
          <w:color w:val="000000" w:themeColor="text1"/>
          <w:sz w:val="24"/>
          <w:szCs w:val="24"/>
        </w:rPr>
        <w:lastRenderedPageBreak/>
        <w:t xml:space="preserve">pielikums </w:t>
      </w:r>
      <w:r w:rsidR="004646A5" w:rsidRPr="008E4EA2">
        <w:rPr>
          <w:rFonts w:ascii="Times New Roman" w:hAnsi="Times New Roman"/>
          <w:color w:val="000000" w:themeColor="text1"/>
          <w:sz w:val="24"/>
          <w:szCs w:val="24"/>
        </w:rPr>
        <w:t>informatīvajam ziņojumam „</w:t>
      </w:r>
      <w:r w:rsidR="00A53A2A" w:rsidRPr="008E4EA2">
        <w:rPr>
          <w:rFonts w:ascii="Times New Roman" w:hAnsi="Times New Roman"/>
          <w:color w:val="000000" w:themeColor="text1"/>
          <w:sz w:val="24"/>
          <w:szCs w:val="24"/>
        </w:rPr>
        <w:t>Informācija par neatbilstībām un</w:t>
      </w:r>
      <w:r w:rsidR="00B60822" w:rsidRPr="008E4EA2">
        <w:rPr>
          <w:rFonts w:ascii="Times New Roman" w:hAnsi="Times New Roman"/>
          <w:color w:val="000000" w:themeColor="text1"/>
          <w:sz w:val="24"/>
          <w:szCs w:val="24"/>
        </w:rPr>
        <w:t xml:space="preserve"> </w:t>
      </w:r>
      <w:r w:rsidR="00A53A2A" w:rsidRPr="008E4EA2">
        <w:rPr>
          <w:rFonts w:ascii="Times New Roman" w:hAnsi="Times New Roman"/>
          <w:color w:val="000000" w:themeColor="text1"/>
          <w:sz w:val="24"/>
          <w:szCs w:val="24"/>
        </w:rPr>
        <w:t xml:space="preserve">neatbilstoši veiktiem izdevumiem un atgūtiem </w:t>
      </w:r>
      <w:r w:rsidR="00D103D9" w:rsidRPr="008E4EA2">
        <w:rPr>
          <w:rFonts w:ascii="Times New Roman" w:hAnsi="Times New Roman"/>
          <w:color w:val="000000" w:themeColor="text1"/>
          <w:sz w:val="24"/>
          <w:szCs w:val="24"/>
        </w:rPr>
        <w:t>maksājumiem</w:t>
      </w:r>
      <w:r w:rsidR="00A53A2A" w:rsidRPr="008E4EA2">
        <w:rPr>
          <w:rFonts w:ascii="Times New Roman" w:hAnsi="Times New Roman"/>
          <w:color w:val="000000" w:themeColor="text1"/>
          <w:sz w:val="24"/>
          <w:szCs w:val="24"/>
        </w:rPr>
        <w:t xml:space="preserve"> uz 2012.gada 30.septembri, latos (neieskaitot maksātnespējas gadījumus) (pārskati veidoti 08.10.2012.)</w:t>
      </w:r>
      <w:r w:rsidR="004646A5" w:rsidRPr="008E4EA2">
        <w:rPr>
          <w:rFonts w:ascii="Times New Roman" w:hAnsi="Times New Roman"/>
          <w:color w:val="000000" w:themeColor="text1"/>
          <w:sz w:val="24"/>
          <w:szCs w:val="24"/>
        </w:rPr>
        <w:t>”;</w:t>
      </w:r>
    </w:p>
    <w:p w:rsidR="004646A5" w:rsidRPr="008E4EA2" w:rsidRDefault="004646A5" w:rsidP="003A0029">
      <w:pPr>
        <w:pStyle w:val="ListParagraph"/>
        <w:numPr>
          <w:ilvl w:val="0"/>
          <w:numId w:val="7"/>
        </w:numPr>
        <w:spacing w:before="120" w:after="120"/>
        <w:ind w:left="426"/>
        <w:jc w:val="both"/>
        <w:rPr>
          <w:rFonts w:ascii="Times New Roman" w:hAnsi="Times New Roman"/>
          <w:color w:val="000000" w:themeColor="text1"/>
          <w:sz w:val="24"/>
          <w:szCs w:val="24"/>
        </w:rPr>
      </w:pPr>
      <w:r w:rsidRPr="008E4EA2">
        <w:rPr>
          <w:rFonts w:ascii="Times New Roman" w:hAnsi="Times New Roman"/>
          <w:color w:val="000000" w:themeColor="text1"/>
          <w:sz w:val="24"/>
          <w:szCs w:val="24"/>
        </w:rPr>
        <w:t>pielikums informatīvajam ziņojumam „</w:t>
      </w:r>
      <w:r w:rsidR="00A53A2A" w:rsidRPr="008E4EA2">
        <w:rPr>
          <w:rFonts w:ascii="Times New Roman" w:hAnsi="Times New Roman"/>
          <w:color w:val="000000" w:themeColor="text1"/>
          <w:sz w:val="24"/>
          <w:szCs w:val="24"/>
        </w:rPr>
        <w:t>Tiešās vai pastarpinātās valsts pārvaldes iestādes, atvasinātas publiskas personas vai citas valsts iestādes īstenotajos projektos konstatētie neatbilstoši veiktie izdevumi pārskata periodā (ceturksnī) (pārskati veidoti 08.10.2012.)</w:t>
      </w:r>
      <w:r w:rsidRPr="008E4EA2">
        <w:rPr>
          <w:rFonts w:ascii="Times New Roman" w:hAnsi="Times New Roman"/>
          <w:color w:val="000000" w:themeColor="text1"/>
          <w:sz w:val="24"/>
          <w:szCs w:val="24"/>
        </w:rPr>
        <w:t>”;</w:t>
      </w:r>
    </w:p>
    <w:p w:rsidR="004646A5" w:rsidRDefault="004646A5" w:rsidP="003A0029">
      <w:pPr>
        <w:pStyle w:val="ListParagraph"/>
        <w:numPr>
          <w:ilvl w:val="0"/>
          <w:numId w:val="7"/>
        </w:numPr>
        <w:spacing w:before="120" w:after="120"/>
        <w:ind w:left="426"/>
        <w:jc w:val="both"/>
        <w:rPr>
          <w:rFonts w:ascii="Times New Roman" w:hAnsi="Times New Roman"/>
          <w:color w:val="000000" w:themeColor="text1"/>
          <w:sz w:val="24"/>
          <w:szCs w:val="24"/>
        </w:rPr>
      </w:pPr>
      <w:r w:rsidRPr="008E4EA2">
        <w:rPr>
          <w:rFonts w:ascii="Times New Roman" w:hAnsi="Times New Roman"/>
          <w:color w:val="000000" w:themeColor="text1"/>
          <w:sz w:val="24"/>
          <w:szCs w:val="24"/>
        </w:rPr>
        <w:t>pielikums informatīvajam ziņojumam „</w:t>
      </w:r>
      <w:r w:rsidR="00A53A2A" w:rsidRPr="008E4EA2">
        <w:rPr>
          <w:rFonts w:ascii="Times New Roman" w:hAnsi="Times New Roman"/>
          <w:color w:val="000000" w:themeColor="text1"/>
          <w:sz w:val="24"/>
          <w:szCs w:val="24"/>
        </w:rPr>
        <w:t>Informācija par aktivitātēm, kurās neatbilst</w:t>
      </w:r>
      <w:r w:rsidR="00D103D9" w:rsidRPr="008E4EA2">
        <w:rPr>
          <w:rFonts w:ascii="Times New Roman" w:hAnsi="Times New Roman"/>
          <w:color w:val="000000" w:themeColor="text1"/>
          <w:sz w:val="24"/>
          <w:szCs w:val="24"/>
        </w:rPr>
        <w:t>oši veikto izdevumu</w:t>
      </w:r>
      <w:r w:rsidR="00A53A2A" w:rsidRPr="008E4EA2">
        <w:rPr>
          <w:rFonts w:ascii="Times New Roman" w:hAnsi="Times New Roman"/>
          <w:color w:val="000000" w:themeColor="text1"/>
          <w:sz w:val="24"/>
          <w:szCs w:val="24"/>
        </w:rPr>
        <w:t xml:space="preserve"> apjoms pret aktivitātē iesniegtajiem maksājumu pieprasījumiem līdz 2012.gada 30.septembrim</w:t>
      </w:r>
      <w:r w:rsidR="00B934D0">
        <w:rPr>
          <w:rFonts w:ascii="Times New Roman" w:hAnsi="Times New Roman"/>
          <w:color w:val="000000" w:themeColor="text1"/>
          <w:sz w:val="24"/>
          <w:szCs w:val="24"/>
        </w:rPr>
        <w:t xml:space="preserve"> pārsniedz 2% būtiskuma līmeni”;</w:t>
      </w:r>
    </w:p>
    <w:p w:rsidR="00B934D0" w:rsidRPr="008E4EA2" w:rsidRDefault="00B934D0" w:rsidP="003A0029">
      <w:pPr>
        <w:pStyle w:val="ListParagraph"/>
        <w:numPr>
          <w:ilvl w:val="0"/>
          <w:numId w:val="7"/>
        </w:numPr>
        <w:spacing w:before="120" w:after="120"/>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pielikums informatīvajam ziņojumam „</w:t>
      </w:r>
      <w:r w:rsidRPr="00B934D0">
        <w:rPr>
          <w:rFonts w:ascii="Times New Roman" w:hAnsi="Times New Roman"/>
          <w:color w:val="000000" w:themeColor="text1"/>
          <w:sz w:val="24"/>
          <w:szCs w:val="24"/>
        </w:rPr>
        <w:t>EEZ un Norvēģijas finanšu instrumentu (FI) 2009.- 2014.gada perioda programmas”</w:t>
      </w:r>
      <w:r>
        <w:rPr>
          <w:rFonts w:ascii="Times New Roman" w:hAnsi="Times New Roman"/>
          <w:color w:val="000000" w:themeColor="text1"/>
          <w:sz w:val="24"/>
          <w:szCs w:val="24"/>
        </w:rPr>
        <w:t>.</w:t>
      </w:r>
    </w:p>
    <w:p w:rsidR="00C30A01" w:rsidRPr="008E4EA2" w:rsidRDefault="00F770EA" w:rsidP="0060341A">
      <w:pPr>
        <w:pStyle w:val="ListParagraph"/>
        <w:spacing w:before="120" w:after="120"/>
        <w:ind w:left="426"/>
        <w:jc w:val="both"/>
        <w:rPr>
          <w:rFonts w:ascii="Times New Roman" w:hAnsi="Times New Roman"/>
          <w:color w:val="000000" w:themeColor="text1"/>
          <w:sz w:val="24"/>
          <w:szCs w:val="24"/>
        </w:rPr>
      </w:pPr>
      <w:r w:rsidRPr="00B934D0">
        <w:rPr>
          <w:rFonts w:ascii="Times New Roman" w:hAnsi="Times New Roman"/>
          <w:color w:val="000000" w:themeColor="text1"/>
          <w:sz w:val="24"/>
          <w:szCs w:val="24"/>
        </w:rPr>
        <w:br w:type="page"/>
      </w:r>
      <w:r w:rsidR="00C30A01" w:rsidRPr="008E4EA2">
        <w:rPr>
          <w:rFonts w:ascii="Times New Roman" w:hAnsi="Times New Roman"/>
          <w:b/>
          <w:color w:val="000000" w:themeColor="text1"/>
          <w:sz w:val="24"/>
          <w:szCs w:val="24"/>
        </w:rPr>
        <w:lastRenderedPageBreak/>
        <w:t>Saīsinājumi</w:t>
      </w:r>
    </w:p>
    <w:p w:rsidR="004560E9" w:rsidRPr="008E4EA2" w:rsidRDefault="004560E9" w:rsidP="003A0029">
      <w:pPr>
        <w:tabs>
          <w:tab w:val="left" w:pos="1276"/>
          <w:tab w:val="left" w:pos="1418"/>
          <w:tab w:val="left" w:pos="2127"/>
        </w:tabs>
        <w:spacing w:line="276" w:lineRule="auto"/>
        <w:rPr>
          <w:color w:val="000000" w:themeColor="text1"/>
          <w:szCs w:val="24"/>
        </w:rPr>
      </w:pPr>
      <w:r w:rsidRPr="008E4EA2">
        <w:rPr>
          <w:color w:val="000000" w:themeColor="text1"/>
          <w:szCs w:val="24"/>
        </w:rPr>
        <w:t>AI</w:t>
      </w:r>
      <w:r w:rsidRPr="008E4EA2">
        <w:rPr>
          <w:color w:val="000000" w:themeColor="text1"/>
          <w:szCs w:val="24"/>
        </w:rPr>
        <w:tab/>
        <w:t xml:space="preserve">- </w:t>
      </w:r>
      <w:r w:rsidRPr="008E4EA2">
        <w:rPr>
          <w:color w:val="000000" w:themeColor="text1"/>
          <w:szCs w:val="24"/>
        </w:rPr>
        <w:tab/>
      </w:r>
      <w:r w:rsidRPr="008E4EA2">
        <w:rPr>
          <w:color w:val="000000" w:themeColor="text1"/>
          <w:szCs w:val="24"/>
        </w:rPr>
        <w:tab/>
      </w:r>
      <w:r w:rsidR="00931663" w:rsidRPr="008E4EA2">
        <w:rPr>
          <w:color w:val="000000" w:themeColor="text1"/>
          <w:szCs w:val="24"/>
        </w:rPr>
        <w:t>ES fondu a</w:t>
      </w:r>
      <w:r w:rsidRPr="008E4EA2">
        <w:rPr>
          <w:color w:val="000000" w:themeColor="text1"/>
          <w:szCs w:val="24"/>
        </w:rPr>
        <w:t>tbildīgā iestāde</w:t>
      </w:r>
    </w:p>
    <w:p w:rsidR="003217DB" w:rsidRPr="008E4EA2" w:rsidRDefault="003217DB" w:rsidP="003A0029">
      <w:pPr>
        <w:tabs>
          <w:tab w:val="left" w:pos="1276"/>
          <w:tab w:val="left" w:pos="1418"/>
          <w:tab w:val="left" w:pos="2127"/>
        </w:tabs>
        <w:spacing w:line="276" w:lineRule="auto"/>
        <w:rPr>
          <w:color w:val="000000" w:themeColor="text1"/>
          <w:szCs w:val="24"/>
        </w:rPr>
      </w:pPr>
      <w:r w:rsidRPr="008E4EA2">
        <w:rPr>
          <w:color w:val="000000" w:themeColor="text1"/>
          <w:szCs w:val="24"/>
        </w:rPr>
        <w:t>AS</w:t>
      </w:r>
      <w:r w:rsidRPr="008E4EA2">
        <w:rPr>
          <w:color w:val="000000" w:themeColor="text1"/>
          <w:szCs w:val="24"/>
        </w:rPr>
        <w:tab/>
        <w:t>-</w:t>
      </w:r>
      <w:r w:rsidRPr="008E4EA2">
        <w:rPr>
          <w:color w:val="000000" w:themeColor="text1"/>
          <w:szCs w:val="24"/>
        </w:rPr>
        <w:tab/>
      </w:r>
      <w:r w:rsidRPr="008E4EA2">
        <w:rPr>
          <w:color w:val="000000" w:themeColor="text1"/>
          <w:szCs w:val="24"/>
        </w:rPr>
        <w:tab/>
        <w:t>Akciju sabiedrība</w:t>
      </w:r>
    </w:p>
    <w:p w:rsidR="00FC7211" w:rsidRPr="008E4EA2" w:rsidRDefault="00FC7211" w:rsidP="003A0029">
      <w:pPr>
        <w:tabs>
          <w:tab w:val="left" w:pos="1276"/>
          <w:tab w:val="left" w:pos="1418"/>
          <w:tab w:val="left" w:pos="2127"/>
        </w:tabs>
        <w:spacing w:line="276" w:lineRule="auto"/>
        <w:rPr>
          <w:color w:val="000000" w:themeColor="text1"/>
          <w:szCs w:val="24"/>
        </w:rPr>
      </w:pPr>
      <w:r w:rsidRPr="008E4EA2">
        <w:rPr>
          <w:color w:val="000000" w:themeColor="text1"/>
          <w:szCs w:val="24"/>
          <w:lang w:eastAsia="lv-LV"/>
        </w:rPr>
        <w:t>CAF</w:t>
      </w:r>
      <w:r w:rsidRPr="008E4EA2">
        <w:rPr>
          <w:color w:val="000000" w:themeColor="text1"/>
          <w:szCs w:val="24"/>
          <w:lang w:eastAsia="lv-LV"/>
        </w:rPr>
        <w:tab/>
        <w:t>-</w:t>
      </w:r>
      <w:r w:rsidRPr="008E4EA2">
        <w:rPr>
          <w:color w:val="000000" w:themeColor="text1"/>
          <w:szCs w:val="24"/>
          <w:lang w:eastAsia="lv-LV"/>
        </w:rPr>
        <w:tab/>
      </w:r>
      <w:r w:rsidRPr="008E4EA2">
        <w:rPr>
          <w:color w:val="000000" w:themeColor="text1"/>
          <w:szCs w:val="24"/>
          <w:lang w:eastAsia="lv-LV"/>
        </w:rPr>
        <w:tab/>
      </w:r>
      <w:r w:rsidR="00E15CBF" w:rsidRPr="008E4EA2">
        <w:rPr>
          <w:color w:val="000000" w:themeColor="text1"/>
          <w:szCs w:val="24"/>
          <w:lang w:eastAsia="lv-LV"/>
        </w:rPr>
        <w:t>„</w:t>
      </w:r>
      <w:proofErr w:type="spellStart"/>
      <w:r w:rsidRPr="008E4EA2">
        <w:rPr>
          <w:color w:val="000000" w:themeColor="text1"/>
          <w:szCs w:val="24"/>
          <w:lang w:eastAsia="lv-LV"/>
        </w:rPr>
        <w:t>Construcctiones</w:t>
      </w:r>
      <w:proofErr w:type="spellEnd"/>
      <w:r w:rsidRPr="008E4EA2">
        <w:rPr>
          <w:color w:val="000000" w:themeColor="text1"/>
          <w:szCs w:val="24"/>
          <w:lang w:eastAsia="lv-LV"/>
        </w:rPr>
        <w:t xml:space="preserve"> y </w:t>
      </w:r>
      <w:proofErr w:type="spellStart"/>
      <w:r w:rsidRPr="008E4EA2">
        <w:rPr>
          <w:color w:val="000000" w:themeColor="text1"/>
          <w:szCs w:val="24"/>
          <w:lang w:eastAsia="lv-LV"/>
        </w:rPr>
        <w:t>Auxiliar</w:t>
      </w:r>
      <w:proofErr w:type="spellEnd"/>
      <w:r w:rsidRPr="008E4EA2">
        <w:rPr>
          <w:color w:val="000000" w:themeColor="text1"/>
          <w:szCs w:val="24"/>
          <w:lang w:eastAsia="lv-LV"/>
        </w:rPr>
        <w:t xml:space="preserve"> </w:t>
      </w:r>
      <w:proofErr w:type="spellStart"/>
      <w:r w:rsidRPr="008E4EA2">
        <w:rPr>
          <w:color w:val="000000" w:themeColor="text1"/>
          <w:szCs w:val="24"/>
          <w:lang w:eastAsia="lv-LV"/>
        </w:rPr>
        <w:t>de</w:t>
      </w:r>
      <w:proofErr w:type="spellEnd"/>
      <w:r w:rsidRPr="008E4EA2">
        <w:rPr>
          <w:color w:val="000000" w:themeColor="text1"/>
          <w:szCs w:val="24"/>
          <w:lang w:eastAsia="lv-LV"/>
        </w:rPr>
        <w:t xml:space="preserve"> </w:t>
      </w:r>
      <w:proofErr w:type="spellStart"/>
      <w:r w:rsidRPr="008E4EA2">
        <w:rPr>
          <w:color w:val="000000" w:themeColor="text1"/>
          <w:szCs w:val="24"/>
          <w:lang w:eastAsia="lv-LV"/>
        </w:rPr>
        <w:t>Ferrocarriles</w:t>
      </w:r>
      <w:proofErr w:type="spellEnd"/>
      <w:r w:rsidRPr="008E4EA2">
        <w:rPr>
          <w:color w:val="000000" w:themeColor="text1"/>
          <w:szCs w:val="24"/>
          <w:lang w:eastAsia="lv-LV"/>
        </w:rPr>
        <w:t xml:space="preserve"> S.A</w:t>
      </w:r>
      <w:r w:rsidR="00E15CBF" w:rsidRPr="008E4EA2">
        <w:rPr>
          <w:color w:val="000000" w:themeColor="text1"/>
          <w:szCs w:val="24"/>
          <w:lang w:eastAsia="lv-LV"/>
        </w:rPr>
        <w:t>”</w:t>
      </w:r>
    </w:p>
    <w:p w:rsidR="004560E9" w:rsidRPr="008E4EA2" w:rsidRDefault="004560E9" w:rsidP="003A0029">
      <w:pPr>
        <w:tabs>
          <w:tab w:val="left" w:pos="1276"/>
          <w:tab w:val="left" w:pos="1418"/>
          <w:tab w:val="left" w:pos="2127"/>
        </w:tabs>
        <w:spacing w:line="276" w:lineRule="auto"/>
        <w:rPr>
          <w:color w:val="000000" w:themeColor="text1"/>
          <w:szCs w:val="24"/>
        </w:rPr>
      </w:pPr>
      <w:r w:rsidRPr="008E4EA2">
        <w:rPr>
          <w:color w:val="000000" w:themeColor="text1"/>
          <w:szCs w:val="24"/>
        </w:rPr>
        <w:t>CFLA</w:t>
      </w:r>
      <w:r w:rsidRPr="008E4EA2">
        <w:rPr>
          <w:color w:val="000000" w:themeColor="text1"/>
          <w:szCs w:val="24"/>
        </w:rPr>
        <w:tab/>
        <w:t xml:space="preserve">- </w:t>
      </w:r>
      <w:r w:rsidRPr="008E4EA2">
        <w:rPr>
          <w:color w:val="000000" w:themeColor="text1"/>
          <w:szCs w:val="24"/>
        </w:rPr>
        <w:tab/>
      </w:r>
      <w:r w:rsidRPr="008E4EA2">
        <w:rPr>
          <w:color w:val="000000" w:themeColor="text1"/>
          <w:szCs w:val="24"/>
        </w:rPr>
        <w:tab/>
        <w:t>Centrālā finanšu un līgumu aģentūra</w:t>
      </w:r>
    </w:p>
    <w:p w:rsidR="0053704A" w:rsidRPr="008E4EA2" w:rsidRDefault="0053704A" w:rsidP="003A0029">
      <w:pPr>
        <w:tabs>
          <w:tab w:val="left" w:pos="1276"/>
          <w:tab w:val="left" w:pos="1418"/>
          <w:tab w:val="left" w:pos="2127"/>
        </w:tabs>
        <w:spacing w:line="276" w:lineRule="auto"/>
        <w:rPr>
          <w:bCs/>
          <w:color w:val="000000" w:themeColor="text1"/>
          <w:szCs w:val="24"/>
        </w:rPr>
      </w:pPr>
      <w:r w:rsidRPr="008E4EA2">
        <w:rPr>
          <w:color w:val="000000" w:themeColor="text1"/>
          <w:szCs w:val="24"/>
        </w:rPr>
        <w:t>DG</w:t>
      </w:r>
      <w:r w:rsidRPr="008E4EA2">
        <w:rPr>
          <w:b/>
          <w:bCs/>
          <w:color w:val="000000" w:themeColor="text1"/>
          <w:szCs w:val="24"/>
        </w:rPr>
        <w:t xml:space="preserve"> </w:t>
      </w:r>
      <w:r w:rsidRPr="008E4EA2">
        <w:rPr>
          <w:color w:val="000000" w:themeColor="text1"/>
          <w:szCs w:val="24"/>
        </w:rPr>
        <w:t>EMPL</w:t>
      </w:r>
      <w:r w:rsidRPr="008E4EA2">
        <w:rPr>
          <w:color w:val="000000" w:themeColor="text1"/>
          <w:szCs w:val="24"/>
        </w:rPr>
        <w:tab/>
        <w:t>-</w:t>
      </w:r>
      <w:r w:rsidRPr="008E4EA2">
        <w:rPr>
          <w:color w:val="000000" w:themeColor="text1"/>
          <w:szCs w:val="24"/>
        </w:rPr>
        <w:tab/>
      </w:r>
      <w:r w:rsidRPr="008E4EA2">
        <w:rPr>
          <w:color w:val="000000" w:themeColor="text1"/>
          <w:szCs w:val="24"/>
        </w:rPr>
        <w:tab/>
      </w:r>
      <w:r w:rsidRPr="008E4EA2">
        <w:rPr>
          <w:bCs/>
          <w:color w:val="000000" w:themeColor="text1"/>
          <w:szCs w:val="24"/>
        </w:rPr>
        <w:t xml:space="preserve">Eiropas Komisijas Nodarbinātības, sociālo lietu un </w:t>
      </w:r>
      <w:proofErr w:type="spellStart"/>
      <w:r w:rsidRPr="008E4EA2">
        <w:rPr>
          <w:bCs/>
          <w:color w:val="000000" w:themeColor="text1"/>
          <w:szCs w:val="24"/>
        </w:rPr>
        <w:t>iekļautības</w:t>
      </w:r>
      <w:proofErr w:type="spellEnd"/>
    </w:p>
    <w:p w:rsidR="0053704A" w:rsidRPr="008E4EA2" w:rsidRDefault="0053704A" w:rsidP="003A0029">
      <w:pPr>
        <w:tabs>
          <w:tab w:val="left" w:pos="1276"/>
          <w:tab w:val="left" w:pos="1418"/>
          <w:tab w:val="left" w:pos="2127"/>
        </w:tabs>
        <w:spacing w:line="276" w:lineRule="auto"/>
        <w:rPr>
          <w:color w:val="000000" w:themeColor="text1"/>
          <w:szCs w:val="24"/>
        </w:rPr>
      </w:pPr>
      <w:r w:rsidRPr="008E4EA2">
        <w:rPr>
          <w:bCs/>
          <w:color w:val="000000" w:themeColor="text1"/>
          <w:szCs w:val="24"/>
        </w:rPr>
        <w:tab/>
      </w:r>
      <w:r w:rsidRPr="008E4EA2">
        <w:rPr>
          <w:bCs/>
          <w:color w:val="000000" w:themeColor="text1"/>
          <w:szCs w:val="24"/>
        </w:rPr>
        <w:tab/>
      </w:r>
      <w:r w:rsidRPr="008E4EA2">
        <w:rPr>
          <w:bCs/>
          <w:color w:val="000000" w:themeColor="text1"/>
          <w:szCs w:val="24"/>
        </w:rPr>
        <w:tab/>
        <w:t>ģenerāldirektorāta</w:t>
      </w:r>
    </w:p>
    <w:p w:rsidR="004324DC" w:rsidRPr="008E4EA2" w:rsidRDefault="00DA0BE3" w:rsidP="003A0029">
      <w:pPr>
        <w:tabs>
          <w:tab w:val="left" w:pos="1276"/>
          <w:tab w:val="left" w:pos="1418"/>
          <w:tab w:val="left" w:pos="2127"/>
        </w:tabs>
        <w:spacing w:line="276" w:lineRule="auto"/>
        <w:rPr>
          <w:color w:val="000000" w:themeColor="text1"/>
          <w:szCs w:val="24"/>
        </w:rPr>
      </w:pPr>
      <w:r w:rsidRPr="008E4EA2">
        <w:rPr>
          <w:color w:val="000000" w:themeColor="text1"/>
          <w:szCs w:val="24"/>
        </w:rPr>
        <w:t>DG REGIO</w:t>
      </w:r>
      <w:r w:rsidRPr="008E4EA2">
        <w:rPr>
          <w:color w:val="000000" w:themeColor="text1"/>
          <w:szCs w:val="24"/>
        </w:rPr>
        <w:tab/>
        <w:t>-</w:t>
      </w:r>
      <w:r w:rsidRPr="008E4EA2">
        <w:rPr>
          <w:color w:val="000000" w:themeColor="text1"/>
          <w:szCs w:val="24"/>
        </w:rPr>
        <w:tab/>
      </w:r>
      <w:r w:rsidRPr="008E4EA2">
        <w:rPr>
          <w:color w:val="000000" w:themeColor="text1"/>
          <w:szCs w:val="24"/>
        </w:rPr>
        <w:tab/>
        <w:t>Eiropas k</w:t>
      </w:r>
      <w:r w:rsidR="004324DC" w:rsidRPr="008E4EA2">
        <w:rPr>
          <w:color w:val="000000" w:themeColor="text1"/>
          <w:szCs w:val="24"/>
        </w:rPr>
        <w:t xml:space="preserve">omisijas </w:t>
      </w:r>
      <w:r w:rsidR="004B35FE" w:rsidRPr="008E4EA2">
        <w:rPr>
          <w:color w:val="000000" w:themeColor="text1"/>
          <w:szCs w:val="24"/>
        </w:rPr>
        <w:t>Reģionālās</w:t>
      </w:r>
      <w:r w:rsidRPr="008E4EA2">
        <w:rPr>
          <w:color w:val="000000" w:themeColor="text1"/>
          <w:szCs w:val="24"/>
        </w:rPr>
        <w:t xml:space="preserve"> politikas ģenerāldirektorāts</w:t>
      </w:r>
    </w:p>
    <w:p w:rsidR="004560E9" w:rsidRPr="008E4EA2" w:rsidRDefault="004560E9"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EEZ</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t>Eiropas Ekonomikas zona</w:t>
      </w:r>
    </w:p>
    <w:p w:rsidR="004560E9" w:rsidRPr="008E4EA2" w:rsidRDefault="004560E9" w:rsidP="003A0029">
      <w:pPr>
        <w:tabs>
          <w:tab w:val="left" w:pos="3686"/>
          <w:tab w:val="left" w:pos="3969"/>
        </w:tabs>
        <w:spacing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EEZ/Norvēģijas finanšu instrumenti – Eiropas Ekonomikas zonas finanšu instruments un</w:t>
      </w:r>
    </w:p>
    <w:p w:rsidR="004560E9" w:rsidRPr="008E4EA2" w:rsidRDefault="004560E9" w:rsidP="003A0029">
      <w:pPr>
        <w:tabs>
          <w:tab w:val="left" w:pos="3686"/>
          <w:tab w:val="left" w:pos="3969"/>
        </w:tabs>
        <w:spacing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ab/>
        <w:t>Norvēģijas finanšu instruments</w:t>
      </w:r>
    </w:p>
    <w:p w:rsidR="00161304" w:rsidRPr="008E4EA2" w:rsidRDefault="004560E9"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EK</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t>Eiropas Komisija</w:t>
      </w:r>
    </w:p>
    <w:p w:rsidR="004560E9" w:rsidRPr="008E4EA2" w:rsidRDefault="004560E9" w:rsidP="003A0029">
      <w:pPr>
        <w:tabs>
          <w:tab w:val="left" w:pos="1276"/>
          <w:tab w:val="left" w:pos="1418"/>
          <w:tab w:val="left" w:pos="2127"/>
        </w:tabs>
        <w:spacing w:line="276" w:lineRule="auto"/>
        <w:rPr>
          <w:color w:val="000000" w:themeColor="text1"/>
          <w:szCs w:val="24"/>
          <w:lang w:eastAsia="x-none"/>
        </w:rPr>
      </w:pPr>
      <w:r w:rsidRPr="008E4EA2">
        <w:rPr>
          <w:color w:val="000000" w:themeColor="text1"/>
          <w:szCs w:val="24"/>
        </w:rPr>
        <w:t>ERAF</w:t>
      </w:r>
      <w:r w:rsidRPr="008E4EA2">
        <w:rPr>
          <w:color w:val="000000" w:themeColor="text1"/>
          <w:szCs w:val="24"/>
        </w:rPr>
        <w:tab/>
        <w:t xml:space="preserve">- </w:t>
      </w:r>
      <w:r w:rsidRPr="008E4EA2">
        <w:rPr>
          <w:color w:val="000000" w:themeColor="text1"/>
          <w:szCs w:val="24"/>
        </w:rPr>
        <w:tab/>
      </w:r>
      <w:r w:rsidRPr="008E4EA2">
        <w:rPr>
          <w:color w:val="000000" w:themeColor="text1"/>
          <w:szCs w:val="24"/>
        </w:rPr>
        <w:tab/>
      </w:r>
      <w:r w:rsidRPr="008E4EA2">
        <w:rPr>
          <w:color w:val="000000" w:themeColor="text1"/>
          <w:szCs w:val="24"/>
          <w:lang w:eastAsia="x-none"/>
        </w:rPr>
        <w:t>Eiropas Reģionālās attīstības fonds</w:t>
      </w:r>
    </w:p>
    <w:p w:rsidR="004560E9" w:rsidRPr="008E4EA2" w:rsidRDefault="004560E9" w:rsidP="003A0029">
      <w:pPr>
        <w:tabs>
          <w:tab w:val="left" w:pos="1276"/>
          <w:tab w:val="left" w:pos="1418"/>
          <w:tab w:val="left" w:pos="2127"/>
        </w:tabs>
        <w:spacing w:line="276" w:lineRule="auto"/>
        <w:rPr>
          <w:color w:val="000000" w:themeColor="text1"/>
          <w:szCs w:val="24"/>
        </w:rPr>
      </w:pPr>
      <w:r w:rsidRPr="008E4EA2">
        <w:rPr>
          <w:color w:val="000000" w:themeColor="text1"/>
          <w:szCs w:val="24"/>
        </w:rPr>
        <w:t>ES</w:t>
      </w:r>
      <w:r w:rsidRPr="008E4EA2">
        <w:rPr>
          <w:color w:val="000000" w:themeColor="text1"/>
          <w:szCs w:val="24"/>
        </w:rPr>
        <w:tab/>
        <w:t xml:space="preserve">- </w:t>
      </w:r>
      <w:r w:rsidRPr="008E4EA2">
        <w:rPr>
          <w:color w:val="000000" w:themeColor="text1"/>
          <w:szCs w:val="24"/>
        </w:rPr>
        <w:tab/>
      </w:r>
      <w:r w:rsidRPr="008E4EA2">
        <w:rPr>
          <w:color w:val="000000" w:themeColor="text1"/>
          <w:szCs w:val="24"/>
        </w:rPr>
        <w:tab/>
        <w:t>Eiropas Savienība</w:t>
      </w:r>
    </w:p>
    <w:p w:rsidR="004560E9" w:rsidRPr="008E4EA2" w:rsidRDefault="004560E9"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ESF</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t>Eiropas Sociālais fonds</w:t>
      </w:r>
    </w:p>
    <w:p w:rsidR="005458A4" w:rsidRPr="008E4EA2" w:rsidRDefault="004560E9"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color w:val="000000" w:themeColor="text1"/>
          <w:szCs w:val="24"/>
        </w:rPr>
        <w:t>ES fondi</w:t>
      </w:r>
      <w:r w:rsidRPr="008E4EA2">
        <w:rPr>
          <w:color w:val="000000" w:themeColor="text1"/>
          <w:szCs w:val="24"/>
        </w:rPr>
        <w:tab/>
        <w:t xml:space="preserve">- </w:t>
      </w:r>
      <w:r w:rsidRPr="008E4EA2">
        <w:rPr>
          <w:color w:val="000000" w:themeColor="text1"/>
          <w:szCs w:val="24"/>
        </w:rPr>
        <w:tab/>
      </w:r>
      <w:r w:rsidRPr="008E4EA2">
        <w:rPr>
          <w:color w:val="000000" w:themeColor="text1"/>
          <w:szCs w:val="24"/>
        </w:rPr>
        <w:tab/>
      </w:r>
      <w:r w:rsidRPr="008E4EA2">
        <w:rPr>
          <w:rFonts w:eastAsia="EUAlbertina-Bold-Identity-H"/>
          <w:color w:val="000000" w:themeColor="text1"/>
          <w:szCs w:val="24"/>
          <w:lang w:eastAsia="lv-LV"/>
        </w:rPr>
        <w:t xml:space="preserve">2007.-2013.g. plānošanas perioda 1.mērķa </w:t>
      </w:r>
      <w:r w:rsidR="005458A4" w:rsidRPr="008E4EA2">
        <w:rPr>
          <w:rFonts w:eastAsia="EUAlbertina-Bold-Identity-H"/>
          <w:color w:val="000000" w:themeColor="text1"/>
          <w:szCs w:val="24"/>
          <w:lang w:eastAsia="lv-LV"/>
        </w:rPr>
        <w:t>Eiropas Sociālais fonds,</w:t>
      </w:r>
    </w:p>
    <w:p w:rsidR="004560E9" w:rsidRPr="008E4EA2" w:rsidRDefault="005458A4"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r>
      <w:r w:rsidRPr="008E4EA2">
        <w:rPr>
          <w:color w:val="000000" w:themeColor="text1"/>
          <w:szCs w:val="24"/>
          <w:lang w:eastAsia="x-none"/>
        </w:rPr>
        <w:t>Eiropas Reģionālās attīstības fonds</w:t>
      </w:r>
      <w:r w:rsidRPr="008E4EA2">
        <w:rPr>
          <w:rFonts w:eastAsia="EUAlbertina-Bold-Identity-H"/>
          <w:color w:val="000000" w:themeColor="text1"/>
          <w:szCs w:val="24"/>
          <w:lang w:eastAsia="lv-LV"/>
        </w:rPr>
        <w:t xml:space="preserve"> </w:t>
      </w:r>
      <w:r w:rsidR="004560E9" w:rsidRPr="008E4EA2">
        <w:rPr>
          <w:rFonts w:eastAsia="EUAlbertina-Bold-Identity-H"/>
          <w:color w:val="000000" w:themeColor="text1"/>
          <w:szCs w:val="24"/>
          <w:lang w:eastAsia="lv-LV"/>
        </w:rPr>
        <w:t>un</w:t>
      </w:r>
      <w:r w:rsidRPr="008E4EA2">
        <w:rPr>
          <w:rFonts w:eastAsia="EUAlbertina-Bold-Identity-H"/>
          <w:color w:val="000000" w:themeColor="text1"/>
          <w:szCs w:val="24"/>
          <w:lang w:eastAsia="lv-LV"/>
        </w:rPr>
        <w:t xml:space="preserve"> </w:t>
      </w:r>
      <w:r w:rsidR="004560E9" w:rsidRPr="008E4EA2">
        <w:rPr>
          <w:rFonts w:eastAsia="EUAlbertina-Bold-Identity-H"/>
          <w:color w:val="000000" w:themeColor="text1"/>
          <w:szCs w:val="24"/>
          <w:lang w:eastAsia="lv-LV"/>
        </w:rPr>
        <w:t>Kohēzijas fonds</w:t>
      </w:r>
    </w:p>
    <w:p w:rsidR="004560E9" w:rsidRPr="008E4EA2" w:rsidRDefault="004560E9"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EM</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t>Ekonomikas ministrija</w:t>
      </w:r>
    </w:p>
    <w:p w:rsidR="004560E9" w:rsidRPr="008E4EA2" w:rsidRDefault="004560E9"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FM</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t>Finanšu ministrija</w:t>
      </w:r>
    </w:p>
    <w:p w:rsidR="002B4701" w:rsidRPr="008E4EA2" w:rsidRDefault="002B4701"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IEM</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t>Iekšlietu ministrija</w:t>
      </w:r>
    </w:p>
    <w:p w:rsidR="00D90FB0" w:rsidRPr="008E4EA2" w:rsidRDefault="00D90FB0"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IKP</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t>Iekšzemes kopprodukts</w:t>
      </w:r>
      <w:r w:rsidRPr="008E4EA2">
        <w:rPr>
          <w:rFonts w:eastAsia="EUAlbertina-Bold-Identity-H"/>
          <w:color w:val="000000" w:themeColor="text1"/>
          <w:szCs w:val="24"/>
          <w:lang w:eastAsia="lv-LV"/>
        </w:rPr>
        <w:tab/>
      </w:r>
    </w:p>
    <w:p w:rsidR="004560E9" w:rsidRPr="008E4EA2" w:rsidRDefault="004560E9"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IKT</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r>
      <w:r w:rsidRPr="008E4EA2">
        <w:rPr>
          <w:color w:val="000000" w:themeColor="text1"/>
          <w:szCs w:val="24"/>
        </w:rPr>
        <w:t>Informācijas un komunikāciju tehnoloģijas</w:t>
      </w:r>
    </w:p>
    <w:p w:rsidR="004560E9" w:rsidRPr="008E4EA2" w:rsidRDefault="004560E9" w:rsidP="003A0029">
      <w:pPr>
        <w:tabs>
          <w:tab w:val="left" w:pos="1276"/>
          <w:tab w:val="left" w:pos="1418"/>
          <w:tab w:val="left" w:pos="2127"/>
        </w:tabs>
        <w:spacing w:line="276" w:lineRule="auto"/>
        <w:rPr>
          <w:color w:val="000000" w:themeColor="text1"/>
          <w:szCs w:val="24"/>
          <w:lang w:eastAsia="x-none"/>
        </w:rPr>
      </w:pPr>
      <w:r w:rsidRPr="008E4EA2">
        <w:rPr>
          <w:rFonts w:eastAsia="EUAlbertina-Bold-Identity-H"/>
          <w:color w:val="000000" w:themeColor="text1"/>
          <w:szCs w:val="24"/>
          <w:lang w:eastAsia="lv-LV"/>
        </w:rPr>
        <w:t>IZM</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r>
      <w:r w:rsidRPr="008E4EA2">
        <w:rPr>
          <w:color w:val="000000" w:themeColor="text1"/>
          <w:szCs w:val="24"/>
          <w:lang w:eastAsia="x-none"/>
        </w:rPr>
        <w:t>Izglītības un zinātnes ministrija</w:t>
      </w:r>
    </w:p>
    <w:p w:rsidR="004560E9" w:rsidRPr="008E4EA2" w:rsidRDefault="004560E9" w:rsidP="003A0029">
      <w:pPr>
        <w:tabs>
          <w:tab w:val="left" w:pos="1276"/>
          <w:tab w:val="left" w:pos="1418"/>
          <w:tab w:val="left" w:pos="2127"/>
        </w:tabs>
        <w:spacing w:line="276" w:lineRule="auto"/>
        <w:rPr>
          <w:color w:val="000000" w:themeColor="text1"/>
          <w:szCs w:val="24"/>
          <w:lang w:eastAsia="x-none"/>
        </w:rPr>
      </w:pPr>
      <w:r w:rsidRPr="008E4EA2">
        <w:rPr>
          <w:color w:val="000000" w:themeColor="text1"/>
          <w:szCs w:val="24"/>
          <w:lang w:eastAsia="x-none"/>
        </w:rPr>
        <w:t>KF</w:t>
      </w:r>
      <w:r w:rsidRPr="008E4EA2">
        <w:rPr>
          <w:color w:val="000000" w:themeColor="text1"/>
          <w:szCs w:val="24"/>
          <w:lang w:eastAsia="x-none"/>
        </w:rPr>
        <w:tab/>
        <w:t xml:space="preserve">- </w:t>
      </w:r>
      <w:r w:rsidRPr="008E4EA2">
        <w:rPr>
          <w:color w:val="000000" w:themeColor="text1"/>
          <w:szCs w:val="24"/>
          <w:lang w:eastAsia="x-none"/>
        </w:rPr>
        <w:tab/>
      </w:r>
      <w:r w:rsidRPr="008E4EA2">
        <w:rPr>
          <w:color w:val="000000" w:themeColor="text1"/>
          <w:szCs w:val="24"/>
          <w:lang w:eastAsia="x-none"/>
        </w:rPr>
        <w:tab/>
        <w:t>Kohēzijas fonds</w:t>
      </w:r>
    </w:p>
    <w:p w:rsidR="006A1048" w:rsidRPr="008E4EA2" w:rsidRDefault="006A1048"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color w:val="000000" w:themeColor="text1"/>
          <w:szCs w:val="24"/>
          <w:lang w:eastAsia="x-none"/>
        </w:rPr>
        <w:t>KM</w:t>
      </w:r>
      <w:r w:rsidRPr="008E4EA2">
        <w:rPr>
          <w:color w:val="000000" w:themeColor="text1"/>
          <w:szCs w:val="24"/>
          <w:lang w:eastAsia="x-none"/>
        </w:rPr>
        <w:tab/>
        <w:t xml:space="preserve">- </w:t>
      </w:r>
      <w:r w:rsidRPr="008E4EA2">
        <w:rPr>
          <w:color w:val="000000" w:themeColor="text1"/>
          <w:szCs w:val="24"/>
          <w:lang w:eastAsia="x-none"/>
        </w:rPr>
        <w:tab/>
      </w:r>
      <w:r w:rsidRPr="008E4EA2">
        <w:rPr>
          <w:color w:val="000000" w:themeColor="text1"/>
          <w:szCs w:val="24"/>
          <w:lang w:eastAsia="x-none"/>
        </w:rPr>
        <w:tab/>
        <w:t>Kultūras ministrija</w:t>
      </w:r>
    </w:p>
    <w:p w:rsidR="004560E9" w:rsidRPr="008E4EA2" w:rsidRDefault="004560E9" w:rsidP="003A0029">
      <w:pPr>
        <w:tabs>
          <w:tab w:val="left" w:pos="1276"/>
          <w:tab w:val="left" w:pos="1418"/>
          <w:tab w:val="left" w:pos="2127"/>
        </w:tabs>
        <w:spacing w:line="276" w:lineRule="auto"/>
        <w:rPr>
          <w:color w:val="000000" w:themeColor="text1"/>
          <w:szCs w:val="24"/>
          <w:lang w:eastAsia="x-none"/>
        </w:rPr>
      </w:pPr>
      <w:r w:rsidRPr="008E4EA2">
        <w:rPr>
          <w:rFonts w:eastAsia="EUAlbertina-Bold-Identity-H"/>
          <w:color w:val="000000" w:themeColor="text1"/>
          <w:szCs w:val="24"/>
          <w:lang w:eastAsia="lv-LV"/>
        </w:rPr>
        <w:t>LHZB</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t>Valsts akciju sabiedrība</w:t>
      </w:r>
      <w:r w:rsidR="000B4535" w:rsidRPr="008E4EA2">
        <w:rPr>
          <w:rFonts w:eastAsia="EUAlbertina-Bold-Identity-H"/>
          <w:color w:val="000000" w:themeColor="text1"/>
          <w:szCs w:val="24"/>
          <w:lang w:eastAsia="lv-LV"/>
        </w:rPr>
        <w:t xml:space="preserve"> </w:t>
      </w:r>
      <w:r w:rsidR="00E15CBF" w:rsidRPr="008E4EA2">
        <w:rPr>
          <w:rFonts w:eastAsia="EUAlbertina-Bold-Identity-H"/>
          <w:color w:val="000000" w:themeColor="text1"/>
          <w:szCs w:val="24"/>
          <w:lang w:eastAsia="lv-LV"/>
        </w:rPr>
        <w:t>„</w:t>
      </w:r>
      <w:r w:rsidRPr="008E4EA2">
        <w:rPr>
          <w:color w:val="000000" w:themeColor="text1"/>
          <w:szCs w:val="24"/>
          <w:lang w:eastAsia="x-none"/>
        </w:rPr>
        <w:t>Latvijas Hipotēku un zemes banka</w:t>
      </w:r>
      <w:r w:rsidR="00E15CBF" w:rsidRPr="008E4EA2">
        <w:rPr>
          <w:color w:val="000000" w:themeColor="text1"/>
          <w:szCs w:val="24"/>
          <w:lang w:eastAsia="x-none"/>
        </w:rPr>
        <w:t>”</w:t>
      </w:r>
    </w:p>
    <w:p w:rsidR="004560E9" w:rsidRPr="008E4EA2" w:rsidRDefault="004560E9"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color w:val="000000" w:themeColor="text1"/>
          <w:szCs w:val="24"/>
          <w:lang w:eastAsia="x-none"/>
        </w:rPr>
        <w:t>LIAA</w:t>
      </w:r>
      <w:r w:rsidRPr="008E4EA2">
        <w:rPr>
          <w:color w:val="000000" w:themeColor="text1"/>
          <w:szCs w:val="24"/>
          <w:lang w:eastAsia="x-none"/>
        </w:rPr>
        <w:tab/>
        <w:t xml:space="preserve">- </w:t>
      </w:r>
      <w:r w:rsidRPr="008E4EA2">
        <w:rPr>
          <w:color w:val="000000" w:themeColor="text1"/>
          <w:szCs w:val="24"/>
          <w:lang w:eastAsia="x-none"/>
        </w:rPr>
        <w:tab/>
      </w:r>
      <w:r w:rsidRPr="008E4EA2">
        <w:rPr>
          <w:color w:val="000000" w:themeColor="text1"/>
          <w:szCs w:val="24"/>
          <w:lang w:eastAsia="x-none"/>
        </w:rPr>
        <w:tab/>
        <w:t>Valsts aģentūra</w:t>
      </w:r>
      <w:r w:rsidR="000B4535" w:rsidRPr="008E4EA2">
        <w:rPr>
          <w:color w:val="000000" w:themeColor="text1"/>
          <w:szCs w:val="24"/>
          <w:lang w:eastAsia="x-none"/>
        </w:rPr>
        <w:t xml:space="preserve"> </w:t>
      </w:r>
      <w:r w:rsidR="00E15CBF" w:rsidRPr="008E4EA2">
        <w:rPr>
          <w:color w:val="000000" w:themeColor="text1"/>
          <w:szCs w:val="24"/>
          <w:lang w:eastAsia="x-none"/>
        </w:rPr>
        <w:t>„</w:t>
      </w:r>
      <w:r w:rsidRPr="008E4EA2">
        <w:rPr>
          <w:color w:val="000000" w:themeColor="text1"/>
          <w:szCs w:val="24"/>
        </w:rPr>
        <w:t>Latvijas Investīciju un attīstības aģentūra</w:t>
      </w:r>
      <w:r w:rsidR="00E15CBF" w:rsidRPr="008E4EA2">
        <w:rPr>
          <w:color w:val="000000" w:themeColor="text1"/>
          <w:szCs w:val="24"/>
        </w:rPr>
        <w:t>”</w:t>
      </w:r>
    </w:p>
    <w:p w:rsidR="004560E9" w:rsidRPr="008E4EA2" w:rsidRDefault="004560E9"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LGA</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t>Sabiedrība ar ierobežotu atbildību</w:t>
      </w:r>
      <w:r w:rsidR="000B4535" w:rsidRPr="008E4EA2">
        <w:rPr>
          <w:rFonts w:eastAsia="EUAlbertina-Bold-Identity-H"/>
          <w:color w:val="000000" w:themeColor="text1"/>
          <w:szCs w:val="24"/>
          <w:lang w:eastAsia="lv-LV"/>
        </w:rPr>
        <w:t xml:space="preserve"> </w:t>
      </w:r>
      <w:r w:rsidR="00E15CBF" w:rsidRPr="008E4EA2">
        <w:rPr>
          <w:rFonts w:eastAsia="EUAlbertina-Bold-Identity-H"/>
          <w:color w:val="000000" w:themeColor="text1"/>
          <w:szCs w:val="24"/>
          <w:lang w:eastAsia="lv-LV"/>
        </w:rPr>
        <w:t>„</w:t>
      </w:r>
      <w:r w:rsidRPr="008E4EA2">
        <w:rPr>
          <w:rFonts w:eastAsia="EUAlbertina-Bold-Identity-H"/>
          <w:color w:val="000000" w:themeColor="text1"/>
          <w:szCs w:val="24"/>
          <w:lang w:eastAsia="lv-LV"/>
        </w:rPr>
        <w:t xml:space="preserve">Latvijas </w:t>
      </w:r>
      <w:r w:rsidR="00931663" w:rsidRPr="008E4EA2">
        <w:rPr>
          <w:rFonts w:eastAsia="EUAlbertina-Bold-Identity-H"/>
          <w:color w:val="000000" w:themeColor="text1"/>
          <w:szCs w:val="24"/>
          <w:lang w:eastAsia="lv-LV"/>
        </w:rPr>
        <w:t>G</w:t>
      </w:r>
      <w:r w:rsidRPr="008E4EA2">
        <w:rPr>
          <w:rFonts w:eastAsia="EUAlbertina-Bold-Identity-H"/>
          <w:color w:val="000000" w:themeColor="text1"/>
          <w:szCs w:val="24"/>
          <w:lang w:eastAsia="lv-LV"/>
        </w:rPr>
        <w:t>arantiju aģentūra</w:t>
      </w:r>
      <w:r w:rsidR="00E15CBF" w:rsidRPr="008E4EA2">
        <w:rPr>
          <w:rFonts w:eastAsia="EUAlbertina-Bold-Identity-H"/>
          <w:color w:val="000000" w:themeColor="text1"/>
          <w:szCs w:val="24"/>
          <w:lang w:eastAsia="lv-LV"/>
        </w:rPr>
        <w:t>”</w:t>
      </w:r>
      <w:r w:rsidRPr="008E4EA2">
        <w:rPr>
          <w:rFonts w:eastAsia="EUAlbertina-Bold-Identity-H"/>
          <w:color w:val="000000" w:themeColor="text1"/>
          <w:szCs w:val="24"/>
          <w:lang w:eastAsia="lv-LV"/>
        </w:rPr>
        <w:t xml:space="preserve"> </w:t>
      </w:r>
    </w:p>
    <w:p w:rsidR="004560E9" w:rsidRPr="008E4EA2" w:rsidRDefault="004560E9" w:rsidP="003A0029">
      <w:pPr>
        <w:tabs>
          <w:tab w:val="left" w:pos="1276"/>
          <w:tab w:val="left" w:pos="1418"/>
          <w:tab w:val="left" w:pos="2127"/>
        </w:tabs>
        <w:spacing w:line="276" w:lineRule="auto"/>
        <w:rPr>
          <w:color w:val="000000" w:themeColor="text1"/>
          <w:szCs w:val="24"/>
          <w:lang w:eastAsia="x-none"/>
        </w:rPr>
      </w:pPr>
      <w:r w:rsidRPr="008E4EA2">
        <w:rPr>
          <w:rFonts w:eastAsia="EUAlbertina-Bold-Identity-H"/>
          <w:color w:val="000000" w:themeColor="text1"/>
          <w:szCs w:val="24"/>
          <w:lang w:eastAsia="lv-LV"/>
        </w:rPr>
        <w:t>LM</w:t>
      </w:r>
      <w:r w:rsidRPr="008E4EA2">
        <w:rPr>
          <w:rFonts w:eastAsia="EUAlbertina-Bold-Identity-H"/>
          <w:color w:val="000000" w:themeColor="text1"/>
          <w:szCs w:val="24"/>
          <w:lang w:eastAsia="lv-LV"/>
        </w:rPr>
        <w:tab/>
        <w:t>-</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color w:val="000000" w:themeColor="text1"/>
          <w:szCs w:val="24"/>
          <w:lang w:eastAsia="x-none"/>
        </w:rPr>
        <w:t>Labklājības ministrija</w:t>
      </w:r>
    </w:p>
    <w:p w:rsidR="008212A8" w:rsidRPr="008E4EA2" w:rsidRDefault="008212A8" w:rsidP="003A0029">
      <w:pPr>
        <w:tabs>
          <w:tab w:val="left" w:pos="1276"/>
          <w:tab w:val="left" w:pos="1418"/>
          <w:tab w:val="left" w:pos="2127"/>
        </w:tabs>
        <w:spacing w:line="276" w:lineRule="auto"/>
        <w:rPr>
          <w:color w:val="000000" w:themeColor="text1"/>
          <w:szCs w:val="24"/>
          <w:lang w:eastAsia="x-none"/>
        </w:rPr>
      </w:pPr>
      <w:r w:rsidRPr="008E4EA2">
        <w:rPr>
          <w:color w:val="000000" w:themeColor="text1"/>
          <w:szCs w:val="24"/>
          <w:lang w:eastAsia="x-none"/>
        </w:rPr>
        <w:t>LR</w:t>
      </w:r>
      <w:r w:rsidRPr="008E4EA2">
        <w:rPr>
          <w:color w:val="000000" w:themeColor="text1"/>
          <w:szCs w:val="24"/>
          <w:lang w:eastAsia="x-none"/>
        </w:rPr>
        <w:tab/>
        <w:t>-</w:t>
      </w:r>
      <w:r w:rsidRPr="008E4EA2">
        <w:rPr>
          <w:color w:val="000000" w:themeColor="text1"/>
          <w:szCs w:val="24"/>
          <w:lang w:eastAsia="x-none"/>
        </w:rPr>
        <w:tab/>
      </w:r>
      <w:r w:rsidRPr="008E4EA2">
        <w:rPr>
          <w:color w:val="000000" w:themeColor="text1"/>
          <w:szCs w:val="24"/>
          <w:lang w:eastAsia="x-none"/>
        </w:rPr>
        <w:tab/>
        <w:t>Latvijas republika</w:t>
      </w:r>
    </w:p>
    <w:p w:rsidR="004560E9" w:rsidRPr="008E4EA2" w:rsidRDefault="004560E9" w:rsidP="003A0029">
      <w:pPr>
        <w:tabs>
          <w:tab w:val="left" w:pos="1276"/>
          <w:tab w:val="left" w:pos="1418"/>
          <w:tab w:val="left" w:pos="2127"/>
        </w:tabs>
        <w:spacing w:line="276" w:lineRule="auto"/>
        <w:rPr>
          <w:color w:val="000000" w:themeColor="text1"/>
          <w:szCs w:val="24"/>
          <w:lang w:eastAsia="x-none"/>
        </w:rPr>
      </w:pPr>
      <w:r w:rsidRPr="008E4EA2">
        <w:rPr>
          <w:color w:val="000000" w:themeColor="text1"/>
          <w:szCs w:val="24"/>
          <w:lang w:eastAsia="x-none"/>
        </w:rPr>
        <w:t xml:space="preserve">MK </w:t>
      </w:r>
      <w:r w:rsidRPr="008E4EA2">
        <w:rPr>
          <w:color w:val="000000" w:themeColor="text1"/>
          <w:szCs w:val="24"/>
          <w:lang w:eastAsia="x-none"/>
        </w:rPr>
        <w:tab/>
        <w:t>-</w:t>
      </w:r>
      <w:r w:rsidRPr="008E4EA2">
        <w:rPr>
          <w:color w:val="000000" w:themeColor="text1"/>
          <w:szCs w:val="24"/>
          <w:lang w:eastAsia="x-none"/>
        </w:rPr>
        <w:tab/>
        <w:t xml:space="preserve"> </w:t>
      </w:r>
      <w:r w:rsidRPr="008E4EA2">
        <w:rPr>
          <w:color w:val="000000" w:themeColor="text1"/>
          <w:szCs w:val="24"/>
          <w:lang w:eastAsia="x-none"/>
        </w:rPr>
        <w:tab/>
        <w:t>Ministru kabinets</w:t>
      </w:r>
    </w:p>
    <w:p w:rsidR="004560E9" w:rsidRPr="008E4EA2" w:rsidRDefault="004560E9" w:rsidP="003A0029">
      <w:pPr>
        <w:tabs>
          <w:tab w:val="left" w:pos="1276"/>
          <w:tab w:val="left" w:pos="1418"/>
          <w:tab w:val="left" w:pos="2127"/>
        </w:tabs>
        <w:spacing w:line="276" w:lineRule="auto"/>
        <w:rPr>
          <w:color w:val="000000" w:themeColor="text1"/>
          <w:szCs w:val="24"/>
          <w:lang w:eastAsia="x-none"/>
        </w:rPr>
      </w:pPr>
      <w:r w:rsidRPr="008E4EA2">
        <w:rPr>
          <w:color w:val="000000" w:themeColor="text1"/>
          <w:szCs w:val="24"/>
          <w:lang w:eastAsia="x-none"/>
        </w:rPr>
        <w:t>MVK</w:t>
      </w:r>
      <w:r w:rsidRPr="008E4EA2">
        <w:rPr>
          <w:color w:val="000000" w:themeColor="text1"/>
          <w:szCs w:val="24"/>
          <w:lang w:eastAsia="x-none"/>
        </w:rPr>
        <w:tab/>
        <w:t xml:space="preserve">- </w:t>
      </w:r>
      <w:r w:rsidRPr="008E4EA2">
        <w:rPr>
          <w:color w:val="000000" w:themeColor="text1"/>
          <w:szCs w:val="24"/>
          <w:lang w:eastAsia="x-none"/>
        </w:rPr>
        <w:tab/>
      </w:r>
      <w:r w:rsidRPr="008E4EA2">
        <w:rPr>
          <w:color w:val="000000" w:themeColor="text1"/>
          <w:szCs w:val="24"/>
          <w:lang w:eastAsia="x-none"/>
        </w:rPr>
        <w:tab/>
        <w:t>Mazie un vidējie komersanti</w:t>
      </w:r>
    </w:p>
    <w:p w:rsidR="003361E1" w:rsidRPr="008E4EA2" w:rsidRDefault="003361E1" w:rsidP="003A0029">
      <w:pPr>
        <w:tabs>
          <w:tab w:val="left" w:pos="1276"/>
          <w:tab w:val="left" w:pos="1418"/>
          <w:tab w:val="left" w:pos="2127"/>
        </w:tabs>
        <w:spacing w:line="276" w:lineRule="auto"/>
        <w:rPr>
          <w:color w:val="000000" w:themeColor="text1"/>
          <w:szCs w:val="24"/>
          <w:lang w:eastAsia="x-none"/>
        </w:rPr>
      </w:pPr>
      <w:r w:rsidRPr="008E4EA2">
        <w:rPr>
          <w:color w:val="000000" w:themeColor="text1"/>
          <w:szCs w:val="24"/>
          <w:lang w:eastAsia="x-none"/>
        </w:rPr>
        <w:t>NBF</w:t>
      </w:r>
      <w:r w:rsidRPr="008E4EA2">
        <w:rPr>
          <w:color w:val="000000" w:themeColor="text1"/>
          <w:szCs w:val="24"/>
          <w:lang w:eastAsia="x-none"/>
        </w:rPr>
        <w:tab/>
        <w:t>-</w:t>
      </w:r>
      <w:r w:rsidRPr="008E4EA2">
        <w:rPr>
          <w:color w:val="000000" w:themeColor="text1"/>
          <w:szCs w:val="24"/>
          <w:lang w:eastAsia="x-none"/>
        </w:rPr>
        <w:tab/>
      </w:r>
      <w:r w:rsidRPr="008E4EA2">
        <w:rPr>
          <w:color w:val="000000" w:themeColor="text1"/>
          <w:szCs w:val="24"/>
          <w:lang w:eastAsia="x-none"/>
        </w:rPr>
        <w:tab/>
        <w:t>Bilateriālais fonds nacionālā līmenī</w:t>
      </w:r>
    </w:p>
    <w:p w:rsidR="004560E9" w:rsidRPr="008E4EA2" w:rsidRDefault="004560E9" w:rsidP="003A0029">
      <w:pPr>
        <w:tabs>
          <w:tab w:val="left" w:pos="1276"/>
          <w:tab w:val="left" w:pos="1418"/>
          <w:tab w:val="left" w:pos="2127"/>
        </w:tabs>
        <w:spacing w:line="276" w:lineRule="auto"/>
        <w:rPr>
          <w:color w:val="000000" w:themeColor="text1"/>
          <w:szCs w:val="24"/>
          <w:lang w:eastAsia="x-none"/>
        </w:rPr>
      </w:pPr>
      <w:r w:rsidRPr="008E4EA2">
        <w:rPr>
          <w:color w:val="000000" w:themeColor="text1"/>
          <w:szCs w:val="24"/>
          <w:lang w:eastAsia="x-none"/>
        </w:rPr>
        <w:t>NVA</w:t>
      </w:r>
      <w:r w:rsidRPr="008E4EA2">
        <w:rPr>
          <w:color w:val="000000" w:themeColor="text1"/>
          <w:szCs w:val="24"/>
          <w:lang w:eastAsia="x-none"/>
        </w:rPr>
        <w:tab/>
        <w:t>-</w:t>
      </w:r>
      <w:r w:rsidRPr="008E4EA2">
        <w:rPr>
          <w:color w:val="000000" w:themeColor="text1"/>
          <w:szCs w:val="24"/>
          <w:lang w:eastAsia="x-none"/>
        </w:rPr>
        <w:tab/>
      </w:r>
      <w:r w:rsidRPr="008E4EA2">
        <w:rPr>
          <w:color w:val="000000" w:themeColor="text1"/>
          <w:szCs w:val="24"/>
          <w:lang w:eastAsia="x-none"/>
        </w:rPr>
        <w:tab/>
        <w:t>Nodarbinātības valsts aģentūra</w:t>
      </w:r>
    </w:p>
    <w:p w:rsidR="004560E9" w:rsidRPr="008E4EA2" w:rsidRDefault="004560E9" w:rsidP="003A0029">
      <w:pPr>
        <w:tabs>
          <w:tab w:val="left" w:pos="1276"/>
          <w:tab w:val="left" w:pos="1418"/>
          <w:tab w:val="left" w:pos="2127"/>
        </w:tabs>
        <w:spacing w:line="276" w:lineRule="auto"/>
        <w:rPr>
          <w:color w:val="000000" w:themeColor="text1"/>
          <w:szCs w:val="24"/>
          <w:lang w:eastAsia="x-none"/>
        </w:rPr>
      </w:pPr>
      <w:r w:rsidRPr="008E4EA2">
        <w:rPr>
          <w:color w:val="000000" w:themeColor="text1"/>
          <w:szCs w:val="24"/>
          <w:lang w:eastAsia="x-none"/>
        </w:rPr>
        <w:t>NVO</w:t>
      </w:r>
      <w:r w:rsidRPr="008E4EA2">
        <w:rPr>
          <w:color w:val="000000" w:themeColor="text1"/>
          <w:szCs w:val="24"/>
          <w:lang w:eastAsia="x-none"/>
        </w:rPr>
        <w:tab/>
        <w:t xml:space="preserve">- </w:t>
      </w:r>
      <w:r w:rsidRPr="008E4EA2">
        <w:rPr>
          <w:color w:val="000000" w:themeColor="text1"/>
          <w:szCs w:val="24"/>
          <w:lang w:eastAsia="x-none"/>
        </w:rPr>
        <w:tab/>
      </w:r>
      <w:r w:rsidRPr="008E4EA2">
        <w:rPr>
          <w:color w:val="000000" w:themeColor="text1"/>
          <w:szCs w:val="24"/>
          <w:lang w:eastAsia="x-none"/>
        </w:rPr>
        <w:tab/>
        <w:t>Nevalstiskā organizācija</w:t>
      </w:r>
    </w:p>
    <w:p w:rsidR="00F139BD" w:rsidRPr="008E4EA2" w:rsidRDefault="00F139BD"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color w:val="000000" w:themeColor="text1"/>
          <w:szCs w:val="24"/>
          <w:lang w:eastAsia="x-none"/>
        </w:rPr>
        <w:t>PKC</w:t>
      </w:r>
      <w:r w:rsidRPr="008E4EA2">
        <w:rPr>
          <w:color w:val="000000" w:themeColor="text1"/>
          <w:szCs w:val="24"/>
          <w:lang w:eastAsia="x-none"/>
        </w:rPr>
        <w:tab/>
        <w:t>-</w:t>
      </w:r>
      <w:r w:rsidRPr="008E4EA2">
        <w:rPr>
          <w:color w:val="000000" w:themeColor="text1"/>
          <w:szCs w:val="24"/>
          <w:lang w:eastAsia="x-none"/>
        </w:rPr>
        <w:tab/>
      </w:r>
      <w:r w:rsidRPr="008E4EA2">
        <w:rPr>
          <w:color w:val="000000" w:themeColor="text1"/>
          <w:szCs w:val="24"/>
          <w:lang w:eastAsia="x-none"/>
        </w:rPr>
        <w:tab/>
      </w:r>
      <w:proofErr w:type="spellStart"/>
      <w:r w:rsidRPr="008E4EA2">
        <w:rPr>
          <w:rFonts w:eastAsia="EUAlbertina-Bold-Identity-H"/>
          <w:color w:val="000000" w:themeColor="text1"/>
          <w:szCs w:val="24"/>
          <w:lang w:eastAsia="lv-LV"/>
        </w:rPr>
        <w:t>Pārresoru</w:t>
      </w:r>
      <w:proofErr w:type="spellEnd"/>
      <w:r w:rsidRPr="008E4EA2">
        <w:rPr>
          <w:rFonts w:eastAsia="EUAlbertina-Bold-Identity-H"/>
          <w:color w:val="000000" w:themeColor="text1"/>
          <w:szCs w:val="24"/>
          <w:lang w:eastAsia="lv-LV"/>
        </w:rPr>
        <w:t xml:space="preserve"> Koordinācijas centrs</w:t>
      </w:r>
    </w:p>
    <w:p w:rsidR="00B44D0E" w:rsidRPr="008E4EA2" w:rsidRDefault="002F3300" w:rsidP="003A0029">
      <w:pPr>
        <w:tabs>
          <w:tab w:val="left" w:pos="1276"/>
          <w:tab w:val="left" w:pos="2694"/>
          <w:tab w:val="left" w:pos="3261"/>
        </w:tabs>
        <w:spacing w:line="276" w:lineRule="auto"/>
        <w:rPr>
          <w:color w:val="000000" w:themeColor="text1"/>
          <w:szCs w:val="24"/>
          <w:lang w:eastAsia="x-none"/>
        </w:rPr>
      </w:pPr>
      <w:r w:rsidRPr="008E4EA2">
        <w:rPr>
          <w:color w:val="000000" w:themeColor="text1"/>
          <w:szCs w:val="24"/>
          <w:lang w:eastAsia="x-none"/>
        </w:rPr>
        <w:t>Programma</w:t>
      </w:r>
      <w:r w:rsidR="00B44D0E" w:rsidRPr="008E4EA2">
        <w:rPr>
          <w:color w:val="000000" w:themeColor="text1"/>
          <w:szCs w:val="24"/>
          <w:lang w:eastAsia="x-none"/>
        </w:rPr>
        <w:t xml:space="preserve"> 80.00.00.</w:t>
      </w:r>
      <w:r w:rsidR="00B44D0E" w:rsidRPr="008E4EA2">
        <w:rPr>
          <w:color w:val="000000" w:themeColor="text1"/>
          <w:szCs w:val="24"/>
          <w:lang w:eastAsia="x-none"/>
        </w:rPr>
        <w:tab/>
      </w:r>
      <w:r w:rsidRPr="008E4EA2">
        <w:rPr>
          <w:color w:val="000000" w:themeColor="text1"/>
          <w:szCs w:val="24"/>
          <w:lang w:eastAsia="x-none"/>
        </w:rPr>
        <w:t>-</w:t>
      </w:r>
      <w:r w:rsidRPr="008E4EA2">
        <w:rPr>
          <w:color w:val="000000" w:themeColor="text1"/>
          <w:szCs w:val="24"/>
          <w:lang w:eastAsia="x-none"/>
        </w:rPr>
        <w:tab/>
        <w:t xml:space="preserve">„Gadskārtējā </w:t>
      </w:r>
      <w:r w:rsidR="00B44D0E" w:rsidRPr="008E4EA2">
        <w:rPr>
          <w:color w:val="000000" w:themeColor="text1"/>
          <w:szCs w:val="24"/>
          <w:lang w:eastAsia="x-none"/>
        </w:rPr>
        <w:t>valsts budžeta izpildes procesā</w:t>
      </w:r>
    </w:p>
    <w:p w:rsidR="00B44D0E" w:rsidRPr="008E4EA2" w:rsidRDefault="00B44D0E" w:rsidP="003A0029">
      <w:pPr>
        <w:tabs>
          <w:tab w:val="left" w:pos="1276"/>
          <w:tab w:val="left" w:pos="2694"/>
          <w:tab w:val="left" w:pos="3261"/>
        </w:tabs>
        <w:spacing w:line="276" w:lineRule="auto"/>
        <w:rPr>
          <w:color w:val="000000" w:themeColor="text1"/>
          <w:szCs w:val="24"/>
        </w:rPr>
      </w:pPr>
      <w:r w:rsidRPr="008E4EA2">
        <w:rPr>
          <w:color w:val="000000" w:themeColor="text1"/>
          <w:szCs w:val="24"/>
          <w:lang w:eastAsia="x-none"/>
        </w:rPr>
        <w:tab/>
      </w:r>
      <w:r w:rsidRPr="008E4EA2">
        <w:rPr>
          <w:color w:val="000000" w:themeColor="text1"/>
          <w:szCs w:val="24"/>
          <w:lang w:eastAsia="x-none"/>
        </w:rPr>
        <w:tab/>
      </w:r>
      <w:r w:rsidRPr="008E4EA2">
        <w:rPr>
          <w:color w:val="000000" w:themeColor="text1"/>
          <w:szCs w:val="24"/>
          <w:lang w:eastAsia="x-none"/>
        </w:rPr>
        <w:tab/>
      </w:r>
      <w:r w:rsidR="002F3300" w:rsidRPr="008E4EA2">
        <w:rPr>
          <w:color w:val="000000" w:themeColor="text1"/>
          <w:szCs w:val="24"/>
          <w:lang w:eastAsia="x-none"/>
        </w:rPr>
        <w:t>pārdalāmais</w:t>
      </w:r>
      <w:r w:rsidR="002F3300" w:rsidRPr="008E4EA2">
        <w:rPr>
          <w:color w:val="000000" w:themeColor="text1"/>
          <w:szCs w:val="24"/>
        </w:rPr>
        <w:t xml:space="preserve"> </w:t>
      </w:r>
      <w:r w:rsidRPr="008E4EA2">
        <w:rPr>
          <w:color w:val="000000" w:themeColor="text1"/>
          <w:szCs w:val="24"/>
        </w:rPr>
        <w:t>finansējums” programmu 80.00.00</w:t>
      </w:r>
    </w:p>
    <w:p w:rsidR="00B44D0E" w:rsidRPr="008E4EA2" w:rsidRDefault="00B44D0E" w:rsidP="003A0029">
      <w:pPr>
        <w:tabs>
          <w:tab w:val="left" w:pos="1276"/>
          <w:tab w:val="left" w:pos="2694"/>
          <w:tab w:val="left" w:pos="3261"/>
        </w:tabs>
        <w:spacing w:line="276" w:lineRule="auto"/>
        <w:rPr>
          <w:color w:val="000000" w:themeColor="text1"/>
          <w:szCs w:val="24"/>
        </w:rPr>
      </w:pPr>
      <w:r w:rsidRPr="008E4EA2">
        <w:rPr>
          <w:color w:val="000000" w:themeColor="text1"/>
          <w:szCs w:val="24"/>
        </w:rPr>
        <w:tab/>
      </w:r>
      <w:r w:rsidRPr="008E4EA2">
        <w:rPr>
          <w:color w:val="000000" w:themeColor="text1"/>
          <w:szCs w:val="24"/>
        </w:rPr>
        <w:tab/>
      </w:r>
      <w:r w:rsidRPr="008E4EA2">
        <w:rPr>
          <w:color w:val="000000" w:themeColor="text1"/>
          <w:szCs w:val="24"/>
        </w:rPr>
        <w:tab/>
      </w:r>
      <w:r w:rsidR="002F3300" w:rsidRPr="008E4EA2">
        <w:rPr>
          <w:color w:val="000000" w:themeColor="text1"/>
          <w:szCs w:val="24"/>
        </w:rPr>
        <w:t>„Nesadalītais finansēj</w:t>
      </w:r>
      <w:r w:rsidRPr="008E4EA2">
        <w:rPr>
          <w:color w:val="000000" w:themeColor="text1"/>
          <w:szCs w:val="24"/>
        </w:rPr>
        <w:t>ums Eiropas Savienības politiku</w:t>
      </w:r>
    </w:p>
    <w:p w:rsidR="00B44D0E" w:rsidRPr="008E4EA2" w:rsidRDefault="00B44D0E" w:rsidP="003A0029">
      <w:pPr>
        <w:tabs>
          <w:tab w:val="left" w:pos="1276"/>
          <w:tab w:val="left" w:pos="2694"/>
          <w:tab w:val="left" w:pos="3261"/>
        </w:tabs>
        <w:spacing w:line="276" w:lineRule="auto"/>
        <w:rPr>
          <w:color w:val="000000" w:themeColor="text1"/>
          <w:szCs w:val="24"/>
        </w:rPr>
      </w:pPr>
      <w:r w:rsidRPr="008E4EA2">
        <w:rPr>
          <w:color w:val="000000" w:themeColor="text1"/>
          <w:szCs w:val="24"/>
        </w:rPr>
        <w:tab/>
      </w:r>
      <w:r w:rsidRPr="008E4EA2">
        <w:rPr>
          <w:color w:val="000000" w:themeColor="text1"/>
          <w:szCs w:val="24"/>
        </w:rPr>
        <w:tab/>
      </w:r>
      <w:r w:rsidRPr="008E4EA2">
        <w:rPr>
          <w:color w:val="000000" w:themeColor="text1"/>
          <w:szCs w:val="24"/>
        </w:rPr>
        <w:tab/>
      </w:r>
      <w:r w:rsidR="002F3300" w:rsidRPr="008E4EA2">
        <w:rPr>
          <w:color w:val="000000" w:themeColor="text1"/>
          <w:szCs w:val="24"/>
        </w:rPr>
        <w:t>instrumentu un pārē</w:t>
      </w:r>
      <w:r w:rsidRPr="008E4EA2">
        <w:rPr>
          <w:color w:val="000000" w:themeColor="text1"/>
          <w:szCs w:val="24"/>
        </w:rPr>
        <w:t>jās ārvalstu finanšu palīdzības</w:t>
      </w:r>
    </w:p>
    <w:p w:rsidR="002F3300" w:rsidRPr="008E4EA2" w:rsidRDefault="00B44D0E" w:rsidP="003A0029">
      <w:pPr>
        <w:tabs>
          <w:tab w:val="left" w:pos="1276"/>
          <w:tab w:val="left" w:pos="2694"/>
          <w:tab w:val="left" w:pos="3261"/>
        </w:tabs>
        <w:spacing w:line="276" w:lineRule="auto"/>
        <w:rPr>
          <w:color w:val="000000" w:themeColor="text1"/>
          <w:szCs w:val="24"/>
          <w:lang w:eastAsia="x-none"/>
        </w:rPr>
      </w:pPr>
      <w:r w:rsidRPr="008E4EA2">
        <w:rPr>
          <w:color w:val="000000" w:themeColor="text1"/>
          <w:szCs w:val="24"/>
        </w:rPr>
        <w:tab/>
      </w:r>
      <w:r w:rsidRPr="008E4EA2">
        <w:rPr>
          <w:color w:val="000000" w:themeColor="text1"/>
          <w:szCs w:val="24"/>
        </w:rPr>
        <w:tab/>
      </w:r>
      <w:r w:rsidRPr="008E4EA2">
        <w:rPr>
          <w:color w:val="000000" w:themeColor="text1"/>
          <w:szCs w:val="24"/>
        </w:rPr>
        <w:tab/>
      </w:r>
      <w:r w:rsidR="002F3300" w:rsidRPr="008E4EA2">
        <w:rPr>
          <w:color w:val="000000" w:themeColor="text1"/>
          <w:szCs w:val="24"/>
        </w:rPr>
        <w:t>līdzfinansēto projektu un pasākumu īstenošanai”</w:t>
      </w:r>
    </w:p>
    <w:p w:rsidR="003361E1" w:rsidRPr="008E4EA2" w:rsidRDefault="003361E1" w:rsidP="003A0029">
      <w:pPr>
        <w:tabs>
          <w:tab w:val="left" w:pos="1276"/>
          <w:tab w:val="left" w:pos="1418"/>
          <w:tab w:val="left" w:pos="2127"/>
        </w:tabs>
        <w:spacing w:line="276" w:lineRule="auto"/>
        <w:rPr>
          <w:color w:val="000000" w:themeColor="text1"/>
          <w:szCs w:val="24"/>
          <w:lang w:eastAsia="x-none"/>
        </w:rPr>
      </w:pPr>
      <w:r w:rsidRPr="008E4EA2">
        <w:rPr>
          <w:color w:val="000000" w:themeColor="text1"/>
          <w:szCs w:val="24"/>
          <w:lang w:eastAsia="x-none"/>
        </w:rPr>
        <w:t>PVN</w:t>
      </w:r>
      <w:r w:rsidRPr="008E4EA2">
        <w:rPr>
          <w:color w:val="000000" w:themeColor="text1"/>
          <w:szCs w:val="24"/>
          <w:lang w:eastAsia="x-none"/>
        </w:rPr>
        <w:tab/>
        <w:t>-</w:t>
      </w:r>
      <w:r w:rsidRPr="008E4EA2">
        <w:rPr>
          <w:color w:val="000000" w:themeColor="text1"/>
          <w:szCs w:val="24"/>
          <w:lang w:eastAsia="x-none"/>
        </w:rPr>
        <w:tab/>
      </w:r>
      <w:r w:rsidRPr="008E4EA2">
        <w:rPr>
          <w:color w:val="000000" w:themeColor="text1"/>
          <w:szCs w:val="24"/>
          <w:lang w:eastAsia="x-none"/>
        </w:rPr>
        <w:tab/>
        <w:t>Pievienotās vērtības nodoklis</w:t>
      </w:r>
    </w:p>
    <w:p w:rsidR="004560E9" w:rsidRPr="008E4EA2" w:rsidRDefault="004560E9" w:rsidP="003A0029">
      <w:pPr>
        <w:tabs>
          <w:tab w:val="left" w:pos="1276"/>
          <w:tab w:val="left" w:pos="1418"/>
          <w:tab w:val="left" w:pos="2127"/>
        </w:tabs>
        <w:spacing w:line="276" w:lineRule="auto"/>
        <w:rPr>
          <w:color w:val="000000" w:themeColor="text1"/>
          <w:szCs w:val="24"/>
          <w:lang w:eastAsia="x-none"/>
        </w:rPr>
      </w:pPr>
      <w:r w:rsidRPr="008E4EA2">
        <w:rPr>
          <w:color w:val="000000" w:themeColor="text1"/>
          <w:szCs w:val="24"/>
          <w:lang w:eastAsia="x-none"/>
        </w:rPr>
        <w:t>RI</w:t>
      </w:r>
      <w:r w:rsidRPr="008E4EA2">
        <w:rPr>
          <w:color w:val="000000" w:themeColor="text1"/>
          <w:szCs w:val="24"/>
          <w:lang w:eastAsia="x-none"/>
        </w:rPr>
        <w:tab/>
        <w:t>-</w:t>
      </w:r>
      <w:r w:rsidRPr="008E4EA2">
        <w:rPr>
          <w:color w:val="000000" w:themeColor="text1"/>
          <w:szCs w:val="24"/>
          <w:lang w:eastAsia="x-none"/>
        </w:rPr>
        <w:tab/>
      </w:r>
      <w:r w:rsidRPr="008E4EA2">
        <w:rPr>
          <w:color w:val="000000" w:themeColor="text1"/>
          <w:szCs w:val="24"/>
          <w:lang w:eastAsia="x-none"/>
        </w:rPr>
        <w:tab/>
        <w:t>ES fondu revīzijas iestāde</w:t>
      </w:r>
    </w:p>
    <w:p w:rsidR="004560E9" w:rsidRPr="008E4EA2" w:rsidRDefault="004560E9" w:rsidP="003A0029">
      <w:pPr>
        <w:tabs>
          <w:tab w:val="left" w:pos="2694"/>
          <w:tab w:val="left" w:pos="3261"/>
        </w:tabs>
        <w:spacing w:line="276" w:lineRule="auto"/>
        <w:rPr>
          <w:color w:val="000000" w:themeColor="text1"/>
          <w:szCs w:val="24"/>
          <w:lang w:eastAsia="x-none"/>
        </w:rPr>
      </w:pPr>
      <w:r w:rsidRPr="008E4EA2">
        <w:rPr>
          <w:color w:val="000000" w:themeColor="text1"/>
          <w:szCs w:val="24"/>
          <w:lang w:eastAsia="x-none"/>
        </w:rPr>
        <w:lastRenderedPageBreak/>
        <w:t>Saprašanās memorands</w:t>
      </w:r>
      <w:r w:rsidRPr="008E4EA2">
        <w:rPr>
          <w:color w:val="000000" w:themeColor="text1"/>
          <w:szCs w:val="24"/>
          <w:lang w:eastAsia="x-none"/>
        </w:rPr>
        <w:tab/>
        <w:t xml:space="preserve">- </w:t>
      </w:r>
      <w:r w:rsidRPr="008E4EA2">
        <w:rPr>
          <w:color w:val="000000" w:themeColor="text1"/>
          <w:szCs w:val="24"/>
          <w:lang w:eastAsia="x-none"/>
        </w:rPr>
        <w:tab/>
        <w:t>2009.gada 28.janvāra Saprašanās memorands starp</w:t>
      </w:r>
    </w:p>
    <w:p w:rsidR="004560E9" w:rsidRPr="008E4EA2" w:rsidRDefault="004560E9" w:rsidP="003A0029">
      <w:pPr>
        <w:tabs>
          <w:tab w:val="left" w:pos="2694"/>
          <w:tab w:val="left" w:pos="3261"/>
        </w:tabs>
        <w:spacing w:line="276" w:lineRule="auto"/>
        <w:rPr>
          <w:color w:val="000000" w:themeColor="text1"/>
          <w:szCs w:val="24"/>
          <w:lang w:eastAsia="x-none"/>
        </w:rPr>
      </w:pPr>
      <w:r w:rsidRPr="008E4EA2">
        <w:rPr>
          <w:color w:val="000000" w:themeColor="text1"/>
          <w:szCs w:val="24"/>
          <w:lang w:eastAsia="x-none"/>
        </w:rPr>
        <w:tab/>
      </w:r>
      <w:r w:rsidRPr="008E4EA2">
        <w:rPr>
          <w:color w:val="000000" w:themeColor="text1"/>
          <w:szCs w:val="24"/>
          <w:lang w:eastAsia="x-none"/>
        </w:rPr>
        <w:tab/>
        <w:t>Eiropas Kopienu un Latvijas Republiku un tā</w:t>
      </w:r>
    </w:p>
    <w:p w:rsidR="004560E9" w:rsidRPr="008E4EA2" w:rsidRDefault="004560E9" w:rsidP="003A0029">
      <w:pPr>
        <w:tabs>
          <w:tab w:val="left" w:pos="2694"/>
          <w:tab w:val="left" w:pos="3261"/>
        </w:tabs>
        <w:spacing w:line="276" w:lineRule="auto"/>
        <w:rPr>
          <w:color w:val="000000" w:themeColor="text1"/>
          <w:szCs w:val="24"/>
          <w:lang w:eastAsia="x-none"/>
        </w:rPr>
      </w:pPr>
      <w:r w:rsidRPr="008E4EA2">
        <w:rPr>
          <w:color w:val="000000" w:themeColor="text1"/>
          <w:szCs w:val="24"/>
          <w:lang w:eastAsia="x-none"/>
        </w:rPr>
        <w:tab/>
      </w:r>
      <w:r w:rsidRPr="008E4EA2">
        <w:rPr>
          <w:color w:val="000000" w:themeColor="text1"/>
          <w:szCs w:val="24"/>
          <w:lang w:eastAsia="x-none"/>
        </w:rPr>
        <w:tab/>
        <w:t>papildinājumi</w:t>
      </w:r>
    </w:p>
    <w:p w:rsidR="004560E9" w:rsidRPr="008E4EA2" w:rsidRDefault="004560E9"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SM</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t>Satiksmes ministrija</w:t>
      </w:r>
    </w:p>
    <w:p w:rsidR="004560E9" w:rsidRPr="008E4EA2" w:rsidRDefault="004560E9"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SI </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r>
      <w:r w:rsidR="00931663" w:rsidRPr="008E4EA2">
        <w:rPr>
          <w:rFonts w:eastAsia="EUAlbertina-Bold-Identity-H"/>
          <w:color w:val="000000" w:themeColor="text1"/>
          <w:szCs w:val="24"/>
          <w:lang w:eastAsia="lv-LV"/>
        </w:rPr>
        <w:t>ES fondu s</w:t>
      </w:r>
      <w:r w:rsidRPr="008E4EA2">
        <w:rPr>
          <w:rFonts w:eastAsia="EUAlbertina-Bold-Identity-H"/>
          <w:color w:val="000000" w:themeColor="text1"/>
          <w:szCs w:val="24"/>
          <w:lang w:eastAsia="lv-LV"/>
        </w:rPr>
        <w:t>adarbības iestāde</w:t>
      </w:r>
    </w:p>
    <w:p w:rsidR="00B0411C" w:rsidRPr="008E4EA2" w:rsidRDefault="00B0411C"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SIA</w:t>
      </w:r>
      <w:r w:rsidRPr="008E4EA2">
        <w:rPr>
          <w:rFonts w:eastAsia="EUAlbertina-Bold-Identity-H"/>
          <w:color w:val="000000" w:themeColor="text1"/>
          <w:szCs w:val="24"/>
          <w:lang w:eastAsia="lv-LV"/>
        </w:rPr>
        <w:tab/>
        <w:t>-</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t>Sabiedrība ar ierobežotu atbildību</w:t>
      </w:r>
    </w:p>
    <w:p w:rsidR="00F90AE7" w:rsidRPr="008E4EA2" w:rsidRDefault="00F90AE7" w:rsidP="003A0029">
      <w:pPr>
        <w:tabs>
          <w:tab w:val="left" w:pos="1276"/>
          <w:tab w:val="left" w:pos="1418"/>
          <w:tab w:val="left" w:pos="2127"/>
        </w:tabs>
        <w:spacing w:line="276" w:lineRule="auto"/>
        <w:rPr>
          <w:color w:val="000000" w:themeColor="text1"/>
          <w:szCs w:val="24"/>
        </w:rPr>
      </w:pPr>
      <w:r w:rsidRPr="008E4EA2">
        <w:rPr>
          <w:rFonts w:eastAsia="EUAlbertina-Bold-Identity-H"/>
          <w:color w:val="000000" w:themeColor="text1"/>
          <w:szCs w:val="24"/>
          <w:lang w:eastAsia="lv-LV"/>
        </w:rPr>
        <w:t>SIF</w:t>
      </w:r>
      <w:r w:rsidRPr="008E4EA2">
        <w:rPr>
          <w:rFonts w:eastAsia="EUAlbertina-Bold-Identity-H"/>
          <w:color w:val="000000" w:themeColor="text1"/>
          <w:szCs w:val="24"/>
          <w:lang w:eastAsia="lv-LV"/>
        </w:rPr>
        <w:tab/>
        <w:t>-</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r>
      <w:r w:rsidRPr="008E4EA2">
        <w:rPr>
          <w:color w:val="000000" w:themeColor="text1"/>
          <w:szCs w:val="24"/>
        </w:rPr>
        <w:t>Sabiedrības integrācijas fonds</w:t>
      </w:r>
    </w:p>
    <w:p w:rsidR="004560E9" w:rsidRPr="008E4EA2" w:rsidRDefault="004560E9" w:rsidP="003A0029">
      <w:pPr>
        <w:tabs>
          <w:tab w:val="left" w:pos="2694"/>
          <w:tab w:val="left" w:pos="3261"/>
        </w:tabs>
        <w:spacing w:line="276" w:lineRule="auto"/>
        <w:rPr>
          <w:color w:val="000000" w:themeColor="text1"/>
          <w:szCs w:val="24"/>
          <w:lang w:eastAsia="x-none"/>
        </w:rPr>
      </w:pPr>
      <w:r w:rsidRPr="008E4EA2">
        <w:rPr>
          <w:color w:val="000000" w:themeColor="text1"/>
          <w:szCs w:val="24"/>
          <w:lang w:eastAsia="x-none"/>
        </w:rPr>
        <w:t xml:space="preserve">Šveices programma </w:t>
      </w:r>
      <w:r w:rsidRPr="008E4EA2">
        <w:rPr>
          <w:color w:val="000000" w:themeColor="text1"/>
          <w:szCs w:val="24"/>
          <w:lang w:eastAsia="x-none"/>
        </w:rPr>
        <w:tab/>
        <w:t>-</w:t>
      </w:r>
      <w:r w:rsidRPr="008E4EA2">
        <w:rPr>
          <w:color w:val="000000" w:themeColor="text1"/>
          <w:szCs w:val="24"/>
          <w:lang w:eastAsia="x-none"/>
        </w:rPr>
        <w:tab/>
        <w:t>Latvijas un Šveices sadarbības programma</w:t>
      </w:r>
    </w:p>
    <w:p w:rsidR="004560E9" w:rsidRPr="008E4EA2" w:rsidRDefault="004560E9"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TM</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t>Tieslietu ministrija</w:t>
      </w:r>
    </w:p>
    <w:p w:rsidR="004E52A5" w:rsidRPr="008E4EA2" w:rsidRDefault="004560E9" w:rsidP="003A0029">
      <w:pPr>
        <w:tabs>
          <w:tab w:val="left" w:pos="1276"/>
          <w:tab w:val="left" w:pos="1418"/>
          <w:tab w:val="left" w:pos="2127"/>
        </w:tabs>
        <w:spacing w:line="276" w:lineRule="auto"/>
        <w:rPr>
          <w:color w:val="000000" w:themeColor="text1"/>
          <w:szCs w:val="24"/>
        </w:rPr>
      </w:pPr>
      <w:r w:rsidRPr="008E4EA2">
        <w:rPr>
          <w:rFonts w:eastAsia="EUAlbertina-Bold-Identity-H"/>
          <w:color w:val="000000" w:themeColor="text1"/>
          <w:szCs w:val="24"/>
          <w:lang w:eastAsia="lv-LV"/>
        </w:rPr>
        <w:t>TP</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r>
      <w:r w:rsidR="00CE4FFF" w:rsidRPr="008E4EA2">
        <w:rPr>
          <w:color w:val="000000" w:themeColor="text1"/>
          <w:szCs w:val="24"/>
        </w:rPr>
        <w:t>ES fondu tehniskā palīdzība</w:t>
      </w:r>
      <w:r w:rsidR="00E53B2B" w:rsidRPr="008E4EA2">
        <w:rPr>
          <w:color w:val="000000" w:themeColor="text1"/>
          <w:szCs w:val="24"/>
        </w:rPr>
        <w:t xml:space="preserve"> </w:t>
      </w:r>
    </w:p>
    <w:p w:rsidR="00194049" w:rsidRPr="008E4EA2" w:rsidRDefault="00194049" w:rsidP="003A0029">
      <w:pPr>
        <w:tabs>
          <w:tab w:val="left" w:pos="1276"/>
          <w:tab w:val="left" w:pos="1418"/>
          <w:tab w:val="left" w:pos="2127"/>
        </w:tabs>
        <w:spacing w:line="276" w:lineRule="auto"/>
        <w:rPr>
          <w:color w:val="000000" w:themeColor="text1"/>
          <w:szCs w:val="24"/>
        </w:rPr>
      </w:pPr>
      <w:r w:rsidRPr="008E4EA2">
        <w:rPr>
          <w:color w:val="000000" w:themeColor="text1"/>
          <w:szCs w:val="24"/>
        </w:rPr>
        <w:t>UK</w:t>
      </w:r>
      <w:r w:rsidRPr="008E4EA2">
        <w:rPr>
          <w:color w:val="000000" w:themeColor="text1"/>
          <w:szCs w:val="24"/>
        </w:rPr>
        <w:tab/>
        <w:t>-</w:t>
      </w:r>
      <w:r w:rsidRPr="008E4EA2">
        <w:rPr>
          <w:color w:val="000000" w:themeColor="text1"/>
          <w:szCs w:val="24"/>
        </w:rPr>
        <w:tab/>
      </w:r>
      <w:r w:rsidRPr="008E4EA2">
        <w:rPr>
          <w:color w:val="000000" w:themeColor="text1"/>
          <w:szCs w:val="24"/>
        </w:rPr>
        <w:tab/>
        <w:t>ES fondu uzraudzības komiteja</w:t>
      </w:r>
    </w:p>
    <w:p w:rsidR="004560E9" w:rsidRPr="008E4EA2" w:rsidRDefault="004560E9" w:rsidP="003A0029">
      <w:pPr>
        <w:tabs>
          <w:tab w:val="left" w:pos="1276"/>
          <w:tab w:val="left" w:pos="1418"/>
          <w:tab w:val="left" w:pos="2127"/>
        </w:tabs>
        <w:spacing w:line="276" w:lineRule="auto"/>
        <w:rPr>
          <w:color w:val="000000" w:themeColor="text1"/>
          <w:szCs w:val="24"/>
          <w:lang w:eastAsia="x-none"/>
        </w:rPr>
      </w:pPr>
      <w:r w:rsidRPr="008E4EA2">
        <w:rPr>
          <w:rFonts w:eastAsia="EUAlbertina-Bold-Identity-H"/>
          <w:color w:val="000000" w:themeColor="text1"/>
          <w:szCs w:val="24"/>
          <w:lang w:eastAsia="lv-LV"/>
        </w:rPr>
        <w:t>VARAM</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r>
      <w:r w:rsidRPr="008E4EA2">
        <w:rPr>
          <w:color w:val="000000" w:themeColor="text1"/>
          <w:szCs w:val="24"/>
          <w:lang w:eastAsia="x-none"/>
        </w:rPr>
        <w:t>Vides aizsardzības un reģionālās attīstības ministrija</w:t>
      </w:r>
    </w:p>
    <w:p w:rsidR="004560E9" w:rsidRPr="008E4EA2" w:rsidRDefault="004560E9" w:rsidP="003A0029">
      <w:pPr>
        <w:tabs>
          <w:tab w:val="left" w:pos="1276"/>
          <w:tab w:val="left" w:pos="2127"/>
        </w:tabs>
        <w:spacing w:line="276" w:lineRule="auto"/>
        <w:ind w:left="1275" w:hanging="1275"/>
        <w:rPr>
          <w:color w:val="000000" w:themeColor="text1"/>
          <w:szCs w:val="24"/>
        </w:rPr>
      </w:pPr>
      <w:r w:rsidRPr="008E4EA2">
        <w:rPr>
          <w:rFonts w:eastAsia="EUAlbertina-Bold-Identity-H"/>
          <w:color w:val="000000" w:themeColor="text1"/>
          <w:szCs w:val="24"/>
          <w:lang w:eastAsia="lv-LV"/>
        </w:rPr>
        <w:t>VI</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t>ES fondu,</w:t>
      </w:r>
      <w:r w:rsidRPr="008E4EA2">
        <w:rPr>
          <w:color w:val="000000" w:themeColor="text1"/>
          <w:szCs w:val="24"/>
        </w:rPr>
        <w:t xml:space="preserve"> EEZ/Norvēģijas finanšu instrumentu un Šveices</w:t>
      </w:r>
    </w:p>
    <w:p w:rsidR="004560E9" w:rsidRPr="008E4EA2" w:rsidRDefault="004560E9" w:rsidP="003A0029">
      <w:pPr>
        <w:tabs>
          <w:tab w:val="left" w:pos="1276"/>
          <w:tab w:val="left" w:pos="2127"/>
        </w:tabs>
        <w:spacing w:line="276" w:lineRule="auto"/>
        <w:ind w:left="1275" w:hanging="1275"/>
        <w:rPr>
          <w:rFonts w:eastAsia="EUAlbertina-Bold-Identity-H"/>
          <w:color w:val="000000" w:themeColor="text1"/>
          <w:szCs w:val="24"/>
          <w:lang w:eastAsia="lv-LV"/>
        </w:rPr>
      </w:pP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r>
      <w:r w:rsidRPr="008E4EA2">
        <w:rPr>
          <w:color w:val="000000" w:themeColor="text1"/>
          <w:szCs w:val="24"/>
        </w:rPr>
        <w:t>programmas</w:t>
      </w:r>
      <w:r w:rsidRPr="008E4EA2">
        <w:rPr>
          <w:rFonts w:eastAsia="EUAlbertina-Bold-Identity-H"/>
          <w:color w:val="000000" w:themeColor="text1"/>
          <w:szCs w:val="24"/>
          <w:lang w:eastAsia="lv-LV"/>
        </w:rPr>
        <w:t xml:space="preserve"> vadošā iestāde</w:t>
      </w:r>
    </w:p>
    <w:p w:rsidR="00137808" w:rsidRPr="008E4EA2" w:rsidRDefault="004560E9" w:rsidP="003A0029">
      <w:pPr>
        <w:tabs>
          <w:tab w:val="left" w:pos="1276"/>
          <w:tab w:val="left" w:pos="1418"/>
          <w:tab w:val="left" w:pos="2127"/>
        </w:tabs>
        <w:spacing w:line="276" w:lineRule="auto"/>
        <w:rPr>
          <w:color w:val="000000" w:themeColor="text1"/>
          <w:szCs w:val="24"/>
        </w:rPr>
      </w:pPr>
      <w:r w:rsidRPr="008E4EA2">
        <w:rPr>
          <w:rFonts w:eastAsia="EUAlbertina-Bold-Identity-H"/>
          <w:color w:val="000000" w:themeColor="text1"/>
          <w:szCs w:val="24"/>
          <w:lang w:eastAsia="lv-LV"/>
        </w:rPr>
        <w:t>VIS</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t>ES fondu vadības informācijas sistēmas</w:t>
      </w:r>
      <w:r w:rsidR="00137808" w:rsidRPr="008E4EA2">
        <w:rPr>
          <w:color w:val="000000" w:themeColor="text1"/>
          <w:szCs w:val="24"/>
        </w:rPr>
        <w:t xml:space="preserve"> </w:t>
      </w:r>
    </w:p>
    <w:p w:rsidR="004560E9" w:rsidRPr="008E4EA2" w:rsidRDefault="00137808" w:rsidP="003A0029">
      <w:pPr>
        <w:tabs>
          <w:tab w:val="left" w:pos="1276"/>
          <w:tab w:val="left" w:pos="1418"/>
          <w:tab w:val="left" w:pos="2127"/>
        </w:tabs>
        <w:spacing w:line="276" w:lineRule="auto"/>
        <w:rPr>
          <w:rFonts w:eastAsia="EUAlbertina-Bold-Identity-H"/>
          <w:color w:val="000000" w:themeColor="text1"/>
          <w:szCs w:val="24"/>
          <w:lang w:eastAsia="lv-LV"/>
        </w:rPr>
      </w:pPr>
      <w:proofErr w:type="spellStart"/>
      <w:r w:rsidRPr="008E4EA2">
        <w:rPr>
          <w:color w:val="000000" w:themeColor="text1"/>
          <w:szCs w:val="24"/>
        </w:rPr>
        <w:t>VKanc</w:t>
      </w:r>
      <w:proofErr w:type="spellEnd"/>
      <w:r w:rsidRPr="008E4EA2">
        <w:rPr>
          <w:color w:val="000000" w:themeColor="text1"/>
          <w:szCs w:val="24"/>
        </w:rPr>
        <w:tab/>
        <w:t xml:space="preserve">- </w:t>
      </w:r>
      <w:r w:rsidRPr="008E4EA2">
        <w:rPr>
          <w:color w:val="000000" w:themeColor="text1"/>
          <w:szCs w:val="24"/>
        </w:rPr>
        <w:tab/>
      </w:r>
      <w:r w:rsidRPr="008E4EA2">
        <w:rPr>
          <w:color w:val="000000" w:themeColor="text1"/>
          <w:szCs w:val="24"/>
        </w:rPr>
        <w:tab/>
      </w:r>
      <w:r w:rsidRPr="008E4EA2">
        <w:rPr>
          <w:rFonts w:eastAsia="EUAlbertina-Bold-Identity-H"/>
          <w:color w:val="000000" w:themeColor="text1"/>
          <w:szCs w:val="24"/>
          <w:lang w:eastAsia="lv-LV"/>
        </w:rPr>
        <w:t>Valsts kanceleja</w:t>
      </w:r>
    </w:p>
    <w:p w:rsidR="004560E9" w:rsidRPr="008E4EA2" w:rsidRDefault="004560E9"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VKS</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t>Vadības un kontroles sistēma</w:t>
      </w:r>
    </w:p>
    <w:p w:rsidR="004560E9" w:rsidRPr="008E4EA2" w:rsidRDefault="004560E9"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VM</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t>Veselības ministrija</w:t>
      </w:r>
    </w:p>
    <w:p w:rsidR="00B47270" w:rsidRPr="008E4EA2" w:rsidRDefault="00B47270"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color w:val="000000" w:themeColor="text1"/>
          <w:szCs w:val="24"/>
        </w:rPr>
        <w:t>VPP</w:t>
      </w:r>
      <w:r w:rsidRPr="008E4EA2">
        <w:rPr>
          <w:color w:val="000000" w:themeColor="text1"/>
          <w:szCs w:val="24"/>
        </w:rPr>
        <w:tab/>
        <w:t xml:space="preserve">- </w:t>
      </w:r>
      <w:r w:rsidRPr="008E4EA2">
        <w:rPr>
          <w:color w:val="000000" w:themeColor="text1"/>
          <w:szCs w:val="24"/>
        </w:rPr>
        <w:tab/>
      </w:r>
      <w:r w:rsidRPr="008E4EA2">
        <w:rPr>
          <w:color w:val="000000" w:themeColor="text1"/>
          <w:szCs w:val="24"/>
        </w:rPr>
        <w:tab/>
      </w:r>
      <w:r w:rsidRPr="008E4EA2">
        <w:rPr>
          <w:rFonts w:eastAsia="EUAlbertina-Bold-Identity-H"/>
          <w:color w:val="000000" w:themeColor="text1"/>
          <w:szCs w:val="24"/>
          <w:lang w:eastAsia="lv-LV"/>
        </w:rPr>
        <w:t>Valsts un privātā partnerība</w:t>
      </w:r>
    </w:p>
    <w:p w:rsidR="004560E9" w:rsidRPr="008E4EA2" w:rsidRDefault="004560E9"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color w:val="000000" w:themeColor="text1"/>
          <w:szCs w:val="24"/>
        </w:rPr>
        <w:t>VSS</w:t>
      </w:r>
      <w:r w:rsidRPr="008E4EA2">
        <w:rPr>
          <w:color w:val="000000" w:themeColor="text1"/>
          <w:szCs w:val="24"/>
        </w:rPr>
        <w:tab/>
        <w:t xml:space="preserve">- </w:t>
      </w:r>
      <w:r w:rsidRPr="008E4EA2">
        <w:rPr>
          <w:color w:val="000000" w:themeColor="text1"/>
          <w:szCs w:val="24"/>
        </w:rPr>
        <w:tab/>
      </w:r>
      <w:r w:rsidRPr="008E4EA2">
        <w:rPr>
          <w:color w:val="000000" w:themeColor="text1"/>
          <w:szCs w:val="24"/>
        </w:rPr>
        <w:tab/>
      </w:r>
      <w:r w:rsidRPr="008E4EA2">
        <w:rPr>
          <w:rFonts w:eastAsia="EUAlbertina-Bold-Identity-H"/>
          <w:color w:val="000000" w:themeColor="text1"/>
          <w:szCs w:val="24"/>
          <w:lang w:eastAsia="lv-LV"/>
        </w:rPr>
        <w:t>Valsts sekretāru sanāksme</w:t>
      </w:r>
    </w:p>
    <w:p w:rsidR="00FF16DA" w:rsidRPr="008E4EA2" w:rsidRDefault="004560E9" w:rsidP="003A0029">
      <w:pPr>
        <w:tabs>
          <w:tab w:val="left" w:pos="1276"/>
          <w:tab w:val="left" w:pos="1418"/>
          <w:tab w:val="left" w:pos="2127"/>
        </w:tabs>
        <w:spacing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ZM</w:t>
      </w:r>
      <w:r w:rsidRPr="008E4EA2">
        <w:rPr>
          <w:rFonts w:eastAsia="EUAlbertina-Bold-Identity-H"/>
          <w:color w:val="000000" w:themeColor="text1"/>
          <w:szCs w:val="24"/>
          <w:lang w:eastAsia="lv-LV"/>
        </w:rPr>
        <w:tab/>
        <w:t xml:space="preserve">- </w:t>
      </w:r>
      <w:r w:rsidRPr="008E4EA2">
        <w:rPr>
          <w:rFonts w:eastAsia="EUAlbertina-Bold-Identity-H"/>
          <w:color w:val="000000" w:themeColor="text1"/>
          <w:szCs w:val="24"/>
          <w:lang w:eastAsia="lv-LV"/>
        </w:rPr>
        <w:tab/>
      </w:r>
      <w:r w:rsidRPr="008E4EA2">
        <w:rPr>
          <w:rFonts w:eastAsia="EUAlbertina-Bold-Identity-H"/>
          <w:color w:val="000000" w:themeColor="text1"/>
          <w:szCs w:val="24"/>
          <w:lang w:eastAsia="lv-LV"/>
        </w:rPr>
        <w:tab/>
        <w:t>Zemkopības ministrija</w:t>
      </w:r>
    </w:p>
    <w:p w:rsidR="00EB11F9" w:rsidRPr="008E4EA2" w:rsidRDefault="00EB11F9" w:rsidP="003A0029">
      <w:pPr>
        <w:spacing w:before="120" w:after="120" w:line="276" w:lineRule="auto"/>
        <w:rPr>
          <w:bCs/>
          <w:color w:val="000000" w:themeColor="text1"/>
          <w:kern w:val="32"/>
          <w:szCs w:val="24"/>
          <w:lang w:eastAsia="x-none"/>
        </w:rPr>
      </w:pPr>
      <w:r w:rsidRPr="008E4EA2">
        <w:rPr>
          <w:color w:val="000000" w:themeColor="text1"/>
          <w:szCs w:val="24"/>
        </w:rPr>
        <w:br w:type="page"/>
      </w:r>
    </w:p>
    <w:p w:rsidR="009C18B0" w:rsidRPr="008E4EA2" w:rsidRDefault="009C18B0" w:rsidP="003A0029">
      <w:pPr>
        <w:pStyle w:val="1lmenis"/>
        <w:numPr>
          <w:ilvl w:val="0"/>
          <w:numId w:val="0"/>
        </w:numPr>
        <w:spacing w:before="120" w:after="120" w:line="276" w:lineRule="auto"/>
        <w:ind w:left="491"/>
        <w:rPr>
          <w:rFonts w:ascii="Times New Roman" w:hAnsi="Times New Roman"/>
          <w:color w:val="000000" w:themeColor="text1"/>
          <w:sz w:val="24"/>
          <w:szCs w:val="24"/>
          <w:lang w:val="lv-LV"/>
        </w:rPr>
      </w:pPr>
      <w:bookmarkStart w:id="9" w:name="_Toc324948875"/>
      <w:bookmarkStart w:id="10" w:name="_Toc340241683"/>
      <w:r w:rsidRPr="008E4EA2">
        <w:rPr>
          <w:rFonts w:ascii="Times New Roman" w:hAnsi="Times New Roman"/>
          <w:color w:val="000000" w:themeColor="text1"/>
          <w:sz w:val="24"/>
          <w:szCs w:val="24"/>
          <w:lang w:val="lv-LV"/>
        </w:rPr>
        <w:lastRenderedPageBreak/>
        <w:t>Ievads</w:t>
      </w:r>
      <w:bookmarkEnd w:id="9"/>
      <w:bookmarkEnd w:id="10"/>
    </w:p>
    <w:p w:rsidR="009C18B0" w:rsidRPr="008E4EA2" w:rsidRDefault="009C18B0" w:rsidP="003A0029">
      <w:pPr>
        <w:spacing w:before="120" w:after="120" w:line="276" w:lineRule="auto"/>
        <w:rPr>
          <w:color w:val="000000" w:themeColor="text1"/>
          <w:szCs w:val="24"/>
        </w:rPr>
      </w:pPr>
      <w:r w:rsidRPr="008E4EA2">
        <w:rPr>
          <w:color w:val="000000" w:themeColor="text1"/>
          <w:szCs w:val="24"/>
        </w:rPr>
        <w:t xml:space="preserve">Saskaņā ar </w:t>
      </w:r>
      <w:r w:rsidR="006742FE" w:rsidRPr="008E4EA2">
        <w:rPr>
          <w:color w:val="000000" w:themeColor="text1"/>
          <w:szCs w:val="24"/>
        </w:rPr>
        <w:t>MK</w:t>
      </w:r>
      <w:r w:rsidRPr="008E4EA2">
        <w:rPr>
          <w:color w:val="000000" w:themeColor="text1"/>
          <w:szCs w:val="24"/>
        </w:rPr>
        <w:t xml:space="preserve"> 2011.gada 8.marta sēdes </w:t>
      </w:r>
      <w:proofErr w:type="spellStart"/>
      <w:r w:rsidR="006E4C99" w:rsidRPr="008E4EA2">
        <w:rPr>
          <w:color w:val="000000" w:themeColor="text1"/>
          <w:szCs w:val="24"/>
        </w:rPr>
        <w:t>protokollēmuma</w:t>
      </w:r>
      <w:proofErr w:type="spellEnd"/>
      <w:r w:rsidR="006E4C99" w:rsidRPr="008E4EA2">
        <w:rPr>
          <w:color w:val="000000" w:themeColor="text1"/>
          <w:szCs w:val="24"/>
        </w:rPr>
        <w:t xml:space="preserve"> </w:t>
      </w:r>
      <w:r w:rsidR="00644814" w:rsidRPr="008E4EA2">
        <w:rPr>
          <w:color w:val="000000" w:themeColor="text1"/>
          <w:szCs w:val="24"/>
        </w:rPr>
        <w:t xml:space="preserve">(protokols Nr.14, </w:t>
      </w:r>
      <w:r w:rsidRPr="008E4EA2">
        <w:rPr>
          <w:color w:val="000000" w:themeColor="text1"/>
          <w:szCs w:val="24"/>
        </w:rPr>
        <w:t>21.§) 9.punktā noteikto uzdevumu VI ir sagatavojusi informatīvo ziņojumu „Informatīvais ziņojums par Eiropas Savienības struktūrfondu un Kohēzijas fonda, Eiropas Ekonomikas zonas finanšu instrumenta, Norvēģijas finanšu instrumenta un Latvijas un Šveices sadarbības pro</w:t>
      </w:r>
      <w:r w:rsidR="00D12C0C" w:rsidRPr="008E4EA2">
        <w:rPr>
          <w:color w:val="000000" w:themeColor="text1"/>
          <w:szCs w:val="24"/>
        </w:rPr>
        <w:t>grammas apguvi līdz 2012.gada 30</w:t>
      </w:r>
      <w:r w:rsidRPr="008E4EA2">
        <w:rPr>
          <w:color w:val="000000" w:themeColor="text1"/>
          <w:szCs w:val="24"/>
        </w:rPr>
        <w:t>.</w:t>
      </w:r>
      <w:r w:rsidR="00EC578D" w:rsidRPr="008E4EA2">
        <w:rPr>
          <w:color w:val="000000" w:themeColor="text1"/>
          <w:szCs w:val="24"/>
        </w:rPr>
        <w:t>septembrim</w:t>
      </w:r>
      <w:r w:rsidRPr="008E4EA2">
        <w:rPr>
          <w:color w:val="000000" w:themeColor="text1"/>
          <w:szCs w:val="24"/>
        </w:rPr>
        <w:t>”.</w:t>
      </w:r>
    </w:p>
    <w:p w:rsidR="00D165FB" w:rsidRPr="008E4EA2" w:rsidRDefault="00447FF8" w:rsidP="003A0029">
      <w:pPr>
        <w:spacing w:before="120" w:after="120" w:line="276" w:lineRule="auto"/>
        <w:rPr>
          <w:color w:val="000000" w:themeColor="text1"/>
          <w:szCs w:val="24"/>
          <w:highlight w:val="yellow"/>
        </w:rPr>
      </w:pPr>
      <w:r w:rsidRPr="008E4EA2">
        <w:rPr>
          <w:color w:val="000000" w:themeColor="text1"/>
          <w:szCs w:val="24"/>
        </w:rPr>
        <w:t>Pamatojoties uz</w:t>
      </w:r>
      <w:r w:rsidR="00D165FB" w:rsidRPr="008E4EA2">
        <w:rPr>
          <w:color w:val="000000" w:themeColor="text1"/>
          <w:szCs w:val="24"/>
        </w:rPr>
        <w:t xml:space="preserve"> 2010.gada 1.jūnija MK sēdes </w:t>
      </w:r>
      <w:proofErr w:type="spellStart"/>
      <w:r w:rsidR="00D165FB" w:rsidRPr="008E4EA2">
        <w:rPr>
          <w:color w:val="000000" w:themeColor="text1"/>
          <w:szCs w:val="24"/>
        </w:rPr>
        <w:t>p</w:t>
      </w:r>
      <w:r w:rsidR="00644814" w:rsidRPr="008E4EA2">
        <w:rPr>
          <w:color w:val="000000" w:themeColor="text1"/>
          <w:szCs w:val="24"/>
        </w:rPr>
        <w:t>rotokollēmuma</w:t>
      </w:r>
      <w:proofErr w:type="spellEnd"/>
      <w:r w:rsidR="00644814" w:rsidRPr="008E4EA2">
        <w:rPr>
          <w:color w:val="000000" w:themeColor="text1"/>
          <w:szCs w:val="24"/>
        </w:rPr>
        <w:t xml:space="preserve"> (protokols Nr.28, </w:t>
      </w:r>
      <w:r w:rsidR="00D165FB" w:rsidRPr="008E4EA2">
        <w:rPr>
          <w:color w:val="000000" w:themeColor="text1"/>
          <w:szCs w:val="24"/>
        </w:rPr>
        <w:t>39.§) 7.punktu</w:t>
      </w:r>
      <w:r w:rsidRPr="008E4EA2">
        <w:rPr>
          <w:color w:val="000000" w:themeColor="text1"/>
          <w:szCs w:val="24"/>
        </w:rPr>
        <w:t>,</w:t>
      </w:r>
      <w:r w:rsidR="00D165FB" w:rsidRPr="008E4EA2">
        <w:rPr>
          <w:color w:val="000000" w:themeColor="text1"/>
          <w:szCs w:val="24"/>
        </w:rPr>
        <w:t xml:space="preserve"> VI, gatavojot finanšu apguves informāciju par iepriekšējā ceturkšņa pārskata periodu </w:t>
      </w:r>
      <w:r w:rsidRPr="008E4EA2">
        <w:rPr>
          <w:color w:val="000000" w:themeColor="text1"/>
          <w:szCs w:val="24"/>
        </w:rPr>
        <w:t>„I</w:t>
      </w:r>
      <w:r w:rsidR="00D165FB" w:rsidRPr="008E4EA2">
        <w:rPr>
          <w:color w:val="000000" w:themeColor="text1"/>
          <w:szCs w:val="24"/>
        </w:rPr>
        <w:t>nformatīvā ziņojumā par Eiropas Savienības struktūrfondu un Kohēzijas fonda, Eiropas Ekonomikas zonas finanšu instrumenta, Norvēģijas finanšu instrumenta un Latvijas</w:t>
      </w:r>
      <w:r w:rsidR="00700578" w:rsidRPr="008E4EA2">
        <w:rPr>
          <w:color w:val="000000" w:themeColor="text1"/>
          <w:szCs w:val="24"/>
        </w:rPr>
        <w:t xml:space="preserve"> </w:t>
      </w:r>
      <w:r w:rsidR="00C15B63" w:rsidRPr="008E4EA2">
        <w:rPr>
          <w:color w:val="000000" w:themeColor="text1"/>
          <w:szCs w:val="24"/>
        </w:rPr>
        <w:t xml:space="preserve">un </w:t>
      </w:r>
      <w:r w:rsidR="00D165FB" w:rsidRPr="008E4EA2">
        <w:rPr>
          <w:color w:val="000000" w:themeColor="text1"/>
          <w:szCs w:val="24"/>
        </w:rPr>
        <w:t>Šveices sadarbības programmas</w:t>
      </w:r>
      <w:r w:rsidRPr="008E4EA2">
        <w:rPr>
          <w:color w:val="000000" w:themeColor="text1"/>
          <w:szCs w:val="24"/>
        </w:rPr>
        <w:t xml:space="preserve"> apguvi”, izmanto</w:t>
      </w:r>
      <w:r w:rsidR="00D165FB" w:rsidRPr="008E4EA2">
        <w:rPr>
          <w:color w:val="000000" w:themeColor="text1"/>
          <w:szCs w:val="24"/>
        </w:rPr>
        <w:t xml:space="preserve"> VIS datu ieguves pārskatus, kas izveidoti katra ceturkšņa nākamā mēneša sestajā darba dienā.</w:t>
      </w:r>
      <w:r w:rsidR="00D165FB" w:rsidRPr="008E4EA2">
        <w:rPr>
          <w:color w:val="000000" w:themeColor="text1"/>
          <w:szCs w:val="24"/>
          <w:highlight w:val="yellow"/>
        </w:rPr>
        <w:t xml:space="preserve"> </w:t>
      </w:r>
    </w:p>
    <w:p w:rsidR="009C18B0" w:rsidRPr="008E4EA2" w:rsidRDefault="009C18B0" w:rsidP="003A0029">
      <w:pPr>
        <w:spacing w:before="120" w:after="120" w:line="276" w:lineRule="auto"/>
        <w:rPr>
          <w:color w:val="000000" w:themeColor="text1"/>
          <w:szCs w:val="24"/>
          <w:highlight w:val="yellow"/>
        </w:rPr>
      </w:pPr>
    </w:p>
    <w:p w:rsidR="009C18B0" w:rsidRPr="008E4EA2" w:rsidRDefault="009C18B0" w:rsidP="003A0029">
      <w:pPr>
        <w:spacing w:before="120" w:after="120" w:line="276" w:lineRule="auto"/>
        <w:rPr>
          <w:color w:val="000000" w:themeColor="text1"/>
          <w:szCs w:val="24"/>
          <w:highlight w:val="yellow"/>
        </w:rPr>
      </w:pPr>
      <w:r w:rsidRPr="008E4EA2">
        <w:rPr>
          <w:color w:val="000000" w:themeColor="text1"/>
          <w:szCs w:val="24"/>
          <w:highlight w:val="yellow"/>
        </w:rPr>
        <w:br w:type="page"/>
      </w:r>
    </w:p>
    <w:p w:rsidR="00FF4209" w:rsidRPr="008E4EA2" w:rsidRDefault="00FF4209" w:rsidP="003A0029">
      <w:pPr>
        <w:pStyle w:val="1lmenis"/>
        <w:numPr>
          <w:ilvl w:val="0"/>
          <w:numId w:val="0"/>
        </w:numPr>
        <w:spacing w:before="120" w:after="120" w:line="276" w:lineRule="auto"/>
        <w:ind w:left="491"/>
        <w:rPr>
          <w:rFonts w:ascii="Times New Roman" w:hAnsi="Times New Roman"/>
          <w:color w:val="000000" w:themeColor="text1"/>
          <w:sz w:val="24"/>
          <w:szCs w:val="24"/>
          <w:lang w:val="lv-LV"/>
        </w:rPr>
      </w:pPr>
      <w:bookmarkStart w:id="11" w:name="_Toc324948876"/>
      <w:bookmarkStart w:id="12" w:name="_Toc340241684"/>
      <w:r w:rsidRPr="008E4EA2">
        <w:rPr>
          <w:rFonts w:ascii="Times New Roman" w:hAnsi="Times New Roman"/>
          <w:color w:val="000000" w:themeColor="text1"/>
          <w:sz w:val="24"/>
          <w:szCs w:val="24"/>
          <w:lang w:val="lv-LV"/>
        </w:rPr>
        <w:lastRenderedPageBreak/>
        <w:t>Kopsavilkums</w:t>
      </w:r>
      <w:bookmarkEnd w:id="7"/>
      <w:bookmarkEnd w:id="8"/>
      <w:bookmarkEnd w:id="11"/>
      <w:bookmarkEnd w:id="12"/>
      <w:r w:rsidR="00EB7B97" w:rsidRPr="008E4EA2">
        <w:rPr>
          <w:rFonts w:ascii="Times New Roman" w:hAnsi="Times New Roman"/>
          <w:color w:val="000000" w:themeColor="text1"/>
          <w:sz w:val="24"/>
          <w:szCs w:val="24"/>
          <w:lang w:val="lv-LV"/>
        </w:rPr>
        <w:t xml:space="preserve"> </w:t>
      </w:r>
    </w:p>
    <w:p w:rsidR="002431CB" w:rsidRPr="008E4EA2" w:rsidRDefault="002431CB" w:rsidP="003A0029">
      <w:pPr>
        <w:spacing w:before="120" w:after="120" w:line="276" w:lineRule="auto"/>
        <w:rPr>
          <w:b/>
          <w:color w:val="000000" w:themeColor="text1"/>
          <w:szCs w:val="24"/>
        </w:rPr>
      </w:pPr>
      <w:bookmarkStart w:id="13" w:name="_Toc324948877"/>
      <w:bookmarkStart w:id="14" w:name="_Toc276049970"/>
      <w:bookmarkStart w:id="15" w:name="_Toc283655975"/>
      <w:r w:rsidRPr="008E4EA2">
        <w:rPr>
          <w:b/>
          <w:color w:val="000000" w:themeColor="text1"/>
          <w:szCs w:val="24"/>
        </w:rPr>
        <w:t xml:space="preserve">2007.-2013.gada plānošanas perioda ES fondu apguve </w:t>
      </w:r>
    </w:p>
    <w:p w:rsidR="002431CB" w:rsidRPr="008E4EA2" w:rsidRDefault="002431CB" w:rsidP="003A0029">
      <w:pPr>
        <w:spacing w:before="120" w:after="120" w:line="276" w:lineRule="auto"/>
        <w:rPr>
          <w:color w:val="000000" w:themeColor="text1"/>
          <w:szCs w:val="24"/>
        </w:rPr>
      </w:pPr>
      <w:r w:rsidRPr="008E4EA2">
        <w:rPr>
          <w:color w:val="000000" w:themeColor="text1"/>
          <w:szCs w:val="24"/>
        </w:rPr>
        <w:t xml:space="preserve">Kopumā no projektu īstenošanai pieejamiem 3,5 </w:t>
      </w:r>
      <w:proofErr w:type="spellStart"/>
      <w:r w:rsidRPr="008E4EA2">
        <w:rPr>
          <w:color w:val="000000" w:themeColor="text1"/>
          <w:szCs w:val="24"/>
        </w:rPr>
        <w:t>mljrd</w:t>
      </w:r>
      <w:proofErr w:type="spellEnd"/>
      <w:r w:rsidRPr="008E4EA2">
        <w:rPr>
          <w:color w:val="000000" w:themeColor="text1"/>
          <w:szCs w:val="24"/>
        </w:rPr>
        <w:t xml:space="preserve">. latu publiskā finansējuma, kas ietver gan ES fondu finansējumu, gan arī valsts budžeta un pašvaldību budžeta līdzfinansējumu, finansējuma saņēmējiem ir izmaksāta vairāk nekā puse, </w:t>
      </w:r>
      <w:proofErr w:type="spellStart"/>
      <w:r w:rsidRPr="008E4EA2">
        <w:rPr>
          <w:color w:val="000000" w:themeColor="text1"/>
          <w:szCs w:val="24"/>
        </w:rPr>
        <w:t>t.i</w:t>
      </w:r>
      <w:proofErr w:type="spellEnd"/>
      <w:r w:rsidRPr="008E4EA2">
        <w:rPr>
          <w:color w:val="000000" w:themeColor="text1"/>
          <w:szCs w:val="24"/>
        </w:rPr>
        <w:t>., 52,5%, salīdzinot ar iepriekšējo pārskata periodu sasniedzot progresu 2,8% apmērā. Savukārt apstiprināti projekti par 95% (progress 3,3%).</w:t>
      </w:r>
    </w:p>
    <w:p w:rsidR="002431CB" w:rsidRPr="008E4EA2" w:rsidRDefault="002431CB" w:rsidP="003A0029">
      <w:pPr>
        <w:spacing w:before="120" w:after="120" w:line="276" w:lineRule="auto"/>
        <w:rPr>
          <w:color w:val="000000" w:themeColor="text1"/>
          <w:szCs w:val="24"/>
        </w:rPr>
      </w:pPr>
      <w:r w:rsidRPr="008E4EA2">
        <w:rPr>
          <w:color w:val="000000" w:themeColor="text1"/>
          <w:szCs w:val="24"/>
        </w:rPr>
        <w:t>2012.gada jūnija beigās Latvijai tika atjaunoti maksājumi no EK. Līdz ar to Latvija starp visām ES dalībvalstīm ir pakāpusies par septiņām vietām uz 10.vietu, bet starp jaunajām dalībvalstīm pakāpusies no sestās uz ceturto vietu.</w:t>
      </w:r>
    </w:p>
    <w:p w:rsidR="002431CB" w:rsidRPr="008E4EA2" w:rsidRDefault="002431CB" w:rsidP="003A0029">
      <w:pPr>
        <w:spacing w:before="120" w:after="120" w:line="276" w:lineRule="auto"/>
        <w:rPr>
          <w:color w:val="000000" w:themeColor="text1"/>
          <w:szCs w:val="24"/>
        </w:rPr>
      </w:pPr>
      <w:r w:rsidRPr="008E4EA2">
        <w:rPr>
          <w:color w:val="000000" w:themeColor="text1"/>
          <w:szCs w:val="24"/>
        </w:rPr>
        <w:t xml:space="preserve">Lai arī gada sākumā mērķu izpilde bija pozitīva, jau iepriekšējā ziņojumā VI </w:t>
      </w:r>
      <w:r w:rsidR="00F95765" w:rsidRPr="008E4EA2">
        <w:rPr>
          <w:color w:val="000000" w:themeColor="text1"/>
          <w:szCs w:val="24"/>
        </w:rPr>
        <w:t>informēja</w:t>
      </w:r>
      <w:r w:rsidRPr="008E4EA2">
        <w:rPr>
          <w:color w:val="000000" w:themeColor="text1"/>
          <w:szCs w:val="24"/>
        </w:rPr>
        <w:t xml:space="preserve">, ka </w:t>
      </w:r>
      <w:r w:rsidR="00F95765" w:rsidRPr="008E4EA2">
        <w:rPr>
          <w:color w:val="000000" w:themeColor="text1"/>
          <w:szCs w:val="24"/>
        </w:rPr>
        <w:t xml:space="preserve">atbilstoši atbildīgo iestāžu prognozēm </w:t>
      </w:r>
      <w:proofErr w:type="spellStart"/>
      <w:r w:rsidRPr="008E4EA2">
        <w:rPr>
          <w:color w:val="000000" w:themeColor="text1"/>
          <w:szCs w:val="24"/>
        </w:rPr>
        <w:t>š.g</w:t>
      </w:r>
      <w:proofErr w:type="spellEnd"/>
      <w:r w:rsidRPr="008E4EA2">
        <w:rPr>
          <w:color w:val="000000" w:themeColor="text1"/>
          <w:szCs w:val="24"/>
        </w:rPr>
        <w:t>. otrajā pusgadā sagaidāma novirze no plānotā</w:t>
      </w:r>
      <w:r w:rsidR="00F95765" w:rsidRPr="008E4EA2">
        <w:rPr>
          <w:color w:val="000000" w:themeColor="text1"/>
          <w:szCs w:val="24"/>
        </w:rPr>
        <w:t xml:space="preserve">. Secināms, ka </w:t>
      </w:r>
      <w:proofErr w:type="spellStart"/>
      <w:r w:rsidR="00F95765" w:rsidRPr="008E4EA2">
        <w:rPr>
          <w:color w:val="000000" w:themeColor="text1"/>
          <w:szCs w:val="24"/>
        </w:rPr>
        <w:t>š.g</w:t>
      </w:r>
      <w:proofErr w:type="spellEnd"/>
      <w:r w:rsidR="00F95765" w:rsidRPr="008E4EA2">
        <w:rPr>
          <w:color w:val="000000" w:themeColor="text1"/>
          <w:szCs w:val="24"/>
        </w:rPr>
        <w:t>.</w:t>
      </w:r>
      <w:r w:rsidRPr="008E4EA2">
        <w:rPr>
          <w:color w:val="000000" w:themeColor="text1"/>
          <w:szCs w:val="24"/>
        </w:rPr>
        <w:t xml:space="preserve"> trešā ceturkšņa finanšu apguves mērķa izpilde nav apmierinoša</w:t>
      </w:r>
      <w:r w:rsidR="00F95765" w:rsidRPr="008E4EA2">
        <w:rPr>
          <w:color w:val="000000" w:themeColor="text1"/>
          <w:szCs w:val="24"/>
        </w:rPr>
        <w:t xml:space="preserve"> </w:t>
      </w:r>
      <w:r w:rsidR="002B2547" w:rsidRPr="008E4EA2">
        <w:rPr>
          <w:color w:val="000000" w:themeColor="text1"/>
          <w:szCs w:val="24"/>
        </w:rPr>
        <w:t>–</w:t>
      </w:r>
      <w:r w:rsidR="005E1672">
        <w:rPr>
          <w:color w:val="000000" w:themeColor="text1"/>
          <w:szCs w:val="24"/>
        </w:rPr>
        <w:t xml:space="preserve"> </w:t>
      </w:r>
      <w:r w:rsidR="005244FB" w:rsidRPr="008E4EA2">
        <w:rPr>
          <w:color w:val="000000" w:themeColor="text1"/>
          <w:szCs w:val="24"/>
        </w:rPr>
        <w:t xml:space="preserve">2012.gada ietvaros ir </w:t>
      </w:r>
      <w:r w:rsidRPr="008E4EA2">
        <w:rPr>
          <w:color w:val="000000" w:themeColor="text1"/>
          <w:szCs w:val="24"/>
        </w:rPr>
        <w:t xml:space="preserve">veikti maksājumi </w:t>
      </w:r>
      <w:r w:rsidR="005244FB" w:rsidRPr="008E4EA2">
        <w:rPr>
          <w:color w:val="000000" w:themeColor="text1"/>
          <w:szCs w:val="24"/>
        </w:rPr>
        <w:t>287,4</w:t>
      </w:r>
      <w:r w:rsidRPr="008E4EA2">
        <w:rPr>
          <w:color w:val="000000" w:themeColor="text1"/>
          <w:szCs w:val="24"/>
        </w:rPr>
        <w:t xml:space="preserve"> </w:t>
      </w:r>
      <w:proofErr w:type="spellStart"/>
      <w:r w:rsidRPr="008E4EA2">
        <w:rPr>
          <w:color w:val="000000" w:themeColor="text1"/>
          <w:szCs w:val="24"/>
        </w:rPr>
        <w:t>milj</w:t>
      </w:r>
      <w:proofErr w:type="spellEnd"/>
      <w:r w:rsidRPr="008E4EA2">
        <w:rPr>
          <w:color w:val="000000" w:themeColor="text1"/>
          <w:szCs w:val="24"/>
        </w:rPr>
        <w:t xml:space="preserve">. latu ES fondu finansējuma apjomā, kas ir tikai puse no 2012.gadā plānotā maksājumu finansējuma saņēmējiem apjoma. Lēnākā ES fondu līdzekļu apguve vērojama KF fonda ietvaros (izpildīti 52% no mērķa līdz 2012.gada 30.septembrim), kā arī ERAF. ES fondu apguvi kavē iepirkumu problēmas (sūdzības, iepirkumu beigšanās bez rezultātiem, problēmas iepirkumu procedūras norisē), konstatētas neatbilstības projektu ietvaros un jautājumi saistīti ar MK noteikumos par aktivitāšu īstenošanu noteikto izdevumu pozīciju apjoma pārsniegumu, pieaugošo sadārdzinājumu autoceļu būvniecības un ūdenssaimniecības projektos, kā arī projektu ieviešanas termiņu pagarinājumi. </w:t>
      </w:r>
      <w:r w:rsidR="00D45811" w:rsidRPr="008E4EA2">
        <w:rPr>
          <w:color w:val="000000" w:themeColor="text1"/>
          <w:szCs w:val="24"/>
        </w:rPr>
        <w:t xml:space="preserve">Turklāt jāņem vērā maksājumu plūsmas aizkavējumi, kas rodas no pastiprinātiem projektu kontroles pasākumiem, tai skaitā iepirkumu </w:t>
      </w:r>
      <w:proofErr w:type="spellStart"/>
      <w:r w:rsidR="00D45811" w:rsidRPr="008E4EA2">
        <w:rPr>
          <w:color w:val="000000" w:themeColor="text1"/>
          <w:szCs w:val="24"/>
        </w:rPr>
        <w:t>pirmspārbaudēm</w:t>
      </w:r>
      <w:proofErr w:type="spellEnd"/>
      <w:r w:rsidR="00D45811" w:rsidRPr="008E4EA2">
        <w:rPr>
          <w:color w:val="000000" w:themeColor="text1"/>
          <w:szCs w:val="24"/>
        </w:rPr>
        <w:t>, savlaicīgi risinot konstatētos trūkumus.</w:t>
      </w:r>
    </w:p>
    <w:p w:rsidR="000115DB" w:rsidRPr="008E4EA2" w:rsidRDefault="00D45811" w:rsidP="003A0029">
      <w:pPr>
        <w:spacing w:before="120" w:after="120" w:line="276" w:lineRule="auto"/>
        <w:rPr>
          <w:color w:val="000000" w:themeColor="text1"/>
          <w:szCs w:val="24"/>
        </w:rPr>
      </w:pPr>
      <w:r w:rsidRPr="008E4EA2">
        <w:rPr>
          <w:color w:val="000000" w:themeColor="text1"/>
          <w:szCs w:val="24"/>
        </w:rPr>
        <w:t xml:space="preserve">Šajā pārskata periodā notika arī kārtējā </w:t>
      </w:r>
      <w:r w:rsidR="005244FB" w:rsidRPr="008E4EA2">
        <w:rPr>
          <w:color w:val="000000" w:themeColor="text1"/>
          <w:szCs w:val="24"/>
        </w:rPr>
        <w:t>UK</w:t>
      </w:r>
      <w:r w:rsidRPr="008E4EA2">
        <w:rPr>
          <w:color w:val="000000" w:themeColor="text1"/>
          <w:szCs w:val="24"/>
        </w:rPr>
        <w:t xml:space="preserve"> sēde Rīgā, kuras ietvaros sociāliem un sadarbības partneriem īpaši tika dota iespēja sniegt savu redzējumu par ES finansējuma izmantošanas jautājumiem. </w:t>
      </w:r>
      <w:r w:rsidR="00A67638" w:rsidRPr="008E4EA2">
        <w:rPr>
          <w:color w:val="000000" w:themeColor="text1"/>
          <w:szCs w:val="24"/>
        </w:rPr>
        <w:t>Ievērojot partnerības principu, n</w:t>
      </w:r>
      <w:r w:rsidRPr="008E4EA2">
        <w:rPr>
          <w:color w:val="000000" w:themeColor="text1"/>
          <w:szCs w:val="24"/>
        </w:rPr>
        <w:t xml:space="preserve">otika arī pirmā </w:t>
      </w:r>
      <w:r w:rsidR="00A67638" w:rsidRPr="008E4EA2">
        <w:rPr>
          <w:color w:val="000000" w:themeColor="text1"/>
          <w:szCs w:val="24"/>
        </w:rPr>
        <w:t xml:space="preserve">informatīvā </w:t>
      </w:r>
      <w:r w:rsidRPr="008E4EA2">
        <w:rPr>
          <w:color w:val="000000" w:themeColor="text1"/>
          <w:szCs w:val="24"/>
        </w:rPr>
        <w:t>Pagaidu uzraudzības komiteja, gatavojoties 2014.</w:t>
      </w:r>
      <w:r w:rsidR="002B2547" w:rsidRPr="008E4EA2">
        <w:rPr>
          <w:color w:val="000000" w:themeColor="text1"/>
          <w:szCs w:val="24"/>
        </w:rPr>
        <w:t xml:space="preserve"> – </w:t>
      </w:r>
      <w:r w:rsidRPr="008E4EA2">
        <w:rPr>
          <w:color w:val="000000" w:themeColor="text1"/>
          <w:szCs w:val="24"/>
        </w:rPr>
        <w:t>2020.gadu Kohēzijas politikas finanšu perspektīvai.</w:t>
      </w:r>
    </w:p>
    <w:p w:rsidR="000115DB" w:rsidRPr="008E4EA2" w:rsidRDefault="000115DB" w:rsidP="003A0029">
      <w:pPr>
        <w:spacing w:before="120" w:after="120" w:line="276" w:lineRule="auto"/>
        <w:rPr>
          <w:color w:val="000000" w:themeColor="text1"/>
          <w:szCs w:val="24"/>
        </w:rPr>
      </w:pPr>
      <w:r w:rsidRPr="008E4EA2">
        <w:rPr>
          <w:color w:val="000000" w:themeColor="text1"/>
          <w:szCs w:val="24"/>
        </w:rPr>
        <w:t>Šajā pārskata periodā a</w:t>
      </w:r>
      <w:r w:rsidR="002E7D60" w:rsidRPr="008E4EA2">
        <w:rPr>
          <w:color w:val="000000" w:themeColor="text1"/>
          <w:szCs w:val="24"/>
        </w:rPr>
        <w:t xml:space="preserve">tbildīgās ministrijas ir precizējušas </w:t>
      </w:r>
      <w:proofErr w:type="spellStart"/>
      <w:r w:rsidR="002E7D60" w:rsidRPr="008E4EA2">
        <w:rPr>
          <w:color w:val="000000" w:themeColor="text1"/>
          <w:szCs w:val="24"/>
        </w:rPr>
        <w:t>virssaistību</w:t>
      </w:r>
      <w:proofErr w:type="spellEnd"/>
      <w:r w:rsidR="002E7D60" w:rsidRPr="008E4EA2">
        <w:rPr>
          <w:color w:val="000000" w:themeColor="text1"/>
          <w:szCs w:val="24"/>
        </w:rPr>
        <w:t xml:space="preserve"> izlietojuma plānus noslēgto līgumu un maksājumu finansējuma saņēmējiem apjomam. </w:t>
      </w:r>
      <w:r w:rsidRPr="008E4EA2">
        <w:rPr>
          <w:color w:val="000000" w:themeColor="text1"/>
          <w:szCs w:val="24"/>
        </w:rPr>
        <w:t xml:space="preserve">Uzņemto </w:t>
      </w:r>
      <w:proofErr w:type="spellStart"/>
      <w:r w:rsidRPr="008E4EA2">
        <w:rPr>
          <w:color w:val="000000" w:themeColor="text1"/>
          <w:szCs w:val="24"/>
        </w:rPr>
        <w:t>virssaistību</w:t>
      </w:r>
      <w:proofErr w:type="spellEnd"/>
      <w:r w:rsidRPr="008E4EA2">
        <w:rPr>
          <w:color w:val="000000" w:themeColor="text1"/>
          <w:szCs w:val="24"/>
        </w:rPr>
        <w:t xml:space="preserve"> mērķis ir nodrošināt 100% ES fondu apguvi, kompensējot neatbilstības un lauztos līgumus, vienlaikus bez negatīvas ietekmes uz valsts budžeta deficītu. </w:t>
      </w:r>
    </w:p>
    <w:p w:rsidR="002E7D60" w:rsidRPr="008E4EA2" w:rsidRDefault="002E7D60" w:rsidP="003A0029">
      <w:pPr>
        <w:spacing w:before="120" w:after="120" w:line="276" w:lineRule="auto"/>
        <w:rPr>
          <w:color w:val="000000" w:themeColor="text1"/>
          <w:szCs w:val="24"/>
        </w:rPr>
      </w:pPr>
      <w:r w:rsidRPr="008E4EA2">
        <w:rPr>
          <w:color w:val="000000" w:themeColor="text1"/>
          <w:szCs w:val="24"/>
        </w:rPr>
        <w:t xml:space="preserve">Kopējais lemtais </w:t>
      </w:r>
      <w:proofErr w:type="spellStart"/>
      <w:r w:rsidRPr="008E4EA2">
        <w:rPr>
          <w:color w:val="000000" w:themeColor="text1"/>
          <w:szCs w:val="24"/>
        </w:rPr>
        <w:t>virssaistību</w:t>
      </w:r>
      <w:proofErr w:type="spellEnd"/>
      <w:r w:rsidRPr="008E4EA2">
        <w:rPr>
          <w:color w:val="000000" w:themeColor="text1"/>
          <w:szCs w:val="24"/>
        </w:rPr>
        <w:t xml:space="preserve"> apjoms ir </w:t>
      </w:r>
      <w:r w:rsidR="000C7130" w:rsidRPr="008E4EA2">
        <w:rPr>
          <w:color w:val="000000" w:themeColor="text1"/>
          <w:szCs w:val="24"/>
        </w:rPr>
        <w:t xml:space="preserve">298,6 </w:t>
      </w:r>
      <w:proofErr w:type="spellStart"/>
      <w:r w:rsidRPr="008E4EA2">
        <w:rPr>
          <w:color w:val="000000" w:themeColor="text1"/>
          <w:szCs w:val="24"/>
        </w:rPr>
        <w:t>milj</w:t>
      </w:r>
      <w:proofErr w:type="spellEnd"/>
      <w:r w:rsidRPr="008E4EA2">
        <w:rPr>
          <w:color w:val="000000" w:themeColor="text1"/>
          <w:szCs w:val="24"/>
        </w:rPr>
        <w:t>. latu, ko ministrijas paredz uzņemties līdz 2013.gada beigām, lielāko daļu no līgumu apjoma slēdzot 2013.gada ceturtajā ceturksnī. Savukārt lielākais maksājumu apjoms ES fondu finansējuma saņēmējiem paredzēts 2014.gadā</w:t>
      </w:r>
      <w:r w:rsidR="000115DB" w:rsidRPr="008E4EA2">
        <w:rPr>
          <w:color w:val="000000" w:themeColor="text1"/>
          <w:szCs w:val="24"/>
        </w:rPr>
        <w:t>.</w:t>
      </w:r>
    </w:p>
    <w:p w:rsidR="005315D6" w:rsidRPr="008E4EA2" w:rsidRDefault="002E7D60" w:rsidP="003A0029">
      <w:pPr>
        <w:spacing w:before="120" w:after="120" w:line="276" w:lineRule="auto"/>
        <w:rPr>
          <w:color w:val="000000" w:themeColor="text1"/>
          <w:szCs w:val="24"/>
        </w:rPr>
      </w:pPr>
      <w:r w:rsidRPr="008E4EA2">
        <w:rPr>
          <w:iCs/>
          <w:color w:val="000000" w:themeColor="text1"/>
          <w:szCs w:val="24"/>
        </w:rPr>
        <w:t xml:space="preserve">Ņemot vērā, ka </w:t>
      </w:r>
      <w:proofErr w:type="spellStart"/>
      <w:r w:rsidRPr="008E4EA2">
        <w:rPr>
          <w:iCs/>
          <w:color w:val="000000" w:themeColor="text1"/>
          <w:szCs w:val="24"/>
        </w:rPr>
        <w:t>virssaistību</w:t>
      </w:r>
      <w:proofErr w:type="spellEnd"/>
      <w:r w:rsidRPr="008E4EA2">
        <w:rPr>
          <w:iCs/>
          <w:color w:val="000000" w:themeColor="text1"/>
          <w:szCs w:val="24"/>
        </w:rPr>
        <w:t xml:space="preserve"> uzņemšanās rada papildus slogu valsts budžetam, </w:t>
      </w:r>
      <w:proofErr w:type="spellStart"/>
      <w:r w:rsidRPr="008E4EA2">
        <w:rPr>
          <w:iCs/>
          <w:color w:val="000000" w:themeColor="text1"/>
          <w:szCs w:val="24"/>
        </w:rPr>
        <w:t>virssaistību</w:t>
      </w:r>
      <w:proofErr w:type="spellEnd"/>
      <w:r w:rsidRPr="008E4EA2">
        <w:rPr>
          <w:iCs/>
          <w:color w:val="000000" w:themeColor="text1"/>
          <w:szCs w:val="24"/>
        </w:rPr>
        <w:t xml:space="preserve"> finansējuma novirzīšanai ES fondu projektu īstenotājiem jānorit saskaņā ar ministriju iepriekš noteiktajiem ikmēneša un ceturkšņa apguves plāniem</w:t>
      </w:r>
      <w:r w:rsidR="00A67638" w:rsidRPr="008E4EA2">
        <w:rPr>
          <w:iCs/>
          <w:color w:val="000000" w:themeColor="text1"/>
          <w:szCs w:val="24"/>
        </w:rPr>
        <w:t>, nepieļaujot nobīdes uz vēlāku</w:t>
      </w:r>
      <w:r w:rsidRPr="008E4EA2">
        <w:rPr>
          <w:iCs/>
          <w:color w:val="000000" w:themeColor="text1"/>
          <w:szCs w:val="24"/>
        </w:rPr>
        <w:t>.</w:t>
      </w:r>
      <w:r w:rsidR="00A67638" w:rsidRPr="008E4EA2">
        <w:rPr>
          <w:iCs/>
          <w:color w:val="000000" w:themeColor="text1"/>
          <w:szCs w:val="24"/>
        </w:rPr>
        <w:t xml:space="preserve"> Jebkurā gadījumā, lai </w:t>
      </w:r>
      <w:proofErr w:type="spellStart"/>
      <w:r w:rsidR="00A67638" w:rsidRPr="008E4EA2">
        <w:rPr>
          <w:iCs/>
          <w:color w:val="000000" w:themeColor="text1"/>
          <w:szCs w:val="24"/>
        </w:rPr>
        <w:t>virssaistību</w:t>
      </w:r>
      <w:proofErr w:type="spellEnd"/>
      <w:r w:rsidR="00A67638" w:rsidRPr="008E4EA2">
        <w:rPr>
          <w:iCs/>
          <w:color w:val="000000" w:themeColor="text1"/>
          <w:szCs w:val="24"/>
        </w:rPr>
        <w:t xml:space="preserve"> projektu izdevumi varētu tikt deklarēti EK, šo </w:t>
      </w:r>
      <w:r w:rsidR="00A67638" w:rsidRPr="008E4EA2">
        <w:rPr>
          <w:iCs/>
          <w:color w:val="000000" w:themeColor="text1"/>
          <w:szCs w:val="24"/>
        </w:rPr>
        <w:lastRenderedPageBreak/>
        <w:t xml:space="preserve">projektu ieviešanas, uzraudzības, kontroles aspekti, saistošais regulējums ir tāds pats kā citiem ES fondu projektiem. </w:t>
      </w:r>
      <w:r w:rsidR="005315D6" w:rsidRPr="008E4EA2">
        <w:rPr>
          <w:color w:val="000000" w:themeColor="text1"/>
          <w:szCs w:val="24"/>
        </w:rPr>
        <w:t>Izvērtējot IEM un LR Prokuratūras ierosinājumu pēc papildu finan</w:t>
      </w:r>
      <w:r w:rsidR="00C15BAB" w:rsidRPr="008E4EA2">
        <w:rPr>
          <w:color w:val="000000" w:themeColor="text1"/>
          <w:szCs w:val="24"/>
        </w:rPr>
        <w:t>sējuma 11</w:t>
      </w:r>
      <w:r w:rsidR="000C1A7A" w:rsidRPr="008E4EA2">
        <w:rPr>
          <w:color w:val="000000" w:themeColor="text1"/>
          <w:szCs w:val="24"/>
        </w:rPr>
        <w:t>,4</w:t>
      </w:r>
      <w:r w:rsidR="00C15BAB" w:rsidRPr="008E4EA2">
        <w:rPr>
          <w:color w:val="000000" w:themeColor="text1"/>
          <w:szCs w:val="24"/>
        </w:rPr>
        <w:t> </w:t>
      </w:r>
      <w:r w:rsidR="000C1A7A" w:rsidRPr="008E4EA2">
        <w:rPr>
          <w:color w:val="000000" w:themeColor="text1"/>
          <w:szCs w:val="24"/>
        </w:rPr>
        <w:t xml:space="preserve">milj. </w:t>
      </w:r>
      <w:r w:rsidR="00C15BAB" w:rsidRPr="008E4EA2">
        <w:rPr>
          <w:color w:val="000000" w:themeColor="text1"/>
          <w:szCs w:val="24"/>
        </w:rPr>
        <w:t>latu apmērā IE</w:t>
      </w:r>
      <w:r w:rsidR="005315D6" w:rsidRPr="008E4EA2">
        <w:rPr>
          <w:color w:val="000000" w:themeColor="text1"/>
          <w:szCs w:val="24"/>
        </w:rPr>
        <w:t>M radio sakaru tīkla projekta īstenošanai un 1</w:t>
      </w:r>
      <w:r w:rsidR="000C1A7A" w:rsidRPr="008E4EA2">
        <w:rPr>
          <w:color w:val="000000" w:themeColor="text1"/>
          <w:szCs w:val="24"/>
        </w:rPr>
        <w:t xml:space="preserve">,8 </w:t>
      </w:r>
      <w:proofErr w:type="spellStart"/>
      <w:r w:rsidR="000C1A7A" w:rsidRPr="008E4EA2">
        <w:rPr>
          <w:color w:val="000000" w:themeColor="text1"/>
          <w:szCs w:val="24"/>
        </w:rPr>
        <w:t>milj</w:t>
      </w:r>
      <w:proofErr w:type="spellEnd"/>
      <w:r w:rsidR="000C1A7A" w:rsidRPr="008E4EA2">
        <w:rPr>
          <w:color w:val="000000" w:themeColor="text1"/>
          <w:szCs w:val="24"/>
        </w:rPr>
        <w:t>.</w:t>
      </w:r>
      <w:r w:rsidR="005E1672">
        <w:rPr>
          <w:color w:val="000000" w:themeColor="text1"/>
          <w:szCs w:val="24"/>
        </w:rPr>
        <w:t xml:space="preserve"> </w:t>
      </w:r>
      <w:r w:rsidR="005315D6" w:rsidRPr="008E4EA2">
        <w:rPr>
          <w:color w:val="000000" w:themeColor="text1"/>
          <w:szCs w:val="24"/>
        </w:rPr>
        <w:t xml:space="preserve">latu apmērā Ģenerālprokuratūras informācijas sistēmas attīstības projektam tiesu sistēmas un finanšu noziegumu izmeklējošo iestāžu kapacitātes stiprināšanai, kas sekmētu </w:t>
      </w:r>
      <w:r w:rsidR="000C1A7A" w:rsidRPr="008E4EA2">
        <w:rPr>
          <w:color w:val="000000" w:themeColor="text1"/>
          <w:szCs w:val="24"/>
        </w:rPr>
        <w:t>EK</w:t>
      </w:r>
      <w:r w:rsidR="005315D6" w:rsidRPr="008E4EA2">
        <w:rPr>
          <w:color w:val="000000" w:themeColor="text1"/>
          <w:szCs w:val="24"/>
        </w:rPr>
        <w:t xml:space="preserve"> rekomendācijas ieviešanu attiecībā uz tieslietu sistēmas uzlabošanu, ar </w:t>
      </w:r>
      <w:proofErr w:type="spellStart"/>
      <w:r w:rsidR="005315D6" w:rsidRPr="008E4EA2">
        <w:rPr>
          <w:color w:val="000000" w:themeColor="text1"/>
          <w:szCs w:val="24"/>
        </w:rPr>
        <w:t>š.g</w:t>
      </w:r>
      <w:proofErr w:type="spellEnd"/>
      <w:r w:rsidR="005315D6" w:rsidRPr="008E4EA2">
        <w:rPr>
          <w:color w:val="000000" w:themeColor="text1"/>
          <w:szCs w:val="24"/>
        </w:rPr>
        <w:t xml:space="preserve">. 16.oktobra MK </w:t>
      </w:r>
      <w:proofErr w:type="spellStart"/>
      <w:r w:rsidR="005315D6" w:rsidRPr="008E4EA2">
        <w:rPr>
          <w:color w:val="000000" w:themeColor="text1"/>
          <w:szCs w:val="24"/>
        </w:rPr>
        <w:t>protokollēmumu</w:t>
      </w:r>
      <w:proofErr w:type="spellEnd"/>
      <w:r w:rsidR="005315D6" w:rsidRPr="008E4EA2">
        <w:rPr>
          <w:color w:val="000000" w:themeColor="text1"/>
          <w:szCs w:val="24"/>
        </w:rPr>
        <w:t xml:space="preserve"> (protokols Nr.58 29.§) tika lemts par </w:t>
      </w:r>
      <w:proofErr w:type="spellStart"/>
      <w:r w:rsidR="005315D6" w:rsidRPr="008E4EA2">
        <w:rPr>
          <w:color w:val="000000" w:themeColor="text1"/>
          <w:szCs w:val="24"/>
        </w:rPr>
        <w:t>virssaistību</w:t>
      </w:r>
      <w:proofErr w:type="spellEnd"/>
      <w:r w:rsidR="005315D6" w:rsidRPr="008E4EA2">
        <w:rPr>
          <w:color w:val="000000" w:themeColor="text1"/>
          <w:szCs w:val="24"/>
        </w:rPr>
        <w:t xml:space="preserve"> finansējuma novirzīšanu IEM radio sakaru tīkla projekta un Ģenerālprokuratūras informācijas sistēmas attīstības</w:t>
      </w:r>
      <w:r w:rsidR="005E1672">
        <w:rPr>
          <w:color w:val="000000" w:themeColor="text1"/>
          <w:szCs w:val="24"/>
        </w:rPr>
        <w:t xml:space="preserve"> </w:t>
      </w:r>
      <w:r w:rsidR="005315D6" w:rsidRPr="008E4EA2">
        <w:rPr>
          <w:color w:val="000000" w:themeColor="text1"/>
          <w:szCs w:val="24"/>
        </w:rPr>
        <w:t xml:space="preserve">projekta īstenošanai, veicot </w:t>
      </w:r>
      <w:proofErr w:type="spellStart"/>
      <w:r w:rsidR="005315D6" w:rsidRPr="008E4EA2">
        <w:rPr>
          <w:color w:val="000000" w:themeColor="text1"/>
          <w:szCs w:val="24"/>
        </w:rPr>
        <w:t>virssaistību</w:t>
      </w:r>
      <w:proofErr w:type="spellEnd"/>
      <w:r w:rsidR="005315D6" w:rsidRPr="008E4EA2">
        <w:rPr>
          <w:color w:val="000000" w:themeColor="text1"/>
          <w:szCs w:val="24"/>
        </w:rPr>
        <w:t xml:space="preserve"> finansējuma samazinājumu citās ES fondu aktivitātēs. </w:t>
      </w:r>
    </w:p>
    <w:p w:rsidR="002431CB" w:rsidRPr="008E4EA2" w:rsidRDefault="002431CB" w:rsidP="003A0029">
      <w:pPr>
        <w:spacing w:before="120" w:after="120" w:line="276" w:lineRule="auto"/>
        <w:rPr>
          <w:color w:val="000000" w:themeColor="text1"/>
          <w:szCs w:val="24"/>
        </w:rPr>
      </w:pPr>
      <w:r w:rsidRPr="008E4EA2">
        <w:rPr>
          <w:color w:val="000000" w:themeColor="text1"/>
          <w:szCs w:val="24"/>
        </w:rPr>
        <w:t xml:space="preserve">Līdz pārskata perioda beigām </w:t>
      </w:r>
      <w:proofErr w:type="spellStart"/>
      <w:r w:rsidRPr="008E4EA2">
        <w:rPr>
          <w:color w:val="000000" w:themeColor="text1"/>
          <w:szCs w:val="24"/>
        </w:rPr>
        <w:t>donorvalstis</w:t>
      </w:r>
      <w:proofErr w:type="spellEnd"/>
      <w:r w:rsidRPr="008E4EA2">
        <w:rPr>
          <w:color w:val="000000" w:themeColor="text1"/>
          <w:szCs w:val="24"/>
        </w:rPr>
        <w:t xml:space="preserve"> ir apstiprinājušas četras no septiņām EEZ/</w:t>
      </w:r>
      <w:r w:rsidR="009F0B64" w:rsidRPr="008E4EA2">
        <w:rPr>
          <w:color w:val="000000" w:themeColor="text1"/>
          <w:szCs w:val="24"/>
        </w:rPr>
        <w:t xml:space="preserve">Norvēģijas finanšu instrumentu </w:t>
      </w:r>
      <w:r w:rsidRPr="008E4EA2">
        <w:rPr>
          <w:color w:val="000000" w:themeColor="text1"/>
          <w:szCs w:val="24"/>
        </w:rPr>
        <w:t>2009.</w:t>
      </w:r>
      <w:r w:rsidR="002B2547" w:rsidRPr="008E4EA2">
        <w:rPr>
          <w:color w:val="000000" w:themeColor="text1"/>
          <w:szCs w:val="24"/>
        </w:rPr>
        <w:t xml:space="preserve"> – </w:t>
      </w:r>
      <w:r w:rsidRPr="008E4EA2">
        <w:rPr>
          <w:color w:val="000000" w:themeColor="text1"/>
          <w:szCs w:val="24"/>
        </w:rPr>
        <w:t xml:space="preserve">2014.gada perioda Latvijas programmām, atlikušās trīs plānots apstiprināt 2012.gada ceturtajā ceturksnī. Latvijā programmas ieviesīs laika periodā no 2012.gada nogales līdz 2017.gadam par kopējo finansējumu 53,0 </w:t>
      </w:r>
      <w:proofErr w:type="spellStart"/>
      <w:r w:rsidRPr="008E4EA2">
        <w:rPr>
          <w:color w:val="000000" w:themeColor="text1"/>
          <w:szCs w:val="24"/>
        </w:rPr>
        <w:t>milj</w:t>
      </w:r>
      <w:proofErr w:type="spellEnd"/>
      <w:r w:rsidRPr="008E4EA2">
        <w:rPr>
          <w:color w:val="000000" w:themeColor="text1"/>
          <w:szCs w:val="24"/>
        </w:rPr>
        <w:t>. latu (ieskaitot nacionālo līdzfinansējumu no 5%</w:t>
      </w:r>
      <w:r w:rsidR="002B2547" w:rsidRPr="008E4EA2">
        <w:rPr>
          <w:color w:val="000000" w:themeColor="text1"/>
          <w:szCs w:val="24"/>
        </w:rPr>
        <w:t xml:space="preserve"> – </w:t>
      </w:r>
      <w:r w:rsidRPr="008E4EA2">
        <w:rPr>
          <w:color w:val="000000" w:themeColor="text1"/>
          <w:szCs w:val="24"/>
        </w:rPr>
        <w:t xml:space="preserve">15% atkarībā no programmas specifikas). Pārskata periodā aktīvi noritēja darbs pie apstiprināto programmu līgumu projektu saskaņošanas ar </w:t>
      </w:r>
      <w:proofErr w:type="spellStart"/>
      <w:r w:rsidRPr="008E4EA2">
        <w:rPr>
          <w:color w:val="000000" w:themeColor="text1"/>
          <w:szCs w:val="24"/>
        </w:rPr>
        <w:t>donorvalstīm</w:t>
      </w:r>
      <w:proofErr w:type="spellEnd"/>
      <w:r w:rsidRPr="008E4EA2">
        <w:rPr>
          <w:color w:val="000000" w:themeColor="text1"/>
          <w:szCs w:val="24"/>
        </w:rPr>
        <w:t>. Pirmo projektu konkursu programmā „NVO fonds” SIF izsludinās jau 2012.gada nogalē.</w:t>
      </w:r>
    </w:p>
    <w:p w:rsidR="00673AE2" w:rsidRPr="008E4EA2" w:rsidRDefault="00673AE2" w:rsidP="003A0029">
      <w:pPr>
        <w:spacing w:before="120" w:after="120" w:line="276" w:lineRule="auto"/>
        <w:rPr>
          <w:color w:val="000000" w:themeColor="text1"/>
          <w:szCs w:val="24"/>
        </w:rPr>
      </w:pPr>
      <w:r w:rsidRPr="008E4EA2">
        <w:rPr>
          <w:color w:val="000000" w:themeColor="text1"/>
          <w:szCs w:val="24"/>
        </w:rPr>
        <w:t>Uz p</w:t>
      </w:r>
      <w:r w:rsidR="002431CB" w:rsidRPr="008E4EA2">
        <w:rPr>
          <w:color w:val="000000" w:themeColor="text1"/>
          <w:szCs w:val="24"/>
        </w:rPr>
        <w:t>ārska</w:t>
      </w:r>
      <w:r w:rsidR="0040797A">
        <w:rPr>
          <w:color w:val="000000" w:themeColor="text1"/>
          <w:szCs w:val="24"/>
        </w:rPr>
        <w:t>ta perioda beigām</w:t>
      </w:r>
      <w:r w:rsidR="002431CB" w:rsidRPr="008E4EA2">
        <w:rPr>
          <w:color w:val="000000" w:themeColor="text1"/>
          <w:szCs w:val="24"/>
        </w:rPr>
        <w:t xml:space="preserve"> turpinās 10 </w:t>
      </w:r>
      <w:r w:rsidR="0060599E" w:rsidRPr="008E4EA2">
        <w:rPr>
          <w:color w:val="000000" w:themeColor="text1"/>
          <w:szCs w:val="24"/>
        </w:rPr>
        <w:t xml:space="preserve">Šveices </w:t>
      </w:r>
      <w:r w:rsidR="002431CB" w:rsidRPr="008E4EA2">
        <w:rPr>
          <w:color w:val="000000" w:themeColor="text1"/>
          <w:szCs w:val="24"/>
        </w:rPr>
        <w:t>projektu īstenošana, savukārt divu projektu īstenošana jau ir noslēgusies.</w:t>
      </w:r>
    </w:p>
    <w:p w:rsidR="002431CB" w:rsidRPr="008E4EA2" w:rsidRDefault="002431CB" w:rsidP="003A0029">
      <w:pPr>
        <w:spacing w:before="120" w:after="120" w:line="276" w:lineRule="auto"/>
        <w:rPr>
          <w:b/>
          <w:color w:val="000000" w:themeColor="text1"/>
          <w:szCs w:val="24"/>
        </w:rPr>
      </w:pPr>
      <w:r w:rsidRPr="008E4EA2">
        <w:rPr>
          <w:b/>
          <w:color w:val="000000" w:themeColor="text1"/>
          <w:szCs w:val="24"/>
        </w:rPr>
        <w:t>Neatbilst</w:t>
      </w:r>
      <w:r w:rsidR="00E14F84" w:rsidRPr="008E4EA2">
        <w:rPr>
          <w:b/>
          <w:color w:val="000000" w:themeColor="text1"/>
          <w:szCs w:val="24"/>
        </w:rPr>
        <w:t>ības un neatbilst</w:t>
      </w:r>
      <w:r w:rsidR="0060599E" w:rsidRPr="008E4EA2">
        <w:rPr>
          <w:b/>
          <w:color w:val="000000" w:themeColor="text1"/>
          <w:szCs w:val="24"/>
        </w:rPr>
        <w:t>oši veiktie izdevumi ar finansiālu ietekmi</w:t>
      </w:r>
    </w:p>
    <w:p w:rsidR="002431CB" w:rsidRPr="008E4EA2" w:rsidRDefault="002431CB" w:rsidP="003A0029">
      <w:pPr>
        <w:spacing w:before="120" w:after="120" w:line="276" w:lineRule="auto"/>
        <w:rPr>
          <w:color w:val="000000" w:themeColor="text1"/>
          <w:szCs w:val="24"/>
        </w:rPr>
      </w:pPr>
      <w:r w:rsidRPr="008E4EA2">
        <w:rPr>
          <w:color w:val="000000" w:themeColor="text1"/>
          <w:szCs w:val="24"/>
        </w:rPr>
        <w:t xml:space="preserve">2007.-2013.gada plānošanas periodā līdz 2012.gada 30.septembrim konstatēto neatbilstību summa ir 25,6 </w:t>
      </w:r>
      <w:proofErr w:type="spellStart"/>
      <w:r w:rsidRPr="008E4EA2">
        <w:rPr>
          <w:color w:val="000000" w:themeColor="text1"/>
          <w:szCs w:val="24"/>
        </w:rPr>
        <w:t>milj</w:t>
      </w:r>
      <w:proofErr w:type="spellEnd"/>
      <w:r w:rsidRPr="008E4EA2">
        <w:rPr>
          <w:color w:val="000000" w:themeColor="text1"/>
          <w:szCs w:val="24"/>
        </w:rPr>
        <w:t xml:space="preserve">. latu. Salīdzinājumā ar neatbilstību apjomu līdz 2012.gada otrā ceturkšņa beigām, neatbilstību apjoms ir pieaudzis par 4,9 </w:t>
      </w:r>
      <w:proofErr w:type="spellStart"/>
      <w:r w:rsidRPr="008E4EA2">
        <w:rPr>
          <w:color w:val="000000" w:themeColor="text1"/>
          <w:szCs w:val="24"/>
        </w:rPr>
        <w:t>milj</w:t>
      </w:r>
      <w:proofErr w:type="spellEnd"/>
      <w:r w:rsidRPr="008E4EA2">
        <w:rPr>
          <w:color w:val="000000" w:themeColor="text1"/>
          <w:szCs w:val="24"/>
        </w:rPr>
        <w:t>. latu jeb 23</w:t>
      </w:r>
      <w:r w:rsidR="0093449E" w:rsidRPr="008E4EA2">
        <w:rPr>
          <w:color w:val="000000" w:themeColor="text1"/>
          <w:szCs w:val="24"/>
        </w:rPr>
        <w:t>,</w:t>
      </w:r>
      <w:r w:rsidRPr="008E4EA2">
        <w:rPr>
          <w:color w:val="000000" w:themeColor="text1"/>
          <w:szCs w:val="24"/>
        </w:rPr>
        <w:t>7 %. Uz pārskata perioda beigām kopum</w:t>
      </w:r>
      <w:r w:rsidR="0093449E" w:rsidRPr="008E4EA2">
        <w:rPr>
          <w:color w:val="000000" w:themeColor="text1"/>
          <w:szCs w:val="24"/>
        </w:rPr>
        <w:t xml:space="preserve">ā atgūti 16,2 </w:t>
      </w:r>
      <w:proofErr w:type="spellStart"/>
      <w:r w:rsidR="0093449E" w:rsidRPr="008E4EA2">
        <w:rPr>
          <w:color w:val="000000" w:themeColor="text1"/>
          <w:szCs w:val="24"/>
        </w:rPr>
        <w:t>milj</w:t>
      </w:r>
      <w:proofErr w:type="spellEnd"/>
      <w:r w:rsidR="0093449E" w:rsidRPr="008E4EA2">
        <w:rPr>
          <w:color w:val="000000" w:themeColor="text1"/>
          <w:szCs w:val="24"/>
        </w:rPr>
        <w:t>. latu jeb 64</w:t>
      </w:r>
      <w:r w:rsidRPr="008E4EA2">
        <w:rPr>
          <w:color w:val="000000" w:themeColor="text1"/>
          <w:szCs w:val="24"/>
        </w:rPr>
        <w:t xml:space="preserve">% no kopējā neatbilstību apjoma. No tiem pārskata perioda atgūti 1,6 </w:t>
      </w:r>
      <w:proofErr w:type="spellStart"/>
      <w:r w:rsidRPr="008E4EA2">
        <w:rPr>
          <w:color w:val="000000" w:themeColor="text1"/>
          <w:szCs w:val="24"/>
        </w:rPr>
        <w:t>milj</w:t>
      </w:r>
      <w:proofErr w:type="spellEnd"/>
      <w:r w:rsidRPr="008E4EA2">
        <w:rPr>
          <w:color w:val="000000" w:themeColor="text1"/>
          <w:szCs w:val="24"/>
        </w:rPr>
        <w:t>. latu jeb</w:t>
      </w:r>
      <w:r w:rsidR="005E1672">
        <w:rPr>
          <w:color w:val="000000" w:themeColor="text1"/>
          <w:szCs w:val="24"/>
        </w:rPr>
        <w:t xml:space="preserve"> </w:t>
      </w:r>
      <w:r w:rsidRPr="008E4EA2">
        <w:rPr>
          <w:color w:val="000000" w:themeColor="text1"/>
          <w:szCs w:val="24"/>
        </w:rPr>
        <w:t>29% no ceturksnī konstatēto neatbilstību apjoma. Pārsvarā neatbilstības ES fondu projektos rodas iepirkumu normu pārkāpumu rezultātā (</w:t>
      </w:r>
      <w:proofErr w:type="spellStart"/>
      <w:r w:rsidRPr="008E4EA2">
        <w:rPr>
          <w:color w:val="000000" w:themeColor="text1"/>
          <w:szCs w:val="24"/>
        </w:rPr>
        <w:t>t.sk</w:t>
      </w:r>
      <w:proofErr w:type="spellEnd"/>
      <w:r w:rsidRPr="008E4EA2">
        <w:rPr>
          <w:color w:val="000000" w:themeColor="text1"/>
          <w:szCs w:val="24"/>
        </w:rPr>
        <w:t xml:space="preserve">. veikti būtiski grozījumi iepirkuma līgumā (vienlīdzīgā principa pārkāpums), papildu darbu veikšana un termiņa pagarināšana bez atbilstoša iepirkuma procedūras </w:t>
      </w:r>
      <w:proofErr w:type="spellStart"/>
      <w:r w:rsidRPr="008E4EA2">
        <w:rPr>
          <w:color w:val="000000" w:themeColor="text1"/>
          <w:szCs w:val="24"/>
        </w:rPr>
        <w:t>u.c</w:t>
      </w:r>
      <w:proofErr w:type="spellEnd"/>
      <w:r w:rsidRPr="008E4EA2">
        <w:rPr>
          <w:color w:val="000000" w:themeColor="text1"/>
          <w:szCs w:val="24"/>
        </w:rPr>
        <w:t xml:space="preserve">.) un aktivitāšu ieviešanas normatīvo aktu pārkāpumu dēļ, kā arī tāpēc, ka finansējuma saņēmēji neveic saimniecisko darbību un veikto darbu apjomi neatbilst aktivitāšu īstenošanas nosacījumiem vai projekta saskaņotajai tāmei. Vienlaikus minami arī tādi iemesli kā publicitātes prasību neievērošana un līgumu pārtraukšana pēc finansējuma saņēmēja iniciatīvas. Lai novērstu neatbilstību rašanos iepirkumu jomā, sākot ar 2012.gada 1.janvāri AI un SI ir uzsākušas iepirkumu </w:t>
      </w:r>
      <w:proofErr w:type="spellStart"/>
      <w:r w:rsidRPr="008E4EA2">
        <w:rPr>
          <w:color w:val="000000" w:themeColor="text1"/>
          <w:szCs w:val="24"/>
        </w:rPr>
        <w:t>pirmspārbaužu</w:t>
      </w:r>
      <w:proofErr w:type="spellEnd"/>
      <w:r w:rsidRPr="008E4EA2">
        <w:rPr>
          <w:color w:val="000000" w:themeColor="text1"/>
          <w:szCs w:val="24"/>
        </w:rPr>
        <w:t xml:space="preserve"> veikšanu.</w:t>
      </w:r>
      <w:r w:rsidR="00E14F84" w:rsidRPr="008E4EA2">
        <w:rPr>
          <w:color w:val="000000" w:themeColor="text1"/>
          <w:szCs w:val="24"/>
        </w:rPr>
        <w:t xml:space="preserve"> Salīdzinājumā ar iepriekšējo pārskata periodu iepirkumu jomā konstatēto neatbilstību apjoms kopumā ir pieaudzis, tomēr salīdzinājumā ar pieaugumu starp 2012.gada pirmo un otro ceturksni tas ir samazinājies par 3,5 procentpunktiem (iepriekš bija 13 procentpunkti). Jāvērš uzmanību, ka konstatētās neatbilstības ir konstatētas par iepirkumiem, kuri ir veikti pirms mehānisma darbības uzsākšanas, līdz ar to lielākajai daļai iepirkumu, kuros konstatētas neatbilstības, nav veiktas iepirkumu </w:t>
      </w:r>
      <w:proofErr w:type="spellStart"/>
      <w:r w:rsidR="00E14F84" w:rsidRPr="008E4EA2">
        <w:rPr>
          <w:color w:val="000000" w:themeColor="text1"/>
          <w:szCs w:val="24"/>
        </w:rPr>
        <w:lastRenderedPageBreak/>
        <w:t>pirmspārbaudes</w:t>
      </w:r>
      <w:proofErr w:type="spellEnd"/>
      <w:r w:rsidR="00E14F84" w:rsidRPr="008E4EA2">
        <w:rPr>
          <w:color w:val="000000" w:themeColor="text1"/>
          <w:szCs w:val="24"/>
        </w:rPr>
        <w:t xml:space="preserve"> un secinājumus par iepirkumu </w:t>
      </w:r>
      <w:proofErr w:type="spellStart"/>
      <w:r w:rsidR="00E14F84" w:rsidRPr="008E4EA2">
        <w:rPr>
          <w:color w:val="000000" w:themeColor="text1"/>
          <w:szCs w:val="24"/>
        </w:rPr>
        <w:t>pirmspārbaužu</w:t>
      </w:r>
      <w:proofErr w:type="spellEnd"/>
      <w:r w:rsidR="00E14F84" w:rsidRPr="008E4EA2">
        <w:rPr>
          <w:color w:val="000000" w:themeColor="text1"/>
          <w:szCs w:val="24"/>
        </w:rPr>
        <w:t xml:space="preserve"> veikšanu varēs izdarīt ilgākā laika periodā. </w:t>
      </w:r>
    </w:p>
    <w:p w:rsidR="002431CB" w:rsidRPr="008E4EA2" w:rsidRDefault="00E14F84" w:rsidP="003A0029">
      <w:pPr>
        <w:spacing w:before="120" w:after="120" w:line="276" w:lineRule="auto"/>
        <w:rPr>
          <w:color w:val="000000" w:themeColor="text1"/>
          <w:szCs w:val="24"/>
        </w:rPr>
      </w:pPr>
      <w:r w:rsidRPr="008E4EA2">
        <w:rPr>
          <w:color w:val="000000" w:themeColor="text1"/>
          <w:szCs w:val="24"/>
        </w:rPr>
        <w:t xml:space="preserve">Turpmāk, tāpat, kā iepriekšējā ceturksnī </w:t>
      </w:r>
      <w:r w:rsidR="002431CB" w:rsidRPr="008E4EA2">
        <w:rPr>
          <w:color w:val="000000" w:themeColor="text1"/>
          <w:szCs w:val="24"/>
        </w:rPr>
        <w:t xml:space="preserve">MK ziņojumos tiks, ja nepieciešams, iekļauta informācija par ceturksnī konstatētajiem būtiskākajiem neatbilstību gadījumiem pašvaldību īstenotajos projektos atbildoši </w:t>
      </w:r>
      <w:proofErr w:type="spellStart"/>
      <w:r w:rsidR="002431CB" w:rsidRPr="008E4EA2">
        <w:rPr>
          <w:color w:val="000000" w:themeColor="text1"/>
          <w:szCs w:val="24"/>
        </w:rPr>
        <w:t>š.g</w:t>
      </w:r>
      <w:proofErr w:type="spellEnd"/>
      <w:r w:rsidR="002431CB" w:rsidRPr="008E4EA2">
        <w:rPr>
          <w:color w:val="000000" w:themeColor="text1"/>
          <w:szCs w:val="24"/>
        </w:rPr>
        <w:t xml:space="preserve">. 25. septembra </w:t>
      </w:r>
      <w:r w:rsidR="009F0B64" w:rsidRPr="008E4EA2">
        <w:rPr>
          <w:color w:val="000000" w:themeColor="text1"/>
          <w:szCs w:val="24"/>
        </w:rPr>
        <w:t>MK</w:t>
      </w:r>
      <w:r w:rsidR="002431CB" w:rsidRPr="008E4EA2">
        <w:rPr>
          <w:color w:val="000000" w:themeColor="text1"/>
          <w:szCs w:val="24"/>
        </w:rPr>
        <w:t xml:space="preserve"> sēdes p</w:t>
      </w:r>
      <w:r w:rsidR="009F0B64" w:rsidRPr="008E4EA2">
        <w:rPr>
          <w:color w:val="000000" w:themeColor="text1"/>
          <w:szCs w:val="24"/>
        </w:rPr>
        <w:t>rotokola Nr.5 21. § 3. punktam.</w:t>
      </w:r>
      <w:r w:rsidRPr="008E4EA2">
        <w:rPr>
          <w:color w:val="000000" w:themeColor="text1"/>
          <w:szCs w:val="24"/>
        </w:rPr>
        <w:t xml:space="preserve"> Iepriekšējā ceturkšņa ziņojumā tika iekļauta informācija par vairākiem pašvaldību īstenotajiem projektiem, kuros tika konstatētas būtiska apjoma neatbilstības un ir saņemts VARAM skaidrojums par veiktajiem pasākumiem turpmāku neatbilstību risku mazināšanai. Sniegtajā skaidrojumā VARAM</w:t>
      </w:r>
      <w:r w:rsidR="001926D5">
        <w:rPr>
          <w:color w:val="000000" w:themeColor="text1"/>
          <w:szCs w:val="24"/>
        </w:rPr>
        <w:t xml:space="preserve"> kā atbildīgā ministrija</w:t>
      </w:r>
      <w:r w:rsidR="001926D5" w:rsidRPr="001926D5">
        <w:rPr>
          <w:color w:val="000000" w:themeColor="text1"/>
          <w:szCs w:val="24"/>
        </w:rPr>
        <w:t xml:space="preserve"> par pašvaldību darbību</w:t>
      </w:r>
      <w:r w:rsidR="005E1672">
        <w:rPr>
          <w:rFonts w:ascii="Calibri" w:hAnsi="Calibri" w:cs="Calibri"/>
          <w:color w:val="1F497D"/>
          <w:sz w:val="22"/>
          <w:szCs w:val="22"/>
        </w:rPr>
        <w:t xml:space="preserve"> </w:t>
      </w:r>
      <w:r w:rsidRPr="008E4EA2">
        <w:rPr>
          <w:color w:val="000000" w:themeColor="text1"/>
          <w:szCs w:val="24"/>
        </w:rPr>
        <w:t>nav snie</w:t>
      </w:r>
      <w:r w:rsidR="001926D5">
        <w:rPr>
          <w:color w:val="000000" w:themeColor="text1"/>
          <w:szCs w:val="24"/>
        </w:rPr>
        <w:t>gusi</w:t>
      </w:r>
      <w:r w:rsidRPr="008E4EA2">
        <w:rPr>
          <w:color w:val="000000" w:themeColor="text1"/>
          <w:szCs w:val="24"/>
        </w:rPr>
        <w:t xml:space="preserve"> sistemātiskus priekšlikums turpmāku neatbilstību risku mazināšanai. Tāpat </w:t>
      </w:r>
      <w:r w:rsidR="0065755F">
        <w:rPr>
          <w:color w:val="000000" w:themeColor="text1"/>
          <w:szCs w:val="24"/>
        </w:rPr>
        <w:t>VI</w:t>
      </w:r>
      <w:r w:rsidRPr="008E4EA2">
        <w:rPr>
          <w:color w:val="000000" w:themeColor="text1"/>
          <w:szCs w:val="24"/>
        </w:rPr>
        <w:t xml:space="preserve"> ir konstatējusi, ka pašvaldības, situācijās, kad projektu ietvaros konstatētas neatbilstības par attiecīgo neattiecināmo ES finansējuma daļu, vienam projektam, ja pašvaldībai dotajā aktivitātē ir kvota vairākiem projektiem,</w:t>
      </w:r>
      <w:r w:rsidR="005E1672">
        <w:rPr>
          <w:color w:val="000000" w:themeColor="text1"/>
          <w:szCs w:val="24"/>
        </w:rPr>
        <w:t xml:space="preserve"> </w:t>
      </w:r>
      <w:r w:rsidRPr="008E4EA2">
        <w:rPr>
          <w:color w:val="000000" w:themeColor="text1"/>
          <w:szCs w:val="24"/>
        </w:rPr>
        <w:t>tiek</w:t>
      </w:r>
      <w:r w:rsidR="005E1672">
        <w:rPr>
          <w:color w:val="000000" w:themeColor="text1"/>
          <w:szCs w:val="24"/>
        </w:rPr>
        <w:t xml:space="preserve"> </w:t>
      </w:r>
      <w:r w:rsidRPr="008E4EA2">
        <w:rPr>
          <w:color w:val="000000" w:themeColor="text1"/>
          <w:szCs w:val="24"/>
        </w:rPr>
        <w:t xml:space="preserve">īstenots cits pašvaldības projekts citu aktivitāšu ietvaros (kvotas robežās). Tomēr šāda pašvaldību darbība ir iespējama tikai neatbilstībām, kuras ir konstatētas līdz 2012. gada 8.maijam. Saskaņā ar MK 8.maija </w:t>
      </w:r>
      <w:proofErr w:type="spellStart"/>
      <w:r w:rsidRPr="008E4EA2">
        <w:rPr>
          <w:color w:val="000000" w:themeColor="text1"/>
          <w:szCs w:val="24"/>
        </w:rPr>
        <w:t>protokollēmuma</w:t>
      </w:r>
      <w:proofErr w:type="spellEnd"/>
      <w:r w:rsidRPr="008E4EA2">
        <w:rPr>
          <w:color w:val="000000" w:themeColor="text1"/>
          <w:szCs w:val="24"/>
        </w:rPr>
        <w:t xml:space="preserve"> „Valsts budžeta </w:t>
      </w:r>
      <w:proofErr w:type="spellStart"/>
      <w:r w:rsidRPr="008E4EA2">
        <w:rPr>
          <w:color w:val="000000" w:themeColor="text1"/>
          <w:szCs w:val="24"/>
        </w:rPr>
        <w:t>virssaistību</w:t>
      </w:r>
      <w:proofErr w:type="spellEnd"/>
      <w:r w:rsidRPr="008E4EA2">
        <w:rPr>
          <w:color w:val="000000" w:themeColor="text1"/>
          <w:szCs w:val="24"/>
        </w:rPr>
        <w:t xml:space="preserve"> iespējas Eiropas Savienības struktūrfondu un Kohēzijas fonda 2007.-2013.g. plānošanas perioda aktivitātēs” 7.punktu atbrīvoto ERAF finansējumu, kas veidojies uz neatbilstību (kas konstatētas pēc 2012.gada 8.maija) rēķina jauni</w:t>
      </w:r>
      <w:r w:rsidR="00D64D46" w:rsidRPr="008E4EA2">
        <w:rPr>
          <w:color w:val="000000" w:themeColor="text1"/>
          <w:szCs w:val="24"/>
        </w:rPr>
        <w:t>em projektiem novirzīt nevar.</w:t>
      </w:r>
      <w:r w:rsidR="005E1672">
        <w:rPr>
          <w:color w:val="000000" w:themeColor="text1"/>
          <w:szCs w:val="24"/>
        </w:rPr>
        <w:t xml:space="preserve"> </w:t>
      </w:r>
    </w:p>
    <w:p w:rsidR="002431CB" w:rsidRPr="008E4EA2" w:rsidRDefault="002431CB" w:rsidP="003A0029">
      <w:pPr>
        <w:spacing w:before="120" w:after="120" w:line="276" w:lineRule="auto"/>
        <w:rPr>
          <w:b/>
          <w:color w:val="000000" w:themeColor="text1"/>
          <w:szCs w:val="24"/>
        </w:rPr>
      </w:pPr>
      <w:r w:rsidRPr="008E4EA2">
        <w:rPr>
          <w:b/>
          <w:color w:val="000000" w:themeColor="text1"/>
          <w:szCs w:val="24"/>
        </w:rPr>
        <w:t>Aktuālie jautājumi</w:t>
      </w:r>
    </w:p>
    <w:p w:rsidR="002431CB" w:rsidRPr="008E4EA2" w:rsidRDefault="002431CB" w:rsidP="003A0029">
      <w:pPr>
        <w:spacing w:before="120" w:after="120" w:line="276" w:lineRule="auto"/>
        <w:rPr>
          <w:color w:val="000000" w:themeColor="text1"/>
          <w:szCs w:val="24"/>
        </w:rPr>
      </w:pPr>
      <w:r w:rsidRPr="008E4EA2">
        <w:rPr>
          <w:color w:val="000000" w:themeColor="text1"/>
          <w:szCs w:val="24"/>
        </w:rPr>
        <w:t xml:space="preserve">Pārskata periodā </w:t>
      </w:r>
      <w:r w:rsidR="009F0B64" w:rsidRPr="008E4EA2">
        <w:rPr>
          <w:color w:val="000000" w:themeColor="text1"/>
          <w:szCs w:val="24"/>
        </w:rPr>
        <w:t>VI</w:t>
      </w:r>
      <w:r w:rsidRPr="008E4EA2">
        <w:rPr>
          <w:color w:val="000000" w:themeColor="text1"/>
          <w:szCs w:val="24"/>
        </w:rPr>
        <w:t xml:space="preserve"> aktualizējusi virkni metodisko un skaidrojošo materiālu ES fondu vadībā iesaistītajām iestādēm, kas izstrādāti un regulāri tiek precizēti un papildināti ar mērķi nodrošināt vienotu praksi starp iestādēm un mazināt neatbilstoši veikto izdevumu rašanās risku, ņemot vērā RI auditos, </w:t>
      </w:r>
      <w:r w:rsidR="0065755F">
        <w:rPr>
          <w:color w:val="000000" w:themeColor="text1"/>
          <w:szCs w:val="24"/>
        </w:rPr>
        <w:t>VI</w:t>
      </w:r>
      <w:r w:rsidRPr="008E4EA2">
        <w:rPr>
          <w:color w:val="000000" w:themeColor="text1"/>
          <w:szCs w:val="24"/>
        </w:rPr>
        <w:t xml:space="preserve"> deleģēto funkciju pārbaudēs, pārbaudēs projektu īstenošanas vietās un procedūru izvērtējumā konstatēt</w:t>
      </w:r>
      <w:r w:rsidR="00125EEA" w:rsidRPr="008E4EA2">
        <w:rPr>
          <w:color w:val="000000" w:themeColor="text1"/>
          <w:szCs w:val="24"/>
        </w:rPr>
        <w:t>o</w:t>
      </w:r>
      <w:r w:rsidRPr="008E4EA2">
        <w:rPr>
          <w:color w:val="000000" w:themeColor="text1"/>
          <w:szCs w:val="24"/>
        </w:rPr>
        <w:t>.</w:t>
      </w:r>
    </w:p>
    <w:p w:rsidR="002431CB" w:rsidRPr="008E4EA2" w:rsidRDefault="002431CB" w:rsidP="003A0029">
      <w:pPr>
        <w:spacing w:before="120" w:after="120" w:line="276" w:lineRule="auto"/>
        <w:rPr>
          <w:color w:val="000000" w:themeColor="text1"/>
          <w:szCs w:val="24"/>
        </w:rPr>
      </w:pPr>
      <w:r w:rsidRPr="008E4EA2">
        <w:rPr>
          <w:color w:val="000000" w:themeColor="text1"/>
          <w:szCs w:val="24"/>
        </w:rPr>
        <w:t xml:space="preserve">VI turpina īstenot nepieciešamos pasākumus, lai sagatavotos jaunajam Kohēzijas politikas plānošanas periodam, formulējot un pārstāvot Latvijas intereses sarunās par Kohēzijas politiku pēc 2013.gada. Trešajā ceturksnī Latvija ir aktīvi darbojusies ES Padomes Strukturālo pasākumu darba grupā, gatavojot viedokļus un komentārus par Kipras prezidentūras sagatavotajiem ES Kohēzijas politikas regulu priekšlikumu kompromisu dokumentiem. ES budžeta 2014. – 2020.gadam sarunu ietvaros tiek veiktas regulāras aktivitātes, lai sekmētu ES Kohēzijas politikas piešķīruma Latvijai saglabāšanu vismaz esošā plānošanas perioda apjomā. Līdztekus tika veiktas arī nacionāla līmeņa aktivitātes, gatavojoties nākamajam plānošanas periodam. </w:t>
      </w:r>
    </w:p>
    <w:p w:rsidR="00F9110E" w:rsidRPr="008E4EA2" w:rsidRDefault="002431CB" w:rsidP="003A0029">
      <w:pPr>
        <w:spacing w:before="120" w:after="120" w:line="276" w:lineRule="auto"/>
        <w:rPr>
          <w:b/>
          <w:color w:val="000000" w:themeColor="text1"/>
          <w:szCs w:val="24"/>
        </w:rPr>
      </w:pPr>
      <w:r w:rsidRPr="008E4EA2">
        <w:rPr>
          <w:b/>
          <w:color w:val="000000" w:themeColor="text1"/>
          <w:szCs w:val="24"/>
        </w:rPr>
        <w:t xml:space="preserve"> Priekšlikumi MK </w:t>
      </w:r>
      <w:proofErr w:type="spellStart"/>
      <w:r w:rsidRPr="008E4EA2">
        <w:rPr>
          <w:b/>
          <w:color w:val="000000" w:themeColor="text1"/>
          <w:szCs w:val="24"/>
        </w:rPr>
        <w:t>protokollēmumam</w:t>
      </w:r>
      <w:proofErr w:type="spellEnd"/>
      <w:r w:rsidRPr="008E4EA2">
        <w:rPr>
          <w:b/>
          <w:color w:val="000000" w:themeColor="text1"/>
          <w:szCs w:val="24"/>
        </w:rPr>
        <w:t>:</w:t>
      </w:r>
    </w:p>
    <w:p w:rsidR="00F84372" w:rsidRPr="008E4EA2" w:rsidRDefault="00F9110E" w:rsidP="003A0029">
      <w:pPr>
        <w:pStyle w:val="Default"/>
        <w:numPr>
          <w:ilvl w:val="0"/>
          <w:numId w:val="26"/>
        </w:numPr>
        <w:spacing w:before="120" w:after="120" w:line="276" w:lineRule="auto"/>
        <w:ind w:left="426" w:hanging="426"/>
        <w:jc w:val="both"/>
        <w:rPr>
          <w:rFonts w:eastAsia="Times New Roman"/>
          <w:color w:val="000000" w:themeColor="text1"/>
          <w:lang w:eastAsia="en-US"/>
        </w:rPr>
      </w:pPr>
      <w:r w:rsidRPr="008E4EA2">
        <w:rPr>
          <w:rFonts w:eastAsia="Times New Roman"/>
          <w:color w:val="000000" w:themeColor="text1"/>
          <w:lang w:eastAsia="en-US"/>
        </w:rPr>
        <w:t xml:space="preserve">Apstiprināt informatīvā ziņojuma 2.pielikumā noteikto </w:t>
      </w:r>
      <w:proofErr w:type="spellStart"/>
      <w:r w:rsidRPr="008E4EA2">
        <w:rPr>
          <w:rFonts w:eastAsia="Times New Roman"/>
          <w:color w:val="000000" w:themeColor="text1"/>
          <w:lang w:eastAsia="en-US"/>
        </w:rPr>
        <w:t>virssaistību</w:t>
      </w:r>
      <w:proofErr w:type="spellEnd"/>
      <w:r w:rsidRPr="008E4EA2">
        <w:rPr>
          <w:rFonts w:eastAsia="Times New Roman"/>
          <w:color w:val="000000" w:themeColor="text1"/>
          <w:lang w:eastAsia="en-US"/>
        </w:rPr>
        <w:t xml:space="preserve"> dalījumu aktivitāšu griezumā un noslēgto līgumu apjomu </w:t>
      </w:r>
      <w:proofErr w:type="spellStart"/>
      <w:r w:rsidRPr="008E4EA2">
        <w:rPr>
          <w:rFonts w:eastAsia="Times New Roman"/>
          <w:color w:val="000000" w:themeColor="text1"/>
          <w:lang w:eastAsia="en-US"/>
        </w:rPr>
        <w:t>virssaistību</w:t>
      </w:r>
      <w:proofErr w:type="spellEnd"/>
      <w:r w:rsidR="005E1672">
        <w:rPr>
          <w:rFonts w:eastAsia="Times New Roman"/>
          <w:color w:val="000000" w:themeColor="text1"/>
          <w:lang w:eastAsia="en-US"/>
        </w:rPr>
        <w:t xml:space="preserve"> finansējumam 2012. – </w:t>
      </w:r>
      <w:r w:rsidR="00E63B76" w:rsidRPr="008E4EA2">
        <w:rPr>
          <w:rFonts w:eastAsia="Times New Roman"/>
          <w:color w:val="000000" w:themeColor="text1"/>
          <w:lang w:eastAsia="en-US"/>
        </w:rPr>
        <w:t>2015.gadam (</w:t>
      </w:r>
      <w:proofErr w:type="spellStart"/>
      <w:r w:rsidR="00E63B76" w:rsidRPr="008E4EA2">
        <w:rPr>
          <w:rFonts w:eastAsia="Times New Roman"/>
          <w:color w:val="000000" w:themeColor="text1"/>
          <w:lang w:eastAsia="en-US"/>
        </w:rPr>
        <w:t>protokollēmuma</w:t>
      </w:r>
      <w:proofErr w:type="spellEnd"/>
      <w:r w:rsidR="00E63B76" w:rsidRPr="008E4EA2">
        <w:rPr>
          <w:rFonts w:eastAsia="Times New Roman"/>
          <w:color w:val="000000" w:themeColor="text1"/>
          <w:lang w:eastAsia="en-US"/>
        </w:rPr>
        <w:t xml:space="preserve"> 2.punkts).</w:t>
      </w:r>
    </w:p>
    <w:p w:rsidR="00ED42BF" w:rsidRPr="008E4EA2" w:rsidRDefault="0065755F" w:rsidP="003A0029">
      <w:pPr>
        <w:pStyle w:val="Default"/>
        <w:numPr>
          <w:ilvl w:val="0"/>
          <w:numId w:val="26"/>
        </w:numPr>
        <w:spacing w:before="120" w:after="120" w:line="276" w:lineRule="auto"/>
        <w:ind w:left="426" w:hanging="426"/>
        <w:jc w:val="both"/>
        <w:rPr>
          <w:rFonts w:eastAsia="Times New Roman"/>
          <w:color w:val="000000" w:themeColor="text1"/>
          <w:lang w:eastAsia="en-US"/>
        </w:rPr>
      </w:pPr>
      <w:r>
        <w:rPr>
          <w:rFonts w:eastAsia="Times New Roman"/>
          <w:color w:val="000000" w:themeColor="text1"/>
          <w:lang w:eastAsia="en-US"/>
        </w:rPr>
        <w:t>AI</w:t>
      </w:r>
      <w:r w:rsidR="007B2ABE" w:rsidRPr="008E4EA2">
        <w:rPr>
          <w:rFonts w:eastAsia="Times New Roman"/>
          <w:color w:val="000000" w:themeColor="text1"/>
          <w:lang w:eastAsia="en-US"/>
        </w:rPr>
        <w:t xml:space="preserve"> līdz 2013.gada 1.februārim iesniegt </w:t>
      </w:r>
      <w:r w:rsidR="000C1A7A" w:rsidRPr="008E4EA2">
        <w:rPr>
          <w:rFonts w:eastAsia="Times New Roman"/>
          <w:color w:val="000000" w:themeColor="text1"/>
          <w:lang w:eastAsia="en-US"/>
        </w:rPr>
        <w:t>FM</w:t>
      </w:r>
      <w:r w:rsidR="007B2ABE" w:rsidRPr="008E4EA2">
        <w:rPr>
          <w:rFonts w:eastAsia="Times New Roman"/>
          <w:color w:val="000000" w:themeColor="text1"/>
          <w:lang w:eastAsia="en-US"/>
        </w:rPr>
        <w:t xml:space="preserve"> kumulatīv</w:t>
      </w:r>
      <w:r w:rsidR="005E1672">
        <w:rPr>
          <w:rFonts w:eastAsia="Times New Roman"/>
          <w:color w:val="000000" w:themeColor="text1"/>
          <w:lang w:eastAsia="en-US"/>
        </w:rPr>
        <w:t>os plānus</w:t>
      </w:r>
      <w:r w:rsidR="007B2ABE" w:rsidRPr="008E4EA2">
        <w:rPr>
          <w:rFonts w:eastAsia="Times New Roman"/>
          <w:color w:val="000000" w:themeColor="text1"/>
          <w:lang w:eastAsia="en-US"/>
        </w:rPr>
        <w:t xml:space="preserve"> ikmēneša maksājumiem ES fondu finansējuma saņēmējiem un aktualizētas prognozes uzraudzības rādītāju izpildei 2013.- 2015.gadam, </w:t>
      </w:r>
      <w:r w:rsidR="007B2ABE" w:rsidRPr="008E4EA2">
        <w:rPr>
          <w:rFonts w:eastAsia="Times New Roman"/>
          <w:color w:val="000000" w:themeColor="text1"/>
        </w:rPr>
        <w:t>ņ</w:t>
      </w:r>
      <w:r w:rsidR="00ED42BF" w:rsidRPr="008E4EA2">
        <w:rPr>
          <w:rFonts w:eastAsia="Times New Roman"/>
          <w:color w:val="000000" w:themeColor="text1"/>
        </w:rPr>
        <w:t xml:space="preserve">emot vērā to, ka </w:t>
      </w:r>
      <w:r w:rsidR="00DF0114" w:rsidRPr="008E4EA2">
        <w:rPr>
          <w:rFonts w:eastAsia="Times New Roman"/>
          <w:color w:val="000000" w:themeColor="text1"/>
        </w:rPr>
        <w:t xml:space="preserve">ar līdz </w:t>
      </w:r>
      <w:r w:rsidR="000C1A7A" w:rsidRPr="008E4EA2">
        <w:rPr>
          <w:rFonts w:eastAsia="Times New Roman"/>
          <w:color w:val="000000" w:themeColor="text1"/>
        </w:rPr>
        <w:t xml:space="preserve">ar </w:t>
      </w:r>
      <w:r w:rsidR="000C1A7A" w:rsidRPr="008E4EA2">
        <w:rPr>
          <w:rFonts w:eastAsia="Times New Roman"/>
          <w:color w:val="000000" w:themeColor="text1"/>
        </w:rPr>
        <w:lastRenderedPageBreak/>
        <w:t xml:space="preserve">2012.gada ceturtā </w:t>
      </w:r>
      <w:r w:rsidR="00DF0114" w:rsidRPr="008E4EA2">
        <w:rPr>
          <w:rFonts w:eastAsia="Times New Roman"/>
          <w:color w:val="000000" w:themeColor="text1"/>
        </w:rPr>
        <w:t>ceturkšņa informatī</w:t>
      </w:r>
      <w:r w:rsidR="00C41BAA" w:rsidRPr="008E4EA2">
        <w:rPr>
          <w:rFonts w:eastAsia="Times New Roman"/>
          <w:color w:val="000000" w:themeColor="text1"/>
        </w:rPr>
        <w:t xml:space="preserve">vo ziņojumu </w:t>
      </w:r>
      <w:r w:rsidR="007B2ABE" w:rsidRPr="008E4EA2">
        <w:rPr>
          <w:rFonts w:eastAsia="Times New Roman"/>
          <w:color w:val="000000" w:themeColor="text1"/>
        </w:rPr>
        <w:t xml:space="preserve">augstākminētie plāni tiks iesniegti apstiprināšanai </w:t>
      </w:r>
      <w:r w:rsidR="00747878" w:rsidRPr="008E4EA2">
        <w:rPr>
          <w:rFonts w:eastAsia="Times New Roman"/>
          <w:color w:val="000000" w:themeColor="text1"/>
        </w:rPr>
        <w:t>MK</w:t>
      </w:r>
      <w:r w:rsidR="007B2ABE" w:rsidRPr="008E4EA2">
        <w:rPr>
          <w:rFonts w:eastAsia="Times New Roman"/>
          <w:color w:val="000000" w:themeColor="text1"/>
        </w:rPr>
        <w:t xml:space="preserve"> </w:t>
      </w:r>
      <w:r w:rsidR="007B2ABE" w:rsidRPr="008E4EA2">
        <w:rPr>
          <w:rFonts w:eastAsia="Times New Roman"/>
          <w:color w:val="000000" w:themeColor="text1"/>
          <w:lang w:eastAsia="en-US"/>
        </w:rPr>
        <w:t>(</w:t>
      </w:r>
      <w:proofErr w:type="spellStart"/>
      <w:r w:rsidR="007B2ABE" w:rsidRPr="008E4EA2">
        <w:rPr>
          <w:rFonts w:eastAsia="Times New Roman"/>
          <w:color w:val="000000" w:themeColor="text1"/>
          <w:lang w:eastAsia="en-US"/>
        </w:rPr>
        <w:t>protokollēmuma</w:t>
      </w:r>
      <w:proofErr w:type="spellEnd"/>
      <w:r w:rsidR="007B2ABE" w:rsidRPr="008E4EA2">
        <w:rPr>
          <w:rFonts w:eastAsia="Times New Roman"/>
          <w:color w:val="000000" w:themeColor="text1"/>
          <w:lang w:eastAsia="en-US"/>
        </w:rPr>
        <w:t xml:space="preserve"> 3.punkts).</w:t>
      </w:r>
    </w:p>
    <w:p w:rsidR="007B2ABE" w:rsidRPr="008E4EA2" w:rsidRDefault="007B2ABE" w:rsidP="003A0029">
      <w:pPr>
        <w:pStyle w:val="Default"/>
        <w:numPr>
          <w:ilvl w:val="0"/>
          <w:numId w:val="26"/>
        </w:numPr>
        <w:spacing w:before="120" w:after="120" w:line="276" w:lineRule="auto"/>
        <w:ind w:left="426" w:hanging="426"/>
        <w:jc w:val="both"/>
        <w:rPr>
          <w:color w:val="000000" w:themeColor="text1"/>
        </w:rPr>
      </w:pPr>
      <w:r w:rsidRPr="008E4EA2">
        <w:rPr>
          <w:iCs/>
          <w:color w:val="000000" w:themeColor="text1"/>
        </w:rPr>
        <w:t xml:space="preserve">FM ir izstrādājusi priekšlikumu par piešķirtā valsts budžeta </w:t>
      </w:r>
      <w:proofErr w:type="spellStart"/>
      <w:r w:rsidRPr="008E4EA2">
        <w:rPr>
          <w:iCs/>
          <w:color w:val="000000" w:themeColor="text1"/>
        </w:rPr>
        <w:t>virssaistību</w:t>
      </w:r>
      <w:proofErr w:type="spellEnd"/>
      <w:r w:rsidRPr="008E4EA2">
        <w:rPr>
          <w:iCs/>
          <w:color w:val="000000" w:themeColor="text1"/>
        </w:rPr>
        <w:t xml:space="preserve"> apjoma 2007.-2013.gada plānošanas perioda aktivitātēs izmantošanas nosacījumiem un uzraudzību, tai skaitā kontroles mehānismu un rīcību, ja ES fondu un </w:t>
      </w:r>
      <w:proofErr w:type="spellStart"/>
      <w:r w:rsidRPr="008E4EA2">
        <w:rPr>
          <w:iCs/>
          <w:color w:val="000000" w:themeColor="text1"/>
        </w:rPr>
        <w:t>virssaistību</w:t>
      </w:r>
      <w:proofErr w:type="spellEnd"/>
      <w:r w:rsidRPr="008E4EA2">
        <w:rPr>
          <w:iCs/>
          <w:color w:val="000000" w:themeColor="text1"/>
        </w:rPr>
        <w:t xml:space="preserve"> apguve nenoritēs sa</w:t>
      </w:r>
      <w:r w:rsidR="000C1A7A" w:rsidRPr="008E4EA2">
        <w:rPr>
          <w:iCs/>
          <w:color w:val="000000" w:themeColor="text1"/>
        </w:rPr>
        <w:t>skaņā ar iepriekš plānoto (skatīt</w:t>
      </w:r>
      <w:r w:rsidRPr="008E4EA2">
        <w:rPr>
          <w:iCs/>
          <w:color w:val="000000" w:themeColor="text1"/>
        </w:rPr>
        <w:t xml:space="preserve"> </w:t>
      </w:r>
      <w:proofErr w:type="spellStart"/>
      <w:r w:rsidR="00EA7C1E" w:rsidRPr="008E4EA2">
        <w:rPr>
          <w:iCs/>
          <w:color w:val="000000" w:themeColor="text1"/>
        </w:rPr>
        <w:t>protokollēmuma</w:t>
      </w:r>
      <w:proofErr w:type="spellEnd"/>
      <w:r w:rsidR="00EA7C1E" w:rsidRPr="008E4EA2">
        <w:rPr>
          <w:iCs/>
          <w:color w:val="000000" w:themeColor="text1"/>
        </w:rPr>
        <w:t xml:space="preserve"> projekta 4. u</w:t>
      </w:r>
      <w:r w:rsidRPr="008E4EA2">
        <w:rPr>
          <w:iCs/>
          <w:color w:val="000000" w:themeColor="text1"/>
        </w:rPr>
        <w:t>n 5.punktu).</w:t>
      </w:r>
    </w:p>
    <w:p w:rsidR="007B2ABE" w:rsidRPr="008E4EA2" w:rsidRDefault="00F9110E" w:rsidP="003A0029">
      <w:pPr>
        <w:pStyle w:val="Default"/>
        <w:numPr>
          <w:ilvl w:val="0"/>
          <w:numId w:val="26"/>
        </w:numPr>
        <w:spacing w:before="120" w:after="120" w:line="276" w:lineRule="auto"/>
        <w:ind w:left="426" w:hanging="426"/>
        <w:jc w:val="both"/>
        <w:rPr>
          <w:iCs/>
          <w:color w:val="000000" w:themeColor="text1"/>
        </w:rPr>
      </w:pPr>
      <w:r w:rsidRPr="008E4EA2">
        <w:rPr>
          <w:iCs/>
          <w:color w:val="000000" w:themeColor="text1"/>
        </w:rPr>
        <w:t xml:space="preserve">Pieņemt zināšanai, ka </w:t>
      </w:r>
      <w:r w:rsidR="007B2ABE" w:rsidRPr="008E4EA2">
        <w:rPr>
          <w:iCs/>
          <w:color w:val="000000" w:themeColor="text1"/>
        </w:rPr>
        <w:t>FM</w:t>
      </w:r>
      <w:r w:rsidRPr="008E4EA2">
        <w:rPr>
          <w:iCs/>
          <w:color w:val="000000" w:themeColor="text1"/>
        </w:rPr>
        <w:t xml:space="preserve"> informāciju </w:t>
      </w:r>
      <w:r w:rsidR="005E1672">
        <w:rPr>
          <w:iCs/>
          <w:color w:val="000000" w:themeColor="text1"/>
        </w:rPr>
        <w:t xml:space="preserve">par </w:t>
      </w:r>
      <w:r w:rsidRPr="008E4EA2">
        <w:rPr>
          <w:iCs/>
          <w:color w:val="000000" w:themeColor="text1"/>
        </w:rPr>
        <w:t>atalgojuma daļas attiecināšanu un elektroniskās darba laika uzskaites sistēmas projekta</w:t>
      </w:r>
      <w:r w:rsidR="005E1672">
        <w:rPr>
          <w:iCs/>
          <w:color w:val="000000" w:themeColor="text1"/>
        </w:rPr>
        <w:t xml:space="preserve"> </w:t>
      </w:r>
      <w:r w:rsidRPr="008E4EA2">
        <w:rPr>
          <w:iCs/>
          <w:color w:val="000000" w:themeColor="text1"/>
        </w:rPr>
        <w:t xml:space="preserve">rezultātiem un pieejamo </w:t>
      </w:r>
      <w:r w:rsidR="000C1A7A" w:rsidRPr="008E4EA2">
        <w:rPr>
          <w:iCs/>
          <w:color w:val="000000" w:themeColor="text1"/>
        </w:rPr>
        <w:t>TP</w:t>
      </w:r>
      <w:r w:rsidRPr="008E4EA2">
        <w:rPr>
          <w:iCs/>
          <w:color w:val="000000" w:themeColor="text1"/>
        </w:rPr>
        <w:t xml:space="preserve"> finansējumu sagatavos un noteiktā kārtībā </w:t>
      </w:r>
      <w:r w:rsidR="00747878" w:rsidRPr="008E4EA2">
        <w:rPr>
          <w:iCs/>
          <w:color w:val="000000" w:themeColor="text1"/>
        </w:rPr>
        <w:t>MK</w:t>
      </w:r>
      <w:r w:rsidRPr="008E4EA2">
        <w:rPr>
          <w:iCs/>
          <w:color w:val="000000" w:themeColor="text1"/>
        </w:rPr>
        <w:t xml:space="preserve"> sniegs vienlaikus ar informatīvo ziņojumu par </w:t>
      </w:r>
      <w:r w:rsidR="00306F38">
        <w:rPr>
          <w:iCs/>
          <w:color w:val="000000" w:themeColor="text1"/>
        </w:rPr>
        <w:t>ES</w:t>
      </w:r>
      <w:r w:rsidRPr="008E4EA2">
        <w:rPr>
          <w:iCs/>
          <w:color w:val="000000" w:themeColor="text1"/>
        </w:rPr>
        <w:t xml:space="preserve"> fondu apguvi 2013.gada trešajā ceturksnī.</w:t>
      </w:r>
    </w:p>
    <w:p w:rsidR="007B2ABE" w:rsidRPr="008E4EA2" w:rsidRDefault="00D930D2" w:rsidP="003A0029">
      <w:pPr>
        <w:pStyle w:val="Default"/>
        <w:numPr>
          <w:ilvl w:val="0"/>
          <w:numId w:val="26"/>
        </w:numPr>
        <w:spacing w:before="120" w:after="120" w:line="276" w:lineRule="auto"/>
        <w:ind w:left="426" w:hanging="426"/>
        <w:jc w:val="both"/>
        <w:rPr>
          <w:iCs/>
          <w:color w:val="000000" w:themeColor="text1"/>
        </w:rPr>
      </w:pPr>
      <w:r w:rsidRPr="008E4EA2">
        <w:rPr>
          <w:iCs/>
          <w:color w:val="000000" w:themeColor="text1"/>
        </w:rPr>
        <w:t>KM</w:t>
      </w:r>
      <w:r w:rsidR="00F9110E" w:rsidRPr="008E4EA2">
        <w:rPr>
          <w:iCs/>
          <w:color w:val="000000" w:themeColor="text1"/>
        </w:rPr>
        <w:t xml:space="preserve"> līdz 2012.gada 18.</w:t>
      </w:r>
      <w:r w:rsidR="005E1672" w:rsidRPr="005E1672">
        <w:rPr>
          <w:iCs/>
          <w:color w:val="000000" w:themeColor="text1"/>
        </w:rPr>
        <w:t xml:space="preserve"> janvārim </w:t>
      </w:r>
      <w:r w:rsidR="00F9110E" w:rsidRPr="008E4EA2">
        <w:rPr>
          <w:iCs/>
          <w:color w:val="000000" w:themeColor="text1"/>
        </w:rPr>
        <w:t xml:space="preserve">noteiktā kārtībā </w:t>
      </w:r>
      <w:r w:rsidRPr="008E4EA2">
        <w:rPr>
          <w:iCs/>
          <w:color w:val="000000" w:themeColor="text1"/>
        </w:rPr>
        <w:t>MK</w:t>
      </w:r>
      <w:r w:rsidR="00F9110E" w:rsidRPr="008E4EA2">
        <w:rPr>
          <w:iCs/>
          <w:color w:val="000000" w:themeColor="text1"/>
        </w:rPr>
        <w:t xml:space="preserve"> iesniegt grozījumus </w:t>
      </w:r>
      <w:r w:rsidRPr="008E4EA2">
        <w:rPr>
          <w:iCs/>
          <w:color w:val="000000" w:themeColor="text1"/>
        </w:rPr>
        <w:t>MK</w:t>
      </w:r>
      <w:r w:rsidR="00F9110E" w:rsidRPr="008E4EA2">
        <w:rPr>
          <w:iCs/>
          <w:color w:val="000000" w:themeColor="text1"/>
        </w:rPr>
        <w:t xml:space="preserve"> noteikumos par</w:t>
      </w:r>
      <w:r w:rsidR="00627E9D" w:rsidRPr="008E4EA2">
        <w:rPr>
          <w:iCs/>
          <w:color w:val="000000" w:themeColor="text1"/>
        </w:rPr>
        <w:t xml:space="preserve"> </w:t>
      </w:r>
      <w:r w:rsidR="00F9110E" w:rsidRPr="008E4EA2">
        <w:rPr>
          <w:iCs/>
          <w:color w:val="000000" w:themeColor="text1"/>
        </w:rPr>
        <w:t>aktivitātes</w:t>
      </w:r>
      <w:r w:rsidR="00627E9D" w:rsidRPr="008E4EA2">
        <w:rPr>
          <w:iCs/>
          <w:color w:val="000000" w:themeColor="text1"/>
        </w:rPr>
        <w:t>, kas paredz atbalstu kultūras pieminekļu privātīpašniekiem kultūras pieminekļu saglabāšanā, noteikumos</w:t>
      </w:r>
      <w:r w:rsidR="00F9110E" w:rsidRPr="008E4EA2">
        <w:rPr>
          <w:iCs/>
          <w:color w:val="000000" w:themeColor="text1"/>
        </w:rPr>
        <w:t xml:space="preserve">, paredzot </w:t>
      </w:r>
      <w:proofErr w:type="spellStart"/>
      <w:r w:rsidR="00F9110E" w:rsidRPr="008E4EA2">
        <w:rPr>
          <w:iCs/>
          <w:color w:val="000000" w:themeColor="text1"/>
        </w:rPr>
        <w:t>virssaistību</w:t>
      </w:r>
      <w:proofErr w:type="spellEnd"/>
      <w:r w:rsidR="00F9110E" w:rsidRPr="008E4EA2">
        <w:rPr>
          <w:iCs/>
          <w:color w:val="000000" w:themeColor="text1"/>
        </w:rPr>
        <w:t xml:space="preserve"> finansējuma apjomu ne vairāk kā 4 </w:t>
      </w:r>
      <w:r w:rsidR="000C1A7A" w:rsidRPr="008E4EA2">
        <w:rPr>
          <w:iCs/>
          <w:color w:val="000000" w:themeColor="text1"/>
        </w:rPr>
        <w:t>milj.</w:t>
      </w:r>
      <w:r w:rsidR="00F9110E" w:rsidRPr="008E4EA2">
        <w:rPr>
          <w:iCs/>
          <w:color w:val="000000" w:themeColor="text1"/>
        </w:rPr>
        <w:t xml:space="preserve"> latu apmērā. </w:t>
      </w:r>
      <w:r w:rsidRPr="008E4EA2">
        <w:rPr>
          <w:iCs/>
          <w:color w:val="000000" w:themeColor="text1"/>
        </w:rPr>
        <w:t xml:space="preserve">Saskaņā ar MK sēdes š.g.15.maija </w:t>
      </w:r>
      <w:proofErr w:type="spellStart"/>
      <w:r w:rsidRPr="008E4EA2">
        <w:rPr>
          <w:iCs/>
          <w:color w:val="000000" w:themeColor="text1"/>
        </w:rPr>
        <w:t>protokollēmuma</w:t>
      </w:r>
      <w:proofErr w:type="spellEnd"/>
      <w:r w:rsidRPr="008E4EA2">
        <w:rPr>
          <w:iCs/>
          <w:color w:val="000000" w:themeColor="text1"/>
        </w:rPr>
        <w:t xml:space="preserve"> (protokols Nr.27, 31.§) 5.punktu konceptuāli MK atbalstīja </w:t>
      </w:r>
      <w:proofErr w:type="spellStart"/>
      <w:r w:rsidRPr="008E4EA2">
        <w:rPr>
          <w:iCs/>
          <w:color w:val="000000" w:themeColor="text1"/>
        </w:rPr>
        <w:t>virssaistības</w:t>
      </w:r>
      <w:proofErr w:type="spellEnd"/>
      <w:r w:rsidRPr="008E4EA2">
        <w:rPr>
          <w:iCs/>
          <w:color w:val="000000" w:themeColor="text1"/>
        </w:rPr>
        <w:t xml:space="preserve"> 12 </w:t>
      </w:r>
      <w:proofErr w:type="spellStart"/>
      <w:r w:rsidRPr="008E4EA2">
        <w:rPr>
          <w:iCs/>
          <w:color w:val="000000" w:themeColor="text1"/>
        </w:rPr>
        <w:t>milj</w:t>
      </w:r>
      <w:proofErr w:type="spellEnd"/>
      <w:r w:rsidRPr="008E4EA2">
        <w:rPr>
          <w:iCs/>
          <w:color w:val="000000" w:themeColor="text1"/>
        </w:rPr>
        <w:t>. latu apmērā, taču KM bija jāiesni</w:t>
      </w:r>
      <w:r w:rsidR="001B44A7" w:rsidRPr="008E4EA2">
        <w:rPr>
          <w:iCs/>
          <w:color w:val="000000" w:themeColor="text1"/>
        </w:rPr>
        <w:t>edz priekšlikumi tā pamatojumam,</w:t>
      </w:r>
      <w:r w:rsidRPr="008E4EA2">
        <w:rPr>
          <w:iCs/>
          <w:color w:val="000000" w:themeColor="text1"/>
        </w:rPr>
        <w:t xml:space="preserve"> ko VI ir saskaņojusi</w:t>
      </w:r>
      <w:r w:rsidR="001B44A7" w:rsidRPr="008E4EA2">
        <w:rPr>
          <w:iCs/>
          <w:color w:val="000000" w:themeColor="text1"/>
        </w:rPr>
        <w:t xml:space="preserve"> (</w:t>
      </w:r>
      <w:proofErr w:type="spellStart"/>
      <w:r w:rsidR="001B44A7" w:rsidRPr="008E4EA2">
        <w:rPr>
          <w:iCs/>
          <w:color w:val="000000" w:themeColor="text1"/>
        </w:rPr>
        <w:t>virssasitību</w:t>
      </w:r>
      <w:proofErr w:type="spellEnd"/>
      <w:r w:rsidR="001B44A7" w:rsidRPr="008E4EA2">
        <w:rPr>
          <w:iCs/>
          <w:color w:val="000000" w:themeColor="text1"/>
        </w:rPr>
        <w:t xml:space="preserve"> apjoms 8 </w:t>
      </w:r>
      <w:proofErr w:type="spellStart"/>
      <w:r w:rsidR="001B44A7" w:rsidRPr="008E4EA2">
        <w:rPr>
          <w:iCs/>
          <w:color w:val="000000" w:themeColor="text1"/>
        </w:rPr>
        <w:t>milj</w:t>
      </w:r>
      <w:proofErr w:type="spellEnd"/>
      <w:r w:rsidR="001B44A7" w:rsidRPr="008E4EA2">
        <w:rPr>
          <w:iCs/>
          <w:color w:val="000000" w:themeColor="text1"/>
        </w:rPr>
        <w:t>. latu apmērā tika saskaņots iepriekšējā pārskata periodā, kā arī attiecīgi apstiprināti MK noteikumi). L</w:t>
      </w:r>
      <w:r w:rsidRPr="008E4EA2">
        <w:rPr>
          <w:iCs/>
          <w:color w:val="000000" w:themeColor="text1"/>
        </w:rPr>
        <w:t>īdz ar to KM aktīvi jāizstrādā un jāvirza apstiprināšanai attiecīgie aktivitātes MK noteikumi</w:t>
      </w:r>
      <w:r w:rsidR="001B44A7" w:rsidRPr="008E4EA2">
        <w:rPr>
          <w:iCs/>
          <w:color w:val="000000" w:themeColor="text1"/>
        </w:rPr>
        <w:t xml:space="preserve"> par atlikušo </w:t>
      </w:r>
      <w:proofErr w:type="spellStart"/>
      <w:r w:rsidR="001B44A7" w:rsidRPr="008E4EA2">
        <w:rPr>
          <w:iCs/>
          <w:color w:val="000000" w:themeColor="text1"/>
        </w:rPr>
        <w:t>virssaistību</w:t>
      </w:r>
      <w:proofErr w:type="spellEnd"/>
      <w:r w:rsidR="001B44A7" w:rsidRPr="008E4EA2">
        <w:rPr>
          <w:iCs/>
          <w:color w:val="000000" w:themeColor="text1"/>
        </w:rPr>
        <w:t xml:space="preserve"> finansējumu</w:t>
      </w:r>
      <w:r w:rsidR="000C1A7A" w:rsidRPr="008E4EA2">
        <w:rPr>
          <w:iCs/>
          <w:color w:val="000000" w:themeColor="text1"/>
        </w:rPr>
        <w:t xml:space="preserve"> (skatīt</w:t>
      </w:r>
      <w:r w:rsidRPr="008E4EA2">
        <w:rPr>
          <w:iCs/>
          <w:color w:val="000000" w:themeColor="text1"/>
        </w:rPr>
        <w:t xml:space="preserve"> </w:t>
      </w:r>
      <w:proofErr w:type="spellStart"/>
      <w:r w:rsidRPr="008E4EA2">
        <w:rPr>
          <w:iCs/>
          <w:color w:val="000000" w:themeColor="text1"/>
        </w:rPr>
        <w:t>protokollēmuma</w:t>
      </w:r>
      <w:proofErr w:type="spellEnd"/>
      <w:r w:rsidRPr="008E4EA2">
        <w:rPr>
          <w:iCs/>
          <w:color w:val="000000" w:themeColor="text1"/>
        </w:rPr>
        <w:t xml:space="preserve"> projekta 2. un 7.punktu). </w:t>
      </w:r>
    </w:p>
    <w:p w:rsidR="0042143C" w:rsidRDefault="0042143C" w:rsidP="0042143C">
      <w:pPr>
        <w:pStyle w:val="Default"/>
        <w:numPr>
          <w:ilvl w:val="0"/>
          <w:numId w:val="26"/>
        </w:numPr>
        <w:spacing w:before="120" w:after="120" w:line="276" w:lineRule="auto"/>
        <w:ind w:left="426" w:hanging="426"/>
        <w:jc w:val="both"/>
        <w:rPr>
          <w:iCs/>
          <w:color w:val="000000" w:themeColor="text1"/>
        </w:rPr>
      </w:pPr>
      <w:r w:rsidRPr="0042143C">
        <w:rPr>
          <w:iCs/>
          <w:color w:val="000000" w:themeColor="text1"/>
        </w:rPr>
        <w:t xml:space="preserve">Paredz pieņemt zināšanai, ka Burtnieku novada pašvaldības projekta </w:t>
      </w:r>
      <w:r w:rsidR="005E1672">
        <w:rPr>
          <w:iCs/>
          <w:color w:val="000000" w:themeColor="text1"/>
        </w:rPr>
        <w:t xml:space="preserve">ietvaros </w:t>
      </w:r>
      <w:r w:rsidRPr="0042143C">
        <w:rPr>
          <w:iCs/>
          <w:color w:val="000000" w:themeColor="text1"/>
        </w:rPr>
        <w:t xml:space="preserve">veiktie izdevumi 400 689,93 latu apmērā uzskatāmi par atgūtiem, vienlaikus aicinot Burtnieku novada pašvaldību investēt nepieciešamos pašvaldības budžeta līdzekļus ūdenssaimniecības sistēmas sakārtošanai </w:t>
      </w:r>
      <w:r>
        <w:rPr>
          <w:iCs/>
          <w:color w:val="000000" w:themeColor="text1"/>
        </w:rPr>
        <w:t xml:space="preserve">un </w:t>
      </w:r>
      <w:r w:rsidRPr="0042143C">
        <w:rPr>
          <w:iCs/>
          <w:color w:val="000000" w:themeColor="text1"/>
        </w:rPr>
        <w:t xml:space="preserve">minētā projekta mērķu sasniegšanai Matīšu ciemata teritorijā, aicināt Naukšēnu novada pašvaldību atmaksāt neatbilstoši veiktos izdevumus </w:t>
      </w:r>
      <w:r>
        <w:rPr>
          <w:iCs/>
          <w:color w:val="000000" w:themeColor="text1"/>
        </w:rPr>
        <w:t>~ 3000</w:t>
      </w:r>
      <w:r w:rsidRPr="0042143C">
        <w:rPr>
          <w:iCs/>
          <w:color w:val="000000" w:themeColor="text1"/>
        </w:rPr>
        <w:t xml:space="preserve"> latu apmērā. </w:t>
      </w:r>
    </w:p>
    <w:p w:rsidR="00D930D2" w:rsidRPr="008E4EA2" w:rsidRDefault="00CD658C" w:rsidP="0042143C">
      <w:pPr>
        <w:pStyle w:val="Default"/>
        <w:spacing w:before="120" w:after="120" w:line="276" w:lineRule="auto"/>
        <w:ind w:left="426"/>
        <w:jc w:val="both"/>
        <w:rPr>
          <w:iCs/>
          <w:color w:val="000000" w:themeColor="text1"/>
        </w:rPr>
      </w:pPr>
      <w:r w:rsidRPr="00CD658C">
        <w:rPr>
          <w:iCs/>
          <w:color w:val="000000" w:themeColor="text1"/>
        </w:rPr>
        <w:t xml:space="preserve">Burtnieku novada pašvaldība nenodrošināja visu projektā radīto auditējamo vērtību izmantošanu projektā paredzētajā vietā un projektā plānotās darbības veikšanai, lai attiecīgi par šo izdevumu segšanu saņemtu maksājumus no EK. Lai CFLA nepieprasītu atmaksāt līdzekļus Burtnieku novada domei, tā sniedza priekšlikumu investēt līdzekļus ūdenssaimniecības sistēmas sakārtošanai Matīšu ciemata teritorijā. Tā kā EK noslēguma maksājuma apmēru šis projekts neietekmēja, jo par attiecīgu summu izdevumi tika nosegti ar uzņemtajām </w:t>
      </w:r>
      <w:proofErr w:type="spellStart"/>
      <w:r w:rsidRPr="00CD658C">
        <w:rPr>
          <w:iCs/>
          <w:color w:val="000000" w:themeColor="text1"/>
        </w:rPr>
        <w:t>virssaistībām</w:t>
      </w:r>
      <w:proofErr w:type="spellEnd"/>
      <w:r w:rsidRPr="00CD658C">
        <w:rPr>
          <w:iCs/>
          <w:color w:val="000000" w:themeColor="text1"/>
        </w:rPr>
        <w:t xml:space="preserve">, ES fonda projekta izdevumi norakstāmi attiecīgi zaudējumos uz valsts budžeta zaudējumu rēķina. </w:t>
      </w:r>
      <w:r w:rsidR="00D930D2" w:rsidRPr="008E4EA2">
        <w:rPr>
          <w:iCs/>
          <w:color w:val="000000" w:themeColor="text1"/>
        </w:rPr>
        <w:t>(detalizētāks situā</w:t>
      </w:r>
      <w:r w:rsidR="000C1A7A" w:rsidRPr="008E4EA2">
        <w:rPr>
          <w:iCs/>
          <w:color w:val="000000" w:themeColor="text1"/>
        </w:rPr>
        <w:t>cijas apraksts 3.2.sadaļā; skatīt</w:t>
      </w:r>
      <w:r w:rsidR="00D930D2" w:rsidRPr="008E4EA2">
        <w:rPr>
          <w:iCs/>
          <w:color w:val="000000" w:themeColor="text1"/>
        </w:rPr>
        <w:t xml:space="preserve"> 6.protokollēmuma projekta punktu).</w:t>
      </w:r>
    </w:p>
    <w:p w:rsidR="00D930D2" w:rsidRPr="008E4EA2" w:rsidRDefault="00D930D2" w:rsidP="003A0029">
      <w:pPr>
        <w:pStyle w:val="Default"/>
        <w:numPr>
          <w:ilvl w:val="0"/>
          <w:numId w:val="26"/>
        </w:numPr>
        <w:spacing w:before="120" w:after="120" w:line="276" w:lineRule="auto"/>
        <w:ind w:left="426" w:hanging="426"/>
        <w:jc w:val="both"/>
        <w:rPr>
          <w:iCs/>
          <w:color w:val="000000" w:themeColor="text1"/>
        </w:rPr>
      </w:pPr>
      <w:r w:rsidRPr="008E4EA2">
        <w:rPr>
          <w:iCs/>
          <w:color w:val="000000" w:themeColor="text1"/>
        </w:rPr>
        <w:t xml:space="preserve">RI, veicot pārbaudi Naukšēnu novada domes īstenotajā projektā Naukšēnu vidusskolā, konstatēja iepirkumu procedūru pārkāpumus, taču pašvaldība ir atteikusies atmaksāt pilnu neatbilstoši veikto izdevumu summu, minot skaidrojumus </w:t>
      </w:r>
      <w:r w:rsidRPr="008E4EA2">
        <w:rPr>
          <w:iCs/>
          <w:color w:val="000000" w:themeColor="text1"/>
        </w:rPr>
        <w:lastRenderedPageBreak/>
        <w:t>pārkāpumiem, kuriem AI/SI, RI un VI nevar piekrist. (</w:t>
      </w:r>
      <w:r w:rsidR="005E1672" w:rsidRPr="008E4EA2">
        <w:rPr>
          <w:iCs/>
          <w:color w:val="000000" w:themeColor="text1"/>
        </w:rPr>
        <w:t>detalizētāka</w:t>
      </w:r>
      <w:r w:rsidRPr="008E4EA2">
        <w:rPr>
          <w:iCs/>
          <w:color w:val="000000" w:themeColor="text1"/>
        </w:rPr>
        <w:t xml:space="preserve"> 2.</w:t>
      </w:r>
      <w:r w:rsidR="000C1A7A" w:rsidRPr="008E4EA2">
        <w:rPr>
          <w:iCs/>
          <w:color w:val="000000" w:themeColor="text1"/>
        </w:rPr>
        <w:t>6.3. sadaļā par izglītību, skatīt</w:t>
      </w:r>
      <w:r w:rsidRPr="008E4EA2">
        <w:rPr>
          <w:iCs/>
          <w:color w:val="000000" w:themeColor="text1"/>
        </w:rPr>
        <w:t xml:space="preserve"> </w:t>
      </w:r>
      <w:r w:rsidR="009352C9">
        <w:rPr>
          <w:iCs/>
          <w:color w:val="000000" w:themeColor="text1"/>
        </w:rPr>
        <w:t>10</w:t>
      </w:r>
      <w:r w:rsidRPr="008E4EA2">
        <w:rPr>
          <w:iCs/>
          <w:color w:val="000000" w:themeColor="text1"/>
        </w:rPr>
        <w:t>.protokollēmuma punktu).</w:t>
      </w:r>
    </w:p>
    <w:p w:rsidR="00C927C0" w:rsidRPr="008E4EA2" w:rsidRDefault="00F9110E" w:rsidP="003A0029">
      <w:pPr>
        <w:pStyle w:val="Default"/>
        <w:numPr>
          <w:ilvl w:val="0"/>
          <w:numId w:val="26"/>
        </w:numPr>
        <w:spacing w:before="120" w:after="120" w:line="276" w:lineRule="auto"/>
        <w:ind w:left="426" w:hanging="426"/>
        <w:jc w:val="both"/>
        <w:rPr>
          <w:iCs/>
          <w:color w:val="000000" w:themeColor="text1"/>
        </w:rPr>
      </w:pPr>
      <w:r w:rsidRPr="008E4EA2">
        <w:rPr>
          <w:iCs/>
          <w:color w:val="000000" w:themeColor="text1"/>
        </w:rPr>
        <w:t xml:space="preserve">Atzīt par aktualitāti zaudējušu </w:t>
      </w:r>
      <w:r w:rsidR="00747878" w:rsidRPr="008E4EA2">
        <w:rPr>
          <w:iCs/>
          <w:color w:val="000000" w:themeColor="text1"/>
        </w:rPr>
        <w:t>MK</w:t>
      </w:r>
      <w:r w:rsidRPr="008E4EA2">
        <w:rPr>
          <w:iCs/>
          <w:color w:val="000000" w:themeColor="text1"/>
        </w:rPr>
        <w:t xml:space="preserve"> 2012.gada 28.februāra sēdes </w:t>
      </w:r>
      <w:proofErr w:type="spellStart"/>
      <w:r w:rsidRPr="008E4EA2">
        <w:rPr>
          <w:iCs/>
          <w:color w:val="000000" w:themeColor="text1"/>
        </w:rPr>
        <w:t>protokollēmuma</w:t>
      </w:r>
      <w:proofErr w:type="spellEnd"/>
      <w:r w:rsidRPr="008E4EA2">
        <w:rPr>
          <w:iCs/>
          <w:color w:val="000000" w:themeColor="text1"/>
        </w:rPr>
        <w:t xml:space="preserve"> (</w:t>
      </w:r>
      <w:proofErr w:type="spellStart"/>
      <w:r w:rsidRPr="008E4EA2">
        <w:rPr>
          <w:iCs/>
          <w:color w:val="000000" w:themeColor="text1"/>
        </w:rPr>
        <w:t>prot</w:t>
      </w:r>
      <w:proofErr w:type="spellEnd"/>
      <w:r w:rsidRPr="008E4EA2">
        <w:rPr>
          <w:iCs/>
          <w:color w:val="000000" w:themeColor="text1"/>
        </w:rPr>
        <w:t>. Nr.11 27.§) „Informatīvais ziņojums „Par atalgojuma daļveida attiecināšanu un elektroniskas darba laika uzskaites sistēmas piemērošanu Eiropas Savienības struktūrfondu un Kohēzijas fonda, Norvēģijas finanšu instrumenta un Eiropas Ekonomikas zonas finanšu instrumenta va</w:t>
      </w:r>
      <w:r w:rsidR="00D713B0" w:rsidRPr="008E4EA2">
        <w:rPr>
          <w:iCs/>
          <w:color w:val="000000" w:themeColor="text1"/>
        </w:rPr>
        <w:t>dības nodrošināšanai”” 3.punktu.</w:t>
      </w:r>
    </w:p>
    <w:p w:rsidR="003B2A28" w:rsidRPr="008E4EA2" w:rsidRDefault="003B2A28" w:rsidP="003A0029">
      <w:pPr>
        <w:pStyle w:val="Default"/>
        <w:spacing w:before="120" w:after="120" w:line="276" w:lineRule="auto"/>
        <w:ind w:left="426"/>
        <w:jc w:val="both"/>
        <w:rPr>
          <w:iCs/>
          <w:color w:val="000000" w:themeColor="text1"/>
        </w:rPr>
      </w:pPr>
    </w:p>
    <w:p w:rsidR="00D654FE" w:rsidRPr="008E4EA2" w:rsidRDefault="00D654FE" w:rsidP="003A0029">
      <w:pPr>
        <w:spacing w:before="120" w:after="120" w:line="276" w:lineRule="auto"/>
        <w:rPr>
          <w:b/>
          <w:bCs/>
          <w:color w:val="000000" w:themeColor="text1"/>
          <w:kern w:val="32"/>
          <w:szCs w:val="24"/>
          <w:lang w:eastAsia="x-none"/>
        </w:rPr>
      </w:pPr>
      <w:r w:rsidRPr="008E4EA2">
        <w:rPr>
          <w:color w:val="000000" w:themeColor="text1"/>
          <w:szCs w:val="24"/>
        </w:rPr>
        <w:br w:type="page"/>
      </w:r>
    </w:p>
    <w:p w:rsidR="00B52CFD" w:rsidRPr="008E4EA2" w:rsidRDefault="00624AE4" w:rsidP="003A0029">
      <w:pPr>
        <w:pStyle w:val="1lmenis"/>
        <w:spacing w:before="120" w:after="120" w:line="276" w:lineRule="auto"/>
        <w:ind w:left="709"/>
        <w:rPr>
          <w:rFonts w:ascii="Times New Roman" w:hAnsi="Times New Roman"/>
          <w:color w:val="000000" w:themeColor="text1"/>
          <w:sz w:val="24"/>
          <w:szCs w:val="24"/>
          <w:lang w:val="lv-LV"/>
        </w:rPr>
      </w:pPr>
      <w:bookmarkStart w:id="16" w:name="_Toc340241685"/>
      <w:r w:rsidRPr="008E4EA2">
        <w:rPr>
          <w:rFonts w:ascii="Times New Roman" w:hAnsi="Times New Roman"/>
          <w:color w:val="000000" w:themeColor="text1"/>
          <w:sz w:val="24"/>
          <w:szCs w:val="24"/>
          <w:lang w:val="lv-LV"/>
        </w:rPr>
        <w:lastRenderedPageBreak/>
        <w:t>ES fondu finansējuma ietekme</w:t>
      </w:r>
      <w:r w:rsidR="00B52CFD" w:rsidRPr="008E4EA2">
        <w:rPr>
          <w:rFonts w:ascii="Times New Roman" w:hAnsi="Times New Roman"/>
          <w:color w:val="000000" w:themeColor="text1"/>
          <w:sz w:val="24"/>
          <w:szCs w:val="24"/>
          <w:lang w:val="lv-LV"/>
        </w:rPr>
        <w:t xml:space="preserve"> uz Latvijas tautsaimniecības attīstību</w:t>
      </w:r>
      <w:bookmarkEnd w:id="16"/>
    </w:p>
    <w:p w:rsidR="00042E7D" w:rsidRPr="008E4EA2" w:rsidRDefault="0093449E" w:rsidP="003A0029">
      <w:pPr>
        <w:spacing w:before="120" w:after="120" w:line="276" w:lineRule="auto"/>
        <w:rPr>
          <w:color w:val="000000" w:themeColor="text1"/>
          <w:szCs w:val="24"/>
        </w:rPr>
      </w:pPr>
      <w:r w:rsidRPr="008E4EA2">
        <w:rPr>
          <w:color w:val="000000" w:themeColor="text1"/>
          <w:szCs w:val="24"/>
        </w:rPr>
        <w:t>FM</w:t>
      </w:r>
      <w:r w:rsidR="00042E7D" w:rsidRPr="008E4EA2">
        <w:rPr>
          <w:color w:val="000000" w:themeColor="text1"/>
          <w:szCs w:val="24"/>
        </w:rPr>
        <w:t xml:space="preserve"> 2011. gadā </w:t>
      </w:r>
      <w:r w:rsidR="00635EDF" w:rsidRPr="008E4EA2">
        <w:rPr>
          <w:color w:val="000000" w:themeColor="text1"/>
          <w:szCs w:val="24"/>
        </w:rPr>
        <w:t>veiktā</w:t>
      </w:r>
      <w:r w:rsidR="00042E7D" w:rsidRPr="008E4EA2">
        <w:rPr>
          <w:color w:val="000000" w:themeColor="text1"/>
          <w:szCs w:val="24"/>
        </w:rPr>
        <w:t xml:space="preserve"> </w:t>
      </w:r>
      <w:r w:rsidR="00635EDF" w:rsidRPr="008E4EA2">
        <w:rPr>
          <w:color w:val="000000" w:themeColor="text1"/>
          <w:szCs w:val="24"/>
        </w:rPr>
        <w:t>iz</w:t>
      </w:r>
      <w:r w:rsidR="00042E7D" w:rsidRPr="008E4EA2">
        <w:rPr>
          <w:color w:val="000000" w:themeColor="text1"/>
          <w:szCs w:val="24"/>
        </w:rPr>
        <w:t>vērtē</w:t>
      </w:r>
      <w:r w:rsidR="00635EDF" w:rsidRPr="008E4EA2">
        <w:rPr>
          <w:color w:val="000000" w:themeColor="text1"/>
          <w:szCs w:val="24"/>
        </w:rPr>
        <w:t>juma</w:t>
      </w:r>
      <w:r w:rsidR="00042E7D" w:rsidRPr="008E4EA2">
        <w:rPr>
          <w:color w:val="000000" w:themeColor="text1"/>
          <w:szCs w:val="24"/>
        </w:rPr>
        <w:t xml:space="preserve"> </w:t>
      </w:r>
      <w:r w:rsidR="00635EDF" w:rsidRPr="008E4EA2">
        <w:rPr>
          <w:color w:val="000000" w:themeColor="text1"/>
          <w:szCs w:val="24"/>
        </w:rPr>
        <w:t xml:space="preserve">par </w:t>
      </w:r>
      <w:r w:rsidR="00042E7D" w:rsidRPr="008E4EA2">
        <w:rPr>
          <w:color w:val="000000" w:themeColor="text1"/>
          <w:szCs w:val="24"/>
        </w:rPr>
        <w:t xml:space="preserve">ES fondu finansējuma ietekmi uz Latvijas tautsaimniecības attīstību </w:t>
      </w:r>
      <w:r w:rsidR="00635EDF" w:rsidRPr="008E4EA2">
        <w:rPr>
          <w:color w:val="000000" w:themeColor="text1"/>
          <w:szCs w:val="24"/>
        </w:rPr>
        <w:t>rezultāti apliecina</w:t>
      </w:r>
      <w:r w:rsidR="00042E7D" w:rsidRPr="008E4EA2">
        <w:rPr>
          <w:color w:val="000000" w:themeColor="text1"/>
          <w:szCs w:val="24"/>
        </w:rPr>
        <w:t>, ka ES fondu finansējums ir viens no būtiskākajiem investīciju avotiem valsts ekonomikā, kas līdz šim mazinājis un amortizējis ekonomikas lejupslīdi krīzes laikā, arī pēc tās turpinājis pozitīvi ietekmēt tautsaimniecības stabilizāciju un izaugsmi.</w:t>
      </w:r>
    </w:p>
    <w:p w:rsidR="00B52CFD" w:rsidRPr="008E4EA2" w:rsidRDefault="00042E7D" w:rsidP="003A0029">
      <w:pPr>
        <w:spacing w:before="120" w:after="120" w:line="276" w:lineRule="auto"/>
        <w:rPr>
          <w:color w:val="000000" w:themeColor="text1"/>
          <w:szCs w:val="24"/>
        </w:rPr>
      </w:pPr>
      <w:r w:rsidRPr="008E4EA2">
        <w:rPr>
          <w:color w:val="000000" w:themeColor="text1"/>
          <w:szCs w:val="24"/>
        </w:rPr>
        <w:t>Izvērtējuma rezultāti demonstrē ES fondu pozitīvo ietekmi uz svarīgākajiem makroekonomikas rādītājiem, tai skaitā ES fondi par 6,7 procentpunktiem mazināja krīzes ietekmēto investīciju kritumu, kas 2009. gadā sa</w:t>
      </w:r>
      <w:r w:rsidR="0093449E" w:rsidRPr="008E4EA2">
        <w:rPr>
          <w:color w:val="000000" w:themeColor="text1"/>
          <w:szCs w:val="24"/>
        </w:rPr>
        <w:t>sniedza 37,4 %. Savukārt, 2009.</w:t>
      </w:r>
      <w:r w:rsidRPr="008E4EA2">
        <w:rPr>
          <w:color w:val="000000" w:themeColor="text1"/>
          <w:szCs w:val="24"/>
        </w:rPr>
        <w:t>gada IKP samazinājums par 17,7 % bez ES fondu līdzekļiem būtu vēl par aptuveni 4 procentpunktiem lielāks. ES fondu labvēlīgā ietekme uz IKP dinamiku parādās arī turpmākajos gados, pieaugot atbilstoši apgūtā finansējuma apjomam (skatīt grafiku Nr.1).</w:t>
      </w:r>
    </w:p>
    <w:p w:rsidR="00B52CFD" w:rsidRPr="008E4EA2" w:rsidRDefault="00B52CFD" w:rsidP="003A0029">
      <w:pPr>
        <w:spacing w:before="120" w:after="120" w:line="276" w:lineRule="auto"/>
        <w:rPr>
          <w:rFonts w:eastAsia="EUAlbertina-Bold-Identity-H"/>
          <w:i/>
          <w:color w:val="000000" w:themeColor="text1"/>
          <w:szCs w:val="24"/>
        </w:rPr>
      </w:pPr>
      <w:r w:rsidRPr="008E4EA2">
        <w:rPr>
          <w:rFonts w:eastAsia="EUAlbertina-Bold-Identity-H"/>
          <w:color w:val="000000" w:themeColor="text1"/>
          <w:szCs w:val="24"/>
          <w:lang w:eastAsia="lv-LV"/>
        </w:rPr>
        <w:t xml:space="preserve">Grafiks Nr.1 </w:t>
      </w:r>
      <w:r w:rsidRPr="008E4EA2">
        <w:rPr>
          <w:rFonts w:eastAsia="EUAlbertina-Bold-Identity-H"/>
          <w:i/>
          <w:color w:val="000000" w:themeColor="text1"/>
          <w:szCs w:val="24"/>
        </w:rPr>
        <w:t>„ES fondu ietekme uz investīciju pieaugumu un reālā IKP izmaiņu tempu</w:t>
      </w:r>
      <w:r w:rsidR="0093449E" w:rsidRPr="008E4EA2">
        <w:rPr>
          <w:rFonts w:eastAsia="EUAlbertina-Bold-Identity-H"/>
          <w:i/>
          <w:color w:val="000000" w:themeColor="text1"/>
          <w:szCs w:val="24"/>
        </w:rPr>
        <w:t>.</w:t>
      </w:r>
      <w:r w:rsidRPr="008E4EA2">
        <w:rPr>
          <w:rFonts w:eastAsia="EUAlbertina-Bold-Identity-H"/>
          <w:i/>
          <w:color w:val="000000" w:themeColor="text1"/>
          <w:szCs w:val="24"/>
        </w:rPr>
        <w:t>”</w:t>
      </w:r>
    </w:p>
    <w:p w:rsidR="00B52CFD" w:rsidRPr="008E4EA2" w:rsidRDefault="00CE4257" w:rsidP="003A0029">
      <w:pPr>
        <w:pStyle w:val="NormalWeb"/>
        <w:spacing w:before="120" w:beforeAutospacing="0" w:after="120" w:afterAutospacing="0" w:line="276" w:lineRule="auto"/>
        <w:jc w:val="both"/>
        <w:rPr>
          <w:color w:val="000000" w:themeColor="text1"/>
          <w:lang w:val="lv-LV"/>
        </w:rPr>
      </w:pPr>
      <w:r w:rsidRPr="008E4EA2">
        <w:rPr>
          <w:noProof/>
          <w:color w:val="000000" w:themeColor="text1"/>
          <w:lang w:val="lv-LV" w:eastAsia="lv-LV"/>
        </w:rPr>
        <w:drawing>
          <wp:inline distT="0" distB="0" distL="0" distR="0" wp14:anchorId="504904CC" wp14:editId="1C49D696">
            <wp:extent cx="5567283" cy="4079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572125" cy="4082568"/>
                    </a:xfrm>
                    <a:prstGeom prst="rect">
                      <a:avLst/>
                    </a:prstGeom>
                    <a:noFill/>
                  </pic:spPr>
                </pic:pic>
              </a:graphicData>
            </a:graphic>
          </wp:inline>
        </w:drawing>
      </w:r>
    </w:p>
    <w:p w:rsidR="00042E7D" w:rsidRPr="008E4EA2" w:rsidRDefault="00042E7D" w:rsidP="003A0029">
      <w:pPr>
        <w:spacing w:before="120" w:after="120" w:line="276" w:lineRule="auto"/>
        <w:rPr>
          <w:color w:val="000000" w:themeColor="text1"/>
          <w:szCs w:val="24"/>
        </w:rPr>
      </w:pPr>
      <w:r w:rsidRPr="008E4EA2">
        <w:rPr>
          <w:color w:val="000000" w:themeColor="text1"/>
          <w:szCs w:val="24"/>
        </w:rPr>
        <w:t xml:space="preserve">ES fondu apguve pozitīvi ietekmējusi reālo algu pieaugumu, līdz ar to privātais patēriņš pieaudzis par vidēji 2,5 procentpunktiem gadā. Privātā patēriņa pieaugums un pieprasījums pēc ārvalstu investīciju precēm (izejvielas, būvmateriāli </w:t>
      </w:r>
      <w:proofErr w:type="spellStart"/>
      <w:r w:rsidRPr="008E4EA2">
        <w:rPr>
          <w:color w:val="000000" w:themeColor="text1"/>
          <w:szCs w:val="24"/>
        </w:rPr>
        <w:t>utt</w:t>
      </w:r>
      <w:proofErr w:type="spellEnd"/>
      <w:r w:rsidRPr="008E4EA2">
        <w:rPr>
          <w:color w:val="000000" w:themeColor="text1"/>
          <w:szCs w:val="24"/>
        </w:rPr>
        <w:t>.) stimulējis importa pieaugumu – par vidēji 4</w:t>
      </w:r>
      <w:r w:rsidR="0093449E" w:rsidRPr="008E4EA2">
        <w:rPr>
          <w:color w:val="000000" w:themeColor="text1"/>
          <w:szCs w:val="24"/>
        </w:rPr>
        <w:t xml:space="preserve"> </w:t>
      </w:r>
      <w:r w:rsidRPr="008E4EA2">
        <w:rPr>
          <w:color w:val="000000" w:themeColor="text1"/>
          <w:szCs w:val="24"/>
        </w:rPr>
        <w:t xml:space="preserve">procentpunktiem gadā. ES fondu finansējums sekmējis, galvenokārt, iekšējā tirgus attīstību, </w:t>
      </w:r>
      <w:proofErr w:type="spellStart"/>
      <w:r w:rsidRPr="008E4EA2">
        <w:rPr>
          <w:color w:val="000000" w:themeColor="text1"/>
          <w:szCs w:val="24"/>
        </w:rPr>
        <w:t>t.sk</w:t>
      </w:r>
      <w:proofErr w:type="spellEnd"/>
      <w:r w:rsidRPr="008E4EA2">
        <w:rPr>
          <w:color w:val="000000" w:themeColor="text1"/>
          <w:szCs w:val="24"/>
        </w:rPr>
        <w:t>. infrastruktūras uzlabošanu.</w:t>
      </w:r>
    </w:p>
    <w:p w:rsidR="00042E7D" w:rsidRPr="008E4EA2" w:rsidRDefault="00042E7D" w:rsidP="003A0029">
      <w:pPr>
        <w:spacing w:before="120" w:after="120" w:line="276" w:lineRule="auto"/>
        <w:rPr>
          <w:color w:val="000000" w:themeColor="text1"/>
          <w:szCs w:val="24"/>
        </w:rPr>
      </w:pPr>
      <w:r w:rsidRPr="008E4EA2">
        <w:rPr>
          <w:color w:val="000000" w:themeColor="text1"/>
          <w:szCs w:val="24"/>
        </w:rPr>
        <w:t>Izvērtējot ES fondu ietekmi uz darba tirgus rādītājiem, var secināt, ka pirmskrīzes periodā ES fondu projektu ieviešana samazinājusi bezdarba līmeni par vidēji 1,6 procentpunktiem</w:t>
      </w:r>
      <w:r w:rsidR="0093449E" w:rsidRPr="008E4EA2">
        <w:rPr>
          <w:color w:val="000000" w:themeColor="text1"/>
          <w:szCs w:val="24"/>
        </w:rPr>
        <w:t>. Jāatzīmē, ka kopš 2009.</w:t>
      </w:r>
      <w:r w:rsidRPr="008E4EA2">
        <w:rPr>
          <w:color w:val="000000" w:themeColor="text1"/>
          <w:szCs w:val="24"/>
        </w:rPr>
        <w:t xml:space="preserve">gada ES fondu pozitīvā ietekme uz bezdarba </w:t>
      </w:r>
      <w:r w:rsidRPr="008E4EA2">
        <w:rPr>
          <w:color w:val="000000" w:themeColor="text1"/>
          <w:szCs w:val="24"/>
        </w:rPr>
        <w:lastRenderedPageBreak/>
        <w:t xml:space="preserve">līmeņa dinamiku ievērojami pieaug. ES fondu ietekme uz nodarbināto skaita pieaugumu ir mērena, kas skaidrojams ar to, ka ES fondu investīcijas, galvenokārt, stimulējušas darbaspēka produktivitāti un </w:t>
      </w:r>
      <w:proofErr w:type="spellStart"/>
      <w:r w:rsidRPr="008E4EA2">
        <w:rPr>
          <w:color w:val="000000" w:themeColor="text1"/>
          <w:szCs w:val="24"/>
        </w:rPr>
        <w:t>cilvēkkapitāla</w:t>
      </w:r>
      <w:proofErr w:type="spellEnd"/>
      <w:r w:rsidRPr="008E4EA2">
        <w:rPr>
          <w:color w:val="000000" w:themeColor="text1"/>
          <w:szCs w:val="24"/>
        </w:rPr>
        <w:t xml:space="preserve"> attīstību.</w:t>
      </w:r>
    </w:p>
    <w:p w:rsidR="003B2A28" w:rsidRPr="008E4EA2" w:rsidRDefault="00042E7D" w:rsidP="003A0029">
      <w:pPr>
        <w:spacing w:before="120" w:after="120" w:line="276" w:lineRule="auto"/>
        <w:rPr>
          <w:color w:val="000000" w:themeColor="text1"/>
          <w:szCs w:val="24"/>
        </w:rPr>
      </w:pPr>
      <w:r w:rsidRPr="008E4EA2">
        <w:rPr>
          <w:color w:val="000000" w:themeColor="text1"/>
          <w:szCs w:val="24"/>
        </w:rPr>
        <w:t xml:space="preserve">Saskaņā ar ES fondu makroekonomiskās ietekmes izvērtējuma rezultātiem, lielākā abu plānošanas periodu ES fondu atbalsta ietekme uz pievienotās vērtības pieauguma tempu ir vērojama būvniecības un privāto pakalpojumu sektoros (gadā vidēji 4–5 procentpunkti). Ievērojamā ES fondu ietekme uz būvniecību skaidrojama ar to, ka šajā nozarē realizētos projektus pēdējo 3 gadu laikā, galvenokārt, ir nodrošinājuši ES fondu finansētie </w:t>
      </w:r>
      <w:proofErr w:type="spellStart"/>
      <w:r w:rsidRPr="008E4EA2">
        <w:rPr>
          <w:color w:val="000000" w:themeColor="text1"/>
          <w:szCs w:val="24"/>
        </w:rPr>
        <w:t>inženierbūvniecības</w:t>
      </w:r>
      <w:proofErr w:type="spellEnd"/>
      <w:r w:rsidRPr="008E4EA2">
        <w:rPr>
          <w:color w:val="000000" w:themeColor="text1"/>
          <w:szCs w:val="24"/>
        </w:rPr>
        <w:t xml:space="preserve"> un sabiedriskā sektora ēku būvniecības un renovācijas darbu pasūtījumi. Ja nebūtu apgūti fondu līdzekļi, kritums nozares pievienotajā vērtībā krīzes laikā būtu bijis par aptuveni 4,5 procentpunktiem dziļāks. Nozīmīgā ietekme uz privāto pakalpojumu sektora izaugsmi ir skaidrojama ar ES fondu investīciju radīto reālo ienākumu palielinājumu.</w:t>
      </w:r>
    </w:p>
    <w:p w:rsidR="004B7C6E" w:rsidRPr="008E4EA2" w:rsidRDefault="00D97278" w:rsidP="003A0029">
      <w:pPr>
        <w:pStyle w:val="1lmenis"/>
        <w:spacing w:before="120" w:after="120" w:line="276" w:lineRule="auto"/>
        <w:ind w:left="709"/>
        <w:rPr>
          <w:rFonts w:ascii="Times New Roman" w:hAnsi="Times New Roman"/>
          <w:color w:val="000000" w:themeColor="text1"/>
          <w:sz w:val="24"/>
          <w:szCs w:val="24"/>
          <w:lang w:val="lv-LV"/>
        </w:rPr>
      </w:pPr>
      <w:bookmarkStart w:id="17" w:name="_Toc340241686"/>
      <w:r w:rsidRPr="008E4EA2">
        <w:rPr>
          <w:rFonts w:ascii="Times New Roman" w:hAnsi="Times New Roman"/>
          <w:color w:val="000000" w:themeColor="text1"/>
          <w:sz w:val="24"/>
          <w:szCs w:val="24"/>
          <w:lang w:val="lv-LV"/>
        </w:rPr>
        <w:t xml:space="preserve">2007. -2013.gada plānošanas perioda </w:t>
      </w:r>
      <w:r w:rsidR="00020680" w:rsidRPr="008E4EA2">
        <w:rPr>
          <w:rFonts w:ascii="Times New Roman" w:hAnsi="Times New Roman"/>
          <w:color w:val="000000" w:themeColor="text1"/>
          <w:sz w:val="24"/>
          <w:szCs w:val="24"/>
          <w:lang w:val="lv-LV"/>
        </w:rPr>
        <w:t xml:space="preserve">ES </w:t>
      </w:r>
      <w:r w:rsidRPr="008E4EA2">
        <w:rPr>
          <w:rFonts w:ascii="Times New Roman" w:hAnsi="Times New Roman"/>
          <w:color w:val="000000" w:themeColor="text1"/>
          <w:sz w:val="24"/>
          <w:szCs w:val="24"/>
          <w:lang w:val="lv-LV"/>
        </w:rPr>
        <w:t>fondu</w:t>
      </w:r>
      <w:r w:rsidR="00020680" w:rsidRPr="008E4EA2">
        <w:rPr>
          <w:rFonts w:ascii="Times New Roman" w:hAnsi="Times New Roman"/>
          <w:color w:val="000000" w:themeColor="text1"/>
          <w:sz w:val="24"/>
          <w:szCs w:val="24"/>
          <w:lang w:val="lv-LV"/>
        </w:rPr>
        <w:t xml:space="preserve"> apguve</w:t>
      </w:r>
      <w:bookmarkEnd w:id="13"/>
      <w:bookmarkEnd w:id="17"/>
    </w:p>
    <w:p w:rsidR="00A12973" w:rsidRPr="008E4EA2" w:rsidRDefault="001E3C5A" w:rsidP="003A0029">
      <w:pPr>
        <w:pStyle w:val="2lmenis"/>
        <w:numPr>
          <w:ilvl w:val="1"/>
          <w:numId w:val="2"/>
        </w:numPr>
        <w:spacing w:before="120" w:after="120" w:line="276" w:lineRule="auto"/>
        <w:ind w:left="1276" w:hanging="425"/>
        <w:jc w:val="both"/>
        <w:rPr>
          <w:color w:val="000000" w:themeColor="text1"/>
          <w:sz w:val="24"/>
          <w:szCs w:val="24"/>
          <w:lang w:val="lv-LV"/>
        </w:rPr>
      </w:pPr>
      <w:r w:rsidRPr="008E4EA2">
        <w:rPr>
          <w:iCs w:val="0"/>
          <w:color w:val="000000" w:themeColor="text1"/>
          <w:sz w:val="24"/>
          <w:szCs w:val="24"/>
          <w:lang w:val="lv-LV"/>
        </w:rPr>
        <w:t xml:space="preserve"> </w:t>
      </w:r>
      <w:bookmarkStart w:id="18" w:name="_Toc324948878"/>
      <w:bookmarkStart w:id="19" w:name="_Toc340241687"/>
      <w:r w:rsidR="00A12973" w:rsidRPr="008E4EA2">
        <w:rPr>
          <w:color w:val="000000" w:themeColor="text1"/>
          <w:sz w:val="24"/>
          <w:szCs w:val="24"/>
          <w:lang w:val="lv-LV"/>
        </w:rPr>
        <w:t>Darbības programmu un darbības programmu papildinājumu grozījumi</w:t>
      </w:r>
      <w:bookmarkEnd w:id="18"/>
      <w:bookmarkEnd w:id="19"/>
    </w:p>
    <w:p w:rsidR="006F4AF2" w:rsidRPr="008E4EA2" w:rsidRDefault="00A12973" w:rsidP="003A0029">
      <w:pPr>
        <w:spacing w:before="120" w:after="120" w:line="276" w:lineRule="auto"/>
        <w:rPr>
          <w:color w:val="000000" w:themeColor="text1"/>
          <w:szCs w:val="24"/>
        </w:rPr>
      </w:pPr>
      <w:r w:rsidRPr="008E4EA2">
        <w:rPr>
          <w:color w:val="000000" w:themeColor="text1"/>
          <w:szCs w:val="24"/>
        </w:rPr>
        <w:t xml:space="preserve">Lai nodrošinātu efektīvu un operatīvu ES fondu apguvi, kā arī lai reaģētu uz pārmaiņām sociāli ekonomiskajā situācijā valstī un nozaru politikās, </w:t>
      </w:r>
      <w:r w:rsidR="000E7C84" w:rsidRPr="008E4EA2">
        <w:rPr>
          <w:color w:val="000000" w:themeColor="text1"/>
          <w:szCs w:val="24"/>
        </w:rPr>
        <w:t>AI</w:t>
      </w:r>
      <w:r w:rsidRPr="008E4EA2">
        <w:rPr>
          <w:color w:val="000000" w:themeColor="text1"/>
          <w:szCs w:val="24"/>
        </w:rPr>
        <w:t xml:space="preserve"> un </w:t>
      </w:r>
      <w:r w:rsidR="00DB2B21" w:rsidRPr="008E4EA2">
        <w:rPr>
          <w:color w:val="000000" w:themeColor="text1"/>
          <w:szCs w:val="24"/>
        </w:rPr>
        <w:t>VI</w:t>
      </w:r>
      <w:r w:rsidRPr="008E4EA2">
        <w:rPr>
          <w:color w:val="000000" w:themeColor="text1"/>
          <w:szCs w:val="24"/>
        </w:rPr>
        <w:t xml:space="preserve"> ir veikušas </w:t>
      </w:r>
      <w:r w:rsidR="00D34BE3" w:rsidRPr="008E4EA2">
        <w:rPr>
          <w:color w:val="000000" w:themeColor="text1"/>
          <w:szCs w:val="24"/>
        </w:rPr>
        <w:t xml:space="preserve">vairākus </w:t>
      </w:r>
      <w:r w:rsidRPr="008E4EA2">
        <w:rPr>
          <w:color w:val="000000" w:themeColor="text1"/>
          <w:szCs w:val="24"/>
        </w:rPr>
        <w:t xml:space="preserve">nepieciešamos grozījumus plānošanas dokumentos – darbības programmās un </w:t>
      </w:r>
      <w:r w:rsidR="006C29B8" w:rsidRPr="008E4EA2">
        <w:rPr>
          <w:color w:val="000000" w:themeColor="text1"/>
          <w:szCs w:val="24"/>
        </w:rPr>
        <w:t>darbības programmu papildinājumos</w:t>
      </w:r>
      <w:r w:rsidR="00657B4A" w:rsidRPr="008E4EA2">
        <w:rPr>
          <w:color w:val="000000" w:themeColor="text1"/>
          <w:szCs w:val="24"/>
        </w:rPr>
        <w:t>.</w:t>
      </w:r>
    </w:p>
    <w:p w:rsidR="0070174B" w:rsidRPr="008E4EA2" w:rsidRDefault="00A12973" w:rsidP="003A0029">
      <w:pPr>
        <w:pStyle w:val="BodyTextIndent"/>
        <w:numPr>
          <w:ilvl w:val="2"/>
          <w:numId w:val="2"/>
        </w:numPr>
        <w:spacing w:before="120" w:line="276" w:lineRule="auto"/>
        <w:rPr>
          <w:b/>
          <w:color w:val="000000" w:themeColor="text1"/>
          <w:szCs w:val="24"/>
          <w:lang w:val="lv-LV"/>
        </w:rPr>
      </w:pPr>
      <w:r w:rsidRPr="008E4EA2">
        <w:rPr>
          <w:b/>
          <w:color w:val="000000" w:themeColor="text1"/>
          <w:szCs w:val="24"/>
          <w:lang w:val="lv-LV"/>
        </w:rPr>
        <w:t>Darbības programma</w:t>
      </w:r>
      <w:r w:rsidR="000B4535" w:rsidRPr="008E4EA2">
        <w:rPr>
          <w:b/>
          <w:color w:val="000000" w:themeColor="text1"/>
          <w:szCs w:val="24"/>
          <w:lang w:val="lv-LV"/>
        </w:rPr>
        <w:t xml:space="preserve"> </w:t>
      </w:r>
      <w:r w:rsidR="00E15CBF" w:rsidRPr="008E4EA2">
        <w:rPr>
          <w:b/>
          <w:color w:val="000000" w:themeColor="text1"/>
          <w:szCs w:val="24"/>
          <w:lang w:val="lv-LV"/>
        </w:rPr>
        <w:t>„</w:t>
      </w:r>
      <w:r w:rsidRPr="008E4EA2">
        <w:rPr>
          <w:b/>
          <w:color w:val="000000" w:themeColor="text1"/>
          <w:szCs w:val="24"/>
          <w:lang w:val="lv-LV"/>
        </w:rPr>
        <w:t>Cilvēkresursi un nodar</w:t>
      </w:r>
      <w:r w:rsidR="00006F67" w:rsidRPr="008E4EA2">
        <w:rPr>
          <w:b/>
          <w:color w:val="000000" w:themeColor="text1"/>
          <w:szCs w:val="24"/>
          <w:lang w:val="lv-LV"/>
        </w:rPr>
        <w:t>binātība</w:t>
      </w:r>
      <w:r w:rsidR="00E15CBF" w:rsidRPr="008E4EA2">
        <w:rPr>
          <w:b/>
          <w:color w:val="000000" w:themeColor="text1"/>
          <w:szCs w:val="24"/>
          <w:lang w:val="lv-LV"/>
        </w:rPr>
        <w:t>”</w:t>
      </w:r>
      <w:r w:rsidR="00006F67" w:rsidRPr="008E4EA2">
        <w:rPr>
          <w:b/>
          <w:color w:val="000000" w:themeColor="text1"/>
          <w:szCs w:val="24"/>
          <w:lang w:val="lv-LV"/>
        </w:rPr>
        <w:t xml:space="preserve"> un tās papildinājums </w:t>
      </w:r>
    </w:p>
    <w:p w:rsidR="00C238F6" w:rsidRPr="008E4EA2" w:rsidRDefault="00C238F6" w:rsidP="003A0029">
      <w:pPr>
        <w:pStyle w:val="BodyTextIndent"/>
        <w:numPr>
          <w:ilvl w:val="0"/>
          <w:numId w:val="5"/>
        </w:numPr>
        <w:spacing w:before="120" w:line="276" w:lineRule="auto"/>
        <w:ind w:left="0" w:hanging="357"/>
        <w:rPr>
          <w:color w:val="000000" w:themeColor="text1"/>
          <w:szCs w:val="24"/>
          <w:lang w:val="lv-LV" w:eastAsia="en-US"/>
        </w:rPr>
      </w:pPr>
      <w:r w:rsidRPr="008E4EA2">
        <w:rPr>
          <w:color w:val="000000" w:themeColor="text1"/>
          <w:szCs w:val="24"/>
          <w:lang w:val="lv-LV" w:eastAsia="en-US"/>
        </w:rPr>
        <w:t xml:space="preserve">Ar 2012.gada 27.jūlija MK rīkojumu Nr.336 apstiprināti grozījumi darbības programmas „Cilvēkresursi un nodarbinātība” papildinājumā. Līdz ar grozījumiem tika paplašinātas </w:t>
      </w:r>
      <w:proofErr w:type="spellStart"/>
      <w:r w:rsidRPr="008E4EA2">
        <w:rPr>
          <w:color w:val="000000" w:themeColor="text1"/>
          <w:szCs w:val="24"/>
          <w:lang w:val="lv-LV" w:eastAsia="en-US"/>
        </w:rPr>
        <w:t>apakšaktivitātes</w:t>
      </w:r>
      <w:proofErr w:type="spellEnd"/>
      <w:r w:rsidRPr="008E4EA2">
        <w:rPr>
          <w:color w:val="000000" w:themeColor="text1"/>
          <w:szCs w:val="24"/>
          <w:lang w:val="lv-LV" w:eastAsia="en-US"/>
        </w:rPr>
        <w:t xml:space="preserve"> „Kompleksi atbalsta pasākumi iedzīvotāju integrēšanai sabiedrībā un darba tirgū” atbalstāmās darbības un mērķa grupa, lai sniegtu atbalsta pasākumus ilgstošajiem bezdarbniekiem ar atkarības problēmām un īstenotu pasākumu „Darbnīcas jauniešiem”, kā arī</w:t>
      </w:r>
      <w:r w:rsidR="003271BE" w:rsidRPr="008E4EA2">
        <w:rPr>
          <w:color w:val="000000" w:themeColor="text1"/>
          <w:szCs w:val="24"/>
          <w:lang w:val="lv-LV" w:eastAsia="en-US"/>
        </w:rPr>
        <w:t xml:space="preserve"> </w:t>
      </w:r>
      <w:r w:rsidRPr="008E4EA2">
        <w:rPr>
          <w:color w:val="000000" w:themeColor="text1"/>
          <w:szCs w:val="24"/>
          <w:lang w:val="lv-LV" w:eastAsia="en-US"/>
        </w:rPr>
        <w:t xml:space="preserve">paplašināts aktivitāšu saraksts, kuru ietvaros tiek sniegts valsts atbalsts, papildinot to ar </w:t>
      </w:r>
      <w:proofErr w:type="spellStart"/>
      <w:r w:rsidRPr="008E4EA2">
        <w:rPr>
          <w:color w:val="000000" w:themeColor="text1"/>
          <w:szCs w:val="24"/>
          <w:lang w:val="lv-LV" w:eastAsia="en-US"/>
        </w:rPr>
        <w:t>apakšaktivitāti</w:t>
      </w:r>
      <w:proofErr w:type="spellEnd"/>
      <w:r w:rsidRPr="008E4EA2">
        <w:rPr>
          <w:color w:val="000000" w:themeColor="text1"/>
          <w:szCs w:val="24"/>
          <w:lang w:val="lv-LV" w:eastAsia="en-US"/>
        </w:rPr>
        <w:t xml:space="preserve"> „Bezdarbnieku un darba meklētāju apmācība”.</w:t>
      </w:r>
    </w:p>
    <w:p w:rsidR="007A2B14" w:rsidRPr="008E4EA2" w:rsidRDefault="00C238F6" w:rsidP="003A0029">
      <w:pPr>
        <w:pStyle w:val="BodyTextIndent"/>
        <w:numPr>
          <w:ilvl w:val="0"/>
          <w:numId w:val="5"/>
        </w:numPr>
        <w:spacing w:before="120" w:line="276" w:lineRule="auto"/>
        <w:ind w:left="0" w:hanging="357"/>
        <w:rPr>
          <w:color w:val="000000" w:themeColor="text1"/>
          <w:szCs w:val="24"/>
          <w:lang w:val="lv-LV" w:eastAsia="en-US"/>
        </w:rPr>
      </w:pPr>
      <w:r w:rsidRPr="008E4EA2">
        <w:rPr>
          <w:color w:val="000000" w:themeColor="text1"/>
          <w:szCs w:val="24"/>
          <w:lang w:val="lv-LV" w:eastAsia="en-US"/>
        </w:rPr>
        <w:t>Ar 2012.gada 12.septembra MK rīkojumu Nr.435 apstiprināti grozījumi darbības programmas „Cilvēkresursi un nodarbinātība” papildinājumā. Līdz ar grozījumiem tika definēti aktivitātes „Cilvēkresursu piesaiste zinātnei” otrās atlases kārtas atbalsta nosacījumi un</w:t>
      </w:r>
      <w:r w:rsidR="003271BE" w:rsidRPr="008E4EA2">
        <w:rPr>
          <w:color w:val="000000" w:themeColor="text1"/>
          <w:szCs w:val="24"/>
          <w:lang w:val="lv-LV" w:eastAsia="en-US"/>
        </w:rPr>
        <w:t xml:space="preserve"> </w:t>
      </w:r>
      <w:r w:rsidRPr="008E4EA2">
        <w:rPr>
          <w:color w:val="000000" w:themeColor="text1"/>
          <w:szCs w:val="24"/>
          <w:lang w:val="lv-LV" w:eastAsia="en-US"/>
        </w:rPr>
        <w:t xml:space="preserve">paplašināta </w:t>
      </w:r>
      <w:proofErr w:type="spellStart"/>
      <w:r w:rsidRPr="008E4EA2">
        <w:rPr>
          <w:color w:val="000000" w:themeColor="text1"/>
          <w:szCs w:val="24"/>
          <w:lang w:val="lv-LV" w:eastAsia="en-US"/>
        </w:rPr>
        <w:t>apakšaktivitātes</w:t>
      </w:r>
      <w:proofErr w:type="spellEnd"/>
      <w:r w:rsidRPr="008E4EA2">
        <w:rPr>
          <w:color w:val="000000" w:themeColor="text1"/>
          <w:szCs w:val="24"/>
          <w:lang w:val="lv-LV" w:eastAsia="en-US"/>
        </w:rPr>
        <w:t xml:space="preserve"> „Atbalsts sākotnējās profesionālās izglītības programmu īstenošanas kvalitātes uzlabošanai un īstenošanai” otrās atlases kārtas mērķa grupa, lai sekmētu jauniešu ātrāku integrāciju darba tirgū un mazinātu jauniešu bezdarba līmeni. Papildus minētajam tika precizēts pasākuma „Profesionālās izglītības un vispārējo prasmju attīstība” un pasākuma „Mūžizglītības attīstība un izglītībā un mūžizglītībā iesaistīto institūciju rīcībspējas un sadarbības uzlabošana” aktivitāšu finansējums, neapgūto publisko finansējumu </w:t>
      </w:r>
      <w:r w:rsidR="00C9741B" w:rsidRPr="008E4EA2">
        <w:rPr>
          <w:color w:val="000000" w:themeColor="text1"/>
          <w:szCs w:val="24"/>
          <w:lang w:val="lv-LV" w:eastAsia="en-US"/>
        </w:rPr>
        <w:t xml:space="preserve">3 </w:t>
      </w:r>
      <w:proofErr w:type="spellStart"/>
      <w:r w:rsidR="00C9741B" w:rsidRPr="008E4EA2">
        <w:rPr>
          <w:color w:val="000000" w:themeColor="text1"/>
          <w:szCs w:val="24"/>
          <w:lang w:val="lv-LV" w:eastAsia="en-US"/>
        </w:rPr>
        <w:t>milj</w:t>
      </w:r>
      <w:proofErr w:type="spellEnd"/>
      <w:r w:rsidR="00C9741B" w:rsidRPr="008E4EA2">
        <w:rPr>
          <w:color w:val="000000" w:themeColor="text1"/>
          <w:szCs w:val="24"/>
          <w:lang w:val="lv-LV" w:eastAsia="en-US"/>
        </w:rPr>
        <w:t>.</w:t>
      </w:r>
      <w:r w:rsidRPr="008E4EA2">
        <w:rPr>
          <w:color w:val="000000" w:themeColor="text1"/>
          <w:szCs w:val="24"/>
          <w:lang w:val="lv-LV" w:eastAsia="en-US"/>
        </w:rPr>
        <w:t xml:space="preserve"> latu apmērā novirzot </w:t>
      </w:r>
      <w:proofErr w:type="spellStart"/>
      <w:r w:rsidRPr="008E4EA2">
        <w:rPr>
          <w:color w:val="000000" w:themeColor="text1"/>
          <w:szCs w:val="24"/>
          <w:lang w:val="lv-LV" w:eastAsia="en-US"/>
        </w:rPr>
        <w:t>apakšaktivitātes</w:t>
      </w:r>
      <w:proofErr w:type="spellEnd"/>
      <w:r w:rsidRPr="008E4EA2">
        <w:rPr>
          <w:color w:val="000000" w:themeColor="text1"/>
          <w:szCs w:val="24"/>
          <w:lang w:val="lv-LV" w:eastAsia="en-US"/>
        </w:rPr>
        <w:t xml:space="preserve"> otrās atlases kārtas īstenošanai jauniešu bezdarba mazināšanai.</w:t>
      </w:r>
    </w:p>
    <w:p w:rsidR="001C7D6D" w:rsidRPr="008E4EA2" w:rsidRDefault="001C7D6D" w:rsidP="003A0029">
      <w:pPr>
        <w:pStyle w:val="BodyTextIndent"/>
        <w:numPr>
          <w:ilvl w:val="2"/>
          <w:numId w:val="2"/>
        </w:numPr>
        <w:spacing w:before="120" w:line="276" w:lineRule="auto"/>
        <w:rPr>
          <w:b/>
          <w:color w:val="000000" w:themeColor="text1"/>
          <w:szCs w:val="24"/>
          <w:lang w:val="lv-LV"/>
        </w:rPr>
      </w:pPr>
      <w:r w:rsidRPr="008E4EA2">
        <w:rPr>
          <w:b/>
          <w:color w:val="000000" w:themeColor="text1"/>
          <w:szCs w:val="24"/>
          <w:lang w:val="lv-LV"/>
        </w:rPr>
        <w:lastRenderedPageBreak/>
        <w:t>Darbības programma „Infrastruktūra un pakalpojumi” un tās papildinājums</w:t>
      </w:r>
    </w:p>
    <w:p w:rsidR="000C7A49" w:rsidRPr="008E4EA2" w:rsidRDefault="000C7A49" w:rsidP="003A0029">
      <w:pPr>
        <w:pStyle w:val="BodyTextIndent"/>
        <w:numPr>
          <w:ilvl w:val="0"/>
          <w:numId w:val="23"/>
        </w:numPr>
        <w:spacing w:before="120" w:line="276" w:lineRule="auto"/>
        <w:ind w:left="0"/>
        <w:rPr>
          <w:color w:val="000000" w:themeColor="text1"/>
          <w:szCs w:val="24"/>
          <w:lang w:val="lv-LV" w:eastAsia="en-US"/>
        </w:rPr>
      </w:pPr>
      <w:r w:rsidRPr="008E4EA2">
        <w:rPr>
          <w:color w:val="000000" w:themeColor="text1"/>
          <w:szCs w:val="24"/>
          <w:lang w:val="lv-LV" w:eastAsia="en-US"/>
        </w:rPr>
        <w:t xml:space="preserve">Ar MK 2012.gada 12.jūlija rīkojumu Nr.332 apstiprināti grozījumi darbības programmas „Infrastruktūra un pakalpojumi” papildinājumā, kas paredz aktivitātes „Ūdenssaimniecības infrastruktūras attīstība apdzīvotās vietās ar iedzīvotāju skaitu līdz 2000” ietvaros svītrot norādi uz plānošanas reģioniem pieejamo ERAF finansējuma kvotu, nodrošinot aktivitātes mērķu un </w:t>
      </w:r>
      <w:r w:rsidR="00F83396" w:rsidRPr="008E4EA2">
        <w:rPr>
          <w:color w:val="000000" w:themeColor="text1"/>
          <w:szCs w:val="24"/>
          <w:lang w:val="lv-LV" w:eastAsia="en-US"/>
        </w:rPr>
        <w:t>ES</w:t>
      </w:r>
      <w:r w:rsidRPr="008E4EA2">
        <w:rPr>
          <w:color w:val="000000" w:themeColor="text1"/>
          <w:szCs w:val="24"/>
          <w:lang w:val="lv-LV" w:eastAsia="en-US"/>
        </w:rPr>
        <w:t xml:space="preserve"> direktīvu un atbilstošu Latvijas normatīvo aktu prasību sasniegšanu komunālo notekūdeņu attīrīšanas un dzeramā ūdens kvalitātes jomā plānošanas reģionos, kur nav pieejams pietiekams ERAF finansējums ūdenssaimniecības infrastruktūras pakalpojumu uzlabošanai.</w:t>
      </w:r>
    </w:p>
    <w:p w:rsidR="000C7A49" w:rsidRPr="008E4EA2" w:rsidRDefault="000C7A49" w:rsidP="003A0029">
      <w:pPr>
        <w:pStyle w:val="BodyTextIndent"/>
        <w:numPr>
          <w:ilvl w:val="0"/>
          <w:numId w:val="23"/>
        </w:numPr>
        <w:spacing w:before="120" w:line="276" w:lineRule="auto"/>
        <w:ind w:left="0" w:hanging="357"/>
        <w:rPr>
          <w:color w:val="000000" w:themeColor="text1"/>
          <w:szCs w:val="24"/>
          <w:lang w:val="lv-LV" w:eastAsia="en-US"/>
        </w:rPr>
      </w:pPr>
      <w:r w:rsidRPr="008E4EA2">
        <w:rPr>
          <w:color w:val="000000" w:themeColor="text1"/>
          <w:szCs w:val="24"/>
          <w:lang w:val="lv-LV" w:eastAsia="en-US"/>
        </w:rPr>
        <w:t xml:space="preserve">Ar MK 2012.gada 1.augusta rīkojumu Nr.363 apstiprināti grozījumi darbības programmas „Infrastruktūra un pakalpojumi” papildinājumā, kas paredz </w:t>
      </w:r>
      <w:proofErr w:type="spellStart"/>
      <w:r w:rsidRPr="008E4EA2">
        <w:rPr>
          <w:color w:val="000000" w:themeColor="text1"/>
          <w:szCs w:val="24"/>
          <w:lang w:val="lv-LV" w:eastAsia="en-US"/>
        </w:rPr>
        <w:t>apakšaktivitātes</w:t>
      </w:r>
      <w:proofErr w:type="spellEnd"/>
      <w:r w:rsidRPr="008E4EA2">
        <w:rPr>
          <w:color w:val="000000" w:themeColor="text1"/>
          <w:szCs w:val="24"/>
          <w:lang w:val="lv-LV" w:eastAsia="en-US"/>
        </w:rPr>
        <w:t xml:space="preserve"> „Dalītas atkritumu apsaimniekošanas sistēmas attīstība” ietvaros paplašināt atbalsta veidu, iekļaujot atbalstāmajās darbībās notekūdeņu dūņu apstrādi un ārstniecības iestādēs radīto bīstamo atkritumu priekšapstrādi, un paplašināt finansējuma saņēmēju loku, to papildinot ar kapitālsabiedrībām – ūdenssaimniecības sabiedrisko pakalpojumu sniedzējiem vai ārstniecības iestādēm, kas saņēmušas atļauju A vai B kategorijas piesārņojušo darbību veikšanai, kas ietver atkritumu apsaimniekošanu, un kapitālsabiedrībām, kurām noslēgts</w:t>
      </w:r>
      <w:r w:rsidR="005E1672">
        <w:rPr>
          <w:color w:val="000000" w:themeColor="text1"/>
          <w:szCs w:val="24"/>
          <w:lang w:val="lv-LV" w:eastAsia="en-US"/>
        </w:rPr>
        <w:t xml:space="preserve"> </w:t>
      </w:r>
      <w:r w:rsidRPr="008E4EA2">
        <w:rPr>
          <w:color w:val="000000" w:themeColor="text1"/>
          <w:szCs w:val="24"/>
          <w:lang w:val="lv-LV" w:eastAsia="en-US"/>
        </w:rPr>
        <w:t>līgums ar atkritumu apsaimniekotāju, kurš ir noslēdzis līgumu ar pašvaldību Atkritumu apsaimniekošanas likumā noteiktajā kārtībā.</w:t>
      </w:r>
    </w:p>
    <w:p w:rsidR="001C7D6D" w:rsidRPr="008E4EA2" w:rsidRDefault="000C7A49" w:rsidP="003A0029">
      <w:pPr>
        <w:pStyle w:val="BodyTextIndent"/>
        <w:numPr>
          <w:ilvl w:val="0"/>
          <w:numId w:val="23"/>
        </w:numPr>
        <w:spacing w:before="120" w:line="276" w:lineRule="auto"/>
        <w:ind w:left="0" w:hanging="357"/>
        <w:rPr>
          <w:color w:val="000000" w:themeColor="text1"/>
          <w:szCs w:val="24"/>
          <w:lang w:val="lv-LV" w:eastAsia="en-US"/>
        </w:rPr>
      </w:pPr>
      <w:r w:rsidRPr="008E4EA2">
        <w:rPr>
          <w:color w:val="000000" w:themeColor="text1"/>
          <w:szCs w:val="24"/>
          <w:lang w:val="lv-LV" w:eastAsia="en-US"/>
        </w:rPr>
        <w:t xml:space="preserve">Ar MK 2012.gada 2.augusta rīkojumu Nr.367 apstiprināti grozījumi darbības programmas „Infrastruktūra un pakalpojumi” papildinājumā, aktivitātes „Valsts 1.šķiras autoceļu maršrutu sakārtošana” īstenošanas rezultātā radušos finansējuma ietaupījumu 9,2 </w:t>
      </w:r>
      <w:proofErr w:type="spellStart"/>
      <w:r w:rsidRPr="008E4EA2">
        <w:rPr>
          <w:color w:val="000000" w:themeColor="text1"/>
          <w:szCs w:val="24"/>
          <w:lang w:val="lv-LV" w:eastAsia="en-US"/>
        </w:rPr>
        <w:t>milj</w:t>
      </w:r>
      <w:proofErr w:type="spellEnd"/>
      <w:r w:rsidRPr="008E4EA2">
        <w:rPr>
          <w:color w:val="000000" w:themeColor="text1"/>
          <w:szCs w:val="24"/>
          <w:lang w:val="lv-LV" w:eastAsia="en-US"/>
        </w:rPr>
        <w:t xml:space="preserve">. latu apmērā, tai skaitā ERAF finansējums 7,8 </w:t>
      </w:r>
      <w:proofErr w:type="spellStart"/>
      <w:r w:rsidRPr="008E4EA2">
        <w:rPr>
          <w:color w:val="000000" w:themeColor="text1"/>
          <w:szCs w:val="24"/>
          <w:lang w:val="lv-LV" w:eastAsia="en-US"/>
        </w:rPr>
        <w:t>milj</w:t>
      </w:r>
      <w:proofErr w:type="spellEnd"/>
      <w:r w:rsidRPr="008E4EA2">
        <w:rPr>
          <w:color w:val="000000" w:themeColor="text1"/>
          <w:szCs w:val="24"/>
          <w:lang w:val="lv-LV" w:eastAsia="en-US"/>
        </w:rPr>
        <w:t>. latu un nacionālais publiskais finansējums</w:t>
      </w:r>
      <w:r w:rsidR="005E1672">
        <w:rPr>
          <w:color w:val="000000" w:themeColor="text1"/>
          <w:szCs w:val="24"/>
          <w:lang w:val="lv-LV" w:eastAsia="en-US"/>
        </w:rPr>
        <w:t xml:space="preserve"> </w:t>
      </w:r>
      <w:r w:rsidRPr="008E4EA2">
        <w:rPr>
          <w:color w:val="000000" w:themeColor="text1"/>
          <w:szCs w:val="24"/>
          <w:lang w:val="lv-LV" w:eastAsia="en-US"/>
        </w:rPr>
        <w:t>1,4 latu, pārdalot aktivitātes „</w:t>
      </w:r>
      <w:proofErr w:type="spellStart"/>
      <w:r w:rsidRPr="008E4EA2">
        <w:rPr>
          <w:color w:val="000000" w:themeColor="text1"/>
          <w:szCs w:val="24"/>
          <w:lang w:val="lv-LV" w:eastAsia="en-US"/>
        </w:rPr>
        <w:t>Tranzītielu</w:t>
      </w:r>
      <w:proofErr w:type="spellEnd"/>
      <w:r w:rsidRPr="008E4EA2">
        <w:rPr>
          <w:color w:val="000000" w:themeColor="text1"/>
          <w:szCs w:val="24"/>
          <w:lang w:val="lv-LV" w:eastAsia="en-US"/>
        </w:rPr>
        <w:t xml:space="preserve"> sakārtošana pilsētu teritorijās” ietvaros iesniegto projektu iesniegumu apstiprināšanai, kas tika noraidīti finansējuma trūkuma dēļ.</w:t>
      </w:r>
    </w:p>
    <w:p w:rsidR="00637F32" w:rsidRPr="008E4EA2" w:rsidRDefault="00B83810" w:rsidP="003A0029">
      <w:pPr>
        <w:pStyle w:val="2lmenis"/>
        <w:numPr>
          <w:ilvl w:val="1"/>
          <w:numId w:val="2"/>
        </w:numPr>
        <w:spacing w:before="120" w:after="120" w:line="276" w:lineRule="auto"/>
        <w:ind w:left="1276" w:hanging="425"/>
        <w:jc w:val="both"/>
        <w:rPr>
          <w:color w:val="000000" w:themeColor="text1"/>
          <w:sz w:val="24"/>
          <w:szCs w:val="24"/>
          <w:lang w:val="lv-LV"/>
        </w:rPr>
      </w:pPr>
      <w:bookmarkStart w:id="20" w:name="_Toc324948879"/>
      <w:bookmarkStart w:id="21" w:name="_Toc340241688"/>
      <w:r w:rsidRPr="008E4EA2">
        <w:rPr>
          <w:color w:val="000000" w:themeColor="text1"/>
          <w:sz w:val="24"/>
          <w:szCs w:val="24"/>
          <w:lang w:val="lv-LV"/>
        </w:rPr>
        <w:t>Projektu iesniegumu a</w:t>
      </w:r>
      <w:r w:rsidR="0039301C" w:rsidRPr="008E4EA2">
        <w:rPr>
          <w:color w:val="000000" w:themeColor="text1"/>
          <w:sz w:val="24"/>
          <w:szCs w:val="24"/>
          <w:lang w:val="lv-LV"/>
        </w:rPr>
        <w:t>tlases darbības programmās</w:t>
      </w:r>
      <w:bookmarkEnd w:id="20"/>
      <w:bookmarkEnd w:id="21"/>
    </w:p>
    <w:p w:rsidR="006F4646" w:rsidRPr="008E4EA2" w:rsidRDefault="006F4646" w:rsidP="003A0029">
      <w:pPr>
        <w:pStyle w:val="BodyTextIndent"/>
        <w:numPr>
          <w:ilvl w:val="2"/>
          <w:numId w:val="2"/>
        </w:numPr>
        <w:spacing w:before="120" w:line="276" w:lineRule="auto"/>
        <w:rPr>
          <w:b/>
          <w:iCs/>
          <w:color w:val="000000" w:themeColor="text1"/>
          <w:szCs w:val="24"/>
          <w:lang w:val="lv-LV"/>
        </w:rPr>
      </w:pPr>
      <w:r w:rsidRPr="008E4EA2">
        <w:rPr>
          <w:b/>
          <w:color w:val="000000" w:themeColor="text1"/>
          <w:szCs w:val="24"/>
          <w:lang w:val="lv-LV"/>
        </w:rPr>
        <w:t>Projektu iesniegumu a</w:t>
      </w:r>
      <w:r w:rsidR="000B4535" w:rsidRPr="008E4EA2">
        <w:rPr>
          <w:b/>
          <w:iCs/>
          <w:color w:val="000000" w:themeColor="text1"/>
          <w:szCs w:val="24"/>
          <w:lang w:val="lv-LV"/>
        </w:rPr>
        <w:t>tlases darbības programmā</w:t>
      </w:r>
      <w:r w:rsidR="00E15CBF" w:rsidRPr="008E4EA2">
        <w:rPr>
          <w:b/>
          <w:iCs/>
          <w:color w:val="000000" w:themeColor="text1"/>
          <w:szCs w:val="24"/>
          <w:lang w:val="lv-LV"/>
        </w:rPr>
        <w:t xml:space="preserve"> „</w:t>
      </w:r>
      <w:r w:rsidRPr="008E4EA2">
        <w:rPr>
          <w:b/>
          <w:iCs/>
          <w:color w:val="000000" w:themeColor="text1"/>
          <w:szCs w:val="24"/>
          <w:lang w:val="lv-LV"/>
        </w:rPr>
        <w:t>Cilvēkresursi un nodarbinātība</w:t>
      </w:r>
      <w:r w:rsidR="00E15CBF" w:rsidRPr="008E4EA2">
        <w:rPr>
          <w:color w:val="000000" w:themeColor="text1"/>
          <w:szCs w:val="24"/>
          <w:lang w:val="lv-LV"/>
        </w:rPr>
        <w:t>”</w:t>
      </w:r>
      <w:r w:rsidRPr="008E4EA2">
        <w:rPr>
          <w:b/>
          <w:iCs/>
          <w:color w:val="000000" w:themeColor="text1"/>
          <w:szCs w:val="24"/>
          <w:lang w:val="lv-LV"/>
        </w:rPr>
        <w:t xml:space="preserve"> </w:t>
      </w:r>
    </w:p>
    <w:p w:rsidR="00C238F6" w:rsidRPr="008E4EA2" w:rsidRDefault="00291091" w:rsidP="003A0029">
      <w:pPr>
        <w:pStyle w:val="BodyTextIndent"/>
        <w:numPr>
          <w:ilvl w:val="0"/>
          <w:numId w:val="20"/>
        </w:numPr>
        <w:spacing w:before="120" w:line="276" w:lineRule="auto"/>
        <w:ind w:left="0"/>
        <w:rPr>
          <w:color w:val="000000" w:themeColor="text1"/>
          <w:szCs w:val="24"/>
          <w:lang w:val="lv-LV" w:eastAsia="en-US"/>
        </w:rPr>
      </w:pPr>
      <w:r w:rsidRPr="008E4EA2">
        <w:rPr>
          <w:color w:val="000000" w:themeColor="text1"/>
          <w:szCs w:val="24"/>
          <w:lang w:val="lv-LV"/>
        </w:rPr>
        <w:t xml:space="preserve">2012.gada trešajā ceturksnī 1 aktivitātē tika izsludināta projektu iesniegumu atlase par ESF finansējumu 3 </w:t>
      </w:r>
      <w:proofErr w:type="spellStart"/>
      <w:r w:rsidRPr="008E4EA2">
        <w:rPr>
          <w:color w:val="000000" w:themeColor="text1"/>
          <w:szCs w:val="24"/>
          <w:lang w:val="lv-LV"/>
        </w:rPr>
        <w:t>milj</w:t>
      </w:r>
      <w:proofErr w:type="spellEnd"/>
      <w:r w:rsidRPr="008E4EA2">
        <w:rPr>
          <w:color w:val="000000" w:themeColor="text1"/>
          <w:szCs w:val="24"/>
          <w:lang w:val="lv-LV"/>
        </w:rPr>
        <w:t xml:space="preserve">. latu apmērā, </w:t>
      </w:r>
      <w:proofErr w:type="spellStart"/>
      <w:r w:rsidRPr="008E4EA2">
        <w:rPr>
          <w:color w:val="000000" w:themeColor="text1"/>
          <w:szCs w:val="24"/>
          <w:lang w:val="lv-LV"/>
        </w:rPr>
        <w:t>t.i</w:t>
      </w:r>
      <w:proofErr w:type="spellEnd"/>
      <w:r w:rsidRPr="008E4EA2">
        <w:rPr>
          <w:color w:val="000000" w:themeColor="text1"/>
          <w:szCs w:val="24"/>
          <w:lang w:val="lv-LV"/>
        </w:rPr>
        <w:t>.,</w:t>
      </w:r>
      <w:r w:rsidR="005E1672">
        <w:rPr>
          <w:color w:val="000000" w:themeColor="text1"/>
          <w:szCs w:val="24"/>
          <w:lang w:val="lv-LV"/>
        </w:rPr>
        <w:t xml:space="preserve"> </w:t>
      </w:r>
      <w:r w:rsidR="00C238F6" w:rsidRPr="008E4EA2">
        <w:rPr>
          <w:color w:val="000000" w:themeColor="text1"/>
          <w:szCs w:val="24"/>
          <w:lang w:val="lv-LV" w:eastAsia="en-US"/>
        </w:rPr>
        <w:t xml:space="preserve">2012.gada 28.septembrī tika izsludināta atklāta projektu iesniegumu atlase </w:t>
      </w:r>
      <w:proofErr w:type="spellStart"/>
      <w:r w:rsidR="00840018" w:rsidRPr="008E4EA2">
        <w:rPr>
          <w:color w:val="000000" w:themeColor="text1"/>
          <w:szCs w:val="24"/>
          <w:lang w:val="lv-LV" w:eastAsia="en-US"/>
        </w:rPr>
        <w:t>a</w:t>
      </w:r>
      <w:r w:rsidR="00C238F6" w:rsidRPr="008E4EA2">
        <w:rPr>
          <w:color w:val="000000" w:themeColor="text1"/>
          <w:szCs w:val="24"/>
          <w:lang w:val="lv-LV" w:eastAsia="en-US"/>
        </w:rPr>
        <w:t>pakšaktivitātē</w:t>
      </w:r>
      <w:proofErr w:type="spellEnd"/>
      <w:r w:rsidR="00C238F6" w:rsidRPr="008E4EA2">
        <w:rPr>
          <w:color w:val="000000" w:themeColor="text1"/>
          <w:szCs w:val="24"/>
          <w:lang w:val="lv-LV" w:eastAsia="en-US"/>
        </w:rPr>
        <w:t xml:space="preserve"> „Atbalsts darba vietu radīšanai”, kuras mērķis ir veicināt jaunu darba vietu izveidi. Projektu iesniegumu pieņemšana notiks no š.g.1.novembra līdz 2013.gada 28.martam. Atlases kārtai pieejamais finansējums ir 6 </w:t>
      </w:r>
      <w:r w:rsidR="00C9741B" w:rsidRPr="008E4EA2">
        <w:rPr>
          <w:color w:val="000000" w:themeColor="text1"/>
          <w:szCs w:val="24"/>
          <w:lang w:val="lv-LV" w:eastAsia="en-US"/>
        </w:rPr>
        <w:t>milj.</w:t>
      </w:r>
      <w:r w:rsidR="00C238F6" w:rsidRPr="008E4EA2">
        <w:rPr>
          <w:color w:val="000000" w:themeColor="text1"/>
          <w:szCs w:val="24"/>
          <w:lang w:val="lv-LV" w:eastAsia="en-US"/>
        </w:rPr>
        <w:t xml:space="preserve"> latu, tai skaitā ESF līdzfinansējums 3 </w:t>
      </w:r>
      <w:r w:rsidR="00C9741B" w:rsidRPr="008E4EA2">
        <w:rPr>
          <w:color w:val="000000" w:themeColor="text1"/>
          <w:szCs w:val="24"/>
          <w:lang w:val="lv-LV" w:eastAsia="en-US"/>
        </w:rPr>
        <w:t>milj.</w:t>
      </w:r>
      <w:r w:rsidR="00C238F6" w:rsidRPr="008E4EA2">
        <w:rPr>
          <w:color w:val="000000" w:themeColor="text1"/>
          <w:szCs w:val="24"/>
          <w:lang w:val="lv-LV" w:eastAsia="en-US"/>
        </w:rPr>
        <w:t xml:space="preserve"> latu un privātais līdzfinansējums 3 </w:t>
      </w:r>
      <w:r w:rsidR="00C9741B" w:rsidRPr="008E4EA2">
        <w:rPr>
          <w:color w:val="000000" w:themeColor="text1"/>
          <w:szCs w:val="24"/>
          <w:lang w:val="lv-LV" w:eastAsia="en-US"/>
        </w:rPr>
        <w:t xml:space="preserve">milj. </w:t>
      </w:r>
      <w:r w:rsidR="00C238F6" w:rsidRPr="008E4EA2">
        <w:rPr>
          <w:color w:val="000000" w:themeColor="text1"/>
          <w:szCs w:val="24"/>
          <w:lang w:val="lv-LV" w:eastAsia="en-US"/>
        </w:rPr>
        <w:t>latu.</w:t>
      </w:r>
    </w:p>
    <w:p w:rsidR="00C238F6" w:rsidRPr="008E4EA2" w:rsidRDefault="00840018" w:rsidP="003A0029">
      <w:pPr>
        <w:pStyle w:val="BodyTextIndent"/>
        <w:numPr>
          <w:ilvl w:val="0"/>
          <w:numId w:val="20"/>
        </w:numPr>
        <w:spacing w:before="120" w:line="276" w:lineRule="auto"/>
        <w:ind w:left="0" w:hanging="357"/>
        <w:rPr>
          <w:color w:val="000000" w:themeColor="text1"/>
          <w:szCs w:val="24"/>
          <w:lang w:val="lv-LV" w:eastAsia="en-US"/>
        </w:rPr>
      </w:pPr>
      <w:proofErr w:type="spellStart"/>
      <w:r w:rsidRPr="008E4EA2">
        <w:rPr>
          <w:color w:val="000000" w:themeColor="text1"/>
          <w:szCs w:val="24"/>
          <w:lang w:val="lv-LV" w:eastAsia="en-US"/>
        </w:rPr>
        <w:t>A</w:t>
      </w:r>
      <w:r w:rsidR="00C238F6" w:rsidRPr="008E4EA2">
        <w:rPr>
          <w:color w:val="000000" w:themeColor="text1"/>
          <w:szCs w:val="24"/>
          <w:lang w:val="lv-LV" w:eastAsia="en-US"/>
        </w:rPr>
        <w:t>pakšaktivitātes</w:t>
      </w:r>
      <w:proofErr w:type="spellEnd"/>
      <w:r w:rsidR="00C238F6" w:rsidRPr="008E4EA2">
        <w:rPr>
          <w:color w:val="000000" w:themeColor="text1"/>
          <w:szCs w:val="24"/>
          <w:lang w:val="lv-LV" w:eastAsia="en-US"/>
        </w:rPr>
        <w:t xml:space="preserve"> „Nevalstisko organizāciju administratīvās kapacitātes stiprināšana” projektu iesniegumu trešās atlases kārtas ietvaros pēc lēmumu pieņemšanas par projektu iesniegumu apstiprināšanu, apstiprināšanu ar nosacījumu vai noraidīšanu un to nosūtīšanas projekta iesniedzējiem SI saņēmusi deviņus iesniegumus par izdoto </w:t>
      </w:r>
      <w:r w:rsidR="00C238F6" w:rsidRPr="008E4EA2">
        <w:rPr>
          <w:color w:val="000000" w:themeColor="text1"/>
          <w:szCs w:val="24"/>
          <w:lang w:val="lv-LV" w:eastAsia="en-US"/>
        </w:rPr>
        <w:lastRenderedPageBreak/>
        <w:t xml:space="preserve">administratīvo aktu par projekta iesniegumu noraidīšanu apstrīdēšanu. </w:t>
      </w:r>
      <w:r w:rsidRPr="008E4EA2">
        <w:rPr>
          <w:color w:val="000000" w:themeColor="text1"/>
          <w:szCs w:val="24"/>
          <w:lang w:val="lv-LV" w:eastAsia="en-US"/>
        </w:rPr>
        <w:t>AI</w:t>
      </w:r>
      <w:r w:rsidR="00C238F6" w:rsidRPr="008E4EA2">
        <w:rPr>
          <w:color w:val="000000" w:themeColor="text1"/>
          <w:szCs w:val="24"/>
          <w:lang w:val="lv-LV" w:eastAsia="en-US"/>
        </w:rPr>
        <w:t xml:space="preserve">, iepazīstoties ar lietas materiāliem, atstājusi spēkā </w:t>
      </w:r>
      <w:r w:rsidR="00AC0E0A">
        <w:rPr>
          <w:color w:val="000000" w:themeColor="text1"/>
          <w:szCs w:val="24"/>
          <w:lang w:val="lv-LV" w:eastAsia="en-US"/>
        </w:rPr>
        <w:t xml:space="preserve">negrozītus </w:t>
      </w:r>
      <w:r w:rsidR="00C238F6" w:rsidRPr="008E4EA2">
        <w:rPr>
          <w:color w:val="000000" w:themeColor="text1"/>
          <w:szCs w:val="24"/>
          <w:lang w:val="lv-LV" w:eastAsia="en-US"/>
        </w:rPr>
        <w:t xml:space="preserve">piecus SIF izdotos administratīvos aktus par projektu iesniegumu noraidīšanu. Četrus no administratīvajiem aktiem </w:t>
      </w:r>
      <w:r w:rsidRPr="008E4EA2">
        <w:rPr>
          <w:color w:val="000000" w:themeColor="text1"/>
          <w:szCs w:val="24"/>
          <w:lang w:val="lv-LV" w:eastAsia="en-US"/>
        </w:rPr>
        <w:t>AI</w:t>
      </w:r>
      <w:r w:rsidR="00C238F6" w:rsidRPr="008E4EA2">
        <w:rPr>
          <w:color w:val="000000" w:themeColor="text1"/>
          <w:szCs w:val="24"/>
          <w:lang w:val="lv-LV" w:eastAsia="en-US"/>
        </w:rPr>
        <w:t xml:space="preserve"> atcēla</w:t>
      </w:r>
      <w:r w:rsidR="00AC0E0A">
        <w:rPr>
          <w:color w:val="000000" w:themeColor="text1"/>
          <w:szCs w:val="24"/>
          <w:lang w:val="lv-LV" w:eastAsia="en-US"/>
        </w:rPr>
        <w:t>,</w:t>
      </w:r>
      <w:r w:rsidR="00C238F6" w:rsidRPr="008E4EA2">
        <w:rPr>
          <w:color w:val="000000" w:themeColor="text1"/>
          <w:szCs w:val="24"/>
          <w:lang w:val="lv-LV" w:eastAsia="en-US"/>
        </w:rPr>
        <w:t xml:space="preserve"> </w:t>
      </w:r>
      <w:r w:rsidR="00AC0E0A">
        <w:t>vienā no tiem precizējot piešķirto punktu skaitu, un pārējos trīs</w:t>
      </w:r>
      <w:r w:rsidR="00AC0E0A" w:rsidRPr="008E4EA2" w:rsidDel="00AC0E0A">
        <w:rPr>
          <w:color w:val="000000" w:themeColor="text1"/>
          <w:szCs w:val="24"/>
          <w:lang w:val="lv-LV" w:eastAsia="en-US"/>
        </w:rPr>
        <w:t xml:space="preserve"> </w:t>
      </w:r>
      <w:r w:rsidR="00C238F6" w:rsidRPr="008E4EA2">
        <w:rPr>
          <w:color w:val="000000" w:themeColor="text1"/>
          <w:szCs w:val="24"/>
          <w:lang w:val="lv-LV" w:eastAsia="en-US"/>
        </w:rPr>
        <w:t xml:space="preserve">projektu iesniegumus </w:t>
      </w:r>
      <w:r w:rsidR="00AC0E0A">
        <w:rPr>
          <w:color w:val="000000" w:themeColor="text1"/>
          <w:szCs w:val="24"/>
          <w:lang w:val="lv-LV" w:eastAsia="en-US"/>
        </w:rPr>
        <w:t xml:space="preserve">virzot </w:t>
      </w:r>
      <w:r w:rsidR="00C238F6" w:rsidRPr="008E4EA2">
        <w:rPr>
          <w:color w:val="000000" w:themeColor="text1"/>
          <w:szCs w:val="24"/>
          <w:lang w:val="lv-LV" w:eastAsia="en-US"/>
        </w:rPr>
        <w:t>tālākai vērtēšanai atbilstoši kvalitātes vērtēšanas kritērijiem. Pārvērtēšanas rezultātā, kā arī pārējo projektu iesniegumu nosacījumu izpildes rezultātā, papildus ar nosacījumu tika apstiprināti četri projekta iesniegumi par kopējo summu 80</w:t>
      </w:r>
      <w:r w:rsidR="00B44D0E" w:rsidRPr="008E4EA2">
        <w:rPr>
          <w:color w:val="000000" w:themeColor="text1"/>
          <w:szCs w:val="24"/>
          <w:lang w:val="lv-LV" w:eastAsia="en-US"/>
        </w:rPr>
        <w:t xml:space="preserve">,8 </w:t>
      </w:r>
      <w:proofErr w:type="spellStart"/>
      <w:r w:rsidR="00B44D0E" w:rsidRPr="008E4EA2">
        <w:rPr>
          <w:color w:val="000000" w:themeColor="text1"/>
          <w:szCs w:val="24"/>
          <w:lang w:val="lv-LV" w:eastAsia="en-US"/>
        </w:rPr>
        <w:t>tūkst</w:t>
      </w:r>
      <w:proofErr w:type="spellEnd"/>
      <w:r w:rsidR="00B44D0E" w:rsidRPr="008E4EA2">
        <w:rPr>
          <w:color w:val="000000" w:themeColor="text1"/>
          <w:szCs w:val="24"/>
          <w:lang w:val="lv-LV" w:eastAsia="en-US"/>
        </w:rPr>
        <w:t>.</w:t>
      </w:r>
      <w:r w:rsidR="00C238F6" w:rsidRPr="008E4EA2">
        <w:rPr>
          <w:color w:val="000000" w:themeColor="text1"/>
          <w:szCs w:val="24"/>
          <w:lang w:val="lv-LV" w:eastAsia="en-US"/>
        </w:rPr>
        <w:t xml:space="preserve"> latu (</w:t>
      </w:r>
      <w:r w:rsidR="00AC0E0A">
        <w:t>92,</w:t>
      </w:r>
      <w:r w:rsidR="008869C6">
        <w:rPr>
          <w:lang w:val="lv-LV"/>
        </w:rPr>
        <w:t>1</w:t>
      </w:r>
      <w:r w:rsidR="00C238F6" w:rsidRPr="008E4EA2">
        <w:rPr>
          <w:color w:val="000000" w:themeColor="text1"/>
          <w:szCs w:val="24"/>
          <w:lang w:val="lv-LV" w:eastAsia="en-US"/>
        </w:rPr>
        <w:t xml:space="preserve">% ESF atbalsts). Ņemot vērā </w:t>
      </w:r>
      <w:proofErr w:type="spellStart"/>
      <w:r w:rsidR="00C238F6" w:rsidRPr="008E4EA2">
        <w:rPr>
          <w:color w:val="000000" w:themeColor="text1"/>
          <w:szCs w:val="24"/>
          <w:lang w:val="lv-LV" w:eastAsia="en-US"/>
        </w:rPr>
        <w:t>apakšaktivitātes</w:t>
      </w:r>
      <w:proofErr w:type="spellEnd"/>
      <w:r w:rsidR="00C238F6" w:rsidRPr="008E4EA2">
        <w:rPr>
          <w:color w:val="000000" w:themeColor="text1"/>
          <w:szCs w:val="24"/>
          <w:lang w:val="lv-LV" w:eastAsia="en-US"/>
        </w:rPr>
        <w:t xml:space="preserve"> „Atbalsts pašvaldībām kapacitātes stiprināšanā </w:t>
      </w:r>
      <w:r w:rsidR="008E5444" w:rsidRPr="008E4EA2">
        <w:rPr>
          <w:color w:val="000000" w:themeColor="text1"/>
          <w:szCs w:val="24"/>
          <w:lang w:val="lv-LV" w:eastAsia="en-US"/>
        </w:rPr>
        <w:t>ES</w:t>
      </w:r>
      <w:r w:rsidR="00C238F6" w:rsidRPr="008E4EA2">
        <w:rPr>
          <w:color w:val="000000" w:themeColor="text1"/>
          <w:szCs w:val="24"/>
          <w:lang w:val="lv-LV" w:eastAsia="en-US"/>
        </w:rPr>
        <w:t xml:space="preserve"> politiku instrumentu un pārējās ārvalstu finanšu palīdzības līdzfinansēto projektu un pasākumu īstenošanai” projektu iesniegumu trešās atlases kārtas ietvaros lauztos līgumus par projektu īstenošanu un izveidojušos brīvo finansējumu, kuru var novirzīt projektiem, kas iepriekš tikuši noraidīti finansējuma trūkuma dēļ, tika apstiprināti papildus četri projekta iesniegumi ar nosacījumu par kopējo summu 96</w:t>
      </w:r>
      <w:r w:rsidR="003271BE" w:rsidRPr="008E4EA2">
        <w:rPr>
          <w:color w:val="000000" w:themeColor="text1"/>
          <w:szCs w:val="24"/>
          <w:lang w:val="lv-LV" w:eastAsia="en-US"/>
        </w:rPr>
        <w:t xml:space="preserve">,4 </w:t>
      </w:r>
      <w:proofErr w:type="spellStart"/>
      <w:r w:rsidR="003271BE" w:rsidRPr="008E4EA2">
        <w:rPr>
          <w:color w:val="000000" w:themeColor="text1"/>
          <w:szCs w:val="24"/>
          <w:lang w:val="lv-LV" w:eastAsia="en-US"/>
        </w:rPr>
        <w:t>tūkst</w:t>
      </w:r>
      <w:proofErr w:type="spellEnd"/>
      <w:r w:rsidR="003271BE" w:rsidRPr="008E4EA2">
        <w:rPr>
          <w:color w:val="000000" w:themeColor="text1"/>
          <w:szCs w:val="24"/>
          <w:lang w:val="lv-LV" w:eastAsia="en-US"/>
        </w:rPr>
        <w:t>.</w:t>
      </w:r>
      <w:r w:rsidR="00C238F6" w:rsidRPr="008E4EA2">
        <w:rPr>
          <w:color w:val="000000" w:themeColor="text1"/>
          <w:szCs w:val="24"/>
          <w:lang w:val="lv-LV" w:eastAsia="en-US"/>
        </w:rPr>
        <w:t xml:space="preserve"> latu. Tādējādi neviens atlases kārtas ietvaros iesniegtais projekta iesniegums netika noraidīts finansējuma trūkuma dēļ, vienlaikus viens projekta iesniegums tika noraidīts, jo neatbilda administratīvās vērtēšanas kritērijam par atļautajām attiecināmajām izmaksām.</w:t>
      </w:r>
    </w:p>
    <w:p w:rsidR="00814058" w:rsidRPr="008E4EA2" w:rsidRDefault="00C238F6" w:rsidP="003A0029">
      <w:pPr>
        <w:pStyle w:val="BodyTextIndent"/>
        <w:numPr>
          <w:ilvl w:val="0"/>
          <w:numId w:val="20"/>
        </w:numPr>
        <w:spacing w:before="120" w:line="276" w:lineRule="auto"/>
        <w:ind w:left="0" w:hanging="357"/>
        <w:rPr>
          <w:color w:val="000000" w:themeColor="text1"/>
          <w:szCs w:val="24"/>
          <w:lang w:val="lv-LV" w:eastAsia="en-US"/>
        </w:rPr>
      </w:pPr>
      <w:r w:rsidRPr="008E4EA2">
        <w:rPr>
          <w:color w:val="000000" w:themeColor="text1"/>
          <w:szCs w:val="24"/>
          <w:lang w:val="lv-LV" w:eastAsia="en-US"/>
        </w:rPr>
        <w:t xml:space="preserve">Ņemot vērā </w:t>
      </w:r>
      <w:r w:rsidR="00821D36" w:rsidRPr="008E4EA2">
        <w:rPr>
          <w:color w:val="000000" w:themeColor="text1"/>
          <w:szCs w:val="24"/>
          <w:lang w:val="lv-LV" w:eastAsia="en-US"/>
        </w:rPr>
        <w:t xml:space="preserve">papildus piešķirto finansējumu </w:t>
      </w:r>
      <w:r w:rsidRPr="008E4EA2">
        <w:rPr>
          <w:color w:val="000000" w:themeColor="text1"/>
          <w:szCs w:val="24"/>
          <w:lang w:val="lv-LV" w:eastAsia="en-US"/>
        </w:rPr>
        <w:t>apakšaktivitātei „Publisko pakalpojumu kvalitātes paaugstināšana valsts, reģionālā un vietējā līmenī” projektu iesniegumu atlases kārtas ietvaros apstiprināšanai ar nosacījumu tika lemts virzīt vēl divus projekta iesniegumus par kopējo attiecināmo summu 55</w:t>
      </w:r>
      <w:r w:rsidR="003271BE" w:rsidRPr="008E4EA2">
        <w:rPr>
          <w:color w:val="000000" w:themeColor="text1"/>
          <w:szCs w:val="24"/>
          <w:lang w:val="lv-LV" w:eastAsia="en-US"/>
        </w:rPr>
        <w:t xml:space="preserve">,7 </w:t>
      </w:r>
      <w:proofErr w:type="spellStart"/>
      <w:r w:rsidR="003271BE" w:rsidRPr="008E4EA2">
        <w:rPr>
          <w:color w:val="000000" w:themeColor="text1"/>
          <w:szCs w:val="24"/>
          <w:lang w:val="lv-LV" w:eastAsia="en-US"/>
        </w:rPr>
        <w:t>tūkst</w:t>
      </w:r>
      <w:proofErr w:type="spellEnd"/>
      <w:r w:rsidR="003271BE" w:rsidRPr="008E4EA2">
        <w:rPr>
          <w:color w:val="000000" w:themeColor="text1"/>
          <w:szCs w:val="24"/>
          <w:lang w:val="lv-LV" w:eastAsia="en-US"/>
        </w:rPr>
        <w:t>.</w:t>
      </w:r>
      <w:r w:rsidRPr="008E4EA2">
        <w:rPr>
          <w:color w:val="000000" w:themeColor="text1"/>
          <w:szCs w:val="24"/>
          <w:lang w:val="lv-LV" w:eastAsia="en-US"/>
        </w:rPr>
        <w:t xml:space="preserve"> latu apmērā, kas iepriekš tika noraidīti finansējuma trūkuma dēļ. </w:t>
      </w:r>
    </w:p>
    <w:p w:rsidR="00635EDF" w:rsidRPr="008E4EA2" w:rsidRDefault="00C238F6" w:rsidP="003A0029">
      <w:pPr>
        <w:pStyle w:val="BodyTextIndent"/>
        <w:numPr>
          <w:ilvl w:val="0"/>
          <w:numId w:val="20"/>
        </w:numPr>
        <w:spacing w:before="120" w:line="276" w:lineRule="auto"/>
        <w:ind w:left="0" w:hanging="357"/>
        <w:rPr>
          <w:color w:val="000000" w:themeColor="text1"/>
          <w:szCs w:val="24"/>
          <w:lang w:val="lv-LV" w:eastAsia="en-US"/>
        </w:rPr>
      </w:pPr>
      <w:r w:rsidRPr="008E4EA2">
        <w:rPr>
          <w:color w:val="000000" w:themeColor="text1"/>
          <w:szCs w:val="24"/>
          <w:lang w:val="lv-LV" w:eastAsia="en-US"/>
        </w:rPr>
        <w:t>2012.gada ceturtajā ceturksnī ir plānots izsludināt otro projektu iesniegumu atlasi aktivitātes „Cilvēkresursu piesaiste zinātnei” ietvaros.</w:t>
      </w:r>
      <w:r w:rsidR="00635EDF" w:rsidRPr="008E4EA2">
        <w:rPr>
          <w:color w:val="000000" w:themeColor="text1"/>
          <w:szCs w:val="24"/>
          <w:lang w:val="lv-LV" w:eastAsia="en-US"/>
        </w:rPr>
        <w:t xml:space="preserve"> </w:t>
      </w:r>
      <w:r w:rsidR="00635EDF" w:rsidRPr="008E4EA2">
        <w:rPr>
          <w:color w:val="000000" w:themeColor="text1"/>
          <w:szCs w:val="24"/>
          <w:lang w:val="lv-LV"/>
        </w:rPr>
        <w:t xml:space="preserve">Sīkāka informācija </w:t>
      </w:r>
      <w:hyperlink r:id="rId18" w:history="1">
        <w:r w:rsidR="00635EDF" w:rsidRPr="008E4EA2">
          <w:rPr>
            <w:color w:val="000000" w:themeColor="text1"/>
            <w:szCs w:val="24"/>
            <w:u w:val="single"/>
            <w:lang w:val="lv-LV" w:eastAsia="lv-LV"/>
          </w:rPr>
          <w:t>ES fondu tīmekļa vietnē</w:t>
        </w:r>
      </w:hyperlink>
      <w:r w:rsidR="00635EDF" w:rsidRPr="008E4EA2">
        <w:rPr>
          <w:color w:val="000000" w:themeColor="text1"/>
          <w:szCs w:val="24"/>
          <w:u w:val="single"/>
          <w:lang w:val="lv-LV" w:eastAsia="lv-LV"/>
        </w:rPr>
        <w:t>.</w:t>
      </w:r>
    </w:p>
    <w:p w:rsidR="006F4646" w:rsidRPr="008E4EA2" w:rsidRDefault="006F4646" w:rsidP="003A0029">
      <w:pPr>
        <w:pStyle w:val="BodyTextIndent"/>
        <w:numPr>
          <w:ilvl w:val="2"/>
          <w:numId w:val="2"/>
        </w:numPr>
        <w:spacing w:before="120" w:line="276" w:lineRule="auto"/>
        <w:rPr>
          <w:b/>
          <w:iCs/>
          <w:color w:val="000000" w:themeColor="text1"/>
          <w:szCs w:val="24"/>
          <w:lang w:val="lv-LV"/>
        </w:rPr>
      </w:pPr>
      <w:r w:rsidRPr="008E4EA2">
        <w:rPr>
          <w:b/>
          <w:color w:val="000000" w:themeColor="text1"/>
          <w:szCs w:val="24"/>
          <w:lang w:val="lv-LV"/>
        </w:rPr>
        <w:t>Projektu iesniegumu a</w:t>
      </w:r>
      <w:r w:rsidRPr="008E4EA2">
        <w:rPr>
          <w:b/>
          <w:iCs/>
          <w:color w:val="000000" w:themeColor="text1"/>
          <w:szCs w:val="24"/>
          <w:lang w:val="lv-LV"/>
        </w:rPr>
        <w:t>tlases darbības programmā</w:t>
      </w:r>
      <w:r w:rsidR="000B4535" w:rsidRPr="008E4EA2">
        <w:rPr>
          <w:b/>
          <w:iCs/>
          <w:color w:val="000000" w:themeColor="text1"/>
          <w:szCs w:val="24"/>
          <w:lang w:val="lv-LV"/>
        </w:rPr>
        <w:t xml:space="preserve"> </w:t>
      </w:r>
      <w:r w:rsidR="00E15CBF" w:rsidRPr="008E4EA2">
        <w:rPr>
          <w:b/>
          <w:iCs/>
          <w:color w:val="000000" w:themeColor="text1"/>
          <w:szCs w:val="24"/>
          <w:lang w:val="lv-LV"/>
        </w:rPr>
        <w:t>„</w:t>
      </w:r>
      <w:r w:rsidRPr="008E4EA2">
        <w:rPr>
          <w:b/>
          <w:iCs/>
          <w:color w:val="000000" w:themeColor="text1"/>
          <w:szCs w:val="24"/>
          <w:lang w:val="lv-LV"/>
        </w:rPr>
        <w:t>Uzņēmējdarbība un inovācijas</w:t>
      </w:r>
      <w:r w:rsidR="00E15CBF" w:rsidRPr="008E4EA2">
        <w:rPr>
          <w:color w:val="000000" w:themeColor="text1"/>
          <w:szCs w:val="24"/>
          <w:lang w:val="lv-LV"/>
        </w:rPr>
        <w:t>”</w:t>
      </w:r>
      <w:r w:rsidRPr="008E4EA2">
        <w:rPr>
          <w:b/>
          <w:iCs/>
          <w:color w:val="000000" w:themeColor="text1"/>
          <w:szCs w:val="24"/>
          <w:lang w:val="lv-LV"/>
        </w:rPr>
        <w:t xml:space="preserve"> </w:t>
      </w:r>
    </w:p>
    <w:p w:rsidR="003F7E8A" w:rsidRPr="008E4EA2" w:rsidRDefault="003F7E8A" w:rsidP="003A0029">
      <w:pPr>
        <w:pStyle w:val="BodyTextIndent"/>
        <w:numPr>
          <w:ilvl w:val="0"/>
          <w:numId w:val="47"/>
        </w:numPr>
        <w:spacing w:before="120" w:line="276" w:lineRule="auto"/>
        <w:ind w:left="0"/>
        <w:rPr>
          <w:color w:val="000000" w:themeColor="text1"/>
          <w:szCs w:val="24"/>
          <w:lang w:val="lv-LV" w:eastAsia="en-US"/>
        </w:rPr>
      </w:pPr>
      <w:r w:rsidRPr="008E4EA2">
        <w:rPr>
          <w:color w:val="000000" w:themeColor="text1"/>
          <w:szCs w:val="24"/>
          <w:lang w:val="lv-LV" w:eastAsia="en-US"/>
        </w:rPr>
        <w:t xml:space="preserve">Pārskata periodā </w:t>
      </w:r>
      <w:r w:rsidR="00DF25EB">
        <w:rPr>
          <w:color w:val="000000" w:themeColor="text1"/>
          <w:szCs w:val="24"/>
          <w:lang w:val="lv-LV" w:eastAsia="en-US"/>
        </w:rPr>
        <w:t>vienas</w:t>
      </w:r>
      <w:r w:rsidR="00DF25EB" w:rsidRPr="008E4EA2">
        <w:rPr>
          <w:color w:val="000000" w:themeColor="text1"/>
          <w:szCs w:val="24"/>
          <w:lang w:val="lv-LV" w:eastAsia="en-US"/>
        </w:rPr>
        <w:t xml:space="preserve"> </w:t>
      </w:r>
      <w:proofErr w:type="spellStart"/>
      <w:r w:rsidRPr="008E4EA2">
        <w:rPr>
          <w:color w:val="000000" w:themeColor="text1"/>
          <w:szCs w:val="24"/>
          <w:lang w:val="lv-LV" w:eastAsia="en-US"/>
        </w:rPr>
        <w:t>apakšaktivitātes</w:t>
      </w:r>
      <w:proofErr w:type="spellEnd"/>
      <w:r w:rsidRPr="008E4EA2">
        <w:rPr>
          <w:color w:val="000000" w:themeColor="text1"/>
          <w:szCs w:val="24"/>
          <w:vertAlign w:val="superscript"/>
          <w:lang w:val="lv-LV"/>
        </w:rPr>
        <w:footnoteReference w:id="1"/>
      </w:r>
      <w:r w:rsidRPr="008E4EA2">
        <w:rPr>
          <w:color w:val="000000" w:themeColor="text1"/>
          <w:szCs w:val="24"/>
          <w:lang w:val="lv-LV" w:eastAsia="en-US"/>
        </w:rPr>
        <w:t xml:space="preserve"> ietvaros tika izsludinātas trīs jaunas projektu iesniegumu atlases kārtas par kopējo ERAF finansējumu 1,5 </w:t>
      </w:r>
      <w:proofErr w:type="spellStart"/>
      <w:r w:rsidRPr="008E4EA2">
        <w:rPr>
          <w:color w:val="000000" w:themeColor="text1"/>
          <w:szCs w:val="24"/>
          <w:lang w:val="lv-LV" w:eastAsia="en-US"/>
        </w:rPr>
        <w:t>milj</w:t>
      </w:r>
      <w:proofErr w:type="spellEnd"/>
      <w:r w:rsidRPr="008E4EA2">
        <w:rPr>
          <w:color w:val="000000" w:themeColor="text1"/>
          <w:szCs w:val="24"/>
          <w:lang w:val="lv-LV" w:eastAsia="en-US"/>
        </w:rPr>
        <w:t xml:space="preserve">. latu apmērā, kā arī </w:t>
      </w:r>
      <w:r w:rsidR="00DF25EB">
        <w:rPr>
          <w:color w:val="000000" w:themeColor="text1"/>
          <w:szCs w:val="24"/>
          <w:lang w:val="lv-LV" w:eastAsia="en-US"/>
        </w:rPr>
        <w:t>vienas</w:t>
      </w:r>
      <w:r w:rsidR="00DF25EB" w:rsidRPr="008E4EA2">
        <w:rPr>
          <w:color w:val="000000" w:themeColor="text1"/>
          <w:szCs w:val="24"/>
          <w:lang w:val="lv-LV" w:eastAsia="en-US"/>
        </w:rPr>
        <w:t xml:space="preserve"> </w:t>
      </w:r>
      <w:r w:rsidRPr="008E4EA2">
        <w:rPr>
          <w:color w:val="000000" w:themeColor="text1"/>
          <w:szCs w:val="24"/>
          <w:lang w:val="lv-LV" w:eastAsia="en-US"/>
        </w:rPr>
        <w:t>aktivitātes ietvaros</w:t>
      </w:r>
      <w:r w:rsidRPr="008E4EA2">
        <w:rPr>
          <w:color w:val="000000" w:themeColor="text1"/>
          <w:szCs w:val="24"/>
          <w:vertAlign w:val="superscript"/>
          <w:lang w:val="lv-LV"/>
        </w:rPr>
        <w:footnoteReference w:id="2"/>
      </w:r>
      <w:r w:rsidRPr="008E4EA2">
        <w:rPr>
          <w:color w:val="000000" w:themeColor="text1"/>
          <w:szCs w:val="24"/>
          <w:vertAlign w:val="superscript"/>
          <w:lang w:val="lv-LV" w:eastAsia="en-US"/>
        </w:rPr>
        <w:t xml:space="preserve"> </w:t>
      </w:r>
      <w:r w:rsidRPr="008E4EA2">
        <w:rPr>
          <w:color w:val="000000" w:themeColor="text1"/>
          <w:szCs w:val="24"/>
          <w:lang w:val="lv-LV" w:eastAsia="en-US"/>
        </w:rPr>
        <w:t xml:space="preserve">turpinājās un tika noslēgta projektu iesniegumu vērtēšana. Kopumā </w:t>
      </w:r>
      <w:r w:rsidR="00DF25EB">
        <w:rPr>
          <w:color w:val="000000" w:themeColor="text1"/>
          <w:szCs w:val="24"/>
          <w:lang w:val="lv-LV" w:eastAsia="en-US"/>
        </w:rPr>
        <w:t>abās</w:t>
      </w:r>
      <w:r w:rsidR="00DF25EB" w:rsidRPr="008E4EA2">
        <w:rPr>
          <w:color w:val="000000" w:themeColor="text1"/>
          <w:szCs w:val="24"/>
          <w:lang w:val="lv-LV" w:eastAsia="en-US"/>
        </w:rPr>
        <w:t xml:space="preserve"> </w:t>
      </w:r>
      <w:r w:rsidRPr="008E4EA2">
        <w:rPr>
          <w:color w:val="000000" w:themeColor="text1"/>
          <w:szCs w:val="24"/>
          <w:lang w:val="lv-LV" w:eastAsia="en-US"/>
        </w:rPr>
        <w:t>augstākminēto aktivitāšu ietvaros tika:</w:t>
      </w:r>
    </w:p>
    <w:p w:rsidR="003F7E8A" w:rsidRPr="008E4EA2" w:rsidRDefault="003F7E8A" w:rsidP="003A0029">
      <w:pPr>
        <w:numPr>
          <w:ilvl w:val="0"/>
          <w:numId w:val="10"/>
        </w:numPr>
        <w:spacing w:before="120" w:after="120" w:line="276" w:lineRule="auto"/>
        <w:rPr>
          <w:color w:val="000000" w:themeColor="text1"/>
          <w:szCs w:val="24"/>
          <w:lang w:eastAsia="lv-LV"/>
        </w:rPr>
      </w:pPr>
      <w:r w:rsidRPr="008E4EA2">
        <w:rPr>
          <w:color w:val="000000" w:themeColor="text1"/>
          <w:szCs w:val="24"/>
          <w:lang w:eastAsia="lv-LV"/>
        </w:rPr>
        <w:t>apstiprināti 84 projektu ie</w:t>
      </w:r>
      <w:r w:rsidR="000C1A7A" w:rsidRPr="008E4EA2">
        <w:rPr>
          <w:color w:val="000000" w:themeColor="text1"/>
          <w:szCs w:val="24"/>
          <w:lang w:eastAsia="lv-LV"/>
        </w:rPr>
        <w:t>sniegumi par ERAF finansējumu 3,</w:t>
      </w:r>
      <w:r w:rsidRPr="008E4EA2">
        <w:rPr>
          <w:color w:val="000000" w:themeColor="text1"/>
          <w:szCs w:val="24"/>
          <w:lang w:eastAsia="lv-LV"/>
        </w:rPr>
        <w:t xml:space="preserve">5 </w:t>
      </w:r>
      <w:proofErr w:type="spellStart"/>
      <w:r w:rsidRPr="008E4EA2">
        <w:rPr>
          <w:color w:val="000000" w:themeColor="text1"/>
          <w:szCs w:val="24"/>
          <w:lang w:eastAsia="lv-LV"/>
        </w:rPr>
        <w:t>milj</w:t>
      </w:r>
      <w:proofErr w:type="spellEnd"/>
      <w:r w:rsidRPr="008E4EA2">
        <w:rPr>
          <w:color w:val="000000" w:themeColor="text1"/>
          <w:szCs w:val="24"/>
          <w:lang w:eastAsia="lv-LV"/>
        </w:rPr>
        <w:t>. latu apmērā;</w:t>
      </w:r>
    </w:p>
    <w:p w:rsidR="003F7E8A" w:rsidRPr="008E4EA2" w:rsidRDefault="003F7E8A" w:rsidP="003A0029">
      <w:pPr>
        <w:numPr>
          <w:ilvl w:val="0"/>
          <w:numId w:val="10"/>
        </w:numPr>
        <w:spacing w:before="120" w:after="120" w:line="276" w:lineRule="auto"/>
        <w:rPr>
          <w:color w:val="000000" w:themeColor="text1"/>
          <w:szCs w:val="24"/>
          <w:lang w:eastAsia="lv-LV"/>
        </w:rPr>
      </w:pPr>
      <w:r w:rsidRPr="008E4EA2">
        <w:rPr>
          <w:color w:val="000000" w:themeColor="text1"/>
          <w:szCs w:val="24"/>
          <w:lang w:eastAsia="lv-LV"/>
        </w:rPr>
        <w:t xml:space="preserve">noraidīti desmit projektu </w:t>
      </w:r>
      <w:r w:rsidR="004F23C1" w:rsidRPr="008E4EA2">
        <w:rPr>
          <w:color w:val="000000" w:themeColor="text1"/>
          <w:szCs w:val="24"/>
          <w:lang w:eastAsia="lv-LV"/>
        </w:rPr>
        <w:t>iesniegumi par ERAF finansējumu</w:t>
      </w:r>
      <w:r w:rsidR="000C1A7A" w:rsidRPr="008E4EA2">
        <w:rPr>
          <w:color w:val="000000" w:themeColor="text1"/>
          <w:szCs w:val="24"/>
          <w:lang w:eastAsia="lv-LV"/>
        </w:rPr>
        <w:t xml:space="preserve"> 1,9</w:t>
      </w:r>
      <w:r w:rsidRPr="008E4EA2">
        <w:rPr>
          <w:color w:val="000000" w:themeColor="text1"/>
          <w:szCs w:val="24"/>
          <w:lang w:eastAsia="lv-LV"/>
        </w:rPr>
        <w:t xml:space="preserve"> </w:t>
      </w:r>
      <w:proofErr w:type="spellStart"/>
      <w:r w:rsidRPr="008E4EA2">
        <w:rPr>
          <w:color w:val="000000" w:themeColor="text1"/>
          <w:szCs w:val="24"/>
          <w:lang w:eastAsia="lv-LV"/>
        </w:rPr>
        <w:t>milj</w:t>
      </w:r>
      <w:proofErr w:type="spellEnd"/>
      <w:r w:rsidRPr="008E4EA2">
        <w:rPr>
          <w:color w:val="000000" w:themeColor="text1"/>
          <w:szCs w:val="24"/>
          <w:lang w:eastAsia="lv-LV"/>
        </w:rPr>
        <w:t xml:space="preserve"> latu apmērā.</w:t>
      </w:r>
      <w:r w:rsidR="005E1672">
        <w:rPr>
          <w:color w:val="000000" w:themeColor="text1"/>
          <w:szCs w:val="24"/>
          <w:lang w:eastAsia="lv-LV"/>
        </w:rPr>
        <w:t xml:space="preserve"> </w:t>
      </w:r>
      <w:r w:rsidRPr="008E4EA2">
        <w:rPr>
          <w:color w:val="000000" w:themeColor="text1"/>
          <w:szCs w:val="24"/>
        </w:rPr>
        <w:t xml:space="preserve">Galvenie noraidīšanas iemesli: neatbilstība atbilstības kritērijiem (projekta iesniedzēja un tā sadarbības partneru vidējais pēdējo trīs gadu apgrozījums mazāks par noteikto, sadarbības partneru neatbilstība juridiskajam statusam </w:t>
      </w:r>
      <w:proofErr w:type="spellStart"/>
      <w:r w:rsidRPr="008E4EA2">
        <w:rPr>
          <w:color w:val="000000" w:themeColor="text1"/>
          <w:szCs w:val="24"/>
        </w:rPr>
        <w:t>u.c</w:t>
      </w:r>
      <w:proofErr w:type="spellEnd"/>
      <w:r w:rsidRPr="008E4EA2">
        <w:rPr>
          <w:color w:val="000000" w:themeColor="text1"/>
          <w:szCs w:val="24"/>
        </w:rPr>
        <w:t>.), kā arī neatbilstība kvalitātes kritērijiem.</w:t>
      </w:r>
    </w:p>
    <w:p w:rsidR="003F7E8A" w:rsidRPr="008E4EA2" w:rsidRDefault="003F7E8A" w:rsidP="003A0029">
      <w:pPr>
        <w:pStyle w:val="BodyTextIndent"/>
        <w:numPr>
          <w:ilvl w:val="0"/>
          <w:numId w:val="47"/>
        </w:numPr>
        <w:spacing w:before="120" w:line="276" w:lineRule="auto"/>
        <w:ind w:left="0" w:hanging="357"/>
        <w:rPr>
          <w:color w:val="000000" w:themeColor="text1"/>
          <w:szCs w:val="24"/>
          <w:lang w:val="lv-LV" w:eastAsia="en-US"/>
        </w:rPr>
      </w:pPr>
      <w:r w:rsidRPr="008E4EA2">
        <w:rPr>
          <w:color w:val="000000" w:themeColor="text1"/>
          <w:szCs w:val="24"/>
          <w:lang w:val="lv-LV" w:eastAsia="en-US"/>
        </w:rPr>
        <w:t xml:space="preserve">2012.gada trešajā ceturksnī aktivitātes „Ieguldījumu fonds investīcijām garantijās, paaugstināta riska aizdevumos, riska kapitāla fondos un cita veida finanšu instrumentos” ietvaros ir izsludināts iepirkums (par kopējo pieejamo publiskā finansējuma apjomu 28 </w:t>
      </w:r>
      <w:proofErr w:type="spellStart"/>
      <w:r w:rsidRPr="008E4EA2">
        <w:rPr>
          <w:color w:val="000000" w:themeColor="text1"/>
          <w:szCs w:val="24"/>
          <w:lang w:val="lv-LV" w:eastAsia="en-US"/>
        </w:rPr>
        <w:lastRenderedPageBreak/>
        <w:t>milj</w:t>
      </w:r>
      <w:proofErr w:type="spellEnd"/>
      <w:r w:rsidRPr="008E4EA2">
        <w:rPr>
          <w:color w:val="000000" w:themeColor="text1"/>
          <w:szCs w:val="24"/>
          <w:lang w:val="lv-LV" w:eastAsia="en-US"/>
        </w:rPr>
        <w:t>. latu) riska kapitāla fondu vadības komandu atlasei. Tiek plānots piesaistīt līdz trim jauniem finanšu starpniekiem, kas veiks riska kapitāla investīcijas Latvijas uzņēmumos.</w:t>
      </w:r>
    </w:p>
    <w:p w:rsidR="003F7E8A" w:rsidRPr="008E4EA2" w:rsidRDefault="003F7E8A" w:rsidP="003A0029">
      <w:pPr>
        <w:pStyle w:val="BodyTextIndent"/>
        <w:numPr>
          <w:ilvl w:val="0"/>
          <w:numId w:val="47"/>
        </w:numPr>
        <w:spacing w:before="120" w:line="276" w:lineRule="auto"/>
        <w:ind w:left="0" w:hanging="357"/>
        <w:rPr>
          <w:color w:val="000000" w:themeColor="text1"/>
          <w:szCs w:val="24"/>
          <w:lang w:val="lv-LV" w:eastAsia="en-US"/>
        </w:rPr>
      </w:pPr>
      <w:r w:rsidRPr="008E4EA2">
        <w:rPr>
          <w:color w:val="000000" w:themeColor="text1"/>
          <w:szCs w:val="24"/>
          <w:lang w:val="lv-LV" w:eastAsia="en-US"/>
        </w:rPr>
        <w:t xml:space="preserve">2012.gada ceturtajā ceturksnī dažādās aktivitātēs ir plānots izsludināt piecas projektu iesniegumu atlases. Sīkāka informācija </w:t>
      </w:r>
      <w:hyperlink r:id="rId19" w:history="1">
        <w:r w:rsidRPr="008E4EA2">
          <w:rPr>
            <w:color w:val="000000" w:themeColor="text1"/>
            <w:szCs w:val="24"/>
            <w:lang w:val="lv-LV" w:eastAsia="en-US"/>
          </w:rPr>
          <w:t>ES fondu tīmekļa vietnē</w:t>
        </w:r>
      </w:hyperlink>
      <w:r w:rsidRPr="008E4EA2">
        <w:rPr>
          <w:color w:val="000000" w:themeColor="text1"/>
          <w:szCs w:val="24"/>
          <w:lang w:val="lv-LV" w:eastAsia="en-US"/>
        </w:rPr>
        <w:t>.</w:t>
      </w:r>
    </w:p>
    <w:p w:rsidR="003F7E8A" w:rsidRPr="008E4EA2" w:rsidRDefault="003F7E8A" w:rsidP="003A0029">
      <w:pPr>
        <w:pStyle w:val="BodyTextIndent"/>
        <w:numPr>
          <w:ilvl w:val="0"/>
          <w:numId w:val="47"/>
        </w:numPr>
        <w:spacing w:before="120" w:line="276" w:lineRule="auto"/>
        <w:ind w:left="0" w:hanging="357"/>
        <w:rPr>
          <w:color w:val="000000" w:themeColor="text1"/>
          <w:szCs w:val="24"/>
          <w:lang w:val="lv-LV" w:eastAsia="en-US"/>
        </w:rPr>
      </w:pPr>
      <w:r w:rsidRPr="008E4EA2">
        <w:rPr>
          <w:color w:val="000000" w:themeColor="text1"/>
          <w:szCs w:val="24"/>
          <w:lang w:val="lv-LV" w:eastAsia="en-US"/>
        </w:rPr>
        <w:t xml:space="preserve">Ir aizkavējusies 2.1.2.2.4. „MVK jaunu produktu un tehnoloģiju attīstības programma” – aktivitātes īstenošanas uzsākšana, lai gan sākotnēji tā bija plānota jau 2012.gada pirmajā pusē. Saskaņā ar </w:t>
      </w:r>
      <w:r w:rsidR="00306F38">
        <w:rPr>
          <w:color w:val="000000" w:themeColor="text1"/>
          <w:szCs w:val="24"/>
          <w:lang w:val="lv-LV" w:eastAsia="en-US"/>
        </w:rPr>
        <w:t>EM</w:t>
      </w:r>
      <w:r w:rsidRPr="008E4EA2">
        <w:rPr>
          <w:color w:val="000000" w:themeColor="text1"/>
          <w:szCs w:val="24"/>
          <w:lang w:val="lv-LV" w:eastAsia="en-US"/>
        </w:rPr>
        <w:t xml:space="preserve"> sniegto informāciju tas izskaidrojams ar to, ka šā gada martā un aprīlī LIAA administrēto aktivitāšu ietvaros iesniegto projektu skaits pārsniedza plānoto projektu skaitu, piemērām, 2.3.2.3.aktivitātē „Klasteru programma”, 3.4.4.1.aktivitātē „Daudzdzīvokļu māju </w:t>
      </w:r>
      <w:proofErr w:type="spellStart"/>
      <w:r w:rsidRPr="008E4EA2">
        <w:rPr>
          <w:color w:val="000000" w:themeColor="text1"/>
          <w:szCs w:val="24"/>
          <w:lang w:val="lv-LV" w:eastAsia="en-US"/>
        </w:rPr>
        <w:t>siltumnoturības</w:t>
      </w:r>
      <w:proofErr w:type="spellEnd"/>
      <w:r w:rsidRPr="008E4EA2">
        <w:rPr>
          <w:color w:val="000000" w:themeColor="text1"/>
          <w:szCs w:val="24"/>
          <w:lang w:val="lv-LV" w:eastAsia="en-US"/>
        </w:rPr>
        <w:t xml:space="preserve"> uzlabošanas pasākumi”. Ņemot vērā lielo projektu skaitu, visi resursi tika koncentrēti, lai līdz noteiktajiem termiņiem tiktu izvērtēti visi projektu iesniegumi, noteiktais izvērtēšanas laiks bija 2012.gada jūlijs, pēc šo aktivitāšu izvērtēšanas LIAA ietvaros bija plānots pārskatīt pieejamo resursu sadalījumu, lai šādas situācijas neatkārtotos pārskatīt organizatorisko procesu aktivitāšu ieviešanas uzlabošanai. </w:t>
      </w:r>
      <w:proofErr w:type="spellStart"/>
      <w:r w:rsidRPr="008E4EA2">
        <w:rPr>
          <w:color w:val="000000" w:themeColor="text1"/>
          <w:szCs w:val="24"/>
          <w:lang w:val="lv-LV" w:eastAsia="en-US"/>
        </w:rPr>
        <w:t>Apakšaktivitātes</w:t>
      </w:r>
      <w:proofErr w:type="spellEnd"/>
      <w:r w:rsidRPr="008E4EA2">
        <w:rPr>
          <w:color w:val="000000" w:themeColor="text1"/>
          <w:szCs w:val="24"/>
          <w:lang w:val="lv-LV" w:eastAsia="en-US"/>
        </w:rPr>
        <w:t xml:space="preserve"> plāno</w:t>
      </w:r>
      <w:r w:rsidR="000C1A7A" w:rsidRPr="008E4EA2">
        <w:rPr>
          <w:color w:val="000000" w:themeColor="text1"/>
          <w:szCs w:val="24"/>
          <w:lang w:val="lv-LV" w:eastAsia="en-US"/>
        </w:rPr>
        <w:t xml:space="preserve">tais uzsākšanas laiks ir </w:t>
      </w:r>
      <w:proofErr w:type="spellStart"/>
      <w:r w:rsidR="000C1A7A" w:rsidRPr="008E4EA2">
        <w:rPr>
          <w:color w:val="000000" w:themeColor="text1"/>
          <w:szCs w:val="24"/>
          <w:lang w:val="lv-LV" w:eastAsia="en-US"/>
        </w:rPr>
        <w:t>š.g</w:t>
      </w:r>
      <w:proofErr w:type="spellEnd"/>
      <w:r w:rsidR="000C1A7A" w:rsidRPr="008E4EA2">
        <w:rPr>
          <w:color w:val="000000" w:themeColor="text1"/>
          <w:szCs w:val="24"/>
          <w:lang w:val="lv-LV" w:eastAsia="en-US"/>
        </w:rPr>
        <w:t xml:space="preserve">. ceturtais </w:t>
      </w:r>
      <w:r w:rsidRPr="008E4EA2">
        <w:rPr>
          <w:color w:val="000000" w:themeColor="text1"/>
          <w:szCs w:val="24"/>
          <w:lang w:val="lv-LV" w:eastAsia="en-US"/>
        </w:rPr>
        <w:t xml:space="preserve">ceturksnis. </w:t>
      </w:r>
    </w:p>
    <w:p w:rsidR="003F7E8A" w:rsidRPr="008E4EA2" w:rsidRDefault="003F7E8A" w:rsidP="003A0029">
      <w:pPr>
        <w:pStyle w:val="BodyTextIndent"/>
        <w:numPr>
          <w:ilvl w:val="0"/>
          <w:numId w:val="47"/>
        </w:numPr>
        <w:spacing w:before="120" w:line="276" w:lineRule="auto"/>
        <w:ind w:left="0" w:hanging="357"/>
        <w:rPr>
          <w:color w:val="000000" w:themeColor="text1"/>
          <w:szCs w:val="24"/>
          <w:lang w:val="lv-LV" w:eastAsia="en-US"/>
        </w:rPr>
      </w:pPr>
      <w:r w:rsidRPr="008E4EA2">
        <w:rPr>
          <w:color w:val="000000" w:themeColor="text1"/>
          <w:szCs w:val="24"/>
          <w:lang w:val="lv-LV" w:eastAsia="en-US"/>
        </w:rPr>
        <w:t xml:space="preserve">Tāpat ir aizkavējusies 2.1.1.1. aktivitātes „Atbalsts zinātnei un pētniecībai” otrās projektu iesniegumu atlases kārtas, kā arī 2.1.1.3.1.apakšaktivitātes „Zinātnes infrastruktūras attīstība” </w:t>
      </w:r>
      <w:r w:rsidR="00DF25EB">
        <w:rPr>
          <w:color w:val="000000" w:themeColor="text1"/>
          <w:szCs w:val="24"/>
          <w:lang w:val="lv-LV" w:eastAsia="en-US"/>
        </w:rPr>
        <w:t xml:space="preserve">trešās kārtas </w:t>
      </w:r>
      <w:r w:rsidRPr="008E4EA2">
        <w:rPr>
          <w:color w:val="000000" w:themeColor="text1"/>
          <w:szCs w:val="24"/>
          <w:lang w:val="lv-LV" w:eastAsia="en-US"/>
        </w:rPr>
        <w:t xml:space="preserve">īstenošanas uzsākšana (sākotnēji bija plānotas </w:t>
      </w:r>
      <w:proofErr w:type="spellStart"/>
      <w:r w:rsidRPr="008E4EA2">
        <w:rPr>
          <w:color w:val="000000" w:themeColor="text1"/>
          <w:szCs w:val="24"/>
          <w:lang w:val="lv-LV" w:eastAsia="en-US"/>
        </w:rPr>
        <w:t>š.g</w:t>
      </w:r>
      <w:proofErr w:type="spellEnd"/>
      <w:r w:rsidRPr="008E4EA2">
        <w:rPr>
          <w:color w:val="000000" w:themeColor="text1"/>
          <w:szCs w:val="24"/>
          <w:lang w:val="lv-LV" w:eastAsia="en-US"/>
        </w:rPr>
        <w:t xml:space="preserve">. </w:t>
      </w:r>
      <w:r w:rsidR="000C1A7A" w:rsidRPr="008E4EA2">
        <w:rPr>
          <w:color w:val="000000" w:themeColor="text1"/>
          <w:szCs w:val="24"/>
          <w:lang w:val="lv-LV" w:eastAsia="en-US"/>
        </w:rPr>
        <w:t xml:space="preserve">trešajā </w:t>
      </w:r>
      <w:r w:rsidR="00FA79E0" w:rsidRPr="008E4EA2">
        <w:rPr>
          <w:color w:val="000000" w:themeColor="text1"/>
          <w:szCs w:val="24"/>
          <w:lang w:val="lv-LV" w:eastAsia="en-US"/>
        </w:rPr>
        <w:t>ceturksnī</w:t>
      </w:r>
      <w:r w:rsidRPr="008E4EA2">
        <w:rPr>
          <w:color w:val="000000" w:themeColor="text1"/>
          <w:szCs w:val="24"/>
          <w:lang w:val="lv-LV" w:eastAsia="en-US"/>
        </w:rPr>
        <w:t>), kas ir saistīts ar aktivitātes/</w:t>
      </w:r>
      <w:proofErr w:type="spellStart"/>
      <w:r w:rsidRPr="008E4EA2">
        <w:rPr>
          <w:color w:val="000000" w:themeColor="text1"/>
          <w:szCs w:val="24"/>
          <w:lang w:val="lv-LV" w:eastAsia="en-US"/>
        </w:rPr>
        <w:t>apakšaktivitātes</w:t>
      </w:r>
      <w:proofErr w:type="spellEnd"/>
      <w:r w:rsidRPr="008E4EA2">
        <w:rPr>
          <w:color w:val="000000" w:themeColor="text1"/>
          <w:szCs w:val="24"/>
          <w:lang w:val="lv-LV" w:eastAsia="en-US"/>
        </w:rPr>
        <w:t xml:space="preserve"> projektu iesniegumu atlases kritēriju un aktivitātes/</w:t>
      </w:r>
      <w:proofErr w:type="spellStart"/>
      <w:r w:rsidRPr="008E4EA2">
        <w:rPr>
          <w:color w:val="000000" w:themeColor="text1"/>
          <w:szCs w:val="24"/>
          <w:lang w:val="lv-LV" w:eastAsia="en-US"/>
        </w:rPr>
        <w:t>apakšaktivitātes</w:t>
      </w:r>
      <w:proofErr w:type="spellEnd"/>
      <w:r w:rsidRPr="008E4EA2">
        <w:rPr>
          <w:color w:val="000000" w:themeColor="text1"/>
          <w:szCs w:val="24"/>
          <w:lang w:val="lv-LV" w:eastAsia="en-US"/>
        </w:rPr>
        <w:t xml:space="preserve"> īstenošanas MK noteikumu ieilgušo saskaņošanas procesu. Aktivitātes/</w:t>
      </w:r>
      <w:proofErr w:type="spellStart"/>
      <w:r w:rsidRPr="008E4EA2">
        <w:rPr>
          <w:color w:val="000000" w:themeColor="text1"/>
          <w:szCs w:val="24"/>
          <w:lang w:val="lv-LV" w:eastAsia="en-US"/>
        </w:rPr>
        <w:t>apakšaktivitātes</w:t>
      </w:r>
      <w:proofErr w:type="spellEnd"/>
      <w:r w:rsidRPr="008E4EA2">
        <w:rPr>
          <w:color w:val="000000" w:themeColor="text1"/>
          <w:szCs w:val="24"/>
          <w:lang w:val="lv-LV" w:eastAsia="en-US"/>
        </w:rPr>
        <w:t xml:space="preserve"> plānotais uzsākšanas laiks ir 2012.gada </w:t>
      </w:r>
      <w:r w:rsidR="00DF25EB" w:rsidRPr="008E4EA2">
        <w:rPr>
          <w:color w:val="000000" w:themeColor="text1"/>
          <w:szCs w:val="24"/>
          <w:lang w:val="lv-LV" w:eastAsia="en-US"/>
        </w:rPr>
        <w:t>ceturta</w:t>
      </w:r>
      <w:r w:rsidR="00DF25EB">
        <w:rPr>
          <w:color w:val="000000" w:themeColor="text1"/>
          <w:szCs w:val="24"/>
          <w:lang w:val="lv-LV" w:eastAsia="en-US"/>
        </w:rPr>
        <w:t>is</w:t>
      </w:r>
      <w:r w:rsidR="00DF25EB" w:rsidRPr="008E4EA2">
        <w:rPr>
          <w:color w:val="000000" w:themeColor="text1"/>
          <w:szCs w:val="24"/>
          <w:lang w:val="lv-LV" w:eastAsia="en-US"/>
        </w:rPr>
        <w:t xml:space="preserve"> </w:t>
      </w:r>
      <w:r w:rsidRPr="008E4EA2">
        <w:rPr>
          <w:color w:val="000000" w:themeColor="text1"/>
          <w:szCs w:val="24"/>
          <w:lang w:val="lv-LV" w:eastAsia="en-US"/>
        </w:rPr>
        <w:t>ceturksnis.</w:t>
      </w:r>
    </w:p>
    <w:p w:rsidR="006F4646" w:rsidRPr="008E4EA2" w:rsidRDefault="006F4646" w:rsidP="003A0029">
      <w:pPr>
        <w:pStyle w:val="BodyTextIndent"/>
        <w:numPr>
          <w:ilvl w:val="2"/>
          <w:numId w:val="2"/>
        </w:numPr>
        <w:spacing w:before="120" w:line="276" w:lineRule="auto"/>
        <w:rPr>
          <w:b/>
          <w:iCs/>
          <w:color w:val="000000" w:themeColor="text1"/>
          <w:szCs w:val="24"/>
          <w:lang w:val="lv-LV"/>
        </w:rPr>
      </w:pPr>
      <w:r w:rsidRPr="008E4EA2">
        <w:rPr>
          <w:b/>
          <w:color w:val="000000" w:themeColor="text1"/>
          <w:szCs w:val="24"/>
          <w:lang w:val="lv-LV"/>
        </w:rPr>
        <w:t>Projektu iesniegumu a</w:t>
      </w:r>
      <w:r w:rsidRPr="008E4EA2">
        <w:rPr>
          <w:b/>
          <w:iCs/>
          <w:color w:val="000000" w:themeColor="text1"/>
          <w:szCs w:val="24"/>
          <w:lang w:val="lv-LV"/>
        </w:rPr>
        <w:t>tlases darbības programmā</w:t>
      </w:r>
      <w:r w:rsidR="000B4535" w:rsidRPr="008E4EA2">
        <w:rPr>
          <w:b/>
          <w:iCs/>
          <w:color w:val="000000" w:themeColor="text1"/>
          <w:szCs w:val="24"/>
          <w:lang w:val="lv-LV"/>
        </w:rPr>
        <w:t xml:space="preserve"> </w:t>
      </w:r>
      <w:r w:rsidR="00E15CBF" w:rsidRPr="008E4EA2">
        <w:rPr>
          <w:b/>
          <w:iCs/>
          <w:color w:val="000000" w:themeColor="text1"/>
          <w:szCs w:val="24"/>
          <w:lang w:val="lv-LV"/>
        </w:rPr>
        <w:t>„</w:t>
      </w:r>
      <w:r w:rsidRPr="008E4EA2">
        <w:rPr>
          <w:b/>
          <w:iCs/>
          <w:color w:val="000000" w:themeColor="text1"/>
          <w:szCs w:val="24"/>
          <w:lang w:val="lv-LV"/>
        </w:rPr>
        <w:t>Infrastruktūra un pakalpojumi</w:t>
      </w:r>
      <w:r w:rsidR="000B4535" w:rsidRPr="008E4EA2">
        <w:rPr>
          <w:b/>
          <w:iCs/>
          <w:color w:val="000000" w:themeColor="text1"/>
          <w:szCs w:val="24"/>
          <w:lang w:val="lv-LV"/>
        </w:rPr>
        <w:t>”</w:t>
      </w:r>
    </w:p>
    <w:p w:rsidR="000C7A49" w:rsidRPr="008E4EA2" w:rsidRDefault="000C7A49" w:rsidP="003A0029">
      <w:pPr>
        <w:pStyle w:val="BodyTextIndent"/>
        <w:numPr>
          <w:ilvl w:val="0"/>
          <w:numId w:val="17"/>
        </w:numPr>
        <w:spacing w:before="120" w:line="276" w:lineRule="auto"/>
        <w:ind w:left="0"/>
        <w:rPr>
          <w:color w:val="000000" w:themeColor="text1"/>
          <w:szCs w:val="24"/>
          <w:lang w:val="lv-LV" w:eastAsia="en-US"/>
        </w:rPr>
      </w:pPr>
      <w:bookmarkStart w:id="22" w:name="_Toc324948880"/>
      <w:r w:rsidRPr="008E4EA2">
        <w:rPr>
          <w:color w:val="000000" w:themeColor="text1"/>
          <w:szCs w:val="24"/>
          <w:lang w:val="lv-LV" w:eastAsia="en-US"/>
        </w:rPr>
        <w:t xml:space="preserve">2012.gada trešajā ceturksnī 10 aktivitātēs vai </w:t>
      </w:r>
      <w:proofErr w:type="spellStart"/>
      <w:r w:rsidRPr="008E4EA2">
        <w:rPr>
          <w:color w:val="000000" w:themeColor="text1"/>
          <w:szCs w:val="24"/>
          <w:lang w:val="lv-LV" w:eastAsia="en-US"/>
        </w:rPr>
        <w:t>apakšaktivitātēs</w:t>
      </w:r>
      <w:proofErr w:type="spellEnd"/>
      <w:r w:rsidRPr="008E4EA2">
        <w:rPr>
          <w:color w:val="000000" w:themeColor="text1"/>
          <w:szCs w:val="24"/>
          <w:lang w:val="lv-LV" w:eastAsia="en-US"/>
        </w:rPr>
        <w:t xml:space="preserve"> tika turpinātas vai izsludinātas projektu iesniegumu atlases par publisko finansējumu 214,3 </w:t>
      </w:r>
      <w:proofErr w:type="spellStart"/>
      <w:r w:rsidRPr="008E4EA2">
        <w:rPr>
          <w:color w:val="000000" w:themeColor="text1"/>
          <w:szCs w:val="24"/>
          <w:lang w:val="lv-LV" w:eastAsia="en-US"/>
        </w:rPr>
        <w:t>milj</w:t>
      </w:r>
      <w:proofErr w:type="spellEnd"/>
      <w:r w:rsidRPr="008E4EA2">
        <w:rPr>
          <w:color w:val="000000" w:themeColor="text1"/>
          <w:szCs w:val="24"/>
          <w:lang w:val="lv-LV" w:eastAsia="en-US"/>
        </w:rPr>
        <w:t xml:space="preserve">. latu apmērā (tai skaitā ERAF un KF finansējums 189,8 </w:t>
      </w:r>
      <w:proofErr w:type="spellStart"/>
      <w:r w:rsidRPr="008E4EA2">
        <w:rPr>
          <w:color w:val="000000" w:themeColor="text1"/>
          <w:szCs w:val="24"/>
          <w:lang w:val="lv-LV" w:eastAsia="en-US"/>
        </w:rPr>
        <w:t>milj</w:t>
      </w:r>
      <w:proofErr w:type="spellEnd"/>
      <w:r w:rsidRPr="008E4EA2">
        <w:rPr>
          <w:color w:val="000000" w:themeColor="text1"/>
          <w:szCs w:val="24"/>
          <w:lang w:val="lv-LV" w:eastAsia="en-US"/>
        </w:rPr>
        <w:t xml:space="preserve">. latu un nacionālais publiskais finansējums 24,5 </w:t>
      </w:r>
      <w:proofErr w:type="spellStart"/>
      <w:r w:rsidRPr="008E4EA2">
        <w:rPr>
          <w:color w:val="000000" w:themeColor="text1"/>
          <w:szCs w:val="24"/>
          <w:lang w:val="lv-LV" w:eastAsia="en-US"/>
        </w:rPr>
        <w:t>milj</w:t>
      </w:r>
      <w:proofErr w:type="spellEnd"/>
      <w:r w:rsidRPr="008E4EA2">
        <w:rPr>
          <w:color w:val="000000" w:themeColor="text1"/>
          <w:szCs w:val="24"/>
          <w:lang w:val="lv-LV" w:eastAsia="en-US"/>
        </w:rPr>
        <w:t>. latu apmērā), kuru ietvaros tika:</w:t>
      </w:r>
    </w:p>
    <w:p w:rsidR="000C7A49" w:rsidRPr="008E4EA2" w:rsidRDefault="000C7A49" w:rsidP="003A0029">
      <w:pPr>
        <w:numPr>
          <w:ilvl w:val="0"/>
          <w:numId w:val="21"/>
        </w:numPr>
        <w:spacing w:before="120" w:after="120" w:line="276" w:lineRule="auto"/>
        <w:rPr>
          <w:color w:val="000000" w:themeColor="text1"/>
          <w:szCs w:val="24"/>
          <w:lang w:eastAsia="lv-LV"/>
        </w:rPr>
      </w:pPr>
      <w:r w:rsidRPr="008E4EA2">
        <w:rPr>
          <w:color w:val="000000" w:themeColor="text1"/>
          <w:szCs w:val="24"/>
          <w:lang w:eastAsia="lv-LV"/>
        </w:rPr>
        <w:t xml:space="preserve">apstiprināti 85 projektu iesniegumi par ERAF un KF finansējumu 65,8 </w:t>
      </w:r>
      <w:proofErr w:type="spellStart"/>
      <w:r w:rsidRPr="008E4EA2">
        <w:rPr>
          <w:color w:val="000000" w:themeColor="text1"/>
          <w:szCs w:val="24"/>
          <w:lang w:eastAsia="lv-LV"/>
        </w:rPr>
        <w:t>milj</w:t>
      </w:r>
      <w:proofErr w:type="spellEnd"/>
      <w:r w:rsidRPr="008E4EA2">
        <w:rPr>
          <w:color w:val="000000" w:themeColor="text1"/>
          <w:szCs w:val="24"/>
          <w:lang w:eastAsia="lv-LV"/>
        </w:rPr>
        <w:t xml:space="preserve">. latu apmērā un nacionālo publisko finansējumu 15,7 </w:t>
      </w:r>
      <w:proofErr w:type="spellStart"/>
      <w:r w:rsidRPr="008E4EA2">
        <w:rPr>
          <w:color w:val="000000" w:themeColor="text1"/>
          <w:szCs w:val="24"/>
          <w:lang w:eastAsia="lv-LV"/>
        </w:rPr>
        <w:t>milj</w:t>
      </w:r>
      <w:proofErr w:type="spellEnd"/>
      <w:r w:rsidRPr="008E4EA2">
        <w:rPr>
          <w:color w:val="000000" w:themeColor="text1"/>
          <w:szCs w:val="24"/>
          <w:lang w:eastAsia="lv-LV"/>
        </w:rPr>
        <w:t>. latu apmērā;</w:t>
      </w:r>
    </w:p>
    <w:p w:rsidR="000C7A49" w:rsidRPr="008E4EA2" w:rsidRDefault="000C7A49" w:rsidP="003A0029">
      <w:pPr>
        <w:numPr>
          <w:ilvl w:val="0"/>
          <w:numId w:val="21"/>
        </w:numPr>
        <w:spacing w:before="120" w:after="120" w:line="276" w:lineRule="auto"/>
        <w:rPr>
          <w:color w:val="000000" w:themeColor="text1"/>
          <w:szCs w:val="24"/>
          <w:lang w:eastAsia="lv-LV"/>
        </w:rPr>
      </w:pPr>
      <w:r w:rsidRPr="008E4EA2">
        <w:rPr>
          <w:color w:val="000000" w:themeColor="text1"/>
          <w:szCs w:val="24"/>
          <w:lang w:eastAsia="lv-LV"/>
        </w:rPr>
        <w:t xml:space="preserve">noraidīti 12 projektu iesniegumi par ERAF un KF finansējumu 11,2 </w:t>
      </w:r>
      <w:proofErr w:type="spellStart"/>
      <w:r w:rsidRPr="008E4EA2">
        <w:rPr>
          <w:color w:val="000000" w:themeColor="text1"/>
          <w:szCs w:val="24"/>
          <w:lang w:eastAsia="lv-LV"/>
        </w:rPr>
        <w:t>milj</w:t>
      </w:r>
      <w:proofErr w:type="spellEnd"/>
      <w:r w:rsidRPr="008E4EA2">
        <w:rPr>
          <w:color w:val="000000" w:themeColor="text1"/>
          <w:szCs w:val="24"/>
          <w:lang w:eastAsia="lv-LV"/>
        </w:rPr>
        <w:t xml:space="preserve">. latu un nacionālo publisko finansējumu 1,0 </w:t>
      </w:r>
      <w:proofErr w:type="spellStart"/>
      <w:r w:rsidRPr="008E4EA2">
        <w:rPr>
          <w:color w:val="000000" w:themeColor="text1"/>
          <w:szCs w:val="24"/>
          <w:lang w:eastAsia="lv-LV"/>
        </w:rPr>
        <w:t>milj</w:t>
      </w:r>
      <w:proofErr w:type="spellEnd"/>
      <w:r w:rsidRPr="008E4EA2">
        <w:rPr>
          <w:color w:val="000000" w:themeColor="text1"/>
          <w:szCs w:val="24"/>
          <w:lang w:eastAsia="lv-LV"/>
        </w:rPr>
        <w:t xml:space="preserve">. latu apmērā, galvenokārt, projekta iesniegumā norādītie sadarbības partneri neatbilst aktivitātes īstenošanas nosacījumiem, nav sakārtotas īpašumtiesības, projekta iesniegumam tiek pievienoti nekvalitatīvi sagatavoti dokumenti, visbiežāk </w:t>
      </w:r>
      <w:proofErr w:type="spellStart"/>
      <w:r w:rsidRPr="008E4EA2">
        <w:rPr>
          <w:color w:val="000000" w:themeColor="text1"/>
          <w:szCs w:val="24"/>
          <w:lang w:eastAsia="lv-LV"/>
        </w:rPr>
        <w:t>energoauditu</w:t>
      </w:r>
      <w:proofErr w:type="spellEnd"/>
      <w:r w:rsidRPr="008E4EA2">
        <w:rPr>
          <w:color w:val="000000" w:themeColor="text1"/>
          <w:szCs w:val="24"/>
          <w:lang w:eastAsia="lv-LV"/>
        </w:rPr>
        <w:t xml:space="preserve"> pārskati, saskaņā ar kuriem tiek identificētas projekta ietvaros atbalstāmās darbībās; </w:t>
      </w:r>
    </w:p>
    <w:p w:rsidR="000C7A49" w:rsidRPr="008E4EA2" w:rsidRDefault="000C7A49" w:rsidP="003A0029">
      <w:pPr>
        <w:numPr>
          <w:ilvl w:val="0"/>
          <w:numId w:val="21"/>
        </w:numPr>
        <w:spacing w:before="120" w:after="120" w:line="276" w:lineRule="auto"/>
        <w:rPr>
          <w:color w:val="000000" w:themeColor="text1"/>
          <w:szCs w:val="24"/>
          <w:lang w:eastAsia="lv-LV"/>
        </w:rPr>
      </w:pPr>
      <w:r w:rsidRPr="008E4EA2">
        <w:rPr>
          <w:color w:val="000000" w:themeColor="text1"/>
          <w:szCs w:val="24"/>
          <w:lang w:eastAsia="lv-LV"/>
        </w:rPr>
        <w:t xml:space="preserve">atsaukti divi projektu iesniegumi par ERAF finansējumu 1,7 </w:t>
      </w:r>
      <w:proofErr w:type="spellStart"/>
      <w:r w:rsidRPr="008E4EA2">
        <w:rPr>
          <w:color w:val="000000" w:themeColor="text1"/>
          <w:szCs w:val="24"/>
          <w:lang w:eastAsia="lv-LV"/>
        </w:rPr>
        <w:t>m</w:t>
      </w:r>
      <w:r w:rsidR="00622EA6" w:rsidRPr="008E4EA2">
        <w:rPr>
          <w:color w:val="000000" w:themeColor="text1"/>
          <w:szCs w:val="24"/>
          <w:lang w:eastAsia="lv-LV"/>
        </w:rPr>
        <w:t>ilj</w:t>
      </w:r>
      <w:proofErr w:type="spellEnd"/>
      <w:r w:rsidR="00622EA6" w:rsidRPr="008E4EA2">
        <w:rPr>
          <w:color w:val="000000" w:themeColor="text1"/>
          <w:szCs w:val="24"/>
          <w:lang w:eastAsia="lv-LV"/>
        </w:rPr>
        <w:t>. latu apmērā un nacionālo p</w:t>
      </w:r>
      <w:r w:rsidRPr="008E4EA2">
        <w:rPr>
          <w:color w:val="000000" w:themeColor="text1"/>
          <w:szCs w:val="24"/>
          <w:lang w:eastAsia="lv-LV"/>
        </w:rPr>
        <w:t xml:space="preserve">ublisko finansējumu 0,4 </w:t>
      </w:r>
      <w:proofErr w:type="spellStart"/>
      <w:r w:rsidRPr="008E4EA2">
        <w:rPr>
          <w:color w:val="000000" w:themeColor="text1"/>
          <w:szCs w:val="24"/>
          <w:lang w:eastAsia="lv-LV"/>
        </w:rPr>
        <w:t>milj</w:t>
      </w:r>
      <w:proofErr w:type="spellEnd"/>
      <w:r w:rsidRPr="008E4EA2">
        <w:rPr>
          <w:color w:val="000000" w:themeColor="text1"/>
          <w:szCs w:val="24"/>
          <w:lang w:eastAsia="lv-LV"/>
        </w:rPr>
        <w:t>. latu apmērā;</w:t>
      </w:r>
    </w:p>
    <w:p w:rsidR="000C7A49" w:rsidRPr="008E4EA2" w:rsidRDefault="000C7A49" w:rsidP="003A0029">
      <w:pPr>
        <w:numPr>
          <w:ilvl w:val="0"/>
          <w:numId w:val="21"/>
        </w:numPr>
        <w:spacing w:before="120" w:after="120" w:line="276" w:lineRule="auto"/>
        <w:rPr>
          <w:color w:val="000000" w:themeColor="text1"/>
          <w:szCs w:val="24"/>
          <w:lang w:eastAsia="lv-LV"/>
        </w:rPr>
      </w:pPr>
      <w:r w:rsidRPr="008E4EA2">
        <w:rPr>
          <w:color w:val="000000" w:themeColor="text1"/>
          <w:szCs w:val="24"/>
          <w:lang w:eastAsia="lv-LV"/>
        </w:rPr>
        <w:t>par 116 projektu iesniegumiem 2012.gada trešajā ceturksnī turpinās projektu iesniegumu vērtēšanas process, attiecīgi vēl nav pieņemts lēmums.</w:t>
      </w:r>
    </w:p>
    <w:p w:rsidR="00D03A16" w:rsidRPr="008E4EA2" w:rsidRDefault="000C7A49" w:rsidP="003A0029">
      <w:pPr>
        <w:pStyle w:val="BodyTextIndent"/>
        <w:numPr>
          <w:ilvl w:val="0"/>
          <w:numId w:val="17"/>
        </w:numPr>
        <w:spacing w:before="120" w:line="276" w:lineRule="auto"/>
        <w:ind w:left="0"/>
        <w:rPr>
          <w:color w:val="000000" w:themeColor="text1"/>
          <w:szCs w:val="24"/>
          <w:lang w:val="lv-LV" w:eastAsia="en-US"/>
        </w:rPr>
      </w:pPr>
      <w:r w:rsidRPr="008E4EA2">
        <w:rPr>
          <w:color w:val="000000" w:themeColor="text1"/>
          <w:szCs w:val="24"/>
          <w:lang w:val="lv-LV" w:eastAsia="en-US"/>
        </w:rPr>
        <w:lastRenderedPageBreak/>
        <w:t xml:space="preserve">2012.gada ceturtajā ceturksnī 14 aktivitātēs vai </w:t>
      </w:r>
      <w:proofErr w:type="spellStart"/>
      <w:r w:rsidRPr="008E4EA2">
        <w:rPr>
          <w:color w:val="000000" w:themeColor="text1"/>
          <w:szCs w:val="24"/>
          <w:lang w:val="lv-LV" w:eastAsia="en-US"/>
        </w:rPr>
        <w:t>apakšaktivitātēs</w:t>
      </w:r>
      <w:proofErr w:type="spellEnd"/>
      <w:r w:rsidRPr="008E4EA2">
        <w:rPr>
          <w:color w:val="000000" w:themeColor="text1"/>
          <w:szCs w:val="24"/>
          <w:lang w:val="lv-LV" w:eastAsia="en-US"/>
        </w:rPr>
        <w:t xml:space="preserve"> ir plānots turpināt vai izsludināt projektu iesniegumu atlases. </w:t>
      </w:r>
      <w:r w:rsidR="00D03A16" w:rsidRPr="008E4EA2">
        <w:rPr>
          <w:color w:val="000000" w:themeColor="text1"/>
          <w:szCs w:val="24"/>
          <w:lang w:val="lv-LV" w:eastAsia="en-US"/>
        </w:rPr>
        <w:t xml:space="preserve">Sīkāka informācija </w:t>
      </w:r>
      <w:hyperlink r:id="rId20" w:history="1">
        <w:r w:rsidR="00D03A16" w:rsidRPr="008E4EA2">
          <w:rPr>
            <w:rStyle w:val="Hyperlink"/>
            <w:rFonts w:ascii="Times New Roman" w:hAnsi="Times New Roman" w:cs="Times New Roman"/>
            <w:color w:val="000000" w:themeColor="text1"/>
            <w:sz w:val="24"/>
            <w:szCs w:val="24"/>
            <w:u w:val="single"/>
            <w:lang w:val="lv-LV" w:eastAsia="en-US"/>
          </w:rPr>
          <w:t>ES fondu tīmekļa vietnē</w:t>
        </w:r>
      </w:hyperlink>
      <w:r w:rsidR="00D03A16" w:rsidRPr="008E4EA2">
        <w:rPr>
          <w:color w:val="000000" w:themeColor="text1"/>
          <w:szCs w:val="24"/>
          <w:u w:val="single"/>
          <w:lang w:val="lv-LV" w:eastAsia="en-US"/>
        </w:rPr>
        <w:t>.</w:t>
      </w:r>
    </w:p>
    <w:p w:rsidR="00F04567" w:rsidRPr="008E4EA2" w:rsidRDefault="00F04567" w:rsidP="003A0029">
      <w:pPr>
        <w:pStyle w:val="2lmenis"/>
        <w:numPr>
          <w:ilvl w:val="1"/>
          <w:numId w:val="2"/>
        </w:numPr>
        <w:spacing w:before="120" w:after="120" w:line="276" w:lineRule="auto"/>
        <w:ind w:left="1276" w:hanging="425"/>
        <w:jc w:val="both"/>
        <w:rPr>
          <w:color w:val="000000" w:themeColor="text1"/>
          <w:sz w:val="24"/>
          <w:szCs w:val="24"/>
          <w:lang w:val="lv-LV"/>
        </w:rPr>
      </w:pPr>
      <w:bookmarkStart w:id="23" w:name="_Toc340241689"/>
      <w:r w:rsidRPr="008E4EA2">
        <w:rPr>
          <w:color w:val="000000" w:themeColor="text1"/>
          <w:sz w:val="24"/>
          <w:szCs w:val="24"/>
          <w:lang w:val="lv-LV"/>
        </w:rPr>
        <w:t xml:space="preserve">Citi </w:t>
      </w:r>
      <w:r w:rsidR="00B56F9D" w:rsidRPr="008E4EA2">
        <w:rPr>
          <w:color w:val="000000" w:themeColor="text1"/>
          <w:sz w:val="24"/>
          <w:szCs w:val="24"/>
          <w:lang w:val="lv-LV"/>
        </w:rPr>
        <w:t>aktuāli</w:t>
      </w:r>
      <w:r w:rsidRPr="008E4EA2">
        <w:rPr>
          <w:color w:val="000000" w:themeColor="text1"/>
          <w:sz w:val="24"/>
          <w:szCs w:val="24"/>
          <w:lang w:val="lv-LV"/>
        </w:rPr>
        <w:t xml:space="preserve"> jautājumi</w:t>
      </w:r>
      <w:bookmarkEnd w:id="23"/>
    </w:p>
    <w:p w:rsidR="00F04567" w:rsidRPr="008E4EA2" w:rsidRDefault="00F04567" w:rsidP="003A0029">
      <w:pPr>
        <w:pStyle w:val="BodyTextIndent"/>
        <w:numPr>
          <w:ilvl w:val="0"/>
          <w:numId w:val="22"/>
        </w:numPr>
        <w:spacing w:before="120" w:line="276" w:lineRule="auto"/>
        <w:ind w:left="0"/>
        <w:rPr>
          <w:color w:val="000000" w:themeColor="text1"/>
          <w:szCs w:val="24"/>
          <w:lang w:val="lv-LV" w:eastAsia="en-US"/>
        </w:rPr>
      </w:pPr>
      <w:r w:rsidRPr="008E4EA2">
        <w:rPr>
          <w:color w:val="000000" w:themeColor="text1"/>
          <w:szCs w:val="24"/>
          <w:lang w:val="lv-LV" w:eastAsia="en-US"/>
        </w:rPr>
        <w:t>Pārskata periodā EK Konkurences ģenerāldirektorāts ir saskaņojis EM izstrādātos grozījumus MK 2010.gada 13.aprīļa noteikumos Nr.361 „Noteikumi par darbības programmas „Uzņēmējdarbība un inovācijas” pa</w:t>
      </w:r>
      <w:r w:rsidR="00DA026E" w:rsidRPr="008E4EA2">
        <w:rPr>
          <w:color w:val="000000" w:themeColor="text1"/>
          <w:szCs w:val="24"/>
          <w:lang w:val="lv-LV" w:eastAsia="en-US"/>
        </w:rPr>
        <w:t xml:space="preserve">pildinājuma </w:t>
      </w:r>
      <w:proofErr w:type="spellStart"/>
      <w:r w:rsidRPr="008E4EA2">
        <w:rPr>
          <w:color w:val="000000" w:themeColor="text1"/>
          <w:szCs w:val="24"/>
          <w:lang w:val="lv-LV" w:eastAsia="en-US"/>
        </w:rPr>
        <w:t>apakšaktivitāti</w:t>
      </w:r>
      <w:proofErr w:type="spellEnd"/>
      <w:r w:rsidRPr="008E4EA2">
        <w:rPr>
          <w:color w:val="000000" w:themeColor="text1"/>
          <w:szCs w:val="24"/>
          <w:lang w:val="lv-LV" w:eastAsia="en-US"/>
        </w:rPr>
        <w:t xml:space="preserve"> „Kompetences centri””, kas novērš RI 2011.gadā audita laikā konstatētos riskus. </w:t>
      </w:r>
      <w:r w:rsidR="002F0314" w:rsidRPr="008E4EA2">
        <w:rPr>
          <w:color w:val="000000" w:themeColor="text1"/>
          <w:szCs w:val="24"/>
          <w:lang w:val="lv-LV" w:eastAsia="en-US"/>
        </w:rPr>
        <w:t>Š.g.9.oktobrī MK apstiprināja grozījumus MK 2010.gada 13.aprīļa noteikumos Nr.361 „Noteikumi par darbības programmas „Uzņēmējdarbība un inovācijas” papildinājuma 2.1.2.1.1.apakšaktivitāti „Kompetences centri””</w:t>
      </w:r>
      <w:r w:rsidRPr="008E4EA2">
        <w:rPr>
          <w:color w:val="000000" w:themeColor="text1"/>
          <w:szCs w:val="24"/>
          <w:lang w:val="lv-LV" w:eastAsia="en-US"/>
        </w:rPr>
        <w:t>.</w:t>
      </w:r>
      <w:r w:rsidR="00D654FE" w:rsidRPr="008E4EA2">
        <w:rPr>
          <w:color w:val="000000" w:themeColor="text1"/>
          <w:szCs w:val="24"/>
          <w:lang w:val="lv-LV" w:eastAsia="en-US"/>
        </w:rPr>
        <w:t xml:space="preserve"> </w:t>
      </w:r>
      <w:r w:rsidR="00B56F9D" w:rsidRPr="008E4EA2">
        <w:rPr>
          <w:color w:val="000000" w:themeColor="text1"/>
          <w:szCs w:val="24"/>
          <w:lang w:val="lv-LV" w:eastAsia="en-US"/>
        </w:rPr>
        <w:t>Līdz ar ko aktivitātes ieviešana atsākta.</w:t>
      </w:r>
    </w:p>
    <w:p w:rsidR="00F04567" w:rsidRPr="008E4EA2" w:rsidRDefault="00F04567" w:rsidP="008E4EA2">
      <w:pPr>
        <w:pStyle w:val="BodyTextIndent"/>
        <w:numPr>
          <w:ilvl w:val="0"/>
          <w:numId w:val="22"/>
        </w:numPr>
        <w:spacing w:before="120" w:line="276" w:lineRule="auto"/>
        <w:ind w:left="0"/>
        <w:rPr>
          <w:color w:val="000000" w:themeColor="text1"/>
          <w:szCs w:val="24"/>
          <w:lang w:val="lv-LV" w:eastAsia="en-US"/>
        </w:rPr>
      </w:pPr>
      <w:r w:rsidRPr="008E4EA2">
        <w:rPr>
          <w:color w:val="000000" w:themeColor="text1"/>
          <w:szCs w:val="24"/>
          <w:lang w:val="lv-LV" w:eastAsia="en-US"/>
        </w:rPr>
        <w:t>Pārskata periodā VI iesniedza EK viedokli par DG REGIO audita ziņojuma projektu par neatbilstoši izsniegto aizdevumu un garantiju apjomu finanšu instrumentu aktivitātēs. Pēc audita rezultātu saskaņošanas pabeigšanas tiks precizēt</w:t>
      </w:r>
      <w:r w:rsidR="00C27844" w:rsidRPr="008E4EA2">
        <w:rPr>
          <w:color w:val="000000" w:themeColor="text1"/>
          <w:szCs w:val="24"/>
          <w:lang w:val="lv-LV" w:eastAsia="en-US"/>
        </w:rPr>
        <w:t>a iespējamā finansiālā ietekme</w:t>
      </w:r>
      <w:r w:rsidRPr="008E4EA2">
        <w:rPr>
          <w:color w:val="000000" w:themeColor="text1"/>
          <w:szCs w:val="24"/>
          <w:lang w:val="lv-LV" w:eastAsia="en-US"/>
        </w:rPr>
        <w:t xml:space="preserve">, darbības programmas „Uzņēmējdarbība un inovācijas” finanšu plāns un grozījumu ekonomiskais pamatojums, kas tiks atkārtoti iesniegts EK apstiprināšanai. </w:t>
      </w:r>
      <w:r w:rsidR="003F7E8A" w:rsidRPr="008E4EA2">
        <w:rPr>
          <w:color w:val="000000" w:themeColor="text1"/>
          <w:szCs w:val="24"/>
          <w:lang w:val="lv-LV" w:eastAsia="en-US"/>
        </w:rPr>
        <w:t xml:space="preserve">Ja EK neskaņos Latvijas ierosinātos grozījumus </w:t>
      </w:r>
      <w:r w:rsidR="00A44E72" w:rsidRPr="008E4EA2">
        <w:rPr>
          <w:color w:val="000000" w:themeColor="text1"/>
          <w:szCs w:val="24"/>
          <w:lang w:val="lv-LV" w:eastAsia="en-US"/>
        </w:rPr>
        <w:t>darbības programmā</w:t>
      </w:r>
      <w:r w:rsidR="003F7E8A" w:rsidRPr="008E4EA2">
        <w:rPr>
          <w:color w:val="000000" w:themeColor="text1"/>
          <w:szCs w:val="24"/>
          <w:lang w:val="lv-LV" w:eastAsia="en-US"/>
        </w:rPr>
        <w:t xml:space="preserve">, jo īpaši finansējuma pārdales starp </w:t>
      </w:r>
      <w:r w:rsidR="00A44E72" w:rsidRPr="008E4EA2">
        <w:rPr>
          <w:color w:val="000000" w:themeColor="text1"/>
          <w:szCs w:val="24"/>
          <w:lang w:val="lv-LV" w:eastAsia="en-US"/>
        </w:rPr>
        <w:t>darbības programmas</w:t>
      </w:r>
      <w:r w:rsidR="003F7E8A" w:rsidRPr="008E4EA2">
        <w:rPr>
          <w:color w:val="000000" w:themeColor="text1"/>
          <w:szCs w:val="24"/>
          <w:lang w:val="lv-LV" w:eastAsia="en-US"/>
        </w:rPr>
        <w:t xml:space="preserve"> prioritātēm, tādā gadījumā tiks lemts par</w:t>
      </w:r>
      <w:r w:rsidR="005E1672">
        <w:rPr>
          <w:color w:val="000000" w:themeColor="text1"/>
          <w:szCs w:val="24"/>
          <w:lang w:val="lv-LV" w:eastAsia="en-US"/>
        </w:rPr>
        <w:t xml:space="preserve"> </w:t>
      </w:r>
      <w:r w:rsidR="003F7E8A" w:rsidRPr="008E4EA2">
        <w:rPr>
          <w:color w:val="000000" w:themeColor="text1"/>
          <w:szCs w:val="24"/>
          <w:lang w:val="lv-LV" w:eastAsia="en-US"/>
        </w:rPr>
        <w:t xml:space="preserve">jaunu aktivitāšu ieviešanu </w:t>
      </w:r>
      <w:r w:rsidR="00A44E72" w:rsidRPr="008E4EA2">
        <w:rPr>
          <w:color w:val="000000" w:themeColor="text1"/>
          <w:szCs w:val="24"/>
          <w:lang w:val="lv-LV" w:eastAsia="en-US"/>
        </w:rPr>
        <w:t>darbības programmā</w:t>
      </w:r>
      <w:r w:rsidR="003F7E8A" w:rsidRPr="008E4EA2">
        <w:rPr>
          <w:color w:val="000000" w:themeColor="text1"/>
          <w:szCs w:val="24"/>
          <w:lang w:val="lv-LV" w:eastAsia="en-US"/>
        </w:rPr>
        <w:t xml:space="preserve"> 2.1.prioritātes „Zinātne un inovācijas” 2.1.2.pasākuma „Inovācijas” ietvaros. </w:t>
      </w:r>
      <w:r w:rsidR="00A44E72" w:rsidRPr="008E4EA2">
        <w:rPr>
          <w:color w:val="000000" w:themeColor="text1"/>
          <w:szCs w:val="24"/>
          <w:lang w:val="lv-LV" w:eastAsia="en-US"/>
        </w:rPr>
        <w:t>Darbības programmas</w:t>
      </w:r>
      <w:r w:rsidR="003F7E8A" w:rsidRPr="008E4EA2">
        <w:rPr>
          <w:color w:val="000000" w:themeColor="text1"/>
          <w:szCs w:val="24"/>
          <w:lang w:val="lv-LV" w:eastAsia="en-US"/>
        </w:rPr>
        <w:t xml:space="preserve"> grozījumi, kas nav saskaņoti ar EK, arī izskaidro atšķirības ES fonda finansējumā atbilstoši EK apstiprinātajai </w:t>
      </w:r>
      <w:r w:rsidR="00A44E72" w:rsidRPr="008E4EA2">
        <w:rPr>
          <w:color w:val="000000" w:themeColor="text1"/>
          <w:szCs w:val="24"/>
          <w:lang w:val="lv-LV" w:eastAsia="en-US"/>
        </w:rPr>
        <w:t>darbības programmas</w:t>
      </w:r>
      <w:r w:rsidR="003F7E8A" w:rsidRPr="008E4EA2">
        <w:rPr>
          <w:color w:val="000000" w:themeColor="text1"/>
          <w:szCs w:val="24"/>
          <w:lang w:val="lv-LV" w:eastAsia="en-US"/>
        </w:rPr>
        <w:t xml:space="preserve"> versijai un ES fonda finansējumā at</w:t>
      </w:r>
      <w:r w:rsidR="001570AC" w:rsidRPr="008E4EA2">
        <w:rPr>
          <w:color w:val="000000" w:themeColor="text1"/>
          <w:szCs w:val="24"/>
          <w:lang w:val="lv-LV" w:eastAsia="en-US"/>
        </w:rPr>
        <w:t xml:space="preserve">bilstoši MK apstiprinātajam </w:t>
      </w:r>
      <w:r w:rsidR="00A44E72" w:rsidRPr="008E4EA2">
        <w:rPr>
          <w:color w:val="000000" w:themeColor="text1"/>
          <w:szCs w:val="24"/>
          <w:lang w:val="lv-LV" w:eastAsia="en-US"/>
        </w:rPr>
        <w:t>darbības programmas papildinājumam</w:t>
      </w:r>
      <w:r w:rsidR="001570AC" w:rsidRPr="008E4EA2">
        <w:rPr>
          <w:color w:val="000000" w:themeColor="text1"/>
          <w:szCs w:val="24"/>
          <w:lang w:val="lv-LV" w:eastAsia="en-US"/>
        </w:rPr>
        <w:t>.</w:t>
      </w:r>
    </w:p>
    <w:p w:rsidR="00156D50" w:rsidRPr="008E4EA2" w:rsidRDefault="00652F08" w:rsidP="003A0029">
      <w:pPr>
        <w:pStyle w:val="2lmenis"/>
        <w:numPr>
          <w:ilvl w:val="1"/>
          <w:numId w:val="2"/>
        </w:numPr>
        <w:spacing w:before="120" w:after="120" w:line="276" w:lineRule="auto"/>
        <w:ind w:left="1276" w:hanging="425"/>
        <w:jc w:val="both"/>
        <w:rPr>
          <w:color w:val="000000" w:themeColor="text1"/>
          <w:sz w:val="24"/>
          <w:szCs w:val="24"/>
          <w:lang w:val="lv-LV"/>
        </w:rPr>
      </w:pPr>
      <w:bookmarkStart w:id="24" w:name="_Toc340241690"/>
      <w:r w:rsidRPr="008E4EA2">
        <w:rPr>
          <w:color w:val="000000" w:themeColor="text1"/>
          <w:sz w:val="24"/>
          <w:szCs w:val="24"/>
          <w:lang w:val="lv-LV"/>
        </w:rPr>
        <w:t xml:space="preserve">2007. – 2013.gada plānošanas perioda </w:t>
      </w:r>
      <w:r w:rsidR="00D877AA" w:rsidRPr="008E4EA2">
        <w:rPr>
          <w:color w:val="000000" w:themeColor="text1"/>
          <w:sz w:val="24"/>
          <w:szCs w:val="24"/>
          <w:lang w:val="lv-LV"/>
        </w:rPr>
        <w:t xml:space="preserve">ES </w:t>
      </w:r>
      <w:r w:rsidR="00D97278" w:rsidRPr="008E4EA2">
        <w:rPr>
          <w:color w:val="000000" w:themeColor="text1"/>
          <w:sz w:val="24"/>
          <w:szCs w:val="24"/>
          <w:lang w:val="lv-LV"/>
        </w:rPr>
        <w:t>fondu</w:t>
      </w:r>
      <w:r w:rsidR="00D877AA" w:rsidRPr="008E4EA2">
        <w:rPr>
          <w:color w:val="000000" w:themeColor="text1"/>
          <w:sz w:val="24"/>
          <w:szCs w:val="24"/>
          <w:lang w:val="lv-LV"/>
        </w:rPr>
        <w:t xml:space="preserve"> finanšu </w:t>
      </w:r>
      <w:bookmarkEnd w:id="22"/>
      <w:r w:rsidR="00B56F9D" w:rsidRPr="008E4EA2">
        <w:rPr>
          <w:color w:val="000000" w:themeColor="text1"/>
          <w:sz w:val="24"/>
          <w:szCs w:val="24"/>
          <w:lang w:val="lv-LV"/>
        </w:rPr>
        <w:t>rādītāji</w:t>
      </w:r>
      <w:bookmarkEnd w:id="24"/>
      <w:r w:rsidR="00B56F9D" w:rsidRPr="008E4EA2">
        <w:rPr>
          <w:color w:val="000000" w:themeColor="text1"/>
          <w:sz w:val="24"/>
          <w:szCs w:val="24"/>
          <w:lang w:val="lv-LV"/>
        </w:rPr>
        <w:t xml:space="preserve"> </w:t>
      </w:r>
    </w:p>
    <w:p w:rsidR="00B02A9E" w:rsidRPr="008E4EA2" w:rsidRDefault="00D97278" w:rsidP="003A0029">
      <w:pPr>
        <w:pStyle w:val="2lmenis"/>
        <w:numPr>
          <w:ilvl w:val="2"/>
          <w:numId w:val="2"/>
        </w:numPr>
        <w:spacing w:before="120" w:after="120" w:line="276" w:lineRule="auto"/>
        <w:jc w:val="both"/>
        <w:rPr>
          <w:color w:val="000000" w:themeColor="text1"/>
          <w:sz w:val="24"/>
          <w:szCs w:val="24"/>
          <w:lang w:val="lv-LV"/>
        </w:rPr>
      </w:pPr>
      <w:bookmarkStart w:id="25" w:name="_Toc340241691"/>
      <w:r w:rsidRPr="008E4EA2">
        <w:rPr>
          <w:color w:val="000000" w:themeColor="text1"/>
          <w:sz w:val="24"/>
          <w:szCs w:val="24"/>
          <w:lang w:val="lv-LV"/>
        </w:rPr>
        <w:t>ES fondu</w:t>
      </w:r>
      <w:r w:rsidR="00AF4B5E" w:rsidRPr="008E4EA2">
        <w:rPr>
          <w:color w:val="000000" w:themeColor="text1"/>
          <w:sz w:val="24"/>
          <w:szCs w:val="24"/>
          <w:lang w:val="lv-LV"/>
        </w:rPr>
        <w:t xml:space="preserve"> </w:t>
      </w:r>
      <w:r w:rsidR="00462CEF" w:rsidRPr="008E4EA2">
        <w:rPr>
          <w:color w:val="000000" w:themeColor="text1"/>
          <w:sz w:val="24"/>
          <w:szCs w:val="24"/>
          <w:lang w:val="lv-LV"/>
        </w:rPr>
        <w:t xml:space="preserve">finanšu apguves </w:t>
      </w:r>
      <w:r w:rsidR="00652F08" w:rsidRPr="008E4EA2">
        <w:rPr>
          <w:color w:val="000000" w:themeColor="text1"/>
          <w:sz w:val="24"/>
          <w:szCs w:val="24"/>
          <w:lang w:val="lv-LV"/>
        </w:rPr>
        <w:t xml:space="preserve">progress un </w:t>
      </w:r>
      <w:r w:rsidR="00462CEF" w:rsidRPr="008E4EA2">
        <w:rPr>
          <w:color w:val="000000" w:themeColor="text1"/>
          <w:sz w:val="24"/>
          <w:szCs w:val="24"/>
          <w:lang w:val="lv-LV"/>
        </w:rPr>
        <w:t>mērķu sasniegšana</w:t>
      </w:r>
      <w:bookmarkEnd w:id="14"/>
      <w:bookmarkEnd w:id="15"/>
      <w:bookmarkEnd w:id="25"/>
    </w:p>
    <w:p w:rsidR="00CA29A1" w:rsidRPr="008E4EA2" w:rsidRDefault="00CA29A1" w:rsidP="003A0029">
      <w:pPr>
        <w:spacing w:before="120" w:after="120" w:line="276" w:lineRule="auto"/>
        <w:rPr>
          <w:color w:val="000000" w:themeColor="text1"/>
          <w:szCs w:val="24"/>
          <w:u w:val="single"/>
          <w:lang w:eastAsia="lv-LV"/>
        </w:rPr>
      </w:pPr>
      <w:r w:rsidRPr="008E4EA2">
        <w:rPr>
          <w:iCs/>
          <w:color w:val="000000" w:themeColor="text1"/>
          <w:szCs w:val="24"/>
        </w:rPr>
        <w:t xml:space="preserve">Kopā no </w:t>
      </w:r>
      <w:r w:rsidR="00502A2D" w:rsidRPr="008E4EA2">
        <w:rPr>
          <w:iCs/>
          <w:color w:val="000000" w:themeColor="text1"/>
          <w:szCs w:val="24"/>
        </w:rPr>
        <w:t xml:space="preserve">projektu īstenošanai </w:t>
      </w:r>
      <w:r w:rsidRPr="008E4EA2">
        <w:rPr>
          <w:iCs/>
          <w:color w:val="000000" w:themeColor="text1"/>
          <w:szCs w:val="24"/>
        </w:rPr>
        <w:t xml:space="preserve">pieejamiem 3,5 </w:t>
      </w:r>
      <w:proofErr w:type="spellStart"/>
      <w:r w:rsidRPr="008E4EA2">
        <w:rPr>
          <w:iCs/>
          <w:color w:val="000000" w:themeColor="text1"/>
          <w:szCs w:val="24"/>
        </w:rPr>
        <w:t>m</w:t>
      </w:r>
      <w:r w:rsidR="001C1847" w:rsidRPr="008E4EA2">
        <w:rPr>
          <w:iCs/>
          <w:color w:val="000000" w:themeColor="text1"/>
          <w:szCs w:val="24"/>
        </w:rPr>
        <w:t>lj</w:t>
      </w:r>
      <w:r w:rsidRPr="008E4EA2">
        <w:rPr>
          <w:iCs/>
          <w:color w:val="000000" w:themeColor="text1"/>
          <w:szCs w:val="24"/>
        </w:rPr>
        <w:t>rd</w:t>
      </w:r>
      <w:proofErr w:type="spellEnd"/>
      <w:r w:rsidRPr="008E4EA2">
        <w:rPr>
          <w:iCs/>
          <w:color w:val="000000" w:themeColor="text1"/>
          <w:szCs w:val="24"/>
        </w:rPr>
        <w:t xml:space="preserve">. latu publiskā finansējuma, kas </w:t>
      </w:r>
      <w:r w:rsidR="00551B27" w:rsidRPr="008E4EA2">
        <w:rPr>
          <w:iCs/>
          <w:color w:val="000000" w:themeColor="text1"/>
          <w:szCs w:val="24"/>
        </w:rPr>
        <w:t>ietver</w:t>
      </w:r>
      <w:r w:rsidRPr="008E4EA2">
        <w:rPr>
          <w:iCs/>
          <w:color w:val="000000" w:themeColor="text1"/>
          <w:szCs w:val="24"/>
        </w:rPr>
        <w:t xml:space="preserve"> gan ES fondu finansējumu, gan arī valsts budžeta un pašvaldību budžeta līdzfinansējumu, </w:t>
      </w:r>
      <w:r w:rsidR="00894D2F" w:rsidRPr="008E4EA2">
        <w:rPr>
          <w:iCs/>
          <w:color w:val="000000" w:themeColor="text1"/>
          <w:szCs w:val="24"/>
        </w:rPr>
        <w:t xml:space="preserve">un </w:t>
      </w:r>
      <w:r w:rsidR="00894D2F" w:rsidRPr="008E4EA2">
        <w:rPr>
          <w:color w:val="000000" w:themeColor="text1"/>
          <w:szCs w:val="24"/>
        </w:rPr>
        <w:t xml:space="preserve">uzņemto </w:t>
      </w:r>
      <w:proofErr w:type="spellStart"/>
      <w:r w:rsidR="00894D2F" w:rsidRPr="008E4EA2">
        <w:rPr>
          <w:color w:val="000000" w:themeColor="text1"/>
          <w:szCs w:val="24"/>
        </w:rPr>
        <w:t>virssaistību</w:t>
      </w:r>
      <w:proofErr w:type="spellEnd"/>
      <w:r w:rsidR="00894D2F" w:rsidRPr="008E4EA2">
        <w:rPr>
          <w:color w:val="000000" w:themeColor="text1"/>
          <w:szCs w:val="24"/>
        </w:rPr>
        <w:t xml:space="preserve"> apjomu,</w:t>
      </w:r>
      <w:r w:rsidR="00894D2F" w:rsidRPr="008E4EA2">
        <w:rPr>
          <w:iCs/>
          <w:color w:val="000000" w:themeColor="text1"/>
          <w:szCs w:val="24"/>
        </w:rPr>
        <w:t xml:space="preserve"> </w:t>
      </w:r>
      <w:r w:rsidRPr="008E4EA2">
        <w:rPr>
          <w:iCs/>
          <w:color w:val="000000" w:themeColor="text1"/>
          <w:szCs w:val="24"/>
        </w:rPr>
        <w:t xml:space="preserve">finansējuma saņēmējiem ir </w:t>
      </w:r>
      <w:r w:rsidR="00C001D2" w:rsidRPr="008E4EA2">
        <w:rPr>
          <w:iCs/>
          <w:color w:val="000000" w:themeColor="text1"/>
          <w:szCs w:val="24"/>
        </w:rPr>
        <w:t xml:space="preserve">izmaksāta </w:t>
      </w:r>
      <w:r w:rsidR="00894D2F" w:rsidRPr="008E4EA2">
        <w:rPr>
          <w:iCs/>
          <w:color w:val="000000" w:themeColor="text1"/>
          <w:szCs w:val="24"/>
        </w:rPr>
        <w:t>gandrīz</w:t>
      </w:r>
      <w:r w:rsidR="00C001D2" w:rsidRPr="008E4EA2">
        <w:rPr>
          <w:iCs/>
          <w:color w:val="000000" w:themeColor="text1"/>
          <w:szCs w:val="24"/>
        </w:rPr>
        <w:t xml:space="preserve"> puse, </w:t>
      </w:r>
      <w:proofErr w:type="spellStart"/>
      <w:r w:rsidR="00C001D2" w:rsidRPr="008E4EA2">
        <w:rPr>
          <w:iCs/>
          <w:color w:val="000000" w:themeColor="text1"/>
          <w:szCs w:val="24"/>
        </w:rPr>
        <w:t>t.i</w:t>
      </w:r>
      <w:proofErr w:type="spellEnd"/>
      <w:r w:rsidR="00C001D2" w:rsidRPr="008E4EA2">
        <w:rPr>
          <w:iCs/>
          <w:color w:val="000000" w:themeColor="text1"/>
          <w:szCs w:val="24"/>
        </w:rPr>
        <w:t xml:space="preserve">., </w:t>
      </w:r>
      <w:r w:rsidR="00894D2F" w:rsidRPr="008E4EA2">
        <w:rPr>
          <w:iCs/>
          <w:color w:val="000000" w:themeColor="text1"/>
          <w:szCs w:val="24"/>
        </w:rPr>
        <w:t>48,4</w:t>
      </w:r>
      <w:r w:rsidRPr="008E4EA2">
        <w:rPr>
          <w:iCs/>
          <w:color w:val="000000" w:themeColor="text1"/>
          <w:szCs w:val="24"/>
        </w:rPr>
        <w:t xml:space="preserve">%, savukārt apstiprināti projekti </w:t>
      </w:r>
      <w:r w:rsidR="00894D2F" w:rsidRPr="008E4EA2">
        <w:rPr>
          <w:iCs/>
          <w:color w:val="000000" w:themeColor="text1"/>
          <w:szCs w:val="24"/>
        </w:rPr>
        <w:t>84,8%</w:t>
      </w:r>
      <w:r w:rsidRPr="008E4EA2">
        <w:rPr>
          <w:iCs/>
          <w:color w:val="000000" w:themeColor="text1"/>
          <w:szCs w:val="24"/>
        </w:rPr>
        <w:t>.</w:t>
      </w:r>
      <w:r w:rsidR="00984D85" w:rsidRPr="008E4EA2">
        <w:rPr>
          <w:iCs/>
          <w:color w:val="000000" w:themeColor="text1"/>
          <w:szCs w:val="24"/>
        </w:rPr>
        <w:t xml:space="preserve"> </w:t>
      </w:r>
      <w:r w:rsidR="00894D2F" w:rsidRPr="008E4EA2">
        <w:rPr>
          <w:iCs/>
          <w:color w:val="000000" w:themeColor="text1"/>
          <w:szCs w:val="24"/>
        </w:rPr>
        <w:t xml:space="preserve">Kopā ES fondu ietvaros tiek ir noslēgti līgumi par 4 975 projektu īstenošanu. </w:t>
      </w:r>
      <w:r w:rsidR="00502A2D" w:rsidRPr="008E4EA2">
        <w:rPr>
          <w:iCs/>
          <w:color w:val="000000" w:themeColor="text1"/>
          <w:szCs w:val="24"/>
        </w:rPr>
        <w:t xml:space="preserve">Detalizētu informāciju par finanšu apguvi skatīt </w:t>
      </w:r>
      <w:r w:rsidR="00502A2D" w:rsidRPr="008E4EA2">
        <w:rPr>
          <w:iCs/>
          <w:color w:val="000000" w:themeColor="text1"/>
          <w:szCs w:val="24"/>
          <w:u w:val="single"/>
        </w:rPr>
        <w:t>grafikā Nr.</w:t>
      </w:r>
      <w:r w:rsidR="007B6F3C" w:rsidRPr="008E4EA2">
        <w:rPr>
          <w:iCs/>
          <w:color w:val="000000" w:themeColor="text1"/>
          <w:szCs w:val="24"/>
          <w:u w:val="single"/>
        </w:rPr>
        <w:t>2</w:t>
      </w:r>
      <w:r w:rsidR="00502A2D" w:rsidRPr="008E4EA2">
        <w:rPr>
          <w:iCs/>
          <w:color w:val="000000" w:themeColor="text1"/>
          <w:szCs w:val="24"/>
        </w:rPr>
        <w:t xml:space="preserve">, </w:t>
      </w:r>
      <w:r w:rsidR="00502A2D" w:rsidRPr="008E4EA2">
        <w:rPr>
          <w:iCs/>
          <w:color w:val="000000" w:themeColor="text1"/>
          <w:szCs w:val="24"/>
          <w:u w:val="single"/>
        </w:rPr>
        <w:t>pielikumā Nr.1</w:t>
      </w:r>
      <w:r w:rsidR="00B44D0E" w:rsidRPr="008E4EA2">
        <w:rPr>
          <w:iCs/>
          <w:color w:val="000000" w:themeColor="text1"/>
          <w:szCs w:val="24"/>
        </w:rPr>
        <w:t xml:space="preserve"> un </w:t>
      </w:r>
      <w:hyperlink r:id="rId21" w:history="1">
        <w:r w:rsidR="00B44D0E" w:rsidRPr="008E4EA2">
          <w:rPr>
            <w:color w:val="000000" w:themeColor="text1"/>
            <w:szCs w:val="24"/>
            <w:u w:val="single"/>
            <w:lang w:eastAsia="lv-LV"/>
          </w:rPr>
          <w:t>ES fondu tīmekļa vietnē</w:t>
        </w:r>
      </w:hyperlink>
      <w:r w:rsidR="00B44D0E" w:rsidRPr="008E4EA2">
        <w:rPr>
          <w:color w:val="000000" w:themeColor="text1"/>
          <w:szCs w:val="24"/>
          <w:u w:val="single"/>
          <w:lang w:eastAsia="lv-LV"/>
        </w:rPr>
        <w:t>.</w:t>
      </w:r>
    </w:p>
    <w:p w:rsidR="00604527" w:rsidRPr="008E4EA2" w:rsidRDefault="007A2B14" w:rsidP="003A0029">
      <w:pPr>
        <w:spacing w:before="120" w:after="120" w:line="276" w:lineRule="auto"/>
        <w:rPr>
          <w:rFonts w:eastAsia="EUAlbertina-Bold-Identity-H"/>
          <w:noProof/>
          <w:color w:val="000000" w:themeColor="text1"/>
          <w:szCs w:val="24"/>
          <w:lang w:eastAsia="lv-LV"/>
        </w:rPr>
      </w:pPr>
      <w:r w:rsidRPr="008E4EA2">
        <w:rPr>
          <w:color w:val="000000" w:themeColor="text1"/>
          <w:szCs w:val="24"/>
          <w:u w:val="single"/>
          <w:lang w:eastAsia="lv-LV"/>
        </w:rPr>
        <w:br w:type="column"/>
      </w:r>
      <w:r w:rsidR="00CA29A1" w:rsidRPr="008E4EA2">
        <w:rPr>
          <w:rFonts w:eastAsia="EUAlbertina-Bold-Identity-H"/>
          <w:color w:val="000000" w:themeColor="text1"/>
          <w:szCs w:val="24"/>
          <w:lang w:eastAsia="lv-LV"/>
        </w:rPr>
        <w:lastRenderedPageBreak/>
        <w:t>Grafiks Nr.</w:t>
      </w:r>
      <w:r w:rsidR="007B6F3C" w:rsidRPr="008E4EA2">
        <w:rPr>
          <w:rFonts w:eastAsia="EUAlbertina-Bold-Identity-H"/>
          <w:color w:val="000000" w:themeColor="text1"/>
          <w:szCs w:val="24"/>
          <w:lang w:eastAsia="lv-LV"/>
        </w:rPr>
        <w:t>2</w:t>
      </w:r>
      <w:r w:rsidR="000B4535" w:rsidRPr="008E4EA2">
        <w:rPr>
          <w:rFonts w:eastAsia="EUAlbertina-Bold-Identity-H"/>
          <w:color w:val="000000" w:themeColor="text1"/>
          <w:szCs w:val="24"/>
          <w:lang w:eastAsia="lv-LV"/>
        </w:rPr>
        <w:t xml:space="preserve"> </w:t>
      </w:r>
      <w:r w:rsidR="00E15CBF" w:rsidRPr="008E4EA2">
        <w:rPr>
          <w:rFonts w:eastAsia="EUAlbertina-Bold-Identity-H"/>
          <w:i/>
          <w:color w:val="000000" w:themeColor="text1"/>
          <w:szCs w:val="24"/>
        </w:rPr>
        <w:t>„</w:t>
      </w:r>
      <w:r w:rsidR="00CA29A1" w:rsidRPr="008E4EA2">
        <w:rPr>
          <w:rFonts w:eastAsia="EUAlbertina-Bold-Identity-H"/>
          <w:i/>
          <w:color w:val="000000" w:themeColor="text1"/>
          <w:szCs w:val="24"/>
        </w:rPr>
        <w:t xml:space="preserve">ES fondu finanšu apguve līdz </w:t>
      </w:r>
      <w:r w:rsidR="00C001D2" w:rsidRPr="008E4EA2">
        <w:rPr>
          <w:rFonts w:eastAsia="EUAlbertina-Bold-Identity-H"/>
          <w:i/>
          <w:color w:val="000000" w:themeColor="text1"/>
          <w:szCs w:val="24"/>
        </w:rPr>
        <w:t>2012.gada 30.</w:t>
      </w:r>
      <w:r w:rsidR="008C6091" w:rsidRPr="008E4EA2">
        <w:rPr>
          <w:rFonts w:eastAsia="EUAlbertina-Bold-Identity-H"/>
          <w:i/>
          <w:color w:val="000000" w:themeColor="text1"/>
          <w:szCs w:val="24"/>
        </w:rPr>
        <w:t>septembrim</w:t>
      </w:r>
      <w:r w:rsidR="00CA29A1" w:rsidRPr="008E4EA2">
        <w:rPr>
          <w:rFonts w:eastAsia="EUAlbertina-Bold-Identity-H"/>
          <w:i/>
          <w:color w:val="000000" w:themeColor="text1"/>
          <w:szCs w:val="24"/>
        </w:rPr>
        <w:t xml:space="preserve">, publiskais attiecināmais finansējums; </w:t>
      </w:r>
      <w:r w:rsidR="00B44D0E" w:rsidRPr="008E4EA2">
        <w:rPr>
          <w:rFonts w:eastAsia="EUAlbertina-Bold-Identity-H"/>
          <w:i/>
          <w:color w:val="000000" w:themeColor="text1"/>
          <w:szCs w:val="24"/>
        </w:rPr>
        <w:t xml:space="preserve">Publiskais finansējums, </w:t>
      </w:r>
      <w:proofErr w:type="spellStart"/>
      <w:r w:rsidR="00CA29A1" w:rsidRPr="008E4EA2">
        <w:rPr>
          <w:rFonts w:eastAsia="EUAlbertina-Bold-Identity-H"/>
          <w:i/>
          <w:color w:val="000000" w:themeColor="text1"/>
          <w:szCs w:val="24"/>
        </w:rPr>
        <w:t>milj</w:t>
      </w:r>
      <w:proofErr w:type="spellEnd"/>
      <w:r w:rsidR="00CA29A1" w:rsidRPr="008E4EA2">
        <w:rPr>
          <w:rFonts w:eastAsia="EUAlbertina-Bold-Identity-H"/>
          <w:i/>
          <w:color w:val="000000" w:themeColor="text1"/>
          <w:szCs w:val="24"/>
        </w:rPr>
        <w:t xml:space="preserve">. latu (% no kopā pieejamā publiskā finansējuma); </w:t>
      </w:r>
      <w:r w:rsidR="00CA29A1" w:rsidRPr="008E4EA2">
        <w:rPr>
          <w:i/>
          <w:color w:val="000000" w:themeColor="text1"/>
          <w:szCs w:val="24"/>
        </w:rPr>
        <w:t xml:space="preserve">% progress pret datiem </w:t>
      </w:r>
      <w:r w:rsidR="000456D8" w:rsidRPr="008E4EA2">
        <w:rPr>
          <w:i/>
          <w:color w:val="000000" w:themeColor="text1"/>
          <w:szCs w:val="24"/>
        </w:rPr>
        <w:t>līdz</w:t>
      </w:r>
      <w:r w:rsidR="00CA29A1" w:rsidRPr="008E4EA2">
        <w:rPr>
          <w:i/>
          <w:color w:val="000000" w:themeColor="text1"/>
          <w:szCs w:val="24"/>
        </w:rPr>
        <w:t xml:space="preserve"> </w:t>
      </w:r>
      <w:r w:rsidR="00C001D2" w:rsidRPr="008E4EA2">
        <w:rPr>
          <w:i/>
          <w:color w:val="000000" w:themeColor="text1"/>
          <w:szCs w:val="24"/>
        </w:rPr>
        <w:t>2012</w:t>
      </w:r>
      <w:r w:rsidR="00FB103C" w:rsidRPr="008E4EA2">
        <w:rPr>
          <w:i/>
          <w:color w:val="000000" w:themeColor="text1"/>
          <w:szCs w:val="24"/>
        </w:rPr>
        <w:t xml:space="preserve">.gada </w:t>
      </w:r>
      <w:r w:rsidR="008C6091" w:rsidRPr="008E4EA2">
        <w:rPr>
          <w:rFonts w:eastAsia="EUAlbertina-Bold-Identity-H"/>
          <w:i/>
          <w:color w:val="000000" w:themeColor="text1"/>
          <w:szCs w:val="24"/>
        </w:rPr>
        <w:t>30.jūnijam</w:t>
      </w:r>
      <w:r w:rsidR="00CA29A1" w:rsidRPr="008E4EA2">
        <w:rPr>
          <w:i/>
          <w:color w:val="000000" w:themeColor="text1"/>
          <w:szCs w:val="24"/>
        </w:rPr>
        <w:t>.</w:t>
      </w:r>
      <w:r w:rsidR="000B4535" w:rsidRPr="008E4EA2">
        <w:rPr>
          <w:rFonts w:eastAsia="EUAlbertina-Bold-Identity-H"/>
          <w:i/>
          <w:color w:val="000000" w:themeColor="text1"/>
          <w:szCs w:val="24"/>
        </w:rPr>
        <w:t>”</w:t>
      </w:r>
      <w:r w:rsidR="00CA29A1" w:rsidRPr="008E4EA2">
        <w:rPr>
          <w:rFonts w:eastAsia="EUAlbertina-Bold-Identity-H"/>
          <w:noProof/>
          <w:color w:val="000000" w:themeColor="text1"/>
          <w:szCs w:val="24"/>
          <w:lang w:eastAsia="lv-LV"/>
        </w:rPr>
        <w:tab/>
      </w:r>
    </w:p>
    <w:p w:rsidR="001D23C7" w:rsidRPr="008E4EA2" w:rsidRDefault="00CE4257" w:rsidP="003A0029">
      <w:pPr>
        <w:spacing w:before="120" w:after="120" w:line="276" w:lineRule="auto"/>
        <w:rPr>
          <w:rFonts w:eastAsia="EUAlbertina-Bold-Identity-H"/>
          <w:color w:val="000000" w:themeColor="text1"/>
          <w:szCs w:val="24"/>
          <w:lang w:eastAsia="lv-LV"/>
        </w:rPr>
      </w:pPr>
      <w:r w:rsidRPr="008E4EA2">
        <w:rPr>
          <w:rFonts w:eastAsia="EUAlbertina-Bold-Identity-H"/>
          <w:noProof/>
          <w:color w:val="000000" w:themeColor="text1"/>
          <w:szCs w:val="24"/>
          <w:lang w:eastAsia="lv-LV"/>
        </w:rPr>
        <w:drawing>
          <wp:inline distT="0" distB="0" distL="0" distR="0" wp14:anchorId="57B9EF1D" wp14:editId="13171556">
            <wp:extent cx="6565900" cy="223774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6565900" cy="2237740"/>
                    </a:xfrm>
                    <a:prstGeom prst="rect">
                      <a:avLst/>
                    </a:prstGeom>
                    <a:noFill/>
                  </pic:spPr>
                </pic:pic>
              </a:graphicData>
            </a:graphic>
          </wp:inline>
        </w:drawing>
      </w:r>
    </w:p>
    <w:p w:rsidR="00096DBE" w:rsidRPr="008E4EA2" w:rsidRDefault="00CA29A1" w:rsidP="003A0029">
      <w:pPr>
        <w:spacing w:before="120" w:after="120" w:line="276" w:lineRule="auto"/>
        <w:rPr>
          <w:iCs/>
          <w:color w:val="000000" w:themeColor="text1"/>
          <w:szCs w:val="24"/>
        </w:rPr>
      </w:pPr>
      <w:r w:rsidRPr="008E4EA2">
        <w:rPr>
          <w:iCs/>
          <w:color w:val="000000" w:themeColor="text1"/>
          <w:szCs w:val="24"/>
        </w:rPr>
        <w:t xml:space="preserve">Lai nodrošinātu </w:t>
      </w:r>
      <w:r w:rsidR="007E7453" w:rsidRPr="008E4EA2">
        <w:rPr>
          <w:iCs/>
          <w:color w:val="000000" w:themeColor="text1"/>
          <w:szCs w:val="24"/>
        </w:rPr>
        <w:t>ES fondu</w:t>
      </w:r>
      <w:r w:rsidRPr="008E4EA2">
        <w:rPr>
          <w:iCs/>
          <w:color w:val="000000" w:themeColor="text1"/>
          <w:szCs w:val="24"/>
        </w:rPr>
        <w:t xml:space="preserve"> finansējuma apguvi, </w:t>
      </w:r>
      <w:r w:rsidR="00096DBE" w:rsidRPr="008E4EA2">
        <w:rPr>
          <w:iCs/>
          <w:color w:val="000000" w:themeColor="text1"/>
          <w:szCs w:val="24"/>
        </w:rPr>
        <w:t>2012.gada</w:t>
      </w:r>
      <w:r w:rsidR="007E7453" w:rsidRPr="008E4EA2">
        <w:rPr>
          <w:iCs/>
          <w:color w:val="000000" w:themeColor="text1"/>
          <w:szCs w:val="24"/>
        </w:rPr>
        <w:t xml:space="preserve"> 13.marta MK sēdē ti</w:t>
      </w:r>
      <w:r w:rsidR="00502A2D" w:rsidRPr="008E4EA2">
        <w:rPr>
          <w:iCs/>
          <w:color w:val="000000" w:themeColor="text1"/>
          <w:szCs w:val="24"/>
        </w:rPr>
        <w:t>ka</w:t>
      </w:r>
      <w:r w:rsidR="007E7453" w:rsidRPr="008E4EA2">
        <w:rPr>
          <w:iCs/>
          <w:color w:val="000000" w:themeColor="text1"/>
          <w:szCs w:val="24"/>
        </w:rPr>
        <w:t xml:space="preserve"> apst</w:t>
      </w:r>
      <w:r w:rsidR="00502A2D" w:rsidRPr="008E4EA2">
        <w:rPr>
          <w:iCs/>
          <w:color w:val="000000" w:themeColor="text1"/>
          <w:szCs w:val="24"/>
        </w:rPr>
        <w:t>iprināti finanšu apguves mērķi, kuri nosaka</w:t>
      </w:r>
      <w:r w:rsidRPr="008E4EA2">
        <w:rPr>
          <w:iCs/>
          <w:color w:val="000000" w:themeColor="text1"/>
          <w:szCs w:val="24"/>
        </w:rPr>
        <w:t xml:space="preserve">, ka 2012.gada ietvaros </w:t>
      </w:r>
      <w:r w:rsidR="007E7453" w:rsidRPr="008E4EA2">
        <w:rPr>
          <w:iCs/>
          <w:color w:val="000000" w:themeColor="text1"/>
          <w:szCs w:val="24"/>
        </w:rPr>
        <w:t xml:space="preserve">AI </w:t>
      </w:r>
      <w:r w:rsidRPr="008E4EA2">
        <w:rPr>
          <w:iCs/>
          <w:color w:val="000000" w:themeColor="text1"/>
          <w:szCs w:val="24"/>
        </w:rPr>
        <w:t>nodrošina maksājumus finansējuma saņēmējiem par ES fondu līdzfinansējuma daļu kopā vismaz 549</w:t>
      </w:r>
      <w:r w:rsidR="007E7453" w:rsidRPr="008E4EA2">
        <w:rPr>
          <w:iCs/>
          <w:color w:val="000000" w:themeColor="text1"/>
          <w:szCs w:val="24"/>
        </w:rPr>
        <w:t xml:space="preserve">,5 </w:t>
      </w:r>
      <w:proofErr w:type="spellStart"/>
      <w:r w:rsidR="007E7453" w:rsidRPr="008E4EA2">
        <w:rPr>
          <w:iCs/>
          <w:color w:val="000000" w:themeColor="text1"/>
          <w:szCs w:val="24"/>
        </w:rPr>
        <w:t>milj</w:t>
      </w:r>
      <w:proofErr w:type="spellEnd"/>
      <w:r w:rsidR="007E7453" w:rsidRPr="008E4EA2">
        <w:rPr>
          <w:iCs/>
          <w:color w:val="000000" w:themeColor="text1"/>
          <w:szCs w:val="24"/>
        </w:rPr>
        <w:t xml:space="preserve">. </w:t>
      </w:r>
      <w:r w:rsidRPr="008E4EA2">
        <w:rPr>
          <w:iCs/>
          <w:color w:val="000000" w:themeColor="text1"/>
          <w:szCs w:val="24"/>
        </w:rPr>
        <w:t>latu apmērā</w:t>
      </w:r>
      <w:r w:rsidR="007E7453" w:rsidRPr="008E4EA2">
        <w:rPr>
          <w:iCs/>
          <w:color w:val="000000" w:themeColor="text1"/>
          <w:szCs w:val="24"/>
        </w:rPr>
        <w:t xml:space="preserve">. </w:t>
      </w:r>
      <w:r w:rsidR="00E86E40" w:rsidRPr="008E4EA2">
        <w:rPr>
          <w:color w:val="000000" w:themeColor="text1"/>
          <w:szCs w:val="24"/>
        </w:rPr>
        <w:t>D</w:t>
      </w:r>
      <w:r w:rsidR="00B44D0E" w:rsidRPr="008E4EA2">
        <w:rPr>
          <w:color w:val="000000" w:themeColor="text1"/>
          <w:szCs w:val="24"/>
        </w:rPr>
        <w:t xml:space="preserve">etalizētu informāciju </w:t>
      </w:r>
      <w:r w:rsidR="00B44D0E" w:rsidRPr="008E4EA2">
        <w:rPr>
          <w:color w:val="000000" w:themeColor="text1"/>
          <w:szCs w:val="24"/>
          <w:u w:val="single"/>
        </w:rPr>
        <w:t>skatīt grafikā Nr.</w:t>
      </w:r>
      <w:r w:rsidR="007B6F3C" w:rsidRPr="008E4EA2">
        <w:rPr>
          <w:color w:val="000000" w:themeColor="text1"/>
          <w:szCs w:val="24"/>
          <w:u w:val="single"/>
        </w:rPr>
        <w:t>3, grafikā Nr.4</w:t>
      </w:r>
      <w:r w:rsidR="00B44D0E" w:rsidRPr="008E4EA2">
        <w:rPr>
          <w:color w:val="000000" w:themeColor="text1"/>
          <w:szCs w:val="24"/>
          <w:u w:val="single"/>
        </w:rPr>
        <w:t>, grafikā Nr.</w:t>
      </w:r>
      <w:r w:rsidR="007B6F3C" w:rsidRPr="008E4EA2">
        <w:rPr>
          <w:color w:val="000000" w:themeColor="text1"/>
          <w:szCs w:val="24"/>
          <w:u w:val="single"/>
        </w:rPr>
        <w:t>5</w:t>
      </w:r>
      <w:r w:rsidR="00B44D0E" w:rsidRPr="008E4EA2">
        <w:rPr>
          <w:color w:val="000000" w:themeColor="text1"/>
          <w:szCs w:val="24"/>
          <w:u w:val="single"/>
        </w:rPr>
        <w:t xml:space="preserve">, kā arī </w:t>
      </w:r>
      <w:hyperlink r:id="rId23" w:history="1">
        <w:r w:rsidR="00B44D0E" w:rsidRPr="008E4EA2">
          <w:rPr>
            <w:color w:val="000000" w:themeColor="text1"/>
            <w:szCs w:val="24"/>
            <w:u w:val="single"/>
            <w:lang w:eastAsia="lv-LV"/>
          </w:rPr>
          <w:t>ES fondu tīmekļa vietnē</w:t>
        </w:r>
      </w:hyperlink>
      <w:r w:rsidR="00B44D0E" w:rsidRPr="008E4EA2">
        <w:rPr>
          <w:color w:val="000000" w:themeColor="text1"/>
          <w:szCs w:val="24"/>
        </w:rPr>
        <w:t>.</w:t>
      </w:r>
    </w:p>
    <w:p w:rsidR="006E4CB9" w:rsidRPr="008E4EA2" w:rsidRDefault="006E4CB9" w:rsidP="003A0029">
      <w:pPr>
        <w:spacing w:before="120" w:after="120" w:line="276" w:lineRule="auto"/>
        <w:rPr>
          <w:color w:val="000000" w:themeColor="text1"/>
          <w:szCs w:val="24"/>
        </w:rPr>
      </w:pPr>
      <w:r w:rsidRPr="008E4EA2">
        <w:rPr>
          <w:iCs/>
          <w:color w:val="000000" w:themeColor="text1"/>
          <w:szCs w:val="24"/>
        </w:rPr>
        <w:t>VI sniedza apliecinājumu</w:t>
      </w:r>
      <w:r w:rsidRPr="008E4EA2">
        <w:rPr>
          <w:iCs/>
          <w:color w:val="000000" w:themeColor="text1"/>
          <w:szCs w:val="24"/>
          <w:vertAlign w:val="superscript"/>
        </w:rPr>
        <w:footnoteReference w:id="3"/>
      </w:r>
      <w:r w:rsidRPr="008E4EA2">
        <w:rPr>
          <w:iCs/>
          <w:color w:val="000000" w:themeColor="text1"/>
          <w:szCs w:val="24"/>
        </w:rPr>
        <w:t xml:space="preserve"> par izdevumu deklarēšanu, kas veikti līdz </w:t>
      </w:r>
      <w:proofErr w:type="spellStart"/>
      <w:r w:rsidRPr="008E4EA2">
        <w:rPr>
          <w:iCs/>
          <w:color w:val="000000" w:themeColor="text1"/>
          <w:szCs w:val="24"/>
        </w:rPr>
        <w:t>š.g</w:t>
      </w:r>
      <w:proofErr w:type="spellEnd"/>
      <w:r w:rsidRPr="008E4EA2">
        <w:rPr>
          <w:iCs/>
          <w:color w:val="000000" w:themeColor="text1"/>
          <w:szCs w:val="24"/>
        </w:rPr>
        <w:t xml:space="preserve">. 30.septembrim, 1 092,0 </w:t>
      </w:r>
      <w:proofErr w:type="spellStart"/>
      <w:r w:rsidRPr="008E4EA2">
        <w:rPr>
          <w:iCs/>
          <w:color w:val="000000" w:themeColor="text1"/>
          <w:szCs w:val="24"/>
        </w:rPr>
        <w:t>milj</w:t>
      </w:r>
      <w:proofErr w:type="spellEnd"/>
      <w:r w:rsidRPr="008E4EA2">
        <w:rPr>
          <w:iCs/>
          <w:color w:val="000000" w:themeColor="text1"/>
          <w:szCs w:val="24"/>
        </w:rPr>
        <w:t xml:space="preserve">. latu apmērā, </w:t>
      </w:r>
      <w:proofErr w:type="spellStart"/>
      <w:r w:rsidRPr="008E4EA2">
        <w:rPr>
          <w:iCs/>
          <w:color w:val="000000" w:themeColor="text1"/>
          <w:szCs w:val="24"/>
        </w:rPr>
        <w:t>t.sk</w:t>
      </w:r>
      <w:proofErr w:type="spellEnd"/>
      <w:r w:rsidRPr="008E4EA2">
        <w:rPr>
          <w:iCs/>
          <w:color w:val="000000" w:themeColor="text1"/>
          <w:szCs w:val="24"/>
        </w:rPr>
        <w:t xml:space="preserve">. </w:t>
      </w:r>
      <w:proofErr w:type="spellStart"/>
      <w:r w:rsidRPr="008E4EA2">
        <w:rPr>
          <w:iCs/>
          <w:color w:val="000000" w:themeColor="text1"/>
          <w:szCs w:val="24"/>
        </w:rPr>
        <w:t>š.g</w:t>
      </w:r>
      <w:proofErr w:type="spellEnd"/>
      <w:r w:rsidRPr="008E4EA2">
        <w:rPr>
          <w:iCs/>
          <w:color w:val="000000" w:themeColor="text1"/>
          <w:szCs w:val="24"/>
        </w:rPr>
        <w:t xml:space="preserve">. trešajā ceturksnī 135,9 </w:t>
      </w:r>
      <w:proofErr w:type="spellStart"/>
      <w:r w:rsidRPr="008E4EA2">
        <w:rPr>
          <w:iCs/>
          <w:color w:val="000000" w:themeColor="text1"/>
          <w:szCs w:val="24"/>
        </w:rPr>
        <w:t>milj</w:t>
      </w:r>
      <w:proofErr w:type="spellEnd"/>
      <w:r w:rsidRPr="008E4EA2">
        <w:rPr>
          <w:iCs/>
          <w:color w:val="000000" w:themeColor="text1"/>
          <w:szCs w:val="24"/>
        </w:rPr>
        <w:t xml:space="preserve">. latu apmērā. </w:t>
      </w:r>
      <w:proofErr w:type="spellStart"/>
      <w:r w:rsidRPr="008E4EA2">
        <w:rPr>
          <w:iCs/>
          <w:color w:val="000000" w:themeColor="text1"/>
          <w:szCs w:val="24"/>
        </w:rPr>
        <w:t>Š.g</w:t>
      </w:r>
      <w:proofErr w:type="spellEnd"/>
      <w:r w:rsidRPr="008E4EA2">
        <w:rPr>
          <w:iCs/>
          <w:color w:val="000000" w:themeColor="text1"/>
          <w:szCs w:val="24"/>
        </w:rPr>
        <w:t xml:space="preserve">. jūlijā VI ierosināja nedeklarēt izdevumus 63,5 </w:t>
      </w:r>
      <w:proofErr w:type="spellStart"/>
      <w:r w:rsidRPr="008E4EA2">
        <w:rPr>
          <w:iCs/>
          <w:color w:val="000000" w:themeColor="text1"/>
          <w:szCs w:val="24"/>
        </w:rPr>
        <w:t>milj</w:t>
      </w:r>
      <w:proofErr w:type="spellEnd"/>
      <w:r w:rsidRPr="008E4EA2">
        <w:rPr>
          <w:iCs/>
          <w:color w:val="000000" w:themeColor="text1"/>
          <w:szCs w:val="24"/>
        </w:rPr>
        <w:t xml:space="preserve">. latu apmērā, bet līdz </w:t>
      </w:r>
      <w:proofErr w:type="spellStart"/>
      <w:r w:rsidRPr="008E4EA2">
        <w:rPr>
          <w:iCs/>
          <w:color w:val="000000" w:themeColor="text1"/>
          <w:szCs w:val="24"/>
        </w:rPr>
        <w:t>š.g</w:t>
      </w:r>
      <w:proofErr w:type="spellEnd"/>
      <w:r w:rsidRPr="008E4EA2">
        <w:rPr>
          <w:iCs/>
          <w:color w:val="000000" w:themeColor="text1"/>
          <w:szCs w:val="24"/>
        </w:rPr>
        <w:t xml:space="preserve">. septembra beigām nedeklarējamo izdevumu summa samazinājusies par gandrīz pusi un ir 32,4 </w:t>
      </w:r>
      <w:proofErr w:type="spellStart"/>
      <w:r w:rsidRPr="008E4EA2">
        <w:rPr>
          <w:iCs/>
          <w:color w:val="000000" w:themeColor="text1"/>
          <w:szCs w:val="24"/>
        </w:rPr>
        <w:t>milj</w:t>
      </w:r>
      <w:proofErr w:type="spellEnd"/>
      <w:r w:rsidRPr="008E4EA2">
        <w:rPr>
          <w:iCs/>
          <w:color w:val="000000" w:themeColor="text1"/>
          <w:szCs w:val="24"/>
        </w:rPr>
        <w:t>. latu. Lielāko apturēto summu veidoja VIAA administrēto aktivitāšu deklarēšanas apturēšana, ņemot vērā RI 2012.gada 11.maija audita ziņojumā</w:t>
      </w:r>
      <w:r w:rsidR="005E1672">
        <w:rPr>
          <w:iCs/>
          <w:color w:val="000000" w:themeColor="text1"/>
          <w:szCs w:val="24"/>
        </w:rPr>
        <w:t xml:space="preserve"> </w:t>
      </w:r>
      <w:r w:rsidRPr="008E4EA2">
        <w:rPr>
          <w:iCs/>
          <w:color w:val="000000" w:themeColor="text1"/>
          <w:szCs w:val="24"/>
        </w:rPr>
        <w:t>iekļauto informāciju un RI sniegto vērtējumu, EK apšaubīja VIAA deklarēto izdevumu pamatotību, taču trūkumi tika novērsti un izdevumu deklarēšana tika atjaunota, izņemot aktivitāti, kas paredz atbalstu sākotnējās profesionālās izglītības programmu īstenošanas kvalitātes uzlabošanai un īstenošanai darbības programmas „Cilvēkresursi un nodarbinātība”</w:t>
      </w:r>
      <w:r w:rsidRPr="008E4EA2">
        <w:rPr>
          <w:color w:val="000000" w:themeColor="text1"/>
          <w:szCs w:val="24"/>
        </w:rPr>
        <w:t xml:space="preserve"> ietvaros, kur deklarēšana ir apturēta 3,9 </w:t>
      </w:r>
      <w:proofErr w:type="spellStart"/>
      <w:r w:rsidRPr="008E4EA2">
        <w:rPr>
          <w:color w:val="000000" w:themeColor="text1"/>
          <w:szCs w:val="24"/>
        </w:rPr>
        <w:t>milj</w:t>
      </w:r>
      <w:proofErr w:type="spellEnd"/>
      <w:r w:rsidRPr="008E4EA2">
        <w:rPr>
          <w:color w:val="000000" w:themeColor="text1"/>
          <w:szCs w:val="24"/>
        </w:rPr>
        <w:t xml:space="preserve">. latu apmērā līdz lietas apstākļu pilnīgai noskaidrošanai saistībā ar konstatētajiem riskiem, </w:t>
      </w:r>
      <w:proofErr w:type="spellStart"/>
      <w:r w:rsidRPr="008E4EA2">
        <w:rPr>
          <w:color w:val="000000" w:themeColor="text1"/>
          <w:szCs w:val="24"/>
        </w:rPr>
        <w:t>t.sk</w:t>
      </w:r>
      <w:proofErr w:type="spellEnd"/>
      <w:r w:rsidRPr="008E4EA2">
        <w:rPr>
          <w:color w:val="000000" w:themeColor="text1"/>
          <w:szCs w:val="24"/>
        </w:rPr>
        <w:t xml:space="preserve">., iespējamajiem pārkāpumiem mācību prakses organizēšanā divos </w:t>
      </w:r>
      <w:proofErr w:type="spellStart"/>
      <w:r w:rsidRPr="008E4EA2">
        <w:rPr>
          <w:color w:val="000000" w:themeColor="text1"/>
          <w:szCs w:val="24"/>
        </w:rPr>
        <w:t>Viduslatgales</w:t>
      </w:r>
      <w:proofErr w:type="spellEnd"/>
      <w:r w:rsidRPr="008E4EA2">
        <w:rPr>
          <w:color w:val="000000" w:themeColor="text1"/>
          <w:szCs w:val="24"/>
        </w:rPr>
        <w:t xml:space="preserve"> profesionālās vidusskolas īstenotajos projektos. Papildus minētajā darbības programmā saistībā ar iespējamiem trūkumiem apmācību organizēšanā šobrīd netiek deklarēti arī projektā</w:t>
      </w:r>
      <w:r w:rsidR="001570AC" w:rsidRPr="008E4EA2">
        <w:rPr>
          <w:color w:val="000000" w:themeColor="text1"/>
          <w:szCs w:val="24"/>
        </w:rPr>
        <w:t xml:space="preserve"> </w:t>
      </w:r>
      <w:r w:rsidRPr="008E4EA2">
        <w:rPr>
          <w:color w:val="000000" w:themeColor="text1"/>
          <w:szCs w:val="24"/>
        </w:rPr>
        <w:t xml:space="preserve">„Mūžizglītības pasākumi nodarbinātām personām” izdevumi (2,0 </w:t>
      </w:r>
      <w:proofErr w:type="spellStart"/>
      <w:r w:rsidRPr="008E4EA2">
        <w:rPr>
          <w:color w:val="000000" w:themeColor="text1"/>
          <w:szCs w:val="24"/>
        </w:rPr>
        <w:t>milj</w:t>
      </w:r>
      <w:proofErr w:type="spellEnd"/>
      <w:r w:rsidRPr="008E4EA2">
        <w:rPr>
          <w:color w:val="000000" w:themeColor="text1"/>
          <w:szCs w:val="24"/>
        </w:rPr>
        <w:t xml:space="preserve">. lati) </w:t>
      </w:r>
      <w:r w:rsidR="000C1A7A" w:rsidRPr="008E4EA2">
        <w:rPr>
          <w:color w:val="000000" w:themeColor="text1"/>
          <w:szCs w:val="24"/>
        </w:rPr>
        <w:t>–</w:t>
      </w:r>
      <w:r w:rsidRPr="008E4EA2">
        <w:rPr>
          <w:color w:val="000000" w:themeColor="text1"/>
          <w:szCs w:val="24"/>
        </w:rPr>
        <w:t xml:space="preserve"> lēmums par deklarēšanas atjaunošanu tiks izskatīts, </w:t>
      </w:r>
      <w:r w:rsidRPr="008E4EA2">
        <w:rPr>
          <w:color w:val="000000" w:themeColor="text1"/>
          <w:szCs w:val="24"/>
        </w:rPr>
        <w:lastRenderedPageBreak/>
        <w:t>kad tiks saņemta informācija par iespējamo risku mazināšanos no atbildīgajām institūcijām (NVA un LM).</w:t>
      </w:r>
      <w:r w:rsidR="005E1672">
        <w:rPr>
          <w:color w:val="000000" w:themeColor="text1"/>
          <w:szCs w:val="24"/>
        </w:rPr>
        <w:t xml:space="preserve">  </w:t>
      </w:r>
      <w:r w:rsidRPr="008E4EA2">
        <w:rPr>
          <w:color w:val="000000" w:themeColor="text1"/>
          <w:szCs w:val="24"/>
        </w:rPr>
        <w:t> </w:t>
      </w:r>
    </w:p>
    <w:p w:rsidR="001570AC" w:rsidRPr="008E4EA2" w:rsidRDefault="001570AC" w:rsidP="003A0029">
      <w:pPr>
        <w:spacing w:before="120" w:after="120" w:line="276" w:lineRule="auto"/>
        <w:rPr>
          <w:color w:val="000000" w:themeColor="text1"/>
          <w:szCs w:val="24"/>
        </w:rPr>
      </w:pPr>
      <w:r w:rsidRPr="008E4EA2">
        <w:rPr>
          <w:color w:val="000000" w:themeColor="text1"/>
          <w:szCs w:val="24"/>
        </w:rPr>
        <w:t xml:space="preserve">Darbības programmas „Uzņēmējdarbība un inovācijas” 2.2.prioritātē „Finanšu pieejamība” tika pārtraukta izdevumu deklarēšana un nav atjaunota, kamēr nav noteikts un saskaņots neatbilstoši izsniegto aizdevumu un garantiju apjoms finanšu instrumentu aktivitātēs, par ko plānots saņemt EK viedokli </w:t>
      </w:r>
      <w:proofErr w:type="spellStart"/>
      <w:r w:rsidRPr="008E4EA2">
        <w:rPr>
          <w:color w:val="000000" w:themeColor="text1"/>
          <w:szCs w:val="24"/>
        </w:rPr>
        <w:t>š.g</w:t>
      </w:r>
      <w:proofErr w:type="spellEnd"/>
      <w:r w:rsidRPr="008E4EA2">
        <w:rPr>
          <w:color w:val="000000" w:themeColor="text1"/>
          <w:szCs w:val="24"/>
        </w:rPr>
        <w:t>. oktobra beigās – novembrī (neformāla EK informācija). Un 2.3.2.1.aktivitātē „Biznesa inkubatori” –</w:t>
      </w:r>
      <w:r w:rsidR="000C1A7A" w:rsidRPr="008E4EA2">
        <w:rPr>
          <w:color w:val="000000" w:themeColor="text1"/>
          <w:szCs w:val="24"/>
        </w:rPr>
        <w:t xml:space="preserve"> </w:t>
      </w:r>
      <w:r w:rsidRPr="008E4EA2">
        <w:rPr>
          <w:color w:val="000000" w:themeColor="text1"/>
          <w:szCs w:val="24"/>
        </w:rPr>
        <w:t xml:space="preserve">līdz brīdim, kad būs ieviesti </w:t>
      </w:r>
      <w:r w:rsidR="0065755F">
        <w:rPr>
          <w:color w:val="000000" w:themeColor="text1"/>
          <w:szCs w:val="24"/>
        </w:rPr>
        <w:t>RI</w:t>
      </w:r>
      <w:r w:rsidRPr="008E4EA2">
        <w:rPr>
          <w:color w:val="000000" w:themeColor="text1"/>
          <w:szCs w:val="24"/>
        </w:rPr>
        <w:t xml:space="preserve"> ziņojumā iekļautie ieteikumi. </w:t>
      </w:r>
      <w:proofErr w:type="spellStart"/>
      <w:r w:rsidRPr="008E4EA2">
        <w:rPr>
          <w:color w:val="000000" w:themeColor="text1"/>
          <w:szCs w:val="24"/>
        </w:rPr>
        <w:t>Š.g</w:t>
      </w:r>
      <w:proofErr w:type="spellEnd"/>
      <w:r w:rsidRPr="008E4EA2">
        <w:rPr>
          <w:color w:val="000000" w:themeColor="text1"/>
          <w:szCs w:val="24"/>
        </w:rPr>
        <w:t>. 26.septembrī notika darba līmeņa sanāksme, kurā piedalījās FM, EM un LIAA pārstāvji, kurā panākta vienošanās, ka LIAA līdz oktobra beigām nosūtīs FM oficiālu vēstuli ar informāciju par rezultātiem un turpmāko rīcību attiecībā uz Biznesa inkubatoriem, kas uzņēmuši MVK, kuriem bijuši nodokļu parādi, norādot šo MVK nosa</w:t>
      </w:r>
      <w:r w:rsidR="00622EA6" w:rsidRPr="008E4EA2">
        <w:rPr>
          <w:color w:val="000000" w:themeColor="text1"/>
          <w:szCs w:val="24"/>
        </w:rPr>
        <w:t>ukumus un nodokļu parāda apmēru.</w:t>
      </w:r>
    </w:p>
    <w:p w:rsidR="006E4CB9" w:rsidRPr="008E4EA2" w:rsidRDefault="006E4CB9" w:rsidP="003A0029">
      <w:pPr>
        <w:spacing w:before="120" w:after="120" w:line="276" w:lineRule="auto"/>
        <w:rPr>
          <w:color w:val="000000" w:themeColor="text1"/>
          <w:szCs w:val="24"/>
          <w:lang w:eastAsia="lv-LV"/>
        </w:rPr>
      </w:pPr>
      <w:r w:rsidRPr="008E4EA2">
        <w:rPr>
          <w:color w:val="000000" w:themeColor="text1"/>
          <w:szCs w:val="24"/>
        </w:rPr>
        <w:t xml:space="preserve">Darbības programmas „Infrastruktūra un pakalpojumi” ietvaros pašlaik lielāko nedeklarējamo summu veido izdevumi projektā „Rīgas Doma saglabāšana un sociālekonomiskā potenciāla efektivitātes izmantošana”. </w:t>
      </w:r>
      <w:proofErr w:type="spellStart"/>
      <w:r w:rsidRPr="008E4EA2">
        <w:rPr>
          <w:color w:val="000000" w:themeColor="text1"/>
          <w:szCs w:val="24"/>
        </w:rPr>
        <w:t>Problēmsituācijas</w:t>
      </w:r>
      <w:proofErr w:type="spellEnd"/>
      <w:r w:rsidRPr="008E4EA2">
        <w:rPr>
          <w:color w:val="000000" w:themeColor="text1"/>
          <w:szCs w:val="24"/>
        </w:rPr>
        <w:t xml:space="preserve"> risināšanai attiecībā uz valsts atbalsta jautājumu, Latvija EK iesniedza priekšlikumu par valsts atbalsta programmu „Kultūra”, kā arī 2012.gada 21.jūnijā KM sniegusi papildu skaidrojumus</w:t>
      </w:r>
      <w:r w:rsidR="005E1672">
        <w:rPr>
          <w:color w:val="000000" w:themeColor="text1"/>
          <w:szCs w:val="24"/>
        </w:rPr>
        <w:t xml:space="preserve"> </w:t>
      </w:r>
      <w:r w:rsidRPr="008E4EA2">
        <w:rPr>
          <w:color w:val="000000" w:themeColor="text1"/>
          <w:szCs w:val="24"/>
        </w:rPr>
        <w:t>EK Konkurences direktorātam. Nav indikāciju par riskiem, ka EK varētu neapstiprināt programmu, tādēļ VI ierosināja veikt maksājumus finansējuma saņēmējam, bet neveikt izdevumu deklarēšanu.</w:t>
      </w:r>
    </w:p>
    <w:p w:rsidR="006A31B8" w:rsidRPr="008E4EA2" w:rsidRDefault="006A31B8" w:rsidP="003A0029">
      <w:pPr>
        <w:spacing w:before="120" w:after="120" w:line="276" w:lineRule="auto"/>
        <w:rPr>
          <w:iCs/>
          <w:color w:val="000000" w:themeColor="text1"/>
          <w:szCs w:val="24"/>
        </w:rPr>
      </w:pPr>
      <w:r w:rsidRPr="008E4EA2">
        <w:rPr>
          <w:color w:val="000000" w:themeColor="text1"/>
          <w:szCs w:val="24"/>
          <w:lang w:eastAsia="lv-LV"/>
        </w:rPr>
        <w:t>Grafiks Nr.</w:t>
      </w:r>
      <w:r w:rsidR="007B6F3C" w:rsidRPr="008E4EA2">
        <w:rPr>
          <w:color w:val="000000" w:themeColor="text1"/>
          <w:szCs w:val="24"/>
          <w:lang w:eastAsia="lv-LV"/>
        </w:rPr>
        <w:t>3</w:t>
      </w:r>
      <w:r w:rsidRPr="008E4EA2">
        <w:rPr>
          <w:color w:val="000000" w:themeColor="text1"/>
          <w:szCs w:val="24"/>
          <w:lang w:eastAsia="lv-LV"/>
        </w:rPr>
        <w:t xml:space="preserve"> „</w:t>
      </w:r>
      <w:r w:rsidRPr="008E4EA2">
        <w:rPr>
          <w:i/>
          <w:color w:val="000000" w:themeColor="text1"/>
          <w:szCs w:val="24"/>
          <w:lang w:eastAsia="lv-LV"/>
        </w:rPr>
        <w:t xml:space="preserve">Informācija par kopējiem finanšu apguves mērķiem un to izpildi līdz </w:t>
      </w:r>
      <w:r w:rsidR="00357AB3" w:rsidRPr="008E4EA2">
        <w:rPr>
          <w:i/>
          <w:color w:val="000000" w:themeColor="text1"/>
          <w:szCs w:val="24"/>
          <w:lang w:eastAsia="lv-LV"/>
        </w:rPr>
        <w:t>2012.gada 30.septembrim; ES fondu finansējums</w:t>
      </w:r>
      <w:r w:rsidRPr="008E4EA2">
        <w:rPr>
          <w:i/>
          <w:color w:val="000000" w:themeColor="text1"/>
          <w:szCs w:val="24"/>
          <w:lang w:eastAsia="lv-LV"/>
        </w:rPr>
        <w:t xml:space="preserve">, </w:t>
      </w:r>
      <w:proofErr w:type="spellStart"/>
      <w:r w:rsidRPr="008E4EA2">
        <w:rPr>
          <w:i/>
          <w:color w:val="000000" w:themeColor="text1"/>
          <w:szCs w:val="24"/>
          <w:lang w:eastAsia="lv-LV"/>
        </w:rPr>
        <w:t>milj</w:t>
      </w:r>
      <w:proofErr w:type="spellEnd"/>
      <w:r w:rsidRPr="008E4EA2">
        <w:rPr>
          <w:i/>
          <w:color w:val="000000" w:themeColor="text1"/>
          <w:szCs w:val="24"/>
          <w:lang w:eastAsia="lv-LV"/>
        </w:rPr>
        <w:t xml:space="preserve">. </w:t>
      </w:r>
      <w:r w:rsidRPr="008E4EA2">
        <w:rPr>
          <w:rFonts w:eastAsia="EUAlbertina-Bold-Identity-H"/>
          <w:i/>
          <w:color w:val="000000" w:themeColor="text1"/>
          <w:szCs w:val="24"/>
        </w:rPr>
        <w:t>latu</w:t>
      </w:r>
      <w:r w:rsidRPr="008E4EA2">
        <w:rPr>
          <w:i/>
          <w:color w:val="000000" w:themeColor="text1"/>
          <w:szCs w:val="24"/>
          <w:lang w:eastAsia="lv-LV"/>
        </w:rPr>
        <w:t xml:space="preserve"> (mērķa izpilde, %).”</w:t>
      </w:r>
    </w:p>
    <w:p w:rsidR="006A31B8" w:rsidRPr="008E4EA2" w:rsidRDefault="00D654FE" w:rsidP="003A0029">
      <w:pPr>
        <w:spacing w:before="120" w:after="120" w:line="276" w:lineRule="auto"/>
        <w:rPr>
          <w:iCs/>
          <w:color w:val="000000" w:themeColor="text1"/>
          <w:szCs w:val="24"/>
        </w:rPr>
      </w:pPr>
      <w:r w:rsidRPr="008E4EA2">
        <w:rPr>
          <w:noProof/>
          <w:color w:val="000000" w:themeColor="text1"/>
          <w:szCs w:val="24"/>
          <w:lang w:eastAsia="lv-LV"/>
        </w:rPr>
        <w:drawing>
          <wp:inline distT="0" distB="0" distL="0" distR="0" wp14:anchorId="779A49FF" wp14:editId="7515BFF5">
            <wp:extent cx="5486400" cy="2793365"/>
            <wp:effectExtent l="0" t="0" r="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A31B8" w:rsidRPr="008E4EA2" w:rsidRDefault="00E2348E" w:rsidP="003A0029">
      <w:pPr>
        <w:spacing w:before="120" w:after="120" w:line="276" w:lineRule="auto"/>
        <w:rPr>
          <w:color w:val="000000" w:themeColor="text1"/>
          <w:szCs w:val="24"/>
        </w:rPr>
      </w:pPr>
      <w:r w:rsidRPr="008E4EA2">
        <w:rPr>
          <w:color w:val="000000" w:themeColor="text1"/>
          <w:szCs w:val="24"/>
        </w:rPr>
        <w:t>Lai arī gada sākumā mērķu izpilde</w:t>
      </w:r>
      <w:r w:rsidR="00B44D0E" w:rsidRPr="008E4EA2">
        <w:rPr>
          <w:color w:val="000000" w:themeColor="text1"/>
          <w:szCs w:val="24"/>
        </w:rPr>
        <w:t xml:space="preserve"> bija pozitīva, jau iepriekšējā</w:t>
      </w:r>
      <w:r w:rsidRPr="008E4EA2">
        <w:rPr>
          <w:color w:val="000000" w:themeColor="text1"/>
          <w:szCs w:val="24"/>
        </w:rPr>
        <w:t xml:space="preserve"> ziņojumā </w:t>
      </w:r>
      <w:r w:rsidR="00B44D0E" w:rsidRPr="008E4EA2">
        <w:rPr>
          <w:color w:val="000000" w:themeColor="text1"/>
          <w:szCs w:val="24"/>
        </w:rPr>
        <w:t>VI</w:t>
      </w:r>
      <w:r w:rsidRPr="008E4EA2">
        <w:rPr>
          <w:color w:val="000000" w:themeColor="text1"/>
          <w:szCs w:val="24"/>
        </w:rPr>
        <w:t xml:space="preserve"> </w:t>
      </w:r>
      <w:r w:rsidR="00B56F9D" w:rsidRPr="008E4EA2">
        <w:rPr>
          <w:color w:val="000000" w:themeColor="text1"/>
          <w:szCs w:val="24"/>
        </w:rPr>
        <w:t>informēja</w:t>
      </w:r>
      <w:r w:rsidRPr="008E4EA2">
        <w:rPr>
          <w:color w:val="000000" w:themeColor="text1"/>
          <w:szCs w:val="24"/>
        </w:rPr>
        <w:t xml:space="preserve">, ka </w:t>
      </w:r>
      <w:proofErr w:type="spellStart"/>
      <w:r w:rsidR="00A23D5B" w:rsidRPr="008E4EA2">
        <w:rPr>
          <w:color w:val="000000" w:themeColor="text1"/>
          <w:szCs w:val="24"/>
        </w:rPr>
        <w:t>š.g</w:t>
      </w:r>
      <w:proofErr w:type="spellEnd"/>
      <w:r w:rsidR="00A23D5B" w:rsidRPr="008E4EA2">
        <w:rPr>
          <w:color w:val="000000" w:themeColor="text1"/>
          <w:szCs w:val="24"/>
        </w:rPr>
        <w:t>.</w:t>
      </w:r>
      <w:r w:rsidRPr="008E4EA2">
        <w:rPr>
          <w:color w:val="000000" w:themeColor="text1"/>
          <w:szCs w:val="24"/>
        </w:rPr>
        <w:t xml:space="preserve"> otrajā pusgadā sagaidāma būtiska novirze no plānotā</w:t>
      </w:r>
      <w:r w:rsidR="00B56F9D" w:rsidRPr="008E4EA2">
        <w:rPr>
          <w:color w:val="000000" w:themeColor="text1"/>
          <w:szCs w:val="24"/>
        </w:rPr>
        <w:t>. Rezultātā</w:t>
      </w:r>
      <w:r w:rsidRPr="008E4EA2">
        <w:rPr>
          <w:color w:val="000000" w:themeColor="text1"/>
          <w:szCs w:val="24"/>
        </w:rPr>
        <w:t xml:space="preserve"> </w:t>
      </w:r>
      <w:r w:rsidR="00DA026E" w:rsidRPr="008E4EA2">
        <w:rPr>
          <w:color w:val="000000" w:themeColor="text1"/>
          <w:szCs w:val="24"/>
        </w:rPr>
        <w:t xml:space="preserve">trešā </w:t>
      </w:r>
      <w:r w:rsidRPr="008E4EA2">
        <w:rPr>
          <w:color w:val="000000" w:themeColor="text1"/>
          <w:szCs w:val="24"/>
        </w:rPr>
        <w:t>ceturkšņa</w:t>
      </w:r>
      <w:r w:rsidR="00DA026E" w:rsidRPr="008E4EA2">
        <w:rPr>
          <w:color w:val="000000" w:themeColor="text1"/>
          <w:szCs w:val="24"/>
        </w:rPr>
        <w:t xml:space="preserve"> </w:t>
      </w:r>
      <w:r w:rsidR="00357AB3" w:rsidRPr="008E4EA2">
        <w:rPr>
          <w:color w:val="000000" w:themeColor="text1"/>
          <w:szCs w:val="24"/>
        </w:rPr>
        <w:t>finanšu apguves mērķa izpilde nav apmierinoša</w:t>
      </w:r>
      <w:r w:rsidR="00B44D0E" w:rsidRPr="008E4EA2">
        <w:rPr>
          <w:color w:val="000000" w:themeColor="text1"/>
          <w:szCs w:val="24"/>
        </w:rPr>
        <w:t xml:space="preserve">, </w:t>
      </w:r>
      <w:r w:rsidR="00357AB3" w:rsidRPr="008E4EA2">
        <w:rPr>
          <w:color w:val="000000" w:themeColor="text1"/>
          <w:szCs w:val="24"/>
        </w:rPr>
        <w:t>veikti</w:t>
      </w:r>
      <w:r w:rsidR="006A31B8" w:rsidRPr="008E4EA2">
        <w:rPr>
          <w:color w:val="000000" w:themeColor="text1"/>
          <w:szCs w:val="24"/>
        </w:rPr>
        <w:t xml:space="preserve"> maksājumi </w:t>
      </w:r>
      <w:r w:rsidR="00754825" w:rsidRPr="008E4EA2">
        <w:rPr>
          <w:color w:val="000000" w:themeColor="text1"/>
          <w:szCs w:val="24"/>
        </w:rPr>
        <w:t>287,4</w:t>
      </w:r>
      <w:r w:rsidR="00357AB3" w:rsidRPr="008E4EA2">
        <w:rPr>
          <w:color w:val="000000" w:themeColor="text1"/>
          <w:szCs w:val="24"/>
        </w:rPr>
        <w:t xml:space="preserve"> </w:t>
      </w:r>
      <w:proofErr w:type="spellStart"/>
      <w:r w:rsidR="00357AB3" w:rsidRPr="008E4EA2">
        <w:rPr>
          <w:color w:val="000000" w:themeColor="text1"/>
          <w:szCs w:val="24"/>
        </w:rPr>
        <w:t>milj</w:t>
      </w:r>
      <w:proofErr w:type="spellEnd"/>
      <w:r w:rsidR="00357AB3" w:rsidRPr="008E4EA2">
        <w:rPr>
          <w:color w:val="000000" w:themeColor="text1"/>
          <w:szCs w:val="24"/>
        </w:rPr>
        <w:t>. latu ES fondu finansējuma</w:t>
      </w:r>
      <w:r w:rsidR="00B44D0E" w:rsidRPr="008E4EA2">
        <w:rPr>
          <w:color w:val="000000" w:themeColor="text1"/>
          <w:szCs w:val="24"/>
        </w:rPr>
        <w:t xml:space="preserve"> apjomā</w:t>
      </w:r>
      <w:r w:rsidR="00357AB3" w:rsidRPr="008E4EA2">
        <w:rPr>
          <w:color w:val="000000" w:themeColor="text1"/>
          <w:szCs w:val="24"/>
        </w:rPr>
        <w:t xml:space="preserve">, kas ir tikai puse no 2012.gadā plānotā maksājumu </w:t>
      </w:r>
      <w:r w:rsidR="00682708" w:rsidRPr="008E4EA2">
        <w:rPr>
          <w:color w:val="000000" w:themeColor="text1"/>
          <w:szCs w:val="24"/>
        </w:rPr>
        <w:t>finansējuma saņēmējiem</w:t>
      </w:r>
      <w:r w:rsidR="00357AB3" w:rsidRPr="008E4EA2">
        <w:rPr>
          <w:color w:val="000000" w:themeColor="text1"/>
          <w:szCs w:val="24"/>
        </w:rPr>
        <w:t xml:space="preserve"> apjoma. Lēnākā ES fondu līdzekļu apguve vēroja</w:t>
      </w:r>
      <w:r w:rsidR="00C46809" w:rsidRPr="008E4EA2">
        <w:rPr>
          <w:color w:val="000000" w:themeColor="text1"/>
          <w:szCs w:val="24"/>
        </w:rPr>
        <w:t>ma</w:t>
      </w:r>
      <w:r w:rsidR="00357AB3" w:rsidRPr="008E4EA2">
        <w:rPr>
          <w:color w:val="000000" w:themeColor="text1"/>
          <w:szCs w:val="24"/>
        </w:rPr>
        <w:t xml:space="preserve"> KF fonda ietvaros (izpildīti 52% no mērķa līdz 2012.gada 30.septembrim)</w:t>
      </w:r>
      <w:r w:rsidR="003D1605" w:rsidRPr="008E4EA2">
        <w:rPr>
          <w:color w:val="000000" w:themeColor="text1"/>
          <w:szCs w:val="24"/>
        </w:rPr>
        <w:t xml:space="preserve">, kā arī ERAF maksājumi </w:t>
      </w:r>
      <w:r w:rsidR="00682708" w:rsidRPr="008E4EA2">
        <w:rPr>
          <w:color w:val="000000" w:themeColor="text1"/>
          <w:szCs w:val="24"/>
        </w:rPr>
        <w:lastRenderedPageBreak/>
        <w:t>finansējuma saņēmējiem</w:t>
      </w:r>
      <w:r w:rsidR="003D1605" w:rsidRPr="008E4EA2">
        <w:rPr>
          <w:color w:val="000000" w:themeColor="text1"/>
          <w:szCs w:val="24"/>
        </w:rPr>
        <w:t xml:space="preserve"> netiek veikti plānotajā apmērā</w:t>
      </w:r>
      <w:r w:rsidR="00C46809" w:rsidRPr="008E4EA2">
        <w:rPr>
          <w:color w:val="000000" w:themeColor="text1"/>
          <w:szCs w:val="24"/>
        </w:rPr>
        <w:t xml:space="preserve">. </w:t>
      </w:r>
      <w:r w:rsidR="003D1605" w:rsidRPr="008E4EA2">
        <w:rPr>
          <w:color w:val="000000" w:themeColor="text1"/>
          <w:szCs w:val="24"/>
        </w:rPr>
        <w:t xml:space="preserve">Tam par iemeslu lielākoties ir </w:t>
      </w:r>
      <w:r w:rsidR="00B56F9D" w:rsidRPr="008E4EA2">
        <w:rPr>
          <w:color w:val="000000" w:themeColor="text1"/>
          <w:szCs w:val="24"/>
        </w:rPr>
        <w:t>līdzīgas problēmas kā</w:t>
      </w:r>
      <w:r w:rsidR="003D1605" w:rsidRPr="008E4EA2">
        <w:rPr>
          <w:color w:val="000000" w:themeColor="text1"/>
          <w:szCs w:val="24"/>
        </w:rPr>
        <w:t xml:space="preserve"> iepriekšējos pārskata periodos</w:t>
      </w:r>
      <w:r w:rsidRPr="008E4EA2">
        <w:rPr>
          <w:color w:val="000000" w:themeColor="text1"/>
          <w:szCs w:val="24"/>
        </w:rPr>
        <w:t xml:space="preserve">, </w:t>
      </w:r>
      <w:r w:rsidR="00B56F9D" w:rsidRPr="008E4EA2">
        <w:rPr>
          <w:color w:val="000000" w:themeColor="text1"/>
          <w:szCs w:val="24"/>
        </w:rPr>
        <w:t xml:space="preserve">tai skaitā </w:t>
      </w:r>
      <w:r w:rsidRPr="008E4EA2">
        <w:rPr>
          <w:color w:val="000000" w:themeColor="text1"/>
          <w:szCs w:val="24"/>
        </w:rPr>
        <w:t>kavēšanās ar lielo projektu ieviešanu,</w:t>
      </w:r>
      <w:r w:rsidR="003D1605" w:rsidRPr="008E4EA2">
        <w:rPr>
          <w:color w:val="000000" w:themeColor="text1"/>
          <w:szCs w:val="24"/>
        </w:rPr>
        <w:t xml:space="preserve"> </w:t>
      </w:r>
      <w:r w:rsidRPr="008E4EA2">
        <w:rPr>
          <w:color w:val="000000" w:themeColor="text1"/>
          <w:szCs w:val="24"/>
        </w:rPr>
        <w:t xml:space="preserve">problēmas </w:t>
      </w:r>
      <w:r w:rsidR="003D1605" w:rsidRPr="008E4EA2">
        <w:rPr>
          <w:color w:val="000000" w:themeColor="text1"/>
          <w:szCs w:val="24"/>
        </w:rPr>
        <w:t xml:space="preserve">ar iepirkumiem – pārsūdzības, kā arī joprojām iepirkumu pārbaudēs tiek konstatēti dažādi pārkāpumi, kas noved pie iepirkumu procedūras atkārtotas sludināšanas. </w:t>
      </w:r>
      <w:r w:rsidR="00940F53" w:rsidRPr="008E4EA2">
        <w:rPr>
          <w:color w:val="000000" w:themeColor="text1"/>
          <w:szCs w:val="24"/>
        </w:rPr>
        <w:t>Tāpat ES fondu vadībā iesaistīto iestāžu pastiprinātas kontroles pasākumi sākotnēji var palēnināt apguves tempus, tomēr ar pozitīvu efektu, savlaicīgi novēršot problēmas.</w:t>
      </w:r>
      <w:r w:rsidR="001570AC" w:rsidRPr="008E4EA2">
        <w:rPr>
          <w:color w:val="000000" w:themeColor="text1"/>
          <w:szCs w:val="24"/>
        </w:rPr>
        <w:t xml:space="preserve"> </w:t>
      </w:r>
      <w:r w:rsidR="00B56F9D" w:rsidRPr="008E4EA2">
        <w:rPr>
          <w:color w:val="000000" w:themeColor="text1"/>
          <w:szCs w:val="24"/>
        </w:rPr>
        <w:t xml:space="preserve">Vienīgi </w:t>
      </w:r>
      <w:r w:rsidR="00C46809" w:rsidRPr="008E4EA2">
        <w:rPr>
          <w:color w:val="000000" w:themeColor="text1"/>
          <w:szCs w:val="24"/>
        </w:rPr>
        <w:t xml:space="preserve">ESF ietvaros </w:t>
      </w:r>
      <w:r w:rsidR="002F3300" w:rsidRPr="008E4EA2">
        <w:rPr>
          <w:color w:val="000000" w:themeColor="text1"/>
          <w:szCs w:val="24"/>
        </w:rPr>
        <w:t>finanšu apguve</w:t>
      </w:r>
      <w:r w:rsidR="00B56F9D" w:rsidRPr="008E4EA2">
        <w:rPr>
          <w:color w:val="000000" w:themeColor="text1"/>
          <w:szCs w:val="24"/>
        </w:rPr>
        <w:t xml:space="preserve"> – maksājumi finansējuma saņēmējiem – regulāri ir veiksmīgākā - </w:t>
      </w:r>
      <w:r w:rsidR="00C46809" w:rsidRPr="008E4EA2">
        <w:rPr>
          <w:color w:val="000000" w:themeColor="text1"/>
          <w:szCs w:val="24"/>
        </w:rPr>
        <w:t xml:space="preserve">mērķis </w:t>
      </w:r>
      <w:r w:rsidR="00970AB0" w:rsidRPr="008E4EA2">
        <w:rPr>
          <w:color w:val="000000" w:themeColor="text1"/>
          <w:szCs w:val="24"/>
        </w:rPr>
        <w:t xml:space="preserve">arī </w:t>
      </w:r>
      <w:r w:rsidR="00C46809" w:rsidRPr="008E4EA2">
        <w:rPr>
          <w:color w:val="000000" w:themeColor="text1"/>
          <w:szCs w:val="24"/>
        </w:rPr>
        <w:t>līdz 2012.gada trešā ceturkšņa beigām ir pārpi</w:t>
      </w:r>
      <w:r w:rsidR="00B44D0E" w:rsidRPr="008E4EA2">
        <w:rPr>
          <w:color w:val="000000" w:themeColor="text1"/>
          <w:szCs w:val="24"/>
        </w:rPr>
        <w:t>ldīts par 29,4% un drīz sasnieg</w:t>
      </w:r>
      <w:r w:rsidR="00C46809" w:rsidRPr="008E4EA2">
        <w:rPr>
          <w:color w:val="000000" w:themeColor="text1"/>
          <w:szCs w:val="24"/>
        </w:rPr>
        <w:t>s 90% no 2012 gada mērķa.</w:t>
      </w:r>
      <w:r w:rsidR="003D1605" w:rsidRPr="008E4EA2">
        <w:rPr>
          <w:color w:val="000000" w:themeColor="text1"/>
          <w:szCs w:val="24"/>
        </w:rPr>
        <w:t xml:space="preserve"> </w:t>
      </w:r>
      <w:r w:rsidR="0065755F">
        <w:rPr>
          <w:color w:val="000000" w:themeColor="text1"/>
          <w:szCs w:val="24"/>
        </w:rPr>
        <w:t>VI</w:t>
      </w:r>
      <w:r w:rsidR="00050CDE" w:rsidRPr="008E4EA2">
        <w:rPr>
          <w:color w:val="000000" w:themeColor="text1"/>
          <w:szCs w:val="24"/>
        </w:rPr>
        <w:t xml:space="preserve"> šīs atšķirības starp fondiem skaidro ar dominējošo projektu raksturu un apjomu. Piemēram, KF un ERAF dominē infrastruktūra un salīdzinoši apjomīgi iepirkumi, kuru ietvaros rodas arī neparedzamas problēmas un ieviešanas gaitas sarežģījumi un nobīdes laikā un ar lielāku finansiālu ietekmi.</w:t>
      </w:r>
    </w:p>
    <w:p w:rsidR="0011258A" w:rsidRPr="008E4EA2" w:rsidRDefault="007A2B14" w:rsidP="003A0029">
      <w:pPr>
        <w:spacing w:before="120" w:after="120" w:line="276" w:lineRule="auto"/>
        <w:rPr>
          <w:iCs/>
          <w:color w:val="000000" w:themeColor="text1"/>
          <w:szCs w:val="24"/>
        </w:rPr>
      </w:pPr>
      <w:r w:rsidRPr="008E4EA2">
        <w:rPr>
          <w:color w:val="000000" w:themeColor="text1"/>
          <w:szCs w:val="24"/>
        </w:rPr>
        <w:br w:type="column"/>
      </w:r>
      <w:r w:rsidR="006A31B8" w:rsidRPr="008E4EA2">
        <w:rPr>
          <w:color w:val="000000" w:themeColor="text1"/>
          <w:szCs w:val="24"/>
          <w:lang w:eastAsia="lv-LV"/>
        </w:rPr>
        <w:lastRenderedPageBreak/>
        <w:t>Grafiks Nr.</w:t>
      </w:r>
      <w:r w:rsidR="007B6F3C" w:rsidRPr="008E4EA2">
        <w:rPr>
          <w:color w:val="000000" w:themeColor="text1"/>
          <w:szCs w:val="24"/>
          <w:lang w:eastAsia="lv-LV"/>
        </w:rPr>
        <w:t>4</w:t>
      </w:r>
      <w:r w:rsidR="0011258A" w:rsidRPr="008E4EA2">
        <w:rPr>
          <w:color w:val="000000" w:themeColor="text1"/>
          <w:szCs w:val="24"/>
          <w:lang w:eastAsia="lv-LV"/>
        </w:rPr>
        <w:t xml:space="preserve"> </w:t>
      </w:r>
      <w:r w:rsidR="0011258A" w:rsidRPr="008E4EA2">
        <w:rPr>
          <w:i/>
          <w:color w:val="000000" w:themeColor="text1"/>
          <w:szCs w:val="24"/>
          <w:lang w:eastAsia="lv-LV"/>
        </w:rPr>
        <w:t xml:space="preserve">„Informācija par AI finanšu apguves mērķiem un to izpildi līdz </w:t>
      </w:r>
      <w:r w:rsidR="00F0483B" w:rsidRPr="008E4EA2">
        <w:rPr>
          <w:i/>
          <w:color w:val="000000" w:themeColor="text1"/>
          <w:szCs w:val="24"/>
          <w:lang w:eastAsia="lv-LV"/>
        </w:rPr>
        <w:t>2012.gada 30.septembrim</w:t>
      </w:r>
      <w:r w:rsidR="00B44D0E" w:rsidRPr="008E4EA2">
        <w:rPr>
          <w:i/>
          <w:color w:val="000000" w:themeColor="text1"/>
          <w:szCs w:val="24"/>
          <w:lang w:eastAsia="lv-LV"/>
        </w:rPr>
        <w:t>; ES fondu finansējums</w:t>
      </w:r>
      <w:r w:rsidR="0011258A" w:rsidRPr="008E4EA2">
        <w:rPr>
          <w:i/>
          <w:color w:val="000000" w:themeColor="text1"/>
          <w:szCs w:val="24"/>
          <w:lang w:eastAsia="lv-LV"/>
        </w:rPr>
        <w:t xml:space="preserve">, </w:t>
      </w:r>
      <w:proofErr w:type="spellStart"/>
      <w:r w:rsidR="0011258A" w:rsidRPr="008E4EA2">
        <w:rPr>
          <w:i/>
          <w:color w:val="000000" w:themeColor="text1"/>
          <w:szCs w:val="24"/>
          <w:lang w:eastAsia="lv-LV"/>
        </w:rPr>
        <w:t>milj</w:t>
      </w:r>
      <w:proofErr w:type="spellEnd"/>
      <w:r w:rsidR="0011258A" w:rsidRPr="008E4EA2">
        <w:rPr>
          <w:i/>
          <w:color w:val="000000" w:themeColor="text1"/>
          <w:szCs w:val="24"/>
          <w:lang w:eastAsia="lv-LV"/>
        </w:rPr>
        <w:t xml:space="preserve">. </w:t>
      </w:r>
      <w:r w:rsidR="0011258A" w:rsidRPr="008E4EA2">
        <w:rPr>
          <w:rFonts w:eastAsia="EUAlbertina-Bold-Identity-H"/>
          <w:i/>
          <w:color w:val="000000" w:themeColor="text1"/>
          <w:szCs w:val="24"/>
        </w:rPr>
        <w:t>latu</w:t>
      </w:r>
      <w:r w:rsidR="0011258A" w:rsidRPr="008E4EA2">
        <w:rPr>
          <w:i/>
          <w:color w:val="000000" w:themeColor="text1"/>
          <w:szCs w:val="24"/>
          <w:lang w:eastAsia="lv-LV"/>
        </w:rPr>
        <w:t xml:space="preserve"> (mērķa izpilde, %).”</w:t>
      </w:r>
    </w:p>
    <w:p w:rsidR="003D1605" w:rsidRPr="008E4EA2" w:rsidRDefault="00D654FE" w:rsidP="003A0029">
      <w:pPr>
        <w:spacing w:before="120" w:after="120" w:line="276" w:lineRule="auto"/>
        <w:rPr>
          <w:color w:val="000000" w:themeColor="text1"/>
          <w:szCs w:val="24"/>
          <w:lang w:eastAsia="lv-LV"/>
        </w:rPr>
      </w:pPr>
      <w:r w:rsidRPr="008E4EA2">
        <w:rPr>
          <w:noProof/>
          <w:color w:val="000000" w:themeColor="text1"/>
          <w:szCs w:val="24"/>
          <w:lang w:eastAsia="lv-LV"/>
        </w:rPr>
        <w:drawing>
          <wp:inline distT="0" distB="0" distL="0" distR="0" wp14:anchorId="5E7211AA" wp14:editId="591C83BE">
            <wp:extent cx="5486400" cy="6017260"/>
            <wp:effectExtent l="0" t="0" r="0"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91087" w:rsidRPr="008E4EA2" w:rsidRDefault="008A65A1" w:rsidP="003A0029">
      <w:pPr>
        <w:spacing w:before="120" w:after="120" w:line="276" w:lineRule="auto"/>
        <w:rPr>
          <w:color w:val="000000" w:themeColor="text1"/>
          <w:szCs w:val="24"/>
        </w:rPr>
      </w:pPr>
      <w:r w:rsidRPr="008E4EA2">
        <w:rPr>
          <w:color w:val="000000" w:themeColor="text1"/>
          <w:szCs w:val="24"/>
        </w:rPr>
        <w:t>N</w:t>
      </w:r>
      <w:r w:rsidR="004C25D1" w:rsidRPr="008E4EA2">
        <w:rPr>
          <w:color w:val="000000" w:themeColor="text1"/>
          <w:szCs w:val="24"/>
        </w:rPr>
        <w:t>ozīmīgākā</w:t>
      </w:r>
      <w:r w:rsidR="00DA0B02" w:rsidRPr="008E4EA2">
        <w:rPr>
          <w:color w:val="000000" w:themeColor="text1"/>
          <w:szCs w:val="24"/>
        </w:rPr>
        <w:t xml:space="preserve"> finanšu apguves mērķu neizpilde</w:t>
      </w:r>
      <w:r w:rsidRPr="008E4EA2">
        <w:rPr>
          <w:color w:val="000000" w:themeColor="text1"/>
          <w:szCs w:val="24"/>
        </w:rPr>
        <w:t xml:space="preserve"> </w:t>
      </w:r>
      <w:r w:rsidR="00DA0B02" w:rsidRPr="008E4EA2">
        <w:rPr>
          <w:color w:val="000000" w:themeColor="text1"/>
          <w:szCs w:val="24"/>
        </w:rPr>
        <w:t xml:space="preserve">konstatēta </w:t>
      </w:r>
      <w:r w:rsidR="002075D4" w:rsidRPr="008E4EA2">
        <w:rPr>
          <w:color w:val="000000" w:themeColor="text1"/>
          <w:szCs w:val="24"/>
        </w:rPr>
        <w:t>SM</w:t>
      </w:r>
      <w:r w:rsidR="00826B61" w:rsidRPr="008E4EA2">
        <w:rPr>
          <w:color w:val="000000" w:themeColor="text1"/>
          <w:szCs w:val="24"/>
        </w:rPr>
        <w:t xml:space="preserve"> </w:t>
      </w:r>
      <w:r w:rsidR="00DA0B02" w:rsidRPr="008E4EA2">
        <w:rPr>
          <w:color w:val="000000" w:themeColor="text1"/>
          <w:szCs w:val="24"/>
        </w:rPr>
        <w:t>(sasniegti tikai 39,5% no 2012.gada mērķa</w:t>
      </w:r>
      <w:r w:rsidRPr="008E4EA2">
        <w:rPr>
          <w:color w:val="000000" w:themeColor="text1"/>
          <w:szCs w:val="24"/>
        </w:rPr>
        <w:t xml:space="preserve">, kā arī tikai 64% no plānotā uz </w:t>
      </w:r>
      <w:r w:rsidR="005244FB" w:rsidRPr="008E4EA2">
        <w:rPr>
          <w:color w:val="000000" w:themeColor="text1"/>
          <w:szCs w:val="24"/>
        </w:rPr>
        <w:t>2012.gada 30.septembri</w:t>
      </w:r>
      <w:r w:rsidR="00DA0B02" w:rsidRPr="008E4EA2">
        <w:rPr>
          <w:color w:val="000000" w:themeColor="text1"/>
          <w:szCs w:val="24"/>
        </w:rPr>
        <w:t>).</w:t>
      </w:r>
      <w:r w:rsidR="007856AA" w:rsidRPr="008E4EA2">
        <w:rPr>
          <w:color w:val="000000" w:themeColor="text1"/>
          <w:szCs w:val="24"/>
        </w:rPr>
        <w:t xml:space="preserve"> </w:t>
      </w:r>
      <w:r w:rsidRPr="008E4EA2">
        <w:rPr>
          <w:color w:val="000000" w:themeColor="text1"/>
          <w:szCs w:val="24"/>
        </w:rPr>
        <w:t>SM skaidro, ka ī</w:t>
      </w:r>
      <w:r w:rsidR="007856AA" w:rsidRPr="008E4EA2">
        <w:rPr>
          <w:color w:val="000000" w:themeColor="text1"/>
          <w:szCs w:val="24"/>
        </w:rPr>
        <w:t>stenotajos projektos veikti līgumu grozījumi ar finansiālu ietekmi - samazinājies kopējais plānotais finansējums</w:t>
      </w:r>
      <w:r w:rsidR="003271BE" w:rsidRPr="008E4EA2">
        <w:rPr>
          <w:color w:val="000000" w:themeColor="text1"/>
          <w:szCs w:val="24"/>
        </w:rPr>
        <w:t xml:space="preserve"> </w:t>
      </w:r>
      <w:r w:rsidR="007856AA" w:rsidRPr="008E4EA2">
        <w:rPr>
          <w:color w:val="000000" w:themeColor="text1"/>
          <w:szCs w:val="24"/>
        </w:rPr>
        <w:t>pēc iepirkumu procedūru rezultātiem un</w:t>
      </w:r>
      <w:r w:rsidR="0078381C" w:rsidRPr="008E4EA2">
        <w:rPr>
          <w:color w:val="000000" w:themeColor="text1"/>
          <w:szCs w:val="24"/>
        </w:rPr>
        <w:t>1</w:t>
      </w:r>
      <w:r w:rsidR="007856AA" w:rsidRPr="008E4EA2">
        <w:rPr>
          <w:color w:val="000000" w:themeColor="text1"/>
          <w:szCs w:val="24"/>
        </w:rPr>
        <w:t xml:space="preserve"> projektu īstenošanas saskaņā ar faktiskajām izmaksām, kā arī tiek samazinātas attiecināmās izmaksas par neatbilstoši veiktajiem izdevumiem. Projektu īstenošanu pārskata periodā ir ietekmējis faktisko autoceļu būvdarbu izmaksu straujš pieaugums</w:t>
      </w:r>
      <w:r w:rsidR="00B44D0E" w:rsidRPr="008E4EA2">
        <w:rPr>
          <w:color w:val="000000" w:themeColor="text1"/>
          <w:szCs w:val="24"/>
        </w:rPr>
        <w:t xml:space="preserve"> būvniecības tirgū</w:t>
      </w:r>
      <w:r w:rsidR="007856AA" w:rsidRPr="008E4EA2">
        <w:rPr>
          <w:color w:val="000000" w:themeColor="text1"/>
          <w:szCs w:val="24"/>
        </w:rPr>
        <w:t>, līdz ar</w:t>
      </w:r>
      <w:r w:rsidR="003271BE" w:rsidRPr="008E4EA2">
        <w:rPr>
          <w:color w:val="000000" w:themeColor="text1"/>
          <w:szCs w:val="24"/>
        </w:rPr>
        <w:t xml:space="preserve"> </w:t>
      </w:r>
      <w:r w:rsidR="007856AA" w:rsidRPr="008E4EA2">
        <w:rPr>
          <w:color w:val="000000" w:themeColor="text1"/>
          <w:szCs w:val="24"/>
        </w:rPr>
        <w:t xml:space="preserve">to vairākas izsludinātās iepirkumu procedūras bija jāpārtrauc, jo iesniegtie piedāvājumi pārsniedza plānotos budžeta līdzekļus. Sekmīgu projektu, </w:t>
      </w:r>
      <w:proofErr w:type="spellStart"/>
      <w:r w:rsidR="007856AA" w:rsidRPr="008E4EA2">
        <w:rPr>
          <w:color w:val="000000" w:themeColor="text1"/>
          <w:szCs w:val="24"/>
        </w:rPr>
        <w:t>t.sk</w:t>
      </w:r>
      <w:proofErr w:type="spellEnd"/>
      <w:r w:rsidR="007856AA" w:rsidRPr="008E4EA2">
        <w:rPr>
          <w:color w:val="000000" w:themeColor="text1"/>
          <w:szCs w:val="24"/>
        </w:rPr>
        <w:t>. arī lielo projektu</w:t>
      </w:r>
      <w:r w:rsidR="003271BE" w:rsidRPr="008E4EA2">
        <w:rPr>
          <w:color w:val="000000" w:themeColor="text1"/>
          <w:szCs w:val="24"/>
        </w:rPr>
        <w:t xml:space="preserve"> </w:t>
      </w:r>
      <w:r w:rsidR="007856AA" w:rsidRPr="008E4EA2">
        <w:rPr>
          <w:color w:val="000000" w:themeColor="text1"/>
          <w:szCs w:val="24"/>
        </w:rPr>
        <w:t>īstenošanu satiksmes sektorā, kavēja juridiska rakstura prob</w:t>
      </w:r>
      <w:r w:rsidR="00C52967" w:rsidRPr="008E4EA2">
        <w:rPr>
          <w:color w:val="000000" w:themeColor="text1"/>
          <w:szCs w:val="24"/>
        </w:rPr>
        <w:t>lēmas ar zemju iegūšanu īpašumā</w:t>
      </w:r>
      <w:r w:rsidR="00D10881">
        <w:rPr>
          <w:color w:val="000000" w:themeColor="text1"/>
          <w:szCs w:val="24"/>
        </w:rPr>
        <w:t>, kā arī tiesvedība par būvatļaujas apturēšanu</w:t>
      </w:r>
      <w:r w:rsidR="00C52967" w:rsidRPr="008E4EA2">
        <w:rPr>
          <w:color w:val="000000" w:themeColor="text1"/>
          <w:szCs w:val="24"/>
        </w:rPr>
        <w:t>.</w:t>
      </w:r>
      <w:r w:rsidR="007C2854" w:rsidRPr="008E4EA2">
        <w:rPr>
          <w:color w:val="000000" w:themeColor="text1"/>
          <w:szCs w:val="24"/>
        </w:rPr>
        <w:t xml:space="preserve"> </w:t>
      </w:r>
    </w:p>
    <w:p w:rsidR="00691087" w:rsidRPr="008E4EA2" w:rsidRDefault="006A31B8" w:rsidP="003A0029">
      <w:pPr>
        <w:spacing w:before="120" w:after="120" w:line="276" w:lineRule="auto"/>
        <w:rPr>
          <w:rFonts w:eastAsia="EUAlbertina-Bold-Identity-H"/>
          <w:color w:val="000000" w:themeColor="text1"/>
          <w:szCs w:val="24"/>
          <w:lang w:eastAsia="lv-LV"/>
        </w:rPr>
      </w:pPr>
      <w:r w:rsidRPr="008E4EA2">
        <w:rPr>
          <w:rFonts w:eastAsia="EUAlbertina-Bold-Identity-H"/>
          <w:iCs/>
          <w:color w:val="000000" w:themeColor="text1"/>
          <w:szCs w:val="24"/>
          <w:lang w:eastAsia="lv-LV"/>
        </w:rPr>
        <w:lastRenderedPageBreak/>
        <w:t>Grafiks Nr.</w:t>
      </w:r>
      <w:r w:rsidR="007B6F3C" w:rsidRPr="008E4EA2">
        <w:rPr>
          <w:rFonts w:eastAsia="EUAlbertina-Bold-Identity-H"/>
          <w:iCs/>
          <w:color w:val="000000" w:themeColor="text1"/>
          <w:szCs w:val="24"/>
          <w:lang w:eastAsia="lv-LV"/>
        </w:rPr>
        <w:t>5</w:t>
      </w:r>
      <w:r w:rsidR="00691087" w:rsidRPr="008E4EA2">
        <w:rPr>
          <w:rFonts w:eastAsia="EUAlbertina-Bold-Identity-H"/>
          <w:iCs/>
          <w:color w:val="000000" w:themeColor="text1"/>
          <w:szCs w:val="24"/>
          <w:lang w:eastAsia="lv-LV"/>
        </w:rPr>
        <w:t xml:space="preserve"> „</w:t>
      </w:r>
      <w:r w:rsidR="00691087" w:rsidRPr="008E4EA2">
        <w:rPr>
          <w:rFonts w:eastAsia="EUAlbertina-Bold-Identity-H"/>
          <w:i/>
          <w:iCs/>
          <w:color w:val="000000" w:themeColor="text1"/>
          <w:szCs w:val="24"/>
          <w:lang w:eastAsia="lv-LV"/>
        </w:rPr>
        <w:t>AI prognoze maksājumi</w:t>
      </w:r>
      <w:r w:rsidR="005139C0" w:rsidRPr="008E4EA2">
        <w:rPr>
          <w:rFonts w:eastAsia="EUAlbertina-Bold-Identity-H"/>
          <w:i/>
          <w:iCs/>
          <w:color w:val="000000" w:themeColor="text1"/>
          <w:szCs w:val="24"/>
          <w:lang w:eastAsia="lv-LV"/>
        </w:rPr>
        <w:t xml:space="preserve">em finansējuma saņēmējiem līdz </w:t>
      </w:r>
      <w:r w:rsidR="00691087" w:rsidRPr="008E4EA2">
        <w:rPr>
          <w:rFonts w:eastAsia="EUAlbertina-Bold-Identity-H"/>
          <w:i/>
          <w:iCs/>
          <w:color w:val="000000" w:themeColor="text1"/>
          <w:szCs w:val="24"/>
          <w:lang w:eastAsia="lv-LV"/>
        </w:rPr>
        <w:t>2012.gada 31.decembrim</w:t>
      </w:r>
      <w:r w:rsidR="00823B24" w:rsidRPr="008E4EA2">
        <w:rPr>
          <w:rFonts w:eastAsia="EUAlbertina-Bold-Identity-H"/>
          <w:i/>
          <w:iCs/>
          <w:color w:val="000000" w:themeColor="text1"/>
          <w:szCs w:val="24"/>
          <w:lang w:eastAsia="lv-LV"/>
        </w:rPr>
        <w:t xml:space="preserve"> un to izpilde pārskata periodā</w:t>
      </w:r>
      <w:r w:rsidR="00691087" w:rsidRPr="008E4EA2">
        <w:rPr>
          <w:rFonts w:eastAsia="EUAlbertina-Bold-Identity-H"/>
          <w:i/>
          <w:iCs/>
          <w:color w:val="000000" w:themeColor="text1"/>
          <w:szCs w:val="24"/>
          <w:lang w:eastAsia="lv-LV"/>
        </w:rPr>
        <w:t xml:space="preserve">; </w:t>
      </w:r>
      <w:proofErr w:type="spellStart"/>
      <w:r w:rsidR="00691087" w:rsidRPr="008E4EA2">
        <w:rPr>
          <w:rFonts w:eastAsia="EUAlbertina-Bold-Identity-H"/>
          <w:i/>
          <w:iCs/>
          <w:color w:val="000000" w:themeColor="text1"/>
          <w:szCs w:val="24"/>
          <w:lang w:eastAsia="lv-LV"/>
        </w:rPr>
        <w:t>milj</w:t>
      </w:r>
      <w:proofErr w:type="spellEnd"/>
      <w:r w:rsidR="00691087" w:rsidRPr="008E4EA2">
        <w:rPr>
          <w:rFonts w:eastAsia="EUAlbertina-Bold-Identity-H"/>
          <w:i/>
          <w:iCs/>
          <w:color w:val="000000" w:themeColor="text1"/>
          <w:szCs w:val="24"/>
          <w:lang w:eastAsia="lv-LV"/>
        </w:rPr>
        <w:t>. latu</w:t>
      </w:r>
      <w:r w:rsidR="00682708" w:rsidRPr="008E4EA2">
        <w:rPr>
          <w:rFonts w:eastAsia="EUAlbertina-Bold-Identity-H"/>
          <w:i/>
          <w:iCs/>
          <w:color w:val="000000" w:themeColor="text1"/>
          <w:szCs w:val="24"/>
          <w:lang w:eastAsia="lv-LV"/>
        </w:rPr>
        <w:t>.</w:t>
      </w:r>
      <w:r w:rsidR="00691087" w:rsidRPr="008E4EA2">
        <w:rPr>
          <w:rFonts w:eastAsia="EUAlbertina-Bold-Identity-H"/>
          <w:iCs/>
          <w:color w:val="000000" w:themeColor="text1"/>
          <w:szCs w:val="24"/>
          <w:lang w:eastAsia="lv-LV"/>
        </w:rPr>
        <w:t>”</w:t>
      </w:r>
    </w:p>
    <w:p w:rsidR="00CD213E" w:rsidRPr="008E4EA2" w:rsidRDefault="00CD213E" w:rsidP="003A0029">
      <w:pPr>
        <w:shd w:val="clear" w:color="auto" w:fill="FFFFFF"/>
        <w:spacing w:before="120" w:after="120" w:line="276" w:lineRule="auto"/>
        <w:rPr>
          <w:color w:val="000000" w:themeColor="text1"/>
          <w:szCs w:val="24"/>
        </w:rPr>
      </w:pPr>
      <w:bookmarkStart w:id="26" w:name="_Toc276049975"/>
      <w:r w:rsidRPr="008E4EA2">
        <w:rPr>
          <w:noProof/>
          <w:color w:val="000000" w:themeColor="text1"/>
          <w:szCs w:val="24"/>
          <w:lang w:eastAsia="lv-LV"/>
        </w:rPr>
        <w:drawing>
          <wp:inline distT="0" distB="0" distL="0" distR="0" wp14:anchorId="35F6F9D3" wp14:editId="5EDAD969">
            <wp:extent cx="5486400" cy="30003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B2A5C" w:rsidRPr="008E4EA2" w:rsidRDefault="004D6284" w:rsidP="003A0029">
      <w:pPr>
        <w:shd w:val="clear" w:color="auto" w:fill="FFFFFF"/>
        <w:spacing w:before="120" w:after="120" w:line="276" w:lineRule="auto"/>
        <w:rPr>
          <w:color w:val="000000" w:themeColor="text1"/>
          <w:szCs w:val="24"/>
        </w:rPr>
      </w:pPr>
      <w:proofErr w:type="spellStart"/>
      <w:r w:rsidRPr="008E4EA2">
        <w:rPr>
          <w:color w:val="000000" w:themeColor="text1"/>
          <w:szCs w:val="24"/>
        </w:rPr>
        <w:t>Š.g</w:t>
      </w:r>
      <w:proofErr w:type="spellEnd"/>
      <w:r w:rsidRPr="008E4EA2">
        <w:rPr>
          <w:color w:val="000000" w:themeColor="text1"/>
          <w:szCs w:val="24"/>
        </w:rPr>
        <w:t xml:space="preserve">. </w:t>
      </w:r>
      <w:r w:rsidR="00D15F2F" w:rsidRPr="008E4EA2">
        <w:rPr>
          <w:color w:val="000000" w:themeColor="text1"/>
          <w:szCs w:val="24"/>
        </w:rPr>
        <w:t xml:space="preserve">23.oktobrī </w:t>
      </w:r>
      <w:r w:rsidRPr="008E4EA2">
        <w:rPr>
          <w:color w:val="000000" w:themeColor="text1"/>
          <w:szCs w:val="24"/>
        </w:rPr>
        <w:t>FM ziņoja Saeimas Publisko izdevumu un revīzijas komisijai par</w:t>
      </w:r>
      <w:r w:rsidR="00D15F2F" w:rsidRPr="008E4EA2">
        <w:rPr>
          <w:color w:val="000000" w:themeColor="text1"/>
          <w:szCs w:val="24"/>
        </w:rPr>
        <w:t xml:space="preserve"> avansu dzēšanas uzraudzību. Atbilstoši </w:t>
      </w:r>
      <w:r w:rsidR="00612E2D" w:rsidRPr="008E4EA2">
        <w:rPr>
          <w:color w:val="000000" w:themeColor="text1"/>
          <w:szCs w:val="24"/>
        </w:rPr>
        <w:t>MK noteikumiem</w:t>
      </w:r>
      <w:r w:rsidR="00612E2D" w:rsidRPr="008E4EA2">
        <w:rPr>
          <w:color w:val="000000" w:themeColor="text1"/>
          <w:szCs w:val="24"/>
          <w:vertAlign w:val="superscript"/>
        </w:rPr>
        <w:footnoteReference w:id="4"/>
      </w:r>
      <w:r w:rsidR="00612E2D" w:rsidRPr="008E4EA2">
        <w:rPr>
          <w:color w:val="000000" w:themeColor="text1"/>
          <w:szCs w:val="24"/>
        </w:rPr>
        <w:t>, kas nosaka „ja finansējuma saņēmējam ir piešķirts avansa mak</w:t>
      </w:r>
      <w:r w:rsidR="00622EA6" w:rsidRPr="008E4EA2">
        <w:rPr>
          <w:color w:val="000000" w:themeColor="text1"/>
          <w:szCs w:val="24"/>
        </w:rPr>
        <w:t xml:space="preserve">sājums Eiropas Savienības fonda </w:t>
      </w:r>
      <w:r w:rsidR="00612E2D" w:rsidRPr="008E4EA2">
        <w:rPr>
          <w:color w:val="000000" w:themeColor="text1"/>
          <w:szCs w:val="24"/>
        </w:rPr>
        <w:t xml:space="preserve">projekta īstenošanai, finansējuma saņēmējs iesniedz </w:t>
      </w:r>
      <w:r w:rsidR="0065755F">
        <w:rPr>
          <w:color w:val="000000" w:themeColor="text1"/>
          <w:szCs w:val="24"/>
        </w:rPr>
        <w:t>AI</w:t>
      </w:r>
      <w:r w:rsidR="00612E2D" w:rsidRPr="008E4EA2">
        <w:rPr>
          <w:color w:val="000000" w:themeColor="text1"/>
          <w:szCs w:val="24"/>
        </w:rPr>
        <w:t xml:space="preserve"> vai </w:t>
      </w:r>
      <w:r w:rsidR="0065755F">
        <w:rPr>
          <w:color w:val="000000" w:themeColor="text1"/>
          <w:szCs w:val="24"/>
        </w:rPr>
        <w:t>SI</w:t>
      </w:r>
      <w:r w:rsidR="00612E2D" w:rsidRPr="008E4EA2">
        <w:rPr>
          <w:color w:val="000000" w:themeColor="text1"/>
          <w:szCs w:val="24"/>
        </w:rPr>
        <w:t xml:space="preserve"> maksājuma pieprasījumu pi</w:t>
      </w:r>
      <w:r w:rsidR="00622EA6" w:rsidRPr="008E4EA2">
        <w:rPr>
          <w:color w:val="000000" w:themeColor="text1"/>
          <w:szCs w:val="24"/>
        </w:rPr>
        <w:t xml:space="preserve">ešķirtā avansa maksājuma apmērā </w:t>
      </w:r>
      <w:r w:rsidR="00612E2D" w:rsidRPr="008E4EA2">
        <w:rPr>
          <w:color w:val="000000" w:themeColor="text1"/>
          <w:szCs w:val="24"/>
        </w:rPr>
        <w:t>sešu mēnešu laikā pē</w:t>
      </w:r>
      <w:r w:rsidR="00D15F2F" w:rsidRPr="008E4EA2">
        <w:rPr>
          <w:color w:val="000000" w:themeColor="text1"/>
          <w:szCs w:val="24"/>
        </w:rPr>
        <w:t xml:space="preserve">c avansa maksājuma saņemšanas”. </w:t>
      </w:r>
    </w:p>
    <w:p w:rsidR="00612E2D" w:rsidRPr="008E4EA2" w:rsidRDefault="00D15F2F" w:rsidP="003A0029">
      <w:pPr>
        <w:shd w:val="clear" w:color="auto" w:fill="FFFFFF"/>
        <w:spacing w:before="120" w:after="120" w:line="276" w:lineRule="auto"/>
        <w:rPr>
          <w:color w:val="000000" w:themeColor="text1"/>
          <w:szCs w:val="24"/>
        </w:rPr>
      </w:pPr>
      <w:r w:rsidRPr="008E4EA2">
        <w:rPr>
          <w:color w:val="000000" w:themeColor="text1"/>
          <w:szCs w:val="24"/>
        </w:rPr>
        <w:t xml:space="preserve">FM informēja, ka </w:t>
      </w:r>
      <w:r w:rsidR="00DB2A5C" w:rsidRPr="008E4EA2">
        <w:rPr>
          <w:color w:val="000000" w:themeColor="text1"/>
          <w:szCs w:val="24"/>
        </w:rPr>
        <w:t>v</w:t>
      </w:r>
      <w:r w:rsidR="00855309" w:rsidRPr="008E4EA2">
        <w:rPr>
          <w:color w:val="000000" w:themeColor="text1"/>
          <w:szCs w:val="24"/>
        </w:rPr>
        <w:t xml:space="preserve">ienlaikus šo </w:t>
      </w:r>
      <w:r w:rsidR="00DB2A5C" w:rsidRPr="008E4EA2">
        <w:rPr>
          <w:color w:val="000000" w:themeColor="text1"/>
          <w:szCs w:val="24"/>
        </w:rPr>
        <w:t>šie paši MK noteikumi</w:t>
      </w:r>
      <w:r w:rsidR="00855309" w:rsidRPr="008E4EA2">
        <w:rPr>
          <w:color w:val="000000" w:themeColor="text1"/>
          <w:szCs w:val="24"/>
        </w:rPr>
        <w:t xml:space="preserve"> paredz gadījumus, ja </w:t>
      </w:r>
      <w:r w:rsidR="00A44E72" w:rsidRPr="008E4EA2">
        <w:rPr>
          <w:color w:val="000000" w:themeColor="text1"/>
          <w:szCs w:val="24"/>
        </w:rPr>
        <w:t>finansējuma saņēmējs</w:t>
      </w:r>
      <w:r w:rsidR="00855309" w:rsidRPr="008E4EA2">
        <w:rPr>
          <w:color w:val="000000" w:themeColor="text1"/>
          <w:szCs w:val="24"/>
        </w:rPr>
        <w:t xml:space="preserve"> nevar izlietot avansa maksājumu termiņā, </w:t>
      </w:r>
      <w:r w:rsidR="00DB2A5C" w:rsidRPr="008E4EA2">
        <w:rPr>
          <w:color w:val="000000" w:themeColor="text1"/>
          <w:szCs w:val="24"/>
        </w:rPr>
        <w:t xml:space="preserve">līdz ar to </w:t>
      </w:r>
      <w:r w:rsidRPr="008E4EA2">
        <w:rPr>
          <w:color w:val="000000" w:themeColor="text1"/>
          <w:szCs w:val="24"/>
        </w:rPr>
        <w:t xml:space="preserve">var būt gadījumi, kad avansa atgriešana nav uzskatāma par lietderīgu. Šie lēmumi ir AI un SI kompetencē, taču katrs </w:t>
      </w:r>
      <w:r w:rsidR="00DB2A5C" w:rsidRPr="008E4EA2">
        <w:rPr>
          <w:color w:val="000000" w:themeColor="text1"/>
          <w:szCs w:val="24"/>
        </w:rPr>
        <w:t xml:space="preserve">gadījums tiek vērtēts atsevišķi, </w:t>
      </w:r>
      <w:r w:rsidR="00DB2A5C" w:rsidRPr="008E4EA2">
        <w:rPr>
          <w:bCs/>
          <w:color w:val="000000" w:themeColor="text1"/>
          <w:szCs w:val="24"/>
        </w:rPr>
        <w:t>tiek sniegts paskaidrojums vai avansa izlietojuma kavējums ir objektīvi pamatots.</w:t>
      </w:r>
      <w:r w:rsidR="00DB2A5C" w:rsidRPr="008E4EA2">
        <w:rPr>
          <w:color w:val="000000" w:themeColor="text1"/>
          <w:szCs w:val="24"/>
        </w:rPr>
        <w:t xml:space="preserve"> </w:t>
      </w:r>
      <w:r w:rsidR="00DB2A5C" w:rsidRPr="008E4EA2">
        <w:rPr>
          <w:bCs/>
          <w:color w:val="000000" w:themeColor="text1"/>
          <w:szCs w:val="24"/>
        </w:rPr>
        <w:t>FM ir uzdevusi ir lūgusi iestādes vest savu iekšējo uzskaiti un dokumentēt procedūru, kādā tiek pieņemts lēmums par avansa dzēšanas termiņa pagarinājumu vai tā atgūšanu.</w:t>
      </w:r>
      <w:r w:rsidR="00DB2A5C" w:rsidRPr="008E4EA2">
        <w:rPr>
          <w:color w:val="000000" w:themeColor="text1"/>
          <w:szCs w:val="24"/>
        </w:rPr>
        <w:t xml:space="preserve"> FM </w:t>
      </w:r>
      <w:r w:rsidR="00DB2A5C" w:rsidRPr="008E4EA2">
        <w:rPr>
          <w:bCs/>
          <w:color w:val="000000" w:themeColor="text1"/>
          <w:szCs w:val="24"/>
        </w:rPr>
        <w:t>turpinās izlases veidā pārbaudīt, vai AI/SI rīkojas atbilstoši savām noteiktajām procedūrām attiecībā uz avansu izlietošanas uzraudzību un to atgūšanu.</w:t>
      </w:r>
    </w:p>
    <w:p w:rsidR="00E50C23" w:rsidRPr="008E4EA2" w:rsidRDefault="00E50C23" w:rsidP="003A0029">
      <w:pPr>
        <w:pStyle w:val="2lmenis"/>
        <w:numPr>
          <w:ilvl w:val="2"/>
          <w:numId w:val="2"/>
        </w:numPr>
        <w:spacing w:before="120" w:after="120" w:line="276" w:lineRule="auto"/>
        <w:jc w:val="both"/>
        <w:rPr>
          <w:color w:val="000000" w:themeColor="text1"/>
          <w:sz w:val="24"/>
          <w:szCs w:val="24"/>
          <w:lang w:val="lv-LV"/>
        </w:rPr>
      </w:pPr>
      <w:bookmarkStart w:id="27" w:name="_Toc340241692"/>
      <w:r w:rsidRPr="008E4EA2">
        <w:rPr>
          <w:color w:val="000000" w:themeColor="text1"/>
          <w:sz w:val="24"/>
          <w:szCs w:val="24"/>
          <w:lang w:val="lv-LV"/>
        </w:rPr>
        <w:t>ES fondu valsts budžeta apguve</w:t>
      </w:r>
      <w:bookmarkEnd w:id="27"/>
    </w:p>
    <w:p w:rsidR="00C25780" w:rsidRPr="008E4EA2" w:rsidRDefault="00C25780" w:rsidP="003A0029">
      <w:pPr>
        <w:spacing w:before="120" w:after="120" w:line="276" w:lineRule="auto"/>
        <w:rPr>
          <w:rStyle w:val="Hyperlink"/>
          <w:rFonts w:ascii="Times New Roman" w:hAnsi="Times New Roman" w:cs="Times New Roman"/>
          <w:color w:val="000000" w:themeColor="text1"/>
          <w:sz w:val="24"/>
          <w:szCs w:val="24"/>
        </w:rPr>
      </w:pPr>
      <w:r w:rsidRPr="008E4EA2">
        <w:rPr>
          <w:rFonts w:eastAsia="Calibri"/>
          <w:color w:val="000000" w:themeColor="text1"/>
          <w:szCs w:val="24"/>
          <w:lang w:eastAsia="lv-LV" w:bidi="en-US"/>
        </w:rPr>
        <w:t xml:space="preserve">Līdz </w:t>
      </w:r>
      <w:proofErr w:type="spellStart"/>
      <w:r w:rsidR="00A23D5B" w:rsidRPr="008E4EA2">
        <w:rPr>
          <w:rFonts w:eastAsia="Calibri"/>
          <w:color w:val="000000" w:themeColor="text1"/>
          <w:szCs w:val="24"/>
          <w:lang w:eastAsia="lv-LV" w:bidi="en-US"/>
        </w:rPr>
        <w:t>š.g</w:t>
      </w:r>
      <w:proofErr w:type="spellEnd"/>
      <w:r w:rsidR="00A23D5B" w:rsidRPr="008E4EA2">
        <w:rPr>
          <w:rFonts w:eastAsia="Calibri"/>
          <w:color w:val="000000" w:themeColor="text1"/>
          <w:szCs w:val="24"/>
          <w:lang w:eastAsia="lv-LV" w:bidi="en-US"/>
        </w:rPr>
        <w:t>.</w:t>
      </w:r>
      <w:r w:rsidRPr="008E4EA2">
        <w:rPr>
          <w:rFonts w:eastAsia="Calibri"/>
          <w:color w:val="000000" w:themeColor="text1"/>
          <w:szCs w:val="24"/>
          <w:lang w:eastAsia="lv-LV" w:bidi="en-US"/>
        </w:rPr>
        <w:t xml:space="preserve"> septembra beigām valsts budžeta plānu </w:t>
      </w:r>
      <w:r w:rsidR="00631D94" w:rsidRPr="008E4EA2">
        <w:rPr>
          <w:rFonts w:eastAsia="Calibri"/>
          <w:color w:val="000000" w:themeColor="text1"/>
          <w:szCs w:val="24"/>
          <w:lang w:eastAsia="lv-LV" w:bidi="en-US"/>
        </w:rPr>
        <w:t xml:space="preserve">1.mērķa </w:t>
      </w:r>
      <w:r w:rsidRPr="008E4EA2">
        <w:rPr>
          <w:rFonts w:eastAsia="Calibri"/>
          <w:color w:val="000000" w:themeColor="text1"/>
          <w:szCs w:val="24"/>
          <w:lang w:eastAsia="lv-LV" w:bidi="en-US"/>
        </w:rPr>
        <w:t>ES fondu projektiem atbildīgās nozaru ministrijas ir izpildījušas par 98,5% jeb apgūt</w:t>
      </w:r>
      <w:r w:rsidR="00B44D0E" w:rsidRPr="008E4EA2">
        <w:rPr>
          <w:rFonts w:eastAsia="Calibri"/>
          <w:color w:val="000000" w:themeColor="text1"/>
          <w:szCs w:val="24"/>
          <w:lang w:eastAsia="lv-LV" w:bidi="en-US"/>
        </w:rPr>
        <w:t>i</w:t>
      </w:r>
      <w:r w:rsidRPr="008E4EA2">
        <w:rPr>
          <w:rFonts w:eastAsia="Calibri"/>
          <w:color w:val="000000" w:themeColor="text1"/>
          <w:szCs w:val="24"/>
          <w:lang w:eastAsia="lv-LV" w:bidi="en-US"/>
        </w:rPr>
        <w:t xml:space="preserve"> 287</w:t>
      </w:r>
      <w:r w:rsidR="00DA026E" w:rsidRPr="008E4EA2">
        <w:rPr>
          <w:rFonts w:eastAsia="Calibri"/>
          <w:color w:val="000000" w:themeColor="text1"/>
          <w:szCs w:val="24"/>
          <w:lang w:eastAsia="lv-LV" w:bidi="en-US"/>
        </w:rPr>
        <w:t>,</w:t>
      </w:r>
      <w:r w:rsidRPr="008E4EA2">
        <w:rPr>
          <w:rFonts w:eastAsia="Calibri"/>
          <w:color w:val="000000" w:themeColor="text1"/>
          <w:szCs w:val="24"/>
          <w:lang w:eastAsia="lv-LV" w:bidi="en-US"/>
        </w:rPr>
        <w:t xml:space="preserve">0 </w:t>
      </w:r>
      <w:proofErr w:type="spellStart"/>
      <w:r w:rsidRPr="008E4EA2">
        <w:rPr>
          <w:rFonts w:eastAsia="Calibri"/>
          <w:color w:val="000000" w:themeColor="text1"/>
          <w:szCs w:val="24"/>
          <w:lang w:eastAsia="lv-LV" w:bidi="en-US"/>
        </w:rPr>
        <w:t>milj</w:t>
      </w:r>
      <w:proofErr w:type="spellEnd"/>
      <w:r w:rsidRPr="008E4EA2">
        <w:rPr>
          <w:rFonts w:eastAsia="Calibri"/>
          <w:color w:val="000000" w:themeColor="text1"/>
          <w:szCs w:val="24"/>
          <w:lang w:eastAsia="lv-LV" w:bidi="en-US"/>
        </w:rPr>
        <w:t>. latu no plānotajiem 291</w:t>
      </w:r>
      <w:r w:rsidR="00DA026E" w:rsidRPr="008E4EA2">
        <w:rPr>
          <w:rFonts w:eastAsia="Calibri"/>
          <w:color w:val="000000" w:themeColor="text1"/>
          <w:szCs w:val="24"/>
          <w:lang w:eastAsia="lv-LV" w:bidi="en-US"/>
        </w:rPr>
        <w:t>,</w:t>
      </w:r>
      <w:r w:rsidRPr="008E4EA2">
        <w:rPr>
          <w:rFonts w:eastAsia="Calibri"/>
          <w:color w:val="000000" w:themeColor="text1"/>
          <w:szCs w:val="24"/>
          <w:lang w:eastAsia="lv-LV" w:bidi="en-US"/>
        </w:rPr>
        <w:t xml:space="preserve">4 </w:t>
      </w:r>
      <w:proofErr w:type="spellStart"/>
      <w:r w:rsidRPr="008E4EA2">
        <w:rPr>
          <w:rFonts w:eastAsia="Calibri"/>
          <w:color w:val="000000" w:themeColor="text1"/>
          <w:szCs w:val="24"/>
          <w:lang w:eastAsia="lv-LV" w:bidi="en-US"/>
        </w:rPr>
        <w:t>milj</w:t>
      </w:r>
      <w:proofErr w:type="spellEnd"/>
      <w:r w:rsidRPr="008E4EA2">
        <w:rPr>
          <w:rFonts w:eastAsia="Calibri"/>
          <w:color w:val="000000" w:themeColor="text1"/>
          <w:szCs w:val="24"/>
          <w:lang w:eastAsia="lv-LV" w:bidi="en-US"/>
        </w:rPr>
        <w:t xml:space="preserve">. latu. Neizpilde pret plānu uz </w:t>
      </w:r>
      <w:proofErr w:type="spellStart"/>
      <w:r w:rsidR="004E4956" w:rsidRPr="008E4EA2">
        <w:rPr>
          <w:rFonts w:eastAsia="Calibri"/>
          <w:color w:val="000000" w:themeColor="text1"/>
          <w:szCs w:val="24"/>
          <w:lang w:eastAsia="lv-LV" w:bidi="en-US"/>
        </w:rPr>
        <w:t>š.g</w:t>
      </w:r>
      <w:proofErr w:type="spellEnd"/>
      <w:r w:rsidR="004E4956" w:rsidRPr="008E4EA2">
        <w:rPr>
          <w:rFonts w:eastAsia="Calibri"/>
          <w:color w:val="000000" w:themeColor="text1"/>
          <w:szCs w:val="24"/>
          <w:lang w:eastAsia="lv-LV" w:bidi="en-US"/>
        </w:rPr>
        <w:t xml:space="preserve">. </w:t>
      </w:r>
      <w:r w:rsidRPr="008E4EA2">
        <w:rPr>
          <w:rFonts w:eastAsia="Calibri"/>
          <w:color w:val="000000" w:themeColor="text1"/>
          <w:szCs w:val="24"/>
          <w:lang w:eastAsia="lv-LV" w:bidi="en-US"/>
        </w:rPr>
        <w:t>30.septembri ir 4</w:t>
      </w:r>
      <w:r w:rsidR="00DA026E" w:rsidRPr="008E4EA2">
        <w:rPr>
          <w:rFonts w:eastAsia="Calibri"/>
          <w:color w:val="000000" w:themeColor="text1"/>
          <w:szCs w:val="24"/>
          <w:lang w:eastAsia="lv-LV" w:bidi="en-US"/>
        </w:rPr>
        <w:t>,</w:t>
      </w:r>
      <w:r w:rsidRPr="008E4EA2">
        <w:rPr>
          <w:rFonts w:eastAsia="Calibri"/>
          <w:color w:val="000000" w:themeColor="text1"/>
          <w:szCs w:val="24"/>
          <w:lang w:eastAsia="lv-LV" w:bidi="en-US"/>
        </w:rPr>
        <w:t xml:space="preserve">3 </w:t>
      </w:r>
      <w:proofErr w:type="spellStart"/>
      <w:r w:rsidRPr="008E4EA2">
        <w:rPr>
          <w:rFonts w:eastAsia="Calibri"/>
          <w:color w:val="000000" w:themeColor="text1"/>
          <w:szCs w:val="24"/>
          <w:lang w:eastAsia="lv-LV" w:bidi="en-US"/>
        </w:rPr>
        <w:t>milj</w:t>
      </w:r>
      <w:proofErr w:type="spellEnd"/>
      <w:r w:rsidRPr="008E4EA2">
        <w:rPr>
          <w:rFonts w:eastAsia="Calibri"/>
          <w:color w:val="000000" w:themeColor="text1"/>
          <w:szCs w:val="24"/>
          <w:lang w:eastAsia="lv-LV" w:bidi="en-US"/>
        </w:rPr>
        <w:t>. latu. Salīdzinot ar pirmā ceturkšņa (86,8% no plāna) un otrā ceturkšņa (94,0% no plāna) izpildi</w:t>
      </w:r>
      <w:r w:rsidR="00B44D0E" w:rsidRPr="008E4EA2">
        <w:rPr>
          <w:rFonts w:eastAsia="Calibri"/>
          <w:color w:val="000000" w:themeColor="text1"/>
          <w:szCs w:val="24"/>
          <w:lang w:eastAsia="lv-LV" w:bidi="en-US"/>
        </w:rPr>
        <w:t>,</w:t>
      </w:r>
      <w:r w:rsidRPr="008E4EA2">
        <w:rPr>
          <w:rFonts w:eastAsia="Calibri"/>
          <w:color w:val="000000" w:themeColor="text1"/>
          <w:szCs w:val="24"/>
          <w:lang w:eastAsia="lv-LV" w:bidi="en-US"/>
        </w:rPr>
        <w:t xml:space="preserve"> ir vērojams ievērojams progress</w:t>
      </w:r>
      <w:r w:rsidR="00631D94" w:rsidRPr="008E4EA2">
        <w:rPr>
          <w:rFonts w:eastAsia="Calibri"/>
          <w:color w:val="000000" w:themeColor="text1"/>
          <w:szCs w:val="24"/>
          <w:lang w:eastAsia="lv-LV" w:bidi="en-US"/>
        </w:rPr>
        <w:t>, kas lielā mērā skaidrojams arī ar finansējuma pārplānošanu uz 2012.gadu</w:t>
      </w:r>
      <w:r w:rsidRPr="008E4EA2">
        <w:rPr>
          <w:rFonts w:eastAsia="Calibri"/>
          <w:color w:val="000000" w:themeColor="text1"/>
          <w:szCs w:val="24"/>
          <w:lang w:eastAsia="lv-LV" w:bidi="en-US"/>
        </w:rPr>
        <w:t>.</w:t>
      </w:r>
      <w:r w:rsidR="00087C14" w:rsidRPr="008E4EA2">
        <w:rPr>
          <w:rFonts w:eastAsia="Calibri"/>
          <w:color w:val="000000" w:themeColor="text1"/>
          <w:szCs w:val="24"/>
          <w:lang w:eastAsia="lv-LV" w:bidi="en-US"/>
        </w:rPr>
        <w:t xml:space="preserve"> Aktuālā informācija par ES fondu valsts budžeta apguvi ik mēnesi tiek ievietota </w:t>
      </w:r>
      <w:hyperlink r:id="rId27" w:history="1">
        <w:r w:rsidR="00087C14" w:rsidRPr="001B21DE">
          <w:rPr>
            <w:rStyle w:val="Hyperlink"/>
            <w:rFonts w:ascii="Times New Roman" w:eastAsia="Calibri" w:hAnsi="Times New Roman" w:cs="Times New Roman"/>
            <w:sz w:val="24"/>
            <w:szCs w:val="24"/>
            <w:lang w:eastAsia="lv-LV" w:bidi="en-US"/>
          </w:rPr>
          <w:t>ES fondu vietnē</w:t>
        </w:r>
      </w:hyperlink>
      <w:r w:rsidR="001B21DE">
        <w:rPr>
          <w:rStyle w:val="Hyperlink"/>
          <w:rFonts w:ascii="Times New Roman" w:hAnsi="Times New Roman" w:cs="Times New Roman"/>
          <w:color w:val="000000" w:themeColor="text1"/>
          <w:sz w:val="24"/>
          <w:szCs w:val="24"/>
        </w:rPr>
        <w:t>.</w:t>
      </w:r>
    </w:p>
    <w:p w:rsidR="00C25780" w:rsidRPr="008E4EA2" w:rsidRDefault="00C25780" w:rsidP="003A0029">
      <w:pPr>
        <w:spacing w:before="120" w:after="120" w:line="276" w:lineRule="auto"/>
        <w:rPr>
          <w:color w:val="000000" w:themeColor="text1"/>
          <w:szCs w:val="24"/>
        </w:rPr>
      </w:pPr>
      <w:r w:rsidRPr="008E4EA2">
        <w:rPr>
          <w:rFonts w:eastAsia="Calibri"/>
          <w:color w:val="000000" w:themeColor="text1"/>
          <w:szCs w:val="24"/>
          <w:lang w:eastAsia="lv-LV" w:bidi="en-US"/>
        </w:rPr>
        <w:lastRenderedPageBreak/>
        <w:t>Gada pirmajos trijos ceturkšņos kopā ir apgūts 53,4% no visam gadam ministriju budžetos ES fondu projektiem ieplānotā finansējuma. Lielākās budžeta neizpildes uz</w:t>
      </w:r>
      <w:r w:rsidR="004E4956" w:rsidRPr="008E4EA2">
        <w:rPr>
          <w:rFonts w:eastAsia="Calibri"/>
          <w:color w:val="000000" w:themeColor="text1"/>
          <w:szCs w:val="24"/>
          <w:lang w:eastAsia="lv-LV" w:bidi="en-US"/>
        </w:rPr>
        <w:t xml:space="preserve"> </w:t>
      </w:r>
      <w:proofErr w:type="spellStart"/>
      <w:r w:rsidR="004E4956" w:rsidRPr="008E4EA2">
        <w:rPr>
          <w:rFonts w:eastAsia="Calibri"/>
          <w:color w:val="000000" w:themeColor="text1"/>
          <w:szCs w:val="24"/>
          <w:lang w:eastAsia="lv-LV" w:bidi="en-US"/>
        </w:rPr>
        <w:t>š.g</w:t>
      </w:r>
      <w:proofErr w:type="spellEnd"/>
      <w:r w:rsidR="004E4956" w:rsidRPr="008E4EA2">
        <w:rPr>
          <w:rFonts w:eastAsia="Calibri"/>
          <w:color w:val="000000" w:themeColor="text1"/>
          <w:szCs w:val="24"/>
          <w:lang w:eastAsia="lv-LV" w:bidi="en-US"/>
        </w:rPr>
        <w:t>.</w:t>
      </w:r>
      <w:r w:rsidRPr="008E4EA2">
        <w:rPr>
          <w:rFonts w:eastAsia="Calibri"/>
          <w:color w:val="000000" w:themeColor="text1"/>
          <w:szCs w:val="24"/>
          <w:lang w:eastAsia="lv-LV" w:bidi="en-US"/>
        </w:rPr>
        <w:t xml:space="preserve"> 30.septembri ir EM (1</w:t>
      </w:r>
      <w:r w:rsidR="00DA026E" w:rsidRPr="008E4EA2">
        <w:rPr>
          <w:rFonts w:eastAsia="Calibri"/>
          <w:color w:val="000000" w:themeColor="text1"/>
          <w:szCs w:val="24"/>
          <w:lang w:eastAsia="lv-LV" w:bidi="en-US"/>
        </w:rPr>
        <w:t>,</w:t>
      </w:r>
      <w:r w:rsidRPr="008E4EA2">
        <w:rPr>
          <w:rFonts w:eastAsia="Calibri"/>
          <w:color w:val="000000" w:themeColor="text1"/>
          <w:szCs w:val="24"/>
          <w:lang w:eastAsia="lv-LV" w:bidi="en-US"/>
        </w:rPr>
        <w:t xml:space="preserve">2 </w:t>
      </w:r>
      <w:proofErr w:type="spellStart"/>
      <w:r w:rsidRPr="008E4EA2">
        <w:rPr>
          <w:rFonts w:eastAsia="Calibri"/>
          <w:color w:val="000000" w:themeColor="text1"/>
          <w:szCs w:val="24"/>
          <w:lang w:eastAsia="lv-LV" w:bidi="en-US"/>
        </w:rPr>
        <w:t>milj</w:t>
      </w:r>
      <w:proofErr w:type="spellEnd"/>
      <w:r w:rsidRPr="008E4EA2">
        <w:rPr>
          <w:rFonts w:eastAsia="Calibri"/>
          <w:color w:val="000000" w:themeColor="text1"/>
          <w:szCs w:val="24"/>
          <w:lang w:eastAsia="lv-LV" w:bidi="en-US"/>
        </w:rPr>
        <w:t>. latu), VARAM (1</w:t>
      </w:r>
      <w:r w:rsidR="00DA026E" w:rsidRPr="008E4EA2">
        <w:rPr>
          <w:rFonts w:eastAsia="Calibri"/>
          <w:color w:val="000000" w:themeColor="text1"/>
          <w:szCs w:val="24"/>
          <w:lang w:eastAsia="lv-LV" w:bidi="en-US"/>
        </w:rPr>
        <w:t>,</w:t>
      </w:r>
      <w:r w:rsidRPr="008E4EA2">
        <w:rPr>
          <w:rFonts w:eastAsia="Calibri"/>
          <w:color w:val="000000" w:themeColor="text1"/>
          <w:szCs w:val="24"/>
          <w:lang w:eastAsia="lv-LV" w:bidi="en-US"/>
        </w:rPr>
        <w:t xml:space="preserve">1 </w:t>
      </w:r>
      <w:proofErr w:type="spellStart"/>
      <w:r w:rsidRPr="008E4EA2">
        <w:rPr>
          <w:rFonts w:eastAsia="Calibri"/>
          <w:color w:val="000000" w:themeColor="text1"/>
          <w:szCs w:val="24"/>
          <w:lang w:eastAsia="lv-LV" w:bidi="en-US"/>
        </w:rPr>
        <w:t>milj</w:t>
      </w:r>
      <w:proofErr w:type="spellEnd"/>
      <w:r w:rsidRPr="008E4EA2">
        <w:rPr>
          <w:rFonts w:eastAsia="Calibri"/>
          <w:color w:val="000000" w:themeColor="text1"/>
          <w:szCs w:val="24"/>
          <w:lang w:eastAsia="lv-LV" w:bidi="en-US"/>
        </w:rPr>
        <w:t>. latu) un IZM (0</w:t>
      </w:r>
      <w:r w:rsidR="00DA026E" w:rsidRPr="008E4EA2">
        <w:rPr>
          <w:rFonts w:eastAsia="Calibri"/>
          <w:color w:val="000000" w:themeColor="text1"/>
          <w:szCs w:val="24"/>
          <w:lang w:eastAsia="lv-LV" w:bidi="en-US"/>
        </w:rPr>
        <w:t>,</w:t>
      </w:r>
      <w:r w:rsidRPr="008E4EA2">
        <w:rPr>
          <w:rFonts w:eastAsia="Calibri"/>
          <w:color w:val="000000" w:themeColor="text1"/>
          <w:szCs w:val="24"/>
          <w:lang w:eastAsia="lv-LV" w:bidi="en-US"/>
        </w:rPr>
        <w:t xml:space="preserve">9 </w:t>
      </w:r>
      <w:proofErr w:type="spellStart"/>
      <w:r w:rsidRPr="008E4EA2">
        <w:rPr>
          <w:rFonts w:eastAsia="Calibri"/>
          <w:color w:val="000000" w:themeColor="text1"/>
          <w:szCs w:val="24"/>
          <w:lang w:eastAsia="lv-LV" w:bidi="en-US"/>
        </w:rPr>
        <w:t>milj</w:t>
      </w:r>
      <w:proofErr w:type="spellEnd"/>
      <w:r w:rsidRPr="008E4EA2">
        <w:rPr>
          <w:rFonts w:eastAsia="Calibri"/>
          <w:color w:val="000000" w:themeColor="text1"/>
          <w:szCs w:val="24"/>
          <w:lang w:eastAsia="lv-LV" w:bidi="en-US"/>
        </w:rPr>
        <w:t xml:space="preserve">. latu). Kopumā ES fondu finansējuma apguve nav apdraudēta, tomēr finansējuma pārplānošana uz nākamajiem gadiem nozīmē lielāku slogu </w:t>
      </w:r>
      <w:r w:rsidRPr="008E4EA2">
        <w:rPr>
          <w:color w:val="000000" w:themeColor="text1"/>
          <w:szCs w:val="24"/>
        </w:rPr>
        <w:t xml:space="preserve">gan valsts budžetam, gan ES fondu vadībai kopumā, jo, sākot ar 2014.gadu, būs jāadministrē esošais un jaunais plānošanas periods vienlaicīgi. </w:t>
      </w:r>
    </w:p>
    <w:p w:rsidR="00A14EC7" w:rsidRDefault="00A14EC7" w:rsidP="00A14EC7">
      <w:pPr>
        <w:spacing w:before="120" w:after="120" w:line="276" w:lineRule="auto"/>
        <w:rPr>
          <w:rFonts w:eastAsia="EUAlbertina-Bold-Identity-H"/>
          <w:iCs/>
          <w:color w:val="000000" w:themeColor="text1"/>
          <w:szCs w:val="24"/>
          <w:lang w:eastAsia="lv-LV"/>
        </w:rPr>
      </w:pPr>
      <w:r w:rsidRPr="008E4EA2">
        <w:rPr>
          <w:rFonts w:eastAsia="EUAlbertina-Bold-Identity-H"/>
          <w:iCs/>
          <w:color w:val="000000" w:themeColor="text1"/>
          <w:szCs w:val="24"/>
          <w:lang w:eastAsia="lv-LV"/>
        </w:rPr>
        <w:t>Grafiks Nr.6 „</w:t>
      </w:r>
      <w:r w:rsidRPr="008E4EA2">
        <w:rPr>
          <w:rFonts w:eastAsia="EUAlbertina-Bold-Identity-H"/>
          <w:i/>
          <w:iCs/>
          <w:color w:val="000000" w:themeColor="text1"/>
          <w:szCs w:val="24"/>
          <w:lang w:eastAsia="lv-LV"/>
        </w:rPr>
        <w:t xml:space="preserve">Budžeta ieņēmumu plāna izpilde ministriju dalījumā 2012.gadā; </w:t>
      </w:r>
      <w:proofErr w:type="spellStart"/>
      <w:r w:rsidRPr="008E4EA2">
        <w:rPr>
          <w:rFonts w:eastAsia="EUAlbertina-Bold-Identity-H"/>
          <w:i/>
          <w:iCs/>
          <w:color w:val="000000" w:themeColor="text1"/>
          <w:szCs w:val="24"/>
          <w:lang w:eastAsia="lv-LV"/>
        </w:rPr>
        <w:t>milj</w:t>
      </w:r>
      <w:proofErr w:type="spellEnd"/>
      <w:r w:rsidRPr="008E4EA2">
        <w:rPr>
          <w:rFonts w:eastAsia="EUAlbertina-Bold-Identity-H"/>
          <w:i/>
          <w:iCs/>
          <w:color w:val="000000" w:themeColor="text1"/>
          <w:szCs w:val="24"/>
          <w:lang w:eastAsia="lv-LV"/>
        </w:rPr>
        <w:t>. latu.</w:t>
      </w:r>
      <w:r w:rsidRPr="008E4EA2">
        <w:rPr>
          <w:rFonts w:eastAsia="EUAlbertina-Bold-Identity-H"/>
          <w:iCs/>
          <w:color w:val="000000" w:themeColor="text1"/>
          <w:szCs w:val="24"/>
          <w:lang w:eastAsia="lv-LV"/>
        </w:rPr>
        <w:t>”</w:t>
      </w:r>
    </w:p>
    <w:p w:rsidR="00805476" w:rsidRPr="008E4EA2" w:rsidRDefault="00805476" w:rsidP="00A14EC7">
      <w:pPr>
        <w:spacing w:before="120" w:after="120" w:line="276" w:lineRule="auto"/>
        <w:rPr>
          <w:rFonts w:eastAsia="EUAlbertina-Bold-Identity-H"/>
          <w:color w:val="000000" w:themeColor="text1"/>
          <w:szCs w:val="24"/>
          <w:lang w:eastAsia="lv-LV"/>
        </w:rPr>
      </w:pPr>
      <w:r w:rsidRPr="00D120DB">
        <w:rPr>
          <w:noProof/>
          <w:sz w:val="20"/>
          <w:lang w:eastAsia="lv-LV"/>
        </w:rPr>
        <w:drawing>
          <wp:inline distT="0" distB="0" distL="0" distR="0" wp14:anchorId="0CD36F1C" wp14:editId="265A301C">
            <wp:extent cx="5486400" cy="2790908"/>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14EC7" w:rsidRDefault="00A14EC7" w:rsidP="00A14EC7">
      <w:pPr>
        <w:spacing w:before="120" w:after="120" w:line="276" w:lineRule="auto"/>
        <w:rPr>
          <w:rFonts w:eastAsia="Calibri"/>
          <w:color w:val="000000" w:themeColor="text1"/>
          <w:szCs w:val="24"/>
          <w:lang w:eastAsia="lv-LV" w:bidi="en-US"/>
        </w:rPr>
      </w:pPr>
      <w:r w:rsidRPr="008E4EA2">
        <w:rPr>
          <w:rFonts w:eastAsia="Calibri"/>
          <w:color w:val="000000" w:themeColor="text1"/>
          <w:szCs w:val="24"/>
          <w:lang w:eastAsia="lv-LV" w:bidi="en-US"/>
        </w:rPr>
        <w:t>Kā redzams šajā attēlā, kur norādīts lielākais finansējums ministriju dalījumā</w:t>
      </w:r>
      <w:r>
        <w:rPr>
          <w:rFonts w:eastAsia="Calibri"/>
          <w:color w:val="000000" w:themeColor="text1"/>
          <w:szCs w:val="24"/>
          <w:lang w:eastAsia="lv-LV" w:bidi="en-US"/>
        </w:rPr>
        <w:t xml:space="preserve"> </w:t>
      </w:r>
      <w:r w:rsidR="00805476">
        <w:rPr>
          <w:rFonts w:eastAsia="Calibri"/>
          <w:color w:val="000000" w:themeColor="text1"/>
          <w:szCs w:val="24"/>
          <w:lang w:eastAsia="lv-LV" w:bidi="en-US"/>
        </w:rPr>
        <w:t>pēc grozījumiem likumā „Par valsts budžetu 2012.gadam”</w:t>
      </w:r>
      <w:r w:rsidRPr="008E4EA2">
        <w:rPr>
          <w:rFonts w:eastAsia="Calibri"/>
          <w:color w:val="000000" w:themeColor="text1"/>
          <w:szCs w:val="24"/>
          <w:lang w:eastAsia="lv-LV" w:bidi="en-US"/>
        </w:rPr>
        <w:t>, ko līdz 2012.gada 31.decembrim ir jāapgūst, gada pēdējā ceturksnī atsevišķos gadījumos</w:t>
      </w:r>
      <w:r w:rsidR="00805476">
        <w:rPr>
          <w:rFonts w:eastAsia="Calibri"/>
          <w:color w:val="000000" w:themeColor="text1"/>
          <w:szCs w:val="24"/>
          <w:lang w:eastAsia="lv-LV" w:bidi="en-US"/>
        </w:rPr>
        <w:t xml:space="preserve"> ir</w:t>
      </w:r>
      <w:r w:rsidRPr="008E4EA2">
        <w:rPr>
          <w:rFonts w:eastAsia="Calibri"/>
          <w:color w:val="000000" w:themeColor="text1"/>
          <w:szCs w:val="24"/>
          <w:lang w:eastAsia="lv-LV" w:bidi="en-US"/>
        </w:rPr>
        <w:t xml:space="preserve"> jāapgūst pat puse no 2012.gadā plānotā, kas vērtējams kā ļoti riskants pasākums un ar mazu iespējamību šo plānu izpildīt pilnā apmērā.</w:t>
      </w:r>
    </w:p>
    <w:p w:rsidR="00C25780" w:rsidRPr="008E4EA2" w:rsidRDefault="008E5444" w:rsidP="00A14EC7">
      <w:pPr>
        <w:spacing w:before="120" w:after="120" w:line="276" w:lineRule="auto"/>
        <w:rPr>
          <w:color w:val="000000" w:themeColor="text1"/>
          <w:szCs w:val="24"/>
        </w:rPr>
      </w:pPr>
      <w:r w:rsidRPr="008E4EA2">
        <w:rPr>
          <w:color w:val="000000" w:themeColor="text1"/>
          <w:szCs w:val="24"/>
        </w:rPr>
        <w:t>MK</w:t>
      </w:r>
      <w:r w:rsidR="00C25780" w:rsidRPr="008E4EA2">
        <w:rPr>
          <w:color w:val="000000" w:themeColor="text1"/>
          <w:szCs w:val="24"/>
        </w:rPr>
        <w:t xml:space="preserve"> </w:t>
      </w:r>
      <w:r w:rsidR="00A23D5B" w:rsidRPr="008E4EA2">
        <w:rPr>
          <w:color w:val="000000" w:themeColor="text1"/>
          <w:szCs w:val="24"/>
        </w:rPr>
        <w:t xml:space="preserve">2012.gada 28.augusta </w:t>
      </w:r>
      <w:r w:rsidR="00C25780" w:rsidRPr="008E4EA2">
        <w:rPr>
          <w:color w:val="000000" w:themeColor="text1"/>
          <w:szCs w:val="24"/>
        </w:rPr>
        <w:t>sēdes protokola 59.§ 12.punkt</w:t>
      </w:r>
      <w:r w:rsidR="00E3265E" w:rsidRPr="008E4EA2">
        <w:rPr>
          <w:color w:val="000000" w:themeColor="text1"/>
          <w:szCs w:val="24"/>
        </w:rPr>
        <w:t>s</w:t>
      </w:r>
      <w:r w:rsidR="00C25780" w:rsidRPr="008E4EA2">
        <w:rPr>
          <w:color w:val="000000" w:themeColor="text1"/>
          <w:szCs w:val="24"/>
        </w:rPr>
        <w:t xml:space="preserve"> nosaka, ka pēc likuma „Grozījumi likumā „Par valsts budžetu 2012.gadam”” stāšanās spēkā ministrijām priekšlikumus apropriācijas pārdalei no 74.resora </w:t>
      </w:r>
      <w:r w:rsidR="00506BB1" w:rsidRPr="008E4EA2">
        <w:rPr>
          <w:color w:val="000000" w:themeColor="text1"/>
          <w:szCs w:val="24"/>
        </w:rPr>
        <w:t>programmas 80.00.00</w:t>
      </w:r>
      <w:r w:rsidR="004E4956" w:rsidRPr="008E4EA2">
        <w:rPr>
          <w:color w:val="000000" w:themeColor="text1"/>
          <w:szCs w:val="24"/>
        </w:rPr>
        <w:t xml:space="preserve"> </w:t>
      </w:r>
      <w:r w:rsidR="00C25780" w:rsidRPr="008E4EA2">
        <w:rPr>
          <w:color w:val="000000" w:themeColor="text1"/>
          <w:szCs w:val="24"/>
        </w:rPr>
        <w:t xml:space="preserve">iesniegt tikai pēc iepriekšējas saskaņošanas ar </w:t>
      </w:r>
      <w:r w:rsidR="00E3265E" w:rsidRPr="008E4EA2">
        <w:rPr>
          <w:color w:val="000000" w:themeColor="text1"/>
          <w:szCs w:val="24"/>
        </w:rPr>
        <w:t>FM. Attiecīgi FM nepieņem</w:t>
      </w:r>
      <w:r w:rsidR="00C25780" w:rsidRPr="008E4EA2">
        <w:rPr>
          <w:color w:val="000000" w:themeColor="text1"/>
          <w:szCs w:val="24"/>
        </w:rPr>
        <w:t xml:space="preserve"> priekšlikumus par apropriācijas pārdali uz programmu 80.00.00</w:t>
      </w:r>
      <w:r w:rsidR="00E3265E" w:rsidRPr="008E4EA2">
        <w:rPr>
          <w:color w:val="000000" w:themeColor="text1"/>
          <w:szCs w:val="24"/>
        </w:rPr>
        <w:t xml:space="preserve">, ņemot vērā, ka uz doto brīdi </w:t>
      </w:r>
      <w:r w:rsidR="00631D94" w:rsidRPr="008E4EA2">
        <w:rPr>
          <w:color w:val="000000" w:themeColor="text1"/>
          <w:szCs w:val="24"/>
        </w:rPr>
        <w:t>iestādēm</w:t>
      </w:r>
      <w:r w:rsidR="00E3265E" w:rsidRPr="008E4EA2">
        <w:rPr>
          <w:color w:val="000000" w:themeColor="text1"/>
          <w:szCs w:val="24"/>
        </w:rPr>
        <w:t xml:space="preserve"> nav nepieciešams papildus finansējums</w:t>
      </w:r>
      <w:r w:rsidR="00C25780" w:rsidRPr="008E4EA2">
        <w:rPr>
          <w:color w:val="000000" w:themeColor="text1"/>
          <w:szCs w:val="24"/>
        </w:rPr>
        <w:t xml:space="preserve">. </w:t>
      </w:r>
      <w:r w:rsidR="00631D94" w:rsidRPr="008E4EA2">
        <w:rPr>
          <w:color w:val="000000" w:themeColor="text1"/>
          <w:szCs w:val="24"/>
        </w:rPr>
        <w:t xml:space="preserve">Ministrijām un citām valsts centrālajām iestādēm </w:t>
      </w:r>
      <w:r w:rsidR="00C5020A" w:rsidRPr="008E4EA2">
        <w:rPr>
          <w:color w:val="000000" w:themeColor="text1"/>
          <w:szCs w:val="24"/>
        </w:rPr>
        <w:t xml:space="preserve">tika </w:t>
      </w:r>
      <w:r w:rsidR="00631D94" w:rsidRPr="008E4EA2">
        <w:rPr>
          <w:color w:val="000000" w:themeColor="text1"/>
          <w:szCs w:val="24"/>
        </w:rPr>
        <w:t>noteikts līdz 1.novembrim informēt par paredzamo 2012.gada budžeta plāna izpildi un, ja nepieciešams, arī par papildu nepieciešamo finansējumu gada atlikušajos mēnešos.</w:t>
      </w:r>
      <w:r w:rsidR="00A944C1" w:rsidRPr="008E4EA2">
        <w:rPr>
          <w:color w:val="000000" w:themeColor="text1"/>
          <w:szCs w:val="24"/>
        </w:rPr>
        <w:t xml:space="preserve"> </w:t>
      </w:r>
      <w:r w:rsidR="00C5020A" w:rsidRPr="008E4EA2">
        <w:rPr>
          <w:rFonts w:eastAsia="Calibri"/>
          <w:color w:val="000000" w:themeColor="text1"/>
          <w:szCs w:val="24"/>
          <w:lang w:eastAsia="lv-LV" w:bidi="en-US"/>
        </w:rPr>
        <w:t xml:space="preserve">Saskaņā ar likumu „Grozījumi likumā „Par valsts budžetu” ministrijām 2012.gadā būs nepieciešams vairs tikai aptuveni 501 </w:t>
      </w:r>
      <w:proofErr w:type="spellStart"/>
      <w:r w:rsidR="00C5020A" w:rsidRPr="008E4EA2">
        <w:rPr>
          <w:rFonts w:eastAsia="Calibri"/>
          <w:color w:val="000000" w:themeColor="text1"/>
          <w:szCs w:val="24"/>
          <w:lang w:eastAsia="lv-LV" w:bidi="en-US"/>
        </w:rPr>
        <w:t>milj</w:t>
      </w:r>
      <w:proofErr w:type="spellEnd"/>
      <w:r w:rsidR="00C5020A" w:rsidRPr="008E4EA2">
        <w:rPr>
          <w:rFonts w:eastAsia="Calibri"/>
          <w:color w:val="000000" w:themeColor="text1"/>
          <w:szCs w:val="24"/>
          <w:lang w:eastAsia="lv-LV" w:bidi="en-US"/>
        </w:rPr>
        <w:t xml:space="preserve">. latu. </w:t>
      </w:r>
      <w:r w:rsidR="00A944C1" w:rsidRPr="008E4EA2">
        <w:rPr>
          <w:color w:val="000000" w:themeColor="text1"/>
          <w:szCs w:val="24"/>
        </w:rPr>
        <w:t xml:space="preserve">Ministrijas ir informējušas, ka līdz gada beigām tās </w:t>
      </w:r>
      <w:r w:rsidR="007E03BE">
        <w:rPr>
          <w:color w:val="000000" w:themeColor="text1"/>
          <w:szCs w:val="24"/>
        </w:rPr>
        <w:t>varētu</w:t>
      </w:r>
      <w:r w:rsidR="00A944C1" w:rsidRPr="008E4EA2">
        <w:rPr>
          <w:color w:val="000000" w:themeColor="text1"/>
          <w:szCs w:val="24"/>
        </w:rPr>
        <w:t xml:space="preserve"> neapgūt aptuveni </w:t>
      </w:r>
      <w:r w:rsidR="00933010">
        <w:rPr>
          <w:color w:val="000000" w:themeColor="text1"/>
          <w:szCs w:val="24"/>
        </w:rPr>
        <w:t>4</w:t>
      </w:r>
      <w:r w:rsidR="00C37CD5">
        <w:rPr>
          <w:color w:val="000000" w:themeColor="text1"/>
          <w:szCs w:val="24"/>
        </w:rPr>
        <w:t>6</w:t>
      </w:r>
      <w:r w:rsidR="00A944C1" w:rsidRPr="008E4EA2">
        <w:rPr>
          <w:color w:val="000000" w:themeColor="text1"/>
          <w:szCs w:val="24"/>
        </w:rPr>
        <w:t xml:space="preserve"> </w:t>
      </w:r>
      <w:proofErr w:type="spellStart"/>
      <w:r w:rsidR="00A944C1" w:rsidRPr="008E4EA2">
        <w:rPr>
          <w:color w:val="000000" w:themeColor="text1"/>
          <w:szCs w:val="24"/>
        </w:rPr>
        <w:t>milj</w:t>
      </w:r>
      <w:proofErr w:type="spellEnd"/>
      <w:r w:rsidR="00A944C1" w:rsidRPr="008E4EA2">
        <w:rPr>
          <w:color w:val="000000" w:themeColor="text1"/>
          <w:szCs w:val="24"/>
        </w:rPr>
        <w:t>. latu</w:t>
      </w:r>
      <w:r w:rsidR="00165002">
        <w:rPr>
          <w:color w:val="000000" w:themeColor="text1"/>
          <w:szCs w:val="24"/>
        </w:rPr>
        <w:t xml:space="preserve"> no</w:t>
      </w:r>
      <w:r w:rsidR="00A944C1" w:rsidRPr="008E4EA2">
        <w:rPr>
          <w:color w:val="000000" w:themeColor="text1"/>
          <w:szCs w:val="24"/>
        </w:rPr>
        <w:t xml:space="preserve">, no tiem </w:t>
      </w:r>
      <w:r w:rsidR="004C23C6">
        <w:rPr>
          <w:color w:val="000000" w:themeColor="text1"/>
          <w:szCs w:val="24"/>
        </w:rPr>
        <w:t>21.0</w:t>
      </w:r>
      <w:r w:rsidR="00A944C1" w:rsidRPr="008E4EA2">
        <w:rPr>
          <w:color w:val="000000" w:themeColor="text1"/>
          <w:szCs w:val="24"/>
        </w:rPr>
        <w:t xml:space="preserve"> </w:t>
      </w:r>
      <w:proofErr w:type="spellStart"/>
      <w:r w:rsidR="00A944C1" w:rsidRPr="008E4EA2">
        <w:rPr>
          <w:color w:val="000000" w:themeColor="text1"/>
          <w:szCs w:val="24"/>
        </w:rPr>
        <w:t>milj</w:t>
      </w:r>
      <w:proofErr w:type="spellEnd"/>
      <w:r w:rsidR="00A944C1" w:rsidRPr="008E4EA2">
        <w:rPr>
          <w:color w:val="000000" w:themeColor="text1"/>
          <w:szCs w:val="24"/>
        </w:rPr>
        <w:t xml:space="preserve">. latu </w:t>
      </w:r>
      <w:r w:rsidR="00306F38">
        <w:rPr>
          <w:color w:val="000000" w:themeColor="text1"/>
          <w:szCs w:val="24"/>
        </w:rPr>
        <w:t>SM</w:t>
      </w:r>
      <w:r w:rsidR="00C5020A" w:rsidRPr="008E4EA2">
        <w:rPr>
          <w:color w:val="000000" w:themeColor="text1"/>
          <w:szCs w:val="24"/>
        </w:rPr>
        <w:t xml:space="preserve">, </w:t>
      </w:r>
      <w:r w:rsidR="00933010">
        <w:rPr>
          <w:color w:val="000000" w:themeColor="text1"/>
          <w:szCs w:val="24"/>
        </w:rPr>
        <w:t>13.</w:t>
      </w:r>
      <w:r w:rsidR="00B87A7A">
        <w:rPr>
          <w:color w:val="000000" w:themeColor="text1"/>
          <w:szCs w:val="24"/>
        </w:rPr>
        <w:t>2</w:t>
      </w:r>
      <w:r w:rsidR="00C5020A" w:rsidRPr="008E4EA2">
        <w:rPr>
          <w:color w:val="000000" w:themeColor="text1"/>
          <w:szCs w:val="24"/>
        </w:rPr>
        <w:t xml:space="preserve"> </w:t>
      </w:r>
      <w:proofErr w:type="spellStart"/>
      <w:r w:rsidR="00C5020A" w:rsidRPr="008E4EA2">
        <w:rPr>
          <w:color w:val="000000" w:themeColor="text1"/>
          <w:szCs w:val="24"/>
        </w:rPr>
        <w:t>milj</w:t>
      </w:r>
      <w:proofErr w:type="spellEnd"/>
      <w:r w:rsidR="00C5020A" w:rsidRPr="008E4EA2">
        <w:rPr>
          <w:color w:val="000000" w:themeColor="text1"/>
          <w:szCs w:val="24"/>
        </w:rPr>
        <w:t xml:space="preserve">. latu </w:t>
      </w:r>
      <w:r w:rsidR="00306F38">
        <w:rPr>
          <w:color w:val="000000" w:themeColor="text1"/>
          <w:szCs w:val="24"/>
        </w:rPr>
        <w:t>IZM</w:t>
      </w:r>
      <w:r w:rsidR="00C5020A" w:rsidRPr="008E4EA2">
        <w:rPr>
          <w:color w:val="000000" w:themeColor="text1"/>
          <w:szCs w:val="24"/>
        </w:rPr>
        <w:t xml:space="preserve"> un </w:t>
      </w:r>
      <w:r w:rsidR="004C23C6">
        <w:rPr>
          <w:color w:val="000000" w:themeColor="text1"/>
          <w:szCs w:val="24"/>
        </w:rPr>
        <w:t>6.3</w:t>
      </w:r>
      <w:r w:rsidR="00C5020A" w:rsidRPr="008E4EA2">
        <w:rPr>
          <w:color w:val="000000" w:themeColor="text1"/>
          <w:szCs w:val="24"/>
        </w:rPr>
        <w:t xml:space="preserve"> </w:t>
      </w:r>
      <w:proofErr w:type="spellStart"/>
      <w:r w:rsidR="00C5020A" w:rsidRPr="008E4EA2">
        <w:rPr>
          <w:color w:val="000000" w:themeColor="text1"/>
          <w:szCs w:val="24"/>
        </w:rPr>
        <w:t>milj</w:t>
      </w:r>
      <w:proofErr w:type="spellEnd"/>
      <w:r w:rsidR="00C5020A" w:rsidRPr="008E4EA2">
        <w:rPr>
          <w:color w:val="000000" w:themeColor="text1"/>
          <w:szCs w:val="24"/>
        </w:rPr>
        <w:t xml:space="preserve">. latu </w:t>
      </w:r>
      <w:r w:rsidR="00306F38">
        <w:rPr>
          <w:color w:val="000000" w:themeColor="text1"/>
          <w:szCs w:val="24"/>
        </w:rPr>
        <w:t>EM</w:t>
      </w:r>
      <w:r w:rsidR="00A944C1" w:rsidRPr="008E4EA2">
        <w:rPr>
          <w:color w:val="000000" w:themeColor="text1"/>
          <w:szCs w:val="24"/>
        </w:rPr>
        <w:t>.</w:t>
      </w:r>
      <w:r w:rsidR="00F06A96" w:rsidRPr="008E4EA2">
        <w:rPr>
          <w:color w:val="000000" w:themeColor="text1"/>
          <w:szCs w:val="24"/>
        </w:rPr>
        <w:t xml:space="preserve"> Līdz ar to var secināt, ka kopumā 2012.gadā tiks apgūti tikai aptuveni 4</w:t>
      </w:r>
      <w:r w:rsidR="00933010">
        <w:rPr>
          <w:color w:val="000000" w:themeColor="text1"/>
          <w:szCs w:val="24"/>
        </w:rPr>
        <w:t>5</w:t>
      </w:r>
      <w:r w:rsidR="00C37CD5">
        <w:rPr>
          <w:color w:val="000000" w:themeColor="text1"/>
          <w:szCs w:val="24"/>
        </w:rPr>
        <w:t>5.5</w:t>
      </w:r>
      <w:r w:rsidR="00F06A96" w:rsidRPr="008E4EA2">
        <w:rPr>
          <w:color w:val="000000" w:themeColor="text1"/>
          <w:szCs w:val="24"/>
        </w:rPr>
        <w:t xml:space="preserve"> </w:t>
      </w:r>
      <w:proofErr w:type="spellStart"/>
      <w:r w:rsidR="00F06A96" w:rsidRPr="008E4EA2">
        <w:rPr>
          <w:color w:val="000000" w:themeColor="text1"/>
          <w:szCs w:val="24"/>
        </w:rPr>
        <w:t>milj</w:t>
      </w:r>
      <w:proofErr w:type="spellEnd"/>
      <w:r w:rsidR="00F06A96" w:rsidRPr="008E4EA2">
        <w:rPr>
          <w:color w:val="000000" w:themeColor="text1"/>
          <w:szCs w:val="24"/>
        </w:rPr>
        <w:t>. latu, kas ir ievērojami mazāk kā plānots iepriekš.</w:t>
      </w:r>
      <w:r w:rsidR="00A14EC7">
        <w:rPr>
          <w:color w:val="000000" w:themeColor="text1"/>
          <w:szCs w:val="24"/>
        </w:rPr>
        <w:t xml:space="preserve"> Šis fakts lielā mērā apstiprina risku, ka uz 30.09. apgūtais finansējums atsevišķos gadījumos bija tikai </w:t>
      </w:r>
      <w:r w:rsidR="00A14EC7">
        <w:rPr>
          <w:color w:val="000000" w:themeColor="text1"/>
          <w:szCs w:val="24"/>
        </w:rPr>
        <w:lastRenderedPageBreak/>
        <w:t>puse no 2012.gadā paredzētā.</w:t>
      </w:r>
      <w:r w:rsidR="004C23C6">
        <w:rPr>
          <w:color w:val="000000" w:themeColor="text1"/>
          <w:szCs w:val="24"/>
        </w:rPr>
        <w:t xml:space="preserve"> Tai pat laikā pēc VARAM sniegtās informācijas, tai būs papildus nepieciešami aptuveni 1.6 </w:t>
      </w:r>
      <w:proofErr w:type="spellStart"/>
      <w:r w:rsidR="004C23C6">
        <w:rPr>
          <w:color w:val="000000" w:themeColor="text1"/>
          <w:szCs w:val="24"/>
        </w:rPr>
        <w:t>milj</w:t>
      </w:r>
      <w:proofErr w:type="spellEnd"/>
      <w:r w:rsidR="004C23C6">
        <w:rPr>
          <w:color w:val="000000" w:themeColor="text1"/>
          <w:szCs w:val="24"/>
        </w:rPr>
        <w:t>. latu.</w:t>
      </w:r>
    </w:p>
    <w:p w:rsidR="007551FE" w:rsidRPr="008E4EA2" w:rsidRDefault="007551FE" w:rsidP="003A0029">
      <w:pPr>
        <w:pStyle w:val="2lmenis"/>
        <w:numPr>
          <w:ilvl w:val="1"/>
          <w:numId w:val="2"/>
        </w:numPr>
        <w:spacing w:before="120" w:after="120" w:line="276" w:lineRule="auto"/>
        <w:ind w:left="1276" w:hanging="425"/>
        <w:jc w:val="both"/>
        <w:rPr>
          <w:rFonts w:eastAsiaTheme="minorHAnsi"/>
          <w:color w:val="000000" w:themeColor="text1"/>
          <w:sz w:val="24"/>
          <w:szCs w:val="24"/>
          <w:lang w:val="lv-LV"/>
        </w:rPr>
      </w:pPr>
      <w:bookmarkStart w:id="28" w:name="_Toc340241693"/>
      <w:r w:rsidRPr="008E4EA2">
        <w:rPr>
          <w:color w:val="000000" w:themeColor="text1"/>
          <w:sz w:val="24"/>
          <w:szCs w:val="24"/>
          <w:lang w:val="lv-LV"/>
        </w:rPr>
        <w:t>Informācija</w:t>
      </w:r>
      <w:r w:rsidRPr="008E4EA2">
        <w:rPr>
          <w:rFonts w:eastAsiaTheme="minorHAnsi"/>
          <w:color w:val="000000" w:themeColor="text1"/>
          <w:sz w:val="24"/>
          <w:szCs w:val="24"/>
          <w:lang w:val="lv-LV"/>
        </w:rPr>
        <w:t xml:space="preserve"> par valsts budžeta </w:t>
      </w:r>
      <w:proofErr w:type="spellStart"/>
      <w:r w:rsidRPr="008E4EA2">
        <w:rPr>
          <w:rFonts w:eastAsiaTheme="minorHAnsi"/>
          <w:color w:val="000000" w:themeColor="text1"/>
          <w:sz w:val="24"/>
          <w:szCs w:val="24"/>
          <w:lang w:val="lv-LV"/>
        </w:rPr>
        <w:t>virssaistīb</w:t>
      </w:r>
      <w:r w:rsidR="004A7C5E" w:rsidRPr="008E4EA2">
        <w:rPr>
          <w:rFonts w:eastAsiaTheme="minorHAnsi"/>
          <w:color w:val="000000" w:themeColor="text1"/>
          <w:sz w:val="24"/>
          <w:szCs w:val="24"/>
          <w:lang w:val="lv-LV"/>
        </w:rPr>
        <w:t>ām</w:t>
      </w:r>
      <w:bookmarkEnd w:id="28"/>
      <w:proofErr w:type="spellEnd"/>
    </w:p>
    <w:p w:rsidR="00894D2F" w:rsidRPr="008E4EA2" w:rsidRDefault="00894D2F" w:rsidP="003A0029">
      <w:pPr>
        <w:spacing w:before="120" w:after="120" w:line="276" w:lineRule="auto"/>
        <w:rPr>
          <w:color w:val="000000" w:themeColor="text1"/>
          <w:szCs w:val="24"/>
        </w:rPr>
      </w:pPr>
      <w:r w:rsidRPr="008E4EA2">
        <w:rPr>
          <w:color w:val="000000" w:themeColor="text1"/>
          <w:szCs w:val="24"/>
        </w:rPr>
        <w:t>Atbilstoši MK lēmumiem</w:t>
      </w:r>
      <w:r w:rsidRPr="008E4EA2">
        <w:rPr>
          <w:color w:val="000000" w:themeColor="text1"/>
          <w:szCs w:val="24"/>
          <w:vertAlign w:val="superscript"/>
        </w:rPr>
        <w:footnoteReference w:id="5"/>
      </w:r>
      <w:r w:rsidRPr="008E4EA2">
        <w:rPr>
          <w:color w:val="000000" w:themeColor="text1"/>
          <w:szCs w:val="24"/>
        </w:rPr>
        <w:t xml:space="preserve"> uzņemto </w:t>
      </w:r>
      <w:proofErr w:type="spellStart"/>
      <w:r w:rsidRPr="008E4EA2">
        <w:rPr>
          <w:color w:val="000000" w:themeColor="text1"/>
          <w:szCs w:val="24"/>
        </w:rPr>
        <w:t>virssaistību</w:t>
      </w:r>
      <w:proofErr w:type="spellEnd"/>
      <w:r w:rsidRPr="008E4EA2">
        <w:rPr>
          <w:color w:val="000000" w:themeColor="text1"/>
          <w:szCs w:val="24"/>
        </w:rPr>
        <w:t xml:space="preserve"> apjoms ir </w:t>
      </w:r>
      <w:r w:rsidR="00A71908" w:rsidRPr="008E4EA2">
        <w:rPr>
          <w:color w:val="000000" w:themeColor="text1"/>
          <w:szCs w:val="24"/>
        </w:rPr>
        <w:t>298,6</w:t>
      </w:r>
      <w:r w:rsidRPr="008E4EA2">
        <w:rPr>
          <w:color w:val="000000" w:themeColor="text1"/>
          <w:szCs w:val="24"/>
        </w:rPr>
        <w:t xml:space="preserve"> </w:t>
      </w:r>
      <w:proofErr w:type="spellStart"/>
      <w:r w:rsidRPr="008E4EA2">
        <w:rPr>
          <w:color w:val="000000" w:themeColor="text1"/>
          <w:szCs w:val="24"/>
        </w:rPr>
        <w:t>milj</w:t>
      </w:r>
      <w:proofErr w:type="spellEnd"/>
      <w:r w:rsidRPr="008E4EA2">
        <w:rPr>
          <w:color w:val="000000" w:themeColor="text1"/>
          <w:szCs w:val="24"/>
        </w:rPr>
        <w:t xml:space="preserve">. latu. Uzņemto </w:t>
      </w:r>
      <w:proofErr w:type="spellStart"/>
      <w:r w:rsidRPr="008E4EA2">
        <w:rPr>
          <w:color w:val="000000" w:themeColor="text1"/>
          <w:szCs w:val="24"/>
        </w:rPr>
        <w:t>virssaistību</w:t>
      </w:r>
      <w:proofErr w:type="spellEnd"/>
      <w:r w:rsidRPr="008E4EA2">
        <w:rPr>
          <w:color w:val="000000" w:themeColor="text1"/>
          <w:szCs w:val="24"/>
        </w:rPr>
        <w:t xml:space="preserve"> mērķis ir nodrošināt 100% ES fondu apguvi, kompensējot neatbilstības un lauztos līgumus, vienlaikus bez negatīvas ietekmes uz valsts budžeta deficītu. </w:t>
      </w:r>
    </w:p>
    <w:p w:rsidR="00306426" w:rsidRPr="008E4EA2" w:rsidRDefault="00306426" w:rsidP="003A0029">
      <w:pPr>
        <w:spacing w:before="120" w:after="120" w:line="276" w:lineRule="auto"/>
        <w:rPr>
          <w:color w:val="000000" w:themeColor="text1"/>
          <w:szCs w:val="24"/>
        </w:rPr>
      </w:pPr>
      <w:r w:rsidRPr="008E4EA2">
        <w:rPr>
          <w:color w:val="000000" w:themeColor="text1"/>
          <w:szCs w:val="24"/>
        </w:rPr>
        <w:t>Izvērtējot IEM un LR Prokuratūras ierosinājumu</w:t>
      </w:r>
      <w:r w:rsidR="001570AC" w:rsidRPr="008E4EA2">
        <w:rPr>
          <w:rStyle w:val="FootnoteReference"/>
          <w:color w:val="000000" w:themeColor="text1"/>
          <w:szCs w:val="24"/>
        </w:rPr>
        <w:footnoteReference w:id="6"/>
      </w:r>
      <w:r w:rsidRPr="008E4EA2">
        <w:rPr>
          <w:color w:val="000000" w:themeColor="text1"/>
          <w:szCs w:val="24"/>
        </w:rPr>
        <w:t xml:space="preserve"> pēc papildu finan</w:t>
      </w:r>
      <w:r w:rsidR="00C15BAB" w:rsidRPr="008E4EA2">
        <w:rPr>
          <w:color w:val="000000" w:themeColor="text1"/>
          <w:szCs w:val="24"/>
        </w:rPr>
        <w:t>sējuma 11</w:t>
      </w:r>
      <w:r w:rsidR="00622EA6" w:rsidRPr="008E4EA2">
        <w:rPr>
          <w:color w:val="000000" w:themeColor="text1"/>
          <w:szCs w:val="24"/>
        </w:rPr>
        <w:t xml:space="preserve">,4 </w:t>
      </w:r>
      <w:proofErr w:type="spellStart"/>
      <w:r w:rsidR="00622EA6" w:rsidRPr="008E4EA2">
        <w:rPr>
          <w:color w:val="000000" w:themeColor="text1"/>
          <w:szCs w:val="24"/>
        </w:rPr>
        <w:t>milj</w:t>
      </w:r>
      <w:proofErr w:type="spellEnd"/>
      <w:r w:rsidR="00622EA6" w:rsidRPr="008E4EA2">
        <w:rPr>
          <w:color w:val="000000" w:themeColor="text1"/>
          <w:szCs w:val="24"/>
        </w:rPr>
        <w:t>.</w:t>
      </w:r>
      <w:r w:rsidR="005E1672">
        <w:rPr>
          <w:color w:val="000000" w:themeColor="text1"/>
          <w:szCs w:val="24"/>
        </w:rPr>
        <w:t xml:space="preserve"> </w:t>
      </w:r>
      <w:r w:rsidR="00C15BAB" w:rsidRPr="008E4EA2">
        <w:rPr>
          <w:color w:val="000000" w:themeColor="text1"/>
          <w:szCs w:val="24"/>
        </w:rPr>
        <w:t>latu apmērā IE</w:t>
      </w:r>
      <w:r w:rsidRPr="008E4EA2">
        <w:rPr>
          <w:color w:val="000000" w:themeColor="text1"/>
          <w:szCs w:val="24"/>
        </w:rPr>
        <w:t>M radio sakaru tīkla projekta īstenošanai un 1</w:t>
      </w:r>
      <w:r w:rsidR="00622EA6" w:rsidRPr="008E4EA2">
        <w:rPr>
          <w:color w:val="000000" w:themeColor="text1"/>
          <w:szCs w:val="24"/>
        </w:rPr>
        <w:t xml:space="preserve">,8 </w:t>
      </w:r>
      <w:proofErr w:type="spellStart"/>
      <w:r w:rsidR="00622EA6" w:rsidRPr="008E4EA2">
        <w:rPr>
          <w:color w:val="000000" w:themeColor="text1"/>
          <w:szCs w:val="24"/>
        </w:rPr>
        <w:t>milj</w:t>
      </w:r>
      <w:proofErr w:type="spellEnd"/>
      <w:r w:rsidR="00622EA6" w:rsidRPr="008E4EA2">
        <w:rPr>
          <w:color w:val="000000" w:themeColor="text1"/>
          <w:szCs w:val="24"/>
        </w:rPr>
        <w:t>.</w:t>
      </w:r>
      <w:r w:rsidR="005E1672">
        <w:rPr>
          <w:color w:val="000000" w:themeColor="text1"/>
          <w:szCs w:val="24"/>
        </w:rPr>
        <w:t xml:space="preserve"> </w:t>
      </w:r>
      <w:r w:rsidRPr="008E4EA2">
        <w:rPr>
          <w:color w:val="000000" w:themeColor="text1"/>
          <w:szCs w:val="24"/>
        </w:rPr>
        <w:t xml:space="preserve">latu apmērā Ģenerālprokuratūras informācijas sistēmas attīstības projektam tiesu sistēmas un finanšu noziegumu izmeklējošo iestāžu kapacitātes stiprināšanai, kas sekmētu </w:t>
      </w:r>
      <w:r w:rsidR="00306F38">
        <w:rPr>
          <w:color w:val="000000" w:themeColor="text1"/>
          <w:szCs w:val="24"/>
        </w:rPr>
        <w:t>EK</w:t>
      </w:r>
      <w:r w:rsidRPr="008E4EA2">
        <w:rPr>
          <w:color w:val="000000" w:themeColor="text1"/>
          <w:szCs w:val="24"/>
        </w:rPr>
        <w:t xml:space="preserve"> rekomendācijas ieviešanu attiecībā uz tieslietu sistēmas uzlabošanu, ar </w:t>
      </w:r>
      <w:proofErr w:type="spellStart"/>
      <w:r w:rsidRPr="008E4EA2">
        <w:rPr>
          <w:color w:val="000000" w:themeColor="text1"/>
          <w:szCs w:val="24"/>
        </w:rPr>
        <w:t>š.g</w:t>
      </w:r>
      <w:proofErr w:type="spellEnd"/>
      <w:r w:rsidRPr="008E4EA2">
        <w:rPr>
          <w:color w:val="000000" w:themeColor="text1"/>
          <w:szCs w:val="24"/>
        </w:rPr>
        <w:t xml:space="preserve">. 16.oktobra MK </w:t>
      </w:r>
      <w:proofErr w:type="spellStart"/>
      <w:r w:rsidRPr="008E4EA2">
        <w:rPr>
          <w:color w:val="000000" w:themeColor="text1"/>
          <w:szCs w:val="24"/>
        </w:rPr>
        <w:t>protokollēmumu</w:t>
      </w:r>
      <w:proofErr w:type="spellEnd"/>
      <w:r w:rsidRPr="008E4EA2">
        <w:rPr>
          <w:color w:val="000000" w:themeColor="text1"/>
          <w:szCs w:val="24"/>
        </w:rPr>
        <w:t xml:space="preserve"> (protokols Nr.58 </w:t>
      </w:r>
      <w:bookmarkStart w:id="29" w:name="29"/>
      <w:r w:rsidRPr="008E4EA2">
        <w:rPr>
          <w:color w:val="000000" w:themeColor="text1"/>
          <w:szCs w:val="24"/>
        </w:rPr>
        <w:t>29.§</w:t>
      </w:r>
      <w:bookmarkEnd w:id="29"/>
      <w:r w:rsidRPr="008E4EA2">
        <w:rPr>
          <w:color w:val="000000" w:themeColor="text1"/>
          <w:szCs w:val="24"/>
        </w:rPr>
        <w:t xml:space="preserve">) tika lemts par </w:t>
      </w:r>
      <w:proofErr w:type="spellStart"/>
      <w:r w:rsidRPr="008E4EA2">
        <w:rPr>
          <w:color w:val="000000" w:themeColor="text1"/>
          <w:szCs w:val="24"/>
        </w:rPr>
        <w:t>virssaistību</w:t>
      </w:r>
      <w:proofErr w:type="spellEnd"/>
      <w:r w:rsidRPr="008E4EA2">
        <w:rPr>
          <w:color w:val="000000" w:themeColor="text1"/>
          <w:szCs w:val="24"/>
        </w:rPr>
        <w:t xml:space="preserve"> finansējuma novirzīšanu IEM radio sakaru tīkla projekta un Ģenerālprokuratūras informācijas sistēmas attīstības</w:t>
      </w:r>
      <w:r w:rsidR="005E1672">
        <w:rPr>
          <w:color w:val="000000" w:themeColor="text1"/>
          <w:szCs w:val="24"/>
        </w:rPr>
        <w:t xml:space="preserve"> </w:t>
      </w:r>
      <w:r w:rsidRPr="008E4EA2">
        <w:rPr>
          <w:color w:val="000000" w:themeColor="text1"/>
          <w:szCs w:val="24"/>
        </w:rPr>
        <w:t xml:space="preserve">projekta īstenošanai, veicot </w:t>
      </w:r>
      <w:proofErr w:type="spellStart"/>
      <w:r w:rsidRPr="008E4EA2">
        <w:rPr>
          <w:color w:val="000000" w:themeColor="text1"/>
          <w:szCs w:val="24"/>
        </w:rPr>
        <w:t>virssaistību</w:t>
      </w:r>
      <w:proofErr w:type="spellEnd"/>
      <w:r w:rsidRPr="008E4EA2">
        <w:rPr>
          <w:color w:val="000000" w:themeColor="text1"/>
          <w:szCs w:val="24"/>
        </w:rPr>
        <w:t xml:space="preserve"> finansējuma samazinājumu citās ES fondu aktivitātēs. MK sēžu protokolu izraksti par </w:t>
      </w:r>
      <w:proofErr w:type="spellStart"/>
      <w:r w:rsidRPr="008E4EA2">
        <w:rPr>
          <w:color w:val="000000" w:themeColor="text1"/>
          <w:szCs w:val="24"/>
        </w:rPr>
        <w:t>virssaistībām</w:t>
      </w:r>
      <w:proofErr w:type="spellEnd"/>
      <w:r w:rsidRPr="008E4EA2">
        <w:rPr>
          <w:color w:val="000000" w:themeColor="text1"/>
          <w:szCs w:val="24"/>
        </w:rPr>
        <w:t xml:space="preserve"> </w:t>
      </w:r>
      <w:hyperlink r:id="rId29" w:history="1">
        <w:r w:rsidRPr="00306F38">
          <w:rPr>
            <w:rStyle w:val="Hyperlink"/>
            <w:rFonts w:ascii="Times New Roman" w:hAnsi="Times New Roman" w:cs="Times New Roman"/>
            <w:sz w:val="24"/>
            <w:szCs w:val="24"/>
          </w:rPr>
          <w:t xml:space="preserve">pieejami ES fondu </w:t>
        </w:r>
        <w:r w:rsidR="00306F38" w:rsidRPr="00306F38">
          <w:rPr>
            <w:rStyle w:val="Hyperlink"/>
            <w:rFonts w:ascii="Times New Roman" w:hAnsi="Times New Roman" w:cs="Times New Roman"/>
            <w:sz w:val="24"/>
            <w:szCs w:val="24"/>
          </w:rPr>
          <w:t>interneta vietnē</w:t>
        </w:r>
      </w:hyperlink>
      <w:r w:rsidRPr="008E4EA2">
        <w:rPr>
          <w:color w:val="000000" w:themeColor="text1"/>
          <w:szCs w:val="24"/>
        </w:rPr>
        <w:t>.</w:t>
      </w:r>
    </w:p>
    <w:p w:rsidR="00894D2F" w:rsidRPr="008E4EA2" w:rsidRDefault="00306426" w:rsidP="003A0029">
      <w:pPr>
        <w:spacing w:before="120" w:after="120" w:line="276" w:lineRule="auto"/>
        <w:rPr>
          <w:i/>
          <w:color w:val="000000" w:themeColor="text1"/>
          <w:szCs w:val="24"/>
        </w:rPr>
      </w:pPr>
      <w:r w:rsidRPr="008E4EA2">
        <w:rPr>
          <w:color w:val="000000" w:themeColor="text1"/>
          <w:szCs w:val="24"/>
        </w:rPr>
        <w:t xml:space="preserve"> </w:t>
      </w:r>
      <w:r w:rsidR="00894D2F" w:rsidRPr="008E4EA2">
        <w:rPr>
          <w:color w:val="000000" w:themeColor="text1"/>
          <w:szCs w:val="24"/>
        </w:rPr>
        <w:t>Grafiks Nr.</w:t>
      </w:r>
      <w:r w:rsidR="0078381C" w:rsidRPr="008E4EA2">
        <w:rPr>
          <w:color w:val="000000" w:themeColor="text1"/>
          <w:szCs w:val="24"/>
        </w:rPr>
        <w:t>7</w:t>
      </w:r>
      <w:r w:rsidR="00894D2F" w:rsidRPr="008E4EA2">
        <w:rPr>
          <w:color w:val="000000" w:themeColor="text1"/>
          <w:szCs w:val="24"/>
        </w:rPr>
        <w:t xml:space="preserve"> </w:t>
      </w:r>
      <w:r w:rsidR="00894D2F" w:rsidRPr="008E4EA2">
        <w:rPr>
          <w:i/>
          <w:color w:val="000000" w:themeColor="text1"/>
          <w:szCs w:val="24"/>
        </w:rPr>
        <w:t xml:space="preserve">„Plānotais </w:t>
      </w:r>
      <w:proofErr w:type="spellStart"/>
      <w:r w:rsidR="00894D2F" w:rsidRPr="008E4EA2">
        <w:rPr>
          <w:i/>
          <w:color w:val="000000" w:themeColor="text1"/>
          <w:szCs w:val="24"/>
        </w:rPr>
        <w:t>virssaistību</w:t>
      </w:r>
      <w:proofErr w:type="spellEnd"/>
      <w:r w:rsidR="00894D2F" w:rsidRPr="008E4EA2">
        <w:rPr>
          <w:i/>
          <w:color w:val="000000" w:themeColor="text1"/>
          <w:szCs w:val="24"/>
        </w:rPr>
        <w:t xml:space="preserve"> apjoms maksājumiem finansējuma saņēmējiem fondu dalījumā 2012.-2015.gadā; </w:t>
      </w:r>
      <w:proofErr w:type="spellStart"/>
      <w:r w:rsidR="00894D2F" w:rsidRPr="008E4EA2">
        <w:rPr>
          <w:i/>
          <w:color w:val="000000" w:themeColor="text1"/>
          <w:szCs w:val="24"/>
        </w:rPr>
        <w:t>milj</w:t>
      </w:r>
      <w:proofErr w:type="spellEnd"/>
      <w:r w:rsidR="00894D2F" w:rsidRPr="008E4EA2">
        <w:rPr>
          <w:i/>
          <w:color w:val="000000" w:themeColor="text1"/>
          <w:szCs w:val="24"/>
        </w:rPr>
        <w:t xml:space="preserve">. latu.” </w:t>
      </w:r>
    </w:p>
    <w:p w:rsidR="00894D2F" w:rsidRPr="008E4EA2" w:rsidRDefault="00166B93" w:rsidP="003A0029">
      <w:pPr>
        <w:spacing w:before="120" w:after="120" w:line="276" w:lineRule="auto"/>
        <w:rPr>
          <w:i/>
          <w:color w:val="000000" w:themeColor="text1"/>
          <w:szCs w:val="24"/>
        </w:rPr>
      </w:pPr>
      <w:r>
        <w:rPr>
          <w:noProof/>
          <w:lang w:eastAsia="lv-LV"/>
        </w:rPr>
        <w:drawing>
          <wp:inline distT="0" distB="0" distL="0" distR="0" wp14:anchorId="6CF458B8" wp14:editId="74FC6DAC">
            <wp:extent cx="5486400" cy="2186608"/>
            <wp:effectExtent l="0" t="0" r="0" b="444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94D2F" w:rsidRPr="008E4EA2" w:rsidRDefault="000C7130" w:rsidP="003A0029">
      <w:pPr>
        <w:spacing w:before="120" w:after="120" w:line="276" w:lineRule="auto"/>
        <w:rPr>
          <w:color w:val="000000" w:themeColor="text1"/>
          <w:sz w:val="20"/>
          <w:szCs w:val="24"/>
        </w:rPr>
      </w:pPr>
      <w:r w:rsidRPr="008E4EA2">
        <w:rPr>
          <w:color w:val="000000" w:themeColor="text1"/>
          <w:sz w:val="20"/>
          <w:szCs w:val="24"/>
        </w:rPr>
        <w:t xml:space="preserve">* </w:t>
      </w:r>
      <w:proofErr w:type="spellStart"/>
      <w:r w:rsidRPr="008E4EA2">
        <w:rPr>
          <w:color w:val="000000" w:themeColor="text1"/>
          <w:sz w:val="20"/>
          <w:szCs w:val="24"/>
        </w:rPr>
        <w:t>Virssaistību</w:t>
      </w:r>
      <w:proofErr w:type="spellEnd"/>
      <w:r w:rsidRPr="008E4EA2">
        <w:rPr>
          <w:color w:val="000000" w:themeColor="text1"/>
          <w:sz w:val="20"/>
          <w:szCs w:val="24"/>
        </w:rPr>
        <w:t xml:space="preserve"> apjoms nav plānots pilnā apmērā (298,6 </w:t>
      </w:r>
      <w:proofErr w:type="spellStart"/>
      <w:r w:rsidRPr="008E4EA2">
        <w:rPr>
          <w:color w:val="000000" w:themeColor="text1"/>
          <w:sz w:val="20"/>
          <w:szCs w:val="24"/>
        </w:rPr>
        <w:t>milj</w:t>
      </w:r>
      <w:proofErr w:type="spellEnd"/>
      <w:r w:rsidRPr="008E4EA2">
        <w:rPr>
          <w:color w:val="000000" w:themeColor="text1"/>
          <w:sz w:val="20"/>
          <w:szCs w:val="24"/>
        </w:rPr>
        <w:t xml:space="preserve">. latu), jo plānā netiek iekļauta LM 1.4.1.1.2.apakšaktivitātes neatbilstību summa (pēc </w:t>
      </w:r>
      <w:proofErr w:type="spellStart"/>
      <w:r w:rsidRPr="008E4EA2">
        <w:rPr>
          <w:color w:val="000000" w:themeColor="text1"/>
          <w:sz w:val="20"/>
          <w:szCs w:val="24"/>
        </w:rPr>
        <w:t>š.g</w:t>
      </w:r>
      <w:proofErr w:type="spellEnd"/>
      <w:r w:rsidRPr="008E4EA2">
        <w:rPr>
          <w:color w:val="000000" w:themeColor="text1"/>
          <w:sz w:val="20"/>
          <w:szCs w:val="24"/>
        </w:rPr>
        <w:t xml:space="preserve">. 8.maija), kā arī nav iekļauti precizētie </w:t>
      </w:r>
      <w:proofErr w:type="spellStart"/>
      <w:r w:rsidRPr="008E4EA2">
        <w:rPr>
          <w:color w:val="000000" w:themeColor="text1"/>
          <w:sz w:val="20"/>
          <w:szCs w:val="24"/>
        </w:rPr>
        <w:t>virssaistību</w:t>
      </w:r>
      <w:proofErr w:type="spellEnd"/>
      <w:r w:rsidRPr="008E4EA2">
        <w:rPr>
          <w:color w:val="000000" w:themeColor="text1"/>
          <w:sz w:val="20"/>
          <w:szCs w:val="24"/>
        </w:rPr>
        <w:t xml:space="preserve"> apguves plāni saskaņā ar MK 2012.gada 16.oktobra sēdes </w:t>
      </w:r>
      <w:proofErr w:type="spellStart"/>
      <w:r w:rsidRPr="008E4EA2">
        <w:rPr>
          <w:color w:val="000000" w:themeColor="text1"/>
          <w:sz w:val="20"/>
          <w:szCs w:val="24"/>
        </w:rPr>
        <w:t>protokollēmumā</w:t>
      </w:r>
      <w:proofErr w:type="spellEnd"/>
      <w:r w:rsidRPr="008E4EA2">
        <w:rPr>
          <w:color w:val="000000" w:themeColor="text1"/>
          <w:sz w:val="20"/>
          <w:szCs w:val="24"/>
        </w:rPr>
        <w:t xml:space="preserve"> minētām </w:t>
      </w:r>
      <w:proofErr w:type="spellStart"/>
      <w:r w:rsidRPr="008E4EA2">
        <w:rPr>
          <w:color w:val="000000" w:themeColor="text1"/>
          <w:sz w:val="20"/>
          <w:szCs w:val="24"/>
        </w:rPr>
        <w:t>virssaistību</w:t>
      </w:r>
      <w:proofErr w:type="spellEnd"/>
      <w:r w:rsidRPr="008E4EA2">
        <w:rPr>
          <w:color w:val="000000" w:themeColor="text1"/>
          <w:sz w:val="20"/>
          <w:szCs w:val="24"/>
        </w:rPr>
        <w:t xml:space="preserve"> pārdalēm un samazinājumiem.</w:t>
      </w:r>
      <w:r w:rsidR="005E1672">
        <w:rPr>
          <w:color w:val="000000" w:themeColor="text1"/>
          <w:sz w:val="20"/>
          <w:szCs w:val="24"/>
        </w:rPr>
        <w:t xml:space="preserve"> </w:t>
      </w:r>
    </w:p>
    <w:p w:rsidR="00894D2F" w:rsidRPr="008E4EA2" w:rsidRDefault="00894D2F" w:rsidP="003A0029">
      <w:pPr>
        <w:spacing w:before="120" w:after="120" w:line="276" w:lineRule="auto"/>
        <w:rPr>
          <w:color w:val="000000" w:themeColor="text1"/>
          <w:szCs w:val="24"/>
        </w:rPr>
      </w:pPr>
      <w:r w:rsidRPr="008E4EA2">
        <w:rPr>
          <w:color w:val="000000" w:themeColor="text1"/>
          <w:szCs w:val="24"/>
        </w:rPr>
        <w:lastRenderedPageBreak/>
        <w:t xml:space="preserve">Savukārt, atbilstoši 21.augusta MK sēdē lemtajam atbildīgās ministrijas iesūtīja precizētus </w:t>
      </w:r>
      <w:proofErr w:type="spellStart"/>
      <w:r w:rsidRPr="008E4EA2">
        <w:rPr>
          <w:color w:val="000000" w:themeColor="text1"/>
          <w:szCs w:val="24"/>
        </w:rPr>
        <w:t>virssaistību</w:t>
      </w:r>
      <w:proofErr w:type="spellEnd"/>
      <w:r w:rsidRPr="008E4EA2">
        <w:rPr>
          <w:color w:val="000000" w:themeColor="text1"/>
          <w:szCs w:val="24"/>
        </w:rPr>
        <w:t xml:space="preserve"> izlietojuma plānus noslēgto līgumu un maksājumu finansējuma saņēmējiem apjomam. Precizēto līgumu nobīdes pret sākotnēji iesūtītajiem plāniem paredz:</w:t>
      </w:r>
    </w:p>
    <w:p w:rsidR="00894D2F" w:rsidRPr="008E4EA2" w:rsidRDefault="00894D2F" w:rsidP="003A0029">
      <w:pPr>
        <w:pStyle w:val="ListParagraph"/>
        <w:numPr>
          <w:ilvl w:val="0"/>
          <w:numId w:val="34"/>
        </w:numPr>
        <w:spacing w:before="120" w:after="120"/>
        <w:jc w:val="both"/>
        <w:rPr>
          <w:rFonts w:ascii="Times New Roman" w:hAnsi="Times New Roman"/>
          <w:color w:val="000000" w:themeColor="text1"/>
          <w:sz w:val="24"/>
          <w:szCs w:val="24"/>
        </w:rPr>
      </w:pPr>
      <w:r w:rsidRPr="008E4EA2">
        <w:rPr>
          <w:rFonts w:ascii="Times New Roman" w:hAnsi="Times New Roman"/>
          <w:color w:val="000000" w:themeColor="text1"/>
          <w:sz w:val="24"/>
          <w:szCs w:val="24"/>
        </w:rPr>
        <w:t xml:space="preserve">ievērojami mazāku </w:t>
      </w:r>
      <w:proofErr w:type="spellStart"/>
      <w:r w:rsidRPr="008E4EA2">
        <w:rPr>
          <w:rFonts w:ascii="Times New Roman" w:hAnsi="Times New Roman"/>
          <w:color w:val="000000" w:themeColor="text1"/>
          <w:sz w:val="24"/>
          <w:szCs w:val="24"/>
        </w:rPr>
        <w:t>virssaistību</w:t>
      </w:r>
      <w:proofErr w:type="spellEnd"/>
      <w:r w:rsidRPr="008E4EA2">
        <w:rPr>
          <w:rFonts w:ascii="Times New Roman" w:hAnsi="Times New Roman"/>
          <w:color w:val="000000" w:themeColor="text1"/>
          <w:sz w:val="24"/>
          <w:szCs w:val="24"/>
        </w:rPr>
        <w:t xml:space="preserve"> līgumu slēgšanu līdz 2012.gada ceturtajam ceturksnim (84,6 </w:t>
      </w:r>
      <w:proofErr w:type="spellStart"/>
      <w:r w:rsidRPr="008E4EA2">
        <w:rPr>
          <w:rFonts w:ascii="Times New Roman" w:hAnsi="Times New Roman"/>
          <w:color w:val="000000" w:themeColor="text1"/>
          <w:sz w:val="24"/>
          <w:szCs w:val="24"/>
        </w:rPr>
        <w:t>milj</w:t>
      </w:r>
      <w:proofErr w:type="spellEnd"/>
      <w:r w:rsidRPr="008E4EA2">
        <w:rPr>
          <w:rFonts w:ascii="Times New Roman" w:hAnsi="Times New Roman"/>
          <w:color w:val="000000" w:themeColor="text1"/>
          <w:sz w:val="24"/>
          <w:szCs w:val="24"/>
        </w:rPr>
        <w:t>. lati);</w:t>
      </w:r>
    </w:p>
    <w:p w:rsidR="00894D2F" w:rsidRPr="008E4EA2" w:rsidRDefault="00894D2F" w:rsidP="003A0029">
      <w:pPr>
        <w:pStyle w:val="ListParagraph"/>
        <w:numPr>
          <w:ilvl w:val="0"/>
          <w:numId w:val="34"/>
        </w:numPr>
        <w:spacing w:before="120" w:after="120"/>
        <w:jc w:val="both"/>
        <w:rPr>
          <w:rFonts w:ascii="Times New Roman" w:hAnsi="Times New Roman"/>
          <w:color w:val="000000" w:themeColor="text1"/>
          <w:sz w:val="24"/>
          <w:szCs w:val="24"/>
        </w:rPr>
      </w:pPr>
      <w:r w:rsidRPr="008E4EA2">
        <w:rPr>
          <w:rFonts w:ascii="Times New Roman" w:hAnsi="Times New Roman"/>
          <w:color w:val="000000" w:themeColor="text1"/>
          <w:sz w:val="24"/>
          <w:szCs w:val="24"/>
        </w:rPr>
        <w:t xml:space="preserve">34 </w:t>
      </w:r>
      <w:proofErr w:type="spellStart"/>
      <w:r w:rsidRPr="008E4EA2">
        <w:rPr>
          <w:rFonts w:ascii="Times New Roman" w:hAnsi="Times New Roman"/>
          <w:color w:val="000000" w:themeColor="text1"/>
          <w:sz w:val="24"/>
          <w:szCs w:val="24"/>
        </w:rPr>
        <w:t>milj</w:t>
      </w:r>
      <w:proofErr w:type="spellEnd"/>
      <w:r w:rsidRPr="008E4EA2">
        <w:rPr>
          <w:rFonts w:ascii="Times New Roman" w:hAnsi="Times New Roman"/>
          <w:color w:val="000000" w:themeColor="text1"/>
          <w:sz w:val="24"/>
          <w:szCs w:val="24"/>
        </w:rPr>
        <w:t>. latu saistību uzņemšanās pārplānota uz 2013-2014.gadu;</w:t>
      </w:r>
    </w:p>
    <w:p w:rsidR="00894D2F" w:rsidRPr="008E4EA2" w:rsidRDefault="00894D2F" w:rsidP="003A0029">
      <w:pPr>
        <w:pStyle w:val="ListParagraph"/>
        <w:numPr>
          <w:ilvl w:val="0"/>
          <w:numId w:val="34"/>
        </w:numPr>
        <w:spacing w:before="120" w:after="120"/>
        <w:jc w:val="both"/>
        <w:rPr>
          <w:rFonts w:ascii="Times New Roman" w:hAnsi="Times New Roman"/>
          <w:color w:val="000000" w:themeColor="text1"/>
          <w:sz w:val="24"/>
          <w:szCs w:val="24"/>
        </w:rPr>
      </w:pPr>
      <w:r w:rsidRPr="008E4EA2">
        <w:rPr>
          <w:rFonts w:ascii="Times New Roman" w:hAnsi="Times New Roman"/>
          <w:color w:val="000000" w:themeColor="text1"/>
          <w:sz w:val="24"/>
          <w:szCs w:val="24"/>
        </w:rPr>
        <w:t xml:space="preserve">lielākais slogs maksājumiem finansējuma saņēmējiem plānots 2015.gadā (104,9 </w:t>
      </w:r>
      <w:proofErr w:type="spellStart"/>
      <w:r w:rsidRPr="008E4EA2">
        <w:rPr>
          <w:rFonts w:ascii="Times New Roman" w:hAnsi="Times New Roman"/>
          <w:color w:val="000000" w:themeColor="text1"/>
          <w:sz w:val="24"/>
          <w:szCs w:val="24"/>
        </w:rPr>
        <w:t>milj</w:t>
      </w:r>
      <w:proofErr w:type="spellEnd"/>
      <w:r w:rsidRPr="008E4EA2">
        <w:rPr>
          <w:rFonts w:ascii="Times New Roman" w:hAnsi="Times New Roman"/>
          <w:color w:val="000000" w:themeColor="text1"/>
          <w:sz w:val="24"/>
          <w:szCs w:val="24"/>
        </w:rPr>
        <w:t xml:space="preserve">. latu), kad iepriekš plānotais maksājumu apjoms palielinās par 101% jeb 52,3 </w:t>
      </w:r>
      <w:proofErr w:type="spellStart"/>
      <w:r w:rsidRPr="008E4EA2">
        <w:rPr>
          <w:rFonts w:ascii="Times New Roman" w:hAnsi="Times New Roman"/>
          <w:color w:val="000000" w:themeColor="text1"/>
          <w:sz w:val="24"/>
          <w:szCs w:val="24"/>
        </w:rPr>
        <w:t>milj</w:t>
      </w:r>
      <w:proofErr w:type="spellEnd"/>
      <w:r w:rsidRPr="008E4EA2">
        <w:rPr>
          <w:rFonts w:ascii="Times New Roman" w:hAnsi="Times New Roman"/>
          <w:color w:val="000000" w:themeColor="text1"/>
          <w:sz w:val="24"/>
          <w:szCs w:val="24"/>
        </w:rPr>
        <w:t>. latu;</w:t>
      </w:r>
    </w:p>
    <w:p w:rsidR="00894D2F" w:rsidRPr="008E4EA2" w:rsidRDefault="00894D2F" w:rsidP="003A0029">
      <w:pPr>
        <w:pStyle w:val="ListParagraph"/>
        <w:numPr>
          <w:ilvl w:val="0"/>
          <w:numId w:val="34"/>
        </w:numPr>
        <w:spacing w:before="120" w:after="120"/>
        <w:jc w:val="both"/>
        <w:rPr>
          <w:rFonts w:ascii="Times New Roman" w:hAnsi="Times New Roman"/>
          <w:color w:val="000000" w:themeColor="text1"/>
          <w:sz w:val="24"/>
          <w:szCs w:val="24"/>
        </w:rPr>
      </w:pPr>
      <w:r w:rsidRPr="008E4EA2">
        <w:rPr>
          <w:rFonts w:ascii="Times New Roman" w:hAnsi="Times New Roman"/>
          <w:color w:val="000000" w:themeColor="text1"/>
          <w:sz w:val="24"/>
          <w:szCs w:val="24"/>
        </w:rPr>
        <w:t>2015.gadā līgumus nav paredzēts slēgt.</w:t>
      </w:r>
    </w:p>
    <w:p w:rsidR="00894D2F" w:rsidRPr="008E4EA2" w:rsidRDefault="00894D2F" w:rsidP="003A0029">
      <w:pPr>
        <w:spacing w:before="120" w:after="120" w:line="276" w:lineRule="auto"/>
        <w:rPr>
          <w:color w:val="000000" w:themeColor="text1"/>
          <w:szCs w:val="24"/>
        </w:rPr>
      </w:pPr>
      <w:r w:rsidRPr="008E4EA2">
        <w:rPr>
          <w:color w:val="000000" w:themeColor="text1"/>
          <w:szCs w:val="24"/>
        </w:rPr>
        <w:t xml:space="preserve">Šī tendence novirzīt saistību uzņemšanos (projektu līgumu slēgšana) un maksājumu veikšanu uz ES finansējuma </w:t>
      </w:r>
      <w:proofErr w:type="spellStart"/>
      <w:r w:rsidRPr="008E4EA2">
        <w:rPr>
          <w:color w:val="000000" w:themeColor="text1"/>
          <w:szCs w:val="24"/>
        </w:rPr>
        <w:t>attiecināmības</w:t>
      </w:r>
      <w:proofErr w:type="spellEnd"/>
      <w:r w:rsidRPr="008E4EA2">
        <w:rPr>
          <w:color w:val="000000" w:themeColor="text1"/>
          <w:szCs w:val="24"/>
        </w:rPr>
        <w:t xml:space="preserve"> perioda beigu posmu rada arvien pieaugošus riskus nepaspēt pabeigt uzsāktos </w:t>
      </w:r>
      <w:proofErr w:type="spellStart"/>
      <w:r w:rsidRPr="008E4EA2">
        <w:rPr>
          <w:color w:val="000000" w:themeColor="text1"/>
          <w:szCs w:val="24"/>
        </w:rPr>
        <w:t>virssaistību</w:t>
      </w:r>
      <w:proofErr w:type="spellEnd"/>
      <w:r w:rsidRPr="008E4EA2">
        <w:rPr>
          <w:color w:val="000000" w:themeColor="text1"/>
          <w:szCs w:val="24"/>
        </w:rPr>
        <w:t xml:space="preserve"> projektus un rada risku, ka veiktie izdevumi var palikt uz valsts budžeta rēķina. Attiecīgi FM saskata nepieciešamību pastiprināti sekot līdzi </w:t>
      </w:r>
      <w:proofErr w:type="spellStart"/>
      <w:r w:rsidRPr="008E4EA2">
        <w:rPr>
          <w:color w:val="000000" w:themeColor="text1"/>
          <w:szCs w:val="24"/>
        </w:rPr>
        <w:t>virssaistību</w:t>
      </w:r>
      <w:proofErr w:type="spellEnd"/>
      <w:r w:rsidRPr="008E4EA2">
        <w:rPr>
          <w:color w:val="000000" w:themeColor="text1"/>
          <w:szCs w:val="24"/>
        </w:rPr>
        <w:t xml:space="preserve"> līgumu slēgšanas gaitai un, ja konstatējamas turpmākas nobīdes laikā, pie objektīvi pārāk liela riska rosināt neatļaut saistību uzņemšanos. </w:t>
      </w:r>
      <w:r w:rsidR="0065755F">
        <w:rPr>
          <w:color w:val="000000" w:themeColor="text1"/>
          <w:szCs w:val="24"/>
        </w:rPr>
        <w:t>AI</w:t>
      </w:r>
      <w:r w:rsidRPr="008E4EA2">
        <w:rPr>
          <w:color w:val="000000" w:themeColor="text1"/>
          <w:szCs w:val="24"/>
        </w:rPr>
        <w:t xml:space="preserve"> īpaši jāuzņemas atbildība izvērtēt projektu realizācijas iespējas un nepieļaut šādu risku iestāšanos.</w:t>
      </w:r>
    </w:p>
    <w:p w:rsidR="00894D2F" w:rsidRPr="008E4EA2" w:rsidRDefault="00894D2F" w:rsidP="003A0029">
      <w:pPr>
        <w:spacing w:before="120" w:after="120" w:line="276" w:lineRule="auto"/>
        <w:rPr>
          <w:color w:val="000000" w:themeColor="text1"/>
          <w:szCs w:val="24"/>
        </w:rPr>
      </w:pPr>
      <w:r w:rsidRPr="008E4EA2">
        <w:rPr>
          <w:color w:val="000000" w:themeColor="text1"/>
          <w:szCs w:val="24"/>
        </w:rPr>
        <w:t xml:space="preserve">Kopā </w:t>
      </w:r>
      <w:proofErr w:type="spellStart"/>
      <w:r w:rsidRPr="008E4EA2">
        <w:rPr>
          <w:color w:val="000000" w:themeColor="text1"/>
          <w:szCs w:val="24"/>
        </w:rPr>
        <w:t>virssaistību</w:t>
      </w:r>
      <w:proofErr w:type="spellEnd"/>
      <w:r w:rsidRPr="008E4EA2">
        <w:rPr>
          <w:color w:val="000000" w:themeColor="text1"/>
          <w:szCs w:val="24"/>
        </w:rPr>
        <w:t xml:space="preserve"> apjoms ir </w:t>
      </w:r>
      <w:r w:rsidR="00B27EA1" w:rsidRPr="008E4EA2">
        <w:rPr>
          <w:color w:val="000000" w:themeColor="text1"/>
          <w:szCs w:val="24"/>
        </w:rPr>
        <w:t xml:space="preserve">298,6 </w:t>
      </w:r>
      <w:proofErr w:type="spellStart"/>
      <w:r w:rsidRPr="008E4EA2">
        <w:rPr>
          <w:color w:val="000000" w:themeColor="text1"/>
          <w:szCs w:val="24"/>
        </w:rPr>
        <w:t>milj</w:t>
      </w:r>
      <w:proofErr w:type="spellEnd"/>
      <w:r w:rsidRPr="008E4EA2">
        <w:rPr>
          <w:color w:val="000000" w:themeColor="text1"/>
          <w:szCs w:val="24"/>
        </w:rPr>
        <w:t>. latu, ko ministrijas paredz uzņemties līdz 2013.gada beigām, lielāko daļu no līgumu apjoma slēdzot 2013.gada ceturtajā ceturksnī.</w:t>
      </w:r>
      <w:r w:rsidR="00876A0E" w:rsidRPr="00876A0E">
        <w:rPr>
          <w:color w:val="000000" w:themeColor="text1"/>
          <w:szCs w:val="24"/>
        </w:rPr>
        <w:t xml:space="preserve"> </w:t>
      </w:r>
      <w:r w:rsidR="00876A0E" w:rsidRPr="008E4EA2">
        <w:rPr>
          <w:color w:val="000000" w:themeColor="text1"/>
          <w:szCs w:val="24"/>
        </w:rPr>
        <w:t>(</w:t>
      </w:r>
      <w:r w:rsidR="00876A0E" w:rsidRPr="008E4EA2">
        <w:rPr>
          <w:color w:val="000000" w:themeColor="text1"/>
          <w:szCs w:val="24"/>
          <w:u w:val="single"/>
        </w:rPr>
        <w:t>skatīt grafiku Nr.8 un pielikumu Nr.2</w:t>
      </w:r>
      <w:r w:rsidR="00876A0E" w:rsidRPr="008E4EA2">
        <w:rPr>
          <w:color w:val="000000" w:themeColor="text1"/>
          <w:szCs w:val="24"/>
        </w:rPr>
        <w:t>).</w:t>
      </w:r>
      <w:r w:rsidRPr="008E4EA2">
        <w:rPr>
          <w:color w:val="000000" w:themeColor="text1"/>
          <w:szCs w:val="24"/>
        </w:rPr>
        <w:t xml:space="preserve"> Savukārt lielākais maksājumu apjoms ES fondu finansējuma saņēmējiem paredzēts 2014.gadā, kas nozīmē projektu ievie</w:t>
      </w:r>
      <w:r w:rsidR="005E1578">
        <w:rPr>
          <w:color w:val="000000" w:themeColor="text1"/>
          <w:szCs w:val="24"/>
        </w:rPr>
        <w:t>šanu atlikušajos vien 1,5 gados.</w:t>
      </w:r>
      <w:r w:rsidR="005E1578" w:rsidRPr="005E1578">
        <w:rPr>
          <w:noProof/>
          <w:lang w:eastAsia="lv-LV"/>
        </w:rPr>
        <w:t xml:space="preserve"> </w:t>
      </w:r>
    </w:p>
    <w:p w:rsidR="00894D2F" w:rsidRDefault="0078381C" w:rsidP="003A0029">
      <w:pPr>
        <w:spacing w:before="120" w:after="120" w:line="276" w:lineRule="auto"/>
        <w:rPr>
          <w:i/>
          <w:color w:val="000000" w:themeColor="text1"/>
          <w:szCs w:val="24"/>
        </w:rPr>
      </w:pPr>
      <w:r w:rsidRPr="008E4EA2">
        <w:rPr>
          <w:color w:val="000000" w:themeColor="text1"/>
          <w:szCs w:val="24"/>
        </w:rPr>
        <w:t>Grafiks Nr.8</w:t>
      </w:r>
      <w:r w:rsidR="00894D2F" w:rsidRPr="008E4EA2">
        <w:rPr>
          <w:color w:val="000000" w:themeColor="text1"/>
          <w:szCs w:val="24"/>
        </w:rPr>
        <w:t xml:space="preserve"> </w:t>
      </w:r>
      <w:r w:rsidR="00894D2F" w:rsidRPr="008E4EA2">
        <w:rPr>
          <w:i/>
          <w:color w:val="000000" w:themeColor="text1"/>
          <w:szCs w:val="24"/>
        </w:rPr>
        <w:t xml:space="preserve">„Plānotais </w:t>
      </w:r>
      <w:proofErr w:type="spellStart"/>
      <w:r w:rsidR="00894D2F" w:rsidRPr="008E4EA2">
        <w:rPr>
          <w:i/>
          <w:color w:val="000000" w:themeColor="text1"/>
          <w:szCs w:val="24"/>
        </w:rPr>
        <w:t>virssaistību</w:t>
      </w:r>
      <w:proofErr w:type="spellEnd"/>
      <w:r w:rsidR="00894D2F" w:rsidRPr="008E4EA2">
        <w:rPr>
          <w:i/>
          <w:color w:val="000000" w:themeColor="text1"/>
          <w:szCs w:val="24"/>
        </w:rPr>
        <w:t xml:space="preserve"> apjoms </w:t>
      </w:r>
      <w:r w:rsidR="008907C5">
        <w:rPr>
          <w:i/>
          <w:color w:val="000000" w:themeColor="text1"/>
          <w:szCs w:val="24"/>
        </w:rPr>
        <w:t xml:space="preserve">noslēgtiem līgumiem ar </w:t>
      </w:r>
      <w:r w:rsidR="00894D2F" w:rsidRPr="008E4EA2">
        <w:rPr>
          <w:i/>
          <w:color w:val="000000" w:themeColor="text1"/>
          <w:szCs w:val="24"/>
        </w:rPr>
        <w:t xml:space="preserve">finansējuma saņēmējiem fondu dalījumā; </w:t>
      </w:r>
      <w:proofErr w:type="spellStart"/>
      <w:r w:rsidR="00894D2F" w:rsidRPr="008E4EA2">
        <w:rPr>
          <w:i/>
          <w:color w:val="000000" w:themeColor="text1"/>
          <w:szCs w:val="24"/>
        </w:rPr>
        <w:t>milj</w:t>
      </w:r>
      <w:proofErr w:type="spellEnd"/>
      <w:r w:rsidR="00894D2F" w:rsidRPr="008E4EA2">
        <w:rPr>
          <w:i/>
          <w:color w:val="000000" w:themeColor="text1"/>
          <w:szCs w:val="24"/>
        </w:rPr>
        <w:t>. latu</w:t>
      </w:r>
      <w:r w:rsidR="005115C9" w:rsidRPr="008E4EA2">
        <w:rPr>
          <w:i/>
          <w:color w:val="000000" w:themeColor="text1"/>
          <w:szCs w:val="24"/>
        </w:rPr>
        <w:t>.</w:t>
      </w:r>
      <w:r w:rsidR="00894D2F" w:rsidRPr="008E4EA2">
        <w:rPr>
          <w:i/>
          <w:color w:val="000000" w:themeColor="text1"/>
          <w:szCs w:val="24"/>
        </w:rPr>
        <w:t>”</w:t>
      </w:r>
    </w:p>
    <w:p w:rsidR="00166B93" w:rsidRPr="008E4EA2" w:rsidRDefault="005E1578" w:rsidP="003A0029">
      <w:pPr>
        <w:spacing w:before="120" w:after="120" w:line="276" w:lineRule="auto"/>
        <w:rPr>
          <w:i/>
          <w:color w:val="000000" w:themeColor="text1"/>
          <w:szCs w:val="24"/>
        </w:rPr>
      </w:pPr>
      <w:r w:rsidRPr="005E1578">
        <w:rPr>
          <w:noProof/>
          <w:lang w:eastAsia="lv-LV"/>
        </w:rPr>
        <mc:AlternateContent>
          <mc:Choice Requires="wps">
            <w:drawing>
              <wp:anchor distT="0" distB="0" distL="114300" distR="114300" simplePos="0" relativeHeight="251661312" behindDoc="0" locked="0" layoutInCell="1" allowOverlap="1" wp14:anchorId="13084FCE" wp14:editId="40EA501A">
                <wp:simplePos x="0" y="0"/>
                <wp:positionH relativeFrom="column">
                  <wp:posOffset>3580130</wp:posOffset>
                </wp:positionH>
                <wp:positionV relativeFrom="paragraph">
                  <wp:posOffset>1565275</wp:posOffset>
                </wp:positionV>
                <wp:extent cx="1123315" cy="304800"/>
                <wp:effectExtent l="0" t="0" r="19685" b="19050"/>
                <wp:wrapNone/>
                <wp:docPr id="22" name="TextBox 6"/>
                <wp:cNvGraphicFramePr/>
                <a:graphic xmlns:a="http://schemas.openxmlformats.org/drawingml/2006/main">
                  <a:graphicData uri="http://schemas.microsoft.com/office/word/2010/wordprocessingShape">
                    <wps:wsp>
                      <wps:cNvSpPr txBox="1"/>
                      <wps:spPr>
                        <a:xfrm>
                          <a:off x="0" y="0"/>
                          <a:ext cx="1123315" cy="3048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BA4562" w:rsidRDefault="00BA4562" w:rsidP="005E1578">
                            <w:pPr>
                              <w:pStyle w:val="NormalWeb"/>
                              <w:spacing w:before="0" w:beforeAutospacing="0" w:after="0" w:afterAutospacing="0"/>
                              <w:jc w:val="center"/>
                            </w:pPr>
                            <w:proofErr w:type="spellStart"/>
                            <w:proofErr w:type="gramStart"/>
                            <w:r>
                              <w:rPr>
                                <w:color w:val="000000" w:themeColor="dark1"/>
                              </w:rPr>
                              <w:t>Kopā</w:t>
                            </w:r>
                            <w:proofErr w:type="spellEnd"/>
                            <w:r>
                              <w:rPr>
                                <w:color w:val="000000" w:themeColor="dark1"/>
                              </w:rPr>
                              <w:t xml:space="preserve">  -</w:t>
                            </w:r>
                            <w:proofErr w:type="gramEnd"/>
                            <w:r>
                              <w:rPr>
                                <w:color w:val="000000" w:themeColor="dark1"/>
                              </w:rPr>
                              <w:t xml:space="preserve"> 298,6</w:t>
                            </w:r>
                          </w:p>
                        </w:txbxContent>
                      </wps:txbx>
                      <wps:bodyPr vertOverflow="clip" horzOverflow="clip" wrap="square" rtlCol="0" anchor="ct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left:0;text-align:left;margin-left:281.9pt;margin-top:123.25pt;width:88.4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" fillcolor="white [3201]" strokecolor="#7f7f7f [1601]">
                <v:textbox>
                  <w:txbxContent>
                    <w:p w:rsidR="00BA4562" w:rsidRDefault="00BA4562" w:rsidP="005E1578">
                      <w:pPr>
                        <w:pStyle w:val="NormalWeb"/>
                        <w:spacing w:before="0" w:beforeAutospacing="0" w:after="0" w:afterAutospacing="0"/>
                        <w:jc w:val="center"/>
                      </w:pPr>
                      <w:proofErr w:type="spellStart"/>
                      <w:proofErr w:type="gramStart"/>
                      <w:r>
                        <w:rPr>
                          <w:color w:val="000000" w:themeColor="dark1"/>
                        </w:rPr>
                        <w:t>Kopā</w:t>
                      </w:r>
                      <w:proofErr w:type="spellEnd"/>
                      <w:r>
                        <w:rPr>
                          <w:color w:val="000000" w:themeColor="dark1"/>
                        </w:rPr>
                        <w:t xml:space="preserve">  -</w:t>
                      </w:r>
                      <w:proofErr w:type="gramEnd"/>
                      <w:r>
                        <w:rPr>
                          <w:color w:val="000000" w:themeColor="dark1"/>
                        </w:rPr>
                        <w:t xml:space="preserve"> 298,6</w:t>
                      </w:r>
                    </w:p>
                  </w:txbxContent>
                </v:textbox>
              </v:shape>
            </w:pict>
          </mc:Fallback>
        </mc:AlternateContent>
      </w:r>
      <w:r w:rsidR="00166B93">
        <w:rPr>
          <w:noProof/>
          <w:lang w:eastAsia="lv-LV"/>
        </w:rPr>
        <w:drawing>
          <wp:inline distT="0" distB="0" distL="0" distR="0" wp14:anchorId="780FCD1C" wp14:editId="113C98F2">
            <wp:extent cx="5390985" cy="2743200"/>
            <wp:effectExtent l="0" t="0" r="63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94D2F" w:rsidRPr="008E4EA2" w:rsidRDefault="00894D2F" w:rsidP="003A0029">
      <w:pPr>
        <w:spacing w:before="120" w:after="120" w:line="276" w:lineRule="auto"/>
        <w:rPr>
          <w:color w:val="000000" w:themeColor="text1"/>
          <w:szCs w:val="24"/>
        </w:rPr>
      </w:pPr>
    </w:p>
    <w:p w:rsidR="00894D2F" w:rsidRPr="008E4EA2" w:rsidRDefault="00894D2F" w:rsidP="003A0029">
      <w:pPr>
        <w:spacing w:before="120" w:after="120" w:line="276" w:lineRule="auto"/>
        <w:rPr>
          <w:color w:val="000000" w:themeColor="text1"/>
          <w:szCs w:val="24"/>
        </w:rPr>
      </w:pPr>
      <w:r w:rsidRPr="008E4EA2">
        <w:rPr>
          <w:color w:val="000000" w:themeColor="text1"/>
          <w:szCs w:val="24"/>
        </w:rPr>
        <w:lastRenderedPageBreak/>
        <w:t xml:space="preserve">Saskaņā ar MK sēdes š.g.15.maija </w:t>
      </w:r>
      <w:proofErr w:type="spellStart"/>
      <w:r w:rsidRPr="008E4EA2">
        <w:rPr>
          <w:color w:val="000000" w:themeColor="text1"/>
          <w:szCs w:val="24"/>
        </w:rPr>
        <w:t>protokollēmuma</w:t>
      </w:r>
      <w:proofErr w:type="spellEnd"/>
      <w:r w:rsidRPr="008E4EA2">
        <w:rPr>
          <w:color w:val="000000" w:themeColor="text1"/>
          <w:szCs w:val="24"/>
        </w:rPr>
        <w:t xml:space="preserve"> (protokols Nr.27, 31.§) 5.punktu konceptuāli MK atbalstīja </w:t>
      </w:r>
      <w:proofErr w:type="spellStart"/>
      <w:r w:rsidRPr="008E4EA2">
        <w:rPr>
          <w:color w:val="000000" w:themeColor="text1"/>
          <w:szCs w:val="24"/>
        </w:rPr>
        <w:t>virssaistības</w:t>
      </w:r>
      <w:proofErr w:type="spellEnd"/>
      <w:r w:rsidRPr="008E4EA2">
        <w:rPr>
          <w:color w:val="000000" w:themeColor="text1"/>
          <w:szCs w:val="24"/>
        </w:rPr>
        <w:t xml:space="preserve"> 12 </w:t>
      </w:r>
      <w:proofErr w:type="spellStart"/>
      <w:r w:rsidRPr="008E4EA2">
        <w:rPr>
          <w:color w:val="000000" w:themeColor="text1"/>
          <w:szCs w:val="24"/>
        </w:rPr>
        <w:t>milj</w:t>
      </w:r>
      <w:proofErr w:type="spellEnd"/>
      <w:r w:rsidRPr="008E4EA2">
        <w:rPr>
          <w:color w:val="000000" w:themeColor="text1"/>
          <w:szCs w:val="24"/>
        </w:rPr>
        <w:t xml:space="preserve">. latu apmērā, taču KM bija jāiesniedz priekšlikumi tā pamatojumam. Izvērtējot projektu gatavības pakāpi, nepieciešamību un prioritātes, ir atbalstīts KM priekšlikums par </w:t>
      </w:r>
      <w:proofErr w:type="spellStart"/>
      <w:r w:rsidRPr="008E4EA2">
        <w:rPr>
          <w:color w:val="000000" w:themeColor="text1"/>
          <w:szCs w:val="24"/>
        </w:rPr>
        <w:t>virssaistību</w:t>
      </w:r>
      <w:proofErr w:type="spellEnd"/>
      <w:r w:rsidRPr="008E4EA2">
        <w:rPr>
          <w:color w:val="000000" w:themeColor="text1"/>
          <w:szCs w:val="24"/>
        </w:rPr>
        <w:t xml:space="preserve"> piešķiršanu 8 </w:t>
      </w:r>
      <w:proofErr w:type="spellStart"/>
      <w:r w:rsidRPr="008E4EA2">
        <w:rPr>
          <w:color w:val="000000" w:themeColor="text1"/>
          <w:szCs w:val="24"/>
        </w:rPr>
        <w:t>milj</w:t>
      </w:r>
      <w:proofErr w:type="spellEnd"/>
      <w:r w:rsidRPr="008E4EA2">
        <w:rPr>
          <w:color w:val="000000" w:themeColor="text1"/>
          <w:szCs w:val="24"/>
        </w:rPr>
        <w:t xml:space="preserve">. latu apmērā aktivitātei „Sociālekonomiski nozīmīgu kultūras mantojuma objektu atjaunošana”, par ko jau ir attiecīgi MK noteikumi. Saskaņā ar </w:t>
      </w:r>
      <w:proofErr w:type="spellStart"/>
      <w:r w:rsidRPr="008E4EA2">
        <w:rPr>
          <w:color w:val="000000" w:themeColor="text1"/>
          <w:szCs w:val="24"/>
        </w:rPr>
        <w:t>š.g</w:t>
      </w:r>
      <w:proofErr w:type="spellEnd"/>
      <w:r w:rsidRPr="008E4EA2">
        <w:rPr>
          <w:color w:val="000000" w:themeColor="text1"/>
          <w:szCs w:val="24"/>
        </w:rPr>
        <w:t xml:space="preserve">. 21.augusta MK sēdes </w:t>
      </w:r>
      <w:proofErr w:type="spellStart"/>
      <w:r w:rsidRPr="008E4EA2">
        <w:rPr>
          <w:color w:val="000000" w:themeColor="text1"/>
          <w:szCs w:val="24"/>
        </w:rPr>
        <w:t>protokollēmuma</w:t>
      </w:r>
      <w:proofErr w:type="spellEnd"/>
      <w:r w:rsidRPr="008E4EA2">
        <w:rPr>
          <w:color w:val="000000" w:themeColor="text1"/>
          <w:szCs w:val="24"/>
        </w:rPr>
        <w:t xml:space="preserve"> (protokols Nr.48, 28.§) 9.punktu papildus VI ir saņēmusi, izvērtējusi nepieciešamību, pamatojumu un apguves plānu un atbalsta KM priekšlikumu un plānus </w:t>
      </w:r>
      <w:proofErr w:type="spellStart"/>
      <w:r w:rsidRPr="008E4EA2">
        <w:rPr>
          <w:color w:val="000000" w:themeColor="text1"/>
          <w:szCs w:val="24"/>
        </w:rPr>
        <w:t>virssaistībām</w:t>
      </w:r>
      <w:proofErr w:type="spellEnd"/>
      <w:r w:rsidRPr="008E4EA2">
        <w:rPr>
          <w:color w:val="000000" w:themeColor="text1"/>
          <w:szCs w:val="24"/>
        </w:rPr>
        <w:t xml:space="preserve"> 4 </w:t>
      </w:r>
      <w:proofErr w:type="spellStart"/>
      <w:r w:rsidRPr="008E4EA2">
        <w:rPr>
          <w:color w:val="000000" w:themeColor="text1"/>
          <w:szCs w:val="24"/>
        </w:rPr>
        <w:t>milj</w:t>
      </w:r>
      <w:proofErr w:type="spellEnd"/>
      <w:r w:rsidRPr="008E4EA2">
        <w:rPr>
          <w:color w:val="000000" w:themeColor="text1"/>
          <w:szCs w:val="24"/>
        </w:rPr>
        <w:t xml:space="preserve">. latu apjomā aktivitātes „Atbalsts kultūras pieminekļu privātīpašniekiem kultūras pieminekļu saglabāšanā un to sociālekonomiskā potenciāla efektīvā izmantošanā” projektu īstenošanai. KM aktīvi jāizstrādā un jāvirza apstiprināšanai attiecīgie aktivitātes MK noteikumi. Skat informatīvā ziņojuma </w:t>
      </w:r>
      <w:proofErr w:type="spellStart"/>
      <w:r w:rsidRPr="008E4EA2">
        <w:rPr>
          <w:color w:val="000000" w:themeColor="text1"/>
          <w:szCs w:val="24"/>
        </w:rPr>
        <w:t>protokollēmuma</w:t>
      </w:r>
      <w:proofErr w:type="spellEnd"/>
      <w:r w:rsidRPr="008E4EA2">
        <w:rPr>
          <w:color w:val="000000" w:themeColor="text1"/>
          <w:szCs w:val="24"/>
        </w:rPr>
        <w:t xml:space="preserve"> projekta </w:t>
      </w:r>
      <w:r w:rsidR="0072554F" w:rsidRPr="008E4EA2">
        <w:rPr>
          <w:color w:val="000000" w:themeColor="text1"/>
          <w:szCs w:val="24"/>
        </w:rPr>
        <w:t>7</w:t>
      </w:r>
      <w:r w:rsidRPr="008E4EA2">
        <w:rPr>
          <w:color w:val="000000" w:themeColor="text1"/>
          <w:szCs w:val="24"/>
        </w:rPr>
        <w:t>.punktu).</w:t>
      </w:r>
    </w:p>
    <w:p w:rsidR="00894D2F" w:rsidRPr="008E4EA2" w:rsidRDefault="00894D2F" w:rsidP="003A0029">
      <w:pPr>
        <w:spacing w:before="120" w:after="120" w:line="276" w:lineRule="auto"/>
        <w:rPr>
          <w:b/>
          <w:color w:val="000000" w:themeColor="text1"/>
          <w:szCs w:val="24"/>
        </w:rPr>
      </w:pPr>
      <w:proofErr w:type="spellStart"/>
      <w:r w:rsidRPr="008E4EA2">
        <w:rPr>
          <w:b/>
          <w:color w:val="000000" w:themeColor="text1"/>
          <w:szCs w:val="24"/>
        </w:rPr>
        <w:t>Virssaistību</w:t>
      </w:r>
      <w:proofErr w:type="spellEnd"/>
      <w:r w:rsidRPr="008E4EA2">
        <w:rPr>
          <w:b/>
          <w:color w:val="000000" w:themeColor="text1"/>
          <w:szCs w:val="24"/>
        </w:rPr>
        <w:t xml:space="preserve"> uzraudzība</w:t>
      </w:r>
    </w:p>
    <w:p w:rsidR="004D1C61" w:rsidRPr="008E4EA2" w:rsidRDefault="004D1C61" w:rsidP="003A0029">
      <w:pPr>
        <w:spacing w:before="120" w:after="120" w:line="276" w:lineRule="auto"/>
        <w:rPr>
          <w:iCs/>
          <w:color w:val="000000" w:themeColor="text1"/>
          <w:szCs w:val="24"/>
        </w:rPr>
      </w:pPr>
      <w:r w:rsidRPr="008E4EA2">
        <w:rPr>
          <w:iCs/>
          <w:color w:val="000000" w:themeColor="text1"/>
          <w:szCs w:val="24"/>
        </w:rPr>
        <w:t xml:space="preserve">Šobrīd 21 aktivitātē, kurās paredzēts uzņemties </w:t>
      </w:r>
      <w:proofErr w:type="spellStart"/>
      <w:r w:rsidRPr="008E4EA2">
        <w:rPr>
          <w:iCs/>
          <w:color w:val="000000" w:themeColor="text1"/>
          <w:szCs w:val="24"/>
        </w:rPr>
        <w:t>virssaistības</w:t>
      </w:r>
      <w:proofErr w:type="spellEnd"/>
      <w:r w:rsidRPr="008E4EA2">
        <w:rPr>
          <w:iCs/>
          <w:color w:val="000000" w:themeColor="text1"/>
          <w:szCs w:val="24"/>
        </w:rPr>
        <w:t>, apstiprināti MK noteikumi. Šīs aktivitātes ir:</w:t>
      </w:r>
    </w:p>
    <w:p w:rsidR="004D1C61" w:rsidRPr="008E4EA2" w:rsidRDefault="00622EA6"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1.1.1.2.aktivitāte „</w:t>
      </w:r>
      <w:r w:rsidR="004D1C61" w:rsidRPr="008E4EA2">
        <w:rPr>
          <w:rFonts w:ascii="Times New Roman" w:hAnsi="Times New Roman"/>
          <w:iCs/>
          <w:color w:val="000000" w:themeColor="text1"/>
          <w:sz w:val="24"/>
          <w:szCs w:val="24"/>
        </w:rPr>
        <w:t>C</w:t>
      </w:r>
      <w:r w:rsidRPr="008E4EA2">
        <w:rPr>
          <w:rFonts w:ascii="Times New Roman" w:hAnsi="Times New Roman"/>
          <w:iCs/>
          <w:color w:val="000000" w:themeColor="text1"/>
          <w:sz w:val="24"/>
          <w:szCs w:val="24"/>
        </w:rPr>
        <w:t>ilvēkresursu piesaiste zinātnei”</w:t>
      </w:r>
      <w:r w:rsidR="004D1C61" w:rsidRPr="008E4EA2">
        <w:rPr>
          <w:rFonts w:ascii="Times New Roman" w:hAnsi="Times New Roman"/>
          <w:iCs/>
          <w:color w:val="000000" w:themeColor="text1"/>
          <w:sz w:val="24"/>
          <w:szCs w:val="24"/>
        </w:rPr>
        <w:t xml:space="preserve">, paredzot </w:t>
      </w:r>
      <w:proofErr w:type="spellStart"/>
      <w:r w:rsidR="004D1C61" w:rsidRPr="008E4EA2">
        <w:rPr>
          <w:rFonts w:ascii="Times New Roman" w:hAnsi="Times New Roman"/>
          <w:iCs/>
          <w:color w:val="000000" w:themeColor="text1"/>
          <w:sz w:val="24"/>
          <w:szCs w:val="24"/>
        </w:rPr>
        <w:t>virssaistību</w:t>
      </w:r>
      <w:proofErr w:type="spellEnd"/>
      <w:r w:rsidR="004D1C61" w:rsidRPr="008E4EA2">
        <w:rPr>
          <w:rFonts w:ascii="Times New Roman" w:hAnsi="Times New Roman"/>
          <w:iCs/>
          <w:color w:val="000000" w:themeColor="text1"/>
          <w:sz w:val="24"/>
          <w:szCs w:val="24"/>
        </w:rPr>
        <w:t xml:space="preserve"> finansējumu 4</w:t>
      </w:r>
      <w:r w:rsidRPr="008E4EA2">
        <w:rPr>
          <w:rFonts w:ascii="Times New Roman" w:hAnsi="Times New Roman"/>
          <w:iCs/>
          <w:color w:val="000000" w:themeColor="text1"/>
          <w:sz w:val="24"/>
          <w:szCs w:val="24"/>
        </w:rPr>
        <w:t>,5</w:t>
      </w:r>
      <w:r w:rsidR="004D1C61" w:rsidRPr="008E4EA2">
        <w:rPr>
          <w:rFonts w:ascii="Times New Roman" w:hAnsi="Times New Roman"/>
          <w:iCs/>
          <w:color w:val="000000" w:themeColor="text1"/>
          <w:sz w:val="24"/>
          <w:szCs w:val="24"/>
        </w:rPr>
        <w:t xml:space="preserve"> </w:t>
      </w:r>
      <w:proofErr w:type="spellStart"/>
      <w:r w:rsidRPr="008E4EA2">
        <w:rPr>
          <w:rFonts w:ascii="Times New Roman" w:hAnsi="Times New Roman"/>
          <w:iCs/>
          <w:color w:val="000000" w:themeColor="text1"/>
          <w:sz w:val="24"/>
          <w:szCs w:val="24"/>
        </w:rPr>
        <w:t>milj</w:t>
      </w:r>
      <w:proofErr w:type="spellEnd"/>
      <w:r w:rsidRPr="008E4EA2">
        <w:rPr>
          <w:rFonts w:ascii="Times New Roman" w:hAnsi="Times New Roman"/>
          <w:iCs/>
          <w:color w:val="000000" w:themeColor="text1"/>
          <w:sz w:val="24"/>
          <w:szCs w:val="24"/>
        </w:rPr>
        <w:t>.</w:t>
      </w:r>
      <w:r w:rsidR="004D1C61" w:rsidRPr="008E4EA2">
        <w:rPr>
          <w:rFonts w:ascii="Times New Roman" w:hAnsi="Times New Roman"/>
          <w:iCs/>
          <w:color w:val="000000" w:themeColor="text1"/>
          <w:sz w:val="24"/>
          <w:szCs w:val="24"/>
        </w:rPr>
        <w:t xml:space="preserve"> latu apmērā;</w:t>
      </w:r>
    </w:p>
    <w:p w:rsidR="004D1C61" w:rsidRPr="008E4EA2" w:rsidRDefault="00622EA6"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1.2.1.1.3.apakšaktivitāte „</w:t>
      </w:r>
      <w:r w:rsidR="004D1C61" w:rsidRPr="008E4EA2">
        <w:rPr>
          <w:rFonts w:ascii="Times New Roman" w:hAnsi="Times New Roman"/>
          <w:iCs/>
          <w:color w:val="000000" w:themeColor="text1"/>
          <w:sz w:val="24"/>
          <w:szCs w:val="24"/>
        </w:rPr>
        <w:t>Atbalsts sākotnējās profesionālās izglītības programmu īstenošanas kvalit</w:t>
      </w:r>
      <w:r w:rsidRPr="008E4EA2">
        <w:rPr>
          <w:rFonts w:ascii="Times New Roman" w:hAnsi="Times New Roman"/>
          <w:iCs/>
          <w:color w:val="000000" w:themeColor="text1"/>
          <w:sz w:val="24"/>
          <w:szCs w:val="24"/>
        </w:rPr>
        <w:t>ātes uzlabošanai un īstenošanai”</w:t>
      </w:r>
      <w:r w:rsidR="004D1C61" w:rsidRPr="008E4EA2">
        <w:rPr>
          <w:rFonts w:ascii="Times New Roman" w:hAnsi="Times New Roman"/>
          <w:iCs/>
          <w:color w:val="000000" w:themeColor="text1"/>
          <w:sz w:val="24"/>
          <w:szCs w:val="24"/>
        </w:rPr>
        <w:t>, paredz</w:t>
      </w:r>
      <w:r w:rsidRPr="008E4EA2">
        <w:rPr>
          <w:rFonts w:ascii="Times New Roman" w:hAnsi="Times New Roman"/>
          <w:iCs/>
          <w:color w:val="000000" w:themeColor="text1"/>
          <w:sz w:val="24"/>
          <w:szCs w:val="24"/>
        </w:rPr>
        <w:t xml:space="preserve">ot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finansējumu 509,5 </w:t>
      </w:r>
      <w:proofErr w:type="spellStart"/>
      <w:r w:rsidRPr="008E4EA2">
        <w:rPr>
          <w:rFonts w:ascii="Times New Roman" w:hAnsi="Times New Roman"/>
          <w:iCs/>
          <w:color w:val="000000" w:themeColor="text1"/>
          <w:sz w:val="24"/>
          <w:szCs w:val="24"/>
        </w:rPr>
        <w:t>tūkst</w:t>
      </w:r>
      <w:proofErr w:type="spellEnd"/>
      <w:r w:rsidRPr="008E4EA2">
        <w:rPr>
          <w:rFonts w:ascii="Times New Roman" w:hAnsi="Times New Roman"/>
          <w:iCs/>
          <w:color w:val="000000" w:themeColor="text1"/>
          <w:sz w:val="24"/>
          <w:szCs w:val="24"/>
        </w:rPr>
        <w:t>.</w:t>
      </w:r>
      <w:r w:rsidR="004D1C61" w:rsidRPr="008E4EA2">
        <w:rPr>
          <w:rFonts w:ascii="Times New Roman" w:hAnsi="Times New Roman"/>
          <w:iCs/>
          <w:color w:val="000000" w:themeColor="text1"/>
          <w:sz w:val="24"/>
          <w:szCs w:val="24"/>
        </w:rPr>
        <w:t xml:space="preserve"> latu apmērā;</w:t>
      </w:r>
    </w:p>
    <w:p w:rsidR="004D1C61" w:rsidRPr="008E4EA2" w:rsidRDefault="004D1C61"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 xml:space="preserve">1.2.1.1.4.apakšaktivitāte </w:t>
      </w:r>
      <w:r w:rsidR="00622EA6" w:rsidRPr="008E4EA2">
        <w:rPr>
          <w:rFonts w:ascii="Times New Roman" w:hAnsi="Times New Roman"/>
          <w:iCs/>
          <w:color w:val="000000" w:themeColor="text1"/>
          <w:sz w:val="24"/>
          <w:szCs w:val="24"/>
        </w:rPr>
        <w:t>„</w:t>
      </w:r>
      <w:r w:rsidRPr="008E4EA2">
        <w:rPr>
          <w:rFonts w:ascii="Times New Roman" w:hAnsi="Times New Roman"/>
          <w:iCs/>
          <w:color w:val="000000" w:themeColor="text1"/>
          <w:sz w:val="24"/>
          <w:szCs w:val="24"/>
        </w:rPr>
        <w:t>Sākotnējās profesionālās izglītības pievilcības veicināšana</w:t>
      </w:r>
      <w:r w:rsidR="00702EBD" w:rsidRPr="008E4EA2">
        <w:rPr>
          <w:rFonts w:ascii="Times New Roman" w:hAnsi="Times New Roman"/>
          <w:iCs/>
          <w:color w:val="000000" w:themeColor="text1"/>
          <w:sz w:val="24"/>
          <w:szCs w:val="24"/>
        </w:rPr>
        <w:t>”</w:t>
      </w:r>
      <w:r w:rsidRPr="008E4EA2">
        <w:rPr>
          <w:rFonts w:ascii="Times New Roman" w:hAnsi="Times New Roman"/>
          <w:iCs/>
          <w:color w:val="000000" w:themeColor="text1"/>
          <w:sz w:val="24"/>
          <w:szCs w:val="24"/>
        </w:rPr>
        <w:t xml:space="preserve">, paredzot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finansējumu 3</w:t>
      </w:r>
      <w:r w:rsidR="00702EBD" w:rsidRPr="008E4EA2">
        <w:rPr>
          <w:rFonts w:ascii="Times New Roman" w:hAnsi="Times New Roman"/>
          <w:iCs/>
          <w:color w:val="000000" w:themeColor="text1"/>
          <w:sz w:val="24"/>
          <w:szCs w:val="24"/>
        </w:rPr>
        <w:t xml:space="preserve">,8 </w:t>
      </w:r>
      <w:proofErr w:type="spellStart"/>
      <w:r w:rsidR="00702EBD" w:rsidRPr="008E4EA2">
        <w:rPr>
          <w:rFonts w:ascii="Times New Roman" w:hAnsi="Times New Roman"/>
          <w:iCs/>
          <w:color w:val="000000" w:themeColor="text1"/>
          <w:sz w:val="24"/>
          <w:szCs w:val="24"/>
        </w:rPr>
        <w:t>milj</w:t>
      </w:r>
      <w:proofErr w:type="spellEnd"/>
      <w:r w:rsidR="00702EBD" w:rsidRPr="008E4EA2">
        <w:rPr>
          <w:rFonts w:ascii="Times New Roman" w:hAnsi="Times New Roman"/>
          <w:iCs/>
          <w:color w:val="000000" w:themeColor="text1"/>
          <w:sz w:val="24"/>
          <w:szCs w:val="24"/>
        </w:rPr>
        <w:t xml:space="preserve">. </w:t>
      </w:r>
      <w:r w:rsidRPr="008E4EA2">
        <w:rPr>
          <w:rFonts w:ascii="Times New Roman" w:hAnsi="Times New Roman"/>
          <w:iCs/>
          <w:color w:val="000000" w:themeColor="text1"/>
          <w:sz w:val="24"/>
          <w:szCs w:val="24"/>
        </w:rPr>
        <w:t>latu apmērā;</w:t>
      </w:r>
    </w:p>
    <w:p w:rsidR="004D1C61" w:rsidRPr="008E4EA2" w:rsidRDefault="004D1C61"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 xml:space="preserve">1.2.2.1.2.apakšaktivitāte </w:t>
      </w:r>
      <w:r w:rsidR="00622EA6" w:rsidRPr="008E4EA2">
        <w:rPr>
          <w:rFonts w:ascii="Times New Roman" w:hAnsi="Times New Roman"/>
          <w:iCs/>
          <w:color w:val="000000" w:themeColor="text1"/>
          <w:sz w:val="24"/>
          <w:szCs w:val="24"/>
        </w:rPr>
        <w:t>„</w:t>
      </w:r>
      <w:r w:rsidRPr="008E4EA2">
        <w:rPr>
          <w:rFonts w:ascii="Times New Roman" w:hAnsi="Times New Roman"/>
          <w:iCs/>
          <w:color w:val="000000" w:themeColor="text1"/>
          <w:sz w:val="24"/>
          <w:szCs w:val="24"/>
        </w:rPr>
        <w:t>Atbalsts Mūžizglītības politikas pamatnostādņu</w:t>
      </w:r>
      <w:r w:rsidR="005E1672">
        <w:rPr>
          <w:rFonts w:ascii="Times New Roman" w:hAnsi="Times New Roman"/>
          <w:iCs/>
          <w:color w:val="000000" w:themeColor="text1"/>
          <w:sz w:val="24"/>
          <w:szCs w:val="24"/>
        </w:rPr>
        <w:t xml:space="preserve"> </w:t>
      </w:r>
      <w:r w:rsidRPr="008E4EA2">
        <w:rPr>
          <w:rFonts w:ascii="Times New Roman" w:hAnsi="Times New Roman"/>
          <w:iCs/>
          <w:color w:val="000000" w:themeColor="text1"/>
          <w:sz w:val="24"/>
          <w:szCs w:val="24"/>
        </w:rPr>
        <w:t>īstenošanai</w:t>
      </w:r>
      <w:r w:rsidR="00702EBD" w:rsidRPr="008E4EA2">
        <w:rPr>
          <w:rFonts w:ascii="Times New Roman" w:hAnsi="Times New Roman"/>
          <w:iCs/>
          <w:color w:val="000000" w:themeColor="text1"/>
          <w:sz w:val="24"/>
          <w:szCs w:val="24"/>
        </w:rPr>
        <w:t>”</w:t>
      </w:r>
      <w:r w:rsidRPr="008E4EA2">
        <w:rPr>
          <w:rFonts w:ascii="Times New Roman" w:hAnsi="Times New Roman"/>
          <w:iCs/>
          <w:color w:val="000000" w:themeColor="text1"/>
          <w:sz w:val="24"/>
          <w:szCs w:val="24"/>
        </w:rPr>
        <w:t xml:space="preserve">, paredzot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finansējumu 1 </w:t>
      </w:r>
      <w:proofErr w:type="spellStart"/>
      <w:r w:rsidR="00702EBD" w:rsidRPr="008E4EA2">
        <w:rPr>
          <w:rFonts w:ascii="Times New Roman" w:hAnsi="Times New Roman"/>
          <w:iCs/>
          <w:color w:val="000000" w:themeColor="text1"/>
          <w:sz w:val="24"/>
          <w:szCs w:val="24"/>
        </w:rPr>
        <w:t>milj</w:t>
      </w:r>
      <w:proofErr w:type="spellEnd"/>
      <w:r w:rsidR="00702EBD" w:rsidRPr="008E4EA2">
        <w:rPr>
          <w:rFonts w:ascii="Times New Roman" w:hAnsi="Times New Roman"/>
          <w:iCs/>
          <w:color w:val="000000" w:themeColor="text1"/>
          <w:sz w:val="24"/>
          <w:szCs w:val="24"/>
        </w:rPr>
        <w:t xml:space="preserve">. </w:t>
      </w:r>
      <w:r w:rsidRPr="008E4EA2">
        <w:rPr>
          <w:rFonts w:ascii="Times New Roman" w:hAnsi="Times New Roman"/>
          <w:iCs/>
          <w:color w:val="000000" w:themeColor="text1"/>
          <w:sz w:val="24"/>
          <w:szCs w:val="24"/>
        </w:rPr>
        <w:t>latu apmērā;</w:t>
      </w:r>
    </w:p>
    <w:p w:rsidR="004D1C61" w:rsidRPr="008E4EA2" w:rsidRDefault="004D1C61"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 xml:space="preserve">1.3.1.1.1.apakšaktivitāte </w:t>
      </w:r>
      <w:r w:rsidR="00622EA6" w:rsidRPr="008E4EA2">
        <w:rPr>
          <w:rFonts w:ascii="Times New Roman" w:hAnsi="Times New Roman"/>
          <w:iCs/>
          <w:color w:val="000000" w:themeColor="text1"/>
          <w:sz w:val="24"/>
          <w:szCs w:val="24"/>
        </w:rPr>
        <w:t>„</w:t>
      </w:r>
      <w:r w:rsidRPr="008E4EA2">
        <w:rPr>
          <w:rFonts w:ascii="Times New Roman" w:hAnsi="Times New Roman"/>
          <w:iCs/>
          <w:color w:val="000000" w:themeColor="text1"/>
          <w:sz w:val="24"/>
          <w:szCs w:val="24"/>
        </w:rPr>
        <w:t>Atbalsts nodarbināto apmācībām komersantu konkurētspējas veicināšanai - atbalsts partnerībās organizētām apmācībām</w:t>
      </w:r>
      <w:r w:rsidR="00702EBD" w:rsidRPr="008E4EA2">
        <w:rPr>
          <w:rFonts w:ascii="Times New Roman" w:hAnsi="Times New Roman"/>
          <w:iCs/>
          <w:color w:val="000000" w:themeColor="text1"/>
          <w:sz w:val="24"/>
          <w:szCs w:val="24"/>
        </w:rPr>
        <w:t>”</w:t>
      </w:r>
      <w:r w:rsidRPr="008E4EA2">
        <w:rPr>
          <w:rFonts w:ascii="Times New Roman" w:hAnsi="Times New Roman"/>
          <w:iCs/>
          <w:color w:val="000000" w:themeColor="text1"/>
          <w:sz w:val="24"/>
          <w:szCs w:val="24"/>
        </w:rPr>
        <w:t>, pare</w:t>
      </w:r>
      <w:r w:rsidR="00702EBD" w:rsidRPr="008E4EA2">
        <w:rPr>
          <w:rFonts w:ascii="Times New Roman" w:hAnsi="Times New Roman"/>
          <w:iCs/>
          <w:color w:val="000000" w:themeColor="text1"/>
          <w:sz w:val="24"/>
          <w:szCs w:val="24"/>
        </w:rPr>
        <w:t xml:space="preserve">dzot </w:t>
      </w:r>
      <w:proofErr w:type="spellStart"/>
      <w:r w:rsidR="00702EBD" w:rsidRPr="008E4EA2">
        <w:rPr>
          <w:rFonts w:ascii="Times New Roman" w:hAnsi="Times New Roman"/>
          <w:iCs/>
          <w:color w:val="000000" w:themeColor="text1"/>
          <w:sz w:val="24"/>
          <w:szCs w:val="24"/>
        </w:rPr>
        <w:t>virssaistību</w:t>
      </w:r>
      <w:proofErr w:type="spellEnd"/>
      <w:r w:rsidR="00702EBD" w:rsidRPr="008E4EA2">
        <w:rPr>
          <w:rFonts w:ascii="Times New Roman" w:hAnsi="Times New Roman"/>
          <w:iCs/>
          <w:color w:val="000000" w:themeColor="text1"/>
          <w:sz w:val="24"/>
          <w:szCs w:val="24"/>
        </w:rPr>
        <w:t xml:space="preserve"> finansējumu 2,5 </w:t>
      </w:r>
      <w:proofErr w:type="spellStart"/>
      <w:r w:rsidR="00702EBD" w:rsidRPr="008E4EA2">
        <w:rPr>
          <w:rFonts w:ascii="Times New Roman" w:hAnsi="Times New Roman"/>
          <w:iCs/>
          <w:color w:val="000000" w:themeColor="text1"/>
          <w:sz w:val="24"/>
          <w:szCs w:val="24"/>
        </w:rPr>
        <w:t>milj</w:t>
      </w:r>
      <w:proofErr w:type="spellEnd"/>
      <w:r w:rsidR="00702EBD" w:rsidRPr="008E4EA2">
        <w:rPr>
          <w:rFonts w:ascii="Times New Roman" w:hAnsi="Times New Roman"/>
          <w:iCs/>
          <w:color w:val="000000" w:themeColor="text1"/>
          <w:sz w:val="24"/>
          <w:szCs w:val="24"/>
        </w:rPr>
        <w:t xml:space="preserve">. </w:t>
      </w:r>
      <w:r w:rsidRPr="008E4EA2">
        <w:rPr>
          <w:rFonts w:ascii="Times New Roman" w:hAnsi="Times New Roman"/>
          <w:iCs/>
          <w:color w:val="000000" w:themeColor="text1"/>
          <w:sz w:val="24"/>
          <w:szCs w:val="24"/>
        </w:rPr>
        <w:t>latu apmērā;</w:t>
      </w:r>
    </w:p>
    <w:p w:rsidR="004D1C61" w:rsidRPr="008E4EA2" w:rsidRDefault="004D1C61"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 xml:space="preserve">1.3.1.1.3.apakšaktivitāte </w:t>
      </w:r>
      <w:r w:rsidR="00622EA6" w:rsidRPr="008E4EA2">
        <w:rPr>
          <w:rFonts w:ascii="Times New Roman" w:hAnsi="Times New Roman"/>
          <w:iCs/>
          <w:color w:val="000000" w:themeColor="text1"/>
          <w:sz w:val="24"/>
          <w:szCs w:val="24"/>
        </w:rPr>
        <w:t>„</w:t>
      </w:r>
      <w:r w:rsidRPr="008E4EA2">
        <w:rPr>
          <w:rFonts w:ascii="Times New Roman" w:hAnsi="Times New Roman"/>
          <w:iCs/>
          <w:color w:val="000000" w:themeColor="text1"/>
          <w:sz w:val="24"/>
          <w:szCs w:val="24"/>
        </w:rPr>
        <w:t>Bezdarbnieku un darba meklētāju apmācība</w:t>
      </w:r>
      <w:r w:rsidR="00702EBD" w:rsidRPr="008E4EA2">
        <w:rPr>
          <w:rFonts w:ascii="Times New Roman" w:hAnsi="Times New Roman"/>
          <w:iCs/>
          <w:color w:val="000000" w:themeColor="text1"/>
          <w:sz w:val="24"/>
          <w:szCs w:val="24"/>
        </w:rPr>
        <w:t>”</w:t>
      </w:r>
      <w:r w:rsidRPr="008E4EA2">
        <w:rPr>
          <w:rFonts w:ascii="Times New Roman" w:hAnsi="Times New Roman"/>
          <w:iCs/>
          <w:color w:val="000000" w:themeColor="text1"/>
          <w:sz w:val="24"/>
          <w:szCs w:val="24"/>
        </w:rPr>
        <w:t xml:space="preserve">, paredzot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finansējumu</w:t>
      </w:r>
      <w:r w:rsidR="005E1672">
        <w:rPr>
          <w:rFonts w:ascii="Times New Roman" w:hAnsi="Times New Roman"/>
          <w:iCs/>
          <w:color w:val="000000" w:themeColor="text1"/>
          <w:sz w:val="24"/>
          <w:szCs w:val="24"/>
        </w:rPr>
        <w:t xml:space="preserve"> </w:t>
      </w:r>
      <w:r w:rsidRPr="008E4EA2">
        <w:rPr>
          <w:rFonts w:ascii="Times New Roman" w:hAnsi="Times New Roman"/>
          <w:iCs/>
          <w:color w:val="000000" w:themeColor="text1"/>
          <w:sz w:val="24"/>
          <w:szCs w:val="24"/>
        </w:rPr>
        <w:t>7</w:t>
      </w:r>
      <w:r w:rsidR="00702EBD" w:rsidRPr="008E4EA2">
        <w:rPr>
          <w:rFonts w:ascii="Times New Roman" w:hAnsi="Times New Roman"/>
          <w:iCs/>
          <w:color w:val="000000" w:themeColor="text1"/>
          <w:sz w:val="24"/>
          <w:szCs w:val="24"/>
        </w:rPr>
        <w:t xml:space="preserve">,6 </w:t>
      </w:r>
      <w:proofErr w:type="spellStart"/>
      <w:r w:rsidR="00702EBD" w:rsidRPr="008E4EA2">
        <w:rPr>
          <w:rFonts w:ascii="Times New Roman" w:hAnsi="Times New Roman"/>
          <w:iCs/>
          <w:color w:val="000000" w:themeColor="text1"/>
          <w:sz w:val="24"/>
          <w:szCs w:val="24"/>
        </w:rPr>
        <w:t>milj</w:t>
      </w:r>
      <w:proofErr w:type="spellEnd"/>
      <w:r w:rsidR="00702EBD" w:rsidRPr="008E4EA2">
        <w:rPr>
          <w:rFonts w:ascii="Times New Roman" w:hAnsi="Times New Roman"/>
          <w:iCs/>
          <w:color w:val="000000" w:themeColor="text1"/>
          <w:sz w:val="24"/>
          <w:szCs w:val="24"/>
        </w:rPr>
        <w:t xml:space="preserve">. </w:t>
      </w:r>
      <w:r w:rsidRPr="008E4EA2">
        <w:rPr>
          <w:rFonts w:ascii="Times New Roman" w:hAnsi="Times New Roman"/>
          <w:iCs/>
          <w:color w:val="000000" w:themeColor="text1"/>
          <w:sz w:val="24"/>
          <w:szCs w:val="24"/>
        </w:rPr>
        <w:t>latu apmērā;</w:t>
      </w:r>
    </w:p>
    <w:p w:rsidR="004D1C61" w:rsidRPr="008E4EA2" w:rsidRDefault="004D1C61"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 xml:space="preserve">1.3.1.5.aktivitāte </w:t>
      </w:r>
      <w:r w:rsidR="00622EA6" w:rsidRPr="008E4EA2">
        <w:rPr>
          <w:rFonts w:ascii="Times New Roman" w:hAnsi="Times New Roman"/>
          <w:iCs/>
          <w:color w:val="000000" w:themeColor="text1"/>
          <w:sz w:val="24"/>
          <w:szCs w:val="24"/>
        </w:rPr>
        <w:t>„</w:t>
      </w:r>
      <w:r w:rsidRPr="008E4EA2">
        <w:rPr>
          <w:rFonts w:ascii="Times New Roman" w:hAnsi="Times New Roman"/>
          <w:iCs/>
          <w:color w:val="000000" w:themeColor="text1"/>
          <w:sz w:val="24"/>
          <w:szCs w:val="24"/>
        </w:rPr>
        <w:t>Vietējo nodarbinātības veicināšanas pasākumu plānu ieviešanas atbalsts</w:t>
      </w:r>
      <w:r w:rsidR="00702EBD" w:rsidRPr="008E4EA2">
        <w:rPr>
          <w:rFonts w:ascii="Times New Roman" w:hAnsi="Times New Roman"/>
          <w:iCs/>
          <w:color w:val="000000" w:themeColor="text1"/>
          <w:sz w:val="24"/>
          <w:szCs w:val="24"/>
        </w:rPr>
        <w:t>”</w:t>
      </w:r>
      <w:r w:rsidRPr="008E4EA2">
        <w:rPr>
          <w:rFonts w:ascii="Times New Roman" w:hAnsi="Times New Roman"/>
          <w:iCs/>
          <w:color w:val="000000" w:themeColor="text1"/>
          <w:sz w:val="24"/>
          <w:szCs w:val="24"/>
        </w:rPr>
        <w:t xml:space="preserve">, paredzot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finansējumu 15</w:t>
      </w:r>
      <w:r w:rsidR="00702EBD" w:rsidRPr="008E4EA2">
        <w:rPr>
          <w:rFonts w:ascii="Times New Roman" w:hAnsi="Times New Roman"/>
          <w:iCs/>
          <w:color w:val="000000" w:themeColor="text1"/>
          <w:sz w:val="24"/>
          <w:szCs w:val="24"/>
        </w:rPr>
        <w:t xml:space="preserve">,7 </w:t>
      </w:r>
      <w:proofErr w:type="spellStart"/>
      <w:r w:rsidR="00702EBD" w:rsidRPr="008E4EA2">
        <w:rPr>
          <w:rFonts w:ascii="Times New Roman" w:hAnsi="Times New Roman"/>
          <w:iCs/>
          <w:color w:val="000000" w:themeColor="text1"/>
          <w:sz w:val="24"/>
          <w:szCs w:val="24"/>
        </w:rPr>
        <w:t>milj</w:t>
      </w:r>
      <w:proofErr w:type="spellEnd"/>
      <w:r w:rsidR="00702EBD" w:rsidRPr="008E4EA2">
        <w:rPr>
          <w:rFonts w:ascii="Times New Roman" w:hAnsi="Times New Roman"/>
          <w:iCs/>
          <w:color w:val="000000" w:themeColor="text1"/>
          <w:sz w:val="24"/>
          <w:szCs w:val="24"/>
        </w:rPr>
        <w:t xml:space="preserve">. </w:t>
      </w:r>
      <w:r w:rsidRPr="008E4EA2">
        <w:rPr>
          <w:rFonts w:ascii="Times New Roman" w:hAnsi="Times New Roman"/>
          <w:iCs/>
          <w:color w:val="000000" w:themeColor="text1"/>
          <w:sz w:val="24"/>
          <w:szCs w:val="24"/>
        </w:rPr>
        <w:t>latu apmērā;</w:t>
      </w:r>
    </w:p>
    <w:p w:rsidR="004D1C61" w:rsidRPr="008E4EA2" w:rsidRDefault="004D1C61"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 xml:space="preserve">1.3.2.3.aktivitāte </w:t>
      </w:r>
      <w:r w:rsidR="00622EA6" w:rsidRPr="008E4EA2">
        <w:rPr>
          <w:rFonts w:ascii="Times New Roman" w:hAnsi="Times New Roman"/>
          <w:iCs/>
          <w:color w:val="000000" w:themeColor="text1"/>
          <w:sz w:val="24"/>
          <w:szCs w:val="24"/>
        </w:rPr>
        <w:t>„</w:t>
      </w:r>
      <w:r w:rsidRPr="008E4EA2">
        <w:rPr>
          <w:rFonts w:ascii="Times New Roman" w:hAnsi="Times New Roman"/>
          <w:iCs/>
          <w:color w:val="000000" w:themeColor="text1"/>
          <w:sz w:val="24"/>
          <w:szCs w:val="24"/>
        </w:rPr>
        <w:t>Veselības aprūpes un veicināšanas procesā iesaistīto institūciju personāla kompetences, prasmju un iemaņu līmeņa paaugstināšana</w:t>
      </w:r>
      <w:r w:rsidR="00702EBD" w:rsidRPr="008E4EA2">
        <w:rPr>
          <w:rFonts w:ascii="Times New Roman" w:hAnsi="Times New Roman"/>
          <w:iCs/>
          <w:color w:val="000000" w:themeColor="text1"/>
          <w:sz w:val="24"/>
          <w:szCs w:val="24"/>
        </w:rPr>
        <w:t>”</w:t>
      </w:r>
      <w:r w:rsidRPr="008E4EA2">
        <w:rPr>
          <w:rFonts w:ascii="Times New Roman" w:hAnsi="Times New Roman"/>
          <w:iCs/>
          <w:color w:val="000000" w:themeColor="text1"/>
          <w:sz w:val="24"/>
          <w:szCs w:val="24"/>
        </w:rPr>
        <w:t xml:space="preserve">, paredzot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finansējumu 1</w:t>
      </w:r>
      <w:r w:rsidR="00702EBD" w:rsidRPr="008E4EA2">
        <w:rPr>
          <w:rFonts w:ascii="Times New Roman" w:hAnsi="Times New Roman"/>
          <w:iCs/>
          <w:color w:val="000000" w:themeColor="text1"/>
          <w:sz w:val="24"/>
          <w:szCs w:val="24"/>
        </w:rPr>
        <w:t xml:space="preserve">,5 </w:t>
      </w:r>
      <w:proofErr w:type="spellStart"/>
      <w:r w:rsidR="00702EBD" w:rsidRPr="008E4EA2">
        <w:rPr>
          <w:rFonts w:ascii="Times New Roman" w:hAnsi="Times New Roman"/>
          <w:iCs/>
          <w:color w:val="000000" w:themeColor="text1"/>
          <w:sz w:val="24"/>
          <w:szCs w:val="24"/>
        </w:rPr>
        <w:t>milj</w:t>
      </w:r>
      <w:proofErr w:type="spellEnd"/>
      <w:r w:rsidR="00702EBD" w:rsidRPr="008E4EA2">
        <w:rPr>
          <w:rFonts w:ascii="Times New Roman" w:hAnsi="Times New Roman"/>
          <w:iCs/>
          <w:color w:val="000000" w:themeColor="text1"/>
          <w:sz w:val="24"/>
          <w:szCs w:val="24"/>
        </w:rPr>
        <w:t xml:space="preserve">. </w:t>
      </w:r>
      <w:r w:rsidRPr="008E4EA2">
        <w:rPr>
          <w:rFonts w:ascii="Times New Roman" w:hAnsi="Times New Roman"/>
          <w:iCs/>
          <w:color w:val="000000" w:themeColor="text1"/>
          <w:sz w:val="24"/>
          <w:szCs w:val="24"/>
        </w:rPr>
        <w:t xml:space="preserve">latu apmērā, bet ņemot vērā, ka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finansējums saskaņā ar </w:t>
      </w:r>
      <w:r w:rsidR="00832AC2">
        <w:rPr>
          <w:rFonts w:ascii="Times New Roman" w:hAnsi="Times New Roman"/>
          <w:iCs/>
          <w:color w:val="000000" w:themeColor="text1"/>
          <w:sz w:val="24"/>
          <w:szCs w:val="24"/>
        </w:rPr>
        <w:t>MK</w:t>
      </w:r>
      <w:r w:rsidRPr="008E4EA2">
        <w:rPr>
          <w:rFonts w:ascii="Times New Roman" w:hAnsi="Times New Roman"/>
          <w:iCs/>
          <w:color w:val="000000" w:themeColor="text1"/>
          <w:sz w:val="24"/>
          <w:szCs w:val="24"/>
        </w:rPr>
        <w:t xml:space="preserve"> </w:t>
      </w:r>
      <w:proofErr w:type="spellStart"/>
      <w:r w:rsidRPr="008E4EA2">
        <w:rPr>
          <w:rFonts w:ascii="Times New Roman" w:hAnsi="Times New Roman"/>
          <w:iCs/>
          <w:color w:val="000000" w:themeColor="text1"/>
          <w:sz w:val="24"/>
          <w:szCs w:val="24"/>
        </w:rPr>
        <w:t>š.g</w:t>
      </w:r>
      <w:proofErr w:type="spellEnd"/>
      <w:r w:rsidRPr="008E4EA2">
        <w:rPr>
          <w:rFonts w:ascii="Times New Roman" w:hAnsi="Times New Roman"/>
          <w:iCs/>
          <w:color w:val="000000" w:themeColor="text1"/>
          <w:sz w:val="24"/>
          <w:szCs w:val="24"/>
        </w:rPr>
        <w:t xml:space="preserve">. 16.okotbra sēdē lemto tika samazināts par 300 </w:t>
      </w:r>
      <w:proofErr w:type="spellStart"/>
      <w:r w:rsidR="00702EBD" w:rsidRPr="008E4EA2">
        <w:rPr>
          <w:rFonts w:ascii="Times New Roman" w:hAnsi="Times New Roman"/>
          <w:iCs/>
          <w:color w:val="000000" w:themeColor="text1"/>
          <w:sz w:val="24"/>
          <w:szCs w:val="24"/>
        </w:rPr>
        <w:t>tūkst</w:t>
      </w:r>
      <w:proofErr w:type="spellEnd"/>
      <w:r w:rsidR="00702EBD" w:rsidRPr="008E4EA2">
        <w:rPr>
          <w:rFonts w:ascii="Times New Roman" w:hAnsi="Times New Roman"/>
          <w:iCs/>
          <w:color w:val="000000" w:themeColor="text1"/>
          <w:sz w:val="24"/>
          <w:szCs w:val="24"/>
        </w:rPr>
        <w:t>. latu</w:t>
      </w:r>
      <w:r w:rsidRPr="008E4EA2">
        <w:rPr>
          <w:rFonts w:ascii="Times New Roman" w:hAnsi="Times New Roman"/>
          <w:iCs/>
          <w:color w:val="000000" w:themeColor="text1"/>
          <w:sz w:val="24"/>
          <w:szCs w:val="24"/>
        </w:rPr>
        <w:t>, nepieciešami attiecīgi grozījumi MK noteikumos par 1.3.2.3.aktivitātes īstenošanu.</w:t>
      </w:r>
    </w:p>
    <w:p w:rsidR="004D1C61" w:rsidRPr="008E4EA2" w:rsidRDefault="004D1C61"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1.4.1.1.1.</w:t>
      </w:r>
      <w:r w:rsidR="00702EBD" w:rsidRPr="008E4EA2">
        <w:rPr>
          <w:rFonts w:ascii="Times New Roman" w:hAnsi="Times New Roman"/>
          <w:iCs/>
          <w:color w:val="000000" w:themeColor="text1"/>
          <w:sz w:val="24"/>
          <w:szCs w:val="24"/>
        </w:rPr>
        <w:t>a</w:t>
      </w:r>
      <w:r w:rsidRPr="008E4EA2">
        <w:rPr>
          <w:rFonts w:ascii="Times New Roman" w:hAnsi="Times New Roman"/>
          <w:iCs/>
          <w:color w:val="000000" w:themeColor="text1"/>
          <w:sz w:val="24"/>
          <w:szCs w:val="24"/>
        </w:rPr>
        <w:t xml:space="preserve">pakšaktivitāte </w:t>
      </w:r>
      <w:r w:rsidR="00622EA6" w:rsidRPr="008E4EA2">
        <w:rPr>
          <w:rFonts w:ascii="Times New Roman" w:hAnsi="Times New Roman"/>
          <w:iCs/>
          <w:color w:val="000000" w:themeColor="text1"/>
          <w:sz w:val="24"/>
          <w:szCs w:val="24"/>
        </w:rPr>
        <w:t>„</w:t>
      </w:r>
      <w:r w:rsidRPr="008E4EA2">
        <w:rPr>
          <w:rFonts w:ascii="Times New Roman" w:hAnsi="Times New Roman"/>
          <w:iCs/>
          <w:color w:val="000000" w:themeColor="text1"/>
          <w:sz w:val="24"/>
          <w:szCs w:val="24"/>
        </w:rPr>
        <w:t>Kompleksi atbalsta pasākumi iedzīvotāju integrēšanai sabiedrībā un darba tirgū</w:t>
      </w:r>
      <w:r w:rsidR="00702EBD" w:rsidRPr="008E4EA2">
        <w:rPr>
          <w:rFonts w:ascii="Times New Roman" w:hAnsi="Times New Roman"/>
          <w:iCs/>
          <w:color w:val="000000" w:themeColor="text1"/>
          <w:sz w:val="24"/>
          <w:szCs w:val="24"/>
        </w:rPr>
        <w:t>”</w:t>
      </w:r>
      <w:r w:rsidRPr="008E4EA2">
        <w:rPr>
          <w:rFonts w:ascii="Times New Roman" w:hAnsi="Times New Roman"/>
          <w:iCs/>
          <w:color w:val="000000" w:themeColor="text1"/>
          <w:sz w:val="24"/>
          <w:szCs w:val="24"/>
        </w:rPr>
        <w:t xml:space="preserve">, paredzot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finansējumu 1</w:t>
      </w:r>
      <w:r w:rsidR="00702EBD" w:rsidRPr="008E4EA2">
        <w:rPr>
          <w:rFonts w:ascii="Times New Roman" w:hAnsi="Times New Roman"/>
          <w:iCs/>
          <w:color w:val="000000" w:themeColor="text1"/>
          <w:sz w:val="24"/>
          <w:szCs w:val="24"/>
        </w:rPr>
        <w:t xml:space="preserve">,2 </w:t>
      </w:r>
      <w:proofErr w:type="spellStart"/>
      <w:r w:rsidR="00702EBD" w:rsidRPr="008E4EA2">
        <w:rPr>
          <w:rFonts w:ascii="Times New Roman" w:hAnsi="Times New Roman"/>
          <w:iCs/>
          <w:color w:val="000000" w:themeColor="text1"/>
          <w:sz w:val="24"/>
          <w:szCs w:val="24"/>
        </w:rPr>
        <w:t>milj</w:t>
      </w:r>
      <w:proofErr w:type="spellEnd"/>
      <w:r w:rsidR="00702EBD" w:rsidRPr="008E4EA2">
        <w:rPr>
          <w:rFonts w:ascii="Times New Roman" w:hAnsi="Times New Roman"/>
          <w:iCs/>
          <w:color w:val="000000" w:themeColor="text1"/>
          <w:sz w:val="24"/>
          <w:szCs w:val="24"/>
        </w:rPr>
        <w:t xml:space="preserve">. </w:t>
      </w:r>
      <w:r w:rsidRPr="008E4EA2">
        <w:rPr>
          <w:rFonts w:ascii="Times New Roman" w:hAnsi="Times New Roman"/>
          <w:iCs/>
          <w:color w:val="000000" w:themeColor="text1"/>
          <w:sz w:val="24"/>
          <w:szCs w:val="24"/>
        </w:rPr>
        <w:t>latu apmērā;</w:t>
      </w:r>
    </w:p>
    <w:p w:rsidR="004D1C61" w:rsidRPr="008E4EA2" w:rsidRDefault="004D1C61"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1.4.1.1.2.</w:t>
      </w:r>
      <w:r w:rsidR="00702EBD" w:rsidRPr="008E4EA2">
        <w:rPr>
          <w:rFonts w:ascii="Times New Roman" w:hAnsi="Times New Roman"/>
          <w:iCs/>
          <w:color w:val="000000" w:themeColor="text1"/>
          <w:sz w:val="24"/>
          <w:szCs w:val="24"/>
        </w:rPr>
        <w:t>a</w:t>
      </w:r>
      <w:r w:rsidRPr="008E4EA2">
        <w:rPr>
          <w:rFonts w:ascii="Times New Roman" w:hAnsi="Times New Roman"/>
          <w:iCs/>
          <w:color w:val="000000" w:themeColor="text1"/>
          <w:sz w:val="24"/>
          <w:szCs w:val="24"/>
        </w:rPr>
        <w:t xml:space="preserve">pakšaktivitāte </w:t>
      </w:r>
      <w:r w:rsidR="00622EA6" w:rsidRPr="008E4EA2">
        <w:rPr>
          <w:rFonts w:ascii="Times New Roman" w:hAnsi="Times New Roman"/>
          <w:iCs/>
          <w:color w:val="000000" w:themeColor="text1"/>
          <w:sz w:val="24"/>
          <w:szCs w:val="24"/>
        </w:rPr>
        <w:t>„</w:t>
      </w:r>
      <w:r w:rsidRPr="008E4EA2">
        <w:rPr>
          <w:rFonts w:ascii="Times New Roman" w:hAnsi="Times New Roman"/>
          <w:iCs/>
          <w:color w:val="000000" w:themeColor="text1"/>
          <w:sz w:val="24"/>
          <w:szCs w:val="24"/>
        </w:rPr>
        <w:t xml:space="preserve">Atbalstītās nodarbinātības pasākumi </w:t>
      </w:r>
      <w:proofErr w:type="spellStart"/>
      <w:r w:rsidRPr="008E4EA2">
        <w:rPr>
          <w:rFonts w:ascii="Times New Roman" w:hAnsi="Times New Roman"/>
          <w:iCs/>
          <w:color w:val="000000" w:themeColor="text1"/>
          <w:sz w:val="24"/>
          <w:szCs w:val="24"/>
        </w:rPr>
        <w:t>mērķgrupu</w:t>
      </w:r>
      <w:proofErr w:type="spellEnd"/>
      <w:r w:rsidRPr="008E4EA2">
        <w:rPr>
          <w:rFonts w:ascii="Times New Roman" w:hAnsi="Times New Roman"/>
          <w:iCs/>
          <w:color w:val="000000" w:themeColor="text1"/>
          <w:sz w:val="24"/>
          <w:szCs w:val="24"/>
        </w:rPr>
        <w:t xml:space="preserve"> bezdarbniekiem</w:t>
      </w:r>
      <w:r w:rsidR="00702EBD" w:rsidRPr="008E4EA2">
        <w:rPr>
          <w:rFonts w:ascii="Times New Roman" w:hAnsi="Times New Roman"/>
          <w:iCs/>
          <w:color w:val="000000" w:themeColor="text1"/>
          <w:sz w:val="24"/>
          <w:szCs w:val="24"/>
        </w:rPr>
        <w:t>”</w:t>
      </w:r>
      <w:r w:rsidRPr="008E4EA2">
        <w:rPr>
          <w:rFonts w:ascii="Times New Roman" w:hAnsi="Times New Roman"/>
          <w:iCs/>
          <w:color w:val="000000" w:themeColor="text1"/>
          <w:sz w:val="24"/>
          <w:szCs w:val="24"/>
        </w:rPr>
        <w:t xml:space="preserve">, paredzot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finansējumu 930</w:t>
      </w:r>
      <w:r w:rsidR="00702EBD" w:rsidRPr="008E4EA2">
        <w:rPr>
          <w:rFonts w:ascii="Times New Roman" w:hAnsi="Times New Roman"/>
          <w:iCs/>
          <w:color w:val="000000" w:themeColor="text1"/>
          <w:sz w:val="24"/>
          <w:szCs w:val="24"/>
        </w:rPr>
        <w:t xml:space="preserve">,7 </w:t>
      </w:r>
      <w:proofErr w:type="spellStart"/>
      <w:r w:rsidR="00702EBD" w:rsidRPr="008E4EA2">
        <w:rPr>
          <w:rFonts w:ascii="Times New Roman" w:hAnsi="Times New Roman"/>
          <w:iCs/>
          <w:color w:val="000000" w:themeColor="text1"/>
          <w:sz w:val="24"/>
          <w:szCs w:val="24"/>
        </w:rPr>
        <w:t>tūkst</w:t>
      </w:r>
      <w:proofErr w:type="spellEnd"/>
      <w:r w:rsidR="00702EBD" w:rsidRPr="008E4EA2">
        <w:rPr>
          <w:rFonts w:ascii="Times New Roman" w:hAnsi="Times New Roman"/>
          <w:iCs/>
          <w:color w:val="000000" w:themeColor="text1"/>
          <w:sz w:val="24"/>
          <w:szCs w:val="24"/>
        </w:rPr>
        <w:t>.</w:t>
      </w:r>
      <w:r w:rsidRPr="008E4EA2">
        <w:rPr>
          <w:rFonts w:ascii="Times New Roman" w:hAnsi="Times New Roman"/>
          <w:iCs/>
          <w:color w:val="000000" w:themeColor="text1"/>
          <w:sz w:val="24"/>
          <w:szCs w:val="24"/>
        </w:rPr>
        <w:t xml:space="preserve"> latu apmērā;</w:t>
      </w:r>
    </w:p>
    <w:p w:rsidR="004D1C61" w:rsidRPr="008E4EA2" w:rsidRDefault="004D1C61" w:rsidP="003A0029">
      <w:pPr>
        <w:pStyle w:val="ListParagraph"/>
        <w:numPr>
          <w:ilvl w:val="0"/>
          <w:numId w:val="43"/>
        </w:numPr>
        <w:spacing w:before="120" w:after="120"/>
        <w:jc w:val="both"/>
        <w:rPr>
          <w:rFonts w:ascii="Times New Roman" w:hAnsi="Times New Roman"/>
          <w:color w:val="000000" w:themeColor="text1"/>
          <w:sz w:val="24"/>
          <w:szCs w:val="24"/>
        </w:rPr>
      </w:pPr>
      <w:r w:rsidRPr="008E4EA2">
        <w:rPr>
          <w:rFonts w:ascii="Times New Roman" w:hAnsi="Times New Roman"/>
          <w:color w:val="000000" w:themeColor="text1"/>
          <w:sz w:val="24"/>
          <w:szCs w:val="24"/>
        </w:rPr>
        <w:lastRenderedPageBreak/>
        <w:t xml:space="preserve">2.1.2.4.aktivitāte „Augstas pievienotās vērtības investīcijas”, paredzot </w:t>
      </w:r>
      <w:proofErr w:type="spellStart"/>
      <w:r w:rsidRPr="008E4EA2">
        <w:rPr>
          <w:rFonts w:ascii="Times New Roman" w:hAnsi="Times New Roman"/>
          <w:color w:val="000000" w:themeColor="text1"/>
          <w:sz w:val="24"/>
          <w:szCs w:val="24"/>
        </w:rPr>
        <w:t>virssaistības</w:t>
      </w:r>
      <w:proofErr w:type="spellEnd"/>
      <w:r w:rsidR="005E1672">
        <w:rPr>
          <w:rFonts w:ascii="Times New Roman" w:hAnsi="Times New Roman"/>
          <w:color w:val="000000" w:themeColor="text1"/>
          <w:sz w:val="24"/>
          <w:szCs w:val="24"/>
        </w:rPr>
        <w:t xml:space="preserve"> </w:t>
      </w:r>
      <w:r w:rsidRPr="008E4EA2">
        <w:rPr>
          <w:rFonts w:ascii="Times New Roman" w:hAnsi="Times New Roman"/>
          <w:color w:val="000000" w:themeColor="text1"/>
          <w:sz w:val="24"/>
          <w:szCs w:val="24"/>
        </w:rPr>
        <w:t>20</w:t>
      </w:r>
      <w:r w:rsidR="00702EBD" w:rsidRPr="008E4EA2">
        <w:rPr>
          <w:rFonts w:ascii="Times New Roman" w:hAnsi="Times New Roman"/>
          <w:color w:val="000000" w:themeColor="text1"/>
          <w:sz w:val="24"/>
          <w:szCs w:val="24"/>
        </w:rPr>
        <w:t xml:space="preserve">,1 </w:t>
      </w:r>
      <w:proofErr w:type="spellStart"/>
      <w:r w:rsidR="00702EBD" w:rsidRPr="008E4EA2">
        <w:rPr>
          <w:rFonts w:ascii="Times New Roman" w:hAnsi="Times New Roman"/>
          <w:iCs/>
          <w:color w:val="000000" w:themeColor="text1"/>
          <w:sz w:val="24"/>
          <w:szCs w:val="24"/>
        </w:rPr>
        <w:t>milj</w:t>
      </w:r>
      <w:proofErr w:type="spellEnd"/>
      <w:r w:rsidR="00702EBD" w:rsidRPr="008E4EA2">
        <w:rPr>
          <w:rFonts w:ascii="Times New Roman" w:hAnsi="Times New Roman"/>
          <w:iCs/>
          <w:color w:val="000000" w:themeColor="text1"/>
          <w:sz w:val="24"/>
          <w:szCs w:val="24"/>
        </w:rPr>
        <w:t>.</w:t>
      </w:r>
      <w:r w:rsidRPr="008E4EA2">
        <w:rPr>
          <w:rFonts w:ascii="Times New Roman" w:hAnsi="Times New Roman"/>
          <w:color w:val="000000" w:themeColor="text1"/>
          <w:sz w:val="24"/>
          <w:szCs w:val="24"/>
        </w:rPr>
        <w:t xml:space="preserve"> latu apmērā;</w:t>
      </w:r>
    </w:p>
    <w:p w:rsidR="004D1C61" w:rsidRPr="008E4EA2" w:rsidRDefault="004D1C61"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 xml:space="preserve">3.1.5.2.aktivitāte </w:t>
      </w:r>
      <w:r w:rsidR="00622EA6" w:rsidRPr="008E4EA2">
        <w:rPr>
          <w:rFonts w:ascii="Times New Roman" w:hAnsi="Times New Roman"/>
          <w:iCs/>
          <w:color w:val="000000" w:themeColor="text1"/>
          <w:sz w:val="24"/>
          <w:szCs w:val="24"/>
        </w:rPr>
        <w:t>„</w:t>
      </w:r>
      <w:r w:rsidRPr="008E4EA2">
        <w:rPr>
          <w:rFonts w:ascii="Times New Roman" w:hAnsi="Times New Roman"/>
          <w:iCs/>
          <w:color w:val="000000" w:themeColor="text1"/>
          <w:sz w:val="24"/>
          <w:szCs w:val="24"/>
        </w:rPr>
        <w:t xml:space="preserve">Neatliekamās medicīniskās palīdzības attīstība”, paredzot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finansējumu 10</w:t>
      </w:r>
      <w:r w:rsidR="00702EBD" w:rsidRPr="008E4EA2">
        <w:rPr>
          <w:rFonts w:ascii="Times New Roman" w:hAnsi="Times New Roman"/>
          <w:iCs/>
          <w:color w:val="000000" w:themeColor="text1"/>
          <w:sz w:val="24"/>
          <w:szCs w:val="24"/>
        </w:rPr>
        <w:t xml:space="preserve">,6 </w:t>
      </w:r>
      <w:proofErr w:type="spellStart"/>
      <w:r w:rsidR="00702EBD" w:rsidRPr="008E4EA2">
        <w:rPr>
          <w:rFonts w:ascii="Times New Roman" w:hAnsi="Times New Roman"/>
          <w:iCs/>
          <w:color w:val="000000" w:themeColor="text1"/>
          <w:sz w:val="24"/>
          <w:szCs w:val="24"/>
        </w:rPr>
        <w:t>milj</w:t>
      </w:r>
      <w:proofErr w:type="spellEnd"/>
      <w:r w:rsidR="00702EBD" w:rsidRPr="008E4EA2">
        <w:rPr>
          <w:rFonts w:ascii="Times New Roman" w:hAnsi="Times New Roman"/>
          <w:iCs/>
          <w:color w:val="000000" w:themeColor="text1"/>
          <w:sz w:val="24"/>
          <w:szCs w:val="24"/>
        </w:rPr>
        <w:t xml:space="preserve">. </w:t>
      </w:r>
      <w:r w:rsidRPr="008E4EA2">
        <w:rPr>
          <w:rFonts w:ascii="Times New Roman" w:hAnsi="Times New Roman"/>
          <w:iCs/>
          <w:color w:val="000000" w:themeColor="text1"/>
          <w:sz w:val="24"/>
          <w:szCs w:val="24"/>
        </w:rPr>
        <w:t>latu apmērā;</w:t>
      </w:r>
    </w:p>
    <w:p w:rsidR="004D1C61" w:rsidRPr="008E4EA2" w:rsidRDefault="004D1C61"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3.2.1.2.aktivitāte „</w:t>
      </w:r>
      <w:proofErr w:type="spellStart"/>
      <w:r w:rsidRPr="008E4EA2">
        <w:rPr>
          <w:rFonts w:ascii="Times New Roman" w:hAnsi="Times New Roman"/>
          <w:iCs/>
          <w:color w:val="000000" w:themeColor="text1"/>
          <w:sz w:val="24"/>
          <w:szCs w:val="24"/>
        </w:rPr>
        <w:t>Tranzītielu</w:t>
      </w:r>
      <w:proofErr w:type="spellEnd"/>
      <w:r w:rsidRPr="008E4EA2">
        <w:rPr>
          <w:rFonts w:ascii="Times New Roman" w:hAnsi="Times New Roman"/>
          <w:iCs/>
          <w:color w:val="000000" w:themeColor="text1"/>
          <w:sz w:val="24"/>
          <w:szCs w:val="24"/>
        </w:rPr>
        <w:t xml:space="preserve"> sakārtošana pilsētu teritorijās”, paredzot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finansējumu 23</w:t>
      </w:r>
      <w:r w:rsidR="00702EBD" w:rsidRPr="008E4EA2">
        <w:rPr>
          <w:rFonts w:ascii="Times New Roman" w:hAnsi="Times New Roman"/>
          <w:iCs/>
          <w:color w:val="000000" w:themeColor="text1"/>
          <w:sz w:val="24"/>
          <w:szCs w:val="24"/>
        </w:rPr>
        <w:t xml:space="preserve">,9 </w:t>
      </w:r>
      <w:proofErr w:type="spellStart"/>
      <w:r w:rsidR="00702EBD" w:rsidRPr="008E4EA2">
        <w:rPr>
          <w:rFonts w:ascii="Times New Roman" w:hAnsi="Times New Roman"/>
          <w:iCs/>
          <w:color w:val="000000" w:themeColor="text1"/>
          <w:sz w:val="24"/>
          <w:szCs w:val="24"/>
        </w:rPr>
        <w:t>milj</w:t>
      </w:r>
      <w:proofErr w:type="spellEnd"/>
      <w:r w:rsidR="00702EBD" w:rsidRPr="008E4EA2">
        <w:rPr>
          <w:rFonts w:ascii="Times New Roman" w:hAnsi="Times New Roman"/>
          <w:iCs/>
          <w:color w:val="000000" w:themeColor="text1"/>
          <w:sz w:val="24"/>
          <w:szCs w:val="24"/>
        </w:rPr>
        <w:t xml:space="preserve">. </w:t>
      </w:r>
      <w:r w:rsidRPr="008E4EA2">
        <w:rPr>
          <w:rFonts w:ascii="Times New Roman" w:hAnsi="Times New Roman"/>
          <w:iCs/>
          <w:color w:val="000000" w:themeColor="text1"/>
          <w:sz w:val="24"/>
          <w:szCs w:val="24"/>
        </w:rPr>
        <w:t xml:space="preserve">latu apmērā, bet ņemot vērā, ka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finansējums saskaņā ar </w:t>
      </w:r>
      <w:r w:rsidR="00832AC2">
        <w:rPr>
          <w:rFonts w:ascii="Times New Roman" w:hAnsi="Times New Roman"/>
          <w:iCs/>
          <w:color w:val="000000" w:themeColor="text1"/>
          <w:sz w:val="24"/>
          <w:szCs w:val="24"/>
        </w:rPr>
        <w:t>MK</w:t>
      </w:r>
      <w:r w:rsidRPr="008E4EA2">
        <w:rPr>
          <w:rFonts w:ascii="Times New Roman" w:hAnsi="Times New Roman"/>
          <w:iCs/>
          <w:color w:val="000000" w:themeColor="text1"/>
          <w:sz w:val="24"/>
          <w:szCs w:val="24"/>
        </w:rPr>
        <w:t xml:space="preserve"> </w:t>
      </w:r>
      <w:proofErr w:type="spellStart"/>
      <w:r w:rsidRPr="008E4EA2">
        <w:rPr>
          <w:rFonts w:ascii="Times New Roman" w:hAnsi="Times New Roman"/>
          <w:iCs/>
          <w:color w:val="000000" w:themeColor="text1"/>
          <w:sz w:val="24"/>
          <w:szCs w:val="24"/>
        </w:rPr>
        <w:t>š.g</w:t>
      </w:r>
      <w:proofErr w:type="spellEnd"/>
      <w:r w:rsidRPr="008E4EA2">
        <w:rPr>
          <w:rFonts w:ascii="Times New Roman" w:hAnsi="Times New Roman"/>
          <w:iCs/>
          <w:color w:val="000000" w:themeColor="text1"/>
          <w:sz w:val="24"/>
          <w:szCs w:val="24"/>
        </w:rPr>
        <w:t>. 16.okotbra sēdē lemto tika samazināts par 1</w:t>
      </w:r>
      <w:r w:rsidR="00702EBD" w:rsidRPr="008E4EA2">
        <w:rPr>
          <w:rFonts w:ascii="Times New Roman" w:hAnsi="Times New Roman"/>
          <w:iCs/>
          <w:color w:val="000000" w:themeColor="text1"/>
          <w:sz w:val="24"/>
          <w:szCs w:val="24"/>
        </w:rPr>
        <w:t xml:space="preserve">,9 </w:t>
      </w:r>
      <w:proofErr w:type="spellStart"/>
      <w:r w:rsidR="00702EBD" w:rsidRPr="008E4EA2">
        <w:rPr>
          <w:rFonts w:ascii="Times New Roman" w:hAnsi="Times New Roman"/>
          <w:iCs/>
          <w:color w:val="000000" w:themeColor="text1"/>
          <w:sz w:val="24"/>
          <w:szCs w:val="24"/>
        </w:rPr>
        <w:t>milj</w:t>
      </w:r>
      <w:proofErr w:type="spellEnd"/>
      <w:r w:rsidR="00702EBD" w:rsidRPr="008E4EA2">
        <w:rPr>
          <w:rFonts w:ascii="Times New Roman" w:hAnsi="Times New Roman"/>
          <w:iCs/>
          <w:color w:val="000000" w:themeColor="text1"/>
          <w:sz w:val="24"/>
          <w:szCs w:val="24"/>
        </w:rPr>
        <w:t xml:space="preserve">. </w:t>
      </w:r>
      <w:r w:rsidRPr="008E4EA2">
        <w:rPr>
          <w:rFonts w:ascii="Times New Roman" w:hAnsi="Times New Roman"/>
          <w:iCs/>
          <w:color w:val="000000" w:themeColor="text1"/>
          <w:sz w:val="24"/>
          <w:szCs w:val="24"/>
        </w:rPr>
        <w:t>lat</w:t>
      </w:r>
      <w:r w:rsidR="00702EBD" w:rsidRPr="008E4EA2">
        <w:rPr>
          <w:rFonts w:ascii="Times New Roman" w:hAnsi="Times New Roman"/>
          <w:iCs/>
          <w:color w:val="000000" w:themeColor="text1"/>
          <w:sz w:val="24"/>
          <w:szCs w:val="24"/>
        </w:rPr>
        <w:t>u</w:t>
      </w:r>
      <w:r w:rsidRPr="008E4EA2">
        <w:rPr>
          <w:rFonts w:ascii="Times New Roman" w:hAnsi="Times New Roman"/>
          <w:iCs/>
          <w:color w:val="000000" w:themeColor="text1"/>
          <w:sz w:val="24"/>
          <w:szCs w:val="24"/>
        </w:rPr>
        <w:t>, nepieciešami attiecīgi grozījumi MK noteikumos par 3.2.1.2.aktivitātes „</w:t>
      </w:r>
      <w:proofErr w:type="spellStart"/>
      <w:r w:rsidRPr="008E4EA2">
        <w:rPr>
          <w:rFonts w:ascii="Times New Roman" w:hAnsi="Times New Roman"/>
          <w:iCs/>
          <w:color w:val="000000" w:themeColor="text1"/>
          <w:sz w:val="24"/>
          <w:szCs w:val="24"/>
        </w:rPr>
        <w:t>Tranzītielu</w:t>
      </w:r>
      <w:proofErr w:type="spellEnd"/>
      <w:r w:rsidRPr="008E4EA2">
        <w:rPr>
          <w:rFonts w:ascii="Times New Roman" w:hAnsi="Times New Roman"/>
          <w:iCs/>
          <w:color w:val="000000" w:themeColor="text1"/>
          <w:sz w:val="24"/>
          <w:szCs w:val="24"/>
        </w:rPr>
        <w:t xml:space="preserve"> sakārtošana pilsētu teritorijās” īstenošanu;</w:t>
      </w:r>
    </w:p>
    <w:p w:rsidR="004D1C61" w:rsidRPr="008E4EA2" w:rsidRDefault="004D1C61"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 xml:space="preserve">3.2.2.1.1.apakšaktivitāte „Informācijas sistēmu un elektronisko pakalpojumu attīstība”, paredzot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finansējumu 2</w:t>
      </w:r>
      <w:r w:rsidR="00702EBD" w:rsidRPr="008E4EA2">
        <w:rPr>
          <w:rFonts w:ascii="Times New Roman" w:hAnsi="Times New Roman"/>
          <w:iCs/>
          <w:color w:val="000000" w:themeColor="text1"/>
          <w:sz w:val="24"/>
          <w:szCs w:val="24"/>
        </w:rPr>
        <w:t xml:space="preserve">,3 </w:t>
      </w:r>
      <w:proofErr w:type="spellStart"/>
      <w:r w:rsidR="00702EBD" w:rsidRPr="008E4EA2">
        <w:rPr>
          <w:rFonts w:ascii="Times New Roman" w:hAnsi="Times New Roman"/>
          <w:iCs/>
          <w:color w:val="000000" w:themeColor="text1"/>
          <w:sz w:val="24"/>
          <w:szCs w:val="24"/>
        </w:rPr>
        <w:t>milj</w:t>
      </w:r>
      <w:proofErr w:type="spellEnd"/>
      <w:r w:rsidR="00702EBD" w:rsidRPr="008E4EA2">
        <w:rPr>
          <w:rFonts w:ascii="Times New Roman" w:hAnsi="Times New Roman"/>
          <w:iCs/>
          <w:color w:val="000000" w:themeColor="text1"/>
          <w:sz w:val="24"/>
          <w:szCs w:val="24"/>
        </w:rPr>
        <w:t xml:space="preserve">. </w:t>
      </w:r>
      <w:r w:rsidRPr="008E4EA2">
        <w:rPr>
          <w:rFonts w:ascii="Times New Roman" w:hAnsi="Times New Roman"/>
          <w:iCs/>
          <w:color w:val="000000" w:themeColor="text1"/>
          <w:sz w:val="24"/>
          <w:szCs w:val="24"/>
        </w:rPr>
        <w:t xml:space="preserve">latu apmēra, bet ņemot vērā, ka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finansējums saskaņā ar </w:t>
      </w:r>
      <w:r w:rsidR="00832AC2">
        <w:rPr>
          <w:rFonts w:ascii="Times New Roman" w:hAnsi="Times New Roman"/>
          <w:iCs/>
          <w:color w:val="000000" w:themeColor="text1"/>
          <w:sz w:val="24"/>
          <w:szCs w:val="24"/>
        </w:rPr>
        <w:t>MK</w:t>
      </w:r>
      <w:r w:rsidRPr="008E4EA2">
        <w:rPr>
          <w:rFonts w:ascii="Times New Roman" w:hAnsi="Times New Roman"/>
          <w:iCs/>
          <w:color w:val="000000" w:themeColor="text1"/>
          <w:sz w:val="24"/>
          <w:szCs w:val="24"/>
        </w:rPr>
        <w:t xml:space="preserve"> </w:t>
      </w:r>
      <w:proofErr w:type="spellStart"/>
      <w:r w:rsidRPr="008E4EA2">
        <w:rPr>
          <w:rFonts w:ascii="Times New Roman" w:hAnsi="Times New Roman"/>
          <w:iCs/>
          <w:color w:val="000000" w:themeColor="text1"/>
          <w:sz w:val="24"/>
          <w:szCs w:val="24"/>
        </w:rPr>
        <w:t>š.g</w:t>
      </w:r>
      <w:proofErr w:type="spellEnd"/>
      <w:r w:rsidRPr="008E4EA2">
        <w:rPr>
          <w:rFonts w:ascii="Times New Roman" w:hAnsi="Times New Roman"/>
          <w:iCs/>
          <w:color w:val="000000" w:themeColor="text1"/>
          <w:sz w:val="24"/>
          <w:szCs w:val="24"/>
        </w:rPr>
        <w:t>. 16.okotbra sē</w:t>
      </w:r>
      <w:r w:rsidR="00702EBD" w:rsidRPr="008E4EA2">
        <w:rPr>
          <w:rFonts w:ascii="Times New Roman" w:hAnsi="Times New Roman"/>
          <w:iCs/>
          <w:color w:val="000000" w:themeColor="text1"/>
          <w:sz w:val="24"/>
          <w:szCs w:val="24"/>
        </w:rPr>
        <w:t xml:space="preserve">dē lemto tika palielināts par 9,3 </w:t>
      </w:r>
      <w:proofErr w:type="spellStart"/>
      <w:r w:rsidR="00702EBD" w:rsidRPr="008E4EA2">
        <w:rPr>
          <w:rFonts w:ascii="Times New Roman" w:hAnsi="Times New Roman"/>
          <w:iCs/>
          <w:color w:val="000000" w:themeColor="text1"/>
          <w:sz w:val="24"/>
          <w:szCs w:val="24"/>
        </w:rPr>
        <w:t>milj</w:t>
      </w:r>
      <w:proofErr w:type="spellEnd"/>
      <w:r w:rsidR="00702EBD" w:rsidRPr="008E4EA2">
        <w:rPr>
          <w:rFonts w:ascii="Times New Roman" w:hAnsi="Times New Roman"/>
          <w:iCs/>
          <w:color w:val="000000" w:themeColor="text1"/>
          <w:sz w:val="24"/>
          <w:szCs w:val="24"/>
        </w:rPr>
        <w:t>. latu</w:t>
      </w:r>
      <w:r w:rsidRPr="008E4EA2">
        <w:rPr>
          <w:rFonts w:ascii="Times New Roman" w:hAnsi="Times New Roman"/>
          <w:iCs/>
          <w:color w:val="000000" w:themeColor="text1"/>
          <w:sz w:val="24"/>
          <w:szCs w:val="24"/>
        </w:rPr>
        <w:t>, nepieciešami attiecīgi grozījumi MK noteikumos par 3.2.2.1.1.apakšaktivitātes „Informācijas sistēmu un elektronisko pakalpojumu attīstība” īstenošanu;</w:t>
      </w:r>
    </w:p>
    <w:p w:rsidR="004D1C61" w:rsidRPr="008E4EA2" w:rsidRDefault="004D1C61"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 xml:space="preserve">3.3.1.1.aktivitāte „TEN-T autoceļu tīkla uzlabojumi”, paredzot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finansējumu 35 </w:t>
      </w:r>
      <w:proofErr w:type="spellStart"/>
      <w:r w:rsidR="00702EBD" w:rsidRPr="008E4EA2">
        <w:rPr>
          <w:rFonts w:ascii="Times New Roman" w:hAnsi="Times New Roman"/>
          <w:iCs/>
          <w:color w:val="000000" w:themeColor="text1"/>
          <w:sz w:val="24"/>
          <w:szCs w:val="24"/>
        </w:rPr>
        <w:t>milj</w:t>
      </w:r>
      <w:proofErr w:type="spellEnd"/>
      <w:r w:rsidR="00702EBD" w:rsidRPr="008E4EA2">
        <w:rPr>
          <w:rFonts w:ascii="Times New Roman" w:hAnsi="Times New Roman"/>
          <w:iCs/>
          <w:color w:val="000000" w:themeColor="text1"/>
          <w:sz w:val="24"/>
          <w:szCs w:val="24"/>
        </w:rPr>
        <w:t xml:space="preserve">. </w:t>
      </w:r>
      <w:r w:rsidRPr="008E4EA2">
        <w:rPr>
          <w:rFonts w:ascii="Times New Roman" w:hAnsi="Times New Roman"/>
          <w:iCs/>
          <w:color w:val="000000" w:themeColor="text1"/>
          <w:sz w:val="24"/>
          <w:szCs w:val="24"/>
        </w:rPr>
        <w:t>latu apmērā;</w:t>
      </w:r>
    </w:p>
    <w:p w:rsidR="004D1C61" w:rsidRPr="008E4EA2" w:rsidRDefault="004D1C61"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 xml:space="preserve">3.4.3.2.aktivitāte „Sociālekonomiski nozīmīgu kultūras mantojuma objektu atjaunošana”, paredzot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finansējumu 8 </w:t>
      </w:r>
      <w:proofErr w:type="spellStart"/>
      <w:r w:rsidR="00702EBD" w:rsidRPr="008E4EA2">
        <w:rPr>
          <w:rFonts w:ascii="Times New Roman" w:hAnsi="Times New Roman"/>
          <w:iCs/>
          <w:color w:val="000000" w:themeColor="text1"/>
          <w:sz w:val="24"/>
          <w:szCs w:val="24"/>
        </w:rPr>
        <w:t>milj</w:t>
      </w:r>
      <w:proofErr w:type="spellEnd"/>
      <w:r w:rsidR="00702EBD" w:rsidRPr="008E4EA2">
        <w:rPr>
          <w:rFonts w:ascii="Times New Roman" w:hAnsi="Times New Roman"/>
          <w:iCs/>
          <w:color w:val="000000" w:themeColor="text1"/>
          <w:sz w:val="24"/>
          <w:szCs w:val="24"/>
        </w:rPr>
        <w:t xml:space="preserve">. </w:t>
      </w:r>
      <w:r w:rsidRPr="008E4EA2">
        <w:rPr>
          <w:rFonts w:ascii="Times New Roman" w:hAnsi="Times New Roman"/>
          <w:iCs/>
          <w:color w:val="000000" w:themeColor="text1"/>
          <w:sz w:val="24"/>
          <w:szCs w:val="24"/>
        </w:rPr>
        <w:t>latu apmērā;</w:t>
      </w:r>
    </w:p>
    <w:p w:rsidR="004D1C61" w:rsidRPr="008E4EA2" w:rsidRDefault="004D1C61"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 xml:space="preserve">3.4.4.1.aktivitāte „Daudzdzīvokļu māju </w:t>
      </w:r>
      <w:proofErr w:type="spellStart"/>
      <w:r w:rsidRPr="008E4EA2">
        <w:rPr>
          <w:rFonts w:ascii="Times New Roman" w:hAnsi="Times New Roman"/>
          <w:iCs/>
          <w:color w:val="000000" w:themeColor="text1"/>
          <w:sz w:val="24"/>
          <w:szCs w:val="24"/>
        </w:rPr>
        <w:t>siltumnoturības</w:t>
      </w:r>
      <w:proofErr w:type="spellEnd"/>
      <w:r w:rsidRPr="008E4EA2">
        <w:rPr>
          <w:rFonts w:ascii="Times New Roman" w:hAnsi="Times New Roman"/>
          <w:iCs/>
          <w:color w:val="000000" w:themeColor="text1"/>
          <w:sz w:val="24"/>
          <w:szCs w:val="24"/>
        </w:rPr>
        <w:t xml:space="preserve"> uzlabošanas pasākumi”, paredzot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finansējumu 15 </w:t>
      </w:r>
      <w:proofErr w:type="spellStart"/>
      <w:r w:rsidR="00702EBD" w:rsidRPr="008E4EA2">
        <w:rPr>
          <w:rFonts w:ascii="Times New Roman" w:hAnsi="Times New Roman"/>
          <w:iCs/>
          <w:color w:val="000000" w:themeColor="text1"/>
          <w:sz w:val="24"/>
          <w:szCs w:val="24"/>
        </w:rPr>
        <w:t>milj</w:t>
      </w:r>
      <w:proofErr w:type="spellEnd"/>
      <w:r w:rsidR="00702EBD" w:rsidRPr="008E4EA2">
        <w:rPr>
          <w:rFonts w:ascii="Times New Roman" w:hAnsi="Times New Roman"/>
          <w:iCs/>
          <w:color w:val="000000" w:themeColor="text1"/>
          <w:sz w:val="24"/>
          <w:szCs w:val="24"/>
        </w:rPr>
        <w:t xml:space="preserve">. </w:t>
      </w:r>
      <w:r w:rsidRPr="008E4EA2">
        <w:rPr>
          <w:rFonts w:ascii="Times New Roman" w:hAnsi="Times New Roman"/>
          <w:iCs/>
          <w:color w:val="000000" w:themeColor="text1"/>
          <w:sz w:val="24"/>
          <w:szCs w:val="24"/>
        </w:rPr>
        <w:t>latu apmērā;</w:t>
      </w:r>
    </w:p>
    <w:p w:rsidR="004D1C61" w:rsidRPr="008E4EA2" w:rsidRDefault="004D1C61"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3.5.1.2.1.apakšaktivitāte „Normatīvo aktu prasībām neatbilstošo izgāztuvju rekultivācija”, paredz</w:t>
      </w:r>
      <w:r w:rsidR="00702EBD" w:rsidRPr="008E4EA2">
        <w:rPr>
          <w:rFonts w:ascii="Times New Roman" w:hAnsi="Times New Roman"/>
          <w:iCs/>
          <w:color w:val="000000" w:themeColor="text1"/>
          <w:sz w:val="24"/>
          <w:szCs w:val="24"/>
        </w:rPr>
        <w:t xml:space="preserve">ot </w:t>
      </w:r>
      <w:proofErr w:type="spellStart"/>
      <w:r w:rsidR="00702EBD" w:rsidRPr="008E4EA2">
        <w:rPr>
          <w:rFonts w:ascii="Times New Roman" w:hAnsi="Times New Roman"/>
          <w:iCs/>
          <w:color w:val="000000" w:themeColor="text1"/>
          <w:sz w:val="24"/>
          <w:szCs w:val="24"/>
        </w:rPr>
        <w:t>virssaistību</w:t>
      </w:r>
      <w:proofErr w:type="spellEnd"/>
      <w:r w:rsidR="00702EBD" w:rsidRPr="008E4EA2">
        <w:rPr>
          <w:rFonts w:ascii="Times New Roman" w:hAnsi="Times New Roman"/>
          <w:iCs/>
          <w:color w:val="000000" w:themeColor="text1"/>
          <w:sz w:val="24"/>
          <w:szCs w:val="24"/>
        </w:rPr>
        <w:t xml:space="preserve"> finansējumu 782,8 </w:t>
      </w:r>
      <w:proofErr w:type="spellStart"/>
      <w:r w:rsidR="00702EBD" w:rsidRPr="008E4EA2">
        <w:rPr>
          <w:rFonts w:ascii="Times New Roman" w:hAnsi="Times New Roman"/>
          <w:iCs/>
          <w:color w:val="000000" w:themeColor="text1"/>
          <w:sz w:val="24"/>
          <w:szCs w:val="24"/>
        </w:rPr>
        <w:t>tūkst</w:t>
      </w:r>
      <w:proofErr w:type="spellEnd"/>
      <w:r w:rsidR="00702EBD" w:rsidRPr="008E4EA2">
        <w:rPr>
          <w:rFonts w:ascii="Times New Roman" w:hAnsi="Times New Roman"/>
          <w:iCs/>
          <w:color w:val="000000" w:themeColor="text1"/>
          <w:sz w:val="24"/>
          <w:szCs w:val="24"/>
        </w:rPr>
        <w:t xml:space="preserve">. </w:t>
      </w:r>
      <w:r w:rsidRPr="008E4EA2">
        <w:rPr>
          <w:rFonts w:ascii="Times New Roman" w:hAnsi="Times New Roman"/>
          <w:iCs/>
          <w:color w:val="000000" w:themeColor="text1"/>
          <w:sz w:val="24"/>
          <w:szCs w:val="24"/>
        </w:rPr>
        <w:t>latu apmērā;</w:t>
      </w:r>
    </w:p>
    <w:p w:rsidR="004D1C61" w:rsidRPr="008E4EA2" w:rsidRDefault="004D1C61"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 xml:space="preserve">3.5.1.4.aktivitāte „Vides monitoringa un kontroles sistēmas attīstība”, paredzot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finansējumu 130 </w:t>
      </w:r>
      <w:proofErr w:type="spellStart"/>
      <w:r w:rsidR="00702EBD" w:rsidRPr="008E4EA2">
        <w:rPr>
          <w:rFonts w:ascii="Times New Roman" w:hAnsi="Times New Roman"/>
          <w:iCs/>
          <w:color w:val="000000" w:themeColor="text1"/>
          <w:sz w:val="24"/>
          <w:szCs w:val="24"/>
        </w:rPr>
        <w:t>tūkst.</w:t>
      </w:r>
      <w:r w:rsidRPr="008E4EA2">
        <w:rPr>
          <w:rFonts w:ascii="Times New Roman" w:hAnsi="Times New Roman"/>
          <w:iCs/>
          <w:color w:val="000000" w:themeColor="text1"/>
          <w:sz w:val="24"/>
          <w:szCs w:val="24"/>
        </w:rPr>
        <w:t>latu</w:t>
      </w:r>
      <w:proofErr w:type="spellEnd"/>
      <w:r w:rsidRPr="008E4EA2">
        <w:rPr>
          <w:rFonts w:ascii="Times New Roman" w:hAnsi="Times New Roman"/>
          <w:iCs/>
          <w:color w:val="000000" w:themeColor="text1"/>
          <w:sz w:val="24"/>
          <w:szCs w:val="24"/>
        </w:rPr>
        <w:t xml:space="preserve"> apmērā;</w:t>
      </w:r>
    </w:p>
    <w:p w:rsidR="004D1C61" w:rsidRPr="008E4EA2" w:rsidRDefault="004D1C61"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 xml:space="preserve">3.3.1.6.aktivitāte „Nacionālas un reģionālas nozīmes attīstības centru izaugsmes veicināšana līdzsvarotai valsts attīstībai”, paredzot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finansējumu 25</w:t>
      </w:r>
      <w:r w:rsidR="00702EBD" w:rsidRPr="008E4EA2">
        <w:rPr>
          <w:rFonts w:ascii="Times New Roman" w:hAnsi="Times New Roman"/>
          <w:iCs/>
          <w:color w:val="000000" w:themeColor="text1"/>
          <w:sz w:val="24"/>
          <w:szCs w:val="24"/>
        </w:rPr>
        <w:t xml:space="preserve">,7 </w:t>
      </w:r>
      <w:proofErr w:type="spellStart"/>
      <w:r w:rsidR="00702EBD" w:rsidRPr="008E4EA2">
        <w:rPr>
          <w:rFonts w:ascii="Times New Roman" w:hAnsi="Times New Roman"/>
          <w:iCs/>
          <w:color w:val="000000" w:themeColor="text1"/>
          <w:sz w:val="24"/>
          <w:szCs w:val="24"/>
        </w:rPr>
        <w:t>milj</w:t>
      </w:r>
      <w:proofErr w:type="spellEnd"/>
      <w:r w:rsidR="00702EBD" w:rsidRPr="008E4EA2">
        <w:rPr>
          <w:rFonts w:ascii="Times New Roman" w:hAnsi="Times New Roman"/>
          <w:iCs/>
          <w:color w:val="000000" w:themeColor="text1"/>
          <w:sz w:val="24"/>
          <w:szCs w:val="24"/>
        </w:rPr>
        <w:t xml:space="preserve">. </w:t>
      </w:r>
      <w:r w:rsidRPr="008E4EA2">
        <w:rPr>
          <w:rFonts w:ascii="Times New Roman" w:hAnsi="Times New Roman"/>
          <w:iCs/>
          <w:color w:val="000000" w:themeColor="text1"/>
          <w:sz w:val="24"/>
          <w:szCs w:val="24"/>
        </w:rPr>
        <w:t>latu apmērā;</w:t>
      </w:r>
    </w:p>
    <w:p w:rsidR="004D1C61" w:rsidRPr="008E4EA2" w:rsidRDefault="004D1C61" w:rsidP="003A0029">
      <w:pPr>
        <w:pStyle w:val="ListParagraph"/>
        <w:numPr>
          <w:ilvl w:val="0"/>
          <w:numId w:val="43"/>
        </w:numPr>
        <w:spacing w:before="120" w:after="120"/>
        <w:jc w:val="both"/>
        <w:rPr>
          <w:rFonts w:ascii="Times New Roman" w:hAnsi="Times New Roman"/>
          <w:iCs/>
          <w:color w:val="000000" w:themeColor="text1"/>
          <w:sz w:val="24"/>
          <w:szCs w:val="24"/>
        </w:rPr>
      </w:pPr>
      <w:r w:rsidRPr="008E4EA2">
        <w:rPr>
          <w:rFonts w:ascii="Times New Roman" w:hAnsi="Times New Roman"/>
          <w:iCs/>
          <w:color w:val="000000" w:themeColor="text1"/>
          <w:sz w:val="24"/>
          <w:szCs w:val="24"/>
        </w:rPr>
        <w:t xml:space="preserve">3.6.2.1.aktivitāte „Atbalsts novadu pašvaldību kompleksai attīstībai” paredzot </w:t>
      </w:r>
      <w:proofErr w:type="spellStart"/>
      <w:r w:rsidRPr="008E4EA2">
        <w:rPr>
          <w:rFonts w:ascii="Times New Roman" w:hAnsi="Times New Roman"/>
          <w:iCs/>
          <w:color w:val="000000" w:themeColor="text1"/>
          <w:sz w:val="24"/>
          <w:szCs w:val="24"/>
        </w:rPr>
        <w:t>virssaistību</w:t>
      </w:r>
      <w:proofErr w:type="spellEnd"/>
      <w:r w:rsidRPr="008E4EA2">
        <w:rPr>
          <w:rFonts w:ascii="Times New Roman" w:hAnsi="Times New Roman"/>
          <w:iCs/>
          <w:color w:val="000000" w:themeColor="text1"/>
          <w:sz w:val="24"/>
          <w:szCs w:val="24"/>
        </w:rPr>
        <w:t xml:space="preserve"> finansējumu 17</w:t>
      </w:r>
      <w:r w:rsidR="00702EBD" w:rsidRPr="008E4EA2">
        <w:rPr>
          <w:rFonts w:ascii="Times New Roman" w:hAnsi="Times New Roman"/>
          <w:iCs/>
          <w:color w:val="000000" w:themeColor="text1"/>
          <w:sz w:val="24"/>
          <w:szCs w:val="24"/>
        </w:rPr>
        <w:t xml:space="preserve">,9 </w:t>
      </w:r>
      <w:proofErr w:type="spellStart"/>
      <w:r w:rsidR="00702EBD" w:rsidRPr="008E4EA2">
        <w:rPr>
          <w:rFonts w:ascii="Times New Roman" w:hAnsi="Times New Roman"/>
          <w:iCs/>
          <w:color w:val="000000" w:themeColor="text1"/>
          <w:sz w:val="24"/>
          <w:szCs w:val="24"/>
        </w:rPr>
        <w:t>milj</w:t>
      </w:r>
      <w:proofErr w:type="spellEnd"/>
      <w:r w:rsidR="00702EBD" w:rsidRPr="008E4EA2">
        <w:rPr>
          <w:rFonts w:ascii="Times New Roman" w:hAnsi="Times New Roman"/>
          <w:iCs/>
          <w:color w:val="000000" w:themeColor="text1"/>
          <w:sz w:val="24"/>
          <w:szCs w:val="24"/>
        </w:rPr>
        <w:t xml:space="preserve">. </w:t>
      </w:r>
      <w:r w:rsidRPr="008E4EA2">
        <w:rPr>
          <w:rFonts w:ascii="Times New Roman" w:hAnsi="Times New Roman"/>
          <w:iCs/>
          <w:color w:val="000000" w:themeColor="text1"/>
          <w:sz w:val="24"/>
          <w:szCs w:val="24"/>
        </w:rPr>
        <w:t>latu apmērā.</w:t>
      </w:r>
    </w:p>
    <w:p w:rsidR="00894D2F" w:rsidRPr="008E4EA2" w:rsidRDefault="00894D2F" w:rsidP="003A0029">
      <w:pPr>
        <w:spacing w:before="120" w:after="120" w:line="276" w:lineRule="auto"/>
        <w:rPr>
          <w:iCs/>
          <w:color w:val="000000" w:themeColor="text1"/>
          <w:szCs w:val="24"/>
        </w:rPr>
      </w:pPr>
      <w:r w:rsidRPr="008E4EA2">
        <w:rPr>
          <w:iCs/>
          <w:color w:val="000000" w:themeColor="text1"/>
          <w:szCs w:val="24"/>
        </w:rPr>
        <w:t xml:space="preserve">Ņemot vērā, ka </w:t>
      </w:r>
      <w:proofErr w:type="spellStart"/>
      <w:r w:rsidRPr="008E4EA2">
        <w:rPr>
          <w:iCs/>
          <w:color w:val="000000" w:themeColor="text1"/>
          <w:szCs w:val="24"/>
        </w:rPr>
        <w:t>virssaistību</w:t>
      </w:r>
      <w:proofErr w:type="spellEnd"/>
      <w:r w:rsidRPr="008E4EA2">
        <w:rPr>
          <w:iCs/>
          <w:color w:val="000000" w:themeColor="text1"/>
          <w:szCs w:val="24"/>
        </w:rPr>
        <w:t xml:space="preserve"> uzņemšanās rada papildus slogu valsts budžetam un pirms </w:t>
      </w:r>
      <w:proofErr w:type="spellStart"/>
      <w:r w:rsidRPr="008E4EA2">
        <w:rPr>
          <w:iCs/>
          <w:color w:val="000000" w:themeColor="text1"/>
          <w:szCs w:val="24"/>
        </w:rPr>
        <w:t>virssaistību</w:t>
      </w:r>
      <w:proofErr w:type="spellEnd"/>
      <w:r w:rsidRPr="008E4EA2">
        <w:rPr>
          <w:iCs/>
          <w:color w:val="000000" w:themeColor="text1"/>
          <w:szCs w:val="24"/>
        </w:rPr>
        <w:t xml:space="preserve"> apjoma apstiprināšanas valdībā tika veikti aprēķini iespējamai ietekmei uz valsts budžeta deficītu, </w:t>
      </w:r>
      <w:proofErr w:type="spellStart"/>
      <w:r w:rsidRPr="008E4EA2">
        <w:rPr>
          <w:iCs/>
          <w:color w:val="000000" w:themeColor="text1"/>
          <w:szCs w:val="24"/>
        </w:rPr>
        <w:t>virssaistību</w:t>
      </w:r>
      <w:proofErr w:type="spellEnd"/>
      <w:r w:rsidRPr="008E4EA2">
        <w:rPr>
          <w:iCs/>
          <w:color w:val="000000" w:themeColor="text1"/>
          <w:szCs w:val="24"/>
        </w:rPr>
        <w:t xml:space="preserve"> finansējuma novirzīšanai ES fondu projektu īstenotājiem strikti jānorit saskaņā ar ministriju iepriekš noteiktajiem ikmēneša un ceturkšņa apguves plāniem. Attiecīgi VI piemēros disciplinējošus instrumentus,</w:t>
      </w:r>
      <w:r w:rsidR="005E1672">
        <w:rPr>
          <w:iCs/>
          <w:color w:val="000000" w:themeColor="text1"/>
          <w:szCs w:val="24"/>
        </w:rPr>
        <w:t xml:space="preserve"> </w:t>
      </w:r>
      <w:r w:rsidRPr="008E4EA2">
        <w:rPr>
          <w:iCs/>
          <w:color w:val="000000" w:themeColor="text1"/>
          <w:szCs w:val="24"/>
        </w:rPr>
        <w:t>sākot no 2013.gada, kad arī tiek plānota vislielākā saistību uzņemšanās (skatīt grafiku Nr.</w:t>
      </w:r>
      <w:r w:rsidR="0078381C" w:rsidRPr="008E4EA2">
        <w:rPr>
          <w:iCs/>
          <w:color w:val="000000" w:themeColor="text1"/>
          <w:szCs w:val="24"/>
        </w:rPr>
        <w:t>8</w:t>
      </w:r>
      <w:r w:rsidRPr="008E4EA2">
        <w:rPr>
          <w:iCs/>
          <w:color w:val="000000" w:themeColor="text1"/>
          <w:szCs w:val="24"/>
        </w:rPr>
        <w:t>). Piedāvātie galvenie principi</w:t>
      </w:r>
      <w:r w:rsidRPr="008E4EA2">
        <w:rPr>
          <w:color w:val="000000" w:themeColor="text1"/>
          <w:szCs w:val="24"/>
        </w:rPr>
        <w:t xml:space="preserve">: </w:t>
      </w:r>
    </w:p>
    <w:p w:rsidR="00894D2F" w:rsidRPr="008E4EA2" w:rsidRDefault="00894D2F" w:rsidP="003A0029">
      <w:pPr>
        <w:spacing w:before="120" w:after="120" w:line="276" w:lineRule="auto"/>
        <w:rPr>
          <w:color w:val="000000" w:themeColor="text1"/>
          <w:szCs w:val="24"/>
        </w:rPr>
      </w:pPr>
      <w:r w:rsidRPr="008E4EA2">
        <w:rPr>
          <w:color w:val="000000" w:themeColor="text1"/>
          <w:szCs w:val="24"/>
        </w:rPr>
        <w:t xml:space="preserve">1) Ja </w:t>
      </w:r>
      <w:r w:rsidR="004D4B1A" w:rsidRPr="008E4EA2">
        <w:rPr>
          <w:color w:val="000000" w:themeColor="text1"/>
          <w:szCs w:val="24"/>
        </w:rPr>
        <w:t>AI</w:t>
      </w:r>
      <w:r w:rsidRPr="008E4EA2">
        <w:rPr>
          <w:color w:val="000000" w:themeColor="text1"/>
          <w:szCs w:val="24"/>
        </w:rPr>
        <w:t xml:space="preserve"> noteiktā kumulatīvā ikmēneša maksājumu ES fondu FS plāna neizpilde divus mēnešus pēc kārtas ir vismaz 10% un vienlaikus pārsniedz 250 </w:t>
      </w:r>
      <w:proofErr w:type="spellStart"/>
      <w:r w:rsidR="00702EBD" w:rsidRPr="008E4EA2">
        <w:rPr>
          <w:color w:val="000000" w:themeColor="text1"/>
          <w:szCs w:val="24"/>
        </w:rPr>
        <w:t>tūkst</w:t>
      </w:r>
      <w:proofErr w:type="spellEnd"/>
      <w:r w:rsidR="00702EBD" w:rsidRPr="008E4EA2">
        <w:rPr>
          <w:color w:val="000000" w:themeColor="text1"/>
          <w:szCs w:val="24"/>
        </w:rPr>
        <w:t>. latu</w:t>
      </w:r>
      <w:r w:rsidRPr="008E4EA2">
        <w:rPr>
          <w:color w:val="000000" w:themeColor="text1"/>
          <w:szCs w:val="24"/>
        </w:rPr>
        <w:t xml:space="preserve">, ja aktivitātei 2013.-2015.gadam ceturksnī paredzēto noslēgto līgumu apjoma neizpilde ir lielāka par 10% un vienlaikus pārsniedz 250 </w:t>
      </w:r>
      <w:proofErr w:type="spellStart"/>
      <w:r w:rsidR="00702EBD" w:rsidRPr="008E4EA2">
        <w:rPr>
          <w:color w:val="000000" w:themeColor="text1"/>
          <w:szCs w:val="24"/>
        </w:rPr>
        <w:t>tūkst</w:t>
      </w:r>
      <w:proofErr w:type="spellEnd"/>
      <w:r w:rsidR="00702EBD" w:rsidRPr="008E4EA2">
        <w:rPr>
          <w:color w:val="000000" w:themeColor="text1"/>
          <w:szCs w:val="24"/>
        </w:rPr>
        <w:t>.</w:t>
      </w:r>
      <w:r w:rsidRPr="008E4EA2">
        <w:rPr>
          <w:color w:val="000000" w:themeColor="text1"/>
          <w:szCs w:val="24"/>
        </w:rPr>
        <w:t xml:space="preserve"> latus, VI reizi ceturksnī kopā ar kārtējo informatīvo ziņojumu iesniegs MK apkopotu informāciju par situāciju un priekšlikumus </w:t>
      </w:r>
      <w:proofErr w:type="spellStart"/>
      <w:r w:rsidRPr="008E4EA2">
        <w:rPr>
          <w:color w:val="000000" w:themeColor="text1"/>
          <w:szCs w:val="24"/>
        </w:rPr>
        <w:lastRenderedPageBreak/>
        <w:t>virssaistību</w:t>
      </w:r>
      <w:proofErr w:type="spellEnd"/>
      <w:r w:rsidRPr="008E4EA2">
        <w:rPr>
          <w:color w:val="000000" w:themeColor="text1"/>
          <w:szCs w:val="24"/>
        </w:rPr>
        <w:t xml:space="preserve"> finansējuma samazinājumam proporcionāli par tādu pašu apjomu, kāda ir minēto nosacījumu neizpilde. Vienlaikus, </w:t>
      </w:r>
      <w:proofErr w:type="spellStart"/>
      <w:r w:rsidRPr="008E4EA2">
        <w:rPr>
          <w:color w:val="000000" w:themeColor="text1"/>
          <w:szCs w:val="24"/>
        </w:rPr>
        <w:t>virssaistību</w:t>
      </w:r>
      <w:proofErr w:type="spellEnd"/>
      <w:r w:rsidRPr="008E4EA2">
        <w:rPr>
          <w:color w:val="000000" w:themeColor="text1"/>
          <w:szCs w:val="24"/>
        </w:rPr>
        <w:t xml:space="preserve"> apjoma samazinājumu var ierosināt tikai par to piešķirto </w:t>
      </w:r>
      <w:proofErr w:type="spellStart"/>
      <w:r w:rsidRPr="008E4EA2">
        <w:rPr>
          <w:color w:val="000000" w:themeColor="text1"/>
          <w:szCs w:val="24"/>
        </w:rPr>
        <w:t>virssaistību</w:t>
      </w:r>
      <w:proofErr w:type="spellEnd"/>
      <w:r w:rsidRPr="008E4EA2">
        <w:rPr>
          <w:color w:val="000000" w:themeColor="text1"/>
          <w:szCs w:val="24"/>
        </w:rPr>
        <w:t xml:space="preserve"> daļu, par kuru nav uzņemtas saistības (noslēgti līgumi). </w:t>
      </w:r>
    </w:p>
    <w:p w:rsidR="00894D2F" w:rsidRPr="008E4EA2" w:rsidRDefault="00894D2F" w:rsidP="003A0029">
      <w:pPr>
        <w:tabs>
          <w:tab w:val="left" w:pos="6453"/>
        </w:tabs>
        <w:spacing w:before="120" w:after="120" w:line="276" w:lineRule="auto"/>
        <w:rPr>
          <w:color w:val="000000" w:themeColor="text1"/>
          <w:szCs w:val="24"/>
        </w:rPr>
      </w:pPr>
      <w:r w:rsidRPr="008E4EA2">
        <w:rPr>
          <w:color w:val="000000" w:themeColor="text1"/>
          <w:szCs w:val="24"/>
        </w:rPr>
        <w:t xml:space="preserve">2) Lauzto līgumu un neatbilstību summa pēc </w:t>
      </w:r>
      <w:proofErr w:type="spellStart"/>
      <w:r w:rsidRPr="008E4EA2">
        <w:rPr>
          <w:color w:val="000000" w:themeColor="text1"/>
          <w:szCs w:val="24"/>
        </w:rPr>
        <w:t>š.g</w:t>
      </w:r>
      <w:proofErr w:type="spellEnd"/>
      <w:r w:rsidRPr="008E4EA2">
        <w:rPr>
          <w:color w:val="000000" w:themeColor="text1"/>
          <w:szCs w:val="24"/>
        </w:rPr>
        <w:t xml:space="preserve">. 9.maija prioritātes līmenī nav novirzāma jaunu projektu īstenošanai, kamēr vien nav nosegta uzņemto </w:t>
      </w:r>
      <w:proofErr w:type="spellStart"/>
      <w:r w:rsidRPr="008E4EA2">
        <w:rPr>
          <w:color w:val="000000" w:themeColor="text1"/>
          <w:szCs w:val="24"/>
        </w:rPr>
        <w:t>virssaistību</w:t>
      </w:r>
      <w:proofErr w:type="spellEnd"/>
      <w:r w:rsidRPr="008E4EA2">
        <w:rPr>
          <w:color w:val="000000" w:themeColor="text1"/>
          <w:szCs w:val="24"/>
        </w:rPr>
        <w:t xml:space="preserve"> summa, taču vienlaikus vienu reizi izmantojams viss piešķirto </w:t>
      </w:r>
      <w:proofErr w:type="spellStart"/>
      <w:r w:rsidRPr="008E4EA2">
        <w:rPr>
          <w:color w:val="000000" w:themeColor="text1"/>
          <w:szCs w:val="24"/>
        </w:rPr>
        <w:t>virssaistību</w:t>
      </w:r>
      <w:proofErr w:type="spellEnd"/>
      <w:r w:rsidRPr="008E4EA2">
        <w:rPr>
          <w:color w:val="000000" w:themeColor="text1"/>
          <w:szCs w:val="24"/>
        </w:rPr>
        <w:t xml:space="preserve"> apjoms;</w:t>
      </w:r>
    </w:p>
    <w:p w:rsidR="00D6167F" w:rsidRPr="008E4EA2" w:rsidRDefault="00894D2F" w:rsidP="003A0029">
      <w:pPr>
        <w:spacing w:before="120" w:after="120" w:line="276" w:lineRule="auto"/>
        <w:rPr>
          <w:color w:val="000000" w:themeColor="text1"/>
          <w:szCs w:val="24"/>
        </w:rPr>
      </w:pPr>
      <w:r w:rsidRPr="008E4EA2">
        <w:rPr>
          <w:color w:val="000000" w:themeColor="text1"/>
          <w:szCs w:val="24"/>
        </w:rPr>
        <w:t xml:space="preserve">3) </w:t>
      </w:r>
      <w:proofErr w:type="spellStart"/>
      <w:r w:rsidRPr="008E4EA2">
        <w:rPr>
          <w:color w:val="000000" w:themeColor="text1"/>
          <w:szCs w:val="24"/>
        </w:rPr>
        <w:t>Virssaistību</w:t>
      </w:r>
      <w:proofErr w:type="spellEnd"/>
      <w:r w:rsidRPr="008E4EA2">
        <w:rPr>
          <w:color w:val="000000" w:themeColor="text1"/>
          <w:szCs w:val="24"/>
        </w:rPr>
        <w:t xml:space="preserve"> projekti uzskatāmi kā parasti ES fondu projekti, to ieviešanas, uzraudzības un kontroles normas neatšķiras, bet jāievēro papildus specifiskie nosacījumi, ja tādi ir.</w:t>
      </w:r>
    </w:p>
    <w:p w:rsidR="00A31531" w:rsidRPr="008E4EA2" w:rsidRDefault="00A31531" w:rsidP="003A0029">
      <w:pPr>
        <w:pStyle w:val="2lmenis"/>
        <w:numPr>
          <w:ilvl w:val="1"/>
          <w:numId w:val="2"/>
        </w:numPr>
        <w:spacing w:before="120" w:after="120" w:line="276" w:lineRule="auto"/>
        <w:ind w:left="1276" w:hanging="425"/>
        <w:jc w:val="both"/>
        <w:rPr>
          <w:color w:val="000000" w:themeColor="text1"/>
          <w:sz w:val="24"/>
          <w:szCs w:val="24"/>
          <w:lang w:val="lv-LV"/>
        </w:rPr>
      </w:pPr>
      <w:bookmarkStart w:id="30" w:name="_Toc340241694"/>
      <w:bookmarkStart w:id="31" w:name="_Ref322354863"/>
      <w:bookmarkStart w:id="32" w:name="_Toc324948881"/>
      <w:r w:rsidRPr="008E4EA2">
        <w:rPr>
          <w:color w:val="000000" w:themeColor="text1"/>
          <w:sz w:val="24"/>
          <w:szCs w:val="24"/>
          <w:lang w:val="lv-LV"/>
        </w:rPr>
        <w:t>Publisko resursu ieguldījums</w:t>
      </w:r>
      <w:bookmarkEnd w:id="30"/>
      <w:r w:rsidRPr="008E4EA2">
        <w:rPr>
          <w:color w:val="000000" w:themeColor="text1"/>
          <w:sz w:val="24"/>
          <w:szCs w:val="24"/>
          <w:lang w:val="lv-LV"/>
        </w:rPr>
        <w:t xml:space="preserve"> </w:t>
      </w:r>
      <w:bookmarkEnd w:id="31"/>
      <w:bookmarkEnd w:id="32"/>
    </w:p>
    <w:p w:rsidR="004B48A2" w:rsidRPr="008E4EA2" w:rsidRDefault="00D97278" w:rsidP="003A0029">
      <w:pPr>
        <w:pStyle w:val="2lmenis"/>
        <w:numPr>
          <w:ilvl w:val="2"/>
          <w:numId w:val="2"/>
        </w:numPr>
        <w:spacing w:before="120" w:after="120" w:line="276" w:lineRule="auto"/>
        <w:jc w:val="both"/>
        <w:rPr>
          <w:color w:val="000000" w:themeColor="text1"/>
          <w:sz w:val="24"/>
          <w:szCs w:val="24"/>
          <w:lang w:val="lv-LV"/>
        </w:rPr>
      </w:pPr>
      <w:bookmarkStart w:id="33" w:name="_Toc276049976"/>
      <w:bookmarkStart w:id="34" w:name="_Toc340241695"/>
      <w:bookmarkEnd w:id="26"/>
      <w:r w:rsidRPr="008E4EA2">
        <w:rPr>
          <w:color w:val="000000" w:themeColor="text1"/>
          <w:sz w:val="24"/>
          <w:szCs w:val="24"/>
          <w:lang w:val="lv-LV"/>
        </w:rPr>
        <w:t>Publisko resursu ieguldījums d</w:t>
      </w:r>
      <w:r w:rsidR="00E64901">
        <w:rPr>
          <w:color w:val="000000" w:themeColor="text1"/>
          <w:sz w:val="24"/>
          <w:szCs w:val="24"/>
          <w:lang w:val="lv-LV"/>
        </w:rPr>
        <w:t>arbības programmā</w:t>
      </w:r>
      <w:r w:rsidR="000B4535" w:rsidRPr="008E4EA2">
        <w:rPr>
          <w:color w:val="000000" w:themeColor="text1"/>
          <w:sz w:val="24"/>
          <w:szCs w:val="24"/>
          <w:lang w:val="lv-LV"/>
        </w:rPr>
        <w:t xml:space="preserve"> </w:t>
      </w:r>
      <w:r w:rsidR="00E15CBF" w:rsidRPr="008E4EA2">
        <w:rPr>
          <w:color w:val="000000" w:themeColor="text1"/>
          <w:sz w:val="24"/>
          <w:szCs w:val="24"/>
          <w:lang w:val="lv-LV"/>
        </w:rPr>
        <w:t>„</w:t>
      </w:r>
      <w:r w:rsidR="004B48A2" w:rsidRPr="008E4EA2">
        <w:rPr>
          <w:color w:val="000000" w:themeColor="text1"/>
          <w:sz w:val="24"/>
          <w:szCs w:val="24"/>
          <w:lang w:val="lv-LV"/>
        </w:rPr>
        <w:t>Cilvēkresursi un nodarbinātība</w:t>
      </w:r>
      <w:bookmarkEnd w:id="33"/>
      <w:r w:rsidR="001E2B7C" w:rsidRPr="008E4EA2">
        <w:rPr>
          <w:color w:val="000000" w:themeColor="text1"/>
          <w:sz w:val="24"/>
          <w:szCs w:val="24"/>
          <w:lang w:val="lv-LV"/>
        </w:rPr>
        <w:t>”</w:t>
      </w:r>
      <w:bookmarkEnd w:id="34"/>
    </w:p>
    <w:p w:rsidR="00BB4287" w:rsidRPr="008E4EA2" w:rsidRDefault="00DA72C0" w:rsidP="003A0029">
      <w:pPr>
        <w:spacing w:before="120" w:after="120" w:line="276" w:lineRule="auto"/>
        <w:rPr>
          <w:color w:val="000000" w:themeColor="text1"/>
          <w:szCs w:val="24"/>
        </w:rPr>
      </w:pPr>
      <w:r w:rsidRPr="008E4EA2">
        <w:rPr>
          <w:color w:val="000000" w:themeColor="text1"/>
          <w:szCs w:val="24"/>
        </w:rPr>
        <w:t xml:space="preserve">Kopā līdz 2012.gada trešā ceturkšņa beigām ir noslēgti 917 līgumi par projektu īstenošanu par 467,2 </w:t>
      </w:r>
      <w:proofErr w:type="spellStart"/>
      <w:r w:rsidRPr="008E4EA2">
        <w:rPr>
          <w:color w:val="000000" w:themeColor="text1"/>
          <w:szCs w:val="24"/>
        </w:rPr>
        <w:t>milj</w:t>
      </w:r>
      <w:proofErr w:type="spellEnd"/>
      <w:r w:rsidRPr="008E4EA2">
        <w:rPr>
          <w:color w:val="000000" w:themeColor="text1"/>
          <w:szCs w:val="24"/>
        </w:rPr>
        <w:t xml:space="preserve">. latu (vidējais līguma apjoms – 0,5 </w:t>
      </w:r>
      <w:proofErr w:type="spellStart"/>
      <w:r w:rsidRPr="008E4EA2">
        <w:rPr>
          <w:color w:val="000000" w:themeColor="text1"/>
          <w:szCs w:val="24"/>
        </w:rPr>
        <w:t>milj</w:t>
      </w:r>
      <w:proofErr w:type="spellEnd"/>
      <w:r w:rsidRPr="008E4EA2">
        <w:rPr>
          <w:color w:val="000000" w:themeColor="text1"/>
          <w:szCs w:val="24"/>
        </w:rPr>
        <w:t xml:space="preserve">. latu). </w:t>
      </w:r>
      <w:r w:rsidR="00872287" w:rsidRPr="008E4EA2">
        <w:rPr>
          <w:color w:val="000000" w:themeColor="text1"/>
          <w:szCs w:val="24"/>
        </w:rPr>
        <w:t>P</w:t>
      </w:r>
      <w:r w:rsidR="00BB4287" w:rsidRPr="008E4EA2">
        <w:rPr>
          <w:color w:val="000000" w:themeColor="text1"/>
          <w:szCs w:val="24"/>
        </w:rPr>
        <w:t xml:space="preserve">ārskata periodā sasniegtais finanšu apguves progress kopumā atbilst plānotajam, straujākais apguves progress sasniegts administratīvās kapacitātes stiprināšanas aktivitātēs, kā arī profesionālās un sociālās iekļaušanas veicināšanas jomā, kur pārskata periodā fiksēts procentuāli apjomīgais pieaugums attiecībā uz finansējuma saņēmējiem veikto maksājumu apjomu. (skatīt </w:t>
      </w:r>
      <w:r w:rsidR="00BB4287" w:rsidRPr="008E4EA2">
        <w:rPr>
          <w:color w:val="000000" w:themeColor="text1"/>
          <w:szCs w:val="24"/>
          <w:u w:val="single"/>
        </w:rPr>
        <w:t>grafiku Nr.</w:t>
      </w:r>
      <w:r w:rsidR="001F2246" w:rsidRPr="008E4EA2">
        <w:rPr>
          <w:color w:val="000000" w:themeColor="text1"/>
          <w:szCs w:val="24"/>
          <w:u w:val="single"/>
        </w:rPr>
        <w:t>9</w:t>
      </w:r>
      <w:r w:rsidR="00BB4287" w:rsidRPr="008E4EA2">
        <w:rPr>
          <w:color w:val="000000" w:themeColor="text1"/>
          <w:szCs w:val="24"/>
        </w:rPr>
        <w:t>).</w:t>
      </w:r>
    </w:p>
    <w:p w:rsidR="0015468E" w:rsidRPr="008E4EA2" w:rsidRDefault="00BB4287" w:rsidP="003A0029">
      <w:pPr>
        <w:spacing w:before="120" w:after="120" w:line="276" w:lineRule="auto"/>
        <w:rPr>
          <w:color w:val="000000" w:themeColor="text1"/>
          <w:szCs w:val="24"/>
        </w:rPr>
      </w:pPr>
      <w:r w:rsidRPr="008E4EA2">
        <w:rPr>
          <w:color w:val="000000" w:themeColor="text1"/>
          <w:szCs w:val="24"/>
        </w:rPr>
        <w:t>Salīdzinot ar datiem līdz 2012.gada 30.jūnijam, pārskata periodā atsevišķās profesionālās un vispārējās izglītības atbalsta aktivitātēs</w:t>
      </w:r>
      <w:r w:rsidR="003271BE" w:rsidRPr="008E4EA2">
        <w:rPr>
          <w:color w:val="000000" w:themeColor="text1"/>
          <w:szCs w:val="24"/>
        </w:rPr>
        <w:t xml:space="preserve"> </w:t>
      </w:r>
      <w:r w:rsidRPr="008E4EA2">
        <w:rPr>
          <w:color w:val="000000" w:themeColor="text1"/>
          <w:szCs w:val="24"/>
        </w:rPr>
        <w:t>konstatēts regress attiecībā uz apstiprināto projektu un noslēgto līgumu apjomu, kas ir skaidrojams ar to, ka vairākos projektos ir veikti</w:t>
      </w:r>
      <w:r w:rsidR="003271BE" w:rsidRPr="008E4EA2">
        <w:rPr>
          <w:color w:val="000000" w:themeColor="text1"/>
          <w:szCs w:val="24"/>
        </w:rPr>
        <w:t xml:space="preserve"> </w:t>
      </w:r>
      <w:r w:rsidRPr="008E4EA2">
        <w:rPr>
          <w:color w:val="000000" w:themeColor="text1"/>
          <w:szCs w:val="24"/>
        </w:rPr>
        <w:t>grozījumi, samazinot attiecināmo izmaksu kopsummas. Reālie finanšu apguves dati šo izmaiņu rezultātā nav samazinājušies.</w:t>
      </w:r>
      <w:r w:rsidR="0015468E" w:rsidRPr="008E4EA2">
        <w:rPr>
          <w:color w:val="000000" w:themeColor="text1"/>
          <w:szCs w:val="24"/>
        </w:rPr>
        <w:t xml:space="preserve"> </w:t>
      </w:r>
    </w:p>
    <w:p w:rsidR="00D120DB" w:rsidRDefault="00D120DB">
      <w:pPr>
        <w:jc w:val="left"/>
        <w:rPr>
          <w:color w:val="000000" w:themeColor="text1"/>
          <w:szCs w:val="24"/>
          <w:lang w:eastAsia="lv-LV"/>
        </w:rPr>
      </w:pPr>
      <w:r>
        <w:rPr>
          <w:color w:val="000000" w:themeColor="text1"/>
          <w:szCs w:val="24"/>
          <w:lang w:eastAsia="lv-LV"/>
        </w:rPr>
        <w:br w:type="page"/>
      </w:r>
    </w:p>
    <w:p w:rsidR="00C1489E" w:rsidRPr="008E4EA2" w:rsidRDefault="00427D80" w:rsidP="003A0029">
      <w:pPr>
        <w:spacing w:before="120" w:after="120" w:line="276" w:lineRule="auto"/>
        <w:rPr>
          <w:i/>
          <w:iCs/>
          <w:color w:val="000000" w:themeColor="text1"/>
          <w:szCs w:val="24"/>
          <w:lang w:eastAsia="lv-LV"/>
        </w:rPr>
      </w:pPr>
      <w:r w:rsidRPr="008E4EA2">
        <w:rPr>
          <w:color w:val="000000" w:themeColor="text1"/>
          <w:szCs w:val="24"/>
          <w:lang w:eastAsia="lv-LV"/>
        </w:rPr>
        <w:lastRenderedPageBreak/>
        <w:t>Grafiks Nr.</w:t>
      </w:r>
      <w:r w:rsidR="0078381C" w:rsidRPr="008E4EA2">
        <w:rPr>
          <w:color w:val="000000" w:themeColor="text1"/>
          <w:szCs w:val="24"/>
          <w:lang w:eastAsia="lv-LV"/>
        </w:rPr>
        <w:t>9</w:t>
      </w:r>
      <w:r w:rsidR="000B4535" w:rsidRPr="008E4EA2">
        <w:rPr>
          <w:i/>
          <w:iCs/>
          <w:color w:val="000000" w:themeColor="text1"/>
          <w:szCs w:val="24"/>
          <w:lang w:eastAsia="lv-LV"/>
        </w:rPr>
        <w:t xml:space="preserve"> </w:t>
      </w:r>
      <w:r w:rsidR="00E15CBF" w:rsidRPr="008E4EA2">
        <w:rPr>
          <w:i/>
          <w:iCs/>
          <w:color w:val="000000" w:themeColor="text1"/>
          <w:szCs w:val="24"/>
          <w:lang w:eastAsia="lv-LV"/>
        </w:rPr>
        <w:t>„</w:t>
      </w:r>
      <w:r w:rsidRPr="008E4EA2">
        <w:rPr>
          <w:i/>
          <w:iCs/>
          <w:color w:val="000000" w:themeColor="text1"/>
          <w:szCs w:val="24"/>
          <w:lang w:eastAsia="lv-LV"/>
        </w:rPr>
        <w:t xml:space="preserve">ES fondu finanšu apguve </w:t>
      </w:r>
      <w:r w:rsidR="007E1064" w:rsidRPr="008E4EA2">
        <w:rPr>
          <w:rFonts w:eastAsia="EUAlbertina-Bold-Identity-H"/>
          <w:i/>
          <w:color w:val="000000" w:themeColor="text1"/>
          <w:szCs w:val="24"/>
        </w:rPr>
        <w:t xml:space="preserve">līdz </w:t>
      </w:r>
      <w:r w:rsidR="00684655" w:rsidRPr="008E4EA2">
        <w:rPr>
          <w:i/>
          <w:color w:val="000000" w:themeColor="text1"/>
          <w:szCs w:val="24"/>
        </w:rPr>
        <w:t>2012.gada 30</w:t>
      </w:r>
      <w:r w:rsidR="00FB103C" w:rsidRPr="008E4EA2">
        <w:rPr>
          <w:i/>
          <w:color w:val="000000" w:themeColor="text1"/>
          <w:szCs w:val="24"/>
        </w:rPr>
        <w:t>.</w:t>
      </w:r>
      <w:r w:rsidR="00AE7E66" w:rsidRPr="008E4EA2">
        <w:rPr>
          <w:i/>
          <w:color w:val="000000" w:themeColor="text1"/>
          <w:szCs w:val="24"/>
        </w:rPr>
        <w:t>septembrim</w:t>
      </w:r>
      <w:r w:rsidR="00FB103C" w:rsidRPr="008E4EA2">
        <w:rPr>
          <w:i/>
          <w:iCs/>
          <w:color w:val="000000" w:themeColor="text1"/>
          <w:szCs w:val="24"/>
          <w:lang w:eastAsia="lv-LV"/>
        </w:rPr>
        <w:t xml:space="preserve"> </w:t>
      </w:r>
      <w:r w:rsidRPr="008E4EA2">
        <w:rPr>
          <w:i/>
          <w:iCs/>
          <w:color w:val="000000" w:themeColor="text1"/>
          <w:szCs w:val="24"/>
          <w:lang w:eastAsia="lv-LV"/>
        </w:rPr>
        <w:t>darbības programmā</w:t>
      </w:r>
      <w:r w:rsidR="000B4535" w:rsidRPr="008E4EA2">
        <w:rPr>
          <w:i/>
          <w:iCs/>
          <w:color w:val="000000" w:themeColor="text1"/>
          <w:szCs w:val="24"/>
          <w:lang w:eastAsia="lv-LV"/>
        </w:rPr>
        <w:t xml:space="preserve"> </w:t>
      </w:r>
      <w:r w:rsidR="00E15CBF" w:rsidRPr="008E4EA2">
        <w:rPr>
          <w:i/>
          <w:iCs/>
          <w:color w:val="000000" w:themeColor="text1"/>
          <w:szCs w:val="24"/>
          <w:lang w:eastAsia="lv-LV"/>
        </w:rPr>
        <w:t>„</w:t>
      </w:r>
      <w:r w:rsidRPr="008E4EA2">
        <w:rPr>
          <w:i/>
          <w:iCs/>
          <w:color w:val="000000" w:themeColor="text1"/>
          <w:szCs w:val="24"/>
          <w:lang w:eastAsia="lv-LV"/>
        </w:rPr>
        <w:t>Cilvēkresursi un nodarbinātība</w:t>
      </w:r>
      <w:r w:rsidR="00CB2904" w:rsidRPr="008E4EA2">
        <w:rPr>
          <w:i/>
          <w:iCs/>
          <w:color w:val="000000" w:themeColor="text1"/>
          <w:szCs w:val="24"/>
          <w:lang w:eastAsia="lv-LV"/>
        </w:rPr>
        <w:t>”</w:t>
      </w:r>
      <w:r w:rsidRPr="008E4EA2">
        <w:rPr>
          <w:i/>
          <w:iCs/>
          <w:color w:val="000000" w:themeColor="text1"/>
          <w:szCs w:val="24"/>
          <w:lang w:eastAsia="lv-LV"/>
        </w:rPr>
        <w:t>;</w:t>
      </w:r>
      <w:r w:rsidR="00CB2904" w:rsidRPr="008E4EA2">
        <w:rPr>
          <w:i/>
          <w:iCs/>
          <w:color w:val="000000" w:themeColor="text1"/>
          <w:szCs w:val="24"/>
          <w:lang w:eastAsia="lv-LV"/>
        </w:rPr>
        <w:t xml:space="preserve"> Publiskais finansējums,</w:t>
      </w:r>
      <w:r w:rsidRPr="008E4EA2">
        <w:rPr>
          <w:i/>
          <w:iCs/>
          <w:color w:val="000000" w:themeColor="text1"/>
          <w:szCs w:val="24"/>
          <w:lang w:eastAsia="lv-LV"/>
        </w:rPr>
        <w:t xml:space="preserve"> </w:t>
      </w:r>
      <w:proofErr w:type="spellStart"/>
      <w:r w:rsidR="00657E71" w:rsidRPr="008E4EA2">
        <w:rPr>
          <w:rFonts w:eastAsia="EUAlbertina-Bold-Identity-H"/>
          <w:i/>
          <w:color w:val="000000" w:themeColor="text1"/>
          <w:szCs w:val="24"/>
        </w:rPr>
        <w:t>milj</w:t>
      </w:r>
      <w:proofErr w:type="spellEnd"/>
      <w:r w:rsidR="00657E71" w:rsidRPr="008E4EA2">
        <w:rPr>
          <w:rFonts w:eastAsia="EUAlbertina-Bold-Identity-H"/>
          <w:i/>
          <w:color w:val="000000" w:themeColor="text1"/>
          <w:szCs w:val="24"/>
        </w:rPr>
        <w:t xml:space="preserve">. </w:t>
      </w:r>
      <w:r w:rsidR="00884EC7" w:rsidRPr="008E4EA2">
        <w:rPr>
          <w:rFonts w:eastAsia="EUAlbertina-Bold-Identity-H"/>
          <w:i/>
          <w:color w:val="000000" w:themeColor="text1"/>
          <w:szCs w:val="24"/>
        </w:rPr>
        <w:t>latu</w:t>
      </w:r>
      <w:r w:rsidR="00657E71" w:rsidRPr="008E4EA2">
        <w:rPr>
          <w:rFonts w:eastAsia="EUAlbertina-Bold-Identity-H"/>
          <w:i/>
          <w:color w:val="000000" w:themeColor="text1"/>
          <w:szCs w:val="24"/>
        </w:rPr>
        <w:t xml:space="preserve"> (% no pieejamā publiskā finansējuma); </w:t>
      </w:r>
      <w:r w:rsidR="00657E71" w:rsidRPr="008E4EA2">
        <w:rPr>
          <w:i/>
          <w:color w:val="000000" w:themeColor="text1"/>
          <w:szCs w:val="24"/>
        </w:rPr>
        <w:t xml:space="preserve">progress pret datiem </w:t>
      </w:r>
      <w:r w:rsidR="000456D8" w:rsidRPr="008E4EA2">
        <w:rPr>
          <w:i/>
          <w:color w:val="000000" w:themeColor="text1"/>
          <w:szCs w:val="24"/>
        </w:rPr>
        <w:t>līdz</w:t>
      </w:r>
      <w:r w:rsidR="00657E71" w:rsidRPr="008E4EA2">
        <w:rPr>
          <w:i/>
          <w:color w:val="000000" w:themeColor="text1"/>
          <w:szCs w:val="24"/>
        </w:rPr>
        <w:t xml:space="preserve"> </w:t>
      </w:r>
      <w:r w:rsidR="00684655" w:rsidRPr="008E4EA2">
        <w:rPr>
          <w:i/>
          <w:color w:val="000000" w:themeColor="text1"/>
          <w:szCs w:val="24"/>
        </w:rPr>
        <w:t>2012</w:t>
      </w:r>
      <w:r w:rsidR="00FB103C" w:rsidRPr="008E4EA2">
        <w:rPr>
          <w:i/>
          <w:color w:val="000000" w:themeColor="text1"/>
          <w:szCs w:val="24"/>
        </w:rPr>
        <w:t xml:space="preserve">.gada </w:t>
      </w:r>
      <w:r w:rsidR="00AE7E66" w:rsidRPr="008E4EA2">
        <w:rPr>
          <w:i/>
          <w:color w:val="000000" w:themeColor="text1"/>
          <w:szCs w:val="24"/>
        </w:rPr>
        <w:t>30.jūnijam</w:t>
      </w:r>
      <w:r w:rsidR="00CB2904" w:rsidRPr="008E4EA2">
        <w:rPr>
          <w:i/>
          <w:color w:val="000000" w:themeColor="text1"/>
          <w:szCs w:val="24"/>
        </w:rPr>
        <w:t>,%</w:t>
      </w:r>
      <w:r w:rsidR="00657E71" w:rsidRPr="008E4EA2">
        <w:rPr>
          <w:i/>
          <w:color w:val="000000" w:themeColor="text1"/>
          <w:szCs w:val="24"/>
        </w:rPr>
        <w:t>.</w:t>
      </w:r>
      <w:r w:rsidR="000B4535" w:rsidRPr="008E4EA2">
        <w:rPr>
          <w:i/>
          <w:iCs/>
          <w:color w:val="000000" w:themeColor="text1"/>
          <w:szCs w:val="24"/>
          <w:lang w:eastAsia="lv-LV"/>
        </w:rPr>
        <w:t>”</w:t>
      </w:r>
    </w:p>
    <w:p w:rsidR="008C6587" w:rsidRPr="008E4EA2" w:rsidRDefault="004D52C8" w:rsidP="003A0029">
      <w:pPr>
        <w:spacing w:before="120" w:after="120" w:line="276" w:lineRule="auto"/>
        <w:rPr>
          <w:i/>
          <w:iCs/>
          <w:color w:val="000000" w:themeColor="text1"/>
          <w:szCs w:val="24"/>
          <w:lang w:eastAsia="lv-LV"/>
        </w:rPr>
      </w:pPr>
      <w:r>
        <w:rPr>
          <w:noProof/>
          <w:lang w:eastAsia="lv-LV"/>
        </w:rPr>
        <w:drawing>
          <wp:inline distT="0" distB="0" distL="0" distR="0" wp14:anchorId="5CC4336F" wp14:editId="6DF61A04">
            <wp:extent cx="5486400" cy="6265627"/>
            <wp:effectExtent l="0" t="0" r="0" b="19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00EB5" w:rsidRPr="008E4EA2" w:rsidRDefault="00E15CBF" w:rsidP="003A0029">
      <w:pPr>
        <w:spacing w:before="120" w:after="120" w:line="276" w:lineRule="auto"/>
        <w:rPr>
          <w:b/>
          <w:color w:val="000000" w:themeColor="text1"/>
          <w:szCs w:val="24"/>
        </w:rPr>
      </w:pPr>
      <w:r w:rsidRPr="008E4EA2">
        <w:rPr>
          <w:b/>
          <w:color w:val="000000" w:themeColor="text1"/>
          <w:szCs w:val="24"/>
        </w:rPr>
        <w:t>„</w:t>
      </w:r>
      <w:r w:rsidR="00800EB5" w:rsidRPr="008E4EA2">
        <w:rPr>
          <w:b/>
          <w:color w:val="000000" w:themeColor="text1"/>
          <w:szCs w:val="24"/>
        </w:rPr>
        <w:t>Augstākā izglītība un zinātne</w:t>
      </w:r>
      <w:r w:rsidR="00731B18" w:rsidRPr="008E4EA2">
        <w:rPr>
          <w:b/>
          <w:color w:val="000000" w:themeColor="text1"/>
          <w:szCs w:val="24"/>
        </w:rPr>
        <w:t>”</w:t>
      </w:r>
    </w:p>
    <w:p w:rsidR="007C2854" w:rsidRPr="008E4EA2" w:rsidRDefault="00885F39" w:rsidP="003A0029">
      <w:pPr>
        <w:spacing w:before="120" w:after="120" w:line="276" w:lineRule="auto"/>
        <w:rPr>
          <w:color w:val="000000" w:themeColor="text1"/>
          <w:szCs w:val="24"/>
        </w:rPr>
      </w:pPr>
      <w:r w:rsidRPr="008E4EA2">
        <w:rPr>
          <w:color w:val="000000" w:themeColor="text1"/>
          <w:szCs w:val="24"/>
        </w:rPr>
        <w:t>Prioritāte ir vērsta uz augstākās izglītības kvalitātes un pieejamības uzlabošanu, un cilvēkresursu piesaisti augstākai izglītībai, zinātnei un pētniecībai. Šie mērķi ir sasniedzami, uzlabojot augstākās izglītības kvalitāti un pieejamību, piesaistot cilvēkresursus augstākai izglītībai, zinātnei un pētniecībai, palielinot studējošo skaitu maģistra un doktora studijās un veicinot motivāciju zinātniskajai darbībai</w:t>
      </w:r>
      <w:r w:rsidR="007C2854" w:rsidRPr="008E4EA2">
        <w:rPr>
          <w:color w:val="000000" w:themeColor="text1"/>
          <w:szCs w:val="24"/>
        </w:rPr>
        <w:t xml:space="preserve">. </w:t>
      </w:r>
    </w:p>
    <w:p w:rsidR="007C2854" w:rsidRPr="008E4EA2" w:rsidRDefault="007C2854" w:rsidP="003A0029">
      <w:pPr>
        <w:spacing w:before="120" w:after="120" w:line="276" w:lineRule="auto"/>
        <w:rPr>
          <w:color w:val="000000" w:themeColor="text1"/>
          <w:szCs w:val="24"/>
        </w:rPr>
      </w:pPr>
      <w:r w:rsidRPr="008E4EA2">
        <w:rPr>
          <w:color w:val="000000" w:themeColor="text1"/>
          <w:szCs w:val="24"/>
        </w:rPr>
        <w:t xml:space="preserve">Pārskata periodā, lai veicinātu zinātnieku pilna darba laika iesaisti pētnieciskās un zinātniskās darbībās, un, ņemot vērā arī lielo pieprasījumu, cilvēkresursu piesaistes </w:t>
      </w:r>
      <w:r w:rsidRPr="008E4EA2">
        <w:rPr>
          <w:color w:val="000000" w:themeColor="text1"/>
          <w:szCs w:val="24"/>
        </w:rPr>
        <w:lastRenderedPageBreak/>
        <w:t xml:space="preserve">zinātnei atbalsta aktivitātei ir piešķirts </w:t>
      </w:r>
      <w:proofErr w:type="spellStart"/>
      <w:r w:rsidRPr="008E4EA2">
        <w:rPr>
          <w:color w:val="000000" w:themeColor="text1"/>
          <w:szCs w:val="24"/>
        </w:rPr>
        <w:t>virssaistību</w:t>
      </w:r>
      <w:proofErr w:type="spellEnd"/>
      <w:r w:rsidRPr="008E4EA2">
        <w:rPr>
          <w:color w:val="000000" w:themeColor="text1"/>
          <w:szCs w:val="24"/>
        </w:rPr>
        <w:t xml:space="preserve"> finansējums 4,5 </w:t>
      </w:r>
      <w:proofErr w:type="spellStart"/>
      <w:r w:rsidRPr="008E4EA2">
        <w:rPr>
          <w:color w:val="000000" w:themeColor="text1"/>
          <w:szCs w:val="24"/>
        </w:rPr>
        <w:t>milj</w:t>
      </w:r>
      <w:proofErr w:type="spellEnd"/>
      <w:r w:rsidRPr="008E4EA2">
        <w:rPr>
          <w:color w:val="000000" w:themeColor="text1"/>
          <w:szCs w:val="24"/>
        </w:rPr>
        <w:t xml:space="preserve">. latu apmērā, lai nodrošinātu sekmīgu aktivitātes īstenošanu arī 2013.-2014.gadā. Līdz pārskata perioda beigām ar </w:t>
      </w:r>
      <w:r w:rsidR="008E5444" w:rsidRPr="008E4EA2">
        <w:rPr>
          <w:color w:val="000000" w:themeColor="text1"/>
          <w:szCs w:val="24"/>
        </w:rPr>
        <w:t>ESF</w:t>
      </w:r>
      <w:r w:rsidRPr="008E4EA2">
        <w:rPr>
          <w:color w:val="000000" w:themeColor="text1"/>
          <w:szCs w:val="24"/>
        </w:rPr>
        <w:t xml:space="preserve"> atbalstu pilna laika zinātniskā darbībā jau ir iesaistīti 573 zinātnieki (sasniedzamais </w:t>
      </w:r>
      <w:r w:rsidR="002F3300" w:rsidRPr="008E4EA2">
        <w:rPr>
          <w:color w:val="000000" w:themeColor="text1"/>
          <w:szCs w:val="24"/>
        </w:rPr>
        <w:t>rādītājs</w:t>
      </w:r>
      <w:r w:rsidRPr="008E4EA2">
        <w:rPr>
          <w:color w:val="000000" w:themeColor="text1"/>
          <w:szCs w:val="24"/>
        </w:rPr>
        <w:t xml:space="preserve"> līdz plānošanas perioda beigām – 1 </w:t>
      </w:r>
      <w:r w:rsidR="00C9741B" w:rsidRPr="008E4EA2">
        <w:rPr>
          <w:color w:val="000000" w:themeColor="text1"/>
          <w:szCs w:val="24"/>
        </w:rPr>
        <w:t>tūkstoti</w:t>
      </w:r>
      <w:r w:rsidRPr="008E4EA2">
        <w:rPr>
          <w:color w:val="000000" w:themeColor="text1"/>
          <w:szCs w:val="24"/>
        </w:rPr>
        <w:t xml:space="preserve"> pilna laika zinātnieki).</w:t>
      </w:r>
      <w:r w:rsidR="005E1672">
        <w:rPr>
          <w:color w:val="000000" w:themeColor="text1"/>
          <w:szCs w:val="24"/>
        </w:rPr>
        <w:t xml:space="preserve"> </w:t>
      </w:r>
    </w:p>
    <w:p w:rsidR="00FF2223" w:rsidRPr="008E4EA2" w:rsidRDefault="007C2854" w:rsidP="003A0029">
      <w:pPr>
        <w:spacing w:before="120" w:after="120" w:line="276" w:lineRule="auto"/>
        <w:rPr>
          <w:b/>
          <w:color w:val="000000" w:themeColor="text1"/>
          <w:szCs w:val="24"/>
        </w:rPr>
      </w:pPr>
      <w:r w:rsidRPr="008E4EA2">
        <w:rPr>
          <w:color w:val="000000" w:themeColor="text1"/>
          <w:szCs w:val="24"/>
        </w:rPr>
        <w:t>Pie pārskata perioda aktualitātēm augstākās izglītības un zinātnes nozarē jāatzīmē arī projekts „Augstākās izglītības studiju programmu izvērtēšana un priekšlikumi kvalitātes paaugstināšanai”, kas tiek īstenots studiju programmu satura un īstenošanas uzlabošanas un akadēmiskā personāla kompetences pilnveidošanas jomā un kura ietvaros pašreiz ir izvērtēti 28 apstiprinātie augstākās izglītības studiju virzieni, aptverot 854 studiju programmas</w:t>
      </w:r>
      <w:r w:rsidRPr="008E4EA2">
        <w:rPr>
          <w:rStyle w:val="FootnoteReference"/>
          <w:color w:val="000000" w:themeColor="text1"/>
          <w:szCs w:val="24"/>
        </w:rPr>
        <w:footnoteReference w:id="7"/>
      </w:r>
      <w:r w:rsidRPr="008E4EA2">
        <w:rPr>
          <w:color w:val="000000" w:themeColor="text1"/>
          <w:szCs w:val="24"/>
        </w:rPr>
        <w:t xml:space="preserve">, un iesāktas diskusijas par studiju programmu ilgtspējīgumu un atbilstību Latvijas tautsaimniecības nozarēm, kas ir guvušas plašu rezonansi arī masu medijos. Izvērtējumu rezultātus kompetentās nacionālās institūcijas </w:t>
      </w:r>
      <w:r w:rsidRPr="008E4EA2">
        <w:rPr>
          <w:bCs/>
          <w:color w:val="000000" w:themeColor="text1"/>
          <w:szCs w:val="24"/>
        </w:rPr>
        <w:t xml:space="preserve">turpmāk varēs izmantot lēmuma pieņemšanā par studiju virzienu akreditāciju, </w:t>
      </w:r>
      <w:r w:rsidRPr="008E4EA2">
        <w:rPr>
          <w:color w:val="000000" w:themeColor="text1"/>
          <w:szCs w:val="24"/>
        </w:rPr>
        <w:t xml:space="preserve">akreditācijas procesā </w:t>
      </w:r>
      <w:r w:rsidRPr="008E4EA2">
        <w:rPr>
          <w:bCs/>
          <w:color w:val="000000" w:themeColor="text1"/>
          <w:szCs w:val="24"/>
        </w:rPr>
        <w:t>ņemot vērā arī e</w:t>
      </w:r>
      <w:r w:rsidRPr="008E4EA2">
        <w:rPr>
          <w:color w:val="000000" w:themeColor="text1"/>
          <w:szCs w:val="24"/>
        </w:rPr>
        <w:t>kspertu vērtējumiem pievienotos augstākās izglītības institūciju paskaidrojumus un komentārus par ekspertu sniegtajiem vērtējumiem.</w:t>
      </w:r>
      <w:r w:rsidR="00E15CBF" w:rsidRPr="008E4EA2">
        <w:rPr>
          <w:b/>
          <w:color w:val="000000" w:themeColor="text1"/>
          <w:szCs w:val="24"/>
        </w:rPr>
        <w:t xml:space="preserve"> </w:t>
      </w:r>
    </w:p>
    <w:p w:rsidR="00800EB5" w:rsidRPr="008E4EA2" w:rsidRDefault="00E15CBF" w:rsidP="003A0029">
      <w:pPr>
        <w:spacing w:before="120" w:after="120" w:line="276" w:lineRule="auto"/>
        <w:rPr>
          <w:b/>
          <w:color w:val="000000" w:themeColor="text1"/>
          <w:szCs w:val="24"/>
        </w:rPr>
      </w:pPr>
      <w:r w:rsidRPr="008E4EA2">
        <w:rPr>
          <w:b/>
          <w:color w:val="000000" w:themeColor="text1"/>
          <w:szCs w:val="24"/>
        </w:rPr>
        <w:t>„</w:t>
      </w:r>
      <w:r w:rsidR="00800EB5" w:rsidRPr="008E4EA2">
        <w:rPr>
          <w:b/>
          <w:color w:val="000000" w:themeColor="text1"/>
          <w:szCs w:val="24"/>
        </w:rPr>
        <w:t>Izglītība un prasmes</w:t>
      </w:r>
      <w:r w:rsidR="00731B18" w:rsidRPr="008E4EA2">
        <w:rPr>
          <w:b/>
          <w:color w:val="000000" w:themeColor="text1"/>
          <w:szCs w:val="24"/>
        </w:rPr>
        <w:t>”</w:t>
      </w:r>
    </w:p>
    <w:p w:rsidR="007C2854" w:rsidRPr="008E4EA2" w:rsidRDefault="007C2854" w:rsidP="003A0029">
      <w:pPr>
        <w:spacing w:before="120" w:after="120" w:line="276" w:lineRule="auto"/>
        <w:rPr>
          <w:color w:val="000000" w:themeColor="text1"/>
          <w:szCs w:val="24"/>
        </w:rPr>
      </w:pPr>
      <w:r w:rsidRPr="008E4EA2">
        <w:rPr>
          <w:color w:val="000000" w:themeColor="text1"/>
          <w:szCs w:val="24"/>
        </w:rPr>
        <w:t>Prioritātes mērķis ir nodrošināt zinoša, prasmīga un darba tirgus prasībām atbilstoša darbaspēka sagatavošanu, uzlabojot izglītības kvalitāti un pieejamību, sniedzot iespējas attīstīt un papildināt zināšanas visām sabiedrības grupām mūža garumā, kā arī stiprinot izglītībā un mūžizglītībā iesaistīto institūciju kapacitāti un uzlabojot sadarbību izglītības politikas veidošanā un īstenošanā.</w:t>
      </w:r>
    </w:p>
    <w:p w:rsidR="007C2854" w:rsidRPr="008E4EA2" w:rsidRDefault="007C2854" w:rsidP="003A0029">
      <w:pPr>
        <w:spacing w:before="120" w:after="120" w:line="276" w:lineRule="auto"/>
        <w:rPr>
          <w:color w:val="000000" w:themeColor="text1"/>
          <w:szCs w:val="24"/>
        </w:rPr>
      </w:pPr>
      <w:r w:rsidRPr="008E4EA2">
        <w:rPr>
          <w:color w:val="000000" w:themeColor="text1"/>
          <w:szCs w:val="24"/>
        </w:rPr>
        <w:t xml:space="preserve">Lai veicinātu sākotnējās profesionālās izglītības programmu īstenošanas kvalitātes uzlabošanu, kas ir paredzēts arī kā viens no pasākumiem jauniešu bezdarba mazināšanai, pārskata periodā šai aktivitātei ir piešķirts papildu finansējums </w:t>
      </w:r>
      <w:r w:rsidR="00885F39" w:rsidRPr="008E4EA2">
        <w:rPr>
          <w:color w:val="000000" w:themeColor="text1"/>
          <w:szCs w:val="24"/>
        </w:rPr>
        <w:t>0</w:t>
      </w:r>
      <w:r w:rsidRPr="008E4EA2">
        <w:rPr>
          <w:color w:val="000000" w:themeColor="text1"/>
          <w:szCs w:val="24"/>
        </w:rPr>
        <w:t>,</w:t>
      </w:r>
      <w:r w:rsidR="00885F39" w:rsidRPr="008E4EA2">
        <w:rPr>
          <w:color w:val="000000" w:themeColor="text1"/>
          <w:szCs w:val="24"/>
        </w:rPr>
        <w:t>5</w:t>
      </w:r>
      <w:r w:rsidRPr="008E4EA2">
        <w:rPr>
          <w:color w:val="000000" w:themeColor="text1"/>
          <w:szCs w:val="24"/>
        </w:rPr>
        <w:t xml:space="preserve"> </w:t>
      </w:r>
      <w:proofErr w:type="spellStart"/>
      <w:r w:rsidRPr="008E4EA2">
        <w:rPr>
          <w:color w:val="000000" w:themeColor="text1"/>
          <w:szCs w:val="24"/>
        </w:rPr>
        <w:t>milj</w:t>
      </w:r>
      <w:proofErr w:type="spellEnd"/>
      <w:r w:rsidRPr="008E4EA2">
        <w:rPr>
          <w:color w:val="000000" w:themeColor="text1"/>
          <w:szCs w:val="24"/>
        </w:rPr>
        <w:t xml:space="preserve">. latu apmērā </w:t>
      </w:r>
      <w:proofErr w:type="spellStart"/>
      <w:r w:rsidRPr="008E4EA2">
        <w:rPr>
          <w:color w:val="000000" w:themeColor="text1"/>
          <w:szCs w:val="24"/>
        </w:rPr>
        <w:t>virssaistību</w:t>
      </w:r>
      <w:proofErr w:type="spellEnd"/>
      <w:r w:rsidRPr="008E4EA2">
        <w:rPr>
          <w:color w:val="000000" w:themeColor="text1"/>
          <w:szCs w:val="24"/>
        </w:rPr>
        <w:t xml:space="preserve"> veidā, kas tiks izmantots, lai būtu iespējams uzņemt lielāku audzēkņu skaitu akt</w:t>
      </w:r>
      <w:r w:rsidR="00702EBD" w:rsidRPr="008E4EA2">
        <w:rPr>
          <w:color w:val="000000" w:themeColor="text1"/>
          <w:szCs w:val="24"/>
        </w:rPr>
        <w:t xml:space="preserve">ivitātes ietvaros īstenotajās 1 – </w:t>
      </w:r>
      <w:r w:rsidRPr="008E4EA2">
        <w:rPr>
          <w:color w:val="000000" w:themeColor="text1"/>
          <w:szCs w:val="24"/>
        </w:rPr>
        <w:t xml:space="preserve">1,5 gadīgajās mācību programmās, </w:t>
      </w:r>
      <w:proofErr w:type="spellStart"/>
      <w:r w:rsidRPr="008E4EA2">
        <w:rPr>
          <w:color w:val="000000" w:themeColor="text1"/>
          <w:szCs w:val="24"/>
        </w:rPr>
        <w:t>t.sk</w:t>
      </w:r>
      <w:proofErr w:type="spellEnd"/>
      <w:r w:rsidRPr="008E4EA2">
        <w:rPr>
          <w:color w:val="000000" w:themeColor="text1"/>
          <w:szCs w:val="24"/>
        </w:rPr>
        <w:t>. iesaistot bezdarbniekus ar zemu izglītības līmeni.</w:t>
      </w:r>
    </w:p>
    <w:p w:rsidR="00FF2223" w:rsidRPr="008E4EA2" w:rsidRDefault="007C2854" w:rsidP="003A0029">
      <w:pPr>
        <w:spacing w:before="120" w:after="120" w:line="276" w:lineRule="auto"/>
        <w:rPr>
          <w:b/>
          <w:color w:val="000000" w:themeColor="text1"/>
          <w:szCs w:val="24"/>
        </w:rPr>
      </w:pPr>
      <w:r w:rsidRPr="008E4EA2">
        <w:rPr>
          <w:color w:val="000000" w:themeColor="text1"/>
          <w:szCs w:val="24"/>
        </w:rPr>
        <w:t xml:space="preserve">Pie veiksmīgākajiem projektiem, kas noslēgušies pārskata </w:t>
      </w:r>
      <w:r w:rsidR="005C44DF" w:rsidRPr="008E4EA2">
        <w:rPr>
          <w:color w:val="000000" w:themeColor="text1"/>
          <w:szCs w:val="24"/>
        </w:rPr>
        <w:t>periodā, ir jāatzīmē projekts „</w:t>
      </w:r>
      <w:proofErr w:type="spellStart"/>
      <w:r w:rsidRPr="008E4EA2">
        <w:rPr>
          <w:color w:val="000000" w:themeColor="text1"/>
          <w:szCs w:val="24"/>
        </w:rPr>
        <w:t>Integratīvas</w:t>
      </w:r>
      <w:proofErr w:type="spellEnd"/>
      <w:r w:rsidRPr="008E4EA2">
        <w:rPr>
          <w:color w:val="000000" w:themeColor="text1"/>
          <w:szCs w:val="24"/>
        </w:rPr>
        <w:t xml:space="preserve"> mācību metodikas izstrāde un ieviešana adaptācijai sociālajā vidē skolēniem un jauniešiem ar mācīšanās, kognitīvo funkciju un kustību traucējumiem", kas tika īstenots ar mērķi mazināt jauniešu sociālās atstumtības risku un veicināt jauniešu ar funkcionālajiem traucējumiem integrāciju izglītībā. Projekta ietvaros mācību metodikas izstrādes un pielietošanas procesā tika iesaistīti 105 pedagogi, psihologi un citi speciālisti no 19 izglītības iestādēm, bet atbalsts sniegts kopumā 854 skolēniem no visas Latvijas. Projekta sākuma fāzē speciālisti veica regulāras </w:t>
      </w:r>
      <w:proofErr w:type="spellStart"/>
      <w:r w:rsidRPr="008E4EA2">
        <w:rPr>
          <w:color w:val="000000" w:themeColor="text1"/>
          <w:szCs w:val="24"/>
        </w:rPr>
        <w:t>supervīzijas</w:t>
      </w:r>
      <w:proofErr w:type="spellEnd"/>
      <w:r w:rsidRPr="008E4EA2">
        <w:rPr>
          <w:color w:val="000000" w:themeColor="text1"/>
          <w:szCs w:val="24"/>
        </w:rPr>
        <w:t xml:space="preserve"> un sniedza konsultācijas projekta sadarbības partneru mācības iestādēs. Nākamajā projekta fāzē mācību metodikas veidotāji, ņemot vērā mācību iestāžu ieteikumus un skolēnu kognitīvās un </w:t>
      </w:r>
      <w:proofErr w:type="spellStart"/>
      <w:r w:rsidRPr="008E4EA2">
        <w:rPr>
          <w:color w:val="000000" w:themeColor="text1"/>
          <w:szCs w:val="24"/>
        </w:rPr>
        <w:t>motorās</w:t>
      </w:r>
      <w:proofErr w:type="spellEnd"/>
      <w:r w:rsidRPr="008E4EA2">
        <w:rPr>
          <w:color w:val="000000" w:themeColor="text1"/>
          <w:szCs w:val="24"/>
        </w:rPr>
        <w:t xml:space="preserve"> funkcijas </w:t>
      </w:r>
      <w:proofErr w:type="spellStart"/>
      <w:r w:rsidRPr="008E4EA2">
        <w:rPr>
          <w:color w:val="000000" w:themeColor="text1"/>
          <w:szCs w:val="24"/>
        </w:rPr>
        <w:t>starpizvērtējumu</w:t>
      </w:r>
      <w:proofErr w:type="spellEnd"/>
      <w:r w:rsidRPr="008E4EA2">
        <w:rPr>
          <w:color w:val="000000" w:themeColor="text1"/>
          <w:szCs w:val="24"/>
        </w:rPr>
        <w:t xml:space="preserve">, veica izstrādātās mācību metodikas projekta pilnveidošanu un aprobāciju. Iesaistīto skolu pārstāvji atzīmējuši, ka skolēni ir bijuši ieinteresēti </w:t>
      </w:r>
      <w:r w:rsidRPr="008E4EA2">
        <w:rPr>
          <w:color w:val="000000" w:themeColor="text1"/>
          <w:szCs w:val="24"/>
        </w:rPr>
        <w:lastRenderedPageBreak/>
        <w:t>līdzdarboties nodarbībās, un, skolēniem aktīvāk iesaistoties uzdevumu izpildē, mācību emocionālā gaisotne ir uzlabojusies, kļūstot labvēlīgāka un iedrošinošāka. Īpaši novērtēti arī uzdevumi, kas ir orientēti ne tikai uz mācību vielas apguvi, bet arī uz sociālo iemaņu pilnveidi, kas veicinājuši bērnu pašapziņu un uzdrīkstēšanos.</w:t>
      </w:r>
      <w:r w:rsidR="004F3474" w:rsidRPr="008E4EA2">
        <w:rPr>
          <w:b/>
          <w:color w:val="000000" w:themeColor="text1"/>
          <w:szCs w:val="24"/>
        </w:rPr>
        <w:t xml:space="preserve"> </w:t>
      </w:r>
    </w:p>
    <w:p w:rsidR="00800EB5" w:rsidRPr="008E4EA2" w:rsidRDefault="00E15CBF" w:rsidP="003A0029">
      <w:pPr>
        <w:spacing w:before="120" w:after="120" w:line="276" w:lineRule="auto"/>
        <w:rPr>
          <w:b/>
          <w:color w:val="000000" w:themeColor="text1"/>
          <w:szCs w:val="24"/>
        </w:rPr>
      </w:pPr>
      <w:r w:rsidRPr="008E4EA2">
        <w:rPr>
          <w:b/>
          <w:color w:val="000000" w:themeColor="text1"/>
          <w:szCs w:val="24"/>
        </w:rPr>
        <w:t>„</w:t>
      </w:r>
      <w:r w:rsidR="00800EB5" w:rsidRPr="008E4EA2">
        <w:rPr>
          <w:b/>
          <w:color w:val="000000" w:themeColor="text1"/>
          <w:szCs w:val="24"/>
        </w:rPr>
        <w:t>Nodarbinātības veicināšana un veselība darbā</w:t>
      </w:r>
      <w:r w:rsidR="00731B18" w:rsidRPr="008E4EA2">
        <w:rPr>
          <w:b/>
          <w:color w:val="000000" w:themeColor="text1"/>
          <w:szCs w:val="24"/>
        </w:rPr>
        <w:t>”</w:t>
      </w:r>
    </w:p>
    <w:p w:rsidR="007C2854" w:rsidRPr="008E4EA2" w:rsidRDefault="007C2854" w:rsidP="003A0029">
      <w:pPr>
        <w:spacing w:before="120" w:after="120" w:line="276" w:lineRule="auto"/>
        <w:rPr>
          <w:color w:val="000000" w:themeColor="text1"/>
          <w:szCs w:val="24"/>
        </w:rPr>
      </w:pPr>
      <w:r w:rsidRPr="008E4EA2">
        <w:rPr>
          <w:color w:val="000000" w:themeColor="text1"/>
          <w:szCs w:val="24"/>
        </w:rPr>
        <w:t xml:space="preserve">Prioritāte ir vērsta uz iedzīvotāju sekmīgu iekļaušanu un noturēšanu darbaspēka tirgū, ar aktīvo nodarbinātības pasākumu un citu instrumentu atbalstu nodrošinot tiem nepieciešamās prasmes, paaugstinot darba drošību un līdztiesību darba tirgū, kā arī uzlabojot darbaspēka veselības stāvokli. </w:t>
      </w:r>
    </w:p>
    <w:p w:rsidR="007C2854" w:rsidRPr="008E4EA2" w:rsidRDefault="007C2854" w:rsidP="003A0029">
      <w:pPr>
        <w:spacing w:before="120" w:after="120" w:line="276" w:lineRule="auto"/>
        <w:rPr>
          <w:color w:val="000000" w:themeColor="text1"/>
          <w:szCs w:val="24"/>
        </w:rPr>
      </w:pPr>
      <w:r w:rsidRPr="008E4EA2">
        <w:rPr>
          <w:color w:val="000000" w:themeColor="text1"/>
          <w:szCs w:val="24"/>
        </w:rPr>
        <w:t xml:space="preserve">2012.gada </w:t>
      </w:r>
      <w:r w:rsidR="00DA026E" w:rsidRPr="008E4EA2">
        <w:rPr>
          <w:color w:val="000000" w:themeColor="text1"/>
          <w:szCs w:val="24"/>
        </w:rPr>
        <w:t xml:space="preserve">trešajā </w:t>
      </w:r>
      <w:r w:rsidRPr="008E4EA2">
        <w:rPr>
          <w:color w:val="000000" w:themeColor="text1"/>
          <w:szCs w:val="24"/>
        </w:rPr>
        <w:t xml:space="preserve">ceturksnī tika izsludināta pieteikumu iesniegumu pieņemšana jaunizveidotajā darba vietu radīšanas aktivitātē. Atbalstam aktivitātes ietvaros var pieteikties Latvijā reģistrēti komersanti, kuri rada vismaz 50 jaunas darba vietas, kā arī ik gadu investē ne mazāk kā 3,5 </w:t>
      </w:r>
      <w:proofErr w:type="spellStart"/>
      <w:r w:rsidRPr="008E4EA2">
        <w:rPr>
          <w:color w:val="000000" w:themeColor="text1"/>
          <w:szCs w:val="24"/>
        </w:rPr>
        <w:t>milj</w:t>
      </w:r>
      <w:proofErr w:type="spellEnd"/>
      <w:r w:rsidRPr="008E4EA2">
        <w:rPr>
          <w:color w:val="000000" w:themeColor="text1"/>
          <w:szCs w:val="24"/>
        </w:rPr>
        <w:t xml:space="preserve">. latu vai arī to saistīto uzņēmumu grupas kopējā bilances vērtība ir vismaz 250 </w:t>
      </w:r>
      <w:proofErr w:type="spellStart"/>
      <w:r w:rsidRPr="008E4EA2">
        <w:rPr>
          <w:color w:val="000000" w:themeColor="text1"/>
          <w:szCs w:val="24"/>
        </w:rPr>
        <w:t>milj</w:t>
      </w:r>
      <w:proofErr w:type="spellEnd"/>
      <w:r w:rsidRPr="008E4EA2">
        <w:rPr>
          <w:color w:val="000000" w:themeColor="text1"/>
          <w:szCs w:val="24"/>
        </w:rPr>
        <w:t xml:space="preserve">. latu. Potenciālie finansējuma </w:t>
      </w:r>
      <w:r w:rsidR="00482FDB" w:rsidRPr="008E4EA2">
        <w:rPr>
          <w:color w:val="000000" w:themeColor="text1"/>
          <w:szCs w:val="24"/>
        </w:rPr>
        <w:t>saņēmēji laikā no 2012. gada 1.novembra līdz 2013.gada 28.</w:t>
      </w:r>
      <w:r w:rsidRPr="008E4EA2">
        <w:rPr>
          <w:color w:val="000000" w:themeColor="text1"/>
          <w:szCs w:val="24"/>
        </w:rPr>
        <w:t xml:space="preserve">martam var iesniegt projektu pieteikumus </w:t>
      </w:r>
      <w:r w:rsidR="00F139BD" w:rsidRPr="008E4EA2">
        <w:rPr>
          <w:color w:val="000000" w:themeColor="text1"/>
          <w:szCs w:val="24"/>
        </w:rPr>
        <w:t>LIAA</w:t>
      </w:r>
      <w:r w:rsidRPr="008E4EA2">
        <w:rPr>
          <w:color w:val="000000" w:themeColor="text1"/>
          <w:szCs w:val="24"/>
        </w:rPr>
        <w:t xml:space="preserve">. Kopumā minētās programmas ietvaros plānots izveidot 250 jaunas darba vietas, un aktivitātes realizēšanai paredzēts ESF finansējums 3 </w:t>
      </w:r>
      <w:proofErr w:type="spellStart"/>
      <w:r w:rsidRPr="008E4EA2">
        <w:rPr>
          <w:color w:val="000000" w:themeColor="text1"/>
          <w:szCs w:val="24"/>
        </w:rPr>
        <w:t>milj</w:t>
      </w:r>
      <w:proofErr w:type="spellEnd"/>
      <w:r w:rsidRPr="008E4EA2">
        <w:rPr>
          <w:color w:val="000000" w:themeColor="text1"/>
          <w:szCs w:val="24"/>
        </w:rPr>
        <w:t>. latu apmērā.</w:t>
      </w:r>
      <w:r w:rsidR="00E33521" w:rsidRPr="008E4EA2">
        <w:rPr>
          <w:color w:val="000000" w:themeColor="text1"/>
          <w:szCs w:val="24"/>
        </w:rPr>
        <w:t xml:space="preserve"> Atbalsta pieejamība minētās aktivitātes ietvaros tiek popularizēta arī starptautiskos forumos, nozaru izstādēs. Šogad tiek plānota dalība un aktivitātes popularizēšana tādos pasākumos kā „NG </w:t>
      </w:r>
      <w:proofErr w:type="spellStart"/>
      <w:r w:rsidR="00E33521" w:rsidRPr="008E4EA2">
        <w:rPr>
          <w:color w:val="000000" w:themeColor="text1"/>
          <w:szCs w:val="24"/>
        </w:rPr>
        <w:t>Manufacturing</w:t>
      </w:r>
      <w:proofErr w:type="spellEnd"/>
      <w:r w:rsidR="00E33521" w:rsidRPr="008E4EA2">
        <w:rPr>
          <w:color w:val="000000" w:themeColor="text1"/>
          <w:szCs w:val="24"/>
        </w:rPr>
        <w:t xml:space="preserve"> </w:t>
      </w:r>
      <w:proofErr w:type="spellStart"/>
      <w:r w:rsidR="00E33521" w:rsidRPr="008E4EA2">
        <w:rPr>
          <w:color w:val="000000" w:themeColor="text1"/>
          <w:szCs w:val="24"/>
        </w:rPr>
        <w:t>Summit</w:t>
      </w:r>
      <w:proofErr w:type="spellEnd"/>
      <w:r w:rsidR="00E33521" w:rsidRPr="008E4EA2">
        <w:rPr>
          <w:color w:val="000000" w:themeColor="text1"/>
          <w:szCs w:val="24"/>
        </w:rPr>
        <w:t xml:space="preserve"> </w:t>
      </w:r>
      <w:proofErr w:type="spellStart"/>
      <w:r w:rsidR="00E33521" w:rsidRPr="008E4EA2">
        <w:rPr>
          <w:color w:val="000000" w:themeColor="text1"/>
          <w:szCs w:val="24"/>
        </w:rPr>
        <w:t>Europe</w:t>
      </w:r>
      <w:proofErr w:type="spellEnd"/>
      <w:r w:rsidR="00E33521" w:rsidRPr="008E4EA2">
        <w:rPr>
          <w:color w:val="000000" w:themeColor="text1"/>
          <w:szCs w:val="24"/>
        </w:rPr>
        <w:t xml:space="preserve"> 2012” konferencē Budapeštā, Ungārijā no 5. līdz 7. novembrim, „</w:t>
      </w:r>
      <w:proofErr w:type="spellStart"/>
      <w:r w:rsidR="00E33521" w:rsidRPr="008E4EA2">
        <w:rPr>
          <w:color w:val="000000" w:themeColor="text1"/>
          <w:szCs w:val="24"/>
        </w:rPr>
        <w:t>Global</w:t>
      </w:r>
      <w:proofErr w:type="spellEnd"/>
      <w:r w:rsidR="00E33521" w:rsidRPr="008E4EA2">
        <w:rPr>
          <w:color w:val="000000" w:themeColor="text1"/>
          <w:szCs w:val="24"/>
        </w:rPr>
        <w:t xml:space="preserve"> </w:t>
      </w:r>
      <w:proofErr w:type="spellStart"/>
      <w:r w:rsidR="00E33521" w:rsidRPr="008E4EA2">
        <w:rPr>
          <w:color w:val="000000" w:themeColor="text1"/>
          <w:szCs w:val="24"/>
        </w:rPr>
        <w:t>Connect</w:t>
      </w:r>
      <w:proofErr w:type="spellEnd"/>
      <w:r w:rsidR="00E33521" w:rsidRPr="008E4EA2">
        <w:rPr>
          <w:color w:val="000000" w:themeColor="text1"/>
          <w:szCs w:val="24"/>
        </w:rPr>
        <w:t>” izstādē Štutgartē, Vāci</w:t>
      </w:r>
      <w:r w:rsidR="00374D04" w:rsidRPr="008E4EA2">
        <w:rPr>
          <w:color w:val="000000" w:themeColor="text1"/>
          <w:szCs w:val="24"/>
        </w:rPr>
        <w:t>jā no 14. līdz 15. novembrim un citur</w:t>
      </w:r>
      <w:r w:rsidR="00E33521" w:rsidRPr="008E4EA2">
        <w:rPr>
          <w:color w:val="000000" w:themeColor="text1"/>
          <w:szCs w:val="24"/>
        </w:rPr>
        <w:t>.</w:t>
      </w:r>
    </w:p>
    <w:p w:rsidR="007C2854" w:rsidRPr="008E4EA2" w:rsidRDefault="007C2854" w:rsidP="003A0029">
      <w:pPr>
        <w:spacing w:before="120" w:after="120" w:line="276" w:lineRule="auto"/>
        <w:rPr>
          <w:color w:val="000000" w:themeColor="text1"/>
          <w:szCs w:val="24"/>
        </w:rPr>
      </w:pPr>
      <w:r w:rsidRPr="008E4EA2">
        <w:rPr>
          <w:color w:val="000000" w:themeColor="text1"/>
          <w:szCs w:val="24"/>
        </w:rPr>
        <w:t xml:space="preserve">Atbilstoši </w:t>
      </w:r>
      <w:r w:rsidR="008E5444" w:rsidRPr="008E4EA2">
        <w:rPr>
          <w:color w:val="000000" w:themeColor="text1"/>
          <w:szCs w:val="24"/>
        </w:rPr>
        <w:t>ES</w:t>
      </w:r>
      <w:r w:rsidRPr="008E4EA2">
        <w:rPr>
          <w:color w:val="000000" w:themeColor="text1"/>
          <w:szCs w:val="24"/>
        </w:rPr>
        <w:t xml:space="preserve"> nostādnēm jauniešu nodarbinātības veicināšanai vairākām nodarbinātības veicināšanas jomas aktivitātēm ir piešķirts papildus </w:t>
      </w:r>
      <w:proofErr w:type="spellStart"/>
      <w:r w:rsidRPr="008E4EA2">
        <w:rPr>
          <w:color w:val="000000" w:themeColor="text1"/>
          <w:szCs w:val="24"/>
        </w:rPr>
        <w:t>virssaistību</w:t>
      </w:r>
      <w:proofErr w:type="spellEnd"/>
      <w:r w:rsidRPr="008E4EA2">
        <w:rPr>
          <w:color w:val="000000" w:themeColor="text1"/>
          <w:szCs w:val="24"/>
        </w:rPr>
        <w:t xml:space="preserve"> finansējums. Piemēram, atbalsta aktivitātei partnerības organizētām nodarbināto apmācībām komersantu konkurētspējas veicināšanai būs pieejami papildus ESF līdzekļi 2,5 </w:t>
      </w:r>
      <w:proofErr w:type="spellStart"/>
      <w:r w:rsidRPr="008E4EA2">
        <w:rPr>
          <w:color w:val="000000" w:themeColor="text1"/>
          <w:szCs w:val="24"/>
        </w:rPr>
        <w:t>milj</w:t>
      </w:r>
      <w:proofErr w:type="spellEnd"/>
      <w:r w:rsidRPr="008E4EA2">
        <w:rPr>
          <w:color w:val="000000" w:themeColor="text1"/>
          <w:szCs w:val="24"/>
        </w:rPr>
        <w:t>. latu apmērā, kas ļaus</w:t>
      </w:r>
      <w:r w:rsidR="00482FDB" w:rsidRPr="008E4EA2">
        <w:rPr>
          <w:color w:val="000000" w:themeColor="text1"/>
          <w:szCs w:val="24"/>
        </w:rPr>
        <w:t xml:space="preserve"> apmācībās iesaistīt papildus 2,5 tūks.</w:t>
      </w:r>
      <w:r w:rsidRPr="008E4EA2">
        <w:rPr>
          <w:color w:val="000000" w:themeColor="text1"/>
          <w:szCs w:val="24"/>
        </w:rPr>
        <w:t xml:space="preserve"> jauniešus. </w:t>
      </w:r>
    </w:p>
    <w:p w:rsidR="007C2854" w:rsidRPr="008E4EA2" w:rsidRDefault="007C2854" w:rsidP="003A0029">
      <w:pPr>
        <w:spacing w:before="120" w:after="120" w:line="276" w:lineRule="auto"/>
        <w:rPr>
          <w:color w:val="000000" w:themeColor="text1"/>
          <w:szCs w:val="24"/>
        </w:rPr>
      </w:pPr>
      <w:r w:rsidRPr="008E4EA2">
        <w:rPr>
          <w:color w:val="000000" w:themeColor="text1"/>
          <w:szCs w:val="24"/>
        </w:rPr>
        <w:t xml:space="preserve">Vienlaikus pārskata periodā aktīvi turpinājās nodarbinātības atbalsta programmas – algotu pagaidu sabiedrisko darbu atbalsta un bezdarbnieku un darba meklētāju apmācību programmu īstenošana. </w:t>
      </w:r>
      <w:r w:rsidR="00E33521" w:rsidRPr="008E4EA2">
        <w:rPr>
          <w:color w:val="000000" w:themeColor="text1"/>
          <w:szCs w:val="24"/>
        </w:rPr>
        <w:t>Kopumā algotajos pagaidu sabiedriskajos darbos līdz 2012.gada trešā ceturkšņa beigām tika iesaistīti 23 349 bezdarbnieki, savukārt modulārās</w:t>
      </w:r>
      <w:r w:rsidR="00D54751" w:rsidRPr="008E4EA2">
        <w:rPr>
          <w:color w:val="000000" w:themeColor="text1"/>
          <w:szCs w:val="24"/>
        </w:rPr>
        <w:t xml:space="preserve"> un neformālās</w:t>
      </w:r>
      <w:r w:rsidR="005E1672">
        <w:rPr>
          <w:color w:val="000000" w:themeColor="text1"/>
          <w:szCs w:val="24"/>
        </w:rPr>
        <w:t xml:space="preserve"> </w:t>
      </w:r>
      <w:r w:rsidR="00E33521" w:rsidRPr="008E4EA2">
        <w:rPr>
          <w:color w:val="000000" w:themeColor="text1"/>
          <w:szCs w:val="24"/>
        </w:rPr>
        <w:t>apmācībās, pārkvalifikācijas un tālākizglītības pasākumos atbalstu saņēmušo bezdarbnieku un darba meklētāju skaits sasniedzis 106 878 personas</w:t>
      </w:r>
      <w:r w:rsidRPr="008E4EA2">
        <w:rPr>
          <w:color w:val="000000" w:themeColor="text1"/>
          <w:szCs w:val="24"/>
        </w:rPr>
        <w:t>.</w:t>
      </w:r>
      <w:r w:rsidR="00AD69F1" w:rsidRPr="008E4EA2">
        <w:rPr>
          <w:color w:val="000000" w:themeColor="text1"/>
          <w:szCs w:val="24"/>
        </w:rPr>
        <w:t xml:space="preserve"> Salīdzinot ar iepriekšējo programmu „Darba praktizēšana ar stipendiju pašvaldībās” jeb tā saukto „</w:t>
      </w:r>
      <w:proofErr w:type="spellStart"/>
      <w:r w:rsidR="00AD69F1" w:rsidRPr="008E4EA2">
        <w:rPr>
          <w:color w:val="000000" w:themeColor="text1"/>
          <w:szCs w:val="24"/>
        </w:rPr>
        <w:t>simtlatnieku</w:t>
      </w:r>
      <w:proofErr w:type="spellEnd"/>
      <w:r w:rsidR="00EA788E" w:rsidRPr="008E4EA2">
        <w:rPr>
          <w:color w:val="000000" w:themeColor="text1"/>
          <w:szCs w:val="24"/>
        </w:rPr>
        <w:t>” programmu (īstenota 2009.-2011</w:t>
      </w:r>
      <w:r w:rsidR="00AD69F1" w:rsidRPr="008E4EA2">
        <w:rPr>
          <w:color w:val="000000" w:themeColor="text1"/>
          <w:szCs w:val="24"/>
        </w:rPr>
        <w:t xml:space="preserve">.gadā), kuras galvenais mērķis bija krīzes situācijā nodrošināt iedzīvotājus ar darba vietām, jaunās programmas „Algoti pagaidu sabiedriskie darbi” primārais </w:t>
      </w:r>
      <w:r w:rsidR="00AD69F1" w:rsidRPr="008E4EA2">
        <w:rPr>
          <w:b/>
          <w:color w:val="000000" w:themeColor="text1"/>
          <w:szCs w:val="24"/>
        </w:rPr>
        <w:t xml:space="preserve">mērķis ir </w:t>
      </w:r>
      <w:r w:rsidR="00D54751" w:rsidRPr="008E4EA2">
        <w:rPr>
          <w:b/>
          <w:color w:val="000000" w:themeColor="text1"/>
          <w:szCs w:val="24"/>
        </w:rPr>
        <w:t>atbalstīt nodarbinātības līmeņa paaugstināšanas un bezdarba mazināšanas pasākumus pašvaldībās, nodrošinot īslaicīgas darba vietas</w:t>
      </w:r>
      <w:r w:rsidR="00AD69F1" w:rsidRPr="008E4EA2">
        <w:rPr>
          <w:color w:val="000000" w:themeColor="text1"/>
          <w:szCs w:val="24"/>
        </w:rPr>
        <w:t xml:space="preserve"> (līdz 4 mēnešiem) </w:t>
      </w:r>
      <w:r w:rsidR="00AD69F1" w:rsidRPr="008E4EA2">
        <w:rPr>
          <w:b/>
          <w:color w:val="000000" w:themeColor="text1"/>
          <w:szCs w:val="24"/>
        </w:rPr>
        <w:t>ilgstošajiem bezdarbniekiem</w:t>
      </w:r>
      <w:r w:rsidR="00AD69F1" w:rsidRPr="008E4EA2">
        <w:rPr>
          <w:color w:val="000000" w:themeColor="text1"/>
          <w:szCs w:val="24"/>
        </w:rPr>
        <w:t xml:space="preserve"> (NVA uzskaitē atrodas ilgāk par 6 mēnešus), tai skaitā, sociāli mazāk aizsargātajiem bezdarbniekiem (programmas dalībnieku atlasē iesaistīti pašvaldību sociālie dienesti), lai mazinātu un novērstu pastāvīga subsidētā bezdarba kā alternatīvas nodarbinātībai izplatību. Papildus </w:t>
      </w:r>
      <w:r w:rsidR="00AD69F1" w:rsidRPr="008E4EA2">
        <w:rPr>
          <w:color w:val="000000" w:themeColor="text1"/>
          <w:szCs w:val="24"/>
        </w:rPr>
        <w:lastRenderedPageBreak/>
        <w:t xml:space="preserve">programmā iesaistītajiem bezdarbniekiem tiek segtas valsts sociālās apdrošināšanas iemaksas un pasākuma īstenošanas ietvaros ir izveidoti nosacījumi, kas palīdz </w:t>
      </w:r>
      <w:r w:rsidR="004D4B1A" w:rsidRPr="008E4EA2">
        <w:rPr>
          <w:color w:val="000000" w:themeColor="text1"/>
          <w:szCs w:val="24"/>
        </w:rPr>
        <w:t>bezdarbniekiem</w:t>
      </w:r>
      <w:r w:rsidR="00AD69F1" w:rsidRPr="008E4EA2">
        <w:rPr>
          <w:color w:val="000000" w:themeColor="text1"/>
          <w:szCs w:val="24"/>
        </w:rPr>
        <w:t xml:space="preserve"> atgriezties darba tirgū – bezdarbniekiem tiek piešķirtas divas apmaksātas brīvas dienas mēnesī pastāvīga darba meklēšanai. </w:t>
      </w:r>
    </w:p>
    <w:p w:rsidR="007C2854" w:rsidRPr="008E4EA2" w:rsidRDefault="007C2854" w:rsidP="003A0029">
      <w:pPr>
        <w:shd w:val="clear" w:color="auto" w:fill="FFFFFF"/>
        <w:spacing w:before="120" w:after="120" w:line="276" w:lineRule="auto"/>
        <w:rPr>
          <w:color w:val="000000" w:themeColor="text1"/>
          <w:szCs w:val="24"/>
        </w:rPr>
      </w:pPr>
      <w:r w:rsidRPr="008E4EA2">
        <w:rPr>
          <w:color w:val="000000" w:themeColor="text1"/>
          <w:szCs w:val="24"/>
        </w:rPr>
        <w:t xml:space="preserve">Prioritātes ietvaros tiek organizēta arī bezmaksas tālmācība Latvijas ārstniecības nozares darbiniekiem </w:t>
      </w:r>
      <w:r w:rsidRPr="00824828">
        <w:rPr>
          <w:rStyle w:val="Emphasis"/>
          <w:i w:val="0"/>
          <w:color w:val="000000" w:themeColor="text1"/>
          <w:szCs w:val="24"/>
        </w:rPr>
        <w:t>visā Latvijā</w:t>
      </w:r>
      <w:r w:rsidRPr="008E4EA2">
        <w:rPr>
          <w:rStyle w:val="Emphasis"/>
          <w:color w:val="000000" w:themeColor="text1"/>
          <w:szCs w:val="24"/>
        </w:rPr>
        <w:t xml:space="preserve"> –</w:t>
      </w:r>
      <w:r w:rsidRPr="008E4EA2">
        <w:rPr>
          <w:i/>
          <w:iCs/>
          <w:color w:val="000000" w:themeColor="text1"/>
          <w:szCs w:val="24"/>
        </w:rPr>
        <w:t xml:space="preserve"> </w:t>
      </w:r>
      <w:r w:rsidRPr="008E4EA2">
        <w:rPr>
          <w:color w:val="000000" w:themeColor="text1"/>
          <w:szCs w:val="24"/>
        </w:rPr>
        <w:t>ārstiem, māsām, ārstu palīgiem un citiem medicīnas darbiniekiem. Jau šobrīd</w:t>
      </w:r>
      <w:r w:rsidR="003271BE" w:rsidRPr="008E4EA2">
        <w:rPr>
          <w:color w:val="000000" w:themeColor="text1"/>
          <w:szCs w:val="24"/>
        </w:rPr>
        <w:t xml:space="preserve"> </w:t>
      </w:r>
      <w:r w:rsidRPr="008E4EA2">
        <w:rPr>
          <w:color w:val="000000" w:themeColor="text1"/>
          <w:szCs w:val="24"/>
        </w:rPr>
        <w:t>tā ir devusi nozīmīgu ieguldījumu veselības nozares attīstībā, atbilstoši šī brīža medicīnas nozares prasībām. Pārskata periodā, lielā apmācību pieprasījuma dēļ, nepārsniedzot aktivitātei piešķirto finansējumu, ir palielināts apmācību programmu skaits, mācību metodisko materiālu skaits un arī apmācīto personu skaits, kumulatīvi jau apmācītas 36 617 veselības nozarē strādājošas personas, no kurām 7 107 personas ir apmācītas šogad. Šis projekts ir pats apjomīgākais no Latvijā līdz šim realizētajiem medicīnas darbinieku tālākizglītības projektiem – gan apmācāmo personu skaita, gan investētā finanšu apjoma ziņā.</w:t>
      </w:r>
    </w:p>
    <w:p w:rsidR="007C2854" w:rsidRPr="008E4EA2" w:rsidRDefault="007C2854" w:rsidP="003A0029">
      <w:pPr>
        <w:spacing w:before="120" w:after="120" w:line="276" w:lineRule="auto"/>
        <w:rPr>
          <w:color w:val="000000" w:themeColor="text1"/>
          <w:szCs w:val="24"/>
          <w:u w:val="single"/>
        </w:rPr>
      </w:pPr>
      <w:r w:rsidRPr="008E4EA2">
        <w:rPr>
          <w:color w:val="000000" w:themeColor="text1"/>
          <w:szCs w:val="24"/>
          <w:u w:val="single"/>
        </w:rPr>
        <w:t xml:space="preserve">Instruments uzņēmējdarbības un </w:t>
      </w:r>
      <w:proofErr w:type="spellStart"/>
      <w:r w:rsidRPr="008E4EA2">
        <w:rPr>
          <w:color w:val="000000" w:themeColor="text1"/>
          <w:szCs w:val="24"/>
          <w:u w:val="single"/>
        </w:rPr>
        <w:t>pašnodarbinātības</w:t>
      </w:r>
      <w:proofErr w:type="spellEnd"/>
      <w:r w:rsidRPr="008E4EA2">
        <w:rPr>
          <w:color w:val="000000" w:themeColor="text1"/>
          <w:szCs w:val="24"/>
          <w:u w:val="single"/>
        </w:rPr>
        <w:t xml:space="preserve"> veicināšanai</w:t>
      </w:r>
    </w:p>
    <w:p w:rsidR="007C2854" w:rsidRPr="008E4EA2" w:rsidRDefault="007C2854" w:rsidP="003A0029">
      <w:pPr>
        <w:spacing w:before="120" w:after="120" w:line="276" w:lineRule="auto"/>
        <w:rPr>
          <w:color w:val="000000" w:themeColor="text1"/>
          <w:szCs w:val="24"/>
        </w:rPr>
      </w:pPr>
      <w:r w:rsidRPr="008E4EA2">
        <w:rPr>
          <w:color w:val="000000" w:themeColor="text1"/>
          <w:szCs w:val="24"/>
        </w:rPr>
        <w:t xml:space="preserve">Ar LHZB starpniecību potenciālajiem komersantiem un pašnodarbinātajiem, kā arī jaundibinātajiem komersantiem tiek sniegts ESF atbalsts uzņēmējdarbības un </w:t>
      </w:r>
      <w:proofErr w:type="spellStart"/>
      <w:r w:rsidRPr="008E4EA2">
        <w:rPr>
          <w:color w:val="000000" w:themeColor="text1"/>
          <w:szCs w:val="24"/>
        </w:rPr>
        <w:t>pašnodarbinātības</w:t>
      </w:r>
      <w:proofErr w:type="spellEnd"/>
      <w:r w:rsidRPr="008E4EA2">
        <w:rPr>
          <w:color w:val="000000" w:themeColor="text1"/>
          <w:szCs w:val="24"/>
        </w:rPr>
        <w:t xml:space="preserve"> veicināšanai – programmas „Atbalsts uzņēmējdarbības un </w:t>
      </w:r>
      <w:proofErr w:type="spellStart"/>
      <w:r w:rsidRPr="008E4EA2">
        <w:rPr>
          <w:color w:val="000000" w:themeColor="text1"/>
          <w:szCs w:val="24"/>
        </w:rPr>
        <w:t>pašnodarbinātības</w:t>
      </w:r>
      <w:proofErr w:type="spellEnd"/>
      <w:r w:rsidRPr="008E4EA2">
        <w:rPr>
          <w:color w:val="000000" w:themeColor="text1"/>
          <w:szCs w:val="24"/>
        </w:rPr>
        <w:t xml:space="preserve"> uzsākšanai” ietvaros. </w:t>
      </w:r>
    </w:p>
    <w:p w:rsidR="007C2854" w:rsidRPr="008E4EA2" w:rsidRDefault="007C2854" w:rsidP="003A0029">
      <w:pPr>
        <w:spacing w:before="120" w:after="120" w:line="276" w:lineRule="auto"/>
        <w:rPr>
          <w:color w:val="000000" w:themeColor="text1"/>
          <w:szCs w:val="24"/>
        </w:rPr>
      </w:pPr>
      <w:r w:rsidRPr="008E4EA2">
        <w:rPr>
          <w:color w:val="000000" w:themeColor="text1"/>
          <w:szCs w:val="24"/>
        </w:rPr>
        <w:t xml:space="preserve">Vidējais aizdevuma apjoms programmā ir 11,8 </w:t>
      </w:r>
      <w:proofErr w:type="spellStart"/>
      <w:r w:rsidRPr="008E4EA2">
        <w:rPr>
          <w:color w:val="000000" w:themeColor="text1"/>
          <w:szCs w:val="24"/>
        </w:rPr>
        <w:t>tūkst</w:t>
      </w:r>
      <w:proofErr w:type="spellEnd"/>
      <w:r w:rsidRPr="008E4EA2">
        <w:rPr>
          <w:color w:val="000000" w:themeColor="text1"/>
          <w:szCs w:val="24"/>
        </w:rPr>
        <w:t xml:space="preserve">. latu, kas galvenokārt skaidrojams ar projektu dažādu specifiku un finansējuma apjomu, turklāt jaunie uzņēmēji, uzsākot uzņēmējdarbību, dod priekšroku nelieliem aizdevumiem, tādējādi mazinot risku iespējamās neveiksmes gadījumā. Kopumā līdz pārskata perioda beigām parakstītas vienošanās par dalību programmā 14,1 </w:t>
      </w:r>
      <w:proofErr w:type="spellStart"/>
      <w:r w:rsidRPr="008E4EA2">
        <w:rPr>
          <w:color w:val="000000" w:themeColor="text1"/>
          <w:szCs w:val="24"/>
        </w:rPr>
        <w:t>milj</w:t>
      </w:r>
      <w:proofErr w:type="spellEnd"/>
      <w:r w:rsidRPr="008E4EA2">
        <w:rPr>
          <w:color w:val="000000" w:themeColor="text1"/>
          <w:szCs w:val="24"/>
        </w:rPr>
        <w:t>. latu apmērā</w:t>
      </w:r>
      <w:r w:rsidR="008F61BD" w:rsidRPr="008E4EA2">
        <w:rPr>
          <w:color w:val="000000" w:themeColor="text1"/>
          <w:szCs w:val="24"/>
        </w:rPr>
        <w:t xml:space="preserve"> (</w:t>
      </w:r>
      <w:proofErr w:type="spellStart"/>
      <w:r w:rsidR="008F61BD" w:rsidRPr="008E4EA2">
        <w:rPr>
          <w:color w:val="000000" w:themeColor="text1"/>
          <w:szCs w:val="24"/>
        </w:rPr>
        <w:t>t.sk</w:t>
      </w:r>
      <w:proofErr w:type="spellEnd"/>
      <w:r w:rsidR="008F61BD" w:rsidRPr="008E4EA2">
        <w:rPr>
          <w:color w:val="000000" w:themeColor="text1"/>
          <w:szCs w:val="24"/>
        </w:rPr>
        <w:t xml:space="preserve">. 8,8 </w:t>
      </w:r>
      <w:proofErr w:type="spellStart"/>
      <w:r w:rsidR="008F61BD" w:rsidRPr="008E4EA2">
        <w:rPr>
          <w:color w:val="000000" w:themeColor="text1"/>
          <w:szCs w:val="24"/>
        </w:rPr>
        <w:t>milj</w:t>
      </w:r>
      <w:proofErr w:type="spellEnd"/>
      <w:r w:rsidR="008F61BD" w:rsidRPr="008E4EA2">
        <w:rPr>
          <w:color w:val="000000" w:themeColor="text1"/>
          <w:szCs w:val="24"/>
        </w:rPr>
        <w:t xml:space="preserve">. aizdevumi, 3 </w:t>
      </w:r>
      <w:proofErr w:type="spellStart"/>
      <w:r w:rsidR="008F61BD" w:rsidRPr="008E4EA2">
        <w:rPr>
          <w:color w:val="000000" w:themeColor="text1"/>
          <w:szCs w:val="24"/>
        </w:rPr>
        <w:t>milj</w:t>
      </w:r>
      <w:proofErr w:type="spellEnd"/>
      <w:r w:rsidR="008F61BD" w:rsidRPr="008E4EA2">
        <w:rPr>
          <w:color w:val="000000" w:themeColor="text1"/>
          <w:szCs w:val="24"/>
        </w:rPr>
        <w:t xml:space="preserve">. granti kā arī finansējums apmācībām un administratīvajām izmaksām 2,3 </w:t>
      </w:r>
      <w:proofErr w:type="spellStart"/>
      <w:r w:rsidR="008F61BD" w:rsidRPr="008E4EA2">
        <w:rPr>
          <w:color w:val="000000" w:themeColor="text1"/>
          <w:szCs w:val="24"/>
        </w:rPr>
        <w:t>milj</w:t>
      </w:r>
      <w:proofErr w:type="spellEnd"/>
      <w:r w:rsidR="008F61BD" w:rsidRPr="008E4EA2">
        <w:rPr>
          <w:color w:val="000000" w:themeColor="text1"/>
          <w:szCs w:val="24"/>
        </w:rPr>
        <w:t>. latu),</w:t>
      </w:r>
      <w:r w:rsidRPr="008E4EA2">
        <w:rPr>
          <w:color w:val="000000" w:themeColor="text1"/>
          <w:szCs w:val="24"/>
        </w:rPr>
        <w:t xml:space="preserve">, veikti maksājumi 10,6 </w:t>
      </w:r>
      <w:proofErr w:type="spellStart"/>
      <w:r w:rsidRPr="008E4EA2">
        <w:rPr>
          <w:color w:val="000000" w:themeColor="text1"/>
          <w:szCs w:val="24"/>
        </w:rPr>
        <w:t>milj</w:t>
      </w:r>
      <w:proofErr w:type="spellEnd"/>
      <w:r w:rsidRPr="008E4EA2">
        <w:rPr>
          <w:color w:val="000000" w:themeColor="text1"/>
          <w:szCs w:val="24"/>
        </w:rPr>
        <w:t>. latu apjomā</w:t>
      </w:r>
      <w:r w:rsidR="008F61BD" w:rsidRPr="008E4EA2">
        <w:rPr>
          <w:color w:val="000000" w:themeColor="text1"/>
          <w:szCs w:val="24"/>
        </w:rPr>
        <w:t xml:space="preserve"> (</w:t>
      </w:r>
      <w:proofErr w:type="spellStart"/>
      <w:r w:rsidR="008F61BD" w:rsidRPr="008E4EA2">
        <w:rPr>
          <w:color w:val="000000" w:themeColor="text1"/>
          <w:szCs w:val="24"/>
        </w:rPr>
        <w:t>t.sk</w:t>
      </w:r>
      <w:proofErr w:type="spellEnd"/>
      <w:r w:rsidR="008F61BD" w:rsidRPr="008E4EA2">
        <w:rPr>
          <w:color w:val="000000" w:themeColor="text1"/>
          <w:szCs w:val="24"/>
        </w:rPr>
        <w:t xml:space="preserve">. 8 </w:t>
      </w:r>
      <w:proofErr w:type="spellStart"/>
      <w:r w:rsidR="008F61BD" w:rsidRPr="008E4EA2">
        <w:rPr>
          <w:color w:val="000000" w:themeColor="text1"/>
          <w:szCs w:val="24"/>
        </w:rPr>
        <w:t>milj</w:t>
      </w:r>
      <w:proofErr w:type="spellEnd"/>
      <w:r w:rsidR="008F61BD" w:rsidRPr="008E4EA2">
        <w:rPr>
          <w:color w:val="000000" w:themeColor="text1"/>
          <w:szCs w:val="24"/>
        </w:rPr>
        <w:t xml:space="preserve">. aizdevumi, 2,1 </w:t>
      </w:r>
      <w:proofErr w:type="spellStart"/>
      <w:r w:rsidR="008F61BD" w:rsidRPr="008E4EA2">
        <w:rPr>
          <w:color w:val="000000" w:themeColor="text1"/>
          <w:szCs w:val="24"/>
        </w:rPr>
        <w:t>milj</w:t>
      </w:r>
      <w:proofErr w:type="spellEnd"/>
      <w:r w:rsidR="008F61BD" w:rsidRPr="008E4EA2">
        <w:rPr>
          <w:color w:val="000000" w:themeColor="text1"/>
          <w:szCs w:val="24"/>
        </w:rPr>
        <w:t xml:space="preserve">. granti kā arī finansējums apmācībām un administratīvajām izmaksām 0,49 </w:t>
      </w:r>
      <w:proofErr w:type="spellStart"/>
      <w:r w:rsidR="008F61BD" w:rsidRPr="008E4EA2">
        <w:rPr>
          <w:color w:val="000000" w:themeColor="text1"/>
          <w:szCs w:val="24"/>
        </w:rPr>
        <w:t>milj</w:t>
      </w:r>
      <w:proofErr w:type="spellEnd"/>
      <w:r w:rsidR="008F61BD" w:rsidRPr="008E4EA2">
        <w:rPr>
          <w:color w:val="000000" w:themeColor="text1"/>
          <w:szCs w:val="24"/>
        </w:rPr>
        <w:t>. latu)</w:t>
      </w:r>
      <w:r w:rsidRPr="008E4EA2">
        <w:rPr>
          <w:color w:val="000000" w:themeColor="text1"/>
          <w:szCs w:val="24"/>
        </w:rPr>
        <w:t>, izsniegti 752 aizdevumi un granti.</w:t>
      </w:r>
    </w:p>
    <w:p w:rsidR="00744A7F" w:rsidRDefault="00744A7F">
      <w:pPr>
        <w:jc w:val="left"/>
        <w:rPr>
          <w:rFonts w:eastAsia="Calibri"/>
          <w:color w:val="000000" w:themeColor="text1"/>
          <w:szCs w:val="24"/>
        </w:rPr>
      </w:pPr>
      <w:r>
        <w:rPr>
          <w:rFonts w:eastAsia="Calibri"/>
          <w:color w:val="000000" w:themeColor="text1"/>
          <w:szCs w:val="24"/>
        </w:rPr>
        <w:br w:type="page"/>
      </w:r>
    </w:p>
    <w:p w:rsidR="00E33521" w:rsidRPr="008E4EA2" w:rsidRDefault="0078381C" w:rsidP="003A0029">
      <w:pPr>
        <w:spacing w:before="120" w:after="120" w:line="276" w:lineRule="auto"/>
        <w:rPr>
          <w:color w:val="000000" w:themeColor="text1"/>
          <w:szCs w:val="24"/>
        </w:rPr>
      </w:pPr>
      <w:r w:rsidRPr="008E4EA2">
        <w:rPr>
          <w:rFonts w:eastAsia="Calibri"/>
          <w:color w:val="000000" w:themeColor="text1"/>
          <w:szCs w:val="24"/>
        </w:rPr>
        <w:lastRenderedPageBreak/>
        <w:t>Grafiks Nr.10</w:t>
      </w:r>
      <w:r w:rsidR="00E33521" w:rsidRPr="008E4EA2">
        <w:rPr>
          <w:rFonts w:eastAsia="Calibri"/>
          <w:i/>
          <w:color w:val="000000" w:themeColor="text1"/>
          <w:szCs w:val="24"/>
        </w:rPr>
        <w:t xml:space="preserve"> </w:t>
      </w:r>
      <w:r w:rsidR="009A7E1C" w:rsidRPr="008E4EA2">
        <w:rPr>
          <w:rFonts w:eastAsia="Calibri"/>
          <w:i/>
          <w:color w:val="000000" w:themeColor="text1"/>
          <w:szCs w:val="24"/>
        </w:rPr>
        <w:t>„</w:t>
      </w:r>
      <w:r w:rsidR="00E33521" w:rsidRPr="008E4EA2">
        <w:rPr>
          <w:rFonts w:eastAsia="Calibri"/>
          <w:i/>
          <w:color w:val="000000" w:themeColor="text1"/>
          <w:szCs w:val="24"/>
        </w:rPr>
        <w:t xml:space="preserve">Finanšu instrumenta „Atbalsts </w:t>
      </w:r>
      <w:proofErr w:type="spellStart"/>
      <w:r w:rsidR="00E33521" w:rsidRPr="008E4EA2">
        <w:rPr>
          <w:rFonts w:eastAsia="Calibri"/>
          <w:i/>
          <w:color w:val="000000" w:themeColor="text1"/>
          <w:szCs w:val="24"/>
        </w:rPr>
        <w:t>pašnodarbinātības</w:t>
      </w:r>
      <w:proofErr w:type="spellEnd"/>
      <w:r w:rsidR="00E33521" w:rsidRPr="008E4EA2">
        <w:rPr>
          <w:rFonts w:eastAsia="Calibri"/>
          <w:i/>
          <w:color w:val="000000" w:themeColor="text1"/>
          <w:szCs w:val="24"/>
        </w:rPr>
        <w:t xml:space="preserve"> un uzņēmējdarbības uzsākšanai” izsniegto aizdev</w:t>
      </w:r>
      <w:r w:rsidR="004D4B1A" w:rsidRPr="008E4EA2">
        <w:rPr>
          <w:rFonts w:eastAsia="Calibri"/>
          <w:i/>
          <w:color w:val="000000" w:themeColor="text1"/>
          <w:szCs w:val="24"/>
        </w:rPr>
        <w:t>u</w:t>
      </w:r>
      <w:r w:rsidR="00E33521" w:rsidRPr="008E4EA2">
        <w:rPr>
          <w:rFonts w:eastAsia="Calibri"/>
          <w:i/>
          <w:color w:val="000000" w:themeColor="text1"/>
          <w:szCs w:val="24"/>
        </w:rPr>
        <w:t xml:space="preserve">mu mērķa izpilde līdz 2012.gada 30.septembrim; ES fondu finansējums, </w:t>
      </w:r>
      <w:proofErr w:type="spellStart"/>
      <w:r w:rsidR="00E33521" w:rsidRPr="008E4EA2">
        <w:rPr>
          <w:rFonts w:eastAsia="Calibri"/>
          <w:i/>
          <w:color w:val="000000" w:themeColor="text1"/>
          <w:szCs w:val="24"/>
        </w:rPr>
        <w:t>milj</w:t>
      </w:r>
      <w:proofErr w:type="spellEnd"/>
      <w:r w:rsidR="00E33521" w:rsidRPr="008E4EA2">
        <w:rPr>
          <w:rFonts w:eastAsia="Calibri"/>
          <w:i/>
          <w:color w:val="000000" w:themeColor="text1"/>
          <w:szCs w:val="24"/>
        </w:rPr>
        <w:t xml:space="preserve"> latu (mērķa izpilde, %).</w:t>
      </w:r>
      <w:r w:rsidR="009A7E1C" w:rsidRPr="008E4EA2">
        <w:rPr>
          <w:rFonts w:eastAsia="Calibri"/>
          <w:i/>
          <w:color w:val="000000" w:themeColor="text1"/>
          <w:szCs w:val="24"/>
        </w:rPr>
        <w:t>”</w:t>
      </w:r>
    </w:p>
    <w:p w:rsidR="00E33521" w:rsidRPr="008E4EA2" w:rsidRDefault="00A13DDF" w:rsidP="003A0029">
      <w:pPr>
        <w:spacing w:before="120" w:after="120" w:line="276" w:lineRule="auto"/>
        <w:rPr>
          <w:color w:val="000000" w:themeColor="text1"/>
          <w:szCs w:val="24"/>
        </w:rPr>
      </w:pPr>
      <w:r>
        <w:rPr>
          <w:noProof/>
          <w:lang w:eastAsia="lv-LV"/>
        </w:rPr>
        <w:drawing>
          <wp:inline distT="0" distB="0" distL="0" distR="0" wp14:anchorId="1550EC7D" wp14:editId="5C8D3393">
            <wp:extent cx="51816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33521" w:rsidRPr="008E4EA2" w:rsidRDefault="00E33521" w:rsidP="003A0029">
      <w:pPr>
        <w:spacing w:before="120" w:after="120" w:line="276" w:lineRule="auto"/>
        <w:rPr>
          <w:color w:val="000000" w:themeColor="text1"/>
          <w:szCs w:val="24"/>
        </w:rPr>
      </w:pPr>
      <w:r w:rsidRPr="008E4EA2">
        <w:rPr>
          <w:color w:val="000000" w:themeColor="text1"/>
          <w:szCs w:val="24"/>
        </w:rPr>
        <w:t>Atbilstoši LHZB līgumam ar LIAA, mērķi gadu griezumā norādīti tikai izsniegtajiem aizdevumiem. Atbilstoši LHZB prognozēm, plānotā izsniegto aizdevumu summa uz 2012.gada beigām tiks sasniegta.</w:t>
      </w:r>
      <w:r w:rsidR="00961B32">
        <w:rPr>
          <w:color w:val="000000" w:themeColor="text1"/>
          <w:szCs w:val="24"/>
        </w:rPr>
        <w:t xml:space="preserve"> Vienlaikus noteiktais mērķis periodam līdz 30.09.2012 ir ticis izpildīts.</w:t>
      </w:r>
    </w:p>
    <w:p w:rsidR="007C2854" w:rsidRPr="008E4EA2" w:rsidRDefault="007C2854" w:rsidP="003A0029">
      <w:pPr>
        <w:spacing w:before="120" w:after="120" w:line="276" w:lineRule="auto"/>
        <w:rPr>
          <w:color w:val="000000" w:themeColor="text1"/>
          <w:szCs w:val="24"/>
        </w:rPr>
      </w:pPr>
      <w:r w:rsidRPr="008E4EA2">
        <w:rPr>
          <w:color w:val="000000" w:themeColor="text1"/>
          <w:szCs w:val="24"/>
        </w:rPr>
        <w:t xml:space="preserve">Papildus informācija par aktivitātes „Atbalsts uzņēmējdarbības un </w:t>
      </w:r>
      <w:proofErr w:type="spellStart"/>
      <w:r w:rsidRPr="008E4EA2">
        <w:rPr>
          <w:color w:val="000000" w:themeColor="text1"/>
          <w:szCs w:val="24"/>
        </w:rPr>
        <w:t>pašnodarbinātības</w:t>
      </w:r>
      <w:proofErr w:type="spellEnd"/>
      <w:r w:rsidRPr="008E4EA2">
        <w:rPr>
          <w:color w:val="000000" w:themeColor="text1"/>
          <w:szCs w:val="24"/>
        </w:rPr>
        <w:t xml:space="preserve"> uzsākšanai” finanšu progresu ir pieejama </w:t>
      </w:r>
      <w:hyperlink r:id="rId34" w:history="1">
        <w:r w:rsidRPr="008E4EA2">
          <w:rPr>
            <w:color w:val="000000" w:themeColor="text1"/>
            <w:szCs w:val="24"/>
            <w:u w:val="single"/>
          </w:rPr>
          <w:t>ES fondu tīmekļa vietnē</w:t>
        </w:r>
      </w:hyperlink>
      <w:r w:rsidRPr="008E4EA2">
        <w:rPr>
          <w:color w:val="000000" w:themeColor="text1"/>
          <w:szCs w:val="24"/>
          <w:u w:val="single"/>
        </w:rPr>
        <w:t>.</w:t>
      </w:r>
    </w:p>
    <w:p w:rsidR="0019778F" w:rsidRPr="008E4EA2" w:rsidRDefault="007C2854" w:rsidP="003A0029">
      <w:pPr>
        <w:spacing w:before="120" w:after="120" w:line="276" w:lineRule="auto"/>
        <w:rPr>
          <w:color w:val="000000" w:themeColor="text1"/>
          <w:szCs w:val="24"/>
        </w:rPr>
      </w:pPr>
      <w:r w:rsidRPr="008E4EA2">
        <w:rPr>
          <w:color w:val="000000" w:themeColor="text1"/>
          <w:szCs w:val="24"/>
        </w:rPr>
        <w:t>Kopumā atbalsta programmas ietvaros lielākais īpatsvars no sniegtā atbalsta ticis virzīts ražošanas nozares jaunajiem komersantiem (29%) un tirdzniecības nozarei (22%), izmitināšanas ēdināšanas nozarēm (9%),</w:t>
      </w:r>
      <w:r w:rsidR="003271BE" w:rsidRPr="008E4EA2">
        <w:rPr>
          <w:color w:val="000000" w:themeColor="text1"/>
          <w:szCs w:val="24"/>
        </w:rPr>
        <w:t xml:space="preserve"> </w:t>
      </w:r>
      <w:r w:rsidRPr="008E4EA2">
        <w:rPr>
          <w:color w:val="000000" w:themeColor="text1"/>
          <w:szCs w:val="24"/>
        </w:rPr>
        <w:t>mežsaimniecībai (7%), veselības un sociālās aprūpes jomai (6%)</w:t>
      </w:r>
      <w:r w:rsidR="00482FDB" w:rsidRPr="008E4EA2">
        <w:rPr>
          <w:color w:val="000000" w:themeColor="text1"/>
          <w:szCs w:val="24"/>
        </w:rPr>
        <w:t>,</w:t>
      </w:r>
      <w:r w:rsidRPr="008E4EA2">
        <w:rPr>
          <w:color w:val="000000" w:themeColor="text1"/>
          <w:szCs w:val="24"/>
        </w:rPr>
        <w:t xml:space="preserve"> kā arī 27% citām nozarēm.</w:t>
      </w:r>
    </w:p>
    <w:p w:rsidR="00800EB5" w:rsidRPr="008E4EA2" w:rsidRDefault="00E15CBF" w:rsidP="003A0029">
      <w:pPr>
        <w:spacing w:before="120" w:after="120" w:line="276" w:lineRule="auto"/>
        <w:rPr>
          <w:b/>
          <w:color w:val="000000" w:themeColor="text1"/>
          <w:szCs w:val="24"/>
        </w:rPr>
      </w:pPr>
      <w:r w:rsidRPr="008E4EA2">
        <w:rPr>
          <w:b/>
          <w:color w:val="000000" w:themeColor="text1"/>
          <w:szCs w:val="24"/>
        </w:rPr>
        <w:t>„</w:t>
      </w:r>
      <w:r w:rsidR="00800EB5" w:rsidRPr="008E4EA2">
        <w:rPr>
          <w:b/>
          <w:color w:val="000000" w:themeColor="text1"/>
          <w:szCs w:val="24"/>
        </w:rPr>
        <w:t>Sociālās iekļaušanas veicināšana</w:t>
      </w:r>
      <w:r w:rsidR="00731B18" w:rsidRPr="008E4EA2">
        <w:rPr>
          <w:b/>
          <w:color w:val="000000" w:themeColor="text1"/>
          <w:szCs w:val="24"/>
        </w:rPr>
        <w:t>”</w:t>
      </w:r>
    </w:p>
    <w:p w:rsidR="007C2854" w:rsidRPr="008E4EA2" w:rsidRDefault="007C2854" w:rsidP="003A0029">
      <w:pPr>
        <w:spacing w:before="120" w:after="120" w:line="276" w:lineRule="auto"/>
        <w:rPr>
          <w:color w:val="000000" w:themeColor="text1"/>
          <w:szCs w:val="24"/>
        </w:rPr>
      </w:pPr>
      <w:r w:rsidRPr="008E4EA2">
        <w:rPr>
          <w:color w:val="000000" w:themeColor="text1"/>
          <w:szCs w:val="24"/>
        </w:rPr>
        <w:t xml:space="preserve">Prioritāte ir vērsta uz nabadzības un sociālās atstumtības risku mazināšanu, atbalstot sociālās iekļaušanas pasākumus un veicinot iekļaujoša darba tirgus attīstību. </w:t>
      </w:r>
    </w:p>
    <w:p w:rsidR="00DF5C20" w:rsidRPr="008E4EA2" w:rsidRDefault="007C2854" w:rsidP="003A0029">
      <w:pPr>
        <w:spacing w:before="120" w:after="120" w:line="276" w:lineRule="auto"/>
        <w:rPr>
          <w:color w:val="000000" w:themeColor="text1"/>
          <w:szCs w:val="24"/>
        </w:rPr>
      </w:pPr>
      <w:r w:rsidRPr="008E4EA2">
        <w:rPr>
          <w:color w:val="000000" w:themeColor="text1"/>
          <w:szCs w:val="24"/>
        </w:rPr>
        <w:t>2012.gad</w:t>
      </w:r>
      <w:r w:rsidR="00DA026E" w:rsidRPr="008E4EA2">
        <w:rPr>
          <w:color w:val="000000" w:themeColor="text1"/>
          <w:szCs w:val="24"/>
        </w:rPr>
        <w:t xml:space="preserve">a trešajā </w:t>
      </w:r>
      <w:r w:rsidRPr="008E4EA2">
        <w:rPr>
          <w:color w:val="000000" w:themeColor="text1"/>
          <w:szCs w:val="24"/>
        </w:rPr>
        <w:t xml:space="preserve">ceturksnī tika apstiprināti saistošie </w:t>
      </w:r>
      <w:r w:rsidR="008E5444" w:rsidRPr="008E4EA2">
        <w:rPr>
          <w:color w:val="000000" w:themeColor="text1"/>
          <w:szCs w:val="24"/>
        </w:rPr>
        <w:t>MK</w:t>
      </w:r>
      <w:r w:rsidRPr="008E4EA2">
        <w:rPr>
          <w:color w:val="000000" w:themeColor="text1"/>
          <w:szCs w:val="24"/>
        </w:rPr>
        <w:t xml:space="preserve"> noteikumi, kas ļaus ESF finansētās komplekso atbalsta pasākumu aktivitātes ietvaros</w:t>
      </w:r>
      <w:r w:rsidR="00DF5C20" w:rsidRPr="008E4EA2">
        <w:rPr>
          <w:color w:val="000000" w:themeColor="text1"/>
          <w:szCs w:val="24"/>
        </w:rPr>
        <w:t xml:space="preserve">: </w:t>
      </w:r>
    </w:p>
    <w:p w:rsidR="007C2854" w:rsidRPr="008E4EA2" w:rsidRDefault="00DF5C20" w:rsidP="003A0029">
      <w:pPr>
        <w:spacing w:before="120" w:after="120" w:line="276" w:lineRule="auto"/>
        <w:rPr>
          <w:color w:val="000000" w:themeColor="text1"/>
          <w:szCs w:val="24"/>
        </w:rPr>
      </w:pPr>
      <w:r w:rsidRPr="008E4EA2">
        <w:rPr>
          <w:color w:val="000000" w:themeColor="text1"/>
          <w:szCs w:val="24"/>
        </w:rPr>
        <w:t>1)</w:t>
      </w:r>
      <w:r w:rsidR="007C2854" w:rsidRPr="008E4EA2">
        <w:rPr>
          <w:color w:val="000000" w:themeColor="text1"/>
          <w:szCs w:val="24"/>
        </w:rPr>
        <w:t xml:space="preserve"> ilgstošajiem bezdarbniekiem ar atkarības problēmām iesaistīties Minesotas 12 soļu programmā un ārstēt alkohola, narkotisko un psihotropo vielu atkarību. Minētā programma veicinās atkarības radīto seku novēršanu un palīdzēs šai bezdarbnieku grupai iekļauties darba tirgū. Atbalsta programmā iesaistīs bezdarbniekus no 18 gadu vecuma, ja cilvēki ir bijuši bezdarbnieki vismaz vienu gadu. Plānots, ka </w:t>
      </w:r>
      <w:r w:rsidR="00D54751" w:rsidRPr="008E4EA2">
        <w:rPr>
          <w:color w:val="000000" w:themeColor="text1"/>
          <w:szCs w:val="24"/>
        </w:rPr>
        <w:t>2</w:t>
      </w:r>
      <w:r w:rsidRPr="008E4EA2">
        <w:rPr>
          <w:color w:val="000000" w:themeColor="text1"/>
          <w:szCs w:val="24"/>
        </w:rPr>
        <w:t>,5</w:t>
      </w:r>
      <w:r w:rsidR="00D54751" w:rsidRPr="008E4EA2">
        <w:rPr>
          <w:color w:val="000000" w:themeColor="text1"/>
          <w:szCs w:val="24"/>
        </w:rPr>
        <w:t xml:space="preserve"> gadu laikā </w:t>
      </w:r>
      <w:r w:rsidRPr="008E4EA2">
        <w:rPr>
          <w:color w:val="000000" w:themeColor="text1"/>
          <w:szCs w:val="24"/>
        </w:rPr>
        <w:t xml:space="preserve">kopā </w:t>
      </w:r>
      <w:r w:rsidR="007C2854" w:rsidRPr="008E4EA2">
        <w:rPr>
          <w:color w:val="000000" w:themeColor="text1"/>
          <w:szCs w:val="24"/>
        </w:rPr>
        <w:t xml:space="preserve">pasākumā tiks iesaistīti </w:t>
      </w:r>
      <w:r w:rsidR="00D54751" w:rsidRPr="008E4EA2">
        <w:rPr>
          <w:color w:val="000000" w:themeColor="text1"/>
          <w:szCs w:val="24"/>
        </w:rPr>
        <w:t>480</w:t>
      </w:r>
      <w:r w:rsidR="007C2854" w:rsidRPr="008E4EA2">
        <w:rPr>
          <w:color w:val="000000" w:themeColor="text1"/>
          <w:szCs w:val="24"/>
        </w:rPr>
        <w:t xml:space="preserve"> bezdarbnieki.</w:t>
      </w:r>
    </w:p>
    <w:p w:rsidR="00DF5C20" w:rsidRPr="008E4EA2" w:rsidRDefault="00DF5C20" w:rsidP="003A0029">
      <w:pPr>
        <w:spacing w:before="120" w:after="120" w:line="276" w:lineRule="auto"/>
        <w:rPr>
          <w:color w:val="000000" w:themeColor="text1"/>
          <w:szCs w:val="24"/>
        </w:rPr>
      </w:pPr>
      <w:r w:rsidRPr="008E4EA2">
        <w:rPr>
          <w:color w:val="000000" w:themeColor="text1"/>
          <w:szCs w:val="24"/>
        </w:rPr>
        <w:lastRenderedPageBreak/>
        <w:t>2) jauniešiem bezdarbniekiem 15-24 gadu vecumā, ja tie nav ieguvuši profesionālo izglītību vai nav bijuši iepriekš nodarbināti,</w:t>
      </w:r>
      <w:r w:rsidR="005E1672">
        <w:rPr>
          <w:color w:val="000000" w:themeColor="text1"/>
          <w:szCs w:val="24"/>
        </w:rPr>
        <w:t xml:space="preserve"> </w:t>
      </w:r>
      <w:r w:rsidRPr="008E4EA2">
        <w:rPr>
          <w:color w:val="000000" w:themeColor="text1"/>
          <w:szCs w:val="24"/>
        </w:rPr>
        <w:t xml:space="preserve">iesaistītes aktīvajā nodarbinātības pasākumā „Darbnīcas jauniešiem", kur 9 nedēļu laikā varēs iepazīt trīs profesionālās jomas un tām nepieciešamās prasmes. Pasākumā plānots iesaistīt ap 500 jauniešu bezdarbnieku. </w:t>
      </w:r>
    </w:p>
    <w:p w:rsidR="007C2854" w:rsidRPr="008E4EA2" w:rsidRDefault="00DF3004" w:rsidP="003A0029">
      <w:pPr>
        <w:spacing w:before="120" w:after="120" w:line="276" w:lineRule="auto"/>
        <w:rPr>
          <w:color w:val="000000" w:themeColor="text1"/>
          <w:szCs w:val="24"/>
        </w:rPr>
      </w:pPr>
      <w:r w:rsidRPr="008E4EA2">
        <w:rPr>
          <w:color w:val="000000" w:themeColor="text1"/>
          <w:szCs w:val="24"/>
        </w:rPr>
        <w:t xml:space="preserve">Trešā ceturkšņa laikā sekmīgi turpinājās arī mērķa grupu bezdarbnieku nodarbinātības atbalsta programmas īstenošana. Kopumā līdz 2012.gada 30.septembrim no 1 973 atbalstītos nodarbinātības pasākumus pabeigušajiem mērķa grupu bezdarbniekiem </w:t>
      </w:r>
      <w:r w:rsidR="00CD5225" w:rsidRPr="008E4EA2">
        <w:rPr>
          <w:color w:val="000000" w:themeColor="text1"/>
          <w:szCs w:val="24"/>
        </w:rPr>
        <w:t xml:space="preserve">1661 </w:t>
      </w:r>
      <w:r w:rsidRPr="008E4EA2">
        <w:rPr>
          <w:color w:val="000000" w:themeColor="text1"/>
          <w:szCs w:val="24"/>
        </w:rPr>
        <w:t>personas jeb 84% ir kļuvuši ekonomiski aktīvi sešu mēnešu laikā pēc programma pabeigšanas, kas vērtējams kā ļoti labs sasniegums</w:t>
      </w:r>
      <w:r w:rsidR="007C2854" w:rsidRPr="008E4EA2">
        <w:rPr>
          <w:color w:val="000000" w:themeColor="text1"/>
          <w:szCs w:val="24"/>
        </w:rPr>
        <w:t>.</w:t>
      </w:r>
    </w:p>
    <w:p w:rsidR="00DF3004" w:rsidRPr="008E4EA2" w:rsidRDefault="00DF3004" w:rsidP="003A0029">
      <w:pPr>
        <w:spacing w:before="120" w:after="120" w:line="276" w:lineRule="auto"/>
        <w:rPr>
          <w:color w:val="000000" w:themeColor="text1"/>
          <w:szCs w:val="24"/>
        </w:rPr>
      </w:pPr>
      <w:r w:rsidRPr="008E4EA2">
        <w:rPr>
          <w:color w:val="000000" w:themeColor="text1"/>
          <w:szCs w:val="24"/>
        </w:rPr>
        <w:t>Vienlaikus prioritātes ietvaros līdz 30.09.2012</w:t>
      </w:r>
      <w:r w:rsidR="005E1672">
        <w:rPr>
          <w:color w:val="000000" w:themeColor="text1"/>
          <w:szCs w:val="24"/>
        </w:rPr>
        <w:t xml:space="preserve"> </w:t>
      </w:r>
      <w:r w:rsidRPr="008E4EA2">
        <w:rPr>
          <w:color w:val="000000" w:themeColor="text1"/>
          <w:szCs w:val="24"/>
        </w:rPr>
        <w:t>tikai</w:t>
      </w:r>
      <w:r w:rsidR="005E1672">
        <w:rPr>
          <w:color w:val="000000" w:themeColor="text1"/>
          <w:szCs w:val="24"/>
        </w:rPr>
        <w:t xml:space="preserve"> </w:t>
      </w:r>
      <w:r w:rsidR="00CD5225" w:rsidRPr="008E4EA2">
        <w:rPr>
          <w:color w:val="000000" w:themeColor="text1"/>
          <w:szCs w:val="24"/>
        </w:rPr>
        <w:t xml:space="preserve">203 </w:t>
      </w:r>
      <w:r w:rsidRPr="008E4EA2">
        <w:rPr>
          <w:color w:val="000000" w:themeColor="text1"/>
          <w:szCs w:val="24"/>
        </w:rPr>
        <w:t xml:space="preserve">ESF līdzfinansēto sociālās rehabilitācijas pakalpojumu saņēmušās personas 6 mēnešu laikā pēc projekta noslēguma iesaistījušās izglītības apguvē, profesionālajā rehabilitācijā vai nodarbinātībā, kas ir tikai 22% no kopumā plānotā. LM kā minētās atbalsta aktivitātes </w:t>
      </w:r>
      <w:r w:rsidR="0065755F">
        <w:rPr>
          <w:color w:val="000000" w:themeColor="text1"/>
          <w:szCs w:val="24"/>
        </w:rPr>
        <w:t>AI</w:t>
      </w:r>
      <w:r w:rsidRPr="008E4EA2">
        <w:rPr>
          <w:color w:val="000000" w:themeColor="text1"/>
          <w:szCs w:val="24"/>
        </w:rPr>
        <w:t xml:space="preserve"> ir jāanalizē iemesli nepietiekamajam rādītāja sasniegšanas apjomam un jāveic nepieciešamie pasākumi progresa uzlabošanai. </w:t>
      </w:r>
    </w:p>
    <w:p w:rsidR="004F162A" w:rsidRPr="008E4EA2" w:rsidRDefault="007C2854" w:rsidP="003A0029">
      <w:pPr>
        <w:spacing w:before="120" w:after="120" w:line="276" w:lineRule="auto"/>
        <w:rPr>
          <w:color w:val="000000" w:themeColor="text1"/>
          <w:szCs w:val="24"/>
        </w:rPr>
      </w:pPr>
      <w:r w:rsidRPr="008E4EA2">
        <w:rPr>
          <w:color w:val="000000" w:themeColor="text1"/>
          <w:szCs w:val="24"/>
        </w:rPr>
        <w:t>Prioritātes ietvaros līdz 2012.gada 30.septembrim atbalsts integrācijai darba tirgū sniegts 3</w:t>
      </w:r>
      <w:r w:rsidR="00DF3004" w:rsidRPr="008E4EA2">
        <w:rPr>
          <w:color w:val="000000" w:themeColor="text1"/>
          <w:szCs w:val="24"/>
        </w:rPr>
        <w:t>5</w:t>
      </w:r>
      <w:r w:rsidRPr="008E4EA2">
        <w:rPr>
          <w:color w:val="000000" w:themeColor="text1"/>
          <w:szCs w:val="24"/>
        </w:rPr>
        <w:t> 18</w:t>
      </w:r>
      <w:r w:rsidR="00DF3004" w:rsidRPr="008E4EA2">
        <w:rPr>
          <w:color w:val="000000" w:themeColor="text1"/>
          <w:szCs w:val="24"/>
        </w:rPr>
        <w:t>5</w:t>
      </w:r>
      <w:r w:rsidRPr="008E4EA2">
        <w:rPr>
          <w:color w:val="000000" w:themeColor="text1"/>
          <w:szCs w:val="24"/>
        </w:rPr>
        <w:t xml:space="preserve"> sociālās atstumtības riskam pakļautām personām.</w:t>
      </w:r>
    </w:p>
    <w:p w:rsidR="00800EB5" w:rsidRPr="008E4EA2" w:rsidRDefault="00E15CBF" w:rsidP="003A0029">
      <w:pPr>
        <w:spacing w:before="120" w:after="120" w:line="276" w:lineRule="auto"/>
        <w:rPr>
          <w:b/>
          <w:color w:val="000000" w:themeColor="text1"/>
          <w:szCs w:val="24"/>
        </w:rPr>
      </w:pPr>
      <w:r w:rsidRPr="008E4EA2">
        <w:rPr>
          <w:b/>
          <w:color w:val="000000" w:themeColor="text1"/>
          <w:szCs w:val="24"/>
        </w:rPr>
        <w:t>„</w:t>
      </w:r>
      <w:r w:rsidR="00800EB5" w:rsidRPr="008E4EA2">
        <w:rPr>
          <w:b/>
          <w:color w:val="000000" w:themeColor="text1"/>
          <w:szCs w:val="24"/>
        </w:rPr>
        <w:t>Administratīvās kapacitātes stiprināšana</w:t>
      </w:r>
      <w:r w:rsidR="00731B18" w:rsidRPr="008E4EA2">
        <w:rPr>
          <w:b/>
          <w:color w:val="000000" w:themeColor="text1"/>
          <w:szCs w:val="24"/>
        </w:rPr>
        <w:t>”</w:t>
      </w:r>
    </w:p>
    <w:p w:rsidR="007C2854" w:rsidRPr="008E4EA2" w:rsidRDefault="007C2854" w:rsidP="003A0029">
      <w:pPr>
        <w:pStyle w:val="Default"/>
        <w:spacing w:before="120" w:after="120" w:line="276" w:lineRule="auto"/>
        <w:jc w:val="both"/>
        <w:rPr>
          <w:color w:val="000000" w:themeColor="text1"/>
        </w:rPr>
      </w:pPr>
      <w:r w:rsidRPr="008E4EA2">
        <w:rPr>
          <w:color w:val="000000" w:themeColor="text1"/>
        </w:rPr>
        <w:t>Prioritāte ir vērsta uz valsts, reģionālā un vietējā līmeņa pārvaldes institūciju kapacitātes stiprināšanu, paaugstinot to efektivitāti un pienesumu valsts ekonomiskai un sociālai izaugsmei, kā arī veicinot valsts, reģionālā un vietējā līmeņa pārvaldes institūciju, sociālo partneru un NVO savstarpējo sadarbību labākas, uz sabiedrības vajadzībām vērstas politikas veidošanā un ieviešanā, kā arī efektīvas un caurskatāmas publiskās pārvaldes veidošanā.</w:t>
      </w:r>
    </w:p>
    <w:p w:rsidR="007C2854" w:rsidRPr="008E4EA2" w:rsidRDefault="00C776AE" w:rsidP="003A0029">
      <w:pPr>
        <w:pStyle w:val="Default"/>
        <w:spacing w:before="120" w:after="120" w:line="276" w:lineRule="auto"/>
        <w:jc w:val="both"/>
        <w:rPr>
          <w:color w:val="000000" w:themeColor="text1"/>
        </w:rPr>
      </w:pPr>
      <w:proofErr w:type="spellStart"/>
      <w:r w:rsidRPr="008E4EA2">
        <w:rPr>
          <w:color w:val="000000" w:themeColor="text1"/>
        </w:rPr>
        <w:t>VKanc</w:t>
      </w:r>
      <w:proofErr w:type="spellEnd"/>
      <w:r w:rsidR="007C2854" w:rsidRPr="008E4EA2">
        <w:rPr>
          <w:color w:val="000000" w:themeColor="text1"/>
        </w:rPr>
        <w:t xml:space="preserve"> un FM īstenotajos projektos strukturālo reformu ieviešanai valsts pārvaldē un finanšu politikas jomā veikti apmācību pasākumi valsts pārvaldes iestāžu darbinieku kompetences paaugstināšanai atbilstoši apmācību plānam.</w:t>
      </w:r>
      <w:r w:rsidR="00DF3004" w:rsidRPr="008E4EA2">
        <w:rPr>
          <w:color w:val="000000" w:themeColor="text1"/>
        </w:rPr>
        <w:t xml:space="preserve"> Detalizēta informācija par minē</w:t>
      </w:r>
      <w:r w:rsidR="00083C6A">
        <w:rPr>
          <w:color w:val="000000" w:themeColor="text1"/>
        </w:rPr>
        <w:t xml:space="preserve">tajiem projektiem ir pieejama </w:t>
      </w:r>
      <w:proofErr w:type="spellStart"/>
      <w:r w:rsidR="00083C6A">
        <w:rPr>
          <w:color w:val="000000" w:themeColor="text1"/>
        </w:rPr>
        <w:t>VK</w:t>
      </w:r>
      <w:r w:rsidR="00DF3004" w:rsidRPr="008E4EA2">
        <w:rPr>
          <w:color w:val="000000" w:themeColor="text1"/>
        </w:rPr>
        <w:t>anc</w:t>
      </w:r>
      <w:proofErr w:type="spellEnd"/>
      <w:r w:rsidR="00DF3004" w:rsidRPr="008E4EA2">
        <w:rPr>
          <w:color w:val="000000" w:themeColor="text1"/>
        </w:rPr>
        <w:t xml:space="preserve"> un FM Interneta vietnēs (skatīt: </w:t>
      </w:r>
      <w:hyperlink r:id="rId35" w:history="1">
        <w:r w:rsidR="00DF3004" w:rsidRPr="008E4EA2">
          <w:rPr>
            <w:rStyle w:val="Hyperlink"/>
            <w:rFonts w:ascii="Times New Roman" w:hAnsi="Times New Roman" w:cs="Times New Roman"/>
            <w:color w:val="000000" w:themeColor="text1"/>
            <w:sz w:val="24"/>
            <w:szCs w:val="24"/>
          </w:rPr>
          <w:t>http://www.mk.gov.lv/lv/esstrukturfondi/vk-realizetie-projekti/strukturaloreformuistenosana/par-projektu/</w:t>
        </w:r>
      </w:hyperlink>
      <w:r w:rsidR="00DF3004" w:rsidRPr="008E4EA2">
        <w:rPr>
          <w:color w:val="000000" w:themeColor="text1"/>
        </w:rPr>
        <w:t xml:space="preserve"> un </w:t>
      </w:r>
      <w:hyperlink r:id="rId36" w:history="1">
        <w:r w:rsidR="00DF3004" w:rsidRPr="008E4EA2">
          <w:rPr>
            <w:rStyle w:val="Hyperlink"/>
            <w:rFonts w:ascii="Times New Roman" w:hAnsi="Times New Roman" w:cs="Times New Roman"/>
            <w:color w:val="000000" w:themeColor="text1"/>
            <w:sz w:val="24"/>
            <w:szCs w:val="24"/>
          </w:rPr>
          <w:t>http://www.fm.gov.lv/lv/finansu_ministrija/fm_es_fondu_projekti/eiropas_savienibas_fondu_projekti/atbalsts_reformam_budzeta_un_finansu_politikas_joma/</w:t>
        </w:r>
      </w:hyperlink>
      <w:r w:rsidR="00DF3004" w:rsidRPr="008E4EA2">
        <w:rPr>
          <w:color w:val="000000" w:themeColor="text1"/>
        </w:rPr>
        <w:t>).</w:t>
      </w:r>
    </w:p>
    <w:p w:rsidR="007C2854" w:rsidRPr="008E4EA2" w:rsidRDefault="007C2854" w:rsidP="003A0029">
      <w:pPr>
        <w:pStyle w:val="Default"/>
        <w:spacing w:before="120" w:after="120" w:line="276" w:lineRule="auto"/>
        <w:jc w:val="both"/>
        <w:rPr>
          <w:color w:val="000000" w:themeColor="text1"/>
        </w:rPr>
      </w:pPr>
      <w:r w:rsidRPr="008E4EA2">
        <w:rPr>
          <w:color w:val="000000" w:themeColor="text1"/>
        </w:rPr>
        <w:t xml:space="preserve">VARAM īstenotājās aktivitātes jāatzīmē pašvaldību kapacitāti veicinoši projekti un pasākumi. Projektu ietvaros lielāko īpatsvaru (33%) veido piesaistītie speciālisti – projektu vadītāji, projektu koordinatori vai projektu speciālisti, kā arī juriskonsulti un sociālie darbinieki (attiecīgi veido 20% no piesaistīto speciālistu īpatsvara). Savukārt 15% no kopējā </w:t>
      </w:r>
    </w:p>
    <w:p w:rsidR="007C2854" w:rsidRPr="008E4EA2" w:rsidRDefault="007C2854" w:rsidP="003A0029">
      <w:pPr>
        <w:pStyle w:val="Default"/>
        <w:spacing w:before="120" w:after="120" w:line="276" w:lineRule="auto"/>
        <w:jc w:val="both"/>
        <w:rPr>
          <w:color w:val="000000" w:themeColor="text1"/>
        </w:rPr>
      </w:pPr>
      <w:r w:rsidRPr="008E4EA2">
        <w:rPr>
          <w:color w:val="000000" w:themeColor="text1"/>
        </w:rPr>
        <w:t xml:space="preserve">VARAM īstenotajā aktivitātē speciālistu piesaistei plānošanas reģioniem VRAA sniedz konsultācijas un organizē praktiskus apmācību seminārus finansējuma saņēmējiem. Pārskata periodā VRAA organizēja divus seminārus par projektu ieviešanas un uzraudzības praktiskiem jautājumiem, t. </w:t>
      </w:r>
      <w:proofErr w:type="spellStart"/>
      <w:r w:rsidRPr="008E4EA2">
        <w:rPr>
          <w:color w:val="000000" w:themeColor="text1"/>
        </w:rPr>
        <w:t>sk</w:t>
      </w:r>
      <w:proofErr w:type="spellEnd"/>
      <w:r w:rsidRPr="008E4EA2">
        <w:rPr>
          <w:color w:val="000000" w:themeColor="text1"/>
        </w:rPr>
        <w:t xml:space="preserve">., grozījumiem Publisko iepirkumu likumā. </w:t>
      </w:r>
    </w:p>
    <w:p w:rsidR="0019778F" w:rsidRPr="008E4EA2" w:rsidRDefault="007C2854" w:rsidP="003A0029">
      <w:pPr>
        <w:spacing w:before="120" w:after="120" w:line="276" w:lineRule="auto"/>
        <w:rPr>
          <w:color w:val="000000" w:themeColor="text1"/>
          <w:szCs w:val="24"/>
        </w:rPr>
      </w:pPr>
      <w:r w:rsidRPr="008E4EA2">
        <w:rPr>
          <w:color w:val="000000" w:themeColor="text1"/>
          <w:szCs w:val="24"/>
        </w:rPr>
        <w:lastRenderedPageBreak/>
        <w:t xml:space="preserve">Pamatojoties uz MK 2011.gada 20.decembra sēdes </w:t>
      </w:r>
      <w:proofErr w:type="spellStart"/>
      <w:r w:rsidRPr="008E4EA2">
        <w:rPr>
          <w:color w:val="000000" w:themeColor="text1"/>
          <w:szCs w:val="24"/>
        </w:rPr>
        <w:t>protokollēmuma</w:t>
      </w:r>
      <w:proofErr w:type="spellEnd"/>
      <w:r w:rsidRPr="008E4EA2">
        <w:rPr>
          <w:color w:val="000000" w:themeColor="text1"/>
          <w:szCs w:val="24"/>
        </w:rPr>
        <w:t xml:space="preserve"> (protokols Nr.75, 45.§) uzdevumu, </w:t>
      </w:r>
      <w:proofErr w:type="spellStart"/>
      <w:r w:rsidR="00C776AE" w:rsidRPr="008E4EA2">
        <w:rPr>
          <w:color w:val="000000" w:themeColor="text1"/>
          <w:szCs w:val="24"/>
        </w:rPr>
        <w:t>VKanc</w:t>
      </w:r>
      <w:proofErr w:type="spellEnd"/>
      <w:r w:rsidRPr="008E4EA2">
        <w:rPr>
          <w:color w:val="000000" w:themeColor="text1"/>
          <w:szCs w:val="24"/>
        </w:rPr>
        <w:t xml:space="preserve"> ir apkopojusi ES fondu vadībā iesaistīto iestāžu sniegto informāciju (IZM, VARAM, FM, LM, EM un </w:t>
      </w:r>
      <w:proofErr w:type="spellStart"/>
      <w:r w:rsidR="00C776AE" w:rsidRPr="008E4EA2">
        <w:rPr>
          <w:color w:val="000000" w:themeColor="text1"/>
          <w:szCs w:val="24"/>
        </w:rPr>
        <w:t>VKanc</w:t>
      </w:r>
      <w:proofErr w:type="spellEnd"/>
      <w:r w:rsidRPr="008E4EA2">
        <w:rPr>
          <w:color w:val="000000" w:themeColor="text1"/>
          <w:szCs w:val="24"/>
        </w:rPr>
        <w:t>) par pabeigtajiem ES fondu līdzfinansētajie</w:t>
      </w:r>
      <w:r w:rsidR="00482FDB" w:rsidRPr="008E4EA2">
        <w:rPr>
          <w:color w:val="000000" w:themeColor="text1"/>
          <w:szCs w:val="24"/>
        </w:rPr>
        <w:t>m pētījumiem, kā arī nodrošināja</w:t>
      </w:r>
      <w:r w:rsidRPr="008E4EA2">
        <w:rPr>
          <w:color w:val="000000" w:themeColor="text1"/>
          <w:szCs w:val="24"/>
        </w:rPr>
        <w:t xml:space="preserve"> ES fondu lī</w:t>
      </w:r>
      <w:r w:rsidR="00482FDB" w:rsidRPr="008E4EA2">
        <w:rPr>
          <w:color w:val="000000" w:themeColor="text1"/>
          <w:szCs w:val="24"/>
        </w:rPr>
        <w:t>dzfinansēto pētījumu publicēšanu</w:t>
      </w:r>
      <w:r w:rsidR="003271BE" w:rsidRPr="008E4EA2">
        <w:rPr>
          <w:color w:val="000000" w:themeColor="text1"/>
          <w:szCs w:val="24"/>
        </w:rPr>
        <w:t xml:space="preserve"> </w:t>
      </w:r>
      <w:r w:rsidRPr="008E4EA2">
        <w:rPr>
          <w:color w:val="000000" w:themeColor="text1"/>
          <w:szCs w:val="24"/>
        </w:rPr>
        <w:t>pētījumu un publikāciju datu bāzē, tādējādi nodrošinot ES fondu līdzfinansēto pētījumu plašu pieejamību. Sīkāku informāciju par pētījumu un publikāciju datu bāz</w:t>
      </w:r>
      <w:r w:rsidR="00482FDB" w:rsidRPr="008E4EA2">
        <w:rPr>
          <w:color w:val="000000" w:themeColor="text1"/>
          <w:szCs w:val="24"/>
        </w:rPr>
        <w:t>i</w:t>
      </w:r>
      <w:r w:rsidRPr="008E4EA2">
        <w:rPr>
          <w:color w:val="000000" w:themeColor="text1"/>
          <w:szCs w:val="24"/>
        </w:rPr>
        <w:t xml:space="preserve"> skatīt: </w:t>
      </w:r>
      <w:r w:rsidR="00E33521" w:rsidRPr="008E4EA2">
        <w:fldChar w:fldCharType="begin"/>
      </w:r>
      <w:r w:rsidR="00E33521" w:rsidRPr="008E4EA2">
        <w:rPr>
          <w:color w:val="000000" w:themeColor="text1"/>
          <w:szCs w:val="24"/>
        </w:rPr>
        <w:instrText xml:space="preserve">http://petijumi.mk.gov.lv/ui/" </w:instrText>
      </w:r>
      <w:r w:rsidR="00E33521" w:rsidRPr="008E4EA2">
        <w:fldChar w:fldCharType="separate"/>
      </w:r>
      <w:r w:rsidRPr="008E4EA2">
        <w:rPr>
          <w:rStyle w:val="Hyperlink"/>
          <w:rFonts w:ascii="Times New Roman" w:hAnsi="Times New Roman" w:cs="Times New Roman"/>
          <w:color w:val="000000" w:themeColor="text1"/>
          <w:sz w:val="24"/>
          <w:szCs w:val="24"/>
        </w:rPr>
        <w:t>http://petijumi.mk.gov.lv/ui/</w:t>
      </w:r>
      <w:r w:rsidR="00E33521" w:rsidRPr="008E4EA2">
        <w:rPr>
          <w:rStyle w:val="Hyperlink"/>
          <w:rFonts w:ascii="Times New Roman" w:hAnsi="Times New Roman" w:cs="Times New Roman"/>
          <w:color w:val="000000" w:themeColor="text1"/>
          <w:sz w:val="24"/>
          <w:szCs w:val="24"/>
        </w:rPr>
        <w:fldChar w:fldCharType="end"/>
      </w:r>
      <w:r w:rsidRPr="008E4EA2">
        <w:rPr>
          <w:color w:val="000000" w:themeColor="text1"/>
          <w:szCs w:val="24"/>
        </w:rPr>
        <w:t>.</w:t>
      </w:r>
    </w:p>
    <w:p w:rsidR="002A1F56" w:rsidRPr="008E4EA2" w:rsidRDefault="0019778F" w:rsidP="003A0029">
      <w:pPr>
        <w:pStyle w:val="Default"/>
        <w:spacing w:before="120" w:after="120" w:line="276" w:lineRule="auto"/>
        <w:jc w:val="both"/>
        <w:rPr>
          <w:color w:val="000000" w:themeColor="text1"/>
        </w:rPr>
      </w:pPr>
      <w:r w:rsidRPr="008E4EA2">
        <w:rPr>
          <w:color w:val="000000" w:themeColor="text1"/>
        </w:rPr>
        <w:t>Informāciju par TP aktivitāšu ī</w:t>
      </w:r>
      <w:r w:rsidR="00E17B07" w:rsidRPr="008E4EA2">
        <w:rPr>
          <w:color w:val="000000" w:themeColor="text1"/>
        </w:rPr>
        <w:t>stenošanu lūdzam skatīt sadaļā 2</w:t>
      </w:r>
      <w:r w:rsidR="009F68DF" w:rsidRPr="008E4EA2">
        <w:rPr>
          <w:color w:val="000000" w:themeColor="text1"/>
        </w:rPr>
        <w:t>.7</w:t>
      </w:r>
      <w:r w:rsidRPr="008E4EA2">
        <w:rPr>
          <w:color w:val="000000" w:themeColor="text1"/>
        </w:rPr>
        <w:t>. „Kopsavilkums par TP aktivitāšu īstenošanu”.</w:t>
      </w:r>
    </w:p>
    <w:p w:rsidR="00FF4209" w:rsidRPr="008E4EA2" w:rsidRDefault="00D97278" w:rsidP="003A0029">
      <w:pPr>
        <w:pStyle w:val="2lmenis"/>
        <w:numPr>
          <w:ilvl w:val="2"/>
          <w:numId w:val="2"/>
        </w:numPr>
        <w:spacing w:before="120" w:after="120" w:line="276" w:lineRule="auto"/>
        <w:jc w:val="both"/>
        <w:rPr>
          <w:color w:val="000000" w:themeColor="text1"/>
          <w:sz w:val="24"/>
          <w:szCs w:val="24"/>
          <w:lang w:val="lv-LV"/>
        </w:rPr>
      </w:pPr>
      <w:bookmarkStart w:id="35" w:name="_Toc276049977"/>
      <w:bookmarkStart w:id="36" w:name="_Toc340241696"/>
      <w:r w:rsidRPr="008E4EA2">
        <w:rPr>
          <w:color w:val="000000" w:themeColor="text1"/>
          <w:sz w:val="24"/>
          <w:szCs w:val="24"/>
          <w:lang w:val="lv-LV"/>
        </w:rPr>
        <w:t>Publisko resurs</w:t>
      </w:r>
      <w:r w:rsidR="00E64901">
        <w:rPr>
          <w:color w:val="000000" w:themeColor="text1"/>
          <w:sz w:val="24"/>
          <w:szCs w:val="24"/>
          <w:lang w:val="lv-LV"/>
        </w:rPr>
        <w:t>u ieguldījums darbības programmā</w:t>
      </w:r>
      <w:r w:rsidR="000B4535" w:rsidRPr="008E4EA2">
        <w:rPr>
          <w:color w:val="000000" w:themeColor="text1"/>
          <w:sz w:val="24"/>
          <w:szCs w:val="24"/>
          <w:lang w:val="lv-LV"/>
        </w:rPr>
        <w:t xml:space="preserve"> </w:t>
      </w:r>
      <w:r w:rsidR="00E15CBF" w:rsidRPr="008E4EA2">
        <w:rPr>
          <w:color w:val="000000" w:themeColor="text1"/>
          <w:sz w:val="24"/>
          <w:szCs w:val="24"/>
          <w:lang w:val="lv-LV"/>
        </w:rPr>
        <w:t>„</w:t>
      </w:r>
      <w:r w:rsidR="00FF4209" w:rsidRPr="008E4EA2">
        <w:rPr>
          <w:color w:val="000000" w:themeColor="text1"/>
          <w:sz w:val="24"/>
          <w:szCs w:val="24"/>
          <w:lang w:val="lv-LV"/>
        </w:rPr>
        <w:t>Uzņēmējdarbība un inovācijas</w:t>
      </w:r>
      <w:bookmarkEnd w:id="35"/>
      <w:r w:rsidR="00731B18" w:rsidRPr="008E4EA2">
        <w:rPr>
          <w:color w:val="000000" w:themeColor="text1"/>
          <w:sz w:val="24"/>
          <w:szCs w:val="24"/>
          <w:lang w:val="lv-LV"/>
        </w:rPr>
        <w:t>”</w:t>
      </w:r>
      <w:bookmarkEnd w:id="36"/>
    </w:p>
    <w:p w:rsidR="00F47755" w:rsidRPr="008E4EA2" w:rsidRDefault="008937FC" w:rsidP="003A0029">
      <w:pPr>
        <w:spacing w:before="120" w:after="120" w:line="276" w:lineRule="auto"/>
        <w:rPr>
          <w:color w:val="000000" w:themeColor="text1"/>
          <w:szCs w:val="24"/>
        </w:rPr>
      </w:pPr>
      <w:r w:rsidRPr="008E4EA2">
        <w:rPr>
          <w:color w:val="000000" w:themeColor="text1"/>
          <w:szCs w:val="24"/>
        </w:rPr>
        <w:t xml:space="preserve">Kopā līdz 2012.gada trešā ceturkšņa beigām ir noslēgti 1 639 līgumi par projektu īstenošanu par 499,9 </w:t>
      </w:r>
      <w:proofErr w:type="spellStart"/>
      <w:r w:rsidRPr="008E4EA2">
        <w:rPr>
          <w:color w:val="000000" w:themeColor="text1"/>
          <w:szCs w:val="24"/>
        </w:rPr>
        <w:t>milj</w:t>
      </w:r>
      <w:proofErr w:type="spellEnd"/>
      <w:r w:rsidRPr="008E4EA2">
        <w:rPr>
          <w:color w:val="000000" w:themeColor="text1"/>
          <w:szCs w:val="24"/>
        </w:rPr>
        <w:t xml:space="preserve">. latu. </w:t>
      </w:r>
      <w:r w:rsidR="00170A6B" w:rsidRPr="008E4EA2">
        <w:rPr>
          <w:color w:val="000000" w:themeColor="text1"/>
          <w:szCs w:val="24"/>
        </w:rPr>
        <w:t xml:space="preserve">Salīdzinājumā ar </w:t>
      </w:r>
      <w:proofErr w:type="spellStart"/>
      <w:r w:rsidR="00170A6B" w:rsidRPr="008E4EA2">
        <w:rPr>
          <w:color w:val="000000" w:themeColor="text1"/>
          <w:szCs w:val="24"/>
        </w:rPr>
        <w:t>š.g</w:t>
      </w:r>
      <w:proofErr w:type="spellEnd"/>
      <w:r w:rsidR="00170A6B" w:rsidRPr="008E4EA2">
        <w:rPr>
          <w:color w:val="000000" w:themeColor="text1"/>
          <w:szCs w:val="24"/>
        </w:rPr>
        <w:t>. otro ceturksni trešā</w:t>
      </w:r>
      <w:r w:rsidR="008E5222" w:rsidRPr="008E4EA2">
        <w:rPr>
          <w:color w:val="000000" w:themeColor="text1"/>
          <w:szCs w:val="24"/>
        </w:rPr>
        <w:t xml:space="preserve"> </w:t>
      </w:r>
      <w:r w:rsidR="00F47755" w:rsidRPr="008E4EA2">
        <w:rPr>
          <w:color w:val="000000" w:themeColor="text1"/>
          <w:szCs w:val="24"/>
        </w:rPr>
        <w:t>ceturkšņa AI finanšu apguves mērķa izpilde</w:t>
      </w:r>
      <w:r w:rsidR="00170A6B" w:rsidRPr="008E4EA2">
        <w:rPr>
          <w:color w:val="000000" w:themeColor="text1"/>
          <w:szCs w:val="24"/>
        </w:rPr>
        <w:t xml:space="preserve"> ir strauji kritusies. Iepriekšējā</w:t>
      </w:r>
      <w:r w:rsidR="00F47755" w:rsidRPr="008E4EA2">
        <w:rPr>
          <w:color w:val="000000" w:themeColor="text1"/>
          <w:szCs w:val="24"/>
        </w:rPr>
        <w:t xml:space="preserve"> ceturksnī </w:t>
      </w:r>
      <w:r w:rsidR="00170A6B" w:rsidRPr="008E4EA2">
        <w:rPr>
          <w:color w:val="000000" w:themeColor="text1"/>
          <w:szCs w:val="24"/>
        </w:rPr>
        <w:t xml:space="preserve">ceturkšņa mērķis </w:t>
      </w:r>
      <w:r w:rsidR="00876743" w:rsidRPr="008E4EA2">
        <w:rPr>
          <w:color w:val="000000" w:themeColor="text1"/>
          <w:szCs w:val="24"/>
        </w:rPr>
        <w:t xml:space="preserve">bija </w:t>
      </w:r>
      <w:r w:rsidR="00170A6B" w:rsidRPr="008E4EA2">
        <w:rPr>
          <w:color w:val="000000" w:themeColor="text1"/>
          <w:szCs w:val="24"/>
        </w:rPr>
        <w:t xml:space="preserve">pārpildīts </w:t>
      </w:r>
      <w:r w:rsidR="00F47755" w:rsidRPr="008E4EA2">
        <w:rPr>
          <w:color w:val="000000" w:themeColor="text1"/>
          <w:szCs w:val="24"/>
        </w:rPr>
        <w:t xml:space="preserve">par </w:t>
      </w:r>
      <w:r w:rsidR="00170A6B" w:rsidRPr="008E4EA2">
        <w:rPr>
          <w:color w:val="000000" w:themeColor="text1"/>
          <w:szCs w:val="24"/>
        </w:rPr>
        <w:t>55,9</w:t>
      </w:r>
      <w:r w:rsidR="00F47755" w:rsidRPr="008E4EA2">
        <w:rPr>
          <w:color w:val="000000" w:themeColor="text1"/>
          <w:szCs w:val="24"/>
        </w:rPr>
        <w:t xml:space="preserve">%, </w:t>
      </w:r>
      <w:r w:rsidR="00D6167F" w:rsidRPr="008E4EA2">
        <w:rPr>
          <w:color w:val="000000" w:themeColor="text1"/>
          <w:szCs w:val="24"/>
        </w:rPr>
        <w:t>taču šajā ceturksnī</w:t>
      </w:r>
      <w:r w:rsidR="00170A6B" w:rsidRPr="008E4EA2">
        <w:rPr>
          <w:color w:val="000000" w:themeColor="text1"/>
          <w:szCs w:val="24"/>
        </w:rPr>
        <w:t xml:space="preserve"> ir konstatēta mērķa neizpilde par 24,6%. Nozīmīgākā finanšu apguves kavēšanās ir vērojama EM ieviestajā</w:t>
      </w:r>
      <w:r w:rsidR="002D097C" w:rsidRPr="008E4EA2">
        <w:rPr>
          <w:color w:val="000000" w:themeColor="text1"/>
          <w:szCs w:val="24"/>
        </w:rPr>
        <w:t>s</w:t>
      </w:r>
      <w:r w:rsidR="00170A6B" w:rsidRPr="008E4EA2">
        <w:rPr>
          <w:color w:val="000000" w:themeColor="text1"/>
          <w:szCs w:val="24"/>
        </w:rPr>
        <w:t xml:space="preserve"> aktivitātēs „Zinātnes </w:t>
      </w:r>
      <w:proofErr w:type="spellStart"/>
      <w:r w:rsidR="00170A6B" w:rsidRPr="008E4EA2">
        <w:rPr>
          <w:color w:val="000000" w:themeColor="text1"/>
          <w:szCs w:val="24"/>
        </w:rPr>
        <w:t>komercializācija</w:t>
      </w:r>
      <w:proofErr w:type="spellEnd"/>
      <w:r w:rsidR="00170A6B" w:rsidRPr="008E4EA2">
        <w:rPr>
          <w:color w:val="000000" w:themeColor="text1"/>
          <w:szCs w:val="24"/>
        </w:rPr>
        <w:t xml:space="preserve"> un tehnoloģiju pārnese” un „Atbalsts ieguldījumiem </w:t>
      </w:r>
      <w:proofErr w:type="spellStart"/>
      <w:r w:rsidR="00170A6B" w:rsidRPr="008E4EA2">
        <w:rPr>
          <w:color w:val="000000" w:themeColor="text1"/>
          <w:szCs w:val="24"/>
        </w:rPr>
        <w:t>mikro</w:t>
      </w:r>
      <w:proofErr w:type="spellEnd"/>
      <w:r w:rsidR="00170A6B" w:rsidRPr="008E4EA2">
        <w:rPr>
          <w:color w:val="000000" w:themeColor="text1"/>
          <w:szCs w:val="24"/>
        </w:rPr>
        <w:t>, maziem un vidējiem komersantiem īpaši atbalstāmajās teritorijās (ĪAT)” un IZM ieviestajā aktivitātē „Zinātnes un pētniecības infrastruktūras attīstība”.</w:t>
      </w:r>
      <w:r w:rsidR="0051034F" w:rsidRPr="008E4EA2">
        <w:rPr>
          <w:color w:val="000000" w:themeColor="text1"/>
          <w:szCs w:val="24"/>
        </w:rPr>
        <w:t xml:space="preserve"> </w:t>
      </w:r>
      <w:r w:rsidR="0056293B" w:rsidRPr="008E4EA2">
        <w:rPr>
          <w:color w:val="000000" w:themeColor="text1"/>
          <w:szCs w:val="24"/>
        </w:rPr>
        <w:t>Apguve nenotiek saskaņā ar IZM mērķiem</w:t>
      </w:r>
      <w:r w:rsidR="0051034F" w:rsidRPr="008E4EA2">
        <w:rPr>
          <w:color w:val="000000" w:themeColor="text1"/>
          <w:szCs w:val="24"/>
        </w:rPr>
        <w:t xml:space="preserve">, jo </w:t>
      </w:r>
      <w:proofErr w:type="spellStart"/>
      <w:r w:rsidR="0051034F" w:rsidRPr="008E4EA2">
        <w:rPr>
          <w:color w:val="000000" w:themeColor="text1"/>
          <w:szCs w:val="24"/>
        </w:rPr>
        <w:t>apakšaktivitātes</w:t>
      </w:r>
      <w:proofErr w:type="spellEnd"/>
      <w:r w:rsidR="0056293B" w:rsidRPr="008E4EA2">
        <w:rPr>
          <w:color w:val="000000" w:themeColor="text1"/>
          <w:szCs w:val="24"/>
        </w:rPr>
        <w:t xml:space="preserve"> „Zinātnes infrastruktūras attīstība”</w:t>
      </w:r>
      <w:r w:rsidR="0051034F" w:rsidRPr="008E4EA2">
        <w:rPr>
          <w:color w:val="000000" w:themeColor="text1"/>
          <w:szCs w:val="24"/>
        </w:rPr>
        <w:t xml:space="preserve"> otrās kārtas finansējuma saņēmēji (komersanti) </w:t>
      </w:r>
      <w:proofErr w:type="spellStart"/>
      <w:r w:rsidR="0051034F" w:rsidRPr="008E4EA2">
        <w:rPr>
          <w:color w:val="000000" w:themeColor="text1"/>
          <w:szCs w:val="24"/>
        </w:rPr>
        <w:t>š.g</w:t>
      </w:r>
      <w:proofErr w:type="spellEnd"/>
      <w:r w:rsidR="0051034F" w:rsidRPr="008E4EA2">
        <w:rPr>
          <w:color w:val="000000" w:themeColor="text1"/>
          <w:szCs w:val="24"/>
        </w:rPr>
        <w:t>. pirmajā pusgadā pēc līguma vai vienošanās par projekta īstenošanu noslēgšanas atteicās</w:t>
      </w:r>
      <w:r w:rsidR="0056293B" w:rsidRPr="008E4EA2">
        <w:rPr>
          <w:color w:val="000000" w:themeColor="text1"/>
          <w:szCs w:val="24"/>
        </w:rPr>
        <w:t xml:space="preserve"> no paredzēto avansu saņemšanas</w:t>
      </w:r>
      <w:r w:rsidR="0051034F" w:rsidRPr="008E4EA2">
        <w:rPr>
          <w:color w:val="000000" w:themeColor="text1"/>
          <w:szCs w:val="24"/>
        </w:rPr>
        <w:t>.</w:t>
      </w:r>
      <w:r w:rsidR="00170A6B" w:rsidRPr="008E4EA2">
        <w:rPr>
          <w:color w:val="000000" w:themeColor="text1"/>
          <w:szCs w:val="24"/>
        </w:rPr>
        <w:t xml:space="preserve"> </w:t>
      </w:r>
      <w:r w:rsidR="00686DC8" w:rsidRPr="008E4EA2">
        <w:rPr>
          <w:color w:val="000000" w:themeColor="text1"/>
          <w:szCs w:val="24"/>
        </w:rPr>
        <w:t xml:space="preserve">Detalizētāku </w:t>
      </w:r>
      <w:r w:rsidR="0051034F" w:rsidRPr="008E4EA2">
        <w:rPr>
          <w:color w:val="000000" w:themeColor="text1"/>
          <w:szCs w:val="24"/>
        </w:rPr>
        <w:t>i</w:t>
      </w:r>
      <w:r w:rsidR="00F47755" w:rsidRPr="008E4EA2">
        <w:rPr>
          <w:color w:val="000000" w:themeColor="text1"/>
          <w:szCs w:val="24"/>
        </w:rPr>
        <w:t xml:space="preserve">nformāciju par finanšu apguvi </w:t>
      </w:r>
      <w:r w:rsidR="00686DC8" w:rsidRPr="008E4EA2">
        <w:rPr>
          <w:color w:val="000000" w:themeColor="text1"/>
          <w:szCs w:val="24"/>
        </w:rPr>
        <w:t xml:space="preserve">un aktivitāšu ieviešanu </w:t>
      </w:r>
      <w:r w:rsidR="00F47755" w:rsidRPr="008E4EA2">
        <w:rPr>
          <w:color w:val="000000" w:themeColor="text1"/>
          <w:szCs w:val="24"/>
        </w:rPr>
        <w:t xml:space="preserve">skatīt </w:t>
      </w:r>
      <w:r w:rsidR="00F47755" w:rsidRPr="008E4EA2">
        <w:rPr>
          <w:color w:val="000000" w:themeColor="text1"/>
          <w:szCs w:val="24"/>
          <w:u w:val="single"/>
        </w:rPr>
        <w:t>grafikā Nr.</w:t>
      </w:r>
      <w:r w:rsidR="001F2246" w:rsidRPr="008E4EA2">
        <w:rPr>
          <w:color w:val="000000" w:themeColor="text1"/>
          <w:szCs w:val="24"/>
          <w:u w:val="single"/>
        </w:rPr>
        <w:t>11</w:t>
      </w:r>
      <w:r w:rsidR="00F47755" w:rsidRPr="008E4EA2">
        <w:rPr>
          <w:color w:val="000000" w:themeColor="text1"/>
          <w:szCs w:val="24"/>
          <w:u w:val="single"/>
        </w:rPr>
        <w:t xml:space="preserve"> un pielikumā Nr.1</w:t>
      </w:r>
      <w:r w:rsidR="00686DC8" w:rsidRPr="008E4EA2">
        <w:rPr>
          <w:color w:val="000000" w:themeColor="text1"/>
          <w:szCs w:val="24"/>
          <w:u w:val="single"/>
        </w:rPr>
        <w:t xml:space="preserve">, </w:t>
      </w:r>
      <w:r w:rsidR="00686DC8" w:rsidRPr="008E4EA2">
        <w:rPr>
          <w:color w:val="000000" w:themeColor="text1"/>
          <w:szCs w:val="24"/>
        </w:rPr>
        <w:t>kā arī turpmāk tekstā dalījumā pa prioritātēm.</w:t>
      </w:r>
    </w:p>
    <w:p w:rsidR="00744A7F" w:rsidRDefault="00744A7F">
      <w:pPr>
        <w:jc w:val="left"/>
        <w:rPr>
          <w:color w:val="000000" w:themeColor="text1"/>
          <w:szCs w:val="24"/>
        </w:rPr>
      </w:pPr>
      <w:r>
        <w:rPr>
          <w:color w:val="000000" w:themeColor="text1"/>
          <w:szCs w:val="24"/>
        </w:rPr>
        <w:br w:type="page"/>
      </w:r>
    </w:p>
    <w:p w:rsidR="00F44D4E" w:rsidRPr="008E4EA2" w:rsidRDefault="001E53C0" w:rsidP="003A0029">
      <w:pPr>
        <w:spacing w:before="120" w:after="120" w:line="276" w:lineRule="auto"/>
        <w:rPr>
          <w:color w:val="000000" w:themeColor="text1"/>
          <w:szCs w:val="24"/>
        </w:rPr>
      </w:pPr>
      <w:r w:rsidRPr="008E4EA2">
        <w:rPr>
          <w:color w:val="000000" w:themeColor="text1"/>
          <w:szCs w:val="24"/>
        </w:rPr>
        <w:lastRenderedPageBreak/>
        <w:t>Grafiks Nr.</w:t>
      </w:r>
      <w:r w:rsidR="0078381C" w:rsidRPr="008E4EA2">
        <w:rPr>
          <w:color w:val="000000" w:themeColor="text1"/>
          <w:szCs w:val="24"/>
        </w:rPr>
        <w:t>11</w:t>
      </w:r>
      <w:r w:rsidR="00E33521" w:rsidRPr="008E4EA2">
        <w:rPr>
          <w:i/>
          <w:color w:val="000000" w:themeColor="text1"/>
          <w:szCs w:val="24"/>
        </w:rPr>
        <w:t xml:space="preserve"> </w:t>
      </w:r>
      <w:r w:rsidR="00E15CBF" w:rsidRPr="008E4EA2">
        <w:rPr>
          <w:i/>
          <w:color w:val="000000" w:themeColor="text1"/>
          <w:szCs w:val="24"/>
        </w:rPr>
        <w:t>„</w:t>
      </w:r>
      <w:r w:rsidR="007E2DDE" w:rsidRPr="008E4EA2">
        <w:rPr>
          <w:i/>
          <w:iCs/>
          <w:color w:val="000000" w:themeColor="text1"/>
          <w:szCs w:val="24"/>
          <w:lang w:eastAsia="lv-LV"/>
        </w:rPr>
        <w:t xml:space="preserve">ES fondu finanšu apguve </w:t>
      </w:r>
      <w:r w:rsidR="007E2DDE" w:rsidRPr="008E4EA2">
        <w:rPr>
          <w:rFonts w:eastAsia="EUAlbertina-Bold-Identity-H"/>
          <w:i/>
          <w:color w:val="000000" w:themeColor="text1"/>
          <w:szCs w:val="24"/>
        </w:rPr>
        <w:t xml:space="preserve">līdz </w:t>
      </w:r>
      <w:r w:rsidR="00FB103C" w:rsidRPr="008E4EA2">
        <w:rPr>
          <w:i/>
          <w:color w:val="000000" w:themeColor="text1"/>
          <w:szCs w:val="24"/>
        </w:rPr>
        <w:t>2012.gada 3</w:t>
      </w:r>
      <w:r w:rsidR="00F44D4E" w:rsidRPr="008E4EA2">
        <w:rPr>
          <w:i/>
          <w:color w:val="000000" w:themeColor="text1"/>
          <w:szCs w:val="24"/>
        </w:rPr>
        <w:t>0.</w:t>
      </w:r>
      <w:r w:rsidR="009B1637" w:rsidRPr="008E4EA2">
        <w:rPr>
          <w:i/>
          <w:color w:val="000000" w:themeColor="text1"/>
          <w:szCs w:val="24"/>
        </w:rPr>
        <w:t>septembrim</w:t>
      </w:r>
      <w:r w:rsidR="00FB103C" w:rsidRPr="008E4EA2">
        <w:rPr>
          <w:i/>
          <w:color w:val="000000" w:themeColor="text1"/>
          <w:szCs w:val="24"/>
        </w:rPr>
        <w:t xml:space="preserve"> </w:t>
      </w:r>
      <w:r w:rsidRPr="008E4EA2">
        <w:rPr>
          <w:i/>
          <w:color w:val="000000" w:themeColor="text1"/>
          <w:szCs w:val="24"/>
        </w:rPr>
        <w:t>darbības programmā</w:t>
      </w:r>
      <w:r w:rsidR="000B4535" w:rsidRPr="008E4EA2">
        <w:rPr>
          <w:i/>
          <w:color w:val="000000" w:themeColor="text1"/>
          <w:szCs w:val="24"/>
        </w:rPr>
        <w:t xml:space="preserve"> </w:t>
      </w:r>
      <w:r w:rsidR="00E15CBF" w:rsidRPr="008E4EA2">
        <w:rPr>
          <w:i/>
          <w:color w:val="000000" w:themeColor="text1"/>
          <w:szCs w:val="24"/>
        </w:rPr>
        <w:t>„</w:t>
      </w:r>
      <w:r w:rsidRPr="008E4EA2">
        <w:rPr>
          <w:i/>
          <w:color w:val="000000" w:themeColor="text1"/>
          <w:szCs w:val="24"/>
        </w:rPr>
        <w:t>Uzņēmējdarbība un inovācijas</w:t>
      </w:r>
      <w:r w:rsidR="00731B18" w:rsidRPr="008E4EA2">
        <w:rPr>
          <w:i/>
          <w:color w:val="000000" w:themeColor="text1"/>
          <w:szCs w:val="24"/>
        </w:rPr>
        <w:t>”</w:t>
      </w:r>
      <w:r w:rsidRPr="008E4EA2">
        <w:rPr>
          <w:i/>
          <w:color w:val="000000" w:themeColor="text1"/>
          <w:szCs w:val="24"/>
        </w:rPr>
        <w:t xml:space="preserve">; </w:t>
      </w:r>
      <w:r w:rsidR="00CB2904" w:rsidRPr="008E4EA2">
        <w:rPr>
          <w:i/>
          <w:color w:val="000000" w:themeColor="text1"/>
          <w:szCs w:val="24"/>
        </w:rPr>
        <w:t xml:space="preserve">Publiskais finansējums, </w:t>
      </w:r>
      <w:proofErr w:type="spellStart"/>
      <w:r w:rsidRPr="008E4EA2">
        <w:rPr>
          <w:i/>
          <w:color w:val="000000" w:themeColor="text1"/>
          <w:szCs w:val="24"/>
        </w:rPr>
        <w:t>milj</w:t>
      </w:r>
      <w:proofErr w:type="spellEnd"/>
      <w:r w:rsidRPr="008E4EA2">
        <w:rPr>
          <w:i/>
          <w:color w:val="000000" w:themeColor="text1"/>
          <w:szCs w:val="24"/>
        </w:rPr>
        <w:t xml:space="preserve">. </w:t>
      </w:r>
      <w:r w:rsidR="00884EC7" w:rsidRPr="008E4EA2">
        <w:rPr>
          <w:rFonts w:eastAsia="EUAlbertina-Bold-Identity-H"/>
          <w:i/>
          <w:color w:val="000000" w:themeColor="text1"/>
          <w:szCs w:val="24"/>
        </w:rPr>
        <w:t>latu</w:t>
      </w:r>
      <w:r w:rsidRPr="008E4EA2">
        <w:rPr>
          <w:i/>
          <w:color w:val="000000" w:themeColor="text1"/>
          <w:szCs w:val="24"/>
        </w:rPr>
        <w:t xml:space="preserve">, (% no pieejamā publiskā finansējuma); progress pret datiem </w:t>
      </w:r>
      <w:r w:rsidR="000456D8" w:rsidRPr="008E4EA2">
        <w:rPr>
          <w:i/>
          <w:color w:val="000000" w:themeColor="text1"/>
          <w:szCs w:val="24"/>
        </w:rPr>
        <w:t>līdz</w:t>
      </w:r>
      <w:r w:rsidRPr="008E4EA2">
        <w:rPr>
          <w:i/>
          <w:color w:val="000000" w:themeColor="text1"/>
          <w:szCs w:val="24"/>
        </w:rPr>
        <w:t xml:space="preserve"> </w:t>
      </w:r>
      <w:r w:rsidR="000456D8" w:rsidRPr="008E4EA2">
        <w:rPr>
          <w:i/>
          <w:color w:val="000000" w:themeColor="text1"/>
          <w:szCs w:val="24"/>
        </w:rPr>
        <w:t xml:space="preserve">2012.gada </w:t>
      </w:r>
      <w:r w:rsidR="009B1637" w:rsidRPr="008E4EA2">
        <w:rPr>
          <w:i/>
          <w:color w:val="000000" w:themeColor="text1"/>
          <w:szCs w:val="24"/>
        </w:rPr>
        <w:t>30.jūnijam</w:t>
      </w:r>
      <w:r w:rsidR="00CB2904" w:rsidRPr="008E4EA2">
        <w:rPr>
          <w:i/>
          <w:color w:val="000000" w:themeColor="text1"/>
          <w:szCs w:val="24"/>
        </w:rPr>
        <w:t>, %</w:t>
      </w:r>
      <w:r w:rsidR="003742B3" w:rsidRPr="008E4EA2">
        <w:rPr>
          <w:i/>
          <w:color w:val="000000" w:themeColor="text1"/>
          <w:szCs w:val="24"/>
        </w:rPr>
        <w:t>.</w:t>
      </w:r>
      <w:r w:rsidR="00F44D4E" w:rsidRPr="008E4EA2">
        <w:rPr>
          <w:i/>
          <w:color w:val="000000" w:themeColor="text1"/>
          <w:szCs w:val="24"/>
        </w:rPr>
        <w:t>”</w:t>
      </w:r>
    </w:p>
    <w:p w:rsidR="001E53C0" w:rsidRPr="008E4EA2" w:rsidRDefault="004D52C8" w:rsidP="003A0029">
      <w:pPr>
        <w:spacing w:before="120" w:after="120" w:line="276" w:lineRule="auto"/>
        <w:rPr>
          <w:i/>
          <w:color w:val="000000" w:themeColor="text1"/>
          <w:szCs w:val="24"/>
        </w:rPr>
      </w:pPr>
      <w:r>
        <w:rPr>
          <w:noProof/>
          <w:lang w:eastAsia="lv-LV"/>
        </w:rPr>
        <w:drawing>
          <wp:inline distT="0" distB="0" distL="0" distR="0" wp14:anchorId="30008923" wp14:editId="1F99CB6C">
            <wp:extent cx="5486400" cy="5688330"/>
            <wp:effectExtent l="0" t="0" r="0"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E142D" w:rsidRPr="001B21DE" w:rsidRDefault="009C0C36" w:rsidP="003A0029">
      <w:pPr>
        <w:pStyle w:val="NormalWeb"/>
        <w:spacing w:before="120" w:beforeAutospacing="0" w:after="120" w:afterAutospacing="0" w:line="276" w:lineRule="auto"/>
        <w:jc w:val="both"/>
        <w:rPr>
          <w:color w:val="000000" w:themeColor="text1"/>
          <w:sz w:val="20"/>
          <w:szCs w:val="20"/>
          <w:lang w:val="lv-LV"/>
        </w:rPr>
      </w:pPr>
      <w:r w:rsidRPr="001B21DE">
        <w:rPr>
          <w:color w:val="000000" w:themeColor="text1"/>
          <w:sz w:val="20"/>
          <w:szCs w:val="20"/>
          <w:lang w:val="lv-LV"/>
        </w:rPr>
        <w:t>*Grafikā nav atsevišķi sniegta informācija par apguves progresu prioritātē</w:t>
      </w:r>
      <w:r w:rsidR="000B4535" w:rsidRPr="001B21DE">
        <w:rPr>
          <w:color w:val="000000" w:themeColor="text1"/>
          <w:sz w:val="20"/>
          <w:szCs w:val="20"/>
          <w:lang w:val="lv-LV"/>
        </w:rPr>
        <w:t xml:space="preserve"> </w:t>
      </w:r>
      <w:r w:rsidR="00E15CBF" w:rsidRPr="001B21DE">
        <w:rPr>
          <w:color w:val="000000" w:themeColor="text1"/>
          <w:sz w:val="20"/>
          <w:szCs w:val="20"/>
          <w:lang w:val="lv-LV"/>
        </w:rPr>
        <w:t>„</w:t>
      </w:r>
      <w:r w:rsidR="00AF2087" w:rsidRPr="001B21DE">
        <w:rPr>
          <w:color w:val="000000" w:themeColor="text1"/>
          <w:sz w:val="20"/>
          <w:szCs w:val="20"/>
          <w:lang w:val="lv-LV"/>
        </w:rPr>
        <w:t>Finanšu pieejamība</w:t>
      </w:r>
      <w:r w:rsidR="001E2B7C" w:rsidRPr="001B21DE">
        <w:rPr>
          <w:color w:val="000000" w:themeColor="text1"/>
          <w:sz w:val="20"/>
          <w:szCs w:val="20"/>
          <w:lang w:val="lv-LV"/>
        </w:rPr>
        <w:t>”</w:t>
      </w:r>
      <w:r w:rsidR="00D84FDE" w:rsidRPr="001B21DE">
        <w:rPr>
          <w:color w:val="000000" w:themeColor="text1"/>
          <w:sz w:val="20"/>
          <w:szCs w:val="20"/>
          <w:lang w:val="lv-LV"/>
        </w:rPr>
        <w:t>.</w:t>
      </w:r>
      <w:r w:rsidR="00AF2087" w:rsidRPr="001B21DE">
        <w:rPr>
          <w:color w:val="000000" w:themeColor="text1"/>
          <w:sz w:val="20"/>
          <w:szCs w:val="20"/>
          <w:lang w:val="lv-LV"/>
        </w:rPr>
        <w:t xml:space="preserve"> </w:t>
      </w:r>
      <w:r w:rsidR="00D84FDE" w:rsidRPr="001B21DE">
        <w:rPr>
          <w:color w:val="000000" w:themeColor="text1"/>
          <w:sz w:val="20"/>
          <w:szCs w:val="20"/>
          <w:lang w:val="lv-LV"/>
        </w:rPr>
        <w:t xml:space="preserve">To </w:t>
      </w:r>
      <w:r w:rsidRPr="001B21DE">
        <w:rPr>
          <w:color w:val="000000" w:themeColor="text1"/>
          <w:sz w:val="20"/>
          <w:szCs w:val="20"/>
          <w:lang w:val="lv-LV"/>
        </w:rPr>
        <w:t xml:space="preserve">skatīt </w:t>
      </w:r>
      <w:r w:rsidR="00AF2087" w:rsidRPr="001B21DE">
        <w:rPr>
          <w:color w:val="000000" w:themeColor="text1"/>
          <w:sz w:val="20"/>
          <w:szCs w:val="20"/>
          <w:u w:val="single"/>
          <w:lang w:val="lv-LV"/>
        </w:rPr>
        <w:t>apakšpunktā</w:t>
      </w:r>
      <w:r w:rsidR="000B4535" w:rsidRPr="001B21DE">
        <w:rPr>
          <w:color w:val="000000" w:themeColor="text1"/>
          <w:sz w:val="20"/>
          <w:szCs w:val="20"/>
          <w:u w:val="single"/>
          <w:lang w:val="lv-LV"/>
        </w:rPr>
        <w:t xml:space="preserve"> </w:t>
      </w:r>
      <w:r w:rsidR="00E15CBF" w:rsidRPr="001B21DE">
        <w:rPr>
          <w:color w:val="000000" w:themeColor="text1"/>
          <w:sz w:val="20"/>
          <w:szCs w:val="20"/>
          <w:u w:val="single"/>
          <w:lang w:val="lv-LV"/>
        </w:rPr>
        <w:t>„</w:t>
      </w:r>
      <w:r w:rsidR="00AF2087" w:rsidRPr="001B21DE">
        <w:rPr>
          <w:color w:val="000000" w:themeColor="text1"/>
          <w:sz w:val="20"/>
          <w:szCs w:val="20"/>
          <w:u w:val="single"/>
          <w:lang w:val="lv-LV"/>
        </w:rPr>
        <w:t>Finanšu pieejamība</w:t>
      </w:r>
      <w:r w:rsidR="00731B18" w:rsidRPr="001B21DE">
        <w:rPr>
          <w:color w:val="000000" w:themeColor="text1"/>
          <w:sz w:val="20"/>
          <w:szCs w:val="20"/>
          <w:u w:val="single"/>
          <w:lang w:val="lv-LV"/>
        </w:rPr>
        <w:t>”</w:t>
      </w:r>
      <w:r w:rsidR="00680DBC" w:rsidRPr="001B21DE">
        <w:rPr>
          <w:color w:val="000000" w:themeColor="text1"/>
          <w:sz w:val="20"/>
          <w:szCs w:val="20"/>
          <w:u w:val="single"/>
          <w:lang w:val="lv-LV"/>
        </w:rPr>
        <w:t>, kā arī sīkāka informācija ir pieejama</w:t>
      </w:r>
      <w:r w:rsidR="001B21DE" w:rsidRPr="001B21DE">
        <w:rPr>
          <w:color w:val="000000" w:themeColor="text1"/>
          <w:sz w:val="20"/>
          <w:szCs w:val="20"/>
          <w:u w:val="single"/>
          <w:lang w:val="lv-LV"/>
        </w:rPr>
        <w:t xml:space="preserve"> </w:t>
      </w:r>
      <w:hyperlink r:id="rId38" w:history="1">
        <w:r w:rsidR="001B21DE" w:rsidRPr="001B21DE">
          <w:rPr>
            <w:rStyle w:val="Hyperlink"/>
            <w:rFonts w:ascii="Times New Roman" w:hAnsi="Times New Roman" w:cs="Times New Roman"/>
            <w:sz w:val="20"/>
            <w:szCs w:val="20"/>
            <w:lang w:val="lv-LV"/>
          </w:rPr>
          <w:t>ES fondu interneta vietnē</w:t>
        </w:r>
      </w:hyperlink>
      <w:r w:rsidR="001B21DE" w:rsidRPr="001B21DE">
        <w:rPr>
          <w:color w:val="000000" w:themeColor="text1"/>
          <w:sz w:val="20"/>
          <w:szCs w:val="20"/>
          <w:u w:val="single"/>
          <w:lang w:val="lv-LV"/>
        </w:rPr>
        <w:t>.</w:t>
      </w:r>
      <w:r w:rsidR="00680DBC" w:rsidRPr="001B21DE">
        <w:rPr>
          <w:color w:val="000000" w:themeColor="text1"/>
          <w:sz w:val="20"/>
          <w:szCs w:val="20"/>
          <w:u w:val="single"/>
          <w:lang w:val="lv-LV"/>
        </w:rPr>
        <w:t xml:space="preserve"> </w:t>
      </w:r>
    </w:p>
    <w:p w:rsidR="00580728" w:rsidRPr="008E4EA2" w:rsidRDefault="00E15CBF" w:rsidP="003A0029">
      <w:pPr>
        <w:spacing w:before="120" w:after="120" w:line="276" w:lineRule="auto"/>
        <w:rPr>
          <w:b/>
          <w:color w:val="000000" w:themeColor="text1"/>
          <w:szCs w:val="24"/>
        </w:rPr>
      </w:pPr>
      <w:r w:rsidRPr="008E4EA2">
        <w:rPr>
          <w:b/>
          <w:color w:val="000000" w:themeColor="text1"/>
          <w:szCs w:val="24"/>
        </w:rPr>
        <w:t xml:space="preserve"> „</w:t>
      </w:r>
      <w:r w:rsidR="00580728" w:rsidRPr="008E4EA2">
        <w:rPr>
          <w:b/>
          <w:color w:val="000000" w:themeColor="text1"/>
          <w:szCs w:val="24"/>
        </w:rPr>
        <w:t>Zinātne un inovācijas</w:t>
      </w:r>
      <w:r w:rsidR="00341AB2" w:rsidRPr="008E4EA2">
        <w:rPr>
          <w:b/>
          <w:color w:val="000000" w:themeColor="text1"/>
          <w:szCs w:val="24"/>
        </w:rPr>
        <w:t>”</w:t>
      </w:r>
      <w:r w:rsidR="00580728" w:rsidRPr="008E4EA2">
        <w:rPr>
          <w:b/>
          <w:color w:val="000000" w:themeColor="text1"/>
          <w:szCs w:val="24"/>
        </w:rPr>
        <w:t xml:space="preserve"> </w:t>
      </w:r>
    </w:p>
    <w:p w:rsidR="00580728" w:rsidRPr="008E4EA2" w:rsidRDefault="00861913" w:rsidP="003A0029">
      <w:pPr>
        <w:pStyle w:val="NormalWeb"/>
        <w:spacing w:before="120" w:beforeAutospacing="0" w:after="120" w:afterAutospacing="0" w:line="276" w:lineRule="auto"/>
        <w:jc w:val="both"/>
        <w:rPr>
          <w:color w:val="000000" w:themeColor="text1"/>
          <w:lang w:val="lv-LV"/>
        </w:rPr>
      </w:pPr>
      <w:r w:rsidRPr="008E4EA2">
        <w:rPr>
          <w:color w:val="000000" w:themeColor="text1"/>
          <w:lang w:val="lv-LV"/>
        </w:rPr>
        <w:t xml:space="preserve">Prioritāte vērsta uz valsts zinātnes un pētniecības potenciāla nostiprināšanu, starptautiskās konkurētspējas palielināšanu, kā arī zināšanu pārneses un to </w:t>
      </w:r>
      <w:proofErr w:type="spellStart"/>
      <w:r w:rsidRPr="008E4EA2">
        <w:rPr>
          <w:color w:val="000000" w:themeColor="text1"/>
          <w:lang w:val="lv-LV"/>
        </w:rPr>
        <w:t>komercializācijas</w:t>
      </w:r>
      <w:proofErr w:type="spellEnd"/>
      <w:r w:rsidRPr="008E4EA2">
        <w:rPr>
          <w:color w:val="000000" w:themeColor="text1"/>
          <w:lang w:val="lv-LV"/>
        </w:rPr>
        <w:t xml:space="preserve"> veicināšanu. Šie mērķi sasniedzami, investējot zinātnes un pētniecības centru aprīkojumā, pētniecības veicināšanā, izveidojot zināšanu pārneses infrastruktūru un atbalsta mehānismus.</w:t>
      </w:r>
    </w:p>
    <w:p w:rsidR="00744A7F" w:rsidRDefault="00744A7F" w:rsidP="003A0029">
      <w:pPr>
        <w:pStyle w:val="Default"/>
        <w:spacing w:before="120" w:after="120" w:line="276" w:lineRule="auto"/>
        <w:jc w:val="both"/>
        <w:rPr>
          <w:color w:val="000000" w:themeColor="text1"/>
          <w:u w:val="single"/>
        </w:rPr>
      </w:pPr>
    </w:p>
    <w:p w:rsidR="00744A7F" w:rsidRDefault="00744A7F" w:rsidP="003A0029">
      <w:pPr>
        <w:pStyle w:val="Default"/>
        <w:spacing w:before="120" w:after="120" w:line="276" w:lineRule="auto"/>
        <w:jc w:val="both"/>
        <w:rPr>
          <w:color w:val="000000" w:themeColor="text1"/>
          <w:u w:val="single"/>
        </w:rPr>
      </w:pPr>
    </w:p>
    <w:p w:rsidR="004474CB" w:rsidRPr="008E4EA2" w:rsidRDefault="004474CB" w:rsidP="003A0029">
      <w:pPr>
        <w:pStyle w:val="Default"/>
        <w:spacing w:before="120" w:after="120" w:line="276" w:lineRule="auto"/>
        <w:jc w:val="both"/>
        <w:rPr>
          <w:color w:val="000000" w:themeColor="text1"/>
          <w:u w:val="single"/>
        </w:rPr>
      </w:pPr>
      <w:r w:rsidRPr="008E4EA2">
        <w:rPr>
          <w:color w:val="000000" w:themeColor="text1"/>
          <w:u w:val="single"/>
        </w:rPr>
        <w:lastRenderedPageBreak/>
        <w:t>Zinātne, pētniecība un attīstība</w:t>
      </w:r>
    </w:p>
    <w:p w:rsidR="00C90975" w:rsidRPr="008E4EA2" w:rsidRDefault="00C90975" w:rsidP="003A0029">
      <w:pPr>
        <w:pStyle w:val="NormalWeb"/>
        <w:spacing w:before="120" w:beforeAutospacing="0" w:after="120" w:afterAutospacing="0" w:line="276" w:lineRule="auto"/>
        <w:jc w:val="both"/>
        <w:rPr>
          <w:color w:val="000000" w:themeColor="text1"/>
          <w:lang w:val="lv-LV"/>
        </w:rPr>
      </w:pPr>
      <w:r w:rsidRPr="008E4EA2">
        <w:rPr>
          <w:color w:val="000000" w:themeColor="text1"/>
          <w:lang w:val="lv-LV"/>
        </w:rPr>
        <w:t xml:space="preserve">Kopumā IZM </w:t>
      </w:r>
      <w:proofErr w:type="spellStart"/>
      <w:r w:rsidRPr="008E4EA2">
        <w:rPr>
          <w:color w:val="000000" w:themeColor="text1"/>
          <w:lang w:val="lv-LV"/>
        </w:rPr>
        <w:t>pārziņā</w:t>
      </w:r>
      <w:proofErr w:type="spellEnd"/>
      <w:r w:rsidRPr="008E4EA2">
        <w:rPr>
          <w:color w:val="000000" w:themeColor="text1"/>
          <w:lang w:val="lv-LV"/>
        </w:rPr>
        <w:t xml:space="preserve"> esošajās darbības programmas „Uzņēmējdarbība un inovācijas” aktivitātēs un </w:t>
      </w:r>
      <w:proofErr w:type="spellStart"/>
      <w:r w:rsidRPr="008E4EA2">
        <w:rPr>
          <w:color w:val="000000" w:themeColor="text1"/>
          <w:lang w:val="lv-LV"/>
        </w:rPr>
        <w:t>apakšaktivitātēs</w:t>
      </w:r>
      <w:proofErr w:type="spellEnd"/>
      <w:r w:rsidRPr="008E4EA2">
        <w:rPr>
          <w:color w:val="000000" w:themeColor="text1"/>
          <w:lang w:val="lv-LV"/>
        </w:rPr>
        <w:t xml:space="preserve"> finansējuma apguve notikusi vāji – 2012.gada pirmajos trijos ceturkšņos izmaksāti 47% no finanš</w:t>
      </w:r>
      <w:r w:rsidR="00083C6A">
        <w:rPr>
          <w:color w:val="000000" w:themeColor="text1"/>
          <w:lang w:val="lv-LV"/>
        </w:rPr>
        <w:t xml:space="preserve">u apguves mērķa (36,1 </w:t>
      </w:r>
      <w:proofErr w:type="spellStart"/>
      <w:r w:rsidR="00083C6A">
        <w:rPr>
          <w:color w:val="000000" w:themeColor="text1"/>
          <w:lang w:val="lv-LV"/>
        </w:rPr>
        <w:t>milj</w:t>
      </w:r>
      <w:proofErr w:type="spellEnd"/>
      <w:r w:rsidR="00083C6A">
        <w:rPr>
          <w:color w:val="000000" w:themeColor="text1"/>
          <w:lang w:val="lv-LV"/>
        </w:rPr>
        <w:t>. latu</w:t>
      </w:r>
      <w:r w:rsidRPr="008E4EA2">
        <w:rPr>
          <w:color w:val="000000" w:themeColor="text1"/>
          <w:lang w:val="lv-LV"/>
        </w:rPr>
        <w:t>) šim periodam.</w:t>
      </w:r>
    </w:p>
    <w:p w:rsidR="00C90975" w:rsidRPr="008E4EA2" w:rsidRDefault="00C90975" w:rsidP="003A0029">
      <w:pPr>
        <w:pStyle w:val="NormalWeb"/>
        <w:spacing w:before="120" w:beforeAutospacing="0" w:after="120" w:afterAutospacing="0" w:line="276" w:lineRule="auto"/>
        <w:jc w:val="both"/>
        <w:rPr>
          <w:color w:val="000000" w:themeColor="text1"/>
          <w:lang w:val="lv-LV"/>
        </w:rPr>
      </w:pPr>
      <w:r w:rsidRPr="008E4EA2">
        <w:rPr>
          <w:color w:val="000000" w:themeColor="text1"/>
          <w:lang w:val="lv-LV"/>
        </w:rPr>
        <w:t>Aktivitātes „Atbalsts zinātnei un pētniecībai” un aktivitātes „Atbalsts starptautiskās sadarbības projektiem zinātnē un tehnoloģijās (EUREKA, 7.IP un citi)” projektu īstenošana kopumā norit atbilstoši noslēgtajām vienošanās/līgumiem. Aktivitātes „Atbalsts zinātnei un pētniecībai” atsevišķu projektiem ir aizkavējusies iepirkuma procedūru veikšana, jo</w:t>
      </w:r>
      <w:r w:rsidR="005E1672">
        <w:rPr>
          <w:color w:val="000000" w:themeColor="text1"/>
          <w:lang w:val="lv-LV"/>
        </w:rPr>
        <w:t xml:space="preserve"> </w:t>
      </w:r>
      <w:r w:rsidRPr="008E4EA2">
        <w:rPr>
          <w:color w:val="000000" w:themeColor="text1"/>
          <w:lang w:val="lv-LV"/>
        </w:rPr>
        <w:t>veicot iepirkumu norises pārbaudi ir konstatētas neatbilstības, kā rezultātā finansējuma saņēmēji veic atkārtotas iepirkumu procedūras atbilstoši Publisko iepirkumu likumam.</w:t>
      </w:r>
    </w:p>
    <w:p w:rsidR="0069573F" w:rsidRPr="008E4EA2" w:rsidRDefault="00C90975" w:rsidP="003A0029">
      <w:pPr>
        <w:pStyle w:val="NormalWeb"/>
        <w:spacing w:before="120" w:beforeAutospacing="0" w:after="120" w:afterAutospacing="0" w:line="276" w:lineRule="auto"/>
        <w:jc w:val="both"/>
        <w:rPr>
          <w:color w:val="000000" w:themeColor="text1"/>
          <w:lang w:val="lv-LV"/>
        </w:rPr>
      </w:pPr>
      <w:proofErr w:type="spellStart"/>
      <w:r w:rsidRPr="008E4EA2">
        <w:rPr>
          <w:color w:val="000000" w:themeColor="text1"/>
          <w:lang w:val="lv-LV"/>
        </w:rPr>
        <w:t>Apakšaktivitātē</w:t>
      </w:r>
      <w:proofErr w:type="spellEnd"/>
      <w:r w:rsidRPr="008E4EA2">
        <w:rPr>
          <w:color w:val="000000" w:themeColor="text1"/>
          <w:lang w:val="lv-LV"/>
        </w:rPr>
        <w:t xml:space="preserve"> „Zinātnes infrastruktūras attīstība” finansējuma saņēmējiem izmaksātā finansējuma mērķis nav sasniegts plānotajā apjomā, jo </w:t>
      </w:r>
      <w:proofErr w:type="spellStart"/>
      <w:r w:rsidRPr="008E4EA2">
        <w:rPr>
          <w:color w:val="000000" w:themeColor="text1"/>
          <w:lang w:val="lv-LV"/>
        </w:rPr>
        <w:t>apakšaktivitātes</w:t>
      </w:r>
      <w:proofErr w:type="spellEnd"/>
      <w:r w:rsidRPr="008E4EA2">
        <w:rPr>
          <w:color w:val="000000" w:themeColor="text1"/>
          <w:lang w:val="lv-LV"/>
        </w:rPr>
        <w:t xml:space="preserve"> otrās kārtas finansējuma saņēmēji (komersanti) </w:t>
      </w:r>
      <w:proofErr w:type="spellStart"/>
      <w:r w:rsidRPr="008E4EA2">
        <w:rPr>
          <w:color w:val="000000" w:themeColor="text1"/>
          <w:lang w:val="lv-LV"/>
        </w:rPr>
        <w:t>š.g</w:t>
      </w:r>
      <w:proofErr w:type="spellEnd"/>
      <w:r w:rsidRPr="008E4EA2">
        <w:rPr>
          <w:color w:val="000000" w:themeColor="text1"/>
          <w:lang w:val="lv-LV"/>
        </w:rPr>
        <w:t xml:space="preserve">. pirmajā pusgadā pēc līguma vai vienošanās par projekta īstenošanu noslēgšanas atteicās no paredzēto avansu saņemšanas, kas tika skaidrots ar neizdevīgiem avansa saņemšanas nosacījumiem. Turklāt, finanšu apguve ir aizkavējusies sakarā ar to, ka finansējuma saņēmēji saskaras ar grūtībām apjomīgas iepirkuma dokumentācijas sagatavošanā. Izsludinātas vairākas iepirkumu procedūras par sarežģītas tehnikas iegādi, kur nepieciešams ilgāks laiks saņemto piedāvājumu vērtēšanā, kā rezultātā ir notikusi nobīde no projekta īstenošanas laika grafika. </w:t>
      </w:r>
      <w:proofErr w:type="spellStart"/>
      <w:r w:rsidRPr="008E4EA2">
        <w:rPr>
          <w:color w:val="000000" w:themeColor="text1"/>
          <w:lang w:val="lv-LV"/>
        </w:rPr>
        <w:t>Apakšaktivitātes</w:t>
      </w:r>
      <w:proofErr w:type="spellEnd"/>
      <w:r w:rsidRPr="008E4EA2">
        <w:rPr>
          <w:color w:val="000000" w:themeColor="text1"/>
          <w:lang w:val="lv-LV"/>
        </w:rPr>
        <w:t xml:space="preserve"> „Informācijas tehnoloģiju infrastruktūras un informācijas sistēmu uzlabošana zinātniskajai darbībai” projekta „Vienota nacionālas nozīmes Latvijas akadēmiskā pamattīkla zinātniskās darbības nodrošināšanai izveide” īstenošana aizkavējusies dēļ iepirkuma par piekļuves iegādi specializētajām datu bāzēm, kas tika veikts </w:t>
      </w:r>
      <w:proofErr w:type="spellStart"/>
      <w:r w:rsidRPr="008E4EA2">
        <w:rPr>
          <w:color w:val="000000" w:themeColor="text1"/>
          <w:lang w:val="lv-LV"/>
        </w:rPr>
        <w:t>š.g</w:t>
      </w:r>
      <w:proofErr w:type="spellEnd"/>
      <w:r w:rsidRPr="008E4EA2">
        <w:rPr>
          <w:color w:val="000000" w:themeColor="text1"/>
          <w:lang w:val="lv-LV"/>
        </w:rPr>
        <w:t>. pirmajā ceturksnī. Iepirkums tika pārtraukts, jo projekta vadības grupas sanāksmē tika pieņemts lēmums par citu risinājumu datu centru izveidei, kā rezultātā radās nepieciešamība ar koplietošanas datu centra izveidi saistīto tehnisko dokumentu, tajā skaitā iepirkuma tehniskās specifikācijas, pārstrāde. Minētie dokumenti apstiprināti septembrī. Neskatoties uz minēto, ja nepieciešamie iepirkumi tiks izsludināti 2012.gada ceturtajā ceturksnī, projekta mērķis tiks sasniegts – līdz 2014.gada beigām izveidot nākamās paaudzes datu pārraides tīklu zinātniskās darbības nodrošināšanai.</w:t>
      </w:r>
    </w:p>
    <w:p w:rsidR="00A41B58" w:rsidRPr="008E4EA2" w:rsidRDefault="00A41B58" w:rsidP="003A0029">
      <w:pPr>
        <w:pStyle w:val="ListParagraph"/>
        <w:spacing w:before="120" w:after="120"/>
        <w:ind w:left="0"/>
        <w:jc w:val="both"/>
        <w:rPr>
          <w:rFonts w:ascii="Times New Roman" w:hAnsi="Times New Roman"/>
          <w:i/>
          <w:color w:val="000000" w:themeColor="text1"/>
          <w:sz w:val="24"/>
          <w:szCs w:val="24"/>
          <w:u w:val="single"/>
        </w:rPr>
      </w:pPr>
      <w:r w:rsidRPr="008E4EA2">
        <w:rPr>
          <w:rFonts w:ascii="Times New Roman" w:hAnsi="Times New Roman"/>
          <w:i/>
          <w:color w:val="000000" w:themeColor="text1"/>
          <w:sz w:val="24"/>
          <w:szCs w:val="24"/>
          <w:u w:val="single"/>
        </w:rPr>
        <w:t>Inovācijas</w:t>
      </w:r>
    </w:p>
    <w:p w:rsidR="00A41B58" w:rsidRPr="008E4EA2" w:rsidRDefault="00A41B58" w:rsidP="003A0029">
      <w:pPr>
        <w:pStyle w:val="ListParagraph"/>
        <w:spacing w:before="120" w:after="120"/>
        <w:ind w:left="0"/>
        <w:jc w:val="both"/>
        <w:rPr>
          <w:rFonts w:ascii="Times New Roman" w:hAnsi="Times New Roman"/>
          <w:color w:val="000000" w:themeColor="text1"/>
          <w:sz w:val="24"/>
          <w:szCs w:val="24"/>
        </w:rPr>
      </w:pPr>
      <w:r w:rsidRPr="008E4EA2">
        <w:rPr>
          <w:rFonts w:ascii="Times New Roman" w:hAnsi="Times New Roman"/>
          <w:color w:val="000000" w:themeColor="text1"/>
          <w:sz w:val="24"/>
          <w:szCs w:val="24"/>
        </w:rPr>
        <w:t>Kopumā pasākuma</w:t>
      </w:r>
      <w:r w:rsidR="003271BE" w:rsidRPr="008E4EA2">
        <w:rPr>
          <w:rFonts w:ascii="Times New Roman" w:hAnsi="Times New Roman"/>
          <w:color w:val="000000" w:themeColor="text1"/>
          <w:sz w:val="24"/>
          <w:szCs w:val="24"/>
        </w:rPr>
        <w:t xml:space="preserve"> </w:t>
      </w:r>
      <w:r w:rsidRPr="008E4EA2">
        <w:rPr>
          <w:rFonts w:ascii="Times New Roman" w:hAnsi="Times New Roman"/>
          <w:color w:val="000000" w:themeColor="text1"/>
          <w:sz w:val="24"/>
          <w:szCs w:val="24"/>
        </w:rPr>
        <w:t xml:space="preserve">„Inovācijas” ietvaros līdz 2012.gada </w:t>
      </w:r>
      <w:r w:rsidR="00DA026E" w:rsidRPr="008E4EA2">
        <w:rPr>
          <w:rFonts w:ascii="Times New Roman" w:hAnsi="Times New Roman"/>
          <w:color w:val="000000" w:themeColor="text1"/>
          <w:sz w:val="24"/>
          <w:szCs w:val="24"/>
        </w:rPr>
        <w:t xml:space="preserve">trešā </w:t>
      </w:r>
      <w:r w:rsidRPr="008E4EA2">
        <w:rPr>
          <w:rFonts w:ascii="Times New Roman" w:hAnsi="Times New Roman"/>
          <w:color w:val="000000" w:themeColor="text1"/>
          <w:sz w:val="24"/>
          <w:szCs w:val="24"/>
        </w:rPr>
        <w:t xml:space="preserve">ceturkšņa beigām finansējuma saņēmējiem veikti maksājumi 67,9 </w:t>
      </w:r>
      <w:proofErr w:type="spellStart"/>
      <w:r w:rsidRPr="008E4EA2">
        <w:rPr>
          <w:rFonts w:ascii="Times New Roman" w:hAnsi="Times New Roman"/>
          <w:color w:val="000000" w:themeColor="text1"/>
          <w:sz w:val="24"/>
          <w:szCs w:val="24"/>
        </w:rPr>
        <w:t>milj</w:t>
      </w:r>
      <w:proofErr w:type="spellEnd"/>
      <w:r w:rsidRPr="008E4EA2">
        <w:rPr>
          <w:rFonts w:ascii="Times New Roman" w:hAnsi="Times New Roman"/>
          <w:color w:val="000000" w:themeColor="text1"/>
          <w:sz w:val="24"/>
          <w:szCs w:val="24"/>
        </w:rPr>
        <w:t>. latu apmērā jeb par 41</w:t>
      </w:r>
      <w:r w:rsidR="00CE6A29" w:rsidRPr="008E4EA2">
        <w:rPr>
          <w:rFonts w:ascii="Times New Roman" w:hAnsi="Times New Roman"/>
          <w:color w:val="000000" w:themeColor="text1"/>
          <w:sz w:val="24"/>
          <w:szCs w:val="24"/>
        </w:rPr>
        <w:t>,4</w:t>
      </w:r>
      <w:r w:rsidRPr="008E4EA2">
        <w:rPr>
          <w:rFonts w:ascii="Times New Roman" w:hAnsi="Times New Roman"/>
          <w:color w:val="000000" w:themeColor="text1"/>
          <w:sz w:val="24"/>
          <w:szCs w:val="24"/>
        </w:rPr>
        <w:t xml:space="preserve">% no pieejamā publiskā finansējuma, no tā 12,2 </w:t>
      </w:r>
      <w:proofErr w:type="spellStart"/>
      <w:r w:rsidRPr="008E4EA2">
        <w:rPr>
          <w:rFonts w:ascii="Times New Roman" w:hAnsi="Times New Roman"/>
          <w:color w:val="000000" w:themeColor="text1"/>
          <w:sz w:val="24"/>
          <w:szCs w:val="24"/>
        </w:rPr>
        <w:t>milj</w:t>
      </w:r>
      <w:proofErr w:type="spellEnd"/>
      <w:r w:rsidRPr="008E4EA2">
        <w:rPr>
          <w:rFonts w:ascii="Times New Roman" w:hAnsi="Times New Roman"/>
          <w:color w:val="000000" w:themeColor="text1"/>
          <w:sz w:val="24"/>
          <w:szCs w:val="24"/>
        </w:rPr>
        <w:t xml:space="preserve">. latu izmaksāti 2012.gadā, izpildot </w:t>
      </w:r>
      <w:r w:rsidR="000C5932" w:rsidRPr="008E4EA2">
        <w:rPr>
          <w:rFonts w:ascii="Times New Roman" w:hAnsi="Times New Roman"/>
          <w:color w:val="000000" w:themeColor="text1"/>
          <w:sz w:val="24"/>
          <w:szCs w:val="24"/>
        </w:rPr>
        <w:t xml:space="preserve">AI noteikto finanšu apguves </w:t>
      </w:r>
      <w:r w:rsidRPr="008E4EA2">
        <w:rPr>
          <w:rFonts w:ascii="Times New Roman" w:hAnsi="Times New Roman"/>
          <w:color w:val="000000" w:themeColor="text1"/>
          <w:sz w:val="24"/>
          <w:szCs w:val="24"/>
        </w:rPr>
        <w:t>mērķi līd</w:t>
      </w:r>
      <w:r w:rsidR="00CE6A29" w:rsidRPr="008E4EA2">
        <w:rPr>
          <w:rFonts w:ascii="Times New Roman" w:hAnsi="Times New Roman"/>
          <w:color w:val="000000" w:themeColor="text1"/>
          <w:sz w:val="24"/>
          <w:szCs w:val="24"/>
        </w:rPr>
        <w:t>z 2012.gada 30.septembrim par 82,8</w:t>
      </w:r>
      <w:r w:rsidRPr="008E4EA2">
        <w:rPr>
          <w:rFonts w:ascii="Times New Roman" w:hAnsi="Times New Roman"/>
          <w:color w:val="000000" w:themeColor="text1"/>
          <w:sz w:val="24"/>
          <w:szCs w:val="24"/>
        </w:rPr>
        <w:t xml:space="preserve">%, savukārt gada mērķis sasniegts par </w:t>
      </w:r>
      <w:r w:rsidR="00CE6A29" w:rsidRPr="008E4EA2">
        <w:rPr>
          <w:rFonts w:ascii="Times New Roman" w:hAnsi="Times New Roman"/>
          <w:color w:val="000000" w:themeColor="text1"/>
          <w:sz w:val="24"/>
          <w:szCs w:val="24"/>
        </w:rPr>
        <w:t>46,9</w:t>
      </w:r>
      <w:r w:rsidRPr="008E4EA2">
        <w:rPr>
          <w:rFonts w:ascii="Times New Roman" w:hAnsi="Times New Roman"/>
          <w:color w:val="000000" w:themeColor="text1"/>
          <w:sz w:val="24"/>
          <w:szCs w:val="24"/>
        </w:rPr>
        <w:t xml:space="preserve">%. Tādējādi, lai noteikto </w:t>
      </w:r>
      <w:r w:rsidR="000C5932" w:rsidRPr="008E4EA2">
        <w:rPr>
          <w:rFonts w:ascii="Times New Roman" w:hAnsi="Times New Roman"/>
          <w:color w:val="000000" w:themeColor="text1"/>
          <w:sz w:val="24"/>
          <w:szCs w:val="24"/>
        </w:rPr>
        <w:t xml:space="preserve">finanšu apguves </w:t>
      </w:r>
      <w:r w:rsidRPr="008E4EA2">
        <w:rPr>
          <w:rFonts w:ascii="Times New Roman" w:hAnsi="Times New Roman"/>
          <w:color w:val="000000" w:themeColor="text1"/>
          <w:sz w:val="24"/>
          <w:szCs w:val="24"/>
        </w:rPr>
        <w:t xml:space="preserve">mērķi pilnībā izpildītu, puse no plānotajiem maksājumiem jāveic gada pēdējā ceturksnī. </w:t>
      </w:r>
    </w:p>
    <w:p w:rsidR="008A160A" w:rsidRPr="008E4EA2" w:rsidRDefault="00A41B58" w:rsidP="003A0029">
      <w:pPr>
        <w:spacing w:before="120" w:after="120" w:line="276" w:lineRule="auto"/>
        <w:rPr>
          <w:color w:val="000000" w:themeColor="text1"/>
          <w:szCs w:val="24"/>
        </w:rPr>
      </w:pPr>
      <w:r w:rsidRPr="008E4EA2">
        <w:rPr>
          <w:color w:val="000000" w:themeColor="text1"/>
          <w:szCs w:val="24"/>
        </w:rPr>
        <w:t xml:space="preserve">Kā minēts </w:t>
      </w:r>
      <w:r w:rsidR="00E17B07" w:rsidRPr="008E4EA2">
        <w:rPr>
          <w:color w:val="000000" w:themeColor="text1"/>
          <w:szCs w:val="24"/>
        </w:rPr>
        <w:t>2</w:t>
      </w:r>
      <w:r w:rsidR="008A160A" w:rsidRPr="008E4EA2">
        <w:rPr>
          <w:color w:val="000000" w:themeColor="text1"/>
          <w:szCs w:val="24"/>
        </w:rPr>
        <w:t>.3.sadaļas 1.punktā</w:t>
      </w:r>
      <w:r w:rsidRPr="008E4EA2">
        <w:rPr>
          <w:color w:val="000000" w:themeColor="text1"/>
          <w:szCs w:val="24"/>
        </w:rPr>
        <w:t xml:space="preserve"> </w:t>
      </w:r>
      <w:proofErr w:type="spellStart"/>
      <w:r w:rsidRPr="008E4EA2">
        <w:rPr>
          <w:color w:val="000000" w:themeColor="text1"/>
          <w:szCs w:val="24"/>
        </w:rPr>
        <w:t>apakšaktivitātes</w:t>
      </w:r>
      <w:proofErr w:type="spellEnd"/>
      <w:r w:rsidRPr="008E4EA2">
        <w:rPr>
          <w:color w:val="000000" w:themeColor="text1"/>
          <w:szCs w:val="24"/>
        </w:rPr>
        <w:t xml:space="preserve"> </w:t>
      </w:r>
      <w:r w:rsidR="008A160A" w:rsidRPr="008E4EA2">
        <w:rPr>
          <w:color w:val="000000" w:themeColor="text1"/>
          <w:szCs w:val="24"/>
        </w:rPr>
        <w:t xml:space="preserve">„Kompetences centri” </w:t>
      </w:r>
      <w:r w:rsidRPr="008E4EA2">
        <w:rPr>
          <w:color w:val="000000" w:themeColor="text1"/>
          <w:szCs w:val="24"/>
        </w:rPr>
        <w:t>ietvaros pārskata periodā</w:t>
      </w:r>
      <w:r w:rsidR="008A160A" w:rsidRPr="008E4EA2">
        <w:rPr>
          <w:color w:val="000000" w:themeColor="text1"/>
          <w:szCs w:val="24"/>
        </w:rPr>
        <w:t xml:space="preserve"> apstiprināti grozījumi </w:t>
      </w:r>
      <w:r w:rsidR="00832AC2">
        <w:rPr>
          <w:color w:val="000000" w:themeColor="text1"/>
          <w:szCs w:val="24"/>
        </w:rPr>
        <w:t>MK</w:t>
      </w:r>
      <w:r w:rsidR="008A160A" w:rsidRPr="008E4EA2">
        <w:rPr>
          <w:color w:val="000000" w:themeColor="text1"/>
          <w:szCs w:val="24"/>
        </w:rPr>
        <w:t xml:space="preserve"> noteikumos par aktivitātes ieviešanu, tādējādi novēršot RI auditā konstatētos riskus.</w:t>
      </w:r>
      <w:r w:rsidRPr="008E4EA2">
        <w:rPr>
          <w:color w:val="000000" w:themeColor="text1"/>
          <w:szCs w:val="24"/>
        </w:rPr>
        <w:t xml:space="preserve"> </w:t>
      </w:r>
      <w:r w:rsidR="008A160A" w:rsidRPr="008E4EA2">
        <w:rPr>
          <w:color w:val="000000" w:themeColor="text1"/>
          <w:szCs w:val="24"/>
        </w:rPr>
        <w:t>L</w:t>
      </w:r>
      <w:r w:rsidRPr="008E4EA2">
        <w:rPr>
          <w:color w:val="000000" w:themeColor="text1"/>
          <w:szCs w:val="24"/>
        </w:rPr>
        <w:t xml:space="preserve">īdz ar to </w:t>
      </w:r>
      <w:r w:rsidR="008A160A" w:rsidRPr="008E4EA2">
        <w:rPr>
          <w:color w:val="000000" w:themeColor="text1"/>
          <w:szCs w:val="24"/>
        </w:rPr>
        <w:t xml:space="preserve">pilnībā </w:t>
      </w:r>
      <w:r w:rsidRPr="008E4EA2">
        <w:rPr>
          <w:color w:val="000000" w:themeColor="text1"/>
          <w:szCs w:val="24"/>
        </w:rPr>
        <w:t xml:space="preserve">tiek atjaunota </w:t>
      </w:r>
      <w:proofErr w:type="spellStart"/>
      <w:r w:rsidRPr="008E4EA2">
        <w:rPr>
          <w:color w:val="000000" w:themeColor="text1"/>
          <w:szCs w:val="24"/>
        </w:rPr>
        <w:t>apakšaktivitātē</w:t>
      </w:r>
      <w:proofErr w:type="spellEnd"/>
      <w:r w:rsidRPr="008E4EA2">
        <w:rPr>
          <w:color w:val="000000" w:themeColor="text1"/>
          <w:szCs w:val="24"/>
        </w:rPr>
        <w:t xml:space="preserve"> veikto maksājumu deklarēšana.</w:t>
      </w:r>
      <w:r w:rsidR="008A160A" w:rsidRPr="008E4EA2">
        <w:rPr>
          <w:color w:val="000000" w:themeColor="text1"/>
          <w:szCs w:val="24"/>
        </w:rPr>
        <w:t xml:space="preserve"> </w:t>
      </w:r>
    </w:p>
    <w:p w:rsidR="004D4B1A" w:rsidRPr="008E4EA2" w:rsidRDefault="00A41B58" w:rsidP="003A0029">
      <w:pPr>
        <w:spacing w:before="120" w:after="120" w:line="276" w:lineRule="auto"/>
        <w:rPr>
          <w:color w:val="000000" w:themeColor="text1"/>
          <w:szCs w:val="24"/>
        </w:rPr>
      </w:pPr>
      <w:r w:rsidRPr="008E4EA2">
        <w:rPr>
          <w:color w:val="000000" w:themeColor="text1"/>
          <w:szCs w:val="24"/>
        </w:rPr>
        <w:lastRenderedPageBreak/>
        <w:t xml:space="preserve">Aktivitātes „Augstas pievienotās vērtības investīcijas” </w:t>
      </w:r>
      <w:r w:rsidR="00DA026E" w:rsidRPr="008E4EA2">
        <w:rPr>
          <w:color w:val="000000" w:themeColor="text1"/>
          <w:szCs w:val="24"/>
        </w:rPr>
        <w:t xml:space="preserve">otrās </w:t>
      </w:r>
      <w:r w:rsidRPr="008E4EA2">
        <w:rPr>
          <w:color w:val="000000" w:themeColor="text1"/>
          <w:szCs w:val="24"/>
        </w:rPr>
        <w:t>kārtas ietvaros noslēgusies projektu iesniegumu izvērtēšana, kā rezultātā 17 uzņēmumi saņems ES fondu finansējumu liela apjoma investīciju projektu realizācijai.</w:t>
      </w:r>
    </w:p>
    <w:p w:rsidR="001E53C0" w:rsidRPr="008E4EA2" w:rsidRDefault="00E15CBF" w:rsidP="003A0029">
      <w:pPr>
        <w:spacing w:before="120" w:after="120" w:line="276" w:lineRule="auto"/>
        <w:rPr>
          <w:b/>
          <w:color w:val="000000" w:themeColor="text1"/>
          <w:szCs w:val="24"/>
        </w:rPr>
      </w:pPr>
      <w:r w:rsidRPr="008E4EA2">
        <w:rPr>
          <w:b/>
          <w:color w:val="000000" w:themeColor="text1"/>
          <w:szCs w:val="24"/>
        </w:rPr>
        <w:t xml:space="preserve"> „</w:t>
      </w:r>
      <w:r w:rsidR="001E53C0" w:rsidRPr="008E4EA2">
        <w:rPr>
          <w:b/>
          <w:color w:val="000000" w:themeColor="text1"/>
          <w:szCs w:val="24"/>
        </w:rPr>
        <w:t>Finanšu pieejamība</w:t>
      </w:r>
      <w:r w:rsidR="00341AB2" w:rsidRPr="008E4EA2">
        <w:rPr>
          <w:b/>
          <w:color w:val="000000" w:themeColor="text1"/>
          <w:szCs w:val="24"/>
        </w:rPr>
        <w:t>”</w:t>
      </w:r>
      <w:r w:rsidR="001E53C0" w:rsidRPr="008E4EA2">
        <w:rPr>
          <w:b/>
          <w:color w:val="000000" w:themeColor="text1"/>
          <w:szCs w:val="24"/>
        </w:rPr>
        <w:t xml:space="preserve"> </w:t>
      </w:r>
    </w:p>
    <w:p w:rsidR="00A91DEC" w:rsidRPr="008E4EA2" w:rsidRDefault="00A91DEC" w:rsidP="003A0029">
      <w:pPr>
        <w:spacing w:before="120" w:after="120" w:line="276" w:lineRule="auto"/>
        <w:rPr>
          <w:color w:val="000000" w:themeColor="text1"/>
          <w:szCs w:val="24"/>
          <w:lang w:eastAsia="lv-LV"/>
        </w:rPr>
      </w:pPr>
      <w:r w:rsidRPr="008E4EA2">
        <w:rPr>
          <w:color w:val="000000" w:themeColor="text1"/>
          <w:szCs w:val="24"/>
          <w:lang w:eastAsia="lv-LV"/>
        </w:rPr>
        <w:t>Prioritāte vērsta uz finansējuma pieejamības veicināšanu uzņēmējdarbības attīstībai. Mērķis sasniedzams ar aptverošu finanšu instrumentu realizēšanu, kas ietver garantiju, aizdevumu, riska kapitāla un citu finanšu instrumentu klāstu, kurus ievieš LHZB un LGA.</w:t>
      </w:r>
    </w:p>
    <w:p w:rsidR="00354612" w:rsidRPr="008E4EA2" w:rsidRDefault="00A91DEC" w:rsidP="003A0029">
      <w:pPr>
        <w:spacing w:before="120" w:after="120" w:line="276" w:lineRule="auto"/>
        <w:rPr>
          <w:color w:val="000000" w:themeColor="text1"/>
          <w:szCs w:val="24"/>
          <w:lang w:eastAsia="lv-LV"/>
        </w:rPr>
      </w:pPr>
      <w:r w:rsidRPr="008E4EA2">
        <w:rPr>
          <w:color w:val="000000" w:themeColor="text1"/>
          <w:szCs w:val="24"/>
          <w:lang w:eastAsia="lv-LV"/>
        </w:rPr>
        <w:t>Lai arī maksājumi finanšu instrumentu ieviesējiem ir jau veikti 100% apmērā, VI atsevišķi uzrauga finansējuma nonākšanu līdz faktiskajiem labuma guvējiem – komersantiem.</w:t>
      </w:r>
      <w:r w:rsidR="003F559F" w:rsidRPr="008E4EA2">
        <w:rPr>
          <w:color w:val="000000" w:themeColor="text1"/>
          <w:szCs w:val="24"/>
          <w:lang w:eastAsia="lv-LV"/>
        </w:rPr>
        <w:t xml:space="preserve"> Detalizēta informācija finanšu instrumentu ieviešanas progresu pieejama </w:t>
      </w:r>
      <w:r w:rsidR="003F559F" w:rsidRPr="008E4EA2">
        <w:rPr>
          <w:color w:val="000000" w:themeColor="text1"/>
          <w:szCs w:val="24"/>
          <w:u w:val="single"/>
          <w:lang w:eastAsia="lv-LV"/>
        </w:rPr>
        <w:t>grafikā Nr.</w:t>
      </w:r>
      <w:r w:rsidR="001F2246" w:rsidRPr="008E4EA2">
        <w:rPr>
          <w:color w:val="000000" w:themeColor="text1"/>
          <w:szCs w:val="24"/>
          <w:u w:val="single"/>
          <w:lang w:eastAsia="lv-LV"/>
        </w:rPr>
        <w:t>12</w:t>
      </w:r>
      <w:r w:rsidR="003F559F" w:rsidRPr="008E4EA2">
        <w:rPr>
          <w:color w:val="000000" w:themeColor="text1"/>
          <w:szCs w:val="24"/>
          <w:u w:val="single"/>
          <w:lang w:eastAsia="lv-LV"/>
        </w:rPr>
        <w:t xml:space="preserve"> un Nr.</w:t>
      </w:r>
      <w:r w:rsidR="001F2246" w:rsidRPr="008E4EA2">
        <w:rPr>
          <w:color w:val="000000" w:themeColor="text1"/>
          <w:szCs w:val="24"/>
          <w:u w:val="single"/>
          <w:lang w:eastAsia="lv-LV"/>
        </w:rPr>
        <w:t>13</w:t>
      </w:r>
      <w:r w:rsidR="003F559F" w:rsidRPr="008E4EA2">
        <w:rPr>
          <w:color w:val="000000" w:themeColor="text1"/>
          <w:szCs w:val="24"/>
          <w:lang w:eastAsia="lv-LV"/>
        </w:rPr>
        <w:t>, kā arī</w:t>
      </w:r>
      <w:r w:rsidR="001B21DE">
        <w:t xml:space="preserve"> </w:t>
      </w:r>
      <w:hyperlink r:id="rId39" w:history="1">
        <w:r w:rsidR="001B21DE" w:rsidRPr="001B21DE">
          <w:rPr>
            <w:rStyle w:val="Hyperlink"/>
            <w:rFonts w:ascii="Times New Roman" w:hAnsi="Times New Roman" w:cs="Times New Roman"/>
            <w:sz w:val="24"/>
            <w:szCs w:val="20"/>
          </w:rPr>
          <w:t>ES fondu interneta vietnē</w:t>
        </w:r>
      </w:hyperlink>
      <w:r w:rsidR="001B21DE">
        <w:t>.</w:t>
      </w:r>
    </w:p>
    <w:p w:rsidR="00865FDD" w:rsidRPr="008E4EA2" w:rsidRDefault="00865FDD" w:rsidP="003A0029">
      <w:pPr>
        <w:spacing w:before="120" w:after="120" w:line="276" w:lineRule="auto"/>
        <w:rPr>
          <w:rFonts w:eastAsia="Calibri"/>
          <w:i/>
          <w:color w:val="000000" w:themeColor="text1"/>
          <w:szCs w:val="24"/>
        </w:rPr>
      </w:pPr>
      <w:r w:rsidRPr="008E4EA2">
        <w:rPr>
          <w:rFonts w:eastAsia="Calibri"/>
          <w:color w:val="000000" w:themeColor="text1"/>
          <w:szCs w:val="24"/>
        </w:rPr>
        <w:t>Grafiks Nr.</w:t>
      </w:r>
      <w:r w:rsidR="00E33521" w:rsidRPr="008E4EA2">
        <w:rPr>
          <w:rFonts w:eastAsia="Calibri"/>
          <w:color w:val="000000" w:themeColor="text1"/>
          <w:szCs w:val="24"/>
        </w:rPr>
        <w:t>1</w:t>
      </w:r>
      <w:r w:rsidR="0078381C" w:rsidRPr="008E4EA2">
        <w:rPr>
          <w:rFonts w:eastAsia="Calibri"/>
          <w:color w:val="000000" w:themeColor="text1"/>
          <w:szCs w:val="24"/>
        </w:rPr>
        <w:t>2</w:t>
      </w:r>
      <w:r w:rsidR="000B4535" w:rsidRPr="008E4EA2">
        <w:rPr>
          <w:rFonts w:eastAsia="Calibri"/>
          <w:color w:val="000000" w:themeColor="text1"/>
          <w:szCs w:val="24"/>
        </w:rPr>
        <w:t xml:space="preserve"> </w:t>
      </w:r>
      <w:r w:rsidR="00E15CBF" w:rsidRPr="008E4EA2">
        <w:rPr>
          <w:rFonts w:eastAsia="Calibri"/>
          <w:i/>
          <w:color w:val="000000" w:themeColor="text1"/>
          <w:szCs w:val="24"/>
        </w:rPr>
        <w:t>„</w:t>
      </w:r>
      <w:r w:rsidRPr="008E4EA2">
        <w:rPr>
          <w:rFonts w:eastAsia="Calibri"/>
          <w:i/>
          <w:color w:val="000000" w:themeColor="text1"/>
          <w:szCs w:val="24"/>
        </w:rPr>
        <w:t xml:space="preserve">Finanšu apguves progress </w:t>
      </w:r>
      <w:r w:rsidR="007E2DDE" w:rsidRPr="008E4EA2">
        <w:rPr>
          <w:rFonts w:eastAsia="Calibri"/>
          <w:i/>
          <w:color w:val="000000" w:themeColor="text1"/>
          <w:szCs w:val="24"/>
        </w:rPr>
        <w:t xml:space="preserve">līdz </w:t>
      </w:r>
      <w:r w:rsidR="005F603C" w:rsidRPr="008E4EA2">
        <w:rPr>
          <w:rFonts w:eastAsia="Calibri"/>
          <w:i/>
          <w:color w:val="000000" w:themeColor="text1"/>
          <w:szCs w:val="24"/>
        </w:rPr>
        <w:t>2012.gada 30.</w:t>
      </w:r>
      <w:r w:rsidR="009A517D" w:rsidRPr="008E4EA2">
        <w:rPr>
          <w:rFonts w:eastAsia="Calibri"/>
          <w:i/>
          <w:color w:val="000000" w:themeColor="text1"/>
          <w:szCs w:val="24"/>
        </w:rPr>
        <w:t>septembrim</w:t>
      </w:r>
      <w:r w:rsidR="00FB103C" w:rsidRPr="008E4EA2">
        <w:rPr>
          <w:rFonts w:eastAsia="Calibri"/>
          <w:i/>
          <w:color w:val="000000" w:themeColor="text1"/>
          <w:szCs w:val="24"/>
        </w:rPr>
        <w:t xml:space="preserve"> </w:t>
      </w:r>
      <w:r w:rsidR="008F4ED9" w:rsidRPr="008E4EA2">
        <w:rPr>
          <w:rFonts w:eastAsia="Calibri"/>
          <w:i/>
          <w:color w:val="000000" w:themeColor="text1"/>
          <w:szCs w:val="24"/>
        </w:rPr>
        <w:t>prioritātes</w:t>
      </w:r>
      <w:r w:rsidR="000B4535" w:rsidRPr="008E4EA2">
        <w:rPr>
          <w:rFonts w:eastAsia="Calibri"/>
          <w:i/>
          <w:color w:val="000000" w:themeColor="text1"/>
          <w:szCs w:val="24"/>
        </w:rPr>
        <w:t xml:space="preserve"> </w:t>
      </w:r>
      <w:r w:rsidR="00E15CBF" w:rsidRPr="008E4EA2">
        <w:rPr>
          <w:rFonts w:eastAsia="Calibri"/>
          <w:i/>
          <w:color w:val="000000" w:themeColor="text1"/>
          <w:szCs w:val="24"/>
        </w:rPr>
        <w:t>„</w:t>
      </w:r>
      <w:r w:rsidR="00341AB2" w:rsidRPr="008E4EA2">
        <w:rPr>
          <w:rFonts w:eastAsia="Calibri"/>
          <w:i/>
          <w:color w:val="000000" w:themeColor="text1"/>
          <w:szCs w:val="24"/>
        </w:rPr>
        <w:t>Finanšu pieejamība”</w:t>
      </w:r>
      <w:r w:rsidRPr="008E4EA2">
        <w:rPr>
          <w:rFonts w:eastAsia="Calibri"/>
          <w:i/>
          <w:color w:val="000000" w:themeColor="text1"/>
          <w:szCs w:val="24"/>
        </w:rPr>
        <w:t xml:space="preserve"> ietvaros; </w:t>
      </w:r>
      <w:r w:rsidR="00CB2904" w:rsidRPr="008E4EA2">
        <w:rPr>
          <w:rFonts w:eastAsia="Calibri"/>
          <w:i/>
          <w:color w:val="000000" w:themeColor="text1"/>
          <w:szCs w:val="24"/>
        </w:rPr>
        <w:t xml:space="preserve">ES fondu finansējums, </w:t>
      </w:r>
      <w:proofErr w:type="spellStart"/>
      <w:r w:rsidRPr="008E4EA2">
        <w:rPr>
          <w:rFonts w:eastAsia="Calibri"/>
          <w:i/>
          <w:color w:val="000000" w:themeColor="text1"/>
          <w:szCs w:val="24"/>
        </w:rPr>
        <w:t>milj</w:t>
      </w:r>
      <w:proofErr w:type="spellEnd"/>
      <w:r w:rsidRPr="008E4EA2">
        <w:rPr>
          <w:rFonts w:eastAsia="Calibri"/>
          <w:i/>
          <w:color w:val="000000" w:themeColor="text1"/>
          <w:szCs w:val="24"/>
        </w:rPr>
        <w:t xml:space="preserve">. </w:t>
      </w:r>
      <w:r w:rsidR="00884EC7" w:rsidRPr="008E4EA2">
        <w:rPr>
          <w:rFonts w:eastAsia="Calibri"/>
          <w:i/>
          <w:color w:val="000000" w:themeColor="text1"/>
          <w:szCs w:val="24"/>
        </w:rPr>
        <w:t>latu</w:t>
      </w:r>
      <w:r w:rsidRPr="008E4EA2">
        <w:rPr>
          <w:rFonts w:eastAsia="Calibri"/>
          <w:i/>
          <w:color w:val="000000" w:themeColor="text1"/>
          <w:szCs w:val="24"/>
        </w:rPr>
        <w:t xml:space="preserve">, </w:t>
      </w:r>
      <w:r w:rsidR="009A517D" w:rsidRPr="008E4EA2">
        <w:rPr>
          <w:rFonts w:eastAsia="Calibri"/>
          <w:i/>
          <w:color w:val="000000" w:themeColor="text1"/>
          <w:szCs w:val="24"/>
        </w:rPr>
        <w:t>(% no pieejamā ES fondu finansējuma atbilstoši EK apstiprinātaj</w:t>
      </w:r>
      <w:r w:rsidR="006E4839" w:rsidRPr="008E4EA2">
        <w:rPr>
          <w:rFonts w:eastAsia="Calibri"/>
          <w:i/>
          <w:color w:val="000000" w:themeColor="text1"/>
          <w:szCs w:val="24"/>
        </w:rPr>
        <w:t>ai</w:t>
      </w:r>
      <w:r w:rsidR="009A517D" w:rsidRPr="008E4EA2">
        <w:rPr>
          <w:rFonts w:eastAsia="Calibri"/>
          <w:i/>
          <w:color w:val="000000" w:themeColor="text1"/>
          <w:szCs w:val="24"/>
        </w:rPr>
        <w:t xml:space="preserve"> DP</w:t>
      </w:r>
      <w:r w:rsidR="00A4065A" w:rsidRPr="008E4EA2">
        <w:rPr>
          <w:i/>
          <w:color w:val="000000" w:themeColor="text1"/>
          <w:szCs w:val="24"/>
        </w:rPr>
        <w:t>)</w:t>
      </w:r>
      <w:r w:rsidR="00D309D0" w:rsidRPr="008E4EA2">
        <w:rPr>
          <w:i/>
          <w:color w:val="000000" w:themeColor="text1"/>
          <w:szCs w:val="24"/>
        </w:rPr>
        <w:t>.</w:t>
      </w:r>
      <w:r w:rsidR="00731B18" w:rsidRPr="008E4EA2">
        <w:rPr>
          <w:rFonts w:eastAsia="Calibri"/>
          <w:i/>
          <w:color w:val="000000" w:themeColor="text1"/>
          <w:szCs w:val="24"/>
        </w:rPr>
        <w:t>”</w:t>
      </w:r>
    </w:p>
    <w:p w:rsidR="004C6D0F" w:rsidRPr="008E4EA2" w:rsidRDefault="004D52C8" w:rsidP="003A0029">
      <w:pPr>
        <w:spacing w:before="120" w:after="120" w:line="276" w:lineRule="auto"/>
        <w:rPr>
          <w:noProof/>
          <w:color w:val="000000" w:themeColor="text1"/>
          <w:szCs w:val="24"/>
          <w:lang w:eastAsia="lv-LV"/>
        </w:rPr>
      </w:pPr>
      <w:r>
        <w:rPr>
          <w:noProof/>
          <w:lang w:eastAsia="lv-LV"/>
        </w:rPr>
        <w:drawing>
          <wp:inline distT="0" distB="0" distL="0" distR="0" wp14:anchorId="6A1DC18D" wp14:editId="12973DD4">
            <wp:extent cx="5292725" cy="2581275"/>
            <wp:effectExtent l="0" t="0" r="317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5509B" w:rsidRPr="008E4EA2" w:rsidRDefault="00E5509B" w:rsidP="008E4EA2">
      <w:pPr>
        <w:spacing w:line="276" w:lineRule="auto"/>
        <w:rPr>
          <w:color w:val="000000" w:themeColor="text1"/>
          <w:sz w:val="20"/>
          <w:lang w:eastAsia="lv-LV"/>
        </w:rPr>
      </w:pPr>
      <w:r w:rsidRPr="008E4EA2">
        <w:rPr>
          <w:color w:val="000000" w:themeColor="text1"/>
          <w:sz w:val="20"/>
          <w:lang w:eastAsia="lv-LV"/>
        </w:rPr>
        <w:t>*Aktivitātēm/</w:t>
      </w:r>
      <w:proofErr w:type="spellStart"/>
      <w:r w:rsidRPr="008E4EA2">
        <w:rPr>
          <w:color w:val="000000" w:themeColor="text1"/>
          <w:sz w:val="20"/>
          <w:lang w:eastAsia="lv-LV"/>
        </w:rPr>
        <w:t>apakšaktivitātēm</w:t>
      </w:r>
      <w:proofErr w:type="spellEnd"/>
      <w:r w:rsidRPr="008E4EA2">
        <w:rPr>
          <w:color w:val="000000" w:themeColor="text1"/>
          <w:sz w:val="20"/>
          <w:lang w:eastAsia="lv-LV"/>
        </w:rPr>
        <w:t xml:space="preserve"> pieejamais finansējums, ieskaitot </w:t>
      </w:r>
      <w:proofErr w:type="spellStart"/>
      <w:r w:rsidRPr="008E4EA2">
        <w:rPr>
          <w:color w:val="000000" w:themeColor="text1"/>
          <w:sz w:val="20"/>
          <w:lang w:eastAsia="lv-LV"/>
        </w:rPr>
        <w:t>ieviesējinstitūciju</w:t>
      </w:r>
      <w:proofErr w:type="spellEnd"/>
      <w:r w:rsidRPr="008E4EA2">
        <w:rPr>
          <w:color w:val="000000" w:themeColor="text1"/>
          <w:sz w:val="20"/>
          <w:lang w:eastAsia="lv-LV"/>
        </w:rPr>
        <w:t xml:space="preserve"> un finanšu starpnieku vadības izmaksām paredzēto finansējumu.</w:t>
      </w:r>
    </w:p>
    <w:p w:rsidR="00E5509B" w:rsidRPr="008E4EA2" w:rsidRDefault="00E5509B" w:rsidP="008E4EA2">
      <w:pPr>
        <w:spacing w:after="120" w:line="276" w:lineRule="auto"/>
        <w:rPr>
          <w:color w:val="000000" w:themeColor="text1"/>
          <w:sz w:val="20"/>
          <w:lang w:eastAsia="lv-LV"/>
        </w:rPr>
      </w:pPr>
      <w:r w:rsidRPr="008E4EA2">
        <w:rPr>
          <w:color w:val="000000" w:themeColor="text1"/>
          <w:sz w:val="20"/>
          <w:lang w:eastAsia="lv-LV"/>
        </w:rPr>
        <w:t xml:space="preserve">** Veiktas investīcijas, faktiski izmaksāti aizdevumi, sniegtas garantijas. </w:t>
      </w:r>
    </w:p>
    <w:p w:rsidR="009A517D" w:rsidRPr="008E4EA2" w:rsidRDefault="00E5509B" w:rsidP="003A0029">
      <w:pPr>
        <w:spacing w:before="120" w:after="120" w:line="276" w:lineRule="auto"/>
        <w:rPr>
          <w:color w:val="000000" w:themeColor="text1"/>
          <w:szCs w:val="24"/>
          <w:lang w:eastAsia="lv-LV"/>
        </w:rPr>
      </w:pPr>
      <w:r w:rsidRPr="008E4EA2">
        <w:rPr>
          <w:color w:val="000000" w:themeColor="text1"/>
          <w:szCs w:val="24"/>
          <w:lang w:eastAsia="lv-LV"/>
        </w:rPr>
        <w:t>Saskaņā ar plānošanas dokumentiem, ieviešot ES fondu garantiju komersantu konkurētspējas uzlabošanai aktivitāti,</w:t>
      </w:r>
      <w:r w:rsidR="005E1672">
        <w:rPr>
          <w:color w:val="000000" w:themeColor="text1"/>
          <w:szCs w:val="24"/>
          <w:lang w:eastAsia="lv-LV"/>
        </w:rPr>
        <w:t xml:space="preserve"> </w:t>
      </w:r>
      <w:r w:rsidRPr="008E4EA2">
        <w:rPr>
          <w:color w:val="000000" w:themeColor="text1"/>
          <w:szCs w:val="24"/>
          <w:lang w:eastAsia="lv-LV"/>
        </w:rPr>
        <w:t xml:space="preserve">tiek izmantots multiplikators x4. </w:t>
      </w:r>
      <w:r w:rsidRPr="008E4EA2">
        <w:rPr>
          <w:i/>
          <w:color w:val="000000" w:themeColor="text1"/>
          <w:szCs w:val="24"/>
          <w:lang w:eastAsia="lv-LV"/>
        </w:rPr>
        <w:t>(Apgūtais ES fondu finansējums komersantu līmenī garantiju aktivitātes ietvaros aprēķināts pēc formulas: Faktiski izsniegto garantiju apjoms / multiplikators x4)</w:t>
      </w:r>
      <w:r w:rsidR="003A0029" w:rsidRPr="008E4EA2">
        <w:rPr>
          <w:i/>
          <w:color w:val="000000" w:themeColor="text1"/>
          <w:szCs w:val="24"/>
          <w:lang w:eastAsia="lv-LV"/>
        </w:rPr>
        <w:t>.</w:t>
      </w:r>
    </w:p>
    <w:p w:rsidR="00744A7F" w:rsidRDefault="00744A7F">
      <w:pPr>
        <w:jc w:val="left"/>
        <w:rPr>
          <w:rFonts w:eastAsia="Calibri"/>
          <w:color w:val="000000" w:themeColor="text1"/>
          <w:szCs w:val="24"/>
        </w:rPr>
      </w:pPr>
      <w:r>
        <w:rPr>
          <w:rFonts w:eastAsia="Calibri"/>
          <w:color w:val="000000" w:themeColor="text1"/>
          <w:szCs w:val="24"/>
        </w:rPr>
        <w:br w:type="page"/>
      </w:r>
    </w:p>
    <w:p w:rsidR="00E81254" w:rsidRPr="00744A7F" w:rsidRDefault="009A517D" w:rsidP="00744A7F">
      <w:pPr>
        <w:spacing w:before="120" w:after="120" w:line="276" w:lineRule="auto"/>
        <w:rPr>
          <w:rFonts w:eastAsia="Calibri"/>
          <w:color w:val="000000" w:themeColor="text1"/>
          <w:szCs w:val="24"/>
        </w:rPr>
      </w:pPr>
      <w:r w:rsidRPr="008E4EA2">
        <w:rPr>
          <w:rFonts w:eastAsia="Calibri"/>
          <w:color w:val="000000" w:themeColor="text1"/>
          <w:szCs w:val="24"/>
        </w:rPr>
        <w:lastRenderedPageBreak/>
        <w:t>Grafiks Nr.</w:t>
      </w:r>
      <w:r w:rsidR="0078381C" w:rsidRPr="008E4EA2">
        <w:rPr>
          <w:rFonts w:eastAsia="Calibri"/>
          <w:color w:val="000000" w:themeColor="text1"/>
          <w:szCs w:val="24"/>
        </w:rPr>
        <w:t>13</w:t>
      </w:r>
      <w:r w:rsidRPr="008E4EA2">
        <w:rPr>
          <w:rFonts w:eastAsia="Calibri"/>
          <w:color w:val="000000" w:themeColor="text1"/>
          <w:szCs w:val="24"/>
        </w:rPr>
        <w:t xml:space="preserve"> </w:t>
      </w:r>
      <w:r w:rsidRPr="008E4EA2">
        <w:rPr>
          <w:rFonts w:eastAsia="Calibri"/>
          <w:i/>
          <w:color w:val="000000" w:themeColor="text1"/>
          <w:szCs w:val="24"/>
        </w:rPr>
        <w:t xml:space="preserve">„Finanšu instrumentu ieviešanas mērķu izpilde līdz 2012.gada 30.septembrim kumulatīvi prioritātes „Finanšu pieejamība” ietvaros; </w:t>
      </w:r>
      <w:r w:rsidR="00CB2904" w:rsidRPr="008E4EA2">
        <w:rPr>
          <w:rFonts w:eastAsia="Calibri"/>
          <w:i/>
          <w:color w:val="000000" w:themeColor="text1"/>
          <w:szCs w:val="24"/>
        </w:rPr>
        <w:t xml:space="preserve">ES fondu finansējums, </w:t>
      </w:r>
      <w:proofErr w:type="spellStart"/>
      <w:r w:rsidRPr="008E4EA2">
        <w:rPr>
          <w:rFonts w:eastAsia="Calibri"/>
          <w:i/>
          <w:color w:val="000000" w:themeColor="text1"/>
          <w:szCs w:val="24"/>
        </w:rPr>
        <w:t>milj</w:t>
      </w:r>
      <w:proofErr w:type="spellEnd"/>
      <w:r w:rsidRPr="008E4EA2">
        <w:rPr>
          <w:rFonts w:eastAsia="Calibri"/>
          <w:i/>
          <w:color w:val="000000" w:themeColor="text1"/>
          <w:szCs w:val="24"/>
        </w:rPr>
        <w:t xml:space="preserve"> latu (mērķa izpilde, %).”</w:t>
      </w:r>
      <w:r w:rsidRPr="008E4EA2">
        <w:rPr>
          <w:rFonts w:eastAsia="Calibri"/>
          <w:color w:val="000000" w:themeColor="text1"/>
          <w:szCs w:val="24"/>
        </w:rPr>
        <w:t xml:space="preserve"> </w:t>
      </w:r>
    </w:p>
    <w:p w:rsidR="005056E3" w:rsidRPr="008E4EA2" w:rsidRDefault="00E81254" w:rsidP="003A0029">
      <w:pPr>
        <w:spacing w:before="120" w:after="120" w:line="276" w:lineRule="auto"/>
        <w:rPr>
          <w:color w:val="000000" w:themeColor="text1"/>
          <w:szCs w:val="24"/>
          <w:lang w:eastAsia="lv-LV"/>
        </w:rPr>
      </w:pPr>
      <w:r>
        <w:rPr>
          <w:noProof/>
          <w:lang w:eastAsia="lv-LV"/>
        </w:rPr>
        <w:drawing>
          <wp:inline distT="0" distB="0" distL="0" distR="0" wp14:anchorId="4F2BAE4E" wp14:editId="59CABA54">
            <wp:extent cx="5486400" cy="538035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A517D" w:rsidRPr="008E4EA2" w:rsidRDefault="009A517D" w:rsidP="003A0029">
      <w:pPr>
        <w:spacing w:before="120" w:after="120" w:line="276" w:lineRule="auto"/>
        <w:rPr>
          <w:color w:val="000000" w:themeColor="text1"/>
          <w:sz w:val="20"/>
          <w:lang w:eastAsia="lv-LV"/>
        </w:rPr>
      </w:pPr>
      <w:r w:rsidRPr="008E4EA2">
        <w:rPr>
          <w:noProof/>
          <w:color w:val="000000" w:themeColor="text1"/>
          <w:sz w:val="20"/>
        </w:rPr>
        <w:t xml:space="preserve">* Saskaņā ar nacionālā līmenī apstiprinātiem plānošanas dokumentiem ES fondu garantijām komersantu konkurētspējas uzlabošanai paredzēts finansējums 20 milj. </w:t>
      </w:r>
      <w:r w:rsidR="003271BE" w:rsidRPr="008E4EA2">
        <w:rPr>
          <w:noProof/>
          <w:color w:val="000000" w:themeColor="text1"/>
          <w:sz w:val="20"/>
        </w:rPr>
        <w:t>latu</w:t>
      </w:r>
      <w:r w:rsidRPr="008E4EA2">
        <w:rPr>
          <w:noProof/>
          <w:color w:val="000000" w:themeColor="text1"/>
          <w:sz w:val="20"/>
        </w:rPr>
        <w:t xml:space="preserve">. Pieņemot, ka, ieviešot garantiju aktivitāti, tiks izmantots multiplikators ×4, kā arī ņemot vērā plānotos ieņēmumus no ieguldījumiem un prēmijām, līdz 2015.gadam plānots izsniegt garantijas 202,3 milj. </w:t>
      </w:r>
      <w:r w:rsidR="003271BE" w:rsidRPr="008E4EA2">
        <w:rPr>
          <w:noProof/>
          <w:color w:val="000000" w:themeColor="text1"/>
          <w:sz w:val="20"/>
        </w:rPr>
        <w:t>latu</w:t>
      </w:r>
      <w:r w:rsidRPr="008E4EA2">
        <w:rPr>
          <w:noProof/>
          <w:color w:val="000000" w:themeColor="text1"/>
          <w:sz w:val="20"/>
        </w:rPr>
        <w:t xml:space="preserve"> apmērā.</w:t>
      </w:r>
    </w:p>
    <w:p w:rsidR="001F49F7" w:rsidRDefault="00A91DEC" w:rsidP="003A0029">
      <w:pPr>
        <w:spacing w:before="120" w:after="120" w:line="276" w:lineRule="auto"/>
        <w:rPr>
          <w:color w:val="000000" w:themeColor="text1"/>
          <w:szCs w:val="24"/>
          <w:lang w:eastAsia="lv-LV"/>
        </w:rPr>
      </w:pPr>
      <w:r w:rsidRPr="008E4EA2">
        <w:rPr>
          <w:color w:val="000000" w:themeColor="text1"/>
          <w:szCs w:val="24"/>
          <w:lang w:eastAsia="lv-LV"/>
        </w:rPr>
        <w:t xml:space="preserve">Kopumā finanšu instrumentu ieviešana </w:t>
      </w:r>
      <w:r w:rsidR="00CB2904" w:rsidRPr="008E4EA2">
        <w:rPr>
          <w:color w:val="000000" w:themeColor="text1"/>
          <w:szCs w:val="24"/>
          <w:lang w:eastAsia="lv-LV"/>
        </w:rPr>
        <w:t>nesasniedz vēlamo</w:t>
      </w:r>
      <w:r w:rsidR="003F559F" w:rsidRPr="008E4EA2">
        <w:rPr>
          <w:color w:val="000000" w:themeColor="text1"/>
          <w:szCs w:val="24"/>
          <w:lang w:eastAsia="lv-LV"/>
        </w:rPr>
        <w:t xml:space="preserve"> </w:t>
      </w:r>
      <w:r w:rsidR="00CB2904" w:rsidRPr="008E4EA2">
        <w:rPr>
          <w:color w:val="000000" w:themeColor="text1"/>
          <w:szCs w:val="24"/>
          <w:lang w:eastAsia="lv-LV"/>
        </w:rPr>
        <w:t>rezultātu</w:t>
      </w:r>
      <w:r w:rsidR="00B02533" w:rsidRPr="008E4EA2">
        <w:rPr>
          <w:color w:val="000000" w:themeColor="text1"/>
          <w:szCs w:val="24"/>
          <w:lang w:eastAsia="lv-LV"/>
        </w:rPr>
        <w:t xml:space="preserve">. 2012.gada trešajā ceturksnī nav sasniegts kopējais </w:t>
      </w:r>
      <w:r w:rsidR="0077163E" w:rsidRPr="008E4EA2">
        <w:rPr>
          <w:color w:val="000000" w:themeColor="text1"/>
          <w:szCs w:val="24"/>
          <w:lang w:eastAsia="lv-LV"/>
        </w:rPr>
        <w:t>finanšu instrumen</w:t>
      </w:r>
      <w:r w:rsidR="00B02533" w:rsidRPr="008E4EA2">
        <w:rPr>
          <w:color w:val="000000" w:themeColor="text1"/>
          <w:szCs w:val="24"/>
          <w:lang w:eastAsia="lv-LV"/>
        </w:rPr>
        <w:t xml:space="preserve">tu </w:t>
      </w:r>
      <w:proofErr w:type="spellStart"/>
      <w:r w:rsidR="00B02533" w:rsidRPr="008E4EA2">
        <w:rPr>
          <w:color w:val="000000" w:themeColor="text1"/>
          <w:szCs w:val="24"/>
          <w:lang w:eastAsia="lv-LV"/>
        </w:rPr>
        <w:t>ieviesējinstitūciju</w:t>
      </w:r>
      <w:proofErr w:type="spellEnd"/>
      <w:r w:rsidR="00B02533" w:rsidRPr="008E4EA2">
        <w:rPr>
          <w:color w:val="000000" w:themeColor="text1"/>
          <w:szCs w:val="24"/>
          <w:lang w:eastAsia="lv-LV"/>
        </w:rPr>
        <w:t xml:space="preserve"> noteiktais</w:t>
      </w:r>
      <w:r w:rsidR="0077163E" w:rsidRPr="008E4EA2">
        <w:rPr>
          <w:color w:val="000000" w:themeColor="text1"/>
          <w:szCs w:val="24"/>
          <w:lang w:eastAsia="lv-LV"/>
        </w:rPr>
        <w:t xml:space="preserve"> finanšu apguves mērķi</w:t>
      </w:r>
      <w:r w:rsidR="00467DFA" w:rsidRPr="008E4EA2">
        <w:rPr>
          <w:color w:val="000000" w:themeColor="text1"/>
          <w:szCs w:val="24"/>
          <w:lang w:eastAsia="lv-LV"/>
        </w:rPr>
        <w:t>s</w:t>
      </w:r>
      <w:r w:rsidR="00B02533" w:rsidRPr="008E4EA2">
        <w:rPr>
          <w:color w:val="000000" w:themeColor="text1"/>
          <w:szCs w:val="24"/>
          <w:lang w:eastAsia="lv-LV"/>
        </w:rPr>
        <w:t xml:space="preserve"> (76,4% no plānotā līdz 2012.gada trešā ceturkšņa beigām</w:t>
      </w:r>
      <w:r w:rsidR="00467DFA" w:rsidRPr="008E4EA2">
        <w:rPr>
          <w:color w:val="000000" w:themeColor="text1"/>
          <w:szCs w:val="24"/>
          <w:lang w:eastAsia="lv-LV"/>
        </w:rPr>
        <w:t xml:space="preserve"> un 68,7% no plānotā līdz 2012.gada beigām). </w:t>
      </w:r>
      <w:r w:rsidR="00AC4F67">
        <w:rPr>
          <w:color w:val="000000" w:themeColor="text1"/>
          <w:szCs w:val="24"/>
          <w:lang w:eastAsia="lv-LV"/>
        </w:rPr>
        <w:t>Līdz ar to</w:t>
      </w:r>
      <w:r w:rsidR="001F49F7">
        <w:rPr>
          <w:color w:val="000000" w:themeColor="text1"/>
          <w:szCs w:val="24"/>
          <w:lang w:eastAsia="lv-LV"/>
        </w:rPr>
        <w:t xml:space="preserve"> VI sadarbībā ar EM meklēs risinājumus</w:t>
      </w:r>
      <w:r w:rsidR="00AC4F67">
        <w:rPr>
          <w:color w:val="000000" w:themeColor="text1"/>
          <w:szCs w:val="24"/>
          <w:lang w:eastAsia="lv-LV"/>
        </w:rPr>
        <w:t xml:space="preserve"> finanšu instrumentu ieviešanas uzlabošanai.</w:t>
      </w:r>
    </w:p>
    <w:p w:rsidR="00354612" w:rsidRPr="008E4EA2" w:rsidRDefault="002C202D" w:rsidP="003A0029">
      <w:pPr>
        <w:spacing w:before="120" w:after="120" w:line="276" w:lineRule="auto"/>
        <w:rPr>
          <w:color w:val="000000" w:themeColor="text1"/>
          <w:szCs w:val="24"/>
          <w:lang w:eastAsia="lv-LV"/>
        </w:rPr>
      </w:pPr>
      <w:r w:rsidRPr="008E4EA2">
        <w:rPr>
          <w:color w:val="000000" w:themeColor="text1"/>
          <w:szCs w:val="24"/>
          <w:lang w:eastAsia="lv-LV"/>
        </w:rPr>
        <w:t>Detalizētāka informācija par finanšu instrumentu ieviešanas progresu sniegta dalījumā pa f</w:t>
      </w:r>
      <w:r w:rsidR="00A91DEC" w:rsidRPr="008E4EA2">
        <w:rPr>
          <w:color w:val="000000" w:themeColor="text1"/>
          <w:szCs w:val="24"/>
          <w:lang w:eastAsia="lv-LV"/>
        </w:rPr>
        <w:t>inansējuma pieejamības nodrošināšanai uzņēm</w:t>
      </w:r>
      <w:r w:rsidRPr="008E4EA2">
        <w:rPr>
          <w:color w:val="000000" w:themeColor="text1"/>
          <w:szCs w:val="24"/>
          <w:lang w:eastAsia="lv-LV"/>
        </w:rPr>
        <w:t>umiem ERAF ietvaros izveidotajiem</w:t>
      </w:r>
      <w:r w:rsidR="00A91DEC" w:rsidRPr="008E4EA2">
        <w:rPr>
          <w:color w:val="000000" w:themeColor="text1"/>
          <w:szCs w:val="24"/>
          <w:lang w:eastAsia="lv-LV"/>
        </w:rPr>
        <w:t xml:space="preserve"> finanšu instrumenti</w:t>
      </w:r>
      <w:r w:rsidRPr="008E4EA2">
        <w:rPr>
          <w:color w:val="000000" w:themeColor="text1"/>
          <w:szCs w:val="24"/>
          <w:lang w:eastAsia="lv-LV"/>
        </w:rPr>
        <w:t>em</w:t>
      </w:r>
      <w:r w:rsidR="00A91DEC" w:rsidRPr="008E4EA2">
        <w:rPr>
          <w:color w:val="000000" w:themeColor="text1"/>
          <w:szCs w:val="24"/>
          <w:lang w:eastAsia="lv-LV"/>
        </w:rPr>
        <w:t>:</w:t>
      </w:r>
    </w:p>
    <w:p w:rsidR="00E5509B" w:rsidRPr="008E4EA2" w:rsidRDefault="00A91DEC" w:rsidP="003A0029">
      <w:pPr>
        <w:autoSpaceDE w:val="0"/>
        <w:autoSpaceDN w:val="0"/>
        <w:adjustRightInd w:val="0"/>
        <w:spacing w:before="120" w:after="120" w:line="276" w:lineRule="auto"/>
        <w:rPr>
          <w:b/>
          <w:color w:val="000000" w:themeColor="text1"/>
          <w:szCs w:val="24"/>
          <w:lang w:eastAsia="lv-LV"/>
        </w:rPr>
      </w:pPr>
      <w:r w:rsidRPr="008E4EA2">
        <w:rPr>
          <w:b/>
          <w:color w:val="000000" w:themeColor="text1"/>
          <w:szCs w:val="24"/>
          <w:lang w:eastAsia="lv-LV"/>
        </w:rPr>
        <w:lastRenderedPageBreak/>
        <w:t>„Ieguldījumu fonds investīcijām garantijās, paaugstināta riska aizdevumos, riska kapitāla fondos un cita veida finanšu instrumentos”.</w:t>
      </w:r>
      <w:r w:rsidR="00E5509B" w:rsidRPr="008E4EA2">
        <w:rPr>
          <w:b/>
          <w:color w:val="000000" w:themeColor="text1"/>
          <w:szCs w:val="24"/>
          <w:lang w:eastAsia="lv-LV"/>
        </w:rPr>
        <w:t xml:space="preserve"> </w:t>
      </w:r>
      <w:r w:rsidR="00E5509B" w:rsidRPr="008E4EA2">
        <w:rPr>
          <w:color w:val="000000" w:themeColor="text1"/>
          <w:szCs w:val="24"/>
        </w:rPr>
        <w:t>Saskaņā ar trīspusējo līgumu, kas 2011.gada 16.decembrī tika parakstīts starp EIF, EM un LGA un divpusējo līgumu, kas 2011.gada 30.decembrī tika parakstīts starp LGA un EM, LGA, sākot ar 2012.gada janvāri pārņem no EIF ES fondu līdzfinansētās aktivitātes „Ieguldījumu fonds ieguldījumiem garantijās, paaugstināta riska aizdevumos, riska kapitāla fondos un cita veida finanšu instrumentos” ieviešanu.</w:t>
      </w:r>
    </w:p>
    <w:p w:rsidR="00A91DEC" w:rsidRPr="008E4EA2" w:rsidRDefault="00A91DEC" w:rsidP="003A0029">
      <w:pPr>
        <w:autoSpaceDE w:val="0"/>
        <w:autoSpaceDN w:val="0"/>
        <w:adjustRightInd w:val="0"/>
        <w:spacing w:before="120" w:after="120" w:line="276" w:lineRule="auto"/>
        <w:rPr>
          <w:color w:val="000000" w:themeColor="text1"/>
          <w:szCs w:val="24"/>
          <w:lang w:eastAsia="lv-LV"/>
        </w:rPr>
      </w:pPr>
      <w:r w:rsidRPr="008E4EA2">
        <w:rPr>
          <w:color w:val="000000" w:themeColor="text1"/>
          <w:szCs w:val="24"/>
          <w:lang w:eastAsia="lv-LV"/>
        </w:rPr>
        <w:t xml:space="preserve"> Līdzšinējā ieguldījuma fonda finansējuma apguve nav apmierinoša, aizdevumu instrumentos izmaksātais </w:t>
      </w:r>
      <w:r w:rsidR="003A6DD1" w:rsidRPr="008E4EA2">
        <w:rPr>
          <w:color w:val="000000" w:themeColor="text1"/>
          <w:szCs w:val="24"/>
          <w:lang w:eastAsia="lv-LV"/>
        </w:rPr>
        <w:t xml:space="preserve">finansējums komersantiem ir </w:t>
      </w:r>
      <w:r w:rsidR="00E5509B" w:rsidRPr="008E4EA2">
        <w:rPr>
          <w:color w:val="000000" w:themeColor="text1"/>
          <w:szCs w:val="24"/>
          <w:lang w:eastAsia="lv-LV"/>
        </w:rPr>
        <w:t>4,3</w:t>
      </w:r>
      <w:r w:rsidR="003A6DD1" w:rsidRPr="008E4EA2">
        <w:rPr>
          <w:color w:val="000000" w:themeColor="text1"/>
          <w:szCs w:val="24"/>
          <w:lang w:eastAsia="lv-LV"/>
        </w:rPr>
        <w:t xml:space="preserve"> </w:t>
      </w:r>
      <w:proofErr w:type="spellStart"/>
      <w:r w:rsidR="003A6DD1" w:rsidRPr="008E4EA2">
        <w:rPr>
          <w:color w:val="000000" w:themeColor="text1"/>
          <w:szCs w:val="24"/>
          <w:lang w:eastAsia="lv-LV"/>
        </w:rPr>
        <w:t>milj</w:t>
      </w:r>
      <w:proofErr w:type="spellEnd"/>
      <w:r w:rsidR="003A6DD1" w:rsidRPr="008E4EA2">
        <w:rPr>
          <w:color w:val="000000" w:themeColor="text1"/>
          <w:szCs w:val="24"/>
          <w:lang w:eastAsia="lv-LV"/>
        </w:rPr>
        <w:t xml:space="preserve">. latu jeb 15,4% pieejamā </w:t>
      </w:r>
      <w:r w:rsidR="00E5509B" w:rsidRPr="008E4EA2">
        <w:rPr>
          <w:color w:val="000000" w:themeColor="text1"/>
          <w:szCs w:val="24"/>
          <w:lang w:eastAsia="lv-LV"/>
        </w:rPr>
        <w:t xml:space="preserve">ES </w:t>
      </w:r>
      <w:r w:rsidRPr="008E4EA2">
        <w:rPr>
          <w:color w:val="000000" w:themeColor="text1"/>
          <w:szCs w:val="24"/>
          <w:lang w:eastAsia="lv-LV"/>
        </w:rPr>
        <w:t>finansējuma</w:t>
      </w:r>
      <w:r w:rsidR="003A6DD1" w:rsidRPr="008E4EA2">
        <w:rPr>
          <w:color w:val="000000" w:themeColor="text1"/>
          <w:szCs w:val="24"/>
          <w:lang w:eastAsia="lv-LV"/>
        </w:rPr>
        <w:t xml:space="preserve"> un ir veiktas riska kapitāla investīcijas </w:t>
      </w:r>
      <w:r w:rsidR="00E9798D" w:rsidRPr="008E4EA2">
        <w:rPr>
          <w:color w:val="000000" w:themeColor="text1"/>
          <w:szCs w:val="24"/>
          <w:lang w:eastAsia="lv-LV"/>
        </w:rPr>
        <w:t>4</w:t>
      </w:r>
      <w:r w:rsidR="003A6DD1" w:rsidRPr="008E4EA2">
        <w:rPr>
          <w:color w:val="000000" w:themeColor="text1"/>
          <w:szCs w:val="24"/>
          <w:lang w:eastAsia="lv-LV"/>
        </w:rPr>
        <w:t xml:space="preserve"> </w:t>
      </w:r>
      <w:proofErr w:type="spellStart"/>
      <w:r w:rsidR="003A6DD1" w:rsidRPr="008E4EA2">
        <w:rPr>
          <w:color w:val="000000" w:themeColor="text1"/>
          <w:szCs w:val="24"/>
          <w:lang w:eastAsia="lv-LV"/>
        </w:rPr>
        <w:t>milj</w:t>
      </w:r>
      <w:proofErr w:type="spellEnd"/>
      <w:r w:rsidR="003A6DD1" w:rsidRPr="008E4EA2">
        <w:rPr>
          <w:color w:val="000000" w:themeColor="text1"/>
          <w:szCs w:val="24"/>
          <w:lang w:eastAsia="lv-LV"/>
        </w:rPr>
        <w:t xml:space="preserve">. latu jeb 23% apmērā no </w:t>
      </w:r>
      <w:r w:rsidR="003F559F" w:rsidRPr="008E4EA2">
        <w:rPr>
          <w:color w:val="000000" w:themeColor="text1"/>
          <w:szCs w:val="24"/>
          <w:lang w:eastAsia="lv-LV"/>
        </w:rPr>
        <w:t>pieejamā</w:t>
      </w:r>
      <w:r w:rsidR="00E9798D" w:rsidRPr="008E4EA2">
        <w:rPr>
          <w:color w:val="000000" w:themeColor="text1"/>
          <w:szCs w:val="24"/>
          <w:lang w:eastAsia="lv-LV"/>
        </w:rPr>
        <w:t xml:space="preserve"> ES</w:t>
      </w:r>
      <w:r w:rsidR="003A6DD1" w:rsidRPr="008E4EA2">
        <w:rPr>
          <w:color w:val="000000" w:themeColor="text1"/>
          <w:szCs w:val="24"/>
          <w:lang w:eastAsia="lv-LV"/>
        </w:rPr>
        <w:t xml:space="preserve"> finansējuma, līdz ar to ieguldījumu fonda ietvaros ir izmaksāti aizdevumi un veiktas investīcijas 41,8% </w:t>
      </w:r>
      <w:r w:rsidR="00E9798D" w:rsidRPr="008E4EA2">
        <w:rPr>
          <w:color w:val="000000" w:themeColor="text1"/>
          <w:szCs w:val="24"/>
          <w:lang w:eastAsia="lv-LV"/>
        </w:rPr>
        <w:t xml:space="preserve">apmērā no finanšu apguves mērķa </w:t>
      </w:r>
      <w:r w:rsidR="003A6DD1" w:rsidRPr="008E4EA2">
        <w:rPr>
          <w:color w:val="000000" w:themeColor="text1"/>
          <w:szCs w:val="24"/>
          <w:lang w:eastAsia="lv-LV"/>
        </w:rPr>
        <w:t>līdz 2012.gada beigām.</w:t>
      </w:r>
      <w:r w:rsidR="003271BE" w:rsidRPr="008E4EA2">
        <w:rPr>
          <w:color w:val="000000" w:themeColor="text1"/>
          <w:szCs w:val="24"/>
          <w:lang w:eastAsia="lv-LV"/>
        </w:rPr>
        <w:t xml:space="preserve"> </w:t>
      </w:r>
    </w:p>
    <w:p w:rsidR="003F559F" w:rsidRPr="008E4EA2" w:rsidRDefault="003F559F" w:rsidP="003A0029">
      <w:pPr>
        <w:autoSpaceDE w:val="0"/>
        <w:autoSpaceDN w:val="0"/>
        <w:adjustRightInd w:val="0"/>
        <w:spacing w:before="120" w:after="120" w:line="276" w:lineRule="auto"/>
        <w:rPr>
          <w:color w:val="000000" w:themeColor="text1"/>
          <w:szCs w:val="24"/>
          <w:lang w:eastAsia="lv-LV"/>
        </w:rPr>
      </w:pPr>
      <w:r w:rsidRPr="008E4EA2">
        <w:rPr>
          <w:color w:val="000000" w:themeColor="text1"/>
          <w:szCs w:val="24"/>
          <w:lang w:eastAsia="lv-LV"/>
        </w:rPr>
        <w:t xml:space="preserve">Ņemot vērā fonda kopējo apjomu un šīs aktivitātes finansējuma apguves līdzšinējos tempus, LGA jau šogad izveidos papildus divus līdz trīs riska kapitāla fondus ar kopējo apjomu aptuveni 28 </w:t>
      </w:r>
      <w:proofErr w:type="spellStart"/>
      <w:r w:rsidRPr="008E4EA2">
        <w:rPr>
          <w:color w:val="000000" w:themeColor="text1"/>
          <w:szCs w:val="24"/>
          <w:lang w:eastAsia="lv-LV"/>
        </w:rPr>
        <w:t>milj</w:t>
      </w:r>
      <w:proofErr w:type="spellEnd"/>
      <w:r w:rsidRPr="008E4EA2">
        <w:rPr>
          <w:color w:val="000000" w:themeColor="text1"/>
          <w:szCs w:val="24"/>
          <w:lang w:eastAsia="lv-LV"/>
        </w:rPr>
        <w:t xml:space="preserve">. latu. Tiek plānots, ka konkurss šo jauno riska kapitāla fondu pārvaldītāju izvēlei noslēgsies </w:t>
      </w:r>
      <w:proofErr w:type="spellStart"/>
      <w:r w:rsidR="00A23D5B" w:rsidRPr="008E4EA2">
        <w:rPr>
          <w:color w:val="000000" w:themeColor="text1"/>
          <w:szCs w:val="24"/>
          <w:lang w:eastAsia="lv-LV"/>
        </w:rPr>
        <w:t>š.g</w:t>
      </w:r>
      <w:proofErr w:type="spellEnd"/>
      <w:r w:rsidR="00A23D5B" w:rsidRPr="008E4EA2">
        <w:rPr>
          <w:color w:val="000000" w:themeColor="text1"/>
          <w:szCs w:val="24"/>
          <w:lang w:eastAsia="lv-LV"/>
        </w:rPr>
        <w:t>.</w:t>
      </w:r>
      <w:r w:rsidRPr="008E4EA2">
        <w:rPr>
          <w:color w:val="000000" w:themeColor="text1"/>
          <w:szCs w:val="24"/>
          <w:lang w:eastAsia="lv-LV"/>
        </w:rPr>
        <w:t xml:space="preserve"> </w:t>
      </w:r>
      <w:r w:rsidR="00DA026E" w:rsidRPr="008E4EA2">
        <w:rPr>
          <w:color w:val="000000" w:themeColor="text1"/>
          <w:szCs w:val="24"/>
          <w:lang w:eastAsia="lv-LV"/>
        </w:rPr>
        <w:t xml:space="preserve">ceturtajā </w:t>
      </w:r>
      <w:r w:rsidRPr="008E4EA2">
        <w:rPr>
          <w:color w:val="000000" w:themeColor="text1"/>
          <w:szCs w:val="24"/>
          <w:lang w:eastAsia="lv-LV"/>
        </w:rPr>
        <w:t xml:space="preserve">ceturksnī. Tāpat tiek arī turpināts darbs pie </w:t>
      </w:r>
      <w:proofErr w:type="spellStart"/>
      <w:r w:rsidRPr="008E4EA2">
        <w:rPr>
          <w:color w:val="000000" w:themeColor="text1"/>
          <w:szCs w:val="24"/>
          <w:lang w:eastAsia="lv-LV"/>
        </w:rPr>
        <w:t>mikro</w:t>
      </w:r>
      <w:proofErr w:type="spellEnd"/>
      <w:r w:rsidRPr="008E4EA2">
        <w:rPr>
          <w:color w:val="000000" w:themeColor="text1"/>
          <w:szCs w:val="24"/>
          <w:lang w:eastAsia="lv-LV"/>
        </w:rPr>
        <w:t xml:space="preserve"> aizdevumu fondu programmas ieviešanas, šobrīd tās noteikumi tiek saskaņoti ar </w:t>
      </w:r>
      <w:r w:rsidR="0053704A" w:rsidRPr="008E4EA2">
        <w:rPr>
          <w:color w:val="000000" w:themeColor="text1"/>
          <w:szCs w:val="24"/>
          <w:lang w:eastAsia="lv-LV"/>
        </w:rPr>
        <w:t>EK</w:t>
      </w:r>
      <w:r w:rsidRPr="008E4EA2">
        <w:rPr>
          <w:color w:val="000000" w:themeColor="text1"/>
          <w:szCs w:val="24"/>
          <w:lang w:eastAsia="lv-LV"/>
        </w:rPr>
        <w:t>.</w:t>
      </w:r>
    </w:p>
    <w:p w:rsidR="00467DFA" w:rsidRPr="008E4EA2" w:rsidRDefault="00467DFA" w:rsidP="003A0029">
      <w:pPr>
        <w:autoSpaceDE w:val="0"/>
        <w:autoSpaceDN w:val="0"/>
        <w:adjustRightInd w:val="0"/>
        <w:spacing w:before="120" w:after="120" w:line="276" w:lineRule="auto"/>
        <w:rPr>
          <w:color w:val="000000" w:themeColor="text1"/>
          <w:szCs w:val="24"/>
          <w:lang w:eastAsia="lv-LV"/>
        </w:rPr>
      </w:pPr>
      <w:r w:rsidRPr="008E4EA2">
        <w:rPr>
          <w:color w:val="000000" w:themeColor="text1"/>
          <w:szCs w:val="24"/>
          <w:lang w:eastAsia="lv-LV"/>
        </w:rPr>
        <w:t xml:space="preserve"> </w:t>
      </w:r>
      <w:r w:rsidR="00A91DEC" w:rsidRPr="008E4EA2">
        <w:rPr>
          <w:b/>
          <w:color w:val="000000" w:themeColor="text1"/>
          <w:szCs w:val="24"/>
        </w:rPr>
        <w:t>„Garantijas komersantu konkurētspējas uzlabošanai”</w:t>
      </w:r>
      <w:r w:rsidRPr="008E4EA2">
        <w:rPr>
          <w:b/>
          <w:color w:val="000000" w:themeColor="text1"/>
          <w:szCs w:val="24"/>
        </w:rPr>
        <w:t>.</w:t>
      </w:r>
      <w:r w:rsidR="00A91DEC" w:rsidRPr="008E4EA2">
        <w:rPr>
          <w:b/>
          <w:color w:val="000000" w:themeColor="text1"/>
          <w:szCs w:val="24"/>
        </w:rPr>
        <w:t xml:space="preserve"> </w:t>
      </w:r>
      <w:r w:rsidR="00E9798D" w:rsidRPr="008E4EA2">
        <w:rPr>
          <w:color w:val="000000" w:themeColor="text1"/>
          <w:szCs w:val="24"/>
          <w:lang w:eastAsia="lv-LV"/>
        </w:rPr>
        <w:t xml:space="preserve">Saskaņā ar nacionālā līmenī apstiprinātiem plānošanas dokumentiem garantijām komersantu konkurētspējas uzlabošanai paredzēts ES fondu finansējums 20 </w:t>
      </w:r>
      <w:proofErr w:type="spellStart"/>
      <w:r w:rsidR="00E9798D" w:rsidRPr="008E4EA2">
        <w:rPr>
          <w:color w:val="000000" w:themeColor="text1"/>
          <w:szCs w:val="24"/>
          <w:lang w:eastAsia="lv-LV"/>
        </w:rPr>
        <w:t>milj</w:t>
      </w:r>
      <w:proofErr w:type="spellEnd"/>
      <w:r w:rsidR="00E9798D" w:rsidRPr="008E4EA2">
        <w:rPr>
          <w:color w:val="000000" w:themeColor="text1"/>
          <w:szCs w:val="24"/>
          <w:lang w:eastAsia="lv-LV"/>
        </w:rPr>
        <w:t xml:space="preserve">. latu. Pieņemot, ka, ieviešot garantiju aktivitāti, tiks izmantots multiplikators ×4, līdz 2012.gada trešā ceturkšņa beigām ir apgūti 97,5% no ES fondu finansējuma. Kopā </w:t>
      </w:r>
      <w:r w:rsidRPr="008E4EA2">
        <w:rPr>
          <w:color w:val="000000" w:themeColor="text1"/>
          <w:szCs w:val="24"/>
        </w:rPr>
        <w:t xml:space="preserve">LGA laika periodā kopš atbalsta programmu ieviešanas 2009.gadā līdz 2012.gada 30.septembrim aktivitātes ietvaros </w:t>
      </w:r>
      <w:r w:rsidR="00850410" w:rsidRPr="008E4EA2">
        <w:rPr>
          <w:color w:val="000000" w:themeColor="text1"/>
          <w:szCs w:val="24"/>
        </w:rPr>
        <w:t>ir noslēgusi garantiju līgumus par</w:t>
      </w:r>
      <w:r w:rsidR="003271BE" w:rsidRPr="008E4EA2">
        <w:rPr>
          <w:color w:val="000000" w:themeColor="text1"/>
          <w:szCs w:val="24"/>
        </w:rPr>
        <w:t xml:space="preserve"> </w:t>
      </w:r>
      <w:r w:rsidRPr="008E4EA2">
        <w:rPr>
          <w:color w:val="000000" w:themeColor="text1"/>
          <w:szCs w:val="24"/>
        </w:rPr>
        <w:t>79,</w:t>
      </w:r>
      <w:r w:rsidR="00E9798D" w:rsidRPr="008E4EA2">
        <w:rPr>
          <w:color w:val="000000" w:themeColor="text1"/>
          <w:szCs w:val="24"/>
        </w:rPr>
        <w:t>2</w:t>
      </w:r>
      <w:r w:rsidRPr="008E4EA2">
        <w:rPr>
          <w:color w:val="000000" w:themeColor="text1"/>
          <w:szCs w:val="24"/>
        </w:rPr>
        <w:t xml:space="preserve"> </w:t>
      </w:r>
      <w:proofErr w:type="spellStart"/>
      <w:r w:rsidRPr="008E4EA2">
        <w:rPr>
          <w:color w:val="000000" w:themeColor="text1"/>
          <w:szCs w:val="24"/>
        </w:rPr>
        <w:t>milj</w:t>
      </w:r>
      <w:proofErr w:type="spellEnd"/>
      <w:r w:rsidRPr="008E4EA2">
        <w:rPr>
          <w:color w:val="000000" w:themeColor="text1"/>
          <w:szCs w:val="24"/>
        </w:rPr>
        <w:t>. latu</w:t>
      </w:r>
      <w:r w:rsidR="00E9798D" w:rsidRPr="008E4EA2">
        <w:rPr>
          <w:color w:val="000000" w:themeColor="text1"/>
          <w:szCs w:val="24"/>
        </w:rPr>
        <w:t xml:space="preserve">, atbalstot 233 uzņēmumus. </w:t>
      </w:r>
      <w:r w:rsidRPr="008E4EA2">
        <w:rPr>
          <w:color w:val="000000" w:themeColor="text1"/>
          <w:szCs w:val="24"/>
        </w:rPr>
        <w:t xml:space="preserve">Aktivitātes ietvaros ir izmaksātas </w:t>
      </w:r>
      <w:r w:rsidR="00850410" w:rsidRPr="008E4EA2">
        <w:rPr>
          <w:color w:val="000000" w:themeColor="text1"/>
          <w:szCs w:val="24"/>
        </w:rPr>
        <w:t>d</w:t>
      </w:r>
      <w:r w:rsidR="003F559F" w:rsidRPr="008E4EA2">
        <w:rPr>
          <w:color w:val="000000" w:themeColor="text1"/>
          <w:szCs w:val="24"/>
        </w:rPr>
        <w:t>e</w:t>
      </w:r>
      <w:r w:rsidR="00850410" w:rsidRPr="008E4EA2">
        <w:rPr>
          <w:color w:val="000000" w:themeColor="text1"/>
          <w:szCs w:val="24"/>
        </w:rPr>
        <w:t>viņas</w:t>
      </w:r>
      <w:r w:rsidRPr="008E4EA2">
        <w:rPr>
          <w:color w:val="000000" w:themeColor="text1"/>
          <w:szCs w:val="24"/>
        </w:rPr>
        <w:t xml:space="preserve"> kompensācijas kopumā par </w:t>
      </w:r>
      <w:r w:rsidR="00850410" w:rsidRPr="008E4EA2">
        <w:rPr>
          <w:color w:val="000000" w:themeColor="text1"/>
          <w:szCs w:val="24"/>
        </w:rPr>
        <w:t>582,2</w:t>
      </w:r>
      <w:r w:rsidRPr="008E4EA2">
        <w:rPr>
          <w:color w:val="000000" w:themeColor="text1"/>
          <w:szCs w:val="24"/>
        </w:rPr>
        <w:t xml:space="preserve"> </w:t>
      </w:r>
      <w:proofErr w:type="spellStart"/>
      <w:r w:rsidRPr="008E4EA2">
        <w:rPr>
          <w:color w:val="000000" w:themeColor="text1"/>
          <w:szCs w:val="24"/>
        </w:rPr>
        <w:t>tūkst</w:t>
      </w:r>
      <w:proofErr w:type="spellEnd"/>
      <w:r w:rsidRPr="008E4EA2">
        <w:rPr>
          <w:color w:val="000000" w:themeColor="text1"/>
          <w:szCs w:val="24"/>
        </w:rPr>
        <w:t>. latu</w:t>
      </w:r>
      <w:r w:rsidR="007A70DF" w:rsidRPr="008E4EA2">
        <w:rPr>
          <w:color w:val="000000" w:themeColor="text1"/>
          <w:szCs w:val="24"/>
        </w:rPr>
        <w:t>, kas uzskatāms par ļoti zemu riska pakāpi</w:t>
      </w:r>
      <w:r w:rsidRPr="008E4EA2">
        <w:rPr>
          <w:color w:val="000000" w:themeColor="text1"/>
          <w:szCs w:val="24"/>
        </w:rPr>
        <w:t xml:space="preserve">. </w:t>
      </w:r>
    </w:p>
    <w:p w:rsidR="00467DFA" w:rsidRPr="008E4EA2" w:rsidRDefault="00467DFA" w:rsidP="003A0029">
      <w:pPr>
        <w:spacing w:before="120" w:after="120" w:line="276" w:lineRule="auto"/>
        <w:rPr>
          <w:color w:val="000000" w:themeColor="text1"/>
          <w:szCs w:val="24"/>
          <w:lang w:eastAsia="lv-LV"/>
        </w:rPr>
      </w:pPr>
      <w:r w:rsidRPr="008E4EA2">
        <w:rPr>
          <w:color w:val="000000" w:themeColor="text1"/>
          <w:szCs w:val="24"/>
          <w:lang w:eastAsia="lv-LV"/>
        </w:rPr>
        <w:t>2012.gada trešajā ceturksnī tika izsniegtas 28 kredīt</w:t>
      </w:r>
      <w:r w:rsidR="00D15DE8" w:rsidRPr="008E4EA2">
        <w:rPr>
          <w:color w:val="000000" w:themeColor="text1"/>
          <w:szCs w:val="24"/>
          <w:lang w:eastAsia="lv-LV"/>
        </w:rPr>
        <w:t>a garantijas par kopējo summu 4,</w:t>
      </w:r>
      <w:r w:rsidRPr="008E4EA2">
        <w:rPr>
          <w:color w:val="000000" w:themeColor="text1"/>
          <w:szCs w:val="24"/>
          <w:lang w:eastAsia="lv-LV"/>
        </w:rPr>
        <w:t xml:space="preserve">4 </w:t>
      </w:r>
      <w:proofErr w:type="spellStart"/>
      <w:r w:rsidRPr="008E4EA2">
        <w:rPr>
          <w:color w:val="000000" w:themeColor="text1"/>
          <w:szCs w:val="24"/>
          <w:lang w:eastAsia="lv-LV"/>
        </w:rPr>
        <w:t>milj</w:t>
      </w:r>
      <w:proofErr w:type="spellEnd"/>
      <w:r w:rsidRPr="008E4EA2">
        <w:rPr>
          <w:color w:val="000000" w:themeColor="text1"/>
          <w:szCs w:val="24"/>
          <w:lang w:eastAsia="lv-LV"/>
        </w:rPr>
        <w:t>.</w:t>
      </w:r>
      <w:r w:rsidR="003271BE" w:rsidRPr="008E4EA2">
        <w:rPr>
          <w:color w:val="000000" w:themeColor="text1"/>
          <w:szCs w:val="24"/>
          <w:lang w:eastAsia="lv-LV"/>
        </w:rPr>
        <w:t xml:space="preserve"> </w:t>
      </w:r>
      <w:r w:rsidR="00D15DE8" w:rsidRPr="008E4EA2">
        <w:rPr>
          <w:color w:val="000000" w:themeColor="text1"/>
          <w:szCs w:val="24"/>
          <w:lang w:eastAsia="lv-LV"/>
        </w:rPr>
        <w:t>latu</w:t>
      </w:r>
      <w:r w:rsidRPr="008E4EA2">
        <w:rPr>
          <w:color w:val="000000" w:themeColor="text1"/>
          <w:szCs w:val="24"/>
          <w:lang w:eastAsia="lv-LV"/>
        </w:rPr>
        <w:t>. Saņemot atbalstu šīs ak</w:t>
      </w:r>
      <w:r w:rsidR="00D15DE8" w:rsidRPr="008E4EA2">
        <w:rPr>
          <w:color w:val="000000" w:themeColor="text1"/>
          <w:szCs w:val="24"/>
          <w:lang w:eastAsia="lv-LV"/>
        </w:rPr>
        <w:t xml:space="preserve">tivitātes ietvaros, 2012.gada trešajā </w:t>
      </w:r>
      <w:r w:rsidRPr="008E4EA2">
        <w:rPr>
          <w:color w:val="000000" w:themeColor="text1"/>
          <w:szCs w:val="24"/>
          <w:lang w:eastAsia="lv-LV"/>
        </w:rPr>
        <w:t>ceturksnī Latvijas uzņēmumi piesaist</w:t>
      </w:r>
      <w:r w:rsidR="00D15DE8" w:rsidRPr="008E4EA2">
        <w:rPr>
          <w:color w:val="000000" w:themeColor="text1"/>
          <w:szCs w:val="24"/>
          <w:lang w:eastAsia="lv-LV"/>
        </w:rPr>
        <w:t>īja kredītiestāžu finansējumu 9,</w:t>
      </w:r>
      <w:r w:rsidRPr="008E4EA2">
        <w:rPr>
          <w:color w:val="000000" w:themeColor="text1"/>
          <w:szCs w:val="24"/>
          <w:lang w:eastAsia="lv-LV"/>
        </w:rPr>
        <w:t xml:space="preserve">2 </w:t>
      </w:r>
      <w:proofErr w:type="spellStart"/>
      <w:r w:rsidRPr="008E4EA2">
        <w:rPr>
          <w:color w:val="000000" w:themeColor="text1"/>
          <w:szCs w:val="24"/>
          <w:lang w:eastAsia="lv-LV"/>
        </w:rPr>
        <w:t>milj</w:t>
      </w:r>
      <w:proofErr w:type="spellEnd"/>
      <w:r w:rsidRPr="008E4EA2">
        <w:rPr>
          <w:color w:val="000000" w:themeColor="text1"/>
          <w:szCs w:val="24"/>
          <w:lang w:eastAsia="lv-LV"/>
        </w:rPr>
        <w:t xml:space="preserve">. </w:t>
      </w:r>
      <w:r w:rsidR="00D15DE8" w:rsidRPr="008E4EA2">
        <w:rPr>
          <w:color w:val="000000" w:themeColor="text1"/>
          <w:szCs w:val="24"/>
          <w:lang w:eastAsia="lv-LV"/>
        </w:rPr>
        <w:t>latu</w:t>
      </w:r>
      <w:r w:rsidRPr="008E4EA2">
        <w:rPr>
          <w:color w:val="000000" w:themeColor="text1"/>
          <w:szCs w:val="24"/>
          <w:lang w:eastAsia="lv-LV"/>
        </w:rPr>
        <w:t xml:space="preserve"> apmērā. </w:t>
      </w:r>
    </w:p>
    <w:p w:rsidR="00467DFA" w:rsidRPr="008E4EA2" w:rsidRDefault="00467DFA" w:rsidP="003A0029">
      <w:pPr>
        <w:spacing w:before="120" w:after="120" w:line="276" w:lineRule="auto"/>
        <w:rPr>
          <w:color w:val="000000" w:themeColor="text1"/>
          <w:szCs w:val="24"/>
          <w:lang w:eastAsia="lv-LV"/>
        </w:rPr>
      </w:pPr>
      <w:r w:rsidRPr="008E4EA2">
        <w:rPr>
          <w:color w:val="000000" w:themeColor="text1"/>
          <w:szCs w:val="24"/>
          <w:lang w:eastAsia="lv-LV"/>
        </w:rPr>
        <w:t xml:space="preserve">Kredīta garantiju programmas ietvaros 2012.gada </w:t>
      </w:r>
      <w:r w:rsidR="00D15DE8" w:rsidRPr="008E4EA2">
        <w:rPr>
          <w:color w:val="000000" w:themeColor="text1"/>
          <w:szCs w:val="24"/>
          <w:lang w:eastAsia="lv-LV"/>
        </w:rPr>
        <w:t xml:space="preserve">trešajā </w:t>
      </w:r>
      <w:r w:rsidRPr="008E4EA2">
        <w:rPr>
          <w:color w:val="000000" w:themeColor="text1"/>
          <w:szCs w:val="24"/>
          <w:lang w:eastAsia="lv-LV"/>
        </w:rPr>
        <w:t xml:space="preserve">ceturksnī atbilstoši makroekonomiskajām attīstības tendencēm Latvijā tika atbalstīti 10 investīciju projekti, kur izsniegto garantiju apjoms bija 2 </w:t>
      </w:r>
      <w:proofErr w:type="spellStart"/>
      <w:r w:rsidRPr="008E4EA2">
        <w:rPr>
          <w:color w:val="000000" w:themeColor="text1"/>
          <w:szCs w:val="24"/>
          <w:lang w:eastAsia="lv-LV"/>
        </w:rPr>
        <w:t>milj</w:t>
      </w:r>
      <w:proofErr w:type="spellEnd"/>
      <w:r w:rsidRPr="008E4EA2">
        <w:rPr>
          <w:color w:val="000000" w:themeColor="text1"/>
          <w:szCs w:val="24"/>
          <w:lang w:eastAsia="lv-LV"/>
        </w:rPr>
        <w:t xml:space="preserve">. </w:t>
      </w:r>
      <w:r w:rsidR="00D15DE8" w:rsidRPr="008E4EA2">
        <w:rPr>
          <w:color w:val="000000" w:themeColor="text1"/>
          <w:szCs w:val="24"/>
          <w:lang w:eastAsia="lv-LV"/>
        </w:rPr>
        <w:t>latu</w:t>
      </w:r>
      <w:r w:rsidRPr="008E4EA2">
        <w:rPr>
          <w:color w:val="000000" w:themeColor="text1"/>
          <w:szCs w:val="24"/>
          <w:lang w:eastAsia="lv-LV"/>
        </w:rPr>
        <w:t xml:space="preserve">. Kā otrs pieprasītākais garantijas veids pēc apjoma bija garantijas banku garantijām: 1 </w:t>
      </w:r>
      <w:proofErr w:type="spellStart"/>
      <w:r w:rsidRPr="008E4EA2">
        <w:rPr>
          <w:color w:val="000000" w:themeColor="text1"/>
          <w:szCs w:val="24"/>
          <w:lang w:eastAsia="lv-LV"/>
        </w:rPr>
        <w:t>milj</w:t>
      </w:r>
      <w:proofErr w:type="spellEnd"/>
      <w:r w:rsidRPr="008E4EA2">
        <w:rPr>
          <w:color w:val="000000" w:themeColor="text1"/>
          <w:szCs w:val="24"/>
          <w:lang w:eastAsia="lv-LV"/>
        </w:rPr>
        <w:t xml:space="preserve">. </w:t>
      </w:r>
      <w:r w:rsidR="00D15DE8" w:rsidRPr="008E4EA2">
        <w:rPr>
          <w:color w:val="000000" w:themeColor="text1"/>
          <w:szCs w:val="24"/>
          <w:lang w:eastAsia="lv-LV"/>
        </w:rPr>
        <w:t>latu un līzinga garantijas: 0,</w:t>
      </w:r>
      <w:r w:rsidRPr="008E4EA2">
        <w:rPr>
          <w:color w:val="000000" w:themeColor="text1"/>
          <w:szCs w:val="24"/>
          <w:lang w:eastAsia="lv-LV"/>
        </w:rPr>
        <w:t xml:space="preserve">8 </w:t>
      </w:r>
      <w:proofErr w:type="spellStart"/>
      <w:r w:rsidRPr="008E4EA2">
        <w:rPr>
          <w:color w:val="000000" w:themeColor="text1"/>
          <w:szCs w:val="24"/>
          <w:lang w:eastAsia="lv-LV"/>
        </w:rPr>
        <w:t>milj</w:t>
      </w:r>
      <w:proofErr w:type="spellEnd"/>
      <w:r w:rsidRPr="008E4EA2">
        <w:rPr>
          <w:color w:val="000000" w:themeColor="text1"/>
          <w:szCs w:val="24"/>
          <w:lang w:eastAsia="lv-LV"/>
        </w:rPr>
        <w:t xml:space="preserve">. </w:t>
      </w:r>
      <w:r w:rsidR="00D15DE8" w:rsidRPr="008E4EA2">
        <w:rPr>
          <w:color w:val="000000" w:themeColor="text1"/>
          <w:szCs w:val="24"/>
          <w:lang w:eastAsia="lv-LV"/>
        </w:rPr>
        <w:t>latu</w:t>
      </w:r>
      <w:r w:rsidRPr="008E4EA2">
        <w:rPr>
          <w:color w:val="000000" w:themeColor="text1"/>
          <w:szCs w:val="24"/>
          <w:lang w:eastAsia="lv-LV"/>
        </w:rPr>
        <w:t xml:space="preserve">. Attiecībā uz atbalsta reģionālo sadalījumu – vislielākā uzņēmumu aktivitāte </w:t>
      </w:r>
      <w:r w:rsidR="00D15DE8" w:rsidRPr="008E4EA2">
        <w:rPr>
          <w:color w:val="000000" w:themeColor="text1"/>
          <w:szCs w:val="24"/>
          <w:lang w:eastAsia="lv-LV"/>
        </w:rPr>
        <w:t>trešā</w:t>
      </w:r>
      <w:r w:rsidRPr="008E4EA2">
        <w:rPr>
          <w:color w:val="000000" w:themeColor="text1"/>
          <w:szCs w:val="24"/>
          <w:lang w:eastAsia="lv-LV"/>
        </w:rPr>
        <w:t xml:space="preserve"> ceturkšņa laikā kredītiestāžu finansējuma piesaistē bija novērojama Zemgalē 2 </w:t>
      </w:r>
      <w:proofErr w:type="spellStart"/>
      <w:r w:rsidRPr="008E4EA2">
        <w:rPr>
          <w:color w:val="000000" w:themeColor="text1"/>
          <w:szCs w:val="24"/>
          <w:lang w:eastAsia="lv-LV"/>
        </w:rPr>
        <w:t>milj</w:t>
      </w:r>
      <w:proofErr w:type="spellEnd"/>
      <w:r w:rsidRPr="008E4EA2">
        <w:rPr>
          <w:color w:val="000000" w:themeColor="text1"/>
          <w:szCs w:val="24"/>
          <w:lang w:eastAsia="lv-LV"/>
        </w:rPr>
        <w:t xml:space="preserve">. </w:t>
      </w:r>
      <w:r w:rsidR="00D15DE8" w:rsidRPr="008E4EA2">
        <w:rPr>
          <w:color w:val="000000" w:themeColor="text1"/>
          <w:szCs w:val="24"/>
          <w:lang w:eastAsia="lv-LV"/>
        </w:rPr>
        <w:t>latu</w:t>
      </w:r>
      <w:r w:rsidRPr="008E4EA2">
        <w:rPr>
          <w:color w:val="000000" w:themeColor="text1"/>
          <w:szCs w:val="24"/>
          <w:lang w:eastAsia="lv-LV"/>
        </w:rPr>
        <w:t>,</w:t>
      </w:r>
      <w:r w:rsidR="00D15DE8" w:rsidRPr="008E4EA2">
        <w:rPr>
          <w:color w:val="000000" w:themeColor="text1"/>
          <w:szCs w:val="24"/>
          <w:lang w:eastAsia="lv-LV"/>
        </w:rPr>
        <w:t xml:space="preserve"> </w:t>
      </w:r>
      <w:r w:rsidRPr="008E4EA2">
        <w:rPr>
          <w:color w:val="000000" w:themeColor="text1"/>
          <w:szCs w:val="24"/>
          <w:lang w:eastAsia="lv-LV"/>
        </w:rPr>
        <w:t xml:space="preserve">Rīgā 0,7 </w:t>
      </w:r>
      <w:proofErr w:type="spellStart"/>
      <w:r w:rsidRPr="008E4EA2">
        <w:rPr>
          <w:color w:val="000000" w:themeColor="text1"/>
          <w:szCs w:val="24"/>
          <w:lang w:eastAsia="lv-LV"/>
        </w:rPr>
        <w:t>milj</w:t>
      </w:r>
      <w:proofErr w:type="spellEnd"/>
      <w:r w:rsidR="00D15DE8" w:rsidRPr="008E4EA2">
        <w:rPr>
          <w:color w:val="000000" w:themeColor="text1"/>
          <w:szCs w:val="24"/>
          <w:lang w:eastAsia="lv-LV"/>
        </w:rPr>
        <w:t>.</w:t>
      </w:r>
      <w:r w:rsidRPr="008E4EA2">
        <w:rPr>
          <w:color w:val="000000" w:themeColor="text1"/>
          <w:szCs w:val="24"/>
          <w:lang w:eastAsia="lv-LV"/>
        </w:rPr>
        <w:t xml:space="preserve"> </w:t>
      </w:r>
      <w:r w:rsidR="00D15DE8" w:rsidRPr="008E4EA2">
        <w:rPr>
          <w:color w:val="000000" w:themeColor="text1"/>
          <w:szCs w:val="24"/>
          <w:lang w:eastAsia="lv-LV"/>
        </w:rPr>
        <w:t xml:space="preserve">latu un Latgalē 0,6 </w:t>
      </w:r>
      <w:proofErr w:type="spellStart"/>
      <w:r w:rsidR="00D15DE8" w:rsidRPr="008E4EA2">
        <w:rPr>
          <w:color w:val="000000" w:themeColor="text1"/>
          <w:szCs w:val="24"/>
          <w:lang w:eastAsia="lv-LV"/>
        </w:rPr>
        <w:t>milj</w:t>
      </w:r>
      <w:proofErr w:type="spellEnd"/>
      <w:r w:rsidR="00D15DE8" w:rsidRPr="008E4EA2">
        <w:rPr>
          <w:color w:val="000000" w:themeColor="text1"/>
          <w:szCs w:val="24"/>
          <w:lang w:eastAsia="lv-LV"/>
        </w:rPr>
        <w:t>. latu</w:t>
      </w:r>
      <w:r w:rsidRPr="008E4EA2">
        <w:rPr>
          <w:color w:val="000000" w:themeColor="text1"/>
          <w:szCs w:val="24"/>
          <w:lang w:eastAsia="lv-LV"/>
        </w:rPr>
        <w:t>. 36% no atbalstītajiem komersantiem darbojās nozarē, kas saistīta ar e</w:t>
      </w:r>
      <w:r w:rsidR="00EC7606" w:rsidRPr="008E4EA2">
        <w:rPr>
          <w:color w:val="000000" w:themeColor="text1"/>
          <w:szCs w:val="24"/>
          <w:lang w:eastAsia="lv-LV"/>
        </w:rPr>
        <w:t xml:space="preserve">lektroenerģijas ražošanu, 33% </w:t>
      </w:r>
      <w:r w:rsidR="00EC7606" w:rsidRPr="008E4EA2">
        <w:rPr>
          <w:color w:val="000000" w:themeColor="text1"/>
          <w:szCs w:val="24"/>
        </w:rPr>
        <w:t>–</w:t>
      </w:r>
      <w:r w:rsidR="00EC7606" w:rsidRPr="008E4EA2">
        <w:rPr>
          <w:color w:val="000000" w:themeColor="text1"/>
          <w:szCs w:val="24"/>
          <w:lang w:eastAsia="lv-LV"/>
        </w:rPr>
        <w:t xml:space="preserve"> </w:t>
      </w:r>
      <w:r w:rsidRPr="008E4EA2">
        <w:rPr>
          <w:color w:val="000000" w:themeColor="text1"/>
          <w:szCs w:val="24"/>
          <w:lang w:eastAsia="lv-LV"/>
        </w:rPr>
        <w:t>apstrādes nozarē.</w:t>
      </w:r>
    </w:p>
    <w:p w:rsidR="000B6206" w:rsidRPr="008E4EA2" w:rsidRDefault="00467DFA" w:rsidP="003A0029">
      <w:pPr>
        <w:spacing w:before="120" w:after="120" w:line="276" w:lineRule="auto"/>
        <w:rPr>
          <w:color w:val="000000" w:themeColor="text1"/>
          <w:szCs w:val="24"/>
          <w:lang w:eastAsia="lv-LV"/>
        </w:rPr>
      </w:pPr>
      <w:r w:rsidRPr="008E4EA2">
        <w:rPr>
          <w:color w:val="000000" w:themeColor="text1"/>
          <w:szCs w:val="24"/>
          <w:lang w:eastAsia="lv-LV"/>
        </w:rPr>
        <w:t xml:space="preserve">Eksporta kredīta garantijas programmas ietvaros 2012.gada </w:t>
      </w:r>
      <w:r w:rsidR="00D15DE8" w:rsidRPr="008E4EA2">
        <w:rPr>
          <w:color w:val="000000" w:themeColor="text1"/>
          <w:szCs w:val="24"/>
          <w:lang w:eastAsia="lv-LV"/>
        </w:rPr>
        <w:t xml:space="preserve">trešajā </w:t>
      </w:r>
      <w:r w:rsidRPr="008E4EA2">
        <w:rPr>
          <w:color w:val="000000" w:themeColor="text1"/>
          <w:szCs w:val="24"/>
          <w:lang w:eastAsia="lv-LV"/>
        </w:rPr>
        <w:t xml:space="preserve">ceturksnī tika izsniegtas </w:t>
      </w:r>
      <w:r w:rsidR="00C9741B" w:rsidRPr="008E4EA2">
        <w:rPr>
          <w:color w:val="000000" w:themeColor="text1"/>
          <w:szCs w:val="24"/>
          <w:lang w:eastAsia="lv-LV"/>
        </w:rPr>
        <w:t>astoņas</w:t>
      </w:r>
      <w:r w:rsidRPr="008E4EA2">
        <w:rPr>
          <w:color w:val="000000" w:themeColor="text1"/>
          <w:szCs w:val="24"/>
          <w:lang w:eastAsia="lv-LV"/>
        </w:rPr>
        <w:t xml:space="preserve"> garantijas par kopējo summu 628 </w:t>
      </w:r>
      <w:proofErr w:type="spellStart"/>
      <w:r w:rsidRPr="008E4EA2">
        <w:rPr>
          <w:color w:val="000000" w:themeColor="text1"/>
          <w:szCs w:val="24"/>
          <w:lang w:eastAsia="lv-LV"/>
        </w:rPr>
        <w:t>tūkst</w:t>
      </w:r>
      <w:proofErr w:type="spellEnd"/>
      <w:r w:rsidRPr="008E4EA2">
        <w:rPr>
          <w:color w:val="000000" w:themeColor="text1"/>
          <w:szCs w:val="24"/>
          <w:lang w:eastAsia="lv-LV"/>
        </w:rPr>
        <w:t xml:space="preserve">. </w:t>
      </w:r>
      <w:r w:rsidR="00D15DE8" w:rsidRPr="008E4EA2">
        <w:rPr>
          <w:color w:val="000000" w:themeColor="text1"/>
          <w:szCs w:val="24"/>
          <w:lang w:eastAsia="lv-LV"/>
        </w:rPr>
        <w:t>latu</w:t>
      </w:r>
      <w:r w:rsidRPr="008E4EA2">
        <w:rPr>
          <w:color w:val="000000" w:themeColor="text1"/>
          <w:szCs w:val="24"/>
          <w:lang w:eastAsia="lv-LV"/>
        </w:rPr>
        <w:t xml:space="preserve">, atbalstot eksporta </w:t>
      </w:r>
      <w:r w:rsidRPr="008E4EA2">
        <w:rPr>
          <w:color w:val="000000" w:themeColor="text1"/>
          <w:szCs w:val="24"/>
          <w:lang w:eastAsia="lv-LV"/>
        </w:rPr>
        <w:lastRenderedPageBreak/>
        <w:t>darījumus uz Ķīnu, Baltkrieviju, Kazahstānu un Kirgizstānu. Vienlaikus šajā periodā tika nodrošināts eksporta apg</w:t>
      </w:r>
      <w:r w:rsidR="00D15DE8" w:rsidRPr="008E4EA2">
        <w:rPr>
          <w:color w:val="000000" w:themeColor="text1"/>
          <w:szCs w:val="24"/>
          <w:lang w:eastAsia="lv-LV"/>
        </w:rPr>
        <w:t>rozījums ar garantijas segumu 5,</w:t>
      </w:r>
      <w:r w:rsidRPr="008E4EA2">
        <w:rPr>
          <w:color w:val="000000" w:themeColor="text1"/>
          <w:szCs w:val="24"/>
          <w:lang w:eastAsia="lv-LV"/>
        </w:rPr>
        <w:t xml:space="preserve">1 </w:t>
      </w:r>
      <w:proofErr w:type="spellStart"/>
      <w:r w:rsidRPr="008E4EA2">
        <w:rPr>
          <w:color w:val="000000" w:themeColor="text1"/>
          <w:szCs w:val="24"/>
          <w:lang w:eastAsia="lv-LV"/>
        </w:rPr>
        <w:t>milj</w:t>
      </w:r>
      <w:proofErr w:type="spellEnd"/>
      <w:r w:rsidRPr="008E4EA2">
        <w:rPr>
          <w:color w:val="000000" w:themeColor="text1"/>
          <w:szCs w:val="24"/>
          <w:lang w:eastAsia="lv-LV"/>
        </w:rPr>
        <w:t xml:space="preserve">. </w:t>
      </w:r>
      <w:r w:rsidR="00D15DE8" w:rsidRPr="008E4EA2">
        <w:rPr>
          <w:color w:val="000000" w:themeColor="text1"/>
          <w:szCs w:val="24"/>
          <w:lang w:eastAsia="lv-LV"/>
        </w:rPr>
        <w:t xml:space="preserve">latu </w:t>
      </w:r>
      <w:r w:rsidRPr="008E4EA2">
        <w:rPr>
          <w:color w:val="000000" w:themeColor="text1"/>
          <w:szCs w:val="24"/>
          <w:lang w:eastAsia="lv-LV"/>
        </w:rPr>
        <w:t>apmērā.</w:t>
      </w:r>
    </w:p>
    <w:p w:rsidR="00EC7606" w:rsidRPr="008E4EA2" w:rsidRDefault="00A91DEC" w:rsidP="003A0029">
      <w:pPr>
        <w:autoSpaceDE w:val="0"/>
        <w:autoSpaceDN w:val="0"/>
        <w:adjustRightInd w:val="0"/>
        <w:spacing w:before="120" w:after="120" w:line="276" w:lineRule="auto"/>
        <w:rPr>
          <w:color w:val="000000" w:themeColor="text1"/>
          <w:szCs w:val="24"/>
        </w:rPr>
      </w:pPr>
      <w:r w:rsidRPr="008E4EA2">
        <w:rPr>
          <w:b/>
          <w:color w:val="000000" w:themeColor="text1"/>
          <w:szCs w:val="24"/>
        </w:rPr>
        <w:t>„Aizdevumi komersantu konkurētspējas uzlabošanai”</w:t>
      </w:r>
      <w:r w:rsidRPr="008E4EA2">
        <w:rPr>
          <w:color w:val="000000" w:themeColor="text1"/>
          <w:szCs w:val="24"/>
        </w:rPr>
        <w:t xml:space="preserve"> aktivitātes </w:t>
      </w:r>
      <w:r w:rsidR="00D15DE8" w:rsidRPr="008E4EA2">
        <w:rPr>
          <w:color w:val="000000" w:themeColor="text1"/>
          <w:szCs w:val="24"/>
        </w:rPr>
        <w:t xml:space="preserve">ietvaros 2012.gada trešajā ceturksnī tika izsniegts pirmais </w:t>
      </w:r>
      <w:proofErr w:type="spellStart"/>
      <w:r w:rsidR="00D15DE8" w:rsidRPr="008E4EA2">
        <w:rPr>
          <w:b/>
          <w:color w:val="000000" w:themeColor="text1"/>
          <w:szCs w:val="24"/>
        </w:rPr>
        <w:t>mezanīna</w:t>
      </w:r>
      <w:proofErr w:type="spellEnd"/>
      <w:r w:rsidR="00D15DE8" w:rsidRPr="008E4EA2">
        <w:rPr>
          <w:b/>
          <w:color w:val="000000" w:themeColor="text1"/>
          <w:szCs w:val="24"/>
        </w:rPr>
        <w:t xml:space="preserve"> aizdevums</w:t>
      </w:r>
      <w:r w:rsidR="00D15DE8" w:rsidRPr="008E4EA2">
        <w:rPr>
          <w:color w:val="000000" w:themeColor="text1"/>
          <w:szCs w:val="24"/>
        </w:rPr>
        <w:t xml:space="preserve"> 700 </w:t>
      </w:r>
      <w:proofErr w:type="spellStart"/>
      <w:r w:rsidR="00D15DE8" w:rsidRPr="008E4EA2">
        <w:rPr>
          <w:color w:val="000000" w:themeColor="text1"/>
          <w:szCs w:val="24"/>
        </w:rPr>
        <w:t>tūkst</w:t>
      </w:r>
      <w:proofErr w:type="spellEnd"/>
      <w:r w:rsidR="00D15DE8" w:rsidRPr="008E4EA2">
        <w:rPr>
          <w:color w:val="000000" w:themeColor="text1"/>
          <w:szCs w:val="24"/>
        </w:rPr>
        <w:t xml:space="preserve">. latu </w:t>
      </w:r>
      <w:r w:rsidR="003F559F" w:rsidRPr="008E4EA2">
        <w:rPr>
          <w:color w:val="000000" w:themeColor="text1"/>
          <w:szCs w:val="24"/>
        </w:rPr>
        <w:t>apmērā</w:t>
      </w:r>
      <w:r w:rsidR="00D15DE8" w:rsidRPr="008E4EA2">
        <w:rPr>
          <w:color w:val="000000" w:themeColor="text1"/>
          <w:szCs w:val="24"/>
        </w:rPr>
        <w:t xml:space="preserve"> uzņēmumam, kas darbojas gaļas pārstrādes nozarē.</w:t>
      </w:r>
      <w:r w:rsidR="00EC7606" w:rsidRPr="008E4EA2">
        <w:rPr>
          <w:color w:val="000000" w:themeColor="text1"/>
          <w:szCs w:val="24"/>
        </w:rPr>
        <w:t xml:space="preserve"> </w:t>
      </w:r>
    </w:p>
    <w:p w:rsidR="00E46B28" w:rsidRPr="008E4EA2" w:rsidRDefault="00D15DE8" w:rsidP="003A0029">
      <w:pPr>
        <w:spacing w:before="120" w:after="120" w:line="276" w:lineRule="auto"/>
        <w:rPr>
          <w:color w:val="000000" w:themeColor="text1"/>
          <w:szCs w:val="24"/>
          <w:lang w:eastAsia="lv-LV"/>
        </w:rPr>
      </w:pPr>
      <w:r w:rsidRPr="008E4EA2">
        <w:rPr>
          <w:color w:val="000000" w:themeColor="text1"/>
          <w:szCs w:val="24"/>
          <w:lang w:eastAsia="lv-LV"/>
        </w:rPr>
        <w:t xml:space="preserve">LGA kopš programmas uzsākšanas ir apstiprinājusi </w:t>
      </w:r>
      <w:proofErr w:type="spellStart"/>
      <w:r w:rsidRPr="008E4EA2">
        <w:rPr>
          <w:color w:val="000000" w:themeColor="text1"/>
          <w:szCs w:val="24"/>
          <w:lang w:eastAsia="lv-LV"/>
        </w:rPr>
        <w:t>mezanīna</w:t>
      </w:r>
      <w:proofErr w:type="spellEnd"/>
      <w:r w:rsidRPr="008E4EA2">
        <w:rPr>
          <w:color w:val="000000" w:themeColor="text1"/>
          <w:szCs w:val="24"/>
          <w:lang w:eastAsia="lv-LV"/>
        </w:rPr>
        <w:t xml:space="preserve"> aizdevuma pieteikumus 2,3 </w:t>
      </w:r>
      <w:proofErr w:type="spellStart"/>
      <w:r w:rsidRPr="008E4EA2">
        <w:rPr>
          <w:color w:val="000000" w:themeColor="text1"/>
          <w:szCs w:val="24"/>
          <w:lang w:eastAsia="lv-LV"/>
        </w:rPr>
        <w:t>milj</w:t>
      </w:r>
      <w:proofErr w:type="spellEnd"/>
      <w:r w:rsidRPr="008E4EA2">
        <w:rPr>
          <w:color w:val="000000" w:themeColor="text1"/>
          <w:szCs w:val="24"/>
          <w:lang w:eastAsia="lv-LV"/>
        </w:rPr>
        <w:t xml:space="preserve">. latu apmērā. </w:t>
      </w:r>
      <w:r w:rsidR="001F49F7">
        <w:rPr>
          <w:color w:val="000000" w:themeColor="text1"/>
          <w:szCs w:val="24"/>
          <w:lang w:eastAsia="lv-LV"/>
        </w:rPr>
        <w:t xml:space="preserve">Ņemot vērā </w:t>
      </w:r>
      <w:proofErr w:type="spellStart"/>
      <w:r w:rsidR="001F49F7">
        <w:rPr>
          <w:color w:val="000000" w:themeColor="text1"/>
          <w:szCs w:val="24"/>
          <w:lang w:eastAsia="lv-LV"/>
        </w:rPr>
        <w:t>š</w:t>
      </w:r>
      <w:r w:rsidR="001F49F7">
        <w:rPr>
          <w:color w:val="000000"/>
          <w:sz w:val="23"/>
          <w:szCs w:val="23"/>
        </w:rPr>
        <w:t>.g</w:t>
      </w:r>
      <w:proofErr w:type="spellEnd"/>
      <w:r w:rsidR="001F49F7">
        <w:rPr>
          <w:color w:val="000000"/>
          <w:sz w:val="23"/>
          <w:szCs w:val="23"/>
        </w:rPr>
        <w:t>. jūnijā veik</w:t>
      </w:r>
      <w:r w:rsidR="00AC4F67">
        <w:rPr>
          <w:color w:val="000000"/>
          <w:sz w:val="23"/>
          <w:szCs w:val="23"/>
        </w:rPr>
        <w:t>t</w:t>
      </w:r>
      <w:r w:rsidR="001F49F7">
        <w:rPr>
          <w:color w:val="000000"/>
          <w:sz w:val="23"/>
          <w:szCs w:val="23"/>
        </w:rPr>
        <w:t xml:space="preserve">os grozījumus </w:t>
      </w:r>
      <w:proofErr w:type="spellStart"/>
      <w:r w:rsidR="001F49F7">
        <w:rPr>
          <w:color w:val="000000"/>
          <w:sz w:val="23"/>
          <w:szCs w:val="23"/>
        </w:rPr>
        <w:t>mezanīna</w:t>
      </w:r>
      <w:proofErr w:type="spellEnd"/>
      <w:r w:rsidR="001F49F7">
        <w:rPr>
          <w:color w:val="000000"/>
          <w:sz w:val="23"/>
          <w:szCs w:val="23"/>
        </w:rPr>
        <w:t xml:space="preserve"> aizdevumu programmā, nodrošinot plašāku pieejamību finanšu resursiem komercdarbības uzsākšanai un attīstībā, ir nedaudz uzlabojusies </w:t>
      </w:r>
      <w:proofErr w:type="spellStart"/>
      <w:r w:rsidR="001F49F7">
        <w:rPr>
          <w:color w:val="000000"/>
          <w:sz w:val="23"/>
          <w:szCs w:val="23"/>
        </w:rPr>
        <w:t>mezanīna</w:t>
      </w:r>
      <w:proofErr w:type="spellEnd"/>
      <w:r w:rsidR="001F49F7">
        <w:rPr>
          <w:color w:val="000000"/>
          <w:sz w:val="23"/>
          <w:szCs w:val="23"/>
        </w:rPr>
        <w:t xml:space="preserve"> aizdevumu programmas ieviešana, </w:t>
      </w:r>
      <w:r w:rsidRPr="008E4EA2">
        <w:rPr>
          <w:color w:val="000000" w:themeColor="text1"/>
          <w:szCs w:val="24"/>
          <w:lang w:eastAsia="lv-LV"/>
        </w:rPr>
        <w:t xml:space="preserve">ir saņemti pieteikumi LGA atzinuma par </w:t>
      </w:r>
      <w:proofErr w:type="spellStart"/>
      <w:r w:rsidRPr="008E4EA2">
        <w:rPr>
          <w:color w:val="000000" w:themeColor="text1"/>
          <w:szCs w:val="24"/>
          <w:lang w:eastAsia="lv-LV"/>
        </w:rPr>
        <w:t>mezanīna</w:t>
      </w:r>
      <w:proofErr w:type="spellEnd"/>
      <w:r w:rsidRPr="008E4EA2">
        <w:rPr>
          <w:color w:val="000000" w:themeColor="text1"/>
          <w:szCs w:val="24"/>
          <w:lang w:eastAsia="lv-LV"/>
        </w:rPr>
        <w:t xml:space="preserve"> aizdevuma saņemšanas iespēju 5,6 </w:t>
      </w:r>
      <w:proofErr w:type="spellStart"/>
      <w:r w:rsidRPr="008E4EA2">
        <w:rPr>
          <w:color w:val="000000" w:themeColor="text1"/>
          <w:szCs w:val="24"/>
          <w:lang w:eastAsia="lv-LV"/>
        </w:rPr>
        <w:t>milj</w:t>
      </w:r>
      <w:proofErr w:type="spellEnd"/>
      <w:r w:rsidRPr="008E4EA2">
        <w:rPr>
          <w:color w:val="000000" w:themeColor="text1"/>
          <w:szCs w:val="24"/>
          <w:lang w:eastAsia="lv-LV"/>
        </w:rPr>
        <w:t>. latu apjomā.</w:t>
      </w:r>
      <w:r w:rsidR="001F49F7">
        <w:rPr>
          <w:color w:val="000000" w:themeColor="text1"/>
          <w:szCs w:val="24"/>
          <w:lang w:eastAsia="lv-LV"/>
        </w:rPr>
        <w:t xml:space="preserve"> Taču tas nav pietiekams un neatbilst iepriekš plānotajam </w:t>
      </w:r>
      <w:proofErr w:type="spellStart"/>
      <w:r w:rsidR="001F49F7">
        <w:rPr>
          <w:color w:val="000000" w:themeColor="text1"/>
          <w:szCs w:val="24"/>
          <w:lang w:eastAsia="lv-LV"/>
        </w:rPr>
        <w:t>mezanīna</w:t>
      </w:r>
      <w:proofErr w:type="spellEnd"/>
      <w:r w:rsidR="001F49F7">
        <w:rPr>
          <w:color w:val="000000" w:themeColor="text1"/>
          <w:szCs w:val="24"/>
          <w:lang w:eastAsia="lv-LV"/>
        </w:rPr>
        <w:t xml:space="preserve"> aizdevuma programmas ieviešanas tempam. </w:t>
      </w:r>
      <w:r w:rsidR="00A91DEC" w:rsidRPr="008E4EA2">
        <w:rPr>
          <w:color w:val="000000" w:themeColor="text1"/>
          <w:szCs w:val="24"/>
          <w:lang w:eastAsia="lv-LV"/>
        </w:rPr>
        <w:t>Kopš konkurētspējas aizdevumu programmas sākuma līdz 2012.gada 30.</w:t>
      </w:r>
      <w:r w:rsidRPr="008E4EA2">
        <w:rPr>
          <w:color w:val="000000" w:themeColor="text1"/>
          <w:szCs w:val="24"/>
          <w:lang w:eastAsia="lv-LV"/>
        </w:rPr>
        <w:t>septembrim</w:t>
      </w:r>
      <w:r w:rsidR="00A91DEC" w:rsidRPr="008E4EA2">
        <w:rPr>
          <w:color w:val="000000" w:themeColor="text1"/>
          <w:szCs w:val="24"/>
          <w:lang w:eastAsia="lv-LV"/>
        </w:rPr>
        <w:t xml:space="preserve"> ir noslēgti </w:t>
      </w:r>
      <w:r w:rsidR="002151FB" w:rsidRPr="008E4EA2">
        <w:rPr>
          <w:color w:val="000000" w:themeColor="text1"/>
          <w:szCs w:val="24"/>
          <w:lang w:eastAsia="lv-LV"/>
        </w:rPr>
        <w:t xml:space="preserve">58 līgumi par </w:t>
      </w:r>
      <w:r w:rsidR="002151FB" w:rsidRPr="008E4EA2">
        <w:rPr>
          <w:b/>
          <w:color w:val="000000" w:themeColor="text1"/>
          <w:szCs w:val="24"/>
        </w:rPr>
        <w:t>aizdevumiem komersantu konkurētspējas uzlabošanai</w:t>
      </w:r>
      <w:r w:rsidR="002151FB" w:rsidRPr="008E4EA2">
        <w:rPr>
          <w:color w:val="000000" w:themeColor="text1"/>
          <w:szCs w:val="24"/>
          <w:lang w:eastAsia="lv-LV"/>
        </w:rPr>
        <w:t xml:space="preserve"> 49,6 </w:t>
      </w:r>
      <w:proofErr w:type="spellStart"/>
      <w:r w:rsidR="002151FB" w:rsidRPr="008E4EA2">
        <w:rPr>
          <w:color w:val="000000" w:themeColor="text1"/>
          <w:szCs w:val="24"/>
          <w:lang w:eastAsia="lv-LV"/>
        </w:rPr>
        <w:t>milj</w:t>
      </w:r>
      <w:proofErr w:type="spellEnd"/>
      <w:r w:rsidR="002151FB" w:rsidRPr="008E4EA2">
        <w:rPr>
          <w:color w:val="000000" w:themeColor="text1"/>
          <w:szCs w:val="24"/>
          <w:lang w:eastAsia="lv-LV"/>
        </w:rPr>
        <w:t xml:space="preserve">., latu apmērā, tajā skaitā </w:t>
      </w:r>
      <w:r w:rsidR="00C9741B" w:rsidRPr="008E4EA2">
        <w:rPr>
          <w:color w:val="000000" w:themeColor="text1"/>
          <w:szCs w:val="24"/>
          <w:lang w:eastAsia="lv-LV"/>
        </w:rPr>
        <w:t>pieci</w:t>
      </w:r>
      <w:r w:rsidR="002151FB" w:rsidRPr="008E4EA2">
        <w:rPr>
          <w:color w:val="000000" w:themeColor="text1"/>
          <w:szCs w:val="24"/>
          <w:lang w:eastAsia="lv-LV"/>
        </w:rPr>
        <w:t xml:space="preserve"> līgumi par 1,63 </w:t>
      </w:r>
      <w:proofErr w:type="spellStart"/>
      <w:r w:rsidR="002151FB" w:rsidRPr="008E4EA2">
        <w:rPr>
          <w:color w:val="000000" w:themeColor="text1"/>
          <w:szCs w:val="24"/>
          <w:lang w:eastAsia="lv-LV"/>
        </w:rPr>
        <w:t>milj</w:t>
      </w:r>
      <w:proofErr w:type="spellEnd"/>
      <w:r w:rsidR="002151FB" w:rsidRPr="008E4EA2">
        <w:rPr>
          <w:color w:val="000000" w:themeColor="text1"/>
          <w:szCs w:val="24"/>
          <w:lang w:eastAsia="lv-LV"/>
        </w:rPr>
        <w:t xml:space="preserve">. latu noslēgti </w:t>
      </w:r>
      <w:proofErr w:type="spellStart"/>
      <w:r w:rsidR="002151FB" w:rsidRPr="008E4EA2">
        <w:rPr>
          <w:color w:val="000000" w:themeColor="text1"/>
          <w:szCs w:val="24"/>
          <w:lang w:eastAsia="lv-LV"/>
        </w:rPr>
        <w:t>š.g</w:t>
      </w:r>
      <w:proofErr w:type="spellEnd"/>
      <w:r w:rsidR="002151FB" w:rsidRPr="008E4EA2">
        <w:rPr>
          <w:color w:val="000000" w:themeColor="text1"/>
          <w:szCs w:val="24"/>
          <w:lang w:eastAsia="lv-LV"/>
        </w:rPr>
        <w:t xml:space="preserve">. trešajā ceturksnī. Uz 2012.gada 30.septembri bankā ir iesniegti divi aizdevumu pieteikumi par kopējo summu 1,4 </w:t>
      </w:r>
      <w:proofErr w:type="spellStart"/>
      <w:r w:rsidR="002151FB" w:rsidRPr="008E4EA2">
        <w:rPr>
          <w:color w:val="000000" w:themeColor="text1"/>
          <w:szCs w:val="24"/>
          <w:lang w:eastAsia="lv-LV"/>
        </w:rPr>
        <w:t>milj</w:t>
      </w:r>
      <w:proofErr w:type="spellEnd"/>
      <w:r w:rsidR="002151FB" w:rsidRPr="008E4EA2">
        <w:rPr>
          <w:color w:val="000000" w:themeColor="text1"/>
          <w:szCs w:val="24"/>
          <w:lang w:eastAsia="lv-LV"/>
        </w:rPr>
        <w:t xml:space="preserve">. latu. </w:t>
      </w:r>
    </w:p>
    <w:p w:rsidR="001E53C0" w:rsidRPr="008E4EA2" w:rsidRDefault="002C202D" w:rsidP="003A0029">
      <w:pPr>
        <w:spacing w:before="120" w:after="120" w:line="276" w:lineRule="auto"/>
        <w:rPr>
          <w:b/>
          <w:color w:val="000000" w:themeColor="text1"/>
          <w:szCs w:val="24"/>
        </w:rPr>
      </w:pPr>
      <w:r w:rsidRPr="008E4EA2">
        <w:rPr>
          <w:b/>
          <w:color w:val="000000" w:themeColor="text1"/>
          <w:szCs w:val="24"/>
        </w:rPr>
        <w:t xml:space="preserve"> </w:t>
      </w:r>
      <w:r w:rsidR="00E15CBF" w:rsidRPr="008E4EA2">
        <w:rPr>
          <w:b/>
          <w:color w:val="000000" w:themeColor="text1"/>
          <w:szCs w:val="24"/>
        </w:rPr>
        <w:t>„</w:t>
      </w:r>
      <w:r w:rsidR="001E53C0" w:rsidRPr="008E4EA2">
        <w:rPr>
          <w:b/>
          <w:color w:val="000000" w:themeColor="text1"/>
          <w:szCs w:val="24"/>
        </w:rPr>
        <w:t>Uzņēmējdarbības veicināšana</w:t>
      </w:r>
      <w:r w:rsidR="000B4535" w:rsidRPr="008E4EA2">
        <w:rPr>
          <w:b/>
          <w:color w:val="000000" w:themeColor="text1"/>
          <w:szCs w:val="24"/>
        </w:rPr>
        <w:t xml:space="preserve">” </w:t>
      </w:r>
    </w:p>
    <w:p w:rsidR="00A41B58" w:rsidRPr="008E4EA2" w:rsidRDefault="00A41B58" w:rsidP="003A0029">
      <w:pPr>
        <w:spacing w:before="120" w:after="120" w:line="276" w:lineRule="auto"/>
        <w:rPr>
          <w:color w:val="000000" w:themeColor="text1"/>
          <w:szCs w:val="24"/>
        </w:rPr>
      </w:pPr>
      <w:bookmarkStart w:id="37" w:name="_Toc276049978"/>
      <w:r w:rsidRPr="008E4EA2">
        <w:rPr>
          <w:color w:val="000000" w:themeColor="text1"/>
          <w:szCs w:val="24"/>
        </w:rPr>
        <w:t>Prioritātes mērķis ir veicināt uzņēmējdarbības attīstību, veicinot pieeju starptautiskiem tirgiem, piesaistot ārvalstu investīcijas, kā arī šīs prioritātes ietvaros sabiedrība tiek informēta un iedrošināta uzsākt uzņēmējdarbību un veicināt inovāciju izmantošanu un radīšanu ilgtermiņa konkurētspējas nodrošināšanai.</w:t>
      </w:r>
    </w:p>
    <w:p w:rsidR="00A41B58" w:rsidRPr="008E4EA2" w:rsidRDefault="007A70DF" w:rsidP="003A0029">
      <w:pPr>
        <w:spacing w:before="120" w:after="120" w:line="276" w:lineRule="auto"/>
        <w:rPr>
          <w:color w:val="000000" w:themeColor="text1"/>
          <w:szCs w:val="24"/>
        </w:rPr>
      </w:pPr>
      <w:r w:rsidRPr="008E4EA2">
        <w:rPr>
          <w:color w:val="000000" w:themeColor="text1"/>
          <w:szCs w:val="24"/>
        </w:rPr>
        <w:t>F</w:t>
      </w:r>
      <w:r w:rsidR="002F3300" w:rsidRPr="008E4EA2">
        <w:rPr>
          <w:color w:val="000000" w:themeColor="text1"/>
          <w:szCs w:val="24"/>
        </w:rPr>
        <w:t>inanšu apguves</w:t>
      </w:r>
      <w:r w:rsidR="00A41B58" w:rsidRPr="008E4EA2">
        <w:rPr>
          <w:color w:val="000000" w:themeColor="text1"/>
          <w:szCs w:val="24"/>
        </w:rPr>
        <w:t xml:space="preserve"> mērķu izpilde prioritātē ir neapmierinoša – līdz 2012.gada 30.septembrim </w:t>
      </w:r>
      <w:r w:rsidR="002F3300" w:rsidRPr="008E4EA2">
        <w:rPr>
          <w:color w:val="000000" w:themeColor="text1"/>
          <w:szCs w:val="24"/>
        </w:rPr>
        <w:t xml:space="preserve">finanšu apguves </w:t>
      </w:r>
      <w:r w:rsidR="00A41B58" w:rsidRPr="008E4EA2">
        <w:rPr>
          <w:color w:val="000000" w:themeColor="text1"/>
          <w:szCs w:val="24"/>
        </w:rPr>
        <w:t>mērķis izpildīts vien par 46</w:t>
      </w:r>
      <w:r w:rsidR="00CE6A29" w:rsidRPr="008E4EA2">
        <w:rPr>
          <w:color w:val="000000" w:themeColor="text1"/>
          <w:szCs w:val="24"/>
        </w:rPr>
        <w:t>,4</w:t>
      </w:r>
      <w:r w:rsidR="00A41B58" w:rsidRPr="008E4EA2">
        <w:rPr>
          <w:color w:val="000000" w:themeColor="text1"/>
          <w:szCs w:val="24"/>
        </w:rPr>
        <w:t>%, un gada mērķa izpilde ir 3</w:t>
      </w:r>
      <w:r w:rsidR="00CE6A29" w:rsidRPr="008E4EA2">
        <w:rPr>
          <w:color w:val="000000" w:themeColor="text1"/>
          <w:szCs w:val="24"/>
        </w:rPr>
        <w:t>6,</w:t>
      </w:r>
      <w:r w:rsidR="00A41B58" w:rsidRPr="008E4EA2">
        <w:rPr>
          <w:color w:val="000000" w:themeColor="text1"/>
          <w:szCs w:val="24"/>
        </w:rPr>
        <w:t>7%, kas nozīmē, ka līdz 2012.gada trešā ceturkšņa beigām izmaksāts nedaudz vairāk kā viena trešā daļa no noteiktā maksājumu mērķa apjoma.</w:t>
      </w:r>
      <w:r w:rsidR="00A91E57" w:rsidRPr="008E4EA2">
        <w:rPr>
          <w:color w:val="000000" w:themeColor="text1"/>
          <w:szCs w:val="24"/>
        </w:rPr>
        <w:t xml:space="preserve"> Savukārt, ņemot vērā aktivitātes „Klasteru programma” īstenošanas uzsākšanu, pārskata periodā prioritātes finanšu progresa tendence vērtējama pozitīvi. Aktivitātē „Klasteru programma” noslēgti 11 līgumi dažādās tautsaimniecības nozarēs ar mērķi attīstīt jaunus produktus, apgūt eksporta tirgus un radīt pamatu katras nozares ieguldījuma Latvijas ekonomikā paaugstināšanai nākotnē.</w:t>
      </w:r>
    </w:p>
    <w:p w:rsidR="00A41B58" w:rsidRPr="008E4EA2" w:rsidRDefault="00A41B58" w:rsidP="003A0029">
      <w:pPr>
        <w:spacing w:before="120" w:after="120" w:line="276" w:lineRule="auto"/>
        <w:rPr>
          <w:color w:val="000000" w:themeColor="text1"/>
          <w:szCs w:val="24"/>
        </w:rPr>
      </w:pPr>
      <w:r w:rsidRPr="008E4EA2">
        <w:rPr>
          <w:color w:val="000000" w:themeColor="text1"/>
          <w:szCs w:val="24"/>
        </w:rPr>
        <w:t xml:space="preserve">Pārskata periodā tika organizētas tikšanās starp LIAA, EM un </w:t>
      </w:r>
      <w:r w:rsidR="00C776AE" w:rsidRPr="008E4EA2">
        <w:rPr>
          <w:color w:val="000000" w:themeColor="text1"/>
          <w:szCs w:val="24"/>
        </w:rPr>
        <w:t>VI</w:t>
      </w:r>
      <w:r w:rsidRPr="008E4EA2">
        <w:rPr>
          <w:color w:val="000000" w:themeColor="text1"/>
          <w:szCs w:val="24"/>
        </w:rPr>
        <w:t xml:space="preserve">, lai rastu risinājumu efektīvākai un korektākai aktivitātes „Biznesa inkubatori” ieviešanai un uzraudzībai. </w:t>
      </w:r>
      <w:r w:rsidR="00034FBA" w:rsidRPr="008E4EA2">
        <w:rPr>
          <w:color w:val="000000" w:themeColor="text1"/>
          <w:szCs w:val="24"/>
        </w:rPr>
        <w:t>EM un LIAA t</w:t>
      </w:r>
      <w:r w:rsidRPr="008E4EA2">
        <w:rPr>
          <w:color w:val="000000" w:themeColor="text1"/>
          <w:szCs w:val="24"/>
        </w:rPr>
        <w:t>urpin</w:t>
      </w:r>
      <w:r w:rsidR="00034FBA" w:rsidRPr="008E4EA2">
        <w:rPr>
          <w:color w:val="000000" w:themeColor="text1"/>
          <w:szCs w:val="24"/>
        </w:rPr>
        <w:t>a</w:t>
      </w:r>
      <w:r w:rsidRPr="008E4EA2">
        <w:rPr>
          <w:color w:val="000000" w:themeColor="text1"/>
          <w:szCs w:val="24"/>
        </w:rPr>
        <w:t xml:space="preserve"> darb</w:t>
      </w:r>
      <w:r w:rsidR="00034FBA" w:rsidRPr="008E4EA2">
        <w:rPr>
          <w:color w:val="000000" w:themeColor="text1"/>
          <w:szCs w:val="24"/>
        </w:rPr>
        <w:t>u</w:t>
      </w:r>
      <w:r w:rsidRPr="008E4EA2">
        <w:rPr>
          <w:color w:val="000000" w:themeColor="text1"/>
          <w:szCs w:val="24"/>
        </w:rPr>
        <w:t xml:space="preserve"> pie RI veiktā audita ziņojumā iekļauto ieteikumu ieviešanas, lai varētu atjaunot aktivitātes ietvaros veikto maksājumu deklarēšanu.</w:t>
      </w:r>
    </w:p>
    <w:p w:rsidR="001E53C0" w:rsidRPr="008E4EA2" w:rsidRDefault="00A41B58" w:rsidP="003A0029">
      <w:pPr>
        <w:spacing w:before="120" w:after="120" w:line="276" w:lineRule="auto"/>
        <w:rPr>
          <w:color w:val="000000" w:themeColor="text1"/>
          <w:szCs w:val="24"/>
        </w:rPr>
      </w:pPr>
      <w:r w:rsidRPr="008E4EA2">
        <w:rPr>
          <w:color w:val="000000" w:themeColor="text1"/>
          <w:szCs w:val="24"/>
        </w:rPr>
        <w:t xml:space="preserve">Informāciju par TP aktivitāšu īstenošanu lūdzam skatīt sadaļā </w:t>
      </w:r>
      <w:r w:rsidR="00E17B07" w:rsidRPr="008E4EA2">
        <w:rPr>
          <w:color w:val="000000" w:themeColor="text1"/>
          <w:szCs w:val="24"/>
        </w:rPr>
        <w:t>2</w:t>
      </w:r>
      <w:r w:rsidRPr="008E4EA2">
        <w:rPr>
          <w:color w:val="000000" w:themeColor="text1"/>
          <w:szCs w:val="24"/>
        </w:rPr>
        <w:t>.7. „Kopsavilkums par TP aktivitāšu īstenošanu”.</w:t>
      </w:r>
      <w:r w:rsidR="00240BAC" w:rsidRPr="008E4EA2">
        <w:rPr>
          <w:color w:val="000000" w:themeColor="text1"/>
          <w:szCs w:val="24"/>
        </w:rPr>
        <w:t xml:space="preserve"> </w:t>
      </w:r>
    </w:p>
    <w:p w:rsidR="001E53C0" w:rsidRPr="008E4EA2" w:rsidRDefault="00D97278" w:rsidP="003A0029">
      <w:pPr>
        <w:pStyle w:val="2lmenis"/>
        <w:numPr>
          <w:ilvl w:val="2"/>
          <w:numId w:val="2"/>
        </w:numPr>
        <w:spacing w:before="120" w:after="120" w:line="276" w:lineRule="auto"/>
        <w:jc w:val="both"/>
        <w:rPr>
          <w:color w:val="000000" w:themeColor="text1"/>
          <w:sz w:val="24"/>
          <w:szCs w:val="24"/>
          <w:lang w:val="lv-LV"/>
        </w:rPr>
      </w:pPr>
      <w:bookmarkStart w:id="38" w:name="_Toc340241697"/>
      <w:bookmarkEnd w:id="37"/>
      <w:r w:rsidRPr="008E4EA2">
        <w:rPr>
          <w:color w:val="000000" w:themeColor="text1"/>
          <w:sz w:val="24"/>
          <w:szCs w:val="24"/>
          <w:lang w:val="lv-LV"/>
        </w:rPr>
        <w:t>Publisko resurs</w:t>
      </w:r>
      <w:r w:rsidR="00E64901">
        <w:rPr>
          <w:color w:val="000000" w:themeColor="text1"/>
          <w:sz w:val="24"/>
          <w:szCs w:val="24"/>
          <w:lang w:val="lv-LV"/>
        </w:rPr>
        <w:t>u ieguldījums darbības programmā</w:t>
      </w:r>
      <w:r w:rsidR="000B4535" w:rsidRPr="008E4EA2">
        <w:rPr>
          <w:color w:val="000000" w:themeColor="text1"/>
          <w:sz w:val="24"/>
          <w:szCs w:val="24"/>
          <w:lang w:val="lv-LV"/>
        </w:rPr>
        <w:t xml:space="preserve"> </w:t>
      </w:r>
      <w:r w:rsidR="00E15CBF" w:rsidRPr="008E4EA2">
        <w:rPr>
          <w:color w:val="000000" w:themeColor="text1"/>
          <w:sz w:val="24"/>
          <w:szCs w:val="24"/>
          <w:lang w:val="lv-LV"/>
        </w:rPr>
        <w:t>„</w:t>
      </w:r>
      <w:r w:rsidR="001E53C0" w:rsidRPr="008E4EA2">
        <w:rPr>
          <w:color w:val="000000" w:themeColor="text1"/>
          <w:sz w:val="24"/>
          <w:szCs w:val="24"/>
          <w:lang w:val="lv-LV"/>
        </w:rPr>
        <w:t>Infrastruktūra un pakalpojumi</w:t>
      </w:r>
      <w:r w:rsidR="00341AB2" w:rsidRPr="008E4EA2">
        <w:rPr>
          <w:color w:val="000000" w:themeColor="text1"/>
          <w:sz w:val="24"/>
          <w:szCs w:val="24"/>
          <w:lang w:val="lv-LV"/>
        </w:rPr>
        <w:t>”</w:t>
      </w:r>
      <w:bookmarkEnd w:id="38"/>
    </w:p>
    <w:p w:rsidR="00BE2E40" w:rsidRPr="008E4EA2" w:rsidRDefault="00BE2E40" w:rsidP="003A0029">
      <w:pPr>
        <w:spacing w:before="120" w:after="120" w:line="276" w:lineRule="auto"/>
        <w:rPr>
          <w:color w:val="000000" w:themeColor="text1"/>
          <w:szCs w:val="24"/>
          <w:lang w:eastAsia="lv-LV"/>
        </w:rPr>
      </w:pPr>
      <w:r w:rsidRPr="008E4EA2">
        <w:rPr>
          <w:color w:val="000000" w:themeColor="text1"/>
          <w:szCs w:val="24"/>
          <w:lang w:eastAsia="lv-LV"/>
        </w:rPr>
        <w:t xml:space="preserve">Liela daļa darbības programmas projektu joprojām </w:t>
      </w:r>
      <w:r w:rsidR="00482FDB" w:rsidRPr="008E4EA2">
        <w:rPr>
          <w:color w:val="000000" w:themeColor="text1"/>
          <w:szCs w:val="24"/>
          <w:lang w:eastAsia="lv-LV"/>
        </w:rPr>
        <w:t xml:space="preserve">ir </w:t>
      </w:r>
      <w:r w:rsidRPr="008E4EA2">
        <w:rPr>
          <w:color w:val="000000" w:themeColor="text1"/>
          <w:szCs w:val="24"/>
          <w:lang w:eastAsia="lv-LV"/>
        </w:rPr>
        <w:t>ieviešanas posmā, trešajā</w:t>
      </w:r>
      <w:r w:rsidR="003271BE" w:rsidRPr="008E4EA2">
        <w:rPr>
          <w:color w:val="000000" w:themeColor="text1"/>
          <w:szCs w:val="24"/>
          <w:lang w:eastAsia="lv-LV"/>
        </w:rPr>
        <w:t xml:space="preserve"> </w:t>
      </w:r>
      <w:r w:rsidRPr="008E4EA2">
        <w:rPr>
          <w:color w:val="000000" w:themeColor="text1"/>
          <w:szCs w:val="24"/>
          <w:lang w:eastAsia="lv-LV"/>
        </w:rPr>
        <w:t xml:space="preserve">ceturksnī, salīdzinot ar otro ceturksni, progress ir bijis neliels attiecībā uz apstiprinātajiem </w:t>
      </w:r>
      <w:r w:rsidRPr="008E4EA2">
        <w:rPr>
          <w:color w:val="000000" w:themeColor="text1"/>
          <w:szCs w:val="24"/>
          <w:lang w:eastAsia="lv-LV"/>
        </w:rPr>
        <w:lastRenderedPageBreak/>
        <w:t xml:space="preserve">projektiem (2,9% jeb 70 </w:t>
      </w:r>
      <w:proofErr w:type="spellStart"/>
      <w:r w:rsidRPr="008E4EA2">
        <w:rPr>
          <w:color w:val="000000" w:themeColor="text1"/>
          <w:szCs w:val="24"/>
          <w:lang w:eastAsia="lv-LV"/>
        </w:rPr>
        <w:t>milj</w:t>
      </w:r>
      <w:proofErr w:type="spellEnd"/>
      <w:r w:rsidRPr="008E4EA2">
        <w:rPr>
          <w:color w:val="000000" w:themeColor="text1"/>
          <w:szCs w:val="24"/>
          <w:lang w:eastAsia="lv-LV"/>
        </w:rPr>
        <w:t>.</w:t>
      </w:r>
      <w:r w:rsidR="003271BE" w:rsidRPr="008E4EA2">
        <w:rPr>
          <w:color w:val="000000" w:themeColor="text1"/>
          <w:szCs w:val="24"/>
          <w:lang w:eastAsia="lv-LV"/>
        </w:rPr>
        <w:t xml:space="preserve"> latu</w:t>
      </w:r>
      <w:r w:rsidRPr="008E4EA2">
        <w:rPr>
          <w:color w:val="000000" w:themeColor="text1"/>
          <w:szCs w:val="24"/>
          <w:lang w:eastAsia="lv-LV"/>
        </w:rPr>
        <w:t>),</w:t>
      </w:r>
      <w:r w:rsidR="003271BE" w:rsidRPr="008E4EA2">
        <w:rPr>
          <w:color w:val="000000" w:themeColor="text1"/>
          <w:szCs w:val="24"/>
          <w:lang w:eastAsia="lv-LV"/>
        </w:rPr>
        <w:t xml:space="preserve"> </w:t>
      </w:r>
      <w:r w:rsidRPr="008E4EA2">
        <w:rPr>
          <w:color w:val="000000" w:themeColor="text1"/>
          <w:szCs w:val="24"/>
          <w:lang w:eastAsia="lv-LV"/>
        </w:rPr>
        <w:t xml:space="preserve">noslēgtajiem līgumiem (2,5% jeb 62 </w:t>
      </w:r>
      <w:proofErr w:type="spellStart"/>
      <w:r w:rsidRPr="008E4EA2">
        <w:rPr>
          <w:color w:val="000000" w:themeColor="text1"/>
          <w:szCs w:val="24"/>
          <w:lang w:eastAsia="lv-LV"/>
        </w:rPr>
        <w:t>milj</w:t>
      </w:r>
      <w:proofErr w:type="spellEnd"/>
      <w:r w:rsidRPr="008E4EA2">
        <w:rPr>
          <w:color w:val="000000" w:themeColor="text1"/>
          <w:szCs w:val="24"/>
          <w:lang w:eastAsia="lv-LV"/>
        </w:rPr>
        <w:t>.</w:t>
      </w:r>
      <w:r w:rsidR="003271BE" w:rsidRPr="008E4EA2">
        <w:rPr>
          <w:color w:val="000000" w:themeColor="text1"/>
          <w:szCs w:val="24"/>
          <w:lang w:eastAsia="lv-LV"/>
        </w:rPr>
        <w:t xml:space="preserve"> latu</w:t>
      </w:r>
      <w:r w:rsidRPr="008E4EA2">
        <w:rPr>
          <w:color w:val="000000" w:themeColor="text1"/>
          <w:szCs w:val="24"/>
          <w:lang w:eastAsia="lv-LV"/>
        </w:rPr>
        <w:t xml:space="preserve">), kā arī veiktajiem maksājumiem finansējuma saņēmējiem (2,6% jeb 65 </w:t>
      </w:r>
      <w:proofErr w:type="spellStart"/>
      <w:r w:rsidRPr="008E4EA2">
        <w:rPr>
          <w:color w:val="000000" w:themeColor="text1"/>
          <w:szCs w:val="24"/>
          <w:lang w:eastAsia="lv-LV"/>
        </w:rPr>
        <w:t>milj</w:t>
      </w:r>
      <w:proofErr w:type="spellEnd"/>
      <w:r w:rsidRPr="008E4EA2">
        <w:rPr>
          <w:color w:val="000000" w:themeColor="text1"/>
          <w:szCs w:val="24"/>
          <w:lang w:eastAsia="lv-LV"/>
        </w:rPr>
        <w:t>.</w:t>
      </w:r>
      <w:r w:rsidR="003271BE" w:rsidRPr="008E4EA2">
        <w:rPr>
          <w:color w:val="000000" w:themeColor="text1"/>
          <w:szCs w:val="24"/>
          <w:lang w:eastAsia="lv-LV"/>
        </w:rPr>
        <w:t xml:space="preserve"> latu</w:t>
      </w:r>
      <w:r w:rsidRPr="008E4EA2">
        <w:rPr>
          <w:color w:val="000000" w:themeColor="text1"/>
          <w:szCs w:val="24"/>
          <w:lang w:eastAsia="lv-LV"/>
        </w:rPr>
        <w:t>). Lielāk</w:t>
      </w:r>
      <w:r w:rsidR="00034FBA" w:rsidRPr="008E4EA2">
        <w:rPr>
          <w:color w:val="000000" w:themeColor="text1"/>
          <w:szCs w:val="24"/>
          <w:lang w:eastAsia="lv-LV"/>
        </w:rPr>
        <w:t>ā negatīvā ietekme bija</w:t>
      </w:r>
      <w:r w:rsidRPr="008E4EA2">
        <w:rPr>
          <w:color w:val="000000" w:themeColor="text1"/>
          <w:szCs w:val="24"/>
          <w:lang w:eastAsia="lv-LV"/>
        </w:rPr>
        <w:t xml:space="preserve"> profesionālās izglītības infrastruktūras pasākumā, kurā bija nepieciešams lauzt lielu daļu jau noslēgto līgumu un sagatavot jaunu projektu atlasi. Taču atsevišķās jomā</w:t>
      </w:r>
      <w:r w:rsidR="00482FDB" w:rsidRPr="008E4EA2">
        <w:rPr>
          <w:color w:val="000000" w:themeColor="text1"/>
          <w:szCs w:val="24"/>
          <w:lang w:eastAsia="lv-LV"/>
        </w:rPr>
        <w:t>s</w:t>
      </w:r>
      <w:r w:rsidRPr="008E4EA2">
        <w:rPr>
          <w:color w:val="000000" w:themeColor="text1"/>
          <w:szCs w:val="24"/>
          <w:lang w:eastAsia="lv-LV"/>
        </w:rPr>
        <w:t xml:space="preserve"> maksājumi ir veikti lielākā apjomā nekā AI plānojušas, galvenokārt, </w:t>
      </w:r>
      <w:r w:rsidR="00D10881">
        <w:rPr>
          <w:color w:val="000000" w:themeColor="text1"/>
          <w:szCs w:val="24"/>
          <w:lang w:eastAsia="lv-LV"/>
        </w:rPr>
        <w:t>reģionālie autoceļi</w:t>
      </w:r>
      <w:r w:rsidRPr="008E4EA2">
        <w:rPr>
          <w:color w:val="000000" w:themeColor="text1"/>
          <w:szCs w:val="24"/>
          <w:lang w:eastAsia="lv-LV"/>
        </w:rPr>
        <w:t xml:space="preserve"> un </w:t>
      </w:r>
      <w:proofErr w:type="spellStart"/>
      <w:r w:rsidRPr="008E4EA2">
        <w:rPr>
          <w:color w:val="000000" w:themeColor="text1"/>
          <w:szCs w:val="24"/>
          <w:lang w:eastAsia="lv-LV"/>
        </w:rPr>
        <w:t>tranzītielu</w:t>
      </w:r>
      <w:proofErr w:type="spellEnd"/>
      <w:r w:rsidRPr="008E4EA2">
        <w:rPr>
          <w:color w:val="000000" w:themeColor="text1"/>
          <w:szCs w:val="24"/>
          <w:lang w:eastAsia="lv-LV"/>
        </w:rPr>
        <w:t>, IKT, veselības, vides un pilsētvides attīstības projektos. Visievērojamākais maksājumu progress bijis izglītības infrastruktūra</w:t>
      </w:r>
      <w:r w:rsidR="00482FDB" w:rsidRPr="008E4EA2">
        <w:rPr>
          <w:color w:val="000000" w:themeColor="text1"/>
          <w:szCs w:val="24"/>
          <w:lang w:eastAsia="lv-LV"/>
        </w:rPr>
        <w:t>s</w:t>
      </w:r>
      <w:r w:rsidRPr="008E4EA2">
        <w:rPr>
          <w:color w:val="000000" w:themeColor="text1"/>
          <w:szCs w:val="24"/>
          <w:lang w:eastAsia="lv-LV"/>
        </w:rPr>
        <w:t xml:space="preserve"> vispārējo prasmju nodrošināšana</w:t>
      </w:r>
      <w:r w:rsidR="00482FDB" w:rsidRPr="008E4EA2">
        <w:rPr>
          <w:color w:val="000000" w:themeColor="text1"/>
          <w:szCs w:val="24"/>
          <w:lang w:eastAsia="lv-LV"/>
        </w:rPr>
        <w:t>s</w:t>
      </w:r>
      <w:r w:rsidRPr="008E4EA2">
        <w:rPr>
          <w:color w:val="000000" w:themeColor="text1"/>
          <w:szCs w:val="24"/>
          <w:lang w:eastAsia="lv-LV"/>
        </w:rPr>
        <w:t>, TEN-T dzelzceļa un kvalitatīvas vides un ekonomiska</w:t>
      </w:r>
      <w:r w:rsidR="00482FDB" w:rsidRPr="008E4EA2">
        <w:rPr>
          <w:color w:val="000000" w:themeColor="text1"/>
          <w:szCs w:val="24"/>
          <w:lang w:eastAsia="lv-LV"/>
        </w:rPr>
        <w:t>s</w:t>
      </w:r>
      <w:r w:rsidRPr="008E4EA2">
        <w:rPr>
          <w:color w:val="000000" w:themeColor="text1"/>
          <w:szCs w:val="24"/>
          <w:lang w:eastAsia="lv-LV"/>
        </w:rPr>
        <w:t xml:space="preserve"> aktivitāte</w:t>
      </w:r>
      <w:r w:rsidR="00482FDB" w:rsidRPr="008E4EA2">
        <w:rPr>
          <w:color w:val="000000" w:themeColor="text1"/>
          <w:szCs w:val="24"/>
          <w:lang w:eastAsia="lv-LV"/>
        </w:rPr>
        <w:t>s</w:t>
      </w:r>
      <w:r w:rsidRPr="008E4EA2">
        <w:rPr>
          <w:color w:val="000000" w:themeColor="text1"/>
          <w:szCs w:val="24"/>
          <w:lang w:eastAsia="lv-LV"/>
        </w:rPr>
        <w:t xml:space="preserve"> nodrošināšana</w:t>
      </w:r>
      <w:r w:rsidR="00482FDB" w:rsidRPr="008E4EA2">
        <w:rPr>
          <w:color w:val="000000" w:themeColor="text1"/>
          <w:szCs w:val="24"/>
          <w:lang w:eastAsia="lv-LV"/>
        </w:rPr>
        <w:t>s aktivitātēs</w:t>
      </w:r>
      <w:r w:rsidRPr="008E4EA2">
        <w:rPr>
          <w:color w:val="000000" w:themeColor="text1"/>
          <w:szCs w:val="24"/>
          <w:lang w:eastAsia="lv-LV"/>
        </w:rPr>
        <w:t>, pārsniedzot darbības programmā vidējo maksājumu progresu. (</w:t>
      </w:r>
      <w:r w:rsidRPr="008E4EA2">
        <w:rPr>
          <w:color w:val="000000" w:themeColor="text1"/>
          <w:szCs w:val="24"/>
          <w:u w:val="single"/>
          <w:lang w:eastAsia="lv-LV"/>
        </w:rPr>
        <w:t>skatīt grafiku Nr.</w:t>
      </w:r>
      <w:r w:rsidR="001F2246" w:rsidRPr="008E4EA2">
        <w:rPr>
          <w:color w:val="000000" w:themeColor="text1"/>
          <w:szCs w:val="24"/>
          <w:u w:val="single"/>
          <w:lang w:eastAsia="lv-LV"/>
        </w:rPr>
        <w:t>14</w:t>
      </w:r>
      <w:r w:rsidRPr="008E4EA2">
        <w:rPr>
          <w:color w:val="000000" w:themeColor="text1"/>
          <w:szCs w:val="24"/>
          <w:u w:val="single"/>
          <w:lang w:eastAsia="lv-LV"/>
        </w:rPr>
        <w:t xml:space="preserve"> un pielikumu Nr.1.)</w:t>
      </w:r>
      <w:r w:rsidRPr="008E4EA2">
        <w:rPr>
          <w:color w:val="000000" w:themeColor="text1"/>
          <w:szCs w:val="24"/>
          <w:lang w:eastAsia="lv-LV"/>
        </w:rPr>
        <w:t xml:space="preserve"> </w:t>
      </w:r>
    </w:p>
    <w:p w:rsidR="00BE2E40" w:rsidRPr="008E4EA2" w:rsidRDefault="00BE2E40" w:rsidP="003A0029">
      <w:pPr>
        <w:spacing w:before="120" w:after="120" w:line="276" w:lineRule="auto"/>
        <w:rPr>
          <w:color w:val="000000" w:themeColor="text1"/>
          <w:szCs w:val="24"/>
          <w:lang w:eastAsia="lv-LV"/>
        </w:rPr>
      </w:pPr>
      <w:r w:rsidRPr="008E4EA2">
        <w:rPr>
          <w:color w:val="000000" w:themeColor="text1"/>
          <w:szCs w:val="24"/>
          <w:lang w:eastAsia="lv-LV"/>
        </w:rPr>
        <w:t xml:space="preserve">Galvenie projektu ieviešanu kavējošie faktori arī šajā pārskata periodā ir iepirkumu problēmas (sūdzības, iepirkumu beigšanās bez rezultātiem, problēmas iepirkumu procedūras norisē), </w:t>
      </w:r>
      <w:r w:rsidR="00482FDB" w:rsidRPr="008E4EA2">
        <w:rPr>
          <w:color w:val="000000" w:themeColor="text1"/>
          <w:szCs w:val="24"/>
          <w:lang w:eastAsia="lv-LV"/>
        </w:rPr>
        <w:t xml:space="preserve">projektu ietvaros </w:t>
      </w:r>
      <w:r w:rsidRPr="008E4EA2">
        <w:rPr>
          <w:color w:val="000000" w:themeColor="text1"/>
          <w:szCs w:val="24"/>
          <w:lang w:eastAsia="lv-LV"/>
        </w:rPr>
        <w:t>konstatētas neatbilstības un jautājumi saistīti ar MK noteikumos par aktivitāšu īstenošanu noteikto izdevumu pozīciju apjoma pārsniegumu, pieaugoš</w:t>
      </w:r>
      <w:r w:rsidR="00482FDB" w:rsidRPr="008E4EA2">
        <w:rPr>
          <w:color w:val="000000" w:themeColor="text1"/>
          <w:szCs w:val="24"/>
          <w:lang w:eastAsia="lv-LV"/>
        </w:rPr>
        <w:t>i</w:t>
      </w:r>
      <w:r w:rsidRPr="008E4EA2">
        <w:rPr>
          <w:color w:val="000000" w:themeColor="text1"/>
          <w:szCs w:val="24"/>
          <w:lang w:eastAsia="lv-LV"/>
        </w:rPr>
        <w:t xml:space="preserve"> sadārdzinājum</w:t>
      </w:r>
      <w:r w:rsidR="00482FDB" w:rsidRPr="008E4EA2">
        <w:rPr>
          <w:color w:val="000000" w:themeColor="text1"/>
          <w:szCs w:val="24"/>
          <w:lang w:eastAsia="lv-LV"/>
        </w:rPr>
        <w:t>i</w:t>
      </w:r>
      <w:r w:rsidRPr="008E4EA2">
        <w:rPr>
          <w:color w:val="000000" w:themeColor="text1"/>
          <w:szCs w:val="24"/>
          <w:lang w:eastAsia="lv-LV"/>
        </w:rPr>
        <w:t xml:space="preserve"> autoceļu būvniecības un ūdenssaimniecības projektos, kā arī projektu ieviešanas termiņu pagarinājumi.</w:t>
      </w:r>
    </w:p>
    <w:p w:rsidR="00BE2E40" w:rsidRPr="008E4EA2" w:rsidRDefault="00BE2E40" w:rsidP="003A0029">
      <w:pPr>
        <w:spacing w:before="120" w:after="120" w:line="276" w:lineRule="auto"/>
        <w:rPr>
          <w:color w:val="000000" w:themeColor="text1"/>
          <w:szCs w:val="24"/>
        </w:rPr>
      </w:pPr>
      <w:r w:rsidRPr="008E4EA2">
        <w:rPr>
          <w:color w:val="000000" w:themeColor="text1"/>
          <w:szCs w:val="24"/>
        </w:rPr>
        <w:t xml:space="preserve">Attiecībā uz Iecavas novada </w:t>
      </w:r>
      <w:r w:rsidR="00482FDB" w:rsidRPr="008E4EA2">
        <w:rPr>
          <w:color w:val="000000" w:themeColor="text1"/>
          <w:szCs w:val="24"/>
        </w:rPr>
        <w:t>pašvaldības teritorijā īstenoto</w:t>
      </w:r>
      <w:r w:rsidRPr="008E4EA2">
        <w:rPr>
          <w:color w:val="000000" w:themeColor="text1"/>
          <w:szCs w:val="24"/>
        </w:rPr>
        <w:t xml:space="preserve"> ceļu uzlabošanas projektu un ūdenssaimniecības projektu (</w:t>
      </w:r>
      <w:r w:rsidR="00F139BD" w:rsidRPr="008E4EA2">
        <w:rPr>
          <w:color w:val="000000" w:themeColor="text1"/>
          <w:szCs w:val="24"/>
        </w:rPr>
        <w:t>KF</w:t>
      </w:r>
      <w:r w:rsidRPr="008E4EA2">
        <w:rPr>
          <w:color w:val="000000" w:themeColor="text1"/>
          <w:szCs w:val="24"/>
        </w:rPr>
        <w:t xml:space="preserve"> līdzfinansētie projekti „Valsts galvenā autoceļa A7 Rīga </w:t>
      </w:r>
      <w:r w:rsidR="003A0029" w:rsidRPr="008E4EA2">
        <w:rPr>
          <w:color w:val="000000" w:themeColor="text1"/>
          <w:szCs w:val="24"/>
        </w:rPr>
        <w:t>–</w:t>
      </w:r>
      <w:r w:rsidRPr="008E4EA2">
        <w:rPr>
          <w:color w:val="000000" w:themeColor="text1"/>
          <w:szCs w:val="24"/>
        </w:rPr>
        <w:t xml:space="preserve"> Bauska </w:t>
      </w:r>
      <w:r w:rsidR="003A0029" w:rsidRPr="008E4EA2">
        <w:rPr>
          <w:color w:val="000000" w:themeColor="text1"/>
          <w:szCs w:val="24"/>
        </w:rPr>
        <w:t>–</w:t>
      </w:r>
      <w:r w:rsidRPr="008E4EA2">
        <w:rPr>
          <w:color w:val="000000" w:themeColor="text1"/>
          <w:szCs w:val="24"/>
        </w:rPr>
        <w:t xml:space="preserve"> Lietuvas robeža (Grenctāle) km 42,90 </w:t>
      </w:r>
      <w:r w:rsidR="003A0029" w:rsidRPr="008E4EA2">
        <w:rPr>
          <w:color w:val="000000" w:themeColor="text1"/>
          <w:szCs w:val="24"/>
        </w:rPr>
        <w:t>–</w:t>
      </w:r>
      <w:r w:rsidRPr="008E4EA2">
        <w:rPr>
          <w:color w:val="000000" w:themeColor="text1"/>
          <w:szCs w:val="24"/>
        </w:rPr>
        <w:t xml:space="preserve"> 44,80 segas rekonstrukcija” un „Ūdenssaimniecības pakalpojumu attīstība Iecavas novadā”), atbilstoši </w:t>
      </w:r>
      <w:proofErr w:type="spellStart"/>
      <w:r w:rsidRPr="008E4EA2">
        <w:rPr>
          <w:color w:val="000000" w:themeColor="text1"/>
          <w:szCs w:val="24"/>
        </w:rPr>
        <w:t>š.g</w:t>
      </w:r>
      <w:proofErr w:type="spellEnd"/>
      <w:r w:rsidRPr="008E4EA2">
        <w:rPr>
          <w:color w:val="000000" w:themeColor="text1"/>
          <w:szCs w:val="24"/>
        </w:rPr>
        <w:t>. 21.augusta MK lēmum</w:t>
      </w:r>
      <w:r w:rsidR="00482FDB" w:rsidRPr="008E4EA2">
        <w:rPr>
          <w:color w:val="000000" w:themeColor="text1"/>
          <w:szCs w:val="24"/>
        </w:rPr>
        <w:t>u</w:t>
      </w:r>
      <w:r w:rsidRPr="008E4EA2">
        <w:rPr>
          <w:color w:val="000000" w:themeColor="text1"/>
          <w:szCs w:val="24"/>
        </w:rPr>
        <w:t xml:space="preserve"> Nr.48 28§ nolemtajam, FM </w:t>
      </w:r>
      <w:r w:rsidR="000F657E" w:rsidRPr="008E4EA2">
        <w:rPr>
          <w:color w:val="000000" w:themeColor="text1"/>
          <w:szCs w:val="24"/>
        </w:rPr>
        <w:t xml:space="preserve">lūdza deleģēt iesaistīto institūciju pārstāvjus </w:t>
      </w:r>
      <w:r w:rsidRPr="008E4EA2">
        <w:rPr>
          <w:color w:val="000000" w:themeColor="text1"/>
          <w:szCs w:val="24"/>
        </w:rPr>
        <w:t>darba grup</w:t>
      </w:r>
      <w:r w:rsidR="000F657E" w:rsidRPr="008E4EA2">
        <w:rPr>
          <w:color w:val="000000" w:themeColor="text1"/>
          <w:szCs w:val="24"/>
        </w:rPr>
        <w:t>ai</w:t>
      </w:r>
      <w:r w:rsidRPr="008E4EA2">
        <w:rPr>
          <w:color w:val="000000" w:themeColor="text1"/>
          <w:szCs w:val="24"/>
        </w:rPr>
        <w:t xml:space="preserve">, lai izstrādātu priekšlikumu efektīvam pašvaldību teritoriju attīstības projektu koordinācijas mehānismam, kas novērstu publisko resursu nelietderīgu un nepamatotu izlietošanu, ko rada darbību </w:t>
      </w:r>
      <w:r w:rsidR="003F559F" w:rsidRPr="008E4EA2">
        <w:rPr>
          <w:color w:val="000000" w:themeColor="text1"/>
          <w:szCs w:val="24"/>
        </w:rPr>
        <w:t>pārklāšanās konkrētā teritorijā</w:t>
      </w:r>
      <w:r w:rsidR="00156DFF" w:rsidRPr="008E4EA2">
        <w:rPr>
          <w:color w:val="000000" w:themeColor="text1"/>
          <w:szCs w:val="24"/>
        </w:rPr>
        <w:t xml:space="preserve">, līdz ar to </w:t>
      </w:r>
      <w:proofErr w:type="spellStart"/>
      <w:r w:rsidR="00156DFF" w:rsidRPr="008E4EA2">
        <w:rPr>
          <w:color w:val="000000" w:themeColor="text1"/>
          <w:szCs w:val="24"/>
        </w:rPr>
        <w:t>š.g</w:t>
      </w:r>
      <w:proofErr w:type="spellEnd"/>
      <w:r w:rsidR="00156DFF" w:rsidRPr="008E4EA2">
        <w:rPr>
          <w:color w:val="000000" w:themeColor="text1"/>
          <w:szCs w:val="24"/>
        </w:rPr>
        <w:t xml:space="preserve">. </w:t>
      </w:r>
      <w:r w:rsidR="009A7E1C" w:rsidRPr="008E4EA2">
        <w:rPr>
          <w:color w:val="000000" w:themeColor="text1"/>
          <w:szCs w:val="24"/>
        </w:rPr>
        <w:t xml:space="preserve">ceturtajā </w:t>
      </w:r>
      <w:r w:rsidR="00156DFF" w:rsidRPr="008E4EA2">
        <w:rPr>
          <w:color w:val="000000" w:themeColor="text1"/>
          <w:szCs w:val="24"/>
        </w:rPr>
        <w:t>ceturksnī ir plānota pirmā sanāksme.</w:t>
      </w:r>
    </w:p>
    <w:p w:rsidR="00F8429F" w:rsidRPr="008E4EA2" w:rsidRDefault="00C92DB5" w:rsidP="003A0029">
      <w:pPr>
        <w:spacing w:before="120" w:after="120" w:line="276" w:lineRule="auto"/>
        <w:rPr>
          <w:color w:val="000000" w:themeColor="text1"/>
          <w:szCs w:val="24"/>
        </w:rPr>
      </w:pPr>
      <w:r w:rsidRPr="008E4EA2">
        <w:rPr>
          <w:color w:val="000000" w:themeColor="text1"/>
          <w:szCs w:val="24"/>
        </w:rPr>
        <w:br w:type="column"/>
      </w:r>
      <w:r w:rsidR="001E53C0" w:rsidRPr="008E4EA2">
        <w:rPr>
          <w:color w:val="000000" w:themeColor="text1"/>
          <w:szCs w:val="24"/>
        </w:rPr>
        <w:lastRenderedPageBreak/>
        <w:t>Grafiks Nr.</w:t>
      </w:r>
      <w:r w:rsidR="00FE575F" w:rsidRPr="008E4EA2">
        <w:rPr>
          <w:color w:val="000000" w:themeColor="text1"/>
          <w:szCs w:val="24"/>
        </w:rPr>
        <w:t>1</w:t>
      </w:r>
      <w:r w:rsidR="0078381C" w:rsidRPr="008E4EA2">
        <w:rPr>
          <w:color w:val="000000" w:themeColor="text1"/>
          <w:szCs w:val="24"/>
        </w:rPr>
        <w:t>4</w:t>
      </w:r>
      <w:r w:rsidR="000B4535" w:rsidRPr="008E4EA2">
        <w:rPr>
          <w:i/>
          <w:color w:val="000000" w:themeColor="text1"/>
          <w:szCs w:val="24"/>
        </w:rPr>
        <w:t xml:space="preserve"> </w:t>
      </w:r>
      <w:r w:rsidR="00E15CBF" w:rsidRPr="008E4EA2">
        <w:rPr>
          <w:i/>
          <w:color w:val="000000" w:themeColor="text1"/>
          <w:szCs w:val="24"/>
        </w:rPr>
        <w:t>„</w:t>
      </w:r>
      <w:r w:rsidR="007E2DDE" w:rsidRPr="008E4EA2">
        <w:rPr>
          <w:i/>
          <w:iCs/>
          <w:color w:val="000000" w:themeColor="text1"/>
          <w:szCs w:val="24"/>
          <w:lang w:eastAsia="lv-LV"/>
        </w:rPr>
        <w:t xml:space="preserve">ES fondu finanšu apguve </w:t>
      </w:r>
      <w:r w:rsidR="007E2DDE" w:rsidRPr="008E4EA2">
        <w:rPr>
          <w:rFonts w:eastAsia="EUAlbertina-Bold-Identity-H"/>
          <w:i/>
          <w:color w:val="000000" w:themeColor="text1"/>
          <w:szCs w:val="24"/>
        </w:rPr>
        <w:t xml:space="preserve">līdz </w:t>
      </w:r>
      <w:r w:rsidR="00134989" w:rsidRPr="008E4EA2">
        <w:rPr>
          <w:i/>
          <w:color w:val="000000" w:themeColor="text1"/>
          <w:szCs w:val="24"/>
        </w:rPr>
        <w:t>2012.gada 30.</w:t>
      </w:r>
      <w:r w:rsidR="00672AF6" w:rsidRPr="008E4EA2">
        <w:rPr>
          <w:i/>
          <w:color w:val="000000" w:themeColor="text1"/>
          <w:szCs w:val="24"/>
        </w:rPr>
        <w:t>septembrim</w:t>
      </w:r>
      <w:r w:rsidR="00FB103C" w:rsidRPr="008E4EA2">
        <w:rPr>
          <w:i/>
          <w:color w:val="000000" w:themeColor="text1"/>
          <w:szCs w:val="24"/>
        </w:rPr>
        <w:t xml:space="preserve"> </w:t>
      </w:r>
      <w:r w:rsidR="001E53C0" w:rsidRPr="008E4EA2">
        <w:rPr>
          <w:i/>
          <w:color w:val="000000" w:themeColor="text1"/>
          <w:szCs w:val="24"/>
        </w:rPr>
        <w:t>darbības programmā</w:t>
      </w:r>
      <w:r w:rsidR="000B4535" w:rsidRPr="008E4EA2">
        <w:rPr>
          <w:i/>
          <w:color w:val="000000" w:themeColor="text1"/>
          <w:szCs w:val="24"/>
        </w:rPr>
        <w:t xml:space="preserve"> </w:t>
      </w:r>
      <w:r w:rsidR="00E15CBF" w:rsidRPr="008E4EA2">
        <w:rPr>
          <w:i/>
          <w:color w:val="000000" w:themeColor="text1"/>
          <w:szCs w:val="24"/>
        </w:rPr>
        <w:t>„</w:t>
      </w:r>
      <w:r w:rsidR="001E53C0" w:rsidRPr="008E4EA2">
        <w:rPr>
          <w:i/>
          <w:color w:val="000000" w:themeColor="text1"/>
          <w:szCs w:val="24"/>
        </w:rPr>
        <w:t>Infrastruktūra un pakalpojumi</w:t>
      </w:r>
      <w:r w:rsidR="009D3C1F" w:rsidRPr="008E4EA2">
        <w:rPr>
          <w:i/>
          <w:color w:val="000000" w:themeColor="text1"/>
          <w:szCs w:val="24"/>
        </w:rPr>
        <w:t>”</w:t>
      </w:r>
      <w:r w:rsidR="001E53C0" w:rsidRPr="008E4EA2">
        <w:rPr>
          <w:i/>
          <w:color w:val="000000" w:themeColor="text1"/>
          <w:szCs w:val="24"/>
        </w:rPr>
        <w:t>;</w:t>
      </w:r>
      <w:r w:rsidR="009D3C1F" w:rsidRPr="008E4EA2">
        <w:rPr>
          <w:i/>
          <w:color w:val="000000" w:themeColor="text1"/>
          <w:szCs w:val="24"/>
        </w:rPr>
        <w:t xml:space="preserve"> Publiskais finansējums,</w:t>
      </w:r>
      <w:r w:rsidR="001E53C0" w:rsidRPr="008E4EA2">
        <w:rPr>
          <w:i/>
          <w:color w:val="000000" w:themeColor="text1"/>
          <w:szCs w:val="24"/>
        </w:rPr>
        <w:t xml:space="preserve"> </w:t>
      </w:r>
      <w:proofErr w:type="spellStart"/>
      <w:r w:rsidR="001E53C0" w:rsidRPr="008E4EA2">
        <w:rPr>
          <w:i/>
          <w:color w:val="000000" w:themeColor="text1"/>
          <w:szCs w:val="24"/>
        </w:rPr>
        <w:t>milj</w:t>
      </w:r>
      <w:proofErr w:type="spellEnd"/>
      <w:r w:rsidR="001E53C0" w:rsidRPr="008E4EA2">
        <w:rPr>
          <w:i/>
          <w:color w:val="000000" w:themeColor="text1"/>
          <w:szCs w:val="24"/>
        </w:rPr>
        <w:t xml:space="preserve">. </w:t>
      </w:r>
      <w:r w:rsidR="00884EC7" w:rsidRPr="008E4EA2">
        <w:rPr>
          <w:rFonts w:eastAsia="EUAlbertina-Bold-Identity-H"/>
          <w:i/>
          <w:color w:val="000000" w:themeColor="text1"/>
          <w:szCs w:val="24"/>
        </w:rPr>
        <w:t>latu</w:t>
      </w:r>
      <w:r w:rsidR="001E53C0" w:rsidRPr="008E4EA2">
        <w:rPr>
          <w:i/>
          <w:color w:val="000000" w:themeColor="text1"/>
          <w:szCs w:val="24"/>
        </w:rPr>
        <w:t xml:space="preserve">, (% no pieejamā publiskā finansējuma); progress pret datiem </w:t>
      </w:r>
      <w:r w:rsidR="000456D8" w:rsidRPr="008E4EA2">
        <w:rPr>
          <w:i/>
          <w:color w:val="000000" w:themeColor="text1"/>
          <w:szCs w:val="24"/>
        </w:rPr>
        <w:t>līdz</w:t>
      </w:r>
      <w:r w:rsidR="001E53C0" w:rsidRPr="008E4EA2">
        <w:rPr>
          <w:i/>
          <w:color w:val="000000" w:themeColor="text1"/>
          <w:szCs w:val="24"/>
        </w:rPr>
        <w:t xml:space="preserve"> </w:t>
      </w:r>
      <w:bookmarkStart w:id="39" w:name="_MailAutoSig"/>
      <w:r w:rsidR="00134989" w:rsidRPr="008E4EA2">
        <w:rPr>
          <w:i/>
          <w:color w:val="000000" w:themeColor="text1"/>
          <w:szCs w:val="24"/>
        </w:rPr>
        <w:t>2012</w:t>
      </w:r>
      <w:r w:rsidR="00FB103C" w:rsidRPr="008E4EA2">
        <w:rPr>
          <w:i/>
          <w:color w:val="000000" w:themeColor="text1"/>
          <w:szCs w:val="24"/>
        </w:rPr>
        <w:t xml:space="preserve">.gada </w:t>
      </w:r>
      <w:r w:rsidR="00672AF6" w:rsidRPr="008E4EA2">
        <w:rPr>
          <w:i/>
          <w:color w:val="000000" w:themeColor="text1"/>
          <w:szCs w:val="24"/>
        </w:rPr>
        <w:t>30.jūnijam</w:t>
      </w:r>
      <w:r w:rsidR="009D3C1F" w:rsidRPr="008E4EA2">
        <w:rPr>
          <w:i/>
          <w:color w:val="000000" w:themeColor="text1"/>
          <w:szCs w:val="24"/>
        </w:rPr>
        <w:t>, %</w:t>
      </w:r>
      <w:r w:rsidR="00B47CDF" w:rsidRPr="008E4EA2">
        <w:rPr>
          <w:i/>
          <w:color w:val="000000" w:themeColor="text1"/>
          <w:szCs w:val="24"/>
        </w:rPr>
        <w:t>.</w:t>
      </w:r>
      <w:r w:rsidR="000B4535" w:rsidRPr="008E4EA2">
        <w:rPr>
          <w:i/>
          <w:color w:val="000000" w:themeColor="text1"/>
          <w:szCs w:val="24"/>
        </w:rPr>
        <w:t>”</w:t>
      </w:r>
    </w:p>
    <w:bookmarkEnd w:id="39"/>
    <w:p w:rsidR="008B7E1A" w:rsidRPr="008E4EA2" w:rsidRDefault="004D52C8" w:rsidP="003A0029">
      <w:pPr>
        <w:spacing w:before="120" w:after="120" w:line="276" w:lineRule="auto"/>
        <w:rPr>
          <w:b/>
          <w:color w:val="000000" w:themeColor="text1"/>
          <w:szCs w:val="24"/>
          <w:lang w:eastAsia="lv-LV"/>
        </w:rPr>
      </w:pPr>
      <w:r w:rsidRPr="004D52C8">
        <w:rPr>
          <w:noProof/>
          <w:sz w:val="22"/>
          <w:szCs w:val="22"/>
          <w:lang w:eastAsia="lv-LV"/>
        </w:rPr>
        <w:drawing>
          <wp:inline distT="0" distB="0" distL="0" distR="0" wp14:anchorId="515B1A1B" wp14:editId="2F0565BC">
            <wp:extent cx="6098651" cy="7720716"/>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D52C8" w:rsidRDefault="004D52C8" w:rsidP="003A0029">
      <w:pPr>
        <w:spacing w:before="120" w:after="120" w:line="276" w:lineRule="auto"/>
        <w:rPr>
          <w:b/>
          <w:color w:val="000000" w:themeColor="text1"/>
          <w:szCs w:val="24"/>
          <w:lang w:eastAsia="lv-LV"/>
        </w:rPr>
      </w:pPr>
    </w:p>
    <w:p w:rsidR="001B05B2" w:rsidRPr="008E4EA2" w:rsidRDefault="00E15CBF" w:rsidP="003A0029">
      <w:pPr>
        <w:spacing w:before="120" w:after="120" w:line="276" w:lineRule="auto"/>
        <w:rPr>
          <w:i/>
          <w:color w:val="000000" w:themeColor="text1"/>
          <w:szCs w:val="24"/>
        </w:rPr>
      </w:pPr>
      <w:r w:rsidRPr="008E4EA2">
        <w:rPr>
          <w:b/>
          <w:color w:val="000000" w:themeColor="text1"/>
          <w:szCs w:val="24"/>
          <w:lang w:eastAsia="lv-LV"/>
        </w:rPr>
        <w:lastRenderedPageBreak/>
        <w:t xml:space="preserve"> „</w:t>
      </w:r>
      <w:r w:rsidR="001B05B2" w:rsidRPr="008E4EA2">
        <w:rPr>
          <w:b/>
          <w:color w:val="000000" w:themeColor="text1"/>
          <w:szCs w:val="24"/>
          <w:lang w:eastAsia="lv-LV"/>
        </w:rPr>
        <w:t>Infrastruktūra cilvēku kapitāla nostiprināšanai</w:t>
      </w:r>
      <w:r w:rsidR="000B4535" w:rsidRPr="008E4EA2">
        <w:rPr>
          <w:b/>
          <w:color w:val="000000" w:themeColor="text1"/>
          <w:szCs w:val="24"/>
          <w:lang w:eastAsia="lv-LV"/>
        </w:rPr>
        <w:t>”</w:t>
      </w:r>
    </w:p>
    <w:p w:rsidR="001B05B2" w:rsidRPr="008E4EA2" w:rsidRDefault="001B05B2" w:rsidP="003A0029">
      <w:pPr>
        <w:pStyle w:val="NormalWeb"/>
        <w:spacing w:before="120" w:beforeAutospacing="0" w:after="120" w:afterAutospacing="0" w:line="276" w:lineRule="auto"/>
        <w:jc w:val="both"/>
        <w:rPr>
          <w:color w:val="000000" w:themeColor="text1"/>
          <w:lang w:val="lv-LV" w:eastAsia="lv-LV"/>
        </w:rPr>
      </w:pPr>
      <w:r w:rsidRPr="008E4EA2">
        <w:rPr>
          <w:color w:val="000000" w:themeColor="text1"/>
          <w:lang w:val="lv-LV" w:eastAsia="lv-LV"/>
        </w:rPr>
        <w:t>Prioritāte vērsta uz mūsdienīgas un augstas kvalitātes pakalpojumu nodrošināšanu izglītības, nodarbinātības, sociā</w:t>
      </w:r>
      <w:r w:rsidR="00903117" w:rsidRPr="008E4EA2">
        <w:rPr>
          <w:color w:val="000000" w:themeColor="text1"/>
          <w:lang w:val="lv-LV" w:eastAsia="lv-LV"/>
        </w:rPr>
        <w:t xml:space="preserve">lās un veselības aprūpes jomās, </w:t>
      </w:r>
      <w:r w:rsidRPr="008E4EA2">
        <w:rPr>
          <w:color w:val="000000" w:themeColor="text1"/>
          <w:lang w:val="lv-LV" w:eastAsia="lv-LV"/>
        </w:rPr>
        <w:t xml:space="preserve">atbalstu galvenokārt novirzot infrastruktūras un aprīkojuma uzlabošanai. </w:t>
      </w:r>
    </w:p>
    <w:p w:rsidR="009B5076" w:rsidRPr="008E4EA2" w:rsidRDefault="00C47743" w:rsidP="003A0029">
      <w:pPr>
        <w:spacing w:before="120" w:after="120" w:line="276" w:lineRule="auto"/>
        <w:rPr>
          <w:color w:val="000000" w:themeColor="text1"/>
          <w:szCs w:val="24"/>
          <w:lang w:eastAsia="lv-LV"/>
        </w:rPr>
      </w:pPr>
      <w:r w:rsidRPr="008E4EA2">
        <w:rPr>
          <w:color w:val="000000" w:themeColor="text1"/>
          <w:szCs w:val="24"/>
          <w:lang w:eastAsia="lv-LV"/>
        </w:rPr>
        <w:t>P</w:t>
      </w:r>
      <w:r w:rsidR="009B5076" w:rsidRPr="008E4EA2">
        <w:rPr>
          <w:color w:val="000000" w:themeColor="text1"/>
          <w:szCs w:val="24"/>
          <w:lang w:eastAsia="lv-LV"/>
        </w:rPr>
        <w:t>ozitīvi vērtējams fakts, ka tai ir bijis lielākais maksājumu progress</w:t>
      </w:r>
      <w:r w:rsidR="003271BE" w:rsidRPr="008E4EA2">
        <w:rPr>
          <w:color w:val="000000" w:themeColor="text1"/>
          <w:szCs w:val="24"/>
          <w:lang w:eastAsia="lv-LV"/>
        </w:rPr>
        <w:t xml:space="preserve"> </w:t>
      </w:r>
      <w:r w:rsidR="00482FDB" w:rsidRPr="008E4EA2">
        <w:rPr>
          <w:color w:val="000000" w:themeColor="text1"/>
          <w:szCs w:val="24"/>
        </w:rPr>
        <w:t>–</w:t>
      </w:r>
      <w:r w:rsidR="009B5076" w:rsidRPr="008E4EA2">
        <w:rPr>
          <w:color w:val="000000" w:themeColor="text1"/>
          <w:szCs w:val="24"/>
          <w:lang w:eastAsia="lv-LV"/>
        </w:rPr>
        <w:t xml:space="preserve"> vairāk </w:t>
      </w:r>
      <w:r w:rsidR="00482FDB" w:rsidRPr="008E4EA2">
        <w:rPr>
          <w:color w:val="000000" w:themeColor="text1"/>
          <w:szCs w:val="24"/>
          <w:lang w:eastAsia="lv-LV"/>
        </w:rPr>
        <w:t>ne</w:t>
      </w:r>
      <w:r w:rsidR="009B5076" w:rsidRPr="008E4EA2">
        <w:rPr>
          <w:color w:val="000000" w:themeColor="text1"/>
          <w:szCs w:val="24"/>
          <w:lang w:eastAsia="lv-LV"/>
        </w:rPr>
        <w:t xml:space="preserve">kā 15 </w:t>
      </w:r>
      <w:proofErr w:type="spellStart"/>
      <w:r w:rsidR="009B5076" w:rsidRPr="008E4EA2">
        <w:rPr>
          <w:color w:val="000000" w:themeColor="text1"/>
          <w:szCs w:val="24"/>
          <w:lang w:eastAsia="lv-LV"/>
        </w:rPr>
        <w:t>milj</w:t>
      </w:r>
      <w:proofErr w:type="spellEnd"/>
      <w:r w:rsidR="009B5076" w:rsidRPr="008E4EA2">
        <w:rPr>
          <w:color w:val="000000" w:themeColor="text1"/>
          <w:szCs w:val="24"/>
          <w:lang w:eastAsia="lv-LV"/>
        </w:rPr>
        <w:t xml:space="preserve">. latu jeb 3,9%. </w:t>
      </w:r>
      <w:r w:rsidRPr="008E4EA2">
        <w:rPr>
          <w:color w:val="000000" w:themeColor="text1"/>
          <w:szCs w:val="24"/>
          <w:lang w:eastAsia="lv-LV"/>
        </w:rPr>
        <w:t>V</w:t>
      </w:r>
      <w:r w:rsidR="009B5076" w:rsidRPr="008E4EA2">
        <w:rPr>
          <w:color w:val="000000" w:themeColor="text1"/>
          <w:szCs w:val="24"/>
          <w:lang w:eastAsia="lv-LV"/>
        </w:rPr>
        <w:t xml:space="preserve">ērojams noslēgto līgumu samazinājums, kas galvenokārt radies, turpinot 2012.gada 13.marta MK sēdes </w:t>
      </w:r>
      <w:proofErr w:type="spellStart"/>
      <w:r w:rsidR="009B5076" w:rsidRPr="008E4EA2">
        <w:rPr>
          <w:color w:val="000000" w:themeColor="text1"/>
          <w:szCs w:val="24"/>
          <w:lang w:eastAsia="lv-LV"/>
        </w:rPr>
        <w:t>protokollēmuma</w:t>
      </w:r>
      <w:proofErr w:type="spellEnd"/>
      <w:r w:rsidR="009B5076" w:rsidRPr="008E4EA2">
        <w:rPr>
          <w:color w:val="000000" w:themeColor="text1"/>
          <w:szCs w:val="24"/>
          <w:lang w:eastAsia="lv-LV"/>
        </w:rPr>
        <w:t xml:space="preserve"> (protokols Nr.14, 32.§) izpildi attiecībā uz profesionālās izglītības iestāžu projektiem, laužot vienošanās par projektu īstenošanu. </w:t>
      </w:r>
      <w:r w:rsidR="00DA026E" w:rsidRPr="008E4EA2">
        <w:rPr>
          <w:color w:val="000000" w:themeColor="text1"/>
          <w:szCs w:val="24"/>
          <w:lang w:eastAsia="lv-LV"/>
        </w:rPr>
        <w:t xml:space="preserve">Trešajā </w:t>
      </w:r>
      <w:r w:rsidR="009B5076" w:rsidRPr="008E4EA2">
        <w:rPr>
          <w:color w:val="000000" w:themeColor="text1"/>
          <w:szCs w:val="24"/>
          <w:lang w:eastAsia="lv-LV"/>
        </w:rPr>
        <w:t xml:space="preserve">ceturksnī ir lauztas </w:t>
      </w:r>
      <w:r w:rsidR="00DA026E" w:rsidRPr="008E4EA2">
        <w:rPr>
          <w:color w:val="000000" w:themeColor="text1"/>
          <w:szCs w:val="24"/>
          <w:lang w:eastAsia="lv-LV"/>
        </w:rPr>
        <w:t>divas</w:t>
      </w:r>
      <w:r w:rsidR="009B5076" w:rsidRPr="008E4EA2">
        <w:rPr>
          <w:color w:val="000000" w:themeColor="text1"/>
          <w:szCs w:val="24"/>
          <w:lang w:eastAsia="lv-LV"/>
        </w:rPr>
        <w:t xml:space="preserve"> vienošanās, savukārt kopumā ir pārtraukta 33 projektu īstenošana profesionālajās izglītības iestādēs.</w:t>
      </w:r>
    </w:p>
    <w:p w:rsidR="00903117" w:rsidRPr="008E4EA2" w:rsidRDefault="00903117" w:rsidP="003A0029">
      <w:pPr>
        <w:spacing w:before="120" w:after="120" w:line="276" w:lineRule="auto"/>
        <w:rPr>
          <w:color w:val="000000" w:themeColor="text1"/>
          <w:szCs w:val="24"/>
          <w:lang w:eastAsia="lv-LV"/>
        </w:rPr>
      </w:pPr>
      <w:r w:rsidRPr="008E4EA2">
        <w:rPr>
          <w:color w:val="000000" w:themeColor="text1"/>
          <w:szCs w:val="24"/>
          <w:lang w:eastAsia="lv-LV"/>
        </w:rPr>
        <w:t xml:space="preserve">Kopumā līdz šī gada trešā ceturkšņa beigām prioritātē ir </w:t>
      </w:r>
      <w:r w:rsidR="00905254" w:rsidRPr="008E4EA2">
        <w:rPr>
          <w:color w:val="000000" w:themeColor="text1"/>
          <w:szCs w:val="24"/>
          <w:lang w:eastAsia="lv-LV"/>
        </w:rPr>
        <w:t xml:space="preserve">apstiprināti 636 projekti un noslēgti līgumi par kopējo publisko finansējumu 354,5 </w:t>
      </w:r>
      <w:proofErr w:type="spellStart"/>
      <w:r w:rsidR="00905254" w:rsidRPr="008E4EA2">
        <w:rPr>
          <w:color w:val="000000" w:themeColor="text1"/>
          <w:szCs w:val="24"/>
          <w:lang w:eastAsia="lv-LV"/>
        </w:rPr>
        <w:t>milj</w:t>
      </w:r>
      <w:proofErr w:type="spellEnd"/>
      <w:r w:rsidR="00905254" w:rsidRPr="008E4EA2">
        <w:rPr>
          <w:color w:val="000000" w:themeColor="text1"/>
          <w:szCs w:val="24"/>
          <w:lang w:eastAsia="lv-LV"/>
        </w:rPr>
        <w:t xml:space="preserve">. latu jeb 77,1% no prioritātē pieejamā publiskā finansējuma. </w:t>
      </w:r>
    </w:p>
    <w:p w:rsidR="009B5076" w:rsidRPr="008E4EA2" w:rsidRDefault="009B5076" w:rsidP="003A0029">
      <w:pPr>
        <w:spacing w:before="120" w:after="120" w:line="276" w:lineRule="auto"/>
        <w:rPr>
          <w:color w:val="000000" w:themeColor="text1"/>
          <w:szCs w:val="24"/>
          <w:lang w:eastAsia="lv-LV"/>
        </w:rPr>
      </w:pPr>
      <w:r w:rsidRPr="008E4EA2">
        <w:rPr>
          <w:b/>
          <w:color w:val="000000" w:themeColor="text1"/>
          <w:szCs w:val="24"/>
          <w:lang w:eastAsia="lv-LV"/>
        </w:rPr>
        <w:t>Izglītības jomā</w:t>
      </w:r>
      <w:r w:rsidRPr="008E4EA2">
        <w:rPr>
          <w:color w:val="000000" w:themeColor="text1"/>
          <w:szCs w:val="24"/>
          <w:lang w:eastAsia="lv-LV"/>
        </w:rPr>
        <w:t xml:space="preserve"> </w:t>
      </w:r>
      <w:r w:rsidR="00600A57" w:rsidRPr="008E4EA2">
        <w:rPr>
          <w:color w:val="000000" w:themeColor="text1"/>
          <w:szCs w:val="24"/>
        </w:rPr>
        <w:t xml:space="preserve">pārskata periodā prioritātes ietvaros nav apstiprināti jauni projekti un noslēgti jauni līgumi. Kopumā prioritātē ir noslēgti 247 līgumi un apstiprināti projekti par kopējo publisko finansējumu </w:t>
      </w:r>
      <w:r w:rsidR="00E91214" w:rsidRPr="008E4EA2">
        <w:rPr>
          <w:color w:val="000000" w:themeColor="text1"/>
          <w:szCs w:val="24"/>
        </w:rPr>
        <w:t xml:space="preserve">158 </w:t>
      </w:r>
      <w:proofErr w:type="spellStart"/>
      <w:r w:rsidR="00E91214" w:rsidRPr="008E4EA2">
        <w:rPr>
          <w:color w:val="000000" w:themeColor="text1"/>
          <w:szCs w:val="24"/>
        </w:rPr>
        <w:t>milj</w:t>
      </w:r>
      <w:proofErr w:type="spellEnd"/>
      <w:r w:rsidR="00E91214" w:rsidRPr="008E4EA2">
        <w:rPr>
          <w:color w:val="000000" w:themeColor="text1"/>
          <w:szCs w:val="24"/>
        </w:rPr>
        <w:t xml:space="preserve">. latu jeb 74% no izglītības pasākumiem pieejamā finansējuma. </w:t>
      </w:r>
    </w:p>
    <w:p w:rsidR="009B5076" w:rsidRPr="008E4EA2" w:rsidRDefault="009B5076" w:rsidP="003A0029">
      <w:pPr>
        <w:spacing w:before="120" w:after="120" w:line="276" w:lineRule="auto"/>
        <w:rPr>
          <w:color w:val="000000" w:themeColor="text1"/>
          <w:szCs w:val="24"/>
          <w:lang w:eastAsia="lv-LV"/>
        </w:rPr>
      </w:pPr>
      <w:r w:rsidRPr="008E4EA2">
        <w:rPr>
          <w:color w:val="000000" w:themeColor="text1"/>
          <w:szCs w:val="24"/>
          <w:lang w:eastAsia="lv-LV"/>
        </w:rPr>
        <w:t>Pārskata periodā lielākie maksā</w:t>
      </w:r>
      <w:r w:rsidR="00482FDB" w:rsidRPr="008E4EA2">
        <w:rPr>
          <w:color w:val="000000" w:themeColor="text1"/>
          <w:szCs w:val="24"/>
          <w:lang w:eastAsia="lv-LV"/>
        </w:rPr>
        <w:t>jumi finansējuma saņēmējiem 1,9</w:t>
      </w:r>
      <w:r w:rsidRPr="008E4EA2">
        <w:rPr>
          <w:color w:val="000000" w:themeColor="text1"/>
          <w:szCs w:val="24"/>
          <w:lang w:eastAsia="lv-LV"/>
        </w:rPr>
        <w:t xml:space="preserve"> </w:t>
      </w:r>
      <w:proofErr w:type="spellStart"/>
      <w:r w:rsidRPr="008E4EA2">
        <w:rPr>
          <w:color w:val="000000" w:themeColor="text1"/>
          <w:szCs w:val="24"/>
          <w:lang w:eastAsia="lv-LV"/>
        </w:rPr>
        <w:t>milj</w:t>
      </w:r>
      <w:proofErr w:type="spellEnd"/>
      <w:r w:rsidRPr="008E4EA2">
        <w:rPr>
          <w:color w:val="000000" w:themeColor="text1"/>
          <w:szCs w:val="24"/>
          <w:lang w:eastAsia="lv-LV"/>
        </w:rPr>
        <w:t xml:space="preserve">. apmērā ir veikti </w:t>
      </w:r>
      <w:proofErr w:type="spellStart"/>
      <w:r w:rsidRPr="008E4EA2">
        <w:rPr>
          <w:color w:val="000000" w:themeColor="text1"/>
          <w:szCs w:val="24"/>
          <w:lang w:eastAsia="lv-LV"/>
        </w:rPr>
        <w:t>apakšaktivitātē</w:t>
      </w:r>
      <w:proofErr w:type="spellEnd"/>
      <w:r w:rsidRPr="008E4EA2">
        <w:rPr>
          <w:color w:val="000000" w:themeColor="text1"/>
          <w:szCs w:val="24"/>
          <w:lang w:eastAsia="lv-LV"/>
        </w:rPr>
        <w:t xml:space="preserve">, kuras ietvaros tiek modernizētas augstāko izglītības iestāžu telpas un iekārtas studiju programmu kvalitātes uzlabošanai. </w:t>
      </w:r>
      <w:r w:rsidR="008E7B88" w:rsidRPr="008E4EA2">
        <w:rPr>
          <w:color w:val="000000" w:themeColor="text1"/>
          <w:szCs w:val="24"/>
          <w:lang w:eastAsia="lv-LV"/>
        </w:rPr>
        <w:t>U</w:t>
      </w:r>
      <w:r w:rsidRPr="008E4EA2">
        <w:rPr>
          <w:color w:val="000000" w:themeColor="text1"/>
          <w:szCs w:val="24"/>
          <w:lang w:eastAsia="lv-LV"/>
        </w:rPr>
        <w:t xml:space="preserve">z pārskata perioda beigām izglītības jomā finansējuma saņēmējiem ir veikti maksājumi 98,3 </w:t>
      </w:r>
      <w:proofErr w:type="spellStart"/>
      <w:r w:rsidRPr="008E4EA2">
        <w:rPr>
          <w:color w:val="000000" w:themeColor="text1"/>
          <w:szCs w:val="24"/>
          <w:lang w:eastAsia="lv-LV"/>
        </w:rPr>
        <w:t>milj</w:t>
      </w:r>
      <w:proofErr w:type="spellEnd"/>
      <w:r w:rsidRPr="008E4EA2">
        <w:rPr>
          <w:color w:val="000000" w:themeColor="text1"/>
          <w:szCs w:val="24"/>
          <w:lang w:eastAsia="lv-LV"/>
        </w:rPr>
        <w:t xml:space="preserve">. latu apmērā jeb 43% no visiem prioritātē veiktajiem maksājumiem. </w:t>
      </w:r>
      <w:r w:rsidR="00E91214" w:rsidRPr="008E4EA2">
        <w:rPr>
          <w:color w:val="000000" w:themeColor="text1"/>
          <w:szCs w:val="24"/>
          <w:lang w:eastAsia="lv-LV"/>
        </w:rPr>
        <w:t>Kopumā prioritātes līmenī maksājumi finansējuma saņēmējiem tiek veikti atbilstoši plānotajam</w:t>
      </w:r>
      <w:r w:rsidR="003E4BC5" w:rsidRPr="008E4EA2">
        <w:rPr>
          <w:color w:val="000000" w:themeColor="text1"/>
          <w:szCs w:val="24"/>
          <w:lang w:eastAsia="lv-LV"/>
        </w:rPr>
        <w:t>, lai gan atsevišķā</w:t>
      </w:r>
      <w:r w:rsidR="00E91214" w:rsidRPr="008E4EA2">
        <w:rPr>
          <w:color w:val="000000" w:themeColor="text1"/>
          <w:szCs w:val="24"/>
          <w:lang w:eastAsia="lv-LV"/>
        </w:rPr>
        <w:t>s aktivitātēs ir vērojama mērķu neizpilde.</w:t>
      </w:r>
    </w:p>
    <w:p w:rsidR="009B5076" w:rsidRPr="008E4EA2" w:rsidRDefault="009B5076" w:rsidP="003A0029">
      <w:pPr>
        <w:spacing w:before="120" w:after="120" w:line="276" w:lineRule="auto"/>
        <w:rPr>
          <w:color w:val="000000" w:themeColor="text1"/>
          <w:szCs w:val="24"/>
          <w:lang w:eastAsia="lv-LV"/>
        </w:rPr>
      </w:pPr>
      <w:r w:rsidRPr="008E4EA2">
        <w:rPr>
          <w:color w:val="000000" w:themeColor="text1"/>
          <w:szCs w:val="24"/>
          <w:lang w:eastAsia="lv-LV"/>
        </w:rPr>
        <w:t xml:space="preserve">Pārskata periodā ir pabeigti </w:t>
      </w:r>
      <w:r w:rsidR="00C9741B" w:rsidRPr="008E4EA2">
        <w:rPr>
          <w:color w:val="000000" w:themeColor="text1"/>
          <w:szCs w:val="24"/>
          <w:lang w:eastAsia="lv-LV"/>
        </w:rPr>
        <w:t>astoņi</w:t>
      </w:r>
      <w:r w:rsidRPr="008E4EA2">
        <w:rPr>
          <w:color w:val="000000" w:themeColor="text1"/>
          <w:szCs w:val="24"/>
          <w:lang w:eastAsia="lv-LV"/>
        </w:rPr>
        <w:t xml:space="preserve"> projekti, tai skaitā, Jāzepa Vītola Latvijas Mūzikas akadēmijā ir veikta telpu, bibliotēkas un aprīkojuma modernizēšana par kopējo publisko finansējumu 1,1 </w:t>
      </w:r>
      <w:proofErr w:type="spellStart"/>
      <w:r w:rsidRPr="008E4EA2">
        <w:rPr>
          <w:color w:val="000000" w:themeColor="text1"/>
          <w:szCs w:val="24"/>
          <w:lang w:eastAsia="lv-LV"/>
        </w:rPr>
        <w:t>milj</w:t>
      </w:r>
      <w:proofErr w:type="spellEnd"/>
      <w:r w:rsidRPr="008E4EA2">
        <w:rPr>
          <w:color w:val="000000" w:themeColor="text1"/>
          <w:szCs w:val="24"/>
          <w:lang w:eastAsia="lv-LV"/>
        </w:rPr>
        <w:t xml:space="preserve">. latu. Savukārt Rīgas Stradiņa universitātes Sarkanā Krusta medicīnas koledžā ir modernizēta veselības aprūpes studiju programmu infrastruktūra par kopējo publisko finansējumu 538 tūkst. latu, Siguldas </w:t>
      </w:r>
      <w:r w:rsidR="005B4CF1" w:rsidRPr="008E4EA2">
        <w:rPr>
          <w:color w:val="000000" w:themeColor="text1"/>
          <w:szCs w:val="24"/>
          <w:lang w:eastAsia="lv-LV"/>
        </w:rPr>
        <w:t>otrajā</w:t>
      </w:r>
      <w:r w:rsidRPr="008E4EA2">
        <w:rPr>
          <w:color w:val="000000" w:themeColor="text1"/>
          <w:szCs w:val="24"/>
          <w:lang w:eastAsia="lv-LV"/>
        </w:rPr>
        <w:t xml:space="preserve"> vidusskolā ir iekārtoti mūsdienīgi fizikas, matemātikas un bioloģijas kabineti, kā arī ķīmijas un bioloģijas laboratorija par kopējo publisko finansējumu 98 tūkst. latu, u. c.</w:t>
      </w:r>
    </w:p>
    <w:p w:rsidR="009B5076" w:rsidRPr="008E4EA2" w:rsidRDefault="002D32F3" w:rsidP="003A0029">
      <w:pPr>
        <w:spacing w:before="120" w:after="120" w:line="276" w:lineRule="auto"/>
        <w:rPr>
          <w:color w:val="000000" w:themeColor="text1"/>
          <w:szCs w:val="24"/>
          <w:lang w:eastAsia="lv-LV"/>
        </w:rPr>
      </w:pPr>
      <w:r w:rsidRPr="008E4EA2">
        <w:rPr>
          <w:color w:val="000000" w:themeColor="text1"/>
          <w:szCs w:val="24"/>
          <w:lang w:eastAsia="lv-LV"/>
        </w:rPr>
        <w:t>Aktivitātes</w:t>
      </w:r>
      <w:r w:rsidR="009B5076" w:rsidRPr="008E4EA2">
        <w:rPr>
          <w:color w:val="000000" w:themeColor="text1"/>
          <w:szCs w:val="24"/>
          <w:lang w:eastAsia="lv-LV"/>
        </w:rPr>
        <w:t xml:space="preserve"> „Mācību aprīkojuma modernizācija un infrastruktūras uzlabošana profesionālās izglītības programmu īstenošanai” </w:t>
      </w:r>
      <w:r w:rsidRPr="008E4EA2">
        <w:rPr>
          <w:color w:val="000000" w:themeColor="text1"/>
          <w:szCs w:val="24"/>
          <w:lang w:eastAsia="lv-LV"/>
        </w:rPr>
        <w:t>ietvaros</w:t>
      </w:r>
      <w:r w:rsidR="009B5076" w:rsidRPr="008E4EA2">
        <w:rPr>
          <w:color w:val="000000" w:themeColor="text1"/>
          <w:szCs w:val="24"/>
          <w:lang w:eastAsia="lv-LV"/>
        </w:rPr>
        <w:t xml:space="preserve"> projektu īstenošana </w:t>
      </w:r>
      <w:r w:rsidRPr="008E4EA2">
        <w:rPr>
          <w:color w:val="000000" w:themeColor="text1"/>
          <w:szCs w:val="24"/>
          <w:lang w:eastAsia="lv-LV"/>
        </w:rPr>
        <w:t>pirmajā kārtā turpinās</w:t>
      </w:r>
      <w:r w:rsidR="009B5076" w:rsidRPr="008E4EA2">
        <w:rPr>
          <w:color w:val="000000" w:themeColor="text1"/>
          <w:szCs w:val="24"/>
          <w:lang w:eastAsia="lv-LV"/>
        </w:rPr>
        <w:t xml:space="preserve"> 15 profesionālās izglītības iestādēs. Šie projekti tiek sekmīgi īstenoti, trijos no tiem plānotie būvdarbi ir pabeigti, vēl tiek turpināta aprīkojuma iegāde, projektu pabeigšana ir plānota 2012.gada beigās – 2013.gada pirmajā pusē. Aktīvi noritējis darbs pie aktivitāšu otrās projektu atlases kārtas MK noteikumu izstrādes un saskaņošanas. Lai noteiktu galīgo aktivitātes </w:t>
      </w:r>
      <w:r w:rsidR="008E5444" w:rsidRPr="008E4EA2">
        <w:rPr>
          <w:color w:val="000000" w:themeColor="text1"/>
          <w:szCs w:val="24"/>
          <w:lang w:eastAsia="lv-LV"/>
        </w:rPr>
        <w:t xml:space="preserve">otrajai </w:t>
      </w:r>
      <w:r w:rsidR="009B5076" w:rsidRPr="008E4EA2">
        <w:rPr>
          <w:color w:val="000000" w:themeColor="text1"/>
          <w:szCs w:val="24"/>
          <w:lang w:eastAsia="lv-LV"/>
        </w:rPr>
        <w:t xml:space="preserve">projektu iesniegumu atlases kārtai pieejamo finansējumu, </w:t>
      </w:r>
      <w:r w:rsidR="008E5444" w:rsidRPr="008E4EA2">
        <w:rPr>
          <w:color w:val="000000" w:themeColor="text1"/>
          <w:szCs w:val="24"/>
          <w:lang w:eastAsia="lv-LV"/>
        </w:rPr>
        <w:t>IZM</w:t>
      </w:r>
      <w:r w:rsidR="009B5076" w:rsidRPr="008E4EA2">
        <w:rPr>
          <w:color w:val="000000" w:themeColor="text1"/>
          <w:szCs w:val="24"/>
          <w:lang w:eastAsia="lv-LV"/>
        </w:rPr>
        <w:t xml:space="preserve"> ir sagatavojusi izskatīšanai MK noteikumu grozījumu projektus vairākās prioritātes aktivitātēs/</w:t>
      </w:r>
      <w:proofErr w:type="spellStart"/>
      <w:r w:rsidR="009B5076" w:rsidRPr="008E4EA2">
        <w:rPr>
          <w:color w:val="000000" w:themeColor="text1"/>
          <w:szCs w:val="24"/>
          <w:lang w:eastAsia="lv-LV"/>
        </w:rPr>
        <w:t>apakšaktivitātēs</w:t>
      </w:r>
      <w:proofErr w:type="spellEnd"/>
      <w:r w:rsidR="00844D64" w:rsidRPr="008E4EA2">
        <w:rPr>
          <w:color w:val="000000" w:themeColor="text1"/>
          <w:szCs w:val="24"/>
          <w:lang w:eastAsia="lv-LV"/>
        </w:rPr>
        <w:t>.</w:t>
      </w:r>
      <w:r w:rsidR="009B5076" w:rsidRPr="008E4EA2">
        <w:rPr>
          <w:color w:val="000000" w:themeColor="text1"/>
          <w:szCs w:val="24"/>
          <w:lang w:eastAsia="lv-LV"/>
        </w:rPr>
        <w:t xml:space="preserve"> Projektu iesniegšana tiek plānota 2013.gada </w:t>
      </w:r>
      <w:r w:rsidR="003271BE" w:rsidRPr="008E4EA2">
        <w:rPr>
          <w:color w:val="000000" w:themeColor="text1"/>
          <w:szCs w:val="24"/>
          <w:lang w:eastAsia="lv-LV"/>
        </w:rPr>
        <w:t xml:space="preserve">pirmajā </w:t>
      </w:r>
      <w:r w:rsidRPr="008E4EA2">
        <w:rPr>
          <w:color w:val="000000" w:themeColor="text1"/>
          <w:szCs w:val="24"/>
          <w:lang w:eastAsia="lv-LV"/>
        </w:rPr>
        <w:t>ceturksnī.</w:t>
      </w:r>
      <w:r w:rsidR="009B5076" w:rsidRPr="008E4EA2">
        <w:rPr>
          <w:color w:val="000000" w:themeColor="text1"/>
          <w:szCs w:val="24"/>
          <w:lang w:eastAsia="lv-LV"/>
        </w:rPr>
        <w:t xml:space="preserve"> </w:t>
      </w:r>
      <w:r w:rsidRPr="008E4EA2">
        <w:rPr>
          <w:color w:val="000000" w:themeColor="text1"/>
          <w:szCs w:val="24"/>
          <w:lang w:eastAsia="lv-LV"/>
        </w:rPr>
        <w:t>L</w:t>
      </w:r>
      <w:r w:rsidR="00844D64" w:rsidRPr="008E4EA2">
        <w:rPr>
          <w:color w:val="000000" w:themeColor="text1"/>
          <w:szCs w:val="24"/>
          <w:lang w:eastAsia="lv-LV"/>
        </w:rPr>
        <w:t>iela daļa maksājumu</w:t>
      </w:r>
      <w:r w:rsidR="009B5076" w:rsidRPr="008E4EA2">
        <w:rPr>
          <w:color w:val="000000" w:themeColor="text1"/>
          <w:szCs w:val="24"/>
          <w:lang w:eastAsia="lv-LV"/>
        </w:rPr>
        <w:t xml:space="preserve"> tiks veikta tikai 2015.gadā, kas rada </w:t>
      </w:r>
      <w:r w:rsidR="009B5076" w:rsidRPr="008E4EA2">
        <w:rPr>
          <w:color w:val="000000" w:themeColor="text1"/>
          <w:szCs w:val="24"/>
          <w:lang w:eastAsia="lv-LV"/>
        </w:rPr>
        <w:lastRenderedPageBreak/>
        <w:t xml:space="preserve">augstu risku finansējuma apguvei </w:t>
      </w:r>
      <w:proofErr w:type="spellStart"/>
      <w:r w:rsidR="009B5076" w:rsidRPr="008E4EA2">
        <w:rPr>
          <w:color w:val="000000" w:themeColor="text1"/>
          <w:szCs w:val="24"/>
          <w:lang w:eastAsia="lv-LV"/>
        </w:rPr>
        <w:t>attiecināmības</w:t>
      </w:r>
      <w:proofErr w:type="spellEnd"/>
      <w:r w:rsidR="009B5076" w:rsidRPr="008E4EA2">
        <w:rPr>
          <w:color w:val="000000" w:themeColor="text1"/>
          <w:szCs w:val="24"/>
          <w:lang w:eastAsia="lv-LV"/>
        </w:rPr>
        <w:t xml:space="preserve"> periodā līdz 2015.gada beigām. IZM sadarbībā ar izglītības iestādēm ir izstrādājusi katra projekta ieviešanas laika un darbu grafiku, </w:t>
      </w:r>
      <w:proofErr w:type="spellStart"/>
      <w:r w:rsidR="009B5076" w:rsidRPr="008E4EA2">
        <w:rPr>
          <w:color w:val="000000" w:themeColor="text1"/>
          <w:szCs w:val="24"/>
          <w:lang w:eastAsia="lv-LV"/>
        </w:rPr>
        <w:t>t.sk</w:t>
      </w:r>
      <w:proofErr w:type="spellEnd"/>
      <w:r w:rsidR="009B5076" w:rsidRPr="008E4EA2">
        <w:rPr>
          <w:color w:val="000000" w:themeColor="text1"/>
          <w:szCs w:val="24"/>
          <w:lang w:eastAsia="lv-LV"/>
        </w:rPr>
        <w:t>. risku pārvaldības pasākumus, lai projektu ieviešana notiktu sekmīgi, ko tā regulāri uzraudzīs.</w:t>
      </w:r>
    </w:p>
    <w:p w:rsidR="009B5076" w:rsidRPr="008E4EA2" w:rsidRDefault="00F139BD" w:rsidP="003A0029">
      <w:pPr>
        <w:spacing w:before="120" w:after="120" w:line="276" w:lineRule="auto"/>
        <w:rPr>
          <w:color w:val="000000" w:themeColor="text1"/>
          <w:szCs w:val="24"/>
          <w:lang w:eastAsia="lv-LV"/>
        </w:rPr>
      </w:pPr>
      <w:r w:rsidRPr="008E4EA2">
        <w:rPr>
          <w:color w:val="000000" w:themeColor="text1"/>
          <w:szCs w:val="24"/>
          <w:lang w:eastAsia="lv-LV"/>
        </w:rPr>
        <w:t>RI</w:t>
      </w:r>
      <w:r w:rsidR="009B5076" w:rsidRPr="008E4EA2">
        <w:rPr>
          <w:color w:val="000000" w:themeColor="text1"/>
          <w:szCs w:val="24"/>
          <w:lang w:eastAsia="lv-LV"/>
        </w:rPr>
        <w:t>, veicot atkārtotu dokumentu pārbaudi Naukšēnu novada domes īstenotajā projektā Naukšēnu vidusskolā, konstatēja neatbilstoši veiktos izdevumus</w:t>
      </w:r>
      <w:r w:rsidR="00C9741B" w:rsidRPr="008E4EA2">
        <w:rPr>
          <w:color w:val="000000" w:themeColor="text1"/>
          <w:szCs w:val="24"/>
          <w:lang w:eastAsia="lv-LV"/>
        </w:rPr>
        <w:t xml:space="preserve"> 5,6 </w:t>
      </w:r>
      <w:proofErr w:type="spellStart"/>
      <w:r w:rsidR="00C9741B" w:rsidRPr="008E4EA2">
        <w:rPr>
          <w:color w:val="000000" w:themeColor="text1"/>
          <w:szCs w:val="24"/>
          <w:lang w:eastAsia="lv-LV"/>
        </w:rPr>
        <w:t>tūkst</w:t>
      </w:r>
      <w:proofErr w:type="spellEnd"/>
      <w:r w:rsidR="00C9741B" w:rsidRPr="008E4EA2">
        <w:rPr>
          <w:color w:val="000000" w:themeColor="text1"/>
          <w:szCs w:val="24"/>
          <w:lang w:eastAsia="lv-LV"/>
        </w:rPr>
        <w:t>.</w:t>
      </w:r>
      <w:r w:rsidR="00844D64" w:rsidRPr="008E4EA2">
        <w:rPr>
          <w:color w:val="000000" w:themeColor="text1"/>
          <w:szCs w:val="24"/>
          <w:lang w:eastAsia="lv-LV"/>
        </w:rPr>
        <w:t xml:space="preserve"> </w:t>
      </w:r>
      <w:r w:rsidR="00C9741B" w:rsidRPr="008E4EA2">
        <w:rPr>
          <w:color w:val="000000" w:themeColor="text1"/>
          <w:szCs w:val="24"/>
          <w:lang w:eastAsia="lv-LV"/>
        </w:rPr>
        <w:t>latu</w:t>
      </w:r>
      <w:r w:rsidR="009B5076" w:rsidRPr="008E4EA2">
        <w:rPr>
          <w:color w:val="000000" w:themeColor="text1"/>
          <w:szCs w:val="24"/>
          <w:lang w:eastAsia="lv-LV"/>
        </w:rPr>
        <w:t xml:space="preserve"> apmērā, kas radušies veikto iepirkumu procedūru pārkāpumu rezultātā, taču pašvaldība norāda, ka piekrīt atmaksāt tikai daļu no neatbilstoši veiktajiem izdevumiem, </w:t>
      </w:r>
      <w:proofErr w:type="spellStart"/>
      <w:r w:rsidR="009B5076" w:rsidRPr="008E4EA2">
        <w:rPr>
          <w:color w:val="000000" w:themeColor="text1"/>
          <w:szCs w:val="24"/>
          <w:lang w:eastAsia="lv-LV"/>
        </w:rPr>
        <w:t>t.i</w:t>
      </w:r>
      <w:proofErr w:type="spellEnd"/>
      <w:r w:rsidR="009B5076" w:rsidRPr="008E4EA2">
        <w:rPr>
          <w:color w:val="000000" w:themeColor="text1"/>
          <w:szCs w:val="24"/>
          <w:lang w:eastAsia="lv-LV"/>
        </w:rPr>
        <w:t xml:space="preserve">. </w:t>
      </w:r>
      <w:r w:rsidR="00C9741B" w:rsidRPr="008E4EA2">
        <w:rPr>
          <w:color w:val="000000" w:themeColor="text1"/>
          <w:szCs w:val="24"/>
          <w:lang w:eastAsia="lv-LV"/>
        </w:rPr>
        <w:t xml:space="preserve">2,2 </w:t>
      </w:r>
      <w:proofErr w:type="spellStart"/>
      <w:r w:rsidR="00C9741B" w:rsidRPr="008E4EA2">
        <w:rPr>
          <w:color w:val="000000" w:themeColor="text1"/>
          <w:szCs w:val="24"/>
          <w:lang w:eastAsia="lv-LV"/>
        </w:rPr>
        <w:t>tūkst</w:t>
      </w:r>
      <w:proofErr w:type="spellEnd"/>
      <w:r w:rsidR="00C9741B" w:rsidRPr="008E4EA2">
        <w:rPr>
          <w:color w:val="000000" w:themeColor="text1"/>
          <w:szCs w:val="24"/>
          <w:lang w:eastAsia="lv-LV"/>
        </w:rPr>
        <w:t>. latu</w:t>
      </w:r>
      <w:r w:rsidR="009B5076" w:rsidRPr="008E4EA2">
        <w:rPr>
          <w:color w:val="000000" w:themeColor="text1"/>
          <w:szCs w:val="24"/>
          <w:lang w:eastAsia="lv-LV"/>
        </w:rPr>
        <w:t xml:space="preserve">. </w:t>
      </w:r>
      <w:r w:rsidR="002D32F3" w:rsidRPr="008E4EA2">
        <w:rPr>
          <w:color w:val="000000" w:themeColor="text1"/>
          <w:szCs w:val="24"/>
          <w:lang w:eastAsia="lv-LV"/>
        </w:rPr>
        <w:t xml:space="preserve">Ar </w:t>
      </w:r>
      <w:r w:rsidR="009B5076" w:rsidRPr="008E4EA2">
        <w:rPr>
          <w:color w:val="000000" w:themeColor="text1"/>
          <w:szCs w:val="24"/>
          <w:lang w:eastAsia="lv-LV"/>
        </w:rPr>
        <w:t>Naukšēnu novada dom</w:t>
      </w:r>
      <w:r w:rsidR="002D32F3" w:rsidRPr="008E4EA2">
        <w:rPr>
          <w:color w:val="000000" w:themeColor="text1"/>
          <w:szCs w:val="24"/>
          <w:lang w:eastAsia="lv-LV"/>
        </w:rPr>
        <w:t>i nav panākta vienošanās par konstatējumiem saistība ar</w:t>
      </w:r>
      <w:r w:rsidR="005E1672">
        <w:rPr>
          <w:color w:val="000000" w:themeColor="text1"/>
          <w:szCs w:val="24"/>
          <w:lang w:eastAsia="lv-LV"/>
        </w:rPr>
        <w:t xml:space="preserve"> </w:t>
      </w:r>
      <w:r w:rsidR="002D32F3" w:rsidRPr="008E4EA2">
        <w:rPr>
          <w:color w:val="000000" w:themeColor="text1"/>
          <w:szCs w:val="24"/>
          <w:lang w:eastAsia="lv-LV"/>
        </w:rPr>
        <w:t>to, ka i</w:t>
      </w:r>
      <w:r w:rsidR="009B5076" w:rsidRPr="008E4EA2">
        <w:rPr>
          <w:color w:val="000000" w:themeColor="text1"/>
          <w:szCs w:val="24"/>
          <w:lang w:eastAsia="lv-LV"/>
        </w:rPr>
        <w:t>epirku</w:t>
      </w:r>
      <w:r w:rsidR="002D32F3" w:rsidRPr="008E4EA2">
        <w:rPr>
          <w:color w:val="000000" w:themeColor="text1"/>
          <w:szCs w:val="24"/>
          <w:lang w:eastAsia="lv-LV"/>
        </w:rPr>
        <w:t xml:space="preserve">ma komisijas locekļi vienlaicīgi </w:t>
      </w:r>
      <w:r w:rsidR="009B5076" w:rsidRPr="008E4EA2">
        <w:rPr>
          <w:color w:val="000000" w:themeColor="text1"/>
          <w:szCs w:val="24"/>
          <w:lang w:eastAsia="lv-LV"/>
        </w:rPr>
        <w:t xml:space="preserve">bija iepirkuma pretendenti un piedalījās lēmuma pieņemšanā, </w:t>
      </w:r>
      <w:r w:rsidR="002D32F3" w:rsidRPr="008E4EA2">
        <w:rPr>
          <w:color w:val="000000" w:themeColor="text1"/>
          <w:szCs w:val="24"/>
          <w:lang w:eastAsia="lv-LV"/>
        </w:rPr>
        <w:t>k</w:t>
      </w:r>
      <w:r w:rsidR="009B5076" w:rsidRPr="008E4EA2">
        <w:rPr>
          <w:color w:val="000000" w:themeColor="text1"/>
          <w:szCs w:val="24"/>
          <w:lang w:eastAsia="lv-LV"/>
        </w:rPr>
        <w:t>onkursa rezultātā izvēlētais pretendents projekta vadītāja un iepirkuma speciālista pienākumu veikšanai neatbilst visām tehniskajā speci</w:t>
      </w:r>
      <w:r w:rsidR="002D32F3" w:rsidRPr="008E4EA2">
        <w:rPr>
          <w:color w:val="000000" w:themeColor="text1"/>
          <w:szCs w:val="24"/>
          <w:lang w:eastAsia="lv-LV"/>
        </w:rPr>
        <w:t>fikācijā izvirzītajām prasībām, un n</w:t>
      </w:r>
      <w:r w:rsidR="009B5076" w:rsidRPr="008E4EA2">
        <w:rPr>
          <w:color w:val="000000" w:themeColor="text1"/>
          <w:szCs w:val="24"/>
          <w:lang w:eastAsia="lv-LV"/>
        </w:rPr>
        <w:t>oslēgts</w:t>
      </w:r>
      <w:r w:rsidR="002D32F3" w:rsidRPr="008E4EA2">
        <w:rPr>
          <w:color w:val="000000" w:themeColor="text1"/>
          <w:szCs w:val="24"/>
          <w:lang w:eastAsia="lv-LV"/>
        </w:rPr>
        <w:t xml:space="preserve"> līgums par papildus būvdarbiem</w:t>
      </w:r>
      <w:r w:rsidR="009B5076" w:rsidRPr="008E4EA2">
        <w:rPr>
          <w:color w:val="000000" w:themeColor="text1"/>
          <w:szCs w:val="24"/>
          <w:lang w:eastAsia="lv-LV"/>
        </w:rPr>
        <w:t xml:space="preserve"> nav uzskatā</w:t>
      </w:r>
      <w:r w:rsidR="002D32F3" w:rsidRPr="008E4EA2">
        <w:rPr>
          <w:color w:val="000000" w:themeColor="text1"/>
          <w:szCs w:val="24"/>
          <w:lang w:eastAsia="lv-LV"/>
        </w:rPr>
        <w:t>ms par neparedzētiem apstākļiem, par ko piemērojama</w:t>
      </w:r>
      <w:r w:rsidR="005E1672">
        <w:rPr>
          <w:color w:val="000000" w:themeColor="text1"/>
          <w:szCs w:val="24"/>
          <w:lang w:eastAsia="lv-LV"/>
        </w:rPr>
        <w:t xml:space="preserve"> </w:t>
      </w:r>
      <w:r w:rsidR="002D32F3" w:rsidRPr="008E4EA2">
        <w:rPr>
          <w:color w:val="000000" w:themeColor="text1"/>
          <w:szCs w:val="24"/>
          <w:lang w:eastAsia="lv-LV"/>
        </w:rPr>
        <w:t>25% finanšu korekcija.</w:t>
      </w:r>
      <w:r w:rsidR="00904695" w:rsidRPr="008E4EA2">
        <w:rPr>
          <w:color w:val="000000" w:themeColor="text1"/>
          <w:szCs w:val="24"/>
          <w:lang w:eastAsia="lv-LV"/>
        </w:rPr>
        <w:t xml:space="preserve"> VI šajā situācijā piekrīt RI viedoklim.</w:t>
      </w:r>
    </w:p>
    <w:p w:rsidR="009B5076" w:rsidRPr="008E4EA2" w:rsidRDefault="009B5076" w:rsidP="003A0029">
      <w:pPr>
        <w:spacing w:before="120" w:after="120" w:line="276" w:lineRule="auto"/>
        <w:rPr>
          <w:color w:val="000000" w:themeColor="text1"/>
          <w:szCs w:val="24"/>
          <w:lang w:eastAsia="lv-LV"/>
        </w:rPr>
      </w:pPr>
      <w:r w:rsidRPr="008E4EA2">
        <w:rPr>
          <w:color w:val="000000" w:themeColor="text1"/>
          <w:szCs w:val="24"/>
          <w:lang w:eastAsia="lv-LV"/>
        </w:rPr>
        <w:t>Ņemot vērā esošo situāciju</w:t>
      </w:r>
      <w:r w:rsidR="00844D64" w:rsidRPr="008E4EA2">
        <w:rPr>
          <w:color w:val="000000" w:themeColor="text1"/>
          <w:szCs w:val="24"/>
          <w:lang w:eastAsia="lv-LV"/>
        </w:rPr>
        <w:t>,</w:t>
      </w:r>
      <w:r w:rsidRPr="008E4EA2">
        <w:rPr>
          <w:color w:val="000000" w:themeColor="text1"/>
          <w:szCs w:val="24"/>
          <w:lang w:eastAsia="lv-LV"/>
        </w:rPr>
        <w:t xml:space="preserve"> </w:t>
      </w:r>
      <w:r w:rsidR="00A60E80" w:rsidRPr="008E4EA2">
        <w:rPr>
          <w:color w:val="000000" w:themeColor="text1"/>
          <w:szCs w:val="24"/>
          <w:lang w:eastAsia="lv-LV"/>
        </w:rPr>
        <w:t>saskaņā ar</w:t>
      </w:r>
      <w:r w:rsidRPr="008E4EA2">
        <w:rPr>
          <w:color w:val="000000" w:themeColor="text1"/>
          <w:szCs w:val="24"/>
          <w:lang w:eastAsia="lv-LV"/>
        </w:rPr>
        <w:t xml:space="preserve"> MK noteikumiem</w:t>
      </w:r>
      <w:r w:rsidRPr="008E4EA2">
        <w:rPr>
          <w:color w:val="000000" w:themeColor="text1"/>
          <w:szCs w:val="24"/>
          <w:vertAlign w:val="superscript"/>
          <w:lang w:eastAsia="lv-LV"/>
        </w:rPr>
        <w:footnoteReference w:id="8"/>
      </w:r>
      <w:r w:rsidRPr="008E4EA2">
        <w:rPr>
          <w:color w:val="000000" w:themeColor="text1"/>
          <w:szCs w:val="24"/>
          <w:lang w:eastAsia="lv-LV"/>
        </w:rPr>
        <w:t xml:space="preserve"> Naukšēnu novada pašvaldībai </w:t>
      </w:r>
      <w:r w:rsidR="00A60E80" w:rsidRPr="008E4EA2">
        <w:rPr>
          <w:color w:val="000000" w:themeColor="text1"/>
          <w:szCs w:val="24"/>
          <w:lang w:eastAsia="lv-LV"/>
        </w:rPr>
        <w:t xml:space="preserve">nepieciešams </w:t>
      </w:r>
      <w:r w:rsidRPr="008E4EA2">
        <w:rPr>
          <w:color w:val="000000" w:themeColor="text1"/>
          <w:szCs w:val="24"/>
          <w:lang w:eastAsia="lv-LV"/>
        </w:rPr>
        <w:t xml:space="preserve">atmaksāt </w:t>
      </w:r>
      <w:r w:rsidR="00904695" w:rsidRPr="008E4EA2">
        <w:rPr>
          <w:color w:val="000000" w:themeColor="text1"/>
          <w:szCs w:val="24"/>
          <w:lang w:eastAsia="lv-LV"/>
        </w:rPr>
        <w:t xml:space="preserve">valsts budžetā </w:t>
      </w:r>
      <w:r w:rsidRPr="008E4EA2">
        <w:rPr>
          <w:color w:val="000000" w:themeColor="text1"/>
          <w:szCs w:val="24"/>
          <w:lang w:eastAsia="lv-LV"/>
        </w:rPr>
        <w:t xml:space="preserve">neatbilstības summu </w:t>
      </w:r>
      <w:r w:rsidR="009352C9">
        <w:rPr>
          <w:color w:val="000000" w:themeColor="text1"/>
          <w:szCs w:val="24"/>
          <w:lang w:eastAsia="lv-LV"/>
        </w:rPr>
        <w:t>3</w:t>
      </w:r>
      <w:r w:rsidR="003271BE" w:rsidRPr="008E4EA2">
        <w:rPr>
          <w:color w:val="000000" w:themeColor="text1"/>
          <w:szCs w:val="24"/>
          <w:lang w:eastAsia="lv-LV"/>
        </w:rPr>
        <w:t xml:space="preserve"> </w:t>
      </w:r>
      <w:proofErr w:type="spellStart"/>
      <w:r w:rsidR="003271BE" w:rsidRPr="008E4EA2">
        <w:rPr>
          <w:color w:val="000000" w:themeColor="text1"/>
          <w:szCs w:val="24"/>
          <w:lang w:eastAsia="lv-LV"/>
        </w:rPr>
        <w:t>tūkst</w:t>
      </w:r>
      <w:proofErr w:type="spellEnd"/>
      <w:r w:rsidR="003271BE" w:rsidRPr="008E4EA2">
        <w:rPr>
          <w:color w:val="000000" w:themeColor="text1"/>
          <w:szCs w:val="24"/>
          <w:lang w:eastAsia="lv-LV"/>
        </w:rPr>
        <w:t xml:space="preserve">. latu </w:t>
      </w:r>
      <w:r w:rsidRPr="008E4EA2">
        <w:rPr>
          <w:color w:val="000000" w:themeColor="text1"/>
          <w:szCs w:val="24"/>
          <w:lang w:eastAsia="lv-LV"/>
        </w:rPr>
        <w:t>apmērā</w:t>
      </w:r>
      <w:r w:rsidR="00904695" w:rsidRPr="008E4EA2">
        <w:rPr>
          <w:color w:val="000000" w:themeColor="text1"/>
          <w:szCs w:val="24"/>
          <w:lang w:eastAsia="lv-LV"/>
        </w:rPr>
        <w:t>. Saskaņā ar FM rīcībā esošo informāciju par finansiālo situāciju pašvaldībā</w:t>
      </w:r>
      <w:r w:rsidR="00D27C25" w:rsidRPr="008E4EA2">
        <w:rPr>
          <w:color w:val="000000" w:themeColor="text1"/>
          <w:szCs w:val="24"/>
          <w:lang w:eastAsia="lv-LV"/>
        </w:rPr>
        <w:t xml:space="preserve"> </w:t>
      </w:r>
      <w:r w:rsidR="00904695" w:rsidRPr="008E4EA2">
        <w:rPr>
          <w:color w:val="000000" w:themeColor="text1"/>
          <w:szCs w:val="24"/>
          <w:lang w:eastAsia="lv-LV"/>
        </w:rPr>
        <w:t>iepriekš minētās summas atmaksa ir iespējama</w:t>
      </w:r>
      <w:r w:rsidRPr="008E4EA2">
        <w:rPr>
          <w:color w:val="000000" w:themeColor="text1"/>
          <w:szCs w:val="24"/>
          <w:lang w:eastAsia="lv-LV"/>
        </w:rPr>
        <w:t>.</w:t>
      </w:r>
    </w:p>
    <w:p w:rsidR="009857E5" w:rsidRPr="008E4EA2" w:rsidRDefault="009857E5" w:rsidP="003A0029">
      <w:pPr>
        <w:spacing w:before="120" w:after="120" w:line="276" w:lineRule="auto"/>
        <w:rPr>
          <w:color w:val="000000" w:themeColor="text1"/>
          <w:szCs w:val="24"/>
          <w:lang w:eastAsia="lv-LV"/>
        </w:rPr>
      </w:pPr>
      <w:r w:rsidRPr="008E4EA2">
        <w:rPr>
          <w:color w:val="000000" w:themeColor="text1"/>
          <w:szCs w:val="24"/>
          <w:lang w:eastAsia="lv-LV"/>
        </w:rPr>
        <w:t xml:space="preserve">Kopumā pasākuma </w:t>
      </w:r>
      <w:r w:rsidRPr="008E4EA2">
        <w:rPr>
          <w:b/>
          <w:color w:val="000000" w:themeColor="text1"/>
          <w:szCs w:val="24"/>
          <w:lang w:eastAsia="lv-LV"/>
        </w:rPr>
        <w:t xml:space="preserve">„Veselības aprūpes infrastruktūra” </w:t>
      </w:r>
      <w:r w:rsidRPr="008E4EA2">
        <w:rPr>
          <w:color w:val="000000" w:themeColor="text1"/>
          <w:szCs w:val="24"/>
          <w:lang w:eastAsia="lv-LV"/>
        </w:rPr>
        <w:t xml:space="preserve">ieviešana vērtējama kā veiksmīga, jo noslēgti līgumi par gandrīz 100% no plānotā </w:t>
      </w:r>
      <w:r w:rsidR="006A138B" w:rsidRPr="008E4EA2">
        <w:rPr>
          <w:color w:val="000000" w:themeColor="text1"/>
          <w:szCs w:val="24"/>
          <w:lang w:eastAsia="lv-LV"/>
        </w:rPr>
        <w:t xml:space="preserve">finansējuma </w:t>
      </w:r>
      <w:r w:rsidRPr="008E4EA2">
        <w:rPr>
          <w:color w:val="000000" w:themeColor="text1"/>
          <w:szCs w:val="24"/>
          <w:lang w:eastAsia="lv-LV"/>
        </w:rPr>
        <w:t xml:space="preserve">(bez </w:t>
      </w:r>
      <w:proofErr w:type="spellStart"/>
      <w:r w:rsidRPr="008E4EA2">
        <w:rPr>
          <w:color w:val="000000" w:themeColor="text1"/>
          <w:szCs w:val="24"/>
          <w:lang w:eastAsia="lv-LV"/>
        </w:rPr>
        <w:t>virssaistībām</w:t>
      </w:r>
      <w:proofErr w:type="spellEnd"/>
      <w:r w:rsidRPr="008E4EA2">
        <w:rPr>
          <w:color w:val="000000" w:themeColor="text1"/>
          <w:szCs w:val="24"/>
          <w:lang w:eastAsia="lv-LV"/>
        </w:rPr>
        <w:t>) un maksājumi veikti vairāk</w:t>
      </w:r>
      <w:r w:rsidR="00844D64" w:rsidRPr="008E4EA2">
        <w:rPr>
          <w:color w:val="000000" w:themeColor="text1"/>
          <w:szCs w:val="24"/>
          <w:lang w:eastAsia="lv-LV"/>
        </w:rPr>
        <w:t xml:space="preserve"> nekā</w:t>
      </w:r>
      <w:r w:rsidRPr="008E4EA2">
        <w:rPr>
          <w:color w:val="000000" w:themeColor="text1"/>
          <w:szCs w:val="24"/>
          <w:lang w:eastAsia="lv-LV"/>
        </w:rPr>
        <w:t xml:space="preserve"> par </w:t>
      </w:r>
      <w:r w:rsidR="006A138B" w:rsidRPr="008E4EA2">
        <w:rPr>
          <w:color w:val="000000" w:themeColor="text1"/>
          <w:szCs w:val="24"/>
          <w:lang w:eastAsia="lv-LV"/>
        </w:rPr>
        <w:t>58</w:t>
      </w:r>
      <w:r w:rsidRPr="008E4EA2">
        <w:rPr>
          <w:color w:val="000000" w:themeColor="text1"/>
          <w:szCs w:val="24"/>
          <w:lang w:eastAsia="lv-LV"/>
        </w:rPr>
        <w:t>%</w:t>
      </w:r>
      <w:r w:rsidR="006A138B" w:rsidRPr="008E4EA2">
        <w:rPr>
          <w:color w:val="000000" w:themeColor="text1"/>
          <w:szCs w:val="24"/>
          <w:lang w:eastAsia="lv-LV"/>
        </w:rPr>
        <w:t xml:space="preserve"> no kopēja piešķirtā finansējuma</w:t>
      </w:r>
      <w:r w:rsidRPr="008E4EA2">
        <w:rPr>
          <w:color w:val="000000" w:themeColor="text1"/>
          <w:szCs w:val="24"/>
          <w:lang w:eastAsia="lv-LV"/>
        </w:rPr>
        <w:t xml:space="preserve">, kas ir vairāk nekā darbības programmā vidēji, </w:t>
      </w:r>
      <w:proofErr w:type="spellStart"/>
      <w:r w:rsidRPr="008E4EA2">
        <w:rPr>
          <w:color w:val="000000" w:themeColor="text1"/>
          <w:szCs w:val="24"/>
          <w:lang w:eastAsia="lv-LV"/>
        </w:rPr>
        <w:t>t.sk</w:t>
      </w:r>
      <w:proofErr w:type="spellEnd"/>
      <w:r w:rsidRPr="008E4EA2">
        <w:rPr>
          <w:color w:val="000000" w:themeColor="text1"/>
          <w:szCs w:val="24"/>
          <w:lang w:eastAsia="lv-LV"/>
        </w:rPr>
        <w:t>.</w:t>
      </w:r>
      <w:r w:rsidR="003271BE" w:rsidRPr="008E4EA2">
        <w:rPr>
          <w:color w:val="000000" w:themeColor="text1"/>
          <w:szCs w:val="24"/>
          <w:lang w:eastAsia="lv-LV"/>
        </w:rPr>
        <w:t xml:space="preserve"> </w:t>
      </w:r>
      <w:r w:rsidRPr="008E4EA2">
        <w:rPr>
          <w:color w:val="000000" w:themeColor="text1"/>
          <w:szCs w:val="24"/>
          <w:lang w:eastAsia="lv-LV"/>
        </w:rPr>
        <w:t xml:space="preserve">pārskata periodā veikto maksājumu progress ir </w:t>
      </w:r>
      <w:r w:rsidR="006A138B" w:rsidRPr="008E4EA2">
        <w:rPr>
          <w:color w:val="000000" w:themeColor="text1"/>
          <w:szCs w:val="24"/>
          <w:lang w:eastAsia="lv-LV"/>
        </w:rPr>
        <w:t>11</w:t>
      </w:r>
      <w:r w:rsidRPr="008E4EA2">
        <w:rPr>
          <w:color w:val="000000" w:themeColor="text1"/>
          <w:szCs w:val="24"/>
          <w:lang w:eastAsia="lv-LV"/>
        </w:rPr>
        <w:t xml:space="preserve">%. </w:t>
      </w:r>
      <w:r w:rsidR="00901E9F" w:rsidRPr="008E4EA2">
        <w:rPr>
          <w:color w:val="000000" w:themeColor="text1"/>
          <w:szCs w:val="24"/>
          <w:lang w:eastAsia="lv-LV"/>
        </w:rPr>
        <w:t xml:space="preserve">Tādejādi </w:t>
      </w:r>
      <w:r w:rsidR="006A138B" w:rsidRPr="008E4EA2">
        <w:rPr>
          <w:color w:val="000000" w:themeColor="text1"/>
          <w:szCs w:val="24"/>
          <w:lang w:eastAsia="lv-LV"/>
        </w:rPr>
        <w:t xml:space="preserve">profila </w:t>
      </w:r>
      <w:r w:rsidR="00901E9F" w:rsidRPr="008E4EA2">
        <w:rPr>
          <w:color w:val="000000" w:themeColor="text1"/>
          <w:szCs w:val="24"/>
          <w:lang w:eastAsia="lv-LV"/>
        </w:rPr>
        <w:t>mērķis maksājumiem finansējuma saņēmējiem līdz pārskata perioda beig</w:t>
      </w:r>
      <w:r w:rsidR="008236EB" w:rsidRPr="008E4EA2">
        <w:rPr>
          <w:color w:val="000000" w:themeColor="text1"/>
          <w:szCs w:val="24"/>
          <w:lang w:eastAsia="lv-LV"/>
        </w:rPr>
        <w:t>ā</w:t>
      </w:r>
      <w:r w:rsidR="00901E9F" w:rsidRPr="008E4EA2">
        <w:rPr>
          <w:color w:val="000000" w:themeColor="text1"/>
          <w:szCs w:val="24"/>
          <w:lang w:eastAsia="lv-LV"/>
        </w:rPr>
        <w:t>m ir izpildīts par 127%, bet 2012. gada mērķis ir izpildīts par 82%.</w:t>
      </w:r>
    </w:p>
    <w:p w:rsidR="009857E5" w:rsidRPr="008E4EA2" w:rsidRDefault="003F5FF0" w:rsidP="003A0029">
      <w:pPr>
        <w:spacing w:before="120" w:after="120" w:line="276" w:lineRule="auto"/>
        <w:rPr>
          <w:color w:val="000000" w:themeColor="text1"/>
          <w:szCs w:val="24"/>
          <w:lang w:eastAsia="lv-LV"/>
        </w:rPr>
      </w:pPr>
      <w:r w:rsidRPr="008E4EA2">
        <w:rPr>
          <w:color w:val="000000" w:themeColor="text1"/>
          <w:szCs w:val="24"/>
          <w:lang w:eastAsia="lv-LV"/>
        </w:rPr>
        <w:t xml:space="preserve">Pārskata periodā ir pabeigti 14 projekti par kopējo publiskā finansējuma summu 9 </w:t>
      </w:r>
      <w:proofErr w:type="spellStart"/>
      <w:r w:rsidRPr="008E4EA2">
        <w:rPr>
          <w:color w:val="000000" w:themeColor="text1"/>
          <w:szCs w:val="24"/>
          <w:lang w:eastAsia="lv-LV"/>
        </w:rPr>
        <w:t>milj</w:t>
      </w:r>
      <w:proofErr w:type="spellEnd"/>
      <w:r w:rsidRPr="008E4EA2">
        <w:rPr>
          <w:color w:val="000000" w:themeColor="text1"/>
          <w:szCs w:val="24"/>
          <w:lang w:eastAsia="lv-LV"/>
        </w:rPr>
        <w:t xml:space="preserve">. latu, </w:t>
      </w:r>
      <w:proofErr w:type="spellStart"/>
      <w:r w:rsidRPr="008E4EA2">
        <w:rPr>
          <w:color w:val="000000" w:themeColor="text1"/>
          <w:szCs w:val="24"/>
          <w:lang w:eastAsia="lv-LV"/>
        </w:rPr>
        <w:t>t.sk</w:t>
      </w:r>
      <w:proofErr w:type="spellEnd"/>
      <w:r w:rsidRPr="008E4EA2">
        <w:rPr>
          <w:color w:val="000000" w:themeColor="text1"/>
          <w:szCs w:val="24"/>
          <w:lang w:eastAsia="lv-LV"/>
        </w:rPr>
        <w:t xml:space="preserve">. pabeigti 6 projekti </w:t>
      </w:r>
      <w:proofErr w:type="spellStart"/>
      <w:r w:rsidRPr="008E4EA2">
        <w:rPr>
          <w:color w:val="000000" w:themeColor="text1"/>
          <w:szCs w:val="24"/>
          <w:lang w:eastAsia="lv-LV"/>
        </w:rPr>
        <w:t>apakšaktivitātē</w:t>
      </w:r>
      <w:proofErr w:type="spellEnd"/>
      <w:r w:rsidRPr="008E4EA2">
        <w:rPr>
          <w:color w:val="000000" w:themeColor="text1"/>
          <w:szCs w:val="24"/>
          <w:lang w:eastAsia="lv-LV"/>
        </w:rPr>
        <w:t xml:space="preserve"> „Ģimenes ārstu tīkla attīstība”, tādejādi uz pārskata perioda beigām ir atbalstītas 16 ģimenes ārstu prakses. Aktivitātes ietvaros pašlaik tiek īstenoti </w:t>
      </w:r>
      <w:r w:rsidR="00FC2088" w:rsidRPr="008E4EA2">
        <w:rPr>
          <w:color w:val="000000" w:themeColor="text1"/>
          <w:szCs w:val="24"/>
          <w:lang w:eastAsia="lv-LV"/>
        </w:rPr>
        <w:t xml:space="preserve">209 </w:t>
      </w:r>
      <w:r w:rsidRPr="008E4EA2">
        <w:rPr>
          <w:color w:val="000000" w:themeColor="text1"/>
          <w:szCs w:val="24"/>
          <w:lang w:eastAsia="lv-LV"/>
        </w:rPr>
        <w:t xml:space="preserve">projekti, ka arī </w:t>
      </w:r>
      <w:proofErr w:type="spellStart"/>
      <w:r w:rsidRPr="008E4EA2">
        <w:rPr>
          <w:color w:val="000000" w:themeColor="text1"/>
          <w:szCs w:val="24"/>
          <w:lang w:eastAsia="lv-LV"/>
        </w:rPr>
        <w:t>š.g</w:t>
      </w:r>
      <w:proofErr w:type="spellEnd"/>
      <w:r w:rsidRPr="008E4EA2">
        <w:rPr>
          <w:color w:val="000000" w:themeColor="text1"/>
          <w:szCs w:val="24"/>
          <w:lang w:eastAsia="lv-LV"/>
        </w:rPr>
        <w:t xml:space="preserve">. rudenī tiks izsludināta papildus projektu atlases kārta, tādejādi plānotais atbalstīto ģimenes ārstu prakšu skaits tiks ievērojami pārsniegts. </w:t>
      </w:r>
      <w:proofErr w:type="spellStart"/>
      <w:r w:rsidRPr="008E4EA2">
        <w:rPr>
          <w:color w:val="000000" w:themeColor="text1"/>
          <w:szCs w:val="24"/>
          <w:lang w:eastAsia="lv-LV"/>
        </w:rPr>
        <w:t>Apakšaktivitātē</w:t>
      </w:r>
      <w:proofErr w:type="spellEnd"/>
      <w:r w:rsidRPr="008E4EA2">
        <w:rPr>
          <w:color w:val="000000" w:themeColor="text1"/>
          <w:szCs w:val="24"/>
          <w:lang w:eastAsia="lv-LV"/>
        </w:rPr>
        <w:t xml:space="preserve"> „Veselības aprūpes centru attīstība” pārskata periodā ir pabeigti 3 projekti</w:t>
      </w:r>
      <w:r w:rsidR="006F4A2A" w:rsidRPr="008E4EA2">
        <w:rPr>
          <w:color w:val="000000" w:themeColor="text1"/>
          <w:szCs w:val="24"/>
        </w:rPr>
        <w:t xml:space="preserve"> </w:t>
      </w:r>
      <w:r w:rsidR="006F4A2A" w:rsidRPr="008E4EA2">
        <w:rPr>
          <w:color w:val="000000" w:themeColor="text1"/>
          <w:szCs w:val="24"/>
          <w:lang w:eastAsia="lv-LV"/>
        </w:rPr>
        <w:t>sasniedzot uzraudzības rādītāja vērtību - 21 atbalstīto veselības aprūpes centru skaits, tādejādi par 84% sasniedzot plānoto</w:t>
      </w:r>
      <w:r w:rsidRPr="008E4EA2">
        <w:rPr>
          <w:color w:val="000000" w:themeColor="text1"/>
          <w:szCs w:val="24"/>
          <w:lang w:eastAsia="lv-LV"/>
        </w:rPr>
        <w:t xml:space="preserve">. </w:t>
      </w:r>
      <w:proofErr w:type="spellStart"/>
      <w:r w:rsidRPr="008E4EA2">
        <w:rPr>
          <w:color w:val="000000" w:themeColor="text1"/>
          <w:szCs w:val="24"/>
          <w:lang w:eastAsia="lv-LV"/>
        </w:rPr>
        <w:t>Apakšaktivitātē</w:t>
      </w:r>
      <w:proofErr w:type="spellEnd"/>
      <w:r w:rsidRPr="008E4EA2">
        <w:rPr>
          <w:color w:val="000000" w:themeColor="text1"/>
          <w:szCs w:val="24"/>
          <w:lang w:eastAsia="lv-LV"/>
        </w:rPr>
        <w:t xml:space="preserve"> Stacionārās veselības aprūpes attīstība pārskata periodā ir pabeigti 5 projekti, kuru ietvaros tika attīstīta sniegto pakalpojumu kvalitāte</w:t>
      </w:r>
      <w:r w:rsidR="006A138B" w:rsidRPr="008E4EA2">
        <w:rPr>
          <w:color w:val="000000" w:themeColor="text1"/>
          <w:szCs w:val="24"/>
          <w:lang w:eastAsia="lv-LV"/>
        </w:rPr>
        <w:t>,</w:t>
      </w:r>
      <w:r w:rsidRPr="008E4EA2">
        <w:rPr>
          <w:color w:val="000000" w:themeColor="text1"/>
          <w:szCs w:val="24"/>
          <w:lang w:eastAsia="lv-LV"/>
        </w:rPr>
        <w:t xml:space="preserve"> </w:t>
      </w:r>
      <w:proofErr w:type="spellStart"/>
      <w:r w:rsidRPr="008E4EA2">
        <w:rPr>
          <w:color w:val="000000" w:themeColor="text1"/>
          <w:szCs w:val="24"/>
          <w:lang w:eastAsia="lv-LV"/>
        </w:rPr>
        <w:t>efektivitāteun</w:t>
      </w:r>
      <w:proofErr w:type="spellEnd"/>
      <w:r w:rsidRPr="008E4EA2">
        <w:rPr>
          <w:color w:val="000000" w:themeColor="text1"/>
          <w:szCs w:val="24"/>
          <w:lang w:eastAsia="lv-LV"/>
        </w:rPr>
        <w:t xml:space="preserve"> pieejamība, nodrošinot infrastruktūras attīstību SIA „Krāslavas slimnīca”, SIA „Cēsu klīnika”, SIA “Daugavpils reģionālā slimnīca”, SIA „Aizkraukles slimnīca” un SIA „Preiļu slimnīca”.</w:t>
      </w:r>
      <w:r w:rsidR="009857E5" w:rsidRPr="008E4EA2">
        <w:rPr>
          <w:color w:val="000000" w:themeColor="text1"/>
          <w:szCs w:val="24"/>
          <w:lang w:eastAsia="lv-LV"/>
        </w:rPr>
        <w:t xml:space="preserve">. </w:t>
      </w:r>
    </w:p>
    <w:p w:rsidR="009857E5" w:rsidRPr="008E4EA2" w:rsidRDefault="009857E5" w:rsidP="003A0029">
      <w:pPr>
        <w:spacing w:before="120" w:after="120" w:line="276" w:lineRule="auto"/>
        <w:rPr>
          <w:color w:val="000000" w:themeColor="text1"/>
          <w:szCs w:val="24"/>
          <w:lang w:eastAsia="lv-LV"/>
        </w:rPr>
      </w:pPr>
      <w:proofErr w:type="spellStart"/>
      <w:r w:rsidRPr="008E4EA2">
        <w:rPr>
          <w:color w:val="000000" w:themeColor="text1"/>
          <w:szCs w:val="24"/>
          <w:lang w:eastAsia="lv-LV"/>
        </w:rPr>
        <w:t>Apakšaktivitātē</w:t>
      </w:r>
      <w:proofErr w:type="spellEnd"/>
      <w:r w:rsidRPr="008E4EA2">
        <w:rPr>
          <w:color w:val="000000" w:themeColor="text1"/>
          <w:szCs w:val="24"/>
          <w:lang w:eastAsia="lv-LV"/>
        </w:rPr>
        <w:t xml:space="preserve"> „Ģimenes ārstu tīkla attīstība” pārskata periodā ir noslēgti 26 jauni līgumi par projektu realizāciju par kopējo publiskā finansējuma summu 91 </w:t>
      </w:r>
      <w:proofErr w:type="spellStart"/>
      <w:r w:rsidRPr="008E4EA2">
        <w:rPr>
          <w:color w:val="000000" w:themeColor="text1"/>
          <w:szCs w:val="24"/>
          <w:lang w:eastAsia="lv-LV"/>
        </w:rPr>
        <w:t>tūkst</w:t>
      </w:r>
      <w:proofErr w:type="spellEnd"/>
      <w:r w:rsidRPr="008E4EA2">
        <w:rPr>
          <w:color w:val="000000" w:themeColor="text1"/>
          <w:szCs w:val="24"/>
          <w:lang w:eastAsia="lv-LV"/>
        </w:rPr>
        <w:t xml:space="preserve">. latu. </w:t>
      </w:r>
      <w:r w:rsidRPr="008E4EA2">
        <w:rPr>
          <w:color w:val="000000" w:themeColor="text1"/>
          <w:szCs w:val="24"/>
          <w:lang w:eastAsia="lv-LV"/>
        </w:rPr>
        <w:lastRenderedPageBreak/>
        <w:t>Aktivitātes mērķis ir sakārtot ambulatorās veselības aprūpes pakalpojumu sniedzēju infrastruktūru, uzlabojot ģimenes ārstu pi</w:t>
      </w:r>
      <w:r w:rsidR="002D32F3" w:rsidRPr="008E4EA2">
        <w:rPr>
          <w:color w:val="000000" w:themeColor="text1"/>
          <w:szCs w:val="24"/>
          <w:lang w:eastAsia="lv-LV"/>
        </w:rPr>
        <w:t>eejamību pašvaldību teritorijās</w:t>
      </w:r>
      <w:r w:rsidRPr="008E4EA2">
        <w:rPr>
          <w:color w:val="000000" w:themeColor="text1"/>
          <w:szCs w:val="24"/>
          <w:lang w:eastAsia="lv-LV"/>
        </w:rPr>
        <w:t xml:space="preserve">. Šajā </w:t>
      </w:r>
      <w:proofErr w:type="spellStart"/>
      <w:r w:rsidRPr="008E4EA2">
        <w:rPr>
          <w:color w:val="000000" w:themeColor="text1"/>
          <w:szCs w:val="24"/>
          <w:lang w:eastAsia="lv-LV"/>
        </w:rPr>
        <w:t>apakšaktivitātē</w:t>
      </w:r>
      <w:proofErr w:type="spellEnd"/>
      <w:r w:rsidRPr="008E4EA2">
        <w:rPr>
          <w:color w:val="000000" w:themeColor="text1"/>
          <w:szCs w:val="24"/>
          <w:lang w:eastAsia="lv-LV"/>
        </w:rPr>
        <w:t xml:space="preserve"> ir vērojams vislielākais veikto maksājumu progress finansējuma saņēmējiem, salīdzinot ar </w:t>
      </w:r>
      <w:proofErr w:type="spellStart"/>
      <w:r w:rsidR="00A23D5B" w:rsidRPr="008E4EA2">
        <w:rPr>
          <w:color w:val="000000" w:themeColor="text1"/>
          <w:szCs w:val="24"/>
          <w:lang w:eastAsia="lv-LV"/>
        </w:rPr>
        <w:t>š.g</w:t>
      </w:r>
      <w:proofErr w:type="spellEnd"/>
      <w:r w:rsidR="00A23D5B" w:rsidRPr="008E4EA2">
        <w:rPr>
          <w:color w:val="000000" w:themeColor="text1"/>
          <w:szCs w:val="24"/>
          <w:lang w:eastAsia="lv-LV"/>
        </w:rPr>
        <w:t>.</w:t>
      </w:r>
      <w:r w:rsidRPr="008E4EA2">
        <w:rPr>
          <w:color w:val="000000" w:themeColor="text1"/>
          <w:szCs w:val="24"/>
          <w:lang w:eastAsia="lv-LV"/>
        </w:rPr>
        <w:t xml:space="preserve"> otro ceturksni, </w:t>
      </w:r>
      <w:r w:rsidR="00844D64" w:rsidRPr="008E4EA2">
        <w:rPr>
          <w:color w:val="000000" w:themeColor="text1"/>
          <w:szCs w:val="24"/>
          <w:lang w:eastAsia="lv-LV"/>
        </w:rPr>
        <w:t>tas</w:t>
      </w:r>
      <w:r w:rsidRPr="008E4EA2">
        <w:rPr>
          <w:color w:val="000000" w:themeColor="text1"/>
          <w:szCs w:val="24"/>
          <w:lang w:eastAsia="lv-LV"/>
        </w:rPr>
        <w:t xml:space="preserve"> ir 30,8%. </w:t>
      </w:r>
    </w:p>
    <w:p w:rsidR="00151DFB" w:rsidRPr="008E4EA2" w:rsidRDefault="009857E5" w:rsidP="003A0029">
      <w:pPr>
        <w:spacing w:before="120" w:after="120" w:line="276" w:lineRule="auto"/>
        <w:rPr>
          <w:color w:val="000000" w:themeColor="text1"/>
          <w:szCs w:val="24"/>
          <w:lang w:eastAsia="lv-LV"/>
        </w:rPr>
      </w:pPr>
      <w:r w:rsidRPr="008E4EA2">
        <w:rPr>
          <w:color w:val="000000" w:themeColor="text1"/>
          <w:szCs w:val="24"/>
          <w:lang w:eastAsia="lv-LV"/>
        </w:rPr>
        <w:t xml:space="preserve">Saskaņā ar </w:t>
      </w:r>
      <w:r w:rsidR="008E5444" w:rsidRPr="008E4EA2">
        <w:rPr>
          <w:color w:val="000000" w:themeColor="text1"/>
          <w:szCs w:val="24"/>
          <w:lang w:eastAsia="lv-LV"/>
        </w:rPr>
        <w:t>MK</w:t>
      </w:r>
      <w:r w:rsidRPr="008E4EA2">
        <w:rPr>
          <w:color w:val="000000" w:themeColor="text1"/>
          <w:szCs w:val="24"/>
          <w:lang w:eastAsia="lv-LV"/>
        </w:rPr>
        <w:t xml:space="preserve"> 2012.gada 12.jūnija protokola Nr.33 53.§ </w:t>
      </w:r>
      <w:r w:rsidR="00DA026E" w:rsidRPr="008E4EA2">
        <w:rPr>
          <w:color w:val="000000" w:themeColor="text1"/>
          <w:szCs w:val="24"/>
          <w:lang w:eastAsia="lv-LV"/>
        </w:rPr>
        <w:t xml:space="preserve">otrajā </w:t>
      </w:r>
      <w:r w:rsidRPr="008E4EA2">
        <w:rPr>
          <w:color w:val="000000" w:themeColor="text1"/>
          <w:szCs w:val="24"/>
          <w:lang w:eastAsia="lv-LV"/>
        </w:rPr>
        <w:t xml:space="preserve">punktā minēto uzdevumu, </w:t>
      </w:r>
      <w:r w:rsidR="00E1481D" w:rsidRPr="008E4EA2">
        <w:rPr>
          <w:color w:val="000000" w:themeColor="text1"/>
          <w:szCs w:val="24"/>
          <w:lang w:eastAsia="lv-LV"/>
        </w:rPr>
        <w:t>VM</w:t>
      </w:r>
      <w:r w:rsidRPr="008E4EA2">
        <w:rPr>
          <w:color w:val="000000" w:themeColor="text1"/>
          <w:szCs w:val="24"/>
          <w:lang w:eastAsia="lv-LV"/>
        </w:rPr>
        <w:t xml:space="preserve"> virz</w:t>
      </w:r>
      <w:r w:rsidR="00E1481D" w:rsidRPr="008E4EA2">
        <w:rPr>
          <w:color w:val="000000" w:themeColor="text1"/>
          <w:szCs w:val="24"/>
          <w:lang w:eastAsia="lv-LV"/>
        </w:rPr>
        <w:t>a</w:t>
      </w:r>
      <w:r w:rsidRPr="008E4EA2">
        <w:rPr>
          <w:color w:val="000000" w:themeColor="text1"/>
          <w:szCs w:val="24"/>
          <w:lang w:eastAsia="lv-LV"/>
        </w:rPr>
        <w:t xml:space="preserve"> </w:t>
      </w:r>
      <w:r w:rsidR="008E5444" w:rsidRPr="008E4EA2">
        <w:rPr>
          <w:color w:val="000000" w:themeColor="text1"/>
          <w:szCs w:val="24"/>
          <w:lang w:eastAsia="lv-LV"/>
        </w:rPr>
        <w:t>MK</w:t>
      </w:r>
      <w:r w:rsidRPr="008E4EA2">
        <w:rPr>
          <w:color w:val="000000" w:themeColor="text1"/>
          <w:szCs w:val="24"/>
          <w:lang w:eastAsia="lv-LV"/>
        </w:rPr>
        <w:t xml:space="preserve"> noteikumu „Grozījumi Ministru kabineta 2009.gada 13.janvāra noteikumos Nr.44 „Noteikumi par darbības programmas „Infrastruktūra un pakalpojumi” papildinājuma </w:t>
      </w:r>
      <w:proofErr w:type="spellStart"/>
      <w:r w:rsidRPr="008E4EA2">
        <w:rPr>
          <w:color w:val="000000" w:themeColor="text1"/>
          <w:szCs w:val="24"/>
          <w:lang w:eastAsia="lv-LV"/>
        </w:rPr>
        <w:t>apakšaktivitāti</w:t>
      </w:r>
      <w:proofErr w:type="spellEnd"/>
      <w:r w:rsidRPr="008E4EA2">
        <w:rPr>
          <w:color w:val="000000" w:themeColor="text1"/>
          <w:szCs w:val="24"/>
          <w:lang w:eastAsia="lv-LV"/>
        </w:rPr>
        <w:t xml:space="preserve"> „Stacionārās veselības aprūpes attīstība”””</w:t>
      </w:r>
      <w:r w:rsidR="00151DFB" w:rsidRPr="008E4EA2">
        <w:rPr>
          <w:color w:val="000000" w:themeColor="text1"/>
          <w:szCs w:val="24"/>
          <w:lang w:eastAsia="lv-LV"/>
        </w:rPr>
        <w:t>.</w:t>
      </w:r>
      <w:r w:rsidR="00A71908" w:rsidRPr="008E4EA2">
        <w:rPr>
          <w:color w:val="000000" w:themeColor="text1"/>
          <w:szCs w:val="24"/>
          <w:lang w:eastAsia="lv-LV"/>
        </w:rPr>
        <w:t xml:space="preserve"> </w:t>
      </w:r>
      <w:r w:rsidR="006A138B" w:rsidRPr="008E4EA2">
        <w:rPr>
          <w:color w:val="000000" w:themeColor="text1"/>
          <w:szCs w:val="24"/>
          <w:lang w:eastAsia="lv-LV"/>
        </w:rPr>
        <w:t xml:space="preserve">Tāpat </w:t>
      </w:r>
      <w:r w:rsidR="00151DFB" w:rsidRPr="008E4EA2">
        <w:rPr>
          <w:color w:val="000000" w:themeColor="text1"/>
          <w:szCs w:val="24"/>
          <w:lang w:eastAsia="lv-LV"/>
        </w:rPr>
        <w:t xml:space="preserve">VM </w:t>
      </w:r>
      <w:proofErr w:type="spellStart"/>
      <w:r w:rsidR="006A138B" w:rsidRPr="008E4EA2">
        <w:rPr>
          <w:color w:val="000000" w:themeColor="text1"/>
          <w:szCs w:val="24"/>
          <w:lang w:eastAsia="lv-LV"/>
        </w:rPr>
        <w:t>atsevi\s\ki</w:t>
      </w:r>
      <w:proofErr w:type="spellEnd"/>
      <w:r w:rsidR="006A138B" w:rsidRPr="008E4EA2">
        <w:rPr>
          <w:color w:val="000000" w:themeColor="text1"/>
          <w:szCs w:val="24"/>
          <w:lang w:eastAsia="lv-LV"/>
        </w:rPr>
        <w:t xml:space="preserve"> ar </w:t>
      </w:r>
      <w:proofErr w:type="spellStart"/>
      <w:r w:rsidR="006A138B" w:rsidRPr="008E4EA2">
        <w:rPr>
          <w:color w:val="000000" w:themeColor="text1"/>
          <w:szCs w:val="24"/>
          <w:lang w:eastAsia="lv-LV"/>
        </w:rPr>
        <w:t>protokollēmuma</w:t>
      </w:r>
      <w:proofErr w:type="spellEnd"/>
      <w:r w:rsidR="006A138B" w:rsidRPr="008E4EA2">
        <w:rPr>
          <w:color w:val="000000" w:themeColor="text1"/>
          <w:szCs w:val="24"/>
          <w:lang w:eastAsia="lv-LV"/>
        </w:rPr>
        <w:t xml:space="preserve"> projektu </w:t>
      </w:r>
      <w:r w:rsidR="00151DFB" w:rsidRPr="008E4EA2">
        <w:rPr>
          <w:color w:val="000000" w:themeColor="text1"/>
          <w:szCs w:val="24"/>
          <w:lang w:eastAsia="lv-LV"/>
        </w:rPr>
        <w:t>ierosināja pagarināt minēta uzdevuma izpildes termiņu no 2012. gada 30. jūnija līdz 2012.gada 31.decembrim</w:t>
      </w:r>
      <w:r w:rsidR="006A138B" w:rsidRPr="008E4EA2">
        <w:rPr>
          <w:color w:val="000000" w:themeColor="text1"/>
          <w:szCs w:val="24"/>
          <w:lang w:eastAsia="lv-LV"/>
        </w:rPr>
        <w:t>.</w:t>
      </w:r>
      <w:r w:rsidR="00151DFB" w:rsidRPr="008E4EA2">
        <w:rPr>
          <w:color w:val="000000" w:themeColor="text1"/>
          <w:szCs w:val="24"/>
          <w:lang w:eastAsia="lv-LV"/>
        </w:rPr>
        <w:t xml:space="preserve">Attiecīgi ir pagarināts MK 2012.gada 12.jūnija protokola Nr.33 53.§ trešajā punktā izteikta uzdevuma izpildes termiņš - CFLA līdz </w:t>
      </w:r>
      <w:r w:rsidR="006A138B" w:rsidRPr="008E4EA2">
        <w:rPr>
          <w:color w:val="000000" w:themeColor="text1"/>
          <w:szCs w:val="24"/>
          <w:lang w:eastAsia="lv-LV"/>
        </w:rPr>
        <w:t>2013</w:t>
      </w:r>
      <w:r w:rsidR="00151DFB" w:rsidRPr="008E4EA2">
        <w:rPr>
          <w:color w:val="000000" w:themeColor="text1"/>
          <w:szCs w:val="24"/>
          <w:lang w:eastAsia="lv-LV"/>
        </w:rPr>
        <w:t xml:space="preserve">.gada </w:t>
      </w:r>
      <w:r w:rsidR="006A138B" w:rsidRPr="008E4EA2">
        <w:rPr>
          <w:color w:val="000000" w:themeColor="text1"/>
          <w:szCs w:val="24"/>
          <w:lang w:eastAsia="lv-LV"/>
        </w:rPr>
        <w:t>30</w:t>
      </w:r>
      <w:r w:rsidR="00151DFB" w:rsidRPr="008E4EA2">
        <w:rPr>
          <w:color w:val="000000" w:themeColor="text1"/>
          <w:szCs w:val="24"/>
          <w:lang w:eastAsia="lv-LV"/>
        </w:rPr>
        <w:t>.</w:t>
      </w:r>
      <w:r w:rsidR="006A138B" w:rsidRPr="008E4EA2">
        <w:rPr>
          <w:color w:val="000000" w:themeColor="text1"/>
          <w:szCs w:val="24"/>
          <w:lang w:eastAsia="lv-LV"/>
        </w:rPr>
        <w:t xml:space="preserve">jūnijam </w:t>
      </w:r>
      <w:r w:rsidR="00151DFB" w:rsidRPr="008E4EA2">
        <w:rPr>
          <w:color w:val="000000" w:themeColor="text1"/>
          <w:szCs w:val="24"/>
          <w:lang w:eastAsia="lv-LV"/>
        </w:rPr>
        <w:t>veikt grozīju</w:t>
      </w:r>
      <w:r w:rsidR="009A7E1C" w:rsidRPr="008E4EA2">
        <w:rPr>
          <w:color w:val="000000" w:themeColor="text1"/>
          <w:szCs w:val="24"/>
          <w:lang w:eastAsia="lv-LV"/>
        </w:rPr>
        <w:t>mus 3.1.5.3.1.apakšaktivitātes „</w:t>
      </w:r>
      <w:r w:rsidR="00151DFB" w:rsidRPr="008E4EA2">
        <w:rPr>
          <w:color w:val="000000" w:themeColor="text1"/>
          <w:szCs w:val="24"/>
          <w:lang w:eastAsia="lv-LV"/>
        </w:rPr>
        <w:t>Stacionārās veselības aprūpes att</w:t>
      </w:r>
      <w:r w:rsidR="009A7E1C" w:rsidRPr="008E4EA2">
        <w:rPr>
          <w:color w:val="000000" w:themeColor="text1"/>
          <w:szCs w:val="24"/>
          <w:lang w:eastAsia="lv-LV"/>
        </w:rPr>
        <w:t>īstība”</w:t>
      </w:r>
      <w:r w:rsidR="00151DFB" w:rsidRPr="008E4EA2">
        <w:rPr>
          <w:color w:val="000000" w:themeColor="text1"/>
          <w:szCs w:val="24"/>
          <w:lang w:eastAsia="lv-LV"/>
        </w:rPr>
        <w:t xml:space="preserve"> pabeigtajos projektos un veikt citas nepieciešamās darbības atbilstoši normatīvajiem aktiem komercdarbības atbalsta jomā, precizējot attiecināmo un neattiecināmo izmaksu proporciju. </w:t>
      </w:r>
    </w:p>
    <w:p w:rsidR="009857E5" w:rsidRPr="008E4EA2" w:rsidRDefault="00151DFB" w:rsidP="003A0029">
      <w:pPr>
        <w:spacing w:before="120" w:after="120" w:line="276" w:lineRule="auto"/>
        <w:rPr>
          <w:color w:val="000000" w:themeColor="text1"/>
          <w:szCs w:val="24"/>
          <w:lang w:eastAsia="lv-LV"/>
        </w:rPr>
      </w:pPr>
      <w:r w:rsidRPr="008E4EA2">
        <w:rPr>
          <w:color w:val="000000" w:themeColor="text1"/>
          <w:szCs w:val="24"/>
          <w:lang w:eastAsia="lv-LV"/>
        </w:rPr>
        <w:t xml:space="preserve">Grozījumi </w:t>
      </w:r>
      <w:r w:rsidR="006A138B" w:rsidRPr="008E4EA2">
        <w:rPr>
          <w:color w:val="000000" w:themeColor="text1"/>
          <w:szCs w:val="24"/>
          <w:lang w:eastAsia="lv-LV"/>
        </w:rPr>
        <w:t xml:space="preserve">MK noteikumos </w:t>
      </w:r>
      <w:proofErr w:type="spellStart"/>
      <w:r w:rsidR="006A138B" w:rsidRPr="008E4EA2">
        <w:rPr>
          <w:color w:val="000000" w:themeColor="text1"/>
          <w:szCs w:val="24"/>
          <w:lang w:eastAsia="lv-LV"/>
        </w:rPr>
        <w:t>Nr</w:t>
      </w:r>
      <w:proofErr w:type="spellEnd"/>
      <w:r w:rsidR="006A138B" w:rsidRPr="008E4EA2">
        <w:rPr>
          <w:color w:val="000000" w:themeColor="text1"/>
          <w:szCs w:val="24"/>
          <w:lang w:eastAsia="lv-LV"/>
        </w:rPr>
        <w:t xml:space="preserve">. 44 </w:t>
      </w:r>
      <w:r w:rsidRPr="008E4EA2">
        <w:rPr>
          <w:color w:val="000000" w:themeColor="text1"/>
          <w:szCs w:val="24"/>
          <w:lang w:eastAsia="lv-LV"/>
        </w:rPr>
        <w:t>ir izstrādāti, lai noteiktu vienotu regulējumu komercdarbības atbalsta normu piemērošanai un mazinātu iespējamos neatbilstoši veikto izdevumu riskus</w:t>
      </w:r>
      <w:r w:rsidR="00156DFF" w:rsidRPr="008E4EA2">
        <w:rPr>
          <w:color w:val="000000" w:themeColor="text1"/>
          <w:szCs w:val="24"/>
          <w:lang w:eastAsia="lv-LV"/>
        </w:rPr>
        <w:t>.</w:t>
      </w:r>
      <w:r w:rsidR="00A71908" w:rsidRPr="008E4EA2">
        <w:rPr>
          <w:color w:val="000000" w:themeColor="text1"/>
          <w:szCs w:val="24"/>
          <w:lang w:eastAsia="lv-LV"/>
        </w:rPr>
        <w:t xml:space="preserve"> </w:t>
      </w:r>
      <w:r w:rsidRPr="008E4EA2">
        <w:rPr>
          <w:color w:val="000000" w:themeColor="text1"/>
          <w:szCs w:val="24"/>
          <w:lang w:eastAsia="lv-LV"/>
        </w:rPr>
        <w:t>Ar minētajiem grozījumiem MK noteikumos Nr.44 ir paredzēts atļaut iegādāties un izmantot jau iegādāto infrastruktūru maksas veselības aprūpes pakalpojumu sniegšanai, piesaistot finansējuma saņēmēja privāto finansējumu proporcionāli infrastruktūras izmantošanas proporcijai valsts apmaksāto veselības aprūpes pakalpojumu sniegšanai un citu darbību veikšanai.</w:t>
      </w:r>
    </w:p>
    <w:p w:rsidR="0049239A" w:rsidRDefault="00A23D5B" w:rsidP="003A0029">
      <w:pPr>
        <w:pStyle w:val="NormalWeb"/>
        <w:spacing w:before="120" w:beforeAutospacing="0" w:after="120" w:afterAutospacing="0" w:line="276" w:lineRule="auto"/>
        <w:jc w:val="both"/>
        <w:rPr>
          <w:color w:val="000000" w:themeColor="text1"/>
          <w:lang w:val="lv-LV" w:eastAsia="lv-LV"/>
        </w:rPr>
      </w:pPr>
      <w:proofErr w:type="spellStart"/>
      <w:r w:rsidRPr="001B21DE">
        <w:rPr>
          <w:color w:val="000000" w:themeColor="text1"/>
          <w:lang w:val="lv-LV" w:eastAsia="lv-LV"/>
        </w:rPr>
        <w:t>Š.g</w:t>
      </w:r>
      <w:proofErr w:type="spellEnd"/>
      <w:r w:rsidRPr="001B21DE">
        <w:rPr>
          <w:color w:val="000000" w:themeColor="text1"/>
          <w:lang w:val="lv-LV" w:eastAsia="lv-LV"/>
        </w:rPr>
        <w:t>.</w:t>
      </w:r>
      <w:r w:rsidR="005212A9" w:rsidRPr="001B21DE">
        <w:rPr>
          <w:color w:val="000000" w:themeColor="text1"/>
          <w:lang w:val="lv-LV" w:eastAsia="lv-LV"/>
        </w:rPr>
        <w:t xml:space="preserve"> 14.</w:t>
      </w:r>
      <w:r w:rsidR="009857E5" w:rsidRPr="001B21DE">
        <w:rPr>
          <w:color w:val="000000" w:themeColor="text1"/>
          <w:lang w:val="lv-LV" w:eastAsia="lv-LV"/>
        </w:rPr>
        <w:t xml:space="preserve">augustā </w:t>
      </w:r>
      <w:r w:rsidR="006A138B" w:rsidRPr="001B21DE">
        <w:rPr>
          <w:color w:val="000000" w:themeColor="text1"/>
          <w:lang w:val="lv-LV" w:eastAsia="lv-LV"/>
        </w:rPr>
        <w:t xml:space="preserve">MK sēdē tika </w:t>
      </w:r>
      <w:r w:rsidR="00844D64" w:rsidRPr="001B21DE">
        <w:rPr>
          <w:color w:val="000000" w:themeColor="text1"/>
          <w:lang w:val="lv-LV" w:eastAsia="lv-LV"/>
        </w:rPr>
        <w:t>apstiprināti MK noteikumu Nr.</w:t>
      </w:r>
      <w:r w:rsidR="009857E5" w:rsidRPr="001B21DE">
        <w:rPr>
          <w:color w:val="000000" w:themeColor="text1"/>
          <w:lang w:val="lv-LV" w:eastAsia="lv-LV"/>
        </w:rPr>
        <w:t>642 „Not</w:t>
      </w:r>
      <w:r w:rsidR="008E5444" w:rsidRPr="001B21DE">
        <w:rPr>
          <w:color w:val="000000" w:themeColor="text1"/>
          <w:lang w:val="lv-LV" w:eastAsia="lv-LV"/>
        </w:rPr>
        <w:t>eikumi par darbības programmas „</w:t>
      </w:r>
      <w:r w:rsidR="009857E5" w:rsidRPr="001B21DE">
        <w:rPr>
          <w:color w:val="000000" w:themeColor="text1"/>
          <w:lang w:val="lv-LV" w:eastAsia="lv-LV"/>
        </w:rPr>
        <w:t>Infrastruktūra un pakalpojumi” pa</w:t>
      </w:r>
      <w:r w:rsidR="008E5444" w:rsidRPr="001B21DE">
        <w:rPr>
          <w:color w:val="000000" w:themeColor="text1"/>
          <w:lang w:val="lv-LV" w:eastAsia="lv-LV"/>
        </w:rPr>
        <w:t>pildinājuma aktivitāti „</w:t>
      </w:r>
      <w:r w:rsidR="009857E5" w:rsidRPr="001B21DE">
        <w:rPr>
          <w:color w:val="000000" w:themeColor="text1"/>
          <w:lang w:val="lv-LV" w:eastAsia="lv-LV"/>
        </w:rPr>
        <w:t>Neatliekamās medicīniskās palīdzības attīstība”</w:t>
      </w:r>
      <w:r w:rsidR="00844D64" w:rsidRPr="001B21DE">
        <w:rPr>
          <w:color w:val="000000" w:themeColor="text1"/>
          <w:lang w:val="lv-LV" w:eastAsia="lv-LV"/>
        </w:rPr>
        <w:t>”</w:t>
      </w:r>
      <w:r w:rsidR="003901F3" w:rsidRPr="001B21DE">
        <w:rPr>
          <w:color w:val="000000" w:themeColor="text1"/>
          <w:lang w:val="lv-LV" w:eastAsia="lv-LV"/>
        </w:rPr>
        <w:t xml:space="preserve"> grozījumi</w:t>
      </w:r>
      <w:r w:rsidR="009857E5" w:rsidRPr="001B21DE">
        <w:rPr>
          <w:color w:val="000000" w:themeColor="text1"/>
          <w:lang w:val="lv-LV" w:eastAsia="lv-LV"/>
        </w:rPr>
        <w:t xml:space="preserve">, kas paredz piešķirt </w:t>
      </w:r>
      <w:proofErr w:type="spellStart"/>
      <w:r w:rsidR="009857E5" w:rsidRPr="001B21DE">
        <w:rPr>
          <w:color w:val="000000" w:themeColor="text1"/>
          <w:lang w:val="lv-LV" w:eastAsia="lv-LV"/>
        </w:rPr>
        <w:t>virsssaistības</w:t>
      </w:r>
      <w:proofErr w:type="spellEnd"/>
      <w:r w:rsidR="009857E5" w:rsidRPr="001B21DE">
        <w:rPr>
          <w:color w:val="000000" w:themeColor="text1"/>
          <w:lang w:val="lv-LV" w:eastAsia="lv-LV"/>
        </w:rPr>
        <w:t xml:space="preserve"> 10</w:t>
      </w:r>
      <w:r w:rsidR="003271BE" w:rsidRPr="001B21DE">
        <w:rPr>
          <w:color w:val="000000" w:themeColor="text1"/>
          <w:lang w:val="lv-LV" w:eastAsia="lv-LV"/>
        </w:rPr>
        <w:t xml:space="preserve">,6 </w:t>
      </w:r>
      <w:proofErr w:type="spellStart"/>
      <w:r w:rsidR="003271BE" w:rsidRPr="001B21DE">
        <w:rPr>
          <w:color w:val="000000" w:themeColor="text1"/>
          <w:lang w:val="lv-LV" w:eastAsia="lv-LV"/>
        </w:rPr>
        <w:t>milj</w:t>
      </w:r>
      <w:proofErr w:type="spellEnd"/>
      <w:r w:rsidR="003271BE" w:rsidRPr="001B21DE">
        <w:rPr>
          <w:color w:val="000000" w:themeColor="text1"/>
          <w:lang w:val="lv-LV" w:eastAsia="lv-LV"/>
        </w:rPr>
        <w:t>.</w:t>
      </w:r>
      <w:r w:rsidR="009857E5" w:rsidRPr="001B21DE">
        <w:rPr>
          <w:color w:val="000000" w:themeColor="text1"/>
          <w:lang w:val="lv-LV" w:eastAsia="lv-LV"/>
        </w:rPr>
        <w:t xml:space="preserve"> latu apmērā, lai nodrošinātu vienlīdzīgu pakalpojuma pieejamību visiem iedzīvotājiem, izveidojot jaunus neatliekamās medicīniskās palīdzības punktus un atjaunojot neatliekamās medicīniskās</w:t>
      </w:r>
      <w:r w:rsidR="00844D64" w:rsidRPr="001B21DE">
        <w:rPr>
          <w:color w:val="000000" w:themeColor="text1"/>
          <w:lang w:val="lv-LV" w:eastAsia="lv-LV"/>
        </w:rPr>
        <w:t xml:space="preserve"> palīdzības mašīnu parku. </w:t>
      </w:r>
    </w:p>
    <w:p w:rsidR="009857E5" w:rsidRPr="008E4EA2" w:rsidRDefault="00A03E86" w:rsidP="003A0029">
      <w:pPr>
        <w:pStyle w:val="NormalWeb"/>
        <w:spacing w:before="120" w:beforeAutospacing="0" w:after="120" w:afterAutospacing="0" w:line="276" w:lineRule="auto"/>
        <w:jc w:val="both"/>
        <w:rPr>
          <w:color w:val="000000" w:themeColor="text1"/>
          <w:lang w:val="lv-LV" w:eastAsia="lv-LV"/>
        </w:rPr>
      </w:pPr>
      <w:r w:rsidRPr="008E4EA2">
        <w:rPr>
          <w:b/>
          <w:color w:val="000000" w:themeColor="text1"/>
          <w:lang w:val="lv-LV" w:eastAsia="lv-LV"/>
        </w:rPr>
        <w:t>Nodarbinātības un sociālo pakalpojumu infrastruktūras</w:t>
      </w:r>
      <w:r w:rsidRPr="008E4EA2">
        <w:rPr>
          <w:color w:val="000000" w:themeColor="text1"/>
          <w:lang w:val="lv-LV" w:eastAsia="lv-LV"/>
        </w:rPr>
        <w:t xml:space="preserve"> </w:t>
      </w:r>
      <w:r w:rsidR="009857E5" w:rsidRPr="008E4EA2">
        <w:rPr>
          <w:color w:val="000000" w:themeColor="text1"/>
          <w:lang w:val="lv-LV" w:eastAsia="lv-LV"/>
        </w:rPr>
        <w:t xml:space="preserve">pasākuma ietvaros turpinājusies uzsākto projektu īstenošana. </w:t>
      </w:r>
      <w:r w:rsidR="009857E5" w:rsidRPr="008E4EA2">
        <w:rPr>
          <w:color w:val="000000" w:themeColor="text1"/>
          <w:lang w:val="lv-LV" w:eastAsia="lv-LV"/>
        </w:rPr>
        <w:tab/>
        <w:t xml:space="preserve">Aktivitātē, kas paredz darbspēju vērtēšanas un sociālo pakalpojumu ieviešanas institūciju infrastruktūras pilnveidošanu, </w:t>
      </w:r>
      <w:r w:rsidR="00755AE7">
        <w:rPr>
          <w:color w:val="000000" w:themeColor="text1"/>
          <w:lang w:val="lv-LV" w:eastAsia="lv-LV"/>
        </w:rPr>
        <w:t xml:space="preserve">pašlaik </w:t>
      </w:r>
      <w:r w:rsidR="009857E5" w:rsidRPr="008E4EA2">
        <w:rPr>
          <w:color w:val="000000" w:themeColor="text1"/>
          <w:lang w:val="lv-LV" w:eastAsia="lv-LV"/>
        </w:rPr>
        <w:t xml:space="preserve">tiek </w:t>
      </w:r>
      <w:r w:rsidR="00755AE7">
        <w:rPr>
          <w:color w:val="000000" w:themeColor="text1"/>
          <w:lang w:val="lv-LV" w:eastAsia="lv-LV"/>
        </w:rPr>
        <w:t>īstenoti</w:t>
      </w:r>
      <w:r w:rsidR="009857E5" w:rsidRPr="008E4EA2">
        <w:rPr>
          <w:color w:val="000000" w:themeColor="text1"/>
          <w:lang w:val="lv-LV" w:eastAsia="lv-LV"/>
        </w:rPr>
        <w:t xml:space="preserve"> </w:t>
      </w:r>
      <w:r w:rsidR="002D32F3" w:rsidRPr="008E4EA2">
        <w:rPr>
          <w:color w:val="000000" w:themeColor="text1"/>
          <w:lang w:val="lv-LV" w:eastAsia="lv-LV"/>
        </w:rPr>
        <w:t xml:space="preserve">kopā </w:t>
      </w:r>
      <w:r w:rsidR="008E5444" w:rsidRPr="008E4EA2">
        <w:rPr>
          <w:color w:val="000000" w:themeColor="text1"/>
          <w:lang w:val="lv-LV" w:eastAsia="lv-LV"/>
        </w:rPr>
        <w:t>četri</w:t>
      </w:r>
      <w:r w:rsidR="009857E5" w:rsidRPr="008E4EA2">
        <w:rPr>
          <w:color w:val="000000" w:themeColor="text1"/>
          <w:lang w:val="lv-LV" w:eastAsia="lv-LV"/>
        </w:rPr>
        <w:t xml:space="preserve"> projekti par kopējo publisko finansējumu 5,1 </w:t>
      </w:r>
      <w:proofErr w:type="spellStart"/>
      <w:r w:rsidR="009857E5" w:rsidRPr="008E4EA2">
        <w:rPr>
          <w:color w:val="000000" w:themeColor="text1"/>
          <w:lang w:val="lv-LV" w:eastAsia="lv-LV"/>
        </w:rPr>
        <w:t>milj</w:t>
      </w:r>
      <w:proofErr w:type="spellEnd"/>
      <w:r w:rsidR="009857E5" w:rsidRPr="008E4EA2">
        <w:rPr>
          <w:color w:val="000000" w:themeColor="text1"/>
          <w:lang w:val="lv-LV" w:eastAsia="lv-LV"/>
        </w:rPr>
        <w:t>. latu. Projekti ir vērsti uz</w:t>
      </w:r>
      <w:r w:rsidR="003271BE" w:rsidRPr="008E4EA2">
        <w:rPr>
          <w:color w:val="000000" w:themeColor="text1"/>
          <w:lang w:val="lv-LV" w:eastAsia="lv-LV"/>
        </w:rPr>
        <w:t xml:space="preserve"> </w:t>
      </w:r>
      <w:r w:rsidR="009857E5" w:rsidRPr="008E4EA2">
        <w:rPr>
          <w:color w:val="000000" w:themeColor="text1"/>
          <w:lang w:val="lv-LV" w:eastAsia="lv-LV"/>
        </w:rPr>
        <w:t>kvalitatīvu un ērtu invaliditātes ekspertīzes pakalpojuma saņemšanas nodrošināšanu personām ar funkcionāliem ierobežojumiem ka arī sociālās rehabilitācijas pakalpojumu saņemšanas iespēju paplašināšanu un sociālo pakalpojumu daudzveidības, pieejamības un kvalitātes pilnveidošanu personām ar garīga rakstura traucējumiem.</w:t>
      </w:r>
    </w:p>
    <w:p w:rsidR="002C55BF" w:rsidRPr="008E4EA2" w:rsidRDefault="00A23D5B" w:rsidP="003A0029">
      <w:pPr>
        <w:pStyle w:val="NormalWeb"/>
        <w:spacing w:before="120" w:beforeAutospacing="0" w:after="120" w:afterAutospacing="0" w:line="276" w:lineRule="auto"/>
        <w:jc w:val="both"/>
        <w:rPr>
          <w:color w:val="000000" w:themeColor="text1"/>
          <w:highlight w:val="red"/>
          <w:lang w:val="lv-LV"/>
        </w:rPr>
      </w:pPr>
      <w:r w:rsidRPr="008E4EA2">
        <w:rPr>
          <w:color w:val="000000" w:themeColor="text1"/>
          <w:lang w:val="lv-LV"/>
        </w:rPr>
        <w:t>A</w:t>
      </w:r>
      <w:r w:rsidR="00755AE7">
        <w:rPr>
          <w:color w:val="000000" w:themeColor="text1"/>
          <w:lang w:val="lv-LV"/>
        </w:rPr>
        <w:t>ktivitātē, kas ir vērsta uz</w:t>
      </w:r>
      <w:r w:rsidR="005E1672">
        <w:rPr>
          <w:color w:val="000000" w:themeColor="text1"/>
          <w:lang w:val="lv-LV"/>
        </w:rPr>
        <w:t xml:space="preserve"> </w:t>
      </w:r>
      <w:r w:rsidR="00755AE7">
        <w:rPr>
          <w:color w:val="000000" w:themeColor="text1"/>
          <w:lang w:val="lv-LV"/>
        </w:rPr>
        <w:t>d</w:t>
      </w:r>
      <w:r w:rsidR="00755AE7" w:rsidRPr="00755AE7">
        <w:rPr>
          <w:color w:val="000000" w:themeColor="text1"/>
          <w:lang w:val="lv-LV"/>
        </w:rPr>
        <w:t>arba tirgus institūciju infrastruktūras pilnveidošan</w:t>
      </w:r>
      <w:r w:rsidR="00755AE7">
        <w:rPr>
          <w:color w:val="000000" w:themeColor="text1"/>
          <w:lang w:val="lv-LV"/>
        </w:rPr>
        <w:t>u</w:t>
      </w:r>
      <w:r w:rsidR="00755AE7" w:rsidRPr="00755AE7">
        <w:rPr>
          <w:color w:val="000000" w:themeColor="text1"/>
          <w:lang w:val="lv-LV"/>
        </w:rPr>
        <w:t xml:space="preserve"> </w:t>
      </w:r>
      <w:r w:rsidR="00844D64" w:rsidRPr="008E4EA2">
        <w:rPr>
          <w:color w:val="000000" w:themeColor="text1"/>
          <w:lang w:val="lv-LV"/>
        </w:rPr>
        <w:t xml:space="preserve">NVA īstenotajam </w:t>
      </w:r>
      <w:r w:rsidR="009857E5" w:rsidRPr="008E4EA2">
        <w:rPr>
          <w:color w:val="000000" w:themeColor="text1"/>
          <w:lang w:val="lv-LV"/>
        </w:rPr>
        <w:t xml:space="preserve">projektam „NVA pakalpojumu pieejamības uzlabošana un darba apstākļu nodrošināšana atbilstoši veicamajām funkcijām” tiek turpināta </w:t>
      </w:r>
      <w:r w:rsidR="00151DFB" w:rsidRPr="008E4EA2">
        <w:rPr>
          <w:color w:val="000000" w:themeColor="text1"/>
          <w:lang w:val="lv-LV"/>
        </w:rPr>
        <w:t>iesniegtā noslēguma maksājuma pieprasījuma pārbaude. Prognozējams, ka</w:t>
      </w:r>
      <w:r w:rsidR="005E1672">
        <w:rPr>
          <w:color w:val="000000" w:themeColor="text1"/>
          <w:lang w:val="lv-LV"/>
        </w:rPr>
        <w:t xml:space="preserve"> </w:t>
      </w:r>
      <w:r w:rsidR="00151DFB" w:rsidRPr="008E4EA2">
        <w:rPr>
          <w:color w:val="000000" w:themeColor="text1"/>
          <w:lang w:val="lv-LV"/>
        </w:rPr>
        <w:t xml:space="preserve">2012.gada </w:t>
      </w:r>
      <w:r w:rsidR="00755AE7">
        <w:rPr>
          <w:color w:val="000000" w:themeColor="text1"/>
          <w:lang w:val="lv-LV"/>
        </w:rPr>
        <w:t>novembrī</w:t>
      </w:r>
      <w:r w:rsidR="00151DFB" w:rsidRPr="008E4EA2">
        <w:rPr>
          <w:color w:val="000000" w:themeColor="text1"/>
          <w:lang w:val="lv-LV"/>
        </w:rPr>
        <w:t xml:space="preserve"> CFLA pieņems gala lēmumu par neatbilstoši veiktiem izdevumiem un attiecīgi būs iesp</w:t>
      </w:r>
      <w:r w:rsidR="00755AE7">
        <w:rPr>
          <w:color w:val="000000" w:themeColor="text1"/>
          <w:lang w:val="lv-LV"/>
        </w:rPr>
        <w:t>ējams veikt noslēguma maksājumu</w:t>
      </w:r>
      <w:r w:rsidR="009857E5" w:rsidRPr="008E4EA2">
        <w:rPr>
          <w:color w:val="000000" w:themeColor="text1"/>
          <w:lang w:val="lv-LV"/>
        </w:rPr>
        <w:t xml:space="preserve">. Projekta īstenoto aktivitāšu rezultātā izveidota moderna, uz </w:t>
      </w:r>
      <w:r w:rsidR="009857E5" w:rsidRPr="008E4EA2">
        <w:rPr>
          <w:color w:val="000000" w:themeColor="text1"/>
          <w:lang w:val="lv-LV"/>
        </w:rPr>
        <w:lastRenderedPageBreak/>
        <w:t>klientiem orientēta sešu NVA struktūrvienību infrastruktūra, nodrošinot kvalitatīvu un operatīvu pakalpojumu sniegšanu kli</w:t>
      </w:r>
      <w:r w:rsidR="00080AB6">
        <w:rPr>
          <w:color w:val="000000" w:themeColor="text1"/>
          <w:lang w:val="lv-LV"/>
        </w:rPr>
        <w:t>entiem un sadarbības partneriem</w:t>
      </w:r>
      <w:r w:rsidR="009857E5" w:rsidRPr="008E4EA2">
        <w:rPr>
          <w:color w:val="000000" w:themeColor="text1"/>
          <w:lang w:val="lv-LV"/>
        </w:rPr>
        <w:t>.</w:t>
      </w:r>
    </w:p>
    <w:p w:rsidR="00901E9F" w:rsidRPr="008E4EA2" w:rsidRDefault="00901E9F" w:rsidP="003A0029">
      <w:pPr>
        <w:spacing w:before="120" w:after="120" w:line="276" w:lineRule="auto"/>
        <w:rPr>
          <w:color w:val="000000" w:themeColor="text1"/>
          <w:szCs w:val="24"/>
          <w:lang w:eastAsia="lv-LV"/>
        </w:rPr>
      </w:pPr>
      <w:r w:rsidRPr="008E4EA2">
        <w:rPr>
          <w:color w:val="000000" w:themeColor="text1"/>
          <w:szCs w:val="24"/>
          <w:lang w:eastAsia="lv-LV"/>
        </w:rPr>
        <w:t>Kopumā pasākuma ietvaros mērķis maksājumiem</w:t>
      </w:r>
      <w:r w:rsidR="005E54BE" w:rsidRPr="008E4EA2">
        <w:rPr>
          <w:color w:val="000000" w:themeColor="text1"/>
          <w:szCs w:val="24"/>
          <w:lang w:eastAsia="lv-LV"/>
        </w:rPr>
        <w:t xml:space="preserve"> finansējuma saņēmējiem līdz 3.</w:t>
      </w:r>
      <w:r w:rsidRPr="008E4EA2">
        <w:rPr>
          <w:color w:val="000000" w:themeColor="text1"/>
          <w:szCs w:val="24"/>
          <w:lang w:eastAsia="lv-LV"/>
        </w:rPr>
        <w:t>ceturkšņa beigām ir sasniegts par 77%, bet mērķis 2012. gadam ir sasniegts par 69%.</w:t>
      </w:r>
    </w:p>
    <w:p w:rsidR="00162F57" w:rsidRPr="008E4EA2" w:rsidRDefault="00A03E86" w:rsidP="003A0029">
      <w:pPr>
        <w:spacing w:before="120" w:after="120" w:line="276" w:lineRule="auto"/>
        <w:rPr>
          <w:color w:val="000000" w:themeColor="text1"/>
          <w:szCs w:val="24"/>
          <w:lang w:eastAsia="lv-LV"/>
        </w:rPr>
      </w:pPr>
      <w:r w:rsidRPr="008E4EA2">
        <w:rPr>
          <w:b/>
          <w:color w:val="000000" w:themeColor="text1"/>
          <w:szCs w:val="24"/>
          <w:lang w:eastAsia="lv-LV"/>
        </w:rPr>
        <w:t>„Teritoriju pieejamības un sasniedzamības veicināšana”</w:t>
      </w:r>
    </w:p>
    <w:p w:rsidR="00A03E86" w:rsidRPr="008E4EA2" w:rsidRDefault="00A03E86" w:rsidP="003A0029">
      <w:pPr>
        <w:pStyle w:val="NormalWeb"/>
        <w:spacing w:before="120" w:beforeAutospacing="0" w:after="120" w:afterAutospacing="0" w:line="276" w:lineRule="auto"/>
        <w:jc w:val="both"/>
        <w:rPr>
          <w:color w:val="000000" w:themeColor="text1"/>
          <w:lang w:val="lv-LV" w:eastAsia="lv-LV"/>
        </w:rPr>
      </w:pPr>
      <w:r w:rsidRPr="008E4EA2">
        <w:rPr>
          <w:color w:val="000000" w:themeColor="text1"/>
          <w:lang w:val="lv-LV" w:eastAsia="lv-LV"/>
        </w:rPr>
        <w:t xml:space="preserve">Prioritāte vērsta uz dažādu valsts teritorijas daļu sasniedzamību un pakalpojumu pieejamību iedzīvotājiem, to panākot ar IKT attīstību, elektroniskās pārvaldes ieviešanu un reģionālās nozīmes transporta savienojumu uzlabošanu. </w:t>
      </w:r>
      <w:r w:rsidR="00545007" w:rsidRPr="008E4EA2">
        <w:rPr>
          <w:color w:val="000000" w:themeColor="text1"/>
          <w:lang w:val="lv-LV" w:eastAsia="lv-LV"/>
        </w:rPr>
        <w:t xml:space="preserve">Kopā prioritātes ietvaros līdz pārskata perioda beigām apstiprināti 360 projektu 401,9 </w:t>
      </w:r>
      <w:proofErr w:type="spellStart"/>
      <w:r w:rsidR="00545007" w:rsidRPr="008E4EA2">
        <w:rPr>
          <w:color w:val="000000" w:themeColor="text1"/>
          <w:lang w:val="lv-LV" w:eastAsia="lv-LV"/>
        </w:rPr>
        <w:t>milj.apmērā</w:t>
      </w:r>
      <w:proofErr w:type="spellEnd"/>
      <w:r w:rsidR="00545007" w:rsidRPr="008E4EA2">
        <w:rPr>
          <w:color w:val="000000" w:themeColor="text1"/>
          <w:lang w:val="lv-LV" w:eastAsia="lv-LV"/>
        </w:rPr>
        <w:t xml:space="preserve">, kas ir 93% no kopā prioritātē pieejamā publiskā finansējuma, tai skaitā uzņemtajām </w:t>
      </w:r>
      <w:proofErr w:type="spellStart"/>
      <w:r w:rsidR="00545007" w:rsidRPr="008E4EA2">
        <w:rPr>
          <w:color w:val="000000" w:themeColor="text1"/>
          <w:lang w:val="lv-LV" w:eastAsia="lv-LV"/>
        </w:rPr>
        <w:t>virssaistībām</w:t>
      </w:r>
      <w:proofErr w:type="spellEnd"/>
      <w:r w:rsidR="00545007" w:rsidRPr="008E4EA2">
        <w:rPr>
          <w:color w:val="000000" w:themeColor="text1"/>
          <w:lang w:val="lv-LV" w:eastAsia="lv-LV"/>
        </w:rPr>
        <w:t>.</w:t>
      </w:r>
    </w:p>
    <w:p w:rsidR="00F81305" w:rsidRPr="008E4EA2" w:rsidRDefault="00F81305" w:rsidP="003A0029">
      <w:pPr>
        <w:spacing w:before="120" w:after="120" w:line="276" w:lineRule="auto"/>
        <w:rPr>
          <w:color w:val="000000" w:themeColor="text1"/>
          <w:szCs w:val="24"/>
          <w:lang w:eastAsia="lv-LV"/>
        </w:rPr>
      </w:pPr>
      <w:r w:rsidRPr="008E4EA2">
        <w:rPr>
          <w:color w:val="000000" w:themeColor="text1"/>
          <w:szCs w:val="24"/>
          <w:lang w:eastAsia="lv-LV"/>
        </w:rPr>
        <w:t xml:space="preserve">Transporta nozarē vērojams progress </w:t>
      </w:r>
      <w:proofErr w:type="spellStart"/>
      <w:r w:rsidRPr="008E4EA2">
        <w:rPr>
          <w:color w:val="000000" w:themeColor="text1"/>
          <w:szCs w:val="24"/>
          <w:lang w:eastAsia="lv-LV"/>
        </w:rPr>
        <w:t>tranzītielu</w:t>
      </w:r>
      <w:proofErr w:type="spellEnd"/>
      <w:r w:rsidRPr="008E4EA2">
        <w:rPr>
          <w:color w:val="000000" w:themeColor="text1"/>
          <w:szCs w:val="24"/>
          <w:lang w:eastAsia="lv-LV"/>
        </w:rPr>
        <w:t xml:space="preserve"> sakārtošanas pilsētu teritorijās aktivitātē, kurā ir apstiprināti projekti par </w:t>
      </w:r>
      <w:r w:rsidR="00ED5C56" w:rsidRPr="008E4EA2">
        <w:rPr>
          <w:color w:val="000000" w:themeColor="text1"/>
          <w:szCs w:val="24"/>
          <w:lang w:eastAsia="lv-LV"/>
        </w:rPr>
        <w:t>1</w:t>
      </w:r>
      <w:r w:rsidR="005E54BE" w:rsidRPr="008E4EA2">
        <w:rPr>
          <w:color w:val="000000" w:themeColor="text1"/>
          <w:szCs w:val="24"/>
          <w:lang w:eastAsia="lv-LV"/>
        </w:rPr>
        <w:t>44,</w:t>
      </w:r>
      <w:r w:rsidR="001257C3" w:rsidRPr="008E4EA2">
        <w:rPr>
          <w:color w:val="000000" w:themeColor="text1"/>
          <w:szCs w:val="24"/>
          <w:lang w:eastAsia="lv-LV"/>
        </w:rPr>
        <w:t>6</w:t>
      </w:r>
      <w:r w:rsidRPr="008E4EA2">
        <w:rPr>
          <w:color w:val="000000" w:themeColor="text1"/>
          <w:szCs w:val="24"/>
          <w:lang w:eastAsia="lv-LV"/>
        </w:rPr>
        <w:t xml:space="preserve">% no </w:t>
      </w:r>
      <w:r w:rsidR="00ED5C56" w:rsidRPr="008E4EA2">
        <w:rPr>
          <w:color w:val="000000" w:themeColor="text1"/>
          <w:szCs w:val="24"/>
          <w:lang w:eastAsia="lv-LV"/>
        </w:rPr>
        <w:t xml:space="preserve">publiskā </w:t>
      </w:r>
      <w:r w:rsidRPr="008E4EA2">
        <w:rPr>
          <w:color w:val="000000" w:themeColor="text1"/>
          <w:szCs w:val="24"/>
          <w:lang w:eastAsia="lv-LV"/>
        </w:rPr>
        <w:t>finansējuma,</w:t>
      </w:r>
      <w:r w:rsidR="003271BE" w:rsidRPr="008E4EA2">
        <w:rPr>
          <w:color w:val="000000" w:themeColor="text1"/>
          <w:szCs w:val="24"/>
          <w:lang w:eastAsia="lv-LV"/>
        </w:rPr>
        <w:t xml:space="preserve"> </w:t>
      </w:r>
      <w:r w:rsidRPr="008E4EA2">
        <w:rPr>
          <w:color w:val="000000" w:themeColor="text1"/>
          <w:szCs w:val="24"/>
          <w:lang w:eastAsia="lv-LV"/>
        </w:rPr>
        <w:t>jo projektu atlases kārtu ietvaros iesniegto projektu finansējums pārsniedza aktivitātei pieejamo finansējumu un</w:t>
      </w:r>
      <w:r w:rsidR="00844D64" w:rsidRPr="008E4EA2">
        <w:rPr>
          <w:color w:val="000000" w:themeColor="text1"/>
          <w:szCs w:val="24"/>
          <w:lang w:eastAsia="lv-LV"/>
        </w:rPr>
        <w:t xml:space="preserve"> minētās aktivitātes īstenošanai</w:t>
      </w:r>
      <w:r w:rsidRPr="008E4EA2">
        <w:rPr>
          <w:color w:val="000000" w:themeColor="text1"/>
          <w:szCs w:val="24"/>
          <w:lang w:eastAsia="lv-LV"/>
        </w:rPr>
        <w:t xml:space="preserve"> tika uzņemtas </w:t>
      </w:r>
      <w:proofErr w:type="spellStart"/>
      <w:r w:rsidRPr="008E4EA2">
        <w:rPr>
          <w:color w:val="000000" w:themeColor="text1"/>
          <w:szCs w:val="24"/>
          <w:lang w:eastAsia="lv-LV"/>
        </w:rPr>
        <w:t>virssaistības</w:t>
      </w:r>
      <w:proofErr w:type="spellEnd"/>
      <w:r w:rsidRPr="008E4EA2">
        <w:rPr>
          <w:color w:val="000000" w:themeColor="text1"/>
          <w:szCs w:val="24"/>
          <w:lang w:eastAsia="lv-LV"/>
        </w:rPr>
        <w:t xml:space="preserve"> </w:t>
      </w:r>
      <w:r w:rsidR="001257C3" w:rsidRPr="008E4EA2">
        <w:rPr>
          <w:color w:val="000000" w:themeColor="text1"/>
          <w:szCs w:val="24"/>
          <w:lang w:eastAsia="lv-LV"/>
        </w:rPr>
        <w:t>3</w:t>
      </w:r>
      <w:r w:rsidRPr="008E4EA2">
        <w:rPr>
          <w:color w:val="000000" w:themeColor="text1"/>
          <w:szCs w:val="24"/>
          <w:lang w:eastAsia="lv-LV"/>
        </w:rPr>
        <w:t xml:space="preserve">3,9 </w:t>
      </w:r>
      <w:proofErr w:type="spellStart"/>
      <w:r w:rsidRPr="008E4EA2">
        <w:rPr>
          <w:color w:val="000000" w:themeColor="text1"/>
          <w:szCs w:val="24"/>
          <w:lang w:eastAsia="lv-LV"/>
        </w:rPr>
        <w:t>milj</w:t>
      </w:r>
      <w:proofErr w:type="spellEnd"/>
      <w:r w:rsidRPr="008E4EA2">
        <w:rPr>
          <w:color w:val="000000" w:themeColor="text1"/>
          <w:szCs w:val="24"/>
          <w:lang w:eastAsia="lv-LV"/>
        </w:rPr>
        <w:t>. latu apmērā.</w:t>
      </w:r>
    </w:p>
    <w:p w:rsidR="00F81305" w:rsidRPr="008E4EA2" w:rsidRDefault="00BD7EE6" w:rsidP="003A0029">
      <w:pPr>
        <w:spacing w:before="120" w:after="120" w:line="276" w:lineRule="auto"/>
        <w:rPr>
          <w:color w:val="000000" w:themeColor="text1"/>
          <w:szCs w:val="24"/>
          <w:lang w:eastAsia="lv-LV"/>
        </w:rPr>
      </w:pPr>
      <w:r w:rsidRPr="008E4EA2">
        <w:rPr>
          <w:color w:val="000000" w:themeColor="text1"/>
          <w:szCs w:val="24"/>
          <w:lang w:eastAsia="lv-LV"/>
        </w:rPr>
        <w:t>A</w:t>
      </w:r>
      <w:r w:rsidR="00F81305" w:rsidRPr="008E4EA2">
        <w:rPr>
          <w:color w:val="000000" w:themeColor="text1"/>
          <w:szCs w:val="24"/>
          <w:lang w:eastAsia="lv-LV"/>
        </w:rPr>
        <w:t xml:space="preserve">ktivitātēs, kas saistītas ar satiksmes drošības uzlabojumiem Rīgā, publiskā transporta attīstību ārpus Rīgas un mazo ostu infrastruktūras </w:t>
      </w:r>
      <w:r w:rsidRPr="008E4EA2">
        <w:rPr>
          <w:color w:val="000000" w:themeColor="text1"/>
          <w:szCs w:val="24"/>
          <w:lang w:eastAsia="lv-LV"/>
        </w:rPr>
        <w:t>uzlabošanu, visi projekti ir apstiprināti.</w:t>
      </w:r>
    </w:p>
    <w:p w:rsidR="00F81305" w:rsidRPr="008E4EA2" w:rsidRDefault="00F81305" w:rsidP="003A0029">
      <w:pPr>
        <w:spacing w:before="120" w:after="120" w:line="276" w:lineRule="auto"/>
        <w:rPr>
          <w:color w:val="000000" w:themeColor="text1"/>
          <w:szCs w:val="24"/>
          <w:lang w:eastAsia="lv-LV"/>
        </w:rPr>
      </w:pPr>
      <w:r w:rsidRPr="008E4EA2">
        <w:rPr>
          <w:color w:val="000000" w:themeColor="text1"/>
          <w:szCs w:val="24"/>
          <w:lang w:eastAsia="lv-LV"/>
        </w:rPr>
        <w:t xml:space="preserve">Vislielākais progress pārskata periodā attiecībā uz noslēgtajiem līgumiem par projektu īstenošanu ir vērojams </w:t>
      </w:r>
      <w:r w:rsidR="00D10881">
        <w:rPr>
          <w:color w:val="000000" w:themeColor="text1"/>
          <w:szCs w:val="24"/>
          <w:lang w:eastAsia="lv-LV"/>
        </w:rPr>
        <w:t>reģionālo autoceļu</w:t>
      </w:r>
      <w:r w:rsidRPr="008E4EA2">
        <w:rPr>
          <w:color w:val="000000" w:themeColor="text1"/>
          <w:szCs w:val="24"/>
          <w:lang w:eastAsia="lv-LV"/>
        </w:rPr>
        <w:t xml:space="preserve"> maršrutu sakārtošanas aktivitātē, </w:t>
      </w:r>
      <w:proofErr w:type="spellStart"/>
      <w:r w:rsidRPr="008E4EA2">
        <w:rPr>
          <w:color w:val="000000" w:themeColor="text1"/>
          <w:szCs w:val="24"/>
          <w:lang w:eastAsia="lv-LV"/>
        </w:rPr>
        <w:t>t.i</w:t>
      </w:r>
      <w:proofErr w:type="spellEnd"/>
      <w:r w:rsidRPr="008E4EA2">
        <w:rPr>
          <w:color w:val="000000" w:themeColor="text1"/>
          <w:szCs w:val="24"/>
          <w:lang w:eastAsia="lv-LV"/>
        </w:rPr>
        <w:t>. 10,5%.</w:t>
      </w:r>
      <w:r w:rsidR="003271BE" w:rsidRPr="008E4EA2">
        <w:rPr>
          <w:color w:val="000000" w:themeColor="text1"/>
          <w:szCs w:val="24"/>
          <w:lang w:eastAsia="lv-LV"/>
        </w:rPr>
        <w:t xml:space="preserve"> </w:t>
      </w:r>
    </w:p>
    <w:p w:rsidR="00F81305" w:rsidRPr="008E4EA2" w:rsidRDefault="00F81305" w:rsidP="003A0029">
      <w:pPr>
        <w:spacing w:before="120" w:after="120" w:line="276" w:lineRule="auto"/>
        <w:contextualSpacing/>
        <w:rPr>
          <w:color w:val="000000" w:themeColor="text1"/>
          <w:szCs w:val="24"/>
          <w:lang w:eastAsia="lv-LV"/>
        </w:rPr>
      </w:pPr>
      <w:r w:rsidRPr="008E4EA2">
        <w:rPr>
          <w:color w:val="000000" w:themeColor="text1"/>
          <w:szCs w:val="24"/>
          <w:lang w:eastAsia="lv-LV"/>
        </w:rPr>
        <w:t xml:space="preserve">Savukārt lielākais maksājumu īpatsvars aktivitāšu ietvaros </w:t>
      </w:r>
      <w:r w:rsidR="00BD7EE6" w:rsidRPr="008E4EA2">
        <w:rPr>
          <w:color w:val="000000" w:themeColor="text1"/>
          <w:szCs w:val="24"/>
          <w:lang w:eastAsia="lv-LV"/>
        </w:rPr>
        <w:t xml:space="preserve">vērojams aktivitātēs </w:t>
      </w:r>
      <w:r w:rsidR="00844D64" w:rsidRPr="008E4EA2">
        <w:rPr>
          <w:color w:val="000000" w:themeColor="text1"/>
          <w:szCs w:val="24"/>
          <w:lang w:eastAsia="lv-LV"/>
        </w:rPr>
        <w:t>–</w:t>
      </w:r>
      <w:r w:rsidR="00BD7EE6" w:rsidRPr="008E4EA2">
        <w:rPr>
          <w:color w:val="000000" w:themeColor="text1"/>
          <w:szCs w:val="24"/>
          <w:lang w:eastAsia="lv-LV"/>
        </w:rPr>
        <w:t xml:space="preserve"> s</w:t>
      </w:r>
      <w:r w:rsidRPr="008E4EA2">
        <w:rPr>
          <w:color w:val="000000" w:themeColor="text1"/>
          <w:szCs w:val="24"/>
          <w:lang w:eastAsia="lv-LV"/>
        </w:rPr>
        <w:t>atiksmes drošības uzlabojumi apd</w:t>
      </w:r>
      <w:r w:rsidR="005212A9" w:rsidRPr="008E4EA2">
        <w:rPr>
          <w:color w:val="000000" w:themeColor="text1"/>
          <w:szCs w:val="24"/>
          <w:lang w:eastAsia="lv-LV"/>
        </w:rPr>
        <w:t>zīvotās vietās ārpus Rīgas – 80,</w:t>
      </w:r>
      <w:r w:rsidRPr="008E4EA2">
        <w:rPr>
          <w:color w:val="000000" w:themeColor="text1"/>
          <w:szCs w:val="24"/>
          <w:lang w:eastAsia="lv-LV"/>
        </w:rPr>
        <w:t xml:space="preserve">6%, </w:t>
      </w:r>
      <w:proofErr w:type="spellStart"/>
      <w:r w:rsidRPr="008E4EA2">
        <w:rPr>
          <w:color w:val="000000" w:themeColor="text1"/>
          <w:szCs w:val="24"/>
          <w:lang w:eastAsia="lv-LV"/>
        </w:rPr>
        <w:t>t,sk</w:t>
      </w:r>
      <w:proofErr w:type="spellEnd"/>
      <w:r w:rsidRPr="008E4EA2">
        <w:rPr>
          <w:color w:val="000000" w:themeColor="text1"/>
          <w:szCs w:val="24"/>
          <w:lang w:eastAsia="lv-LV"/>
        </w:rPr>
        <w:t xml:space="preserve">. pārskata periodā 3,3%, un </w:t>
      </w:r>
      <w:proofErr w:type="spellStart"/>
      <w:r w:rsidRPr="008E4EA2">
        <w:rPr>
          <w:color w:val="000000" w:themeColor="text1"/>
          <w:szCs w:val="24"/>
          <w:lang w:eastAsia="lv-LV"/>
        </w:rPr>
        <w:t>tranzītielu</w:t>
      </w:r>
      <w:proofErr w:type="spellEnd"/>
      <w:r w:rsidRPr="008E4EA2">
        <w:rPr>
          <w:color w:val="000000" w:themeColor="text1"/>
          <w:szCs w:val="24"/>
          <w:lang w:eastAsia="lv-LV"/>
        </w:rPr>
        <w:t xml:space="preserve"> sakārtošana pilsētu teritorijās – 55,6%.</w:t>
      </w:r>
    </w:p>
    <w:p w:rsidR="00F81305" w:rsidRPr="008E4EA2" w:rsidRDefault="00F81305" w:rsidP="003A0029">
      <w:pPr>
        <w:pStyle w:val="NormalWeb"/>
        <w:spacing w:before="120" w:beforeAutospacing="0" w:after="120" w:afterAutospacing="0" w:line="276" w:lineRule="auto"/>
        <w:jc w:val="both"/>
        <w:rPr>
          <w:color w:val="000000" w:themeColor="text1"/>
          <w:lang w:val="lv-LV" w:eastAsia="lv-LV"/>
        </w:rPr>
      </w:pPr>
      <w:r w:rsidRPr="008E4EA2">
        <w:rPr>
          <w:color w:val="000000" w:themeColor="text1"/>
          <w:lang w:val="lv-LV" w:eastAsia="lv-LV"/>
        </w:rPr>
        <w:t xml:space="preserve">Apjomīgākie maksājumi veikti </w:t>
      </w:r>
      <w:r w:rsidR="00D10881">
        <w:rPr>
          <w:color w:val="000000" w:themeColor="text1"/>
          <w:lang w:val="lv-LV" w:eastAsia="lv-LV"/>
        </w:rPr>
        <w:t>reģionālo</w:t>
      </w:r>
      <w:r w:rsidRPr="008E4EA2">
        <w:rPr>
          <w:color w:val="000000" w:themeColor="text1"/>
          <w:lang w:val="lv-LV" w:eastAsia="lv-LV"/>
        </w:rPr>
        <w:t xml:space="preserve"> autoceļu sakārtošanas un </w:t>
      </w:r>
      <w:proofErr w:type="spellStart"/>
      <w:r w:rsidRPr="008E4EA2">
        <w:rPr>
          <w:color w:val="000000" w:themeColor="text1"/>
          <w:lang w:val="lv-LV" w:eastAsia="lv-LV"/>
        </w:rPr>
        <w:t>tranzītielu</w:t>
      </w:r>
      <w:proofErr w:type="spellEnd"/>
      <w:r w:rsidRPr="008E4EA2">
        <w:rPr>
          <w:color w:val="000000" w:themeColor="text1"/>
          <w:lang w:val="lv-LV" w:eastAsia="lv-LV"/>
        </w:rPr>
        <w:t xml:space="preserve"> sakārtošanas projektos un projektos, kas paredz informāciju sistēmu un elektronisko pakalpojumu attīstību.</w:t>
      </w:r>
    </w:p>
    <w:p w:rsidR="00F81305" w:rsidRPr="008E4EA2" w:rsidRDefault="00F81305" w:rsidP="003A0029">
      <w:pPr>
        <w:pStyle w:val="NormalWeb"/>
        <w:spacing w:before="120" w:beforeAutospacing="0" w:after="120" w:afterAutospacing="0" w:line="276" w:lineRule="auto"/>
        <w:jc w:val="both"/>
        <w:rPr>
          <w:color w:val="000000" w:themeColor="text1"/>
          <w:lang w:val="lv-LV" w:eastAsia="lv-LV"/>
        </w:rPr>
      </w:pPr>
      <w:r w:rsidRPr="008E4EA2">
        <w:rPr>
          <w:color w:val="000000" w:themeColor="text1"/>
          <w:lang w:val="lv-LV" w:eastAsia="lv-LV"/>
        </w:rPr>
        <w:t xml:space="preserve">Tāpat kā iepriekšējā </w:t>
      </w:r>
      <w:r w:rsidR="00BD7EE6" w:rsidRPr="008E4EA2">
        <w:rPr>
          <w:color w:val="000000" w:themeColor="text1"/>
          <w:lang w:val="lv-LV" w:eastAsia="lv-LV"/>
        </w:rPr>
        <w:t xml:space="preserve">pārskata </w:t>
      </w:r>
      <w:r w:rsidRPr="008E4EA2">
        <w:rPr>
          <w:color w:val="000000" w:themeColor="text1"/>
          <w:lang w:val="lv-LV" w:eastAsia="lv-LV"/>
        </w:rPr>
        <w:t xml:space="preserve">periodā satiksmes infrastruktūras jomā projektu ieviešanu kavējušas problēmas iepirkumos (pārsūdzības, nepilnīgas iepirkuma dokumentācijas, kuras tikušas pārstrādātas un precizētas un iepirkumi izsludināti atkāroti), kā arī ir bijušas problēmas ar zemju atsavināšanu un cenu svārstībām. </w:t>
      </w:r>
    </w:p>
    <w:p w:rsidR="00F81305" w:rsidRPr="008E4EA2" w:rsidRDefault="00BD7EE6" w:rsidP="003A0029">
      <w:pPr>
        <w:pStyle w:val="NormalWeb"/>
        <w:spacing w:before="120" w:beforeAutospacing="0" w:after="120" w:afterAutospacing="0" w:line="276" w:lineRule="auto"/>
        <w:jc w:val="both"/>
        <w:rPr>
          <w:color w:val="000000" w:themeColor="text1"/>
          <w:lang w:val="lv-LV" w:eastAsia="lv-LV"/>
        </w:rPr>
      </w:pPr>
      <w:r w:rsidRPr="008E4EA2">
        <w:rPr>
          <w:color w:val="000000" w:themeColor="text1"/>
          <w:lang w:val="lv-LV" w:eastAsia="lv-LV"/>
        </w:rPr>
        <w:t>2012.gada trešajā</w:t>
      </w:r>
      <w:r w:rsidR="00F81305" w:rsidRPr="008E4EA2">
        <w:rPr>
          <w:color w:val="000000" w:themeColor="text1"/>
          <w:lang w:val="lv-LV" w:eastAsia="lv-LV"/>
        </w:rPr>
        <w:t xml:space="preserve"> ceturksnī tika apstiprināti </w:t>
      </w:r>
      <w:r w:rsidR="00DA026E" w:rsidRPr="008E4EA2">
        <w:rPr>
          <w:color w:val="000000" w:themeColor="text1"/>
          <w:lang w:val="lv-LV" w:eastAsia="lv-LV"/>
        </w:rPr>
        <w:t xml:space="preserve">trešās </w:t>
      </w:r>
      <w:r w:rsidR="00F81305" w:rsidRPr="008E4EA2">
        <w:rPr>
          <w:color w:val="000000" w:themeColor="text1"/>
          <w:lang w:val="lv-LV" w:eastAsia="lv-LV"/>
        </w:rPr>
        <w:t xml:space="preserve">atlases kārtas projekti </w:t>
      </w:r>
      <w:proofErr w:type="spellStart"/>
      <w:r w:rsidR="00F81305" w:rsidRPr="008E4EA2">
        <w:rPr>
          <w:color w:val="000000" w:themeColor="text1"/>
          <w:lang w:val="lv-LV" w:eastAsia="lv-LV"/>
        </w:rPr>
        <w:t>tranzītielu</w:t>
      </w:r>
      <w:proofErr w:type="spellEnd"/>
      <w:r w:rsidR="00F81305" w:rsidRPr="008E4EA2">
        <w:rPr>
          <w:color w:val="000000" w:themeColor="text1"/>
          <w:lang w:val="lv-LV" w:eastAsia="lv-LV"/>
        </w:rPr>
        <w:t xml:space="preserve"> sakārtošanas p</w:t>
      </w:r>
      <w:r w:rsidRPr="008E4EA2">
        <w:rPr>
          <w:color w:val="000000" w:themeColor="text1"/>
          <w:lang w:val="lv-LV" w:eastAsia="lv-LV"/>
        </w:rPr>
        <w:t xml:space="preserve">ilsētas teritorijās aktivitātē </w:t>
      </w:r>
      <w:r w:rsidR="00F81305" w:rsidRPr="008E4EA2">
        <w:rPr>
          <w:color w:val="000000" w:themeColor="text1"/>
          <w:lang w:val="lv-LV" w:eastAsia="lv-LV"/>
        </w:rPr>
        <w:t xml:space="preserve">un </w:t>
      </w:r>
      <w:r w:rsidR="00DA026E" w:rsidRPr="008E4EA2">
        <w:rPr>
          <w:color w:val="000000" w:themeColor="text1"/>
          <w:lang w:val="lv-LV" w:eastAsia="lv-LV"/>
        </w:rPr>
        <w:t xml:space="preserve">sestās </w:t>
      </w:r>
      <w:r w:rsidR="00F81305" w:rsidRPr="008E4EA2">
        <w:rPr>
          <w:color w:val="000000" w:themeColor="text1"/>
          <w:lang w:val="lv-LV" w:eastAsia="lv-LV"/>
        </w:rPr>
        <w:t>kārtas projekti</w:t>
      </w:r>
      <w:r w:rsidRPr="008E4EA2">
        <w:rPr>
          <w:color w:val="000000" w:themeColor="text1"/>
          <w:lang w:val="lv-LV" w:eastAsia="lv-LV"/>
        </w:rPr>
        <w:t xml:space="preserve"> TEN-T autoceļu tīkla uzlabojumu aktivitātē</w:t>
      </w:r>
      <w:r w:rsidR="00F81305" w:rsidRPr="008E4EA2">
        <w:rPr>
          <w:color w:val="000000" w:themeColor="text1"/>
          <w:lang w:val="lv-LV" w:eastAsia="lv-LV"/>
        </w:rPr>
        <w:t>, līdz ar to visas izsludinātās projektu atlases kārtas ir noslēgušās.</w:t>
      </w:r>
    </w:p>
    <w:p w:rsidR="003F559F" w:rsidRPr="008E4EA2" w:rsidRDefault="006E1DFA" w:rsidP="003A0029">
      <w:pPr>
        <w:pStyle w:val="NormalWeb"/>
        <w:spacing w:before="120" w:beforeAutospacing="0" w:after="120" w:afterAutospacing="0" w:line="276" w:lineRule="auto"/>
        <w:jc w:val="both"/>
        <w:rPr>
          <w:color w:val="000000" w:themeColor="text1"/>
          <w:lang w:val="lv-LV"/>
        </w:rPr>
      </w:pPr>
      <w:r w:rsidRPr="008E4EA2">
        <w:rPr>
          <w:b/>
          <w:color w:val="000000" w:themeColor="text1"/>
          <w:lang w:val="lv-LV" w:eastAsia="lv-LV"/>
        </w:rPr>
        <w:t>IKT nozarē</w:t>
      </w:r>
      <w:r w:rsidR="002D32F3" w:rsidRPr="008E4EA2">
        <w:rPr>
          <w:color w:val="000000" w:themeColor="text1"/>
          <w:lang w:val="lv-LV" w:eastAsia="lv-LV"/>
        </w:rPr>
        <w:t xml:space="preserve"> līdz pārskata perioda beigām</w:t>
      </w:r>
      <w:r w:rsidRPr="008E4EA2">
        <w:rPr>
          <w:b/>
          <w:color w:val="000000" w:themeColor="text1"/>
          <w:lang w:val="lv-LV" w:eastAsia="lv-LV"/>
        </w:rPr>
        <w:t xml:space="preserve"> </w:t>
      </w:r>
      <w:r w:rsidR="00844D64" w:rsidRPr="008E4EA2">
        <w:rPr>
          <w:color w:val="000000" w:themeColor="text1"/>
          <w:lang w:val="lv-LV" w:eastAsia="lv-LV"/>
        </w:rPr>
        <w:t xml:space="preserve">ir apstiprināti jau </w:t>
      </w:r>
      <w:r w:rsidR="00C75A20" w:rsidRPr="008E4EA2">
        <w:rPr>
          <w:color w:val="000000" w:themeColor="text1"/>
          <w:lang w:val="lv-LV" w:eastAsia="lv-LV"/>
        </w:rPr>
        <w:t xml:space="preserve">168 </w:t>
      </w:r>
      <w:r w:rsidR="00844D64" w:rsidRPr="008E4EA2">
        <w:rPr>
          <w:color w:val="000000" w:themeColor="text1"/>
          <w:lang w:val="lv-LV" w:eastAsia="lv-LV"/>
        </w:rPr>
        <w:t>projekti</w:t>
      </w:r>
      <w:r w:rsidRPr="008E4EA2">
        <w:rPr>
          <w:color w:val="000000" w:themeColor="text1"/>
          <w:lang w:val="lv-LV" w:eastAsia="lv-LV"/>
        </w:rPr>
        <w:t xml:space="preserve"> aptuveni </w:t>
      </w:r>
      <w:r w:rsidR="00C75A20" w:rsidRPr="008E4EA2">
        <w:rPr>
          <w:color w:val="000000" w:themeColor="text1"/>
          <w:lang w:val="lv-LV" w:eastAsia="lv-LV"/>
        </w:rPr>
        <w:t>77</w:t>
      </w:r>
      <w:r w:rsidRPr="008E4EA2">
        <w:rPr>
          <w:color w:val="000000" w:themeColor="text1"/>
          <w:lang w:val="lv-LV" w:eastAsia="lv-LV"/>
        </w:rPr>
        <w:t xml:space="preserve">% apmērā no pieejamā finansējuma, </w:t>
      </w:r>
      <w:r w:rsidR="00DA026E" w:rsidRPr="008E4EA2">
        <w:rPr>
          <w:color w:val="000000" w:themeColor="text1"/>
          <w:lang w:val="lv-LV" w:eastAsia="lv-LV"/>
        </w:rPr>
        <w:t xml:space="preserve">trešajā </w:t>
      </w:r>
      <w:r w:rsidRPr="008E4EA2">
        <w:rPr>
          <w:color w:val="000000" w:themeColor="text1"/>
          <w:lang w:val="lv-LV" w:eastAsia="lv-LV"/>
        </w:rPr>
        <w:t xml:space="preserve">ceturksnī apstiprināts tikai </w:t>
      </w:r>
      <w:r w:rsidR="00C75A20" w:rsidRPr="008E4EA2">
        <w:rPr>
          <w:color w:val="000000" w:themeColor="text1"/>
          <w:lang w:val="lv-LV" w:eastAsia="lv-LV"/>
        </w:rPr>
        <w:t>četri projekti</w:t>
      </w:r>
      <w:r w:rsidRPr="008E4EA2">
        <w:rPr>
          <w:color w:val="000000" w:themeColor="text1"/>
          <w:lang w:val="lv-LV" w:eastAsia="lv-LV"/>
        </w:rPr>
        <w:t xml:space="preserve">, tādējādi finansējuma apguves kontekstā progress šajā pasākumā nav vērojams. </w:t>
      </w:r>
      <w:r w:rsidR="00A5251E" w:rsidRPr="008E4EA2">
        <w:rPr>
          <w:color w:val="000000" w:themeColor="text1"/>
          <w:lang w:val="lv-LV" w:eastAsia="lv-LV"/>
        </w:rPr>
        <w:t xml:space="preserve">Līdz šim pabeigti ir 30 projekti. </w:t>
      </w:r>
      <w:r w:rsidR="008B38DD" w:rsidRPr="008E4EA2">
        <w:rPr>
          <w:color w:val="000000" w:themeColor="text1"/>
          <w:lang w:val="lv-LV" w:eastAsia="lv-LV"/>
        </w:rPr>
        <w:t xml:space="preserve">Maksājumu mērķis uz 30.septembri ir izpildīts par aptuveni 60%. </w:t>
      </w:r>
      <w:r w:rsidR="002D32F3" w:rsidRPr="008E4EA2">
        <w:rPr>
          <w:color w:val="000000" w:themeColor="text1"/>
          <w:lang w:val="lv-LV" w:eastAsia="lv-LV"/>
        </w:rPr>
        <w:t xml:space="preserve">Atbilstoši </w:t>
      </w:r>
      <w:r w:rsidRPr="008E4EA2">
        <w:rPr>
          <w:color w:val="000000" w:themeColor="text1"/>
          <w:lang w:val="lv-LV" w:eastAsia="lv-LV"/>
        </w:rPr>
        <w:t xml:space="preserve">MK 2012.gada 3.aprīlī </w:t>
      </w:r>
      <w:proofErr w:type="spellStart"/>
      <w:r w:rsidRPr="008E4EA2">
        <w:rPr>
          <w:color w:val="000000" w:themeColor="text1"/>
          <w:lang w:val="lv-LV" w:eastAsia="lv-LV"/>
        </w:rPr>
        <w:t>protokollēmuma</w:t>
      </w:r>
      <w:proofErr w:type="spellEnd"/>
      <w:r w:rsidRPr="008E4EA2">
        <w:rPr>
          <w:color w:val="000000" w:themeColor="text1"/>
          <w:lang w:val="lv-LV" w:eastAsia="lv-LV"/>
        </w:rPr>
        <w:t xml:space="preserve"> (protokols Nr.18, 31.§) </w:t>
      </w:r>
      <w:r w:rsidR="002D32F3" w:rsidRPr="008E4EA2">
        <w:rPr>
          <w:color w:val="000000" w:themeColor="text1"/>
          <w:lang w:val="lv-LV" w:eastAsia="lv-LV"/>
        </w:rPr>
        <w:t>otrajā</w:t>
      </w:r>
      <w:r w:rsidR="00DA026E" w:rsidRPr="008E4EA2">
        <w:rPr>
          <w:color w:val="000000" w:themeColor="text1"/>
          <w:lang w:val="lv-LV" w:eastAsia="lv-LV"/>
        </w:rPr>
        <w:t xml:space="preserve"> </w:t>
      </w:r>
      <w:r w:rsidR="002D32F3" w:rsidRPr="008E4EA2">
        <w:rPr>
          <w:color w:val="000000" w:themeColor="text1"/>
          <w:lang w:val="lv-LV" w:eastAsia="lv-LV"/>
        </w:rPr>
        <w:t>punktā noteiktajam</w:t>
      </w:r>
      <w:r w:rsidRPr="008E4EA2">
        <w:rPr>
          <w:color w:val="000000" w:themeColor="text1"/>
          <w:lang w:val="lv-LV" w:eastAsia="lv-LV"/>
        </w:rPr>
        <w:t xml:space="preserve">, IZM </w:t>
      </w:r>
      <w:r w:rsidR="00923E06" w:rsidRPr="008E4EA2">
        <w:rPr>
          <w:color w:val="000000" w:themeColor="text1"/>
          <w:lang w:val="lv-LV" w:eastAsia="lv-LV"/>
        </w:rPr>
        <w:t>bija jāiesniedz</w:t>
      </w:r>
      <w:r w:rsidRPr="008E4EA2">
        <w:rPr>
          <w:color w:val="000000" w:themeColor="text1"/>
          <w:lang w:val="lv-LV" w:eastAsia="lv-LV"/>
        </w:rPr>
        <w:t xml:space="preserve"> informāciju par turpmāko rīcību, lai novērstu risku, ka projekta „Valsts izglītības informācijas sistēmas </w:t>
      </w:r>
      <w:r w:rsidR="00DA026E" w:rsidRPr="008E4EA2">
        <w:rPr>
          <w:color w:val="000000" w:themeColor="text1"/>
          <w:lang w:val="lv-LV" w:eastAsia="lv-LV"/>
        </w:rPr>
        <w:t xml:space="preserve">otrā </w:t>
      </w:r>
      <w:r w:rsidRPr="008E4EA2">
        <w:rPr>
          <w:color w:val="000000" w:themeColor="text1"/>
          <w:lang w:val="lv-LV" w:eastAsia="lv-LV"/>
        </w:rPr>
        <w:t xml:space="preserve">kārta” un projekta „Portāla </w:t>
      </w:r>
      <w:proofErr w:type="spellStart"/>
      <w:r w:rsidRPr="008E4EA2">
        <w:rPr>
          <w:color w:val="000000" w:themeColor="text1"/>
          <w:lang w:val="lv-LV" w:eastAsia="lv-LV"/>
        </w:rPr>
        <w:t>www.skolas.lv</w:t>
      </w:r>
      <w:proofErr w:type="spellEnd"/>
      <w:r w:rsidRPr="008E4EA2">
        <w:rPr>
          <w:color w:val="000000" w:themeColor="text1"/>
          <w:lang w:val="lv-LV" w:eastAsia="lv-LV"/>
        </w:rPr>
        <w:t xml:space="preserve"> attīstība (</w:t>
      </w:r>
      <w:r w:rsidR="00DA026E" w:rsidRPr="008E4EA2">
        <w:rPr>
          <w:color w:val="000000" w:themeColor="text1"/>
          <w:lang w:val="lv-LV" w:eastAsia="lv-LV"/>
        </w:rPr>
        <w:t xml:space="preserve">otrā </w:t>
      </w:r>
      <w:r w:rsidRPr="008E4EA2">
        <w:rPr>
          <w:color w:val="000000" w:themeColor="text1"/>
          <w:lang w:val="lv-LV" w:eastAsia="lv-LV"/>
        </w:rPr>
        <w:t xml:space="preserve">kārta)” īstenošana pārsniedz projekta iesniegumā noteikto termiņu. Lai gan šobrīd šo projektu termiņš ir pagarināts, VARAM gatavo informatīvo </w:t>
      </w:r>
      <w:r w:rsidRPr="008E4EA2">
        <w:rPr>
          <w:color w:val="000000" w:themeColor="text1"/>
          <w:lang w:val="lv-LV" w:eastAsia="lv-LV"/>
        </w:rPr>
        <w:lastRenderedPageBreak/>
        <w:t xml:space="preserve">ziņojumu „Par darbības programmas „Infrastruktūra un pakalpojumi” </w:t>
      </w:r>
      <w:proofErr w:type="spellStart"/>
      <w:r w:rsidRPr="008E4EA2">
        <w:rPr>
          <w:color w:val="000000" w:themeColor="text1"/>
          <w:lang w:val="lv-LV" w:eastAsia="lv-LV"/>
        </w:rPr>
        <w:t>apakšaktivitātes</w:t>
      </w:r>
      <w:proofErr w:type="spellEnd"/>
      <w:r w:rsidRPr="008E4EA2">
        <w:rPr>
          <w:color w:val="000000" w:themeColor="text1"/>
          <w:lang w:val="lv-LV" w:eastAsia="lv-LV"/>
        </w:rPr>
        <w:t xml:space="preserve"> „Informācijas sistēmu un elektronisko pakalpojumu attīstība” īstenošanas progresu un projektu ieviešanas plānu izvērtēšanu”, kura </w:t>
      </w:r>
      <w:proofErr w:type="spellStart"/>
      <w:r w:rsidRPr="008E4EA2">
        <w:rPr>
          <w:color w:val="000000" w:themeColor="text1"/>
          <w:lang w:val="lv-LV" w:eastAsia="lv-LV"/>
        </w:rPr>
        <w:t>protokollēmums</w:t>
      </w:r>
      <w:proofErr w:type="spellEnd"/>
      <w:r w:rsidRPr="008E4EA2">
        <w:rPr>
          <w:color w:val="000000" w:themeColor="text1"/>
          <w:lang w:val="lv-LV" w:eastAsia="lv-LV"/>
        </w:rPr>
        <w:t xml:space="preserve"> nosaka IZM šo informāciju MK iesniegt, kā arī veikt citas darbības, lai projekti tiktu īstenoti un tiktu novērsts izdevumu </w:t>
      </w:r>
      <w:proofErr w:type="spellStart"/>
      <w:r w:rsidRPr="008E4EA2">
        <w:rPr>
          <w:color w:val="000000" w:themeColor="text1"/>
          <w:lang w:val="lv-LV" w:eastAsia="lv-LV"/>
        </w:rPr>
        <w:t>neattiecināmības</w:t>
      </w:r>
      <w:proofErr w:type="spellEnd"/>
      <w:r w:rsidRPr="008E4EA2">
        <w:rPr>
          <w:color w:val="000000" w:themeColor="text1"/>
          <w:lang w:val="lv-LV" w:eastAsia="lv-LV"/>
        </w:rPr>
        <w:t xml:space="preserve"> risks. </w:t>
      </w:r>
      <w:r w:rsidR="00A5251E" w:rsidRPr="008E4EA2">
        <w:rPr>
          <w:color w:val="000000" w:themeColor="text1"/>
          <w:lang w:val="lv-LV" w:eastAsia="lv-LV"/>
        </w:rPr>
        <w:t>VARAM informatīv</w:t>
      </w:r>
      <w:r w:rsidR="00116B82" w:rsidRPr="008E4EA2">
        <w:rPr>
          <w:color w:val="000000" w:themeColor="text1"/>
          <w:lang w:val="lv-LV" w:eastAsia="lv-LV"/>
        </w:rPr>
        <w:t>ā</w:t>
      </w:r>
      <w:r w:rsidR="00A5251E" w:rsidRPr="008E4EA2">
        <w:rPr>
          <w:color w:val="000000" w:themeColor="text1"/>
          <w:lang w:val="lv-LV" w:eastAsia="lv-LV"/>
        </w:rPr>
        <w:t xml:space="preserve"> ziņojum</w:t>
      </w:r>
      <w:r w:rsidR="00116B82" w:rsidRPr="008E4EA2">
        <w:rPr>
          <w:color w:val="000000" w:themeColor="text1"/>
          <w:lang w:val="lv-LV" w:eastAsia="lv-LV"/>
        </w:rPr>
        <w:t>a projekts</w:t>
      </w:r>
      <w:r w:rsidR="00A5251E" w:rsidRPr="008E4EA2">
        <w:rPr>
          <w:color w:val="000000" w:themeColor="text1"/>
          <w:lang w:val="lv-LV" w:eastAsia="lv-LV"/>
        </w:rPr>
        <w:t xml:space="preserve"> </w:t>
      </w:r>
      <w:r w:rsidR="00116B82" w:rsidRPr="008E4EA2">
        <w:rPr>
          <w:color w:val="000000" w:themeColor="text1"/>
          <w:lang w:val="lv-LV" w:eastAsia="lv-LV"/>
        </w:rPr>
        <w:t>tiek skaņots</w:t>
      </w:r>
      <w:r w:rsidR="00A5251E" w:rsidRPr="008E4EA2">
        <w:rPr>
          <w:color w:val="000000" w:themeColor="text1"/>
          <w:lang w:val="lv-LV" w:eastAsia="lv-LV"/>
        </w:rPr>
        <w:t xml:space="preserve"> un </w:t>
      </w:r>
      <w:r w:rsidR="00116B82" w:rsidRPr="008E4EA2">
        <w:rPr>
          <w:color w:val="000000" w:themeColor="text1"/>
          <w:lang w:val="lv-LV" w:eastAsia="lv-LV"/>
        </w:rPr>
        <w:t>novembra sākumā tiek plānota</w:t>
      </w:r>
      <w:r w:rsidR="00A5251E" w:rsidRPr="008E4EA2">
        <w:rPr>
          <w:color w:val="000000" w:themeColor="text1"/>
          <w:lang w:val="lv-LV" w:eastAsia="lv-LV"/>
        </w:rPr>
        <w:t xml:space="preserve"> tā iesniegšana MK.</w:t>
      </w:r>
      <w:r w:rsidR="005E1672">
        <w:rPr>
          <w:color w:val="000000" w:themeColor="text1"/>
          <w:lang w:val="lv-LV" w:eastAsia="lv-LV"/>
        </w:rPr>
        <w:t xml:space="preserve"> </w:t>
      </w:r>
      <w:r w:rsidR="00156DFF" w:rsidRPr="008E4EA2">
        <w:rPr>
          <w:color w:val="000000" w:themeColor="text1"/>
          <w:lang w:val="lv-LV" w:eastAsia="lv-LV"/>
        </w:rPr>
        <w:t>A</w:t>
      </w:r>
      <w:r w:rsidRPr="008E4EA2">
        <w:rPr>
          <w:color w:val="000000" w:themeColor="text1"/>
          <w:lang w:val="lv-LV" w:eastAsia="lv-LV"/>
        </w:rPr>
        <w:t xml:space="preserve">r VARAM tika saskaņots „Informatīvais ziņojums par </w:t>
      </w:r>
      <w:proofErr w:type="spellStart"/>
      <w:r w:rsidRPr="008E4EA2">
        <w:rPr>
          <w:color w:val="000000" w:themeColor="text1"/>
          <w:lang w:val="lv-LV" w:eastAsia="lv-LV"/>
        </w:rPr>
        <w:t>apakšaktivitātes</w:t>
      </w:r>
      <w:proofErr w:type="spellEnd"/>
      <w:r w:rsidRPr="008E4EA2">
        <w:rPr>
          <w:color w:val="000000" w:themeColor="text1"/>
          <w:lang w:val="lv-LV" w:eastAsia="lv-LV"/>
        </w:rPr>
        <w:t xml:space="preserve"> „Informācijas sistēmu un elektronisko pakalpojumu attīstība” tiesiskā regulējuma pilnveidošanu”, </w:t>
      </w:r>
      <w:r w:rsidR="001415D5" w:rsidRPr="008E4EA2">
        <w:rPr>
          <w:color w:val="000000" w:themeColor="text1"/>
          <w:lang w:val="lv-LV" w:eastAsia="lv-LV"/>
        </w:rPr>
        <w:t xml:space="preserve">kas paredz noteikt izņēmumu gadījumus attiecībā uz attiecināmajām izmaksām, kad vidējās cilvēkstundu likmes par pakalpojumiem </w:t>
      </w:r>
      <w:proofErr w:type="spellStart"/>
      <w:r w:rsidR="001415D5" w:rsidRPr="008E4EA2">
        <w:rPr>
          <w:color w:val="000000" w:themeColor="text1"/>
          <w:lang w:val="lv-LV" w:eastAsia="lv-LV"/>
        </w:rPr>
        <w:t>apakšaktivitātes</w:t>
      </w:r>
      <w:proofErr w:type="spellEnd"/>
      <w:r w:rsidR="001415D5" w:rsidRPr="008E4EA2">
        <w:rPr>
          <w:color w:val="000000" w:themeColor="text1"/>
          <w:lang w:val="lv-LV" w:eastAsia="lv-LV"/>
        </w:rPr>
        <w:t xml:space="preserve"> ietvaros publiskajā iepirkumā pārsniedz 60 latus. </w:t>
      </w:r>
      <w:r w:rsidR="00A5251E" w:rsidRPr="008E4EA2">
        <w:rPr>
          <w:color w:val="000000" w:themeColor="text1"/>
          <w:lang w:val="lv-LV" w:eastAsia="lv-LV"/>
        </w:rPr>
        <w:t xml:space="preserve">Ziņojums 9.oktobrī izskatīts MK sēdē un pieņemts zināšanai. </w:t>
      </w:r>
    </w:p>
    <w:p w:rsidR="00CD0E5B" w:rsidRPr="008E4EA2" w:rsidRDefault="00CD0E5B" w:rsidP="003A0029">
      <w:pPr>
        <w:pStyle w:val="NormalWeb"/>
        <w:spacing w:before="120" w:beforeAutospacing="0" w:after="120" w:afterAutospacing="0" w:line="276" w:lineRule="auto"/>
        <w:jc w:val="both"/>
        <w:rPr>
          <w:b/>
          <w:color w:val="000000" w:themeColor="text1"/>
          <w:lang w:val="lv-LV" w:eastAsia="lv-LV"/>
        </w:rPr>
      </w:pPr>
      <w:r w:rsidRPr="008E4EA2">
        <w:rPr>
          <w:b/>
          <w:color w:val="000000" w:themeColor="text1"/>
          <w:lang w:val="lv-LV" w:eastAsia="lv-LV"/>
        </w:rPr>
        <w:t>„Eiropas nozīmes transporta tīklu attīstība un ilgtspējīga transporta veicināšana”</w:t>
      </w:r>
    </w:p>
    <w:p w:rsidR="00BE2E40" w:rsidRPr="008E4EA2" w:rsidRDefault="00BE2E40" w:rsidP="003A0029">
      <w:pPr>
        <w:pStyle w:val="NormalWeb"/>
        <w:spacing w:before="120" w:beforeAutospacing="0" w:after="120" w:afterAutospacing="0" w:line="276" w:lineRule="auto"/>
        <w:jc w:val="both"/>
        <w:rPr>
          <w:color w:val="000000" w:themeColor="text1"/>
          <w:lang w:val="lv-LV" w:eastAsia="lv-LV"/>
        </w:rPr>
      </w:pPr>
      <w:r w:rsidRPr="008E4EA2">
        <w:rPr>
          <w:color w:val="000000" w:themeColor="text1"/>
          <w:lang w:val="lv-LV" w:eastAsia="lv-LV"/>
        </w:rPr>
        <w:t xml:space="preserve">Prioritāte vērsta uz valsts un atsevišķu valsts teritorijas daļu sasniedzamības uzlabošanu, pilnveidojot transporta infrastruktūru, kā arī veicinot videi draudzīgu transporta sistēmu attīstību. </w:t>
      </w:r>
      <w:r w:rsidR="00545007" w:rsidRPr="008E4EA2">
        <w:rPr>
          <w:color w:val="000000" w:themeColor="text1"/>
          <w:lang w:val="lv-LV" w:eastAsia="lv-LV"/>
        </w:rPr>
        <w:t xml:space="preserve">Kopā prioritātes ietvaros līdz pārskata perioda beigām apstiprināti 37 projekti 668,5 </w:t>
      </w:r>
      <w:proofErr w:type="spellStart"/>
      <w:r w:rsidR="00545007" w:rsidRPr="008E4EA2">
        <w:rPr>
          <w:color w:val="000000" w:themeColor="text1"/>
          <w:lang w:val="lv-LV" w:eastAsia="lv-LV"/>
        </w:rPr>
        <w:t>milj</w:t>
      </w:r>
      <w:proofErr w:type="spellEnd"/>
      <w:r w:rsidR="00545007" w:rsidRPr="008E4EA2">
        <w:rPr>
          <w:color w:val="000000" w:themeColor="text1"/>
          <w:lang w:val="lv-LV" w:eastAsia="lv-LV"/>
        </w:rPr>
        <w:t>.</w:t>
      </w:r>
      <w:r w:rsidR="003A0029" w:rsidRPr="008E4EA2">
        <w:rPr>
          <w:color w:val="000000" w:themeColor="text1"/>
          <w:lang w:val="lv-LV" w:eastAsia="lv-LV"/>
        </w:rPr>
        <w:t xml:space="preserve"> </w:t>
      </w:r>
      <w:r w:rsidR="00545007" w:rsidRPr="008E4EA2">
        <w:rPr>
          <w:color w:val="000000" w:themeColor="text1"/>
          <w:lang w:val="lv-LV" w:eastAsia="lv-LV"/>
        </w:rPr>
        <w:t xml:space="preserve">apmērā, kas ir 97,4% no kopā prioritātē pieejamā publiskā finansējuma, tai skaitā uzņemtajām </w:t>
      </w:r>
      <w:proofErr w:type="spellStart"/>
      <w:r w:rsidR="00545007" w:rsidRPr="008E4EA2">
        <w:rPr>
          <w:color w:val="000000" w:themeColor="text1"/>
          <w:lang w:val="lv-LV" w:eastAsia="lv-LV"/>
        </w:rPr>
        <w:t>virssaistībām</w:t>
      </w:r>
      <w:proofErr w:type="spellEnd"/>
      <w:r w:rsidR="00545007" w:rsidRPr="008E4EA2">
        <w:rPr>
          <w:color w:val="000000" w:themeColor="text1"/>
          <w:lang w:val="lv-LV" w:eastAsia="lv-LV"/>
        </w:rPr>
        <w:t>.</w:t>
      </w:r>
    </w:p>
    <w:p w:rsidR="00BE2E40" w:rsidRPr="008E4EA2" w:rsidRDefault="00BE2E40" w:rsidP="003A0029">
      <w:pPr>
        <w:pStyle w:val="NormalWeb"/>
        <w:spacing w:before="120" w:beforeAutospacing="0" w:after="120" w:afterAutospacing="0" w:line="276" w:lineRule="auto"/>
        <w:jc w:val="both"/>
        <w:rPr>
          <w:color w:val="000000" w:themeColor="text1"/>
          <w:lang w:val="lv-LV" w:eastAsia="lv-LV"/>
        </w:rPr>
      </w:pPr>
      <w:r w:rsidRPr="008E4EA2">
        <w:rPr>
          <w:color w:val="000000" w:themeColor="text1"/>
          <w:lang w:val="lv-LV" w:eastAsia="lv-LV"/>
        </w:rPr>
        <w:t xml:space="preserve">Apstiprinātajiem Liepājas un Ventspils lidosta attīstības projektiem, kuru kopējā summa ir vairāk kā 4,3 </w:t>
      </w:r>
      <w:proofErr w:type="spellStart"/>
      <w:r w:rsidRPr="008E4EA2">
        <w:rPr>
          <w:color w:val="000000" w:themeColor="text1"/>
          <w:lang w:val="lv-LV" w:eastAsia="lv-LV"/>
        </w:rPr>
        <w:t>milj</w:t>
      </w:r>
      <w:proofErr w:type="spellEnd"/>
      <w:r w:rsidRPr="008E4EA2">
        <w:rPr>
          <w:color w:val="000000" w:themeColor="text1"/>
          <w:lang w:val="lv-LV" w:eastAsia="lv-LV"/>
        </w:rPr>
        <w:t>. latu jeb 9,5% no aktivitātei pieejamā publiskā finansējuma, finansiā</w:t>
      </w:r>
      <w:r w:rsidR="00354268" w:rsidRPr="008E4EA2">
        <w:rPr>
          <w:color w:val="000000" w:themeColor="text1"/>
          <w:lang w:val="lv-LV" w:eastAsia="lv-LV"/>
        </w:rPr>
        <w:t xml:space="preserve">lais progress 2012.gadā ir bijis Liepājas lidostas attīstības projektam, veicot starpposma maksājumu 25,0 </w:t>
      </w:r>
      <w:proofErr w:type="spellStart"/>
      <w:r w:rsidR="00354268" w:rsidRPr="008E4EA2">
        <w:rPr>
          <w:color w:val="000000" w:themeColor="text1"/>
          <w:lang w:val="lv-LV" w:eastAsia="lv-LV"/>
        </w:rPr>
        <w:t>tūkst</w:t>
      </w:r>
      <w:proofErr w:type="spellEnd"/>
      <w:r w:rsidR="00354268" w:rsidRPr="008E4EA2">
        <w:rPr>
          <w:color w:val="000000" w:themeColor="text1"/>
          <w:lang w:val="lv-LV" w:eastAsia="lv-LV"/>
        </w:rPr>
        <w:t xml:space="preserve">. </w:t>
      </w:r>
      <w:r w:rsidR="003271BE" w:rsidRPr="008E4EA2">
        <w:rPr>
          <w:color w:val="000000" w:themeColor="text1"/>
          <w:lang w:val="lv-LV" w:eastAsia="lv-LV"/>
        </w:rPr>
        <w:t>latu</w:t>
      </w:r>
      <w:r w:rsidR="00354268" w:rsidRPr="008E4EA2">
        <w:rPr>
          <w:color w:val="000000" w:themeColor="text1"/>
          <w:lang w:val="lv-LV" w:eastAsia="lv-LV"/>
        </w:rPr>
        <w:t xml:space="preserve"> apmērā</w:t>
      </w:r>
      <w:r w:rsidRPr="008E4EA2">
        <w:rPr>
          <w:color w:val="000000" w:themeColor="text1"/>
          <w:lang w:val="lv-LV" w:eastAsia="lv-LV"/>
        </w:rPr>
        <w:t>. Lielākais veikto maksājumu apjoma pieaugums vērojams aktivitātēs, kas saistītas</w:t>
      </w:r>
      <w:r w:rsidR="00354268" w:rsidRPr="008E4EA2">
        <w:rPr>
          <w:color w:val="000000" w:themeColor="text1"/>
          <w:lang w:val="lv-LV" w:eastAsia="lv-LV"/>
        </w:rPr>
        <w:t xml:space="preserve"> </w:t>
      </w:r>
      <w:r w:rsidRPr="008E4EA2">
        <w:rPr>
          <w:color w:val="000000" w:themeColor="text1"/>
          <w:lang w:val="lv-LV" w:eastAsia="lv-LV"/>
        </w:rPr>
        <w:t>ar dzelzceļa infrastruktūras attīstību un pilsētu infrastruktūras uzlabojumiem sasaistei ar TEN-T (attiecīgi</w:t>
      </w:r>
      <w:r w:rsidR="00844D64" w:rsidRPr="008E4EA2">
        <w:rPr>
          <w:color w:val="000000" w:themeColor="text1"/>
          <w:lang w:val="lv-LV" w:eastAsia="lv-LV"/>
        </w:rPr>
        <w:t xml:space="preserve"> </w:t>
      </w:r>
      <w:r w:rsidRPr="008E4EA2">
        <w:rPr>
          <w:color w:val="000000" w:themeColor="text1"/>
          <w:lang w:val="lv-LV" w:eastAsia="lv-LV"/>
        </w:rPr>
        <w:t>6,2% un 4,2% no aktivitātēm pieejamā ES fondu finansējuma</w:t>
      </w:r>
      <w:r w:rsidR="00844D64" w:rsidRPr="008E4EA2">
        <w:rPr>
          <w:color w:val="000000" w:themeColor="text1"/>
          <w:lang w:val="lv-LV" w:eastAsia="lv-LV"/>
        </w:rPr>
        <w:t>)</w:t>
      </w:r>
      <w:r w:rsidRPr="008E4EA2">
        <w:rPr>
          <w:color w:val="000000" w:themeColor="text1"/>
          <w:lang w:val="lv-LV" w:eastAsia="lv-LV"/>
        </w:rPr>
        <w:t>.</w:t>
      </w:r>
    </w:p>
    <w:p w:rsidR="00BE2E40" w:rsidRPr="008E4EA2" w:rsidRDefault="00BE2E40" w:rsidP="003A0029">
      <w:pPr>
        <w:pStyle w:val="NormalWeb"/>
        <w:spacing w:before="120" w:beforeAutospacing="0" w:after="120" w:afterAutospacing="0" w:line="276" w:lineRule="auto"/>
        <w:jc w:val="both"/>
        <w:rPr>
          <w:color w:val="000000" w:themeColor="text1"/>
          <w:lang w:val="lv-LV" w:eastAsia="lv-LV"/>
        </w:rPr>
      </w:pPr>
      <w:r w:rsidRPr="008E4EA2">
        <w:rPr>
          <w:color w:val="000000" w:themeColor="text1"/>
          <w:lang w:val="lv-LV" w:eastAsia="lv-LV"/>
        </w:rPr>
        <w:t xml:space="preserve">Galvenās problēmas prioritātes projektu īstenošanā ir saistītas ar iepirkumu problēmām un būvniecības izmaksu </w:t>
      </w:r>
      <w:r w:rsidR="00844D64" w:rsidRPr="008E4EA2">
        <w:rPr>
          <w:color w:val="000000" w:themeColor="text1"/>
          <w:lang w:val="lv-LV" w:eastAsia="lv-LV"/>
        </w:rPr>
        <w:t>pieaugumu</w:t>
      </w:r>
      <w:r w:rsidRPr="008E4EA2">
        <w:rPr>
          <w:color w:val="000000" w:themeColor="text1"/>
          <w:lang w:val="lv-LV" w:eastAsia="lv-LV"/>
        </w:rPr>
        <w:t xml:space="preserve">, kā arī dažkārt ar darbu izpildes kavējumiem. Izmaksu sadārdzinājuma dēļ tika lauzti vairāki līgumi, kas saitīti ar TEN-T autoceļa tīkla uzlabojumiem, taču attiecīgi pārskatot projektu izmaksas, ir apstiprināti jauni projekti </w:t>
      </w:r>
      <w:r w:rsidR="003271BE" w:rsidRPr="008E4EA2">
        <w:rPr>
          <w:color w:val="000000" w:themeColor="text1"/>
          <w:lang w:val="lv-LV" w:eastAsia="lv-LV"/>
        </w:rPr>
        <w:t xml:space="preserve">sestās </w:t>
      </w:r>
      <w:r w:rsidRPr="008E4EA2">
        <w:rPr>
          <w:color w:val="000000" w:themeColor="text1"/>
          <w:lang w:val="lv-LV" w:eastAsia="lv-LV"/>
        </w:rPr>
        <w:t>atlases kārtas ietvaros</w:t>
      </w:r>
      <w:r w:rsidR="003271BE" w:rsidRPr="008E4EA2">
        <w:rPr>
          <w:color w:val="000000" w:themeColor="text1"/>
          <w:lang w:val="lv-LV" w:eastAsia="lv-LV"/>
        </w:rPr>
        <w:t>.</w:t>
      </w:r>
      <w:r w:rsidRPr="008E4EA2">
        <w:rPr>
          <w:color w:val="000000" w:themeColor="text1"/>
          <w:lang w:val="lv-LV" w:eastAsia="lv-LV"/>
        </w:rPr>
        <w:t xml:space="preserve"> Ņemot vērā, ka 55,4% no prioritātes finansējuma atvēlēts lielajiem projektiem, prioritātes īstenošanas gaita lielā mērā atkarīga no lielo projektu ieviešanas progresa, par kuriem vairāk informācijas sniegts šī ziņojuma </w:t>
      </w:r>
      <w:r w:rsidR="00E17B07" w:rsidRPr="008E4EA2">
        <w:rPr>
          <w:color w:val="000000" w:themeColor="text1"/>
          <w:lang w:val="lv-LV" w:eastAsia="lv-LV"/>
        </w:rPr>
        <w:t>2</w:t>
      </w:r>
      <w:r w:rsidRPr="008E4EA2">
        <w:rPr>
          <w:color w:val="000000" w:themeColor="text1"/>
          <w:lang w:val="lv-LV" w:eastAsia="lv-LV"/>
        </w:rPr>
        <w:t>.6. sadaļā „Lielo projektu īstenošana”.</w:t>
      </w:r>
    </w:p>
    <w:p w:rsidR="006E1DFA" w:rsidRPr="008E4EA2" w:rsidRDefault="006E1DFA" w:rsidP="003A0029">
      <w:pPr>
        <w:pStyle w:val="NormalWeb"/>
        <w:spacing w:before="120" w:beforeAutospacing="0" w:after="120" w:afterAutospacing="0" w:line="276" w:lineRule="auto"/>
        <w:jc w:val="both"/>
        <w:rPr>
          <w:color w:val="000000" w:themeColor="text1"/>
          <w:lang w:val="lv-LV" w:eastAsia="lv-LV"/>
        </w:rPr>
      </w:pPr>
      <w:r w:rsidRPr="008E4EA2">
        <w:rPr>
          <w:color w:val="000000" w:themeColor="text1"/>
          <w:lang w:val="lv-LV" w:eastAsia="lv-LV"/>
        </w:rPr>
        <w:t xml:space="preserve">Pasākuma ietvaros aktivitātē „Liepājas </w:t>
      </w:r>
      <w:proofErr w:type="spellStart"/>
      <w:r w:rsidRPr="008E4EA2">
        <w:rPr>
          <w:color w:val="000000" w:themeColor="text1"/>
          <w:lang w:val="lv-LV" w:eastAsia="lv-LV"/>
        </w:rPr>
        <w:t>Karostas</w:t>
      </w:r>
      <w:proofErr w:type="spellEnd"/>
      <w:r w:rsidRPr="008E4EA2">
        <w:rPr>
          <w:color w:val="000000" w:themeColor="text1"/>
          <w:lang w:val="lv-LV" w:eastAsia="lv-LV"/>
        </w:rPr>
        <w:t xml:space="preserve"> ilgtspējīgas attīstības priekšnoteikumu nodrošināšana” uzsākts projekts „Vēsturiski piesārņotās vietas Liepājas ostas </w:t>
      </w:r>
      <w:proofErr w:type="spellStart"/>
      <w:r w:rsidRPr="008E4EA2">
        <w:rPr>
          <w:color w:val="000000" w:themeColor="text1"/>
          <w:lang w:val="lv-LV" w:eastAsia="lv-LV"/>
        </w:rPr>
        <w:t>Karostas</w:t>
      </w:r>
      <w:proofErr w:type="spellEnd"/>
      <w:r w:rsidRPr="008E4EA2">
        <w:rPr>
          <w:color w:val="000000" w:themeColor="text1"/>
          <w:lang w:val="lv-LV" w:eastAsia="lv-LV"/>
        </w:rPr>
        <w:t xml:space="preserve"> kanāla attīrīšana” par visu akti</w:t>
      </w:r>
      <w:r w:rsidR="00844D64" w:rsidRPr="008E4EA2">
        <w:rPr>
          <w:color w:val="000000" w:themeColor="text1"/>
          <w:lang w:val="lv-LV" w:eastAsia="lv-LV"/>
        </w:rPr>
        <w:t>vitātei pieejamo finansējumu 11,</w:t>
      </w:r>
      <w:r w:rsidRPr="008E4EA2">
        <w:rPr>
          <w:color w:val="000000" w:themeColor="text1"/>
          <w:lang w:val="lv-LV" w:eastAsia="lv-LV"/>
        </w:rPr>
        <w:t xml:space="preserve">1 </w:t>
      </w:r>
      <w:proofErr w:type="spellStart"/>
      <w:r w:rsidRPr="008E4EA2">
        <w:rPr>
          <w:color w:val="000000" w:themeColor="text1"/>
          <w:lang w:val="lv-LV" w:eastAsia="lv-LV"/>
        </w:rPr>
        <w:t>milj</w:t>
      </w:r>
      <w:proofErr w:type="spellEnd"/>
      <w:r w:rsidRPr="008E4EA2">
        <w:rPr>
          <w:color w:val="000000" w:themeColor="text1"/>
          <w:lang w:val="lv-LV" w:eastAsia="lv-LV"/>
        </w:rPr>
        <w:t>. latu apmērā.</w:t>
      </w:r>
      <w:r w:rsidR="00BA7C55" w:rsidRPr="008E4EA2">
        <w:rPr>
          <w:color w:val="000000" w:themeColor="text1"/>
          <w:lang w:val="lv-LV" w:eastAsia="lv-LV"/>
        </w:rPr>
        <w:t xml:space="preserve"> Projekta ietvaros ir paredzēta </w:t>
      </w:r>
      <w:proofErr w:type="spellStart"/>
      <w:r w:rsidR="00BA7C55" w:rsidRPr="008E4EA2">
        <w:rPr>
          <w:color w:val="000000" w:themeColor="text1"/>
          <w:lang w:val="lv-LV" w:eastAsia="lv-LV"/>
        </w:rPr>
        <w:t>Karostas</w:t>
      </w:r>
      <w:proofErr w:type="spellEnd"/>
      <w:r w:rsidR="00BA7C55" w:rsidRPr="008E4EA2">
        <w:rPr>
          <w:color w:val="000000" w:themeColor="text1"/>
          <w:lang w:val="lv-LV" w:eastAsia="lv-LV"/>
        </w:rPr>
        <w:t xml:space="preserve"> kanāla gultnes attīrīšana – savācot piesārņotos nogulumus no </w:t>
      </w:r>
      <w:proofErr w:type="spellStart"/>
      <w:r w:rsidR="00BA7C55" w:rsidRPr="008E4EA2">
        <w:rPr>
          <w:color w:val="000000" w:themeColor="text1"/>
          <w:lang w:val="lv-LV" w:eastAsia="lv-LV"/>
        </w:rPr>
        <w:t>Karostas</w:t>
      </w:r>
      <w:proofErr w:type="spellEnd"/>
      <w:r w:rsidR="00BA7C55" w:rsidRPr="008E4EA2">
        <w:rPr>
          <w:color w:val="000000" w:themeColor="text1"/>
          <w:lang w:val="lv-LV" w:eastAsia="lv-LV"/>
        </w:rPr>
        <w:t xml:space="preserve"> kanāla gultnes un deponējot tos iepriekš izveidotajā nogulumu apglabāšanas vietā </w:t>
      </w:r>
      <w:proofErr w:type="spellStart"/>
      <w:r w:rsidR="00BA7C55" w:rsidRPr="008E4EA2">
        <w:rPr>
          <w:color w:val="000000" w:themeColor="text1"/>
          <w:lang w:val="lv-LV" w:eastAsia="lv-LV"/>
        </w:rPr>
        <w:t>Karostas</w:t>
      </w:r>
      <w:proofErr w:type="spellEnd"/>
      <w:r w:rsidR="00BA7C55" w:rsidRPr="008E4EA2">
        <w:rPr>
          <w:color w:val="000000" w:themeColor="text1"/>
          <w:lang w:val="lv-LV" w:eastAsia="lv-LV"/>
        </w:rPr>
        <w:t xml:space="preserve"> kanāla austrumu galā</w:t>
      </w:r>
      <w:r w:rsidR="00844D64" w:rsidRPr="008E4EA2">
        <w:rPr>
          <w:color w:val="000000" w:themeColor="text1"/>
          <w:lang w:val="lv-LV" w:eastAsia="lv-LV"/>
        </w:rPr>
        <w:t>,</w:t>
      </w:r>
      <w:r w:rsidR="00BA7C55" w:rsidRPr="008E4EA2">
        <w:rPr>
          <w:color w:val="000000" w:themeColor="text1"/>
          <w:lang w:val="lv-LV" w:eastAsia="lv-LV"/>
        </w:rPr>
        <w:t xml:space="preserve"> un to plānots īstenot līdz 2015.gada 16.jūlijam. </w:t>
      </w:r>
    </w:p>
    <w:p w:rsidR="00D120DB" w:rsidRDefault="00D120DB" w:rsidP="003A0029">
      <w:pPr>
        <w:spacing w:before="120" w:after="120" w:line="276" w:lineRule="auto"/>
        <w:rPr>
          <w:b/>
          <w:color w:val="000000" w:themeColor="text1"/>
          <w:szCs w:val="24"/>
          <w:lang w:eastAsia="lv-LV"/>
        </w:rPr>
      </w:pPr>
    </w:p>
    <w:p w:rsidR="00D120DB" w:rsidRDefault="00D120DB" w:rsidP="003A0029">
      <w:pPr>
        <w:spacing w:before="120" w:after="120" w:line="276" w:lineRule="auto"/>
        <w:rPr>
          <w:b/>
          <w:color w:val="000000" w:themeColor="text1"/>
          <w:szCs w:val="24"/>
          <w:lang w:eastAsia="lv-LV"/>
        </w:rPr>
      </w:pPr>
    </w:p>
    <w:p w:rsidR="00CD0E5B" w:rsidRPr="008E4EA2" w:rsidRDefault="00CD0E5B" w:rsidP="003A0029">
      <w:pPr>
        <w:spacing w:before="120" w:after="120" w:line="276" w:lineRule="auto"/>
        <w:rPr>
          <w:b/>
          <w:color w:val="000000" w:themeColor="text1"/>
          <w:szCs w:val="24"/>
          <w:lang w:eastAsia="lv-LV"/>
        </w:rPr>
      </w:pPr>
      <w:r w:rsidRPr="008E4EA2">
        <w:rPr>
          <w:b/>
          <w:color w:val="000000" w:themeColor="text1"/>
          <w:szCs w:val="24"/>
          <w:lang w:eastAsia="lv-LV"/>
        </w:rPr>
        <w:lastRenderedPageBreak/>
        <w:t>„Kvalitatīvas vides dzīvei un ekonomiskai aktivitātei nodrošināšana</w:t>
      </w:r>
      <w:r w:rsidR="007A5CD9" w:rsidRPr="008E4EA2">
        <w:rPr>
          <w:b/>
          <w:color w:val="000000" w:themeColor="text1"/>
          <w:szCs w:val="24"/>
          <w:lang w:eastAsia="lv-LV"/>
        </w:rPr>
        <w:t>i</w:t>
      </w:r>
      <w:r w:rsidRPr="008E4EA2">
        <w:rPr>
          <w:b/>
          <w:color w:val="000000" w:themeColor="text1"/>
          <w:szCs w:val="24"/>
          <w:lang w:eastAsia="lv-LV"/>
        </w:rPr>
        <w:t>”</w:t>
      </w:r>
    </w:p>
    <w:p w:rsidR="00CD0E5B" w:rsidRPr="008E4EA2" w:rsidRDefault="00CD0E5B" w:rsidP="003A0029">
      <w:pPr>
        <w:spacing w:before="120" w:after="120" w:line="276" w:lineRule="auto"/>
        <w:rPr>
          <w:color w:val="000000" w:themeColor="text1"/>
          <w:szCs w:val="24"/>
          <w:lang w:eastAsia="lv-LV"/>
        </w:rPr>
      </w:pPr>
      <w:r w:rsidRPr="008E4EA2">
        <w:rPr>
          <w:color w:val="000000" w:themeColor="text1"/>
          <w:szCs w:val="24"/>
          <w:lang w:eastAsia="lv-LV"/>
        </w:rPr>
        <w:t xml:space="preserve">Šī prioritāte vērsta uz nepieciešamo priekšnosacījumu veidošanu ekonomiskai aktivitātei, kā arī dzīves kvalitātes rādītāju uzlabošanai dažādās valsts teritorijas daļās, investējot vides infrastruktūrā un pakalpojumos, dabas un kultūras mantojuma saglabāšanā, tūrisma produktu attīstībā. </w:t>
      </w:r>
      <w:r w:rsidR="009857E5" w:rsidRPr="008E4EA2">
        <w:rPr>
          <w:color w:val="000000" w:themeColor="text1"/>
          <w:szCs w:val="24"/>
          <w:lang w:eastAsia="lv-LV"/>
        </w:rPr>
        <w:t>Prioritātes ietvaros tiek realizēti projekti vides, tūrisma, kultūras un mājokļu energoefektivitātes uzlabošanas jomās.</w:t>
      </w:r>
    </w:p>
    <w:p w:rsidR="00CD0E5B" w:rsidRPr="008E4EA2" w:rsidRDefault="00CD0E5B" w:rsidP="003A0029">
      <w:pPr>
        <w:pStyle w:val="NormalWeb"/>
        <w:spacing w:before="120" w:beforeAutospacing="0" w:after="120" w:afterAutospacing="0" w:line="276" w:lineRule="auto"/>
        <w:jc w:val="both"/>
        <w:rPr>
          <w:color w:val="000000" w:themeColor="text1"/>
          <w:lang w:val="lv-LV" w:eastAsia="lv-LV"/>
        </w:rPr>
      </w:pPr>
      <w:r w:rsidRPr="008E4EA2">
        <w:rPr>
          <w:color w:val="000000" w:themeColor="text1"/>
          <w:lang w:val="lv-LV" w:eastAsia="lv-LV"/>
        </w:rPr>
        <w:t xml:space="preserve">Prioritātes ietvaros </w:t>
      </w:r>
      <w:r w:rsidR="00047C5C" w:rsidRPr="008E4EA2">
        <w:rPr>
          <w:color w:val="000000" w:themeColor="text1"/>
          <w:lang w:val="lv-LV" w:eastAsia="lv-LV"/>
        </w:rPr>
        <w:t xml:space="preserve">ir apstiprināti </w:t>
      </w:r>
      <w:r w:rsidR="00596184" w:rsidRPr="008E4EA2">
        <w:rPr>
          <w:color w:val="000000" w:themeColor="text1"/>
          <w:lang w:val="lv-LV" w:eastAsia="lv-LV"/>
        </w:rPr>
        <w:t xml:space="preserve">1058 </w:t>
      </w:r>
      <w:r w:rsidR="00047C5C" w:rsidRPr="008E4EA2">
        <w:rPr>
          <w:color w:val="000000" w:themeColor="text1"/>
          <w:lang w:val="lv-LV" w:eastAsia="lv-LV"/>
        </w:rPr>
        <w:t xml:space="preserve">projekti par </w:t>
      </w:r>
      <w:r w:rsidR="0069367A" w:rsidRPr="008E4EA2">
        <w:rPr>
          <w:color w:val="000000" w:themeColor="text1"/>
          <w:lang w:val="lv-LV" w:eastAsia="lv-LV"/>
        </w:rPr>
        <w:t>aptuveni 7</w:t>
      </w:r>
      <w:r w:rsidR="00596184" w:rsidRPr="008E4EA2">
        <w:rPr>
          <w:color w:val="000000" w:themeColor="text1"/>
          <w:lang w:val="lv-LV" w:eastAsia="lv-LV"/>
        </w:rPr>
        <w:t>6,6</w:t>
      </w:r>
      <w:r w:rsidRPr="008E4EA2">
        <w:rPr>
          <w:color w:val="000000" w:themeColor="text1"/>
          <w:lang w:val="lv-LV" w:eastAsia="lv-LV"/>
        </w:rPr>
        <w:t>% no prioritātei pieejamā publiskā finans</w:t>
      </w:r>
      <w:r w:rsidR="00047C5C" w:rsidRPr="008E4EA2">
        <w:rPr>
          <w:color w:val="000000" w:themeColor="text1"/>
          <w:lang w:val="lv-LV" w:eastAsia="lv-LV"/>
        </w:rPr>
        <w:t xml:space="preserve">ējuma un noslēgti </w:t>
      </w:r>
      <w:r w:rsidR="00596184" w:rsidRPr="008E4EA2">
        <w:rPr>
          <w:color w:val="000000" w:themeColor="text1"/>
          <w:lang w:val="lv-LV" w:eastAsia="lv-LV"/>
        </w:rPr>
        <w:t xml:space="preserve">990 </w:t>
      </w:r>
      <w:r w:rsidR="00047C5C" w:rsidRPr="008E4EA2">
        <w:rPr>
          <w:color w:val="000000" w:themeColor="text1"/>
          <w:lang w:val="lv-LV" w:eastAsia="lv-LV"/>
        </w:rPr>
        <w:t xml:space="preserve">līgumi par </w:t>
      </w:r>
      <w:r w:rsidR="00596184" w:rsidRPr="008E4EA2">
        <w:rPr>
          <w:color w:val="000000" w:themeColor="text1"/>
          <w:lang w:val="lv-LV" w:eastAsia="lv-LV"/>
        </w:rPr>
        <w:t>73,1</w:t>
      </w:r>
      <w:r w:rsidRPr="008E4EA2">
        <w:rPr>
          <w:color w:val="000000" w:themeColor="text1"/>
          <w:lang w:val="lv-LV" w:eastAsia="lv-LV"/>
        </w:rPr>
        <w:t xml:space="preserve">%. </w:t>
      </w:r>
      <w:r w:rsidR="00AD1D85" w:rsidRPr="008E4EA2">
        <w:rPr>
          <w:color w:val="000000" w:themeColor="text1"/>
          <w:lang w:val="lv-LV" w:eastAsia="lv-LV"/>
        </w:rPr>
        <w:t>Lielākais progress bijis energoefektivitātes no</w:t>
      </w:r>
      <w:r w:rsidR="00923E06" w:rsidRPr="008E4EA2">
        <w:rPr>
          <w:color w:val="000000" w:themeColor="text1"/>
          <w:lang w:val="lv-LV" w:eastAsia="lv-LV"/>
        </w:rPr>
        <w:t>z</w:t>
      </w:r>
      <w:r w:rsidR="00AD1D85" w:rsidRPr="008E4EA2">
        <w:rPr>
          <w:color w:val="000000" w:themeColor="text1"/>
          <w:lang w:val="lv-LV" w:eastAsia="lv-LV"/>
        </w:rPr>
        <w:t xml:space="preserve">arē. </w:t>
      </w:r>
      <w:r w:rsidRPr="008E4EA2">
        <w:rPr>
          <w:color w:val="000000" w:themeColor="text1"/>
          <w:lang w:val="lv-LV" w:eastAsia="lv-LV"/>
        </w:rPr>
        <w:t xml:space="preserve">Pārskata periodā izmaksāto maksājumu finansējuma saņēmējiem progress ir pieaudzis par </w:t>
      </w:r>
      <w:r w:rsidR="00AD1D85" w:rsidRPr="008E4EA2">
        <w:rPr>
          <w:color w:val="000000" w:themeColor="text1"/>
          <w:lang w:val="lv-LV" w:eastAsia="lv-LV"/>
        </w:rPr>
        <w:t>3,7</w:t>
      </w:r>
      <w:r w:rsidRPr="008E4EA2">
        <w:rPr>
          <w:color w:val="000000" w:themeColor="text1"/>
          <w:lang w:val="lv-LV" w:eastAsia="lv-LV"/>
        </w:rPr>
        <w:t xml:space="preserve">% jeb </w:t>
      </w:r>
      <w:r w:rsidR="00AD1D85" w:rsidRPr="008E4EA2">
        <w:rPr>
          <w:color w:val="000000" w:themeColor="text1"/>
          <w:lang w:val="lv-LV" w:eastAsia="lv-LV"/>
        </w:rPr>
        <w:t>vairāk kā 9</w:t>
      </w:r>
      <w:r w:rsidRPr="008E4EA2">
        <w:rPr>
          <w:color w:val="000000" w:themeColor="text1"/>
          <w:lang w:val="lv-LV" w:eastAsia="lv-LV"/>
        </w:rPr>
        <w:t xml:space="preserve"> </w:t>
      </w:r>
      <w:proofErr w:type="spellStart"/>
      <w:r w:rsidRPr="008E4EA2">
        <w:rPr>
          <w:color w:val="000000" w:themeColor="text1"/>
          <w:lang w:val="lv-LV" w:eastAsia="lv-LV"/>
        </w:rPr>
        <w:t>milj</w:t>
      </w:r>
      <w:proofErr w:type="spellEnd"/>
      <w:r w:rsidRPr="008E4EA2">
        <w:rPr>
          <w:color w:val="000000" w:themeColor="text1"/>
          <w:lang w:val="lv-LV" w:eastAsia="lv-LV"/>
        </w:rPr>
        <w:t>.</w:t>
      </w:r>
      <w:r w:rsidR="00975E0C" w:rsidRPr="008E4EA2">
        <w:rPr>
          <w:color w:val="000000" w:themeColor="text1"/>
          <w:lang w:val="lv-LV" w:eastAsia="lv-LV"/>
        </w:rPr>
        <w:t xml:space="preserve"> </w:t>
      </w:r>
      <w:r w:rsidRPr="008E4EA2">
        <w:rPr>
          <w:color w:val="000000" w:themeColor="text1"/>
          <w:lang w:val="lv-LV" w:eastAsia="lv-LV"/>
        </w:rPr>
        <w:t>latu</w:t>
      </w:r>
      <w:r w:rsidR="00AD1D85" w:rsidRPr="008E4EA2">
        <w:rPr>
          <w:color w:val="000000" w:themeColor="text1"/>
          <w:lang w:val="lv-LV" w:eastAsia="lv-LV"/>
        </w:rPr>
        <w:t>, salīdzinot ar iepriekšējo periodu, kas ir otrs labākais progress darbības programmas ietvaros</w:t>
      </w:r>
      <w:r w:rsidR="00C756A9" w:rsidRPr="008E4EA2">
        <w:rPr>
          <w:color w:val="000000" w:themeColor="text1"/>
          <w:lang w:val="lv-LV" w:eastAsia="lv-LV"/>
        </w:rPr>
        <w:t xml:space="preserve">. Lielākais progress attiecībā uz maksājumiem bijis vides jomā. </w:t>
      </w:r>
    </w:p>
    <w:p w:rsidR="000F41D9" w:rsidRPr="008E4EA2" w:rsidRDefault="006E1DFA" w:rsidP="003A0029">
      <w:pPr>
        <w:spacing w:before="120" w:after="120" w:line="276" w:lineRule="auto"/>
        <w:rPr>
          <w:color w:val="000000" w:themeColor="text1"/>
          <w:szCs w:val="24"/>
          <w:lang w:eastAsia="lv-LV"/>
        </w:rPr>
      </w:pPr>
      <w:r w:rsidRPr="008E4EA2">
        <w:rPr>
          <w:color w:val="000000" w:themeColor="text1"/>
          <w:szCs w:val="24"/>
          <w:lang w:eastAsia="lv-LV"/>
        </w:rPr>
        <w:t>Vides pasāk</w:t>
      </w:r>
      <w:r w:rsidR="003F559F" w:rsidRPr="008E4EA2">
        <w:rPr>
          <w:color w:val="000000" w:themeColor="text1"/>
          <w:szCs w:val="24"/>
          <w:lang w:eastAsia="lv-LV"/>
        </w:rPr>
        <w:t xml:space="preserve">uma ietvaros progress trešajā </w:t>
      </w:r>
      <w:r w:rsidRPr="008E4EA2">
        <w:rPr>
          <w:color w:val="000000" w:themeColor="text1"/>
          <w:szCs w:val="24"/>
          <w:lang w:eastAsia="lv-LV"/>
        </w:rPr>
        <w:t>ceturksnī nav vērojams</w:t>
      </w:r>
      <w:r w:rsidR="00501324" w:rsidRPr="008E4EA2">
        <w:rPr>
          <w:color w:val="000000" w:themeColor="text1"/>
          <w:szCs w:val="24"/>
          <w:lang w:eastAsia="lv-LV"/>
        </w:rPr>
        <w:t>, par 5</w:t>
      </w:r>
      <w:r w:rsidR="00083C6A">
        <w:rPr>
          <w:color w:val="000000" w:themeColor="text1"/>
          <w:szCs w:val="24"/>
          <w:lang w:eastAsia="lv-LV"/>
        </w:rPr>
        <w:t xml:space="preserve"> </w:t>
      </w:r>
      <w:proofErr w:type="spellStart"/>
      <w:r w:rsidR="00501324" w:rsidRPr="008E4EA2">
        <w:rPr>
          <w:color w:val="000000" w:themeColor="text1"/>
          <w:szCs w:val="24"/>
          <w:lang w:eastAsia="lv-LV"/>
        </w:rPr>
        <w:t>milj</w:t>
      </w:r>
      <w:proofErr w:type="spellEnd"/>
      <w:r w:rsidR="00501324" w:rsidRPr="008E4EA2">
        <w:rPr>
          <w:color w:val="000000" w:themeColor="text1"/>
          <w:szCs w:val="24"/>
          <w:lang w:eastAsia="lv-LV"/>
        </w:rPr>
        <w:t xml:space="preserve">. latu </w:t>
      </w:r>
      <w:r w:rsidR="007E4631" w:rsidRPr="008E4EA2">
        <w:rPr>
          <w:color w:val="000000" w:themeColor="text1"/>
          <w:szCs w:val="24"/>
          <w:lang w:eastAsia="lv-LV"/>
        </w:rPr>
        <w:t xml:space="preserve">pieauguši </w:t>
      </w:r>
      <w:r w:rsidR="00501324" w:rsidRPr="008E4EA2">
        <w:rPr>
          <w:color w:val="000000" w:themeColor="text1"/>
          <w:szCs w:val="24"/>
          <w:lang w:eastAsia="lv-LV"/>
        </w:rPr>
        <w:t xml:space="preserve">vienīgi maksājumi finansējuma saņēmējiem. Par trim samazinājies apstiprināto projektu skaits, jo atsevišķos gadījumos lauzti līgumi. </w:t>
      </w:r>
      <w:r w:rsidR="001F1F6F" w:rsidRPr="008E4EA2">
        <w:rPr>
          <w:color w:val="000000" w:themeColor="text1"/>
          <w:szCs w:val="24"/>
          <w:lang w:eastAsia="lv-LV"/>
        </w:rPr>
        <w:t>Pasākuma ietvaros tiek īstenoti 310 projekti, aptuveni trešā daļa no tiem pabeigti</w:t>
      </w:r>
      <w:r w:rsidRPr="008E4EA2">
        <w:rPr>
          <w:color w:val="000000" w:themeColor="text1"/>
          <w:szCs w:val="24"/>
          <w:lang w:eastAsia="lv-LV"/>
        </w:rPr>
        <w:t xml:space="preserve">. </w:t>
      </w:r>
      <w:r w:rsidR="008B38DD" w:rsidRPr="008E4EA2">
        <w:rPr>
          <w:color w:val="000000" w:themeColor="text1"/>
          <w:szCs w:val="24"/>
          <w:lang w:eastAsia="lv-LV"/>
        </w:rPr>
        <w:t>Maksājumu mērķis uz 30.septembri ir izpildīts pilnā apjomā, par 115%.</w:t>
      </w:r>
    </w:p>
    <w:p w:rsidR="009857E5" w:rsidRPr="008E4EA2" w:rsidRDefault="009B6546" w:rsidP="003A0029">
      <w:pPr>
        <w:spacing w:before="120" w:after="120" w:line="276" w:lineRule="auto"/>
        <w:rPr>
          <w:color w:val="000000" w:themeColor="text1"/>
          <w:szCs w:val="24"/>
          <w:lang w:eastAsia="lv-LV"/>
        </w:rPr>
      </w:pPr>
      <w:r w:rsidRPr="008E4EA2">
        <w:rPr>
          <w:color w:val="000000" w:themeColor="text1"/>
          <w:szCs w:val="24"/>
          <w:lang w:eastAsia="lv-LV"/>
        </w:rPr>
        <w:t>Tūrisma pasākuma ietvaros finanšu apguves mērķa izpilde ir neapmierinoša - līdz 2012.gada 30.septembrim finanšu apguves mērķis izpildīts par 55,1% un gada mērķa izpilde ir 46,6%, kas nozīmē, ka līdz 2012.gada trešā ceturkšņa beigām izmaksāta gandrīz puse no noteiktā maksājumu mērķa apjoma.</w:t>
      </w:r>
      <w:r w:rsidR="00A71908" w:rsidRPr="008E4EA2">
        <w:rPr>
          <w:color w:val="000000" w:themeColor="text1"/>
          <w:szCs w:val="24"/>
          <w:lang w:eastAsia="lv-LV"/>
        </w:rPr>
        <w:t xml:space="preserve"> </w:t>
      </w:r>
      <w:proofErr w:type="spellStart"/>
      <w:r w:rsidR="00844D64" w:rsidRPr="008E4EA2">
        <w:rPr>
          <w:color w:val="000000" w:themeColor="text1"/>
          <w:szCs w:val="24"/>
          <w:lang w:eastAsia="lv-LV"/>
        </w:rPr>
        <w:t>Apakšak</w:t>
      </w:r>
      <w:r w:rsidR="007A5CD9" w:rsidRPr="008E4EA2">
        <w:rPr>
          <w:color w:val="000000" w:themeColor="text1"/>
          <w:szCs w:val="24"/>
          <w:lang w:eastAsia="lv-LV"/>
        </w:rPr>
        <w:t>t</w:t>
      </w:r>
      <w:r w:rsidR="00844D64" w:rsidRPr="008E4EA2">
        <w:rPr>
          <w:color w:val="000000" w:themeColor="text1"/>
          <w:szCs w:val="24"/>
          <w:lang w:eastAsia="lv-LV"/>
        </w:rPr>
        <w:t>ivitātēs</w:t>
      </w:r>
      <w:proofErr w:type="spellEnd"/>
      <w:r w:rsidR="00844D64" w:rsidRPr="008E4EA2">
        <w:rPr>
          <w:color w:val="000000" w:themeColor="text1"/>
          <w:szCs w:val="24"/>
          <w:lang w:eastAsia="lv-LV"/>
        </w:rPr>
        <w:t>, kas ir vērstas</w:t>
      </w:r>
      <w:r w:rsidR="009857E5" w:rsidRPr="008E4EA2">
        <w:rPr>
          <w:color w:val="000000" w:themeColor="text1"/>
          <w:szCs w:val="24"/>
          <w:lang w:eastAsia="lv-LV"/>
        </w:rPr>
        <w:t xml:space="preserve"> uz valsts nozīmes pilsētbūvniecības pieminekļu saglabāšanu, atjaunošanu un infrastruktūras pielāgošanu tūrisma produktu attīstībai</w:t>
      </w:r>
      <w:r w:rsidR="00844D64" w:rsidRPr="008E4EA2">
        <w:rPr>
          <w:color w:val="000000" w:themeColor="text1"/>
          <w:szCs w:val="24"/>
          <w:lang w:eastAsia="lv-LV"/>
        </w:rPr>
        <w:t>, kā</w:t>
      </w:r>
      <w:r w:rsidR="009857E5" w:rsidRPr="008E4EA2">
        <w:rPr>
          <w:color w:val="000000" w:themeColor="text1"/>
          <w:szCs w:val="24"/>
          <w:lang w:eastAsia="lv-LV"/>
        </w:rPr>
        <w:t xml:space="preserve"> arī uz nacionālās nozīmes </w:t>
      </w:r>
      <w:proofErr w:type="spellStart"/>
      <w:r w:rsidR="009857E5" w:rsidRPr="008E4EA2">
        <w:rPr>
          <w:color w:val="000000" w:themeColor="text1"/>
          <w:szCs w:val="24"/>
          <w:lang w:eastAsia="lv-LV"/>
        </w:rPr>
        <w:t>velotūrisma</w:t>
      </w:r>
      <w:proofErr w:type="spellEnd"/>
      <w:r w:rsidR="009857E5" w:rsidRPr="008E4EA2">
        <w:rPr>
          <w:color w:val="000000" w:themeColor="text1"/>
          <w:szCs w:val="24"/>
          <w:lang w:eastAsia="lv-LV"/>
        </w:rPr>
        <w:t xml:space="preserve"> produkta attīstību</w:t>
      </w:r>
      <w:r w:rsidR="00844D64" w:rsidRPr="008E4EA2">
        <w:rPr>
          <w:color w:val="000000" w:themeColor="text1"/>
          <w:szCs w:val="24"/>
          <w:lang w:eastAsia="lv-LV"/>
        </w:rPr>
        <w:t>,</w:t>
      </w:r>
      <w:r w:rsidR="009857E5" w:rsidRPr="008E4EA2">
        <w:rPr>
          <w:color w:val="000000" w:themeColor="text1"/>
          <w:szCs w:val="24"/>
          <w:lang w:eastAsia="lv-LV"/>
        </w:rPr>
        <w:t xml:space="preserve"> pārskata periodā veikto maksājumu progress</w:t>
      </w:r>
      <w:r w:rsidRPr="008E4EA2">
        <w:rPr>
          <w:color w:val="000000" w:themeColor="text1"/>
          <w:szCs w:val="24"/>
          <w:lang w:eastAsia="lv-LV"/>
        </w:rPr>
        <w:t>, salīdzinājumā ar iepriekšējo pārskata periodu,</w:t>
      </w:r>
      <w:r w:rsidR="005E1672">
        <w:rPr>
          <w:color w:val="000000" w:themeColor="text1"/>
          <w:szCs w:val="24"/>
          <w:lang w:eastAsia="lv-LV"/>
        </w:rPr>
        <w:t xml:space="preserve"> </w:t>
      </w:r>
      <w:r w:rsidR="009857E5" w:rsidRPr="008E4EA2">
        <w:rPr>
          <w:color w:val="000000" w:themeColor="text1"/>
          <w:szCs w:val="24"/>
          <w:lang w:eastAsia="lv-LV"/>
        </w:rPr>
        <w:t xml:space="preserve">ir 22,4%, kas ir </w:t>
      </w:r>
      <w:r w:rsidR="00F64A61" w:rsidRPr="008E4EA2">
        <w:rPr>
          <w:color w:val="000000" w:themeColor="text1"/>
          <w:szCs w:val="24"/>
          <w:lang w:eastAsia="lv-LV"/>
        </w:rPr>
        <w:t>vislielākais</w:t>
      </w:r>
      <w:r w:rsidR="009857E5" w:rsidRPr="008E4EA2">
        <w:rPr>
          <w:color w:val="000000" w:themeColor="text1"/>
          <w:szCs w:val="24"/>
          <w:lang w:eastAsia="lv-LV"/>
        </w:rPr>
        <w:t xml:space="preserve"> starp pasākuma prioritātēm.</w:t>
      </w:r>
    </w:p>
    <w:p w:rsidR="009857E5" w:rsidRPr="008E4EA2" w:rsidRDefault="009857E5" w:rsidP="003A0029">
      <w:pPr>
        <w:spacing w:before="120" w:after="120" w:line="276" w:lineRule="auto"/>
        <w:rPr>
          <w:color w:val="000000" w:themeColor="text1"/>
          <w:szCs w:val="24"/>
          <w:lang w:eastAsia="lv-LV"/>
        </w:rPr>
      </w:pPr>
      <w:r w:rsidRPr="008E4EA2">
        <w:rPr>
          <w:color w:val="000000" w:themeColor="text1"/>
          <w:szCs w:val="24"/>
          <w:lang w:eastAsia="lv-LV"/>
        </w:rPr>
        <w:t xml:space="preserve">Pārskata periodā ir pabeigti </w:t>
      </w:r>
      <w:r w:rsidR="00C9741B" w:rsidRPr="008E4EA2">
        <w:rPr>
          <w:color w:val="000000" w:themeColor="text1"/>
          <w:szCs w:val="24"/>
          <w:lang w:eastAsia="lv-LV"/>
        </w:rPr>
        <w:t>trīs</w:t>
      </w:r>
      <w:r w:rsidRPr="008E4EA2">
        <w:rPr>
          <w:color w:val="000000" w:themeColor="text1"/>
          <w:szCs w:val="24"/>
          <w:lang w:eastAsia="lv-LV"/>
        </w:rPr>
        <w:t xml:space="preserve"> projekti </w:t>
      </w:r>
      <w:r w:rsidR="00844D64" w:rsidRPr="008E4EA2">
        <w:rPr>
          <w:color w:val="000000" w:themeColor="text1"/>
          <w:szCs w:val="24"/>
          <w:lang w:eastAsia="lv-LV"/>
        </w:rPr>
        <w:t>–</w:t>
      </w:r>
      <w:r w:rsidRPr="008E4EA2">
        <w:rPr>
          <w:color w:val="000000" w:themeColor="text1"/>
          <w:szCs w:val="24"/>
          <w:lang w:eastAsia="lv-LV"/>
        </w:rPr>
        <w:t xml:space="preserve"> Bauskas novada un Kandavas novada domes projekti, kuru rezultātā Bauskas pilsētas vēsturiskais centrs </w:t>
      </w:r>
      <w:r w:rsidR="00923E06" w:rsidRPr="008E4EA2">
        <w:rPr>
          <w:color w:val="000000" w:themeColor="text1"/>
          <w:szCs w:val="24"/>
          <w:lang w:eastAsia="lv-LV"/>
        </w:rPr>
        <w:t>ir izveidots</w:t>
      </w:r>
      <w:r w:rsidR="00844D64" w:rsidRPr="008E4EA2">
        <w:rPr>
          <w:color w:val="000000" w:themeColor="text1"/>
          <w:szCs w:val="24"/>
          <w:lang w:eastAsia="lv-LV"/>
        </w:rPr>
        <w:t xml:space="preserve"> </w:t>
      </w:r>
      <w:r w:rsidRPr="008E4EA2">
        <w:rPr>
          <w:color w:val="000000" w:themeColor="text1"/>
          <w:szCs w:val="24"/>
          <w:lang w:eastAsia="lv-LV"/>
        </w:rPr>
        <w:t xml:space="preserve">par aktīvu tūristu apkalpošanas centru, </w:t>
      </w:r>
      <w:r w:rsidR="009B6546" w:rsidRPr="008E4EA2">
        <w:rPr>
          <w:color w:val="000000" w:themeColor="text1"/>
          <w:szCs w:val="24"/>
          <w:lang w:eastAsia="lv-LV"/>
        </w:rPr>
        <w:t xml:space="preserve">nodrošinot Bauskas Rātsnama atjaunošanu, </w:t>
      </w:r>
      <w:r w:rsidRPr="008E4EA2">
        <w:rPr>
          <w:color w:val="000000" w:themeColor="text1"/>
          <w:szCs w:val="24"/>
          <w:lang w:eastAsia="lv-LV"/>
        </w:rPr>
        <w:t>ka arī tika veicināta Kandavas pilsētas kā tūrisma galamērķa pievilcība gan vietējā, gan starptautiskā mērogā</w:t>
      </w:r>
      <w:r w:rsidR="009B6546" w:rsidRPr="008E4EA2">
        <w:rPr>
          <w:color w:val="000000" w:themeColor="text1"/>
          <w:szCs w:val="24"/>
          <w:lang w:eastAsia="lv-LV"/>
        </w:rPr>
        <w:t xml:space="preserve"> , attīstot Kandavas vecpilsētas centra daļu un izstrādājot jaunus tūrisma maršrutus un pielāgojot tūrisma infrastruktūru.</w:t>
      </w:r>
    </w:p>
    <w:p w:rsidR="009857E5" w:rsidRPr="008E4EA2" w:rsidRDefault="009857E5" w:rsidP="003A0029">
      <w:pPr>
        <w:spacing w:before="120" w:after="120" w:line="276" w:lineRule="auto"/>
        <w:rPr>
          <w:color w:val="000000" w:themeColor="text1"/>
          <w:szCs w:val="24"/>
          <w:lang w:eastAsia="lv-LV"/>
        </w:rPr>
      </w:pPr>
      <w:r w:rsidRPr="008E4EA2">
        <w:rPr>
          <w:color w:val="000000" w:themeColor="text1"/>
          <w:szCs w:val="24"/>
          <w:lang w:eastAsia="lv-LV"/>
        </w:rPr>
        <w:t>Liepājas pilsētas domes pabeigt</w:t>
      </w:r>
      <w:r w:rsidR="00844D64" w:rsidRPr="008E4EA2">
        <w:rPr>
          <w:color w:val="000000" w:themeColor="text1"/>
          <w:szCs w:val="24"/>
          <w:lang w:eastAsia="lv-LV"/>
        </w:rPr>
        <w:t>ā</w:t>
      </w:r>
      <w:r w:rsidRPr="008E4EA2">
        <w:rPr>
          <w:color w:val="000000" w:themeColor="text1"/>
          <w:szCs w:val="24"/>
          <w:lang w:eastAsia="lv-LV"/>
        </w:rPr>
        <w:t xml:space="preserve"> </w:t>
      </w:r>
      <w:r w:rsidR="00F64A61" w:rsidRPr="008E4EA2">
        <w:rPr>
          <w:color w:val="000000" w:themeColor="text1"/>
          <w:szCs w:val="24"/>
          <w:lang w:eastAsia="lv-LV"/>
        </w:rPr>
        <w:t>projekta</w:t>
      </w:r>
      <w:r w:rsidRPr="008E4EA2">
        <w:rPr>
          <w:color w:val="000000" w:themeColor="text1"/>
          <w:szCs w:val="24"/>
          <w:lang w:eastAsia="lv-LV"/>
        </w:rPr>
        <w:t xml:space="preserve"> ietvaros ir izbūvēts veloce</w:t>
      </w:r>
      <w:r w:rsidR="00844D64" w:rsidRPr="008E4EA2">
        <w:rPr>
          <w:color w:val="000000" w:themeColor="text1"/>
          <w:szCs w:val="24"/>
          <w:lang w:eastAsia="lv-LV"/>
        </w:rPr>
        <w:t>liņš caur Liepājas pilsētu, kura</w:t>
      </w:r>
      <w:r w:rsidRPr="008E4EA2">
        <w:rPr>
          <w:color w:val="000000" w:themeColor="text1"/>
          <w:szCs w:val="24"/>
          <w:lang w:eastAsia="lv-LV"/>
        </w:rPr>
        <w:t xml:space="preserve"> kopējais garums </w:t>
      </w:r>
      <w:r w:rsidR="00844D64" w:rsidRPr="008E4EA2">
        <w:rPr>
          <w:color w:val="000000" w:themeColor="text1"/>
          <w:szCs w:val="24"/>
          <w:lang w:eastAsia="lv-LV"/>
        </w:rPr>
        <w:t>ir</w:t>
      </w:r>
      <w:r w:rsidRPr="008E4EA2">
        <w:rPr>
          <w:color w:val="000000" w:themeColor="text1"/>
          <w:szCs w:val="24"/>
          <w:lang w:eastAsia="lv-LV"/>
        </w:rPr>
        <w:t xml:space="preserve"> </w:t>
      </w:r>
      <w:r w:rsidR="00844D64" w:rsidRPr="008E4EA2">
        <w:rPr>
          <w:color w:val="000000" w:themeColor="text1"/>
          <w:szCs w:val="24"/>
          <w:lang w:eastAsia="lv-LV"/>
        </w:rPr>
        <w:t>12</w:t>
      </w:r>
      <w:r w:rsidRPr="008E4EA2">
        <w:rPr>
          <w:color w:val="000000" w:themeColor="text1"/>
          <w:szCs w:val="24"/>
          <w:lang w:eastAsia="lv-LV"/>
        </w:rPr>
        <w:t xml:space="preserve"> km. Veloceliņa maršruts savieno </w:t>
      </w:r>
      <w:r w:rsidR="00C9741B" w:rsidRPr="008E4EA2">
        <w:rPr>
          <w:color w:val="000000" w:themeColor="text1"/>
          <w:szCs w:val="24"/>
          <w:lang w:eastAsia="lv-LV"/>
        </w:rPr>
        <w:t>septiņus</w:t>
      </w:r>
      <w:r w:rsidRPr="008E4EA2">
        <w:rPr>
          <w:color w:val="000000" w:themeColor="text1"/>
          <w:szCs w:val="24"/>
          <w:lang w:eastAsia="lv-LV"/>
        </w:rPr>
        <w:t xml:space="preserve"> tūrisma objektus, </w:t>
      </w:r>
      <w:r w:rsidR="00C9741B" w:rsidRPr="008E4EA2">
        <w:rPr>
          <w:color w:val="000000" w:themeColor="text1"/>
          <w:szCs w:val="24"/>
          <w:lang w:eastAsia="lv-LV"/>
        </w:rPr>
        <w:t>četras</w:t>
      </w:r>
      <w:r w:rsidRPr="008E4EA2">
        <w:rPr>
          <w:color w:val="000000" w:themeColor="text1"/>
          <w:szCs w:val="24"/>
          <w:lang w:eastAsia="lv-LV"/>
        </w:rPr>
        <w:t xml:space="preserve"> atpūtas vietas, vairākas vietējā un starptautiskā transporta pieturvietas, </w:t>
      </w:r>
      <w:r w:rsidR="00C9741B" w:rsidRPr="008E4EA2">
        <w:rPr>
          <w:color w:val="000000" w:themeColor="text1"/>
          <w:szCs w:val="24"/>
          <w:lang w:eastAsia="lv-LV"/>
        </w:rPr>
        <w:t>deviņas</w:t>
      </w:r>
      <w:r w:rsidRPr="008E4EA2">
        <w:rPr>
          <w:color w:val="000000" w:themeColor="text1"/>
          <w:szCs w:val="24"/>
          <w:lang w:eastAsia="lv-LV"/>
        </w:rPr>
        <w:t xml:space="preserve"> autostāvvietas, naktsmītnes un </w:t>
      </w:r>
      <w:r w:rsidR="00F64A61" w:rsidRPr="008E4EA2">
        <w:rPr>
          <w:color w:val="000000" w:themeColor="text1"/>
          <w:szCs w:val="24"/>
          <w:lang w:eastAsia="lv-LV"/>
        </w:rPr>
        <w:t>sabiedriskās</w:t>
      </w:r>
      <w:r w:rsidR="00BE2E40" w:rsidRPr="008E4EA2">
        <w:rPr>
          <w:color w:val="000000" w:themeColor="text1"/>
          <w:szCs w:val="24"/>
          <w:lang w:eastAsia="lv-LV"/>
        </w:rPr>
        <w:t xml:space="preserve"> ēdināšanas vietas. </w:t>
      </w:r>
    </w:p>
    <w:p w:rsidR="009857E5" w:rsidRPr="008E4EA2" w:rsidRDefault="009857E5" w:rsidP="003A0029">
      <w:pPr>
        <w:spacing w:before="120" w:after="120" w:line="276" w:lineRule="auto"/>
        <w:rPr>
          <w:color w:val="000000" w:themeColor="text1"/>
          <w:szCs w:val="24"/>
          <w:lang w:eastAsia="lv-LV"/>
        </w:rPr>
      </w:pPr>
      <w:r w:rsidRPr="008E4EA2">
        <w:rPr>
          <w:color w:val="000000" w:themeColor="text1"/>
          <w:szCs w:val="24"/>
          <w:lang w:eastAsia="lv-LV"/>
        </w:rPr>
        <w:t xml:space="preserve">Kultūras jomas aktivitātēs ir noslēgti līgumi par vairāk kā 95% no piešķīruma (bez </w:t>
      </w:r>
      <w:proofErr w:type="spellStart"/>
      <w:r w:rsidRPr="008E4EA2">
        <w:rPr>
          <w:color w:val="000000" w:themeColor="text1"/>
          <w:szCs w:val="24"/>
          <w:lang w:eastAsia="lv-LV"/>
        </w:rPr>
        <w:t>virssaistībām</w:t>
      </w:r>
      <w:proofErr w:type="spellEnd"/>
      <w:r w:rsidRPr="008E4EA2">
        <w:rPr>
          <w:color w:val="000000" w:themeColor="text1"/>
          <w:szCs w:val="24"/>
          <w:lang w:eastAsia="lv-LV"/>
        </w:rPr>
        <w:t xml:space="preserve">) un veikto maksājumu progress finansējuma saņēmējiem, salīdzinot ar </w:t>
      </w:r>
      <w:proofErr w:type="spellStart"/>
      <w:r w:rsidR="00A23D5B" w:rsidRPr="008E4EA2">
        <w:rPr>
          <w:color w:val="000000" w:themeColor="text1"/>
          <w:szCs w:val="24"/>
          <w:lang w:eastAsia="lv-LV"/>
        </w:rPr>
        <w:t>š.g</w:t>
      </w:r>
      <w:proofErr w:type="spellEnd"/>
      <w:r w:rsidR="00A23D5B" w:rsidRPr="008E4EA2">
        <w:rPr>
          <w:color w:val="000000" w:themeColor="text1"/>
          <w:szCs w:val="24"/>
          <w:lang w:eastAsia="lv-LV"/>
        </w:rPr>
        <w:t>.</w:t>
      </w:r>
      <w:r w:rsidRPr="008E4EA2">
        <w:rPr>
          <w:color w:val="000000" w:themeColor="text1"/>
          <w:szCs w:val="24"/>
          <w:lang w:eastAsia="lv-LV"/>
        </w:rPr>
        <w:t xml:space="preserve"> otro ceturksni</w:t>
      </w:r>
      <w:r w:rsidR="00844D64" w:rsidRPr="008E4EA2">
        <w:rPr>
          <w:color w:val="000000" w:themeColor="text1"/>
          <w:szCs w:val="24"/>
          <w:lang w:eastAsia="lv-LV"/>
        </w:rPr>
        <w:t>,</w:t>
      </w:r>
      <w:r w:rsidRPr="008E4EA2">
        <w:rPr>
          <w:color w:val="000000" w:themeColor="text1"/>
          <w:szCs w:val="24"/>
          <w:lang w:eastAsia="lv-LV"/>
        </w:rPr>
        <w:t xml:space="preserve"> ir 10%, kas ir ļoti pozitīvi vērtējams. </w:t>
      </w:r>
      <w:r w:rsidR="00151DFB" w:rsidRPr="008E4EA2">
        <w:rPr>
          <w:color w:val="000000" w:themeColor="text1"/>
          <w:szCs w:val="24"/>
          <w:lang w:eastAsia="lv-LV"/>
        </w:rPr>
        <w:t xml:space="preserve">Tomēr ir vērojamā finanšu apguves mērķu neizpilde, </w:t>
      </w:r>
      <w:proofErr w:type="spellStart"/>
      <w:r w:rsidR="00151DFB" w:rsidRPr="008E4EA2">
        <w:rPr>
          <w:color w:val="000000" w:themeColor="text1"/>
          <w:szCs w:val="24"/>
          <w:lang w:eastAsia="lv-LV"/>
        </w:rPr>
        <w:t>t.i</w:t>
      </w:r>
      <w:proofErr w:type="spellEnd"/>
      <w:r w:rsidR="00151DFB" w:rsidRPr="008E4EA2">
        <w:rPr>
          <w:color w:val="000000" w:themeColor="text1"/>
          <w:szCs w:val="24"/>
          <w:lang w:eastAsia="lv-LV"/>
        </w:rPr>
        <w:t xml:space="preserve">. AI mērķis maksājumiem finansējuma saņēmējiem līdz pārskata perioda beigām ir izpildīts par 60%, savukārt mērķis 2012. gadam ir izpildīts par 46%. Neizpilde ir skaidrojamā ar problēmām iesniegtajos maksājuma pieprasījumos, ka arī </w:t>
      </w:r>
      <w:r w:rsidR="00151DFB" w:rsidRPr="008E4EA2">
        <w:rPr>
          <w:color w:val="000000" w:themeColor="text1"/>
          <w:szCs w:val="24"/>
          <w:lang w:eastAsia="lv-LV"/>
        </w:rPr>
        <w:lastRenderedPageBreak/>
        <w:t xml:space="preserve">projektu ieviešanas procesā. </w:t>
      </w:r>
      <w:r w:rsidRPr="008E4EA2">
        <w:rPr>
          <w:color w:val="000000" w:themeColor="text1"/>
          <w:szCs w:val="24"/>
          <w:lang w:eastAsia="lv-LV"/>
        </w:rPr>
        <w:t xml:space="preserve">Pārskata periodā turpinās uzsākto projektu realizācija. </w:t>
      </w:r>
      <w:r w:rsidR="00923E06" w:rsidRPr="008E4EA2">
        <w:rPr>
          <w:color w:val="000000" w:themeColor="text1"/>
          <w:szCs w:val="24"/>
          <w:lang w:eastAsia="lv-LV"/>
        </w:rPr>
        <w:t>P</w:t>
      </w:r>
      <w:r w:rsidRPr="008E4EA2">
        <w:rPr>
          <w:color w:val="000000" w:themeColor="text1"/>
          <w:szCs w:val="24"/>
          <w:lang w:eastAsia="lv-LV"/>
        </w:rPr>
        <w:t>rojektu</w:t>
      </w:r>
      <w:r w:rsidR="00923E06" w:rsidRPr="008E4EA2">
        <w:rPr>
          <w:color w:val="000000" w:themeColor="text1"/>
          <w:szCs w:val="24"/>
          <w:lang w:eastAsia="lv-LV"/>
        </w:rPr>
        <w:t xml:space="preserve"> pabeigšana</w:t>
      </w:r>
      <w:r w:rsidR="00DA026E" w:rsidRPr="008E4EA2">
        <w:rPr>
          <w:color w:val="000000" w:themeColor="text1"/>
          <w:szCs w:val="24"/>
          <w:lang w:eastAsia="lv-LV"/>
        </w:rPr>
        <w:t xml:space="preserve"> plānot</w:t>
      </w:r>
      <w:r w:rsidR="00923E06" w:rsidRPr="008E4EA2">
        <w:rPr>
          <w:color w:val="000000" w:themeColor="text1"/>
          <w:szCs w:val="24"/>
          <w:lang w:eastAsia="lv-LV"/>
        </w:rPr>
        <w:t>a sākot ar</w:t>
      </w:r>
      <w:r w:rsidR="00DA026E" w:rsidRPr="008E4EA2">
        <w:rPr>
          <w:color w:val="000000" w:themeColor="text1"/>
          <w:szCs w:val="24"/>
          <w:lang w:eastAsia="lv-LV"/>
        </w:rPr>
        <w:t xml:space="preserve">t 2012.gada ceturtajā </w:t>
      </w:r>
      <w:r w:rsidR="00844D64" w:rsidRPr="008E4EA2">
        <w:rPr>
          <w:color w:val="000000" w:themeColor="text1"/>
          <w:szCs w:val="24"/>
          <w:lang w:eastAsia="lv-LV"/>
        </w:rPr>
        <w:t>ceturksn</w:t>
      </w:r>
      <w:r w:rsidR="00923E06" w:rsidRPr="008E4EA2">
        <w:rPr>
          <w:color w:val="000000" w:themeColor="text1"/>
          <w:szCs w:val="24"/>
          <w:lang w:eastAsia="lv-LV"/>
        </w:rPr>
        <w:t>i</w:t>
      </w:r>
      <w:r w:rsidR="00844D64" w:rsidRPr="008E4EA2">
        <w:rPr>
          <w:color w:val="000000" w:themeColor="text1"/>
          <w:szCs w:val="24"/>
          <w:lang w:eastAsia="lv-LV"/>
        </w:rPr>
        <w:t>.</w:t>
      </w:r>
      <w:r w:rsidRPr="008E4EA2">
        <w:rPr>
          <w:color w:val="000000" w:themeColor="text1"/>
          <w:szCs w:val="24"/>
          <w:lang w:eastAsia="lv-LV"/>
        </w:rPr>
        <w:t>.</w:t>
      </w:r>
    </w:p>
    <w:p w:rsidR="009857E5" w:rsidRPr="008E4EA2" w:rsidRDefault="009857E5" w:rsidP="003A0029">
      <w:pPr>
        <w:spacing w:before="120" w:after="120" w:line="276" w:lineRule="auto"/>
        <w:rPr>
          <w:color w:val="000000" w:themeColor="text1"/>
          <w:szCs w:val="24"/>
          <w:lang w:eastAsia="lv-LV"/>
        </w:rPr>
      </w:pPr>
      <w:r w:rsidRPr="008E4EA2">
        <w:rPr>
          <w:color w:val="000000" w:themeColor="text1"/>
          <w:szCs w:val="24"/>
          <w:lang w:eastAsia="lv-LV"/>
        </w:rPr>
        <w:t>Pārskata peri</w:t>
      </w:r>
      <w:r w:rsidR="00844D64" w:rsidRPr="008E4EA2">
        <w:rPr>
          <w:color w:val="000000" w:themeColor="text1"/>
          <w:szCs w:val="24"/>
          <w:lang w:eastAsia="lv-LV"/>
        </w:rPr>
        <w:t>odā ir pārtraukts projekts, kura</w:t>
      </w:r>
      <w:r w:rsidRPr="008E4EA2">
        <w:rPr>
          <w:color w:val="000000" w:themeColor="text1"/>
          <w:szCs w:val="24"/>
          <w:lang w:eastAsia="lv-LV"/>
        </w:rPr>
        <w:t xml:space="preserve"> mērķis bija Ēdoles viduslaiku pils atjaunošana un re</w:t>
      </w:r>
      <w:r w:rsidR="00844D64" w:rsidRPr="008E4EA2">
        <w:rPr>
          <w:color w:val="000000" w:themeColor="text1"/>
          <w:szCs w:val="24"/>
          <w:lang w:eastAsia="lv-LV"/>
        </w:rPr>
        <w:t>novācija, jo projektā paredzētie</w:t>
      </w:r>
      <w:r w:rsidRPr="008E4EA2">
        <w:rPr>
          <w:color w:val="000000" w:themeColor="text1"/>
          <w:szCs w:val="24"/>
          <w:lang w:eastAsia="lv-LV"/>
        </w:rPr>
        <w:t xml:space="preserve"> būvniecības darbi netika uzsākti plānotajā laikā. Projektā veiktie izdevumi ir atzīti par</w:t>
      </w:r>
      <w:r w:rsidR="00844D64" w:rsidRPr="008E4EA2">
        <w:rPr>
          <w:color w:val="000000" w:themeColor="text1"/>
          <w:szCs w:val="24"/>
          <w:lang w:eastAsia="lv-LV"/>
        </w:rPr>
        <w:t xml:space="preserve"> neatbilstoši veikt</w:t>
      </w:r>
      <w:r w:rsidRPr="008E4EA2">
        <w:rPr>
          <w:color w:val="000000" w:themeColor="text1"/>
          <w:szCs w:val="24"/>
          <w:lang w:eastAsia="lv-LV"/>
        </w:rPr>
        <w:t>iem un ir atgūti.</w:t>
      </w:r>
    </w:p>
    <w:p w:rsidR="009857E5" w:rsidRPr="008E4EA2" w:rsidRDefault="009857E5" w:rsidP="003A0029">
      <w:pPr>
        <w:spacing w:before="120" w:after="120" w:line="276" w:lineRule="auto"/>
        <w:rPr>
          <w:color w:val="000000" w:themeColor="text1"/>
          <w:szCs w:val="24"/>
          <w:lang w:eastAsia="lv-LV"/>
        </w:rPr>
      </w:pPr>
      <w:r w:rsidRPr="008E4EA2">
        <w:rPr>
          <w:color w:val="000000" w:themeColor="text1"/>
          <w:szCs w:val="24"/>
          <w:lang w:eastAsia="lv-LV"/>
        </w:rPr>
        <w:t xml:space="preserve">Ņemot vērā KM sniegto informāciju, </w:t>
      </w:r>
      <w:r w:rsidR="000440DC" w:rsidRPr="008E4EA2">
        <w:rPr>
          <w:color w:val="000000" w:themeColor="text1"/>
          <w:szCs w:val="24"/>
          <w:lang w:eastAsia="lv-LV"/>
        </w:rPr>
        <w:t xml:space="preserve">ir </w:t>
      </w:r>
      <w:r w:rsidRPr="008E4EA2">
        <w:rPr>
          <w:color w:val="000000" w:themeColor="text1"/>
          <w:szCs w:val="24"/>
          <w:lang w:eastAsia="lv-LV"/>
        </w:rPr>
        <w:t>atbalst</w:t>
      </w:r>
      <w:r w:rsidR="000440DC" w:rsidRPr="008E4EA2">
        <w:rPr>
          <w:color w:val="000000" w:themeColor="text1"/>
          <w:szCs w:val="24"/>
          <w:lang w:eastAsia="lv-LV"/>
        </w:rPr>
        <w:t>īt</w:t>
      </w:r>
      <w:r w:rsidRPr="008E4EA2">
        <w:rPr>
          <w:color w:val="000000" w:themeColor="text1"/>
          <w:szCs w:val="24"/>
          <w:lang w:eastAsia="lv-LV"/>
        </w:rPr>
        <w:t xml:space="preserve">a </w:t>
      </w:r>
      <w:proofErr w:type="spellStart"/>
      <w:r w:rsidRPr="008E4EA2">
        <w:rPr>
          <w:color w:val="000000" w:themeColor="text1"/>
          <w:szCs w:val="24"/>
          <w:lang w:eastAsia="lv-LV"/>
        </w:rPr>
        <w:t>virssaistību</w:t>
      </w:r>
      <w:proofErr w:type="spellEnd"/>
      <w:r w:rsidRPr="008E4EA2">
        <w:rPr>
          <w:color w:val="000000" w:themeColor="text1"/>
          <w:szCs w:val="24"/>
          <w:lang w:eastAsia="lv-LV"/>
        </w:rPr>
        <w:t xml:space="preserve"> piešķiršan</w:t>
      </w:r>
      <w:r w:rsidR="000440DC" w:rsidRPr="008E4EA2">
        <w:rPr>
          <w:color w:val="000000" w:themeColor="text1"/>
          <w:szCs w:val="24"/>
          <w:lang w:eastAsia="lv-LV"/>
        </w:rPr>
        <w:t>a</w:t>
      </w:r>
      <w:r w:rsidRPr="008E4EA2">
        <w:rPr>
          <w:color w:val="000000" w:themeColor="text1"/>
          <w:szCs w:val="24"/>
          <w:lang w:eastAsia="lv-LV"/>
        </w:rPr>
        <w:t xml:space="preserve"> aktivitātei „</w:t>
      </w:r>
      <w:r w:rsidRPr="008E4EA2">
        <w:rPr>
          <w:bCs/>
          <w:color w:val="000000" w:themeColor="text1"/>
          <w:szCs w:val="24"/>
        </w:rPr>
        <w:t>At</w:t>
      </w:r>
      <w:r w:rsidRPr="008E4EA2">
        <w:rPr>
          <w:bCs/>
          <w:color w:val="000000" w:themeColor="text1"/>
          <w:szCs w:val="24"/>
        </w:rPr>
        <w:softHyphen/>
        <w:t>balsts kul</w:t>
      </w:r>
      <w:r w:rsidRPr="008E4EA2">
        <w:rPr>
          <w:bCs/>
          <w:color w:val="000000" w:themeColor="text1"/>
          <w:szCs w:val="24"/>
        </w:rPr>
        <w:softHyphen/>
        <w:t>tū</w:t>
      </w:r>
      <w:r w:rsidRPr="008E4EA2">
        <w:rPr>
          <w:bCs/>
          <w:color w:val="000000" w:themeColor="text1"/>
          <w:szCs w:val="24"/>
        </w:rPr>
        <w:softHyphen/>
        <w:t>ras pie</w:t>
      </w:r>
      <w:r w:rsidRPr="008E4EA2">
        <w:rPr>
          <w:bCs/>
          <w:color w:val="000000" w:themeColor="text1"/>
          <w:szCs w:val="24"/>
        </w:rPr>
        <w:softHyphen/>
        <w:t>mi</w:t>
      </w:r>
      <w:r w:rsidRPr="008E4EA2">
        <w:rPr>
          <w:bCs/>
          <w:color w:val="000000" w:themeColor="text1"/>
          <w:szCs w:val="24"/>
        </w:rPr>
        <w:softHyphen/>
        <w:t>nek</w:t>
      </w:r>
      <w:r w:rsidRPr="008E4EA2">
        <w:rPr>
          <w:bCs/>
          <w:color w:val="000000" w:themeColor="text1"/>
          <w:szCs w:val="24"/>
        </w:rPr>
        <w:softHyphen/>
        <w:t>ļu pri</w:t>
      </w:r>
      <w:r w:rsidRPr="008E4EA2">
        <w:rPr>
          <w:bCs/>
          <w:color w:val="000000" w:themeColor="text1"/>
          <w:szCs w:val="24"/>
        </w:rPr>
        <w:softHyphen/>
        <w:t>vāt</w:t>
      </w:r>
      <w:r w:rsidRPr="008E4EA2">
        <w:rPr>
          <w:bCs/>
          <w:color w:val="000000" w:themeColor="text1"/>
          <w:szCs w:val="24"/>
        </w:rPr>
        <w:softHyphen/>
        <w:t>īpa</w:t>
      </w:r>
      <w:r w:rsidRPr="008E4EA2">
        <w:rPr>
          <w:bCs/>
          <w:color w:val="000000" w:themeColor="text1"/>
          <w:szCs w:val="24"/>
        </w:rPr>
        <w:softHyphen/>
        <w:t>šnie</w:t>
      </w:r>
      <w:r w:rsidRPr="008E4EA2">
        <w:rPr>
          <w:bCs/>
          <w:color w:val="000000" w:themeColor="text1"/>
          <w:szCs w:val="24"/>
        </w:rPr>
        <w:softHyphen/>
        <w:t>kiem kul</w:t>
      </w:r>
      <w:r w:rsidRPr="008E4EA2">
        <w:rPr>
          <w:bCs/>
          <w:color w:val="000000" w:themeColor="text1"/>
          <w:szCs w:val="24"/>
        </w:rPr>
        <w:softHyphen/>
        <w:t>tū</w:t>
      </w:r>
      <w:r w:rsidRPr="008E4EA2">
        <w:rPr>
          <w:bCs/>
          <w:color w:val="000000" w:themeColor="text1"/>
          <w:szCs w:val="24"/>
        </w:rPr>
        <w:softHyphen/>
        <w:t>ras pie</w:t>
      </w:r>
      <w:r w:rsidRPr="008E4EA2">
        <w:rPr>
          <w:bCs/>
          <w:color w:val="000000" w:themeColor="text1"/>
          <w:szCs w:val="24"/>
        </w:rPr>
        <w:softHyphen/>
        <w:t>mi</w:t>
      </w:r>
      <w:r w:rsidRPr="008E4EA2">
        <w:rPr>
          <w:bCs/>
          <w:color w:val="000000" w:themeColor="text1"/>
          <w:szCs w:val="24"/>
        </w:rPr>
        <w:softHyphen/>
        <w:t>nek</w:t>
      </w:r>
      <w:r w:rsidRPr="008E4EA2">
        <w:rPr>
          <w:bCs/>
          <w:color w:val="000000" w:themeColor="text1"/>
          <w:szCs w:val="24"/>
        </w:rPr>
        <w:softHyphen/>
        <w:t>ļu sa</w:t>
      </w:r>
      <w:r w:rsidRPr="008E4EA2">
        <w:rPr>
          <w:bCs/>
          <w:color w:val="000000" w:themeColor="text1"/>
          <w:szCs w:val="24"/>
        </w:rPr>
        <w:softHyphen/>
        <w:t>gla</w:t>
      </w:r>
      <w:r w:rsidRPr="008E4EA2">
        <w:rPr>
          <w:bCs/>
          <w:color w:val="000000" w:themeColor="text1"/>
          <w:szCs w:val="24"/>
        </w:rPr>
        <w:softHyphen/>
        <w:t>bā</w:t>
      </w:r>
      <w:r w:rsidRPr="008E4EA2">
        <w:rPr>
          <w:bCs/>
          <w:color w:val="000000" w:themeColor="text1"/>
          <w:szCs w:val="24"/>
        </w:rPr>
        <w:softHyphen/>
        <w:t>ša</w:t>
      </w:r>
      <w:r w:rsidRPr="008E4EA2">
        <w:rPr>
          <w:bCs/>
          <w:color w:val="000000" w:themeColor="text1"/>
          <w:szCs w:val="24"/>
        </w:rPr>
        <w:softHyphen/>
        <w:t>nā un to so</w:t>
      </w:r>
      <w:r w:rsidRPr="008E4EA2">
        <w:rPr>
          <w:bCs/>
          <w:color w:val="000000" w:themeColor="text1"/>
          <w:szCs w:val="24"/>
        </w:rPr>
        <w:softHyphen/>
        <w:t>ci</w:t>
      </w:r>
      <w:r w:rsidRPr="008E4EA2">
        <w:rPr>
          <w:bCs/>
          <w:color w:val="000000" w:themeColor="text1"/>
          <w:szCs w:val="24"/>
        </w:rPr>
        <w:softHyphen/>
        <w:t>āl</w:t>
      </w:r>
      <w:r w:rsidRPr="008E4EA2">
        <w:rPr>
          <w:bCs/>
          <w:color w:val="000000" w:themeColor="text1"/>
          <w:szCs w:val="24"/>
        </w:rPr>
        <w:softHyphen/>
        <w:t>eko</w:t>
      </w:r>
      <w:r w:rsidRPr="008E4EA2">
        <w:rPr>
          <w:bCs/>
          <w:color w:val="000000" w:themeColor="text1"/>
          <w:szCs w:val="24"/>
        </w:rPr>
        <w:softHyphen/>
        <w:t>no</w:t>
      </w:r>
      <w:r w:rsidRPr="008E4EA2">
        <w:rPr>
          <w:bCs/>
          <w:color w:val="000000" w:themeColor="text1"/>
          <w:szCs w:val="24"/>
        </w:rPr>
        <w:softHyphen/>
        <w:t>mis</w:t>
      </w:r>
      <w:r w:rsidRPr="008E4EA2">
        <w:rPr>
          <w:bCs/>
          <w:color w:val="000000" w:themeColor="text1"/>
          <w:szCs w:val="24"/>
        </w:rPr>
        <w:softHyphen/>
        <w:t>kā po</w:t>
      </w:r>
      <w:r w:rsidRPr="008E4EA2">
        <w:rPr>
          <w:bCs/>
          <w:color w:val="000000" w:themeColor="text1"/>
          <w:szCs w:val="24"/>
        </w:rPr>
        <w:softHyphen/>
        <w:t>ten</w:t>
      </w:r>
      <w:r w:rsidRPr="008E4EA2">
        <w:rPr>
          <w:bCs/>
          <w:color w:val="000000" w:themeColor="text1"/>
          <w:szCs w:val="24"/>
        </w:rPr>
        <w:softHyphen/>
        <w:t>c</w:t>
      </w:r>
      <w:r w:rsidR="00844D64" w:rsidRPr="008E4EA2">
        <w:rPr>
          <w:bCs/>
          <w:color w:val="000000" w:themeColor="text1"/>
          <w:szCs w:val="24"/>
        </w:rPr>
        <w:t>i</w:t>
      </w:r>
      <w:r w:rsidR="00844D64" w:rsidRPr="008E4EA2">
        <w:rPr>
          <w:bCs/>
          <w:color w:val="000000" w:themeColor="text1"/>
          <w:szCs w:val="24"/>
        </w:rPr>
        <w:softHyphen/>
        <w:t>āla efek</w:t>
      </w:r>
      <w:r w:rsidR="00844D64" w:rsidRPr="008E4EA2">
        <w:rPr>
          <w:bCs/>
          <w:color w:val="000000" w:themeColor="text1"/>
          <w:szCs w:val="24"/>
        </w:rPr>
        <w:softHyphen/>
        <w:t>tī</w:t>
      </w:r>
      <w:r w:rsidR="00844D64" w:rsidRPr="008E4EA2">
        <w:rPr>
          <w:bCs/>
          <w:color w:val="000000" w:themeColor="text1"/>
          <w:szCs w:val="24"/>
        </w:rPr>
        <w:softHyphen/>
        <w:t>va iz</w:t>
      </w:r>
      <w:r w:rsidR="00844D64" w:rsidRPr="008E4EA2">
        <w:rPr>
          <w:bCs/>
          <w:color w:val="000000" w:themeColor="text1"/>
          <w:szCs w:val="24"/>
        </w:rPr>
        <w:softHyphen/>
        <w:t>man</w:t>
      </w:r>
      <w:r w:rsidR="00844D64" w:rsidRPr="008E4EA2">
        <w:rPr>
          <w:bCs/>
          <w:color w:val="000000" w:themeColor="text1"/>
          <w:szCs w:val="24"/>
        </w:rPr>
        <w:softHyphen/>
        <w:t>to</w:t>
      </w:r>
      <w:r w:rsidR="00844D64" w:rsidRPr="008E4EA2">
        <w:rPr>
          <w:bCs/>
          <w:color w:val="000000" w:themeColor="text1"/>
          <w:szCs w:val="24"/>
        </w:rPr>
        <w:softHyphen/>
        <w:t>ša</w:t>
      </w:r>
      <w:r w:rsidR="00844D64" w:rsidRPr="008E4EA2">
        <w:rPr>
          <w:bCs/>
          <w:color w:val="000000" w:themeColor="text1"/>
          <w:szCs w:val="24"/>
        </w:rPr>
        <w:softHyphen/>
        <w:t>na</w:t>
      </w:r>
      <w:r w:rsidRPr="008E4EA2">
        <w:rPr>
          <w:color w:val="000000" w:themeColor="text1"/>
          <w:szCs w:val="24"/>
          <w:lang w:eastAsia="lv-LV"/>
        </w:rPr>
        <w:t>”</w:t>
      </w:r>
      <w:r w:rsidR="00844D64" w:rsidRPr="008E4EA2">
        <w:rPr>
          <w:color w:val="000000" w:themeColor="text1"/>
          <w:szCs w:val="24"/>
          <w:lang w:eastAsia="lv-LV"/>
        </w:rPr>
        <w:t>. Šī aktivitāte</w:t>
      </w:r>
      <w:r w:rsidRPr="008E4EA2">
        <w:rPr>
          <w:color w:val="000000" w:themeColor="text1"/>
          <w:szCs w:val="24"/>
          <w:lang w:eastAsia="lv-LV"/>
        </w:rPr>
        <w:t xml:space="preserve"> ir vērsta uz privātīpašumā esošu kultūras pieminekļu, kas nodrošina nozīmīgas publiskas funkcijas, saglabāšanu, pieejamību sabiedrībai un sociālekonomisku izmantošanas nodrošināšanu.</w:t>
      </w:r>
      <w:r w:rsidR="000440DC" w:rsidRPr="008E4EA2">
        <w:rPr>
          <w:color w:val="000000" w:themeColor="text1"/>
          <w:szCs w:val="24"/>
          <w:lang w:eastAsia="lv-LV"/>
        </w:rPr>
        <w:t xml:space="preserve"> KM aktīvi jāvirza nepieciešamie normatīvie akti un jāveic citi pasākumi, lai maksimāli ātri varētu uzsākt projektu atlasi.</w:t>
      </w:r>
    </w:p>
    <w:p w:rsidR="009857E5" w:rsidRPr="008E4EA2" w:rsidRDefault="009857E5" w:rsidP="003A0029">
      <w:pPr>
        <w:spacing w:before="120" w:after="120" w:line="276" w:lineRule="auto"/>
        <w:rPr>
          <w:color w:val="000000" w:themeColor="text1"/>
          <w:szCs w:val="24"/>
          <w:lang w:eastAsia="lv-LV"/>
        </w:rPr>
      </w:pPr>
      <w:r w:rsidRPr="008E4EA2">
        <w:rPr>
          <w:color w:val="000000" w:themeColor="text1"/>
          <w:szCs w:val="24"/>
          <w:lang w:eastAsia="lv-LV"/>
        </w:rPr>
        <w:t>Pasākuma „Mājokļu energoefektivitāte” ietvaros uz pārskata perioda beigām noslēgto l</w:t>
      </w:r>
      <w:r w:rsidR="00F64A61" w:rsidRPr="008E4EA2">
        <w:rPr>
          <w:color w:val="000000" w:themeColor="text1"/>
          <w:szCs w:val="24"/>
          <w:lang w:eastAsia="lv-LV"/>
        </w:rPr>
        <w:t xml:space="preserve">īgumu progress, salīdzinot ar otro </w:t>
      </w:r>
      <w:r w:rsidRPr="008E4EA2">
        <w:rPr>
          <w:color w:val="000000" w:themeColor="text1"/>
          <w:szCs w:val="24"/>
          <w:lang w:eastAsia="lv-LV"/>
        </w:rPr>
        <w:t>ceturksni ir 16,5%, savukārt veikto maksājumu progress</w:t>
      </w:r>
      <w:r w:rsidR="003271BE" w:rsidRPr="008E4EA2">
        <w:rPr>
          <w:color w:val="000000" w:themeColor="text1"/>
          <w:szCs w:val="24"/>
          <w:lang w:eastAsia="lv-LV"/>
        </w:rPr>
        <w:t xml:space="preserve"> </w:t>
      </w:r>
      <w:r w:rsidRPr="008E4EA2">
        <w:rPr>
          <w:color w:val="000000" w:themeColor="text1"/>
          <w:szCs w:val="24"/>
          <w:lang w:eastAsia="lv-LV"/>
        </w:rPr>
        <w:t>ir 20,5%</w:t>
      </w:r>
      <w:r w:rsidR="009B6546" w:rsidRPr="008E4EA2">
        <w:rPr>
          <w:color w:val="000000" w:themeColor="text1"/>
          <w:szCs w:val="24"/>
          <w:lang w:eastAsia="lv-LV"/>
        </w:rPr>
        <w:t>,</w:t>
      </w:r>
      <w:r w:rsidR="005E1672">
        <w:rPr>
          <w:color w:val="000000" w:themeColor="text1"/>
          <w:szCs w:val="24"/>
          <w:lang w:eastAsia="lv-LV"/>
        </w:rPr>
        <w:t xml:space="preserve"> </w:t>
      </w:r>
      <w:r w:rsidR="009B6546" w:rsidRPr="008E4EA2">
        <w:rPr>
          <w:color w:val="000000" w:themeColor="text1"/>
          <w:szCs w:val="24"/>
          <w:lang w:eastAsia="lv-LV"/>
        </w:rPr>
        <w:t xml:space="preserve">salīdzinājumā ar otro ceturksni. Pasākuma ietvaros </w:t>
      </w:r>
      <w:r w:rsidR="009B6546" w:rsidRPr="008E4EA2">
        <w:rPr>
          <w:color w:val="000000" w:themeColor="text1"/>
          <w:szCs w:val="24"/>
        </w:rPr>
        <w:t xml:space="preserve">finanšu apguves mērķa izpilde ir neapmierinoša </w:t>
      </w:r>
      <w:r w:rsidR="008E4EA2">
        <w:rPr>
          <w:color w:val="000000" w:themeColor="text1"/>
          <w:szCs w:val="24"/>
        </w:rPr>
        <w:t xml:space="preserve">– </w:t>
      </w:r>
      <w:r w:rsidR="009B6546" w:rsidRPr="008E4EA2">
        <w:rPr>
          <w:color w:val="000000" w:themeColor="text1"/>
          <w:szCs w:val="24"/>
        </w:rPr>
        <w:t>līdz 2012.gada 30.septembrim finanšu apguves mērķis izpildīts par 41,5% un gada mērķa izpilde ir 22,2%, kas nozīmē, ka līdz 2012.gada trešā ceturkšņa beigām izmaksāta gandrīz viena ceturtā daļa no noteiktā maksājumu mērķa apjoma.</w:t>
      </w:r>
    </w:p>
    <w:p w:rsidR="009857E5" w:rsidRPr="008E4EA2" w:rsidRDefault="009857E5" w:rsidP="003A0029">
      <w:pPr>
        <w:spacing w:before="120" w:after="120" w:line="276" w:lineRule="auto"/>
        <w:rPr>
          <w:color w:val="000000" w:themeColor="text1"/>
          <w:szCs w:val="24"/>
          <w:lang w:eastAsia="lv-LV"/>
        </w:rPr>
      </w:pPr>
      <w:r w:rsidRPr="008E4EA2">
        <w:rPr>
          <w:color w:val="000000" w:themeColor="text1"/>
          <w:szCs w:val="24"/>
          <w:lang w:eastAsia="lv-LV"/>
        </w:rPr>
        <w:t xml:space="preserve">Pārskata periodā ir pabeigti 22 projekti, kuru mērķi ir daudzdzīvokļu dzīvojamās mājas energoefektivitātes paaugstināšanas pasākumi un sociālās dzīvojamās mājas </w:t>
      </w:r>
      <w:proofErr w:type="spellStart"/>
      <w:r w:rsidRPr="008E4EA2">
        <w:rPr>
          <w:color w:val="000000" w:themeColor="text1"/>
          <w:szCs w:val="24"/>
          <w:lang w:eastAsia="lv-LV"/>
        </w:rPr>
        <w:t>siltumnoturības</w:t>
      </w:r>
      <w:proofErr w:type="spellEnd"/>
      <w:r w:rsidRPr="008E4EA2">
        <w:rPr>
          <w:color w:val="000000" w:themeColor="text1"/>
          <w:szCs w:val="24"/>
          <w:lang w:eastAsia="lv-LV"/>
        </w:rPr>
        <w:t xml:space="preserve"> uzlabošanas pasākumi.</w:t>
      </w:r>
    </w:p>
    <w:p w:rsidR="008132C6" w:rsidRPr="008E4EA2" w:rsidRDefault="009857E5" w:rsidP="003A0029">
      <w:pPr>
        <w:spacing w:before="120" w:after="120" w:line="276" w:lineRule="auto"/>
        <w:rPr>
          <w:b/>
          <w:color w:val="000000" w:themeColor="text1"/>
          <w:szCs w:val="24"/>
          <w:lang w:eastAsia="lv-LV"/>
        </w:rPr>
      </w:pPr>
      <w:r w:rsidRPr="008E4EA2">
        <w:rPr>
          <w:color w:val="000000" w:themeColor="text1"/>
          <w:szCs w:val="24"/>
          <w:lang w:eastAsia="lv-LV"/>
        </w:rPr>
        <w:t xml:space="preserve"> Sociālo dzīvojamo māju </w:t>
      </w:r>
      <w:proofErr w:type="spellStart"/>
      <w:r w:rsidRPr="008E4EA2">
        <w:rPr>
          <w:color w:val="000000" w:themeColor="text1"/>
          <w:szCs w:val="24"/>
          <w:lang w:eastAsia="lv-LV"/>
        </w:rPr>
        <w:t>siltumnoturības</w:t>
      </w:r>
      <w:proofErr w:type="spellEnd"/>
      <w:r w:rsidRPr="008E4EA2">
        <w:rPr>
          <w:color w:val="000000" w:themeColor="text1"/>
          <w:szCs w:val="24"/>
          <w:lang w:eastAsia="lv-LV"/>
        </w:rPr>
        <w:t xml:space="preserve"> uzlabošanas aktivitātē LIAA konstatējusi pārkāpumu projektā</w:t>
      </w:r>
      <w:r w:rsidR="003271BE" w:rsidRPr="008E4EA2">
        <w:rPr>
          <w:color w:val="000000" w:themeColor="text1"/>
          <w:szCs w:val="24"/>
          <w:lang w:eastAsia="lv-LV"/>
        </w:rPr>
        <w:t xml:space="preserve"> </w:t>
      </w:r>
      <w:r w:rsidRPr="008E4EA2">
        <w:rPr>
          <w:color w:val="000000" w:themeColor="text1"/>
          <w:szCs w:val="24"/>
          <w:lang w:eastAsia="lv-LV"/>
        </w:rPr>
        <w:t>„Sociālās dzīvojamās mājas Rīgā, Aglonas ielā 35/3 siltināšana” un vērsusies tiesībsargājošās iestādēs</w:t>
      </w:r>
      <w:r w:rsidR="00923E06" w:rsidRPr="008E4EA2">
        <w:rPr>
          <w:color w:val="000000" w:themeColor="text1"/>
          <w:szCs w:val="24"/>
          <w:lang w:eastAsia="lv-LV"/>
        </w:rPr>
        <w:t xml:space="preserve"> lietas izskatīšanai, taču tiesībsargājošās iestāde nesaskata lietderību </w:t>
      </w:r>
      <w:r w:rsidR="009B6546" w:rsidRPr="008E4EA2">
        <w:rPr>
          <w:color w:val="000000" w:themeColor="text1"/>
          <w:szCs w:val="24"/>
          <w:lang w:eastAsia="lv-LV"/>
        </w:rPr>
        <w:t>uzsākt izmeklēšanu LIAA konstatēto pārkāpumu konstatēšanai projektā.</w:t>
      </w:r>
      <w:r w:rsidR="00923E06" w:rsidRPr="008E4EA2">
        <w:rPr>
          <w:color w:val="000000" w:themeColor="text1"/>
          <w:szCs w:val="24"/>
          <w:lang w:eastAsia="lv-LV"/>
        </w:rPr>
        <w:t xml:space="preserve"> </w:t>
      </w:r>
      <w:r w:rsidRPr="008E4EA2">
        <w:rPr>
          <w:color w:val="000000" w:themeColor="text1"/>
          <w:szCs w:val="24"/>
          <w:lang w:eastAsia="lv-LV"/>
        </w:rPr>
        <w:t>LIAA, izvērtējot situāciju, jāpieņem lēmum</w:t>
      </w:r>
      <w:r w:rsidR="00923E06" w:rsidRPr="008E4EA2">
        <w:rPr>
          <w:color w:val="000000" w:themeColor="text1"/>
          <w:szCs w:val="24"/>
          <w:lang w:eastAsia="lv-LV"/>
        </w:rPr>
        <w:t>s par finanšu korekcijas piemērošanu.</w:t>
      </w:r>
      <w:r w:rsidRPr="008E4EA2">
        <w:rPr>
          <w:b/>
          <w:color w:val="000000" w:themeColor="text1"/>
          <w:szCs w:val="24"/>
          <w:lang w:eastAsia="lv-LV"/>
        </w:rPr>
        <w:t xml:space="preserve"> </w:t>
      </w:r>
    </w:p>
    <w:p w:rsidR="009B6546" w:rsidRPr="008E4EA2" w:rsidRDefault="009B6546" w:rsidP="003A0029">
      <w:pPr>
        <w:spacing w:before="120" w:after="120" w:line="276" w:lineRule="auto"/>
        <w:rPr>
          <w:b/>
          <w:color w:val="000000" w:themeColor="text1"/>
          <w:szCs w:val="24"/>
          <w:lang w:eastAsia="lv-LV"/>
        </w:rPr>
      </w:pPr>
      <w:proofErr w:type="spellStart"/>
      <w:r w:rsidRPr="008E4EA2">
        <w:rPr>
          <w:color w:val="000000" w:themeColor="text1"/>
          <w:szCs w:val="24"/>
          <w:lang w:eastAsia="lv-LV"/>
        </w:rPr>
        <w:t>Š.g</w:t>
      </w:r>
      <w:proofErr w:type="spellEnd"/>
      <w:r w:rsidRPr="008E4EA2">
        <w:rPr>
          <w:color w:val="000000" w:themeColor="text1"/>
          <w:szCs w:val="24"/>
          <w:lang w:eastAsia="lv-LV"/>
        </w:rPr>
        <w:t>. 18.septembrī ir apstiprināti MK noteikumi Nr.272 „</w:t>
      </w:r>
      <w:hyperlink r:id="rId43" w:tgtFrame="_blank" w:history="1">
        <w:r w:rsidRPr="008E4EA2">
          <w:rPr>
            <w:rStyle w:val="Hyperlink"/>
            <w:rFonts w:ascii="Times New Roman" w:hAnsi="Times New Roman" w:cs="Times New Roman"/>
            <w:bCs/>
            <w:color w:val="000000" w:themeColor="text1"/>
            <w:sz w:val="24"/>
            <w:szCs w:val="24"/>
          </w:rPr>
          <w:t>Not</w:t>
        </w:r>
        <w:r w:rsidR="008E4EA2">
          <w:rPr>
            <w:rStyle w:val="Hyperlink"/>
            <w:rFonts w:ascii="Times New Roman" w:hAnsi="Times New Roman" w:cs="Times New Roman"/>
            <w:bCs/>
            <w:color w:val="000000" w:themeColor="text1"/>
            <w:sz w:val="24"/>
            <w:szCs w:val="24"/>
          </w:rPr>
          <w:t>eikumi par darbības programmas „Infrastruktūra un pakalpojumi”</w:t>
        </w:r>
        <w:r w:rsidRPr="008E4EA2">
          <w:rPr>
            <w:rStyle w:val="Hyperlink"/>
            <w:rFonts w:ascii="Times New Roman" w:hAnsi="Times New Roman" w:cs="Times New Roman"/>
            <w:bCs/>
            <w:color w:val="000000" w:themeColor="text1"/>
            <w:sz w:val="24"/>
            <w:szCs w:val="24"/>
          </w:rPr>
          <w:t xml:space="preserve"> papildinājuma 3.4.4.1.aktivitāte</w:t>
        </w:r>
        <w:r w:rsidR="008E4EA2">
          <w:rPr>
            <w:rStyle w:val="Hyperlink"/>
            <w:rFonts w:ascii="Times New Roman" w:hAnsi="Times New Roman" w:cs="Times New Roman"/>
            <w:bCs/>
            <w:color w:val="000000" w:themeColor="text1"/>
            <w:sz w:val="24"/>
            <w:szCs w:val="24"/>
          </w:rPr>
          <w:t>s „</w:t>
        </w:r>
        <w:r w:rsidRPr="008E4EA2">
          <w:rPr>
            <w:rStyle w:val="Hyperlink"/>
            <w:rFonts w:ascii="Times New Roman" w:hAnsi="Times New Roman" w:cs="Times New Roman"/>
            <w:bCs/>
            <w:color w:val="000000" w:themeColor="text1"/>
            <w:sz w:val="24"/>
            <w:szCs w:val="24"/>
          </w:rPr>
          <w:t xml:space="preserve">Daudzdzīvokļu māju </w:t>
        </w:r>
        <w:proofErr w:type="spellStart"/>
        <w:r w:rsidRPr="008E4EA2">
          <w:rPr>
            <w:rStyle w:val="Hyperlink"/>
            <w:rFonts w:ascii="Times New Roman" w:hAnsi="Times New Roman" w:cs="Times New Roman"/>
            <w:bCs/>
            <w:color w:val="000000" w:themeColor="text1"/>
            <w:sz w:val="24"/>
            <w:szCs w:val="24"/>
          </w:rPr>
          <w:t>siltu</w:t>
        </w:r>
        <w:r w:rsidR="008E4EA2">
          <w:rPr>
            <w:rStyle w:val="Hyperlink"/>
            <w:rFonts w:ascii="Times New Roman" w:hAnsi="Times New Roman" w:cs="Times New Roman"/>
            <w:bCs/>
            <w:color w:val="000000" w:themeColor="text1"/>
            <w:sz w:val="24"/>
            <w:szCs w:val="24"/>
          </w:rPr>
          <w:t>mnoturības</w:t>
        </w:r>
        <w:proofErr w:type="spellEnd"/>
        <w:r w:rsidR="008E4EA2">
          <w:rPr>
            <w:rStyle w:val="Hyperlink"/>
            <w:rFonts w:ascii="Times New Roman" w:hAnsi="Times New Roman" w:cs="Times New Roman"/>
            <w:bCs/>
            <w:color w:val="000000" w:themeColor="text1"/>
            <w:sz w:val="24"/>
            <w:szCs w:val="24"/>
          </w:rPr>
          <w:t xml:space="preserve"> uzlabošanas pasākumi”</w:t>
        </w:r>
        <w:r w:rsidRPr="008E4EA2">
          <w:rPr>
            <w:rStyle w:val="Hyperlink"/>
            <w:rFonts w:ascii="Times New Roman" w:hAnsi="Times New Roman" w:cs="Times New Roman"/>
            <w:bCs/>
            <w:color w:val="000000" w:themeColor="text1"/>
            <w:sz w:val="24"/>
            <w:szCs w:val="24"/>
          </w:rPr>
          <w:t xml:space="preserve"> devīto projektu iesniegumu atlases kārtu</w:t>
        </w:r>
      </w:hyperlink>
      <w:r w:rsidRPr="008E4EA2">
        <w:rPr>
          <w:bCs/>
          <w:color w:val="000000" w:themeColor="text1"/>
          <w:szCs w:val="24"/>
        </w:rPr>
        <w:t>”</w:t>
      </w:r>
      <w:r w:rsidRPr="008E4EA2">
        <w:rPr>
          <w:color w:val="000000" w:themeColor="text1"/>
          <w:szCs w:val="24"/>
          <w:lang w:eastAsia="lv-LV"/>
        </w:rPr>
        <w:t xml:space="preserve">, kas paredz piešķirt </w:t>
      </w:r>
      <w:proofErr w:type="spellStart"/>
      <w:r w:rsidRPr="008E4EA2">
        <w:rPr>
          <w:color w:val="000000" w:themeColor="text1"/>
          <w:szCs w:val="24"/>
          <w:lang w:eastAsia="lv-LV"/>
        </w:rPr>
        <w:t>virsssaistības</w:t>
      </w:r>
      <w:proofErr w:type="spellEnd"/>
      <w:r w:rsidRPr="008E4EA2">
        <w:rPr>
          <w:color w:val="000000" w:themeColor="text1"/>
          <w:szCs w:val="24"/>
          <w:lang w:eastAsia="lv-LV"/>
        </w:rPr>
        <w:t xml:space="preserve"> 15 </w:t>
      </w:r>
      <w:proofErr w:type="spellStart"/>
      <w:r w:rsidRPr="008E4EA2">
        <w:rPr>
          <w:color w:val="000000" w:themeColor="text1"/>
          <w:szCs w:val="24"/>
          <w:lang w:eastAsia="lv-LV"/>
        </w:rPr>
        <w:t>milj</w:t>
      </w:r>
      <w:proofErr w:type="spellEnd"/>
      <w:r w:rsidRPr="008E4EA2">
        <w:rPr>
          <w:color w:val="000000" w:themeColor="text1"/>
          <w:szCs w:val="24"/>
          <w:lang w:eastAsia="lv-LV"/>
        </w:rPr>
        <w:t xml:space="preserve">. latu apmērā, lai nodrošinātu </w:t>
      </w:r>
      <w:r w:rsidRPr="008E4EA2">
        <w:rPr>
          <w:color w:val="000000" w:themeColor="text1"/>
          <w:szCs w:val="24"/>
        </w:rPr>
        <w:t>mājokļu energoefektivitātes paaugstināšanu daudzdzīvokļu dzīvojamās mājās, lai nodrošinātu dzīvojamā fonda ilgtspēju un energoresursu efektīvu izmantošanu.</w:t>
      </w:r>
    </w:p>
    <w:p w:rsidR="00CD0E5B" w:rsidRPr="008E4EA2" w:rsidRDefault="00CD0E5B" w:rsidP="003A0029">
      <w:pPr>
        <w:spacing w:before="120" w:after="120" w:line="276" w:lineRule="auto"/>
        <w:rPr>
          <w:b/>
          <w:color w:val="000000" w:themeColor="text1"/>
          <w:szCs w:val="24"/>
          <w:lang w:eastAsia="lv-LV"/>
        </w:rPr>
      </w:pPr>
      <w:r w:rsidRPr="008E4EA2">
        <w:rPr>
          <w:b/>
          <w:color w:val="000000" w:themeColor="text1"/>
          <w:szCs w:val="24"/>
          <w:lang w:eastAsia="lv-LV"/>
        </w:rPr>
        <w:t>„Vides infrastruktūras un videi draudzīgas enerģētikas veicināšana”</w:t>
      </w:r>
    </w:p>
    <w:p w:rsidR="00CD0E5B" w:rsidRPr="008E4EA2" w:rsidRDefault="00CD0E5B" w:rsidP="003A0029">
      <w:pPr>
        <w:spacing w:before="120" w:after="120" w:line="276" w:lineRule="auto"/>
        <w:rPr>
          <w:color w:val="000000" w:themeColor="text1"/>
          <w:szCs w:val="24"/>
          <w:lang w:eastAsia="lv-LV"/>
        </w:rPr>
      </w:pPr>
      <w:r w:rsidRPr="008E4EA2">
        <w:rPr>
          <w:color w:val="000000" w:themeColor="text1"/>
          <w:szCs w:val="24"/>
          <w:lang w:eastAsia="lv-LV"/>
        </w:rPr>
        <w:t xml:space="preserve">Prioritāte vērsta uz videi draudzīgu attīstības priekšnoteikumu radīšanu, pilnveidojot vides un dabas aizsardzības infrastruktūru, kā arī ar energoefektivitātes paaugstināšanu un atjaunojamo energoresursu izmantošanu centralizētās siltumapgādes pakalpojumos. Prioritāte tiek īstenota, investējot vides, enerģijas ražošanas un apgādes infrastruktūrā. </w:t>
      </w:r>
    </w:p>
    <w:p w:rsidR="00CD0E5B" w:rsidRPr="008E4EA2" w:rsidRDefault="00CD0E5B" w:rsidP="003A0029">
      <w:pPr>
        <w:spacing w:before="120" w:after="120" w:line="276" w:lineRule="auto"/>
        <w:rPr>
          <w:color w:val="000000" w:themeColor="text1"/>
          <w:szCs w:val="24"/>
          <w:lang w:eastAsia="lv-LV"/>
        </w:rPr>
      </w:pPr>
      <w:r w:rsidRPr="008E4EA2">
        <w:rPr>
          <w:color w:val="000000" w:themeColor="text1"/>
          <w:szCs w:val="24"/>
          <w:lang w:eastAsia="lv-LV"/>
        </w:rPr>
        <w:lastRenderedPageBreak/>
        <w:t xml:space="preserve">Prioritātes ietvaros ir apstiprināti </w:t>
      </w:r>
      <w:r w:rsidR="00596184" w:rsidRPr="008E4EA2">
        <w:rPr>
          <w:color w:val="000000" w:themeColor="text1"/>
          <w:szCs w:val="24"/>
          <w:lang w:eastAsia="lv-LV"/>
        </w:rPr>
        <w:t xml:space="preserve">282 </w:t>
      </w:r>
      <w:r w:rsidRPr="008E4EA2">
        <w:rPr>
          <w:color w:val="000000" w:themeColor="text1"/>
          <w:szCs w:val="24"/>
          <w:lang w:eastAsia="lv-LV"/>
        </w:rPr>
        <w:t xml:space="preserve">projekti par </w:t>
      </w:r>
      <w:r w:rsidR="00596184" w:rsidRPr="008E4EA2">
        <w:rPr>
          <w:color w:val="000000" w:themeColor="text1"/>
          <w:szCs w:val="24"/>
          <w:lang w:eastAsia="lv-LV"/>
        </w:rPr>
        <w:t>85</w:t>
      </w:r>
      <w:r w:rsidRPr="008E4EA2">
        <w:rPr>
          <w:color w:val="000000" w:themeColor="text1"/>
          <w:szCs w:val="24"/>
          <w:lang w:eastAsia="lv-LV"/>
        </w:rPr>
        <w:t>% no prioritātei pieejamā publiskā finans</w:t>
      </w:r>
      <w:r w:rsidR="00622DB7" w:rsidRPr="008E4EA2">
        <w:rPr>
          <w:color w:val="000000" w:themeColor="text1"/>
          <w:szCs w:val="24"/>
          <w:lang w:eastAsia="lv-LV"/>
        </w:rPr>
        <w:t xml:space="preserve">ējuma un noslēgti </w:t>
      </w:r>
      <w:r w:rsidR="00596184" w:rsidRPr="008E4EA2">
        <w:rPr>
          <w:color w:val="000000" w:themeColor="text1"/>
          <w:szCs w:val="24"/>
          <w:lang w:eastAsia="lv-LV"/>
        </w:rPr>
        <w:t xml:space="preserve">256 </w:t>
      </w:r>
      <w:r w:rsidR="00622DB7" w:rsidRPr="008E4EA2">
        <w:rPr>
          <w:color w:val="000000" w:themeColor="text1"/>
          <w:szCs w:val="24"/>
          <w:lang w:eastAsia="lv-LV"/>
        </w:rPr>
        <w:t xml:space="preserve">līgumi par </w:t>
      </w:r>
      <w:r w:rsidR="00596184" w:rsidRPr="008E4EA2">
        <w:rPr>
          <w:color w:val="000000" w:themeColor="text1"/>
          <w:szCs w:val="24"/>
          <w:lang w:eastAsia="lv-LV"/>
        </w:rPr>
        <w:t>82</w:t>
      </w:r>
      <w:r w:rsidR="007B4587" w:rsidRPr="008E4EA2">
        <w:rPr>
          <w:color w:val="000000" w:themeColor="text1"/>
          <w:szCs w:val="24"/>
          <w:lang w:eastAsia="lv-LV"/>
        </w:rPr>
        <w:t>,2</w:t>
      </w:r>
      <w:r w:rsidRPr="008E4EA2">
        <w:rPr>
          <w:color w:val="000000" w:themeColor="text1"/>
          <w:szCs w:val="24"/>
          <w:lang w:eastAsia="lv-LV"/>
        </w:rPr>
        <w:t xml:space="preserve">%. Progress attiecībā uz pārskata perioda </w:t>
      </w:r>
      <w:r w:rsidR="007B4587" w:rsidRPr="008E4EA2">
        <w:rPr>
          <w:color w:val="000000" w:themeColor="text1"/>
          <w:szCs w:val="24"/>
          <w:lang w:eastAsia="lv-LV"/>
        </w:rPr>
        <w:t xml:space="preserve">noslēgtiem līgumiem </w:t>
      </w:r>
      <w:r w:rsidRPr="008E4EA2">
        <w:rPr>
          <w:color w:val="000000" w:themeColor="text1"/>
          <w:szCs w:val="24"/>
          <w:lang w:eastAsia="lv-LV"/>
        </w:rPr>
        <w:t xml:space="preserve">ir 5%, toties </w:t>
      </w:r>
      <w:r w:rsidR="007B4587" w:rsidRPr="008E4EA2">
        <w:rPr>
          <w:color w:val="000000" w:themeColor="text1"/>
          <w:szCs w:val="24"/>
          <w:lang w:eastAsia="lv-LV"/>
        </w:rPr>
        <w:t>projektu apstiprināšanas</w:t>
      </w:r>
      <w:r w:rsidRPr="008E4EA2">
        <w:rPr>
          <w:color w:val="000000" w:themeColor="text1"/>
          <w:szCs w:val="24"/>
          <w:lang w:eastAsia="lv-LV"/>
        </w:rPr>
        <w:t xml:space="preserve"> progress ir nebūtisks, tikai 1%. Veikto maksājumu finansējumu saņēmējiem progress ir </w:t>
      </w:r>
      <w:r w:rsidR="00844D64" w:rsidRPr="008E4EA2">
        <w:rPr>
          <w:color w:val="000000" w:themeColor="text1"/>
          <w:szCs w:val="24"/>
          <w:lang w:eastAsia="lv-LV"/>
        </w:rPr>
        <w:t xml:space="preserve">apmierinošs – </w:t>
      </w:r>
      <w:r w:rsidR="007B4587" w:rsidRPr="008E4EA2">
        <w:rPr>
          <w:color w:val="000000" w:themeColor="text1"/>
          <w:szCs w:val="24"/>
          <w:lang w:eastAsia="lv-LV"/>
        </w:rPr>
        <w:t>2,6%</w:t>
      </w:r>
      <w:r w:rsidRPr="008E4EA2">
        <w:rPr>
          <w:color w:val="000000" w:themeColor="text1"/>
          <w:szCs w:val="24"/>
          <w:lang w:eastAsia="lv-LV"/>
        </w:rPr>
        <w:t>, bet kopumā prioritātes ietvaros</w:t>
      </w:r>
      <w:r w:rsidR="00622DB7" w:rsidRPr="008E4EA2">
        <w:rPr>
          <w:color w:val="000000" w:themeColor="text1"/>
          <w:szCs w:val="24"/>
          <w:lang w:eastAsia="lv-LV"/>
        </w:rPr>
        <w:t xml:space="preserve"> maksājumi jau ir veikti par </w:t>
      </w:r>
      <w:r w:rsidR="00596184" w:rsidRPr="008E4EA2">
        <w:rPr>
          <w:color w:val="000000" w:themeColor="text1"/>
          <w:szCs w:val="24"/>
          <w:lang w:eastAsia="lv-LV"/>
        </w:rPr>
        <w:t>56</w:t>
      </w:r>
      <w:r w:rsidRPr="008E4EA2">
        <w:rPr>
          <w:color w:val="000000" w:themeColor="text1"/>
          <w:szCs w:val="24"/>
          <w:lang w:eastAsia="lv-LV"/>
        </w:rPr>
        <w:t>%</w:t>
      </w:r>
      <w:r w:rsidR="007B4587" w:rsidRPr="008E4EA2">
        <w:rPr>
          <w:color w:val="000000" w:themeColor="text1"/>
          <w:szCs w:val="24"/>
          <w:lang w:eastAsia="lv-LV"/>
        </w:rPr>
        <w:t>, kas ir trešais labākais progress darbības programmas ietvaros</w:t>
      </w:r>
      <w:r w:rsidRPr="008E4EA2">
        <w:rPr>
          <w:color w:val="000000" w:themeColor="text1"/>
          <w:szCs w:val="24"/>
          <w:lang w:eastAsia="lv-LV"/>
        </w:rPr>
        <w:t>.</w:t>
      </w:r>
    </w:p>
    <w:p w:rsidR="006C11D6" w:rsidRPr="008E4EA2" w:rsidRDefault="006C11D6" w:rsidP="003A0029">
      <w:pPr>
        <w:pStyle w:val="ListParagraph"/>
        <w:spacing w:before="120" w:after="120"/>
        <w:ind w:left="0"/>
        <w:jc w:val="both"/>
        <w:rPr>
          <w:rFonts w:ascii="Times New Roman" w:hAnsi="Times New Roman"/>
          <w:i/>
          <w:color w:val="000000" w:themeColor="text1"/>
          <w:sz w:val="24"/>
          <w:szCs w:val="24"/>
        </w:rPr>
      </w:pPr>
      <w:r w:rsidRPr="008E4EA2">
        <w:rPr>
          <w:rFonts w:ascii="Times New Roman" w:hAnsi="Times New Roman"/>
          <w:color w:val="000000" w:themeColor="text1"/>
          <w:sz w:val="24"/>
          <w:szCs w:val="24"/>
          <w:lang w:eastAsia="lv-LV"/>
        </w:rPr>
        <w:t>Vides aizsardzības pasākumā šajā prioritātē pārskata periodā ir turpinājusies veiksmīga finansējuma apguve un ir apstiprināti vēl 34 jauni pro</w:t>
      </w:r>
      <w:r w:rsidR="00B01B02" w:rsidRPr="008E4EA2">
        <w:rPr>
          <w:rFonts w:ascii="Times New Roman" w:hAnsi="Times New Roman"/>
          <w:color w:val="000000" w:themeColor="text1"/>
          <w:sz w:val="24"/>
          <w:szCs w:val="24"/>
          <w:lang w:eastAsia="lv-LV"/>
        </w:rPr>
        <w:t>jekti</w:t>
      </w:r>
      <w:r w:rsidR="00F64A61" w:rsidRPr="008E4EA2">
        <w:rPr>
          <w:rFonts w:ascii="Times New Roman" w:hAnsi="Times New Roman"/>
          <w:color w:val="000000" w:themeColor="text1"/>
          <w:sz w:val="24"/>
          <w:szCs w:val="24"/>
          <w:lang w:eastAsia="lv-LV"/>
        </w:rPr>
        <w:t xml:space="preserve"> par kopējo finansējumu 22,</w:t>
      </w:r>
      <w:r w:rsidRPr="008E4EA2">
        <w:rPr>
          <w:rFonts w:ascii="Times New Roman" w:hAnsi="Times New Roman"/>
          <w:color w:val="000000" w:themeColor="text1"/>
          <w:sz w:val="24"/>
          <w:szCs w:val="24"/>
          <w:lang w:eastAsia="lv-LV"/>
        </w:rPr>
        <w:t xml:space="preserve">8 </w:t>
      </w:r>
      <w:proofErr w:type="spellStart"/>
      <w:r w:rsidRPr="008E4EA2">
        <w:rPr>
          <w:rFonts w:ascii="Times New Roman" w:hAnsi="Times New Roman"/>
          <w:color w:val="000000" w:themeColor="text1"/>
          <w:sz w:val="24"/>
          <w:szCs w:val="24"/>
          <w:lang w:eastAsia="lv-LV"/>
        </w:rPr>
        <w:t>milj</w:t>
      </w:r>
      <w:proofErr w:type="spellEnd"/>
      <w:r w:rsidRPr="008E4EA2">
        <w:rPr>
          <w:rFonts w:ascii="Times New Roman" w:hAnsi="Times New Roman"/>
          <w:color w:val="000000" w:themeColor="text1"/>
          <w:sz w:val="24"/>
          <w:szCs w:val="24"/>
          <w:lang w:eastAsia="lv-LV"/>
        </w:rPr>
        <w:t xml:space="preserve">. latu. Šī pasākuma ietvaros kopā tiek īstenoti 214 projekti un </w:t>
      </w:r>
      <w:r w:rsidR="001F1F6F" w:rsidRPr="008E4EA2">
        <w:rPr>
          <w:rFonts w:ascii="Times New Roman" w:hAnsi="Times New Roman"/>
          <w:color w:val="000000" w:themeColor="text1"/>
          <w:sz w:val="24"/>
          <w:szCs w:val="24"/>
          <w:lang w:eastAsia="lv-LV"/>
        </w:rPr>
        <w:t>17</w:t>
      </w:r>
      <w:r w:rsidRPr="008E4EA2">
        <w:rPr>
          <w:rFonts w:ascii="Times New Roman" w:hAnsi="Times New Roman"/>
          <w:color w:val="000000" w:themeColor="text1"/>
          <w:sz w:val="24"/>
          <w:szCs w:val="24"/>
          <w:lang w:eastAsia="lv-LV"/>
        </w:rPr>
        <w:t xml:space="preserve"> no tiem ir pabeigti. </w:t>
      </w:r>
      <w:r w:rsidR="007C30BC" w:rsidRPr="008E4EA2">
        <w:rPr>
          <w:rFonts w:ascii="Times New Roman" w:hAnsi="Times New Roman"/>
          <w:color w:val="000000" w:themeColor="text1"/>
          <w:sz w:val="24"/>
          <w:szCs w:val="24"/>
          <w:lang w:eastAsia="lv-LV"/>
        </w:rPr>
        <w:t xml:space="preserve">Maksājumu mērķis uz 30.septembri ir izpildīts par aptuveni 93%. </w:t>
      </w:r>
      <w:r w:rsidR="00923E06" w:rsidRPr="008E4EA2">
        <w:rPr>
          <w:rFonts w:ascii="Times New Roman" w:hAnsi="Times New Roman"/>
          <w:color w:val="000000" w:themeColor="text1"/>
          <w:sz w:val="24"/>
          <w:szCs w:val="24"/>
          <w:lang w:eastAsia="lv-LV"/>
        </w:rPr>
        <w:t>Š</w:t>
      </w:r>
      <w:r w:rsidRPr="008E4EA2">
        <w:rPr>
          <w:rFonts w:ascii="Times New Roman" w:hAnsi="Times New Roman"/>
          <w:color w:val="000000" w:themeColor="text1"/>
          <w:sz w:val="24"/>
          <w:szCs w:val="24"/>
        </w:rPr>
        <w:t>ī</w:t>
      </w:r>
      <w:r w:rsidR="00923E06" w:rsidRPr="008E4EA2">
        <w:rPr>
          <w:rFonts w:ascii="Times New Roman" w:hAnsi="Times New Roman"/>
          <w:color w:val="000000" w:themeColor="text1"/>
          <w:sz w:val="24"/>
          <w:szCs w:val="24"/>
        </w:rPr>
        <w:t>s</w:t>
      </w:r>
      <w:r w:rsidRPr="008E4EA2">
        <w:rPr>
          <w:rFonts w:ascii="Times New Roman" w:hAnsi="Times New Roman"/>
          <w:color w:val="000000" w:themeColor="text1"/>
          <w:sz w:val="24"/>
          <w:szCs w:val="24"/>
        </w:rPr>
        <w:t xml:space="preserve"> </w:t>
      </w:r>
      <w:proofErr w:type="spellStart"/>
      <w:r w:rsidR="00F64A61" w:rsidRPr="008E4EA2">
        <w:rPr>
          <w:rFonts w:ascii="Times New Roman" w:hAnsi="Times New Roman"/>
          <w:color w:val="000000" w:themeColor="text1"/>
          <w:sz w:val="24"/>
          <w:szCs w:val="24"/>
        </w:rPr>
        <w:t>apakšaktivitātes</w:t>
      </w:r>
      <w:proofErr w:type="spellEnd"/>
      <w:r w:rsidRPr="008E4EA2">
        <w:rPr>
          <w:rFonts w:ascii="Times New Roman" w:hAnsi="Times New Roman"/>
          <w:color w:val="000000" w:themeColor="text1"/>
          <w:sz w:val="24"/>
          <w:szCs w:val="24"/>
        </w:rPr>
        <w:t xml:space="preserve"> ietvaros projektā „Sadzīves atkritumu šķirošanas centra izveide Stopiņu novadā atkritumu sagatavošanai noglabāšanai” VARAM sakarā ar finansējuma saņēmēja nepatiesas informācijas sniegšanu</w:t>
      </w:r>
      <w:r w:rsidR="003271BE" w:rsidRPr="008E4EA2">
        <w:rPr>
          <w:rFonts w:ascii="Times New Roman" w:hAnsi="Times New Roman"/>
          <w:color w:val="000000" w:themeColor="text1"/>
          <w:sz w:val="24"/>
          <w:szCs w:val="24"/>
        </w:rPr>
        <w:t xml:space="preserve"> </w:t>
      </w:r>
      <w:r w:rsidRPr="008E4EA2">
        <w:rPr>
          <w:rFonts w:ascii="Times New Roman" w:hAnsi="Times New Roman"/>
          <w:color w:val="000000" w:themeColor="text1"/>
          <w:sz w:val="24"/>
          <w:szCs w:val="24"/>
        </w:rPr>
        <w:t>pieņēma lēmumu par lēmuma par projekta apstiprināšanu atcelšanu un CFLA finansējuma saņēmēju informēja par līguma spēkā neesamību. Finansējuma saņēmējs VARAM lēmumu apstrīdēja, uz ko VARAM sniedza</w:t>
      </w:r>
      <w:r w:rsidR="00B01B02" w:rsidRPr="008E4EA2">
        <w:rPr>
          <w:rFonts w:ascii="Times New Roman" w:hAnsi="Times New Roman"/>
          <w:color w:val="000000" w:themeColor="text1"/>
          <w:sz w:val="24"/>
          <w:szCs w:val="24"/>
        </w:rPr>
        <w:t xml:space="preserve"> argumentētu</w:t>
      </w:r>
      <w:r w:rsidRPr="008E4EA2">
        <w:rPr>
          <w:rFonts w:ascii="Times New Roman" w:hAnsi="Times New Roman"/>
          <w:color w:val="000000" w:themeColor="text1"/>
          <w:sz w:val="24"/>
          <w:szCs w:val="24"/>
        </w:rPr>
        <w:t xml:space="preserve"> atbildi, ka tās pieņemtais lēmums joprojām ir spēkā.</w:t>
      </w:r>
      <w:r w:rsidR="00F621C5" w:rsidRPr="008E4EA2">
        <w:rPr>
          <w:rFonts w:ascii="Times New Roman" w:hAnsi="Times New Roman"/>
          <w:color w:val="000000" w:themeColor="text1"/>
          <w:sz w:val="24"/>
          <w:szCs w:val="24"/>
        </w:rPr>
        <w:t xml:space="preserve"> </w:t>
      </w:r>
      <w:r w:rsidR="00BD7459" w:rsidRPr="008E4EA2">
        <w:rPr>
          <w:rFonts w:ascii="Times New Roman" w:hAnsi="Times New Roman"/>
          <w:color w:val="000000" w:themeColor="text1"/>
          <w:sz w:val="24"/>
          <w:szCs w:val="24"/>
        </w:rPr>
        <w:t>Pastāv risks, ka finansējuma saņēmējs vērsīsies tiesu instancēs, kā rezultātā problēmas risināšana var aizkavēties.</w:t>
      </w:r>
    </w:p>
    <w:p w:rsidR="009857E5" w:rsidRPr="008E4EA2" w:rsidRDefault="00CD0E5B" w:rsidP="003A0029">
      <w:pPr>
        <w:spacing w:before="120" w:after="120" w:line="276" w:lineRule="auto"/>
        <w:rPr>
          <w:color w:val="000000" w:themeColor="text1"/>
          <w:szCs w:val="24"/>
          <w:lang w:eastAsia="lv-LV"/>
        </w:rPr>
      </w:pPr>
      <w:r w:rsidRPr="008E4EA2">
        <w:rPr>
          <w:b/>
          <w:color w:val="000000" w:themeColor="text1"/>
          <w:szCs w:val="24"/>
          <w:lang w:eastAsia="lv-LV"/>
        </w:rPr>
        <w:t>Enerģētikas jomā</w:t>
      </w:r>
      <w:r w:rsidRPr="008E4EA2">
        <w:rPr>
          <w:color w:val="000000" w:themeColor="text1"/>
          <w:szCs w:val="24"/>
          <w:lang w:eastAsia="lv-LV"/>
        </w:rPr>
        <w:t xml:space="preserve"> </w:t>
      </w:r>
      <w:bookmarkStart w:id="40" w:name="_Toc276049982"/>
      <w:r w:rsidR="009857E5" w:rsidRPr="008E4EA2">
        <w:rPr>
          <w:color w:val="000000" w:themeColor="text1"/>
          <w:szCs w:val="24"/>
          <w:lang w:eastAsia="lv-LV"/>
        </w:rPr>
        <w:t xml:space="preserve">finansējuma apguve vērtējama kā apmierinoša, jo kopumā noslēgti līgumi par vairāk </w:t>
      </w:r>
      <w:r w:rsidR="00B01B02" w:rsidRPr="008E4EA2">
        <w:rPr>
          <w:color w:val="000000" w:themeColor="text1"/>
          <w:szCs w:val="24"/>
          <w:lang w:eastAsia="lv-LV"/>
        </w:rPr>
        <w:t>ne</w:t>
      </w:r>
      <w:r w:rsidR="009857E5" w:rsidRPr="008E4EA2">
        <w:rPr>
          <w:color w:val="000000" w:themeColor="text1"/>
          <w:szCs w:val="24"/>
          <w:lang w:eastAsia="lv-LV"/>
        </w:rPr>
        <w:t xml:space="preserve">kā 72% no piešķīruma. Salīdzinot ar </w:t>
      </w:r>
      <w:r w:rsidR="00F64A61" w:rsidRPr="008E4EA2">
        <w:rPr>
          <w:color w:val="000000" w:themeColor="text1"/>
          <w:szCs w:val="24"/>
          <w:lang w:eastAsia="lv-LV"/>
        </w:rPr>
        <w:t xml:space="preserve">otro </w:t>
      </w:r>
      <w:r w:rsidR="009857E5" w:rsidRPr="008E4EA2">
        <w:rPr>
          <w:color w:val="000000" w:themeColor="text1"/>
          <w:szCs w:val="24"/>
          <w:lang w:eastAsia="lv-LV"/>
        </w:rPr>
        <w:t xml:space="preserve">ceturksni, </w:t>
      </w:r>
      <w:proofErr w:type="spellStart"/>
      <w:r w:rsidR="00B01B02" w:rsidRPr="008E4EA2">
        <w:rPr>
          <w:color w:val="000000" w:themeColor="text1"/>
          <w:szCs w:val="24"/>
          <w:lang w:eastAsia="lv-LV"/>
        </w:rPr>
        <w:t>apakšaktivitātē</w:t>
      </w:r>
      <w:proofErr w:type="spellEnd"/>
      <w:r w:rsidR="00B01B02" w:rsidRPr="008E4EA2">
        <w:rPr>
          <w:color w:val="000000" w:themeColor="text1"/>
          <w:szCs w:val="24"/>
          <w:lang w:eastAsia="lv-LV"/>
        </w:rPr>
        <w:t xml:space="preserve"> </w:t>
      </w:r>
      <w:r w:rsidR="009857E5" w:rsidRPr="008E4EA2">
        <w:rPr>
          <w:color w:val="000000" w:themeColor="text1"/>
          <w:szCs w:val="24"/>
          <w:lang w:eastAsia="lv-LV"/>
        </w:rPr>
        <w:t>ir vērojams noslēgto līgumu progress 11,5%, kas paredz pasākumus centralizētās siltumapgādes sistēmu efektivitātes paaugstināšanai. Savukārt lielākais maksājumu progress bijis atjaunojamo energoresursu izmantojošu koģenerācijas elektrostaciju attīstības aktivitātē.</w:t>
      </w:r>
      <w:r w:rsidR="009B6546" w:rsidRPr="008E4EA2">
        <w:rPr>
          <w:color w:val="000000" w:themeColor="text1"/>
          <w:szCs w:val="24"/>
          <w:lang w:eastAsia="lv-LV"/>
        </w:rPr>
        <w:t xml:space="preserve"> Enerģētikas pasākuma ietvaros </w:t>
      </w:r>
      <w:r w:rsidR="009B6546" w:rsidRPr="008E4EA2">
        <w:rPr>
          <w:color w:val="000000" w:themeColor="text1"/>
          <w:szCs w:val="24"/>
        </w:rPr>
        <w:t>finanšu apguves mērķu izpilde ir neapmierinoša - līdz 2012.gada 30.septembrim finanšu apguves mērķis izpildīts par 40,6% un gada mērķa izpilde ir 28,5%, kas nozīmē, ka līdz 2012.gada trešā ceturkšņa beigām izmaksāta gandrīz viena trešā daļa no noteiktā maksājumu mērķa apjoma.</w:t>
      </w:r>
    </w:p>
    <w:p w:rsidR="009857E5" w:rsidRPr="008E4EA2" w:rsidRDefault="009857E5" w:rsidP="003A0029">
      <w:pPr>
        <w:spacing w:before="120" w:after="120" w:line="276" w:lineRule="auto"/>
        <w:rPr>
          <w:b/>
          <w:color w:val="000000" w:themeColor="text1"/>
          <w:szCs w:val="24"/>
          <w:lang w:eastAsia="lv-LV"/>
        </w:rPr>
      </w:pPr>
      <w:r w:rsidRPr="008E4EA2">
        <w:rPr>
          <w:color w:val="000000" w:themeColor="text1"/>
          <w:szCs w:val="24"/>
          <w:lang w:eastAsia="lv-LV"/>
        </w:rPr>
        <w:t xml:space="preserve">Enerģētikas jomā pārskata periodā kopumā ir pabeigti </w:t>
      </w:r>
      <w:r w:rsidR="00F64A61" w:rsidRPr="008E4EA2">
        <w:rPr>
          <w:color w:val="000000" w:themeColor="text1"/>
          <w:szCs w:val="24"/>
          <w:lang w:eastAsia="lv-LV"/>
        </w:rPr>
        <w:t>trīs</w:t>
      </w:r>
      <w:r w:rsidRPr="008E4EA2">
        <w:rPr>
          <w:color w:val="000000" w:themeColor="text1"/>
          <w:szCs w:val="24"/>
          <w:lang w:eastAsia="lv-LV"/>
        </w:rPr>
        <w:t xml:space="preserve"> projekti</w:t>
      </w:r>
      <w:r w:rsidR="009B6546" w:rsidRPr="008E4EA2">
        <w:rPr>
          <w:color w:val="000000" w:themeColor="text1"/>
          <w:szCs w:val="24"/>
          <w:lang w:eastAsia="lv-LV"/>
        </w:rPr>
        <w:t>, kuru mērķi ir vides piesārņojuma samazinājums, siltumtrašu rekonstrukcija un vides infrastruktūras un videi draudzīgas enerģētikas pielietošana pilsētas siltumapgādes sistēmā veicināšana.</w:t>
      </w:r>
      <w:r w:rsidRPr="008E4EA2">
        <w:rPr>
          <w:color w:val="000000" w:themeColor="text1"/>
          <w:szCs w:val="24"/>
          <w:lang w:eastAsia="lv-LV"/>
        </w:rPr>
        <w:t xml:space="preserve"> </w:t>
      </w:r>
    </w:p>
    <w:p w:rsidR="00CD0E5B" w:rsidRPr="008E4EA2" w:rsidRDefault="00CD0E5B" w:rsidP="003A0029">
      <w:pPr>
        <w:spacing w:before="120" w:after="120" w:line="276" w:lineRule="auto"/>
        <w:rPr>
          <w:b/>
          <w:color w:val="000000" w:themeColor="text1"/>
          <w:szCs w:val="24"/>
          <w:lang w:eastAsia="lv-LV"/>
        </w:rPr>
      </w:pPr>
      <w:r w:rsidRPr="008E4EA2">
        <w:rPr>
          <w:b/>
          <w:color w:val="000000" w:themeColor="text1"/>
          <w:szCs w:val="24"/>
          <w:lang w:eastAsia="lv-LV"/>
        </w:rPr>
        <w:t>„</w:t>
      </w:r>
      <w:proofErr w:type="spellStart"/>
      <w:r w:rsidRPr="008E4EA2">
        <w:rPr>
          <w:b/>
          <w:color w:val="000000" w:themeColor="text1"/>
          <w:szCs w:val="24"/>
          <w:lang w:eastAsia="lv-LV"/>
        </w:rPr>
        <w:t>Policentriska</w:t>
      </w:r>
      <w:proofErr w:type="spellEnd"/>
      <w:r w:rsidRPr="008E4EA2">
        <w:rPr>
          <w:b/>
          <w:color w:val="000000" w:themeColor="text1"/>
          <w:szCs w:val="24"/>
          <w:lang w:eastAsia="lv-LV"/>
        </w:rPr>
        <w:t xml:space="preserve"> attīstība”</w:t>
      </w:r>
    </w:p>
    <w:p w:rsidR="00CD0E5B" w:rsidRPr="008E4EA2" w:rsidRDefault="00CD0E5B" w:rsidP="003A0029">
      <w:pPr>
        <w:spacing w:before="120" w:after="120" w:line="276" w:lineRule="auto"/>
        <w:rPr>
          <w:color w:val="000000" w:themeColor="text1"/>
          <w:szCs w:val="24"/>
        </w:rPr>
      </w:pPr>
      <w:r w:rsidRPr="008E4EA2">
        <w:rPr>
          <w:color w:val="000000" w:themeColor="text1"/>
          <w:szCs w:val="24"/>
          <w:lang w:eastAsia="lv-LV"/>
        </w:rPr>
        <w:t xml:space="preserve">Prioritātes mērķis ir veicināt valsts </w:t>
      </w:r>
      <w:proofErr w:type="spellStart"/>
      <w:r w:rsidRPr="008E4EA2">
        <w:rPr>
          <w:color w:val="000000" w:themeColor="text1"/>
          <w:szCs w:val="24"/>
          <w:lang w:eastAsia="lv-LV"/>
        </w:rPr>
        <w:t>policentrisku</w:t>
      </w:r>
      <w:proofErr w:type="spellEnd"/>
      <w:r w:rsidRPr="008E4EA2">
        <w:rPr>
          <w:color w:val="000000" w:themeColor="text1"/>
          <w:szCs w:val="24"/>
          <w:lang w:eastAsia="lv-LV"/>
        </w:rPr>
        <w:t xml:space="preserve"> attīstību, sniedzot atbalstu pilsētvides un </w:t>
      </w:r>
      <w:proofErr w:type="spellStart"/>
      <w:r w:rsidRPr="008E4EA2">
        <w:rPr>
          <w:color w:val="000000" w:themeColor="text1"/>
          <w:szCs w:val="24"/>
          <w:lang w:eastAsia="lv-LV"/>
        </w:rPr>
        <w:t>pilsētreģionu</w:t>
      </w:r>
      <w:proofErr w:type="spellEnd"/>
      <w:r w:rsidRPr="008E4EA2">
        <w:rPr>
          <w:color w:val="000000" w:themeColor="text1"/>
          <w:szCs w:val="24"/>
          <w:lang w:eastAsia="lv-LV"/>
        </w:rPr>
        <w:t xml:space="preserve"> konkurētspējas, pieejamības un pievilcības faktoru attīstībai saskaņā ar integrētām pašvaldību attīstības programmām. </w:t>
      </w:r>
      <w:r w:rsidR="009B6546" w:rsidRPr="008E4EA2">
        <w:rPr>
          <w:color w:val="000000" w:themeColor="text1"/>
          <w:szCs w:val="24"/>
        </w:rPr>
        <w:t>Finanšu apguves mērķu izpilde prioritātē ir neapmierinoša – līdz 2012.gada 30.septembrim finanšu apguves mērķis izpildīts par 52,2% un gada mērķa izpilde ir 35,5%, kas nozīmē ka līdz 2012.gada trešā ceturkšņa beigām izmaksāts nedaudz vairāk kā viena trešā daļa no noteiktā maksājumu mērķa apjoma.</w:t>
      </w:r>
    </w:p>
    <w:p w:rsidR="00596184" w:rsidRPr="008E4EA2" w:rsidRDefault="00596184" w:rsidP="003A0029">
      <w:pPr>
        <w:spacing w:before="120" w:after="120" w:line="276" w:lineRule="auto"/>
        <w:rPr>
          <w:color w:val="000000" w:themeColor="text1"/>
          <w:szCs w:val="24"/>
          <w:lang w:eastAsia="lv-LV"/>
        </w:rPr>
      </w:pPr>
      <w:r w:rsidRPr="008E4EA2">
        <w:rPr>
          <w:color w:val="000000" w:themeColor="text1"/>
          <w:szCs w:val="24"/>
          <w:lang w:eastAsia="lv-LV"/>
        </w:rPr>
        <w:t>Prioritātes ietvaros ir apstiprināti 85 projekti par 76,4% no prioritātei pieejamā publiskā finansējuma un noslēgti 82 līgumi par 75,8%.</w:t>
      </w:r>
    </w:p>
    <w:p w:rsidR="006E1DFA" w:rsidRPr="008E4EA2" w:rsidRDefault="006E1DFA" w:rsidP="003A0029">
      <w:pPr>
        <w:pStyle w:val="ListParagraph"/>
        <w:spacing w:before="120" w:after="120"/>
        <w:ind w:left="0"/>
        <w:jc w:val="both"/>
        <w:rPr>
          <w:rFonts w:ascii="Times New Roman" w:hAnsi="Times New Roman"/>
          <w:color w:val="000000" w:themeColor="text1"/>
          <w:sz w:val="24"/>
          <w:szCs w:val="24"/>
        </w:rPr>
      </w:pPr>
      <w:r w:rsidRPr="008E4EA2">
        <w:rPr>
          <w:rFonts w:ascii="Times New Roman" w:hAnsi="Times New Roman"/>
          <w:color w:val="000000" w:themeColor="text1"/>
          <w:sz w:val="24"/>
          <w:szCs w:val="24"/>
        </w:rPr>
        <w:t>Prioritātes ietvaros finanšu apgu</w:t>
      </w:r>
      <w:r w:rsidR="00197CF8" w:rsidRPr="008E4EA2">
        <w:rPr>
          <w:rFonts w:ascii="Times New Roman" w:hAnsi="Times New Roman"/>
          <w:color w:val="000000" w:themeColor="text1"/>
          <w:sz w:val="24"/>
          <w:szCs w:val="24"/>
        </w:rPr>
        <w:t xml:space="preserve">ves progress ir bijis minimāls, tas galvenokārt bijis atbalsta novadu pašvaldību kompleksai attīstībai aktivitātes ietvaros, kur pašlaik notiek </w:t>
      </w:r>
      <w:r w:rsidR="00197CF8" w:rsidRPr="008E4EA2">
        <w:rPr>
          <w:rFonts w:ascii="Times New Roman" w:hAnsi="Times New Roman"/>
          <w:color w:val="000000" w:themeColor="text1"/>
          <w:sz w:val="24"/>
          <w:szCs w:val="24"/>
        </w:rPr>
        <w:lastRenderedPageBreak/>
        <w:t>projektu apstiprināšana, līgumu slēgšanu un</w:t>
      </w:r>
      <w:r w:rsidR="003271BE" w:rsidRPr="008E4EA2">
        <w:rPr>
          <w:rFonts w:ascii="Times New Roman" w:hAnsi="Times New Roman"/>
          <w:color w:val="000000" w:themeColor="text1"/>
          <w:sz w:val="24"/>
          <w:szCs w:val="24"/>
        </w:rPr>
        <w:t xml:space="preserve"> </w:t>
      </w:r>
      <w:r w:rsidR="00197CF8" w:rsidRPr="008E4EA2">
        <w:rPr>
          <w:rFonts w:ascii="Times New Roman" w:hAnsi="Times New Roman"/>
          <w:color w:val="000000" w:themeColor="text1"/>
          <w:sz w:val="24"/>
          <w:szCs w:val="24"/>
        </w:rPr>
        <w:t>maksājumu veikšana.</w:t>
      </w:r>
      <w:r w:rsidR="003271BE" w:rsidRPr="008E4EA2">
        <w:rPr>
          <w:rFonts w:ascii="Times New Roman" w:hAnsi="Times New Roman"/>
          <w:color w:val="000000" w:themeColor="text1"/>
          <w:sz w:val="24"/>
          <w:szCs w:val="24"/>
        </w:rPr>
        <w:t xml:space="preserve"> </w:t>
      </w:r>
      <w:r w:rsidR="00197CF8" w:rsidRPr="008E4EA2">
        <w:rPr>
          <w:rFonts w:ascii="Times New Roman" w:hAnsi="Times New Roman"/>
          <w:color w:val="000000" w:themeColor="text1"/>
          <w:sz w:val="24"/>
          <w:szCs w:val="24"/>
        </w:rPr>
        <w:t xml:space="preserve">Nacionālas un reģionālas nozīmes attīstības centru izaugsmes veicināšanas </w:t>
      </w:r>
      <w:r w:rsidRPr="008E4EA2">
        <w:rPr>
          <w:rFonts w:ascii="Times New Roman" w:hAnsi="Times New Roman"/>
          <w:color w:val="000000" w:themeColor="text1"/>
          <w:sz w:val="24"/>
          <w:szCs w:val="24"/>
        </w:rPr>
        <w:t xml:space="preserve">aktivitātē </w:t>
      </w:r>
      <w:r w:rsidR="009B6546" w:rsidRPr="008E4EA2">
        <w:rPr>
          <w:rFonts w:ascii="Times New Roman" w:hAnsi="Times New Roman"/>
          <w:color w:val="000000" w:themeColor="text1"/>
          <w:sz w:val="24"/>
          <w:szCs w:val="24"/>
        </w:rPr>
        <w:t>atvērts</w:t>
      </w:r>
      <w:r w:rsidRPr="008E4EA2">
        <w:rPr>
          <w:rFonts w:ascii="Times New Roman" w:hAnsi="Times New Roman"/>
          <w:color w:val="000000" w:themeColor="text1"/>
          <w:sz w:val="24"/>
          <w:szCs w:val="24"/>
        </w:rPr>
        <w:t xml:space="preserve"> ir </w:t>
      </w:r>
      <w:r w:rsidR="007B4587" w:rsidRPr="008E4EA2">
        <w:rPr>
          <w:rFonts w:ascii="Times New Roman" w:hAnsi="Times New Roman"/>
          <w:color w:val="000000" w:themeColor="text1"/>
          <w:sz w:val="24"/>
          <w:szCs w:val="24"/>
        </w:rPr>
        <w:t xml:space="preserve">jautājums par </w:t>
      </w:r>
      <w:r w:rsidRPr="008E4EA2">
        <w:rPr>
          <w:rFonts w:ascii="Times New Roman" w:hAnsi="Times New Roman"/>
          <w:color w:val="000000" w:themeColor="text1"/>
          <w:sz w:val="24"/>
          <w:szCs w:val="24"/>
        </w:rPr>
        <w:t>potenciāl</w:t>
      </w:r>
      <w:r w:rsidR="00197CF8" w:rsidRPr="008E4EA2">
        <w:rPr>
          <w:rFonts w:ascii="Times New Roman" w:hAnsi="Times New Roman"/>
          <w:color w:val="000000" w:themeColor="text1"/>
          <w:sz w:val="24"/>
          <w:szCs w:val="24"/>
        </w:rPr>
        <w:t>iem</w:t>
      </w:r>
      <w:r w:rsidRPr="008E4EA2">
        <w:rPr>
          <w:rFonts w:ascii="Times New Roman" w:hAnsi="Times New Roman"/>
          <w:color w:val="000000" w:themeColor="text1"/>
          <w:sz w:val="24"/>
          <w:szCs w:val="24"/>
        </w:rPr>
        <w:t xml:space="preserve"> </w:t>
      </w:r>
      <w:r w:rsidR="00197CF8" w:rsidRPr="008E4EA2">
        <w:rPr>
          <w:rFonts w:ascii="Times New Roman" w:hAnsi="Times New Roman"/>
          <w:color w:val="000000" w:themeColor="text1"/>
          <w:sz w:val="24"/>
          <w:szCs w:val="24"/>
        </w:rPr>
        <w:t xml:space="preserve">iepirkuma </w:t>
      </w:r>
      <w:r w:rsidRPr="008E4EA2">
        <w:rPr>
          <w:rFonts w:ascii="Times New Roman" w:hAnsi="Times New Roman"/>
          <w:color w:val="000000" w:themeColor="text1"/>
          <w:sz w:val="24"/>
          <w:szCs w:val="24"/>
        </w:rPr>
        <w:t>pārkāpum</w:t>
      </w:r>
      <w:r w:rsidR="00197CF8" w:rsidRPr="008E4EA2">
        <w:rPr>
          <w:rFonts w:ascii="Times New Roman" w:hAnsi="Times New Roman"/>
          <w:color w:val="000000" w:themeColor="text1"/>
          <w:sz w:val="24"/>
          <w:szCs w:val="24"/>
        </w:rPr>
        <w:t xml:space="preserve">iem un tehniskā projekta izmaiņu būtiskuma novērtēšanu projektā </w:t>
      </w:r>
      <w:r w:rsidR="007B4587" w:rsidRPr="008E4EA2">
        <w:rPr>
          <w:rFonts w:ascii="Times New Roman" w:hAnsi="Times New Roman"/>
          <w:color w:val="000000" w:themeColor="text1"/>
          <w:sz w:val="24"/>
          <w:szCs w:val="24"/>
        </w:rPr>
        <w:t>„</w:t>
      </w:r>
      <w:proofErr w:type="spellStart"/>
      <w:r w:rsidR="007B4587" w:rsidRPr="008E4EA2">
        <w:rPr>
          <w:rFonts w:ascii="Times New Roman" w:hAnsi="Times New Roman"/>
          <w:color w:val="000000" w:themeColor="text1"/>
          <w:sz w:val="24"/>
          <w:szCs w:val="24"/>
        </w:rPr>
        <w:t>Austrumlatvijas</w:t>
      </w:r>
      <w:proofErr w:type="spellEnd"/>
      <w:r w:rsidR="007B4587" w:rsidRPr="008E4EA2">
        <w:rPr>
          <w:rFonts w:ascii="Times New Roman" w:hAnsi="Times New Roman"/>
          <w:color w:val="000000" w:themeColor="text1"/>
          <w:sz w:val="24"/>
          <w:szCs w:val="24"/>
        </w:rPr>
        <w:t xml:space="preserve"> radošo pakalpojumu centra – jauniešu, bērnu interešu izglītības centra, radošo industriju un restaurācijas darbnīcu būvniecība”</w:t>
      </w:r>
      <w:r w:rsidR="009B6546" w:rsidRPr="008E4EA2">
        <w:rPr>
          <w:rFonts w:ascii="Times New Roman" w:hAnsi="Times New Roman"/>
          <w:color w:val="000000" w:themeColor="text1"/>
          <w:sz w:val="24"/>
          <w:szCs w:val="24"/>
        </w:rPr>
        <w:t xml:space="preserve"> , kurā notiek papildu Rēzeknes pilsētas domes skaidrojošās informācijas izvērtēšana.</w:t>
      </w:r>
      <w:r w:rsidRPr="008E4EA2">
        <w:rPr>
          <w:rFonts w:ascii="Times New Roman" w:hAnsi="Times New Roman"/>
          <w:color w:val="000000" w:themeColor="text1"/>
          <w:sz w:val="24"/>
          <w:szCs w:val="24"/>
        </w:rPr>
        <w:t xml:space="preserve"> </w:t>
      </w:r>
    </w:p>
    <w:p w:rsidR="009B6546" w:rsidRPr="008E4EA2" w:rsidRDefault="009B6546" w:rsidP="003A0029">
      <w:pPr>
        <w:pStyle w:val="ListParagraph"/>
        <w:spacing w:before="120" w:after="120"/>
        <w:ind w:left="0"/>
        <w:jc w:val="both"/>
        <w:rPr>
          <w:rFonts w:ascii="Times New Roman" w:hAnsi="Times New Roman"/>
          <w:color w:val="000000" w:themeColor="text1"/>
          <w:sz w:val="24"/>
          <w:szCs w:val="24"/>
        </w:rPr>
      </w:pPr>
      <w:proofErr w:type="spellStart"/>
      <w:r w:rsidRPr="008E4EA2">
        <w:rPr>
          <w:rFonts w:ascii="Times New Roman" w:hAnsi="Times New Roman"/>
          <w:color w:val="000000" w:themeColor="text1"/>
          <w:sz w:val="24"/>
          <w:szCs w:val="24"/>
        </w:rPr>
        <w:t>Š.g</w:t>
      </w:r>
      <w:proofErr w:type="spellEnd"/>
      <w:r w:rsidRPr="008E4EA2">
        <w:rPr>
          <w:rFonts w:ascii="Times New Roman" w:hAnsi="Times New Roman"/>
          <w:color w:val="000000" w:themeColor="text1"/>
          <w:sz w:val="24"/>
          <w:szCs w:val="24"/>
        </w:rPr>
        <w:t xml:space="preserve">. trešajā ceturksnī tika skaņoti MK noteikumi </w:t>
      </w:r>
      <w:proofErr w:type="spellStart"/>
      <w:r w:rsidRPr="008E4EA2">
        <w:rPr>
          <w:rFonts w:ascii="Times New Roman" w:hAnsi="Times New Roman"/>
          <w:color w:val="000000" w:themeColor="text1"/>
          <w:sz w:val="24"/>
          <w:szCs w:val="24"/>
        </w:rPr>
        <w:t>Nr</w:t>
      </w:r>
      <w:proofErr w:type="spellEnd"/>
      <w:r w:rsidRPr="008E4EA2">
        <w:rPr>
          <w:rFonts w:ascii="Times New Roman" w:hAnsi="Times New Roman"/>
          <w:color w:val="000000" w:themeColor="text1"/>
          <w:sz w:val="24"/>
          <w:szCs w:val="24"/>
        </w:rPr>
        <w:t>.</w:t>
      </w:r>
      <w:r w:rsidRPr="008E4EA2">
        <w:rPr>
          <w:rFonts w:ascii="Times New Roman" w:hAnsi="Times New Roman"/>
          <w:b/>
          <w:bCs/>
          <w:color w:val="000000" w:themeColor="text1"/>
          <w:sz w:val="24"/>
          <w:szCs w:val="24"/>
        </w:rPr>
        <w:t xml:space="preserve"> </w:t>
      </w:r>
      <w:r w:rsidR="009A7E1C" w:rsidRPr="008E4EA2">
        <w:rPr>
          <w:rFonts w:ascii="Times New Roman" w:hAnsi="Times New Roman"/>
          <w:bCs/>
          <w:color w:val="000000" w:themeColor="text1"/>
          <w:sz w:val="24"/>
          <w:szCs w:val="24"/>
        </w:rPr>
        <w:t xml:space="preserve">91 </w:t>
      </w:r>
      <w:hyperlink r:id="rId44" w:history="1">
        <w:r w:rsidR="009A7E1C" w:rsidRPr="008E4EA2">
          <w:rPr>
            <w:rStyle w:val="Hyperlink"/>
            <w:rFonts w:ascii="Times New Roman" w:hAnsi="Times New Roman" w:cs="Times New Roman"/>
            <w:bCs/>
            <w:color w:val="000000" w:themeColor="text1"/>
            <w:sz w:val="24"/>
            <w:szCs w:val="24"/>
          </w:rPr>
          <w:t>„</w:t>
        </w:r>
        <w:r w:rsidRPr="008E4EA2">
          <w:rPr>
            <w:rStyle w:val="Hyperlink"/>
            <w:rFonts w:ascii="Times New Roman" w:hAnsi="Times New Roman" w:cs="Times New Roman"/>
            <w:bCs/>
            <w:color w:val="000000" w:themeColor="text1"/>
            <w:sz w:val="24"/>
            <w:szCs w:val="24"/>
          </w:rPr>
          <w:t>Not</w:t>
        </w:r>
        <w:r w:rsidR="009A7E1C" w:rsidRPr="008E4EA2">
          <w:rPr>
            <w:rStyle w:val="Hyperlink"/>
            <w:rFonts w:ascii="Times New Roman" w:hAnsi="Times New Roman" w:cs="Times New Roman"/>
            <w:bCs/>
            <w:color w:val="000000" w:themeColor="text1"/>
            <w:sz w:val="24"/>
            <w:szCs w:val="24"/>
          </w:rPr>
          <w:t>eikumi par darbības programmas „Infrastruktūra un pakalpojumi”</w:t>
        </w:r>
        <w:r w:rsidRPr="008E4EA2">
          <w:rPr>
            <w:rStyle w:val="Hyperlink"/>
            <w:rFonts w:ascii="Times New Roman" w:hAnsi="Times New Roman" w:cs="Times New Roman"/>
            <w:bCs/>
            <w:color w:val="000000" w:themeColor="text1"/>
            <w:sz w:val="24"/>
            <w:szCs w:val="24"/>
          </w:rPr>
          <w:t xml:space="preserve"> pa</w:t>
        </w:r>
        <w:r w:rsidR="009A7E1C" w:rsidRPr="008E4EA2">
          <w:rPr>
            <w:rStyle w:val="Hyperlink"/>
            <w:rFonts w:ascii="Times New Roman" w:hAnsi="Times New Roman" w:cs="Times New Roman"/>
            <w:bCs/>
            <w:color w:val="000000" w:themeColor="text1"/>
            <w:sz w:val="24"/>
            <w:szCs w:val="24"/>
          </w:rPr>
          <w:t>pildinājuma 3.6.1.1.aktivitāti „</w:t>
        </w:r>
        <w:r w:rsidRPr="008E4EA2">
          <w:rPr>
            <w:rStyle w:val="Hyperlink"/>
            <w:rFonts w:ascii="Times New Roman" w:hAnsi="Times New Roman" w:cs="Times New Roman"/>
            <w:bCs/>
            <w:color w:val="000000" w:themeColor="text1"/>
            <w:sz w:val="24"/>
            <w:szCs w:val="24"/>
          </w:rPr>
          <w:t>Nacionālas un reģionālas nozīmes attīstības centru izaugsmes veicināšana</w:t>
        </w:r>
        <w:r w:rsidR="009A7E1C" w:rsidRPr="008E4EA2">
          <w:rPr>
            <w:rStyle w:val="Hyperlink"/>
            <w:rFonts w:ascii="Times New Roman" w:hAnsi="Times New Roman" w:cs="Times New Roman"/>
            <w:bCs/>
            <w:color w:val="000000" w:themeColor="text1"/>
            <w:sz w:val="24"/>
            <w:szCs w:val="24"/>
          </w:rPr>
          <w:t xml:space="preserve"> līdzsvarotai valsts attīstībai””</w:t>
        </w:r>
      </w:hyperlink>
      <w:r w:rsidRPr="008E4EA2">
        <w:rPr>
          <w:rFonts w:ascii="Times New Roman" w:hAnsi="Times New Roman"/>
          <w:bCs/>
          <w:color w:val="000000" w:themeColor="text1"/>
          <w:sz w:val="24"/>
          <w:szCs w:val="24"/>
        </w:rPr>
        <w:t xml:space="preserve">, kas tika apstiprināti 2.oktobrī un paredz piešķirt </w:t>
      </w:r>
      <w:proofErr w:type="spellStart"/>
      <w:r w:rsidRPr="008E4EA2">
        <w:rPr>
          <w:rFonts w:ascii="Times New Roman" w:hAnsi="Times New Roman"/>
          <w:bCs/>
          <w:color w:val="000000" w:themeColor="text1"/>
          <w:sz w:val="24"/>
          <w:szCs w:val="24"/>
        </w:rPr>
        <w:t>virssaistības</w:t>
      </w:r>
      <w:proofErr w:type="spellEnd"/>
      <w:r w:rsidRPr="008E4EA2">
        <w:rPr>
          <w:rFonts w:ascii="Times New Roman" w:hAnsi="Times New Roman"/>
          <w:bCs/>
          <w:color w:val="000000" w:themeColor="text1"/>
          <w:sz w:val="24"/>
          <w:szCs w:val="24"/>
        </w:rPr>
        <w:t xml:space="preserve"> 25,6 </w:t>
      </w:r>
      <w:proofErr w:type="spellStart"/>
      <w:r w:rsidRPr="008E4EA2">
        <w:rPr>
          <w:rFonts w:ascii="Times New Roman" w:hAnsi="Times New Roman"/>
          <w:bCs/>
          <w:color w:val="000000" w:themeColor="text1"/>
          <w:sz w:val="24"/>
          <w:szCs w:val="24"/>
        </w:rPr>
        <w:t>milj</w:t>
      </w:r>
      <w:proofErr w:type="spellEnd"/>
      <w:r w:rsidRPr="008E4EA2">
        <w:rPr>
          <w:rFonts w:ascii="Times New Roman" w:hAnsi="Times New Roman"/>
          <w:bCs/>
          <w:color w:val="000000" w:themeColor="text1"/>
          <w:sz w:val="24"/>
          <w:szCs w:val="24"/>
        </w:rPr>
        <w:t xml:space="preserve">. latu apmērā, lai </w:t>
      </w:r>
      <w:r w:rsidRPr="008E4EA2">
        <w:rPr>
          <w:rFonts w:ascii="Times New Roman" w:hAnsi="Times New Roman"/>
          <w:color w:val="000000" w:themeColor="text1"/>
          <w:sz w:val="24"/>
          <w:szCs w:val="24"/>
        </w:rPr>
        <w:t>nodrošinātu noteiktu nacionālas un reģionālas nozīmes attīst</w:t>
      </w:r>
      <w:r w:rsidR="003A0029" w:rsidRPr="008E4EA2">
        <w:rPr>
          <w:rFonts w:ascii="Times New Roman" w:hAnsi="Times New Roman"/>
          <w:color w:val="000000" w:themeColor="text1"/>
          <w:sz w:val="24"/>
          <w:szCs w:val="24"/>
        </w:rPr>
        <w:t>ības centru (pilsētu) izaugsmi.</w:t>
      </w:r>
    </w:p>
    <w:p w:rsidR="009B6546" w:rsidRPr="008E4EA2" w:rsidRDefault="009B6546" w:rsidP="003A0029">
      <w:pPr>
        <w:pStyle w:val="ListParagraph"/>
        <w:spacing w:before="120" w:after="120"/>
        <w:ind w:left="0"/>
        <w:jc w:val="both"/>
        <w:rPr>
          <w:rFonts w:ascii="Times New Roman" w:hAnsi="Times New Roman"/>
          <w:color w:val="000000" w:themeColor="text1"/>
          <w:sz w:val="24"/>
          <w:szCs w:val="24"/>
        </w:rPr>
      </w:pPr>
      <w:proofErr w:type="spellStart"/>
      <w:r w:rsidRPr="008E4EA2">
        <w:rPr>
          <w:rFonts w:ascii="Times New Roman" w:hAnsi="Times New Roman"/>
          <w:color w:val="000000" w:themeColor="text1"/>
          <w:sz w:val="24"/>
          <w:szCs w:val="24"/>
        </w:rPr>
        <w:t>Š.g</w:t>
      </w:r>
      <w:proofErr w:type="spellEnd"/>
      <w:r w:rsidRPr="008E4EA2">
        <w:rPr>
          <w:rFonts w:ascii="Times New Roman" w:hAnsi="Times New Roman"/>
          <w:color w:val="000000" w:themeColor="text1"/>
          <w:sz w:val="24"/>
          <w:szCs w:val="24"/>
        </w:rPr>
        <w:t>. 11.septembrī tika apstiprināti MK noteikumi Nr.</w:t>
      </w:r>
      <w:hyperlink r:id="rId45" w:history="1">
        <w:r w:rsidRPr="008E4EA2">
          <w:rPr>
            <w:rStyle w:val="Hyperlink"/>
            <w:rFonts w:ascii="Times New Roman" w:hAnsi="Times New Roman" w:cs="Times New Roman"/>
            <w:color w:val="000000" w:themeColor="text1"/>
            <w:sz w:val="24"/>
            <w:szCs w:val="24"/>
          </w:rPr>
          <w:t xml:space="preserve">843 </w:t>
        </w:r>
        <w:r w:rsidR="009A7E1C" w:rsidRPr="008E4EA2">
          <w:rPr>
            <w:rStyle w:val="Hyperlink"/>
            <w:rFonts w:ascii="Times New Roman" w:hAnsi="Times New Roman" w:cs="Times New Roman"/>
            <w:bCs/>
            <w:color w:val="000000" w:themeColor="text1"/>
            <w:sz w:val="24"/>
            <w:szCs w:val="24"/>
          </w:rPr>
          <w:t>„</w:t>
        </w:r>
        <w:r w:rsidRPr="008E4EA2">
          <w:rPr>
            <w:rStyle w:val="Hyperlink"/>
            <w:rFonts w:ascii="Times New Roman" w:hAnsi="Times New Roman" w:cs="Times New Roman"/>
            <w:bCs/>
            <w:color w:val="000000" w:themeColor="text1"/>
            <w:sz w:val="24"/>
            <w:szCs w:val="24"/>
          </w:rPr>
          <w:t>Not</w:t>
        </w:r>
        <w:r w:rsidR="009A7E1C" w:rsidRPr="008E4EA2">
          <w:rPr>
            <w:rStyle w:val="Hyperlink"/>
            <w:rFonts w:ascii="Times New Roman" w:hAnsi="Times New Roman" w:cs="Times New Roman"/>
            <w:bCs/>
            <w:color w:val="000000" w:themeColor="text1"/>
            <w:sz w:val="24"/>
            <w:szCs w:val="24"/>
          </w:rPr>
          <w:t>eikumi par darbības programmas „</w:t>
        </w:r>
        <w:r w:rsidRPr="008E4EA2">
          <w:rPr>
            <w:rStyle w:val="Hyperlink"/>
            <w:rFonts w:ascii="Times New Roman" w:hAnsi="Times New Roman" w:cs="Times New Roman"/>
            <w:bCs/>
            <w:color w:val="000000" w:themeColor="text1"/>
            <w:sz w:val="24"/>
            <w:szCs w:val="24"/>
          </w:rPr>
          <w:t>Infrastruktūra un pakalpoj</w:t>
        </w:r>
        <w:r w:rsidR="009A7E1C" w:rsidRPr="008E4EA2">
          <w:rPr>
            <w:rStyle w:val="Hyperlink"/>
            <w:rFonts w:ascii="Times New Roman" w:hAnsi="Times New Roman" w:cs="Times New Roman"/>
            <w:bCs/>
            <w:color w:val="000000" w:themeColor="text1"/>
            <w:sz w:val="24"/>
            <w:szCs w:val="24"/>
          </w:rPr>
          <w:t>umi”</w:t>
        </w:r>
        <w:r w:rsidRPr="008E4EA2">
          <w:rPr>
            <w:rStyle w:val="Hyperlink"/>
            <w:rFonts w:ascii="Times New Roman" w:hAnsi="Times New Roman" w:cs="Times New Roman"/>
            <w:bCs/>
            <w:color w:val="000000" w:themeColor="text1"/>
            <w:sz w:val="24"/>
            <w:szCs w:val="24"/>
          </w:rPr>
          <w:t xml:space="preserve"> pa</w:t>
        </w:r>
        <w:r w:rsidR="009A7E1C" w:rsidRPr="008E4EA2">
          <w:rPr>
            <w:rStyle w:val="Hyperlink"/>
            <w:rFonts w:ascii="Times New Roman" w:hAnsi="Times New Roman" w:cs="Times New Roman"/>
            <w:bCs/>
            <w:color w:val="000000" w:themeColor="text1"/>
            <w:sz w:val="24"/>
            <w:szCs w:val="24"/>
          </w:rPr>
          <w:t>pildinājuma 3.6.2.1.aktivitāti „</w:t>
        </w:r>
        <w:r w:rsidRPr="008E4EA2">
          <w:rPr>
            <w:rStyle w:val="Hyperlink"/>
            <w:rFonts w:ascii="Times New Roman" w:hAnsi="Times New Roman" w:cs="Times New Roman"/>
            <w:bCs/>
            <w:color w:val="000000" w:themeColor="text1"/>
            <w:sz w:val="24"/>
            <w:szCs w:val="24"/>
          </w:rPr>
          <w:t>Atbalsts novadu p</w:t>
        </w:r>
        <w:r w:rsidR="009A7E1C" w:rsidRPr="008E4EA2">
          <w:rPr>
            <w:rStyle w:val="Hyperlink"/>
            <w:rFonts w:ascii="Times New Roman" w:hAnsi="Times New Roman" w:cs="Times New Roman"/>
            <w:bCs/>
            <w:color w:val="000000" w:themeColor="text1"/>
            <w:sz w:val="24"/>
            <w:szCs w:val="24"/>
          </w:rPr>
          <w:t>ašvaldību kompleksai attīstībai””</w:t>
        </w:r>
      </w:hyperlink>
      <w:r w:rsidRPr="008E4EA2">
        <w:rPr>
          <w:rFonts w:ascii="Times New Roman" w:hAnsi="Times New Roman"/>
          <w:bCs/>
          <w:color w:val="000000" w:themeColor="text1"/>
          <w:sz w:val="24"/>
          <w:szCs w:val="24"/>
        </w:rPr>
        <w:t xml:space="preserve">, kas paredz piešķirt </w:t>
      </w:r>
      <w:proofErr w:type="spellStart"/>
      <w:r w:rsidRPr="008E4EA2">
        <w:rPr>
          <w:rFonts w:ascii="Times New Roman" w:hAnsi="Times New Roman"/>
          <w:bCs/>
          <w:color w:val="000000" w:themeColor="text1"/>
          <w:sz w:val="24"/>
          <w:szCs w:val="24"/>
        </w:rPr>
        <w:t>virssaistības</w:t>
      </w:r>
      <w:proofErr w:type="spellEnd"/>
      <w:r w:rsidRPr="008E4EA2">
        <w:rPr>
          <w:rFonts w:ascii="Times New Roman" w:hAnsi="Times New Roman"/>
          <w:bCs/>
          <w:color w:val="000000" w:themeColor="text1"/>
          <w:sz w:val="24"/>
          <w:szCs w:val="24"/>
        </w:rPr>
        <w:t xml:space="preserve"> 17,8 </w:t>
      </w:r>
      <w:proofErr w:type="spellStart"/>
      <w:r w:rsidRPr="008E4EA2">
        <w:rPr>
          <w:rFonts w:ascii="Times New Roman" w:hAnsi="Times New Roman"/>
          <w:bCs/>
          <w:color w:val="000000" w:themeColor="text1"/>
          <w:sz w:val="24"/>
          <w:szCs w:val="24"/>
        </w:rPr>
        <w:t>milj</w:t>
      </w:r>
      <w:proofErr w:type="spellEnd"/>
      <w:r w:rsidRPr="008E4EA2">
        <w:rPr>
          <w:rFonts w:ascii="Times New Roman" w:hAnsi="Times New Roman"/>
          <w:bCs/>
          <w:color w:val="000000" w:themeColor="text1"/>
          <w:sz w:val="24"/>
          <w:szCs w:val="24"/>
        </w:rPr>
        <w:t xml:space="preserve">. latu apmērā, lai </w:t>
      </w:r>
      <w:r w:rsidRPr="008E4EA2">
        <w:rPr>
          <w:rFonts w:ascii="Times New Roman" w:hAnsi="Times New Roman"/>
          <w:color w:val="000000" w:themeColor="text1"/>
          <w:sz w:val="24"/>
          <w:szCs w:val="24"/>
        </w:rPr>
        <w:t>veicinātu iedzīvotāju skaita ziņā lielāko novadu attīstības centru konkurētspējas nostiprināšanu un funkcionālo saišu veidošanu starp attīstības centriem un tiem piegulošajām teritorijām saskaņā ar integrētām pašvaldību attīstības programmām, sniedzot atbalstu uzņēmējdarbības infrastruktūras sakārtošanai, kā arī publisko pakalpojumu pieejamības un iedzīvotāju mobilitātes sekmēšanai.</w:t>
      </w:r>
    </w:p>
    <w:p w:rsidR="00CD0E5B" w:rsidRPr="008E4EA2" w:rsidRDefault="00CD0E5B" w:rsidP="003A0029">
      <w:pPr>
        <w:pStyle w:val="2lmenis"/>
        <w:numPr>
          <w:ilvl w:val="1"/>
          <w:numId w:val="2"/>
        </w:numPr>
        <w:spacing w:before="120" w:after="120" w:line="276" w:lineRule="auto"/>
        <w:ind w:left="1276" w:hanging="425"/>
        <w:jc w:val="both"/>
        <w:rPr>
          <w:color w:val="000000" w:themeColor="text1"/>
          <w:sz w:val="24"/>
          <w:szCs w:val="24"/>
          <w:lang w:val="lv-LV"/>
        </w:rPr>
      </w:pPr>
      <w:bookmarkStart w:id="41" w:name="_Toc322077018"/>
      <w:bookmarkStart w:id="42" w:name="_Toc340241698"/>
      <w:bookmarkEnd w:id="40"/>
      <w:r w:rsidRPr="008E4EA2">
        <w:rPr>
          <w:color w:val="000000" w:themeColor="text1"/>
          <w:sz w:val="24"/>
          <w:szCs w:val="24"/>
          <w:lang w:val="lv-LV"/>
        </w:rPr>
        <w:t>Lielo projektu īstenošana</w:t>
      </w:r>
      <w:bookmarkEnd w:id="41"/>
      <w:bookmarkEnd w:id="42"/>
    </w:p>
    <w:p w:rsidR="008236EB" w:rsidRPr="008E4EA2" w:rsidRDefault="00DA0543" w:rsidP="003A0029">
      <w:pPr>
        <w:pStyle w:val="NormalWeb"/>
        <w:spacing w:before="120" w:beforeAutospacing="0" w:after="120" w:afterAutospacing="0" w:line="276" w:lineRule="auto"/>
        <w:jc w:val="both"/>
        <w:rPr>
          <w:color w:val="000000" w:themeColor="text1"/>
          <w:lang w:val="lv-LV" w:eastAsia="lv-LV"/>
        </w:rPr>
      </w:pPr>
      <w:r w:rsidRPr="008E4EA2">
        <w:rPr>
          <w:color w:val="000000" w:themeColor="text1"/>
          <w:lang w:val="lv-LV" w:eastAsia="lv-LV"/>
        </w:rPr>
        <w:t xml:space="preserve">Kopā no </w:t>
      </w:r>
      <w:r w:rsidR="00C9741B" w:rsidRPr="008E4EA2">
        <w:rPr>
          <w:color w:val="000000" w:themeColor="text1"/>
          <w:lang w:val="lv-LV" w:eastAsia="lv-LV"/>
        </w:rPr>
        <w:t>astoņiem</w:t>
      </w:r>
      <w:r w:rsidRPr="008E4EA2">
        <w:rPr>
          <w:color w:val="000000" w:themeColor="text1"/>
          <w:lang w:val="lv-LV" w:eastAsia="lv-LV"/>
        </w:rPr>
        <w:t xml:space="preserve"> EK iesniegtajiem lielajiem projektiem EK ir apstiprinājusi </w:t>
      </w:r>
      <w:r w:rsidR="00F64A61" w:rsidRPr="008E4EA2">
        <w:rPr>
          <w:color w:val="000000" w:themeColor="text1"/>
          <w:lang w:val="lv-LV" w:eastAsia="lv-LV"/>
        </w:rPr>
        <w:t>sep</w:t>
      </w:r>
      <w:r w:rsidR="00B01B02" w:rsidRPr="008E4EA2">
        <w:rPr>
          <w:color w:val="000000" w:themeColor="text1"/>
          <w:lang w:val="lv-LV" w:eastAsia="lv-LV"/>
        </w:rPr>
        <w:t>t</w:t>
      </w:r>
      <w:r w:rsidR="00F64A61" w:rsidRPr="008E4EA2">
        <w:rPr>
          <w:color w:val="000000" w:themeColor="text1"/>
          <w:lang w:val="lv-LV" w:eastAsia="lv-LV"/>
        </w:rPr>
        <w:t>iņus</w:t>
      </w:r>
      <w:r w:rsidRPr="008E4EA2">
        <w:rPr>
          <w:color w:val="000000" w:themeColor="text1"/>
          <w:lang w:val="lv-LV" w:eastAsia="lv-LV"/>
        </w:rPr>
        <w:t xml:space="preserve"> lielos projektus – „Otrā sliežu ceļa būvniecība Skrīveri</w:t>
      </w:r>
      <w:r w:rsidR="00B01B02" w:rsidRPr="008E4EA2">
        <w:rPr>
          <w:color w:val="000000" w:themeColor="text1"/>
          <w:lang w:val="lv-LV" w:eastAsia="lv-LV"/>
        </w:rPr>
        <w:t xml:space="preserve"> – </w:t>
      </w:r>
      <w:r w:rsidRPr="008E4EA2">
        <w:rPr>
          <w:color w:val="000000" w:themeColor="text1"/>
          <w:lang w:val="lv-LV" w:eastAsia="lv-LV"/>
        </w:rPr>
        <w:t xml:space="preserve">Krustpils (Rīga – Krustpils iecirknis)”, „Autoceļa E22 posma Rīga (Tīnūži) – Koknese būvniecība”, „Autoceļa E22 posma Ludza-Terehova būvniecība”, „Rīgas piepilsētas dzelzceļa pasažieru pārvadājumu sistēmas modernizācija un dīzeļvilcienu ritošā sastāva atjaunošana”, „Vēsturiski piesārņoto vietu „Inčukalna </w:t>
      </w:r>
      <w:proofErr w:type="spellStart"/>
      <w:r w:rsidRPr="008E4EA2">
        <w:rPr>
          <w:color w:val="000000" w:themeColor="text1"/>
          <w:lang w:val="lv-LV" w:eastAsia="lv-LV"/>
        </w:rPr>
        <w:t>sērskābā</w:t>
      </w:r>
      <w:proofErr w:type="spellEnd"/>
      <w:r w:rsidRPr="008E4EA2">
        <w:rPr>
          <w:color w:val="000000" w:themeColor="text1"/>
          <w:lang w:val="lv-LV" w:eastAsia="lv-LV"/>
        </w:rPr>
        <w:t xml:space="preserve"> gudrona dīķa” sanācijas darbi”, „Infrastruktūras attīstība lidostā „Rīga”” un „Infrastruktūras attīstība Krievu salā ostas aktivitāšu pārcelšanai no pilsētas centra</w:t>
      </w:r>
      <w:r w:rsidR="00E86E40" w:rsidRPr="008E4EA2">
        <w:rPr>
          <w:color w:val="000000" w:themeColor="text1"/>
          <w:lang w:val="lv-LV" w:eastAsia="lv-LV"/>
        </w:rPr>
        <w:t xml:space="preserve"> (Rīgas brīvostas teritorija)” (detalizēta informācija pieejama</w:t>
      </w:r>
      <w:r w:rsidR="008F74E7" w:rsidRPr="00755AE7">
        <w:rPr>
          <w:lang w:val="lv-LV"/>
        </w:rPr>
        <w:t xml:space="preserve"> </w:t>
      </w:r>
      <w:hyperlink r:id="rId46" w:history="1">
        <w:r w:rsidR="008F74E7" w:rsidRPr="00755AE7">
          <w:rPr>
            <w:rStyle w:val="Hyperlink"/>
            <w:rFonts w:ascii="Times New Roman" w:hAnsi="Times New Roman" w:cs="Times New Roman"/>
            <w:sz w:val="24"/>
            <w:szCs w:val="24"/>
            <w:lang w:val="lv-LV"/>
          </w:rPr>
          <w:t xml:space="preserve">ES fondu </w:t>
        </w:r>
        <w:proofErr w:type="spellStart"/>
        <w:r w:rsidR="008F74E7" w:rsidRPr="00755AE7">
          <w:rPr>
            <w:rStyle w:val="Hyperlink"/>
            <w:rFonts w:ascii="Times New Roman" w:hAnsi="Times New Roman" w:cs="Times New Roman"/>
            <w:sz w:val="24"/>
            <w:szCs w:val="24"/>
            <w:lang w:val="lv-LV"/>
          </w:rPr>
          <w:t>internet</w:t>
        </w:r>
        <w:proofErr w:type="spellEnd"/>
        <w:r w:rsidR="008F74E7" w:rsidRPr="00755AE7">
          <w:rPr>
            <w:rStyle w:val="Hyperlink"/>
            <w:rFonts w:ascii="Times New Roman" w:hAnsi="Times New Roman" w:cs="Times New Roman"/>
            <w:sz w:val="24"/>
            <w:szCs w:val="24"/>
            <w:lang w:val="lv-LV"/>
          </w:rPr>
          <w:t xml:space="preserve"> vietnē</w:t>
        </w:r>
      </w:hyperlink>
      <w:r w:rsidR="00E86E40" w:rsidRPr="008E4EA2">
        <w:rPr>
          <w:color w:val="000000" w:themeColor="text1"/>
          <w:lang w:val="lv-LV" w:eastAsia="lv-LV"/>
        </w:rPr>
        <w:t>).</w:t>
      </w:r>
    </w:p>
    <w:p w:rsidR="008236EB" w:rsidRPr="008E4EA2" w:rsidRDefault="008236EB" w:rsidP="003A0029">
      <w:pPr>
        <w:pStyle w:val="NormalWeb"/>
        <w:spacing w:before="120" w:beforeAutospacing="0" w:after="120" w:afterAutospacing="0" w:line="276" w:lineRule="auto"/>
        <w:jc w:val="both"/>
        <w:rPr>
          <w:color w:val="000000" w:themeColor="text1"/>
          <w:lang w:val="lv-LV" w:eastAsia="lv-LV"/>
        </w:rPr>
      </w:pPr>
      <w:proofErr w:type="spellStart"/>
      <w:r w:rsidRPr="008E4EA2">
        <w:rPr>
          <w:color w:val="000000" w:themeColor="text1"/>
          <w:lang w:val="lv-LV" w:eastAsia="lv-LV"/>
        </w:rPr>
        <w:t>Š.g</w:t>
      </w:r>
      <w:proofErr w:type="spellEnd"/>
      <w:r w:rsidRPr="008E4EA2">
        <w:rPr>
          <w:color w:val="000000" w:themeColor="text1"/>
          <w:lang w:val="lv-LV" w:eastAsia="lv-LV"/>
        </w:rPr>
        <w:t xml:space="preserve">. 26.jūnijā EK tika iesniegts kopā astotais un vides sektorā otrais lielais projekts „Ūdenssaimniecības attīstība Rīgā, ceturtā kārta” ar kopējām attiecināmā izmaksām 27,6 </w:t>
      </w:r>
      <w:proofErr w:type="spellStart"/>
      <w:r w:rsidRPr="008E4EA2">
        <w:rPr>
          <w:color w:val="000000" w:themeColor="text1"/>
          <w:lang w:val="lv-LV" w:eastAsia="lv-LV"/>
        </w:rPr>
        <w:t>milj</w:t>
      </w:r>
      <w:proofErr w:type="spellEnd"/>
      <w:r w:rsidRPr="008E4EA2">
        <w:rPr>
          <w:color w:val="000000" w:themeColor="text1"/>
          <w:lang w:val="lv-LV" w:eastAsia="lv-LV"/>
        </w:rPr>
        <w:t xml:space="preserve">. latu, </w:t>
      </w:r>
      <w:proofErr w:type="spellStart"/>
      <w:r w:rsidRPr="008E4EA2">
        <w:rPr>
          <w:color w:val="000000" w:themeColor="text1"/>
          <w:lang w:val="lv-LV" w:eastAsia="lv-LV"/>
        </w:rPr>
        <w:t>t.sk</w:t>
      </w:r>
      <w:proofErr w:type="spellEnd"/>
      <w:r w:rsidRPr="008E4EA2">
        <w:rPr>
          <w:color w:val="000000" w:themeColor="text1"/>
          <w:lang w:val="lv-LV" w:eastAsia="lv-LV"/>
        </w:rPr>
        <w:t xml:space="preserve">. KF ieguldījums 14,5 </w:t>
      </w:r>
      <w:proofErr w:type="spellStart"/>
      <w:r w:rsidRPr="008E4EA2">
        <w:rPr>
          <w:color w:val="000000" w:themeColor="text1"/>
          <w:lang w:val="lv-LV" w:eastAsia="lv-LV"/>
        </w:rPr>
        <w:t>milj</w:t>
      </w:r>
      <w:proofErr w:type="spellEnd"/>
      <w:r w:rsidRPr="008E4EA2">
        <w:rPr>
          <w:color w:val="000000" w:themeColor="text1"/>
          <w:lang w:val="lv-LV" w:eastAsia="lv-LV"/>
        </w:rPr>
        <w:t xml:space="preserve">. latu. </w:t>
      </w:r>
      <w:proofErr w:type="spellStart"/>
      <w:r w:rsidRPr="008E4EA2">
        <w:rPr>
          <w:color w:val="000000" w:themeColor="text1"/>
          <w:lang w:val="lv-LV" w:eastAsia="lv-LV"/>
        </w:rPr>
        <w:t>Š.g</w:t>
      </w:r>
      <w:proofErr w:type="spellEnd"/>
      <w:r w:rsidRPr="008E4EA2">
        <w:rPr>
          <w:color w:val="000000" w:themeColor="text1"/>
          <w:lang w:val="lv-LV" w:eastAsia="lv-LV"/>
        </w:rPr>
        <w:t xml:space="preserve">. 2.jūlijā no EK tika saņemts apliecinājums par projekta iesnieguma atbilstību Regulas (EK) 1083/2006 40.panta prasībām, un projekts ir atbalstāms. </w:t>
      </w:r>
      <w:proofErr w:type="spellStart"/>
      <w:r w:rsidRPr="008E4EA2">
        <w:rPr>
          <w:color w:val="000000" w:themeColor="text1"/>
          <w:lang w:val="lv-LV" w:eastAsia="lv-LV"/>
        </w:rPr>
        <w:t>Š.g</w:t>
      </w:r>
      <w:proofErr w:type="spellEnd"/>
      <w:r w:rsidRPr="008E4EA2">
        <w:rPr>
          <w:color w:val="000000" w:themeColor="text1"/>
          <w:lang w:val="lv-LV" w:eastAsia="lv-LV"/>
        </w:rPr>
        <w:t>. 21.</w:t>
      </w:r>
      <w:r w:rsidR="005E54BE" w:rsidRPr="008E4EA2">
        <w:rPr>
          <w:color w:val="000000" w:themeColor="text1"/>
          <w:lang w:val="lv-LV" w:eastAsia="lv-LV"/>
        </w:rPr>
        <w:t>septembrī</w:t>
      </w:r>
      <w:r w:rsidRPr="008E4EA2">
        <w:rPr>
          <w:color w:val="000000" w:themeColor="text1"/>
          <w:lang w:val="lv-LV" w:eastAsia="lv-LV"/>
        </w:rPr>
        <w:t xml:space="preserve"> EK tika iesniegts precizēts projekta pieteikums saskaņā ar </w:t>
      </w:r>
      <w:proofErr w:type="spellStart"/>
      <w:r w:rsidRPr="008E4EA2">
        <w:rPr>
          <w:color w:val="000000" w:themeColor="text1"/>
          <w:lang w:val="lv-LV" w:eastAsia="lv-LV"/>
        </w:rPr>
        <w:t>š.g</w:t>
      </w:r>
      <w:proofErr w:type="spellEnd"/>
      <w:r w:rsidRPr="008E4EA2">
        <w:rPr>
          <w:color w:val="000000" w:themeColor="text1"/>
          <w:lang w:val="lv-LV" w:eastAsia="lv-LV"/>
        </w:rPr>
        <w:t>. 8.augustā saņemtajiem EK komentāriem par nepieciešamajiem precizējumiem projekta pieteikumā.</w:t>
      </w:r>
    </w:p>
    <w:p w:rsidR="008454B7" w:rsidRPr="008E4EA2" w:rsidRDefault="008236EB" w:rsidP="003A0029">
      <w:pPr>
        <w:pStyle w:val="NormalWeb"/>
        <w:spacing w:before="120" w:beforeAutospacing="0" w:after="120" w:afterAutospacing="0" w:line="276" w:lineRule="auto"/>
        <w:jc w:val="both"/>
        <w:rPr>
          <w:color w:val="000000" w:themeColor="text1"/>
          <w:lang w:val="lv-LV" w:eastAsia="lv-LV"/>
        </w:rPr>
      </w:pPr>
      <w:r w:rsidRPr="008E4EA2">
        <w:rPr>
          <w:color w:val="000000" w:themeColor="text1"/>
          <w:lang w:val="lv-LV" w:eastAsia="lv-LV"/>
        </w:rPr>
        <w:t>Kopā visu astoņu l</w:t>
      </w:r>
      <w:r w:rsidR="008454B7" w:rsidRPr="008E4EA2">
        <w:rPr>
          <w:color w:val="000000" w:themeColor="text1"/>
          <w:lang w:val="lv-LV" w:eastAsia="lv-LV"/>
        </w:rPr>
        <w:t xml:space="preserve">ielo projektu ietvaros šobrīd kopējās plānotās attiecināmās izmaksas ir 581,7 </w:t>
      </w:r>
      <w:proofErr w:type="spellStart"/>
      <w:r w:rsidR="008454B7" w:rsidRPr="008E4EA2">
        <w:rPr>
          <w:color w:val="000000" w:themeColor="text1"/>
          <w:lang w:val="lv-LV" w:eastAsia="lv-LV"/>
        </w:rPr>
        <w:t>milj</w:t>
      </w:r>
      <w:proofErr w:type="spellEnd"/>
      <w:r w:rsidR="008454B7" w:rsidRPr="008E4EA2">
        <w:rPr>
          <w:color w:val="000000" w:themeColor="text1"/>
          <w:lang w:val="lv-LV" w:eastAsia="lv-LV"/>
        </w:rPr>
        <w:t xml:space="preserve">. latu, no tā plānotais ES fondu līdzfinansējums ir 399,6 </w:t>
      </w:r>
      <w:proofErr w:type="spellStart"/>
      <w:r w:rsidR="008454B7" w:rsidRPr="008E4EA2">
        <w:rPr>
          <w:color w:val="000000" w:themeColor="text1"/>
          <w:lang w:val="lv-LV" w:eastAsia="lv-LV"/>
        </w:rPr>
        <w:t>milj</w:t>
      </w:r>
      <w:proofErr w:type="spellEnd"/>
      <w:r w:rsidR="008454B7" w:rsidRPr="008E4EA2">
        <w:rPr>
          <w:color w:val="000000" w:themeColor="text1"/>
          <w:lang w:val="lv-LV" w:eastAsia="lv-LV"/>
        </w:rPr>
        <w:t xml:space="preserve">. latu. </w:t>
      </w:r>
    </w:p>
    <w:p w:rsidR="00DA0543" w:rsidRPr="008E4EA2" w:rsidRDefault="00DA0543" w:rsidP="003A0029">
      <w:pPr>
        <w:pStyle w:val="NormalWeb"/>
        <w:spacing w:before="120" w:beforeAutospacing="0" w:after="120" w:afterAutospacing="0" w:line="276" w:lineRule="auto"/>
        <w:jc w:val="both"/>
        <w:rPr>
          <w:color w:val="000000" w:themeColor="text1"/>
          <w:lang w:val="lv-LV" w:eastAsia="lv-LV"/>
        </w:rPr>
      </w:pPr>
      <w:r w:rsidRPr="008E4EA2">
        <w:rPr>
          <w:color w:val="000000" w:themeColor="text1"/>
          <w:lang w:val="lv-LV" w:eastAsia="lv-LV"/>
        </w:rPr>
        <w:t xml:space="preserve">Līdz 2012.gada 30.septembrim lielo projektu ietvaros ir veikti attiecināmie izdevumi (avansa un starpposma maksājumi) par kopējo summu 186,9 </w:t>
      </w:r>
      <w:proofErr w:type="spellStart"/>
      <w:r w:rsidRPr="008E4EA2">
        <w:rPr>
          <w:color w:val="000000" w:themeColor="text1"/>
          <w:lang w:val="lv-LV" w:eastAsia="lv-LV"/>
        </w:rPr>
        <w:t>milj</w:t>
      </w:r>
      <w:proofErr w:type="spellEnd"/>
      <w:r w:rsidRPr="008E4EA2">
        <w:rPr>
          <w:color w:val="000000" w:themeColor="text1"/>
          <w:lang w:val="lv-LV" w:eastAsia="lv-LV"/>
        </w:rPr>
        <w:t>.</w:t>
      </w:r>
      <w:r w:rsidR="00F64A61" w:rsidRPr="008E4EA2">
        <w:rPr>
          <w:color w:val="000000" w:themeColor="text1"/>
          <w:lang w:val="lv-LV" w:eastAsia="lv-LV"/>
        </w:rPr>
        <w:t xml:space="preserve"> </w:t>
      </w:r>
      <w:r w:rsidRPr="008E4EA2">
        <w:rPr>
          <w:color w:val="000000" w:themeColor="text1"/>
          <w:lang w:val="lv-LV" w:eastAsia="lv-LV"/>
        </w:rPr>
        <w:t xml:space="preserve">latu jeb 32,1% no </w:t>
      </w:r>
      <w:r w:rsidRPr="008E4EA2">
        <w:rPr>
          <w:color w:val="000000" w:themeColor="text1"/>
          <w:lang w:val="lv-LV" w:eastAsia="lv-LV"/>
        </w:rPr>
        <w:lastRenderedPageBreak/>
        <w:t xml:space="preserve">kopējām attiecināmajām izmaksām, </w:t>
      </w:r>
      <w:proofErr w:type="spellStart"/>
      <w:r w:rsidRPr="008E4EA2">
        <w:rPr>
          <w:color w:val="000000" w:themeColor="text1"/>
          <w:lang w:val="lv-LV" w:eastAsia="lv-LV"/>
        </w:rPr>
        <w:t>t.sk</w:t>
      </w:r>
      <w:proofErr w:type="spellEnd"/>
      <w:r w:rsidRPr="008E4EA2">
        <w:rPr>
          <w:color w:val="000000" w:themeColor="text1"/>
          <w:lang w:val="lv-LV" w:eastAsia="lv-LV"/>
        </w:rPr>
        <w:t xml:space="preserve">. maksājumi no ES fondu finansējuma 138,9 </w:t>
      </w:r>
      <w:proofErr w:type="spellStart"/>
      <w:r w:rsidRPr="008E4EA2">
        <w:rPr>
          <w:color w:val="000000" w:themeColor="text1"/>
          <w:lang w:val="lv-LV" w:eastAsia="lv-LV"/>
        </w:rPr>
        <w:t>milj</w:t>
      </w:r>
      <w:proofErr w:type="spellEnd"/>
      <w:r w:rsidRPr="008E4EA2">
        <w:rPr>
          <w:color w:val="000000" w:themeColor="text1"/>
          <w:lang w:val="lv-LV" w:eastAsia="lv-LV"/>
        </w:rPr>
        <w:t>.</w:t>
      </w:r>
      <w:r w:rsidR="00F64A61" w:rsidRPr="008E4EA2">
        <w:rPr>
          <w:color w:val="000000" w:themeColor="text1"/>
          <w:lang w:val="lv-LV" w:eastAsia="lv-LV"/>
        </w:rPr>
        <w:t xml:space="preserve"> </w:t>
      </w:r>
      <w:r w:rsidRPr="008E4EA2">
        <w:rPr>
          <w:color w:val="000000" w:themeColor="text1"/>
          <w:lang w:val="lv-LV" w:eastAsia="lv-LV"/>
        </w:rPr>
        <w:t>latu jeb 34,8% no plānotajiem ES fondu izdevumiem.</w:t>
      </w:r>
    </w:p>
    <w:p w:rsidR="00E7384A" w:rsidRPr="008E4EA2" w:rsidRDefault="00E7384A" w:rsidP="003A0029">
      <w:pPr>
        <w:pStyle w:val="NormalWeb"/>
        <w:spacing w:before="120" w:beforeAutospacing="0" w:after="120" w:afterAutospacing="0" w:line="276" w:lineRule="auto"/>
        <w:jc w:val="both"/>
        <w:rPr>
          <w:color w:val="000000" w:themeColor="text1"/>
          <w:lang w:val="lv-LV" w:eastAsia="lv-LV"/>
        </w:rPr>
      </w:pPr>
      <w:r w:rsidRPr="008E4EA2">
        <w:rPr>
          <w:color w:val="000000" w:themeColor="text1"/>
          <w:lang w:val="lv-LV" w:eastAsia="lv-LV"/>
        </w:rPr>
        <w:t xml:space="preserve">Grafiks </w:t>
      </w:r>
      <w:proofErr w:type="spellStart"/>
      <w:r w:rsidRPr="008E4EA2">
        <w:rPr>
          <w:color w:val="000000" w:themeColor="text1"/>
          <w:lang w:val="lv-LV" w:eastAsia="lv-LV"/>
        </w:rPr>
        <w:t>Nr</w:t>
      </w:r>
      <w:proofErr w:type="spellEnd"/>
      <w:r w:rsidRPr="008E4EA2">
        <w:rPr>
          <w:color w:val="000000" w:themeColor="text1"/>
          <w:lang w:val="lv-LV" w:eastAsia="lv-LV"/>
        </w:rPr>
        <w:t xml:space="preserve">. </w:t>
      </w:r>
      <w:r w:rsidR="0078381C" w:rsidRPr="008E4EA2">
        <w:rPr>
          <w:color w:val="000000" w:themeColor="text1"/>
          <w:lang w:val="lv-LV" w:eastAsia="lv-LV"/>
        </w:rPr>
        <w:t>15</w:t>
      </w:r>
      <w:r w:rsidRPr="008E4EA2">
        <w:rPr>
          <w:color w:val="000000" w:themeColor="text1"/>
          <w:lang w:val="lv-LV" w:eastAsia="lv-LV"/>
        </w:rPr>
        <w:t xml:space="preserve"> „</w:t>
      </w:r>
      <w:r w:rsidRPr="008E4EA2">
        <w:rPr>
          <w:i/>
          <w:color w:val="000000" w:themeColor="text1"/>
          <w:lang w:val="lv-LV" w:eastAsia="lv-LV"/>
        </w:rPr>
        <w:t xml:space="preserve">Lielo projektu apguves mērķa izpilde </w:t>
      </w:r>
      <w:proofErr w:type="spellStart"/>
      <w:r w:rsidRPr="008E4EA2">
        <w:rPr>
          <w:i/>
          <w:color w:val="000000" w:themeColor="text1"/>
          <w:lang w:val="lv-LV" w:eastAsia="lv-LV"/>
        </w:rPr>
        <w:t>milj</w:t>
      </w:r>
      <w:proofErr w:type="spellEnd"/>
      <w:r w:rsidRPr="008E4EA2">
        <w:rPr>
          <w:i/>
          <w:color w:val="000000" w:themeColor="text1"/>
          <w:lang w:val="lv-LV" w:eastAsia="lv-LV"/>
        </w:rPr>
        <w:t xml:space="preserve">. </w:t>
      </w:r>
      <w:r w:rsidR="00C3476A" w:rsidRPr="008E4EA2">
        <w:rPr>
          <w:i/>
          <w:color w:val="000000" w:themeColor="text1"/>
          <w:lang w:val="lv-LV" w:eastAsia="lv-LV"/>
        </w:rPr>
        <w:t>latu.</w:t>
      </w:r>
      <w:r w:rsidRPr="008E4EA2">
        <w:rPr>
          <w:color w:val="000000" w:themeColor="text1"/>
          <w:lang w:val="lv-LV" w:eastAsia="lv-LV"/>
        </w:rPr>
        <w:t>”</w:t>
      </w:r>
    </w:p>
    <w:p w:rsidR="00E7384A" w:rsidRPr="008E4EA2" w:rsidRDefault="00E7384A" w:rsidP="003A0029">
      <w:pPr>
        <w:pStyle w:val="NormalWeb"/>
        <w:spacing w:before="120" w:beforeAutospacing="0" w:after="120" w:afterAutospacing="0" w:line="276" w:lineRule="auto"/>
        <w:jc w:val="both"/>
        <w:rPr>
          <w:color w:val="000000" w:themeColor="text1"/>
          <w:lang w:val="lv-LV" w:eastAsia="lv-LV"/>
        </w:rPr>
      </w:pPr>
      <w:r w:rsidRPr="008E4EA2">
        <w:rPr>
          <w:noProof/>
          <w:color w:val="000000" w:themeColor="text1"/>
          <w:lang w:val="lv-LV" w:eastAsia="lv-LV"/>
        </w:rPr>
        <w:drawing>
          <wp:inline distT="0" distB="0" distL="0" distR="0" wp14:anchorId="7D1CB4A9" wp14:editId="514BAFA7">
            <wp:extent cx="5581934" cy="259296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5581934" cy="2592968"/>
                    </a:xfrm>
                    <a:prstGeom prst="rect">
                      <a:avLst/>
                    </a:prstGeom>
                    <a:noFill/>
                  </pic:spPr>
                </pic:pic>
              </a:graphicData>
            </a:graphic>
          </wp:inline>
        </w:drawing>
      </w:r>
    </w:p>
    <w:p w:rsidR="00DA0543" w:rsidRPr="008E4EA2" w:rsidRDefault="00DA0543" w:rsidP="003A0029">
      <w:pPr>
        <w:pStyle w:val="NormalWeb"/>
        <w:spacing w:before="120" w:beforeAutospacing="0" w:after="120" w:afterAutospacing="0" w:line="276" w:lineRule="auto"/>
        <w:jc w:val="both"/>
        <w:rPr>
          <w:color w:val="000000" w:themeColor="text1"/>
          <w:lang w:val="lv-LV" w:eastAsia="lv-LV"/>
        </w:rPr>
      </w:pPr>
      <w:r w:rsidRPr="008E4EA2">
        <w:rPr>
          <w:color w:val="000000" w:themeColor="text1"/>
          <w:lang w:val="lv-LV" w:eastAsia="lv-LV"/>
        </w:rPr>
        <w:t>AI prognozē, ka lielo projektu finanšu apguves mērķis 2012.gadam, salīdzinot ar</w:t>
      </w:r>
      <w:r w:rsidR="003271BE" w:rsidRPr="008E4EA2">
        <w:rPr>
          <w:color w:val="000000" w:themeColor="text1"/>
          <w:lang w:val="lv-LV" w:eastAsia="lv-LV"/>
        </w:rPr>
        <w:t xml:space="preserve"> </w:t>
      </w:r>
      <w:proofErr w:type="spellStart"/>
      <w:r w:rsidRPr="008E4EA2">
        <w:rPr>
          <w:color w:val="000000" w:themeColor="text1"/>
          <w:lang w:val="lv-LV" w:eastAsia="lv-LV"/>
        </w:rPr>
        <w:t>š.g</w:t>
      </w:r>
      <w:proofErr w:type="spellEnd"/>
      <w:r w:rsidRPr="008E4EA2">
        <w:rPr>
          <w:color w:val="000000" w:themeColor="text1"/>
          <w:lang w:val="lv-LV" w:eastAsia="lv-LV"/>
        </w:rPr>
        <w:t>.</w:t>
      </w:r>
      <w:r w:rsidR="003271BE" w:rsidRPr="008E4EA2">
        <w:rPr>
          <w:color w:val="000000" w:themeColor="text1"/>
          <w:lang w:val="lv-LV" w:eastAsia="lv-LV"/>
        </w:rPr>
        <w:t xml:space="preserve"> </w:t>
      </w:r>
      <w:r w:rsidRPr="008E4EA2">
        <w:rPr>
          <w:color w:val="000000" w:themeColor="text1"/>
          <w:lang w:val="lv-LV" w:eastAsia="lv-LV"/>
        </w:rPr>
        <w:t>prognozi martā, samazināsies par 65,0%, saglabājot finanšu apguves mērķi 2013.gadā iepriekš prognozētajā apjomā un</w:t>
      </w:r>
      <w:r w:rsidR="003271BE" w:rsidRPr="008E4EA2">
        <w:rPr>
          <w:color w:val="000000" w:themeColor="text1"/>
          <w:lang w:val="lv-LV" w:eastAsia="lv-LV"/>
        </w:rPr>
        <w:t xml:space="preserve"> </w:t>
      </w:r>
      <w:r w:rsidRPr="008E4EA2">
        <w:rPr>
          <w:color w:val="000000" w:themeColor="text1"/>
          <w:lang w:val="lv-LV" w:eastAsia="lv-LV"/>
        </w:rPr>
        <w:t xml:space="preserve">kompensējot to 2014. un 2015.gadā. Līdz ar to tiek prognozēta nepieciešamība pagarināt sākotnēji plānoto projektu īstenošanas beigu datumu. Savukārt, </w:t>
      </w:r>
      <w:proofErr w:type="spellStart"/>
      <w:r w:rsidRPr="008E4EA2">
        <w:rPr>
          <w:color w:val="000000" w:themeColor="text1"/>
          <w:lang w:val="lv-LV" w:eastAsia="lv-LV"/>
        </w:rPr>
        <w:t>š.g</w:t>
      </w:r>
      <w:proofErr w:type="spellEnd"/>
      <w:r w:rsidRPr="008E4EA2">
        <w:rPr>
          <w:color w:val="000000" w:themeColor="text1"/>
          <w:lang w:val="lv-LV" w:eastAsia="lv-LV"/>
        </w:rPr>
        <w:t>. martā</w:t>
      </w:r>
      <w:r w:rsidR="003271BE" w:rsidRPr="008E4EA2">
        <w:rPr>
          <w:color w:val="000000" w:themeColor="text1"/>
          <w:lang w:val="lv-LV" w:eastAsia="lv-LV"/>
        </w:rPr>
        <w:t xml:space="preserve"> </w:t>
      </w:r>
      <w:r w:rsidRPr="008E4EA2">
        <w:rPr>
          <w:color w:val="000000" w:themeColor="text1"/>
          <w:lang w:val="lv-LV" w:eastAsia="lv-LV"/>
        </w:rPr>
        <w:t>iestāžu sniegtā maksājumu prognoze 100% apmērā tika izpildīta tikai 2012.gada pirmajā ceturksnī, taču 2012.gada otrajā ceturksnī izpilde ir samazinājusies, tikai 40%, bet trešajā ceturksnī tikai 6% no plānotās, kur vislielākā neizpilde ir saistīta ar pretendentu sūdzībām iepirkuma procesos, juridiska rakstura problēmām zemes atsavināšanas jautājumos un problēmā, kas radušās būvniecības procesa gaitā ar līguma izpildītājiem</w:t>
      </w:r>
      <w:r w:rsidR="00D10881">
        <w:rPr>
          <w:color w:val="000000" w:themeColor="text1"/>
          <w:lang w:val="lv-LV" w:eastAsia="lv-LV"/>
        </w:rPr>
        <w:t>, kā arī tiesvedība par būvatļaujas apturēšanu</w:t>
      </w:r>
      <w:r w:rsidRPr="008E4EA2">
        <w:rPr>
          <w:color w:val="000000" w:themeColor="text1"/>
          <w:lang w:val="lv-LV" w:eastAsia="lv-LV"/>
        </w:rPr>
        <w:t xml:space="preserve">. </w:t>
      </w:r>
    </w:p>
    <w:p w:rsidR="00DA0543" w:rsidRPr="008E4EA2" w:rsidRDefault="00DA0543" w:rsidP="003A0029">
      <w:pPr>
        <w:pStyle w:val="NormalWeb"/>
        <w:spacing w:before="120" w:beforeAutospacing="0" w:after="120" w:afterAutospacing="0" w:line="276" w:lineRule="auto"/>
        <w:jc w:val="both"/>
        <w:rPr>
          <w:color w:val="000000" w:themeColor="text1"/>
          <w:lang w:val="lv-LV" w:eastAsia="lv-LV"/>
        </w:rPr>
      </w:pPr>
      <w:r w:rsidRPr="008E4EA2">
        <w:rPr>
          <w:color w:val="000000" w:themeColor="text1"/>
          <w:lang w:val="lv-LV" w:eastAsia="lv-LV"/>
        </w:rPr>
        <w:t xml:space="preserve">Jāatzīmē, ka no kopējā </w:t>
      </w:r>
      <w:r w:rsidR="008612BC" w:rsidRPr="008E4EA2">
        <w:rPr>
          <w:color w:val="000000" w:themeColor="text1"/>
          <w:lang w:val="lv-LV" w:eastAsia="lv-LV"/>
        </w:rPr>
        <w:t xml:space="preserve">maksājumu finansējuma saņēmējiem </w:t>
      </w:r>
      <w:r w:rsidRPr="008E4EA2">
        <w:rPr>
          <w:color w:val="000000" w:themeColor="text1"/>
          <w:lang w:val="lv-LV" w:eastAsia="lv-LV"/>
        </w:rPr>
        <w:t>plāna līdz 2012.gada trešajam</w:t>
      </w:r>
      <w:r w:rsidR="003271BE" w:rsidRPr="008E4EA2">
        <w:rPr>
          <w:color w:val="000000" w:themeColor="text1"/>
          <w:lang w:val="lv-LV" w:eastAsia="lv-LV"/>
        </w:rPr>
        <w:t xml:space="preserve"> </w:t>
      </w:r>
      <w:r w:rsidRPr="008E4EA2">
        <w:rPr>
          <w:color w:val="000000" w:themeColor="text1"/>
          <w:lang w:val="lv-LV" w:eastAsia="lv-LV"/>
        </w:rPr>
        <w:t xml:space="preserve">ceturksnim </w:t>
      </w:r>
      <w:r w:rsidR="008612BC" w:rsidRPr="008E4EA2">
        <w:rPr>
          <w:color w:val="000000" w:themeColor="text1"/>
          <w:lang w:val="lv-LV" w:eastAsia="lv-LV"/>
        </w:rPr>
        <w:t>projekta</w:t>
      </w:r>
      <w:r w:rsidR="005E1672">
        <w:rPr>
          <w:color w:val="000000" w:themeColor="text1"/>
          <w:lang w:val="lv-LV" w:eastAsia="lv-LV"/>
        </w:rPr>
        <w:t xml:space="preserve"> </w:t>
      </w:r>
      <w:r w:rsidRPr="008E4EA2">
        <w:rPr>
          <w:color w:val="000000" w:themeColor="text1"/>
          <w:lang w:val="lv-LV" w:eastAsia="lv-LV"/>
        </w:rPr>
        <w:t>„Otrā sliežu ceļa būvniecība Skrīveri-Krustpils (Rīga – Krustpils iecirknis)”</w:t>
      </w:r>
      <w:r w:rsidR="005E1672">
        <w:rPr>
          <w:color w:val="000000" w:themeColor="text1"/>
          <w:lang w:val="lv-LV" w:eastAsia="lv-LV"/>
        </w:rPr>
        <w:t xml:space="preserve"> </w:t>
      </w:r>
      <w:r w:rsidR="008612BC" w:rsidRPr="008E4EA2">
        <w:rPr>
          <w:color w:val="000000" w:themeColor="text1"/>
          <w:lang w:val="lv-LV" w:eastAsia="lv-LV"/>
        </w:rPr>
        <w:t xml:space="preserve">ietvaros izpildīts </w:t>
      </w:r>
      <w:r w:rsidRPr="008E4EA2">
        <w:rPr>
          <w:color w:val="000000" w:themeColor="text1"/>
          <w:lang w:val="lv-LV" w:eastAsia="lv-LV"/>
        </w:rPr>
        <w:t>par 7% vairāk nekā sākotnēji plānots un</w:t>
      </w:r>
      <w:r w:rsidR="003271BE" w:rsidRPr="008E4EA2">
        <w:rPr>
          <w:color w:val="000000" w:themeColor="text1"/>
          <w:lang w:val="lv-LV" w:eastAsia="lv-LV"/>
        </w:rPr>
        <w:t xml:space="preserve"> </w:t>
      </w:r>
      <w:r w:rsidR="008612BC" w:rsidRPr="008E4EA2">
        <w:rPr>
          <w:color w:val="000000" w:themeColor="text1"/>
          <w:lang w:val="lv-LV" w:eastAsia="lv-LV"/>
        </w:rPr>
        <w:t xml:space="preserve">projekta </w:t>
      </w:r>
      <w:r w:rsidRPr="008E4EA2">
        <w:rPr>
          <w:color w:val="000000" w:themeColor="text1"/>
          <w:lang w:val="lv-LV" w:eastAsia="lv-LV"/>
        </w:rPr>
        <w:t>„Autoceļa E22 posma Ludza-Terehova būvniecība”</w:t>
      </w:r>
      <w:r w:rsidR="008612BC" w:rsidRPr="008E4EA2">
        <w:rPr>
          <w:color w:val="000000" w:themeColor="text1"/>
          <w:lang w:val="lv-LV" w:eastAsia="lv-LV"/>
        </w:rPr>
        <w:t xml:space="preserve"> ietvaros</w:t>
      </w:r>
      <w:r w:rsidR="005E1672">
        <w:rPr>
          <w:color w:val="000000" w:themeColor="text1"/>
          <w:lang w:val="lv-LV" w:eastAsia="lv-LV"/>
        </w:rPr>
        <w:t xml:space="preserve"> </w:t>
      </w:r>
      <w:r w:rsidR="008612BC" w:rsidRPr="008E4EA2">
        <w:rPr>
          <w:color w:val="000000" w:themeColor="text1"/>
          <w:lang w:val="lv-LV" w:eastAsia="lv-LV"/>
        </w:rPr>
        <w:t>tikai</w:t>
      </w:r>
      <w:r w:rsidRPr="008E4EA2">
        <w:rPr>
          <w:color w:val="000000" w:themeColor="text1"/>
          <w:lang w:val="lv-LV" w:eastAsia="lv-LV"/>
        </w:rPr>
        <w:t xml:space="preserve"> 68% no </w:t>
      </w:r>
      <w:r w:rsidR="008612BC" w:rsidRPr="008E4EA2">
        <w:rPr>
          <w:color w:val="000000" w:themeColor="text1"/>
          <w:lang w:val="lv-LV" w:eastAsia="lv-LV"/>
        </w:rPr>
        <w:t>mērķa</w:t>
      </w:r>
      <w:r w:rsidRPr="008E4EA2">
        <w:rPr>
          <w:color w:val="000000" w:themeColor="text1"/>
          <w:lang w:val="lv-LV" w:eastAsia="lv-LV"/>
        </w:rPr>
        <w:t xml:space="preserve">. Projektos plānoto līdzekļu apguvi kavēja juridiskās problēmas ar būvniecībai nepieciešamo zemju iegādi (ir nepieciešams veikt to piespiedu atsavināšanu), kā arī šobrīd Latvijas ekonomiskās situācijas izmaiņu rezultātā būvniecības sektorā ierosināts jau noslēgto būvniecības līgumu laušanas process, kā rezultātā </w:t>
      </w:r>
      <w:proofErr w:type="spellStart"/>
      <w:r w:rsidRPr="008E4EA2">
        <w:rPr>
          <w:color w:val="000000" w:themeColor="text1"/>
          <w:lang w:val="lv-LV" w:eastAsia="lv-LV"/>
        </w:rPr>
        <w:t>š.g</w:t>
      </w:r>
      <w:proofErr w:type="spellEnd"/>
      <w:r w:rsidRPr="008E4EA2">
        <w:rPr>
          <w:color w:val="000000" w:themeColor="text1"/>
          <w:lang w:val="lv-LV" w:eastAsia="lv-LV"/>
        </w:rPr>
        <w:t>. 25.jūlijā</w:t>
      </w:r>
      <w:r w:rsidR="003271BE" w:rsidRPr="008E4EA2">
        <w:rPr>
          <w:color w:val="000000" w:themeColor="text1"/>
          <w:lang w:val="lv-LV" w:eastAsia="lv-LV"/>
        </w:rPr>
        <w:t xml:space="preserve"> </w:t>
      </w:r>
      <w:r w:rsidRPr="008E4EA2">
        <w:rPr>
          <w:color w:val="000000" w:themeColor="text1"/>
          <w:lang w:val="lv-LV" w:eastAsia="lv-LV"/>
        </w:rPr>
        <w:t>ir noslēgts līgums par autoceļa E22 Rīga (Tīnūži) – Ko</w:t>
      </w:r>
      <w:r w:rsidR="00657661" w:rsidRPr="008E4EA2">
        <w:rPr>
          <w:color w:val="000000" w:themeColor="text1"/>
          <w:lang w:val="lv-LV" w:eastAsia="lv-LV"/>
        </w:rPr>
        <w:t xml:space="preserve">knese posma autoceļš P32 – </w:t>
      </w:r>
      <w:proofErr w:type="spellStart"/>
      <w:r w:rsidR="00657661" w:rsidRPr="008E4EA2">
        <w:rPr>
          <w:color w:val="000000" w:themeColor="text1"/>
          <w:lang w:val="lv-LV" w:eastAsia="lv-LV"/>
        </w:rPr>
        <w:t>Viska</w:t>
      </w:r>
      <w:r w:rsidRPr="008E4EA2">
        <w:rPr>
          <w:color w:val="000000" w:themeColor="text1"/>
          <w:lang w:val="lv-LV" w:eastAsia="lv-LV"/>
        </w:rPr>
        <w:t>ļi</w:t>
      </w:r>
      <w:proofErr w:type="spellEnd"/>
      <w:r w:rsidRPr="008E4EA2">
        <w:rPr>
          <w:color w:val="000000" w:themeColor="text1"/>
          <w:lang w:val="lv-LV" w:eastAsia="lv-LV"/>
        </w:rPr>
        <w:t xml:space="preserve"> – Koknese 40,600 – 63,600 km rekonstrukcijas pabeigšanu un </w:t>
      </w:r>
      <w:proofErr w:type="spellStart"/>
      <w:r w:rsidRPr="008E4EA2">
        <w:rPr>
          <w:color w:val="000000" w:themeColor="text1"/>
          <w:lang w:val="lv-LV" w:eastAsia="lv-LV"/>
        </w:rPr>
        <w:t>š.g</w:t>
      </w:r>
      <w:proofErr w:type="spellEnd"/>
      <w:r w:rsidRPr="008E4EA2">
        <w:rPr>
          <w:color w:val="000000" w:themeColor="text1"/>
          <w:lang w:val="lv-LV" w:eastAsia="lv-LV"/>
        </w:rPr>
        <w:t>. ceturtajā ceturksnī plānots noslēgt iepirkuma līgumu par autoceļa E22 posma Ludza – Terehova (Ludza – Nirza) 129,300 – 147,100 km rekonstrukcijas pabeigšanu. Minēto darbību rezultātā ir radušās plānoto projektu īstenošanas termiņu novirzes, par kurām EK tiks informēta ar priekšlikumiem projektu grozījumiem.</w:t>
      </w:r>
      <w:r w:rsidR="003271BE" w:rsidRPr="008E4EA2">
        <w:rPr>
          <w:color w:val="000000" w:themeColor="text1"/>
          <w:lang w:val="lv-LV" w:eastAsia="lv-LV"/>
        </w:rPr>
        <w:t xml:space="preserve"> </w:t>
      </w:r>
    </w:p>
    <w:p w:rsidR="00DA0543" w:rsidRPr="008E4EA2" w:rsidRDefault="00DA0543" w:rsidP="003A0029">
      <w:pPr>
        <w:pStyle w:val="NormalWeb"/>
        <w:spacing w:before="120" w:beforeAutospacing="0" w:after="120" w:afterAutospacing="0" w:line="276" w:lineRule="auto"/>
        <w:jc w:val="both"/>
        <w:rPr>
          <w:color w:val="000000" w:themeColor="text1"/>
          <w:lang w:val="lv-LV" w:eastAsia="lv-LV"/>
        </w:rPr>
      </w:pPr>
      <w:r w:rsidRPr="008E4EA2">
        <w:rPr>
          <w:color w:val="000000" w:themeColor="text1"/>
          <w:lang w:val="lv-LV" w:eastAsia="lv-LV"/>
        </w:rPr>
        <w:t xml:space="preserve">Visu </w:t>
      </w:r>
      <w:r w:rsidR="00C9741B" w:rsidRPr="008E4EA2">
        <w:rPr>
          <w:color w:val="000000" w:themeColor="text1"/>
          <w:lang w:val="lv-LV" w:eastAsia="lv-LV"/>
        </w:rPr>
        <w:t>septiņu</w:t>
      </w:r>
      <w:r w:rsidRPr="008E4EA2">
        <w:rPr>
          <w:color w:val="000000" w:themeColor="text1"/>
          <w:lang w:val="lv-LV" w:eastAsia="lv-LV"/>
        </w:rPr>
        <w:t xml:space="preserve"> lielo projektu ietvaros iepirkumu līgumu slēgšana notiek jau no 2007.gada, visi</w:t>
      </w:r>
      <w:r w:rsidR="003271BE" w:rsidRPr="008E4EA2">
        <w:rPr>
          <w:color w:val="000000" w:themeColor="text1"/>
          <w:lang w:val="lv-LV" w:eastAsia="lv-LV"/>
        </w:rPr>
        <w:t xml:space="preserve"> </w:t>
      </w:r>
      <w:r w:rsidRPr="008E4EA2">
        <w:rPr>
          <w:color w:val="000000" w:themeColor="text1"/>
          <w:lang w:val="lv-LV" w:eastAsia="lv-LV"/>
        </w:rPr>
        <w:t xml:space="preserve">paredzētiem līgumi ir jau gandrīz noslēgti. Dažu iepirkumu līgumu slēgšana turpinās </w:t>
      </w:r>
      <w:r w:rsidRPr="008E4EA2">
        <w:rPr>
          <w:color w:val="000000" w:themeColor="text1"/>
          <w:lang w:val="lv-LV" w:eastAsia="lv-LV"/>
        </w:rPr>
        <w:lastRenderedPageBreak/>
        <w:t>arī 2012.gadā. Taču iepirkumu procedūru laikā pasūtītāji</w:t>
      </w:r>
      <w:r w:rsidR="00760B18" w:rsidRPr="008E4EA2">
        <w:rPr>
          <w:color w:val="000000" w:themeColor="text1"/>
          <w:lang w:val="lv-LV" w:eastAsia="lv-LV"/>
        </w:rPr>
        <w:t>em nākas risināt</w:t>
      </w:r>
      <w:r w:rsidRPr="008E4EA2">
        <w:rPr>
          <w:color w:val="000000" w:themeColor="text1"/>
          <w:lang w:val="lv-LV" w:eastAsia="lv-LV"/>
        </w:rPr>
        <w:t xml:space="preserve"> vairāk</w:t>
      </w:r>
      <w:r w:rsidR="00760B18" w:rsidRPr="008E4EA2">
        <w:rPr>
          <w:color w:val="000000" w:themeColor="text1"/>
          <w:lang w:val="lv-LV" w:eastAsia="lv-LV"/>
        </w:rPr>
        <w:t xml:space="preserve">as </w:t>
      </w:r>
      <w:r w:rsidRPr="008E4EA2">
        <w:rPr>
          <w:color w:val="000000" w:themeColor="text1"/>
          <w:lang w:val="lv-LV" w:eastAsia="lv-LV"/>
        </w:rPr>
        <w:t>problēm</w:t>
      </w:r>
      <w:r w:rsidR="00760B18" w:rsidRPr="008E4EA2">
        <w:rPr>
          <w:color w:val="000000" w:themeColor="text1"/>
          <w:lang w:val="lv-LV" w:eastAsia="lv-LV"/>
        </w:rPr>
        <w:t>as,</w:t>
      </w:r>
      <w:r w:rsidR="005E1672">
        <w:rPr>
          <w:color w:val="000000" w:themeColor="text1"/>
          <w:lang w:val="lv-LV" w:eastAsia="lv-LV"/>
        </w:rPr>
        <w:t xml:space="preserve"> </w:t>
      </w:r>
      <w:r w:rsidRPr="008E4EA2">
        <w:rPr>
          <w:color w:val="000000" w:themeColor="text1"/>
          <w:lang w:val="lv-LV" w:eastAsia="lv-LV"/>
        </w:rPr>
        <w:t>kas aizkavē līgumu slēgšanu, it sevišķi</w:t>
      </w:r>
      <w:r w:rsidR="00760B18" w:rsidRPr="008E4EA2">
        <w:rPr>
          <w:color w:val="000000" w:themeColor="text1"/>
          <w:lang w:val="lv-LV" w:eastAsia="lv-LV"/>
        </w:rPr>
        <w:t xml:space="preserve"> nopietni tas </w:t>
      </w:r>
      <w:r w:rsidRPr="008E4EA2">
        <w:rPr>
          <w:color w:val="000000" w:themeColor="text1"/>
          <w:lang w:val="lv-LV" w:eastAsia="lv-LV"/>
        </w:rPr>
        <w:t>attiec</w:t>
      </w:r>
      <w:r w:rsidR="007D0144" w:rsidRPr="008E4EA2">
        <w:rPr>
          <w:color w:val="000000" w:themeColor="text1"/>
          <w:lang w:val="lv-LV" w:eastAsia="lv-LV"/>
        </w:rPr>
        <w:t>as</w:t>
      </w:r>
      <w:r w:rsidRPr="008E4EA2">
        <w:rPr>
          <w:color w:val="000000" w:themeColor="text1"/>
          <w:lang w:val="lv-LV" w:eastAsia="lv-LV"/>
        </w:rPr>
        <w:t xml:space="preserve"> uz projektu „Rīgas piepilsētas dzelzceļa pasažieru pārvadājumu sistēmas modernizācija un dīzeļvilcienu ritošā sastāva atjaunošana” un „Infrastruktūras attīstība lidostā „Rīga”” .</w:t>
      </w:r>
    </w:p>
    <w:p w:rsidR="00A92883" w:rsidRPr="008E4EA2" w:rsidRDefault="00DA0543" w:rsidP="003A0029">
      <w:pPr>
        <w:pStyle w:val="NormalWeb"/>
        <w:spacing w:before="120" w:beforeAutospacing="0" w:after="120" w:afterAutospacing="0" w:line="276" w:lineRule="auto"/>
        <w:jc w:val="both"/>
        <w:rPr>
          <w:color w:val="000000" w:themeColor="text1"/>
          <w:lang w:val="lv-LV" w:eastAsia="lv-LV"/>
        </w:rPr>
      </w:pPr>
      <w:r w:rsidRPr="008E4EA2">
        <w:rPr>
          <w:color w:val="000000" w:themeColor="text1"/>
          <w:lang w:val="lv-LV" w:eastAsia="lv-LV"/>
        </w:rPr>
        <w:t xml:space="preserve">Projekta „Rīgas piepilsētas dzelzceļa pasažieru pārvadājumu sistēmas modernizācija un dīzeļvilcienu ritošā sastāva atjaunošana” ietvaros </w:t>
      </w:r>
      <w:r w:rsidR="00305BA5" w:rsidRPr="008E4EA2">
        <w:rPr>
          <w:color w:val="000000" w:themeColor="text1"/>
          <w:lang w:val="lv-LV" w:eastAsia="lv-LV"/>
        </w:rPr>
        <w:t xml:space="preserve">starp </w:t>
      </w:r>
      <w:r w:rsidRPr="008E4EA2">
        <w:rPr>
          <w:color w:val="000000" w:themeColor="text1"/>
          <w:lang w:val="lv-LV" w:eastAsia="lv-LV"/>
        </w:rPr>
        <w:t>AS „Pasažieru vilciens”</w:t>
      </w:r>
      <w:r w:rsidR="00305BA5" w:rsidRPr="008E4EA2">
        <w:rPr>
          <w:color w:val="000000" w:themeColor="text1"/>
          <w:lang w:val="lv-LV" w:eastAsia="lv-LV"/>
        </w:rPr>
        <w:t xml:space="preserve"> un</w:t>
      </w:r>
      <w:r w:rsidR="005E1672">
        <w:rPr>
          <w:color w:val="000000" w:themeColor="text1"/>
          <w:lang w:val="lv-LV" w:eastAsia="lv-LV"/>
        </w:rPr>
        <w:t xml:space="preserve"> </w:t>
      </w:r>
      <w:r w:rsidR="00305BA5" w:rsidRPr="008E4EA2">
        <w:rPr>
          <w:color w:val="000000" w:themeColor="text1"/>
          <w:lang w:val="lv-LV" w:eastAsia="lv-LV"/>
        </w:rPr>
        <w:t xml:space="preserve">Spānijas uzņēmumu CAF </w:t>
      </w:r>
      <w:proofErr w:type="spellStart"/>
      <w:r w:rsidRPr="008E4EA2">
        <w:rPr>
          <w:color w:val="000000" w:themeColor="text1"/>
          <w:lang w:val="lv-LV" w:eastAsia="lv-LV"/>
        </w:rPr>
        <w:t>š.g</w:t>
      </w:r>
      <w:proofErr w:type="spellEnd"/>
      <w:r w:rsidRPr="008E4EA2">
        <w:rPr>
          <w:color w:val="000000" w:themeColor="text1"/>
          <w:lang w:val="lv-LV" w:eastAsia="lv-LV"/>
        </w:rPr>
        <w:t>. 2.aprīlī parakstī</w:t>
      </w:r>
      <w:r w:rsidR="00305BA5" w:rsidRPr="008E4EA2">
        <w:rPr>
          <w:color w:val="000000" w:themeColor="text1"/>
          <w:lang w:val="lv-LV" w:eastAsia="lv-LV"/>
        </w:rPr>
        <w:t>tais</w:t>
      </w:r>
      <w:r w:rsidRPr="008E4EA2">
        <w:rPr>
          <w:color w:val="000000" w:themeColor="text1"/>
          <w:lang w:val="lv-LV" w:eastAsia="lv-LV"/>
        </w:rPr>
        <w:t xml:space="preserve"> līgum</w:t>
      </w:r>
      <w:r w:rsidR="00305BA5" w:rsidRPr="008E4EA2">
        <w:rPr>
          <w:color w:val="000000" w:themeColor="text1"/>
          <w:lang w:val="lv-LV" w:eastAsia="lv-LV"/>
        </w:rPr>
        <w:t>s</w:t>
      </w:r>
      <w:r w:rsidRPr="008E4EA2">
        <w:rPr>
          <w:color w:val="000000" w:themeColor="text1"/>
          <w:lang w:val="lv-LV" w:eastAsia="lv-LV"/>
        </w:rPr>
        <w:t xml:space="preserve"> par vilcienu piegādi</w:t>
      </w:r>
      <w:r w:rsidR="002A652B" w:rsidRPr="008E4EA2">
        <w:rPr>
          <w:color w:val="000000" w:themeColor="text1"/>
          <w:lang w:val="lv-LV" w:eastAsia="lv-LV"/>
        </w:rPr>
        <w:t xml:space="preserve"> nav spēkā esošs, jo saskaņā ar līgumu tam bija jāstājas spēkā 6 mēnešu laikā, izpildoties četriem nosacījumiem.</w:t>
      </w:r>
      <w:r w:rsidR="00D45224" w:rsidRPr="008E4EA2">
        <w:rPr>
          <w:color w:val="000000" w:themeColor="text1"/>
          <w:lang w:val="lv-LV" w:eastAsia="lv-LV"/>
        </w:rPr>
        <w:t xml:space="preserve"> Šajā periodā s</w:t>
      </w:r>
      <w:r w:rsidR="002A652B" w:rsidRPr="008E4EA2">
        <w:rPr>
          <w:color w:val="000000" w:themeColor="text1"/>
          <w:lang w:val="lv-LV" w:eastAsia="lv-LV"/>
        </w:rPr>
        <w:t xml:space="preserve">tarp AS „Pasažieru vilciens” un CAF </w:t>
      </w:r>
      <w:r w:rsidR="00E02176" w:rsidRPr="008E4EA2">
        <w:rPr>
          <w:color w:val="000000" w:themeColor="text1"/>
          <w:lang w:val="lv-LV" w:eastAsia="lv-LV"/>
        </w:rPr>
        <w:t xml:space="preserve">ir notikušas vairākas sanāksmes par </w:t>
      </w:r>
      <w:r w:rsidR="00D45224" w:rsidRPr="008E4EA2">
        <w:rPr>
          <w:color w:val="000000" w:themeColor="text1"/>
          <w:lang w:val="lv-LV" w:eastAsia="lv-LV"/>
        </w:rPr>
        <w:t xml:space="preserve">iepirkuma nolikumam atbilstošu </w:t>
      </w:r>
      <w:r w:rsidR="00E02176" w:rsidRPr="008E4EA2">
        <w:rPr>
          <w:color w:val="000000" w:themeColor="text1"/>
          <w:lang w:val="lv-LV" w:eastAsia="lv-LV"/>
        </w:rPr>
        <w:t xml:space="preserve">līguma grozījumu veikšanu, taču </w:t>
      </w:r>
      <w:r w:rsidR="00305BA5" w:rsidRPr="008E4EA2">
        <w:rPr>
          <w:color w:val="000000" w:themeColor="text1"/>
          <w:lang w:val="lv-LV" w:eastAsia="lv-LV"/>
        </w:rPr>
        <w:t xml:space="preserve">kopīga </w:t>
      </w:r>
      <w:r w:rsidR="00E02176" w:rsidRPr="008E4EA2">
        <w:rPr>
          <w:color w:val="000000" w:themeColor="text1"/>
          <w:lang w:val="lv-LV" w:eastAsia="lv-LV"/>
        </w:rPr>
        <w:t xml:space="preserve">vienošanās netika panākta. </w:t>
      </w:r>
      <w:proofErr w:type="spellStart"/>
      <w:r w:rsidR="00E02176" w:rsidRPr="008E4EA2">
        <w:rPr>
          <w:color w:val="000000" w:themeColor="text1"/>
          <w:lang w:val="lv-LV" w:eastAsia="lv-LV"/>
        </w:rPr>
        <w:t>Š.g</w:t>
      </w:r>
      <w:proofErr w:type="spellEnd"/>
      <w:r w:rsidR="00E02176" w:rsidRPr="008E4EA2">
        <w:rPr>
          <w:color w:val="000000" w:themeColor="text1"/>
          <w:lang w:val="lv-LV" w:eastAsia="lv-LV"/>
        </w:rPr>
        <w:t xml:space="preserve">. </w:t>
      </w:r>
      <w:r w:rsidR="00D45224" w:rsidRPr="008E4EA2">
        <w:rPr>
          <w:color w:val="000000" w:themeColor="text1"/>
          <w:lang w:val="lv-LV" w:eastAsia="lv-LV"/>
        </w:rPr>
        <w:t>16</w:t>
      </w:r>
      <w:r w:rsidR="00E02176" w:rsidRPr="008E4EA2">
        <w:rPr>
          <w:color w:val="000000" w:themeColor="text1"/>
          <w:lang w:val="lv-LV" w:eastAsia="lv-LV"/>
        </w:rPr>
        <w:t>. u</w:t>
      </w:r>
      <w:r w:rsidR="00D45224" w:rsidRPr="008E4EA2">
        <w:rPr>
          <w:color w:val="000000" w:themeColor="text1"/>
          <w:lang w:val="lv-LV" w:eastAsia="lv-LV"/>
        </w:rPr>
        <w:t>n 23</w:t>
      </w:r>
      <w:r w:rsidR="00305BA5" w:rsidRPr="008E4EA2">
        <w:rPr>
          <w:color w:val="000000" w:themeColor="text1"/>
          <w:lang w:val="lv-LV" w:eastAsia="lv-LV"/>
        </w:rPr>
        <w:t>.oktobrī MK izskatīti</w:t>
      </w:r>
      <w:r w:rsidR="00E02176" w:rsidRPr="008E4EA2">
        <w:rPr>
          <w:color w:val="000000" w:themeColor="text1"/>
          <w:lang w:val="lv-LV" w:eastAsia="lv-LV"/>
        </w:rPr>
        <w:t xml:space="preserve"> informatīvie ziņojumi, kuros SM </w:t>
      </w:r>
      <w:r w:rsidR="00305BA5" w:rsidRPr="008E4EA2">
        <w:rPr>
          <w:color w:val="000000" w:themeColor="text1"/>
          <w:lang w:val="lv-LV" w:eastAsia="lv-LV"/>
        </w:rPr>
        <w:t xml:space="preserve">informēja, ka jaunu vilcienu iegāde projekta ietvaros nebūs iespējama, attiecīgi </w:t>
      </w:r>
      <w:r w:rsidR="00E02176" w:rsidRPr="008E4EA2">
        <w:rPr>
          <w:color w:val="000000" w:themeColor="text1"/>
          <w:lang w:val="lv-LV" w:eastAsia="lv-LV"/>
        </w:rPr>
        <w:t>piedāvā</w:t>
      </w:r>
      <w:r w:rsidR="00305BA5" w:rsidRPr="008E4EA2">
        <w:rPr>
          <w:color w:val="000000" w:themeColor="text1"/>
          <w:lang w:val="lv-LV" w:eastAsia="lv-LV"/>
        </w:rPr>
        <w:t>ja</w:t>
      </w:r>
      <w:r w:rsidR="00E02176" w:rsidRPr="008E4EA2">
        <w:rPr>
          <w:color w:val="000000" w:themeColor="text1"/>
          <w:lang w:val="lv-LV" w:eastAsia="lv-LV"/>
        </w:rPr>
        <w:t xml:space="preserve"> pārdalīt projektam piešķirto finansējumu citām aktivitātēm, lai nodrošinātu ES fondu finansējuma izlietojumu. Vienlaikus </w:t>
      </w:r>
      <w:r w:rsidR="00D45224" w:rsidRPr="008E4EA2">
        <w:rPr>
          <w:color w:val="000000" w:themeColor="text1"/>
          <w:lang w:val="lv-LV" w:eastAsia="lv-LV"/>
        </w:rPr>
        <w:t xml:space="preserve">ir nepieciešams uzsākt sarunas ar EK </w:t>
      </w:r>
      <w:r w:rsidR="00E02176" w:rsidRPr="008E4EA2">
        <w:rPr>
          <w:color w:val="000000" w:themeColor="text1"/>
          <w:lang w:val="lv-LV" w:eastAsia="lv-LV"/>
        </w:rPr>
        <w:t>par ES fonda finans</w:t>
      </w:r>
      <w:r w:rsidR="00305BA5" w:rsidRPr="008E4EA2">
        <w:rPr>
          <w:color w:val="000000" w:themeColor="text1"/>
          <w:lang w:val="lv-LV" w:eastAsia="lv-LV"/>
        </w:rPr>
        <w:t>ējuma iesp</w:t>
      </w:r>
      <w:r w:rsidR="00E02176" w:rsidRPr="008E4EA2">
        <w:rPr>
          <w:color w:val="000000" w:themeColor="text1"/>
          <w:lang w:val="lv-LV" w:eastAsia="lv-LV"/>
        </w:rPr>
        <w:t xml:space="preserve">ējamo </w:t>
      </w:r>
      <w:r w:rsidR="00D45224" w:rsidRPr="008E4EA2">
        <w:rPr>
          <w:color w:val="000000" w:themeColor="text1"/>
          <w:lang w:val="lv-LV" w:eastAsia="lv-LV"/>
        </w:rPr>
        <w:t>izlietošanu. S</w:t>
      </w:r>
      <w:r w:rsidR="00E02176" w:rsidRPr="008E4EA2">
        <w:rPr>
          <w:color w:val="000000" w:themeColor="text1"/>
          <w:lang w:val="lv-LV" w:eastAsia="lv-LV"/>
        </w:rPr>
        <w:t xml:space="preserve">arunas </w:t>
      </w:r>
      <w:r w:rsidR="00D45224" w:rsidRPr="008E4EA2">
        <w:rPr>
          <w:color w:val="000000" w:themeColor="text1"/>
          <w:lang w:val="lv-LV" w:eastAsia="lv-LV"/>
        </w:rPr>
        <w:t xml:space="preserve">plānotas </w:t>
      </w:r>
      <w:r w:rsidR="00E02176" w:rsidRPr="008E4EA2">
        <w:rPr>
          <w:color w:val="000000" w:themeColor="text1"/>
          <w:lang w:val="lv-LV" w:eastAsia="lv-LV"/>
        </w:rPr>
        <w:t xml:space="preserve">ar EK </w:t>
      </w:r>
      <w:r w:rsidR="00305BA5" w:rsidRPr="008E4EA2">
        <w:rPr>
          <w:color w:val="000000" w:themeColor="text1"/>
          <w:lang w:val="lv-LV" w:eastAsia="lv-LV"/>
        </w:rPr>
        <w:t xml:space="preserve">jau </w:t>
      </w:r>
      <w:proofErr w:type="spellStart"/>
      <w:r w:rsidR="00657661" w:rsidRPr="008E4EA2">
        <w:rPr>
          <w:color w:val="000000" w:themeColor="text1"/>
          <w:lang w:val="lv-LV" w:eastAsia="lv-LV"/>
        </w:rPr>
        <w:t>š.g</w:t>
      </w:r>
      <w:proofErr w:type="spellEnd"/>
      <w:r w:rsidR="00657661" w:rsidRPr="008E4EA2">
        <w:rPr>
          <w:color w:val="000000" w:themeColor="text1"/>
          <w:lang w:val="lv-LV" w:eastAsia="lv-LV"/>
        </w:rPr>
        <w:t>. 30.okt</w:t>
      </w:r>
      <w:r w:rsidR="00E02176" w:rsidRPr="008E4EA2">
        <w:rPr>
          <w:color w:val="000000" w:themeColor="text1"/>
          <w:lang w:val="lv-LV" w:eastAsia="lv-LV"/>
        </w:rPr>
        <w:t>obrī Briselē.</w:t>
      </w:r>
      <w:r w:rsidR="002A652B" w:rsidRPr="008E4EA2">
        <w:rPr>
          <w:color w:val="000000" w:themeColor="text1"/>
          <w:lang w:val="lv-LV" w:eastAsia="lv-LV"/>
        </w:rPr>
        <w:t xml:space="preserve"> </w:t>
      </w:r>
    </w:p>
    <w:p w:rsidR="00492C44" w:rsidRPr="008E4EA2" w:rsidRDefault="00492C44" w:rsidP="003A0029">
      <w:pPr>
        <w:pStyle w:val="NormalWeb"/>
        <w:spacing w:before="120" w:beforeAutospacing="0" w:after="120" w:afterAutospacing="0" w:line="276" w:lineRule="auto"/>
        <w:jc w:val="both"/>
        <w:rPr>
          <w:color w:val="000000" w:themeColor="text1"/>
          <w:lang w:val="lv-LV" w:eastAsia="lv-LV"/>
        </w:rPr>
      </w:pPr>
      <w:r w:rsidRPr="008E4EA2">
        <w:rPr>
          <w:color w:val="000000" w:themeColor="text1"/>
          <w:lang w:val="lv-LV" w:eastAsia="lv-LV"/>
        </w:rPr>
        <w:t xml:space="preserve">Vides sektora projektā „Vēsturiski piesārņoto vietu „Inčukalna </w:t>
      </w:r>
      <w:proofErr w:type="spellStart"/>
      <w:r w:rsidRPr="008E4EA2">
        <w:rPr>
          <w:color w:val="000000" w:themeColor="text1"/>
          <w:lang w:val="lv-LV" w:eastAsia="lv-LV"/>
        </w:rPr>
        <w:t>sērskābie</w:t>
      </w:r>
      <w:proofErr w:type="spellEnd"/>
      <w:r w:rsidRPr="008E4EA2">
        <w:rPr>
          <w:color w:val="000000" w:themeColor="text1"/>
          <w:lang w:val="lv-LV" w:eastAsia="lv-LV"/>
        </w:rPr>
        <w:t xml:space="preserve"> gudrona dīķi” sanācijas darbi” </w:t>
      </w:r>
      <w:r w:rsidR="00A92883" w:rsidRPr="008E4EA2">
        <w:rPr>
          <w:bCs/>
          <w:color w:val="000000" w:themeColor="text1"/>
          <w:lang w:val="lv-LV" w:eastAsia="lv-LV"/>
        </w:rPr>
        <w:t>pārskata periodā uzņēmējs SIA „Skonto būve”</w:t>
      </w:r>
      <w:r w:rsidR="005E1672">
        <w:rPr>
          <w:bCs/>
          <w:color w:val="000000" w:themeColor="text1"/>
          <w:lang w:val="lv-LV" w:eastAsia="lv-LV"/>
        </w:rPr>
        <w:t xml:space="preserve"> </w:t>
      </w:r>
      <w:r w:rsidR="00A92883" w:rsidRPr="008E4EA2">
        <w:rPr>
          <w:bCs/>
          <w:color w:val="000000" w:themeColor="text1"/>
          <w:lang w:val="lv-LV" w:eastAsia="lv-LV"/>
        </w:rPr>
        <w:t xml:space="preserve">informēja VARAM par konstatētajām atšķirībām piesārņojumu raksturojošo komponentu </w:t>
      </w:r>
      <w:proofErr w:type="spellStart"/>
      <w:r w:rsidR="00A92883" w:rsidRPr="008E4EA2">
        <w:rPr>
          <w:bCs/>
          <w:color w:val="000000" w:themeColor="text1"/>
          <w:lang w:val="lv-LV" w:eastAsia="lv-LV"/>
        </w:rPr>
        <w:t>koncentrācijās</w:t>
      </w:r>
      <w:proofErr w:type="spellEnd"/>
      <w:r w:rsidR="00A92883" w:rsidRPr="008E4EA2">
        <w:rPr>
          <w:bCs/>
          <w:color w:val="000000" w:themeColor="text1"/>
          <w:lang w:val="lv-LV" w:eastAsia="lv-LV"/>
        </w:rPr>
        <w:t xml:space="preserve"> Dienvidu </w:t>
      </w:r>
      <w:proofErr w:type="spellStart"/>
      <w:r w:rsidR="00A92883" w:rsidRPr="008E4EA2">
        <w:rPr>
          <w:bCs/>
          <w:color w:val="000000" w:themeColor="text1"/>
          <w:lang w:val="lv-LV" w:eastAsia="lv-LV"/>
        </w:rPr>
        <w:t>sērskābā</w:t>
      </w:r>
      <w:proofErr w:type="spellEnd"/>
      <w:r w:rsidR="00A92883" w:rsidRPr="008E4EA2">
        <w:rPr>
          <w:bCs/>
          <w:color w:val="000000" w:themeColor="text1"/>
          <w:lang w:val="lv-LV" w:eastAsia="lv-LV"/>
        </w:rPr>
        <w:t xml:space="preserve"> gudrona dīķa „</w:t>
      </w:r>
      <w:r w:rsidR="00C3476A" w:rsidRPr="008E4EA2">
        <w:rPr>
          <w:bCs/>
          <w:color w:val="000000" w:themeColor="text1"/>
          <w:lang w:val="lv-LV" w:eastAsia="lv-LV"/>
        </w:rPr>
        <w:t>0” slā</w:t>
      </w:r>
      <w:r w:rsidR="00657661" w:rsidRPr="008E4EA2">
        <w:rPr>
          <w:bCs/>
          <w:color w:val="000000" w:themeColor="text1"/>
          <w:lang w:val="lv-LV" w:eastAsia="lv-LV"/>
        </w:rPr>
        <w:t xml:space="preserve">nī, un lai to novērstu, </w:t>
      </w:r>
      <w:r w:rsidR="00A92883" w:rsidRPr="008E4EA2">
        <w:rPr>
          <w:bCs/>
          <w:color w:val="000000" w:themeColor="text1"/>
          <w:lang w:val="lv-LV" w:eastAsia="lv-LV"/>
        </w:rPr>
        <w:t xml:space="preserve">indikatīvi ir nepieciešami papildus 943 </w:t>
      </w:r>
      <w:proofErr w:type="spellStart"/>
      <w:r w:rsidR="00A92883" w:rsidRPr="008E4EA2">
        <w:rPr>
          <w:bCs/>
          <w:color w:val="000000" w:themeColor="text1"/>
          <w:lang w:val="lv-LV" w:eastAsia="lv-LV"/>
        </w:rPr>
        <w:t>tūkst</w:t>
      </w:r>
      <w:proofErr w:type="spellEnd"/>
      <w:r w:rsidR="00A92883" w:rsidRPr="008E4EA2">
        <w:rPr>
          <w:bCs/>
          <w:color w:val="000000" w:themeColor="text1"/>
          <w:lang w:val="lv-LV" w:eastAsia="lv-LV"/>
        </w:rPr>
        <w:t>.</w:t>
      </w:r>
      <w:r w:rsidR="00321C19">
        <w:rPr>
          <w:bCs/>
          <w:color w:val="000000" w:themeColor="text1"/>
          <w:lang w:val="lv-LV" w:eastAsia="lv-LV"/>
        </w:rPr>
        <w:t xml:space="preserve"> latu</w:t>
      </w:r>
      <w:r w:rsidR="00A92883" w:rsidRPr="008E4EA2">
        <w:rPr>
          <w:bCs/>
          <w:color w:val="000000" w:themeColor="text1"/>
          <w:lang w:val="lv-LV" w:eastAsia="lv-LV"/>
        </w:rPr>
        <w:t>.</w:t>
      </w:r>
      <w:r w:rsidR="00A92883" w:rsidRPr="008E4EA2">
        <w:rPr>
          <w:color w:val="000000" w:themeColor="text1"/>
          <w:lang w:val="lv-LV"/>
        </w:rPr>
        <w:t xml:space="preserve"> </w:t>
      </w:r>
      <w:r w:rsidR="00A92883" w:rsidRPr="008E4EA2">
        <w:rPr>
          <w:bCs/>
          <w:color w:val="000000" w:themeColor="text1"/>
          <w:lang w:val="lv-LV" w:eastAsia="lv-LV"/>
        </w:rPr>
        <w:t>VARAM skatījumā uzņēmēja papildus pieprasītās izmaksas nav attiecināmas, jo tādā gadījumā</w:t>
      </w:r>
      <w:r w:rsidR="005E1672">
        <w:rPr>
          <w:bCs/>
          <w:color w:val="000000" w:themeColor="text1"/>
          <w:lang w:val="lv-LV" w:eastAsia="lv-LV"/>
        </w:rPr>
        <w:t xml:space="preserve"> </w:t>
      </w:r>
      <w:r w:rsidR="00A92883" w:rsidRPr="008E4EA2">
        <w:rPr>
          <w:rFonts w:eastAsia="Calibri"/>
          <w:bCs/>
          <w:color w:val="000000" w:themeColor="text1"/>
          <w:lang w:val="lv-LV" w:eastAsia="lv-LV"/>
        </w:rPr>
        <w:t xml:space="preserve">netiek izpildīts Līgumā noteiktais „pieredzējuša uzņēmēja ar pienācīgu rūpību veiktas pārbaudes kritērijs”, kas ir priekšnoteikums uzņēmēja prasības par papildu izmaksu kompensēšanu apmierināšanai. Pie tam neatbilstības piesārņojumu raksturojošo komponentu </w:t>
      </w:r>
      <w:proofErr w:type="spellStart"/>
      <w:r w:rsidR="00A92883" w:rsidRPr="008E4EA2">
        <w:rPr>
          <w:rFonts w:eastAsia="Calibri"/>
          <w:bCs/>
          <w:color w:val="000000" w:themeColor="text1"/>
          <w:lang w:val="lv-LV" w:eastAsia="lv-LV"/>
        </w:rPr>
        <w:t>koncentrācijās</w:t>
      </w:r>
      <w:proofErr w:type="spellEnd"/>
      <w:r w:rsidR="00A92883" w:rsidRPr="008E4EA2">
        <w:rPr>
          <w:rFonts w:eastAsia="Calibri"/>
          <w:bCs/>
          <w:color w:val="000000" w:themeColor="text1"/>
          <w:lang w:val="lv-LV" w:eastAsia="lv-LV"/>
        </w:rPr>
        <w:t xml:space="preserve">, vismaz daļēji, ir izraisījušas uzņēmēja veiktās darbības. </w:t>
      </w:r>
      <w:r w:rsidR="00D4415D" w:rsidRPr="008E4EA2">
        <w:rPr>
          <w:rFonts w:eastAsia="Calibri"/>
          <w:bCs/>
          <w:color w:val="000000" w:themeColor="text1"/>
          <w:lang w:val="lv-LV" w:eastAsia="lv-LV"/>
        </w:rPr>
        <w:t xml:space="preserve">Šobrīd turpinās sarunas starp </w:t>
      </w:r>
      <w:r w:rsidR="00A92883" w:rsidRPr="008E4EA2">
        <w:rPr>
          <w:rFonts w:eastAsia="Calibri"/>
          <w:color w:val="000000" w:themeColor="text1"/>
          <w:lang w:val="lv-LV" w:eastAsia="lv-LV"/>
        </w:rPr>
        <w:t>V</w:t>
      </w:r>
      <w:r w:rsidR="00D4415D" w:rsidRPr="008E4EA2">
        <w:rPr>
          <w:rFonts w:eastAsia="Calibri"/>
          <w:color w:val="000000" w:themeColor="text1"/>
          <w:lang w:val="lv-LV" w:eastAsia="lv-LV"/>
        </w:rPr>
        <w:t>ARAM un</w:t>
      </w:r>
      <w:r w:rsidR="00A92883" w:rsidRPr="008E4EA2">
        <w:rPr>
          <w:rFonts w:eastAsia="Calibri"/>
          <w:color w:val="000000" w:themeColor="text1"/>
          <w:lang w:val="lv-LV" w:eastAsia="lv-LV"/>
        </w:rPr>
        <w:t xml:space="preserve"> uzņēmēj</w:t>
      </w:r>
      <w:r w:rsidR="00D4415D" w:rsidRPr="008E4EA2">
        <w:rPr>
          <w:rFonts w:eastAsia="Calibri"/>
          <w:color w:val="000000" w:themeColor="text1"/>
          <w:lang w:val="lv-LV" w:eastAsia="lv-LV"/>
        </w:rPr>
        <w:t>u</w:t>
      </w:r>
      <w:r w:rsidR="00A92883" w:rsidRPr="008E4EA2">
        <w:rPr>
          <w:rFonts w:eastAsia="Calibri"/>
          <w:color w:val="000000" w:themeColor="text1"/>
          <w:lang w:val="lv-LV" w:eastAsia="lv-LV"/>
        </w:rPr>
        <w:t xml:space="preserve"> informēt par gatavību turpināt pildīt Līgumā noteiktās saistības saskaņā ar līguma noteikumiem un akceptētās līguma summas ietvaros. Ja uzņēmējs izvēlēsies lauzt līgumu</w:t>
      </w:r>
      <w:r w:rsidR="00D4415D" w:rsidRPr="008E4EA2">
        <w:rPr>
          <w:rFonts w:eastAsia="Calibri"/>
          <w:color w:val="000000" w:themeColor="text1"/>
          <w:lang w:val="lv-LV" w:eastAsia="lv-LV"/>
        </w:rPr>
        <w:t>,</w:t>
      </w:r>
      <w:r w:rsidR="00A92883" w:rsidRPr="008E4EA2">
        <w:rPr>
          <w:rFonts w:eastAsia="Calibri"/>
          <w:color w:val="000000" w:themeColor="text1"/>
          <w:lang w:val="lv-LV" w:eastAsia="lv-LV"/>
        </w:rPr>
        <w:t xml:space="preserve"> kopējā projekta ieviešana aizkavēsies par vairākiem mēnešiem, dēļ jaunas iep</w:t>
      </w:r>
      <w:r w:rsidR="00D4415D" w:rsidRPr="008E4EA2">
        <w:rPr>
          <w:rFonts w:eastAsia="Calibri"/>
          <w:color w:val="000000" w:themeColor="text1"/>
          <w:lang w:val="lv-LV" w:eastAsia="lv-LV"/>
        </w:rPr>
        <w:t>irkuma procedūras organizēšanas</w:t>
      </w:r>
      <w:r w:rsidR="00A92883" w:rsidRPr="008E4EA2">
        <w:rPr>
          <w:rFonts w:eastAsia="Calibri"/>
          <w:color w:val="000000" w:themeColor="text1"/>
          <w:lang w:val="lv-LV" w:eastAsia="lv-LV"/>
        </w:rPr>
        <w:t>.</w:t>
      </w:r>
    </w:p>
    <w:p w:rsidR="0003086E" w:rsidRPr="008E4EA2" w:rsidRDefault="001A0AA9" w:rsidP="003A0029">
      <w:pPr>
        <w:pStyle w:val="2lmenis"/>
        <w:numPr>
          <w:ilvl w:val="1"/>
          <w:numId w:val="2"/>
        </w:numPr>
        <w:spacing w:before="120" w:after="120" w:line="276" w:lineRule="auto"/>
        <w:ind w:left="1276" w:hanging="425"/>
        <w:jc w:val="both"/>
        <w:rPr>
          <w:color w:val="000000" w:themeColor="text1"/>
          <w:sz w:val="24"/>
          <w:szCs w:val="24"/>
          <w:lang w:val="lv-LV"/>
        </w:rPr>
      </w:pPr>
      <w:bookmarkStart w:id="43" w:name="_Toc340241699"/>
      <w:r w:rsidRPr="008E4EA2">
        <w:rPr>
          <w:color w:val="000000" w:themeColor="text1"/>
          <w:sz w:val="24"/>
          <w:szCs w:val="24"/>
          <w:lang w:val="lv-LV"/>
        </w:rPr>
        <w:t>Kopsavilkums par</w:t>
      </w:r>
      <w:r w:rsidR="00F371BE" w:rsidRPr="008E4EA2">
        <w:rPr>
          <w:color w:val="000000" w:themeColor="text1"/>
          <w:sz w:val="24"/>
          <w:szCs w:val="24"/>
          <w:lang w:val="lv-LV"/>
        </w:rPr>
        <w:t xml:space="preserve"> ES fondu</w:t>
      </w:r>
      <w:r w:rsidRPr="008E4EA2">
        <w:rPr>
          <w:color w:val="000000" w:themeColor="text1"/>
          <w:sz w:val="24"/>
          <w:szCs w:val="24"/>
          <w:lang w:val="lv-LV"/>
        </w:rPr>
        <w:t xml:space="preserve"> </w:t>
      </w:r>
      <w:r w:rsidR="00836BC3" w:rsidRPr="008E4EA2">
        <w:rPr>
          <w:color w:val="000000" w:themeColor="text1"/>
          <w:sz w:val="24"/>
          <w:szCs w:val="24"/>
          <w:lang w:val="lv-LV"/>
        </w:rPr>
        <w:t>TP</w:t>
      </w:r>
      <w:r w:rsidRPr="008E4EA2">
        <w:rPr>
          <w:color w:val="000000" w:themeColor="text1"/>
          <w:sz w:val="24"/>
          <w:szCs w:val="24"/>
          <w:lang w:val="lv-LV"/>
        </w:rPr>
        <w:t xml:space="preserve"> aktivitāšu īstenošanu</w:t>
      </w:r>
      <w:bookmarkEnd w:id="43"/>
    </w:p>
    <w:p w:rsidR="007C2854" w:rsidRPr="008E4EA2" w:rsidRDefault="007C2854" w:rsidP="003A0029">
      <w:pPr>
        <w:spacing w:before="120" w:after="120" w:line="276" w:lineRule="auto"/>
        <w:rPr>
          <w:rFonts w:eastAsiaTheme="minorHAnsi"/>
          <w:color w:val="000000" w:themeColor="text1"/>
          <w:szCs w:val="24"/>
        </w:rPr>
      </w:pPr>
      <w:r w:rsidRPr="008E4EA2">
        <w:rPr>
          <w:rFonts w:eastAsiaTheme="minorHAnsi"/>
          <w:color w:val="000000" w:themeColor="text1"/>
          <w:szCs w:val="24"/>
        </w:rPr>
        <w:t xml:space="preserve">TP </w:t>
      </w:r>
      <w:r w:rsidR="00185B82" w:rsidRPr="008E4EA2">
        <w:rPr>
          <w:rFonts w:eastAsiaTheme="minorHAnsi"/>
          <w:color w:val="000000" w:themeColor="text1"/>
          <w:szCs w:val="24"/>
        </w:rPr>
        <w:t xml:space="preserve">atbalsts ir ES fondu vadībā iesaistītām institūcijām ar </w:t>
      </w:r>
      <w:r w:rsidRPr="008E4EA2">
        <w:rPr>
          <w:rFonts w:eastAsiaTheme="minorHAnsi"/>
          <w:color w:val="000000" w:themeColor="text1"/>
          <w:szCs w:val="24"/>
        </w:rPr>
        <w:t xml:space="preserve">mērķi nodrošināt </w:t>
      </w:r>
      <w:r w:rsidR="00185B82" w:rsidRPr="008E4EA2">
        <w:rPr>
          <w:rFonts w:eastAsiaTheme="minorHAnsi"/>
          <w:color w:val="000000" w:themeColor="text1"/>
          <w:szCs w:val="24"/>
        </w:rPr>
        <w:t xml:space="preserve">efektīvu </w:t>
      </w:r>
      <w:r w:rsidRPr="008E4EA2">
        <w:rPr>
          <w:rFonts w:eastAsiaTheme="minorHAnsi"/>
          <w:color w:val="000000" w:themeColor="text1"/>
          <w:szCs w:val="24"/>
        </w:rPr>
        <w:t xml:space="preserve">ES fondu vadību. TP finansējums tiek novirzīts darbības programmu sagatavošanai, vadības, uzraudzības, izvērtēšanas, informācijas un kontroles darbību veikšanai, kā arī administratīvo spēju stiprināšanai, īstenojot ES fondus. </w:t>
      </w:r>
    </w:p>
    <w:p w:rsidR="00DF3004" w:rsidRDefault="007D5303" w:rsidP="006000AC">
      <w:pPr>
        <w:spacing w:before="120" w:after="120" w:line="276" w:lineRule="auto"/>
        <w:rPr>
          <w:color w:val="000000" w:themeColor="text1"/>
          <w:szCs w:val="24"/>
        </w:rPr>
      </w:pPr>
      <w:r w:rsidRPr="008E4EA2">
        <w:rPr>
          <w:color w:val="000000" w:themeColor="text1"/>
          <w:szCs w:val="24"/>
        </w:rPr>
        <w:br w:type="column"/>
      </w:r>
      <w:r w:rsidR="00DF3004" w:rsidRPr="008E4EA2">
        <w:rPr>
          <w:color w:val="000000" w:themeColor="text1"/>
          <w:szCs w:val="24"/>
        </w:rPr>
        <w:lastRenderedPageBreak/>
        <w:t>Grafiks Nr.</w:t>
      </w:r>
      <w:r w:rsidR="0078381C" w:rsidRPr="008E4EA2">
        <w:rPr>
          <w:color w:val="000000" w:themeColor="text1"/>
          <w:szCs w:val="24"/>
        </w:rPr>
        <w:t>16</w:t>
      </w:r>
      <w:r w:rsidR="00DF3004" w:rsidRPr="008E4EA2">
        <w:rPr>
          <w:i/>
          <w:color w:val="000000" w:themeColor="text1"/>
          <w:szCs w:val="24"/>
        </w:rPr>
        <w:t xml:space="preserve"> </w:t>
      </w:r>
      <w:r w:rsidR="00AE20E5" w:rsidRPr="008E4EA2">
        <w:rPr>
          <w:i/>
          <w:color w:val="000000" w:themeColor="text1"/>
          <w:szCs w:val="24"/>
        </w:rPr>
        <w:t>„</w:t>
      </w:r>
      <w:r w:rsidR="00D56348" w:rsidRPr="008E4EA2">
        <w:rPr>
          <w:i/>
          <w:color w:val="000000" w:themeColor="text1"/>
          <w:szCs w:val="24"/>
        </w:rPr>
        <w:t>TP</w:t>
      </w:r>
      <w:r w:rsidR="00DF3004" w:rsidRPr="008E4EA2">
        <w:rPr>
          <w:i/>
          <w:iCs/>
          <w:color w:val="000000" w:themeColor="text1"/>
          <w:szCs w:val="24"/>
          <w:lang w:eastAsia="lv-LV"/>
        </w:rPr>
        <w:t xml:space="preserve"> finanšu apguve</w:t>
      </w:r>
      <w:r w:rsidR="00D56348" w:rsidRPr="008E4EA2">
        <w:rPr>
          <w:i/>
          <w:iCs/>
          <w:color w:val="000000" w:themeColor="text1"/>
          <w:szCs w:val="24"/>
          <w:lang w:eastAsia="lv-LV"/>
        </w:rPr>
        <w:t xml:space="preserve"> dalījumā pa izdevumu veidiem, % (dati</w:t>
      </w:r>
      <w:r w:rsidR="00DF3004" w:rsidRPr="008E4EA2">
        <w:rPr>
          <w:i/>
          <w:iCs/>
          <w:color w:val="000000" w:themeColor="text1"/>
          <w:szCs w:val="24"/>
          <w:lang w:eastAsia="lv-LV"/>
        </w:rPr>
        <w:t xml:space="preserve"> </w:t>
      </w:r>
      <w:r w:rsidR="00D56348" w:rsidRPr="008E4EA2">
        <w:rPr>
          <w:rFonts w:eastAsia="EUAlbertina-Bold-Identity-H"/>
          <w:i/>
          <w:color w:val="000000" w:themeColor="text1"/>
          <w:szCs w:val="24"/>
        </w:rPr>
        <w:t>uz</w:t>
      </w:r>
      <w:r w:rsidR="00DF3004" w:rsidRPr="008E4EA2">
        <w:rPr>
          <w:rFonts w:eastAsia="EUAlbertina-Bold-Identity-H"/>
          <w:i/>
          <w:color w:val="000000" w:themeColor="text1"/>
          <w:szCs w:val="24"/>
        </w:rPr>
        <w:t xml:space="preserve"> </w:t>
      </w:r>
      <w:r w:rsidR="00D56348" w:rsidRPr="008E4EA2">
        <w:rPr>
          <w:i/>
          <w:color w:val="000000" w:themeColor="text1"/>
          <w:szCs w:val="24"/>
        </w:rPr>
        <w:t>2012.gada 30.septembri)</w:t>
      </w:r>
      <w:r w:rsidR="00AE20E5" w:rsidRPr="008E4EA2">
        <w:rPr>
          <w:i/>
          <w:color w:val="000000" w:themeColor="text1"/>
          <w:szCs w:val="24"/>
        </w:rPr>
        <w:t>.”</w:t>
      </w:r>
      <w:r w:rsidR="006000AC" w:rsidRPr="008E4EA2" w:rsidDel="006000AC">
        <w:rPr>
          <w:color w:val="000000" w:themeColor="text1"/>
          <w:szCs w:val="24"/>
        </w:rPr>
        <w:t xml:space="preserve"> </w:t>
      </w:r>
    </w:p>
    <w:p w:rsidR="006000AC" w:rsidRDefault="006000AC" w:rsidP="006000AC">
      <w:pPr>
        <w:spacing w:before="120" w:after="120" w:line="276" w:lineRule="auto"/>
        <w:rPr>
          <w:color w:val="000000" w:themeColor="text1"/>
          <w:szCs w:val="24"/>
        </w:rPr>
      </w:pPr>
      <w:r>
        <w:rPr>
          <w:noProof/>
          <w:lang w:eastAsia="lv-LV"/>
        </w:rPr>
        <w:drawing>
          <wp:inline distT="0" distB="0" distL="0" distR="0" wp14:anchorId="5F9E8809" wp14:editId="5FD5B076">
            <wp:extent cx="5981700" cy="32766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F3004" w:rsidRDefault="00D56348" w:rsidP="003A0029">
      <w:pPr>
        <w:spacing w:before="120" w:after="120" w:line="276" w:lineRule="auto"/>
        <w:rPr>
          <w:i/>
          <w:color w:val="000000" w:themeColor="text1"/>
          <w:szCs w:val="24"/>
        </w:rPr>
      </w:pPr>
      <w:r w:rsidRPr="008E4EA2">
        <w:rPr>
          <w:color w:val="000000" w:themeColor="text1"/>
          <w:szCs w:val="24"/>
        </w:rPr>
        <w:t>Grafiks Nr.1</w:t>
      </w:r>
      <w:r w:rsidR="0078381C" w:rsidRPr="008E4EA2">
        <w:rPr>
          <w:color w:val="000000" w:themeColor="text1"/>
          <w:szCs w:val="24"/>
        </w:rPr>
        <w:t>7</w:t>
      </w:r>
      <w:r w:rsidRPr="008E4EA2">
        <w:rPr>
          <w:i/>
          <w:color w:val="000000" w:themeColor="text1"/>
          <w:szCs w:val="24"/>
        </w:rPr>
        <w:t xml:space="preserve"> </w:t>
      </w:r>
      <w:r w:rsidR="00AE20E5" w:rsidRPr="008E4EA2">
        <w:rPr>
          <w:i/>
          <w:color w:val="000000" w:themeColor="text1"/>
          <w:szCs w:val="24"/>
        </w:rPr>
        <w:t>„</w:t>
      </w:r>
      <w:r w:rsidRPr="008E4EA2">
        <w:rPr>
          <w:i/>
          <w:color w:val="000000" w:themeColor="text1"/>
          <w:szCs w:val="24"/>
        </w:rPr>
        <w:t>No TP</w:t>
      </w:r>
      <w:r w:rsidRPr="008E4EA2">
        <w:rPr>
          <w:i/>
          <w:iCs/>
          <w:color w:val="000000" w:themeColor="text1"/>
          <w:szCs w:val="24"/>
          <w:lang w:eastAsia="lv-LV"/>
        </w:rPr>
        <w:t xml:space="preserve"> līdzekļiem finansētie darbinieki, % (dati </w:t>
      </w:r>
      <w:r w:rsidRPr="008E4EA2">
        <w:rPr>
          <w:rFonts w:eastAsia="EUAlbertina-Bold-Identity-H"/>
          <w:i/>
          <w:color w:val="000000" w:themeColor="text1"/>
          <w:szCs w:val="24"/>
        </w:rPr>
        <w:t xml:space="preserve">uz </w:t>
      </w:r>
      <w:r w:rsidRPr="008E4EA2">
        <w:rPr>
          <w:i/>
          <w:color w:val="000000" w:themeColor="text1"/>
          <w:szCs w:val="24"/>
        </w:rPr>
        <w:t>2012.gada 30.septembri)</w:t>
      </w:r>
      <w:r w:rsidR="00AE20E5" w:rsidRPr="008E4EA2">
        <w:rPr>
          <w:i/>
          <w:color w:val="000000" w:themeColor="text1"/>
          <w:szCs w:val="24"/>
        </w:rPr>
        <w:t>.”</w:t>
      </w:r>
    </w:p>
    <w:p w:rsidR="006000AC" w:rsidRDefault="006000AC" w:rsidP="003A0029">
      <w:pPr>
        <w:spacing w:before="120" w:after="120" w:line="276" w:lineRule="auto"/>
        <w:rPr>
          <w:rFonts w:eastAsiaTheme="minorHAnsi"/>
          <w:color w:val="000000" w:themeColor="text1"/>
          <w:szCs w:val="24"/>
        </w:rPr>
      </w:pPr>
      <w:r>
        <w:rPr>
          <w:noProof/>
          <w:lang w:eastAsia="lv-LV"/>
        </w:rPr>
        <w:drawing>
          <wp:inline distT="0" distB="0" distL="0" distR="0" wp14:anchorId="23DF8DFD" wp14:editId="5256E4B2">
            <wp:extent cx="5915025" cy="292417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000AC" w:rsidRDefault="006000AC" w:rsidP="003A0029">
      <w:pPr>
        <w:spacing w:before="120" w:after="120" w:line="276" w:lineRule="auto"/>
        <w:rPr>
          <w:rFonts w:eastAsiaTheme="minorHAnsi"/>
          <w:color w:val="000000" w:themeColor="text1"/>
          <w:szCs w:val="24"/>
        </w:rPr>
      </w:pPr>
    </w:p>
    <w:p w:rsidR="007C2854" w:rsidRPr="008E4EA2" w:rsidRDefault="007C2854" w:rsidP="003A0029">
      <w:pPr>
        <w:spacing w:before="120" w:after="120" w:line="276" w:lineRule="auto"/>
        <w:rPr>
          <w:rFonts w:eastAsiaTheme="minorHAnsi"/>
          <w:color w:val="000000" w:themeColor="text1"/>
          <w:szCs w:val="24"/>
        </w:rPr>
      </w:pPr>
      <w:r w:rsidRPr="008E4EA2">
        <w:rPr>
          <w:rFonts w:eastAsiaTheme="minorHAnsi"/>
          <w:color w:val="000000" w:themeColor="text1"/>
          <w:szCs w:val="24"/>
        </w:rPr>
        <w:t>Līdz 2012.gada beigām plānot</w:t>
      </w:r>
      <w:r w:rsidR="00185B82" w:rsidRPr="008E4EA2">
        <w:rPr>
          <w:rFonts w:eastAsiaTheme="minorHAnsi"/>
          <w:color w:val="000000" w:themeColor="text1"/>
          <w:szCs w:val="24"/>
        </w:rPr>
        <w:t>i</w:t>
      </w:r>
      <w:r w:rsidRPr="008E4EA2">
        <w:rPr>
          <w:rFonts w:eastAsiaTheme="minorHAnsi"/>
          <w:color w:val="000000" w:themeColor="text1"/>
          <w:szCs w:val="24"/>
        </w:rPr>
        <w:t xml:space="preserve"> grozījum</w:t>
      </w:r>
      <w:r w:rsidR="00185B82" w:rsidRPr="008E4EA2">
        <w:rPr>
          <w:rFonts w:eastAsiaTheme="minorHAnsi"/>
          <w:color w:val="000000" w:themeColor="text1"/>
          <w:szCs w:val="24"/>
        </w:rPr>
        <w:t>i</w:t>
      </w:r>
      <w:r w:rsidRPr="008E4EA2">
        <w:rPr>
          <w:rFonts w:eastAsiaTheme="minorHAnsi"/>
          <w:color w:val="000000" w:themeColor="text1"/>
          <w:szCs w:val="24"/>
        </w:rPr>
        <w:t xml:space="preserve"> MK noteikumos, precizējot TP </w:t>
      </w:r>
      <w:r w:rsidR="00F64A61" w:rsidRPr="008E4EA2">
        <w:rPr>
          <w:rFonts w:eastAsiaTheme="minorHAnsi"/>
          <w:color w:val="000000" w:themeColor="text1"/>
          <w:szCs w:val="24"/>
        </w:rPr>
        <w:t xml:space="preserve">otrai </w:t>
      </w:r>
      <w:r w:rsidRPr="008E4EA2">
        <w:rPr>
          <w:rFonts w:eastAsiaTheme="minorHAnsi"/>
          <w:color w:val="000000" w:themeColor="text1"/>
          <w:szCs w:val="24"/>
        </w:rPr>
        <w:t xml:space="preserve">kārtai pieejamo finansējuma apmēru, kā arī, lai nodrošinātu maksimāli efektīvu ES fondu līdzekļu izlietošanas uzraudzību un optimālu rezultātu sasniegšanu TP </w:t>
      </w:r>
      <w:r w:rsidR="00F64A61" w:rsidRPr="008E4EA2">
        <w:rPr>
          <w:rFonts w:eastAsiaTheme="minorHAnsi"/>
          <w:color w:val="000000" w:themeColor="text1"/>
          <w:szCs w:val="24"/>
        </w:rPr>
        <w:t xml:space="preserve">otrās </w:t>
      </w:r>
      <w:r w:rsidRPr="008E4EA2">
        <w:rPr>
          <w:rFonts w:eastAsiaTheme="minorHAnsi"/>
          <w:color w:val="000000" w:themeColor="text1"/>
          <w:szCs w:val="24"/>
        </w:rPr>
        <w:t>kārtas ietvaros. Ņemot vērā finansējuma rezerves ierobežoto apjomu un TP galveno mērķi ─</w:t>
      </w:r>
      <w:r w:rsidR="003271BE" w:rsidRPr="008E4EA2">
        <w:rPr>
          <w:rFonts w:eastAsiaTheme="minorHAnsi"/>
          <w:color w:val="000000" w:themeColor="text1"/>
          <w:szCs w:val="24"/>
        </w:rPr>
        <w:t xml:space="preserve"> </w:t>
      </w:r>
      <w:r w:rsidRPr="008E4EA2">
        <w:rPr>
          <w:rFonts w:eastAsiaTheme="minorHAnsi"/>
          <w:color w:val="000000" w:themeColor="text1"/>
          <w:szCs w:val="24"/>
        </w:rPr>
        <w:t xml:space="preserve">nodrošināt atbilstošu ES fondu administrēšanu (primāri atalgojumu), šajā TP projektu ieviešanas posmā galvenā prioritāte ir nodrošināt atalgojuma garantijas un nepārtrauktību </w:t>
      </w:r>
      <w:r w:rsidRPr="008E4EA2">
        <w:rPr>
          <w:rFonts w:eastAsiaTheme="minorHAnsi"/>
          <w:color w:val="000000" w:themeColor="text1"/>
          <w:szCs w:val="24"/>
        </w:rPr>
        <w:lastRenderedPageBreak/>
        <w:t>tiem finansējuma saņēmējiem, kuriem TP projektā finansējums atlīdzībai nav plānots līdz 2014. līdz 2015.gadam.</w:t>
      </w:r>
    </w:p>
    <w:p w:rsidR="0004102D" w:rsidRPr="008E4EA2" w:rsidRDefault="00374D04" w:rsidP="003A0029">
      <w:pPr>
        <w:spacing w:before="120" w:after="120" w:line="276" w:lineRule="auto"/>
        <w:rPr>
          <w:color w:val="000000" w:themeColor="text1"/>
          <w:szCs w:val="24"/>
        </w:rPr>
      </w:pPr>
      <w:r w:rsidRPr="008E4EA2">
        <w:rPr>
          <w:color w:val="000000" w:themeColor="text1"/>
          <w:szCs w:val="24"/>
        </w:rPr>
        <w:t>Š</w:t>
      </w:r>
      <w:r w:rsidR="0004102D" w:rsidRPr="008E4EA2">
        <w:rPr>
          <w:color w:val="000000" w:themeColor="text1"/>
          <w:szCs w:val="24"/>
        </w:rPr>
        <w:t>ajā pārskata periodā un</w:t>
      </w:r>
      <w:r w:rsidRPr="008E4EA2">
        <w:rPr>
          <w:color w:val="000000" w:themeColor="text1"/>
          <w:szCs w:val="24"/>
        </w:rPr>
        <w:t>,</w:t>
      </w:r>
      <w:r w:rsidR="0004102D" w:rsidRPr="008E4EA2">
        <w:rPr>
          <w:color w:val="000000" w:themeColor="text1"/>
          <w:szCs w:val="24"/>
        </w:rPr>
        <w:t xml:space="preserve"> paredzams, ka arī nākamajos pārskata periodos </w:t>
      </w:r>
      <w:r w:rsidRPr="008E4EA2">
        <w:rPr>
          <w:color w:val="000000" w:themeColor="text1"/>
          <w:szCs w:val="24"/>
        </w:rPr>
        <w:t xml:space="preserve">pakāpeniski </w:t>
      </w:r>
      <w:r w:rsidR="0004102D" w:rsidRPr="008E4EA2">
        <w:rPr>
          <w:color w:val="000000" w:themeColor="text1"/>
          <w:szCs w:val="24"/>
        </w:rPr>
        <w:t>arvien vairāk TP finansējums ti</w:t>
      </w:r>
      <w:r w:rsidRPr="008E4EA2">
        <w:rPr>
          <w:color w:val="000000" w:themeColor="text1"/>
          <w:szCs w:val="24"/>
        </w:rPr>
        <w:t>ek</w:t>
      </w:r>
      <w:r w:rsidR="0004102D" w:rsidRPr="008E4EA2">
        <w:rPr>
          <w:color w:val="000000" w:themeColor="text1"/>
          <w:szCs w:val="24"/>
        </w:rPr>
        <w:t xml:space="preserve"> novirzīts 2014.-2020. gada plānošanas perioda sagatavošanās</w:t>
      </w:r>
      <w:r w:rsidRPr="008E4EA2">
        <w:rPr>
          <w:color w:val="000000" w:themeColor="text1"/>
          <w:szCs w:val="24"/>
        </w:rPr>
        <w:t xml:space="preserve"> nodrošināšanai</w:t>
      </w:r>
      <w:r w:rsidR="0004102D" w:rsidRPr="008E4EA2">
        <w:rPr>
          <w:color w:val="000000" w:themeColor="text1"/>
          <w:szCs w:val="24"/>
        </w:rPr>
        <w:t xml:space="preserve">, </w:t>
      </w:r>
      <w:proofErr w:type="spellStart"/>
      <w:r w:rsidR="0004102D" w:rsidRPr="008E4EA2">
        <w:rPr>
          <w:color w:val="000000" w:themeColor="text1"/>
          <w:szCs w:val="24"/>
        </w:rPr>
        <w:t>t.sk</w:t>
      </w:r>
      <w:proofErr w:type="spellEnd"/>
      <w:r w:rsidR="0004102D" w:rsidRPr="008E4EA2">
        <w:rPr>
          <w:color w:val="000000" w:themeColor="text1"/>
          <w:szCs w:val="24"/>
        </w:rPr>
        <w:t xml:space="preserve">. </w:t>
      </w:r>
      <w:r w:rsidR="006952EB">
        <w:rPr>
          <w:color w:val="000000" w:themeColor="text1"/>
          <w:szCs w:val="24"/>
        </w:rPr>
        <w:t>VIS</w:t>
      </w:r>
      <w:r w:rsidR="00733E6B" w:rsidRPr="008E4EA2">
        <w:rPr>
          <w:color w:val="000000" w:themeColor="text1"/>
          <w:szCs w:val="24"/>
        </w:rPr>
        <w:t xml:space="preserve"> izveidei</w:t>
      </w:r>
      <w:r w:rsidR="0004102D" w:rsidRPr="008E4EA2">
        <w:rPr>
          <w:color w:val="000000" w:themeColor="text1"/>
          <w:szCs w:val="24"/>
        </w:rPr>
        <w:t>.</w:t>
      </w:r>
    </w:p>
    <w:p w:rsidR="009F68DF" w:rsidRPr="008E4EA2" w:rsidRDefault="009F68DF" w:rsidP="003A0029">
      <w:pPr>
        <w:pStyle w:val="2lmenis"/>
        <w:numPr>
          <w:ilvl w:val="1"/>
          <w:numId w:val="2"/>
        </w:numPr>
        <w:spacing w:before="120" w:after="120" w:line="276" w:lineRule="auto"/>
        <w:ind w:left="1276" w:hanging="425"/>
        <w:jc w:val="both"/>
        <w:rPr>
          <w:color w:val="000000" w:themeColor="text1"/>
          <w:sz w:val="24"/>
          <w:szCs w:val="24"/>
          <w:lang w:val="lv-LV"/>
        </w:rPr>
      </w:pPr>
      <w:bookmarkStart w:id="44" w:name="_Toc340241700"/>
      <w:r w:rsidRPr="008E4EA2">
        <w:rPr>
          <w:color w:val="000000" w:themeColor="text1"/>
          <w:sz w:val="24"/>
          <w:szCs w:val="24"/>
          <w:lang w:val="lv-LV"/>
        </w:rPr>
        <w:t>2007.-2013.gada plānošanas perioda finanšu apguves salīdzinājums starp jaunajām ES dalībvalstīm</w:t>
      </w:r>
      <w:bookmarkEnd w:id="44"/>
    </w:p>
    <w:p w:rsidR="00A01C50" w:rsidRPr="008E4EA2" w:rsidRDefault="00A01C50" w:rsidP="003A0029">
      <w:pPr>
        <w:spacing w:before="120" w:after="120" w:line="276" w:lineRule="auto"/>
        <w:rPr>
          <w:rFonts w:eastAsiaTheme="minorHAnsi"/>
          <w:color w:val="000000" w:themeColor="text1"/>
          <w:szCs w:val="24"/>
        </w:rPr>
      </w:pPr>
      <w:r w:rsidRPr="008E4EA2">
        <w:rPr>
          <w:rFonts w:eastAsiaTheme="minorHAnsi"/>
          <w:color w:val="000000" w:themeColor="text1"/>
          <w:szCs w:val="24"/>
        </w:rPr>
        <w:t xml:space="preserve">2012.gada jūnija beigās </w:t>
      </w:r>
      <w:r w:rsidR="00E86E40" w:rsidRPr="008E4EA2">
        <w:rPr>
          <w:rFonts w:eastAsiaTheme="minorHAnsi"/>
          <w:color w:val="000000" w:themeColor="text1"/>
          <w:szCs w:val="24"/>
        </w:rPr>
        <w:t xml:space="preserve">Latvijai </w:t>
      </w:r>
      <w:r w:rsidRPr="008E4EA2">
        <w:rPr>
          <w:rFonts w:eastAsiaTheme="minorHAnsi"/>
          <w:color w:val="000000" w:themeColor="text1"/>
          <w:szCs w:val="24"/>
        </w:rPr>
        <w:t>tika atjaunoti maksājumi no EK</w:t>
      </w:r>
      <w:r w:rsidR="007B2B87" w:rsidRPr="008E4EA2">
        <w:rPr>
          <w:rFonts w:eastAsiaTheme="minorHAnsi"/>
          <w:color w:val="000000" w:themeColor="text1"/>
          <w:szCs w:val="24"/>
        </w:rPr>
        <w:t xml:space="preserve">. Līdz ar to </w:t>
      </w:r>
      <w:r w:rsidR="007B2B87" w:rsidRPr="008E4EA2">
        <w:rPr>
          <w:color w:val="000000" w:themeColor="text1"/>
          <w:szCs w:val="24"/>
        </w:rPr>
        <w:t xml:space="preserve">Latvija starp visām ES dalībvalstīm ir pakāpusies par septiņām vietām uz 10.vietu, bet starp jaunajām dalībvalstīm </w:t>
      </w:r>
      <w:r w:rsidR="004C25D1" w:rsidRPr="008E4EA2">
        <w:rPr>
          <w:color w:val="000000" w:themeColor="text1"/>
          <w:szCs w:val="24"/>
        </w:rPr>
        <w:t>pakāpusies no sestās uz</w:t>
      </w:r>
      <w:r w:rsidR="007B2B87" w:rsidRPr="008E4EA2">
        <w:rPr>
          <w:color w:val="000000" w:themeColor="text1"/>
          <w:szCs w:val="24"/>
        </w:rPr>
        <w:t xml:space="preserve"> </w:t>
      </w:r>
      <w:r w:rsidR="00DA026E" w:rsidRPr="008E4EA2">
        <w:rPr>
          <w:color w:val="000000" w:themeColor="text1"/>
          <w:szCs w:val="24"/>
        </w:rPr>
        <w:t xml:space="preserve">ceturto </w:t>
      </w:r>
      <w:r w:rsidR="007B2B87" w:rsidRPr="008E4EA2">
        <w:rPr>
          <w:color w:val="000000" w:themeColor="text1"/>
          <w:szCs w:val="24"/>
        </w:rPr>
        <w:t xml:space="preserve">vietu (no EK kopējos maksājumos saņemti 47,2% no ES fondu piešķīruma, kas ir par </w:t>
      </w:r>
      <w:r w:rsidR="004608E0" w:rsidRPr="008E4EA2">
        <w:rPr>
          <w:color w:val="000000" w:themeColor="text1"/>
          <w:szCs w:val="24"/>
        </w:rPr>
        <w:t>8,4</w:t>
      </w:r>
      <w:r w:rsidR="007B2B87" w:rsidRPr="008E4EA2">
        <w:rPr>
          <w:color w:val="000000" w:themeColor="text1"/>
          <w:szCs w:val="24"/>
        </w:rPr>
        <w:t xml:space="preserve">% vairāk nekā līdz 2012.gada </w:t>
      </w:r>
      <w:r w:rsidR="00DA026E" w:rsidRPr="008E4EA2">
        <w:rPr>
          <w:color w:val="000000" w:themeColor="text1"/>
          <w:szCs w:val="24"/>
        </w:rPr>
        <w:t xml:space="preserve">otrā </w:t>
      </w:r>
      <w:r w:rsidR="007B2B87" w:rsidRPr="008E4EA2">
        <w:rPr>
          <w:color w:val="000000" w:themeColor="text1"/>
          <w:szCs w:val="24"/>
        </w:rPr>
        <w:t>ceturkšņa beigām)</w:t>
      </w:r>
      <w:r w:rsidR="00783EEB" w:rsidRPr="008E4EA2">
        <w:rPr>
          <w:color w:val="000000" w:themeColor="text1"/>
          <w:szCs w:val="24"/>
        </w:rPr>
        <w:t>.</w:t>
      </w:r>
    </w:p>
    <w:p w:rsidR="00E86E40" w:rsidRPr="008E4EA2" w:rsidRDefault="009F68DF" w:rsidP="003A0029">
      <w:pPr>
        <w:spacing w:before="120" w:after="120" w:line="276" w:lineRule="auto"/>
        <w:rPr>
          <w:iCs/>
          <w:color w:val="000000" w:themeColor="text1"/>
          <w:szCs w:val="24"/>
        </w:rPr>
      </w:pPr>
      <w:r w:rsidRPr="008E4EA2">
        <w:rPr>
          <w:rFonts w:eastAsiaTheme="minorHAnsi"/>
          <w:color w:val="000000" w:themeColor="text1"/>
          <w:szCs w:val="24"/>
        </w:rPr>
        <w:t xml:space="preserve">Salīdzinot EK veiktos maksājumus ES jaunajām dalībvalstīm fondu griezumā, Latvija </w:t>
      </w:r>
      <w:r w:rsidR="00E86E40" w:rsidRPr="008E4EA2">
        <w:rPr>
          <w:rFonts w:eastAsiaTheme="minorHAnsi"/>
          <w:color w:val="000000" w:themeColor="text1"/>
          <w:szCs w:val="24"/>
        </w:rPr>
        <w:t xml:space="preserve">uz </w:t>
      </w:r>
      <w:r w:rsidR="005660FA" w:rsidRPr="008E4EA2">
        <w:rPr>
          <w:rFonts w:eastAsiaTheme="minorHAnsi"/>
          <w:color w:val="000000" w:themeColor="text1"/>
          <w:szCs w:val="24"/>
        </w:rPr>
        <w:t xml:space="preserve">2012.gada </w:t>
      </w:r>
      <w:r w:rsidR="007B2B87" w:rsidRPr="008E4EA2">
        <w:rPr>
          <w:rFonts w:eastAsiaTheme="minorHAnsi"/>
          <w:color w:val="000000" w:themeColor="text1"/>
          <w:szCs w:val="24"/>
        </w:rPr>
        <w:t>trešā</w:t>
      </w:r>
      <w:r w:rsidR="004A548E" w:rsidRPr="008E4EA2">
        <w:rPr>
          <w:rFonts w:eastAsiaTheme="minorHAnsi"/>
          <w:color w:val="000000" w:themeColor="text1"/>
          <w:szCs w:val="24"/>
        </w:rPr>
        <w:t xml:space="preserve"> ceturkšņa beigām </w:t>
      </w:r>
      <w:r w:rsidRPr="008E4EA2">
        <w:rPr>
          <w:rFonts w:eastAsiaTheme="minorHAnsi"/>
          <w:color w:val="000000" w:themeColor="text1"/>
          <w:szCs w:val="24"/>
        </w:rPr>
        <w:t xml:space="preserve">ieņem otro vietu ESF ietvaros, no EK saņemti maksājumi </w:t>
      </w:r>
      <w:r w:rsidR="007B2B87" w:rsidRPr="008E4EA2">
        <w:rPr>
          <w:rFonts w:eastAsiaTheme="minorHAnsi"/>
          <w:color w:val="000000" w:themeColor="text1"/>
          <w:szCs w:val="24"/>
        </w:rPr>
        <w:t>70,7</w:t>
      </w:r>
      <w:r w:rsidRPr="008E4EA2">
        <w:rPr>
          <w:rFonts w:eastAsiaTheme="minorHAnsi"/>
          <w:color w:val="000000" w:themeColor="text1"/>
          <w:szCs w:val="24"/>
        </w:rPr>
        <w:t xml:space="preserve">% apmērā no </w:t>
      </w:r>
      <w:r w:rsidR="00E86E40" w:rsidRPr="008E4EA2">
        <w:rPr>
          <w:rFonts w:eastAsiaTheme="minorHAnsi"/>
          <w:color w:val="000000" w:themeColor="text1"/>
          <w:szCs w:val="24"/>
        </w:rPr>
        <w:t xml:space="preserve">pieejamā </w:t>
      </w:r>
      <w:r w:rsidRPr="008E4EA2">
        <w:rPr>
          <w:rFonts w:eastAsiaTheme="minorHAnsi"/>
          <w:color w:val="000000" w:themeColor="text1"/>
          <w:szCs w:val="24"/>
        </w:rPr>
        <w:t xml:space="preserve">ES fondu finansējuma. </w:t>
      </w:r>
      <w:r w:rsidR="00E86E40" w:rsidRPr="008E4EA2">
        <w:rPr>
          <w:color w:val="000000" w:themeColor="text1"/>
          <w:szCs w:val="24"/>
        </w:rPr>
        <w:t xml:space="preserve">Detalizētu informāciju </w:t>
      </w:r>
      <w:r w:rsidR="00E86E40" w:rsidRPr="008E4EA2">
        <w:rPr>
          <w:color w:val="000000" w:themeColor="text1"/>
          <w:szCs w:val="24"/>
          <w:u w:val="single"/>
        </w:rPr>
        <w:t>skatīt grafikā Nr.1</w:t>
      </w:r>
      <w:r w:rsidR="001F2246" w:rsidRPr="008E4EA2">
        <w:rPr>
          <w:color w:val="000000" w:themeColor="text1"/>
          <w:szCs w:val="24"/>
          <w:u w:val="single"/>
        </w:rPr>
        <w:t>8</w:t>
      </w:r>
      <w:r w:rsidR="00E86E40" w:rsidRPr="008E4EA2">
        <w:rPr>
          <w:color w:val="000000" w:themeColor="text1"/>
          <w:szCs w:val="24"/>
          <w:u w:val="single"/>
        </w:rPr>
        <w:t xml:space="preserve">, kā arī </w:t>
      </w:r>
      <w:hyperlink r:id="rId50" w:history="1">
        <w:r w:rsidR="00E86E40" w:rsidRPr="008E4EA2">
          <w:rPr>
            <w:color w:val="000000" w:themeColor="text1"/>
            <w:szCs w:val="24"/>
            <w:u w:val="single"/>
            <w:lang w:eastAsia="lv-LV"/>
          </w:rPr>
          <w:t>ES fondu tīmekļa vietnē</w:t>
        </w:r>
      </w:hyperlink>
      <w:r w:rsidR="00E86E40" w:rsidRPr="008E4EA2">
        <w:rPr>
          <w:color w:val="000000" w:themeColor="text1"/>
          <w:szCs w:val="24"/>
        </w:rPr>
        <w:t>.</w:t>
      </w:r>
    </w:p>
    <w:p w:rsidR="0005210A" w:rsidRPr="008E4EA2" w:rsidRDefault="009F68DF" w:rsidP="003A0029">
      <w:pPr>
        <w:pStyle w:val="Default"/>
        <w:spacing w:before="120" w:after="120" w:line="276" w:lineRule="auto"/>
        <w:jc w:val="both"/>
        <w:rPr>
          <w:color w:val="000000" w:themeColor="text1"/>
        </w:rPr>
      </w:pPr>
      <w:r w:rsidRPr="008E4EA2">
        <w:rPr>
          <w:color w:val="000000" w:themeColor="text1"/>
        </w:rPr>
        <w:t xml:space="preserve">Grafiks </w:t>
      </w:r>
      <w:r w:rsidR="004F3474" w:rsidRPr="008E4EA2">
        <w:rPr>
          <w:color w:val="000000" w:themeColor="text1"/>
        </w:rPr>
        <w:t>Nr.</w:t>
      </w:r>
      <w:r w:rsidR="003E3873" w:rsidRPr="008E4EA2">
        <w:rPr>
          <w:color w:val="000000" w:themeColor="text1"/>
        </w:rPr>
        <w:t>1</w:t>
      </w:r>
      <w:r w:rsidR="0078381C" w:rsidRPr="008E4EA2">
        <w:rPr>
          <w:color w:val="000000" w:themeColor="text1"/>
        </w:rPr>
        <w:t>8</w:t>
      </w:r>
      <w:r w:rsidRPr="008E4EA2">
        <w:rPr>
          <w:color w:val="000000" w:themeColor="text1"/>
        </w:rPr>
        <w:t xml:space="preserve"> </w:t>
      </w:r>
      <w:r w:rsidRPr="008E4EA2">
        <w:rPr>
          <w:i/>
          <w:color w:val="000000" w:themeColor="text1"/>
        </w:rPr>
        <w:t>„EK veiktie maksājumi jaunajām ES dalībvalstīm ESF ietvaros 2007-2013.gada plānošanas periodā līdz 2012.gada 30.</w:t>
      </w:r>
      <w:r w:rsidR="004608E0" w:rsidRPr="008E4EA2">
        <w:rPr>
          <w:i/>
          <w:color w:val="000000" w:themeColor="text1"/>
        </w:rPr>
        <w:t>septembrim</w:t>
      </w:r>
      <w:r w:rsidRPr="008E4EA2">
        <w:rPr>
          <w:color w:val="000000" w:themeColor="text1"/>
        </w:rPr>
        <w:t xml:space="preserve">, </w:t>
      </w:r>
      <w:r w:rsidRPr="008E4EA2">
        <w:rPr>
          <w:i/>
          <w:color w:val="000000" w:themeColor="text1"/>
        </w:rPr>
        <w:t>% pret ES fondu finansējumu (% progress pr</w:t>
      </w:r>
      <w:r w:rsidR="004608E0" w:rsidRPr="008E4EA2">
        <w:rPr>
          <w:i/>
          <w:color w:val="000000" w:themeColor="text1"/>
        </w:rPr>
        <w:t>et datiem līdz 2012.gada 30.jūnijam</w:t>
      </w:r>
      <w:r w:rsidR="00E86E40" w:rsidRPr="008E4EA2">
        <w:rPr>
          <w:i/>
          <w:color w:val="000000" w:themeColor="text1"/>
        </w:rPr>
        <w:t>) (dati uz 2012.gada 8.oktobri)</w:t>
      </w:r>
      <w:r w:rsidRPr="008E4EA2">
        <w:rPr>
          <w:i/>
          <w:color w:val="000000" w:themeColor="text1"/>
        </w:rPr>
        <w:t>.</w:t>
      </w:r>
      <w:r w:rsidRPr="008E4EA2">
        <w:rPr>
          <w:color w:val="000000" w:themeColor="text1"/>
        </w:rPr>
        <w:t xml:space="preserve">” </w:t>
      </w:r>
    </w:p>
    <w:p w:rsidR="00DC51DF" w:rsidRPr="008E4EA2" w:rsidRDefault="008B725E" w:rsidP="003A0029">
      <w:pPr>
        <w:pStyle w:val="Default"/>
        <w:spacing w:before="120" w:after="120" w:line="276" w:lineRule="auto"/>
        <w:jc w:val="both"/>
        <w:rPr>
          <w:color w:val="000000" w:themeColor="text1"/>
        </w:rPr>
      </w:pPr>
      <w:r>
        <w:rPr>
          <w:noProof/>
        </w:rPr>
        <w:drawing>
          <wp:inline distT="0" distB="0" distL="0" distR="0" wp14:anchorId="6A906CEF" wp14:editId="41AFF8B9">
            <wp:extent cx="5486400" cy="3446780"/>
            <wp:effectExtent l="0" t="0" r="0" b="12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86E40" w:rsidRPr="008E4EA2" w:rsidRDefault="005F0AAC" w:rsidP="003A0029">
      <w:pPr>
        <w:spacing w:before="120" w:after="120" w:line="276" w:lineRule="auto"/>
        <w:rPr>
          <w:iCs/>
          <w:color w:val="000000" w:themeColor="text1"/>
          <w:szCs w:val="24"/>
        </w:rPr>
      </w:pPr>
      <w:r w:rsidRPr="008E4EA2">
        <w:rPr>
          <w:rFonts w:eastAsiaTheme="minorHAnsi"/>
          <w:color w:val="000000" w:themeColor="text1"/>
          <w:szCs w:val="24"/>
        </w:rPr>
        <w:t>Pēc EK maksājumu atjaunošanas</w:t>
      </w:r>
      <w:r w:rsidR="004640AA" w:rsidRPr="008E4EA2">
        <w:rPr>
          <w:rFonts w:eastAsiaTheme="minorHAnsi"/>
          <w:color w:val="000000" w:themeColor="text1"/>
          <w:szCs w:val="24"/>
        </w:rPr>
        <w:t>,</w:t>
      </w:r>
      <w:r w:rsidRPr="008E4EA2">
        <w:rPr>
          <w:rFonts w:eastAsiaTheme="minorHAnsi"/>
          <w:color w:val="000000" w:themeColor="text1"/>
          <w:szCs w:val="24"/>
        </w:rPr>
        <w:t xml:space="preserve"> salīdzinot ar </w:t>
      </w:r>
      <w:proofErr w:type="spellStart"/>
      <w:r w:rsidR="00A61A5E" w:rsidRPr="008E4EA2">
        <w:rPr>
          <w:rFonts w:eastAsiaTheme="minorHAnsi"/>
          <w:color w:val="000000" w:themeColor="text1"/>
          <w:szCs w:val="24"/>
        </w:rPr>
        <w:t>š.g</w:t>
      </w:r>
      <w:proofErr w:type="spellEnd"/>
      <w:r w:rsidR="00A61A5E" w:rsidRPr="008E4EA2">
        <w:rPr>
          <w:rFonts w:eastAsiaTheme="minorHAnsi"/>
          <w:color w:val="000000" w:themeColor="text1"/>
          <w:szCs w:val="24"/>
        </w:rPr>
        <w:t>. otro ceturksni</w:t>
      </w:r>
      <w:r w:rsidR="004640AA" w:rsidRPr="008E4EA2">
        <w:rPr>
          <w:rFonts w:eastAsiaTheme="minorHAnsi"/>
          <w:color w:val="000000" w:themeColor="text1"/>
          <w:szCs w:val="24"/>
        </w:rPr>
        <w:t>,</w:t>
      </w:r>
      <w:r w:rsidR="00A61A5E" w:rsidRPr="008E4EA2">
        <w:rPr>
          <w:rFonts w:eastAsiaTheme="minorHAnsi"/>
          <w:color w:val="000000" w:themeColor="text1"/>
          <w:szCs w:val="24"/>
        </w:rPr>
        <w:t xml:space="preserve"> saņemto maksājumu no EK apjoms ir pieaudzis</w:t>
      </w:r>
      <w:r w:rsidR="00667A44" w:rsidRPr="008E4EA2">
        <w:rPr>
          <w:rFonts w:eastAsiaTheme="minorHAnsi"/>
          <w:color w:val="000000" w:themeColor="text1"/>
          <w:szCs w:val="24"/>
        </w:rPr>
        <w:t xml:space="preserve"> par </w:t>
      </w:r>
      <w:r w:rsidR="004640AA" w:rsidRPr="008E4EA2">
        <w:rPr>
          <w:rFonts w:eastAsiaTheme="minorHAnsi"/>
          <w:color w:val="000000" w:themeColor="text1"/>
          <w:szCs w:val="24"/>
        </w:rPr>
        <w:t>aptuveni</w:t>
      </w:r>
      <w:r w:rsidR="00667A44" w:rsidRPr="008E4EA2">
        <w:rPr>
          <w:rFonts w:eastAsiaTheme="minorHAnsi"/>
          <w:color w:val="000000" w:themeColor="text1"/>
          <w:szCs w:val="24"/>
        </w:rPr>
        <w:t xml:space="preserve"> 10% </w:t>
      </w:r>
      <w:r w:rsidR="00A61A5E" w:rsidRPr="008E4EA2">
        <w:rPr>
          <w:rFonts w:eastAsiaTheme="minorHAnsi"/>
          <w:color w:val="000000" w:themeColor="text1"/>
          <w:szCs w:val="24"/>
        </w:rPr>
        <w:t>n</w:t>
      </w:r>
      <w:r w:rsidR="00667A44" w:rsidRPr="008E4EA2">
        <w:rPr>
          <w:rFonts w:eastAsiaTheme="minorHAnsi"/>
          <w:color w:val="000000" w:themeColor="text1"/>
          <w:szCs w:val="24"/>
        </w:rPr>
        <w:t xml:space="preserve">o ES fondu pieejamā finansējuma, </w:t>
      </w:r>
      <w:r w:rsidR="004640AA" w:rsidRPr="008E4EA2">
        <w:rPr>
          <w:rFonts w:eastAsiaTheme="minorHAnsi"/>
          <w:color w:val="000000" w:themeColor="text1"/>
          <w:szCs w:val="24"/>
        </w:rPr>
        <w:t>tomēr</w:t>
      </w:r>
      <w:r w:rsidR="00667A44" w:rsidRPr="008E4EA2">
        <w:rPr>
          <w:rFonts w:eastAsiaTheme="minorHAnsi"/>
          <w:color w:val="000000" w:themeColor="text1"/>
          <w:szCs w:val="24"/>
        </w:rPr>
        <w:t xml:space="preserve"> tas nav bij</w:t>
      </w:r>
      <w:r w:rsidR="00DC1D32" w:rsidRPr="008E4EA2">
        <w:rPr>
          <w:rFonts w:eastAsiaTheme="minorHAnsi"/>
          <w:color w:val="000000" w:themeColor="text1"/>
          <w:szCs w:val="24"/>
        </w:rPr>
        <w:t xml:space="preserve">is </w:t>
      </w:r>
      <w:r w:rsidR="00627BEC" w:rsidRPr="008E4EA2">
        <w:rPr>
          <w:rFonts w:eastAsiaTheme="minorHAnsi"/>
          <w:color w:val="000000" w:themeColor="text1"/>
          <w:szCs w:val="24"/>
        </w:rPr>
        <w:t>pietiekošs</w:t>
      </w:r>
      <w:r w:rsidR="00667A44" w:rsidRPr="008E4EA2">
        <w:rPr>
          <w:rFonts w:eastAsiaTheme="minorHAnsi"/>
          <w:color w:val="000000" w:themeColor="text1"/>
          <w:szCs w:val="24"/>
        </w:rPr>
        <w:t xml:space="preserve">, lai uzlabotu Latvijas pozīciju ES fondu apguvē salīdzinot ar </w:t>
      </w:r>
      <w:r w:rsidR="004640AA" w:rsidRPr="008E4EA2">
        <w:rPr>
          <w:rFonts w:eastAsiaTheme="minorHAnsi"/>
          <w:color w:val="000000" w:themeColor="text1"/>
          <w:szCs w:val="24"/>
        </w:rPr>
        <w:t>pārējām Baltijas valstīm. Salīdzinot Baltijas valstu sasniegto ES fondu</w:t>
      </w:r>
      <w:r w:rsidR="003271BE" w:rsidRPr="008E4EA2">
        <w:rPr>
          <w:rFonts w:eastAsiaTheme="minorHAnsi"/>
          <w:color w:val="000000" w:themeColor="text1"/>
          <w:szCs w:val="24"/>
        </w:rPr>
        <w:t xml:space="preserve"> </w:t>
      </w:r>
      <w:r w:rsidR="004640AA" w:rsidRPr="008E4EA2">
        <w:rPr>
          <w:rFonts w:eastAsiaTheme="minorHAnsi"/>
          <w:color w:val="000000" w:themeColor="text1"/>
          <w:szCs w:val="24"/>
        </w:rPr>
        <w:t xml:space="preserve">apguvē, Latvija ir otrā </w:t>
      </w:r>
      <w:r w:rsidR="004640AA" w:rsidRPr="008E4EA2">
        <w:rPr>
          <w:rFonts w:eastAsiaTheme="minorHAnsi"/>
          <w:color w:val="000000" w:themeColor="text1"/>
          <w:szCs w:val="24"/>
        </w:rPr>
        <w:lastRenderedPageBreak/>
        <w:t>vietā noslēgto līgumu un veikto maksājumu finansējuma saņēmējiem zi</w:t>
      </w:r>
      <w:r w:rsidR="00E86E40" w:rsidRPr="008E4EA2">
        <w:rPr>
          <w:rFonts w:eastAsiaTheme="minorHAnsi"/>
          <w:color w:val="000000" w:themeColor="text1"/>
          <w:szCs w:val="24"/>
        </w:rPr>
        <w:t xml:space="preserve">ņā, attiecīgi par 91% un 87,7%. </w:t>
      </w:r>
      <w:r w:rsidR="00E86E40" w:rsidRPr="008E4EA2">
        <w:rPr>
          <w:color w:val="000000" w:themeColor="text1"/>
          <w:szCs w:val="24"/>
        </w:rPr>
        <w:t xml:space="preserve">Detalizētu informāciju </w:t>
      </w:r>
      <w:r w:rsidR="00E86E40" w:rsidRPr="008E4EA2">
        <w:rPr>
          <w:color w:val="000000" w:themeColor="text1"/>
          <w:szCs w:val="24"/>
          <w:u w:val="single"/>
        </w:rPr>
        <w:t>skatīt grafikā Nr.1</w:t>
      </w:r>
      <w:r w:rsidR="001F2246" w:rsidRPr="008E4EA2">
        <w:rPr>
          <w:color w:val="000000" w:themeColor="text1"/>
          <w:szCs w:val="24"/>
          <w:u w:val="single"/>
        </w:rPr>
        <w:t>9</w:t>
      </w:r>
      <w:r w:rsidR="00E86E40" w:rsidRPr="008E4EA2">
        <w:rPr>
          <w:color w:val="000000" w:themeColor="text1"/>
          <w:szCs w:val="24"/>
          <w:u w:val="single"/>
        </w:rPr>
        <w:t xml:space="preserve"> un </w:t>
      </w:r>
      <w:hyperlink r:id="rId52" w:history="1">
        <w:r w:rsidR="00E86E40" w:rsidRPr="008E4EA2">
          <w:rPr>
            <w:rStyle w:val="Hyperlink"/>
            <w:rFonts w:ascii="Times New Roman" w:hAnsi="Times New Roman" w:cs="Times New Roman"/>
            <w:color w:val="000000" w:themeColor="text1"/>
            <w:sz w:val="24"/>
            <w:szCs w:val="24"/>
            <w:lang w:eastAsia="lv-LV"/>
          </w:rPr>
          <w:t>ES fondu tīmekļa vietnē</w:t>
        </w:r>
        <w:r w:rsidR="00E86E40" w:rsidRPr="008E4EA2">
          <w:rPr>
            <w:rStyle w:val="Hyperlink"/>
            <w:rFonts w:ascii="Times New Roman" w:hAnsi="Times New Roman" w:cs="Times New Roman"/>
            <w:color w:val="000000" w:themeColor="text1"/>
            <w:sz w:val="24"/>
            <w:szCs w:val="24"/>
          </w:rPr>
          <w:t>.</w:t>
        </w:r>
      </w:hyperlink>
    </w:p>
    <w:p w:rsidR="009F68DF" w:rsidRPr="008E4EA2" w:rsidRDefault="003E3873" w:rsidP="003A0029">
      <w:pPr>
        <w:pStyle w:val="Default"/>
        <w:spacing w:before="120" w:after="120" w:line="276" w:lineRule="auto"/>
        <w:jc w:val="both"/>
        <w:rPr>
          <w:color w:val="000000" w:themeColor="text1"/>
        </w:rPr>
      </w:pPr>
      <w:r w:rsidRPr="008E4EA2">
        <w:rPr>
          <w:color w:val="000000" w:themeColor="text1"/>
        </w:rPr>
        <w:t>Grafiks Nr.1</w:t>
      </w:r>
      <w:r w:rsidR="0078381C" w:rsidRPr="008E4EA2">
        <w:rPr>
          <w:color w:val="000000" w:themeColor="text1"/>
        </w:rPr>
        <w:t>9</w:t>
      </w:r>
      <w:r w:rsidR="004F3474" w:rsidRPr="008E4EA2">
        <w:rPr>
          <w:color w:val="000000" w:themeColor="text1"/>
        </w:rPr>
        <w:t xml:space="preserve"> </w:t>
      </w:r>
      <w:r w:rsidR="00253CD1" w:rsidRPr="008E4EA2">
        <w:rPr>
          <w:i/>
          <w:color w:val="000000" w:themeColor="text1"/>
        </w:rPr>
        <w:t>„Baltijas valstu ES fondu</w:t>
      </w:r>
      <w:r w:rsidR="009F68DF" w:rsidRPr="008E4EA2">
        <w:rPr>
          <w:i/>
          <w:color w:val="000000" w:themeColor="text1"/>
        </w:rPr>
        <w:t xml:space="preserve"> apguves salīdzinājums </w:t>
      </w:r>
      <w:r w:rsidR="00253CD1" w:rsidRPr="008E4EA2">
        <w:rPr>
          <w:i/>
          <w:color w:val="000000" w:themeColor="text1"/>
        </w:rPr>
        <w:t>dalījuma pa</w:t>
      </w:r>
      <w:r w:rsidR="005F0AAC" w:rsidRPr="008E4EA2">
        <w:rPr>
          <w:i/>
          <w:color w:val="000000" w:themeColor="text1"/>
        </w:rPr>
        <w:t xml:space="preserve"> fondiem </w:t>
      </w:r>
      <w:r w:rsidR="009F68DF" w:rsidRPr="008E4EA2">
        <w:rPr>
          <w:i/>
          <w:color w:val="000000" w:themeColor="text1"/>
        </w:rPr>
        <w:t>(</w:t>
      </w:r>
      <w:r w:rsidR="005F0AAC" w:rsidRPr="008E4EA2">
        <w:rPr>
          <w:i/>
          <w:color w:val="000000" w:themeColor="text1"/>
        </w:rPr>
        <w:t xml:space="preserve">veiktie maksājumi finansējuma saņēmējiem; % no ES fondu finansējuma) </w:t>
      </w:r>
      <w:r w:rsidR="001352BC" w:rsidRPr="008E4EA2">
        <w:rPr>
          <w:i/>
          <w:color w:val="000000" w:themeColor="text1"/>
        </w:rPr>
        <w:t>līdz 2012.gada 30.</w:t>
      </w:r>
      <w:r w:rsidR="005F0AAC" w:rsidRPr="008E4EA2">
        <w:rPr>
          <w:i/>
          <w:color w:val="000000" w:themeColor="text1"/>
        </w:rPr>
        <w:t>septembrim</w:t>
      </w:r>
      <w:r w:rsidR="009F68DF" w:rsidRPr="008E4EA2">
        <w:rPr>
          <w:i/>
          <w:color w:val="000000" w:themeColor="text1"/>
        </w:rPr>
        <w:t>.”</w:t>
      </w:r>
    </w:p>
    <w:p w:rsidR="00982EFC" w:rsidRPr="008E4EA2" w:rsidRDefault="008B725E" w:rsidP="003A0029">
      <w:pPr>
        <w:spacing w:before="120" w:after="120" w:line="276" w:lineRule="auto"/>
        <w:rPr>
          <w:color w:val="000000" w:themeColor="text1"/>
          <w:szCs w:val="24"/>
        </w:rPr>
      </w:pPr>
      <w:r>
        <w:rPr>
          <w:noProof/>
          <w:lang w:eastAsia="lv-LV"/>
        </w:rPr>
        <w:drawing>
          <wp:inline distT="0" distB="0" distL="0" distR="0" wp14:anchorId="16E59A44" wp14:editId="015BDA01">
            <wp:extent cx="5319423"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82EFC" w:rsidRPr="008E4EA2" w:rsidRDefault="00783EEB" w:rsidP="003A0029">
      <w:pPr>
        <w:spacing w:before="120" w:after="120" w:line="276" w:lineRule="auto"/>
        <w:rPr>
          <w:rFonts w:eastAsiaTheme="minorHAnsi"/>
          <w:color w:val="000000" w:themeColor="text1"/>
          <w:szCs w:val="24"/>
        </w:rPr>
      </w:pPr>
      <w:r w:rsidRPr="008E4EA2">
        <w:rPr>
          <w:rFonts w:eastAsiaTheme="minorHAnsi"/>
          <w:color w:val="000000" w:themeColor="text1"/>
          <w:szCs w:val="24"/>
        </w:rPr>
        <w:t>S</w:t>
      </w:r>
      <w:r w:rsidR="00982EFC" w:rsidRPr="008E4EA2">
        <w:rPr>
          <w:rFonts w:eastAsiaTheme="minorHAnsi"/>
          <w:color w:val="000000" w:themeColor="text1"/>
          <w:szCs w:val="24"/>
        </w:rPr>
        <w:t>tarp Baltijas valstīm Latvija noslēgto līgumu un maksājumu finansējuma saņēmējiem ziņā ierindojas pirmajā vietā</w:t>
      </w:r>
      <w:r w:rsidRPr="008E4EA2">
        <w:rPr>
          <w:rFonts w:eastAsiaTheme="minorHAnsi"/>
          <w:color w:val="000000" w:themeColor="text1"/>
          <w:szCs w:val="24"/>
        </w:rPr>
        <w:t xml:space="preserve"> ESF ietvaros</w:t>
      </w:r>
      <w:r w:rsidR="00982EFC" w:rsidRPr="008E4EA2">
        <w:rPr>
          <w:rFonts w:eastAsiaTheme="minorHAnsi"/>
          <w:color w:val="000000" w:themeColor="text1"/>
          <w:szCs w:val="24"/>
        </w:rPr>
        <w:t>.</w:t>
      </w:r>
    </w:p>
    <w:p w:rsidR="00982EFC" w:rsidRPr="008E4EA2" w:rsidRDefault="00982EFC" w:rsidP="003A0029">
      <w:pPr>
        <w:spacing w:before="120" w:after="120" w:line="276" w:lineRule="auto"/>
        <w:rPr>
          <w:rFonts w:eastAsiaTheme="minorHAnsi"/>
          <w:color w:val="000000" w:themeColor="text1"/>
          <w:szCs w:val="24"/>
        </w:rPr>
      </w:pPr>
      <w:r w:rsidRPr="008E4EA2">
        <w:rPr>
          <w:rFonts w:eastAsiaTheme="minorHAnsi"/>
          <w:color w:val="000000" w:themeColor="text1"/>
          <w:szCs w:val="24"/>
        </w:rPr>
        <w:t xml:space="preserve">KF pieejamā finansējuma apguve Latvijā un Igaunijā norit līdzīgi, no EK saņemto maksājumu ziņā Latvija no Igaunijas atpaliek vien par 2,5%. Turpretī Latvija ar finansējuma saņēmējiem ir noslēgusi līgumus par projekta īstenošanu par 92,3% no pieejamā ES fondu finansējuma, </w:t>
      </w:r>
      <w:proofErr w:type="spellStart"/>
      <w:r w:rsidRPr="008E4EA2">
        <w:rPr>
          <w:rFonts w:eastAsiaTheme="minorHAnsi"/>
          <w:color w:val="000000" w:themeColor="text1"/>
          <w:szCs w:val="24"/>
        </w:rPr>
        <w:t>t.i</w:t>
      </w:r>
      <w:proofErr w:type="spellEnd"/>
      <w:r w:rsidRPr="008E4EA2">
        <w:rPr>
          <w:rFonts w:eastAsiaTheme="minorHAnsi"/>
          <w:color w:val="000000" w:themeColor="text1"/>
          <w:szCs w:val="24"/>
        </w:rPr>
        <w:t>., par 1,3% vairāk nekā Igaunija un par 12,2% vairāk nekā Lietuva, kura KF ietvaros ir līdere no EK saņemto maksājumu ziņā.</w:t>
      </w:r>
    </w:p>
    <w:p w:rsidR="00523138" w:rsidRPr="008E4EA2" w:rsidRDefault="00982EFC" w:rsidP="003A0029">
      <w:pPr>
        <w:spacing w:before="120" w:after="120" w:line="276" w:lineRule="auto"/>
        <w:rPr>
          <w:color w:val="000000" w:themeColor="text1"/>
          <w:szCs w:val="24"/>
        </w:rPr>
      </w:pPr>
      <w:r w:rsidRPr="008E4EA2">
        <w:rPr>
          <w:rFonts w:eastAsiaTheme="minorHAnsi"/>
          <w:color w:val="000000" w:themeColor="text1"/>
          <w:szCs w:val="24"/>
        </w:rPr>
        <w:t>Turpretī ERAF ietvaros pieejamā finansējuma apguve Latvijā norit vislēnāk</w:t>
      </w:r>
      <w:r w:rsidR="00783EEB" w:rsidRPr="008E4EA2">
        <w:rPr>
          <w:rFonts w:eastAsiaTheme="minorHAnsi"/>
          <w:color w:val="000000" w:themeColor="text1"/>
          <w:szCs w:val="24"/>
        </w:rPr>
        <w:t xml:space="preserve">, bet būtiski neatpaliek no </w:t>
      </w:r>
      <w:r w:rsidR="008B725E">
        <w:rPr>
          <w:rFonts w:eastAsiaTheme="minorHAnsi"/>
          <w:color w:val="000000" w:themeColor="text1"/>
          <w:szCs w:val="24"/>
        </w:rPr>
        <w:t>Lietuvas</w:t>
      </w:r>
      <w:r w:rsidRPr="008E4EA2">
        <w:rPr>
          <w:rFonts w:eastAsiaTheme="minorHAnsi"/>
          <w:color w:val="000000" w:themeColor="text1"/>
          <w:szCs w:val="24"/>
        </w:rPr>
        <w:t xml:space="preserve">. </w:t>
      </w:r>
      <w:bookmarkStart w:id="45" w:name="_Toc324948882"/>
      <w:bookmarkStart w:id="46" w:name="_Toc276049985"/>
      <w:bookmarkStart w:id="47" w:name="_Toc290449012"/>
      <w:r w:rsidR="007369F2" w:rsidRPr="008E4EA2">
        <w:rPr>
          <w:color w:val="000000" w:themeColor="text1"/>
          <w:szCs w:val="24"/>
        </w:rPr>
        <w:t xml:space="preserve">2004.-2006.gada plānošanas perioda </w:t>
      </w:r>
      <w:r w:rsidR="00652F08" w:rsidRPr="008E4EA2">
        <w:rPr>
          <w:color w:val="000000" w:themeColor="text1"/>
          <w:szCs w:val="24"/>
        </w:rPr>
        <w:t xml:space="preserve">ES fondu </w:t>
      </w:r>
      <w:r w:rsidR="007369F2" w:rsidRPr="008E4EA2">
        <w:rPr>
          <w:color w:val="000000" w:themeColor="text1"/>
          <w:szCs w:val="24"/>
        </w:rPr>
        <w:t>slēgšana</w:t>
      </w:r>
      <w:bookmarkEnd w:id="45"/>
      <w:r w:rsidR="008B725E">
        <w:rPr>
          <w:color w:val="000000" w:themeColor="text1"/>
          <w:szCs w:val="24"/>
        </w:rPr>
        <w:t>.</w:t>
      </w:r>
    </w:p>
    <w:p w:rsidR="00253CD1" w:rsidRPr="008E4EA2" w:rsidRDefault="00253CD1" w:rsidP="003A0029">
      <w:pPr>
        <w:pStyle w:val="1lmenis"/>
        <w:spacing w:before="120" w:after="120" w:line="276" w:lineRule="auto"/>
        <w:ind w:left="709"/>
        <w:rPr>
          <w:rFonts w:ascii="Times New Roman" w:hAnsi="Times New Roman"/>
          <w:color w:val="000000" w:themeColor="text1"/>
          <w:sz w:val="24"/>
          <w:szCs w:val="24"/>
          <w:lang w:val="lv-LV"/>
        </w:rPr>
      </w:pPr>
      <w:bookmarkStart w:id="48" w:name="_Toc340241701"/>
      <w:r w:rsidRPr="008E4EA2">
        <w:rPr>
          <w:rFonts w:ascii="Times New Roman" w:hAnsi="Times New Roman"/>
          <w:color w:val="000000" w:themeColor="text1"/>
          <w:sz w:val="24"/>
          <w:szCs w:val="24"/>
          <w:lang w:val="lv-LV"/>
        </w:rPr>
        <w:t>2004.-2006.gada plānošanas perioda ES fondu slēgšana</w:t>
      </w:r>
      <w:bookmarkEnd w:id="48"/>
    </w:p>
    <w:p w:rsidR="0054597C" w:rsidRPr="008E4EA2" w:rsidRDefault="0054597C" w:rsidP="003A0029">
      <w:pPr>
        <w:pStyle w:val="2lmenis"/>
        <w:numPr>
          <w:ilvl w:val="1"/>
          <w:numId w:val="2"/>
        </w:numPr>
        <w:spacing w:before="120" w:after="120" w:line="276" w:lineRule="auto"/>
        <w:ind w:left="1276" w:hanging="425"/>
        <w:jc w:val="both"/>
        <w:rPr>
          <w:color w:val="000000" w:themeColor="text1"/>
          <w:sz w:val="24"/>
          <w:szCs w:val="24"/>
          <w:lang w:val="lv-LV"/>
        </w:rPr>
      </w:pPr>
      <w:bookmarkStart w:id="49" w:name="_Toc340241702"/>
      <w:r w:rsidRPr="008E4EA2">
        <w:rPr>
          <w:color w:val="000000" w:themeColor="text1"/>
          <w:sz w:val="24"/>
          <w:szCs w:val="24"/>
          <w:lang w:val="lv-LV"/>
        </w:rPr>
        <w:t>2004.-2006.gada plānošanas perioda KF slēgšana</w:t>
      </w:r>
      <w:bookmarkEnd w:id="49"/>
      <w:r w:rsidRPr="008E4EA2">
        <w:rPr>
          <w:color w:val="000000" w:themeColor="text1"/>
          <w:sz w:val="24"/>
          <w:szCs w:val="24"/>
          <w:lang w:val="lv-LV"/>
        </w:rPr>
        <w:t xml:space="preserve"> </w:t>
      </w:r>
    </w:p>
    <w:p w:rsidR="00A05496" w:rsidRPr="008E4EA2" w:rsidRDefault="00A05496" w:rsidP="003A0029">
      <w:pPr>
        <w:spacing w:before="120" w:after="120" w:line="276" w:lineRule="auto"/>
        <w:rPr>
          <w:rFonts w:eastAsiaTheme="minorHAnsi"/>
          <w:color w:val="000000" w:themeColor="text1"/>
          <w:szCs w:val="24"/>
        </w:rPr>
      </w:pPr>
      <w:r w:rsidRPr="008E4EA2">
        <w:rPr>
          <w:rFonts w:eastAsiaTheme="minorHAnsi"/>
          <w:color w:val="000000" w:themeColor="text1"/>
          <w:szCs w:val="24"/>
        </w:rPr>
        <w:t>Līdz pārskata perioda beigām 200</w:t>
      </w:r>
      <w:r w:rsidR="0054597C" w:rsidRPr="008E4EA2">
        <w:rPr>
          <w:rFonts w:eastAsiaTheme="minorHAnsi"/>
          <w:color w:val="000000" w:themeColor="text1"/>
          <w:szCs w:val="24"/>
        </w:rPr>
        <w:t>4</w:t>
      </w:r>
      <w:r w:rsidRPr="008E4EA2">
        <w:rPr>
          <w:rFonts w:eastAsiaTheme="minorHAnsi"/>
          <w:color w:val="000000" w:themeColor="text1"/>
          <w:szCs w:val="24"/>
        </w:rPr>
        <w:t>.</w:t>
      </w:r>
      <w:r w:rsidR="008B725E">
        <w:rPr>
          <w:rFonts w:eastAsiaTheme="minorHAnsi"/>
          <w:color w:val="000000" w:themeColor="text1"/>
          <w:szCs w:val="24"/>
        </w:rPr>
        <w:t xml:space="preserve"> – </w:t>
      </w:r>
      <w:r w:rsidRPr="008E4EA2">
        <w:rPr>
          <w:rFonts w:eastAsiaTheme="minorHAnsi"/>
          <w:color w:val="000000" w:themeColor="text1"/>
          <w:szCs w:val="24"/>
        </w:rPr>
        <w:t xml:space="preserve">2006.gada plānošanas perioda KF ietvaros EK noslēguma dokumentāciju ir apstiprinājusi kopā 34 (no 45) projektiem vides un satiksmes nozarēs. No EK ir saņemti projektu noslēguma maksājumi kopā 438,4 </w:t>
      </w:r>
      <w:proofErr w:type="spellStart"/>
      <w:r w:rsidRPr="008E4EA2">
        <w:rPr>
          <w:rFonts w:eastAsiaTheme="minorHAnsi"/>
          <w:color w:val="000000" w:themeColor="text1"/>
          <w:szCs w:val="24"/>
        </w:rPr>
        <w:t>milj</w:t>
      </w:r>
      <w:proofErr w:type="spellEnd"/>
      <w:r w:rsidRPr="008E4EA2">
        <w:rPr>
          <w:rFonts w:eastAsiaTheme="minorHAnsi"/>
          <w:color w:val="000000" w:themeColor="text1"/>
          <w:szCs w:val="24"/>
        </w:rPr>
        <w:t>.</w:t>
      </w:r>
      <w:r w:rsidR="003271BE" w:rsidRPr="008E4EA2">
        <w:rPr>
          <w:rFonts w:eastAsiaTheme="minorHAnsi"/>
          <w:color w:val="000000" w:themeColor="text1"/>
          <w:szCs w:val="24"/>
        </w:rPr>
        <w:t xml:space="preserve"> </w:t>
      </w:r>
      <w:r w:rsidRPr="008E4EA2">
        <w:rPr>
          <w:rFonts w:eastAsiaTheme="minorHAnsi"/>
          <w:color w:val="000000" w:themeColor="text1"/>
          <w:szCs w:val="24"/>
        </w:rPr>
        <w:t xml:space="preserve">latu apmērā, kas ir 87,8% no uzņemtajām saistībām 499,5 </w:t>
      </w:r>
      <w:proofErr w:type="spellStart"/>
      <w:r w:rsidRPr="008E4EA2">
        <w:rPr>
          <w:rFonts w:eastAsiaTheme="minorHAnsi"/>
          <w:color w:val="000000" w:themeColor="text1"/>
          <w:szCs w:val="24"/>
        </w:rPr>
        <w:t>milj</w:t>
      </w:r>
      <w:proofErr w:type="spellEnd"/>
      <w:r w:rsidRPr="008E4EA2">
        <w:rPr>
          <w:rFonts w:eastAsiaTheme="minorHAnsi"/>
          <w:color w:val="000000" w:themeColor="text1"/>
          <w:szCs w:val="24"/>
        </w:rPr>
        <w:t>.</w:t>
      </w:r>
      <w:r w:rsidR="003271BE" w:rsidRPr="008E4EA2">
        <w:rPr>
          <w:rFonts w:eastAsiaTheme="minorHAnsi"/>
          <w:color w:val="000000" w:themeColor="text1"/>
          <w:szCs w:val="24"/>
        </w:rPr>
        <w:t xml:space="preserve"> latu</w:t>
      </w:r>
      <w:r w:rsidRPr="008E4EA2">
        <w:rPr>
          <w:rFonts w:eastAsiaTheme="minorHAnsi"/>
          <w:color w:val="000000" w:themeColor="text1"/>
          <w:szCs w:val="24"/>
        </w:rPr>
        <w:t>. Savukārt 11 projektu noslēguma dokumentu izvērtēšana EK joprojām turpinās.</w:t>
      </w:r>
    </w:p>
    <w:p w:rsidR="00A05496" w:rsidRPr="008E4EA2" w:rsidRDefault="00A05496" w:rsidP="003A0029">
      <w:pPr>
        <w:spacing w:before="120" w:after="120" w:line="276" w:lineRule="auto"/>
        <w:rPr>
          <w:rFonts w:eastAsiaTheme="minorHAnsi"/>
          <w:color w:val="000000" w:themeColor="text1"/>
          <w:szCs w:val="24"/>
        </w:rPr>
      </w:pPr>
      <w:r w:rsidRPr="008E4EA2">
        <w:rPr>
          <w:rFonts w:eastAsiaTheme="minorHAnsi"/>
          <w:color w:val="000000" w:themeColor="text1"/>
          <w:szCs w:val="24"/>
        </w:rPr>
        <w:t>2012.gada trešajā ceturksnī EK ir apstiprinājusi noslēguma ziņojumu projektam</w:t>
      </w:r>
      <w:r w:rsidR="003271BE" w:rsidRPr="008E4EA2">
        <w:rPr>
          <w:rFonts w:eastAsiaTheme="minorHAnsi"/>
          <w:color w:val="000000" w:themeColor="text1"/>
          <w:szCs w:val="24"/>
        </w:rPr>
        <w:t xml:space="preserve"> </w:t>
      </w:r>
      <w:r w:rsidRPr="008E4EA2">
        <w:rPr>
          <w:rFonts w:eastAsiaTheme="minorHAnsi"/>
          <w:color w:val="000000" w:themeColor="text1"/>
          <w:szCs w:val="24"/>
        </w:rPr>
        <w:t xml:space="preserve">„Ritošā sastāva sakarsušo bukšu atklāšanas sistēmas modernizācija (Latvijas Austrumu-Rietumu dzelzceļa koridors)”, „Austrumu-Rietumu dzelzceļa koridora iecirkņu sliežu ceļa rekonstrukcija” un „Ūdenssaimniecības attīstība Ventspilī, </w:t>
      </w:r>
      <w:r w:rsidR="003271BE" w:rsidRPr="008E4EA2">
        <w:rPr>
          <w:rFonts w:eastAsiaTheme="minorHAnsi"/>
          <w:color w:val="000000" w:themeColor="text1"/>
          <w:szCs w:val="24"/>
        </w:rPr>
        <w:t>otrā</w:t>
      </w:r>
      <w:r w:rsidRPr="008E4EA2">
        <w:rPr>
          <w:rFonts w:eastAsiaTheme="minorHAnsi"/>
          <w:color w:val="000000" w:themeColor="text1"/>
          <w:szCs w:val="24"/>
        </w:rPr>
        <w:t xml:space="preserve"> kārta”. </w:t>
      </w:r>
    </w:p>
    <w:p w:rsidR="00A05496" w:rsidRPr="008E4EA2" w:rsidRDefault="00A05496" w:rsidP="003A0029">
      <w:pPr>
        <w:spacing w:before="120" w:after="120" w:line="276" w:lineRule="auto"/>
        <w:rPr>
          <w:rFonts w:eastAsiaTheme="minorHAnsi"/>
          <w:color w:val="000000" w:themeColor="text1"/>
          <w:szCs w:val="24"/>
        </w:rPr>
      </w:pPr>
      <w:r w:rsidRPr="008E4EA2">
        <w:rPr>
          <w:rFonts w:eastAsiaTheme="minorHAnsi"/>
          <w:color w:val="000000" w:themeColor="text1"/>
          <w:szCs w:val="24"/>
        </w:rPr>
        <w:lastRenderedPageBreak/>
        <w:t xml:space="preserve">Jau kopš 2009.gada starp Latvijas iestādēm un EK notika uzklausīšanas procedūra par finanšu korekcijas piemērošanu pieciem vides sektora projektiem: „Sadzīves atkritumu apsaimniekošana </w:t>
      </w:r>
      <w:proofErr w:type="spellStart"/>
      <w:r w:rsidRPr="008E4EA2">
        <w:rPr>
          <w:rFonts w:eastAsiaTheme="minorHAnsi"/>
          <w:color w:val="000000" w:themeColor="text1"/>
          <w:szCs w:val="24"/>
        </w:rPr>
        <w:t>Austrumlatgales</w:t>
      </w:r>
      <w:proofErr w:type="spellEnd"/>
      <w:r w:rsidRPr="008E4EA2">
        <w:rPr>
          <w:rFonts w:eastAsiaTheme="minorHAnsi"/>
          <w:color w:val="000000" w:themeColor="text1"/>
          <w:szCs w:val="24"/>
        </w:rPr>
        <w:t xml:space="preserve"> reģionā”, „Jūrmalas ūdenssaimniecības attīstība”, „Ūdensapgādes un kanalizācijas pakalpojumu attīstība Jelgavā”, „Ūdensapgādes un kanalizācijas pakalpojumu attīstība Rīgā, </w:t>
      </w:r>
      <w:r w:rsidR="003271BE" w:rsidRPr="008E4EA2">
        <w:rPr>
          <w:rFonts w:eastAsiaTheme="minorHAnsi"/>
          <w:color w:val="000000" w:themeColor="text1"/>
          <w:szCs w:val="24"/>
        </w:rPr>
        <w:t>otrā</w:t>
      </w:r>
      <w:r w:rsidRPr="008E4EA2">
        <w:rPr>
          <w:rFonts w:eastAsiaTheme="minorHAnsi"/>
          <w:color w:val="000000" w:themeColor="text1"/>
          <w:szCs w:val="24"/>
        </w:rPr>
        <w:t xml:space="preserve"> kārta” un „Sadzīves atkritumu apsaimniekošana </w:t>
      </w:r>
      <w:proofErr w:type="spellStart"/>
      <w:r w:rsidRPr="008E4EA2">
        <w:rPr>
          <w:rFonts w:eastAsiaTheme="minorHAnsi"/>
          <w:color w:val="000000" w:themeColor="text1"/>
          <w:szCs w:val="24"/>
        </w:rPr>
        <w:t>Dienvidlatgales</w:t>
      </w:r>
      <w:proofErr w:type="spellEnd"/>
      <w:r w:rsidRPr="008E4EA2">
        <w:rPr>
          <w:rFonts w:eastAsiaTheme="minorHAnsi"/>
          <w:color w:val="000000" w:themeColor="text1"/>
          <w:szCs w:val="24"/>
        </w:rPr>
        <w:t xml:space="preserve"> reģionā” saistībā a</w:t>
      </w:r>
      <w:r w:rsidR="00B9649A" w:rsidRPr="008E4EA2">
        <w:rPr>
          <w:rFonts w:eastAsiaTheme="minorHAnsi"/>
          <w:color w:val="000000" w:themeColor="text1"/>
          <w:szCs w:val="24"/>
        </w:rPr>
        <w:t>r publisko iepirkumu tiesiskaja</w:t>
      </w:r>
      <w:r w:rsidRPr="008E4EA2">
        <w:rPr>
          <w:rFonts w:eastAsiaTheme="minorHAnsi"/>
          <w:color w:val="000000" w:themeColor="text1"/>
          <w:szCs w:val="24"/>
        </w:rPr>
        <w:t xml:space="preserve">m regulējumam neatbilstošiem papildu darbiem, piegāžu un pakalpojumu iepirkumiem, kā arī līgumu sadārdzinājumu. </w:t>
      </w:r>
      <w:proofErr w:type="spellStart"/>
      <w:r w:rsidRPr="008E4EA2">
        <w:rPr>
          <w:rFonts w:eastAsiaTheme="minorHAnsi"/>
          <w:color w:val="000000" w:themeColor="text1"/>
          <w:szCs w:val="24"/>
        </w:rPr>
        <w:t>Š.g</w:t>
      </w:r>
      <w:proofErr w:type="spellEnd"/>
      <w:r w:rsidRPr="008E4EA2">
        <w:rPr>
          <w:rFonts w:eastAsiaTheme="minorHAnsi"/>
          <w:color w:val="000000" w:themeColor="text1"/>
          <w:szCs w:val="24"/>
        </w:rPr>
        <w:t xml:space="preserve">. 10.maijā EK tika nosūtīts Latvijas atbildīgo institūciju gala viedoklis par EK piemērojamo finanšu korekcijas kopējo summu 1,1 </w:t>
      </w:r>
      <w:proofErr w:type="spellStart"/>
      <w:r w:rsidRPr="008E4EA2">
        <w:rPr>
          <w:rFonts w:eastAsiaTheme="minorHAnsi"/>
          <w:color w:val="000000" w:themeColor="text1"/>
          <w:szCs w:val="24"/>
        </w:rPr>
        <w:t>milj</w:t>
      </w:r>
      <w:proofErr w:type="spellEnd"/>
      <w:r w:rsidRPr="008E4EA2">
        <w:rPr>
          <w:rFonts w:eastAsiaTheme="minorHAnsi"/>
          <w:color w:val="000000" w:themeColor="text1"/>
          <w:szCs w:val="24"/>
        </w:rPr>
        <w:t>.</w:t>
      </w:r>
      <w:r w:rsidR="003271BE" w:rsidRPr="008E4EA2">
        <w:rPr>
          <w:rFonts w:eastAsiaTheme="minorHAnsi"/>
          <w:color w:val="000000" w:themeColor="text1"/>
          <w:szCs w:val="24"/>
        </w:rPr>
        <w:t xml:space="preserve"> </w:t>
      </w:r>
      <w:r w:rsidRPr="008E4EA2">
        <w:rPr>
          <w:rFonts w:eastAsiaTheme="minorHAnsi"/>
          <w:color w:val="000000" w:themeColor="text1"/>
          <w:szCs w:val="24"/>
        </w:rPr>
        <w:t>latu apmērā. Pārskata perioda laikā no EK ir saņemti noslēguma maksājumi par visiem pieciem augstāk minētajiem projektiem</w:t>
      </w:r>
      <w:r w:rsidR="00783EEB" w:rsidRPr="008E4EA2">
        <w:rPr>
          <w:rFonts w:eastAsiaTheme="minorHAnsi"/>
          <w:color w:val="000000" w:themeColor="text1"/>
          <w:szCs w:val="24"/>
        </w:rPr>
        <w:t>, piemērojot neto finanšu korekcij</w:t>
      </w:r>
      <w:r w:rsidR="0002456F" w:rsidRPr="008E4EA2">
        <w:rPr>
          <w:rFonts w:eastAsiaTheme="minorHAnsi"/>
          <w:color w:val="000000" w:themeColor="text1"/>
          <w:szCs w:val="24"/>
        </w:rPr>
        <w:t>as</w:t>
      </w:r>
      <w:r w:rsidR="005E54BE" w:rsidRPr="008E4EA2">
        <w:rPr>
          <w:rFonts w:eastAsiaTheme="minorHAnsi"/>
          <w:color w:val="000000" w:themeColor="text1"/>
          <w:szCs w:val="24"/>
        </w:rPr>
        <w:t xml:space="preserve"> </w:t>
      </w:r>
      <w:r w:rsidR="00E02176" w:rsidRPr="008E4EA2">
        <w:rPr>
          <w:rFonts w:eastAsiaTheme="minorHAnsi"/>
          <w:color w:val="000000" w:themeColor="text1"/>
          <w:szCs w:val="24"/>
        </w:rPr>
        <w:t>1,</w:t>
      </w:r>
      <w:r w:rsidR="0002456F" w:rsidRPr="008E4EA2">
        <w:rPr>
          <w:rFonts w:eastAsiaTheme="minorHAnsi"/>
          <w:color w:val="000000" w:themeColor="text1"/>
          <w:szCs w:val="24"/>
        </w:rPr>
        <w:t>2</w:t>
      </w:r>
      <w:r w:rsidR="00E02176" w:rsidRPr="008E4EA2">
        <w:rPr>
          <w:rFonts w:eastAsiaTheme="minorHAnsi"/>
          <w:color w:val="000000" w:themeColor="text1"/>
          <w:szCs w:val="24"/>
        </w:rPr>
        <w:t xml:space="preserve"> </w:t>
      </w:r>
      <w:proofErr w:type="spellStart"/>
      <w:r w:rsidR="00E02176" w:rsidRPr="008E4EA2">
        <w:rPr>
          <w:rFonts w:eastAsiaTheme="minorHAnsi"/>
          <w:color w:val="000000" w:themeColor="text1"/>
          <w:szCs w:val="24"/>
        </w:rPr>
        <w:t>milj</w:t>
      </w:r>
      <w:proofErr w:type="spellEnd"/>
      <w:r w:rsidR="00E02176" w:rsidRPr="008E4EA2">
        <w:rPr>
          <w:rFonts w:eastAsiaTheme="minorHAnsi"/>
          <w:color w:val="000000" w:themeColor="text1"/>
          <w:szCs w:val="24"/>
        </w:rPr>
        <w:t>.</w:t>
      </w:r>
      <w:r w:rsidR="008B725E">
        <w:rPr>
          <w:rFonts w:eastAsiaTheme="minorHAnsi"/>
          <w:color w:val="000000" w:themeColor="text1"/>
          <w:szCs w:val="24"/>
        </w:rPr>
        <w:t xml:space="preserve"> </w:t>
      </w:r>
      <w:r w:rsidR="00E02176" w:rsidRPr="008E4EA2">
        <w:rPr>
          <w:rFonts w:eastAsiaTheme="minorHAnsi"/>
          <w:color w:val="000000" w:themeColor="text1"/>
          <w:szCs w:val="24"/>
        </w:rPr>
        <w:t>latu apmērā</w:t>
      </w:r>
      <w:r w:rsidR="0002456F" w:rsidRPr="008E4EA2">
        <w:rPr>
          <w:rFonts w:eastAsiaTheme="minorHAnsi"/>
          <w:color w:val="000000" w:themeColor="text1"/>
          <w:szCs w:val="24"/>
        </w:rPr>
        <w:t xml:space="preserve"> kopā</w:t>
      </w:r>
      <w:r w:rsidR="00E02176" w:rsidRPr="008E4EA2">
        <w:rPr>
          <w:rFonts w:eastAsiaTheme="minorHAnsi"/>
          <w:color w:val="000000" w:themeColor="text1"/>
          <w:szCs w:val="24"/>
        </w:rPr>
        <w:t>.</w:t>
      </w:r>
      <w:r w:rsidR="00783EEB" w:rsidRPr="008E4EA2">
        <w:rPr>
          <w:rFonts w:eastAsiaTheme="minorHAnsi"/>
          <w:color w:val="000000" w:themeColor="text1"/>
          <w:szCs w:val="24"/>
        </w:rPr>
        <w:t xml:space="preserve"> </w:t>
      </w:r>
    </w:p>
    <w:p w:rsidR="00A05496" w:rsidRPr="008E4EA2" w:rsidRDefault="00A05496" w:rsidP="003A0029">
      <w:pPr>
        <w:spacing w:before="120" w:after="120" w:line="276" w:lineRule="auto"/>
        <w:rPr>
          <w:rFonts w:eastAsiaTheme="minorHAnsi"/>
          <w:color w:val="000000" w:themeColor="text1"/>
          <w:szCs w:val="24"/>
        </w:rPr>
      </w:pPr>
      <w:proofErr w:type="spellStart"/>
      <w:r w:rsidRPr="008E4EA2">
        <w:rPr>
          <w:rFonts w:eastAsiaTheme="minorHAnsi"/>
          <w:color w:val="000000" w:themeColor="text1"/>
          <w:szCs w:val="24"/>
        </w:rPr>
        <w:t>Š.g</w:t>
      </w:r>
      <w:proofErr w:type="spellEnd"/>
      <w:r w:rsidRPr="008E4EA2">
        <w:rPr>
          <w:rFonts w:eastAsiaTheme="minorHAnsi"/>
          <w:color w:val="000000" w:themeColor="text1"/>
          <w:szCs w:val="24"/>
        </w:rPr>
        <w:t xml:space="preserve">. otrajā ceturksnī no EK tika saņemti priekšlikumi finanšu korekcijas piemērošanai divos vides sektora projektos „Bīstamo atkritumu apsaimniekošanas sistēma Latvijā, </w:t>
      </w:r>
      <w:r w:rsidR="003271BE" w:rsidRPr="008E4EA2">
        <w:rPr>
          <w:rFonts w:eastAsiaTheme="minorHAnsi"/>
          <w:color w:val="000000" w:themeColor="text1"/>
          <w:szCs w:val="24"/>
        </w:rPr>
        <w:t xml:space="preserve">pirmā </w:t>
      </w:r>
      <w:r w:rsidRPr="008E4EA2">
        <w:rPr>
          <w:rFonts w:eastAsiaTheme="minorHAnsi"/>
          <w:color w:val="000000" w:themeColor="text1"/>
          <w:szCs w:val="24"/>
        </w:rPr>
        <w:t>kārta” un „Tehniskā palīdzība ūdenssaimniecības attīstībai pašvaldībās”, par kuriem vienošanās starp Latviju un EK joprojām nav panākta saistībā ar publisko iepirkumu tiesiskajam regulējumam neatbilstošiem papildu darbiem.</w:t>
      </w:r>
      <w:r w:rsidR="00783EEB" w:rsidRPr="008E4EA2">
        <w:rPr>
          <w:rFonts w:eastAsiaTheme="minorHAnsi"/>
          <w:color w:val="000000" w:themeColor="text1"/>
          <w:szCs w:val="24"/>
        </w:rPr>
        <w:t xml:space="preserve"> </w:t>
      </w:r>
      <w:r w:rsidRPr="008E4EA2">
        <w:rPr>
          <w:rFonts w:eastAsiaTheme="minorHAnsi"/>
          <w:color w:val="000000" w:themeColor="text1"/>
          <w:szCs w:val="24"/>
        </w:rPr>
        <w:t>Pēc iesniegto projektu noslēguma dokumentācijas izvērtēšanas, EK ir secinājusi, ka abu projektu ietvaros veiktie papildu darbi nav uzskatāmi par neparedzamiem apstākļiem un nav atbilstīgi publisko iepirkumu regulējumam, tādēļ vēlas piemērot 25% jeb 190</w:t>
      </w:r>
      <w:r w:rsidR="00B9649A" w:rsidRPr="008E4EA2">
        <w:rPr>
          <w:rFonts w:eastAsiaTheme="minorHAnsi"/>
          <w:color w:val="000000" w:themeColor="text1"/>
          <w:szCs w:val="24"/>
        </w:rPr>
        <w:t xml:space="preserve">,9 </w:t>
      </w:r>
      <w:proofErr w:type="spellStart"/>
      <w:r w:rsidR="00B9649A" w:rsidRPr="008E4EA2">
        <w:rPr>
          <w:rFonts w:eastAsiaTheme="minorHAnsi"/>
          <w:color w:val="000000" w:themeColor="text1"/>
          <w:szCs w:val="24"/>
        </w:rPr>
        <w:t>tūkst</w:t>
      </w:r>
      <w:proofErr w:type="spellEnd"/>
      <w:r w:rsidR="00B9649A" w:rsidRPr="008E4EA2">
        <w:rPr>
          <w:rFonts w:eastAsiaTheme="minorHAnsi"/>
          <w:color w:val="000000" w:themeColor="text1"/>
          <w:szCs w:val="24"/>
        </w:rPr>
        <w:t>.</w:t>
      </w:r>
      <w:r w:rsidRPr="008E4EA2">
        <w:rPr>
          <w:rFonts w:eastAsiaTheme="minorHAnsi"/>
          <w:color w:val="000000" w:themeColor="text1"/>
          <w:szCs w:val="24"/>
        </w:rPr>
        <w:t xml:space="preserve"> latu finanšu korekciju no veikto papildu darbu apjomiem. </w:t>
      </w:r>
      <w:r w:rsidR="00B9649A" w:rsidRPr="008E4EA2">
        <w:rPr>
          <w:rFonts w:eastAsiaTheme="minorHAnsi"/>
          <w:color w:val="000000" w:themeColor="text1"/>
          <w:szCs w:val="24"/>
        </w:rPr>
        <w:t>Latvijas</w:t>
      </w:r>
      <w:r w:rsidRPr="008E4EA2">
        <w:rPr>
          <w:rFonts w:eastAsiaTheme="minorHAnsi"/>
          <w:color w:val="000000" w:themeColor="text1"/>
          <w:szCs w:val="24"/>
        </w:rPr>
        <w:t xml:space="preserve"> iestāžu skatījumā EK piemērotā korekcija nav pamatota un </w:t>
      </w:r>
      <w:proofErr w:type="spellStart"/>
      <w:r w:rsidRPr="008E4EA2">
        <w:rPr>
          <w:rFonts w:eastAsiaTheme="minorHAnsi"/>
          <w:color w:val="000000" w:themeColor="text1"/>
          <w:szCs w:val="24"/>
        </w:rPr>
        <w:t>š.g</w:t>
      </w:r>
      <w:proofErr w:type="spellEnd"/>
      <w:r w:rsidRPr="008E4EA2">
        <w:rPr>
          <w:rFonts w:eastAsiaTheme="minorHAnsi"/>
          <w:color w:val="000000" w:themeColor="text1"/>
          <w:szCs w:val="24"/>
        </w:rPr>
        <w:t xml:space="preserve">. jūnijā nosūtīja EK papildu skaidrojumus. Starp </w:t>
      </w:r>
      <w:r w:rsidR="00C776AE" w:rsidRPr="008E4EA2">
        <w:rPr>
          <w:rFonts w:eastAsiaTheme="minorHAnsi"/>
          <w:color w:val="000000" w:themeColor="text1"/>
          <w:szCs w:val="24"/>
        </w:rPr>
        <w:t>Latvijas</w:t>
      </w:r>
      <w:r w:rsidRPr="008E4EA2">
        <w:rPr>
          <w:rFonts w:eastAsiaTheme="minorHAnsi"/>
          <w:color w:val="000000" w:themeColor="text1"/>
          <w:szCs w:val="24"/>
        </w:rPr>
        <w:t xml:space="preserve"> iestādēm un EK joprojām turpinās viedokļu saskaņošana gan par papildu darbu pamatojumu, gan par finanšu korekcijas apmēru.</w:t>
      </w:r>
      <w:r w:rsidR="00783EEB" w:rsidRPr="008E4EA2">
        <w:rPr>
          <w:rFonts w:eastAsiaTheme="minorHAnsi"/>
          <w:color w:val="000000" w:themeColor="text1"/>
          <w:szCs w:val="24"/>
        </w:rPr>
        <w:t xml:space="preserve"> Ņ</w:t>
      </w:r>
      <w:r w:rsidRPr="008E4EA2">
        <w:rPr>
          <w:rFonts w:eastAsiaTheme="minorHAnsi"/>
          <w:color w:val="000000" w:themeColor="text1"/>
          <w:szCs w:val="24"/>
        </w:rPr>
        <w:t xml:space="preserve">emot vērā, ka par visiem papildu darbiem ir saņemtas </w:t>
      </w:r>
      <w:r w:rsidR="00B9649A" w:rsidRPr="008E4EA2">
        <w:rPr>
          <w:rFonts w:eastAsiaTheme="minorHAnsi"/>
          <w:color w:val="000000" w:themeColor="text1"/>
          <w:szCs w:val="24"/>
        </w:rPr>
        <w:t>Iepirkumu uzraudzības biroja</w:t>
      </w:r>
      <w:r w:rsidRPr="008E4EA2">
        <w:rPr>
          <w:rFonts w:eastAsiaTheme="minorHAnsi"/>
          <w:color w:val="000000" w:themeColor="text1"/>
          <w:szCs w:val="24"/>
        </w:rPr>
        <w:t xml:space="preserve"> atļaujas rīkot sarunu procedūru, tad </w:t>
      </w:r>
      <w:r w:rsidR="00783EEB" w:rsidRPr="008E4EA2">
        <w:rPr>
          <w:rFonts w:eastAsiaTheme="minorHAnsi"/>
          <w:color w:val="000000" w:themeColor="text1"/>
          <w:szCs w:val="24"/>
        </w:rPr>
        <w:t>pieprasīt finansējuma atmaksu no atbalsta saņēmēja nebūtu korekti</w:t>
      </w:r>
      <w:r w:rsidRPr="008E4EA2">
        <w:rPr>
          <w:rFonts w:eastAsiaTheme="minorHAnsi"/>
          <w:color w:val="000000" w:themeColor="text1"/>
          <w:szCs w:val="24"/>
        </w:rPr>
        <w:t xml:space="preserve">. </w:t>
      </w:r>
    </w:p>
    <w:p w:rsidR="00A05496" w:rsidRPr="008E4EA2" w:rsidRDefault="00A05496" w:rsidP="003A0029">
      <w:pPr>
        <w:spacing w:before="120" w:after="120" w:line="276" w:lineRule="auto"/>
        <w:rPr>
          <w:rFonts w:eastAsiaTheme="minorHAnsi"/>
          <w:color w:val="000000" w:themeColor="text1"/>
          <w:szCs w:val="24"/>
        </w:rPr>
      </w:pPr>
      <w:r w:rsidRPr="008E4EA2">
        <w:rPr>
          <w:rFonts w:eastAsiaTheme="minorHAnsi"/>
          <w:color w:val="000000" w:themeColor="text1"/>
          <w:szCs w:val="24"/>
        </w:rPr>
        <w:t>Attiecībā uz KF satiksmes nozares projektu „Vilcienu kustības vadības sistēmas modernizācija (Latvijas Austrumu–Rietumu dzelzceļa koridors)”, Latvija</w:t>
      </w:r>
      <w:r w:rsidR="003271BE" w:rsidRPr="008E4EA2">
        <w:rPr>
          <w:rFonts w:eastAsiaTheme="minorHAnsi"/>
          <w:color w:val="000000" w:themeColor="text1"/>
          <w:szCs w:val="24"/>
        </w:rPr>
        <w:t xml:space="preserve"> </w:t>
      </w:r>
      <w:proofErr w:type="spellStart"/>
      <w:r w:rsidRPr="008E4EA2">
        <w:rPr>
          <w:rFonts w:eastAsiaTheme="minorHAnsi"/>
          <w:color w:val="000000" w:themeColor="text1"/>
          <w:szCs w:val="24"/>
        </w:rPr>
        <w:t>š.g</w:t>
      </w:r>
      <w:proofErr w:type="spellEnd"/>
      <w:r w:rsidRPr="008E4EA2">
        <w:rPr>
          <w:rFonts w:eastAsiaTheme="minorHAnsi"/>
          <w:color w:val="000000" w:themeColor="text1"/>
          <w:szCs w:val="24"/>
        </w:rPr>
        <w:t>. 29.jūnijā iesniedza EK projekta noslēguma dokumentāciju, iekļaujoties termiņā, lai noslēguma maksājums projektam netiktu anulēts, kā arī netiktu iniciēts process samazināt, pārtraukt un atgūt neatbilstoši izmaksātu finansējumu visa projekta ietvaros. Līdz šim no EK komentāri par iesniegto projekta noslēguma dokumentāciju nav saņemti.</w:t>
      </w:r>
    </w:p>
    <w:p w:rsidR="0054597C" w:rsidRPr="008E4EA2" w:rsidRDefault="0054597C" w:rsidP="003A0029">
      <w:pPr>
        <w:pStyle w:val="2lmenis"/>
        <w:numPr>
          <w:ilvl w:val="1"/>
          <w:numId w:val="2"/>
        </w:numPr>
        <w:spacing w:before="120" w:after="120" w:line="276" w:lineRule="auto"/>
        <w:ind w:left="1276" w:hanging="425"/>
        <w:jc w:val="both"/>
        <w:rPr>
          <w:color w:val="000000" w:themeColor="text1"/>
          <w:sz w:val="24"/>
          <w:szCs w:val="24"/>
          <w:lang w:val="lv-LV"/>
        </w:rPr>
      </w:pPr>
      <w:bookmarkStart w:id="50" w:name="_Toc340241703"/>
      <w:r w:rsidRPr="008E4EA2">
        <w:rPr>
          <w:color w:val="000000" w:themeColor="text1"/>
          <w:sz w:val="24"/>
          <w:szCs w:val="24"/>
          <w:lang w:val="lv-LV"/>
        </w:rPr>
        <w:t>2004.-2006.gada plānošanas perioda ERAF slēgšana</w:t>
      </w:r>
      <w:bookmarkEnd w:id="50"/>
      <w:r w:rsidRPr="008E4EA2">
        <w:rPr>
          <w:color w:val="000000" w:themeColor="text1"/>
          <w:sz w:val="24"/>
          <w:szCs w:val="24"/>
          <w:lang w:val="lv-LV"/>
        </w:rPr>
        <w:t xml:space="preserve"> </w:t>
      </w:r>
    </w:p>
    <w:p w:rsidR="00942B10" w:rsidRPr="008E4EA2" w:rsidRDefault="007105BE" w:rsidP="003A0029">
      <w:pPr>
        <w:spacing w:before="120" w:after="120" w:line="276" w:lineRule="auto"/>
        <w:rPr>
          <w:rFonts w:eastAsiaTheme="minorHAnsi"/>
          <w:color w:val="000000" w:themeColor="text1"/>
          <w:szCs w:val="24"/>
        </w:rPr>
      </w:pPr>
      <w:r>
        <w:rPr>
          <w:rFonts w:eastAsiaTheme="minorHAnsi"/>
          <w:color w:val="000000" w:themeColor="text1"/>
          <w:szCs w:val="24"/>
        </w:rPr>
        <w:t xml:space="preserve">2004. – </w:t>
      </w:r>
      <w:r w:rsidR="00942B10" w:rsidRPr="008E4EA2">
        <w:rPr>
          <w:rFonts w:eastAsiaTheme="minorHAnsi"/>
          <w:color w:val="000000" w:themeColor="text1"/>
          <w:szCs w:val="24"/>
        </w:rPr>
        <w:t xml:space="preserve">2006.gada plānošanas perioda 1.mērķa ERAF programma ir veiksmīgi noslēgusies un Latvija ir saņēmusi noslēguma maksājumu 13,4 </w:t>
      </w:r>
      <w:proofErr w:type="spellStart"/>
      <w:r w:rsidR="00942B10" w:rsidRPr="008E4EA2">
        <w:rPr>
          <w:rFonts w:eastAsiaTheme="minorHAnsi"/>
          <w:color w:val="000000" w:themeColor="text1"/>
          <w:szCs w:val="24"/>
        </w:rPr>
        <w:t>milj</w:t>
      </w:r>
      <w:proofErr w:type="spellEnd"/>
      <w:r w:rsidR="00942B10" w:rsidRPr="008E4EA2">
        <w:rPr>
          <w:rFonts w:eastAsiaTheme="minorHAnsi"/>
          <w:color w:val="000000" w:themeColor="text1"/>
          <w:szCs w:val="24"/>
        </w:rPr>
        <w:t>. latu apmērā, taču joprojām vēl turpinās atsevišķu gadījumu risināšana.</w:t>
      </w:r>
    </w:p>
    <w:p w:rsidR="004461D8" w:rsidRPr="008E4EA2" w:rsidRDefault="004461D8" w:rsidP="003A0029">
      <w:pPr>
        <w:spacing w:before="120" w:after="120" w:line="276" w:lineRule="auto"/>
        <w:rPr>
          <w:rFonts w:eastAsiaTheme="minorHAnsi"/>
          <w:color w:val="000000" w:themeColor="text1"/>
          <w:szCs w:val="24"/>
        </w:rPr>
      </w:pPr>
      <w:r w:rsidRPr="008E4EA2">
        <w:rPr>
          <w:rFonts w:eastAsiaTheme="minorHAnsi"/>
          <w:color w:val="000000" w:themeColor="text1"/>
          <w:szCs w:val="24"/>
        </w:rPr>
        <w:t>Burtniek</w:t>
      </w:r>
      <w:r w:rsidR="005C44DF" w:rsidRPr="008E4EA2">
        <w:rPr>
          <w:rFonts w:eastAsiaTheme="minorHAnsi"/>
          <w:color w:val="000000" w:themeColor="text1"/>
          <w:szCs w:val="24"/>
        </w:rPr>
        <w:t>u novada pašvaldības projekta „</w:t>
      </w:r>
      <w:r w:rsidRPr="008E4EA2">
        <w:rPr>
          <w:rFonts w:eastAsiaTheme="minorHAnsi"/>
          <w:color w:val="000000" w:themeColor="text1"/>
          <w:szCs w:val="24"/>
        </w:rPr>
        <w:t xml:space="preserve">Ūdenssaimniecības attīstība Matīšu pagasta Matīšu ciemā un jaunas apbūves rajonā – 2” paredzēja, ka tiks veikta ūdenssaimniecības attīstība divās apdzīvotās vietās Matīšu pagastā un ar dzeramo ūdeni būs </w:t>
      </w:r>
      <w:r w:rsidR="00B9649A" w:rsidRPr="008E4EA2">
        <w:rPr>
          <w:rFonts w:eastAsiaTheme="minorHAnsi"/>
          <w:color w:val="000000" w:themeColor="text1"/>
          <w:szCs w:val="24"/>
        </w:rPr>
        <w:t xml:space="preserve">nodrošināti 45 iedzīvotāji </w:t>
      </w:r>
      <w:r w:rsidRPr="008E4EA2">
        <w:rPr>
          <w:rFonts w:eastAsiaTheme="minorHAnsi"/>
          <w:color w:val="000000" w:themeColor="text1"/>
          <w:szCs w:val="24"/>
        </w:rPr>
        <w:t xml:space="preserve">Matīšu ciemā </w:t>
      </w:r>
      <w:r w:rsidR="00B9649A" w:rsidRPr="008E4EA2">
        <w:rPr>
          <w:rFonts w:eastAsiaTheme="minorHAnsi"/>
          <w:color w:val="000000" w:themeColor="text1"/>
          <w:szCs w:val="24"/>
        </w:rPr>
        <w:t>un 150 iedzīvotāji – Jaunajā apbūves rajonā</w:t>
      </w:r>
      <w:r w:rsidRPr="008E4EA2">
        <w:rPr>
          <w:rFonts w:eastAsiaTheme="minorHAnsi"/>
          <w:color w:val="000000" w:themeColor="text1"/>
          <w:szCs w:val="24"/>
        </w:rPr>
        <w:t xml:space="preserve">. </w:t>
      </w:r>
    </w:p>
    <w:p w:rsidR="004461D8" w:rsidRPr="008E4EA2" w:rsidRDefault="004461D8" w:rsidP="003A0029">
      <w:pPr>
        <w:spacing w:before="120" w:after="120" w:line="276" w:lineRule="auto"/>
        <w:rPr>
          <w:rFonts w:eastAsiaTheme="minorHAnsi"/>
          <w:color w:val="000000" w:themeColor="text1"/>
          <w:szCs w:val="24"/>
        </w:rPr>
      </w:pPr>
      <w:r w:rsidRPr="008E4EA2">
        <w:rPr>
          <w:rFonts w:eastAsiaTheme="minorHAnsi"/>
          <w:color w:val="000000" w:themeColor="text1"/>
          <w:szCs w:val="24"/>
        </w:rPr>
        <w:lastRenderedPageBreak/>
        <w:t xml:space="preserve">Noslēdzoties projekta ieviešanai 2008.gada rudenī CFLA konstatēja, ka, kaut gan būvniecības darbi abos ciema rajonos ir pabeigti un būve pieņemta ekspluatācijā, Jaunajā apbūves rajonā faktiski neeksistē neviens patērētājs, kas varētu saņemt jaunizveidoto pakalpojumu. Līdz ar to projekts nebija funkcionējošs, taču tika </w:t>
      </w:r>
      <w:r w:rsidR="00F43E38" w:rsidRPr="008E4EA2">
        <w:rPr>
          <w:rFonts w:eastAsiaTheme="minorHAnsi"/>
          <w:color w:val="000000" w:themeColor="text1"/>
          <w:szCs w:val="24"/>
        </w:rPr>
        <w:t>noslēgta</w:t>
      </w:r>
      <w:r w:rsidRPr="008E4EA2">
        <w:rPr>
          <w:rFonts w:eastAsiaTheme="minorHAnsi"/>
          <w:color w:val="000000" w:themeColor="text1"/>
          <w:szCs w:val="24"/>
        </w:rPr>
        <w:t xml:space="preserve"> papildu vienošanās, kas paredzēja, ka finansējuma saņēmējs </w:t>
      </w:r>
      <w:r w:rsidR="00B9649A" w:rsidRPr="008E4EA2">
        <w:rPr>
          <w:rFonts w:eastAsiaTheme="minorHAnsi"/>
          <w:color w:val="000000" w:themeColor="text1"/>
          <w:szCs w:val="24"/>
        </w:rPr>
        <w:t>apņemas</w:t>
      </w:r>
      <w:r w:rsidRPr="008E4EA2">
        <w:rPr>
          <w:rFonts w:eastAsiaTheme="minorHAnsi"/>
          <w:color w:val="000000" w:themeColor="text1"/>
          <w:szCs w:val="24"/>
        </w:rPr>
        <w:t xml:space="preserve"> atmaksāt visu piešķirto finansējumu, ja divu gadu laikā pēc noslēguma ziņojuma iesniegšanas termiņa, tas ir, līdz 2012.gada 1.jūlijam nenodrošinās projektā radīto auditējamo vērtību izmantošanu projektā paredzētajā vietā un projektā plānotās darbības veikšanai, lai attiecīgi izdevumus būtu iespējams deklarēt un par tiem saņemt maksājumus no EK. Vienošanos pašvaldība neizpildīja. Lai risinā</w:t>
      </w:r>
      <w:r w:rsidR="00F852E5" w:rsidRPr="008E4EA2">
        <w:rPr>
          <w:rFonts w:eastAsiaTheme="minorHAnsi"/>
          <w:color w:val="000000" w:themeColor="text1"/>
          <w:szCs w:val="24"/>
        </w:rPr>
        <w:t>tu jautājumu</w:t>
      </w:r>
      <w:r w:rsidRPr="008E4EA2">
        <w:rPr>
          <w:rFonts w:eastAsiaTheme="minorHAnsi"/>
          <w:color w:val="000000" w:themeColor="text1"/>
          <w:szCs w:val="24"/>
        </w:rPr>
        <w:t>, Burtnieku novada pašvaldīb</w:t>
      </w:r>
      <w:r w:rsidR="009B7607" w:rsidRPr="008E4EA2">
        <w:rPr>
          <w:rFonts w:eastAsiaTheme="minorHAnsi"/>
          <w:color w:val="000000" w:themeColor="text1"/>
          <w:szCs w:val="24"/>
        </w:rPr>
        <w:t>a sniegusi priekšlikumu</w:t>
      </w:r>
      <w:r w:rsidRPr="008E4EA2">
        <w:rPr>
          <w:rFonts w:eastAsiaTheme="minorHAnsi"/>
          <w:color w:val="000000" w:themeColor="text1"/>
          <w:szCs w:val="24"/>
        </w:rPr>
        <w:t xml:space="preserve"> par pašvaldības līdzekļu ieguldīšanu 2013.gadā ūdenssaimniecības sistēmas sakārtošanā Burtnieku novada Matīšu pagasta Matīšu ciemata teritorijā ne mazā</w:t>
      </w:r>
      <w:r w:rsidR="00F852E5" w:rsidRPr="008E4EA2">
        <w:rPr>
          <w:rFonts w:eastAsiaTheme="minorHAnsi"/>
          <w:color w:val="000000" w:themeColor="text1"/>
          <w:szCs w:val="24"/>
        </w:rPr>
        <w:t>k</w:t>
      </w:r>
      <w:r w:rsidRPr="008E4EA2">
        <w:rPr>
          <w:rFonts w:eastAsiaTheme="minorHAnsi"/>
          <w:color w:val="000000" w:themeColor="text1"/>
          <w:szCs w:val="24"/>
        </w:rPr>
        <w:t xml:space="preserve"> kā 121</w:t>
      </w:r>
      <w:r w:rsidR="005212A9" w:rsidRPr="008E4EA2">
        <w:rPr>
          <w:rFonts w:eastAsiaTheme="minorHAnsi"/>
          <w:color w:val="000000" w:themeColor="text1"/>
          <w:szCs w:val="24"/>
        </w:rPr>
        <w:t xml:space="preserve">,3 </w:t>
      </w:r>
      <w:proofErr w:type="spellStart"/>
      <w:r w:rsidR="005212A9" w:rsidRPr="008E4EA2">
        <w:rPr>
          <w:rFonts w:eastAsiaTheme="minorHAnsi"/>
          <w:color w:val="000000" w:themeColor="text1"/>
          <w:szCs w:val="24"/>
        </w:rPr>
        <w:t>tūkst</w:t>
      </w:r>
      <w:proofErr w:type="spellEnd"/>
      <w:r w:rsidR="005212A9" w:rsidRPr="008E4EA2">
        <w:rPr>
          <w:rFonts w:eastAsiaTheme="minorHAnsi"/>
          <w:color w:val="000000" w:themeColor="text1"/>
          <w:szCs w:val="24"/>
        </w:rPr>
        <w:t>.</w:t>
      </w:r>
      <w:r w:rsidRPr="008E4EA2">
        <w:rPr>
          <w:rFonts w:eastAsiaTheme="minorHAnsi"/>
          <w:color w:val="000000" w:themeColor="text1"/>
          <w:szCs w:val="24"/>
        </w:rPr>
        <w:t xml:space="preserve"> latu apmērā. </w:t>
      </w:r>
      <w:r w:rsidR="00CD658C" w:rsidRPr="00CD658C">
        <w:rPr>
          <w:rFonts w:eastAsiaTheme="minorHAnsi"/>
          <w:color w:val="000000" w:themeColor="text1"/>
          <w:szCs w:val="24"/>
        </w:rPr>
        <w:t xml:space="preserve">Ņemot vērā pašvaldības sniegto priekšlikumu un to kā EK noslēguma maksājuma apmēru šis projekts neietekmēja, jo par attiecīgu summu izdevumi tika nosegti ar uzņemtajām </w:t>
      </w:r>
      <w:proofErr w:type="spellStart"/>
      <w:r w:rsidR="00CD658C" w:rsidRPr="00CD658C">
        <w:rPr>
          <w:rFonts w:eastAsiaTheme="minorHAnsi"/>
          <w:color w:val="000000" w:themeColor="text1"/>
          <w:szCs w:val="24"/>
        </w:rPr>
        <w:t>virssaistībām</w:t>
      </w:r>
      <w:proofErr w:type="spellEnd"/>
      <w:r w:rsidR="00CD658C">
        <w:rPr>
          <w:rFonts w:eastAsiaTheme="minorHAnsi"/>
          <w:color w:val="000000" w:themeColor="text1"/>
          <w:szCs w:val="24"/>
        </w:rPr>
        <w:t xml:space="preserve">, </w:t>
      </w:r>
      <w:r w:rsidRPr="008E4EA2">
        <w:rPr>
          <w:rFonts w:eastAsiaTheme="minorHAnsi"/>
          <w:color w:val="000000" w:themeColor="text1"/>
          <w:szCs w:val="24"/>
        </w:rPr>
        <w:t>no Burtnieku novada pašvaldības netiks pieprasīts atmaksāt Valsts kasē neatbilstoši veikto</w:t>
      </w:r>
      <w:r w:rsidR="00B9649A" w:rsidRPr="008E4EA2">
        <w:rPr>
          <w:rFonts w:eastAsiaTheme="minorHAnsi"/>
          <w:color w:val="000000" w:themeColor="text1"/>
          <w:szCs w:val="24"/>
        </w:rPr>
        <w:t>s</w:t>
      </w:r>
      <w:r w:rsidR="005E0BAE" w:rsidRPr="008E4EA2">
        <w:rPr>
          <w:rFonts w:eastAsiaTheme="minorHAnsi"/>
          <w:color w:val="000000" w:themeColor="text1"/>
          <w:szCs w:val="24"/>
        </w:rPr>
        <w:t xml:space="preserve"> izdevumus, </w:t>
      </w:r>
      <w:r w:rsidRPr="008E4EA2">
        <w:rPr>
          <w:rFonts w:eastAsiaTheme="minorHAnsi"/>
          <w:color w:val="000000" w:themeColor="text1"/>
          <w:szCs w:val="24"/>
        </w:rPr>
        <w:t xml:space="preserve">tie </w:t>
      </w:r>
      <w:r w:rsidR="00B07AB8" w:rsidRPr="008E4EA2">
        <w:rPr>
          <w:rFonts w:eastAsiaTheme="minorHAnsi"/>
          <w:color w:val="000000" w:themeColor="text1"/>
          <w:szCs w:val="24"/>
        </w:rPr>
        <w:t xml:space="preserve">uzskatāmi kā </w:t>
      </w:r>
      <w:r w:rsidRPr="008E4EA2">
        <w:rPr>
          <w:rFonts w:eastAsiaTheme="minorHAnsi"/>
          <w:color w:val="000000" w:themeColor="text1"/>
          <w:szCs w:val="24"/>
        </w:rPr>
        <w:t>norakstīti uz valsts budžeta rēķina.</w:t>
      </w:r>
    </w:p>
    <w:p w:rsidR="00FF4209" w:rsidRPr="008E4EA2" w:rsidRDefault="00D97278" w:rsidP="003A0029">
      <w:pPr>
        <w:pStyle w:val="1lmenis"/>
        <w:spacing w:before="120" w:after="120" w:line="276" w:lineRule="auto"/>
        <w:ind w:left="709"/>
        <w:rPr>
          <w:rFonts w:ascii="Times New Roman" w:hAnsi="Times New Roman"/>
          <w:color w:val="000000" w:themeColor="text1"/>
          <w:sz w:val="24"/>
          <w:szCs w:val="24"/>
          <w:lang w:val="lv-LV"/>
        </w:rPr>
      </w:pPr>
      <w:bookmarkStart w:id="51" w:name="_Toc324948883"/>
      <w:bookmarkStart w:id="52" w:name="_Toc340241704"/>
      <w:r w:rsidRPr="008E4EA2">
        <w:rPr>
          <w:rFonts w:ascii="Times New Roman" w:hAnsi="Times New Roman"/>
          <w:color w:val="000000" w:themeColor="text1"/>
          <w:sz w:val="24"/>
          <w:szCs w:val="24"/>
          <w:lang w:val="lv-LV"/>
        </w:rPr>
        <w:t>EEZ/</w:t>
      </w:r>
      <w:r w:rsidR="00FF4209" w:rsidRPr="008E4EA2">
        <w:rPr>
          <w:rFonts w:ascii="Times New Roman" w:hAnsi="Times New Roman"/>
          <w:color w:val="000000" w:themeColor="text1"/>
          <w:sz w:val="24"/>
          <w:szCs w:val="24"/>
          <w:lang w:val="lv-LV"/>
        </w:rPr>
        <w:t>Norvēģijas finanšu instrumentu apguve</w:t>
      </w:r>
      <w:bookmarkEnd w:id="46"/>
      <w:bookmarkEnd w:id="47"/>
      <w:bookmarkEnd w:id="51"/>
      <w:bookmarkEnd w:id="52"/>
    </w:p>
    <w:p w:rsidR="00524E33" w:rsidRPr="008E4EA2" w:rsidRDefault="00FF4209" w:rsidP="003A0029">
      <w:pPr>
        <w:pStyle w:val="2lmenis"/>
        <w:numPr>
          <w:ilvl w:val="1"/>
          <w:numId w:val="2"/>
        </w:numPr>
        <w:spacing w:before="120" w:after="120" w:line="276" w:lineRule="auto"/>
        <w:ind w:left="1276" w:hanging="425"/>
        <w:jc w:val="both"/>
        <w:rPr>
          <w:color w:val="000000" w:themeColor="text1"/>
          <w:sz w:val="24"/>
          <w:szCs w:val="24"/>
          <w:lang w:val="lv-LV"/>
        </w:rPr>
      </w:pPr>
      <w:bookmarkStart w:id="53" w:name="_Toc276049986"/>
      <w:bookmarkStart w:id="54" w:name="_Toc324948884"/>
      <w:bookmarkStart w:id="55" w:name="_Toc340241705"/>
      <w:r w:rsidRPr="008E4EA2">
        <w:rPr>
          <w:color w:val="000000" w:themeColor="text1"/>
          <w:sz w:val="24"/>
          <w:szCs w:val="24"/>
          <w:lang w:val="lv-LV"/>
        </w:rPr>
        <w:t>2004.-2009.gada periods</w:t>
      </w:r>
      <w:bookmarkEnd w:id="53"/>
      <w:bookmarkEnd w:id="54"/>
      <w:bookmarkEnd w:id="55"/>
    </w:p>
    <w:p w:rsidR="00305963" w:rsidRPr="008E4EA2" w:rsidRDefault="00305963" w:rsidP="003A0029">
      <w:pPr>
        <w:spacing w:before="120" w:after="120" w:line="276" w:lineRule="auto"/>
        <w:rPr>
          <w:rFonts w:eastAsiaTheme="minorHAnsi"/>
          <w:color w:val="000000" w:themeColor="text1"/>
          <w:szCs w:val="24"/>
        </w:rPr>
      </w:pPr>
      <w:r w:rsidRPr="008E4EA2">
        <w:rPr>
          <w:rFonts w:eastAsiaTheme="minorHAnsi"/>
          <w:color w:val="000000" w:themeColor="text1"/>
          <w:szCs w:val="24"/>
        </w:rPr>
        <w:t xml:space="preserve">No 2004.gada 1.maija līdz 2009.gada 30.aprīlim (5 gadu saistību periods) Latvijā bija pieejams 35,5 </w:t>
      </w:r>
      <w:proofErr w:type="spellStart"/>
      <w:r w:rsidRPr="008E4EA2">
        <w:rPr>
          <w:rFonts w:eastAsiaTheme="minorHAnsi"/>
          <w:color w:val="000000" w:themeColor="text1"/>
          <w:szCs w:val="24"/>
        </w:rPr>
        <w:t>milj</w:t>
      </w:r>
      <w:proofErr w:type="spellEnd"/>
      <w:r w:rsidRPr="008E4EA2">
        <w:rPr>
          <w:rFonts w:eastAsiaTheme="minorHAnsi"/>
          <w:color w:val="000000" w:themeColor="text1"/>
          <w:szCs w:val="24"/>
        </w:rPr>
        <w:t xml:space="preserve">. latu liels EEZ/Norvēģijas finanšu instrumentu finansējums, bet tā kā vairākos projektos tika piemērotas finanšu korekcijas par iepirkumu procedūru pārkāpumiem, projektu īstenošanas līgumos kontraktētā granta summa samazinājās līdz 98% jeb līdz 35 </w:t>
      </w:r>
      <w:proofErr w:type="spellStart"/>
      <w:r w:rsidRPr="008E4EA2">
        <w:rPr>
          <w:rFonts w:eastAsiaTheme="minorHAnsi"/>
          <w:color w:val="000000" w:themeColor="text1"/>
          <w:szCs w:val="24"/>
        </w:rPr>
        <w:t>milj</w:t>
      </w:r>
      <w:proofErr w:type="spellEnd"/>
      <w:r w:rsidRPr="008E4EA2">
        <w:rPr>
          <w:rFonts w:eastAsiaTheme="minorHAnsi"/>
          <w:color w:val="000000" w:themeColor="text1"/>
          <w:szCs w:val="24"/>
        </w:rPr>
        <w:t>. latu</w:t>
      </w:r>
      <w:r w:rsidR="009B4FF1" w:rsidRPr="008E4EA2">
        <w:rPr>
          <w:rFonts w:eastAsiaTheme="minorHAnsi"/>
          <w:color w:val="000000" w:themeColor="text1"/>
          <w:szCs w:val="24"/>
        </w:rPr>
        <w:t>, kopējā sagaidāmā finansējuma apguve ~ 95%</w:t>
      </w:r>
      <w:r w:rsidRPr="008E4EA2">
        <w:rPr>
          <w:rFonts w:eastAsiaTheme="minorHAnsi"/>
          <w:color w:val="000000" w:themeColor="text1"/>
          <w:szCs w:val="24"/>
        </w:rPr>
        <w:t xml:space="preserve">. </w:t>
      </w:r>
    </w:p>
    <w:p w:rsidR="00305963" w:rsidRPr="008E4EA2" w:rsidRDefault="00305963" w:rsidP="003A0029">
      <w:pPr>
        <w:spacing w:before="120" w:after="120" w:line="276" w:lineRule="auto"/>
        <w:rPr>
          <w:rFonts w:eastAsiaTheme="minorHAnsi"/>
          <w:color w:val="000000" w:themeColor="text1"/>
          <w:szCs w:val="24"/>
        </w:rPr>
      </w:pPr>
      <w:r w:rsidRPr="008E4EA2">
        <w:rPr>
          <w:rFonts w:eastAsiaTheme="minorHAnsi"/>
          <w:color w:val="000000" w:themeColor="text1"/>
          <w:szCs w:val="24"/>
        </w:rPr>
        <w:t xml:space="preserve">2004.-2009.gada periods ir noslēdzies. Ir īstenoti 66 individuālie projekti un </w:t>
      </w:r>
      <w:r w:rsidR="00C9741B" w:rsidRPr="008E4EA2">
        <w:rPr>
          <w:rFonts w:eastAsiaTheme="minorHAnsi"/>
          <w:color w:val="000000" w:themeColor="text1"/>
          <w:szCs w:val="24"/>
        </w:rPr>
        <w:t>deviņas</w:t>
      </w:r>
      <w:r w:rsidRPr="008E4EA2">
        <w:rPr>
          <w:rFonts w:eastAsiaTheme="minorHAnsi"/>
          <w:color w:val="000000" w:themeColor="text1"/>
          <w:szCs w:val="24"/>
        </w:rPr>
        <w:t xml:space="preserve"> grantu shēmas/programmas.</w:t>
      </w:r>
    </w:p>
    <w:p w:rsidR="00305963" w:rsidRPr="008E4EA2" w:rsidRDefault="00305963" w:rsidP="003A0029">
      <w:pPr>
        <w:spacing w:before="120" w:after="120" w:line="276" w:lineRule="auto"/>
        <w:rPr>
          <w:rFonts w:eastAsiaTheme="minorHAnsi"/>
          <w:color w:val="000000" w:themeColor="text1"/>
          <w:szCs w:val="24"/>
        </w:rPr>
      </w:pPr>
      <w:r w:rsidRPr="008E4EA2">
        <w:rPr>
          <w:rFonts w:eastAsiaTheme="minorHAnsi"/>
          <w:color w:val="000000" w:themeColor="text1"/>
          <w:szCs w:val="24"/>
        </w:rPr>
        <w:t xml:space="preserve">Līdz 2012.gada </w:t>
      </w:r>
      <w:r w:rsidR="00DA026E" w:rsidRPr="008E4EA2">
        <w:rPr>
          <w:rFonts w:eastAsiaTheme="minorHAnsi"/>
          <w:color w:val="000000" w:themeColor="text1"/>
          <w:szCs w:val="24"/>
        </w:rPr>
        <w:t xml:space="preserve">trešā </w:t>
      </w:r>
      <w:r w:rsidRPr="008E4EA2">
        <w:rPr>
          <w:rFonts w:eastAsiaTheme="minorHAnsi"/>
          <w:color w:val="000000" w:themeColor="text1"/>
          <w:szCs w:val="24"/>
        </w:rPr>
        <w:t>ceturkšņa beigām lielākā daļa noslēguma pārskatu</w:t>
      </w:r>
      <w:r w:rsidR="003271BE" w:rsidRPr="008E4EA2">
        <w:rPr>
          <w:rFonts w:eastAsiaTheme="minorHAnsi"/>
          <w:color w:val="000000" w:themeColor="text1"/>
          <w:szCs w:val="24"/>
        </w:rPr>
        <w:t xml:space="preserve"> </w:t>
      </w:r>
      <w:r w:rsidRPr="008E4EA2">
        <w:rPr>
          <w:rFonts w:eastAsiaTheme="minorHAnsi"/>
          <w:color w:val="000000" w:themeColor="text1"/>
          <w:szCs w:val="24"/>
        </w:rPr>
        <w:t xml:space="preserve">ir apstiprināti un gandrīz visi projektu noslēguma maksājumi ir saņemti. Vēl tikai sagaidāmi </w:t>
      </w:r>
      <w:r w:rsidR="00DA026E" w:rsidRPr="008E4EA2">
        <w:rPr>
          <w:rFonts w:eastAsiaTheme="minorHAnsi"/>
          <w:color w:val="000000" w:themeColor="text1"/>
          <w:szCs w:val="24"/>
        </w:rPr>
        <w:t>četri</w:t>
      </w:r>
      <w:r w:rsidRPr="008E4EA2">
        <w:rPr>
          <w:rFonts w:eastAsiaTheme="minorHAnsi"/>
          <w:color w:val="000000" w:themeColor="text1"/>
          <w:szCs w:val="24"/>
        </w:rPr>
        <w:t xml:space="preserve"> noslēguma maksājumi par kopējo summu ~ 80 tūkst latu.</w:t>
      </w:r>
    </w:p>
    <w:p w:rsidR="0075217D" w:rsidRPr="008E4EA2" w:rsidRDefault="00305963" w:rsidP="003A0029">
      <w:pPr>
        <w:spacing w:before="120" w:after="120" w:line="276" w:lineRule="auto"/>
        <w:rPr>
          <w:rFonts w:eastAsiaTheme="minorHAnsi"/>
          <w:color w:val="000000" w:themeColor="text1"/>
          <w:szCs w:val="24"/>
        </w:rPr>
      </w:pPr>
      <w:r w:rsidRPr="008E4EA2">
        <w:rPr>
          <w:rFonts w:eastAsiaTheme="minorHAnsi"/>
          <w:color w:val="000000" w:themeColor="text1"/>
          <w:szCs w:val="24"/>
        </w:rPr>
        <w:t xml:space="preserve">Līdz 2012.gada </w:t>
      </w:r>
      <w:r w:rsidR="00DA026E" w:rsidRPr="008E4EA2">
        <w:rPr>
          <w:rFonts w:eastAsiaTheme="minorHAnsi"/>
          <w:color w:val="000000" w:themeColor="text1"/>
          <w:szCs w:val="24"/>
        </w:rPr>
        <w:t xml:space="preserve">trešā </w:t>
      </w:r>
      <w:r w:rsidRPr="008E4EA2">
        <w:rPr>
          <w:rFonts w:eastAsiaTheme="minorHAnsi"/>
          <w:color w:val="000000" w:themeColor="text1"/>
          <w:szCs w:val="24"/>
        </w:rPr>
        <w:t xml:space="preserve">ceturkšņa beigām EEZ/Norvēģijas finanšu instrumentu finansējuma saņēmējiem tika atmaksāti 31,8 </w:t>
      </w:r>
      <w:proofErr w:type="spellStart"/>
      <w:r w:rsidRPr="008E4EA2">
        <w:rPr>
          <w:rFonts w:eastAsiaTheme="minorHAnsi"/>
          <w:color w:val="000000" w:themeColor="text1"/>
          <w:szCs w:val="24"/>
        </w:rPr>
        <w:t>milj</w:t>
      </w:r>
      <w:proofErr w:type="spellEnd"/>
      <w:r w:rsidRPr="008E4EA2">
        <w:rPr>
          <w:rFonts w:eastAsiaTheme="minorHAnsi"/>
          <w:color w:val="000000" w:themeColor="text1"/>
          <w:szCs w:val="24"/>
        </w:rPr>
        <w:t xml:space="preserve">. latu jeb 90% no EEZ/Norvēģijas finanšu instrumentu piešķīruma. Salīdzinājumā ar iepriekšējo ceturksni atmaksas palielinājušās par 0,3 </w:t>
      </w:r>
      <w:proofErr w:type="spellStart"/>
      <w:r w:rsidRPr="008E4EA2">
        <w:rPr>
          <w:rFonts w:eastAsiaTheme="minorHAnsi"/>
          <w:color w:val="000000" w:themeColor="text1"/>
          <w:szCs w:val="24"/>
        </w:rPr>
        <w:t>milj</w:t>
      </w:r>
      <w:proofErr w:type="spellEnd"/>
      <w:r w:rsidRPr="008E4EA2">
        <w:rPr>
          <w:rFonts w:eastAsiaTheme="minorHAnsi"/>
          <w:color w:val="000000" w:themeColor="text1"/>
          <w:szCs w:val="24"/>
        </w:rPr>
        <w:t>. latu jeb par 1%.</w:t>
      </w:r>
    </w:p>
    <w:p w:rsidR="00744A7F" w:rsidRDefault="00744A7F">
      <w:pPr>
        <w:jc w:val="left"/>
        <w:rPr>
          <w:color w:val="000000" w:themeColor="text1"/>
          <w:szCs w:val="24"/>
        </w:rPr>
      </w:pPr>
      <w:r>
        <w:rPr>
          <w:color w:val="000000" w:themeColor="text1"/>
          <w:szCs w:val="24"/>
        </w:rPr>
        <w:br w:type="page"/>
      </w:r>
    </w:p>
    <w:p w:rsidR="0075217D" w:rsidRPr="008E4EA2" w:rsidRDefault="0078381C" w:rsidP="003A0029">
      <w:pPr>
        <w:spacing w:before="120" w:after="120" w:line="276" w:lineRule="auto"/>
        <w:rPr>
          <w:i/>
          <w:color w:val="000000" w:themeColor="text1"/>
          <w:szCs w:val="24"/>
        </w:rPr>
      </w:pPr>
      <w:r w:rsidRPr="008E4EA2">
        <w:rPr>
          <w:color w:val="000000" w:themeColor="text1"/>
          <w:szCs w:val="24"/>
        </w:rPr>
        <w:lastRenderedPageBreak/>
        <w:t>Grafiks Nr.20</w:t>
      </w:r>
      <w:r w:rsidR="00305963" w:rsidRPr="008E4EA2">
        <w:rPr>
          <w:color w:val="000000" w:themeColor="text1"/>
          <w:szCs w:val="24"/>
        </w:rPr>
        <w:t xml:space="preserve"> </w:t>
      </w:r>
      <w:r w:rsidR="00305963" w:rsidRPr="008E4EA2">
        <w:rPr>
          <w:i/>
          <w:color w:val="000000" w:themeColor="text1"/>
          <w:szCs w:val="24"/>
        </w:rPr>
        <w:t xml:space="preserve">„No </w:t>
      </w:r>
      <w:proofErr w:type="spellStart"/>
      <w:r w:rsidR="00305963" w:rsidRPr="008E4EA2">
        <w:rPr>
          <w:i/>
          <w:color w:val="000000" w:themeColor="text1"/>
          <w:szCs w:val="24"/>
        </w:rPr>
        <w:t>donorvalstīm</w:t>
      </w:r>
      <w:proofErr w:type="spellEnd"/>
      <w:r w:rsidR="00305963" w:rsidRPr="008E4EA2">
        <w:rPr>
          <w:i/>
          <w:color w:val="000000" w:themeColor="text1"/>
          <w:szCs w:val="24"/>
        </w:rPr>
        <w:t xml:space="preserve"> atgūtais EEZ/Norvēģijas finanšu instrumentu finansējums līdz 2012.gada 30.septembrim salīdzinājumā ar 2012.gada 30.jūniju, </w:t>
      </w:r>
      <w:proofErr w:type="spellStart"/>
      <w:r w:rsidR="00305963" w:rsidRPr="008E4EA2">
        <w:rPr>
          <w:i/>
          <w:color w:val="000000" w:themeColor="text1"/>
          <w:szCs w:val="24"/>
        </w:rPr>
        <w:t>milj</w:t>
      </w:r>
      <w:proofErr w:type="spellEnd"/>
      <w:r w:rsidR="00305963" w:rsidRPr="008E4EA2">
        <w:rPr>
          <w:i/>
          <w:color w:val="000000" w:themeColor="text1"/>
          <w:szCs w:val="24"/>
        </w:rPr>
        <w:t>. latu.”</w:t>
      </w:r>
    </w:p>
    <w:p w:rsidR="0075217D" w:rsidRPr="008E4EA2" w:rsidRDefault="00CE4257" w:rsidP="003A0029">
      <w:pPr>
        <w:spacing w:before="120" w:after="120" w:line="276" w:lineRule="auto"/>
        <w:rPr>
          <w:color w:val="000000" w:themeColor="text1"/>
          <w:szCs w:val="24"/>
        </w:rPr>
      </w:pPr>
      <w:r w:rsidRPr="008E4EA2">
        <w:rPr>
          <w:noProof/>
          <w:color w:val="000000" w:themeColor="text1"/>
          <w:szCs w:val="24"/>
          <w:lang w:eastAsia="lv-LV"/>
        </w:rPr>
        <w:drawing>
          <wp:inline distT="0" distB="0" distL="0" distR="0" wp14:anchorId="3BC70DCA" wp14:editId="5E68C56A">
            <wp:extent cx="5876925" cy="27432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extLst>
                        <a:ext uri="{28A0092B-C50C-407E-A947-70E740481C1C}">
                          <a14:useLocalDpi xmlns:a14="http://schemas.microsoft.com/office/drawing/2010/main"/>
                        </a:ext>
                      </a:extLst>
                    </a:blip>
                    <a:srcRect/>
                    <a:stretch>
                      <a:fillRect/>
                    </a:stretch>
                  </pic:blipFill>
                  <pic:spPr bwMode="auto">
                    <a:xfrm>
                      <a:off x="0" y="0"/>
                      <a:ext cx="5876925" cy="2743200"/>
                    </a:xfrm>
                    <a:prstGeom prst="rect">
                      <a:avLst/>
                    </a:prstGeom>
                    <a:noFill/>
                  </pic:spPr>
                </pic:pic>
              </a:graphicData>
            </a:graphic>
          </wp:inline>
        </w:drawing>
      </w:r>
    </w:p>
    <w:p w:rsidR="003A7FC6" w:rsidRPr="008E4EA2" w:rsidRDefault="003A7FC6" w:rsidP="003A0029">
      <w:pPr>
        <w:pStyle w:val="2lmenis"/>
        <w:numPr>
          <w:ilvl w:val="1"/>
          <w:numId w:val="2"/>
        </w:numPr>
        <w:spacing w:before="120" w:after="120" w:line="276" w:lineRule="auto"/>
        <w:ind w:left="1276" w:hanging="425"/>
        <w:jc w:val="both"/>
        <w:rPr>
          <w:color w:val="000000" w:themeColor="text1"/>
          <w:sz w:val="24"/>
          <w:szCs w:val="24"/>
          <w:lang w:val="lv-LV"/>
        </w:rPr>
      </w:pPr>
      <w:bookmarkStart w:id="56" w:name="_Toc324948885"/>
      <w:bookmarkStart w:id="57" w:name="_Toc340241706"/>
      <w:r w:rsidRPr="008E4EA2">
        <w:rPr>
          <w:color w:val="000000" w:themeColor="text1"/>
          <w:sz w:val="24"/>
          <w:szCs w:val="24"/>
          <w:lang w:val="lv-LV"/>
        </w:rPr>
        <w:t>2009.-2014.gada periods</w:t>
      </w:r>
      <w:bookmarkEnd w:id="56"/>
      <w:bookmarkEnd w:id="57"/>
    </w:p>
    <w:p w:rsidR="00305963" w:rsidRPr="008E4EA2" w:rsidRDefault="00305963" w:rsidP="003A0029">
      <w:pPr>
        <w:spacing w:before="120" w:after="120" w:line="276" w:lineRule="auto"/>
        <w:rPr>
          <w:rFonts w:eastAsiaTheme="minorHAnsi"/>
          <w:color w:val="000000" w:themeColor="text1"/>
          <w:szCs w:val="24"/>
        </w:rPr>
      </w:pPr>
      <w:bookmarkStart w:id="58" w:name="_Toc276049988"/>
      <w:r w:rsidRPr="008E4EA2">
        <w:rPr>
          <w:rFonts w:eastAsiaTheme="minorHAnsi"/>
          <w:color w:val="000000" w:themeColor="text1"/>
          <w:szCs w:val="24"/>
        </w:rPr>
        <w:t xml:space="preserve">Saskaņā ar Saprašanās memorandiem par EEZ/Norvēģijas finanšu instrumentu īstenošanu Latvijā, kuri tika noslēgti attiecīgi 2011.gada 8.jūnijā un 28.aprīlī, Latvijai šajā periodā pieejami 47,4 </w:t>
      </w:r>
      <w:proofErr w:type="spellStart"/>
      <w:r w:rsidRPr="008E4EA2">
        <w:rPr>
          <w:rFonts w:eastAsiaTheme="minorHAnsi"/>
          <w:color w:val="000000" w:themeColor="text1"/>
          <w:szCs w:val="24"/>
        </w:rPr>
        <w:t>milj</w:t>
      </w:r>
      <w:proofErr w:type="spellEnd"/>
      <w:r w:rsidRPr="008E4EA2">
        <w:rPr>
          <w:rFonts w:eastAsiaTheme="minorHAnsi"/>
          <w:color w:val="000000" w:themeColor="text1"/>
          <w:szCs w:val="24"/>
        </w:rPr>
        <w:t>. latu (</w:t>
      </w:r>
      <w:proofErr w:type="spellStart"/>
      <w:r w:rsidRPr="008E4EA2">
        <w:rPr>
          <w:rFonts w:eastAsiaTheme="minorHAnsi"/>
          <w:color w:val="000000" w:themeColor="text1"/>
          <w:szCs w:val="24"/>
        </w:rPr>
        <w:t>t.sk</w:t>
      </w:r>
      <w:proofErr w:type="spellEnd"/>
      <w:r w:rsidRPr="008E4EA2">
        <w:rPr>
          <w:rFonts w:eastAsiaTheme="minorHAnsi"/>
          <w:color w:val="000000" w:themeColor="text1"/>
          <w:szCs w:val="24"/>
        </w:rPr>
        <w:t xml:space="preserve">. EEZ finansējums 22,5 </w:t>
      </w:r>
      <w:proofErr w:type="spellStart"/>
      <w:r w:rsidRPr="008E4EA2">
        <w:rPr>
          <w:rFonts w:eastAsiaTheme="minorHAnsi"/>
          <w:color w:val="000000" w:themeColor="text1"/>
          <w:szCs w:val="24"/>
        </w:rPr>
        <w:t>milj</w:t>
      </w:r>
      <w:proofErr w:type="spellEnd"/>
      <w:r w:rsidRPr="008E4EA2">
        <w:rPr>
          <w:rFonts w:eastAsiaTheme="minorHAnsi"/>
          <w:color w:val="000000" w:themeColor="text1"/>
          <w:szCs w:val="24"/>
        </w:rPr>
        <w:t xml:space="preserve">. latu un Norvēģijas – 24,9 </w:t>
      </w:r>
      <w:proofErr w:type="spellStart"/>
      <w:r w:rsidRPr="008E4EA2">
        <w:rPr>
          <w:rFonts w:eastAsiaTheme="minorHAnsi"/>
          <w:color w:val="000000" w:themeColor="text1"/>
          <w:szCs w:val="24"/>
        </w:rPr>
        <w:t>milj</w:t>
      </w:r>
      <w:proofErr w:type="spellEnd"/>
      <w:r w:rsidRPr="008E4EA2">
        <w:rPr>
          <w:rFonts w:eastAsiaTheme="minorHAnsi"/>
          <w:color w:val="000000" w:themeColor="text1"/>
          <w:szCs w:val="24"/>
        </w:rPr>
        <w:t xml:space="preserve">. latu). Papildus programmām tiks nodrošināts arī nacionālais līdzfinansējums no Latvijas valsts budžeta līdzekļiem, kas atkarībā no programmas veidos no 5% līdz 15% no programmas kopējām attiecināmajām izmaksām, līdz ar to kopējais programmām pieejamais finansējums ir 53 </w:t>
      </w:r>
      <w:proofErr w:type="spellStart"/>
      <w:r w:rsidRPr="008E4EA2">
        <w:rPr>
          <w:rFonts w:eastAsiaTheme="minorHAnsi"/>
          <w:color w:val="000000" w:themeColor="text1"/>
          <w:szCs w:val="24"/>
        </w:rPr>
        <w:t>milj</w:t>
      </w:r>
      <w:proofErr w:type="spellEnd"/>
      <w:r w:rsidRPr="008E4EA2">
        <w:rPr>
          <w:rFonts w:eastAsiaTheme="minorHAnsi"/>
          <w:color w:val="000000" w:themeColor="text1"/>
          <w:szCs w:val="24"/>
        </w:rPr>
        <w:t xml:space="preserve">. latu. </w:t>
      </w:r>
    </w:p>
    <w:p w:rsidR="0026722E" w:rsidRPr="008E4EA2" w:rsidRDefault="00305963" w:rsidP="003A0029">
      <w:pPr>
        <w:spacing w:before="120" w:after="120" w:line="276" w:lineRule="auto"/>
        <w:rPr>
          <w:rFonts w:eastAsiaTheme="minorHAnsi"/>
          <w:color w:val="000000" w:themeColor="text1"/>
          <w:szCs w:val="24"/>
        </w:rPr>
      </w:pPr>
      <w:r w:rsidRPr="008E4EA2">
        <w:rPr>
          <w:rFonts w:eastAsiaTheme="minorHAnsi"/>
          <w:color w:val="000000" w:themeColor="text1"/>
          <w:szCs w:val="24"/>
        </w:rPr>
        <w:t>Latvijā tiks īstenotas astoņas programmas šādās prioritārās jomās:</w:t>
      </w:r>
    </w:p>
    <w:p w:rsidR="00305963" w:rsidRPr="008E4EA2" w:rsidRDefault="00305963" w:rsidP="003A0029">
      <w:pPr>
        <w:pStyle w:val="ListParagraph"/>
        <w:numPr>
          <w:ilvl w:val="0"/>
          <w:numId w:val="18"/>
        </w:numPr>
        <w:spacing w:before="120" w:after="120"/>
        <w:jc w:val="both"/>
        <w:rPr>
          <w:rFonts w:ascii="Times New Roman" w:eastAsia="Times New Roman" w:hAnsi="Times New Roman"/>
          <w:color w:val="000000" w:themeColor="text1"/>
          <w:sz w:val="24"/>
          <w:szCs w:val="24"/>
        </w:rPr>
      </w:pPr>
      <w:r w:rsidRPr="008E4EA2">
        <w:rPr>
          <w:rFonts w:ascii="Times New Roman" w:eastAsia="Times New Roman" w:hAnsi="Times New Roman"/>
          <w:color w:val="000000" w:themeColor="text1"/>
          <w:sz w:val="24"/>
          <w:szCs w:val="24"/>
        </w:rPr>
        <w:t>Pielāgošanās klimata pārmaiņām;</w:t>
      </w:r>
    </w:p>
    <w:p w:rsidR="00305963" w:rsidRPr="008E4EA2" w:rsidRDefault="00305963" w:rsidP="003A0029">
      <w:pPr>
        <w:pStyle w:val="ListParagraph"/>
        <w:numPr>
          <w:ilvl w:val="0"/>
          <w:numId w:val="18"/>
        </w:numPr>
        <w:spacing w:before="120" w:after="120"/>
        <w:ind w:hanging="357"/>
        <w:jc w:val="both"/>
        <w:rPr>
          <w:rFonts w:ascii="Times New Roman" w:eastAsia="Times New Roman" w:hAnsi="Times New Roman"/>
          <w:color w:val="000000" w:themeColor="text1"/>
          <w:sz w:val="24"/>
          <w:szCs w:val="24"/>
        </w:rPr>
      </w:pPr>
      <w:r w:rsidRPr="008E4EA2">
        <w:rPr>
          <w:rFonts w:ascii="Times New Roman" w:eastAsia="Times New Roman" w:hAnsi="Times New Roman"/>
          <w:color w:val="000000" w:themeColor="text1"/>
          <w:sz w:val="24"/>
          <w:szCs w:val="24"/>
        </w:rPr>
        <w:t>Finansējums NVO;</w:t>
      </w:r>
    </w:p>
    <w:p w:rsidR="00305963" w:rsidRPr="008E4EA2" w:rsidRDefault="00305963" w:rsidP="003A0029">
      <w:pPr>
        <w:pStyle w:val="ListParagraph"/>
        <w:numPr>
          <w:ilvl w:val="0"/>
          <w:numId w:val="18"/>
        </w:numPr>
        <w:spacing w:before="120" w:after="120"/>
        <w:ind w:hanging="357"/>
        <w:jc w:val="both"/>
        <w:rPr>
          <w:rFonts w:ascii="Times New Roman" w:eastAsia="Times New Roman" w:hAnsi="Times New Roman"/>
          <w:color w:val="000000" w:themeColor="text1"/>
          <w:sz w:val="24"/>
          <w:szCs w:val="24"/>
        </w:rPr>
      </w:pPr>
      <w:r w:rsidRPr="008E4EA2">
        <w:rPr>
          <w:rFonts w:ascii="Times New Roman" w:eastAsia="Times New Roman" w:hAnsi="Times New Roman"/>
          <w:color w:val="000000" w:themeColor="text1"/>
          <w:sz w:val="24"/>
          <w:szCs w:val="24"/>
        </w:rPr>
        <w:t>Kultūras un dabas mantojuma saglabāšana un atjaunināšana;</w:t>
      </w:r>
    </w:p>
    <w:p w:rsidR="00305963" w:rsidRPr="008E4EA2" w:rsidRDefault="00305963" w:rsidP="003A0029">
      <w:pPr>
        <w:pStyle w:val="ListParagraph"/>
        <w:numPr>
          <w:ilvl w:val="0"/>
          <w:numId w:val="18"/>
        </w:numPr>
        <w:spacing w:before="120" w:after="120"/>
        <w:ind w:hanging="357"/>
        <w:jc w:val="both"/>
        <w:rPr>
          <w:rFonts w:ascii="Times New Roman" w:eastAsia="Times New Roman" w:hAnsi="Times New Roman"/>
          <w:color w:val="000000" w:themeColor="text1"/>
          <w:sz w:val="24"/>
          <w:szCs w:val="24"/>
        </w:rPr>
      </w:pPr>
      <w:r w:rsidRPr="008E4EA2">
        <w:rPr>
          <w:rFonts w:ascii="Times New Roman" w:eastAsia="Times New Roman" w:hAnsi="Times New Roman"/>
          <w:color w:val="000000" w:themeColor="text1"/>
          <w:sz w:val="24"/>
          <w:szCs w:val="24"/>
        </w:rPr>
        <w:t>Kapacitātes stiprināšana un institucionālā sadarbība ar Norvēģijas valsts, vietējām un reģionālām iestādēm;</w:t>
      </w:r>
    </w:p>
    <w:p w:rsidR="00305963" w:rsidRPr="008E4EA2" w:rsidRDefault="00305963" w:rsidP="003A0029">
      <w:pPr>
        <w:pStyle w:val="ListParagraph"/>
        <w:numPr>
          <w:ilvl w:val="0"/>
          <w:numId w:val="18"/>
        </w:numPr>
        <w:spacing w:before="120" w:after="120"/>
        <w:ind w:hanging="357"/>
        <w:jc w:val="both"/>
        <w:rPr>
          <w:rFonts w:ascii="Times New Roman" w:eastAsia="Times New Roman" w:hAnsi="Times New Roman"/>
          <w:color w:val="000000" w:themeColor="text1"/>
          <w:sz w:val="24"/>
          <w:szCs w:val="24"/>
        </w:rPr>
      </w:pPr>
      <w:r w:rsidRPr="008E4EA2">
        <w:rPr>
          <w:rFonts w:ascii="Times New Roman" w:eastAsia="Times New Roman" w:hAnsi="Times New Roman"/>
          <w:color w:val="000000" w:themeColor="text1"/>
          <w:sz w:val="24"/>
          <w:szCs w:val="24"/>
        </w:rPr>
        <w:t>Inovācijas „zaļās” ražošanas jomā;</w:t>
      </w:r>
    </w:p>
    <w:p w:rsidR="00305963" w:rsidRPr="008E4EA2" w:rsidRDefault="00305963" w:rsidP="003A0029">
      <w:pPr>
        <w:pStyle w:val="ListParagraph"/>
        <w:numPr>
          <w:ilvl w:val="0"/>
          <w:numId w:val="18"/>
        </w:numPr>
        <w:spacing w:before="120" w:after="120"/>
        <w:ind w:hanging="357"/>
        <w:jc w:val="both"/>
        <w:rPr>
          <w:rFonts w:ascii="Times New Roman" w:eastAsia="Times New Roman" w:hAnsi="Times New Roman"/>
          <w:color w:val="000000" w:themeColor="text1"/>
          <w:sz w:val="24"/>
          <w:szCs w:val="24"/>
        </w:rPr>
      </w:pPr>
      <w:r w:rsidRPr="008E4EA2">
        <w:rPr>
          <w:rFonts w:ascii="Times New Roman" w:eastAsia="Times New Roman" w:hAnsi="Times New Roman"/>
          <w:color w:val="000000" w:themeColor="text1"/>
          <w:sz w:val="24"/>
          <w:szCs w:val="24"/>
        </w:rPr>
        <w:t>Divpusējā sadarbība pētniecības jomā un Stipendijas;</w:t>
      </w:r>
    </w:p>
    <w:p w:rsidR="00305963" w:rsidRPr="008E4EA2" w:rsidRDefault="00305963" w:rsidP="003A0029">
      <w:pPr>
        <w:pStyle w:val="ListParagraph"/>
        <w:numPr>
          <w:ilvl w:val="0"/>
          <w:numId w:val="18"/>
        </w:numPr>
        <w:spacing w:before="120" w:after="120"/>
        <w:ind w:hanging="357"/>
        <w:jc w:val="both"/>
        <w:rPr>
          <w:rFonts w:ascii="Times New Roman" w:eastAsia="Times New Roman" w:hAnsi="Times New Roman"/>
          <w:color w:val="000000" w:themeColor="text1"/>
          <w:sz w:val="24"/>
          <w:szCs w:val="24"/>
        </w:rPr>
      </w:pPr>
      <w:r w:rsidRPr="008E4EA2">
        <w:rPr>
          <w:rFonts w:ascii="Times New Roman" w:eastAsia="Times New Roman" w:hAnsi="Times New Roman"/>
          <w:color w:val="000000" w:themeColor="text1"/>
          <w:sz w:val="24"/>
          <w:szCs w:val="24"/>
        </w:rPr>
        <w:t xml:space="preserve">Korekcijas pakalpojumi, </w:t>
      </w:r>
      <w:proofErr w:type="spellStart"/>
      <w:r w:rsidRPr="008E4EA2">
        <w:rPr>
          <w:rFonts w:ascii="Times New Roman" w:eastAsia="Times New Roman" w:hAnsi="Times New Roman"/>
          <w:color w:val="000000" w:themeColor="text1"/>
          <w:sz w:val="24"/>
          <w:szCs w:val="24"/>
        </w:rPr>
        <w:t>t.sk</w:t>
      </w:r>
      <w:proofErr w:type="spellEnd"/>
      <w:r w:rsidRPr="008E4EA2">
        <w:rPr>
          <w:rFonts w:ascii="Times New Roman" w:eastAsia="Times New Roman" w:hAnsi="Times New Roman"/>
          <w:color w:val="000000" w:themeColor="text1"/>
          <w:sz w:val="24"/>
          <w:szCs w:val="24"/>
        </w:rPr>
        <w:t>. ar ieslodzījumu nesaistītas sankcijas;</w:t>
      </w:r>
    </w:p>
    <w:p w:rsidR="00305963" w:rsidRPr="008E4EA2" w:rsidRDefault="00305963" w:rsidP="003A0029">
      <w:pPr>
        <w:pStyle w:val="ListParagraph"/>
        <w:numPr>
          <w:ilvl w:val="0"/>
          <w:numId w:val="18"/>
        </w:numPr>
        <w:spacing w:before="120" w:after="120"/>
        <w:ind w:hanging="357"/>
        <w:jc w:val="both"/>
        <w:rPr>
          <w:rFonts w:ascii="Times New Roman" w:eastAsia="Times New Roman" w:hAnsi="Times New Roman"/>
          <w:color w:val="000000" w:themeColor="text1"/>
          <w:sz w:val="24"/>
          <w:szCs w:val="24"/>
        </w:rPr>
      </w:pPr>
      <w:r w:rsidRPr="008E4EA2">
        <w:rPr>
          <w:rFonts w:ascii="Times New Roman" w:eastAsia="Times New Roman" w:hAnsi="Times New Roman"/>
          <w:color w:val="000000" w:themeColor="text1"/>
          <w:sz w:val="24"/>
          <w:szCs w:val="24"/>
        </w:rPr>
        <w:t>Cienīgs darbs un trīspusējās sadarbības veicināšana.</w:t>
      </w:r>
    </w:p>
    <w:p w:rsidR="00305963" w:rsidRPr="008E4EA2" w:rsidRDefault="00305963" w:rsidP="003A0029">
      <w:pPr>
        <w:spacing w:before="120" w:after="120" w:line="276" w:lineRule="auto"/>
        <w:rPr>
          <w:rFonts w:eastAsiaTheme="minorHAnsi"/>
          <w:color w:val="000000" w:themeColor="text1"/>
          <w:szCs w:val="24"/>
        </w:rPr>
      </w:pPr>
      <w:r w:rsidRPr="008E4EA2">
        <w:rPr>
          <w:rFonts w:eastAsiaTheme="minorHAnsi"/>
          <w:color w:val="000000" w:themeColor="text1"/>
          <w:szCs w:val="24"/>
        </w:rPr>
        <w:t xml:space="preserve">Pirmo </w:t>
      </w:r>
      <w:r w:rsidR="00C9741B" w:rsidRPr="008E4EA2">
        <w:rPr>
          <w:rFonts w:eastAsiaTheme="minorHAnsi"/>
          <w:color w:val="000000" w:themeColor="text1"/>
          <w:szCs w:val="24"/>
        </w:rPr>
        <w:t>septiņu</w:t>
      </w:r>
      <w:r w:rsidRPr="008E4EA2">
        <w:rPr>
          <w:rFonts w:eastAsiaTheme="minorHAnsi"/>
          <w:color w:val="000000" w:themeColor="text1"/>
          <w:szCs w:val="24"/>
        </w:rPr>
        <w:t xml:space="preserve"> prioritāšu ieviešanu nodrošinās Latvijas nozaru ministrijas, savukārt par prioritārās jomas „Cienīgs darbs un trīspusējās sadarbības veicināšana” ieviešanu pilnībā būs atbildīga Norvēģijas institūcija - </w:t>
      </w:r>
      <w:proofErr w:type="spellStart"/>
      <w:r w:rsidRPr="008E4EA2">
        <w:rPr>
          <w:rFonts w:eastAsiaTheme="minorHAnsi"/>
          <w:color w:val="000000" w:themeColor="text1"/>
          <w:szCs w:val="24"/>
        </w:rPr>
        <w:t>Innovation</w:t>
      </w:r>
      <w:proofErr w:type="spellEnd"/>
      <w:r w:rsidRPr="008E4EA2">
        <w:rPr>
          <w:rFonts w:eastAsiaTheme="minorHAnsi"/>
          <w:color w:val="000000" w:themeColor="text1"/>
          <w:szCs w:val="24"/>
        </w:rPr>
        <w:t xml:space="preserve"> </w:t>
      </w:r>
      <w:proofErr w:type="spellStart"/>
      <w:r w:rsidRPr="008E4EA2">
        <w:rPr>
          <w:rFonts w:eastAsiaTheme="minorHAnsi"/>
          <w:color w:val="000000" w:themeColor="text1"/>
          <w:szCs w:val="24"/>
        </w:rPr>
        <w:t>Norway</w:t>
      </w:r>
      <w:proofErr w:type="spellEnd"/>
      <w:r w:rsidRPr="008E4EA2">
        <w:rPr>
          <w:rFonts w:eastAsiaTheme="minorHAnsi"/>
          <w:color w:val="000000" w:themeColor="text1"/>
          <w:szCs w:val="24"/>
        </w:rPr>
        <w:t xml:space="preserve"> - kopumā par 0,3 </w:t>
      </w:r>
      <w:proofErr w:type="spellStart"/>
      <w:r w:rsidRPr="008E4EA2">
        <w:rPr>
          <w:rFonts w:eastAsiaTheme="minorHAnsi"/>
          <w:color w:val="000000" w:themeColor="text1"/>
          <w:szCs w:val="24"/>
        </w:rPr>
        <w:t>milj</w:t>
      </w:r>
      <w:proofErr w:type="spellEnd"/>
      <w:r w:rsidRPr="008E4EA2">
        <w:rPr>
          <w:rFonts w:eastAsiaTheme="minorHAnsi"/>
          <w:color w:val="000000" w:themeColor="text1"/>
          <w:szCs w:val="24"/>
        </w:rPr>
        <w:t>. latu no Latvijai pieejamā Norvēģijas finanšu instrumenta finansējuma.</w:t>
      </w:r>
    </w:p>
    <w:p w:rsidR="00CD1045" w:rsidRDefault="00CD1045" w:rsidP="003A0029">
      <w:pPr>
        <w:pStyle w:val="NoSpacing"/>
        <w:spacing w:before="120" w:after="120" w:line="276" w:lineRule="auto"/>
        <w:jc w:val="both"/>
        <w:rPr>
          <w:color w:val="000000" w:themeColor="text1"/>
        </w:rPr>
      </w:pPr>
    </w:p>
    <w:p w:rsidR="00CD1045" w:rsidRDefault="00CD1045" w:rsidP="003A0029">
      <w:pPr>
        <w:pStyle w:val="NoSpacing"/>
        <w:spacing w:before="120" w:after="120" w:line="276" w:lineRule="auto"/>
        <w:jc w:val="both"/>
        <w:rPr>
          <w:color w:val="000000" w:themeColor="text1"/>
        </w:rPr>
      </w:pPr>
    </w:p>
    <w:p w:rsidR="000F2FAE" w:rsidRPr="008E4EA2" w:rsidRDefault="000F2FAE" w:rsidP="003A0029">
      <w:pPr>
        <w:pStyle w:val="NoSpacing"/>
        <w:spacing w:before="120" w:after="120" w:line="276" w:lineRule="auto"/>
        <w:jc w:val="both"/>
        <w:rPr>
          <w:i/>
          <w:color w:val="000000" w:themeColor="text1"/>
        </w:rPr>
      </w:pPr>
      <w:r w:rsidRPr="008E4EA2">
        <w:rPr>
          <w:color w:val="000000" w:themeColor="text1"/>
        </w:rPr>
        <w:lastRenderedPageBreak/>
        <w:t xml:space="preserve">Grafiks </w:t>
      </w:r>
      <w:proofErr w:type="spellStart"/>
      <w:r w:rsidRPr="008E4EA2">
        <w:rPr>
          <w:color w:val="000000" w:themeColor="text1"/>
        </w:rPr>
        <w:t>Nr</w:t>
      </w:r>
      <w:proofErr w:type="spellEnd"/>
      <w:r w:rsidRPr="008E4EA2">
        <w:rPr>
          <w:color w:val="000000" w:themeColor="text1"/>
        </w:rPr>
        <w:t xml:space="preserve">. </w:t>
      </w:r>
      <w:r w:rsidR="0078381C" w:rsidRPr="008E4EA2">
        <w:rPr>
          <w:color w:val="000000" w:themeColor="text1"/>
        </w:rPr>
        <w:t>21</w:t>
      </w:r>
      <w:r w:rsidRPr="008E4EA2">
        <w:rPr>
          <w:color w:val="000000" w:themeColor="text1"/>
        </w:rPr>
        <w:t xml:space="preserve"> </w:t>
      </w:r>
      <w:r w:rsidR="00AE20E5" w:rsidRPr="008E4EA2">
        <w:rPr>
          <w:color w:val="000000" w:themeColor="text1"/>
        </w:rPr>
        <w:t>„</w:t>
      </w:r>
      <w:r w:rsidRPr="008E4EA2">
        <w:rPr>
          <w:i/>
          <w:color w:val="000000" w:themeColor="text1"/>
        </w:rPr>
        <w:t>Finansējuma sadalījums pa progra</w:t>
      </w:r>
      <w:r w:rsidR="00AE20E5" w:rsidRPr="008E4EA2">
        <w:rPr>
          <w:i/>
          <w:color w:val="000000" w:themeColor="text1"/>
        </w:rPr>
        <w:t xml:space="preserve">mmu jomām - kopā 53,03 </w:t>
      </w:r>
      <w:proofErr w:type="spellStart"/>
      <w:r w:rsidR="00AE20E5" w:rsidRPr="008E4EA2">
        <w:rPr>
          <w:i/>
          <w:color w:val="000000" w:themeColor="text1"/>
        </w:rPr>
        <w:t>milj</w:t>
      </w:r>
      <w:proofErr w:type="spellEnd"/>
      <w:r w:rsidR="00AE20E5" w:rsidRPr="008E4EA2">
        <w:rPr>
          <w:i/>
          <w:color w:val="000000" w:themeColor="text1"/>
        </w:rPr>
        <w:t>. latu.”</w:t>
      </w:r>
    </w:p>
    <w:p w:rsidR="000F2FAE" w:rsidRPr="008E4EA2" w:rsidRDefault="000F2FAE" w:rsidP="003A0029">
      <w:pPr>
        <w:spacing w:before="120" w:after="120" w:line="276" w:lineRule="auto"/>
        <w:rPr>
          <w:rFonts w:eastAsiaTheme="minorHAnsi"/>
          <w:color w:val="000000" w:themeColor="text1"/>
          <w:szCs w:val="24"/>
        </w:rPr>
      </w:pPr>
    </w:p>
    <w:p w:rsidR="00CE4257" w:rsidRPr="008E4EA2" w:rsidRDefault="000F2FAE" w:rsidP="003A0029">
      <w:pPr>
        <w:spacing w:before="120" w:after="120" w:line="276" w:lineRule="auto"/>
        <w:rPr>
          <w:rFonts w:eastAsiaTheme="minorHAnsi"/>
          <w:color w:val="000000" w:themeColor="text1"/>
          <w:szCs w:val="24"/>
        </w:rPr>
      </w:pPr>
      <w:r w:rsidRPr="008E4EA2">
        <w:rPr>
          <w:rFonts w:eastAsiaTheme="minorHAnsi"/>
          <w:noProof/>
          <w:color w:val="000000" w:themeColor="text1"/>
          <w:szCs w:val="24"/>
          <w:lang w:eastAsia="lv-LV"/>
        </w:rPr>
        <w:drawing>
          <wp:inline distT="0" distB="0" distL="0" distR="0" wp14:anchorId="746A604D" wp14:editId="2FFD6049">
            <wp:extent cx="5486400" cy="3213735"/>
            <wp:effectExtent l="0" t="0" r="0" b="0"/>
            <wp:docPr id="12296" name="Char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96" name="Chart 8"/>
                    <pic:cNvPicPr>
                      <a:picLocks noChangeArrowheads="1"/>
                    </pic:cNvPicPr>
                  </pic:nvPicPr>
                  <pic:blipFill>
                    <a:blip r:embed="rId55" cstate="screen">
                      <a:extLst>
                        <a:ext uri="{28A0092B-C50C-407E-A947-70E740481C1C}">
                          <a14:useLocalDpi xmlns:a14="http://schemas.microsoft.com/office/drawing/2010/main"/>
                        </a:ext>
                      </a:extLst>
                    </a:blip>
                    <a:srcRect/>
                    <a:stretch>
                      <a:fillRect/>
                    </a:stretch>
                  </pic:blipFill>
                  <pic:spPr bwMode="auto">
                    <a:xfrm>
                      <a:off x="0" y="0"/>
                      <a:ext cx="5486400" cy="3213735"/>
                    </a:xfrm>
                    <a:prstGeom prst="rect">
                      <a:avLst/>
                    </a:prstGeom>
                    <a:noFill/>
                    <a:ln>
                      <a:noFill/>
                    </a:ln>
                    <a:extLst/>
                  </pic:spPr>
                </pic:pic>
              </a:graphicData>
            </a:graphic>
          </wp:inline>
        </w:drawing>
      </w:r>
    </w:p>
    <w:p w:rsidR="007D5303" w:rsidRPr="008E4EA2" w:rsidRDefault="00305963" w:rsidP="003A0029">
      <w:pPr>
        <w:spacing w:before="120" w:after="120" w:line="276" w:lineRule="auto"/>
        <w:rPr>
          <w:rFonts w:eastAsiaTheme="minorHAnsi"/>
          <w:color w:val="000000" w:themeColor="text1"/>
          <w:szCs w:val="24"/>
        </w:rPr>
      </w:pPr>
      <w:r w:rsidRPr="00E62148">
        <w:rPr>
          <w:rFonts w:eastAsiaTheme="minorHAnsi"/>
          <w:color w:val="000000" w:themeColor="text1"/>
          <w:szCs w:val="24"/>
        </w:rPr>
        <w:t>Informāciju par Norvēģijas finanšu instrumenta programmām, to finansējumu</w:t>
      </w:r>
      <w:r w:rsidR="000F2FAE" w:rsidRPr="00E62148">
        <w:rPr>
          <w:rFonts w:eastAsiaTheme="minorHAnsi"/>
          <w:color w:val="000000" w:themeColor="text1"/>
          <w:szCs w:val="24"/>
        </w:rPr>
        <w:t xml:space="preserve"> un</w:t>
      </w:r>
      <w:r w:rsidR="005E1672">
        <w:rPr>
          <w:rFonts w:eastAsiaTheme="minorHAnsi"/>
          <w:color w:val="000000" w:themeColor="text1"/>
          <w:szCs w:val="24"/>
        </w:rPr>
        <w:t xml:space="preserve"> </w:t>
      </w:r>
      <w:r w:rsidR="000F2FAE" w:rsidRPr="00E62148">
        <w:rPr>
          <w:rFonts w:eastAsiaTheme="minorHAnsi"/>
          <w:color w:val="000000" w:themeColor="text1"/>
          <w:szCs w:val="24"/>
        </w:rPr>
        <w:t>sagaidāmajiem rezultātiem skatīt</w:t>
      </w:r>
      <w:r w:rsidRPr="00E62148">
        <w:rPr>
          <w:rFonts w:eastAsiaTheme="minorHAnsi"/>
          <w:color w:val="000000" w:themeColor="text1"/>
          <w:szCs w:val="24"/>
        </w:rPr>
        <w:t xml:space="preserve"> </w:t>
      </w:r>
      <w:r w:rsidR="00E62148" w:rsidRPr="00E62148">
        <w:rPr>
          <w:rFonts w:eastAsiaTheme="minorHAnsi"/>
          <w:color w:val="000000" w:themeColor="text1"/>
          <w:szCs w:val="24"/>
        </w:rPr>
        <w:t>pielikumā Nr.6.</w:t>
      </w:r>
    </w:p>
    <w:p w:rsidR="000F2FAE" w:rsidRPr="007105BE" w:rsidRDefault="007E51C3" w:rsidP="00E62148">
      <w:pPr>
        <w:jc w:val="left"/>
        <w:rPr>
          <w:color w:val="000000" w:themeColor="text1"/>
          <w:szCs w:val="24"/>
        </w:rPr>
      </w:pPr>
      <w:r w:rsidRPr="007105BE">
        <w:rPr>
          <w:color w:val="000000" w:themeColor="text1"/>
          <w:szCs w:val="24"/>
        </w:rPr>
        <w:t xml:space="preserve">Informācija par finanšu instrumentu finansētajām programmām pieejama EEZ/Norvēģijas finanšu instrumentu mājas lapā </w:t>
      </w:r>
      <w:hyperlink r:id="rId56" w:history="1">
        <w:r w:rsidRPr="004B4B31">
          <w:t>http://www.eeagrants.lv</w:t>
        </w:r>
      </w:hyperlink>
      <w:r w:rsidR="001D7128" w:rsidRPr="007105BE">
        <w:rPr>
          <w:color w:val="000000" w:themeColor="text1"/>
          <w:szCs w:val="24"/>
        </w:rPr>
        <w:t xml:space="preserve"> </w:t>
      </w:r>
      <w:r w:rsidR="00116F7D" w:rsidRPr="007105BE">
        <w:rPr>
          <w:color w:val="000000" w:themeColor="text1"/>
          <w:szCs w:val="24"/>
        </w:rPr>
        <w:t xml:space="preserve">un </w:t>
      </w:r>
      <w:hyperlink r:id="rId57" w:history="1">
        <w:r w:rsidR="00116F7D" w:rsidRPr="004B4B31">
          <w:t>www.norwaygrants.lv</w:t>
        </w:r>
      </w:hyperlink>
      <w:r w:rsidR="00116F7D" w:rsidRPr="007105BE">
        <w:rPr>
          <w:color w:val="000000" w:themeColor="text1"/>
          <w:szCs w:val="24"/>
        </w:rPr>
        <w:t xml:space="preserve"> </w:t>
      </w:r>
      <w:r w:rsidR="001D7128" w:rsidRPr="007105BE">
        <w:rPr>
          <w:color w:val="000000" w:themeColor="text1"/>
          <w:szCs w:val="24"/>
        </w:rPr>
        <w:t>sadaļā Saistoši dokumenti /Informatīvi materiāli</w:t>
      </w:r>
      <w:r w:rsidR="004B4B31">
        <w:rPr>
          <w:color w:val="000000" w:themeColor="text1"/>
          <w:szCs w:val="24"/>
        </w:rPr>
        <w:t>.</w:t>
      </w:r>
    </w:p>
    <w:p w:rsidR="00305963" w:rsidRPr="008E4EA2" w:rsidRDefault="00305963" w:rsidP="003A0029">
      <w:pPr>
        <w:spacing w:before="120" w:after="120" w:line="276" w:lineRule="auto"/>
        <w:rPr>
          <w:color w:val="000000" w:themeColor="text1"/>
          <w:szCs w:val="24"/>
        </w:rPr>
      </w:pPr>
      <w:r w:rsidRPr="008E4EA2">
        <w:rPr>
          <w:color w:val="000000" w:themeColor="text1"/>
          <w:szCs w:val="24"/>
        </w:rPr>
        <w:t xml:space="preserve">Pārskata periodā notika aktīvs darbs pie programmu līgumu projektu saskaņošanas un precizēšanas, kā rezultātā </w:t>
      </w:r>
      <w:proofErr w:type="spellStart"/>
      <w:r w:rsidRPr="008E4EA2">
        <w:rPr>
          <w:color w:val="000000" w:themeColor="text1"/>
          <w:szCs w:val="24"/>
        </w:rPr>
        <w:t>donorvalstis</w:t>
      </w:r>
      <w:proofErr w:type="spellEnd"/>
      <w:r w:rsidRPr="008E4EA2">
        <w:rPr>
          <w:color w:val="000000" w:themeColor="text1"/>
          <w:szCs w:val="24"/>
        </w:rPr>
        <w:t xml:space="preserve"> ir apstiprinājušas četras no septiņām Latvijas iesniegtajām programmām. Plānots, ka 2012.gada </w:t>
      </w:r>
      <w:r w:rsidR="00DA026E" w:rsidRPr="008E4EA2">
        <w:rPr>
          <w:color w:val="000000" w:themeColor="text1"/>
          <w:szCs w:val="24"/>
        </w:rPr>
        <w:t xml:space="preserve">ceturtajā </w:t>
      </w:r>
      <w:r w:rsidRPr="008E4EA2">
        <w:rPr>
          <w:color w:val="000000" w:themeColor="text1"/>
          <w:szCs w:val="24"/>
        </w:rPr>
        <w:t>ceturksnī tiks apstiprinātas atlikušās trīs programmas.</w:t>
      </w:r>
    </w:p>
    <w:p w:rsidR="00305963" w:rsidRPr="008E4EA2" w:rsidRDefault="00305963" w:rsidP="003A0029">
      <w:pPr>
        <w:spacing w:before="120" w:after="120" w:line="276" w:lineRule="auto"/>
        <w:rPr>
          <w:color w:val="000000" w:themeColor="text1"/>
          <w:szCs w:val="24"/>
        </w:rPr>
      </w:pPr>
      <w:r w:rsidRPr="008E4EA2">
        <w:rPr>
          <w:color w:val="000000" w:themeColor="text1"/>
          <w:szCs w:val="24"/>
        </w:rPr>
        <w:t>Pārskata p</w:t>
      </w:r>
      <w:r w:rsidR="00982EFC" w:rsidRPr="008E4EA2">
        <w:rPr>
          <w:color w:val="000000" w:themeColor="text1"/>
          <w:szCs w:val="24"/>
        </w:rPr>
        <w:t>eriodā Norvēģijas institūcija – „</w:t>
      </w:r>
      <w:proofErr w:type="spellStart"/>
      <w:r w:rsidRPr="008E4EA2">
        <w:rPr>
          <w:color w:val="000000" w:themeColor="text1"/>
          <w:szCs w:val="24"/>
        </w:rPr>
        <w:t>Innovation</w:t>
      </w:r>
      <w:proofErr w:type="spellEnd"/>
      <w:r w:rsidRPr="008E4EA2">
        <w:rPr>
          <w:color w:val="000000" w:themeColor="text1"/>
          <w:szCs w:val="24"/>
        </w:rPr>
        <w:t xml:space="preserve"> </w:t>
      </w:r>
      <w:proofErr w:type="spellStart"/>
      <w:r w:rsidRPr="008E4EA2">
        <w:rPr>
          <w:color w:val="000000" w:themeColor="text1"/>
          <w:szCs w:val="24"/>
        </w:rPr>
        <w:t>Norway</w:t>
      </w:r>
      <w:proofErr w:type="spellEnd"/>
      <w:r w:rsidR="00982EFC" w:rsidRPr="008E4EA2">
        <w:rPr>
          <w:color w:val="000000" w:themeColor="text1"/>
          <w:szCs w:val="24"/>
        </w:rPr>
        <w:t>”</w:t>
      </w:r>
      <w:r w:rsidRPr="008E4EA2">
        <w:rPr>
          <w:color w:val="000000" w:themeColor="text1"/>
          <w:szCs w:val="24"/>
        </w:rPr>
        <w:t xml:space="preserve"> turpināja darbu pie programmas „Globālais fonds cienīga darba un trīspusējās sadarbības veicināšanai” ietvaros pretendentu no Latvijas iesniegto projektu iesniegumu izvērtēšanas. Uz apstiprināšanu plānots virzīt </w:t>
      </w:r>
      <w:r w:rsidR="00C9741B" w:rsidRPr="008E4EA2">
        <w:rPr>
          <w:color w:val="000000" w:themeColor="text1"/>
          <w:szCs w:val="24"/>
        </w:rPr>
        <w:t>četrus</w:t>
      </w:r>
      <w:r w:rsidRPr="008E4EA2">
        <w:rPr>
          <w:color w:val="000000" w:themeColor="text1"/>
          <w:szCs w:val="24"/>
        </w:rPr>
        <w:t xml:space="preserve"> projektus no </w:t>
      </w:r>
      <w:r w:rsidR="00C9741B" w:rsidRPr="008E4EA2">
        <w:rPr>
          <w:color w:val="000000" w:themeColor="text1"/>
          <w:szCs w:val="24"/>
        </w:rPr>
        <w:t>sešiem</w:t>
      </w:r>
      <w:r w:rsidRPr="008E4EA2">
        <w:rPr>
          <w:color w:val="000000" w:themeColor="text1"/>
          <w:szCs w:val="24"/>
        </w:rPr>
        <w:t xml:space="preserve"> projektiem, kas izturējuši administratīvo un kvalitatīvo vērtēšanu.</w:t>
      </w:r>
      <w:r w:rsidR="003271BE" w:rsidRPr="008E4EA2">
        <w:rPr>
          <w:color w:val="000000" w:themeColor="text1"/>
          <w:szCs w:val="24"/>
        </w:rPr>
        <w:t xml:space="preserve"> </w:t>
      </w:r>
    </w:p>
    <w:p w:rsidR="00305963" w:rsidRPr="008E4EA2" w:rsidRDefault="00305963" w:rsidP="003A0029">
      <w:pPr>
        <w:spacing w:before="120" w:after="120" w:line="276" w:lineRule="auto"/>
        <w:rPr>
          <w:color w:val="000000" w:themeColor="text1"/>
          <w:szCs w:val="24"/>
        </w:rPr>
      </w:pPr>
      <w:r w:rsidRPr="008E4EA2">
        <w:rPr>
          <w:color w:val="000000" w:themeColor="text1"/>
          <w:szCs w:val="24"/>
        </w:rPr>
        <w:t xml:space="preserve">Atbilstoši EEZ/Norvēģijas finanšu instrumentu ieviešanas noteikumiem FM ir izstrādājusi un 2012.gada 27.septembrī iesniegusi </w:t>
      </w:r>
      <w:proofErr w:type="spellStart"/>
      <w:r w:rsidRPr="008E4EA2">
        <w:rPr>
          <w:color w:val="000000" w:themeColor="text1"/>
          <w:szCs w:val="24"/>
        </w:rPr>
        <w:t>donorvalstīm</w:t>
      </w:r>
      <w:proofErr w:type="spellEnd"/>
      <w:r w:rsidRPr="008E4EA2">
        <w:rPr>
          <w:color w:val="000000" w:themeColor="text1"/>
          <w:szCs w:val="24"/>
        </w:rPr>
        <w:t xml:space="preserve"> apstiprināšanai Bilaterālā fonda nacionālā līmenī darba plānu, kurā kā Latvijas un </w:t>
      </w:r>
      <w:proofErr w:type="spellStart"/>
      <w:r w:rsidRPr="008E4EA2">
        <w:rPr>
          <w:color w:val="000000" w:themeColor="text1"/>
          <w:szCs w:val="24"/>
        </w:rPr>
        <w:t>donorvalstu</w:t>
      </w:r>
      <w:proofErr w:type="spellEnd"/>
      <w:r w:rsidRPr="008E4EA2">
        <w:rPr>
          <w:color w:val="000000" w:themeColor="text1"/>
          <w:szCs w:val="24"/>
        </w:rPr>
        <w:t xml:space="preserve"> divpusējās sadarbības galvenie pasākumi ietverti: </w:t>
      </w:r>
      <w:r w:rsidR="008E5444" w:rsidRPr="008E4EA2">
        <w:rPr>
          <w:color w:val="000000" w:themeColor="text1"/>
          <w:szCs w:val="24"/>
        </w:rPr>
        <w:t>TM</w:t>
      </w:r>
      <w:r w:rsidRPr="008E4EA2">
        <w:rPr>
          <w:color w:val="000000" w:themeColor="text1"/>
          <w:szCs w:val="24"/>
        </w:rPr>
        <w:t xml:space="preserve"> organizēta starptautiska konference lēmumu pieņēmējiem par administratīvā aresta atcelšanu un dažādas aktivitātes „Rīga - Eiropas kultūras galvaspilsēta 2014” ietvaros. Lai identificētu potenciāli atbalstāmos pasākumus, </w:t>
      </w:r>
      <w:r w:rsidR="008E5444" w:rsidRPr="008E4EA2">
        <w:rPr>
          <w:color w:val="000000" w:themeColor="text1"/>
          <w:szCs w:val="24"/>
        </w:rPr>
        <w:t>KM</w:t>
      </w:r>
      <w:r w:rsidRPr="008E4EA2">
        <w:rPr>
          <w:color w:val="000000" w:themeColor="text1"/>
          <w:szCs w:val="24"/>
        </w:rPr>
        <w:t xml:space="preserve"> sadarbībā ar nodibinājumu „Rīga 2014” tika uzdots izstrādāt divpusējās attiecības veicinošu iespējamo pasākumu sarakstu un iesniegt to FM izskatīšanai.</w:t>
      </w:r>
      <w:r w:rsidR="005E1672">
        <w:rPr>
          <w:color w:val="000000" w:themeColor="text1"/>
          <w:szCs w:val="24"/>
        </w:rPr>
        <w:t xml:space="preserve"> </w:t>
      </w:r>
    </w:p>
    <w:p w:rsidR="00305963" w:rsidRPr="008E4EA2" w:rsidRDefault="00305963" w:rsidP="003A0029">
      <w:pPr>
        <w:spacing w:before="120" w:after="120" w:line="276" w:lineRule="auto"/>
        <w:rPr>
          <w:color w:val="000000" w:themeColor="text1"/>
          <w:szCs w:val="24"/>
        </w:rPr>
      </w:pPr>
      <w:r w:rsidRPr="008E4EA2">
        <w:rPr>
          <w:color w:val="000000" w:themeColor="text1"/>
          <w:szCs w:val="24"/>
        </w:rPr>
        <w:lastRenderedPageBreak/>
        <w:t xml:space="preserve">2012.gada 24.septembrī </w:t>
      </w:r>
      <w:r w:rsidR="008E5444" w:rsidRPr="008E4EA2">
        <w:rPr>
          <w:color w:val="000000" w:themeColor="text1"/>
          <w:szCs w:val="24"/>
        </w:rPr>
        <w:t>MK</w:t>
      </w:r>
      <w:r w:rsidRPr="008E4EA2">
        <w:rPr>
          <w:color w:val="000000" w:themeColor="text1"/>
          <w:szCs w:val="24"/>
        </w:rPr>
        <w:t xml:space="preserve"> apstiprināšanai iesniegts FM izstrādātais </w:t>
      </w:r>
      <w:r w:rsidR="008E5444" w:rsidRPr="008E4EA2">
        <w:rPr>
          <w:color w:val="000000" w:themeColor="text1"/>
          <w:szCs w:val="24"/>
        </w:rPr>
        <w:t>MK</w:t>
      </w:r>
      <w:r w:rsidRPr="008E4EA2">
        <w:rPr>
          <w:color w:val="000000" w:themeColor="text1"/>
          <w:szCs w:val="24"/>
        </w:rPr>
        <w:t xml:space="preserve"> noteikumu projekts „</w:t>
      </w:r>
      <w:r w:rsidRPr="008E4EA2">
        <w:rPr>
          <w:iCs/>
          <w:color w:val="000000" w:themeColor="text1"/>
          <w:szCs w:val="24"/>
        </w:rPr>
        <w:t>Eiropas Ekonomikas zonas finanšu instrumenta un Norvēģijas finanšu instrumenta 2009.-2014.gada perioda vadības noteikumi</w:t>
      </w:r>
      <w:r w:rsidRPr="008E4EA2">
        <w:rPr>
          <w:color w:val="000000" w:themeColor="text1"/>
          <w:szCs w:val="24"/>
        </w:rPr>
        <w:t xml:space="preserve">”, kas tika apstiprināts 2012.gada 9.oktobra </w:t>
      </w:r>
      <w:r w:rsidR="007105BE">
        <w:rPr>
          <w:color w:val="000000" w:themeColor="text1"/>
          <w:szCs w:val="24"/>
        </w:rPr>
        <w:t>MK</w:t>
      </w:r>
      <w:r w:rsidRPr="008E4EA2">
        <w:rPr>
          <w:color w:val="000000" w:themeColor="text1"/>
          <w:szCs w:val="24"/>
        </w:rPr>
        <w:t xml:space="preserve"> sēdē.</w:t>
      </w:r>
      <w:r w:rsidR="003271BE" w:rsidRPr="008E4EA2">
        <w:rPr>
          <w:color w:val="000000" w:themeColor="text1"/>
          <w:szCs w:val="24"/>
        </w:rPr>
        <w:t xml:space="preserve"> </w:t>
      </w:r>
    </w:p>
    <w:p w:rsidR="00305963" w:rsidRPr="008E4EA2" w:rsidRDefault="00305963" w:rsidP="003A0029">
      <w:pPr>
        <w:spacing w:before="120" w:after="120" w:line="276" w:lineRule="auto"/>
        <w:rPr>
          <w:iCs/>
          <w:color w:val="000000" w:themeColor="text1"/>
          <w:szCs w:val="24"/>
        </w:rPr>
      </w:pPr>
      <w:r w:rsidRPr="008E4EA2">
        <w:rPr>
          <w:color w:val="000000" w:themeColor="text1"/>
          <w:szCs w:val="24"/>
        </w:rPr>
        <w:t xml:space="preserve">Pārskata periodā FM notika arī aktīvs darbs pie </w:t>
      </w:r>
      <w:r w:rsidR="008E5444" w:rsidRPr="008E4EA2">
        <w:rPr>
          <w:color w:val="000000" w:themeColor="text1"/>
          <w:szCs w:val="24"/>
        </w:rPr>
        <w:t>MK</w:t>
      </w:r>
      <w:r w:rsidRPr="008E4EA2">
        <w:rPr>
          <w:color w:val="000000" w:themeColor="text1"/>
          <w:szCs w:val="24"/>
        </w:rPr>
        <w:t xml:space="preserve"> noteikumu projekta </w:t>
      </w:r>
      <w:r w:rsidRPr="008E4EA2">
        <w:rPr>
          <w:iCs/>
          <w:color w:val="000000" w:themeColor="text1"/>
          <w:szCs w:val="24"/>
        </w:rPr>
        <w:t xml:space="preserve">„Kārtība, kādā nodrošina Eiropas Ekonomikas zonas finanšu instrumenta un Norvēģijas finanšu instrumenta 2009.-2014.gada perioda uzraudzību, izvērtēšanu, kontroli, ziņo par konstatētajām neatbilstībām un atgūst neatbilstoši veiktos izdevumus” izstrādes un saskaņošanas FM. Noteikumu projekts tika iesniegts izskatīšanai uz 2012.gada 4.oktobra VSS. </w:t>
      </w:r>
    </w:p>
    <w:p w:rsidR="00305963" w:rsidRPr="008E4EA2" w:rsidRDefault="00305963" w:rsidP="003A0029">
      <w:pPr>
        <w:spacing w:before="120" w:after="120" w:line="276" w:lineRule="auto"/>
        <w:rPr>
          <w:color w:val="000000" w:themeColor="text1"/>
          <w:szCs w:val="24"/>
        </w:rPr>
      </w:pPr>
      <w:r w:rsidRPr="008E4EA2">
        <w:rPr>
          <w:iCs/>
          <w:color w:val="000000" w:themeColor="text1"/>
          <w:szCs w:val="24"/>
        </w:rPr>
        <w:t>Pārskata periodā FM aktīvi strādāja pie jaunā perioda EEZ/Norvēģijas finanšu instrumentu atklāšanas pasākuma organizēšanas, kas notika 2012.gada 3.oktobrī Norvēģijas karalistes vēstniecības rīkoto Norvēģijas dienu ietvaros. Atklāšanas pasākumā, kas bija paredzēts potenciālajiem projektu iesniedzējiem, piedalījās apmēram 180 dalībnieku.</w:t>
      </w:r>
    </w:p>
    <w:p w:rsidR="0026722E" w:rsidRPr="008E4EA2" w:rsidRDefault="00305963" w:rsidP="003A0029">
      <w:pPr>
        <w:spacing w:before="120" w:after="120" w:line="276" w:lineRule="auto"/>
        <w:rPr>
          <w:color w:val="000000" w:themeColor="text1"/>
          <w:szCs w:val="24"/>
        </w:rPr>
      </w:pPr>
      <w:r w:rsidRPr="008E4EA2">
        <w:rPr>
          <w:color w:val="000000" w:themeColor="text1"/>
          <w:szCs w:val="24"/>
        </w:rPr>
        <w:t>Saskaņā ar 2012.gada 18.septembra Valsts kases (</w:t>
      </w:r>
      <w:r w:rsidRPr="008E4EA2">
        <w:rPr>
          <w:rFonts w:eastAsia="EUAlbertina-Bold-Identity-H"/>
          <w:color w:val="000000" w:themeColor="text1"/>
          <w:szCs w:val="24"/>
          <w:lang w:eastAsia="lv-LV"/>
        </w:rPr>
        <w:t xml:space="preserve">EEZ/Norvēģijas </w:t>
      </w:r>
      <w:r w:rsidRPr="008E4EA2">
        <w:rPr>
          <w:color w:val="000000" w:themeColor="text1"/>
          <w:szCs w:val="24"/>
        </w:rPr>
        <w:t xml:space="preserve">finanšu instrumentu sertifikācijas iestāde) datiem plānotais indikatīvais </w:t>
      </w:r>
      <w:r w:rsidRPr="008E4EA2">
        <w:rPr>
          <w:rFonts w:eastAsia="EUAlbertina-Bold-Identity-H"/>
          <w:color w:val="000000" w:themeColor="text1"/>
          <w:szCs w:val="24"/>
          <w:lang w:eastAsia="lv-LV"/>
        </w:rPr>
        <w:t xml:space="preserve">EEZ/Norvēģijas </w:t>
      </w:r>
      <w:r w:rsidRPr="008E4EA2">
        <w:rPr>
          <w:color w:val="000000" w:themeColor="text1"/>
          <w:szCs w:val="24"/>
        </w:rPr>
        <w:t xml:space="preserve">finanšu instrumentu līdzekļu pieprasījums </w:t>
      </w:r>
      <w:proofErr w:type="spellStart"/>
      <w:r w:rsidRPr="008E4EA2">
        <w:rPr>
          <w:color w:val="000000" w:themeColor="text1"/>
          <w:szCs w:val="24"/>
        </w:rPr>
        <w:t>donorvalstīm</w:t>
      </w:r>
      <w:proofErr w:type="spellEnd"/>
      <w:r w:rsidRPr="008E4EA2">
        <w:rPr>
          <w:color w:val="000000" w:themeColor="text1"/>
          <w:szCs w:val="24"/>
        </w:rPr>
        <w:t xml:space="preserve"> (plānotais mērķa profils) ir šāds:</w:t>
      </w:r>
    </w:p>
    <w:p w:rsidR="0075217D" w:rsidRPr="008E4EA2" w:rsidRDefault="00305963" w:rsidP="003A0029">
      <w:pPr>
        <w:spacing w:before="120" w:after="120" w:line="276" w:lineRule="auto"/>
        <w:rPr>
          <w:i/>
          <w:iCs/>
          <w:color w:val="000000" w:themeColor="text1"/>
          <w:szCs w:val="24"/>
        </w:rPr>
      </w:pPr>
      <w:r w:rsidRPr="008E4EA2">
        <w:rPr>
          <w:iCs/>
          <w:color w:val="000000" w:themeColor="text1"/>
          <w:szCs w:val="24"/>
        </w:rPr>
        <w:t>Grafiks Nr.</w:t>
      </w:r>
      <w:r w:rsidR="0078381C" w:rsidRPr="008E4EA2">
        <w:rPr>
          <w:iCs/>
          <w:color w:val="000000" w:themeColor="text1"/>
          <w:szCs w:val="24"/>
        </w:rPr>
        <w:t>22</w:t>
      </w:r>
      <w:r w:rsidR="001A6D8D" w:rsidRPr="008E4EA2">
        <w:rPr>
          <w:iCs/>
          <w:color w:val="000000" w:themeColor="text1"/>
          <w:szCs w:val="24"/>
        </w:rPr>
        <w:t xml:space="preserve"> </w:t>
      </w:r>
      <w:r w:rsidR="00682708" w:rsidRPr="00E62148">
        <w:rPr>
          <w:i/>
          <w:iCs/>
          <w:color w:val="000000" w:themeColor="text1"/>
          <w:szCs w:val="24"/>
        </w:rPr>
        <w:t>„</w:t>
      </w:r>
      <w:r w:rsidRPr="008E4EA2">
        <w:rPr>
          <w:i/>
          <w:iCs/>
          <w:color w:val="000000" w:themeColor="text1"/>
          <w:szCs w:val="24"/>
        </w:rPr>
        <w:t xml:space="preserve">EEZ/Norvēģijas finanšu instrumentu indikatīvais mērķa profils 2012.-2017.gadam; </w:t>
      </w:r>
      <w:proofErr w:type="spellStart"/>
      <w:r w:rsidRPr="008E4EA2">
        <w:rPr>
          <w:i/>
          <w:iCs/>
          <w:color w:val="000000" w:themeColor="text1"/>
          <w:szCs w:val="24"/>
        </w:rPr>
        <w:t>milj</w:t>
      </w:r>
      <w:proofErr w:type="spellEnd"/>
      <w:r w:rsidRPr="00E62148">
        <w:rPr>
          <w:i/>
          <w:iCs/>
          <w:color w:val="000000" w:themeColor="text1"/>
          <w:szCs w:val="24"/>
        </w:rPr>
        <w:t>. latu**</w:t>
      </w:r>
      <w:r w:rsidR="00E62148" w:rsidRPr="00E62148">
        <w:rPr>
          <w:i/>
          <w:iCs/>
          <w:color w:val="000000" w:themeColor="text1"/>
          <w:szCs w:val="24"/>
        </w:rPr>
        <w:t>.”</w:t>
      </w:r>
    </w:p>
    <w:p w:rsidR="0075217D" w:rsidRPr="008E4EA2" w:rsidRDefault="007A4A77" w:rsidP="003A0029">
      <w:pPr>
        <w:spacing w:before="120" w:after="120" w:line="276" w:lineRule="auto"/>
        <w:rPr>
          <w:i/>
          <w:iCs/>
          <w:color w:val="000000" w:themeColor="text1"/>
          <w:szCs w:val="24"/>
        </w:rPr>
      </w:pPr>
      <w:r>
        <w:rPr>
          <w:noProof/>
          <w:lang w:eastAsia="lv-LV"/>
        </w:rPr>
        <w:drawing>
          <wp:inline distT="0" distB="0" distL="0" distR="0" wp14:anchorId="2663A32B" wp14:editId="57776982">
            <wp:extent cx="5105400" cy="233362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CA04EA" w:rsidRPr="000C30E3" w:rsidRDefault="009B3BD9" w:rsidP="003A0029">
      <w:pPr>
        <w:spacing w:before="120" w:after="120" w:line="276" w:lineRule="auto"/>
        <w:rPr>
          <w:color w:val="000000" w:themeColor="text1"/>
          <w:sz w:val="20"/>
        </w:rPr>
      </w:pPr>
      <w:r w:rsidRPr="000C30E3">
        <w:rPr>
          <w:color w:val="000000" w:themeColor="text1"/>
          <w:sz w:val="20"/>
        </w:rPr>
        <w:t>** Finanšu instrumentu grants, izņemot Cienīga darba un trīspusējās sadarbības veicināšanas programmu, kuru apsaimnieko Norvēģijas institūcija.</w:t>
      </w:r>
      <w:bookmarkStart w:id="59" w:name="_Toc290449013"/>
    </w:p>
    <w:p w:rsidR="00FF4209" w:rsidRPr="008E4EA2" w:rsidRDefault="00FF4209" w:rsidP="003A0029">
      <w:pPr>
        <w:pStyle w:val="1lmenis"/>
        <w:spacing w:before="120" w:after="120" w:line="276" w:lineRule="auto"/>
        <w:ind w:left="709"/>
        <w:rPr>
          <w:rFonts w:ascii="Times New Roman" w:hAnsi="Times New Roman"/>
          <w:color w:val="000000" w:themeColor="text1"/>
          <w:sz w:val="24"/>
          <w:szCs w:val="24"/>
          <w:lang w:val="lv-LV"/>
        </w:rPr>
      </w:pPr>
      <w:bookmarkStart w:id="60" w:name="_Toc324948886"/>
      <w:bookmarkStart w:id="61" w:name="_Toc340241707"/>
      <w:r w:rsidRPr="008E4EA2">
        <w:rPr>
          <w:rFonts w:ascii="Times New Roman" w:hAnsi="Times New Roman"/>
          <w:color w:val="000000" w:themeColor="text1"/>
          <w:sz w:val="24"/>
          <w:szCs w:val="24"/>
          <w:lang w:val="lv-LV"/>
        </w:rPr>
        <w:t>Šveices programmas apguve</w:t>
      </w:r>
      <w:bookmarkEnd w:id="58"/>
      <w:bookmarkEnd w:id="59"/>
      <w:bookmarkEnd w:id="60"/>
      <w:bookmarkEnd w:id="61"/>
    </w:p>
    <w:p w:rsidR="009B3BD9" w:rsidRPr="008E4EA2" w:rsidRDefault="009B3BD9" w:rsidP="003A0029">
      <w:pPr>
        <w:spacing w:before="120" w:after="120" w:line="276" w:lineRule="auto"/>
        <w:rPr>
          <w:iCs/>
          <w:color w:val="000000" w:themeColor="text1"/>
          <w:szCs w:val="24"/>
        </w:rPr>
      </w:pPr>
      <w:bookmarkStart w:id="62" w:name="_Toc276049989"/>
      <w:bookmarkStart w:id="63" w:name="_Toc290449014"/>
      <w:bookmarkStart w:id="64" w:name="_Toc290449856"/>
      <w:r w:rsidRPr="008E4EA2">
        <w:rPr>
          <w:iCs/>
          <w:color w:val="000000" w:themeColor="text1"/>
          <w:szCs w:val="24"/>
        </w:rPr>
        <w:t xml:space="preserve">Šveices programmas finansējums Latvijai ir pieejams no 2007.gada 14.jūnija līdz 2012.gada 14.jūnijam (5 gadu saistību periods), paredzot iespēju īstenot projektus un līdz ar to arī apgūt piešķirto finansējumu līdz 2017.gada 14.jūnijam. Šveices programmā Latvijai kopumā ir pieejami 56,9 </w:t>
      </w:r>
      <w:proofErr w:type="spellStart"/>
      <w:r w:rsidRPr="008E4EA2">
        <w:rPr>
          <w:iCs/>
          <w:color w:val="000000" w:themeColor="text1"/>
          <w:szCs w:val="24"/>
        </w:rPr>
        <w:t>milj</w:t>
      </w:r>
      <w:proofErr w:type="spellEnd"/>
      <w:r w:rsidRPr="008E4EA2">
        <w:rPr>
          <w:iCs/>
          <w:color w:val="000000" w:themeColor="text1"/>
          <w:szCs w:val="24"/>
        </w:rPr>
        <w:t xml:space="preserve">. Šveices franku jeb 33,3 </w:t>
      </w:r>
      <w:proofErr w:type="spellStart"/>
      <w:r w:rsidRPr="008E4EA2">
        <w:rPr>
          <w:iCs/>
          <w:color w:val="000000" w:themeColor="text1"/>
          <w:szCs w:val="24"/>
        </w:rPr>
        <w:t>milj</w:t>
      </w:r>
      <w:proofErr w:type="spellEnd"/>
      <w:r w:rsidRPr="008E4EA2">
        <w:rPr>
          <w:iCs/>
          <w:color w:val="000000" w:themeColor="text1"/>
          <w:szCs w:val="24"/>
        </w:rPr>
        <w:t xml:space="preserve">. latu. Līdz pārskata perioda beigām Šveices kompetentās iestādes ir apstiprinājušas </w:t>
      </w:r>
      <w:r w:rsidR="009B4FF1" w:rsidRPr="008E4EA2">
        <w:rPr>
          <w:iCs/>
          <w:color w:val="000000" w:themeColor="text1"/>
          <w:szCs w:val="24"/>
        </w:rPr>
        <w:t>12</w:t>
      </w:r>
      <w:r w:rsidRPr="008E4EA2">
        <w:rPr>
          <w:iCs/>
          <w:color w:val="000000" w:themeColor="text1"/>
          <w:szCs w:val="24"/>
        </w:rPr>
        <w:t xml:space="preserve"> projektu</w:t>
      </w:r>
      <w:r w:rsidR="009B4FF1" w:rsidRPr="008E4EA2">
        <w:rPr>
          <w:iCs/>
          <w:color w:val="000000" w:themeColor="text1"/>
          <w:szCs w:val="24"/>
        </w:rPr>
        <w:t>s</w:t>
      </w:r>
      <w:r w:rsidRPr="008E4EA2">
        <w:rPr>
          <w:iCs/>
          <w:color w:val="000000" w:themeColor="text1"/>
          <w:szCs w:val="24"/>
        </w:rPr>
        <w:t xml:space="preserve"> par visu Latvijai pieejamo finansējumu, </w:t>
      </w:r>
      <w:proofErr w:type="spellStart"/>
      <w:r w:rsidRPr="008E4EA2">
        <w:rPr>
          <w:iCs/>
          <w:color w:val="000000" w:themeColor="text1"/>
          <w:szCs w:val="24"/>
        </w:rPr>
        <w:t>t.i</w:t>
      </w:r>
      <w:proofErr w:type="spellEnd"/>
      <w:r w:rsidRPr="008E4EA2">
        <w:rPr>
          <w:iCs/>
          <w:color w:val="000000" w:themeColor="text1"/>
          <w:szCs w:val="24"/>
        </w:rPr>
        <w:t>., 100% apmērā</w:t>
      </w:r>
      <w:r w:rsidR="009B4FF1" w:rsidRPr="008E4EA2">
        <w:rPr>
          <w:iCs/>
          <w:color w:val="000000" w:themeColor="text1"/>
          <w:szCs w:val="24"/>
        </w:rPr>
        <w:t>, i</w:t>
      </w:r>
      <w:r w:rsidRPr="008E4EA2">
        <w:rPr>
          <w:iCs/>
          <w:color w:val="000000" w:themeColor="text1"/>
          <w:szCs w:val="24"/>
        </w:rPr>
        <w:t xml:space="preserve">r noslēgti visi paredzētie projektu </w:t>
      </w:r>
      <w:r w:rsidRPr="008E4EA2">
        <w:rPr>
          <w:iCs/>
          <w:color w:val="000000" w:themeColor="text1"/>
          <w:szCs w:val="24"/>
        </w:rPr>
        <w:lastRenderedPageBreak/>
        <w:t>līgumi un ir</w:t>
      </w:r>
      <w:r w:rsidR="003271BE" w:rsidRPr="008E4EA2">
        <w:rPr>
          <w:iCs/>
          <w:color w:val="000000" w:themeColor="text1"/>
          <w:szCs w:val="24"/>
        </w:rPr>
        <w:t xml:space="preserve"> </w:t>
      </w:r>
      <w:r w:rsidR="009B4FF1" w:rsidRPr="008E4EA2">
        <w:rPr>
          <w:iCs/>
          <w:color w:val="000000" w:themeColor="text1"/>
          <w:szCs w:val="24"/>
        </w:rPr>
        <w:t xml:space="preserve">jau </w:t>
      </w:r>
      <w:r w:rsidRPr="008E4EA2">
        <w:rPr>
          <w:iCs/>
          <w:color w:val="000000" w:themeColor="text1"/>
          <w:szCs w:val="24"/>
        </w:rPr>
        <w:t xml:space="preserve">pabeigti </w:t>
      </w:r>
      <w:r w:rsidR="00C9741B" w:rsidRPr="008E4EA2">
        <w:rPr>
          <w:iCs/>
          <w:color w:val="000000" w:themeColor="text1"/>
          <w:szCs w:val="24"/>
        </w:rPr>
        <w:t>divi</w:t>
      </w:r>
      <w:r w:rsidRPr="008E4EA2">
        <w:rPr>
          <w:iCs/>
          <w:color w:val="000000" w:themeColor="text1"/>
          <w:szCs w:val="24"/>
        </w:rPr>
        <w:t xml:space="preserve"> projekti – „Pašvaldību aktivitāšu īstenošana, lai nodrošinātu skolnieku pārvadāšanu un ar to saistītos atbalsta pasākumus” un „Projektu sagatavošanas fonds”.</w:t>
      </w:r>
    </w:p>
    <w:p w:rsidR="0026722E" w:rsidRPr="008E4EA2" w:rsidRDefault="009B3BD9" w:rsidP="003A0029">
      <w:pPr>
        <w:spacing w:before="120" w:after="120" w:line="276" w:lineRule="auto"/>
        <w:rPr>
          <w:iCs/>
          <w:color w:val="000000" w:themeColor="text1"/>
          <w:szCs w:val="24"/>
        </w:rPr>
      </w:pPr>
      <w:r w:rsidRPr="008E4EA2">
        <w:rPr>
          <w:iCs/>
          <w:color w:val="000000" w:themeColor="text1"/>
          <w:szCs w:val="24"/>
        </w:rPr>
        <w:t xml:space="preserve">Līdz pārskata perioda beigām atmaksas finansējuma saņēmējiem ir 15,5 </w:t>
      </w:r>
      <w:proofErr w:type="spellStart"/>
      <w:r w:rsidRPr="008E4EA2">
        <w:rPr>
          <w:iCs/>
          <w:color w:val="000000" w:themeColor="text1"/>
          <w:szCs w:val="24"/>
        </w:rPr>
        <w:t>milj</w:t>
      </w:r>
      <w:proofErr w:type="spellEnd"/>
      <w:r w:rsidRPr="008E4EA2">
        <w:rPr>
          <w:iCs/>
          <w:color w:val="000000" w:themeColor="text1"/>
          <w:szCs w:val="24"/>
        </w:rPr>
        <w:t xml:space="preserve">. latu jeb 46 % no Šveices programmas kopējā finansējuma. Salīdzinoši ar iepriekšējo ceturksni atmaksas palielinājušās par 1,6 </w:t>
      </w:r>
      <w:proofErr w:type="spellStart"/>
      <w:r w:rsidRPr="008E4EA2">
        <w:rPr>
          <w:iCs/>
          <w:color w:val="000000" w:themeColor="text1"/>
          <w:szCs w:val="24"/>
        </w:rPr>
        <w:t>milj</w:t>
      </w:r>
      <w:proofErr w:type="spellEnd"/>
      <w:r w:rsidRPr="008E4EA2">
        <w:rPr>
          <w:iCs/>
          <w:color w:val="000000" w:themeColor="text1"/>
          <w:szCs w:val="24"/>
        </w:rPr>
        <w:t>. latu jeb 1,6%.</w:t>
      </w:r>
    </w:p>
    <w:p w:rsidR="00E10B12" w:rsidRPr="008E4EA2" w:rsidRDefault="009B3BD9" w:rsidP="003A0029">
      <w:pPr>
        <w:spacing w:before="120" w:after="120" w:line="276" w:lineRule="auto"/>
        <w:rPr>
          <w:i/>
          <w:color w:val="000000" w:themeColor="text1"/>
          <w:szCs w:val="24"/>
        </w:rPr>
      </w:pPr>
      <w:r w:rsidRPr="008E4EA2">
        <w:rPr>
          <w:color w:val="000000" w:themeColor="text1"/>
          <w:szCs w:val="24"/>
        </w:rPr>
        <w:t>Grafiks Nr.</w:t>
      </w:r>
      <w:r w:rsidR="0078381C" w:rsidRPr="008E4EA2">
        <w:rPr>
          <w:color w:val="000000" w:themeColor="text1"/>
          <w:szCs w:val="24"/>
        </w:rPr>
        <w:t>23</w:t>
      </w:r>
      <w:r w:rsidR="001A6D8D" w:rsidRPr="008E4EA2">
        <w:rPr>
          <w:color w:val="000000" w:themeColor="text1"/>
          <w:szCs w:val="24"/>
        </w:rPr>
        <w:t xml:space="preserve"> </w:t>
      </w:r>
      <w:r w:rsidRPr="008E4EA2">
        <w:rPr>
          <w:i/>
          <w:color w:val="000000" w:themeColor="text1"/>
          <w:szCs w:val="24"/>
        </w:rPr>
        <w:t xml:space="preserve">„No Šveices atgūtais Šveices programmas finansējums līdz 2012.gada 30.septembrim salīdzinājumā ar 2012.gada 30.jūniju, </w:t>
      </w:r>
      <w:proofErr w:type="spellStart"/>
      <w:r w:rsidRPr="008E4EA2">
        <w:rPr>
          <w:i/>
          <w:color w:val="000000" w:themeColor="text1"/>
          <w:szCs w:val="24"/>
        </w:rPr>
        <w:t>milj</w:t>
      </w:r>
      <w:proofErr w:type="spellEnd"/>
      <w:r w:rsidRPr="008E4EA2">
        <w:rPr>
          <w:i/>
          <w:color w:val="000000" w:themeColor="text1"/>
          <w:szCs w:val="24"/>
        </w:rPr>
        <w:t>. CHF</w:t>
      </w:r>
      <w:r w:rsidRPr="008E4EA2">
        <w:rPr>
          <w:i/>
          <w:color w:val="000000" w:themeColor="text1"/>
          <w:szCs w:val="24"/>
          <w:vertAlign w:val="superscript"/>
        </w:rPr>
        <w:footnoteReference w:id="9"/>
      </w:r>
      <w:r w:rsidRPr="008E4EA2">
        <w:rPr>
          <w:i/>
          <w:color w:val="000000" w:themeColor="text1"/>
          <w:szCs w:val="24"/>
        </w:rPr>
        <w:t>.”</w:t>
      </w:r>
    </w:p>
    <w:p w:rsidR="00E10B12" w:rsidRPr="008E4EA2" w:rsidRDefault="00CE4257" w:rsidP="003A0029">
      <w:pPr>
        <w:spacing w:before="120" w:after="120" w:line="276" w:lineRule="auto"/>
        <w:rPr>
          <w:color w:val="000000" w:themeColor="text1"/>
          <w:szCs w:val="24"/>
        </w:rPr>
      </w:pPr>
      <w:r w:rsidRPr="008E4EA2">
        <w:rPr>
          <w:noProof/>
          <w:color w:val="000000" w:themeColor="text1"/>
          <w:szCs w:val="24"/>
          <w:lang w:eastAsia="lv-LV"/>
        </w:rPr>
        <w:drawing>
          <wp:inline distT="0" distB="0" distL="0" distR="0" wp14:anchorId="1B17859B" wp14:editId="706D5BEE">
            <wp:extent cx="5273675" cy="2908300"/>
            <wp:effectExtent l="0" t="0" r="3175"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a:extLst>
                        <a:ext uri="{28A0092B-C50C-407E-A947-70E740481C1C}">
                          <a14:useLocalDpi xmlns:a14="http://schemas.microsoft.com/office/drawing/2010/main"/>
                        </a:ext>
                      </a:extLst>
                    </a:blip>
                    <a:srcRect/>
                    <a:stretch>
                      <a:fillRect/>
                    </a:stretch>
                  </pic:blipFill>
                  <pic:spPr bwMode="auto">
                    <a:xfrm>
                      <a:off x="0" y="0"/>
                      <a:ext cx="5273675" cy="2908300"/>
                    </a:xfrm>
                    <a:prstGeom prst="rect">
                      <a:avLst/>
                    </a:prstGeom>
                    <a:noFill/>
                  </pic:spPr>
                </pic:pic>
              </a:graphicData>
            </a:graphic>
          </wp:inline>
        </w:drawing>
      </w:r>
    </w:p>
    <w:p w:rsidR="009B3BD9" w:rsidRPr="008E4EA2" w:rsidRDefault="009B3BD9" w:rsidP="003A0029">
      <w:pPr>
        <w:spacing w:before="120" w:after="120" w:line="276" w:lineRule="auto"/>
        <w:rPr>
          <w:color w:val="000000" w:themeColor="text1"/>
          <w:szCs w:val="24"/>
        </w:rPr>
      </w:pPr>
      <w:r w:rsidRPr="008E4EA2">
        <w:rPr>
          <w:color w:val="000000" w:themeColor="text1"/>
          <w:szCs w:val="24"/>
        </w:rPr>
        <w:t xml:space="preserve">Tā kā pirmo projektu ieviešana ir uzsākusies tikai 2009.gada vidū, tad šobrīd sasniegtie apguves rādītāji ir vērtējami kā ļoti labi. No </w:t>
      </w:r>
      <w:proofErr w:type="spellStart"/>
      <w:r w:rsidRPr="008E4EA2">
        <w:rPr>
          <w:color w:val="000000" w:themeColor="text1"/>
          <w:szCs w:val="24"/>
        </w:rPr>
        <w:t>donorvalsts</w:t>
      </w:r>
      <w:proofErr w:type="spellEnd"/>
      <w:r w:rsidRPr="008E4EA2">
        <w:rPr>
          <w:color w:val="000000" w:themeColor="text1"/>
          <w:szCs w:val="24"/>
        </w:rPr>
        <w:t xml:space="preserve"> saņemtā informācija liecina, ka Latvija ieņem </w:t>
      </w:r>
      <w:r w:rsidR="003271BE" w:rsidRPr="008E4EA2">
        <w:rPr>
          <w:color w:val="000000" w:themeColor="text1"/>
          <w:szCs w:val="24"/>
        </w:rPr>
        <w:t xml:space="preserve">pirmo </w:t>
      </w:r>
      <w:r w:rsidRPr="008E4EA2">
        <w:rPr>
          <w:color w:val="000000" w:themeColor="text1"/>
          <w:szCs w:val="24"/>
        </w:rPr>
        <w:t>vietu no 12 saņēmējvalstīm Šveices programmas līdzekļu apguves ziņā.</w:t>
      </w:r>
    </w:p>
    <w:p w:rsidR="009B3BD9" w:rsidRPr="008E4EA2" w:rsidRDefault="009B3BD9" w:rsidP="003A0029">
      <w:pPr>
        <w:spacing w:before="120" w:after="120" w:line="276" w:lineRule="auto"/>
        <w:rPr>
          <w:color w:val="000000" w:themeColor="text1"/>
          <w:szCs w:val="24"/>
        </w:rPr>
      </w:pPr>
      <w:r w:rsidRPr="008E4EA2">
        <w:rPr>
          <w:color w:val="000000" w:themeColor="text1"/>
          <w:szCs w:val="24"/>
        </w:rPr>
        <w:t>Projektā „Tiesu modernizācija Latvijā” līdz pārskata perioda beigām ir pabeigta visu paredzēto videokonferenču un audio ierakstu iekārtu uzstādīšana tiesu sēžu zālēs (48 tiesās un 12 ieslodzījuma vietās). Projekta īstenošanas termiņš tika pagarināts līdz 2013.gada 30.jūnijam, lai apgūtu projekta ietvaros radušos ietaupījumus.</w:t>
      </w:r>
    </w:p>
    <w:p w:rsidR="009B3BD9" w:rsidRPr="008E4EA2" w:rsidRDefault="009B3BD9" w:rsidP="003A0029">
      <w:pPr>
        <w:spacing w:before="120" w:after="120" w:line="276" w:lineRule="auto"/>
        <w:rPr>
          <w:color w:val="000000" w:themeColor="text1"/>
          <w:szCs w:val="24"/>
        </w:rPr>
      </w:pPr>
      <w:r w:rsidRPr="008E4EA2">
        <w:rPr>
          <w:color w:val="000000" w:themeColor="text1"/>
          <w:szCs w:val="24"/>
        </w:rPr>
        <w:t>NVO fonda</w:t>
      </w:r>
      <w:r w:rsidRPr="008E4EA2">
        <w:rPr>
          <w:b/>
          <w:bCs/>
          <w:iCs/>
          <w:color w:val="000000" w:themeColor="text1"/>
          <w:szCs w:val="24"/>
        </w:rPr>
        <w:t xml:space="preserve"> </w:t>
      </w:r>
      <w:r w:rsidRPr="008E4EA2">
        <w:rPr>
          <w:bCs/>
          <w:iCs/>
          <w:color w:val="000000" w:themeColor="text1"/>
          <w:szCs w:val="24"/>
        </w:rPr>
        <w:t>ietvaros</w:t>
      </w:r>
      <w:r w:rsidRPr="008E4EA2">
        <w:rPr>
          <w:color w:val="000000" w:themeColor="text1"/>
          <w:szCs w:val="24"/>
        </w:rPr>
        <w:t xml:space="preserve"> tiek sniegts atbilsts </w:t>
      </w:r>
      <w:r w:rsidR="00832AC2">
        <w:rPr>
          <w:color w:val="000000" w:themeColor="text1"/>
          <w:szCs w:val="24"/>
        </w:rPr>
        <w:t>NVO</w:t>
      </w:r>
      <w:r w:rsidRPr="008E4EA2">
        <w:rPr>
          <w:color w:val="000000" w:themeColor="text1"/>
          <w:szCs w:val="24"/>
        </w:rPr>
        <w:t xml:space="preserve"> aktivitātēm, kas vērstas uz dzīves kvalitātes uzlabošanu jauniešiem un bērniem ar mazākām iespējām un senioriem. NVO fondā līdz 2012.gada beigām tiks īstenoti 62 </w:t>
      </w:r>
      <w:proofErr w:type="spellStart"/>
      <w:r w:rsidRPr="008E4EA2">
        <w:rPr>
          <w:color w:val="000000" w:themeColor="text1"/>
          <w:szCs w:val="24"/>
        </w:rPr>
        <w:t>apakšprojekti</w:t>
      </w:r>
      <w:proofErr w:type="spellEnd"/>
      <w:r w:rsidRPr="008E4EA2">
        <w:rPr>
          <w:color w:val="000000" w:themeColor="text1"/>
          <w:szCs w:val="24"/>
        </w:rPr>
        <w:t xml:space="preserve">. Uz pārskata perioda beigām jau ir noslēgušies 54 </w:t>
      </w:r>
      <w:proofErr w:type="spellStart"/>
      <w:r w:rsidRPr="008E4EA2">
        <w:rPr>
          <w:color w:val="000000" w:themeColor="text1"/>
          <w:szCs w:val="24"/>
        </w:rPr>
        <w:t>apakšprojekti</w:t>
      </w:r>
      <w:proofErr w:type="spellEnd"/>
      <w:r w:rsidRPr="008E4EA2">
        <w:rPr>
          <w:color w:val="000000" w:themeColor="text1"/>
          <w:szCs w:val="24"/>
        </w:rPr>
        <w:t xml:space="preserve"> un 41 no tiem noslēguma pārskati ir jau apstiprināti.</w:t>
      </w:r>
    </w:p>
    <w:p w:rsidR="009B3BD9" w:rsidRPr="008E4EA2" w:rsidRDefault="009B3BD9" w:rsidP="003A0029">
      <w:pPr>
        <w:spacing w:before="120" w:after="120" w:line="276" w:lineRule="auto"/>
        <w:rPr>
          <w:color w:val="000000" w:themeColor="text1"/>
          <w:szCs w:val="24"/>
        </w:rPr>
      </w:pPr>
      <w:r w:rsidRPr="008E4EA2">
        <w:rPr>
          <w:color w:val="000000" w:themeColor="text1"/>
          <w:szCs w:val="24"/>
        </w:rPr>
        <w:t xml:space="preserve">Stipendiju fonda ietvaros divos atklātajos stipendiju konkursos doktorantiem un jaunajiem zinātniekiem ir apstiprināti </w:t>
      </w:r>
      <w:r w:rsidR="00C9741B" w:rsidRPr="008E4EA2">
        <w:rPr>
          <w:color w:val="000000" w:themeColor="text1"/>
          <w:szCs w:val="24"/>
        </w:rPr>
        <w:t>pieci</w:t>
      </w:r>
      <w:r w:rsidRPr="008E4EA2">
        <w:rPr>
          <w:color w:val="000000" w:themeColor="text1"/>
          <w:szCs w:val="24"/>
        </w:rPr>
        <w:t xml:space="preserve"> iesniegumi no 10 saņemtajiem, turpmāk konkurss tiks izsludināts divas reizes gadā (iepriekš bija plānots - vienu reizi gadā). 2012.gada 1.septembrī izsludināts trešais stipendiju konkurss.</w:t>
      </w:r>
    </w:p>
    <w:p w:rsidR="009B3BD9" w:rsidRPr="008E4EA2" w:rsidRDefault="009B3BD9" w:rsidP="003A0029">
      <w:pPr>
        <w:spacing w:before="120" w:after="120" w:line="276" w:lineRule="auto"/>
        <w:rPr>
          <w:color w:val="000000" w:themeColor="text1"/>
          <w:szCs w:val="24"/>
        </w:rPr>
      </w:pPr>
      <w:r w:rsidRPr="008E4EA2">
        <w:rPr>
          <w:color w:val="000000" w:themeColor="text1"/>
          <w:szCs w:val="24"/>
        </w:rPr>
        <w:lastRenderedPageBreak/>
        <w:t xml:space="preserve">Grantu shēma „Šveices pētnieku aktivitātes Latvijā” paredz vismaz 45 stipendiju piešķiršanu Šveices pētniekiem lekciju lasīšanai un pieredzes apmaiņai Latvijas augstskolās un zinātniskajās institūcijās. Pirmajā atklātajā konkursā ir apstiprināti visi iesniegumi no </w:t>
      </w:r>
      <w:r w:rsidR="00C9741B" w:rsidRPr="008E4EA2">
        <w:rPr>
          <w:color w:val="000000" w:themeColor="text1"/>
          <w:szCs w:val="24"/>
        </w:rPr>
        <w:t>deviņiem</w:t>
      </w:r>
      <w:r w:rsidRPr="008E4EA2">
        <w:rPr>
          <w:color w:val="000000" w:themeColor="text1"/>
          <w:szCs w:val="24"/>
        </w:rPr>
        <w:t xml:space="preserve"> saņemtajiem. Otrais konkurss izsludināts 2012.gada </w:t>
      </w:r>
      <w:r w:rsidR="00803CEC">
        <w:rPr>
          <w:color w:val="000000" w:themeColor="text1"/>
          <w:szCs w:val="24"/>
        </w:rPr>
        <w:t>3</w:t>
      </w:r>
      <w:r w:rsidRPr="008E4EA2">
        <w:rPr>
          <w:color w:val="000000" w:themeColor="text1"/>
          <w:szCs w:val="24"/>
        </w:rPr>
        <w:t xml:space="preserve">.septembrī. Līdz 2014.gada septembrim vēl paredzēti </w:t>
      </w:r>
      <w:r w:rsidR="00C9741B" w:rsidRPr="008E4EA2">
        <w:rPr>
          <w:color w:val="000000" w:themeColor="text1"/>
          <w:szCs w:val="24"/>
        </w:rPr>
        <w:t>četri</w:t>
      </w:r>
      <w:r w:rsidRPr="008E4EA2">
        <w:rPr>
          <w:color w:val="000000" w:themeColor="text1"/>
          <w:szCs w:val="24"/>
        </w:rPr>
        <w:t xml:space="preserve"> konkursi.</w:t>
      </w:r>
    </w:p>
    <w:p w:rsidR="009B3BD9" w:rsidRPr="008E4EA2" w:rsidRDefault="009B3BD9" w:rsidP="003A0029">
      <w:pPr>
        <w:spacing w:before="120" w:after="120" w:line="276" w:lineRule="auto"/>
        <w:rPr>
          <w:color w:val="000000" w:themeColor="text1"/>
          <w:szCs w:val="24"/>
        </w:rPr>
      </w:pPr>
      <w:r w:rsidRPr="008E4EA2">
        <w:rPr>
          <w:color w:val="000000" w:themeColor="text1"/>
          <w:szCs w:val="24"/>
        </w:rPr>
        <w:t xml:space="preserve">Projekts „Vēsturiski piesārņoto vietu sanācija – Sarkandaugavas teritorijā” paredz sanācijas darbu veikšanu </w:t>
      </w:r>
      <w:r w:rsidR="00C9741B" w:rsidRPr="008E4EA2">
        <w:rPr>
          <w:color w:val="000000" w:themeColor="text1"/>
          <w:szCs w:val="24"/>
        </w:rPr>
        <w:t>piecos</w:t>
      </w:r>
      <w:r w:rsidRPr="008E4EA2">
        <w:rPr>
          <w:color w:val="000000" w:themeColor="text1"/>
          <w:szCs w:val="24"/>
        </w:rPr>
        <w:t xml:space="preserve"> objektos Rīgas Brīvostas teritorijā. Kopumā plānots attīrīt aptuveni 77 000 m</w:t>
      </w:r>
      <w:r w:rsidRPr="008E4EA2">
        <w:rPr>
          <w:color w:val="000000" w:themeColor="text1"/>
          <w:szCs w:val="24"/>
          <w:vertAlign w:val="superscript"/>
        </w:rPr>
        <w:t>2</w:t>
      </w:r>
      <w:r w:rsidRPr="008E4EA2">
        <w:rPr>
          <w:color w:val="000000" w:themeColor="text1"/>
          <w:szCs w:val="24"/>
        </w:rPr>
        <w:t xml:space="preserve"> lielu platību. Pirmais nozīmīgais iepirkums par sanācijas darbu veikšanu 55 000 m</w:t>
      </w:r>
      <w:r w:rsidRPr="008E4EA2">
        <w:rPr>
          <w:color w:val="000000" w:themeColor="text1"/>
          <w:szCs w:val="24"/>
          <w:vertAlign w:val="superscript"/>
        </w:rPr>
        <w:t>2</w:t>
      </w:r>
      <w:r w:rsidRPr="008E4EA2">
        <w:rPr>
          <w:color w:val="000000" w:themeColor="text1"/>
          <w:szCs w:val="24"/>
        </w:rPr>
        <w:t xml:space="preserve"> lielā platībā noslēgsies 2012.gada novembrī, savukārt līgumu par sanācijas darbu veikšanu plānots noslēgt līdz 2012.gada beigām. Līdz ar to sanācijas darbus, kas ir galvenais projektā sasniedzamais rezultāts, plānots uzsākt 2013.gada pirmajā</w:t>
      </w:r>
      <w:r w:rsidR="003271BE" w:rsidRPr="008E4EA2">
        <w:rPr>
          <w:color w:val="000000" w:themeColor="text1"/>
          <w:szCs w:val="24"/>
        </w:rPr>
        <w:t xml:space="preserve"> </w:t>
      </w:r>
      <w:r w:rsidRPr="008E4EA2">
        <w:rPr>
          <w:color w:val="000000" w:themeColor="text1"/>
          <w:szCs w:val="24"/>
        </w:rPr>
        <w:t>pusē.</w:t>
      </w:r>
    </w:p>
    <w:p w:rsidR="009B3BD9" w:rsidRPr="008E4EA2" w:rsidRDefault="009B3BD9" w:rsidP="003A0029">
      <w:pPr>
        <w:spacing w:before="120" w:after="120" w:line="276" w:lineRule="auto"/>
        <w:rPr>
          <w:color w:val="000000" w:themeColor="text1"/>
          <w:szCs w:val="24"/>
        </w:rPr>
      </w:pPr>
      <w:r w:rsidRPr="008E4EA2">
        <w:rPr>
          <w:color w:val="000000" w:themeColor="text1"/>
          <w:szCs w:val="24"/>
        </w:rPr>
        <w:t xml:space="preserve">Programma „Atbalsts jaunatnes iniciatīvu attīstībai attālos vai mazattīstītos reģionos” paredz 17 </w:t>
      </w:r>
      <w:proofErr w:type="spellStart"/>
      <w:r w:rsidRPr="008E4EA2">
        <w:rPr>
          <w:color w:val="000000" w:themeColor="text1"/>
          <w:szCs w:val="24"/>
        </w:rPr>
        <w:t>multifunkcionālu</w:t>
      </w:r>
      <w:proofErr w:type="spellEnd"/>
      <w:r w:rsidRPr="008E4EA2">
        <w:rPr>
          <w:color w:val="000000" w:themeColor="text1"/>
          <w:szCs w:val="24"/>
        </w:rPr>
        <w:t xml:space="preserve"> jauniešu iniciatīvu centru izveidi 17 dažādās Latvijas pašvaldībās un semināru, konferenču un forumu organizēšanu visā Latvijā jauniešiem un personām, kas iesaistītas darbā ar jauniešiem, par jauniešiem aktuālām tēmām. Līdz pārskata perioda beigām ir atklāti 11 jauniešu iniciatīvu centri – Tukumā, Ilūkstē, Saldū, Burtniekos, Kandavā, Madonā, Pļaviņās, Alūksnē, Dagdā, Gulbenē un Rūjienā. Centru izveidi plānots pabeigt 2013.gadā. Tā pat līdz pārskata perioda beigām ir notikuši </w:t>
      </w:r>
      <w:r w:rsidR="00803CEC" w:rsidRPr="008E4EA2">
        <w:rPr>
          <w:color w:val="000000" w:themeColor="text1"/>
          <w:szCs w:val="24"/>
        </w:rPr>
        <w:t>2</w:t>
      </w:r>
      <w:r w:rsidR="00803CEC">
        <w:rPr>
          <w:color w:val="000000" w:themeColor="text1"/>
          <w:szCs w:val="24"/>
        </w:rPr>
        <w:t>7</w:t>
      </w:r>
      <w:r w:rsidR="00803CEC" w:rsidRPr="008E4EA2">
        <w:rPr>
          <w:color w:val="000000" w:themeColor="text1"/>
          <w:szCs w:val="24"/>
        </w:rPr>
        <w:t xml:space="preserve"> </w:t>
      </w:r>
      <w:r w:rsidRPr="008E4EA2">
        <w:rPr>
          <w:color w:val="000000" w:themeColor="text1"/>
          <w:szCs w:val="24"/>
        </w:rPr>
        <w:t>no 160 plānotajiem semināriem jauniešiem un personām, kas iesaistītas darbā ar jauniešiem.</w:t>
      </w:r>
    </w:p>
    <w:p w:rsidR="009B3BD9" w:rsidRPr="008E4EA2" w:rsidRDefault="009B3BD9" w:rsidP="003A0029">
      <w:pPr>
        <w:spacing w:before="120" w:after="120" w:line="276" w:lineRule="auto"/>
        <w:rPr>
          <w:color w:val="000000" w:themeColor="text1"/>
          <w:szCs w:val="24"/>
        </w:rPr>
      </w:pPr>
      <w:proofErr w:type="spellStart"/>
      <w:r w:rsidRPr="008E4EA2">
        <w:rPr>
          <w:color w:val="000000" w:themeColor="text1"/>
          <w:szCs w:val="24"/>
        </w:rPr>
        <w:t>Mikrokreditēšanas</w:t>
      </w:r>
      <w:proofErr w:type="spellEnd"/>
      <w:r w:rsidRPr="008E4EA2">
        <w:rPr>
          <w:color w:val="000000" w:themeColor="text1"/>
          <w:szCs w:val="24"/>
        </w:rPr>
        <w:t xml:space="preserve"> programmas ietvaros četru gadu laikā plānots piešķirt 650 </w:t>
      </w:r>
      <w:proofErr w:type="spellStart"/>
      <w:r w:rsidRPr="008E4EA2">
        <w:rPr>
          <w:color w:val="000000" w:themeColor="text1"/>
          <w:szCs w:val="24"/>
        </w:rPr>
        <w:t>mikro</w:t>
      </w:r>
      <w:proofErr w:type="spellEnd"/>
      <w:r w:rsidRPr="008E4EA2">
        <w:rPr>
          <w:color w:val="000000" w:themeColor="text1"/>
          <w:szCs w:val="24"/>
        </w:rPr>
        <w:t xml:space="preserve"> aizdevumus 4,3 </w:t>
      </w:r>
      <w:proofErr w:type="spellStart"/>
      <w:r w:rsidRPr="008E4EA2">
        <w:rPr>
          <w:color w:val="000000" w:themeColor="text1"/>
          <w:szCs w:val="24"/>
        </w:rPr>
        <w:t>milj</w:t>
      </w:r>
      <w:proofErr w:type="spellEnd"/>
      <w:r w:rsidRPr="008E4EA2">
        <w:rPr>
          <w:color w:val="000000" w:themeColor="text1"/>
          <w:szCs w:val="24"/>
        </w:rPr>
        <w:t xml:space="preserve">. latu apmērā. 2011.gada 19.septembrī LHZB uzsāka projektu iesniegumu pieņemšanu aizdevumu piešķiršanai </w:t>
      </w:r>
      <w:proofErr w:type="spellStart"/>
      <w:r w:rsidRPr="008E4EA2">
        <w:rPr>
          <w:color w:val="000000" w:themeColor="text1"/>
          <w:szCs w:val="24"/>
        </w:rPr>
        <w:t>mikro</w:t>
      </w:r>
      <w:proofErr w:type="spellEnd"/>
      <w:r w:rsidRPr="008E4EA2">
        <w:rPr>
          <w:color w:val="000000" w:themeColor="text1"/>
          <w:szCs w:val="24"/>
        </w:rPr>
        <w:t xml:space="preserve"> uzņēmumiem un pašnodarbinātām personām uzņēmējdarbības uzsākšanai vai attīstībai. Līdz pārskata perioda beigām aizdevumu fonda apguves rādītāji ir labāki nekā sākotnēji bija plānots – jau piešķirti 470 </w:t>
      </w:r>
      <w:proofErr w:type="spellStart"/>
      <w:r w:rsidRPr="008E4EA2">
        <w:rPr>
          <w:color w:val="000000" w:themeColor="text1"/>
          <w:szCs w:val="24"/>
        </w:rPr>
        <w:t>mikro</w:t>
      </w:r>
      <w:proofErr w:type="spellEnd"/>
      <w:r w:rsidRPr="008E4EA2">
        <w:rPr>
          <w:color w:val="000000" w:themeColor="text1"/>
          <w:szCs w:val="24"/>
        </w:rPr>
        <w:t xml:space="preserve"> aizdevumi 2,75 </w:t>
      </w:r>
      <w:proofErr w:type="spellStart"/>
      <w:r w:rsidRPr="008E4EA2">
        <w:rPr>
          <w:color w:val="000000" w:themeColor="text1"/>
          <w:szCs w:val="24"/>
        </w:rPr>
        <w:t>milj</w:t>
      </w:r>
      <w:proofErr w:type="spellEnd"/>
      <w:r w:rsidRPr="008E4EA2">
        <w:rPr>
          <w:color w:val="000000" w:themeColor="text1"/>
          <w:szCs w:val="24"/>
        </w:rPr>
        <w:t xml:space="preserve">. latu apmērā, </w:t>
      </w:r>
      <w:proofErr w:type="spellStart"/>
      <w:r w:rsidRPr="008E4EA2">
        <w:rPr>
          <w:color w:val="000000" w:themeColor="text1"/>
          <w:szCs w:val="24"/>
        </w:rPr>
        <w:t>t.i</w:t>
      </w:r>
      <w:proofErr w:type="spellEnd"/>
      <w:r w:rsidRPr="008E4EA2">
        <w:rPr>
          <w:color w:val="000000" w:themeColor="text1"/>
          <w:szCs w:val="24"/>
        </w:rPr>
        <w:t xml:space="preserve">., 72% no sākotnēji plānotā. Saglabājoties pašreizējiem </w:t>
      </w:r>
      <w:proofErr w:type="spellStart"/>
      <w:r w:rsidRPr="008E4EA2">
        <w:rPr>
          <w:color w:val="000000" w:themeColor="text1"/>
          <w:szCs w:val="24"/>
        </w:rPr>
        <w:t>mikro</w:t>
      </w:r>
      <w:proofErr w:type="spellEnd"/>
      <w:r w:rsidRPr="008E4EA2">
        <w:rPr>
          <w:color w:val="000000" w:themeColor="text1"/>
          <w:szCs w:val="24"/>
        </w:rPr>
        <w:t xml:space="preserve"> aizdevumu piešķiršanas tempiem, </w:t>
      </w:r>
      <w:r w:rsidRPr="008E4EA2">
        <w:rPr>
          <w:bCs/>
          <w:color w:val="000000" w:themeColor="text1"/>
          <w:szCs w:val="24"/>
        </w:rPr>
        <w:t xml:space="preserve">programmas finansējums var tikt apgūts </w:t>
      </w:r>
      <w:r w:rsidR="00C9741B" w:rsidRPr="008E4EA2">
        <w:rPr>
          <w:color w:val="000000" w:themeColor="text1"/>
          <w:szCs w:val="24"/>
        </w:rPr>
        <w:t>divus</w:t>
      </w:r>
      <w:r w:rsidRPr="008E4EA2">
        <w:rPr>
          <w:color w:val="000000" w:themeColor="text1"/>
          <w:szCs w:val="24"/>
        </w:rPr>
        <w:t xml:space="preserve"> gadus ātrāk.</w:t>
      </w:r>
      <w:r w:rsidR="001E1906" w:rsidRPr="008E4EA2">
        <w:rPr>
          <w:color w:val="000000" w:themeColor="text1"/>
          <w:szCs w:val="24"/>
        </w:rPr>
        <w:t xml:space="preserve"> Veiksmes faktors – atvieglotāki nosacījumi aizdevuma garantijām.</w:t>
      </w:r>
    </w:p>
    <w:p w:rsidR="009B3BD9" w:rsidRPr="008E4EA2" w:rsidRDefault="009B3BD9" w:rsidP="003A0029">
      <w:pPr>
        <w:spacing w:before="120" w:after="120" w:line="276" w:lineRule="auto"/>
        <w:rPr>
          <w:color w:val="000000" w:themeColor="text1"/>
          <w:szCs w:val="24"/>
        </w:rPr>
      </w:pPr>
      <w:r w:rsidRPr="008E4EA2">
        <w:rPr>
          <w:color w:val="000000" w:themeColor="text1"/>
          <w:szCs w:val="24"/>
        </w:rPr>
        <w:t xml:space="preserve">Projekta „Atbalsts ugunsdrošības pasākumiem pašvaldību vispārējās izglītības iestādēs” mērķis ir ugunsdrošības pasākumu īstenošana pašvaldību vispārējās izglītības iestādēs, lai radītu bērniem un jauniešiem drošu vidi. Iepirkumu par ugunsdrošības sistēmu iegādi un uzstādīšanu plānots izsludināt 2012.gada novembrī. Savukārt ugunsdrošības sistēmu uzstādīšanas darbus plānots uzsākt 2013.gada </w:t>
      </w:r>
      <w:r w:rsidR="003271BE" w:rsidRPr="008E4EA2">
        <w:rPr>
          <w:color w:val="000000" w:themeColor="text1"/>
          <w:szCs w:val="24"/>
        </w:rPr>
        <w:t xml:space="preserve">pirmajā </w:t>
      </w:r>
      <w:r w:rsidRPr="008E4EA2">
        <w:rPr>
          <w:color w:val="000000" w:themeColor="text1"/>
          <w:szCs w:val="24"/>
        </w:rPr>
        <w:t>pusē.</w:t>
      </w:r>
    </w:p>
    <w:p w:rsidR="00B96482" w:rsidRPr="008E4EA2" w:rsidRDefault="009B3BD9" w:rsidP="003A0029">
      <w:pPr>
        <w:spacing w:before="120" w:after="120" w:line="276" w:lineRule="auto"/>
        <w:rPr>
          <w:color w:val="000000" w:themeColor="text1"/>
          <w:szCs w:val="24"/>
        </w:rPr>
      </w:pPr>
      <w:r w:rsidRPr="008E4EA2">
        <w:rPr>
          <w:color w:val="000000" w:themeColor="text1"/>
          <w:szCs w:val="24"/>
        </w:rPr>
        <w:t xml:space="preserve">Pamatojoties uz finansējumu saņēmēju projektu ietvaros 2012.gada budžetā plānotajiem maksājumiem (Šveices programmas finansējums un nacionālais līdzfinansējums) līdz 2012.gada </w:t>
      </w:r>
      <w:r w:rsidR="00DA026E" w:rsidRPr="008E4EA2">
        <w:rPr>
          <w:color w:val="000000" w:themeColor="text1"/>
          <w:szCs w:val="24"/>
        </w:rPr>
        <w:t xml:space="preserve">trešā </w:t>
      </w:r>
      <w:r w:rsidRPr="008E4EA2">
        <w:rPr>
          <w:color w:val="000000" w:themeColor="text1"/>
          <w:szCs w:val="24"/>
        </w:rPr>
        <w:t xml:space="preserve">ceturkšņa beigām bija plānots apgūt 4 </w:t>
      </w:r>
      <w:proofErr w:type="spellStart"/>
      <w:r w:rsidRPr="008E4EA2">
        <w:rPr>
          <w:color w:val="000000" w:themeColor="text1"/>
          <w:szCs w:val="24"/>
        </w:rPr>
        <w:t>milj</w:t>
      </w:r>
      <w:proofErr w:type="spellEnd"/>
      <w:r w:rsidRPr="008E4EA2">
        <w:rPr>
          <w:color w:val="000000" w:themeColor="text1"/>
          <w:szCs w:val="24"/>
        </w:rPr>
        <w:t xml:space="preserve">. latu, bet faktiskā apguve bija 3,5 </w:t>
      </w:r>
      <w:proofErr w:type="spellStart"/>
      <w:r w:rsidRPr="008E4EA2">
        <w:rPr>
          <w:color w:val="000000" w:themeColor="text1"/>
          <w:szCs w:val="24"/>
        </w:rPr>
        <w:t>milj</w:t>
      </w:r>
      <w:proofErr w:type="spellEnd"/>
      <w:r w:rsidRPr="008E4EA2">
        <w:rPr>
          <w:color w:val="000000" w:themeColor="text1"/>
          <w:szCs w:val="24"/>
        </w:rPr>
        <w:t>. latu jeb 86,2 % no plānotā.</w:t>
      </w:r>
    </w:p>
    <w:p w:rsidR="00A921FA" w:rsidRPr="008E4EA2" w:rsidRDefault="004D5EBC" w:rsidP="003A0029">
      <w:pPr>
        <w:pStyle w:val="1lmenis"/>
        <w:spacing w:before="120" w:after="120" w:line="276" w:lineRule="auto"/>
        <w:ind w:left="709"/>
        <w:rPr>
          <w:rFonts w:ascii="Times New Roman" w:hAnsi="Times New Roman"/>
          <w:color w:val="000000" w:themeColor="text1"/>
          <w:sz w:val="24"/>
          <w:szCs w:val="24"/>
          <w:lang w:val="lv-LV"/>
        </w:rPr>
      </w:pPr>
      <w:bookmarkStart w:id="65" w:name="_Toc324948887"/>
      <w:bookmarkStart w:id="66" w:name="_Toc340241708"/>
      <w:r w:rsidRPr="008E4EA2">
        <w:rPr>
          <w:rFonts w:ascii="Times New Roman" w:hAnsi="Times New Roman"/>
          <w:color w:val="000000" w:themeColor="text1"/>
          <w:sz w:val="24"/>
          <w:szCs w:val="24"/>
          <w:lang w:val="lv-LV"/>
        </w:rPr>
        <w:lastRenderedPageBreak/>
        <w:t xml:space="preserve">Neatbilstības </w:t>
      </w:r>
      <w:r w:rsidR="00691265" w:rsidRPr="008E4EA2">
        <w:rPr>
          <w:rFonts w:ascii="Times New Roman" w:hAnsi="Times New Roman"/>
          <w:color w:val="000000" w:themeColor="text1"/>
          <w:sz w:val="24"/>
          <w:szCs w:val="24"/>
          <w:lang w:val="lv-LV"/>
        </w:rPr>
        <w:t xml:space="preserve">un neatbilstoši veikti izdevumi </w:t>
      </w:r>
      <w:r w:rsidR="00C97F4E" w:rsidRPr="008E4EA2">
        <w:rPr>
          <w:rFonts w:ascii="Times New Roman" w:hAnsi="Times New Roman"/>
          <w:color w:val="000000" w:themeColor="text1"/>
          <w:sz w:val="24"/>
          <w:szCs w:val="24"/>
          <w:lang w:val="lv-LV"/>
        </w:rPr>
        <w:t>ES fondu</w:t>
      </w:r>
      <w:r w:rsidR="00237227" w:rsidRPr="008E4EA2">
        <w:rPr>
          <w:rFonts w:ascii="Times New Roman" w:hAnsi="Times New Roman"/>
          <w:color w:val="000000" w:themeColor="text1"/>
          <w:sz w:val="24"/>
          <w:szCs w:val="24"/>
          <w:lang w:val="lv-LV"/>
        </w:rPr>
        <w:t xml:space="preserve"> un citu ārvalstu finanšu palīdzības līdzfinansētu</w:t>
      </w:r>
      <w:r w:rsidR="00E16824" w:rsidRPr="008E4EA2">
        <w:rPr>
          <w:rFonts w:ascii="Times New Roman" w:hAnsi="Times New Roman"/>
          <w:color w:val="000000" w:themeColor="text1"/>
          <w:sz w:val="24"/>
          <w:szCs w:val="24"/>
          <w:lang w:val="lv-LV"/>
        </w:rPr>
        <w:t xml:space="preserve"> </w:t>
      </w:r>
      <w:r w:rsidR="00C97F4E" w:rsidRPr="008E4EA2">
        <w:rPr>
          <w:rFonts w:ascii="Times New Roman" w:hAnsi="Times New Roman"/>
          <w:color w:val="000000" w:themeColor="text1"/>
          <w:sz w:val="24"/>
          <w:szCs w:val="24"/>
          <w:lang w:val="lv-LV"/>
        </w:rPr>
        <w:t>projektu ietvaros</w:t>
      </w:r>
      <w:bookmarkStart w:id="67" w:name="_Toc276049997"/>
      <w:bookmarkStart w:id="68" w:name="_Toc277257111"/>
      <w:bookmarkEnd w:id="62"/>
      <w:bookmarkEnd w:id="63"/>
      <w:bookmarkEnd w:id="64"/>
      <w:bookmarkEnd w:id="65"/>
      <w:bookmarkEnd w:id="66"/>
      <w:r w:rsidR="004B44A9" w:rsidRPr="008E4EA2">
        <w:rPr>
          <w:rFonts w:ascii="Times New Roman" w:hAnsi="Times New Roman"/>
          <w:color w:val="000000" w:themeColor="text1"/>
          <w:sz w:val="24"/>
          <w:szCs w:val="24"/>
          <w:lang w:val="lv-LV"/>
        </w:rPr>
        <w:t xml:space="preserve"> </w:t>
      </w:r>
    </w:p>
    <w:bookmarkEnd w:id="67"/>
    <w:bookmarkEnd w:id="68"/>
    <w:p w:rsidR="00992376" w:rsidRPr="008E4EA2" w:rsidRDefault="00992376" w:rsidP="003A0029">
      <w:pPr>
        <w:spacing w:before="120" w:after="120" w:line="276" w:lineRule="auto"/>
        <w:rPr>
          <w:color w:val="000000" w:themeColor="text1"/>
          <w:szCs w:val="24"/>
        </w:rPr>
      </w:pPr>
      <w:r w:rsidRPr="008E4EA2">
        <w:rPr>
          <w:color w:val="000000" w:themeColor="text1"/>
          <w:szCs w:val="24"/>
        </w:rPr>
        <w:t>Neatbilstība</w:t>
      </w:r>
      <w:r w:rsidRPr="008E4EA2">
        <w:rPr>
          <w:color w:val="000000" w:themeColor="text1"/>
          <w:szCs w:val="24"/>
          <w:vertAlign w:val="superscript"/>
        </w:rPr>
        <w:footnoteReference w:id="10"/>
      </w:r>
      <w:r w:rsidRPr="008E4EA2">
        <w:rPr>
          <w:color w:val="000000" w:themeColor="text1"/>
          <w:szCs w:val="24"/>
        </w:rPr>
        <w:t xml:space="preserve"> ir jebkurš kopienas tiesību aktu pārkāpums, kas noticis saimnieciskās darbības subjekta darbības vai bezdarbības dēļ un kas rada vai varētu radīt kaitējumu ES vispārējam budžetam, prasot no vispārējā budžeta segt nepamatotu izdevumu daļu. </w:t>
      </w:r>
    </w:p>
    <w:p w:rsidR="00992376" w:rsidRPr="008E4EA2" w:rsidRDefault="00992376" w:rsidP="003A0029">
      <w:pPr>
        <w:spacing w:before="120" w:after="120" w:line="276" w:lineRule="auto"/>
        <w:rPr>
          <w:color w:val="000000" w:themeColor="text1"/>
          <w:szCs w:val="24"/>
        </w:rPr>
      </w:pPr>
      <w:r w:rsidRPr="008E4EA2">
        <w:rPr>
          <w:color w:val="000000" w:themeColor="text1"/>
          <w:szCs w:val="24"/>
        </w:rPr>
        <w:t xml:space="preserve">Par neatbilstoši veiktiem izdevumiem tiek uzskatīti izdevumi, kurus nav iespējams ieturēt no kārtējā maksājuma. Citiem vārdiem sakot, neatbilstoši veiktie izdevumi ir izmaksāti finansējuma saņēmējam un attiecīgi tiek ieturēti no nākamā maksājuma, vai atgūti citos veidos. </w:t>
      </w:r>
      <w:r w:rsidR="005E121F" w:rsidRPr="008E4EA2">
        <w:rPr>
          <w:color w:val="000000" w:themeColor="text1"/>
          <w:szCs w:val="24"/>
        </w:rPr>
        <w:t>Izņēmums, tā kā ir neizbēgama tieša ietekme uz valsts budžeta izdevumiem,</w:t>
      </w:r>
      <w:r w:rsidRPr="008E4EA2">
        <w:rPr>
          <w:color w:val="000000" w:themeColor="text1"/>
          <w:szCs w:val="24"/>
        </w:rPr>
        <w:t xml:space="preserve"> kā neatbilstoši veikti izdevumi tiek uzskatīti valsts pārvalžu iestāžu projektos konstatētās neatbilstības, kuras tiek ieturētas no kārtējā maksājuma.</w:t>
      </w:r>
    </w:p>
    <w:p w:rsidR="00992376" w:rsidRPr="008E4EA2" w:rsidRDefault="00992376" w:rsidP="003A0029">
      <w:pPr>
        <w:spacing w:before="120" w:after="120" w:line="276" w:lineRule="auto"/>
        <w:rPr>
          <w:color w:val="000000" w:themeColor="text1"/>
          <w:szCs w:val="24"/>
        </w:rPr>
      </w:pPr>
      <w:r w:rsidRPr="008E4EA2">
        <w:rPr>
          <w:color w:val="000000" w:themeColor="text1"/>
          <w:szCs w:val="24"/>
        </w:rPr>
        <w:t>Zaudējum</w:t>
      </w:r>
      <w:r w:rsidR="005E121F" w:rsidRPr="008E4EA2">
        <w:rPr>
          <w:color w:val="000000" w:themeColor="text1"/>
          <w:szCs w:val="24"/>
        </w:rPr>
        <w:t>i</w:t>
      </w:r>
      <w:r w:rsidRPr="008E4EA2">
        <w:rPr>
          <w:color w:val="000000" w:themeColor="text1"/>
          <w:szCs w:val="24"/>
        </w:rPr>
        <w:t xml:space="preserve"> valsts budžetam ir neatbilstoši veikti izdevumi un neatbilstības, kuras konstatētas tiešo vai pastarpināto valsts pārvaldes iestāžu, atvasināto publisko personu vai citu valsts iestāžu īstenotajos projektos, </w:t>
      </w:r>
      <w:r w:rsidR="005E121F" w:rsidRPr="008E4EA2">
        <w:rPr>
          <w:color w:val="000000" w:themeColor="text1"/>
          <w:szCs w:val="24"/>
        </w:rPr>
        <w:t xml:space="preserve">tai skaitā pašvaldību, </w:t>
      </w:r>
      <w:r w:rsidRPr="008E4EA2">
        <w:rPr>
          <w:color w:val="000000" w:themeColor="text1"/>
          <w:szCs w:val="24"/>
        </w:rPr>
        <w:t xml:space="preserve">un izdevumi tiek atgūti, tos ieturot no kārtēja/nākamā maksājuma, norakstot, atgūstot un ziņojot MK. Papildus zaudējumus valsts budžetam rada neatbilstoši veikti izdevumi, kuri konstatēti komersantu un </w:t>
      </w:r>
      <w:r w:rsidR="00832AC2">
        <w:rPr>
          <w:color w:val="000000" w:themeColor="text1"/>
          <w:szCs w:val="24"/>
        </w:rPr>
        <w:t>NVO</w:t>
      </w:r>
      <w:r w:rsidRPr="008E4EA2">
        <w:rPr>
          <w:color w:val="000000" w:themeColor="text1"/>
          <w:szCs w:val="24"/>
        </w:rPr>
        <w:t xml:space="preserve"> īstenotajos projektos, ja tos nav iespējams atgūt.</w:t>
      </w:r>
    </w:p>
    <w:p w:rsidR="00992376" w:rsidRPr="008E4EA2" w:rsidRDefault="00992376" w:rsidP="003A0029">
      <w:pPr>
        <w:spacing w:before="120" w:after="120" w:line="276" w:lineRule="auto"/>
        <w:rPr>
          <w:color w:val="000000" w:themeColor="text1"/>
          <w:szCs w:val="24"/>
        </w:rPr>
      </w:pPr>
      <w:r w:rsidRPr="008E4EA2">
        <w:rPr>
          <w:color w:val="000000" w:themeColor="text1"/>
          <w:szCs w:val="24"/>
        </w:rPr>
        <w:t xml:space="preserve">Turpmāk šajā ziņojuma sadaļā tiks analizētas neatbilstības, ieskaitot neatbilstoši veiktus izdevumus. Atsevišķa analīze tikai par neatbilstoši veiktiem izdevumiem un zaudējumiem valsts budžetam apkopota </w:t>
      </w:r>
      <w:r w:rsidR="00E17B07" w:rsidRPr="008E4EA2">
        <w:rPr>
          <w:color w:val="000000" w:themeColor="text1"/>
          <w:szCs w:val="24"/>
          <w:u w:val="single"/>
        </w:rPr>
        <w:t>6</w:t>
      </w:r>
      <w:r w:rsidRPr="008E4EA2">
        <w:rPr>
          <w:color w:val="000000" w:themeColor="text1"/>
          <w:szCs w:val="24"/>
          <w:u w:val="single"/>
        </w:rPr>
        <w:t>.3. sadaļā</w:t>
      </w:r>
      <w:r w:rsidRPr="008E4EA2">
        <w:rPr>
          <w:color w:val="000000" w:themeColor="text1"/>
          <w:szCs w:val="24"/>
        </w:rPr>
        <w:t xml:space="preserve">. </w:t>
      </w:r>
    </w:p>
    <w:p w:rsidR="00F32602" w:rsidRPr="008E4EA2" w:rsidRDefault="00992376" w:rsidP="003A0029">
      <w:pPr>
        <w:spacing w:before="120" w:after="120" w:line="276" w:lineRule="auto"/>
        <w:rPr>
          <w:color w:val="000000" w:themeColor="text1"/>
          <w:szCs w:val="24"/>
        </w:rPr>
      </w:pPr>
      <w:r w:rsidRPr="008E4EA2">
        <w:rPr>
          <w:color w:val="000000" w:themeColor="text1"/>
          <w:szCs w:val="24"/>
        </w:rPr>
        <w:t xml:space="preserve">Kopējā kumulatīvā konstatēto neattiecināmo izdevumu summa AI dalījumā ir atspoguļota šī ziņojuma </w:t>
      </w:r>
      <w:r w:rsidRPr="008E4EA2">
        <w:rPr>
          <w:color w:val="000000" w:themeColor="text1"/>
          <w:szCs w:val="24"/>
          <w:u w:val="single"/>
        </w:rPr>
        <w:t>pielikumā Nr.</w:t>
      </w:r>
      <w:r w:rsidR="00FE575F" w:rsidRPr="008E4EA2">
        <w:rPr>
          <w:color w:val="000000" w:themeColor="text1"/>
          <w:szCs w:val="24"/>
          <w:u w:val="single"/>
        </w:rPr>
        <w:t>3</w:t>
      </w:r>
      <w:r w:rsidRPr="008E4EA2">
        <w:rPr>
          <w:color w:val="000000" w:themeColor="text1"/>
          <w:szCs w:val="24"/>
        </w:rPr>
        <w:t xml:space="preserve">, savukārt ziņojuma </w:t>
      </w:r>
      <w:r w:rsidRPr="008E4EA2">
        <w:rPr>
          <w:color w:val="000000" w:themeColor="text1"/>
          <w:szCs w:val="24"/>
          <w:u w:val="single"/>
        </w:rPr>
        <w:t>pielikumā Nr.</w:t>
      </w:r>
      <w:r w:rsidR="00FE575F" w:rsidRPr="008E4EA2">
        <w:rPr>
          <w:color w:val="000000" w:themeColor="text1"/>
          <w:szCs w:val="24"/>
          <w:u w:val="single"/>
        </w:rPr>
        <w:t>4</w:t>
      </w:r>
      <w:r w:rsidRPr="008E4EA2">
        <w:rPr>
          <w:color w:val="000000" w:themeColor="text1"/>
          <w:szCs w:val="24"/>
        </w:rPr>
        <w:t xml:space="preserve"> atspoguļota informācija par 2012.gada otrajā ceturksnī konstatētajām neatbilstībām un neattiecināmajiem izdevumiem tiešo vai pastarpināto valsts pārvaldes iestāžu, atvasināto publisko personu vai citu valsts iestāžu īstenotajos projektos. Ziņojuma </w:t>
      </w:r>
      <w:r w:rsidRPr="008E4EA2">
        <w:rPr>
          <w:color w:val="000000" w:themeColor="text1"/>
          <w:szCs w:val="24"/>
          <w:u w:val="single"/>
        </w:rPr>
        <w:t>pielikumā Nr.</w:t>
      </w:r>
      <w:r w:rsidR="00FE575F" w:rsidRPr="008E4EA2">
        <w:rPr>
          <w:color w:val="000000" w:themeColor="text1"/>
          <w:szCs w:val="24"/>
          <w:u w:val="single"/>
        </w:rPr>
        <w:t>5</w:t>
      </w:r>
      <w:r w:rsidRPr="008E4EA2">
        <w:rPr>
          <w:color w:val="000000" w:themeColor="text1"/>
          <w:szCs w:val="24"/>
        </w:rPr>
        <w:t xml:space="preserve"> atspoguļota informācija par aktivitātēm, kurās konstatēto neatbilstību apjoms pret aktivitātēs pieprasīto finansējumu pārsniedz 2% līmeni</w:t>
      </w:r>
      <w:r w:rsidR="005E121F" w:rsidRPr="008E4EA2">
        <w:rPr>
          <w:color w:val="000000" w:themeColor="text1"/>
          <w:szCs w:val="24"/>
        </w:rPr>
        <w:t>, norādot riskantākās aktivitātes, jomas, kam jāpievērš rūpīgāka uzmanība, tāpat iestādēm jāveic analīze par sistēmiskiem trūkumiem, veicamiem pasākumiem stabilizēt situāciju</w:t>
      </w:r>
      <w:r w:rsidRPr="008E4EA2">
        <w:rPr>
          <w:color w:val="000000" w:themeColor="text1"/>
          <w:szCs w:val="24"/>
        </w:rPr>
        <w:t>.</w:t>
      </w:r>
    </w:p>
    <w:p w:rsidR="003A2487" w:rsidRPr="008E4EA2" w:rsidRDefault="001F2F61" w:rsidP="003A0029">
      <w:pPr>
        <w:pStyle w:val="2lmenis"/>
        <w:numPr>
          <w:ilvl w:val="1"/>
          <w:numId w:val="2"/>
        </w:numPr>
        <w:spacing w:before="120" w:after="120" w:line="276" w:lineRule="auto"/>
        <w:ind w:left="1276" w:hanging="425"/>
        <w:jc w:val="both"/>
        <w:rPr>
          <w:color w:val="000000" w:themeColor="text1"/>
          <w:sz w:val="24"/>
          <w:szCs w:val="24"/>
          <w:lang w:val="lv-LV"/>
        </w:rPr>
      </w:pPr>
      <w:bookmarkStart w:id="69" w:name="_Toc293402670"/>
      <w:bookmarkStart w:id="70" w:name="_Toc318367098"/>
      <w:bookmarkStart w:id="71" w:name="_Toc324948888"/>
      <w:bookmarkStart w:id="72" w:name="_Toc340241709"/>
      <w:r w:rsidRPr="008E4EA2">
        <w:rPr>
          <w:color w:val="000000" w:themeColor="text1"/>
          <w:sz w:val="24"/>
          <w:szCs w:val="24"/>
          <w:lang w:val="lv-LV"/>
        </w:rPr>
        <w:t>Neatbilstības un neatbilstoši veikti izdevumi ES fondu 2007.-2013.gada plānošanas period</w:t>
      </w:r>
      <w:bookmarkEnd w:id="69"/>
      <w:r w:rsidRPr="008E4EA2">
        <w:rPr>
          <w:color w:val="000000" w:themeColor="text1"/>
          <w:sz w:val="24"/>
          <w:szCs w:val="24"/>
          <w:lang w:val="lv-LV"/>
        </w:rPr>
        <w:t>ā</w:t>
      </w:r>
      <w:bookmarkEnd w:id="70"/>
      <w:r w:rsidRPr="008E4EA2">
        <w:rPr>
          <w:color w:val="000000" w:themeColor="text1"/>
          <w:sz w:val="24"/>
          <w:szCs w:val="24"/>
          <w:lang w:val="lv-LV"/>
        </w:rPr>
        <w:t xml:space="preserve"> </w:t>
      </w:r>
      <w:r w:rsidR="003A2487" w:rsidRPr="008E4EA2">
        <w:rPr>
          <w:color w:val="000000" w:themeColor="text1"/>
          <w:sz w:val="24"/>
          <w:szCs w:val="24"/>
          <w:lang w:val="lv-LV"/>
        </w:rPr>
        <w:t>ES fond</w:t>
      </w:r>
      <w:r w:rsidR="00DF350E" w:rsidRPr="008E4EA2">
        <w:rPr>
          <w:color w:val="000000" w:themeColor="text1"/>
          <w:sz w:val="24"/>
          <w:szCs w:val="24"/>
          <w:lang w:val="lv-LV"/>
        </w:rPr>
        <w:t>os</w:t>
      </w:r>
      <w:bookmarkEnd w:id="71"/>
      <w:bookmarkEnd w:id="72"/>
    </w:p>
    <w:p w:rsidR="001F2F61" w:rsidRPr="008E4EA2" w:rsidRDefault="00122564" w:rsidP="003A0029">
      <w:pPr>
        <w:pStyle w:val="2lmenis"/>
        <w:numPr>
          <w:ilvl w:val="2"/>
          <w:numId w:val="2"/>
        </w:numPr>
        <w:spacing w:before="120" w:after="120" w:line="276" w:lineRule="auto"/>
        <w:jc w:val="both"/>
        <w:rPr>
          <w:color w:val="000000" w:themeColor="text1"/>
          <w:sz w:val="24"/>
          <w:szCs w:val="24"/>
          <w:lang w:val="lv-LV"/>
        </w:rPr>
      </w:pPr>
      <w:bookmarkStart w:id="73" w:name="_Toc340241710"/>
      <w:r w:rsidRPr="008E4EA2">
        <w:rPr>
          <w:color w:val="000000" w:themeColor="text1"/>
          <w:sz w:val="24"/>
          <w:szCs w:val="24"/>
          <w:lang w:val="lv-LV"/>
        </w:rPr>
        <w:t>Neatbilstības un neatbilstoši veikti izdevumi līdz 2012.gada 30.septembrim</w:t>
      </w:r>
      <w:bookmarkEnd w:id="73"/>
    </w:p>
    <w:p w:rsidR="00122564" w:rsidRPr="008E4EA2" w:rsidRDefault="0012256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2007.-2013.gada plānošanas periodā līdz 2012.gada 30.septembrim konstatēto neatbilstību summa ir 25,4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xml:space="preserve">. latu jeb 1,3% no kopējā finansējuma saņēmēju pieprasītā finansējuma (1,9 </w:t>
      </w:r>
      <w:proofErr w:type="spellStart"/>
      <w:r w:rsidRPr="008E4EA2">
        <w:rPr>
          <w:rFonts w:eastAsia="EUAlbertina-Bold-Identity-H"/>
          <w:color w:val="000000" w:themeColor="text1"/>
          <w:szCs w:val="24"/>
          <w:lang w:eastAsia="lv-LV"/>
        </w:rPr>
        <w:t>mljrd</w:t>
      </w:r>
      <w:proofErr w:type="spellEnd"/>
      <w:r w:rsidRPr="008E4EA2">
        <w:rPr>
          <w:rFonts w:eastAsia="EUAlbertina-Bold-Identity-H"/>
          <w:color w:val="000000" w:themeColor="text1"/>
          <w:szCs w:val="24"/>
          <w:lang w:eastAsia="lv-LV"/>
        </w:rPr>
        <w:t xml:space="preserve">. latu). Analizējot neatbilstību īpatsvaru jeb kopējo konstatēto neatbilstību apjomu pret kopējo pieprasīto finansējumu, secināms, ka tas nesasniedz 2% līmeni. </w:t>
      </w:r>
    </w:p>
    <w:p w:rsidR="00122564" w:rsidRPr="008E4EA2" w:rsidRDefault="004560C7"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lastRenderedPageBreak/>
        <w:t>A</w:t>
      </w:r>
      <w:r w:rsidR="00122564" w:rsidRPr="008E4EA2">
        <w:rPr>
          <w:rFonts w:eastAsia="EUAlbertina-Bold-Identity-H"/>
          <w:color w:val="000000" w:themeColor="text1"/>
          <w:szCs w:val="24"/>
          <w:lang w:eastAsia="lv-LV"/>
        </w:rPr>
        <w:t>nalizējot datus aktivitāšu griezumā, secināms, ka vairāk</w:t>
      </w:r>
      <w:r w:rsidRPr="008E4EA2">
        <w:rPr>
          <w:rFonts w:eastAsia="EUAlbertina-Bold-Identity-H"/>
          <w:color w:val="000000" w:themeColor="text1"/>
          <w:szCs w:val="24"/>
          <w:lang w:eastAsia="lv-LV"/>
        </w:rPr>
        <w:t>ā</w:t>
      </w:r>
      <w:r w:rsidR="00122564" w:rsidRPr="008E4EA2">
        <w:rPr>
          <w:rFonts w:eastAsia="EUAlbertina-Bold-Identity-H"/>
          <w:color w:val="000000" w:themeColor="text1"/>
          <w:szCs w:val="24"/>
          <w:lang w:eastAsia="lv-LV"/>
        </w:rPr>
        <w:t>s aktivitātēs, neatbilstību apjoms pret aktivitātē iesniegtajiem maksājumu pieprasījumiem uz 2012.gada 30.</w:t>
      </w:r>
      <w:r w:rsidR="00E14F84" w:rsidRPr="008E4EA2">
        <w:rPr>
          <w:rFonts w:eastAsia="EUAlbertina-Bold-Identity-H"/>
          <w:color w:val="000000" w:themeColor="text1"/>
          <w:szCs w:val="24"/>
          <w:lang w:eastAsia="lv-LV"/>
        </w:rPr>
        <w:t>septembri</w:t>
      </w:r>
      <w:r w:rsidR="00122564" w:rsidRPr="008E4EA2">
        <w:rPr>
          <w:rFonts w:eastAsia="EUAlbertina-Bold-Identity-H"/>
          <w:color w:val="000000" w:themeColor="text1"/>
          <w:szCs w:val="24"/>
          <w:lang w:eastAsia="lv-LV"/>
        </w:rPr>
        <w:t xml:space="preserve"> pārsniedz 2% būtiskuma līmeni (kopumā 24 aktivitātes). Detalizēta informācija </w:t>
      </w:r>
      <w:r w:rsidR="00122564" w:rsidRPr="008E4EA2">
        <w:rPr>
          <w:rFonts w:eastAsia="EUAlbertina-Bold-Identity-H"/>
          <w:color w:val="000000" w:themeColor="text1"/>
          <w:szCs w:val="24"/>
          <w:u w:val="single"/>
          <w:lang w:eastAsia="lv-LV"/>
        </w:rPr>
        <w:t>pielikumā Nr.</w:t>
      </w:r>
      <w:r w:rsidR="00FE575F" w:rsidRPr="008E4EA2">
        <w:rPr>
          <w:rFonts w:eastAsia="EUAlbertina-Bold-Identity-H"/>
          <w:color w:val="000000" w:themeColor="text1"/>
          <w:szCs w:val="24"/>
          <w:u w:val="single"/>
          <w:lang w:eastAsia="lv-LV"/>
        </w:rPr>
        <w:t>4</w:t>
      </w:r>
      <w:r w:rsidR="00122564" w:rsidRPr="008E4EA2">
        <w:rPr>
          <w:rFonts w:eastAsia="EUAlbertina-Bold-Identity-H"/>
          <w:color w:val="000000" w:themeColor="text1"/>
          <w:szCs w:val="24"/>
          <w:u w:val="single"/>
          <w:lang w:eastAsia="lv-LV"/>
        </w:rPr>
        <w:t>.</w:t>
      </w:r>
      <w:r w:rsidR="00122564" w:rsidRPr="008E4EA2">
        <w:rPr>
          <w:rFonts w:eastAsia="EUAlbertina-Bold-Identity-H"/>
          <w:color w:val="000000" w:themeColor="text1"/>
          <w:szCs w:val="24"/>
          <w:lang w:eastAsia="lv-LV"/>
        </w:rPr>
        <w:t xml:space="preserve"> </w:t>
      </w:r>
      <w:r w:rsidR="0065755F">
        <w:rPr>
          <w:rFonts w:eastAsia="EUAlbertina-Bold-Identity-H"/>
          <w:color w:val="000000" w:themeColor="text1"/>
          <w:szCs w:val="24"/>
          <w:lang w:eastAsia="lv-LV"/>
        </w:rPr>
        <w:t>AI</w:t>
      </w:r>
      <w:r w:rsidR="00122564" w:rsidRPr="008E4EA2">
        <w:rPr>
          <w:rFonts w:eastAsia="EUAlbertina-Bold-Identity-H"/>
          <w:color w:val="000000" w:themeColor="text1"/>
          <w:szCs w:val="24"/>
          <w:lang w:eastAsia="lv-LV"/>
        </w:rPr>
        <w:t xml:space="preserve"> un </w:t>
      </w:r>
      <w:r w:rsidR="0065755F">
        <w:rPr>
          <w:rFonts w:eastAsia="EUAlbertina-Bold-Identity-H"/>
          <w:color w:val="000000" w:themeColor="text1"/>
          <w:szCs w:val="24"/>
          <w:lang w:eastAsia="lv-LV"/>
        </w:rPr>
        <w:t>SI</w:t>
      </w:r>
      <w:r w:rsidR="00122564" w:rsidRPr="008E4EA2">
        <w:rPr>
          <w:rFonts w:eastAsia="EUAlbertina-Bold-Identity-H"/>
          <w:color w:val="000000" w:themeColor="text1"/>
          <w:szCs w:val="24"/>
          <w:lang w:eastAsia="lv-LV"/>
        </w:rPr>
        <w:t xml:space="preserve"> šīs aktivitātes nepieciešams uzraudzīt rūpīgāk. </w:t>
      </w:r>
    </w:p>
    <w:p w:rsidR="00122564" w:rsidRPr="008E4EA2" w:rsidRDefault="0012256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Neatbilstību apjomi pēc finansējuma avotiem sadalās šādi:</w:t>
      </w:r>
    </w:p>
    <w:p w:rsidR="00122564" w:rsidRPr="008E4EA2" w:rsidRDefault="00122564" w:rsidP="003A0029">
      <w:pPr>
        <w:numPr>
          <w:ilvl w:val="0"/>
          <w:numId w:val="8"/>
        </w:numPr>
        <w:spacing w:before="120" w:after="120" w:line="276" w:lineRule="auto"/>
        <w:contextualSpacing/>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1,2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latu valsts budžeta finansējums;</w:t>
      </w:r>
    </w:p>
    <w:p w:rsidR="00122564" w:rsidRPr="008E4EA2" w:rsidRDefault="00122564" w:rsidP="003A0029">
      <w:pPr>
        <w:numPr>
          <w:ilvl w:val="0"/>
          <w:numId w:val="8"/>
        </w:numPr>
        <w:spacing w:before="120" w:after="120" w:line="276" w:lineRule="auto"/>
        <w:contextualSpacing/>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24,0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latu ES fondu finansējums;</w:t>
      </w:r>
    </w:p>
    <w:p w:rsidR="00122564" w:rsidRPr="008E4EA2" w:rsidRDefault="00122564" w:rsidP="003A0029">
      <w:pPr>
        <w:numPr>
          <w:ilvl w:val="0"/>
          <w:numId w:val="8"/>
        </w:numPr>
        <w:spacing w:before="120" w:after="120" w:line="276" w:lineRule="auto"/>
        <w:contextualSpacing/>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0,03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latu cits publiskais finansējums.</w:t>
      </w:r>
    </w:p>
    <w:p w:rsidR="00F32602" w:rsidRPr="008E4EA2" w:rsidRDefault="0012256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Salīdzinājumā ar neatbilstību apjomu līdz 2012.gada otrā ceturkšņa beigām, neatbilstību apjoms ir piea</w:t>
      </w:r>
      <w:r w:rsidR="00651882" w:rsidRPr="008E4EA2">
        <w:rPr>
          <w:rFonts w:eastAsia="EUAlbertina-Bold-Identity-H"/>
          <w:color w:val="000000" w:themeColor="text1"/>
          <w:szCs w:val="24"/>
          <w:lang w:eastAsia="lv-LV"/>
        </w:rPr>
        <w:t xml:space="preserve">udzis par 4,9 </w:t>
      </w:r>
      <w:proofErr w:type="spellStart"/>
      <w:r w:rsidR="00651882" w:rsidRPr="008E4EA2">
        <w:rPr>
          <w:rFonts w:eastAsia="EUAlbertina-Bold-Identity-H"/>
          <w:color w:val="000000" w:themeColor="text1"/>
          <w:szCs w:val="24"/>
          <w:lang w:eastAsia="lv-LV"/>
        </w:rPr>
        <w:t>milj</w:t>
      </w:r>
      <w:proofErr w:type="spellEnd"/>
      <w:r w:rsidR="00651882" w:rsidRPr="008E4EA2">
        <w:rPr>
          <w:rFonts w:eastAsia="EUAlbertina-Bold-Identity-H"/>
          <w:color w:val="000000" w:themeColor="text1"/>
          <w:szCs w:val="24"/>
          <w:lang w:eastAsia="lv-LV"/>
        </w:rPr>
        <w:t>. latu jeb 23,7</w:t>
      </w:r>
      <w:r w:rsidRPr="008E4EA2">
        <w:rPr>
          <w:rFonts w:eastAsia="EUAlbertina-Bold-Identity-H"/>
          <w:color w:val="000000" w:themeColor="text1"/>
          <w:szCs w:val="24"/>
          <w:lang w:eastAsia="lv-LV"/>
        </w:rPr>
        <w:t>%</w:t>
      </w:r>
      <w:r w:rsidR="00673234" w:rsidRPr="008E4EA2">
        <w:rPr>
          <w:rFonts w:eastAsia="EUAlbertina-Bold-Identity-H"/>
          <w:color w:val="000000" w:themeColor="text1"/>
          <w:szCs w:val="24"/>
          <w:lang w:eastAsia="lv-LV"/>
        </w:rPr>
        <w:t>, pamatā uz komersantu projektu rēķina</w:t>
      </w:r>
      <w:r w:rsidRPr="008E4EA2">
        <w:rPr>
          <w:rFonts w:eastAsia="EUAlbertina-Bold-Identity-H"/>
          <w:color w:val="000000" w:themeColor="text1"/>
          <w:szCs w:val="24"/>
          <w:lang w:eastAsia="lv-LV"/>
        </w:rPr>
        <w:t>.</w:t>
      </w:r>
    </w:p>
    <w:p w:rsidR="00E14F84" w:rsidRPr="008E4EA2" w:rsidRDefault="00E14F8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Secināms, ka līdz šim lielākais neatbilstību apjoms pret darbības programmās pieprasīto finansējumu konstatēts darbības programmās „Infrastruktūra un pakalpojumi” un „Uzņēmējdarbība un inovācijas” attiecīgi 15,0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xml:space="preserve">. latu jeb 2,2% no kopējās finansēju saņēmēju pieprasītās summas (palielinājies par 12,6% salīdzinājumā ar datiem līdz 2012.gada 30.jūnijam) un 8,8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xml:space="preserve">. latu jeb 2,6% no kopējās finansēju saņēmēju pieprasītās summas (palielinājies par 74,2% salīdzinājumā ar datiem līdz 2012.gada 31.jūnijam). Tai pašā laikā darbības programmā „Cilvēkresursi un nodarbinātība” neatbilstību apjoms veido 1,4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xml:space="preserve">. latu jeb 0,4% no kopējā darbības programmā finansējumu saņēmēju pieprasītā finansējuma (palielinājies par 9,4% salīdzinājumā ar datiem līdz 2012.gada 30.jūnijam). </w:t>
      </w:r>
    </w:p>
    <w:p w:rsidR="00E14F84" w:rsidRPr="008E4EA2" w:rsidRDefault="00E14F8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Katrā darbības programmā finansējumu saņēmēju veidi, kuru īstenotajos projektos lielākoties konstatētas neatbilstības atšķiras, tā piemēram darbības programmā „Cilvēkresursi un nodarbinātība” lielāko neatbilstību apjomu veido valsts iestāžu īstenotajos projektos konstatētās neatbilstības – 0,7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xml:space="preserve"> latu jeb 50,5% no kopējā darbības programmā konstatētā neatbilstību apjoma, „Infrastruktūra un pakalpojumi” lielāko neatbilstību apjomu veido pašvaldību īstenotajos projektos atklātās neatbilstības – 7,6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xml:space="preserve">. latu jeb 50,8% no kopējā darbības programmā konstatētā neatbilstību apjoma un „Uzņēmējdarbība un inovācijas” lielāko neatbilstību apjomu veido konstatētās neatbilstības komersantu īstenotajos projektos – 8,5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xml:space="preserve">. latu jeb 96,6% no darbības programmā konstatēto neatbilstību apjoma. Šīs atšķirības izskaidrojamas ar darbības programmu specifiku atbalstāmo nozaru izvēlē. </w:t>
      </w:r>
    </w:p>
    <w:p w:rsidR="001F2F61" w:rsidRPr="008E4EA2" w:rsidRDefault="00657661"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br w:type="column"/>
      </w:r>
      <w:r w:rsidR="001F2F61" w:rsidRPr="008E4EA2">
        <w:rPr>
          <w:rFonts w:eastAsia="EUAlbertina-Bold-Identity-H"/>
          <w:color w:val="000000" w:themeColor="text1"/>
          <w:szCs w:val="24"/>
          <w:lang w:eastAsia="lv-LV"/>
        </w:rPr>
        <w:lastRenderedPageBreak/>
        <w:t>Grafiks Nr.</w:t>
      </w:r>
      <w:r w:rsidR="0078381C" w:rsidRPr="008E4EA2">
        <w:rPr>
          <w:rFonts w:eastAsia="EUAlbertina-Bold-Identity-H"/>
          <w:color w:val="000000" w:themeColor="text1"/>
          <w:szCs w:val="24"/>
          <w:lang w:eastAsia="lv-LV"/>
        </w:rPr>
        <w:t>24</w:t>
      </w:r>
      <w:r w:rsidR="001F2F61" w:rsidRPr="008E4EA2">
        <w:rPr>
          <w:rFonts w:eastAsia="EUAlbertina-Bold-Identity-H"/>
          <w:color w:val="000000" w:themeColor="text1"/>
          <w:szCs w:val="24"/>
          <w:lang w:eastAsia="lv-LV"/>
        </w:rPr>
        <w:t xml:space="preserve"> </w:t>
      </w:r>
      <w:r w:rsidR="00122564" w:rsidRPr="008E4EA2">
        <w:rPr>
          <w:rFonts w:eastAsia="EUAlbertina-Bold-Identity-H"/>
          <w:color w:val="000000" w:themeColor="text1"/>
          <w:szCs w:val="24"/>
          <w:lang w:eastAsia="lv-LV"/>
        </w:rPr>
        <w:t>„</w:t>
      </w:r>
      <w:r w:rsidR="00122564" w:rsidRPr="008E4EA2">
        <w:rPr>
          <w:rFonts w:eastAsia="EUAlbertina-Bold-Identity-H"/>
          <w:i/>
          <w:color w:val="000000" w:themeColor="text1"/>
          <w:szCs w:val="24"/>
          <w:lang w:eastAsia="lv-LV"/>
        </w:rPr>
        <w:t xml:space="preserve">Konstatētās neatbilstības sadalījumā pa finansējuma saņēmēju veidiem kumulatīvi uz 2012.gada 30.jūniju un uz </w:t>
      </w:r>
      <w:r w:rsidR="00122564" w:rsidRPr="008E4EA2">
        <w:rPr>
          <w:i/>
          <w:color w:val="000000" w:themeColor="text1"/>
          <w:szCs w:val="24"/>
        </w:rPr>
        <w:t>2012.gada 30.septembri</w:t>
      </w:r>
      <w:r w:rsidR="00122564" w:rsidRPr="008E4EA2">
        <w:rPr>
          <w:rFonts w:eastAsia="EUAlbertina-Bold-Identity-H"/>
          <w:i/>
          <w:color w:val="000000" w:themeColor="text1"/>
          <w:szCs w:val="24"/>
          <w:lang w:eastAsia="lv-LV"/>
        </w:rPr>
        <w:t xml:space="preserve">; </w:t>
      </w:r>
      <w:proofErr w:type="spellStart"/>
      <w:r w:rsidR="00122564" w:rsidRPr="008E4EA2">
        <w:rPr>
          <w:rFonts w:eastAsia="EUAlbertina-Bold-Identity-H"/>
          <w:i/>
          <w:color w:val="000000" w:themeColor="text1"/>
          <w:szCs w:val="24"/>
          <w:lang w:eastAsia="lv-LV"/>
        </w:rPr>
        <w:t>milj</w:t>
      </w:r>
      <w:proofErr w:type="spellEnd"/>
      <w:r w:rsidR="00122564" w:rsidRPr="008E4EA2">
        <w:rPr>
          <w:rFonts w:eastAsia="EUAlbertina-Bold-Identity-H"/>
          <w:i/>
          <w:color w:val="000000" w:themeColor="text1"/>
          <w:szCs w:val="24"/>
          <w:lang w:eastAsia="lv-LV"/>
        </w:rPr>
        <w:t xml:space="preserve">. latu (% pieaugums pret iepriekšējo pārskata periodu – </w:t>
      </w:r>
      <w:r w:rsidR="00651882" w:rsidRPr="008E4EA2">
        <w:rPr>
          <w:rFonts w:eastAsia="EUAlbertina-Bold-Identity-H"/>
          <w:i/>
          <w:color w:val="000000" w:themeColor="text1"/>
          <w:szCs w:val="24"/>
          <w:lang w:eastAsia="lv-LV"/>
        </w:rPr>
        <w:t xml:space="preserve">2012.gada 31.martu </w:t>
      </w:r>
      <w:r w:rsidR="00122564" w:rsidRPr="008E4EA2">
        <w:rPr>
          <w:rFonts w:eastAsia="EUAlbertina-Bold-Identity-H"/>
          <w:i/>
          <w:color w:val="000000" w:themeColor="text1"/>
          <w:szCs w:val="24"/>
          <w:lang w:eastAsia="lv-LV"/>
        </w:rPr>
        <w:t xml:space="preserve">un </w:t>
      </w:r>
      <w:r w:rsidR="00651882" w:rsidRPr="008E4EA2">
        <w:rPr>
          <w:rFonts w:eastAsia="EUAlbertina-Bold-Identity-H"/>
          <w:i/>
          <w:color w:val="000000" w:themeColor="text1"/>
          <w:szCs w:val="24"/>
          <w:lang w:eastAsia="lv-LV"/>
        </w:rPr>
        <w:t>2012.gada 30.jūniju</w:t>
      </w:r>
      <w:r w:rsidR="00122564" w:rsidRPr="008E4EA2">
        <w:rPr>
          <w:rFonts w:eastAsia="EUAlbertina-Bold-Identity-H"/>
          <w:i/>
          <w:color w:val="000000" w:themeColor="text1"/>
          <w:szCs w:val="24"/>
          <w:lang w:eastAsia="lv-LV"/>
        </w:rPr>
        <w:t xml:space="preserve">; % no kopējiem finansējuma saņēmēja pieprasītajiem maksājumiem uz </w:t>
      </w:r>
      <w:r w:rsidR="00651882" w:rsidRPr="008E4EA2">
        <w:rPr>
          <w:rFonts w:eastAsia="EUAlbertina-Bold-Identity-H"/>
          <w:i/>
          <w:color w:val="000000" w:themeColor="text1"/>
          <w:szCs w:val="24"/>
          <w:lang w:eastAsia="lv-LV"/>
        </w:rPr>
        <w:t xml:space="preserve">2012.gada 30.jūniju </w:t>
      </w:r>
      <w:r w:rsidR="00122564" w:rsidRPr="008E4EA2">
        <w:rPr>
          <w:rFonts w:eastAsia="EUAlbertina-Bold-Identity-H"/>
          <w:i/>
          <w:color w:val="000000" w:themeColor="text1"/>
          <w:szCs w:val="24"/>
          <w:lang w:eastAsia="lv-LV"/>
        </w:rPr>
        <w:t xml:space="preserve">un </w:t>
      </w:r>
      <w:r w:rsidR="00651882" w:rsidRPr="008E4EA2">
        <w:rPr>
          <w:rFonts w:eastAsia="EUAlbertina-Bold-Identity-H"/>
          <w:i/>
          <w:color w:val="000000" w:themeColor="text1"/>
          <w:szCs w:val="24"/>
          <w:lang w:eastAsia="lv-LV"/>
        </w:rPr>
        <w:t>2012.gada 30.septembri</w:t>
      </w:r>
      <w:r w:rsidR="00122564" w:rsidRPr="008E4EA2">
        <w:rPr>
          <w:rFonts w:eastAsia="EUAlbertina-Bold-Identity-H"/>
          <w:i/>
          <w:color w:val="000000" w:themeColor="text1"/>
          <w:szCs w:val="24"/>
          <w:lang w:eastAsia="lv-LV"/>
        </w:rPr>
        <w:t>).”</w:t>
      </w:r>
      <w:r w:rsidR="001F2F61" w:rsidRPr="008E4EA2">
        <w:rPr>
          <w:rFonts w:eastAsia="EUAlbertina-Bold-Identity-H"/>
          <w:color w:val="000000" w:themeColor="text1"/>
          <w:szCs w:val="24"/>
          <w:lang w:eastAsia="lv-LV"/>
        </w:rPr>
        <w:t xml:space="preserve"> </w:t>
      </w:r>
    </w:p>
    <w:p w:rsidR="00F32602" w:rsidRPr="008E4EA2" w:rsidRDefault="00CE4257" w:rsidP="003A0029">
      <w:pPr>
        <w:spacing w:before="120" w:after="120" w:line="276" w:lineRule="auto"/>
        <w:rPr>
          <w:noProof/>
          <w:color w:val="000000" w:themeColor="text1"/>
          <w:szCs w:val="24"/>
          <w:lang w:eastAsia="lv-LV"/>
        </w:rPr>
      </w:pPr>
      <w:r w:rsidRPr="008E4EA2">
        <w:rPr>
          <w:noProof/>
          <w:color w:val="000000" w:themeColor="text1"/>
          <w:szCs w:val="24"/>
          <w:lang w:eastAsia="lv-LV"/>
        </w:rPr>
        <w:drawing>
          <wp:inline distT="0" distB="0" distL="0" distR="0" wp14:anchorId="2E6CA463" wp14:editId="18EB253C">
            <wp:extent cx="5492750" cy="31699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0">
                      <a:extLst>
                        <a:ext uri="{28A0092B-C50C-407E-A947-70E740481C1C}">
                          <a14:useLocalDpi xmlns:a14="http://schemas.microsoft.com/office/drawing/2010/main"/>
                        </a:ext>
                      </a:extLst>
                    </a:blip>
                    <a:srcRect/>
                    <a:stretch>
                      <a:fillRect/>
                    </a:stretch>
                  </pic:blipFill>
                  <pic:spPr bwMode="auto">
                    <a:xfrm>
                      <a:off x="0" y="0"/>
                      <a:ext cx="5492750" cy="3169920"/>
                    </a:xfrm>
                    <a:prstGeom prst="rect">
                      <a:avLst/>
                    </a:prstGeom>
                    <a:noFill/>
                  </pic:spPr>
                </pic:pic>
              </a:graphicData>
            </a:graphic>
          </wp:inline>
        </w:drawing>
      </w:r>
    </w:p>
    <w:p w:rsidR="00E14F84" w:rsidRPr="008E4EA2" w:rsidRDefault="00E14F8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Pārsvarā neatbilstības ES fondu projektos rodas iepirkumu (</w:t>
      </w:r>
      <w:proofErr w:type="spellStart"/>
      <w:r w:rsidRPr="008E4EA2">
        <w:rPr>
          <w:rFonts w:eastAsia="EUAlbertina-Bold-Identity-H"/>
          <w:color w:val="000000" w:themeColor="text1"/>
          <w:szCs w:val="24"/>
          <w:lang w:eastAsia="lv-LV"/>
        </w:rPr>
        <w:t>t.sk</w:t>
      </w:r>
      <w:proofErr w:type="spellEnd"/>
      <w:r w:rsidRPr="008E4EA2">
        <w:rPr>
          <w:rFonts w:eastAsia="EUAlbertina-Bold-Identity-H"/>
          <w:color w:val="000000" w:themeColor="text1"/>
          <w:szCs w:val="24"/>
          <w:lang w:eastAsia="lv-LV"/>
        </w:rPr>
        <w:t xml:space="preserve">. veikti būtiski grozījumi iepirkuma līgumā (vienlīdzīgā principa pārkāpums), papildu darbu veikšana un termiņa pagarināšana bez atbilstošas iepirkuma procedūras </w:t>
      </w:r>
      <w:proofErr w:type="spellStart"/>
      <w:r w:rsidRPr="008E4EA2">
        <w:rPr>
          <w:rFonts w:eastAsia="EUAlbertina-Bold-Identity-H"/>
          <w:color w:val="000000" w:themeColor="text1"/>
          <w:szCs w:val="24"/>
          <w:lang w:eastAsia="lv-LV"/>
        </w:rPr>
        <w:t>u.c</w:t>
      </w:r>
      <w:proofErr w:type="spellEnd"/>
      <w:r w:rsidRPr="008E4EA2">
        <w:rPr>
          <w:rFonts w:eastAsia="EUAlbertina-Bold-Identity-H"/>
          <w:color w:val="000000" w:themeColor="text1"/>
          <w:szCs w:val="24"/>
          <w:lang w:eastAsia="lv-LV"/>
        </w:rPr>
        <w:t xml:space="preserve">.) un aktivitāšu ieviešanas normatīvo aktu pārkāpumu dēļ, kā arī tādēļ, ka finansējuma saņēmēji neveic saimniecisko darbību un veikto darbu apjomi neatbilst aktivitāšu īstenošanas nosacījumiem vai projekta saskaņotajai tāmei. Vienlaikus minami arī tādi iemesli kā publicitātes prasību neievērošana un līgumu pārtraukšana pēc finansējuma saņēmēja iniciatīvas. </w:t>
      </w:r>
    </w:p>
    <w:p w:rsidR="00D540B5" w:rsidRPr="008E4EA2" w:rsidRDefault="0067323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S</w:t>
      </w:r>
      <w:r w:rsidR="00122564" w:rsidRPr="008E4EA2">
        <w:rPr>
          <w:rFonts w:eastAsia="EUAlbertina-Bold-Identity-H"/>
          <w:color w:val="000000" w:themeColor="text1"/>
          <w:szCs w:val="24"/>
          <w:lang w:eastAsia="lv-LV"/>
        </w:rPr>
        <w:t xml:space="preserve">ecināms, ka visās darbības programmās lielāko daļu neatbilstību </w:t>
      </w:r>
      <w:r w:rsidRPr="008E4EA2">
        <w:rPr>
          <w:rFonts w:eastAsia="EUAlbertina-Bold-Identity-H"/>
          <w:color w:val="000000" w:themeColor="text1"/>
          <w:szCs w:val="24"/>
          <w:lang w:eastAsia="lv-LV"/>
        </w:rPr>
        <w:t>(84,2% no visiem kontētajiem pārkāpumu viediem)</w:t>
      </w:r>
      <w:r w:rsidR="005E1672">
        <w:rPr>
          <w:rFonts w:eastAsia="EUAlbertina-Bold-Identity-H"/>
          <w:color w:val="000000" w:themeColor="text1"/>
          <w:szCs w:val="24"/>
          <w:lang w:eastAsia="lv-LV"/>
        </w:rPr>
        <w:t xml:space="preserve"> </w:t>
      </w:r>
      <w:r w:rsidR="00A91D50" w:rsidRPr="008E4EA2">
        <w:rPr>
          <w:rFonts w:eastAsia="EUAlbertina-Bold-Identity-H"/>
          <w:color w:val="000000" w:themeColor="text1"/>
          <w:szCs w:val="24"/>
          <w:lang w:eastAsia="lv-LV"/>
        </w:rPr>
        <w:t>veido</w:t>
      </w:r>
      <w:r w:rsidR="00122564" w:rsidRPr="008E4EA2">
        <w:rPr>
          <w:rFonts w:eastAsia="EUAlbertina-Bold-Identity-H"/>
          <w:color w:val="000000" w:themeColor="text1"/>
          <w:szCs w:val="24"/>
          <w:lang w:eastAsia="lv-LV"/>
        </w:rPr>
        <w:t xml:space="preserve"> dažāda veida līgumu pārkāpumi</w:t>
      </w:r>
      <w:r w:rsidRPr="008E4EA2">
        <w:rPr>
          <w:rFonts w:eastAsia="EUAlbertina-Bold-Identity-H"/>
          <w:color w:val="000000" w:themeColor="text1"/>
          <w:szCs w:val="24"/>
          <w:lang w:eastAsia="lv-LV"/>
        </w:rPr>
        <w:t xml:space="preserve"> (61,2%)</w:t>
      </w:r>
      <w:r w:rsidR="00122564" w:rsidRPr="008E4EA2">
        <w:rPr>
          <w:rFonts w:eastAsia="EUAlbertina-Bold-Identity-H"/>
          <w:color w:val="000000" w:themeColor="text1"/>
          <w:szCs w:val="24"/>
          <w:lang w:eastAsia="lv-LV"/>
        </w:rPr>
        <w:t xml:space="preserve"> tai skaitā normatīvo aktu neievērošana (pārkāpumi ES fondu aktivitātes ieviešanas normu neievērošanā, līguma vai vienošanās par projekta īstenošanu neievērošana, LR normatīvo aktu pārkāpumi par grāmatvedības kārtošanu, komandējuma aprēķiniem, kas noteikti MK noteikumos par aktivitātes ieviešanu </w:t>
      </w:r>
      <w:proofErr w:type="spellStart"/>
      <w:r w:rsidR="00122564" w:rsidRPr="008E4EA2">
        <w:rPr>
          <w:rFonts w:eastAsia="EUAlbertina-Bold-Identity-H"/>
          <w:color w:val="000000" w:themeColor="text1"/>
          <w:szCs w:val="24"/>
          <w:lang w:eastAsia="lv-LV"/>
        </w:rPr>
        <w:t>u.c</w:t>
      </w:r>
      <w:proofErr w:type="spellEnd"/>
      <w:r w:rsidR="00122564" w:rsidRPr="008E4EA2">
        <w:rPr>
          <w:rFonts w:eastAsia="EUAlbertina-Bold-Identity-H"/>
          <w:color w:val="000000" w:themeColor="text1"/>
          <w:szCs w:val="24"/>
          <w:lang w:eastAsia="lv-LV"/>
        </w:rPr>
        <w:t>.) un iepirkumu vai konkurences normu pārkāpumi</w:t>
      </w:r>
      <w:r w:rsidRPr="008E4EA2">
        <w:rPr>
          <w:rFonts w:eastAsia="EUAlbertina-Bold-Identity-H"/>
          <w:color w:val="000000" w:themeColor="text1"/>
          <w:szCs w:val="24"/>
          <w:lang w:eastAsia="lv-LV"/>
        </w:rPr>
        <w:t xml:space="preserve"> (23</w:t>
      </w:r>
      <w:r w:rsidR="00122564" w:rsidRPr="008E4EA2">
        <w:rPr>
          <w:rFonts w:eastAsia="EUAlbertina-Bold-Identity-H"/>
          <w:color w:val="000000" w:themeColor="text1"/>
          <w:szCs w:val="24"/>
          <w:lang w:eastAsia="lv-LV"/>
        </w:rPr>
        <w:t xml:space="preserve">). </w:t>
      </w:r>
      <w:r w:rsidR="00D540B5" w:rsidRPr="008E4EA2">
        <w:rPr>
          <w:rFonts w:eastAsia="EUAlbertina-Bold-Identity-H"/>
          <w:color w:val="000000" w:themeColor="text1"/>
          <w:szCs w:val="24"/>
          <w:lang w:eastAsia="lv-LV"/>
        </w:rPr>
        <w:t>L</w:t>
      </w:r>
      <w:r w:rsidR="00122564" w:rsidRPr="008E4EA2">
        <w:rPr>
          <w:rFonts w:eastAsia="EUAlbertina-Bold-Identity-H"/>
          <w:color w:val="000000" w:themeColor="text1"/>
          <w:szCs w:val="24"/>
          <w:lang w:eastAsia="lv-LV"/>
        </w:rPr>
        <w:t xml:space="preserve">ai novērstu neatbilstību rašanos iepirkumos, sākot ar 2012.gada 1.janvāri ir sācis darboties </w:t>
      </w:r>
      <w:r w:rsidR="00D540B5" w:rsidRPr="008E4EA2">
        <w:rPr>
          <w:rFonts w:eastAsia="EUAlbertina-Bold-Identity-H"/>
          <w:color w:val="000000" w:themeColor="text1"/>
          <w:szCs w:val="24"/>
          <w:lang w:eastAsia="lv-LV"/>
        </w:rPr>
        <w:t xml:space="preserve">pastiprināti un papildus </w:t>
      </w:r>
      <w:r w:rsidR="00122564" w:rsidRPr="008E4EA2">
        <w:rPr>
          <w:rFonts w:eastAsia="EUAlbertina-Bold-Identity-H"/>
          <w:color w:val="000000" w:themeColor="text1"/>
          <w:szCs w:val="24"/>
          <w:lang w:eastAsia="lv-LV"/>
        </w:rPr>
        <w:t xml:space="preserve">iepirkumu </w:t>
      </w:r>
      <w:proofErr w:type="spellStart"/>
      <w:r w:rsidR="00122564" w:rsidRPr="008E4EA2">
        <w:rPr>
          <w:rFonts w:eastAsia="EUAlbertina-Bold-Identity-H"/>
          <w:color w:val="000000" w:themeColor="text1"/>
          <w:szCs w:val="24"/>
          <w:lang w:eastAsia="lv-LV"/>
        </w:rPr>
        <w:t>pirmspārbaužu</w:t>
      </w:r>
      <w:proofErr w:type="spellEnd"/>
      <w:r w:rsidR="00122564" w:rsidRPr="008E4EA2">
        <w:rPr>
          <w:rFonts w:eastAsia="EUAlbertina-Bold-Identity-H"/>
          <w:color w:val="000000" w:themeColor="text1"/>
          <w:szCs w:val="24"/>
          <w:lang w:eastAsia="lv-LV"/>
        </w:rPr>
        <w:t xml:space="preserve"> mehānisms. Salīdzinājumā ar datiem līdz 2012.gada 30.jūniju iepirkumu jomā konstatēto neatbilstību apjoms ir pieaudzis par 9,5%, kas salīdzinājumā </w:t>
      </w:r>
      <w:r w:rsidR="00651882" w:rsidRPr="008E4EA2">
        <w:rPr>
          <w:rFonts w:eastAsia="EUAlbertina-Bold-Identity-H"/>
          <w:color w:val="000000" w:themeColor="text1"/>
          <w:szCs w:val="24"/>
          <w:lang w:eastAsia="lv-LV"/>
        </w:rPr>
        <w:t>ar pieaugumu starp 2012.</w:t>
      </w:r>
      <w:r w:rsidR="00310610" w:rsidRPr="008E4EA2">
        <w:rPr>
          <w:rFonts w:eastAsia="EUAlbertina-Bold-Identity-H"/>
          <w:color w:val="000000" w:themeColor="text1"/>
          <w:szCs w:val="24"/>
          <w:lang w:eastAsia="lv-LV"/>
        </w:rPr>
        <w:t>gada pirmo un otro</w:t>
      </w:r>
      <w:r w:rsidR="00122564" w:rsidRPr="008E4EA2">
        <w:rPr>
          <w:rFonts w:eastAsia="EUAlbertina-Bold-Identity-H"/>
          <w:color w:val="000000" w:themeColor="text1"/>
          <w:szCs w:val="24"/>
          <w:lang w:eastAsia="lv-LV"/>
        </w:rPr>
        <w:t xml:space="preserve"> ceturksni ir samazinājies par 3</w:t>
      </w:r>
      <w:r w:rsidR="00651882" w:rsidRPr="008E4EA2">
        <w:rPr>
          <w:rFonts w:eastAsia="EUAlbertina-Bold-Identity-H"/>
          <w:color w:val="000000" w:themeColor="text1"/>
          <w:szCs w:val="24"/>
          <w:lang w:eastAsia="lv-LV"/>
        </w:rPr>
        <w:t>% (pieaugums starp 2012.</w:t>
      </w:r>
      <w:r w:rsidR="00310610" w:rsidRPr="008E4EA2">
        <w:rPr>
          <w:rFonts w:eastAsia="EUAlbertina-Bold-Identity-H"/>
          <w:color w:val="000000" w:themeColor="text1"/>
          <w:szCs w:val="24"/>
          <w:lang w:eastAsia="lv-LV"/>
        </w:rPr>
        <w:t>gada pirmajā</w:t>
      </w:r>
      <w:r w:rsidR="00122564" w:rsidRPr="008E4EA2">
        <w:rPr>
          <w:rFonts w:eastAsia="EUAlbertina-Bold-Identity-H"/>
          <w:color w:val="000000" w:themeColor="text1"/>
          <w:szCs w:val="24"/>
          <w:lang w:eastAsia="lv-LV"/>
        </w:rPr>
        <w:t xml:space="preserve"> un </w:t>
      </w:r>
      <w:r w:rsidR="00310610" w:rsidRPr="008E4EA2">
        <w:rPr>
          <w:rFonts w:eastAsia="EUAlbertina-Bold-Identity-H"/>
          <w:color w:val="000000" w:themeColor="text1"/>
          <w:szCs w:val="24"/>
          <w:lang w:eastAsia="lv-LV"/>
        </w:rPr>
        <w:t>otrajā ceturksnī</w:t>
      </w:r>
      <w:r w:rsidR="00122564" w:rsidRPr="008E4EA2">
        <w:rPr>
          <w:rFonts w:eastAsia="EUAlbertina-Bold-Identity-H"/>
          <w:color w:val="000000" w:themeColor="text1"/>
          <w:szCs w:val="24"/>
          <w:lang w:eastAsia="lv-LV"/>
        </w:rPr>
        <w:t xml:space="preserve"> bija 13%).</w:t>
      </w:r>
      <w:r w:rsidR="005E1672">
        <w:rPr>
          <w:rFonts w:eastAsia="EUAlbertina-Bold-Identity-H"/>
          <w:color w:val="000000" w:themeColor="text1"/>
          <w:szCs w:val="24"/>
          <w:lang w:eastAsia="lv-LV"/>
        </w:rPr>
        <w:t xml:space="preserve"> </w:t>
      </w:r>
      <w:r w:rsidR="00E14F84" w:rsidRPr="008E4EA2">
        <w:rPr>
          <w:rFonts w:eastAsia="EUAlbertina-Bold-Identity-H"/>
          <w:color w:val="000000" w:themeColor="text1"/>
          <w:szCs w:val="24"/>
          <w:lang w:eastAsia="lv-LV"/>
        </w:rPr>
        <w:t>Iepirkumos konstatēto neatbilstību</w:t>
      </w:r>
      <w:r w:rsidR="005E1672">
        <w:rPr>
          <w:rFonts w:eastAsia="EUAlbertina-Bold-Identity-H"/>
          <w:color w:val="000000" w:themeColor="text1"/>
          <w:szCs w:val="24"/>
          <w:lang w:eastAsia="lv-LV"/>
        </w:rPr>
        <w:t xml:space="preserve"> </w:t>
      </w:r>
      <w:r w:rsidR="00E14F84" w:rsidRPr="008E4EA2">
        <w:rPr>
          <w:rFonts w:eastAsia="EUAlbertina-Bold-Identity-H"/>
          <w:color w:val="000000" w:themeColor="text1"/>
          <w:szCs w:val="24"/>
          <w:lang w:eastAsia="lv-LV"/>
        </w:rPr>
        <w:t xml:space="preserve">pieauguma samazinājums var tiks skaidrots, ar veiktajām apmācībām iepirkumu jautājumos, </w:t>
      </w:r>
      <w:r w:rsidR="00122564" w:rsidRPr="008E4EA2">
        <w:rPr>
          <w:rFonts w:eastAsia="EUAlbertina-Bold-Identity-H"/>
          <w:color w:val="000000" w:themeColor="text1"/>
          <w:szCs w:val="24"/>
          <w:lang w:eastAsia="lv-LV"/>
        </w:rPr>
        <w:t xml:space="preserve">Jāvērš uzmanību, ka konstatētās neatbilstības ir konstatētas par iepirkumiem, kuri ir veikti pirms mehānisma </w:t>
      </w:r>
      <w:r w:rsidR="00122564" w:rsidRPr="008E4EA2">
        <w:rPr>
          <w:rFonts w:eastAsia="EUAlbertina-Bold-Identity-H"/>
          <w:color w:val="000000" w:themeColor="text1"/>
          <w:szCs w:val="24"/>
          <w:lang w:eastAsia="lv-LV"/>
        </w:rPr>
        <w:lastRenderedPageBreak/>
        <w:t xml:space="preserve">darbības uzsākšanas, līdz ar to lielākajai daļai iepirkumu, kuros konstatētas neatbilstības, nav veiktas iepirkumu </w:t>
      </w:r>
      <w:proofErr w:type="spellStart"/>
      <w:r w:rsidR="00122564" w:rsidRPr="008E4EA2">
        <w:rPr>
          <w:rFonts w:eastAsia="EUAlbertina-Bold-Identity-H"/>
          <w:color w:val="000000" w:themeColor="text1"/>
          <w:szCs w:val="24"/>
          <w:lang w:eastAsia="lv-LV"/>
        </w:rPr>
        <w:t>pirmspārbaude</w:t>
      </w:r>
      <w:r w:rsidR="00651882" w:rsidRPr="008E4EA2">
        <w:rPr>
          <w:rFonts w:eastAsia="EUAlbertina-Bold-Identity-H"/>
          <w:color w:val="000000" w:themeColor="text1"/>
          <w:szCs w:val="24"/>
          <w:lang w:eastAsia="lv-LV"/>
        </w:rPr>
        <w:t>s</w:t>
      </w:r>
      <w:proofErr w:type="spellEnd"/>
      <w:r w:rsidR="00651882" w:rsidRPr="008E4EA2">
        <w:rPr>
          <w:rFonts w:eastAsia="EUAlbertina-Bold-Identity-H"/>
          <w:color w:val="000000" w:themeColor="text1"/>
          <w:szCs w:val="24"/>
          <w:lang w:eastAsia="lv-LV"/>
        </w:rPr>
        <w:t xml:space="preserve">. </w:t>
      </w:r>
    </w:p>
    <w:p w:rsidR="00F32602" w:rsidRPr="008E4EA2" w:rsidRDefault="00D540B5"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Vērība jāpievērš tam, ka </w:t>
      </w:r>
      <w:r w:rsidR="00651882" w:rsidRPr="008E4EA2">
        <w:rPr>
          <w:rFonts w:eastAsia="EUAlbertina-Bold-Identity-H"/>
          <w:color w:val="000000" w:themeColor="text1"/>
          <w:szCs w:val="24"/>
          <w:lang w:eastAsia="lv-LV"/>
        </w:rPr>
        <w:t>15,7% gadījumu</w:t>
      </w:r>
      <w:r w:rsidR="00122564" w:rsidRPr="008E4EA2">
        <w:rPr>
          <w:rFonts w:eastAsia="EUAlbertina-Bold-Identity-H"/>
          <w:color w:val="000000" w:themeColor="text1"/>
          <w:szCs w:val="24"/>
          <w:lang w:eastAsia="lv-LV"/>
        </w:rPr>
        <w:t xml:space="preserve"> ir saistīti ar iespējamām aizdomām par krāpšanu vai organizēto noziedzību un par šiem gadījumiem informācija ir sniegta tiesībsargājošajās institūcijās nepieciešamās izmeklēšanas veikšanai.</w:t>
      </w:r>
    </w:p>
    <w:p w:rsidR="00122564" w:rsidRPr="008E4EA2" w:rsidRDefault="00122564" w:rsidP="003A0029">
      <w:pPr>
        <w:spacing w:before="120" w:after="120" w:line="276" w:lineRule="auto"/>
        <w:rPr>
          <w:rFonts w:eastAsia="EUAlbertina-Bold-Identity-H"/>
          <w:i/>
          <w:color w:val="000000" w:themeColor="text1"/>
          <w:szCs w:val="24"/>
          <w:lang w:eastAsia="lv-LV"/>
        </w:rPr>
      </w:pPr>
      <w:r w:rsidRPr="008E4EA2">
        <w:rPr>
          <w:rFonts w:eastAsia="EUAlbertina-Bold-Identity-H"/>
          <w:bCs/>
          <w:color w:val="000000" w:themeColor="text1"/>
          <w:szCs w:val="24"/>
          <w:lang w:eastAsia="lv-LV"/>
        </w:rPr>
        <w:t>Grafiks Nr.</w:t>
      </w:r>
      <w:r w:rsidR="0078381C" w:rsidRPr="008E4EA2">
        <w:rPr>
          <w:rFonts w:eastAsia="EUAlbertina-Bold-Identity-H"/>
          <w:bCs/>
          <w:color w:val="000000" w:themeColor="text1"/>
          <w:szCs w:val="24"/>
          <w:lang w:eastAsia="lv-LV"/>
        </w:rPr>
        <w:t>25</w:t>
      </w:r>
      <w:r w:rsidRPr="008E4EA2">
        <w:rPr>
          <w:rFonts w:eastAsia="EUAlbertina-Bold-Identity-H"/>
          <w:bCs/>
          <w:color w:val="000000" w:themeColor="text1"/>
          <w:szCs w:val="24"/>
          <w:lang w:eastAsia="lv-LV"/>
        </w:rPr>
        <w:t xml:space="preserve"> </w:t>
      </w:r>
      <w:r w:rsidR="00651882" w:rsidRPr="008E4EA2">
        <w:rPr>
          <w:rFonts w:eastAsia="EUAlbertina-Bold-Identity-H"/>
          <w:bCs/>
          <w:color w:val="000000" w:themeColor="text1"/>
          <w:szCs w:val="24"/>
          <w:lang w:eastAsia="lv-LV"/>
        </w:rPr>
        <w:t>„</w:t>
      </w:r>
      <w:r w:rsidRPr="008E4EA2">
        <w:rPr>
          <w:rFonts w:eastAsia="EUAlbertina-Bold-Identity-H"/>
          <w:bCs/>
          <w:i/>
          <w:color w:val="000000" w:themeColor="text1"/>
          <w:szCs w:val="24"/>
          <w:lang w:eastAsia="lv-LV"/>
        </w:rPr>
        <w:t xml:space="preserve">Konstatētās neatbilstības sadalījumā pa FS veidiem un neatbilstību veidiem uz </w:t>
      </w:r>
      <w:r w:rsidR="00651882" w:rsidRPr="008E4EA2">
        <w:rPr>
          <w:rFonts w:eastAsia="EUAlbertina-Bold-Identity-H"/>
          <w:i/>
          <w:color w:val="000000" w:themeColor="text1"/>
          <w:szCs w:val="24"/>
          <w:lang w:eastAsia="lv-LV"/>
        </w:rPr>
        <w:t>2012.gada 30</w:t>
      </w:r>
      <w:r w:rsidRPr="008E4EA2">
        <w:rPr>
          <w:rFonts w:eastAsia="EUAlbertina-Bold-Identity-H"/>
          <w:bCs/>
          <w:i/>
          <w:color w:val="000000" w:themeColor="text1"/>
          <w:szCs w:val="24"/>
          <w:lang w:eastAsia="lv-LV"/>
        </w:rPr>
        <w:t>.</w:t>
      </w:r>
      <w:r w:rsidR="00651882" w:rsidRPr="008E4EA2">
        <w:rPr>
          <w:rFonts w:eastAsia="EUAlbertina-Bold-Identity-H"/>
          <w:bCs/>
          <w:i/>
          <w:color w:val="000000" w:themeColor="text1"/>
          <w:szCs w:val="24"/>
          <w:lang w:eastAsia="lv-LV"/>
        </w:rPr>
        <w:t>septembri</w:t>
      </w:r>
      <w:r w:rsidRPr="008E4EA2">
        <w:rPr>
          <w:rFonts w:eastAsia="EUAlbertina-Bold-Identity-H"/>
          <w:bCs/>
          <w:i/>
          <w:color w:val="000000" w:themeColor="text1"/>
          <w:szCs w:val="24"/>
          <w:lang w:eastAsia="lv-LV"/>
        </w:rPr>
        <w:t xml:space="preserve">, </w:t>
      </w:r>
      <w:proofErr w:type="spellStart"/>
      <w:r w:rsidRPr="008E4EA2">
        <w:rPr>
          <w:rFonts w:eastAsia="EUAlbertina-Bold-Identity-H"/>
          <w:i/>
          <w:iCs/>
          <w:color w:val="000000" w:themeColor="text1"/>
          <w:szCs w:val="24"/>
          <w:lang w:eastAsia="lv-LV"/>
        </w:rPr>
        <w:t>milj</w:t>
      </w:r>
      <w:proofErr w:type="spellEnd"/>
      <w:r w:rsidRPr="008E4EA2">
        <w:rPr>
          <w:rFonts w:eastAsia="EUAlbertina-Bold-Identity-H"/>
          <w:i/>
          <w:iCs/>
          <w:color w:val="000000" w:themeColor="text1"/>
          <w:szCs w:val="24"/>
          <w:lang w:eastAsia="lv-LV"/>
        </w:rPr>
        <w:t xml:space="preserve">. </w:t>
      </w:r>
      <w:r w:rsidR="00310610" w:rsidRPr="008E4EA2">
        <w:rPr>
          <w:rFonts w:eastAsia="EUAlbertina-Bold-Identity-H"/>
          <w:i/>
          <w:iCs/>
          <w:color w:val="000000" w:themeColor="text1"/>
          <w:szCs w:val="24"/>
          <w:lang w:eastAsia="lv-LV"/>
        </w:rPr>
        <w:t>latu</w:t>
      </w:r>
      <w:r w:rsidRPr="008E4EA2">
        <w:rPr>
          <w:rFonts w:eastAsia="EUAlbertina-Bold-Identity-H"/>
          <w:i/>
          <w:iCs/>
          <w:color w:val="000000" w:themeColor="text1"/>
          <w:szCs w:val="24"/>
          <w:lang w:eastAsia="lv-LV"/>
        </w:rPr>
        <w:t xml:space="preserve"> </w:t>
      </w:r>
      <w:r w:rsidR="00310610" w:rsidRPr="008E4EA2">
        <w:rPr>
          <w:rFonts w:eastAsia="EUAlbertina-Bold-Identity-H"/>
          <w:i/>
          <w:iCs/>
          <w:color w:val="000000" w:themeColor="text1"/>
          <w:szCs w:val="24"/>
          <w:lang w:eastAsia="lv-LV"/>
        </w:rPr>
        <w:t>(</w:t>
      </w:r>
      <w:r w:rsidRPr="008E4EA2">
        <w:rPr>
          <w:rFonts w:eastAsia="EUAlbertina-Bold-Identity-H"/>
          <w:i/>
          <w:iCs/>
          <w:color w:val="000000" w:themeColor="text1"/>
          <w:szCs w:val="24"/>
          <w:lang w:eastAsia="lv-LV"/>
        </w:rPr>
        <w:t>% pieaugums pret</w:t>
      </w:r>
      <w:r w:rsidR="005E1672">
        <w:rPr>
          <w:rFonts w:eastAsia="EUAlbertina-Bold-Identity-H"/>
          <w:i/>
          <w:iCs/>
          <w:color w:val="000000" w:themeColor="text1"/>
          <w:szCs w:val="24"/>
          <w:lang w:eastAsia="lv-LV"/>
        </w:rPr>
        <w:t xml:space="preserve"> </w:t>
      </w:r>
      <w:r w:rsidR="00651882" w:rsidRPr="008E4EA2">
        <w:rPr>
          <w:rFonts w:eastAsia="EUAlbertina-Bold-Identity-H"/>
          <w:i/>
          <w:color w:val="000000" w:themeColor="text1"/>
          <w:szCs w:val="24"/>
          <w:lang w:eastAsia="lv-LV"/>
        </w:rPr>
        <w:t>2012.gada 30. jūniju</w:t>
      </w:r>
      <w:r w:rsidRPr="008E4EA2">
        <w:rPr>
          <w:rFonts w:eastAsia="EUAlbertina-Bold-Identity-H"/>
          <w:i/>
          <w:iCs/>
          <w:color w:val="000000" w:themeColor="text1"/>
          <w:szCs w:val="24"/>
          <w:lang w:eastAsia="lv-LV"/>
        </w:rPr>
        <w:t>)</w:t>
      </w:r>
      <w:r w:rsidR="00310610" w:rsidRPr="008E4EA2">
        <w:rPr>
          <w:rFonts w:eastAsia="EUAlbertina-Bold-Identity-H"/>
          <w:i/>
          <w:iCs/>
          <w:color w:val="000000" w:themeColor="text1"/>
          <w:szCs w:val="24"/>
          <w:lang w:eastAsia="lv-LV"/>
        </w:rPr>
        <w:t>.”</w:t>
      </w:r>
    </w:p>
    <w:p w:rsidR="00122564" w:rsidRPr="008E4EA2" w:rsidRDefault="00CE4257" w:rsidP="003A0029">
      <w:pPr>
        <w:spacing w:before="120" w:after="120" w:line="276" w:lineRule="auto"/>
        <w:rPr>
          <w:rFonts w:eastAsia="EUAlbertina-Bold-Identity-H"/>
          <w:color w:val="000000" w:themeColor="text1"/>
          <w:szCs w:val="24"/>
          <w:lang w:eastAsia="lv-LV"/>
        </w:rPr>
      </w:pPr>
      <w:r w:rsidRPr="008E4EA2">
        <w:rPr>
          <w:rFonts w:eastAsia="EUAlbertina-Bold-Identity-H"/>
          <w:noProof/>
          <w:color w:val="000000" w:themeColor="text1"/>
          <w:szCs w:val="24"/>
          <w:lang w:eastAsia="lv-LV"/>
        </w:rPr>
        <w:drawing>
          <wp:inline distT="0" distB="0" distL="0" distR="0" wp14:anchorId="10003C47" wp14:editId="74151C39">
            <wp:extent cx="5383530" cy="3944620"/>
            <wp:effectExtent l="0" t="0" r="762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1">
                      <a:extLst>
                        <a:ext uri="{28A0092B-C50C-407E-A947-70E740481C1C}">
                          <a14:useLocalDpi xmlns:a14="http://schemas.microsoft.com/office/drawing/2010/main"/>
                        </a:ext>
                      </a:extLst>
                    </a:blip>
                    <a:srcRect/>
                    <a:stretch>
                      <a:fillRect/>
                    </a:stretch>
                  </pic:blipFill>
                  <pic:spPr bwMode="auto">
                    <a:xfrm>
                      <a:off x="0" y="0"/>
                      <a:ext cx="5383530" cy="3944620"/>
                    </a:xfrm>
                    <a:prstGeom prst="rect">
                      <a:avLst/>
                    </a:prstGeom>
                    <a:noFill/>
                  </pic:spPr>
                </pic:pic>
              </a:graphicData>
            </a:graphic>
          </wp:inline>
        </w:drawing>
      </w:r>
    </w:p>
    <w:p w:rsidR="00E14F84" w:rsidRPr="008E4EA2" w:rsidRDefault="00E14F8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Līdz 2012.gada 30.septembrim kopā atgūti 16,2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xml:space="preserve">. latu jeb 64,0% no neatbilstību kopējās summas. No tiem pārskata periodā atgūti 1,6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xml:space="preserve">. latu jeb 28,9 % no pārskata periodā konstatētā neatbilstību apjoma. </w:t>
      </w:r>
    </w:p>
    <w:p w:rsidR="00122564" w:rsidRPr="008E4EA2" w:rsidRDefault="00122564" w:rsidP="003A0029">
      <w:pPr>
        <w:spacing w:before="120" w:after="120" w:line="276" w:lineRule="auto"/>
        <w:rPr>
          <w:rFonts w:eastAsia="EUAlbertina-Bold-Identity-H"/>
          <w:color w:val="000000" w:themeColor="text1"/>
          <w:szCs w:val="24"/>
          <w:u w:val="single"/>
          <w:lang w:eastAsia="lv-LV"/>
        </w:rPr>
      </w:pPr>
      <w:r w:rsidRPr="008E4EA2">
        <w:rPr>
          <w:rFonts w:eastAsia="EUAlbertina-Bold-Identity-H"/>
          <w:color w:val="000000" w:themeColor="text1"/>
          <w:szCs w:val="24"/>
          <w:lang w:eastAsia="lv-LV"/>
        </w:rPr>
        <w:t xml:space="preserve">Līdz šim vairākās aktivitātēs neatbilstības procentuāli no kopējā pieprasītā finansējuma tuvojas vai ir jau sasnieguši kritisko 2% robežu. Attiecīgi VI ierosina AI/SI pārvērtēt konkrētās aktivitātes riska līmeni un attiecīgi veikt preventīvus un korektīvus kontroles pasākumus, kā arī aktivitātēs, kurās lielākais neatbilstību apjoms konstatēts </w:t>
      </w:r>
      <w:r w:rsidR="00651882" w:rsidRPr="008E4EA2">
        <w:rPr>
          <w:rFonts w:eastAsia="EUAlbertina-Bold-Identity-H"/>
          <w:color w:val="000000" w:themeColor="text1"/>
          <w:szCs w:val="24"/>
          <w:lang w:eastAsia="lv-LV"/>
        </w:rPr>
        <w:t xml:space="preserve">iepirkumu normu pārkāpumu dēļ – </w:t>
      </w:r>
      <w:r w:rsidRPr="008E4EA2">
        <w:rPr>
          <w:rFonts w:eastAsia="EUAlbertina-Bold-Identity-H"/>
          <w:color w:val="000000" w:themeColor="text1"/>
          <w:szCs w:val="24"/>
          <w:lang w:eastAsia="lv-LV"/>
        </w:rPr>
        <w:t xml:space="preserve">visiem projektiem preventīvi veikt iepirkumu </w:t>
      </w:r>
      <w:proofErr w:type="spellStart"/>
      <w:r w:rsidRPr="008E4EA2">
        <w:rPr>
          <w:rFonts w:eastAsia="EUAlbertina-Bold-Identity-H"/>
          <w:color w:val="000000" w:themeColor="text1"/>
          <w:szCs w:val="24"/>
          <w:lang w:eastAsia="lv-LV"/>
        </w:rPr>
        <w:t>pirmspārbaudes</w:t>
      </w:r>
      <w:proofErr w:type="spellEnd"/>
      <w:r w:rsidRPr="008E4EA2">
        <w:rPr>
          <w:rFonts w:eastAsia="EUAlbertina-Bold-Identity-H"/>
          <w:color w:val="000000" w:themeColor="text1"/>
          <w:szCs w:val="24"/>
          <w:lang w:eastAsia="lv-LV"/>
        </w:rPr>
        <w:t xml:space="preserve">. Detalizēta informācija par konkrētajām aktivitātēm apkopota šī ziņojuma </w:t>
      </w:r>
      <w:r w:rsidR="00FE575F" w:rsidRPr="008E4EA2">
        <w:rPr>
          <w:rFonts w:eastAsia="EUAlbertina-Bold-Identity-H"/>
          <w:color w:val="000000" w:themeColor="text1"/>
          <w:szCs w:val="24"/>
          <w:u w:val="single"/>
          <w:lang w:eastAsia="lv-LV"/>
        </w:rPr>
        <w:t>5</w:t>
      </w:r>
      <w:r w:rsidRPr="008E4EA2">
        <w:rPr>
          <w:rFonts w:eastAsia="EUAlbertina-Bold-Identity-H"/>
          <w:color w:val="000000" w:themeColor="text1"/>
          <w:szCs w:val="24"/>
          <w:u w:val="single"/>
          <w:lang w:eastAsia="lv-LV"/>
        </w:rPr>
        <w:t>.pielikumā.</w:t>
      </w:r>
    </w:p>
    <w:p w:rsidR="001F2F61" w:rsidRPr="008E4EA2" w:rsidRDefault="001F2F61" w:rsidP="003A0029">
      <w:pPr>
        <w:pStyle w:val="2lmenis"/>
        <w:numPr>
          <w:ilvl w:val="1"/>
          <w:numId w:val="2"/>
        </w:numPr>
        <w:spacing w:before="120" w:after="120" w:line="276" w:lineRule="auto"/>
        <w:ind w:left="1276" w:hanging="425"/>
        <w:jc w:val="both"/>
        <w:rPr>
          <w:color w:val="000000" w:themeColor="text1"/>
          <w:sz w:val="24"/>
          <w:szCs w:val="24"/>
          <w:lang w:val="lv-LV"/>
        </w:rPr>
      </w:pPr>
      <w:bookmarkStart w:id="74" w:name="_Toc324948889"/>
      <w:bookmarkStart w:id="75" w:name="_Toc340241711"/>
      <w:bookmarkStart w:id="76" w:name="_Toc308774242"/>
      <w:r w:rsidRPr="008E4EA2">
        <w:rPr>
          <w:color w:val="000000" w:themeColor="text1"/>
          <w:sz w:val="24"/>
          <w:szCs w:val="24"/>
          <w:lang w:val="lv-LV"/>
        </w:rPr>
        <w:t>Konstatēt</w:t>
      </w:r>
      <w:r w:rsidR="00D540B5" w:rsidRPr="008E4EA2">
        <w:rPr>
          <w:color w:val="000000" w:themeColor="text1"/>
          <w:sz w:val="24"/>
          <w:szCs w:val="24"/>
          <w:lang w:val="lv-LV"/>
        </w:rPr>
        <w:t xml:space="preserve">ie </w:t>
      </w:r>
      <w:r w:rsidRPr="008E4EA2">
        <w:rPr>
          <w:color w:val="000000" w:themeColor="text1"/>
          <w:sz w:val="24"/>
          <w:szCs w:val="24"/>
          <w:lang w:val="lv-LV"/>
        </w:rPr>
        <w:t>neatbilstoši veiktie i</w:t>
      </w:r>
      <w:r w:rsidR="00651882" w:rsidRPr="008E4EA2">
        <w:rPr>
          <w:color w:val="000000" w:themeColor="text1"/>
          <w:sz w:val="24"/>
          <w:szCs w:val="24"/>
          <w:lang w:val="lv-LV"/>
        </w:rPr>
        <w:t>zdevumi pārskata periodā (2012.</w:t>
      </w:r>
      <w:r w:rsidRPr="008E4EA2">
        <w:rPr>
          <w:color w:val="000000" w:themeColor="text1"/>
          <w:sz w:val="24"/>
          <w:szCs w:val="24"/>
          <w:lang w:val="lv-LV"/>
        </w:rPr>
        <w:t xml:space="preserve">gada </w:t>
      </w:r>
      <w:r w:rsidR="007E49D7" w:rsidRPr="008E4EA2">
        <w:rPr>
          <w:color w:val="000000" w:themeColor="text1"/>
          <w:sz w:val="24"/>
          <w:szCs w:val="24"/>
          <w:lang w:val="lv-LV"/>
        </w:rPr>
        <w:t>otrajā</w:t>
      </w:r>
      <w:r w:rsidRPr="008E4EA2">
        <w:rPr>
          <w:color w:val="000000" w:themeColor="text1"/>
          <w:sz w:val="24"/>
          <w:szCs w:val="24"/>
          <w:lang w:val="lv-LV"/>
        </w:rPr>
        <w:t xml:space="preserve"> ceturksnī) ES fondos</w:t>
      </w:r>
      <w:bookmarkEnd w:id="74"/>
      <w:bookmarkEnd w:id="75"/>
    </w:p>
    <w:p w:rsidR="00067D07" w:rsidRPr="008E4EA2" w:rsidRDefault="00067D07"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Pārskata periodā (ceturksnī) kopējais neatbilstību apjoms ir 5,5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xml:space="preserve">. latu. Pārskata periodā lielākais neatbilstību apjoms 4,4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xml:space="preserve">. latu jeb 78,7% ir konstatēts komersantu </w:t>
      </w:r>
      <w:r w:rsidRPr="008E4EA2">
        <w:rPr>
          <w:rFonts w:eastAsia="EUAlbertina-Bold-Identity-H"/>
          <w:color w:val="000000" w:themeColor="text1"/>
          <w:szCs w:val="24"/>
          <w:lang w:eastAsia="lv-LV"/>
        </w:rPr>
        <w:lastRenderedPageBreak/>
        <w:t>īstenotajos projektos un tās saistītas ar aizdomām par krāpšanu noziedzību, kā arī dažādu līguma nosacījumu un normatīvo aktu pārkāpumu dēļ.</w:t>
      </w:r>
    </w:p>
    <w:p w:rsidR="00067D07" w:rsidRPr="008E4EA2" w:rsidRDefault="00067D07" w:rsidP="003A0029">
      <w:pPr>
        <w:spacing w:before="120" w:after="120" w:line="276" w:lineRule="auto"/>
        <w:rPr>
          <w:rFonts w:eastAsia="EUAlbertina-Bold-Identity-H"/>
          <w:i/>
          <w:color w:val="000000" w:themeColor="text1"/>
          <w:szCs w:val="24"/>
          <w:lang w:eastAsia="lv-LV"/>
        </w:rPr>
      </w:pPr>
      <w:r w:rsidRPr="008E4EA2">
        <w:rPr>
          <w:rFonts w:eastAsia="EUAlbertina-Bold-Identity-H"/>
          <w:color w:val="000000" w:themeColor="text1"/>
          <w:szCs w:val="24"/>
          <w:lang w:eastAsia="lv-LV"/>
        </w:rPr>
        <w:t>Grafiks Nr.</w:t>
      </w:r>
      <w:r w:rsidR="0078381C" w:rsidRPr="008E4EA2">
        <w:rPr>
          <w:rFonts w:eastAsia="EUAlbertina-Bold-Identity-H"/>
          <w:color w:val="000000" w:themeColor="text1"/>
          <w:szCs w:val="24"/>
          <w:lang w:eastAsia="lv-LV"/>
        </w:rPr>
        <w:t>26</w:t>
      </w:r>
      <w:r w:rsidRPr="008E4EA2">
        <w:rPr>
          <w:rFonts w:eastAsia="EUAlbertina-Bold-Identity-H"/>
          <w:color w:val="000000" w:themeColor="text1"/>
          <w:szCs w:val="24"/>
          <w:lang w:eastAsia="lv-LV"/>
        </w:rPr>
        <w:t xml:space="preserve"> </w:t>
      </w:r>
      <w:r w:rsidRPr="008E4EA2">
        <w:rPr>
          <w:rFonts w:eastAsia="EUAlbertina-Bold-Identity-H"/>
          <w:i/>
          <w:color w:val="000000" w:themeColor="text1"/>
          <w:szCs w:val="24"/>
          <w:lang w:eastAsia="lv-LV"/>
        </w:rPr>
        <w:t xml:space="preserve">„Konstatētās neatbilstības sadalījumā pa finansējuma saņēmēju un neatbilstību veidiem 2012.gada trešajā ceturksnī; </w:t>
      </w:r>
      <w:proofErr w:type="spellStart"/>
      <w:r w:rsidRPr="008E4EA2">
        <w:rPr>
          <w:rFonts w:eastAsia="EUAlbertina-Bold-Identity-H"/>
          <w:i/>
          <w:color w:val="000000" w:themeColor="text1"/>
          <w:szCs w:val="24"/>
          <w:lang w:eastAsia="lv-LV"/>
        </w:rPr>
        <w:t>milj</w:t>
      </w:r>
      <w:proofErr w:type="spellEnd"/>
      <w:r w:rsidRPr="008E4EA2">
        <w:rPr>
          <w:rFonts w:eastAsia="EUAlbertina-Bold-Identity-H"/>
          <w:i/>
          <w:color w:val="000000" w:themeColor="text1"/>
          <w:szCs w:val="24"/>
          <w:lang w:eastAsia="lv-LV"/>
        </w:rPr>
        <w:t>. latu.”</w:t>
      </w:r>
    </w:p>
    <w:p w:rsidR="00E91BC9" w:rsidRPr="008E4EA2" w:rsidRDefault="00CE4257" w:rsidP="003A0029">
      <w:pPr>
        <w:spacing w:before="120" w:after="120" w:line="276" w:lineRule="auto"/>
        <w:rPr>
          <w:rFonts w:eastAsia="EUAlbertina-Bold-Identity-H"/>
          <w:i/>
          <w:color w:val="000000" w:themeColor="text1"/>
          <w:szCs w:val="24"/>
          <w:lang w:eastAsia="lv-LV"/>
        </w:rPr>
      </w:pPr>
      <w:r w:rsidRPr="008E4EA2">
        <w:rPr>
          <w:rFonts w:eastAsia="EUAlbertina-Bold-Identity-H"/>
          <w:i/>
          <w:noProof/>
          <w:color w:val="000000" w:themeColor="text1"/>
          <w:szCs w:val="24"/>
          <w:lang w:eastAsia="lv-LV"/>
        </w:rPr>
        <w:drawing>
          <wp:inline distT="0" distB="0" distL="0" distR="0" wp14:anchorId="68E8ABE5" wp14:editId="41174D54">
            <wp:extent cx="5431790" cy="33223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a:extLst>
                        <a:ext uri="{28A0092B-C50C-407E-A947-70E740481C1C}">
                          <a14:useLocalDpi xmlns:a14="http://schemas.microsoft.com/office/drawing/2010/main"/>
                        </a:ext>
                      </a:extLst>
                    </a:blip>
                    <a:srcRect/>
                    <a:stretch>
                      <a:fillRect/>
                    </a:stretch>
                  </pic:blipFill>
                  <pic:spPr bwMode="auto">
                    <a:xfrm>
                      <a:off x="0" y="0"/>
                      <a:ext cx="5431790" cy="3322320"/>
                    </a:xfrm>
                    <a:prstGeom prst="rect">
                      <a:avLst/>
                    </a:prstGeom>
                    <a:noFill/>
                  </pic:spPr>
                </pic:pic>
              </a:graphicData>
            </a:graphic>
          </wp:inline>
        </w:drawing>
      </w:r>
    </w:p>
    <w:p w:rsidR="00067D07" w:rsidRPr="008E4EA2" w:rsidRDefault="00D540B5"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L</w:t>
      </w:r>
      <w:r w:rsidR="00651882" w:rsidRPr="008E4EA2">
        <w:rPr>
          <w:rFonts w:eastAsia="EUAlbertina-Bold-Identity-H"/>
          <w:color w:val="000000" w:themeColor="text1"/>
          <w:szCs w:val="24"/>
          <w:lang w:eastAsia="lv-LV"/>
        </w:rPr>
        <w:t>ielāko neatbilstību daļu 2012.gada 3.</w:t>
      </w:r>
      <w:r w:rsidR="00067D07" w:rsidRPr="008E4EA2">
        <w:rPr>
          <w:rFonts w:eastAsia="EUAlbertina-Bold-Identity-H"/>
          <w:color w:val="000000" w:themeColor="text1"/>
          <w:szCs w:val="24"/>
          <w:lang w:eastAsia="lv-LV"/>
        </w:rPr>
        <w:t>ceturksnī veido neatbilstības</w:t>
      </w:r>
      <w:r w:rsidR="00651882" w:rsidRPr="008E4EA2">
        <w:rPr>
          <w:rFonts w:eastAsia="EUAlbertina-Bold-Identity-H"/>
          <w:color w:val="000000" w:themeColor="text1"/>
          <w:szCs w:val="24"/>
          <w:lang w:eastAsia="lv-LV"/>
        </w:rPr>
        <w:t>, kuras klasificētas</w:t>
      </w:r>
      <w:r w:rsidR="00067D07" w:rsidRPr="008E4EA2">
        <w:rPr>
          <w:rFonts w:eastAsia="EUAlbertina-Bold-Identity-H"/>
          <w:color w:val="000000" w:themeColor="text1"/>
          <w:szCs w:val="24"/>
          <w:lang w:eastAsia="lv-LV"/>
        </w:rPr>
        <w:t xml:space="preserve"> kā aizdomas par krāpšanu, attiecīgi par šiem gadījumiem informācija sniegta arī tiesībsargājošajās iestādēs. </w:t>
      </w:r>
      <w:r w:rsidR="00E14F84" w:rsidRPr="008E4EA2">
        <w:rPr>
          <w:rFonts w:eastAsia="EUAlbertina-Bold-Identity-H"/>
          <w:color w:val="000000" w:themeColor="text1"/>
          <w:szCs w:val="24"/>
          <w:lang w:eastAsia="lv-LV"/>
        </w:rPr>
        <w:t>Plānošanas periodā AI/SI aizdomas par iespējamu krāpšanu ir radušās vismaz 25 projektos, tomēr lielākoties šos gadījumus var uzskatīt, kā tādus, kuriem nav finansiālas ietekmes, jo projektos netiek veikti maksājumi finansējuma saņēmējam līdz tiesībsargājošās iestādes</w:t>
      </w:r>
      <w:r w:rsidR="005E1672">
        <w:rPr>
          <w:rFonts w:eastAsia="EUAlbertina-Bold-Identity-H"/>
          <w:color w:val="000000" w:themeColor="text1"/>
          <w:szCs w:val="24"/>
          <w:lang w:eastAsia="lv-LV"/>
        </w:rPr>
        <w:t xml:space="preserve"> </w:t>
      </w:r>
      <w:r w:rsidR="00E14F84" w:rsidRPr="008E4EA2">
        <w:rPr>
          <w:rFonts w:eastAsia="EUAlbertina-Bold-Identity-H"/>
          <w:color w:val="000000" w:themeColor="text1"/>
          <w:szCs w:val="24"/>
          <w:lang w:eastAsia="lv-LV"/>
        </w:rPr>
        <w:t>sniedz atbildi par kriminālprocesa uzsākšanu. Secinām, ka līdz šim tiesībsargājošās iestādes ne vienmēr par AI/SI ziņotajiem iespējamajiem aizdomu par krāpšanu gadījumiem ir uzsākušas kriminālprocesus, tomēr arī šādos gadījumos AI/SI</w:t>
      </w:r>
      <w:r w:rsidR="005E1672">
        <w:rPr>
          <w:rFonts w:eastAsia="EUAlbertina-Bold-Identity-H"/>
          <w:color w:val="000000" w:themeColor="text1"/>
          <w:szCs w:val="24"/>
          <w:lang w:eastAsia="lv-LV"/>
        </w:rPr>
        <w:t xml:space="preserve"> </w:t>
      </w:r>
      <w:r w:rsidR="00E14F84" w:rsidRPr="008E4EA2">
        <w:rPr>
          <w:rFonts w:eastAsia="EUAlbertina-Bold-Identity-H"/>
          <w:color w:val="000000" w:themeColor="text1"/>
          <w:szCs w:val="24"/>
          <w:lang w:eastAsia="lv-LV"/>
        </w:rPr>
        <w:t>izvērtē maksājumu pieprasījumu pamatotību un aizdomu gadījumā pārtrauc līgumu par projekta izpildi.</w:t>
      </w:r>
      <w:r w:rsidR="005E1672">
        <w:rPr>
          <w:rFonts w:eastAsia="EUAlbertina-Bold-Identity-H"/>
          <w:color w:val="000000" w:themeColor="text1"/>
          <w:szCs w:val="24"/>
          <w:lang w:eastAsia="lv-LV"/>
        </w:rPr>
        <w:t xml:space="preserve"> </w:t>
      </w:r>
      <w:r w:rsidR="00067D07" w:rsidRPr="008E4EA2">
        <w:rPr>
          <w:rFonts w:eastAsia="EUAlbertina-Bold-Identity-H"/>
          <w:color w:val="000000" w:themeColor="text1"/>
          <w:szCs w:val="24"/>
          <w:lang w:eastAsia="lv-LV"/>
        </w:rPr>
        <w:t>Tāpat kā līdz šim arī turpmāk, lai samazinātu neatbilstību rašanos saistībā ar iepirkumu normu pārkāpumiem</w:t>
      </w:r>
      <w:r w:rsidR="00651882" w:rsidRPr="008E4EA2">
        <w:rPr>
          <w:rFonts w:eastAsia="EUAlbertina-Bold-Identity-H"/>
          <w:color w:val="000000" w:themeColor="text1"/>
          <w:szCs w:val="24"/>
          <w:lang w:eastAsia="lv-LV"/>
        </w:rPr>
        <w:t>,</w:t>
      </w:r>
      <w:r w:rsidR="00067D07" w:rsidRPr="008E4EA2">
        <w:rPr>
          <w:rFonts w:eastAsia="EUAlbertina-Bold-Identity-H"/>
          <w:color w:val="000000" w:themeColor="text1"/>
          <w:szCs w:val="24"/>
          <w:lang w:eastAsia="lv-LV"/>
        </w:rPr>
        <w:t xml:space="preserve"> tiek veiktas iepirkumu </w:t>
      </w:r>
      <w:proofErr w:type="spellStart"/>
      <w:r w:rsidR="00067D07" w:rsidRPr="008E4EA2">
        <w:rPr>
          <w:rFonts w:eastAsia="EUAlbertina-Bold-Identity-H"/>
          <w:color w:val="000000" w:themeColor="text1"/>
          <w:szCs w:val="24"/>
          <w:lang w:eastAsia="lv-LV"/>
        </w:rPr>
        <w:t>pirmspārbaudes</w:t>
      </w:r>
      <w:proofErr w:type="spellEnd"/>
      <w:r w:rsidR="00067D07" w:rsidRPr="008E4EA2">
        <w:rPr>
          <w:rFonts w:eastAsia="EUAlbertina-Bold-Identity-H"/>
          <w:color w:val="000000" w:themeColor="text1"/>
          <w:szCs w:val="24"/>
          <w:lang w:eastAsia="lv-LV"/>
        </w:rPr>
        <w:t xml:space="preserve">. </w:t>
      </w:r>
    </w:p>
    <w:p w:rsidR="00067D07" w:rsidRPr="008E4EA2" w:rsidRDefault="00067D07"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Darbības programmas „Cilvēkresursi un nodarbinātība” ietvaros pārskata periodā konstatētās neatbilstības galvenokārt ir saistītas dažāda veida līguma pārkāpumiem, līguma nosacījumu neievērošanā, </w:t>
      </w:r>
      <w:proofErr w:type="spellStart"/>
      <w:r w:rsidRPr="008E4EA2">
        <w:rPr>
          <w:rFonts w:eastAsia="EUAlbertina-Bold-Identity-H"/>
          <w:color w:val="000000" w:themeColor="text1"/>
          <w:szCs w:val="24"/>
          <w:lang w:eastAsia="lv-LV"/>
        </w:rPr>
        <w:t>t.sk</w:t>
      </w:r>
      <w:proofErr w:type="spellEnd"/>
      <w:r w:rsidRPr="008E4EA2">
        <w:rPr>
          <w:rFonts w:eastAsia="EUAlbertina-Bold-Identity-H"/>
          <w:color w:val="000000" w:themeColor="text1"/>
          <w:szCs w:val="24"/>
          <w:lang w:eastAsia="lv-LV"/>
        </w:rPr>
        <w:t xml:space="preserve">., projekta mērķu nepilnīgu sasniegšanu, projektā iesaistīto personu neatbilstību projektā noteiktajai mērķa grupai, vienlaicīgas </w:t>
      </w:r>
      <w:proofErr w:type="spellStart"/>
      <w:r w:rsidRPr="008E4EA2">
        <w:rPr>
          <w:rFonts w:eastAsia="EUAlbertina-Bold-Identity-H"/>
          <w:color w:val="000000" w:themeColor="text1"/>
          <w:szCs w:val="24"/>
          <w:lang w:eastAsia="lv-LV"/>
        </w:rPr>
        <w:t>mērķstipendijas</w:t>
      </w:r>
      <w:proofErr w:type="spellEnd"/>
      <w:r w:rsidRPr="008E4EA2">
        <w:rPr>
          <w:rFonts w:eastAsia="EUAlbertina-Bold-Identity-H"/>
          <w:color w:val="000000" w:themeColor="text1"/>
          <w:szCs w:val="24"/>
          <w:lang w:eastAsia="lv-LV"/>
        </w:rPr>
        <w:t xml:space="preserve"> un atlīdzības izmaksu pārkāpumi, kā arī</w:t>
      </w:r>
      <w:r w:rsidR="005E1672">
        <w:rPr>
          <w:rFonts w:eastAsia="EUAlbertina-Bold-Identity-H"/>
          <w:color w:val="000000" w:themeColor="text1"/>
          <w:szCs w:val="24"/>
          <w:lang w:eastAsia="lv-LV"/>
        </w:rPr>
        <w:t xml:space="preserve"> </w:t>
      </w:r>
      <w:r w:rsidRPr="008E4EA2">
        <w:rPr>
          <w:rFonts w:eastAsia="EUAlbertina-Bold-Identity-H"/>
          <w:color w:val="000000" w:themeColor="text1"/>
          <w:szCs w:val="24"/>
          <w:lang w:eastAsia="lv-LV"/>
        </w:rPr>
        <w:t>iepirkumu vai konkurences normu pārkāpumiem. Piemēram, saskaņā ar pieejamajiem datiem pārskata periodā aptuveni 50% no LM</w:t>
      </w:r>
      <w:r w:rsidR="005E1672">
        <w:rPr>
          <w:rFonts w:eastAsia="EUAlbertina-Bold-Identity-H"/>
          <w:color w:val="000000" w:themeColor="text1"/>
          <w:szCs w:val="24"/>
          <w:lang w:eastAsia="lv-LV"/>
        </w:rPr>
        <w:t xml:space="preserve"> </w:t>
      </w:r>
      <w:r w:rsidRPr="008E4EA2">
        <w:rPr>
          <w:rFonts w:eastAsia="EUAlbertina-Bold-Identity-H"/>
          <w:color w:val="000000" w:themeColor="text1"/>
          <w:szCs w:val="24"/>
          <w:lang w:eastAsia="lv-LV"/>
        </w:rPr>
        <w:t xml:space="preserve">aktivitātēs un aptuveni 50% no IZM aktivitātēs konstatētajiem neatbilstoši veiktajiem izdevumiem ir saistīti ar dažāda veida līguma nosacījumu pārkāpumiem. Lai mazinātu lielo ar līguma pārkāpumiem saistīto neatbilstību īpatsvaru, </w:t>
      </w:r>
      <w:r w:rsidRPr="008E4EA2">
        <w:rPr>
          <w:rFonts w:eastAsia="EUAlbertina-Bold-Identity-H"/>
          <w:color w:val="000000" w:themeColor="text1"/>
          <w:szCs w:val="24"/>
          <w:lang w:eastAsia="lv-LV"/>
        </w:rPr>
        <w:lastRenderedPageBreak/>
        <w:t>AI un SI pievērš īpašu uzmanību kontroļu veikšanai un individuāla atbalst</w:t>
      </w:r>
      <w:r w:rsidR="00651882" w:rsidRPr="008E4EA2">
        <w:rPr>
          <w:rFonts w:eastAsia="EUAlbertina-Bold-Identity-H"/>
          <w:color w:val="000000" w:themeColor="text1"/>
          <w:szCs w:val="24"/>
          <w:lang w:eastAsia="lv-LV"/>
        </w:rPr>
        <w:t>a</w:t>
      </w:r>
      <w:r w:rsidRPr="008E4EA2">
        <w:rPr>
          <w:rFonts w:eastAsia="EUAlbertina-Bold-Identity-H"/>
          <w:color w:val="000000" w:themeColor="text1"/>
          <w:szCs w:val="24"/>
          <w:lang w:eastAsia="lv-LV"/>
        </w:rPr>
        <w:t xml:space="preserve"> sniegšanai finansējuma saņēmējiem. </w:t>
      </w:r>
    </w:p>
    <w:p w:rsidR="000E2B2F" w:rsidRPr="008E4EA2" w:rsidRDefault="00067D07"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2012.gada </w:t>
      </w:r>
      <w:r w:rsidR="00651882" w:rsidRPr="008E4EA2">
        <w:rPr>
          <w:rFonts w:eastAsia="EUAlbertina-Bold-Identity-H"/>
          <w:color w:val="000000" w:themeColor="text1"/>
          <w:szCs w:val="24"/>
          <w:lang w:eastAsia="lv-LV"/>
        </w:rPr>
        <w:t xml:space="preserve">trešajā </w:t>
      </w:r>
      <w:r w:rsidRPr="008E4EA2">
        <w:rPr>
          <w:rFonts w:eastAsia="EUAlbertina-Bold-Identity-H"/>
          <w:color w:val="000000" w:themeColor="text1"/>
          <w:szCs w:val="24"/>
          <w:lang w:eastAsia="lv-LV"/>
        </w:rPr>
        <w:t xml:space="preserve">ceturksnī darbības programmas „Uzņēmējdarbība un inovācijas” ietvaros konstatēto neatbilstību summa 3,8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xml:space="preserve">. latu apmērā veido 42,9% no kopējās neatbilstību summas periodā līdz 2012.gada 30.septembrim. Lielāko pārskata periodā konstatēto neatbilstību summas daļu – 2,6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latu jeb 67,8%</w:t>
      </w:r>
      <w:r w:rsidR="00651882" w:rsidRPr="008E4EA2">
        <w:rPr>
          <w:rFonts w:eastAsia="EUAlbertina-Bold-Identity-H"/>
          <w:color w:val="000000" w:themeColor="text1"/>
          <w:szCs w:val="24"/>
          <w:lang w:eastAsia="lv-LV"/>
        </w:rPr>
        <w:t>,</w:t>
      </w:r>
      <w:r w:rsidRPr="008E4EA2">
        <w:rPr>
          <w:rFonts w:eastAsia="EUAlbertina-Bold-Identity-H"/>
          <w:color w:val="000000" w:themeColor="text1"/>
          <w:szCs w:val="24"/>
          <w:lang w:eastAsia="lv-LV"/>
        </w:rPr>
        <w:t xml:space="preserve"> veido neatbilstības divos apjomīgos projektos aktivitātes „Augstas pievienotās vērtības investīcijas” ietvaros. Par abiem gadījumiem saņemta informācij</w:t>
      </w:r>
      <w:r w:rsidR="00651882" w:rsidRPr="008E4EA2">
        <w:rPr>
          <w:rFonts w:eastAsia="EUAlbertina-Bold-Identity-H"/>
          <w:color w:val="000000" w:themeColor="text1"/>
          <w:szCs w:val="24"/>
          <w:lang w:eastAsia="lv-LV"/>
        </w:rPr>
        <w:t>a</w:t>
      </w:r>
      <w:r w:rsidRPr="008E4EA2">
        <w:rPr>
          <w:rFonts w:eastAsia="EUAlbertina-Bold-Identity-H"/>
          <w:color w:val="000000" w:themeColor="text1"/>
          <w:szCs w:val="24"/>
          <w:lang w:eastAsia="lv-LV"/>
        </w:rPr>
        <w:t xml:space="preserve"> no Valsts policijas Galvenās Kriminālpolicijas pārvaldes Ekonomisko noziegumu apkarošanas pārvaldes par iespējamām finansējuma saņēmēju amatpersonu krāpnieciskām darbībām </w:t>
      </w:r>
      <w:r w:rsidR="00F83396" w:rsidRPr="008E4EA2">
        <w:rPr>
          <w:rFonts w:eastAsia="EUAlbertina-Bold-Identity-H"/>
          <w:color w:val="000000" w:themeColor="text1"/>
          <w:szCs w:val="24"/>
          <w:lang w:eastAsia="lv-LV"/>
        </w:rPr>
        <w:t>ES</w:t>
      </w:r>
      <w:r w:rsidRPr="008E4EA2">
        <w:rPr>
          <w:rFonts w:eastAsia="EUAlbertina-Bold-Identity-H"/>
          <w:color w:val="000000" w:themeColor="text1"/>
          <w:szCs w:val="24"/>
          <w:lang w:eastAsia="lv-LV"/>
        </w:rPr>
        <w:t xml:space="preserve"> fondu līdzekļu piesaistē. Pārskata periodā konstatētas neatbilstības arī vairākos aktivitātes „Atbalsts ieguldījumiem </w:t>
      </w:r>
      <w:proofErr w:type="spellStart"/>
      <w:r w:rsidRPr="008E4EA2">
        <w:rPr>
          <w:rFonts w:eastAsia="EUAlbertina-Bold-Identity-H"/>
          <w:color w:val="000000" w:themeColor="text1"/>
          <w:szCs w:val="24"/>
          <w:lang w:eastAsia="lv-LV"/>
        </w:rPr>
        <w:t>mikro</w:t>
      </w:r>
      <w:proofErr w:type="spellEnd"/>
      <w:r w:rsidRPr="008E4EA2">
        <w:rPr>
          <w:rFonts w:eastAsia="EUAlbertina-Bold-Identity-H"/>
          <w:color w:val="000000" w:themeColor="text1"/>
          <w:szCs w:val="24"/>
          <w:lang w:eastAsia="lv-LV"/>
        </w:rPr>
        <w:t xml:space="preserve">, maziem un vidējiem komersantiem īpaši atbalstāmajās teritorijās (ĪAT)” projektos, kopumā par 0,8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xml:space="preserve">. latu jeb par 19,7% no ceturksnī konstatēto neatbilstību apjoma. Galvenie neatbilstību rašanās iemesli šajos projektos ir saimnieciskās darbības neveikšana, noslēguma pārskatu par projekta īstenošanu neiesniegšana, projekta mērķu nesasniegšana, kā arī </w:t>
      </w:r>
      <w:r w:rsidR="00651882" w:rsidRPr="008E4EA2">
        <w:rPr>
          <w:rFonts w:eastAsia="EUAlbertina-Bold-Identity-H"/>
          <w:color w:val="000000" w:themeColor="text1"/>
          <w:szCs w:val="24"/>
          <w:lang w:eastAsia="lv-LV"/>
        </w:rPr>
        <w:t xml:space="preserve">par </w:t>
      </w:r>
      <w:r w:rsidRPr="008E4EA2">
        <w:rPr>
          <w:rFonts w:eastAsia="EUAlbertina-Bold-Identity-H"/>
          <w:color w:val="000000" w:themeColor="text1"/>
          <w:szCs w:val="24"/>
          <w:lang w:eastAsia="lv-LV"/>
        </w:rPr>
        <w:t xml:space="preserve">nepatiesas informācijas sniegšana. Vairākos gadījumos LIAA ir nosūtījusi finansējuma saņēmējam vēstuli par vienpusēju atkāpšanos no līguma izpildes, ņemot vērā iepriekš minētos pārkāpumus. Skaitliski visvairāk neatbilstību konstatēts </w:t>
      </w:r>
      <w:proofErr w:type="spellStart"/>
      <w:r w:rsidRPr="008E4EA2">
        <w:rPr>
          <w:rFonts w:eastAsia="EUAlbertina-Bold-Identity-H"/>
          <w:color w:val="000000" w:themeColor="text1"/>
          <w:szCs w:val="24"/>
          <w:lang w:eastAsia="lv-LV"/>
        </w:rPr>
        <w:t>apakšaktivitātes</w:t>
      </w:r>
      <w:proofErr w:type="spellEnd"/>
      <w:r w:rsidRPr="008E4EA2">
        <w:rPr>
          <w:rFonts w:eastAsia="EUAlbertina-Bold-Identity-H"/>
          <w:color w:val="000000" w:themeColor="text1"/>
          <w:szCs w:val="24"/>
          <w:lang w:eastAsia="lv-LV"/>
        </w:rPr>
        <w:t xml:space="preserve"> „Ārējo tirgu apgūšana - ārējais mārketings” projektos, taču lielākoties šajos projektos piemērota proporcionālā finanšu korekcija, un kopējais neatbilstoši veikto izdevumu apjoms ir 0,1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latu jeb 3,0% no pārskata periodā konstatēto neatbilstību summas.</w:t>
      </w:r>
    </w:p>
    <w:p w:rsidR="00F32602" w:rsidRPr="008E4EA2" w:rsidRDefault="00067D07"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Darbības programmas „Infrastruktūra un pakalpojumi” ietvaros pārskata periodā pārsvarā neatbilstības radušās aktivitāšu ieviešanas normatīvo aktu pārkāpumu dēļ, finansējuma saņēmēja saimnieciskās darbības neveikšanas </w:t>
      </w:r>
      <w:r w:rsidR="00651882" w:rsidRPr="008E4EA2">
        <w:rPr>
          <w:rFonts w:eastAsia="EUAlbertina-Bold-Identity-H"/>
          <w:color w:val="000000" w:themeColor="text1"/>
          <w:szCs w:val="24"/>
          <w:lang w:eastAsia="lv-LV"/>
        </w:rPr>
        <w:t xml:space="preserve">dēļ, kā arī tādēļ, ka </w:t>
      </w:r>
      <w:r w:rsidRPr="008E4EA2">
        <w:rPr>
          <w:rFonts w:eastAsia="EUAlbertina-Bold-Identity-H"/>
          <w:color w:val="000000" w:themeColor="text1"/>
          <w:szCs w:val="24"/>
          <w:lang w:eastAsia="lv-LV"/>
        </w:rPr>
        <w:t>veikto darbu apjomi neatbilst aktivitāšu īstenošanas nosacījumiem vai projekta saskaņotajai tāmei. Papildus finansējumu saņēmēji maksājumu pieprasījumos iekļāvuši izdevumus, kuri jau iepriekš ir tikuši apmaksāti</w:t>
      </w:r>
      <w:r w:rsidR="000F7C71" w:rsidRPr="008E4EA2">
        <w:rPr>
          <w:rFonts w:eastAsia="EUAlbertina-Bold-Identity-H"/>
          <w:color w:val="000000" w:themeColor="text1"/>
          <w:szCs w:val="24"/>
          <w:lang w:eastAsia="lv-LV"/>
        </w:rPr>
        <w:t xml:space="preserve"> tādējādi radot </w:t>
      </w:r>
      <w:proofErr w:type="spellStart"/>
      <w:r w:rsidR="000F7C71" w:rsidRPr="008E4EA2">
        <w:rPr>
          <w:rFonts w:eastAsia="EUAlbertina-Bold-Identity-H"/>
          <w:color w:val="000000" w:themeColor="text1"/>
          <w:szCs w:val="24"/>
          <w:lang w:eastAsia="lv-LV"/>
        </w:rPr>
        <w:t>dubultfinansējuma</w:t>
      </w:r>
      <w:proofErr w:type="spellEnd"/>
      <w:r w:rsidR="000F7C71" w:rsidRPr="008E4EA2">
        <w:rPr>
          <w:rFonts w:eastAsia="EUAlbertina-Bold-Identity-H"/>
          <w:color w:val="000000" w:themeColor="text1"/>
          <w:szCs w:val="24"/>
          <w:lang w:eastAsia="lv-LV"/>
        </w:rPr>
        <w:t xml:space="preserve"> risku</w:t>
      </w:r>
      <w:r w:rsidRPr="008E4EA2">
        <w:rPr>
          <w:rFonts w:eastAsia="EUAlbertina-Bold-Identity-H"/>
          <w:color w:val="000000" w:themeColor="text1"/>
          <w:szCs w:val="24"/>
          <w:lang w:eastAsia="lv-LV"/>
        </w:rPr>
        <w:t>.</w:t>
      </w:r>
      <w:r w:rsidR="002C55BF" w:rsidRPr="008E4EA2">
        <w:rPr>
          <w:rFonts w:eastAsia="EUAlbertina-Bold-Identity-H"/>
          <w:color w:val="000000" w:themeColor="text1"/>
          <w:szCs w:val="24"/>
          <w:lang w:eastAsia="lv-LV"/>
        </w:rPr>
        <w:t xml:space="preserve"> </w:t>
      </w:r>
    </w:p>
    <w:p w:rsidR="000E2B2F" w:rsidRPr="008E4EA2" w:rsidRDefault="000E2B2F" w:rsidP="003A0029">
      <w:pPr>
        <w:spacing w:before="120" w:after="120" w:line="276" w:lineRule="auto"/>
        <w:rPr>
          <w:color w:val="000000" w:themeColor="text1"/>
          <w:szCs w:val="24"/>
          <w:lang w:eastAsia="lv-LV"/>
        </w:rPr>
      </w:pPr>
      <w:r w:rsidRPr="008E4EA2">
        <w:rPr>
          <w:color w:val="000000" w:themeColor="text1"/>
          <w:szCs w:val="24"/>
          <w:lang w:eastAsia="lv-LV"/>
        </w:rPr>
        <w:t xml:space="preserve">Saskaņā ar MK 2012.gada </w:t>
      </w:r>
      <w:r w:rsidR="00321C19">
        <w:rPr>
          <w:color w:val="000000" w:themeColor="text1"/>
          <w:szCs w:val="24"/>
          <w:lang w:eastAsia="lv-LV"/>
        </w:rPr>
        <w:t xml:space="preserve">21.augusta sēdes </w:t>
      </w:r>
      <w:proofErr w:type="spellStart"/>
      <w:r w:rsidR="00321C19">
        <w:rPr>
          <w:color w:val="000000" w:themeColor="text1"/>
          <w:szCs w:val="24"/>
          <w:lang w:eastAsia="lv-LV"/>
        </w:rPr>
        <w:t>protokolēmumu</w:t>
      </w:r>
      <w:proofErr w:type="spellEnd"/>
      <w:r w:rsidR="00321C19">
        <w:rPr>
          <w:color w:val="000000" w:themeColor="text1"/>
          <w:szCs w:val="24"/>
          <w:lang w:eastAsia="lv-LV"/>
        </w:rPr>
        <w:t xml:space="preserve"> N</w:t>
      </w:r>
      <w:r w:rsidRPr="008E4EA2">
        <w:rPr>
          <w:color w:val="000000" w:themeColor="text1"/>
          <w:szCs w:val="24"/>
          <w:lang w:eastAsia="lv-LV"/>
        </w:rPr>
        <w:t xml:space="preserve">r.48 28§ VARAM tika uzdots sniegt informāciju par konkrētu </w:t>
      </w:r>
      <w:r w:rsidR="000D0964" w:rsidRPr="008E4EA2">
        <w:rPr>
          <w:color w:val="000000" w:themeColor="text1"/>
          <w:szCs w:val="24"/>
          <w:lang w:eastAsia="lv-LV"/>
        </w:rPr>
        <w:t xml:space="preserve">pašvaldību </w:t>
      </w:r>
      <w:r w:rsidRPr="008E4EA2">
        <w:rPr>
          <w:color w:val="000000" w:themeColor="text1"/>
          <w:szCs w:val="24"/>
          <w:lang w:eastAsia="lv-LV"/>
        </w:rPr>
        <w:t xml:space="preserve">projektu neatbilstībām. 2012.gada 23.oktobrī saņemts skaidrojums, ka projektā „Ūdenssaimniecības attīstība Aglonas pagasta Aglonas ciemā </w:t>
      </w:r>
      <w:r w:rsidR="00321C19">
        <w:rPr>
          <w:color w:val="000000" w:themeColor="text1"/>
          <w:szCs w:val="24"/>
          <w:lang w:eastAsia="lv-LV"/>
        </w:rPr>
        <w:t>otrā</w:t>
      </w:r>
      <w:r w:rsidRPr="008E4EA2">
        <w:rPr>
          <w:color w:val="000000" w:themeColor="text1"/>
          <w:szCs w:val="24"/>
          <w:lang w:eastAsia="lv-LV"/>
        </w:rPr>
        <w:t xml:space="preserve"> kārta” neatbilstība radusies, jo projekta ieviešanas laikā izsludinātā iepirkuma procedūras rezultāti ievērojami pārsniedza projektam pieejamo finansējumu, bet projektā „Ūdenssaimniecības attīstība Īves pagasta ciemā Tiņģerē” neatbilstība radusies, jo pēc projekta finansējuma saņēmēja ierosinājuma projekts tika pārtraukts (nespēja iekļauties termiņos). Savukārt projektā</w:t>
      </w:r>
      <w:r w:rsidRPr="008E4EA2">
        <w:rPr>
          <w:color w:val="000000" w:themeColor="text1"/>
          <w:szCs w:val="24"/>
          <w:shd w:val="clear" w:color="auto" w:fill="FFFFFF"/>
        </w:rPr>
        <w:t xml:space="preserve"> „Pirmsskolas izglītības iestādes būvniecība Tukumā” </w:t>
      </w:r>
      <w:r w:rsidRPr="008E4EA2">
        <w:rPr>
          <w:color w:val="000000" w:themeColor="text1"/>
          <w:szCs w:val="24"/>
        </w:rPr>
        <w:t xml:space="preserve">konstatētā </w:t>
      </w:r>
      <w:r w:rsidRPr="008E4EA2">
        <w:rPr>
          <w:color w:val="000000" w:themeColor="text1"/>
          <w:szCs w:val="24"/>
          <w:shd w:val="clear" w:color="auto" w:fill="FFFFFF"/>
        </w:rPr>
        <w:t>neatbilstība radusies, jo tika pārtraukta projekta ieviešana</w:t>
      </w:r>
      <w:r w:rsidRPr="008E4EA2">
        <w:rPr>
          <w:color w:val="000000" w:themeColor="text1"/>
          <w:szCs w:val="24"/>
        </w:rPr>
        <w:t>. Projektā paredzēto būvdarbu izpildi nebija iespējams nodrošināt maksimālajā projekta īstenošanas termiņā, jo projekta īstenošanas laikā tipveida tehniskā projekta būtisko nepilnību dēļ tika izbeigts būvdarbu līgums un tika izsludināts atkārtots iepirkums.</w:t>
      </w:r>
      <w:r w:rsidR="00E14F84" w:rsidRPr="008E4EA2">
        <w:rPr>
          <w:color w:val="000000" w:themeColor="text1"/>
          <w:szCs w:val="24"/>
        </w:rPr>
        <w:t xml:space="preserve"> Kopumā secinām, ka </w:t>
      </w:r>
      <w:r w:rsidR="001926D5">
        <w:rPr>
          <w:color w:val="000000" w:themeColor="text1"/>
          <w:szCs w:val="24"/>
        </w:rPr>
        <w:t>VARAM kā atbildīgā ministrija par pašvaldību darbību</w:t>
      </w:r>
      <w:r w:rsidR="001926D5" w:rsidRPr="008E4EA2">
        <w:rPr>
          <w:color w:val="000000" w:themeColor="text1"/>
          <w:szCs w:val="24"/>
        </w:rPr>
        <w:t xml:space="preserve"> </w:t>
      </w:r>
      <w:r w:rsidR="00E14F84" w:rsidRPr="008E4EA2">
        <w:rPr>
          <w:color w:val="000000" w:themeColor="text1"/>
          <w:szCs w:val="24"/>
        </w:rPr>
        <w:t>nav snie</w:t>
      </w:r>
      <w:r w:rsidR="001926D5">
        <w:rPr>
          <w:color w:val="000000" w:themeColor="text1"/>
          <w:szCs w:val="24"/>
        </w:rPr>
        <w:t>gusi</w:t>
      </w:r>
      <w:r w:rsidR="00E14F84" w:rsidRPr="008E4EA2">
        <w:rPr>
          <w:color w:val="000000" w:themeColor="text1"/>
          <w:szCs w:val="24"/>
        </w:rPr>
        <w:t xml:space="preserve"> sistemātiskus ieteikumus turpmāku neatbildību risku mazināšanai pašvaldību īstenotajos projektos</w:t>
      </w:r>
      <w:r w:rsidR="001926D5">
        <w:rPr>
          <w:color w:val="000000" w:themeColor="text1"/>
          <w:szCs w:val="24"/>
        </w:rPr>
        <w:t>.</w:t>
      </w:r>
      <w:r w:rsidR="00E14F84" w:rsidRPr="008E4EA2">
        <w:rPr>
          <w:color w:val="000000" w:themeColor="text1"/>
          <w:szCs w:val="24"/>
        </w:rPr>
        <w:t xml:space="preserve">. Norādām, ka no VARAM, kā no </w:t>
      </w:r>
      <w:r w:rsidR="0065755F">
        <w:rPr>
          <w:color w:val="000000" w:themeColor="text1"/>
          <w:szCs w:val="24"/>
        </w:rPr>
        <w:t>AI</w:t>
      </w:r>
      <w:r w:rsidR="00E14F84" w:rsidRPr="008E4EA2">
        <w:rPr>
          <w:color w:val="000000" w:themeColor="text1"/>
          <w:szCs w:val="24"/>
        </w:rPr>
        <w:t xml:space="preserve"> un pamatā, kā </w:t>
      </w:r>
      <w:r w:rsidR="001926D5">
        <w:rPr>
          <w:color w:val="000000" w:themeColor="text1"/>
          <w:szCs w:val="24"/>
        </w:rPr>
        <w:lastRenderedPageBreak/>
        <w:t xml:space="preserve">atbildīgās ministrijas </w:t>
      </w:r>
      <w:r w:rsidR="00E14F84" w:rsidRPr="008E4EA2">
        <w:rPr>
          <w:color w:val="000000" w:themeColor="text1"/>
          <w:szCs w:val="24"/>
        </w:rPr>
        <w:t>par pašvaldī</w:t>
      </w:r>
      <w:r w:rsidR="001926D5">
        <w:rPr>
          <w:color w:val="000000" w:themeColor="text1"/>
          <w:szCs w:val="24"/>
        </w:rPr>
        <w:t>bu darbību</w:t>
      </w:r>
      <w:r w:rsidR="00E14F84" w:rsidRPr="008E4EA2">
        <w:rPr>
          <w:color w:val="000000" w:themeColor="text1"/>
          <w:szCs w:val="24"/>
        </w:rPr>
        <w:t xml:space="preserve">, </w:t>
      </w:r>
      <w:r w:rsidR="0065755F">
        <w:rPr>
          <w:color w:val="000000" w:themeColor="text1"/>
          <w:szCs w:val="24"/>
        </w:rPr>
        <w:t>VI</w:t>
      </w:r>
      <w:r w:rsidR="00E14F84" w:rsidRPr="008E4EA2">
        <w:rPr>
          <w:color w:val="000000" w:themeColor="text1"/>
          <w:szCs w:val="24"/>
        </w:rPr>
        <w:t xml:space="preserve"> vēlas saņemt sistēmiskus risinājumus par risku mazināšanas pasākumiem</w:t>
      </w:r>
      <w:r w:rsidR="005E1672">
        <w:rPr>
          <w:color w:val="000000" w:themeColor="text1"/>
          <w:szCs w:val="24"/>
        </w:rPr>
        <w:t xml:space="preserve"> </w:t>
      </w:r>
      <w:r w:rsidR="00E14F84" w:rsidRPr="008E4EA2">
        <w:rPr>
          <w:color w:val="000000" w:themeColor="text1"/>
          <w:szCs w:val="24"/>
        </w:rPr>
        <w:t>pašvaldību īstenotajos projektos.</w:t>
      </w:r>
    </w:p>
    <w:p w:rsidR="005105B2" w:rsidRPr="008E4EA2" w:rsidRDefault="001F2F61" w:rsidP="003A0029">
      <w:pPr>
        <w:pStyle w:val="2lmenis"/>
        <w:numPr>
          <w:ilvl w:val="1"/>
          <w:numId w:val="2"/>
        </w:numPr>
        <w:spacing w:before="120" w:after="120" w:line="276" w:lineRule="auto"/>
        <w:ind w:left="1276" w:hanging="425"/>
        <w:jc w:val="both"/>
        <w:rPr>
          <w:color w:val="000000" w:themeColor="text1"/>
          <w:sz w:val="24"/>
          <w:szCs w:val="24"/>
          <w:lang w:val="lv-LV"/>
        </w:rPr>
      </w:pPr>
      <w:bookmarkStart w:id="77" w:name="_Toc324948890"/>
      <w:bookmarkStart w:id="78" w:name="_Toc340241712"/>
      <w:bookmarkEnd w:id="76"/>
      <w:r w:rsidRPr="008E4EA2">
        <w:rPr>
          <w:color w:val="000000" w:themeColor="text1"/>
          <w:sz w:val="24"/>
          <w:szCs w:val="24"/>
          <w:lang w:val="lv-LV"/>
        </w:rPr>
        <w:t>Neatbilstoši veikti izdevumi un zaudējumi valsts budžetam 2007. – 2013. gada plānošanas periodā ES fondos</w:t>
      </w:r>
      <w:bookmarkEnd w:id="77"/>
      <w:bookmarkEnd w:id="78"/>
    </w:p>
    <w:p w:rsidR="001F2F61" w:rsidRPr="008E4EA2" w:rsidRDefault="00067D07" w:rsidP="003A0029">
      <w:pPr>
        <w:pStyle w:val="2lmenis"/>
        <w:numPr>
          <w:ilvl w:val="2"/>
          <w:numId w:val="2"/>
        </w:numPr>
        <w:spacing w:before="120" w:after="120" w:line="276" w:lineRule="auto"/>
        <w:jc w:val="both"/>
        <w:rPr>
          <w:color w:val="000000" w:themeColor="text1"/>
          <w:sz w:val="24"/>
          <w:szCs w:val="24"/>
          <w:lang w:val="lv-LV"/>
        </w:rPr>
      </w:pPr>
      <w:bookmarkStart w:id="79" w:name="_Toc340241713"/>
      <w:r w:rsidRPr="008E4EA2">
        <w:rPr>
          <w:color w:val="000000" w:themeColor="text1"/>
          <w:sz w:val="24"/>
          <w:szCs w:val="24"/>
          <w:lang w:val="lv-LV"/>
        </w:rPr>
        <w:t>Neatbilstoši veikti izdevumi un zaudējumi valsts budžetam līdz 2012.gada 30.septembrim</w:t>
      </w:r>
      <w:bookmarkEnd w:id="79"/>
      <w:r w:rsidR="001F2F61" w:rsidRPr="008E4EA2">
        <w:rPr>
          <w:color w:val="000000" w:themeColor="text1"/>
          <w:sz w:val="24"/>
          <w:szCs w:val="24"/>
          <w:lang w:val="lv-LV"/>
        </w:rPr>
        <w:t xml:space="preserve"> </w:t>
      </w:r>
    </w:p>
    <w:p w:rsidR="00F44259" w:rsidRPr="008E4EA2" w:rsidRDefault="000D096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Zaudējumi valsts budžetam rodas jebkurā situācijā, kad ir veikti budžeta izdevumi, bet nevar tikt un netiek saņemta plānotā atmaksa no EK. </w:t>
      </w:r>
      <w:r w:rsidR="00067D07" w:rsidRPr="008E4EA2">
        <w:rPr>
          <w:rFonts w:eastAsia="EUAlbertina-Bold-Identity-H"/>
          <w:color w:val="000000" w:themeColor="text1"/>
          <w:szCs w:val="24"/>
          <w:lang w:eastAsia="lv-LV"/>
        </w:rPr>
        <w:t xml:space="preserve">Neatbilstoši veikto izdevumu apjoms </w:t>
      </w:r>
      <w:r w:rsidR="000F7C71" w:rsidRPr="008E4EA2">
        <w:rPr>
          <w:rFonts w:eastAsia="EUAlbertina-Bold-Identity-H"/>
          <w:color w:val="000000" w:themeColor="text1"/>
          <w:szCs w:val="24"/>
          <w:lang w:eastAsia="lv-LV"/>
        </w:rPr>
        <w:t xml:space="preserve">jeb izdevumi, kuri ir veikti finansējuma saņēmējam </w:t>
      </w:r>
      <w:r w:rsidR="00067D07" w:rsidRPr="008E4EA2">
        <w:rPr>
          <w:rFonts w:eastAsia="EUAlbertina-Bold-Identity-H"/>
          <w:color w:val="000000" w:themeColor="text1"/>
          <w:szCs w:val="24"/>
          <w:lang w:eastAsia="lv-LV"/>
        </w:rPr>
        <w:t xml:space="preserve">līdz 2012.gada 30.septembrim ir 5,0 </w:t>
      </w:r>
      <w:proofErr w:type="spellStart"/>
      <w:r w:rsidR="00067D07" w:rsidRPr="008E4EA2">
        <w:rPr>
          <w:rFonts w:eastAsia="EUAlbertina-Bold-Identity-H"/>
          <w:color w:val="000000" w:themeColor="text1"/>
          <w:szCs w:val="24"/>
          <w:lang w:eastAsia="lv-LV"/>
        </w:rPr>
        <w:t>milj</w:t>
      </w:r>
      <w:proofErr w:type="spellEnd"/>
      <w:r w:rsidR="00067D07" w:rsidRPr="008E4EA2">
        <w:rPr>
          <w:rFonts w:eastAsia="EUAlbertina-Bold-Identity-H"/>
          <w:color w:val="000000" w:themeColor="text1"/>
          <w:szCs w:val="24"/>
          <w:lang w:eastAsia="lv-LV"/>
        </w:rPr>
        <w:t xml:space="preserve">. latu jeb 20,0% no kopējā konstatētā neatbilstību apjoma. No tiem uz pārskata perioda beigām atgūti 86,1% jeb 4,3 </w:t>
      </w:r>
      <w:proofErr w:type="spellStart"/>
      <w:r w:rsidR="00067D07" w:rsidRPr="008E4EA2">
        <w:rPr>
          <w:rFonts w:eastAsia="EUAlbertina-Bold-Identity-H"/>
          <w:color w:val="000000" w:themeColor="text1"/>
          <w:szCs w:val="24"/>
          <w:lang w:eastAsia="lv-LV"/>
        </w:rPr>
        <w:t>milj</w:t>
      </w:r>
      <w:proofErr w:type="spellEnd"/>
      <w:r w:rsidR="00067D07" w:rsidRPr="008E4EA2">
        <w:rPr>
          <w:rFonts w:eastAsia="EUAlbertina-Bold-Identity-H"/>
          <w:color w:val="000000" w:themeColor="text1"/>
          <w:szCs w:val="24"/>
          <w:lang w:eastAsia="lv-LV"/>
        </w:rPr>
        <w:t xml:space="preserve">. latu. Tāpat, kā līdz šim dati liecina par to, ka lielākā daļa neatbilstību tiek atklātas pirms maksājumu veikšanas finansējuma saņēmējam un summas tiek ieturētas no kārtējā vai nākamā maksājuma, šādā veidā samazinot izdevumus, kuri ir veikti neatbilstoši. Lielākais neatbilstoši veikto izdevumu apjoms konstatēts izglītības iestāžu īstenotajos projektos un tas ir 1,8 </w:t>
      </w:r>
      <w:proofErr w:type="spellStart"/>
      <w:r w:rsidR="00067D07" w:rsidRPr="008E4EA2">
        <w:rPr>
          <w:rFonts w:eastAsia="EUAlbertina-Bold-Identity-H"/>
          <w:color w:val="000000" w:themeColor="text1"/>
          <w:szCs w:val="24"/>
          <w:lang w:eastAsia="lv-LV"/>
        </w:rPr>
        <w:t>milj</w:t>
      </w:r>
      <w:proofErr w:type="spellEnd"/>
      <w:r w:rsidR="00067D07" w:rsidRPr="008E4EA2">
        <w:rPr>
          <w:rFonts w:eastAsia="EUAlbertina-Bold-Identity-H"/>
          <w:color w:val="000000" w:themeColor="text1"/>
          <w:szCs w:val="24"/>
          <w:lang w:eastAsia="lv-LV"/>
        </w:rPr>
        <w:t xml:space="preserve">. latu jeb 36,1% no kopējā neatbilstoši veikto izdevumu apjoma. Izglītības iestāžu īstenotajos projektos konstatētais neatbilstību apjoms pamatā skaidrojams </w:t>
      </w:r>
      <w:r w:rsidR="00651882" w:rsidRPr="008E4EA2">
        <w:rPr>
          <w:rFonts w:eastAsia="EUAlbertina-Bold-Identity-H"/>
          <w:color w:val="000000" w:themeColor="text1"/>
          <w:szCs w:val="24"/>
          <w:lang w:eastAsia="lv-LV"/>
        </w:rPr>
        <w:t>ar MK</w:t>
      </w:r>
      <w:r w:rsidR="00067D07" w:rsidRPr="008E4EA2">
        <w:rPr>
          <w:rFonts w:eastAsia="EUAlbertina-Bold-Identity-H"/>
          <w:color w:val="000000" w:themeColor="text1"/>
          <w:szCs w:val="24"/>
          <w:lang w:eastAsia="lv-LV"/>
        </w:rPr>
        <w:t xml:space="preserve"> 2012.gada 13.marta </w:t>
      </w:r>
      <w:proofErr w:type="spellStart"/>
      <w:r w:rsidR="00067D07" w:rsidRPr="008E4EA2">
        <w:rPr>
          <w:rFonts w:eastAsia="EUAlbertina-Bold-Identity-H"/>
          <w:color w:val="000000" w:themeColor="text1"/>
          <w:szCs w:val="24"/>
          <w:lang w:eastAsia="lv-LV"/>
        </w:rPr>
        <w:t>protokollēmuma</w:t>
      </w:r>
      <w:proofErr w:type="spellEnd"/>
      <w:r w:rsidR="00067D07" w:rsidRPr="008E4EA2">
        <w:rPr>
          <w:rFonts w:eastAsia="EUAlbertina-Bold-Identity-H"/>
          <w:color w:val="000000" w:themeColor="text1"/>
          <w:szCs w:val="24"/>
          <w:lang w:eastAsia="lv-LV"/>
        </w:rPr>
        <w:t xml:space="preserve"> (protokols Nr.14, 32.§) </w:t>
      </w:r>
      <w:r w:rsidR="00651882" w:rsidRPr="008E4EA2">
        <w:rPr>
          <w:rFonts w:eastAsia="EUAlbertina-Bold-Identity-H"/>
          <w:color w:val="000000" w:themeColor="text1"/>
          <w:szCs w:val="24"/>
          <w:lang w:eastAsia="lv-LV"/>
        </w:rPr>
        <w:t xml:space="preserve">ceturto un piekto </w:t>
      </w:r>
      <w:r w:rsidR="00067D07" w:rsidRPr="008E4EA2">
        <w:rPr>
          <w:rFonts w:eastAsia="EUAlbertina-Bold-Identity-H"/>
          <w:color w:val="000000" w:themeColor="text1"/>
          <w:szCs w:val="24"/>
          <w:lang w:eastAsia="lv-LV"/>
        </w:rPr>
        <w:t>punktu.</w:t>
      </w:r>
    </w:p>
    <w:p w:rsidR="00164AA7" w:rsidRPr="008E4EA2" w:rsidRDefault="001F2F61" w:rsidP="003A0029">
      <w:pPr>
        <w:spacing w:before="120" w:after="120" w:line="276" w:lineRule="auto"/>
        <w:rPr>
          <w:rFonts w:eastAsia="EUAlbertina-Bold-Identity-H"/>
          <w:i/>
          <w:color w:val="000000" w:themeColor="text1"/>
          <w:szCs w:val="24"/>
          <w:lang w:eastAsia="lv-LV"/>
        </w:rPr>
      </w:pPr>
      <w:r w:rsidRPr="008E4EA2">
        <w:rPr>
          <w:rFonts w:eastAsia="EUAlbertina-Bold-Identity-H"/>
          <w:color w:val="000000" w:themeColor="text1"/>
          <w:szCs w:val="24"/>
          <w:lang w:eastAsia="lv-LV"/>
        </w:rPr>
        <w:t>Grafiks Nr.</w:t>
      </w:r>
      <w:r w:rsidR="0078381C" w:rsidRPr="008E4EA2">
        <w:rPr>
          <w:rFonts w:eastAsia="EUAlbertina-Bold-Identity-H"/>
          <w:color w:val="000000" w:themeColor="text1"/>
          <w:szCs w:val="24"/>
          <w:lang w:eastAsia="lv-LV"/>
        </w:rPr>
        <w:t>27</w:t>
      </w:r>
      <w:r w:rsidRPr="008E4EA2">
        <w:rPr>
          <w:rFonts w:eastAsia="EUAlbertina-Bold-Identity-H"/>
          <w:color w:val="000000" w:themeColor="text1"/>
          <w:szCs w:val="24"/>
          <w:lang w:eastAsia="lv-LV"/>
        </w:rPr>
        <w:t xml:space="preserve"> </w:t>
      </w:r>
      <w:r w:rsidR="00067D07" w:rsidRPr="008E4EA2">
        <w:rPr>
          <w:rFonts w:eastAsia="EUAlbertina-Bold-Identity-H"/>
          <w:i/>
          <w:color w:val="000000" w:themeColor="text1"/>
          <w:szCs w:val="24"/>
          <w:lang w:eastAsia="lv-LV"/>
        </w:rPr>
        <w:t xml:space="preserve">„Neatbilstoši veikti izdevumi sadalījumā pa finansējuma saņēmēju veidiem līdz </w:t>
      </w:r>
      <w:r w:rsidR="00067D07" w:rsidRPr="008E4EA2">
        <w:rPr>
          <w:i/>
          <w:color w:val="000000" w:themeColor="text1"/>
          <w:szCs w:val="24"/>
        </w:rPr>
        <w:t>2012.gada 30.septembrim</w:t>
      </w:r>
      <w:r w:rsidR="00067D07" w:rsidRPr="008E4EA2">
        <w:rPr>
          <w:rFonts w:eastAsia="EUAlbertina-Bold-Identity-H"/>
          <w:i/>
          <w:color w:val="000000" w:themeColor="text1"/>
          <w:szCs w:val="24"/>
          <w:lang w:eastAsia="lv-LV"/>
        </w:rPr>
        <w:t xml:space="preserve">; </w:t>
      </w:r>
      <w:proofErr w:type="spellStart"/>
      <w:r w:rsidR="00067D07" w:rsidRPr="008E4EA2">
        <w:rPr>
          <w:rFonts w:eastAsia="EUAlbertina-Bold-Identity-H"/>
          <w:i/>
          <w:color w:val="000000" w:themeColor="text1"/>
          <w:szCs w:val="24"/>
          <w:lang w:eastAsia="lv-LV"/>
        </w:rPr>
        <w:t>milj</w:t>
      </w:r>
      <w:proofErr w:type="spellEnd"/>
      <w:r w:rsidR="00067D07" w:rsidRPr="008E4EA2">
        <w:rPr>
          <w:rFonts w:eastAsia="EUAlbertina-Bold-Identity-H"/>
          <w:i/>
          <w:color w:val="000000" w:themeColor="text1"/>
          <w:szCs w:val="24"/>
          <w:lang w:eastAsia="lv-LV"/>
        </w:rPr>
        <w:t>. latu.”</w:t>
      </w:r>
    </w:p>
    <w:p w:rsidR="00F32602" w:rsidRPr="008E4EA2" w:rsidRDefault="00CE4257" w:rsidP="003A0029">
      <w:pPr>
        <w:spacing w:before="120" w:after="120" w:line="276" w:lineRule="auto"/>
        <w:rPr>
          <w:rFonts w:eastAsia="EUAlbertina-Bold-Identity-H"/>
          <w:color w:val="000000" w:themeColor="text1"/>
          <w:szCs w:val="24"/>
        </w:rPr>
      </w:pPr>
      <w:r w:rsidRPr="008E4EA2">
        <w:rPr>
          <w:rFonts w:eastAsia="EUAlbertina-Bold-Identity-H"/>
          <w:noProof/>
          <w:color w:val="000000" w:themeColor="text1"/>
          <w:szCs w:val="24"/>
          <w:lang w:eastAsia="lv-LV"/>
        </w:rPr>
        <w:drawing>
          <wp:inline distT="0" distB="0" distL="0" distR="0" wp14:anchorId="35FE60E4" wp14:editId="7AD7C857">
            <wp:extent cx="5487035" cy="274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3">
                      <a:extLst>
                        <a:ext uri="{28A0092B-C50C-407E-A947-70E740481C1C}">
                          <a14:useLocalDpi xmlns:a14="http://schemas.microsoft.com/office/drawing/2010/main"/>
                        </a:ext>
                      </a:extLst>
                    </a:blip>
                    <a:srcRect/>
                    <a:stretch>
                      <a:fillRect/>
                    </a:stretch>
                  </pic:blipFill>
                  <pic:spPr bwMode="auto">
                    <a:xfrm>
                      <a:off x="0" y="0"/>
                      <a:ext cx="5487035" cy="2743200"/>
                    </a:xfrm>
                    <a:prstGeom prst="rect">
                      <a:avLst/>
                    </a:prstGeom>
                    <a:noFill/>
                  </pic:spPr>
                </pic:pic>
              </a:graphicData>
            </a:graphic>
          </wp:inline>
        </w:drawing>
      </w:r>
    </w:p>
    <w:p w:rsidR="001F2F61" w:rsidRPr="008E4EA2" w:rsidRDefault="000F7C71"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Zaudējumi valsts budžetam </w:t>
      </w:r>
      <w:r w:rsidR="00067D07" w:rsidRPr="008E4EA2">
        <w:rPr>
          <w:rFonts w:eastAsia="EUAlbertina-Bold-Identity-H"/>
          <w:color w:val="000000" w:themeColor="text1"/>
          <w:szCs w:val="24"/>
          <w:lang w:eastAsia="lv-LV"/>
        </w:rPr>
        <w:t xml:space="preserve">līdz 2012.gada 30.septembrim tie veido 14,7 </w:t>
      </w:r>
      <w:proofErr w:type="spellStart"/>
      <w:r w:rsidR="00067D07" w:rsidRPr="008E4EA2">
        <w:rPr>
          <w:rFonts w:eastAsia="EUAlbertina-Bold-Identity-H"/>
          <w:color w:val="000000" w:themeColor="text1"/>
          <w:szCs w:val="24"/>
          <w:lang w:eastAsia="lv-LV"/>
        </w:rPr>
        <w:t>milj</w:t>
      </w:r>
      <w:proofErr w:type="spellEnd"/>
      <w:r w:rsidR="00651882" w:rsidRPr="008E4EA2">
        <w:rPr>
          <w:rFonts w:eastAsia="EUAlbertina-Bold-Identity-H"/>
          <w:color w:val="000000" w:themeColor="text1"/>
          <w:szCs w:val="24"/>
          <w:lang w:eastAsia="lv-LV"/>
        </w:rPr>
        <w:t>. latu jeb 58,3% (pieaudzis par 37,3</w:t>
      </w:r>
      <w:r w:rsidR="00067D07" w:rsidRPr="008E4EA2">
        <w:rPr>
          <w:rFonts w:eastAsia="EUAlbertina-Bold-Identity-H"/>
          <w:color w:val="000000" w:themeColor="text1"/>
          <w:szCs w:val="24"/>
          <w:lang w:eastAsia="lv-LV"/>
        </w:rPr>
        <w:t xml:space="preserve">% salīdzinājumā ar datiem līdz 2012.gada 3.jūniju) no kopējā neatbilstību un neatbilstoši veikto izdevumu apjoma (25,3 </w:t>
      </w:r>
      <w:proofErr w:type="spellStart"/>
      <w:r w:rsidR="00067D07" w:rsidRPr="008E4EA2">
        <w:rPr>
          <w:rFonts w:eastAsia="EUAlbertina-Bold-Identity-H"/>
          <w:color w:val="000000" w:themeColor="text1"/>
          <w:szCs w:val="24"/>
          <w:lang w:eastAsia="lv-LV"/>
        </w:rPr>
        <w:t>milj</w:t>
      </w:r>
      <w:proofErr w:type="spellEnd"/>
      <w:r w:rsidR="00067D07" w:rsidRPr="008E4EA2">
        <w:rPr>
          <w:rFonts w:eastAsia="EUAlbertina-Bold-Identity-H"/>
          <w:color w:val="000000" w:themeColor="text1"/>
          <w:szCs w:val="24"/>
          <w:lang w:eastAsia="lv-LV"/>
        </w:rPr>
        <w:t xml:space="preserve">. latu). </w:t>
      </w:r>
      <w:r w:rsidRPr="008E4EA2">
        <w:rPr>
          <w:rFonts w:eastAsia="EUAlbertina-Bold-Identity-H"/>
          <w:color w:val="000000" w:themeColor="text1"/>
          <w:szCs w:val="24"/>
          <w:lang w:eastAsia="lv-LV"/>
        </w:rPr>
        <w:t xml:space="preserve">Skaidrojam, ka ar zaudējumiem valsts budžetam jāsaprot neatbilstoši veikti izdevumi un neatbilstības, kuras konstatētas tiešo vai pastarpināto valsts pārvaldes iestāžu, atvasināto publisko personu vai citu valsts iestāžu īstenotajos projektos, tai skaitā pašvaldību, un izdevumi tiek atgūti, tos ieturot no kārtēja/nākamā maksājuma, norakstot, atgūstot un ziņojot MK. Papildus zaudējumus valsts budžetam rada neatbilstoši veikti izdevumi, kuri konstatēti komersantu </w:t>
      </w:r>
      <w:r w:rsidRPr="008E4EA2">
        <w:rPr>
          <w:rFonts w:eastAsia="EUAlbertina-Bold-Identity-H"/>
          <w:color w:val="000000" w:themeColor="text1"/>
          <w:szCs w:val="24"/>
          <w:lang w:eastAsia="lv-LV"/>
        </w:rPr>
        <w:lastRenderedPageBreak/>
        <w:t xml:space="preserve">un </w:t>
      </w:r>
      <w:r w:rsidR="00832AC2">
        <w:rPr>
          <w:rFonts w:eastAsia="EUAlbertina-Bold-Identity-H"/>
          <w:color w:val="000000" w:themeColor="text1"/>
          <w:szCs w:val="24"/>
          <w:lang w:eastAsia="lv-LV"/>
        </w:rPr>
        <w:t>NVO</w:t>
      </w:r>
      <w:r w:rsidRPr="008E4EA2">
        <w:rPr>
          <w:rFonts w:eastAsia="EUAlbertina-Bold-Identity-H"/>
          <w:color w:val="000000" w:themeColor="text1"/>
          <w:szCs w:val="24"/>
          <w:lang w:eastAsia="lv-LV"/>
        </w:rPr>
        <w:t xml:space="preserve"> īstenotajos projektos, ja tos nav iespējams atgūt, </w:t>
      </w:r>
      <w:r w:rsidR="00067D07" w:rsidRPr="008E4EA2">
        <w:rPr>
          <w:rFonts w:eastAsia="EUAlbertina-Bold-Identity-H"/>
          <w:color w:val="000000" w:themeColor="text1"/>
          <w:szCs w:val="24"/>
          <w:lang w:eastAsia="lv-LV"/>
        </w:rPr>
        <w:t xml:space="preserve">No tiem atgūti 10,9 </w:t>
      </w:r>
      <w:proofErr w:type="spellStart"/>
      <w:r w:rsidR="00067D07" w:rsidRPr="008E4EA2">
        <w:rPr>
          <w:rFonts w:eastAsia="EUAlbertina-Bold-Identity-H"/>
          <w:color w:val="000000" w:themeColor="text1"/>
          <w:szCs w:val="24"/>
          <w:lang w:eastAsia="lv-LV"/>
        </w:rPr>
        <w:t>milj</w:t>
      </w:r>
      <w:proofErr w:type="spellEnd"/>
      <w:r w:rsidR="00067D07" w:rsidRPr="008E4EA2">
        <w:rPr>
          <w:rFonts w:eastAsia="EUAlbertina-Bold-Identity-H"/>
          <w:color w:val="000000" w:themeColor="text1"/>
          <w:szCs w:val="24"/>
          <w:lang w:eastAsia="lv-LV"/>
        </w:rPr>
        <w:t xml:space="preserve">. latu jeb 74,1%. Detalizēta informācija par finansējumu saņēmēju tipiem, kuri rada zaudējumu valsts budžetam apkopota </w:t>
      </w:r>
      <w:r w:rsidR="00067D07" w:rsidRPr="008E4EA2">
        <w:rPr>
          <w:rFonts w:eastAsia="EUAlbertina-Bold-Identity-H"/>
          <w:color w:val="000000" w:themeColor="text1"/>
          <w:szCs w:val="24"/>
          <w:u w:val="single"/>
          <w:lang w:eastAsia="lv-LV"/>
        </w:rPr>
        <w:t>grafikā Nr.</w:t>
      </w:r>
      <w:r w:rsidR="00FE575F" w:rsidRPr="008E4EA2">
        <w:rPr>
          <w:rFonts w:eastAsia="EUAlbertina-Bold-Identity-H"/>
          <w:color w:val="000000" w:themeColor="text1"/>
          <w:szCs w:val="24"/>
          <w:u w:val="single"/>
          <w:lang w:eastAsia="lv-LV"/>
        </w:rPr>
        <w:t>2</w:t>
      </w:r>
      <w:r w:rsidR="001F2246" w:rsidRPr="008E4EA2">
        <w:rPr>
          <w:rFonts w:eastAsia="EUAlbertina-Bold-Identity-H"/>
          <w:color w:val="000000" w:themeColor="text1"/>
          <w:szCs w:val="24"/>
          <w:u w:val="single"/>
          <w:lang w:eastAsia="lv-LV"/>
        </w:rPr>
        <w:t>8</w:t>
      </w:r>
      <w:r w:rsidR="00067D07" w:rsidRPr="008E4EA2">
        <w:rPr>
          <w:rFonts w:eastAsia="EUAlbertina-Bold-Identity-H"/>
          <w:color w:val="000000" w:themeColor="text1"/>
          <w:szCs w:val="24"/>
          <w:lang w:eastAsia="lv-LV"/>
        </w:rPr>
        <w:t>.</w:t>
      </w:r>
    </w:p>
    <w:p w:rsidR="00B77AB8" w:rsidRPr="008E4EA2" w:rsidRDefault="003E3873" w:rsidP="003A0029">
      <w:pPr>
        <w:spacing w:before="120" w:after="120" w:line="276" w:lineRule="auto"/>
        <w:rPr>
          <w:rFonts w:eastAsia="EUAlbertina-Bold-Identity-H"/>
          <w:i/>
          <w:color w:val="000000" w:themeColor="text1"/>
          <w:szCs w:val="24"/>
          <w:lang w:eastAsia="lv-LV"/>
        </w:rPr>
      </w:pPr>
      <w:r w:rsidRPr="008E4EA2">
        <w:rPr>
          <w:rFonts w:eastAsia="EUAlbertina-Bold-Identity-H"/>
          <w:color w:val="000000" w:themeColor="text1"/>
          <w:szCs w:val="24"/>
          <w:lang w:eastAsia="lv-LV"/>
        </w:rPr>
        <w:t>Grafiks Nr.</w:t>
      </w:r>
      <w:r w:rsidR="0078381C" w:rsidRPr="008E4EA2">
        <w:rPr>
          <w:rFonts w:eastAsia="EUAlbertina-Bold-Identity-H"/>
          <w:color w:val="000000" w:themeColor="text1"/>
          <w:szCs w:val="24"/>
          <w:lang w:eastAsia="lv-LV"/>
        </w:rPr>
        <w:t>28</w:t>
      </w:r>
      <w:r w:rsidR="00F44259" w:rsidRPr="008E4EA2">
        <w:rPr>
          <w:rFonts w:eastAsia="EUAlbertina-Bold-Identity-H"/>
          <w:color w:val="000000" w:themeColor="text1"/>
          <w:szCs w:val="24"/>
          <w:lang w:eastAsia="lv-LV"/>
        </w:rPr>
        <w:t xml:space="preserve"> </w:t>
      </w:r>
      <w:r w:rsidR="00067D07" w:rsidRPr="008E4EA2">
        <w:rPr>
          <w:rFonts w:eastAsia="EUAlbertina-Bold-Identity-H"/>
          <w:i/>
          <w:color w:val="000000" w:themeColor="text1"/>
          <w:szCs w:val="24"/>
          <w:lang w:eastAsia="lv-LV"/>
        </w:rPr>
        <w:t xml:space="preserve">„Zaudējumi valsts budžetam sadalījumā pa finansējuma saņēmēju veidiem līdz </w:t>
      </w:r>
      <w:r w:rsidR="00067D07" w:rsidRPr="008E4EA2">
        <w:rPr>
          <w:i/>
          <w:color w:val="000000" w:themeColor="text1"/>
          <w:szCs w:val="24"/>
        </w:rPr>
        <w:t>2012.gada 30.septembrim</w:t>
      </w:r>
      <w:r w:rsidR="00067D07" w:rsidRPr="008E4EA2">
        <w:rPr>
          <w:rFonts w:eastAsia="EUAlbertina-Bold-Identity-H"/>
          <w:i/>
          <w:color w:val="000000" w:themeColor="text1"/>
          <w:szCs w:val="24"/>
          <w:lang w:eastAsia="lv-LV"/>
        </w:rPr>
        <w:t xml:space="preserve">; </w:t>
      </w:r>
      <w:proofErr w:type="spellStart"/>
      <w:r w:rsidR="00067D07" w:rsidRPr="008E4EA2">
        <w:rPr>
          <w:rFonts w:eastAsia="EUAlbertina-Bold-Identity-H"/>
          <w:i/>
          <w:color w:val="000000" w:themeColor="text1"/>
          <w:szCs w:val="24"/>
          <w:lang w:eastAsia="lv-LV"/>
        </w:rPr>
        <w:t>milj</w:t>
      </w:r>
      <w:proofErr w:type="spellEnd"/>
      <w:r w:rsidR="00067D07" w:rsidRPr="008E4EA2">
        <w:rPr>
          <w:rFonts w:eastAsia="EUAlbertina-Bold-Identity-H"/>
          <w:i/>
          <w:color w:val="000000" w:themeColor="text1"/>
          <w:szCs w:val="24"/>
          <w:lang w:eastAsia="lv-LV"/>
        </w:rPr>
        <w:t>. latu.”</w:t>
      </w:r>
    </w:p>
    <w:p w:rsidR="007E49D7" w:rsidRPr="008E4EA2" w:rsidRDefault="00CE4257" w:rsidP="00D120DB">
      <w:pPr>
        <w:spacing w:before="120" w:after="120" w:line="276" w:lineRule="auto"/>
        <w:jc w:val="center"/>
        <w:rPr>
          <w:noProof/>
          <w:color w:val="000000" w:themeColor="text1"/>
          <w:szCs w:val="24"/>
          <w:lang w:eastAsia="lv-LV"/>
        </w:rPr>
      </w:pPr>
      <w:r w:rsidRPr="008E4EA2">
        <w:rPr>
          <w:noProof/>
          <w:color w:val="000000" w:themeColor="text1"/>
          <w:szCs w:val="24"/>
          <w:lang w:eastAsia="lv-LV"/>
        </w:rPr>
        <w:drawing>
          <wp:inline distT="0" distB="0" distL="0" distR="0" wp14:anchorId="432DB6AE" wp14:editId="4BC5FB77">
            <wp:extent cx="5194211" cy="2401294"/>
            <wp:effectExtent l="0" t="0" r="698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5200153" cy="2404041"/>
                    </a:xfrm>
                    <a:prstGeom prst="rect">
                      <a:avLst/>
                    </a:prstGeom>
                    <a:noFill/>
                  </pic:spPr>
                </pic:pic>
              </a:graphicData>
            </a:graphic>
          </wp:inline>
        </w:drawing>
      </w:r>
    </w:p>
    <w:p w:rsidR="007E49D7" w:rsidRPr="008E4EA2" w:rsidRDefault="00067D07"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Galvenie pārkāpumu iemesli ir saistīti ar līgumu pārkāpumiem, kā arī pārkāpumi, kuri klasificēti, kā iepirkumu vai konkurences normu pārkāpumi.</w:t>
      </w:r>
      <w:r w:rsidR="007E49D7" w:rsidRPr="008E4EA2">
        <w:rPr>
          <w:rFonts w:eastAsia="EUAlbertina-Bold-Identity-H"/>
          <w:color w:val="000000" w:themeColor="text1"/>
          <w:szCs w:val="24"/>
          <w:lang w:eastAsia="lv-LV"/>
        </w:rPr>
        <w:t xml:space="preserve"> </w:t>
      </w:r>
    </w:p>
    <w:p w:rsidR="001F2F61" w:rsidRPr="008E4EA2" w:rsidRDefault="000F7C71" w:rsidP="003A0029">
      <w:pPr>
        <w:pStyle w:val="2lmenis"/>
        <w:numPr>
          <w:ilvl w:val="2"/>
          <w:numId w:val="2"/>
        </w:numPr>
        <w:spacing w:before="120" w:after="120" w:line="276" w:lineRule="auto"/>
        <w:jc w:val="both"/>
        <w:rPr>
          <w:color w:val="000000" w:themeColor="text1"/>
          <w:sz w:val="24"/>
          <w:szCs w:val="24"/>
          <w:lang w:val="lv-LV"/>
        </w:rPr>
      </w:pPr>
      <w:bookmarkStart w:id="80" w:name="_Toc340241714"/>
      <w:r w:rsidRPr="008E4EA2">
        <w:rPr>
          <w:color w:val="000000" w:themeColor="text1"/>
          <w:sz w:val="24"/>
          <w:szCs w:val="24"/>
          <w:lang w:val="lv-LV"/>
        </w:rPr>
        <w:t>N</w:t>
      </w:r>
      <w:r w:rsidR="001F2F61" w:rsidRPr="008E4EA2">
        <w:rPr>
          <w:color w:val="000000" w:themeColor="text1"/>
          <w:sz w:val="24"/>
          <w:szCs w:val="24"/>
          <w:lang w:val="lv-LV"/>
        </w:rPr>
        <w:t xml:space="preserve">eatbilstoši veiktie izdevumi </w:t>
      </w:r>
      <w:r w:rsidRPr="008E4EA2">
        <w:rPr>
          <w:color w:val="000000" w:themeColor="text1"/>
          <w:sz w:val="24"/>
          <w:szCs w:val="24"/>
          <w:lang w:val="lv-LV"/>
        </w:rPr>
        <w:t xml:space="preserve">un zaudējumi valsts budžetam </w:t>
      </w:r>
      <w:r w:rsidR="001F2F61" w:rsidRPr="008E4EA2">
        <w:rPr>
          <w:color w:val="000000" w:themeColor="text1"/>
          <w:sz w:val="24"/>
          <w:szCs w:val="24"/>
          <w:lang w:val="lv-LV"/>
        </w:rPr>
        <w:t xml:space="preserve">pārskata periodā (2012.gada </w:t>
      </w:r>
      <w:r w:rsidRPr="008E4EA2">
        <w:rPr>
          <w:color w:val="000000" w:themeColor="text1"/>
          <w:sz w:val="24"/>
          <w:szCs w:val="24"/>
          <w:lang w:val="lv-LV"/>
        </w:rPr>
        <w:t xml:space="preserve">trešajā </w:t>
      </w:r>
      <w:r w:rsidR="001F2F61" w:rsidRPr="008E4EA2">
        <w:rPr>
          <w:color w:val="000000" w:themeColor="text1"/>
          <w:sz w:val="24"/>
          <w:szCs w:val="24"/>
          <w:lang w:val="lv-LV"/>
        </w:rPr>
        <w:t>ceturksnī)</w:t>
      </w:r>
      <w:bookmarkEnd w:id="80"/>
    </w:p>
    <w:p w:rsidR="001F2F61" w:rsidRPr="008E4EA2" w:rsidRDefault="00067D07"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2012.gada trešajā ceturksnī konstatēti neatbilstoši veikti izdevumi par kopējo summu 1,2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xml:space="preserve">. latu jeb 21,8% no ceturksnī konstatētā neatbilstību apjoma. No tiem atgūti 0,8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latu jeb 66,7%.</w:t>
      </w:r>
      <w:r w:rsidR="001F2F61" w:rsidRPr="008E4EA2">
        <w:rPr>
          <w:rFonts w:eastAsia="EUAlbertina-Bold-Identity-H"/>
          <w:color w:val="000000" w:themeColor="text1"/>
          <w:szCs w:val="24"/>
          <w:lang w:eastAsia="lv-LV"/>
        </w:rPr>
        <w:t xml:space="preserve"> </w:t>
      </w:r>
    </w:p>
    <w:p w:rsidR="001F2F61" w:rsidRPr="008E4EA2" w:rsidRDefault="00657661"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br w:type="column"/>
      </w:r>
      <w:r w:rsidR="001F2F61" w:rsidRPr="008E4EA2">
        <w:rPr>
          <w:rFonts w:eastAsia="EUAlbertina-Bold-Identity-H"/>
          <w:color w:val="000000" w:themeColor="text1"/>
          <w:szCs w:val="24"/>
          <w:lang w:eastAsia="lv-LV"/>
        </w:rPr>
        <w:lastRenderedPageBreak/>
        <w:t>Grafiks Nr.</w:t>
      </w:r>
      <w:r w:rsidR="0078381C" w:rsidRPr="008E4EA2">
        <w:rPr>
          <w:rFonts w:eastAsia="EUAlbertina-Bold-Identity-H"/>
          <w:color w:val="000000" w:themeColor="text1"/>
          <w:szCs w:val="24"/>
          <w:lang w:eastAsia="lv-LV"/>
        </w:rPr>
        <w:t>29</w:t>
      </w:r>
      <w:r w:rsidR="001F2F61" w:rsidRPr="008E4EA2">
        <w:rPr>
          <w:rFonts w:eastAsia="EUAlbertina-Bold-Identity-H"/>
          <w:color w:val="000000" w:themeColor="text1"/>
          <w:szCs w:val="24"/>
          <w:lang w:eastAsia="lv-LV"/>
        </w:rPr>
        <w:t xml:space="preserve"> </w:t>
      </w:r>
      <w:r w:rsidR="00067D07" w:rsidRPr="008E4EA2">
        <w:rPr>
          <w:rFonts w:eastAsia="EUAlbertina-Bold-Identity-H"/>
          <w:i/>
          <w:color w:val="000000" w:themeColor="text1"/>
          <w:szCs w:val="24"/>
          <w:lang w:eastAsia="lv-LV"/>
        </w:rPr>
        <w:t xml:space="preserve">„Neatbilstoši veikti izdevumi sadalījumā pa finansējuma saņēmēju veidiem līdz 2012.gada 30.septembrim; </w:t>
      </w:r>
      <w:proofErr w:type="spellStart"/>
      <w:r w:rsidR="00067D07" w:rsidRPr="008E4EA2">
        <w:rPr>
          <w:rFonts w:eastAsia="EUAlbertina-Bold-Identity-H"/>
          <w:i/>
          <w:color w:val="000000" w:themeColor="text1"/>
          <w:szCs w:val="24"/>
          <w:lang w:eastAsia="lv-LV"/>
        </w:rPr>
        <w:t>milj</w:t>
      </w:r>
      <w:proofErr w:type="spellEnd"/>
      <w:r w:rsidR="00067D07" w:rsidRPr="008E4EA2">
        <w:rPr>
          <w:rFonts w:eastAsia="EUAlbertina-Bold-Identity-H"/>
          <w:i/>
          <w:color w:val="000000" w:themeColor="text1"/>
          <w:szCs w:val="24"/>
          <w:lang w:eastAsia="lv-LV"/>
        </w:rPr>
        <w:t>. latu.”</w:t>
      </w:r>
    </w:p>
    <w:p w:rsidR="00E62148" w:rsidRDefault="00CE4257" w:rsidP="00D120DB">
      <w:pPr>
        <w:spacing w:before="120" w:after="120" w:line="276" w:lineRule="auto"/>
        <w:jc w:val="center"/>
        <w:rPr>
          <w:rFonts w:eastAsia="EUAlbertina-Bold-Identity-H"/>
          <w:color w:val="000000" w:themeColor="text1"/>
          <w:szCs w:val="24"/>
          <w:lang w:eastAsia="lv-LV"/>
        </w:rPr>
      </w:pPr>
      <w:r w:rsidRPr="008E4EA2">
        <w:rPr>
          <w:rFonts w:eastAsia="EUAlbertina-Bold-Identity-H"/>
          <w:noProof/>
          <w:color w:val="000000" w:themeColor="text1"/>
          <w:szCs w:val="24"/>
          <w:lang w:eastAsia="lv-LV"/>
        </w:rPr>
        <w:drawing>
          <wp:inline distT="0" distB="0" distL="0" distR="0" wp14:anchorId="054CDE4C" wp14:editId="70F8C9D2">
            <wp:extent cx="5128592" cy="2177754"/>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5">
                      <a:extLst>
                        <a:ext uri="{28A0092B-C50C-407E-A947-70E740481C1C}">
                          <a14:useLocalDpi xmlns:a14="http://schemas.microsoft.com/office/drawing/2010/main"/>
                        </a:ext>
                      </a:extLst>
                    </a:blip>
                    <a:srcRect/>
                    <a:stretch>
                      <a:fillRect/>
                    </a:stretch>
                  </pic:blipFill>
                  <pic:spPr bwMode="auto">
                    <a:xfrm>
                      <a:off x="0" y="0"/>
                      <a:ext cx="5130280" cy="2178471"/>
                    </a:xfrm>
                    <a:prstGeom prst="rect">
                      <a:avLst/>
                    </a:prstGeom>
                    <a:noFill/>
                  </pic:spPr>
                </pic:pic>
              </a:graphicData>
            </a:graphic>
          </wp:inline>
        </w:drawing>
      </w:r>
    </w:p>
    <w:p w:rsidR="00B530D8" w:rsidRPr="008E4EA2" w:rsidRDefault="00B530D8" w:rsidP="00E62148">
      <w:pPr>
        <w:spacing w:before="120" w:after="120" w:line="276" w:lineRule="auto"/>
        <w:rPr>
          <w:rFonts w:eastAsia="EUAlbertina-Bold-Identity-H"/>
          <w:color w:val="000000" w:themeColor="text1"/>
          <w:szCs w:val="24"/>
          <w:highlight w:val="yellow"/>
          <w:lang w:eastAsia="lv-LV"/>
        </w:rPr>
      </w:pPr>
      <w:r w:rsidRPr="008E4EA2">
        <w:rPr>
          <w:rFonts w:eastAsia="EUAlbertina-Bold-Identity-H"/>
          <w:color w:val="000000" w:themeColor="text1"/>
          <w:szCs w:val="24"/>
          <w:lang w:eastAsia="lv-LV"/>
        </w:rPr>
        <w:t xml:space="preserve">Analizējot šī ziņojuma </w:t>
      </w:r>
      <w:r w:rsidRPr="008E4EA2">
        <w:rPr>
          <w:rFonts w:eastAsia="EUAlbertina-Bold-Identity-H"/>
          <w:color w:val="000000" w:themeColor="text1"/>
          <w:szCs w:val="24"/>
          <w:u w:val="single"/>
          <w:lang w:eastAsia="lv-LV"/>
        </w:rPr>
        <w:t>pielikumu Nr.</w:t>
      </w:r>
      <w:r w:rsidR="00FE575F" w:rsidRPr="008E4EA2">
        <w:rPr>
          <w:rFonts w:eastAsia="EUAlbertina-Bold-Identity-H"/>
          <w:color w:val="000000" w:themeColor="text1"/>
          <w:szCs w:val="24"/>
          <w:u w:val="single"/>
          <w:lang w:eastAsia="lv-LV"/>
        </w:rPr>
        <w:t>4</w:t>
      </w:r>
      <w:r w:rsidRPr="008E4EA2">
        <w:rPr>
          <w:rFonts w:eastAsia="EUAlbertina-Bold-Identity-H"/>
          <w:color w:val="000000" w:themeColor="text1"/>
          <w:szCs w:val="24"/>
          <w:lang w:eastAsia="lv-LV"/>
        </w:rPr>
        <w:t>, secināms, ka neatbilstības, kuras konstatētas tiešo vai pastarpināto valsts pārvaldes iestāžu, atvasinātu publisku personu vai citas valsts iestāžu īstenotajos projektos</w:t>
      </w:r>
      <w:r w:rsidR="00651882" w:rsidRPr="008E4EA2">
        <w:rPr>
          <w:rFonts w:eastAsia="EUAlbertina-Bold-Identity-H"/>
          <w:color w:val="000000" w:themeColor="text1"/>
          <w:szCs w:val="24"/>
          <w:lang w:eastAsia="lv-LV"/>
        </w:rPr>
        <w:t>,</w:t>
      </w:r>
      <w:r w:rsidRPr="008E4EA2">
        <w:rPr>
          <w:rFonts w:eastAsia="EUAlbertina-Bold-Identity-H"/>
          <w:color w:val="000000" w:themeColor="text1"/>
          <w:szCs w:val="24"/>
          <w:lang w:eastAsia="lv-LV"/>
        </w:rPr>
        <w:t xml:space="preserve"> kopumā rada zaudējumus valsts budžetam1,2 </w:t>
      </w:r>
      <w:proofErr w:type="spellStart"/>
      <w:r w:rsidRPr="008E4EA2">
        <w:rPr>
          <w:rFonts w:eastAsia="EUAlbertina-Bold-Identity-H"/>
          <w:color w:val="000000" w:themeColor="text1"/>
          <w:szCs w:val="24"/>
          <w:lang w:eastAsia="lv-LV"/>
        </w:rPr>
        <w:t>milj</w:t>
      </w:r>
      <w:proofErr w:type="spellEnd"/>
      <w:r w:rsidRPr="008E4EA2">
        <w:rPr>
          <w:rFonts w:eastAsia="EUAlbertina-Bold-Identity-H"/>
          <w:color w:val="000000" w:themeColor="text1"/>
          <w:szCs w:val="24"/>
          <w:lang w:eastAsia="lv-LV"/>
        </w:rPr>
        <w:t>. latu apmērā. Pārskata periodā konstatēto neatbilstību apjoms tiešo vai pastarpināto valsts pārvaldes iestāžu, atvasināto publisko personu vai citu valst</w:t>
      </w:r>
      <w:r w:rsidR="00E62148">
        <w:rPr>
          <w:rFonts w:eastAsia="EUAlbertina-Bold-Identity-H"/>
          <w:color w:val="000000" w:themeColor="text1"/>
          <w:szCs w:val="24"/>
          <w:lang w:eastAsia="lv-LV"/>
        </w:rPr>
        <w:t xml:space="preserve">s iestāžu īstenotajos projektos </w:t>
      </w:r>
      <w:r w:rsidRPr="008E4EA2">
        <w:rPr>
          <w:rFonts w:eastAsia="EUAlbertina-Bold-Identity-H"/>
          <w:color w:val="000000" w:themeColor="text1"/>
          <w:szCs w:val="24"/>
          <w:lang w:eastAsia="lv-LV"/>
        </w:rPr>
        <w:t>ir 21,8% no pārskata periodā konstatēto neatbilstību apjoma.</w:t>
      </w:r>
    </w:p>
    <w:p w:rsidR="008B28ED" w:rsidRPr="008E4EA2" w:rsidRDefault="00B530D8" w:rsidP="003A0029">
      <w:pPr>
        <w:spacing w:before="120" w:after="120" w:line="276" w:lineRule="auto"/>
        <w:rPr>
          <w:rFonts w:eastAsia="EUAlbertina-Bold-Identity-H"/>
          <w:color w:val="000000" w:themeColor="text1"/>
          <w:szCs w:val="24"/>
          <w:highlight w:val="yellow"/>
          <w:lang w:eastAsia="lv-LV"/>
        </w:rPr>
      </w:pPr>
      <w:r w:rsidRPr="008E4EA2">
        <w:rPr>
          <w:rFonts w:eastAsia="EUAlbertina-Bold-Identity-H"/>
          <w:color w:val="000000" w:themeColor="text1"/>
          <w:szCs w:val="24"/>
          <w:lang w:eastAsia="lv-LV"/>
        </w:rPr>
        <w:t>Lai samazinātu neatbilstību apmēru valsts budžeta iestāžu īstenotajos projektos,</w:t>
      </w:r>
      <w:r w:rsidR="00FA181B" w:rsidRPr="008E4EA2">
        <w:rPr>
          <w:rFonts w:eastAsia="EUAlbertina-Bold-Identity-H"/>
          <w:color w:val="000000" w:themeColor="text1"/>
          <w:szCs w:val="24"/>
          <w:lang w:eastAsia="lv-LV"/>
        </w:rPr>
        <w:t xml:space="preserve"> tiek </w:t>
      </w:r>
      <w:r w:rsidRPr="008E4EA2">
        <w:rPr>
          <w:rFonts w:eastAsia="EUAlbertina-Bold-Identity-H"/>
          <w:color w:val="000000" w:themeColor="text1"/>
          <w:szCs w:val="24"/>
          <w:lang w:eastAsia="lv-LV"/>
        </w:rPr>
        <w:t xml:space="preserve">ierosināts piemērot ierēdņu disciplināratbildības principus. Attiecīgi informācija par ierosināto dienesta izmeklēšanu un disciplinārlietu skaitu atbilstoši MK 2011.gada 8.marta sēdes </w:t>
      </w:r>
      <w:proofErr w:type="spellStart"/>
      <w:r w:rsidRPr="008E4EA2">
        <w:rPr>
          <w:rFonts w:eastAsia="EUAlbertina-Bold-Identity-H"/>
          <w:color w:val="000000" w:themeColor="text1"/>
          <w:szCs w:val="24"/>
          <w:lang w:eastAsia="lv-LV"/>
        </w:rPr>
        <w:t>protokollēmuma</w:t>
      </w:r>
      <w:proofErr w:type="spellEnd"/>
      <w:r w:rsidRPr="008E4EA2">
        <w:rPr>
          <w:rFonts w:eastAsia="EUAlbertina-Bold-Identity-H"/>
          <w:color w:val="000000" w:themeColor="text1"/>
          <w:szCs w:val="24"/>
          <w:lang w:eastAsia="lv-LV"/>
        </w:rPr>
        <w:t xml:space="preserve"> (protokols Nr.14, 21.§) </w:t>
      </w:r>
      <w:r w:rsidR="00651882" w:rsidRPr="008E4EA2">
        <w:rPr>
          <w:rFonts w:eastAsia="EUAlbertina-Bold-Identity-H"/>
          <w:color w:val="000000" w:themeColor="text1"/>
          <w:szCs w:val="24"/>
          <w:lang w:eastAsia="lv-LV"/>
        </w:rPr>
        <w:t xml:space="preserve">ceturtajam </w:t>
      </w:r>
      <w:r w:rsidRPr="008E4EA2">
        <w:rPr>
          <w:rFonts w:eastAsia="EUAlbertina-Bold-Identity-H"/>
          <w:color w:val="000000" w:themeColor="text1"/>
          <w:szCs w:val="24"/>
          <w:lang w:eastAsia="lv-LV"/>
        </w:rPr>
        <w:t xml:space="preserve">punktam par konstatētajām neatbilstībām valsts budžeta iestāžu īstenotajos projektos apkopota </w:t>
      </w:r>
      <w:r w:rsidRPr="008E4EA2">
        <w:rPr>
          <w:rFonts w:eastAsia="EUAlbertina-Bold-Identity-H"/>
          <w:color w:val="000000" w:themeColor="text1"/>
          <w:szCs w:val="24"/>
          <w:u w:val="single"/>
          <w:lang w:eastAsia="lv-LV"/>
        </w:rPr>
        <w:t>tabulā Nr.</w:t>
      </w:r>
      <w:r w:rsidR="00E62148">
        <w:rPr>
          <w:rFonts w:eastAsia="EUAlbertina-Bold-Identity-H"/>
          <w:color w:val="000000" w:themeColor="text1"/>
          <w:szCs w:val="24"/>
          <w:u w:val="single"/>
          <w:lang w:eastAsia="lv-LV"/>
        </w:rPr>
        <w:t>1</w:t>
      </w:r>
      <w:r w:rsidRPr="008E4EA2">
        <w:rPr>
          <w:rFonts w:eastAsia="EUAlbertina-Bold-Identity-H"/>
          <w:color w:val="000000" w:themeColor="text1"/>
          <w:szCs w:val="24"/>
          <w:lang w:eastAsia="lv-LV"/>
        </w:rPr>
        <w:t xml:space="preserve">. </w:t>
      </w:r>
    </w:p>
    <w:p w:rsidR="001F2F61" w:rsidRPr="008E4EA2" w:rsidRDefault="00B530D8"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Papildus</w:t>
      </w:r>
      <w:r w:rsidR="00651882" w:rsidRPr="008E4EA2">
        <w:rPr>
          <w:rFonts w:eastAsia="EUAlbertina-Bold-Identity-H"/>
          <w:color w:val="000000" w:themeColor="text1"/>
          <w:szCs w:val="24"/>
          <w:lang w:eastAsia="lv-LV"/>
        </w:rPr>
        <w:t>,</w:t>
      </w:r>
      <w:r w:rsidRPr="008E4EA2">
        <w:rPr>
          <w:rFonts w:eastAsia="EUAlbertina-Bold-Identity-H"/>
          <w:color w:val="000000" w:themeColor="text1"/>
          <w:szCs w:val="24"/>
          <w:lang w:eastAsia="lv-LV"/>
        </w:rPr>
        <w:t xml:space="preserve"> lai samazinātu neatbilstību apjomu pašvaldību īstenotajos projektos</w:t>
      </w:r>
      <w:r w:rsidR="008B28ED" w:rsidRPr="008E4EA2">
        <w:rPr>
          <w:rFonts w:eastAsia="EUAlbertina-Bold-Identity-H"/>
          <w:color w:val="000000" w:themeColor="text1"/>
          <w:szCs w:val="24"/>
          <w:lang w:eastAsia="lv-LV"/>
        </w:rPr>
        <w:t xml:space="preserve"> un turpmāk novērstu neatbilstību rašanas risku īpaši pašvaldību īstenotajos projektu atbildoši </w:t>
      </w:r>
      <w:proofErr w:type="spellStart"/>
      <w:r w:rsidR="008B28ED" w:rsidRPr="008E4EA2">
        <w:rPr>
          <w:rFonts w:eastAsia="EUAlbertina-Bold-Identity-H"/>
          <w:color w:val="000000" w:themeColor="text1"/>
          <w:szCs w:val="24"/>
          <w:lang w:eastAsia="lv-LV"/>
        </w:rPr>
        <w:t>š.g</w:t>
      </w:r>
      <w:proofErr w:type="spellEnd"/>
      <w:r w:rsidR="008B28ED" w:rsidRPr="008E4EA2">
        <w:rPr>
          <w:rFonts w:eastAsia="EUAlbertina-Bold-Identity-H"/>
          <w:color w:val="000000" w:themeColor="text1"/>
          <w:szCs w:val="24"/>
          <w:lang w:eastAsia="lv-LV"/>
        </w:rPr>
        <w:t>. 25. septembra M</w:t>
      </w:r>
      <w:r w:rsidR="00321C19">
        <w:rPr>
          <w:rFonts w:eastAsia="EUAlbertina-Bold-Identity-H"/>
          <w:color w:val="000000" w:themeColor="text1"/>
          <w:szCs w:val="24"/>
          <w:lang w:eastAsia="lv-LV"/>
        </w:rPr>
        <w:t>K sēdes protokola Nr.5 21. § 3.</w:t>
      </w:r>
      <w:r w:rsidR="008B28ED" w:rsidRPr="008E4EA2">
        <w:rPr>
          <w:rFonts w:eastAsia="EUAlbertina-Bold-Identity-H"/>
          <w:color w:val="000000" w:themeColor="text1"/>
          <w:szCs w:val="24"/>
          <w:lang w:eastAsia="lv-LV"/>
        </w:rPr>
        <w:t>punktam turpmāk, ja nepieciešams,</w:t>
      </w:r>
      <w:r w:rsidR="000F7C71" w:rsidRPr="008E4EA2">
        <w:rPr>
          <w:rFonts w:eastAsia="EUAlbertina-Bold-Identity-H"/>
          <w:color w:val="000000" w:themeColor="text1"/>
          <w:szCs w:val="24"/>
          <w:lang w:eastAsia="lv-LV"/>
        </w:rPr>
        <w:t xml:space="preserve"> veicot pārskata periodā pašvaldību īstenotajos projektos konstatēto neatbilstību analīzi, </w:t>
      </w:r>
      <w:r w:rsidRPr="008E4EA2">
        <w:rPr>
          <w:rFonts w:eastAsia="EUAlbertina-Bold-Identity-H"/>
          <w:color w:val="000000" w:themeColor="text1"/>
          <w:szCs w:val="24"/>
          <w:lang w:eastAsia="lv-LV"/>
        </w:rPr>
        <w:t xml:space="preserve">ziņojuma protokolā </w:t>
      </w:r>
      <w:r w:rsidR="008B28ED" w:rsidRPr="008E4EA2">
        <w:rPr>
          <w:rFonts w:eastAsia="EUAlbertina-Bold-Identity-H"/>
          <w:color w:val="000000" w:themeColor="text1"/>
          <w:szCs w:val="24"/>
          <w:lang w:eastAsia="lv-LV"/>
        </w:rPr>
        <w:t xml:space="preserve">tiks </w:t>
      </w:r>
      <w:r w:rsidRPr="008E4EA2">
        <w:rPr>
          <w:rFonts w:eastAsia="EUAlbertina-Bold-Identity-H"/>
          <w:color w:val="000000" w:themeColor="text1"/>
          <w:szCs w:val="24"/>
          <w:lang w:eastAsia="lv-LV"/>
        </w:rPr>
        <w:t>iekļauts uzdevums VARAM izvērtēt konstatētās neatbilstības pašvaldību īstenotajos projektos.</w:t>
      </w:r>
      <w:r w:rsidR="000F7C71" w:rsidRPr="008E4EA2">
        <w:rPr>
          <w:rFonts w:eastAsia="EUAlbertina-Bold-Identity-H"/>
          <w:color w:val="000000" w:themeColor="text1"/>
          <w:szCs w:val="24"/>
          <w:lang w:eastAsia="lv-LV"/>
        </w:rPr>
        <w:t xml:space="preserve"> Tai pašā laikā </w:t>
      </w:r>
      <w:r w:rsidR="0065755F">
        <w:rPr>
          <w:rFonts w:eastAsia="EUAlbertina-Bold-Identity-H"/>
          <w:color w:val="000000" w:themeColor="text1"/>
          <w:szCs w:val="24"/>
          <w:lang w:eastAsia="lv-LV"/>
        </w:rPr>
        <w:t>VI</w:t>
      </w:r>
      <w:r w:rsidR="000F7C71" w:rsidRPr="008E4EA2">
        <w:rPr>
          <w:rFonts w:eastAsia="EUAlbertina-Bold-Identity-H"/>
          <w:color w:val="000000" w:themeColor="text1"/>
          <w:szCs w:val="24"/>
          <w:lang w:eastAsia="lv-LV"/>
        </w:rPr>
        <w:t xml:space="preserve"> ir konstatējusi, ka pašvaldības, situācijās, kad projektu ietvaros konstatētas neatbilstības par attiecīgo neattiecināmo ES finansējuma daļu, vienam projektam, ja pašvaldībai dotajā aktivitātē ir kvota vairākiem projektiem,</w:t>
      </w:r>
      <w:r w:rsidR="005E1672">
        <w:rPr>
          <w:rFonts w:eastAsia="EUAlbertina-Bold-Identity-H"/>
          <w:color w:val="000000" w:themeColor="text1"/>
          <w:szCs w:val="24"/>
          <w:lang w:eastAsia="lv-LV"/>
        </w:rPr>
        <w:t xml:space="preserve"> </w:t>
      </w:r>
      <w:r w:rsidR="000F7C71" w:rsidRPr="008E4EA2">
        <w:rPr>
          <w:rFonts w:eastAsia="EUAlbertina-Bold-Identity-H"/>
          <w:color w:val="000000" w:themeColor="text1"/>
          <w:szCs w:val="24"/>
          <w:lang w:eastAsia="lv-LV"/>
        </w:rPr>
        <w:t>tiek</w:t>
      </w:r>
      <w:r w:rsidR="005E1672">
        <w:rPr>
          <w:rFonts w:eastAsia="EUAlbertina-Bold-Identity-H"/>
          <w:color w:val="000000" w:themeColor="text1"/>
          <w:szCs w:val="24"/>
          <w:lang w:eastAsia="lv-LV"/>
        </w:rPr>
        <w:t xml:space="preserve"> </w:t>
      </w:r>
      <w:r w:rsidR="000F7C71" w:rsidRPr="008E4EA2">
        <w:rPr>
          <w:rFonts w:eastAsia="EUAlbertina-Bold-Identity-H"/>
          <w:color w:val="000000" w:themeColor="text1"/>
          <w:szCs w:val="24"/>
          <w:lang w:eastAsia="lv-LV"/>
        </w:rPr>
        <w:t xml:space="preserve">īstenots cits pašvaldības projekts citu aktivitāšu ietvaros (kvotas robežās). Tomēr šāda pašvaldību darbība ir iespējama tikai neatbilstībām, kuras ir konstatētas līdz 2012. gada 8.maijam. Saskaņā ar MK 8.maija </w:t>
      </w:r>
      <w:proofErr w:type="spellStart"/>
      <w:r w:rsidR="000F7C71" w:rsidRPr="008E4EA2">
        <w:rPr>
          <w:rFonts w:eastAsia="EUAlbertina-Bold-Identity-H"/>
          <w:color w:val="000000" w:themeColor="text1"/>
          <w:szCs w:val="24"/>
          <w:lang w:eastAsia="lv-LV"/>
        </w:rPr>
        <w:t>protokollēmuma</w:t>
      </w:r>
      <w:proofErr w:type="spellEnd"/>
      <w:r w:rsidR="000F7C71" w:rsidRPr="008E4EA2">
        <w:rPr>
          <w:rFonts w:eastAsia="EUAlbertina-Bold-Identity-H"/>
          <w:color w:val="000000" w:themeColor="text1"/>
          <w:szCs w:val="24"/>
          <w:lang w:eastAsia="lv-LV"/>
        </w:rPr>
        <w:t xml:space="preserve"> „Valsts budžeta </w:t>
      </w:r>
      <w:proofErr w:type="spellStart"/>
      <w:r w:rsidR="000F7C71" w:rsidRPr="008E4EA2">
        <w:rPr>
          <w:rFonts w:eastAsia="EUAlbertina-Bold-Identity-H"/>
          <w:color w:val="000000" w:themeColor="text1"/>
          <w:szCs w:val="24"/>
          <w:lang w:eastAsia="lv-LV"/>
        </w:rPr>
        <w:t>virssaistību</w:t>
      </w:r>
      <w:proofErr w:type="spellEnd"/>
      <w:r w:rsidR="000F7C71" w:rsidRPr="008E4EA2">
        <w:rPr>
          <w:rFonts w:eastAsia="EUAlbertina-Bold-Identity-H"/>
          <w:color w:val="000000" w:themeColor="text1"/>
          <w:szCs w:val="24"/>
          <w:lang w:eastAsia="lv-LV"/>
        </w:rPr>
        <w:t xml:space="preserve"> iespējas Eiropas Savienības struktūrfondu un Kohēzijas fonda 2007.</w:t>
      </w:r>
      <w:r w:rsidR="00306F38">
        <w:rPr>
          <w:rFonts w:eastAsia="EUAlbertina-Bold-Identity-H"/>
          <w:color w:val="000000" w:themeColor="text1"/>
          <w:szCs w:val="24"/>
          <w:lang w:eastAsia="lv-LV"/>
        </w:rPr>
        <w:t xml:space="preserve"> – </w:t>
      </w:r>
      <w:r w:rsidR="000F7C71" w:rsidRPr="008E4EA2">
        <w:rPr>
          <w:rFonts w:eastAsia="EUAlbertina-Bold-Identity-H"/>
          <w:color w:val="000000" w:themeColor="text1"/>
          <w:szCs w:val="24"/>
          <w:lang w:eastAsia="lv-LV"/>
        </w:rPr>
        <w:t>2013.g. plānošanas perioda aktivitātēs” 7.punktu atbrīvoto ERAF finansējumu, kas veidojies uz neatbilstību (kas konstatētas pēc 2012.gada 8.maija) rēķina jauniem projektiem novirzīt nevar.</w:t>
      </w:r>
      <w:r w:rsidR="005E1672">
        <w:rPr>
          <w:rFonts w:eastAsia="EUAlbertina-Bold-Identity-H"/>
          <w:color w:val="000000" w:themeColor="text1"/>
          <w:szCs w:val="24"/>
          <w:lang w:eastAsia="lv-LV"/>
        </w:rPr>
        <w:t xml:space="preserve"> </w:t>
      </w:r>
    </w:p>
    <w:p w:rsidR="00E62148" w:rsidRDefault="00E62148">
      <w:pPr>
        <w:jc w:val="left"/>
        <w:rPr>
          <w:rFonts w:eastAsia="EUAlbertina-Bold-Identity-H"/>
          <w:color w:val="000000" w:themeColor="text1"/>
          <w:szCs w:val="24"/>
          <w:lang w:eastAsia="lv-LV"/>
        </w:rPr>
      </w:pPr>
      <w:r>
        <w:rPr>
          <w:rFonts w:eastAsia="EUAlbertina-Bold-Identity-H"/>
          <w:color w:val="000000" w:themeColor="text1"/>
          <w:szCs w:val="24"/>
          <w:lang w:eastAsia="lv-LV"/>
        </w:rPr>
        <w:br w:type="page"/>
      </w:r>
    </w:p>
    <w:p w:rsidR="004B57C7" w:rsidRPr="008E4EA2" w:rsidRDefault="004B57C7"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lastRenderedPageBreak/>
        <w:t>Tabula Nr.</w:t>
      </w:r>
      <w:r w:rsidR="00E62148">
        <w:rPr>
          <w:rFonts w:eastAsia="EUAlbertina-Bold-Identity-H"/>
          <w:color w:val="000000" w:themeColor="text1"/>
          <w:szCs w:val="24"/>
          <w:lang w:eastAsia="lv-LV"/>
        </w:rPr>
        <w:t>1</w:t>
      </w:r>
      <w:r w:rsidRPr="008E4EA2">
        <w:rPr>
          <w:rFonts w:eastAsia="EUAlbertina-Bold-Identity-H"/>
          <w:color w:val="000000" w:themeColor="text1"/>
          <w:szCs w:val="24"/>
          <w:lang w:eastAsia="lv-LV"/>
        </w:rPr>
        <w:t xml:space="preserve"> </w:t>
      </w:r>
      <w:r w:rsidR="00B530D8" w:rsidRPr="008E4EA2">
        <w:rPr>
          <w:rFonts w:eastAsia="EUAlbertina-Bold-Identity-H"/>
          <w:i/>
          <w:color w:val="000000" w:themeColor="text1"/>
          <w:szCs w:val="24"/>
          <w:lang w:eastAsia="lv-LV"/>
        </w:rPr>
        <w:t>„Ierosināto dienesta izmeklēšanu un disciplinārlietu skaits 2012.gada trešajā ceturksnī, saistībā ar konstatētajām neatbilstībām valsts budžeta iestāžu īstenotajos projektos, kuri līdzfinansēti no ES fondu 2007. – 2013. gada plānošanas perioda, EEZ/Norvēģijas finanšu instrumentu un Latvijas Šveices sadarbības programmām.</w:t>
      </w:r>
      <w:r w:rsidRPr="008E4EA2">
        <w:rPr>
          <w:rFonts w:eastAsia="EUAlbertina-Bold-Identity-H"/>
          <w:i/>
          <w:color w:val="000000" w:themeColor="text1"/>
          <w:szCs w:val="24"/>
          <w:lang w:eastAsia="lv-LV"/>
        </w:rPr>
        <w:t>”</w:t>
      </w:r>
    </w:p>
    <w:tbl>
      <w:tblPr>
        <w:tblW w:w="94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636"/>
        <w:gridCol w:w="1691"/>
        <w:gridCol w:w="1962"/>
        <w:gridCol w:w="2905"/>
      </w:tblGrid>
      <w:tr w:rsidR="00B530D8" w:rsidRPr="00321C19" w:rsidTr="00B530D8">
        <w:trPr>
          <w:trHeight w:val="992"/>
          <w:jc w:val="center"/>
        </w:trPr>
        <w:tc>
          <w:tcPr>
            <w:tcW w:w="1235" w:type="dxa"/>
            <w:shd w:val="clear" w:color="auto" w:fill="EAF1DD" w:themeFill="accent3" w:themeFillTint="33"/>
            <w:vAlign w:val="center"/>
          </w:tcPr>
          <w:p w:rsidR="00B530D8" w:rsidRPr="00321C19" w:rsidRDefault="00B530D8" w:rsidP="00D120DB">
            <w:pPr>
              <w:rPr>
                <w:rFonts w:eastAsia="EUAlbertina-Bold-Identity-H"/>
                <w:b/>
                <w:color w:val="000000" w:themeColor="text1"/>
                <w:szCs w:val="24"/>
                <w:lang w:eastAsia="lv-LV"/>
              </w:rPr>
            </w:pPr>
            <w:r w:rsidRPr="00321C19">
              <w:rPr>
                <w:rFonts w:eastAsia="EUAlbertina-Bold-Identity-H"/>
                <w:b/>
                <w:color w:val="000000" w:themeColor="text1"/>
                <w:szCs w:val="24"/>
                <w:lang w:eastAsia="lv-LV"/>
              </w:rPr>
              <w:t>Resors</w:t>
            </w:r>
          </w:p>
        </w:tc>
        <w:tc>
          <w:tcPr>
            <w:tcW w:w="1636" w:type="dxa"/>
            <w:shd w:val="clear" w:color="auto" w:fill="EAF1DD" w:themeFill="accent3" w:themeFillTint="33"/>
            <w:vAlign w:val="center"/>
          </w:tcPr>
          <w:p w:rsidR="00B530D8" w:rsidRPr="00321C19" w:rsidRDefault="00B530D8" w:rsidP="00D120DB">
            <w:pPr>
              <w:rPr>
                <w:rFonts w:eastAsia="EUAlbertina-Bold-Identity-H"/>
                <w:b/>
                <w:color w:val="000000" w:themeColor="text1"/>
                <w:szCs w:val="24"/>
                <w:lang w:eastAsia="lv-LV"/>
              </w:rPr>
            </w:pPr>
            <w:r w:rsidRPr="00321C19">
              <w:rPr>
                <w:rFonts w:eastAsia="EUAlbertina-Bold-Identity-H"/>
                <w:b/>
                <w:color w:val="000000" w:themeColor="text1"/>
                <w:szCs w:val="24"/>
                <w:lang w:eastAsia="lv-LV"/>
              </w:rPr>
              <w:t>Neatbilstību skaits virs 85 latiem (summa latos)*</w:t>
            </w:r>
          </w:p>
        </w:tc>
        <w:tc>
          <w:tcPr>
            <w:tcW w:w="1691" w:type="dxa"/>
            <w:shd w:val="clear" w:color="auto" w:fill="EAF1DD" w:themeFill="accent3" w:themeFillTint="33"/>
            <w:vAlign w:val="center"/>
          </w:tcPr>
          <w:p w:rsidR="00B530D8" w:rsidRPr="00321C19" w:rsidRDefault="00B530D8" w:rsidP="00D120DB">
            <w:pPr>
              <w:rPr>
                <w:rFonts w:eastAsia="EUAlbertina-Bold-Identity-H"/>
                <w:b/>
                <w:color w:val="000000" w:themeColor="text1"/>
                <w:szCs w:val="24"/>
                <w:lang w:eastAsia="lv-LV"/>
              </w:rPr>
            </w:pPr>
            <w:r w:rsidRPr="00321C19">
              <w:rPr>
                <w:rFonts w:eastAsia="EUAlbertina-Bold-Identity-H"/>
                <w:b/>
                <w:color w:val="000000" w:themeColor="text1"/>
                <w:szCs w:val="24"/>
                <w:lang w:eastAsia="lv-LV"/>
              </w:rPr>
              <w:t>Ierosināto izmeklēšanu skaits*</w:t>
            </w:r>
          </w:p>
        </w:tc>
        <w:tc>
          <w:tcPr>
            <w:tcW w:w="1962" w:type="dxa"/>
            <w:shd w:val="clear" w:color="auto" w:fill="EAF1DD" w:themeFill="accent3" w:themeFillTint="33"/>
            <w:vAlign w:val="center"/>
          </w:tcPr>
          <w:p w:rsidR="00B530D8" w:rsidRPr="00321C19" w:rsidRDefault="00B530D8" w:rsidP="00D120DB">
            <w:pPr>
              <w:rPr>
                <w:rFonts w:eastAsia="EUAlbertina-Bold-Identity-H"/>
                <w:b/>
                <w:color w:val="000000" w:themeColor="text1"/>
                <w:szCs w:val="24"/>
                <w:lang w:eastAsia="lv-LV"/>
              </w:rPr>
            </w:pPr>
            <w:r w:rsidRPr="00321C19">
              <w:rPr>
                <w:rFonts w:eastAsia="EUAlbertina-Bold-Identity-H"/>
                <w:b/>
                <w:color w:val="000000" w:themeColor="text1"/>
                <w:szCs w:val="24"/>
                <w:lang w:eastAsia="lv-LV"/>
              </w:rPr>
              <w:t>Ierosināto disciplinārlietu skaits*</w:t>
            </w:r>
          </w:p>
        </w:tc>
        <w:tc>
          <w:tcPr>
            <w:tcW w:w="2905" w:type="dxa"/>
            <w:shd w:val="clear" w:color="auto" w:fill="EAF1DD" w:themeFill="accent3" w:themeFillTint="33"/>
            <w:vAlign w:val="center"/>
          </w:tcPr>
          <w:p w:rsidR="00B530D8" w:rsidRPr="00321C19" w:rsidRDefault="00B530D8" w:rsidP="00D120DB">
            <w:pPr>
              <w:rPr>
                <w:rFonts w:eastAsia="EUAlbertina-Bold-Identity-H"/>
                <w:b/>
                <w:color w:val="000000" w:themeColor="text1"/>
                <w:szCs w:val="24"/>
                <w:lang w:eastAsia="lv-LV"/>
              </w:rPr>
            </w:pPr>
            <w:r w:rsidRPr="00321C19">
              <w:rPr>
                <w:rFonts w:eastAsia="EUAlbertina-Bold-Identity-H"/>
                <w:b/>
                <w:color w:val="000000" w:themeColor="text1"/>
                <w:szCs w:val="24"/>
                <w:lang w:eastAsia="lv-LV"/>
              </w:rPr>
              <w:t>Ierosināto disciplinārlietu apraksts*</w:t>
            </w:r>
          </w:p>
        </w:tc>
      </w:tr>
      <w:tr w:rsidR="00B530D8" w:rsidRPr="00321C19" w:rsidTr="00D120DB">
        <w:trPr>
          <w:trHeight w:val="642"/>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LM</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6 (</w:t>
            </w:r>
            <w:r w:rsidR="00686DC8" w:rsidRPr="00321C19">
              <w:rPr>
                <w:rFonts w:eastAsia="EUAlbertina-Bold-Identity-H"/>
                <w:color w:val="000000" w:themeColor="text1"/>
                <w:szCs w:val="24"/>
                <w:lang w:eastAsia="lv-LV"/>
              </w:rPr>
              <w:t>5545,</w:t>
            </w:r>
            <w:r w:rsidR="00E8152E" w:rsidRPr="00321C19">
              <w:rPr>
                <w:rFonts w:eastAsia="EUAlbertina-Bold-Identity-H"/>
                <w:color w:val="000000" w:themeColor="text1"/>
                <w:szCs w:val="24"/>
                <w:lang w:eastAsia="lv-LV"/>
              </w:rPr>
              <w:t>03</w:t>
            </w:r>
            <w:r w:rsidRPr="00321C19">
              <w:rPr>
                <w:rFonts w:eastAsia="EUAlbertina-Bold-Identity-H"/>
                <w:color w:val="000000" w:themeColor="text1"/>
                <w:szCs w:val="24"/>
                <w:lang w:eastAsia="lv-LV"/>
              </w:rPr>
              <w:t>)</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6</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0D8" w:rsidRPr="00321C19" w:rsidRDefault="00E8152E"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1</w:t>
            </w:r>
          </w:p>
        </w:tc>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Dienesta pienākumu nekvalitatīva pildīšana</w:t>
            </w:r>
          </w:p>
        </w:tc>
      </w:tr>
      <w:tr w:rsidR="00B530D8" w:rsidRPr="00321C19" w:rsidTr="00B530D8">
        <w:trPr>
          <w:trHeight w:val="407"/>
          <w:jc w:val="center"/>
        </w:trPr>
        <w:tc>
          <w:tcPr>
            <w:tcW w:w="1235"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VM</w:t>
            </w:r>
          </w:p>
        </w:tc>
        <w:tc>
          <w:tcPr>
            <w:tcW w:w="1636" w:type="dxa"/>
            <w:shd w:val="clear" w:color="auto" w:fill="auto"/>
            <w:vAlign w:val="center"/>
          </w:tcPr>
          <w:p w:rsidR="00B530D8" w:rsidRPr="00321C19" w:rsidRDefault="008B28ED"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9 (33 290,95)</w:t>
            </w:r>
          </w:p>
        </w:tc>
        <w:tc>
          <w:tcPr>
            <w:tcW w:w="1691" w:type="dxa"/>
            <w:shd w:val="clear" w:color="auto" w:fill="auto"/>
            <w:vAlign w:val="center"/>
          </w:tcPr>
          <w:p w:rsidR="00B530D8" w:rsidRPr="00321C19" w:rsidRDefault="008B28ED"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1962"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2905" w:type="dxa"/>
            <w:shd w:val="clear" w:color="auto" w:fill="auto"/>
            <w:vAlign w:val="center"/>
          </w:tcPr>
          <w:p w:rsidR="00B530D8" w:rsidRPr="00321C19" w:rsidRDefault="008B28ED"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w:t>
            </w:r>
          </w:p>
        </w:tc>
      </w:tr>
      <w:tr w:rsidR="00B530D8" w:rsidRPr="00321C19" w:rsidTr="00B530D8">
        <w:trPr>
          <w:trHeight w:val="407"/>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EM</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0D8" w:rsidRPr="00321C19" w:rsidRDefault="008B28ED"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5</w:t>
            </w:r>
            <w:r w:rsidR="00B530D8" w:rsidRPr="00321C19">
              <w:rPr>
                <w:rFonts w:eastAsia="EUAlbertina-Bold-Identity-H"/>
                <w:color w:val="000000" w:themeColor="text1"/>
                <w:szCs w:val="24"/>
                <w:lang w:eastAsia="lv-LV"/>
              </w:rPr>
              <w:t xml:space="preserve"> (</w:t>
            </w:r>
            <w:r w:rsidRPr="00321C19">
              <w:rPr>
                <w:rFonts w:eastAsia="EUAlbertina-Bold-Identity-H"/>
                <w:color w:val="000000" w:themeColor="text1"/>
                <w:szCs w:val="24"/>
                <w:lang w:eastAsia="lv-LV"/>
              </w:rPr>
              <w:t>36</w:t>
            </w:r>
            <w:r w:rsidR="00032804">
              <w:rPr>
                <w:rFonts w:eastAsia="EUAlbertina-Bold-Identity-H"/>
                <w:color w:val="000000" w:themeColor="text1"/>
                <w:szCs w:val="24"/>
                <w:lang w:eastAsia="lv-LV"/>
              </w:rPr>
              <w:t> </w:t>
            </w:r>
            <w:r w:rsidRPr="00321C19">
              <w:rPr>
                <w:rFonts w:eastAsia="EUAlbertina-Bold-Identity-H"/>
                <w:color w:val="000000" w:themeColor="text1"/>
                <w:szCs w:val="24"/>
                <w:lang w:eastAsia="lv-LV"/>
              </w:rPr>
              <w:t>969</w:t>
            </w:r>
            <w:r w:rsidR="00032804">
              <w:rPr>
                <w:rFonts w:eastAsia="EUAlbertina-Bold-Identity-H"/>
                <w:color w:val="000000" w:themeColor="text1"/>
                <w:szCs w:val="24"/>
                <w:lang w:eastAsia="lv-LV"/>
              </w:rPr>
              <w:t>,</w:t>
            </w:r>
            <w:r w:rsidRPr="00321C19">
              <w:rPr>
                <w:rFonts w:eastAsia="EUAlbertina-Bold-Identity-H"/>
                <w:color w:val="000000" w:themeColor="text1"/>
                <w:szCs w:val="24"/>
                <w:lang w:eastAsia="lv-LV"/>
              </w:rPr>
              <w:t>1</w:t>
            </w:r>
            <w:r w:rsidR="00B530D8" w:rsidRPr="00321C19">
              <w:rPr>
                <w:rFonts w:eastAsia="EUAlbertina-Bold-Identity-H"/>
                <w:color w:val="000000" w:themeColor="text1"/>
                <w:szCs w:val="24"/>
                <w:lang w:eastAsia="lv-LV"/>
              </w:rPr>
              <w:t>)</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w:t>
            </w:r>
          </w:p>
        </w:tc>
      </w:tr>
      <w:tr w:rsidR="00B530D8" w:rsidRPr="00321C19" w:rsidTr="00B530D8">
        <w:trPr>
          <w:trHeight w:val="286"/>
          <w:jc w:val="center"/>
        </w:trPr>
        <w:tc>
          <w:tcPr>
            <w:tcW w:w="1235"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SM</w:t>
            </w:r>
          </w:p>
        </w:tc>
        <w:tc>
          <w:tcPr>
            <w:tcW w:w="1636" w:type="dxa"/>
            <w:shd w:val="clear" w:color="auto" w:fill="auto"/>
            <w:vAlign w:val="center"/>
          </w:tcPr>
          <w:p w:rsidR="00B530D8" w:rsidRPr="00321C19" w:rsidRDefault="00A2236A"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1 (120 115,00)</w:t>
            </w:r>
          </w:p>
        </w:tc>
        <w:tc>
          <w:tcPr>
            <w:tcW w:w="1691"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1962"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2905" w:type="dxa"/>
            <w:shd w:val="clear" w:color="auto" w:fill="auto"/>
            <w:vAlign w:val="center"/>
          </w:tcPr>
          <w:p w:rsidR="00B530D8" w:rsidRPr="00321C19" w:rsidRDefault="00A2236A"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Atbilstoši SM sniegtajam skaidrojumam dienesta pārbaude nav veikta, jo konstatēts, ka konkrētais pārkāpums klasificējams, ka kļūda.</w:t>
            </w:r>
            <w:r w:rsidR="005E1672">
              <w:rPr>
                <w:rFonts w:eastAsia="EUAlbertina-Bold-Identity-H"/>
                <w:color w:val="000000" w:themeColor="text1"/>
                <w:szCs w:val="24"/>
                <w:lang w:eastAsia="lv-LV"/>
              </w:rPr>
              <w:t xml:space="preserve"> </w:t>
            </w:r>
          </w:p>
        </w:tc>
      </w:tr>
      <w:tr w:rsidR="00B530D8" w:rsidRPr="00321C19" w:rsidTr="00B530D8">
        <w:trPr>
          <w:trHeight w:val="375"/>
          <w:jc w:val="center"/>
        </w:trPr>
        <w:tc>
          <w:tcPr>
            <w:tcW w:w="1235" w:type="dxa"/>
            <w:shd w:val="clear" w:color="auto" w:fill="auto"/>
            <w:vAlign w:val="center"/>
          </w:tcPr>
          <w:p w:rsidR="00B530D8" w:rsidRPr="00321C19" w:rsidRDefault="00B530D8" w:rsidP="00D120DB">
            <w:pPr>
              <w:rPr>
                <w:rFonts w:eastAsia="EUAlbertina-Bold-Identity-H"/>
                <w:color w:val="000000" w:themeColor="text1"/>
                <w:szCs w:val="24"/>
                <w:lang w:eastAsia="lv-LV"/>
              </w:rPr>
            </w:pPr>
            <w:proofErr w:type="spellStart"/>
            <w:r w:rsidRPr="00321C19">
              <w:rPr>
                <w:rFonts w:eastAsia="EUAlbertina-Bold-Identity-H"/>
                <w:color w:val="000000" w:themeColor="text1"/>
                <w:szCs w:val="24"/>
                <w:lang w:eastAsia="lv-LV"/>
              </w:rPr>
              <w:t>Vkanc</w:t>
            </w:r>
            <w:proofErr w:type="spellEnd"/>
          </w:p>
        </w:tc>
        <w:tc>
          <w:tcPr>
            <w:tcW w:w="1636" w:type="dxa"/>
            <w:shd w:val="clear" w:color="auto" w:fill="auto"/>
            <w:vAlign w:val="center"/>
          </w:tcPr>
          <w:p w:rsidR="00B530D8" w:rsidRPr="00321C19" w:rsidRDefault="000F7C71"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1</w:t>
            </w:r>
          </w:p>
        </w:tc>
        <w:tc>
          <w:tcPr>
            <w:tcW w:w="1691"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1962"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2905"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w:t>
            </w:r>
          </w:p>
        </w:tc>
      </w:tr>
      <w:tr w:rsidR="00A2236A" w:rsidRPr="00321C19" w:rsidTr="00B530D8">
        <w:trPr>
          <w:trHeight w:val="375"/>
          <w:jc w:val="center"/>
        </w:trPr>
        <w:tc>
          <w:tcPr>
            <w:tcW w:w="1235" w:type="dxa"/>
            <w:shd w:val="clear" w:color="auto" w:fill="auto"/>
            <w:vAlign w:val="center"/>
          </w:tcPr>
          <w:p w:rsidR="00A2236A" w:rsidRPr="00321C19" w:rsidRDefault="00A2236A"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SIF</w:t>
            </w:r>
          </w:p>
        </w:tc>
        <w:tc>
          <w:tcPr>
            <w:tcW w:w="1636" w:type="dxa"/>
            <w:shd w:val="clear" w:color="auto" w:fill="auto"/>
            <w:vAlign w:val="center"/>
          </w:tcPr>
          <w:p w:rsidR="00A2236A" w:rsidRPr="00321C19" w:rsidRDefault="00A2236A"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1691" w:type="dxa"/>
            <w:shd w:val="clear" w:color="auto" w:fill="auto"/>
            <w:vAlign w:val="center"/>
          </w:tcPr>
          <w:p w:rsidR="00A2236A" w:rsidRPr="00321C19" w:rsidRDefault="00A2236A"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1962" w:type="dxa"/>
            <w:shd w:val="clear" w:color="auto" w:fill="auto"/>
            <w:vAlign w:val="center"/>
          </w:tcPr>
          <w:p w:rsidR="00A2236A" w:rsidRPr="00321C19" w:rsidRDefault="00A2236A"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2905" w:type="dxa"/>
            <w:shd w:val="clear" w:color="auto" w:fill="auto"/>
            <w:vAlign w:val="center"/>
          </w:tcPr>
          <w:p w:rsidR="00A2236A" w:rsidRPr="00321C19" w:rsidRDefault="00A2236A"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w:t>
            </w:r>
          </w:p>
        </w:tc>
      </w:tr>
      <w:tr w:rsidR="00B530D8" w:rsidRPr="00321C19" w:rsidTr="00B530D8">
        <w:trPr>
          <w:trHeight w:val="267"/>
          <w:jc w:val="center"/>
        </w:trPr>
        <w:tc>
          <w:tcPr>
            <w:tcW w:w="1235"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KM</w:t>
            </w:r>
          </w:p>
        </w:tc>
        <w:tc>
          <w:tcPr>
            <w:tcW w:w="1636" w:type="dxa"/>
            <w:shd w:val="clear" w:color="auto" w:fill="auto"/>
            <w:vAlign w:val="center"/>
          </w:tcPr>
          <w:p w:rsidR="00B530D8" w:rsidRPr="00321C19" w:rsidRDefault="008B28ED"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1691" w:type="dxa"/>
            <w:shd w:val="clear" w:color="auto" w:fill="auto"/>
            <w:vAlign w:val="center"/>
          </w:tcPr>
          <w:p w:rsidR="00B530D8" w:rsidRPr="00321C19" w:rsidRDefault="001C0B87"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5</w:t>
            </w:r>
            <w:r w:rsidRPr="00321C19">
              <w:rPr>
                <w:rStyle w:val="FootnoteReference"/>
                <w:rFonts w:eastAsia="EUAlbertina-Bold-Identity-H"/>
                <w:color w:val="000000" w:themeColor="text1"/>
                <w:szCs w:val="24"/>
                <w:lang w:eastAsia="lv-LV"/>
              </w:rPr>
              <w:footnoteReference w:id="11"/>
            </w:r>
          </w:p>
        </w:tc>
        <w:tc>
          <w:tcPr>
            <w:tcW w:w="1962"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2905"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w:t>
            </w:r>
          </w:p>
        </w:tc>
      </w:tr>
      <w:tr w:rsidR="00B530D8" w:rsidRPr="00321C19" w:rsidTr="00B530D8">
        <w:trPr>
          <w:trHeight w:val="372"/>
          <w:jc w:val="center"/>
        </w:trPr>
        <w:tc>
          <w:tcPr>
            <w:tcW w:w="1235"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VARAM</w:t>
            </w:r>
          </w:p>
        </w:tc>
        <w:tc>
          <w:tcPr>
            <w:tcW w:w="1636" w:type="dxa"/>
            <w:shd w:val="clear" w:color="auto" w:fill="auto"/>
            <w:vAlign w:val="center"/>
          </w:tcPr>
          <w:p w:rsidR="00B530D8" w:rsidRPr="00321C19" w:rsidRDefault="006B5681"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3</w:t>
            </w:r>
            <w:r w:rsidR="00B530D8" w:rsidRPr="00321C19">
              <w:rPr>
                <w:rFonts w:eastAsia="EUAlbertina-Bold-Identity-H"/>
                <w:color w:val="000000" w:themeColor="text1"/>
                <w:szCs w:val="24"/>
                <w:lang w:eastAsia="lv-LV"/>
              </w:rPr>
              <w:t xml:space="preserve"> (</w:t>
            </w:r>
            <w:r w:rsidR="00686DC8" w:rsidRPr="00321C19">
              <w:rPr>
                <w:rFonts w:eastAsia="EUAlbertina-Bold-Identity-H"/>
                <w:color w:val="000000" w:themeColor="text1"/>
                <w:szCs w:val="24"/>
                <w:lang w:eastAsia="lv-LV"/>
              </w:rPr>
              <w:t>134509,</w:t>
            </w:r>
            <w:r w:rsidRPr="00321C19">
              <w:rPr>
                <w:rFonts w:eastAsia="EUAlbertina-Bold-Identity-H"/>
                <w:color w:val="000000" w:themeColor="text1"/>
                <w:szCs w:val="24"/>
                <w:lang w:eastAsia="lv-LV"/>
              </w:rPr>
              <w:t>42</w:t>
            </w:r>
            <w:r w:rsidR="00B530D8" w:rsidRPr="00321C19">
              <w:rPr>
                <w:rFonts w:eastAsia="EUAlbertina-Bold-Identity-H"/>
                <w:color w:val="000000" w:themeColor="text1"/>
                <w:szCs w:val="24"/>
                <w:lang w:eastAsia="lv-LV"/>
              </w:rPr>
              <w:t>)</w:t>
            </w:r>
          </w:p>
        </w:tc>
        <w:tc>
          <w:tcPr>
            <w:tcW w:w="1691"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1</w:t>
            </w:r>
            <w:r w:rsidR="006B5681" w:rsidRPr="00321C19">
              <w:rPr>
                <w:rStyle w:val="FootnoteReference"/>
                <w:rFonts w:eastAsia="EUAlbertina-Bold-Identity-H"/>
                <w:color w:val="000000" w:themeColor="text1"/>
                <w:szCs w:val="24"/>
                <w:lang w:eastAsia="lv-LV"/>
              </w:rPr>
              <w:footnoteReference w:id="12"/>
            </w:r>
          </w:p>
        </w:tc>
        <w:tc>
          <w:tcPr>
            <w:tcW w:w="1962"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2905"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w:t>
            </w:r>
          </w:p>
        </w:tc>
      </w:tr>
      <w:tr w:rsidR="00B530D8" w:rsidRPr="00321C19" w:rsidTr="00B530D8">
        <w:trPr>
          <w:trHeight w:val="277"/>
          <w:jc w:val="center"/>
        </w:trPr>
        <w:tc>
          <w:tcPr>
            <w:tcW w:w="1235"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TM</w:t>
            </w:r>
          </w:p>
        </w:tc>
        <w:tc>
          <w:tcPr>
            <w:tcW w:w="1636" w:type="dxa"/>
            <w:shd w:val="clear" w:color="auto" w:fill="auto"/>
            <w:vAlign w:val="center"/>
          </w:tcPr>
          <w:p w:rsidR="00B530D8" w:rsidRPr="00321C19" w:rsidRDefault="000F7C71"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1</w:t>
            </w:r>
            <w:r w:rsidRPr="00321C19">
              <w:rPr>
                <w:rStyle w:val="FootnoteReference"/>
                <w:rFonts w:eastAsia="EUAlbertina-Bold-Identity-H"/>
                <w:color w:val="000000" w:themeColor="text1"/>
                <w:szCs w:val="24"/>
                <w:lang w:eastAsia="lv-LV"/>
              </w:rPr>
              <w:footnoteReference w:id="13"/>
            </w:r>
          </w:p>
        </w:tc>
        <w:tc>
          <w:tcPr>
            <w:tcW w:w="1691"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1962"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2905"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w:t>
            </w:r>
          </w:p>
        </w:tc>
      </w:tr>
      <w:tr w:rsidR="00B530D8" w:rsidRPr="00321C19" w:rsidTr="00B530D8">
        <w:trPr>
          <w:trHeight w:val="368"/>
          <w:jc w:val="center"/>
        </w:trPr>
        <w:tc>
          <w:tcPr>
            <w:tcW w:w="1235"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IeM</w:t>
            </w:r>
          </w:p>
        </w:tc>
        <w:tc>
          <w:tcPr>
            <w:tcW w:w="1636"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1691"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1962"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2905"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w:t>
            </w:r>
          </w:p>
        </w:tc>
      </w:tr>
      <w:tr w:rsidR="00B530D8" w:rsidRPr="00321C19" w:rsidTr="00B530D8">
        <w:trPr>
          <w:trHeight w:val="368"/>
          <w:jc w:val="center"/>
        </w:trPr>
        <w:tc>
          <w:tcPr>
            <w:tcW w:w="1235"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ZM</w:t>
            </w:r>
          </w:p>
        </w:tc>
        <w:tc>
          <w:tcPr>
            <w:tcW w:w="1636"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1691"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1962"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2905" w:type="dxa"/>
            <w:shd w:val="clear" w:color="auto" w:fill="auto"/>
            <w:vAlign w:val="center"/>
          </w:tcPr>
          <w:p w:rsidR="00B530D8" w:rsidRPr="00321C19" w:rsidRDefault="008B28ED"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w:t>
            </w:r>
          </w:p>
        </w:tc>
      </w:tr>
      <w:tr w:rsidR="00B530D8" w:rsidRPr="00321C19" w:rsidTr="00B530D8">
        <w:trPr>
          <w:trHeight w:val="698"/>
          <w:jc w:val="center"/>
        </w:trPr>
        <w:tc>
          <w:tcPr>
            <w:tcW w:w="1235"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IZM</w:t>
            </w:r>
          </w:p>
        </w:tc>
        <w:tc>
          <w:tcPr>
            <w:tcW w:w="1636" w:type="dxa"/>
            <w:shd w:val="clear" w:color="auto" w:fill="auto"/>
            <w:vAlign w:val="center"/>
          </w:tcPr>
          <w:p w:rsidR="00B530D8" w:rsidRPr="00321C19" w:rsidRDefault="008B28ED"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 xml:space="preserve">97 </w:t>
            </w:r>
            <w:r w:rsidR="001C0B87" w:rsidRPr="00321C19">
              <w:rPr>
                <w:rStyle w:val="FootnoteReference"/>
                <w:rFonts w:eastAsia="EUAlbertina-Bold-Identity-H"/>
                <w:color w:val="000000" w:themeColor="text1"/>
                <w:szCs w:val="24"/>
                <w:lang w:eastAsia="lv-LV"/>
              </w:rPr>
              <w:footnoteReference w:id="14"/>
            </w:r>
            <w:r w:rsidR="00D120DB">
              <w:rPr>
                <w:rFonts w:eastAsia="EUAlbertina-Bold-Identity-H"/>
                <w:color w:val="000000" w:themeColor="text1"/>
                <w:szCs w:val="24"/>
                <w:lang w:eastAsia="lv-LV"/>
              </w:rPr>
              <w:t xml:space="preserve"> </w:t>
            </w:r>
            <w:r w:rsidRPr="00321C19">
              <w:rPr>
                <w:rFonts w:eastAsia="EUAlbertina-Bold-Identity-H"/>
                <w:color w:val="000000" w:themeColor="text1"/>
                <w:szCs w:val="24"/>
                <w:lang w:eastAsia="lv-LV"/>
              </w:rPr>
              <w:t>(265</w:t>
            </w:r>
            <w:r w:rsidR="00032804">
              <w:rPr>
                <w:rFonts w:eastAsia="EUAlbertina-Bold-Identity-H"/>
                <w:color w:val="000000" w:themeColor="text1"/>
                <w:szCs w:val="24"/>
                <w:lang w:eastAsia="lv-LV"/>
              </w:rPr>
              <w:t> </w:t>
            </w:r>
            <w:r w:rsidRPr="00321C19">
              <w:rPr>
                <w:rFonts w:eastAsia="EUAlbertina-Bold-Identity-H"/>
                <w:color w:val="000000" w:themeColor="text1"/>
                <w:szCs w:val="24"/>
                <w:lang w:eastAsia="lv-LV"/>
              </w:rPr>
              <w:t>410</w:t>
            </w:r>
            <w:r w:rsidR="00032804">
              <w:rPr>
                <w:rFonts w:eastAsia="EUAlbertina-Bold-Identity-H"/>
                <w:color w:val="000000" w:themeColor="text1"/>
                <w:szCs w:val="24"/>
                <w:lang w:eastAsia="lv-LV"/>
              </w:rPr>
              <w:t>,</w:t>
            </w:r>
            <w:r w:rsidRPr="00321C19">
              <w:rPr>
                <w:rFonts w:eastAsia="EUAlbertina-Bold-Identity-H"/>
                <w:color w:val="000000" w:themeColor="text1"/>
                <w:szCs w:val="24"/>
                <w:lang w:eastAsia="lv-LV"/>
              </w:rPr>
              <w:t>96)</w:t>
            </w:r>
          </w:p>
        </w:tc>
        <w:tc>
          <w:tcPr>
            <w:tcW w:w="1691"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1962"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2905"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w:t>
            </w:r>
          </w:p>
        </w:tc>
      </w:tr>
      <w:tr w:rsidR="00B530D8" w:rsidRPr="00321C19" w:rsidTr="00B530D8">
        <w:trPr>
          <w:trHeight w:val="698"/>
          <w:jc w:val="center"/>
        </w:trPr>
        <w:tc>
          <w:tcPr>
            <w:tcW w:w="1235"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FM</w:t>
            </w:r>
          </w:p>
        </w:tc>
        <w:tc>
          <w:tcPr>
            <w:tcW w:w="1636"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1691"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1962"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0</w:t>
            </w:r>
          </w:p>
        </w:tc>
        <w:tc>
          <w:tcPr>
            <w:tcW w:w="2905" w:type="dxa"/>
            <w:shd w:val="clear" w:color="auto" w:fill="auto"/>
            <w:vAlign w:val="center"/>
          </w:tcPr>
          <w:p w:rsidR="00B530D8" w:rsidRPr="00321C19" w:rsidRDefault="00B530D8" w:rsidP="00D120DB">
            <w:pPr>
              <w:rPr>
                <w:rFonts w:eastAsia="EUAlbertina-Bold-Identity-H"/>
                <w:color w:val="000000" w:themeColor="text1"/>
                <w:szCs w:val="24"/>
                <w:lang w:eastAsia="lv-LV"/>
              </w:rPr>
            </w:pPr>
            <w:r w:rsidRPr="00321C19">
              <w:rPr>
                <w:rFonts w:eastAsia="EUAlbertina-Bold-Identity-H"/>
                <w:color w:val="000000" w:themeColor="text1"/>
                <w:szCs w:val="24"/>
                <w:lang w:eastAsia="lv-LV"/>
              </w:rPr>
              <w:t>-</w:t>
            </w:r>
          </w:p>
        </w:tc>
      </w:tr>
    </w:tbl>
    <w:p w:rsidR="001F2F61" w:rsidRPr="00032804" w:rsidRDefault="001F2F61" w:rsidP="003A0029">
      <w:pPr>
        <w:spacing w:before="120" w:after="120" w:line="276" w:lineRule="auto"/>
        <w:rPr>
          <w:rFonts w:eastAsia="EUAlbertina-Bold-Identity-H"/>
          <w:color w:val="000000" w:themeColor="text1"/>
          <w:sz w:val="20"/>
          <w:lang w:eastAsia="lv-LV"/>
        </w:rPr>
      </w:pPr>
      <w:r w:rsidRPr="00032804">
        <w:rPr>
          <w:rFonts w:eastAsia="EUAlbertina-Bold-Identity-H"/>
          <w:color w:val="000000" w:themeColor="text1"/>
          <w:sz w:val="20"/>
          <w:lang w:eastAsia="lv-LV"/>
        </w:rPr>
        <w:t>*</w:t>
      </w:r>
      <w:r w:rsidR="00FA181B" w:rsidRPr="00032804">
        <w:rPr>
          <w:rFonts w:eastAsia="EUAlbertina-Bold-Identity-H"/>
          <w:color w:val="000000" w:themeColor="text1"/>
          <w:sz w:val="20"/>
          <w:lang w:eastAsia="lv-LV"/>
        </w:rPr>
        <w:t xml:space="preserve">Atbilstoši </w:t>
      </w:r>
      <w:r w:rsidR="00B1400D" w:rsidRPr="00032804">
        <w:rPr>
          <w:rFonts w:eastAsia="EUAlbertina-Bold-Identity-H"/>
          <w:color w:val="000000" w:themeColor="text1"/>
          <w:sz w:val="20"/>
          <w:lang w:eastAsia="lv-LV"/>
        </w:rPr>
        <w:t>AI/SI sniegt</w:t>
      </w:r>
      <w:r w:rsidR="00FA181B" w:rsidRPr="00032804">
        <w:rPr>
          <w:rFonts w:eastAsia="EUAlbertina-Bold-Identity-H"/>
          <w:color w:val="000000" w:themeColor="text1"/>
          <w:sz w:val="20"/>
          <w:lang w:eastAsia="lv-LV"/>
        </w:rPr>
        <w:t>ai</w:t>
      </w:r>
      <w:r w:rsidR="00B1400D" w:rsidRPr="00032804">
        <w:rPr>
          <w:rFonts w:eastAsia="EUAlbertina-Bold-Identity-H"/>
          <w:color w:val="000000" w:themeColor="text1"/>
          <w:sz w:val="20"/>
          <w:lang w:eastAsia="lv-LV"/>
        </w:rPr>
        <w:t xml:space="preserve"> informācija</w:t>
      </w:r>
      <w:r w:rsidR="00FA181B" w:rsidRPr="00032804">
        <w:rPr>
          <w:rFonts w:eastAsia="EUAlbertina-Bold-Identity-H"/>
          <w:color w:val="000000" w:themeColor="text1"/>
          <w:sz w:val="20"/>
          <w:lang w:eastAsia="lv-LV"/>
        </w:rPr>
        <w:t>i</w:t>
      </w:r>
      <w:r w:rsidRPr="00032804">
        <w:rPr>
          <w:rFonts w:eastAsia="EUAlbertina-Bold-Identity-H"/>
          <w:color w:val="000000" w:themeColor="text1"/>
          <w:sz w:val="20"/>
          <w:lang w:eastAsia="lv-LV"/>
        </w:rPr>
        <w:t xml:space="preserve">. </w:t>
      </w:r>
    </w:p>
    <w:p w:rsidR="008B28ED" w:rsidRPr="008E4EA2" w:rsidRDefault="004B57C7" w:rsidP="003A0029">
      <w:pPr>
        <w:spacing w:before="120" w:after="120" w:line="276" w:lineRule="auto"/>
        <w:rPr>
          <w:rFonts w:eastAsia="EUAlbertina-Bold-Identity-H"/>
          <w:color w:val="000000" w:themeColor="text1"/>
          <w:szCs w:val="24"/>
          <w:lang w:eastAsia="lv-LV"/>
        </w:rPr>
      </w:pPr>
      <w:bookmarkStart w:id="81" w:name="_Toc318367102"/>
      <w:r w:rsidRPr="008E4EA2">
        <w:rPr>
          <w:rFonts w:eastAsia="EUAlbertina-Bold-Identity-H"/>
          <w:color w:val="000000" w:themeColor="text1"/>
          <w:szCs w:val="24"/>
          <w:lang w:eastAsia="lv-LV"/>
        </w:rPr>
        <w:t xml:space="preserve">Secinām, ka vēl joprojām </w:t>
      </w:r>
      <w:r w:rsidR="008B28ED" w:rsidRPr="008E4EA2">
        <w:rPr>
          <w:rFonts w:eastAsia="EUAlbertina-Bold-Identity-H"/>
          <w:color w:val="000000" w:themeColor="text1"/>
          <w:szCs w:val="24"/>
          <w:lang w:eastAsia="lv-LV"/>
        </w:rPr>
        <w:t>lielākā daļa i</w:t>
      </w:r>
      <w:r w:rsidRPr="008E4EA2">
        <w:rPr>
          <w:rFonts w:eastAsia="EUAlbertina-Bold-Identity-H"/>
          <w:color w:val="000000" w:themeColor="text1"/>
          <w:szCs w:val="24"/>
          <w:lang w:eastAsia="lv-LV"/>
        </w:rPr>
        <w:t xml:space="preserve">estādes </w:t>
      </w:r>
      <w:r w:rsidR="008B28ED" w:rsidRPr="008E4EA2">
        <w:rPr>
          <w:rFonts w:eastAsia="EUAlbertina-Bold-Identity-H"/>
          <w:color w:val="000000" w:themeColor="text1"/>
          <w:szCs w:val="24"/>
          <w:lang w:eastAsia="lv-LV"/>
        </w:rPr>
        <w:t>ne</w:t>
      </w:r>
      <w:r w:rsidRPr="008E4EA2">
        <w:rPr>
          <w:rFonts w:eastAsia="EUAlbertina-Bold-Identity-H"/>
          <w:color w:val="000000" w:themeColor="text1"/>
          <w:szCs w:val="24"/>
          <w:lang w:eastAsia="lv-LV"/>
        </w:rPr>
        <w:t xml:space="preserve">ierosina dienesta izmeklēšanas par konstatētajām neatbilstībām, tomēr ņemot vērā izrādīto interesi </w:t>
      </w:r>
      <w:r w:rsidR="002D56F6" w:rsidRPr="008E4EA2">
        <w:rPr>
          <w:rFonts w:eastAsia="EUAlbertina-Bold-Identity-H"/>
          <w:color w:val="000000" w:themeColor="text1"/>
          <w:szCs w:val="24"/>
          <w:lang w:eastAsia="lv-LV"/>
        </w:rPr>
        <w:t>(jautājums parunāts 2012.</w:t>
      </w:r>
      <w:r w:rsidRPr="008E4EA2">
        <w:rPr>
          <w:rFonts w:eastAsia="EUAlbertina-Bold-Identity-H"/>
          <w:color w:val="000000" w:themeColor="text1"/>
          <w:szCs w:val="24"/>
          <w:lang w:eastAsia="lv-LV"/>
        </w:rPr>
        <w:t>gada ce</w:t>
      </w:r>
      <w:r w:rsidR="006E4C99" w:rsidRPr="008E4EA2">
        <w:rPr>
          <w:rFonts w:eastAsia="EUAlbertina-Bold-Identity-H"/>
          <w:color w:val="000000" w:themeColor="text1"/>
          <w:szCs w:val="24"/>
          <w:lang w:eastAsia="lv-LV"/>
        </w:rPr>
        <w:t xml:space="preserve">turkšņa neatbilstību sanāksmē) </w:t>
      </w:r>
      <w:r w:rsidRPr="008E4EA2">
        <w:rPr>
          <w:rFonts w:eastAsia="EUAlbertina-Bold-Identity-H"/>
          <w:color w:val="000000" w:themeColor="text1"/>
          <w:szCs w:val="24"/>
          <w:lang w:eastAsia="lv-LV"/>
        </w:rPr>
        <w:t>par dienesta izmeklēšanu un disciplinārlietu ierosināšanu secinām, ka notiek darbs</w:t>
      </w:r>
      <w:r w:rsidR="00BB7235" w:rsidRPr="008E4EA2">
        <w:rPr>
          <w:rFonts w:eastAsia="EUAlbertina-Bold-Identity-H"/>
          <w:color w:val="000000" w:themeColor="text1"/>
          <w:szCs w:val="24"/>
          <w:lang w:eastAsia="lv-LV"/>
        </w:rPr>
        <w:t xml:space="preserve"> pie MK </w:t>
      </w:r>
      <w:proofErr w:type="spellStart"/>
      <w:r w:rsidR="00BB7235" w:rsidRPr="008E4EA2">
        <w:rPr>
          <w:rFonts w:eastAsia="EUAlbertina-Bold-Identity-H"/>
          <w:color w:val="000000" w:themeColor="text1"/>
          <w:szCs w:val="24"/>
          <w:lang w:eastAsia="lv-LV"/>
        </w:rPr>
        <w:t>protokollēmuma</w:t>
      </w:r>
      <w:proofErr w:type="spellEnd"/>
      <w:r w:rsidR="00BB7235" w:rsidRPr="008E4EA2">
        <w:rPr>
          <w:rFonts w:eastAsia="EUAlbertina-Bold-Identity-H"/>
          <w:color w:val="000000" w:themeColor="text1"/>
          <w:szCs w:val="24"/>
          <w:lang w:eastAsia="lv-LV"/>
        </w:rPr>
        <w:t xml:space="preserve"> izpildes</w:t>
      </w:r>
      <w:bookmarkStart w:id="82" w:name="_Toc324948891"/>
      <w:bookmarkEnd w:id="81"/>
      <w:r w:rsidR="00D120DB">
        <w:rPr>
          <w:rFonts w:eastAsia="EUAlbertina-Bold-Identity-H"/>
          <w:color w:val="000000" w:themeColor="text1"/>
          <w:szCs w:val="24"/>
          <w:lang w:eastAsia="lv-LV"/>
        </w:rPr>
        <w:t>.</w:t>
      </w:r>
    </w:p>
    <w:p w:rsidR="00B600F8" w:rsidRPr="008E4EA2" w:rsidRDefault="00B600F8" w:rsidP="003A0029">
      <w:pPr>
        <w:pStyle w:val="2lmenis"/>
        <w:numPr>
          <w:ilvl w:val="2"/>
          <w:numId w:val="2"/>
        </w:numPr>
        <w:spacing w:before="120" w:after="120" w:line="276" w:lineRule="auto"/>
        <w:jc w:val="both"/>
        <w:rPr>
          <w:color w:val="000000" w:themeColor="text1"/>
          <w:sz w:val="24"/>
          <w:szCs w:val="24"/>
          <w:lang w:val="lv-LV"/>
        </w:rPr>
      </w:pPr>
      <w:bookmarkStart w:id="83" w:name="_Toc340241715"/>
      <w:bookmarkStart w:id="84" w:name="_Toc276050004"/>
      <w:bookmarkEnd w:id="82"/>
      <w:r w:rsidRPr="008E4EA2">
        <w:rPr>
          <w:color w:val="000000" w:themeColor="text1"/>
          <w:sz w:val="24"/>
          <w:szCs w:val="24"/>
          <w:lang w:val="lv-LV"/>
        </w:rPr>
        <w:lastRenderedPageBreak/>
        <w:t>EEZ/Norvēģijas finanšu instrumenti</w:t>
      </w:r>
      <w:bookmarkEnd w:id="83"/>
    </w:p>
    <w:p w:rsidR="009B3BD9" w:rsidRPr="008E4EA2" w:rsidRDefault="009B3BD9" w:rsidP="003A0029">
      <w:pPr>
        <w:spacing w:before="120" w:after="120" w:line="276" w:lineRule="auto"/>
        <w:rPr>
          <w:color w:val="000000" w:themeColor="text1"/>
          <w:szCs w:val="24"/>
        </w:rPr>
      </w:pPr>
      <w:r w:rsidRPr="008E4EA2">
        <w:rPr>
          <w:rFonts w:eastAsia="EUAlbertina-Bold-Identity-H"/>
          <w:color w:val="000000" w:themeColor="text1"/>
          <w:szCs w:val="24"/>
          <w:lang w:eastAsia="lv-LV"/>
        </w:rPr>
        <w:t xml:space="preserve">2012.gada </w:t>
      </w:r>
      <w:r w:rsidR="00DA026E" w:rsidRPr="008E4EA2">
        <w:rPr>
          <w:rFonts w:eastAsia="EUAlbertina-Bold-Identity-H"/>
          <w:color w:val="000000" w:themeColor="text1"/>
          <w:szCs w:val="24"/>
          <w:lang w:eastAsia="lv-LV"/>
        </w:rPr>
        <w:t xml:space="preserve">trešajā </w:t>
      </w:r>
      <w:r w:rsidRPr="008E4EA2">
        <w:rPr>
          <w:rFonts w:eastAsia="EUAlbertina-Bold-Identity-H"/>
          <w:color w:val="000000" w:themeColor="text1"/>
          <w:szCs w:val="24"/>
          <w:lang w:eastAsia="lv-LV"/>
        </w:rPr>
        <w:t>ceturksnī neatbilstības netika konstatētas</w:t>
      </w:r>
      <w:r w:rsidR="00E13950" w:rsidRPr="008E4EA2">
        <w:rPr>
          <w:rFonts w:eastAsia="EUAlbertina-Bold-Identity-H"/>
          <w:color w:val="000000" w:themeColor="text1"/>
          <w:szCs w:val="24"/>
          <w:lang w:eastAsia="lv-LV"/>
        </w:rPr>
        <w:t xml:space="preserve">, otrajā ceturksnī neatbilstības bija konstatētas divos projektos 6 </w:t>
      </w:r>
      <w:proofErr w:type="spellStart"/>
      <w:r w:rsidR="00E13950" w:rsidRPr="008E4EA2">
        <w:rPr>
          <w:rFonts w:eastAsia="EUAlbertina-Bold-Identity-H"/>
          <w:color w:val="000000" w:themeColor="text1"/>
          <w:szCs w:val="24"/>
          <w:lang w:eastAsia="lv-LV"/>
        </w:rPr>
        <w:t>tūkst</w:t>
      </w:r>
      <w:proofErr w:type="spellEnd"/>
      <w:r w:rsidR="00E13950" w:rsidRPr="008E4EA2">
        <w:rPr>
          <w:rFonts w:eastAsia="EUAlbertina-Bold-Identity-H"/>
          <w:color w:val="000000" w:themeColor="text1"/>
          <w:szCs w:val="24"/>
          <w:lang w:eastAsia="lv-LV"/>
        </w:rPr>
        <w:t>. latu apmērā</w:t>
      </w:r>
      <w:r w:rsidRPr="008E4EA2">
        <w:rPr>
          <w:color w:val="000000" w:themeColor="text1"/>
          <w:szCs w:val="24"/>
        </w:rPr>
        <w:t>.</w:t>
      </w:r>
    </w:p>
    <w:p w:rsidR="00B600F8" w:rsidRPr="008E4EA2" w:rsidRDefault="009B3BD9"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CFLA un Valsts kase līdz pārskata perioda beigām par neattiecināmiem izdevumiem kopumā ir atzinušas 985 </w:t>
      </w:r>
      <w:proofErr w:type="spellStart"/>
      <w:r w:rsidRPr="008E4EA2">
        <w:rPr>
          <w:rFonts w:eastAsia="EUAlbertina-Bold-Identity-H"/>
          <w:color w:val="000000" w:themeColor="text1"/>
          <w:szCs w:val="24"/>
          <w:lang w:eastAsia="lv-LV"/>
        </w:rPr>
        <w:t>tūkst</w:t>
      </w:r>
      <w:proofErr w:type="spellEnd"/>
      <w:r w:rsidRPr="008E4EA2">
        <w:rPr>
          <w:rFonts w:eastAsia="EUAlbertina-Bold-Identity-H"/>
          <w:color w:val="000000" w:themeColor="text1"/>
          <w:szCs w:val="24"/>
          <w:lang w:eastAsia="lv-LV"/>
        </w:rPr>
        <w:t xml:space="preserve">. latus jeb 2,7% no EEZ/Norvēģijas finanšu instrumentu ietvaros noslēgtajos līgumos pieejamā kopējā publiskā finansējuma, </w:t>
      </w:r>
      <w:proofErr w:type="spellStart"/>
      <w:r w:rsidRPr="008E4EA2">
        <w:rPr>
          <w:rFonts w:eastAsia="EUAlbertina-Bold-Identity-H"/>
          <w:color w:val="000000" w:themeColor="text1"/>
          <w:szCs w:val="24"/>
          <w:lang w:eastAsia="lv-LV"/>
        </w:rPr>
        <w:t>t.sk</w:t>
      </w:r>
      <w:proofErr w:type="spellEnd"/>
      <w:r w:rsidRPr="008E4EA2">
        <w:rPr>
          <w:rFonts w:eastAsia="EUAlbertina-Bold-Identity-H"/>
          <w:color w:val="000000" w:themeColor="text1"/>
          <w:szCs w:val="24"/>
          <w:lang w:eastAsia="lv-LV"/>
        </w:rPr>
        <w:t>.:</w:t>
      </w:r>
    </w:p>
    <w:p w:rsidR="00295EC7" w:rsidRPr="008E4EA2" w:rsidRDefault="009B3BD9" w:rsidP="003A0029">
      <w:pPr>
        <w:spacing w:before="120" w:after="120" w:line="276" w:lineRule="auto"/>
        <w:rPr>
          <w:i/>
          <w:color w:val="000000" w:themeColor="text1"/>
          <w:szCs w:val="24"/>
        </w:rPr>
      </w:pPr>
      <w:r w:rsidRPr="008E4EA2">
        <w:rPr>
          <w:color w:val="000000" w:themeColor="text1"/>
          <w:szCs w:val="24"/>
        </w:rPr>
        <w:t>Tabula Nr.</w:t>
      </w:r>
      <w:r w:rsidR="00E62148">
        <w:rPr>
          <w:color w:val="000000" w:themeColor="text1"/>
          <w:szCs w:val="24"/>
        </w:rPr>
        <w:t>2</w:t>
      </w:r>
      <w:r w:rsidRPr="008E4EA2">
        <w:rPr>
          <w:color w:val="000000" w:themeColor="text1"/>
          <w:szCs w:val="24"/>
        </w:rPr>
        <w:t xml:space="preserve"> </w:t>
      </w:r>
      <w:r w:rsidRPr="008E4EA2">
        <w:rPr>
          <w:i/>
          <w:color w:val="000000" w:themeColor="text1"/>
          <w:szCs w:val="24"/>
        </w:rPr>
        <w:t xml:space="preserve">„EEZ/Norvēģijas finanšu instrumentu neattiecināmo izdevumu summa līdz 2012.gada 30.septembrim, </w:t>
      </w:r>
      <w:proofErr w:type="spellStart"/>
      <w:r w:rsidRPr="008E4EA2">
        <w:rPr>
          <w:i/>
          <w:color w:val="000000" w:themeColor="text1"/>
          <w:szCs w:val="24"/>
        </w:rPr>
        <w:t>milj</w:t>
      </w:r>
      <w:proofErr w:type="spellEnd"/>
      <w:r w:rsidRPr="008E4EA2">
        <w:rPr>
          <w:i/>
          <w:color w:val="000000" w:themeColor="text1"/>
          <w:szCs w:val="24"/>
        </w:rPr>
        <w:t>. latu</w:t>
      </w:r>
      <w:r w:rsidR="0027544C" w:rsidRPr="008E4EA2">
        <w:rPr>
          <w:i/>
          <w:color w:val="000000" w:themeColor="text1"/>
          <w:szCs w:val="24"/>
        </w:rPr>
        <w:t>.</w:t>
      </w:r>
      <w:r w:rsidRPr="008E4EA2">
        <w:rPr>
          <w:i/>
          <w:color w:val="000000" w:themeColor="text1"/>
          <w:szCs w:val="24"/>
        </w:rPr>
        <w:t>”</w:t>
      </w:r>
    </w:p>
    <w:tbl>
      <w:tblPr>
        <w:tblW w:w="8777" w:type="dxa"/>
        <w:jc w:val="center"/>
        <w:tblInd w:w="-404" w:type="dxa"/>
        <w:tblLayout w:type="fixed"/>
        <w:tblLook w:val="04A0" w:firstRow="1" w:lastRow="0" w:firstColumn="1" w:lastColumn="0" w:noHBand="0" w:noVBand="1"/>
      </w:tblPr>
      <w:tblGrid>
        <w:gridCol w:w="685"/>
        <w:gridCol w:w="2422"/>
        <w:gridCol w:w="850"/>
        <w:gridCol w:w="993"/>
        <w:gridCol w:w="992"/>
        <w:gridCol w:w="850"/>
        <w:gridCol w:w="928"/>
        <w:gridCol w:w="1057"/>
      </w:tblGrid>
      <w:tr w:rsidR="009B3BD9" w:rsidRPr="00032804" w:rsidTr="00032804">
        <w:trPr>
          <w:trHeight w:val="330"/>
          <w:jc w:val="center"/>
        </w:trPr>
        <w:tc>
          <w:tcPr>
            <w:tcW w:w="685" w:type="dxa"/>
            <w:vMerge w:val="restart"/>
            <w:tcBorders>
              <w:top w:val="single" w:sz="8" w:space="0" w:color="auto"/>
              <w:left w:val="single" w:sz="8" w:space="0" w:color="auto"/>
              <w:right w:val="single" w:sz="8" w:space="0" w:color="auto"/>
            </w:tcBorders>
            <w:vAlign w:val="center"/>
          </w:tcPr>
          <w:p w:rsidR="009B3BD9" w:rsidRPr="00032804" w:rsidRDefault="009B3BD9" w:rsidP="00032804">
            <w:pPr>
              <w:rPr>
                <w:rFonts w:eastAsia="EUAlbertina-Bold-Identity-H"/>
                <w:b/>
                <w:color w:val="000000" w:themeColor="text1"/>
                <w:sz w:val="22"/>
                <w:szCs w:val="22"/>
                <w:lang w:eastAsia="lv-LV"/>
              </w:rPr>
            </w:pPr>
            <w:proofErr w:type="spellStart"/>
            <w:r w:rsidRPr="00032804">
              <w:rPr>
                <w:rFonts w:eastAsia="EUAlbertina-Bold-Identity-H"/>
                <w:b/>
                <w:color w:val="000000" w:themeColor="text1"/>
                <w:sz w:val="22"/>
                <w:szCs w:val="22"/>
                <w:lang w:eastAsia="lv-LV"/>
              </w:rPr>
              <w:t>Nr</w:t>
            </w:r>
            <w:proofErr w:type="spellEnd"/>
            <w:r w:rsidRPr="00032804">
              <w:rPr>
                <w:rFonts w:eastAsia="EUAlbertina-Bold-Identity-H"/>
                <w:b/>
                <w:color w:val="000000" w:themeColor="text1"/>
                <w:sz w:val="22"/>
                <w:szCs w:val="22"/>
                <w:lang w:eastAsia="lv-LV"/>
              </w:rPr>
              <w:t>.</w:t>
            </w:r>
            <w:r w:rsidR="00032804">
              <w:rPr>
                <w:rFonts w:eastAsia="EUAlbertina-Bold-Identity-H"/>
                <w:b/>
                <w:color w:val="000000" w:themeColor="text1"/>
                <w:sz w:val="22"/>
                <w:szCs w:val="22"/>
                <w:lang w:eastAsia="lv-LV"/>
              </w:rPr>
              <w:t xml:space="preserve"> </w:t>
            </w:r>
            <w:proofErr w:type="spellStart"/>
            <w:r w:rsidRPr="00032804">
              <w:rPr>
                <w:rFonts w:eastAsia="EUAlbertina-Bold-Identity-H"/>
                <w:b/>
                <w:color w:val="000000" w:themeColor="text1"/>
                <w:sz w:val="22"/>
                <w:szCs w:val="22"/>
                <w:lang w:eastAsia="lv-LV"/>
              </w:rPr>
              <w:t>p.k</w:t>
            </w:r>
            <w:proofErr w:type="spellEnd"/>
            <w:r w:rsidRPr="00032804">
              <w:rPr>
                <w:rFonts w:eastAsia="EUAlbertina-Bold-Identity-H"/>
                <w:b/>
                <w:color w:val="000000" w:themeColor="text1"/>
                <w:sz w:val="22"/>
                <w:szCs w:val="22"/>
                <w:lang w:eastAsia="lv-LV"/>
              </w:rPr>
              <w:t>.</w:t>
            </w:r>
          </w:p>
        </w:tc>
        <w:tc>
          <w:tcPr>
            <w:tcW w:w="242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3BD9" w:rsidRPr="00032804" w:rsidRDefault="009B3BD9" w:rsidP="00032804">
            <w:pPr>
              <w:rPr>
                <w:rFonts w:eastAsia="EUAlbertina-Bold-Identity-H"/>
                <w:b/>
                <w:color w:val="000000" w:themeColor="text1"/>
                <w:sz w:val="22"/>
                <w:szCs w:val="22"/>
                <w:lang w:eastAsia="lv-LV"/>
              </w:rPr>
            </w:pPr>
            <w:r w:rsidRPr="00032804">
              <w:rPr>
                <w:rFonts w:eastAsia="EUAlbertina-Bold-Identity-H"/>
                <w:b/>
                <w:color w:val="000000" w:themeColor="text1"/>
                <w:sz w:val="22"/>
                <w:szCs w:val="22"/>
                <w:lang w:eastAsia="lv-LV"/>
              </w:rPr>
              <w:t>Finansējuma saņēmējs</w:t>
            </w:r>
          </w:p>
        </w:tc>
        <w:tc>
          <w:tcPr>
            <w:tcW w:w="283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B3BD9" w:rsidRPr="00032804" w:rsidRDefault="009B3BD9" w:rsidP="00032804">
            <w:pPr>
              <w:rPr>
                <w:rFonts w:eastAsia="EUAlbertina-Bold-Identity-H"/>
                <w:b/>
                <w:color w:val="000000" w:themeColor="text1"/>
                <w:sz w:val="22"/>
                <w:szCs w:val="22"/>
                <w:lang w:eastAsia="lv-LV"/>
              </w:rPr>
            </w:pPr>
            <w:r w:rsidRPr="00032804">
              <w:rPr>
                <w:rFonts w:eastAsia="EUAlbertina-Bold-Identity-H"/>
                <w:b/>
                <w:color w:val="000000" w:themeColor="text1"/>
                <w:sz w:val="22"/>
                <w:szCs w:val="22"/>
                <w:lang w:eastAsia="lv-LV"/>
              </w:rPr>
              <w:t>Kumulatīvi no 01.01.2007. līdz 30.09.2012.</w:t>
            </w:r>
          </w:p>
        </w:tc>
        <w:tc>
          <w:tcPr>
            <w:tcW w:w="2835" w:type="dxa"/>
            <w:gridSpan w:val="3"/>
            <w:tcBorders>
              <w:top w:val="single" w:sz="8" w:space="0" w:color="auto"/>
              <w:left w:val="nil"/>
              <w:bottom w:val="single" w:sz="8" w:space="0" w:color="auto"/>
              <w:right w:val="single" w:sz="8" w:space="0" w:color="000000"/>
            </w:tcBorders>
            <w:shd w:val="clear" w:color="auto" w:fill="auto"/>
            <w:vAlign w:val="center"/>
            <w:hideMark/>
          </w:tcPr>
          <w:p w:rsidR="009B3BD9" w:rsidRPr="00032804" w:rsidRDefault="009B3BD9" w:rsidP="00032804">
            <w:pPr>
              <w:rPr>
                <w:rFonts w:eastAsia="EUAlbertina-Bold-Identity-H"/>
                <w:b/>
                <w:color w:val="000000" w:themeColor="text1"/>
                <w:sz w:val="22"/>
                <w:szCs w:val="22"/>
                <w:lang w:eastAsia="lv-LV"/>
              </w:rPr>
            </w:pPr>
            <w:r w:rsidRPr="00032804">
              <w:rPr>
                <w:rFonts w:eastAsia="EUAlbertina-Bold-Identity-H"/>
                <w:b/>
                <w:color w:val="000000" w:themeColor="text1"/>
                <w:sz w:val="22"/>
                <w:szCs w:val="22"/>
                <w:lang w:eastAsia="lv-LV"/>
              </w:rPr>
              <w:t xml:space="preserve">t. </w:t>
            </w:r>
            <w:proofErr w:type="spellStart"/>
            <w:r w:rsidRPr="00032804">
              <w:rPr>
                <w:rFonts w:eastAsia="EUAlbertina-Bold-Identity-H"/>
                <w:b/>
                <w:color w:val="000000" w:themeColor="text1"/>
                <w:sz w:val="22"/>
                <w:szCs w:val="22"/>
                <w:lang w:eastAsia="lv-LV"/>
              </w:rPr>
              <w:t>sk</w:t>
            </w:r>
            <w:proofErr w:type="spellEnd"/>
            <w:r w:rsidRPr="00032804">
              <w:rPr>
                <w:rFonts w:eastAsia="EUAlbertina-Bold-Identity-H"/>
                <w:b/>
                <w:color w:val="000000" w:themeColor="text1"/>
                <w:sz w:val="22"/>
                <w:szCs w:val="22"/>
                <w:lang w:eastAsia="lv-LV"/>
              </w:rPr>
              <w:t>., 2012.gada 3.ceturksnī</w:t>
            </w:r>
          </w:p>
        </w:tc>
      </w:tr>
      <w:tr w:rsidR="009B3BD9" w:rsidRPr="00032804" w:rsidTr="00032804">
        <w:trPr>
          <w:trHeight w:val="1155"/>
          <w:jc w:val="center"/>
        </w:trPr>
        <w:tc>
          <w:tcPr>
            <w:tcW w:w="685" w:type="dxa"/>
            <w:vMerge/>
            <w:tcBorders>
              <w:left w:val="single" w:sz="8" w:space="0" w:color="auto"/>
              <w:bottom w:val="single" w:sz="8" w:space="0" w:color="000000"/>
              <w:right w:val="single" w:sz="8" w:space="0" w:color="auto"/>
            </w:tcBorders>
            <w:vAlign w:val="center"/>
          </w:tcPr>
          <w:p w:rsidR="009B3BD9" w:rsidRPr="00032804" w:rsidRDefault="009B3BD9" w:rsidP="00032804">
            <w:pPr>
              <w:rPr>
                <w:rFonts w:eastAsia="EUAlbertina-Bold-Identity-H"/>
                <w:color w:val="000000" w:themeColor="text1"/>
                <w:sz w:val="22"/>
                <w:szCs w:val="22"/>
                <w:lang w:eastAsia="lv-LV"/>
              </w:rPr>
            </w:pPr>
          </w:p>
        </w:tc>
        <w:tc>
          <w:tcPr>
            <w:tcW w:w="2422" w:type="dxa"/>
            <w:vMerge/>
            <w:tcBorders>
              <w:top w:val="single" w:sz="8" w:space="0" w:color="auto"/>
              <w:left w:val="single" w:sz="8" w:space="0" w:color="auto"/>
              <w:bottom w:val="single" w:sz="8" w:space="0" w:color="000000"/>
              <w:right w:val="single" w:sz="8" w:space="0" w:color="auto"/>
            </w:tcBorders>
            <w:vAlign w:val="center"/>
            <w:hideMark/>
          </w:tcPr>
          <w:p w:rsidR="009B3BD9" w:rsidRPr="00032804" w:rsidRDefault="009B3BD9" w:rsidP="00032804">
            <w:pPr>
              <w:rPr>
                <w:rFonts w:eastAsia="EUAlbertina-Bold-Identity-H"/>
                <w:color w:val="000000" w:themeColor="text1"/>
                <w:sz w:val="22"/>
                <w:szCs w:val="22"/>
                <w:lang w:eastAsia="lv-LV"/>
              </w:rPr>
            </w:pPr>
          </w:p>
        </w:tc>
        <w:tc>
          <w:tcPr>
            <w:tcW w:w="850" w:type="dxa"/>
            <w:tcBorders>
              <w:top w:val="nil"/>
              <w:left w:val="nil"/>
              <w:bottom w:val="single" w:sz="8" w:space="0" w:color="auto"/>
              <w:right w:val="single" w:sz="8" w:space="0" w:color="auto"/>
            </w:tcBorders>
            <w:shd w:val="clear" w:color="auto" w:fill="auto"/>
            <w:noWrap/>
            <w:vAlign w:val="center"/>
            <w:hideMark/>
          </w:tcPr>
          <w:p w:rsidR="009B3BD9" w:rsidRPr="00032804" w:rsidRDefault="009B3BD9" w:rsidP="00032804">
            <w:pPr>
              <w:rPr>
                <w:rFonts w:eastAsia="EUAlbertina-Bold-Identity-H"/>
                <w:b/>
                <w:color w:val="000000" w:themeColor="text1"/>
                <w:sz w:val="22"/>
                <w:szCs w:val="22"/>
                <w:lang w:eastAsia="lv-LV"/>
              </w:rPr>
            </w:pPr>
            <w:r w:rsidRPr="00032804">
              <w:rPr>
                <w:rFonts w:eastAsia="EUAlbertina-Bold-Identity-H"/>
                <w:b/>
                <w:color w:val="000000" w:themeColor="text1"/>
                <w:sz w:val="22"/>
                <w:szCs w:val="22"/>
                <w:lang w:eastAsia="lv-LV"/>
              </w:rPr>
              <w:t>Kopā</w:t>
            </w:r>
          </w:p>
        </w:tc>
        <w:tc>
          <w:tcPr>
            <w:tcW w:w="993" w:type="dxa"/>
            <w:tcBorders>
              <w:top w:val="nil"/>
              <w:left w:val="nil"/>
              <w:bottom w:val="single" w:sz="8" w:space="0" w:color="auto"/>
              <w:right w:val="single" w:sz="8" w:space="0" w:color="auto"/>
            </w:tcBorders>
            <w:shd w:val="clear" w:color="auto" w:fill="auto"/>
            <w:vAlign w:val="center"/>
            <w:hideMark/>
          </w:tcPr>
          <w:p w:rsidR="009B3BD9" w:rsidRPr="00032804" w:rsidRDefault="009B3BD9" w:rsidP="00032804">
            <w:pPr>
              <w:rPr>
                <w:rFonts w:eastAsia="EUAlbertina-Bold-Identity-H"/>
                <w:b/>
                <w:color w:val="000000" w:themeColor="text1"/>
                <w:sz w:val="22"/>
                <w:szCs w:val="22"/>
                <w:lang w:eastAsia="lv-LV"/>
              </w:rPr>
            </w:pPr>
            <w:proofErr w:type="spellStart"/>
            <w:r w:rsidRPr="00032804">
              <w:rPr>
                <w:rFonts w:eastAsia="EUAlbertina-Bold-Identity-H"/>
                <w:b/>
                <w:color w:val="000000" w:themeColor="text1"/>
                <w:sz w:val="22"/>
                <w:szCs w:val="22"/>
                <w:lang w:eastAsia="lv-LV"/>
              </w:rPr>
              <w:t>Donor-</w:t>
            </w:r>
            <w:proofErr w:type="spellEnd"/>
          </w:p>
          <w:p w:rsidR="009B3BD9" w:rsidRPr="00032804" w:rsidRDefault="009B3BD9" w:rsidP="00032804">
            <w:pPr>
              <w:rPr>
                <w:rFonts w:eastAsia="EUAlbertina-Bold-Identity-H"/>
                <w:b/>
                <w:color w:val="000000" w:themeColor="text1"/>
                <w:sz w:val="22"/>
                <w:szCs w:val="22"/>
                <w:lang w:eastAsia="lv-LV"/>
              </w:rPr>
            </w:pPr>
            <w:r w:rsidRPr="00032804">
              <w:rPr>
                <w:rFonts w:eastAsia="EUAlbertina-Bold-Identity-H"/>
                <w:b/>
                <w:color w:val="000000" w:themeColor="text1"/>
                <w:sz w:val="22"/>
                <w:szCs w:val="22"/>
                <w:lang w:eastAsia="lv-LV"/>
              </w:rPr>
              <w:t>valstu grants</w:t>
            </w:r>
          </w:p>
        </w:tc>
        <w:tc>
          <w:tcPr>
            <w:tcW w:w="992" w:type="dxa"/>
            <w:tcBorders>
              <w:top w:val="nil"/>
              <w:left w:val="nil"/>
              <w:bottom w:val="single" w:sz="8" w:space="0" w:color="auto"/>
              <w:right w:val="single" w:sz="8" w:space="0" w:color="auto"/>
            </w:tcBorders>
            <w:shd w:val="clear" w:color="auto" w:fill="auto"/>
            <w:vAlign w:val="center"/>
            <w:hideMark/>
          </w:tcPr>
          <w:p w:rsidR="009B3BD9" w:rsidRPr="00032804" w:rsidRDefault="009B3BD9" w:rsidP="00032804">
            <w:pPr>
              <w:rPr>
                <w:rFonts w:eastAsia="EUAlbertina-Bold-Identity-H"/>
                <w:b/>
                <w:color w:val="000000" w:themeColor="text1"/>
                <w:sz w:val="22"/>
                <w:szCs w:val="22"/>
                <w:lang w:eastAsia="lv-LV"/>
              </w:rPr>
            </w:pPr>
            <w:proofErr w:type="spellStart"/>
            <w:r w:rsidRPr="00032804">
              <w:rPr>
                <w:rFonts w:eastAsia="EUAlbertina-Bold-Identity-H"/>
                <w:b/>
                <w:color w:val="000000" w:themeColor="text1"/>
                <w:sz w:val="22"/>
                <w:szCs w:val="22"/>
                <w:lang w:eastAsia="lv-LV"/>
              </w:rPr>
              <w:t>Nac</w:t>
            </w:r>
            <w:proofErr w:type="spellEnd"/>
            <w:r w:rsidRPr="00032804">
              <w:rPr>
                <w:rFonts w:eastAsia="EUAlbertina-Bold-Identity-H"/>
                <w:b/>
                <w:color w:val="000000" w:themeColor="text1"/>
                <w:sz w:val="22"/>
                <w:szCs w:val="22"/>
                <w:lang w:eastAsia="lv-LV"/>
              </w:rPr>
              <w:t>.</w:t>
            </w:r>
          </w:p>
          <w:p w:rsidR="009B3BD9" w:rsidRPr="00032804" w:rsidRDefault="009B3BD9" w:rsidP="00032804">
            <w:pPr>
              <w:rPr>
                <w:rFonts w:eastAsia="EUAlbertina-Bold-Identity-H"/>
                <w:b/>
                <w:color w:val="000000" w:themeColor="text1"/>
                <w:sz w:val="22"/>
                <w:szCs w:val="22"/>
                <w:lang w:eastAsia="lv-LV"/>
              </w:rPr>
            </w:pPr>
            <w:proofErr w:type="spellStart"/>
            <w:r w:rsidRPr="00032804">
              <w:rPr>
                <w:rFonts w:eastAsia="EUAlbertina-Bold-Identity-H"/>
                <w:b/>
                <w:color w:val="000000" w:themeColor="text1"/>
                <w:sz w:val="22"/>
                <w:szCs w:val="22"/>
                <w:lang w:eastAsia="lv-LV"/>
              </w:rPr>
              <w:t>finan-</w:t>
            </w:r>
            <w:proofErr w:type="spellEnd"/>
          </w:p>
          <w:p w:rsidR="009B3BD9" w:rsidRPr="00032804" w:rsidRDefault="009B3BD9" w:rsidP="00032804">
            <w:pPr>
              <w:rPr>
                <w:rFonts w:eastAsia="EUAlbertina-Bold-Identity-H"/>
                <w:b/>
                <w:color w:val="000000" w:themeColor="text1"/>
                <w:sz w:val="22"/>
                <w:szCs w:val="22"/>
                <w:lang w:eastAsia="lv-LV"/>
              </w:rPr>
            </w:pPr>
            <w:r w:rsidRPr="00032804">
              <w:rPr>
                <w:rFonts w:eastAsia="EUAlbertina-Bold-Identity-H"/>
                <w:b/>
                <w:color w:val="000000" w:themeColor="text1"/>
                <w:sz w:val="22"/>
                <w:szCs w:val="22"/>
                <w:lang w:eastAsia="lv-LV"/>
              </w:rPr>
              <w:t>sējums</w:t>
            </w:r>
          </w:p>
        </w:tc>
        <w:tc>
          <w:tcPr>
            <w:tcW w:w="850" w:type="dxa"/>
            <w:tcBorders>
              <w:top w:val="nil"/>
              <w:left w:val="nil"/>
              <w:bottom w:val="single" w:sz="8" w:space="0" w:color="auto"/>
              <w:right w:val="single" w:sz="8" w:space="0" w:color="auto"/>
            </w:tcBorders>
            <w:shd w:val="clear" w:color="auto" w:fill="auto"/>
            <w:vAlign w:val="center"/>
            <w:hideMark/>
          </w:tcPr>
          <w:p w:rsidR="009B3BD9" w:rsidRPr="00032804" w:rsidRDefault="009B3BD9" w:rsidP="00032804">
            <w:pPr>
              <w:rPr>
                <w:rFonts w:eastAsia="EUAlbertina-Bold-Identity-H"/>
                <w:b/>
                <w:color w:val="000000" w:themeColor="text1"/>
                <w:sz w:val="22"/>
                <w:szCs w:val="22"/>
                <w:lang w:eastAsia="lv-LV"/>
              </w:rPr>
            </w:pPr>
            <w:r w:rsidRPr="00032804">
              <w:rPr>
                <w:rFonts w:eastAsia="EUAlbertina-Bold-Identity-H"/>
                <w:b/>
                <w:color w:val="000000" w:themeColor="text1"/>
                <w:sz w:val="22"/>
                <w:szCs w:val="22"/>
                <w:lang w:eastAsia="lv-LV"/>
              </w:rPr>
              <w:t>Kopā</w:t>
            </w:r>
          </w:p>
        </w:tc>
        <w:tc>
          <w:tcPr>
            <w:tcW w:w="928" w:type="dxa"/>
            <w:tcBorders>
              <w:top w:val="nil"/>
              <w:left w:val="nil"/>
              <w:bottom w:val="single" w:sz="8" w:space="0" w:color="auto"/>
              <w:right w:val="single" w:sz="8" w:space="0" w:color="auto"/>
            </w:tcBorders>
            <w:shd w:val="clear" w:color="auto" w:fill="auto"/>
            <w:vAlign w:val="center"/>
            <w:hideMark/>
          </w:tcPr>
          <w:p w:rsidR="009B3BD9" w:rsidRPr="00032804" w:rsidRDefault="009B3BD9" w:rsidP="00032804">
            <w:pPr>
              <w:rPr>
                <w:rFonts w:eastAsia="EUAlbertina-Bold-Identity-H"/>
                <w:b/>
                <w:color w:val="000000" w:themeColor="text1"/>
                <w:sz w:val="22"/>
                <w:szCs w:val="22"/>
                <w:lang w:eastAsia="lv-LV"/>
              </w:rPr>
            </w:pPr>
            <w:proofErr w:type="spellStart"/>
            <w:r w:rsidRPr="00032804">
              <w:rPr>
                <w:rFonts w:eastAsia="EUAlbertina-Bold-Identity-H"/>
                <w:b/>
                <w:color w:val="000000" w:themeColor="text1"/>
                <w:sz w:val="22"/>
                <w:szCs w:val="22"/>
                <w:lang w:eastAsia="lv-LV"/>
              </w:rPr>
              <w:t>Donor-</w:t>
            </w:r>
            <w:proofErr w:type="spellEnd"/>
          </w:p>
          <w:p w:rsidR="009B3BD9" w:rsidRPr="00032804" w:rsidRDefault="009B3BD9" w:rsidP="00032804">
            <w:pPr>
              <w:rPr>
                <w:rFonts w:eastAsia="EUAlbertina-Bold-Identity-H"/>
                <w:b/>
                <w:color w:val="000000" w:themeColor="text1"/>
                <w:sz w:val="22"/>
                <w:szCs w:val="22"/>
                <w:lang w:eastAsia="lv-LV"/>
              </w:rPr>
            </w:pPr>
            <w:r w:rsidRPr="00032804">
              <w:rPr>
                <w:rFonts w:eastAsia="EUAlbertina-Bold-Identity-H"/>
                <w:b/>
                <w:color w:val="000000" w:themeColor="text1"/>
                <w:sz w:val="22"/>
                <w:szCs w:val="22"/>
                <w:lang w:eastAsia="lv-LV"/>
              </w:rPr>
              <w:t>valstu grants</w:t>
            </w:r>
          </w:p>
        </w:tc>
        <w:tc>
          <w:tcPr>
            <w:tcW w:w="1057" w:type="dxa"/>
            <w:tcBorders>
              <w:top w:val="nil"/>
              <w:left w:val="nil"/>
              <w:bottom w:val="single" w:sz="8" w:space="0" w:color="auto"/>
              <w:right w:val="single" w:sz="8" w:space="0" w:color="auto"/>
            </w:tcBorders>
            <w:shd w:val="clear" w:color="auto" w:fill="auto"/>
            <w:vAlign w:val="center"/>
            <w:hideMark/>
          </w:tcPr>
          <w:p w:rsidR="009B3BD9" w:rsidRPr="00032804" w:rsidRDefault="009B3BD9" w:rsidP="00032804">
            <w:pPr>
              <w:rPr>
                <w:rFonts w:eastAsia="EUAlbertina-Bold-Identity-H"/>
                <w:b/>
                <w:color w:val="000000" w:themeColor="text1"/>
                <w:sz w:val="22"/>
                <w:szCs w:val="22"/>
                <w:lang w:eastAsia="lv-LV"/>
              </w:rPr>
            </w:pPr>
            <w:proofErr w:type="spellStart"/>
            <w:r w:rsidRPr="00032804">
              <w:rPr>
                <w:rFonts w:eastAsia="EUAlbertina-Bold-Identity-H"/>
                <w:b/>
                <w:color w:val="000000" w:themeColor="text1"/>
                <w:sz w:val="22"/>
                <w:szCs w:val="22"/>
                <w:lang w:eastAsia="lv-LV"/>
              </w:rPr>
              <w:t>Nac</w:t>
            </w:r>
            <w:proofErr w:type="spellEnd"/>
            <w:r w:rsidRPr="00032804">
              <w:rPr>
                <w:rFonts w:eastAsia="EUAlbertina-Bold-Identity-H"/>
                <w:b/>
                <w:color w:val="000000" w:themeColor="text1"/>
                <w:sz w:val="22"/>
                <w:szCs w:val="22"/>
                <w:lang w:eastAsia="lv-LV"/>
              </w:rPr>
              <w:t>.</w:t>
            </w:r>
          </w:p>
          <w:p w:rsidR="009B3BD9" w:rsidRPr="00032804" w:rsidRDefault="009B3BD9" w:rsidP="00032804">
            <w:pPr>
              <w:rPr>
                <w:rFonts w:eastAsia="EUAlbertina-Bold-Identity-H"/>
                <w:b/>
                <w:color w:val="000000" w:themeColor="text1"/>
                <w:sz w:val="22"/>
                <w:szCs w:val="22"/>
                <w:lang w:eastAsia="lv-LV"/>
              </w:rPr>
            </w:pPr>
            <w:proofErr w:type="spellStart"/>
            <w:r w:rsidRPr="00032804">
              <w:rPr>
                <w:rFonts w:eastAsia="EUAlbertina-Bold-Identity-H"/>
                <w:b/>
                <w:color w:val="000000" w:themeColor="text1"/>
                <w:sz w:val="22"/>
                <w:szCs w:val="22"/>
                <w:lang w:eastAsia="lv-LV"/>
              </w:rPr>
              <w:t>finan-</w:t>
            </w:r>
            <w:proofErr w:type="spellEnd"/>
          </w:p>
          <w:p w:rsidR="009B3BD9" w:rsidRPr="00032804" w:rsidRDefault="009B3BD9" w:rsidP="00032804">
            <w:pPr>
              <w:rPr>
                <w:rFonts w:eastAsia="EUAlbertina-Bold-Identity-H"/>
                <w:b/>
                <w:color w:val="000000" w:themeColor="text1"/>
                <w:sz w:val="22"/>
                <w:szCs w:val="22"/>
                <w:lang w:eastAsia="lv-LV"/>
              </w:rPr>
            </w:pPr>
            <w:r w:rsidRPr="00032804">
              <w:rPr>
                <w:rFonts w:eastAsia="EUAlbertina-Bold-Identity-H"/>
                <w:b/>
                <w:color w:val="000000" w:themeColor="text1"/>
                <w:sz w:val="22"/>
                <w:szCs w:val="22"/>
                <w:lang w:eastAsia="lv-LV"/>
              </w:rPr>
              <w:t>sējums</w:t>
            </w:r>
          </w:p>
        </w:tc>
      </w:tr>
      <w:tr w:rsidR="009B3BD9" w:rsidRPr="00032804" w:rsidTr="00032804">
        <w:trPr>
          <w:trHeight w:val="525"/>
          <w:jc w:val="center"/>
        </w:trPr>
        <w:tc>
          <w:tcPr>
            <w:tcW w:w="685" w:type="dxa"/>
            <w:tcBorders>
              <w:top w:val="nil"/>
              <w:left w:val="single" w:sz="8" w:space="0" w:color="auto"/>
              <w:bottom w:val="single" w:sz="8" w:space="0" w:color="auto"/>
              <w:right w:val="single" w:sz="8" w:space="0" w:color="auto"/>
            </w:tcBorders>
            <w:vAlign w:val="center"/>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1.</w:t>
            </w:r>
          </w:p>
        </w:tc>
        <w:tc>
          <w:tcPr>
            <w:tcW w:w="2422" w:type="dxa"/>
            <w:tcBorders>
              <w:top w:val="nil"/>
              <w:left w:val="single" w:sz="8" w:space="0" w:color="auto"/>
              <w:bottom w:val="single" w:sz="8" w:space="0" w:color="auto"/>
              <w:right w:val="single" w:sz="8" w:space="0" w:color="auto"/>
            </w:tcBorders>
            <w:shd w:val="clear" w:color="auto" w:fill="auto"/>
            <w:vAlign w:val="center"/>
            <w:hideMark/>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Tiešās vai pastarpinātās valsts pārvaldes iestādes*</w:t>
            </w:r>
          </w:p>
        </w:tc>
        <w:tc>
          <w:tcPr>
            <w:tcW w:w="850" w:type="dxa"/>
            <w:tcBorders>
              <w:top w:val="nil"/>
              <w:left w:val="nil"/>
              <w:bottom w:val="single" w:sz="8" w:space="0" w:color="auto"/>
              <w:right w:val="single" w:sz="8" w:space="0" w:color="auto"/>
            </w:tcBorders>
            <w:shd w:val="clear" w:color="000000" w:fill="FFFFFF"/>
            <w:noWrap/>
            <w:vAlign w:val="center"/>
            <w:hideMark/>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720 238</w:t>
            </w:r>
          </w:p>
        </w:tc>
        <w:tc>
          <w:tcPr>
            <w:tcW w:w="993" w:type="dxa"/>
            <w:tcBorders>
              <w:top w:val="nil"/>
              <w:left w:val="nil"/>
              <w:bottom w:val="single" w:sz="8" w:space="0" w:color="auto"/>
              <w:right w:val="single" w:sz="8" w:space="0" w:color="auto"/>
            </w:tcBorders>
            <w:shd w:val="clear" w:color="000000" w:fill="FFFFFF"/>
            <w:noWrap/>
            <w:vAlign w:val="center"/>
            <w:hideMark/>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612 213</w:t>
            </w:r>
          </w:p>
        </w:tc>
        <w:tc>
          <w:tcPr>
            <w:tcW w:w="992" w:type="dxa"/>
            <w:tcBorders>
              <w:top w:val="nil"/>
              <w:left w:val="nil"/>
              <w:bottom w:val="single" w:sz="8" w:space="0" w:color="auto"/>
              <w:right w:val="single" w:sz="8" w:space="0" w:color="auto"/>
            </w:tcBorders>
            <w:shd w:val="clear" w:color="000000" w:fill="FFFFFF"/>
            <w:noWrap/>
            <w:vAlign w:val="center"/>
            <w:hideMark/>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108 025</w:t>
            </w:r>
          </w:p>
        </w:tc>
        <w:tc>
          <w:tcPr>
            <w:tcW w:w="850" w:type="dxa"/>
            <w:tcBorders>
              <w:top w:val="nil"/>
              <w:left w:val="nil"/>
              <w:bottom w:val="single" w:sz="8" w:space="0" w:color="auto"/>
              <w:right w:val="single" w:sz="8" w:space="0" w:color="auto"/>
            </w:tcBorders>
            <w:shd w:val="clear" w:color="000000" w:fill="FFFFFF"/>
            <w:noWrap/>
            <w:vAlign w:val="center"/>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c>
          <w:tcPr>
            <w:tcW w:w="928" w:type="dxa"/>
            <w:tcBorders>
              <w:top w:val="nil"/>
              <w:left w:val="nil"/>
              <w:bottom w:val="single" w:sz="8" w:space="0" w:color="auto"/>
              <w:right w:val="single" w:sz="8" w:space="0" w:color="auto"/>
            </w:tcBorders>
            <w:shd w:val="clear" w:color="000000" w:fill="FFFFFF"/>
            <w:vAlign w:val="center"/>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c>
          <w:tcPr>
            <w:tcW w:w="1057" w:type="dxa"/>
            <w:tcBorders>
              <w:top w:val="nil"/>
              <w:left w:val="nil"/>
              <w:bottom w:val="single" w:sz="8" w:space="0" w:color="auto"/>
              <w:right w:val="single" w:sz="8" w:space="0" w:color="auto"/>
            </w:tcBorders>
            <w:shd w:val="clear" w:color="000000" w:fill="FFFFFF"/>
            <w:vAlign w:val="center"/>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r>
      <w:tr w:rsidR="009B3BD9" w:rsidRPr="00032804" w:rsidTr="00032804">
        <w:trPr>
          <w:trHeight w:val="525"/>
          <w:jc w:val="center"/>
        </w:trPr>
        <w:tc>
          <w:tcPr>
            <w:tcW w:w="685" w:type="dxa"/>
            <w:tcBorders>
              <w:top w:val="nil"/>
              <w:left w:val="single" w:sz="8" w:space="0" w:color="auto"/>
              <w:bottom w:val="single" w:sz="8" w:space="0" w:color="auto"/>
              <w:right w:val="single" w:sz="8" w:space="0" w:color="auto"/>
            </w:tcBorders>
            <w:vAlign w:val="center"/>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2.</w:t>
            </w:r>
          </w:p>
        </w:tc>
        <w:tc>
          <w:tcPr>
            <w:tcW w:w="2422" w:type="dxa"/>
            <w:tcBorders>
              <w:top w:val="nil"/>
              <w:left w:val="single" w:sz="8" w:space="0" w:color="auto"/>
              <w:bottom w:val="single" w:sz="8" w:space="0" w:color="auto"/>
              <w:right w:val="single" w:sz="8" w:space="0" w:color="auto"/>
            </w:tcBorders>
            <w:shd w:val="clear" w:color="auto" w:fill="auto"/>
            <w:vAlign w:val="center"/>
            <w:hideMark/>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Atvasinātās publiskās personas vai citas valsts iestādes</w:t>
            </w:r>
          </w:p>
        </w:tc>
        <w:tc>
          <w:tcPr>
            <w:tcW w:w="850" w:type="dxa"/>
            <w:tcBorders>
              <w:top w:val="nil"/>
              <w:left w:val="nil"/>
              <w:bottom w:val="single" w:sz="8" w:space="0" w:color="auto"/>
              <w:right w:val="single" w:sz="8" w:space="0" w:color="auto"/>
            </w:tcBorders>
            <w:shd w:val="clear" w:color="000000" w:fill="FFFFFF"/>
            <w:noWrap/>
            <w:vAlign w:val="center"/>
            <w:hideMark/>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241 568</w:t>
            </w:r>
          </w:p>
        </w:tc>
        <w:tc>
          <w:tcPr>
            <w:tcW w:w="993" w:type="dxa"/>
            <w:tcBorders>
              <w:top w:val="nil"/>
              <w:left w:val="nil"/>
              <w:bottom w:val="single" w:sz="8" w:space="0" w:color="auto"/>
              <w:right w:val="single" w:sz="8" w:space="0" w:color="auto"/>
            </w:tcBorders>
            <w:shd w:val="clear" w:color="000000" w:fill="FFFFFF"/>
            <w:noWrap/>
            <w:vAlign w:val="center"/>
            <w:hideMark/>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192 955</w:t>
            </w:r>
          </w:p>
        </w:tc>
        <w:tc>
          <w:tcPr>
            <w:tcW w:w="992" w:type="dxa"/>
            <w:tcBorders>
              <w:top w:val="nil"/>
              <w:left w:val="nil"/>
              <w:bottom w:val="single" w:sz="8" w:space="0" w:color="auto"/>
              <w:right w:val="single" w:sz="8" w:space="0" w:color="auto"/>
            </w:tcBorders>
            <w:shd w:val="clear" w:color="000000" w:fill="FFFFFF"/>
            <w:noWrap/>
            <w:vAlign w:val="center"/>
            <w:hideMark/>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48 613</w:t>
            </w:r>
          </w:p>
        </w:tc>
        <w:tc>
          <w:tcPr>
            <w:tcW w:w="850" w:type="dxa"/>
            <w:tcBorders>
              <w:top w:val="nil"/>
              <w:left w:val="nil"/>
              <w:bottom w:val="single" w:sz="8" w:space="0" w:color="auto"/>
              <w:right w:val="single" w:sz="8" w:space="0" w:color="auto"/>
            </w:tcBorders>
            <w:shd w:val="clear" w:color="000000" w:fill="FFFFFF"/>
            <w:vAlign w:val="center"/>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c>
          <w:tcPr>
            <w:tcW w:w="928" w:type="dxa"/>
            <w:tcBorders>
              <w:top w:val="nil"/>
              <w:left w:val="nil"/>
              <w:bottom w:val="single" w:sz="8" w:space="0" w:color="auto"/>
              <w:right w:val="single" w:sz="8" w:space="0" w:color="auto"/>
            </w:tcBorders>
            <w:shd w:val="clear" w:color="000000" w:fill="FFFFFF"/>
            <w:vAlign w:val="center"/>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c>
          <w:tcPr>
            <w:tcW w:w="1057" w:type="dxa"/>
            <w:tcBorders>
              <w:top w:val="nil"/>
              <w:left w:val="nil"/>
              <w:bottom w:val="single" w:sz="8" w:space="0" w:color="auto"/>
              <w:right w:val="single" w:sz="8" w:space="0" w:color="auto"/>
            </w:tcBorders>
            <w:shd w:val="clear" w:color="000000" w:fill="FFFFFF"/>
            <w:vAlign w:val="center"/>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r>
      <w:tr w:rsidR="009B3BD9" w:rsidRPr="00032804" w:rsidTr="00032804">
        <w:trPr>
          <w:trHeight w:val="330"/>
          <w:jc w:val="center"/>
        </w:trPr>
        <w:tc>
          <w:tcPr>
            <w:tcW w:w="685" w:type="dxa"/>
            <w:tcBorders>
              <w:top w:val="nil"/>
              <w:left w:val="single" w:sz="8" w:space="0" w:color="auto"/>
              <w:bottom w:val="single" w:sz="8" w:space="0" w:color="auto"/>
              <w:right w:val="single" w:sz="8" w:space="0" w:color="auto"/>
            </w:tcBorders>
            <w:vAlign w:val="center"/>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3.</w:t>
            </w:r>
          </w:p>
        </w:tc>
        <w:tc>
          <w:tcPr>
            <w:tcW w:w="2422" w:type="dxa"/>
            <w:tcBorders>
              <w:top w:val="nil"/>
              <w:left w:val="single" w:sz="8" w:space="0" w:color="auto"/>
              <w:bottom w:val="single" w:sz="8" w:space="0" w:color="auto"/>
              <w:right w:val="single" w:sz="8" w:space="0" w:color="auto"/>
            </w:tcBorders>
            <w:shd w:val="clear" w:color="auto" w:fill="auto"/>
            <w:noWrap/>
            <w:vAlign w:val="center"/>
            <w:hideMark/>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NVO un privātais sektors</w:t>
            </w:r>
          </w:p>
        </w:tc>
        <w:tc>
          <w:tcPr>
            <w:tcW w:w="850" w:type="dxa"/>
            <w:tcBorders>
              <w:top w:val="nil"/>
              <w:left w:val="nil"/>
              <w:bottom w:val="single" w:sz="8" w:space="0" w:color="auto"/>
              <w:right w:val="single" w:sz="8" w:space="0" w:color="auto"/>
            </w:tcBorders>
            <w:shd w:val="clear" w:color="000000" w:fill="FFFFFF"/>
            <w:noWrap/>
            <w:vAlign w:val="center"/>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23 338</w:t>
            </w:r>
          </w:p>
        </w:tc>
        <w:tc>
          <w:tcPr>
            <w:tcW w:w="993" w:type="dxa"/>
            <w:tcBorders>
              <w:top w:val="nil"/>
              <w:left w:val="nil"/>
              <w:bottom w:val="single" w:sz="8" w:space="0" w:color="auto"/>
              <w:right w:val="single" w:sz="8" w:space="0" w:color="auto"/>
            </w:tcBorders>
            <w:shd w:val="clear" w:color="000000" w:fill="FFFFFF"/>
            <w:noWrap/>
            <w:vAlign w:val="center"/>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14 280</w:t>
            </w:r>
          </w:p>
        </w:tc>
        <w:tc>
          <w:tcPr>
            <w:tcW w:w="992" w:type="dxa"/>
            <w:tcBorders>
              <w:top w:val="nil"/>
              <w:left w:val="nil"/>
              <w:bottom w:val="single" w:sz="8" w:space="0" w:color="auto"/>
              <w:right w:val="single" w:sz="8" w:space="0" w:color="auto"/>
            </w:tcBorders>
            <w:shd w:val="clear" w:color="000000" w:fill="FFFFFF"/>
            <w:noWrap/>
            <w:vAlign w:val="center"/>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9 058</w:t>
            </w:r>
          </w:p>
        </w:tc>
        <w:tc>
          <w:tcPr>
            <w:tcW w:w="850" w:type="dxa"/>
            <w:tcBorders>
              <w:top w:val="nil"/>
              <w:left w:val="nil"/>
              <w:bottom w:val="single" w:sz="8" w:space="0" w:color="auto"/>
              <w:right w:val="single" w:sz="8" w:space="0" w:color="auto"/>
            </w:tcBorders>
            <w:shd w:val="clear" w:color="000000" w:fill="FFFFFF"/>
            <w:vAlign w:val="center"/>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c>
          <w:tcPr>
            <w:tcW w:w="928" w:type="dxa"/>
            <w:tcBorders>
              <w:top w:val="nil"/>
              <w:left w:val="nil"/>
              <w:bottom w:val="single" w:sz="8" w:space="0" w:color="auto"/>
              <w:right w:val="single" w:sz="8" w:space="0" w:color="auto"/>
            </w:tcBorders>
            <w:shd w:val="clear" w:color="000000" w:fill="FFFFFF"/>
            <w:vAlign w:val="center"/>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c>
          <w:tcPr>
            <w:tcW w:w="1057" w:type="dxa"/>
            <w:tcBorders>
              <w:top w:val="nil"/>
              <w:left w:val="nil"/>
              <w:bottom w:val="single" w:sz="8" w:space="0" w:color="auto"/>
              <w:right w:val="single" w:sz="8" w:space="0" w:color="auto"/>
            </w:tcBorders>
            <w:shd w:val="clear" w:color="000000" w:fill="FFFFFF"/>
            <w:vAlign w:val="center"/>
          </w:tcPr>
          <w:p w:rsidR="009B3BD9" w:rsidRPr="00032804" w:rsidRDefault="009B3BD9"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r>
      <w:tr w:rsidR="009B3BD9" w:rsidRPr="00032804" w:rsidTr="00032804">
        <w:trPr>
          <w:trHeight w:val="330"/>
          <w:jc w:val="center"/>
        </w:trPr>
        <w:tc>
          <w:tcPr>
            <w:tcW w:w="685" w:type="dxa"/>
            <w:tcBorders>
              <w:top w:val="nil"/>
              <w:left w:val="single" w:sz="8" w:space="0" w:color="auto"/>
              <w:bottom w:val="single" w:sz="8" w:space="0" w:color="auto"/>
              <w:right w:val="single" w:sz="8" w:space="0" w:color="auto"/>
            </w:tcBorders>
          </w:tcPr>
          <w:p w:rsidR="009B3BD9" w:rsidRPr="00032804" w:rsidRDefault="009B3BD9" w:rsidP="00032804">
            <w:pPr>
              <w:rPr>
                <w:rFonts w:eastAsia="EUAlbertina-Bold-Identity-H"/>
                <w:color w:val="000000" w:themeColor="text1"/>
                <w:szCs w:val="24"/>
                <w:lang w:eastAsia="lv-LV"/>
              </w:rPr>
            </w:pPr>
          </w:p>
        </w:tc>
        <w:tc>
          <w:tcPr>
            <w:tcW w:w="2422" w:type="dxa"/>
            <w:tcBorders>
              <w:top w:val="nil"/>
              <w:left w:val="single" w:sz="8" w:space="0" w:color="auto"/>
              <w:bottom w:val="single" w:sz="8" w:space="0" w:color="auto"/>
              <w:right w:val="single" w:sz="8" w:space="0" w:color="auto"/>
            </w:tcBorders>
            <w:shd w:val="clear" w:color="auto" w:fill="auto"/>
            <w:noWrap/>
            <w:vAlign w:val="center"/>
            <w:hideMark/>
          </w:tcPr>
          <w:p w:rsidR="009B3BD9" w:rsidRPr="00032804" w:rsidRDefault="009B3BD9"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 Kopā</w:t>
            </w:r>
          </w:p>
        </w:tc>
        <w:tc>
          <w:tcPr>
            <w:tcW w:w="850" w:type="dxa"/>
            <w:tcBorders>
              <w:top w:val="nil"/>
              <w:left w:val="nil"/>
              <w:bottom w:val="single" w:sz="8" w:space="0" w:color="auto"/>
              <w:right w:val="single" w:sz="8" w:space="0" w:color="auto"/>
            </w:tcBorders>
            <w:shd w:val="clear" w:color="000000" w:fill="FFFFFF"/>
            <w:noWrap/>
            <w:vAlign w:val="center"/>
          </w:tcPr>
          <w:p w:rsidR="009B3BD9" w:rsidRPr="00032804" w:rsidRDefault="009B3BD9"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985 144</w:t>
            </w:r>
          </w:p>
        </w:tc>
        <w:tc>
          <w:tcPr>
            <w:tcW w:w="993" w:type="dxa"/>
            <w:tcBorders>
              <w:top w:val="nil"/>
              <w:left w:val="nil"/>
              <w:bottom w:val="single" w:sz="8" w:space="0" w:color="auto"/>
              <w:right w:val="single" w:sz="8" w:space="0" w:color="auto"/>
            </w:tcBorders>
            <w:shd w:val="clear" w:color="000000" w:fill="FFFFFF"/>
            <w:noWrap/>
            <w:vAlign w:val="center"/>
          </w:tcPr>
          <w:p w:rsidR="009B3BD9" w:rsidRPr="00032804" w:rsidRDefault="009B3BD9"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819 448</w:t>
            </w:r>
          </w:p>
        </w:tc>
        <w:tc>
          <w:tcPr>
            <w:tcW w:w="992" w:type="dxa"/>
            <w:tcBorders>
              <w:top w:val="nil"/>
              <w:left w:val="nil"/>
              <w:bottom w:val="single" w:sz="8" w:space="0" w:color="auto"/>
              <w:right w:val="single" w:sz="8" w:space="0" w:color="auto"/>
            </w:tcBorders>
            <w:shd w:val="clear" w:color="000000" w:fill="FFFFFF"/>
            <w:noWrap/>
            <w:vAlign w:val="center"/>
          </w:tcPr>
          <w:p w:rsidR="009B3BD9" w:rsidRPr="00032804" w:rsidRDefault="009B3BD9"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165 696</w:t>
            </w:r>
          </w:p>
        </w:tc>
        <w:tc>
          <w:tcPr>
            <w:tcW w:w="850" w:type="dxa"/>
            <w:tcBorders>
              <w:top w:val="nil"/>
              <w:left w:val="nil"/>
              <w:bottom w:val="single" w:sz="8" w:space="0" w:color="auto"/>
              <w:right w:val="single" w:sz="8" w:space="0" w:color="auto"/>
            </w:tcBorders>
            <w:shd w:val="clear" w:color="000000" w:fill="FFFFFF"/>
            <w:vAlign w:val="center"/>
          </w:tcPr>
          <w:p w:rsidR="009B3BD9" w:rsidRPr="00032804" w:rsidRDefault="009B3BD9"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0</w:t>
            </w:r>
          </w:p>
        </w:tc>
        <w:tc>
          <w:tcPr>
            <w:tcW w:w="928" w:type="dxa"/>
            <w:tcBorders>
              <w:top w:val="nil"/>
              <w:left w:val="nil"/>
              <w:bottom w:val="single" w:sz="8" w:space="0" w:color="auto"/>
              <w:right w:val="single" w:sz="8" w:space="0" w:color="auto"/>
            </w:tcBorders>
            <w:shd w:val="clear" w:color="000000" w:fill="FFFFFF"/>
            <w:vAlign w:val="center"/>
          </w:tcPr>
          <w:p w:rsidR="009B3BD9" w:rsidRPr="00032804" w:rsidRDefault="009B3BD9"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0</w:t>
            </w:r>
          </w:p>
        </w:tc>
        <w:tc>
          <w:tcPr>
            <w:tcW w:w="1057" w:type="dxa"/>
            <w:tcBorders>
              <w:top w:val="nil"/>
              <w:left w:val="nil"/>
              <w:bottom w:val="single" w:sz="8" w:space="0" w:color="auto"/>
              <w:right w:val="single" w:sz="8" w:space="0" w:color="auto"/>
            </w:tcBorders>
            <w:shd w:val="clear" w:color="000000" w:fill="FFFFFF"/>
            <w:vAlign w:val="center"/>
          </w:tcPr>
          <w:p w:rsidR="009B3BD9" w:rsidRPr="00032804" w:rsidRDefault="009B3BD9"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0</w:t>
            </w:r>
          </w:p>
        </w:tc>
      </w:tr>
    </w:tbl>
    <w:p w:rsidR="00B600F8" w:rsidRPr="00032804" w:rsidRDefault="00B600F8" w:rsidP="003A0029">
      <w:pPr>
        <w:spacing w:before="120" w:after="120" w:line="276" w:lineRule="auto"/>
        <w:rPr>
          <w:color w:val="000000" w:themeColor="text1"/>
          <w:sz w:val="20"/>
        </w:rPr>
      </w:pPr>
      <w:r w:rsidRPr="00032804">
        <w:rPr>
          <w:color w:val="000000" w:themeColor="text1"/>
          <w:sz w:val="20"/>
        </w:rPr>
        <w:t xml:space="preserve">*100% valsts budžeta </w:t>
      </w:r>
      <w:proofErr w:type="spellStart"/>
      <w:r w:rsidRPr="00032804">
        <w:rPr>
          <w:color w:val="000000" w:themeColor="text1"/>
          <w:sz w:val="20"/>
        </w:rPr>
        <w:t>priekšfinansējums</w:t>
      </w:r>
      <w:proofErr w:type="spellEnd"/>
      <w:r w:rsidRPr="00032804">
        <w:rPr>
          <w:color w:val="000000" w:themeColor="text1"/>
          <w:sz w:val="20"/>
        </w:rPr>
        <w:t xml:space="preserve"> – dotācija</w:t>
      </w:r>
    </w:p>
    <w:p w:rsidR="00B600F8" w:rsidRPr="008E4EA2" w:rsidRDefault="00B600F8" w:rsidP="003A0029">
      <w:pPr>
        <w:pStyle w:val="2lmenis"/>
        <w:numPr>
          <w:ilvl w:val="2"/>
          <w:numId w:val="2"/>
        </w:numPr>
        <w:spacing w:before="120" w:after="120" w:line="276" w:lineRule="auto"/>
        <w:jc w:val="both"/>
        <w:rPr>
          <w:color w:val="000000" w:themeColor="text1"/>
          <w:sz w:val="24"/>
          <w:szCs w:val="24"/>
          <w:lang w:val="lv-LV"/>
        </w:rPr>
      </w:pPr>
      <w:bookmarkStart w:id="85" w:name="_Toc340241716"/>
      <w:r w:rsidRPr="008E4EA2">
        <w:rPr>
          <w:color w:val="000000" w:themeColor="text1"/>
          <w:sz w:val="24"/>
          <w:szCs w:val="24"/>
          <w:lang w:val="lv-LV"/>
        </w:rPr>
        <w:t>Šveices programma</w:t>
      </w:r>
      <w:bookmarkEnd w:id="85"/>
    </w:p>
    <w:p w:rsidR="0027544C" w:rsidRPr="008E4EA2" w:rsidRDefault="0027544C" w:rsidP="003A0029">
      <w:pPr>
        <w:spacing w:before="120" w:after="120" w:line="276" w:lineRule="auto"/>
        <w:rPr>
          <w:color w:val="000000" w:themeColor="text1"/>
          <w:szCs w:val="24"/>
        </w:rPr>
      </w:pPr>
      <w:r w:rsidRPr="008E4EA2">
        <w:rPr>
          <w:color w:val="000000" w:themeColor="text1"/>
          <w:szCs w:val="24"/>
        </w:rPr>
        <w:t xml:space="preserve">2012.gadā ir konstatētas neatbilstības sešās iepirkumu procedūrās Tiesu administrācijas, Valsts vides dienesta un SIF administrētajos Šveices programmas projektos, par kurām </w:t>
      </w:r>
      <w:proofErr w:type="spellStart"/>
      <w:r w:rsidRPr="008E4EA2">
        <w:rPr>
          <w:color w:val="000000" w:themeColor="text1"/>
          <w:szCs w:val="24"/>
        </w:rPr>
        <w:t>donorvalstis</w:t>
      </w:r>
      <w:proofErr w:type="spellEnd"/>
      <w:r w:rsidRPr="008E4EA2">
        <w:rPr>
          <w:color w:val="000000" w:themeColor="text1"/>
          <w:szCs w:val="24"/>
        </w:rPr>
        <w:t xml:space="preserve"> 2012.gada </w:t>
      </w:r>
      <w:r w:rsidR="005B4CF1" w:rsidRPr="008E4EA2">
        <w:rPr>
          <w:color w:val="000000" w:themeColor="text1"/>
          <w:szCs w:val="24"/>
        </w:rPr>
        <w:t>otrajā</w:t>
      </w:r>
      <w:r w:rsidRPr="008E4EA2">
        <w:rPr>
          <w:color w:val="000000" w:themeColor="text1"/>
          <w:szCs w:val="24"/>
        </w:rPr>
        <w:t xml:space="preserve"> un </w:t>
      </w:r>
      <w:r w:rsidR="005B4CF1" w:rsidRPr="008E4EA2">
        <w:rPr>
          <w:color w:val="000000" w:themeColor="text1"/>
          <w:szCs w:val="24"/>
        </w:rPr>
        <w:t xml:space="preserve">trešajā </w:t>
      </w:r>
      <w:r w:rsidRPr="008E4EA2">
        <w:rPr>
          <w:color w:val="000000" w:themeColor="text1"/>
          <w:szCs w:val="24"/>
        </w:rPr>
        <w:t xml:space="preserve">ceturksnī tika informētas ar neatbilstību ziņojumiem. 2012.gada </w:t>
      </w:r>
      <w:r w:rsidR="00DA026E" w:rsidRPr="008E4EA2">
        <w:rPr>
          <w:color w:val="000000" w:themeColor="text1"/>
          <w:szCs w:val="24"/>
        </w:rPr>
        <w:t xml:space="preserve">trešajā </w:t>
      </w:r>
      <w:r w:rsidRPr="008E4EA2">
        <w:rPr>
          <w:color w:val="000000" w:themeColor="text1"/>
          <w:szCs w:val="24"/>
        </w:rPr>
        <w:t xml:space="preserve">ceturksnī ir saņemti Šveices kompetento iestāžu lēmumi par </w:t>
      </w:r>
      <w:r w:rsidRPr="008E4EA2">
        <w:rPr>
          <w:color w:val="000000" w:themeColor="text1"/>
          <w:szCs w:val="24"/>
          <w:lang w:eastAsia="lv-LV"/>
        </w:rPr>
        <w:t>piemērojamām finanšu korekcijām visām sešām neatbilstībām</w:t>
      </w:r>
      <w:r w:rsidRPr="008E4EA2">
        <w:rPr>
          <w:color w:val="000000" w:themeColor="text1"/>
          <w:szCs w:val="24"/>
        </w:rPr>
        <w:t>.</w:t>
      </w:r>
    </w:p>
    <w:p w:rsidR="003702F4" w:rsidRPr="008E4EA2" w:rsidRDefault="0027544C" w:rsidP="003A0029">
      <w:pPr>
        <w:spacing w:before="120" w:after="120" w:line="276" w:lineRule="auto"/>
        <w:rPr>
          <w:color w:val="000000" w:themeColor="text1"/>
          <w:szCs w:val="24"/>
        </w:rPr>
      </w:pPr>
      <w:r w:rsidRPr="008E4EA2">
        <w:rPr>
          <w:color w:val="000000" w:themeColor="text1"/>
          <w:szCs w:val="24"/>
        </w:rPr>
        <w:t xml:space="preserve">CFLA un Valsts kase līdz pārskata perioda beigām par neattiecināmiem izdevumiem kopumā ir atzinušas 67,5 </w:t>
      </w:r>
      <w:proofErr w:type="spellStart"/>
      <w:r w:rsidRPr="008E4EA2">
        <w:rPr>
          <w:color w:val="000000" w:themeColor="text1"/>
          <w:szCs w:val="24"/>
        </w:rPr>
        <w:t>tūkst</w:t>
      </w:r>
      <w:proofErr w:type="spellEnd"/>
      <w:r w:rsidRPr="008E4EA2">
        <w:rPr>
          <w:color w:val="000000" w:themeColor="text1"/>
          <w:szCs w:val="24"/>
        </w:rPr>
        <w:t xml:space="preserve">. latu jeb 0,2% no Šveices programmā noslēgtajos līgumos pieejamā kopējā publiskā finansējuma, </w:t>
      </w:r>
      <w:proofErr w:type="spellStart"/>
      <w:r w:rsidRPr="008E4EA2">
        <w:rPr>
          <w:color w:val="000000" w:themeColor="text1"/>
          <w:szCs w:val="24"/>
        </w:rPr>
        <w:t>t.sk</w:t>
      </w:r>
      <w:proofErr w:type="spellEnd"/>
      <w:r w:rsidRPr="008E4EA2">
        <w:rPr>
          <w:color w:val="000000" w:themeColor="text1"/>
          <w:szCs w:val="24"/>
        </w:rPr>
        <w:t>.:</w:t>
      </w:r>
    </w:p>
    <w:p w:rsidR="00D120DB" w:rsidRDefault="00D120DB">
      <w:pPr>
        <w:jc w:val="left"/>
        <w:rPr>
          <w:color w:val="000000" w:themeColor="text1"/>
          <w:szCs w:val="24"/>
        </w:rPr>
      </w:pPr>
      <w:r>
        <w:rPr>
          <w:color w:val="000000" w:themeColor="text1"/>
          <w:szCs w:val="24"/>
        </w:rPr>
        <w:br w:type="page"/>
      </w:r>
    </w:p>
    <w:p w:rsidR="00B600F8" w:rsidRPr="008E4EA2" w:rsidRDefault="0027544C" w:rsidP="003A0029">
      <w:pPr>
        <w:spacing w:before="120" w:after="120" w:line="276" w:lineRule="auto"/>
        <w:rPr>
          <w:color w:val="000000" w:themeColor="text1"/>
          <w:szCs w:val="24"/>
        </w:rPr>
      </w:pPr>
      <w:r w:rsidRPr="008E4EA2">
        <w:rPr>
          <w:color w:val="000000" w:themeColor="text1"/>
          <w:szCs w:val="24"/>
        </w:rPr>
        <w:lastRenderedPageBreak/>
        <w:t>Tabula Nr.</w:t>
      </w:r>
      <w:r w:rsidR="00E62148">
        <w:rPr>
          <w:color w:val="000000" w:themeColor="text1"/>
          <w:szCs w:val="24"/>
        </w:rPr>
        <w:t>3</w:t>
      </w:r>
      <w:r w:rsidRPr="008E4EA2">
        <w:rPr>
          <w:color w:val="000000" w:themeColor="text1"/>
          <w:szCs w:val="24"/>
        </w:rPr>
        <w:t xml:space="preserve"> </w:t>
      </w:r>
      <w:r w:rsidRPr="008E4EA2">
        <w:rPr>
          <w:i/>
          <w:color w:val="000000" w:themeColor="text1"/>
          <w:szCs w:val="24"/>
        </w:rPr>
        <w:t>„Šveices programmas neattiecināmo izdevumu summa līdz 2012.gada 30.septembrim, lati.”</w:t>
      </w:r>
    </w:p>
    <w:tbl>
      <w:tblPr>
        <w:tblW w:w="8821" w:type="dxa"/>
        <w:jc w:val="center"/>
        <w:tblInd w:w="690" w:type="dxa"/>
        <w:tblLayout w:type="fixed"/>
        <w:tblLook w:val="04A0" w:firstRow="1" w:lastRow="0" w:firstColumn="1" w:lastColumn="0" w:noHBand="0" w:noVBand="1"/>
      </w:tblPr>
      <w:tblGrid>
        <w:gridCol w:w="659"/>
        <w:gridCol w:w="2240"/>
        <w:gridCol w:w="992"/>
        <w:gridCol w:w="993"/>
        <w:gridCol w:w="992"/>
        <w:gridCol w:w="850"/>
        <w:gridCol w:w="1103"/>
        <w:gridCol w:w="992"/>
      </w:tblGrid>
      <w:tr w:rsidR="0027544C" w:rsidRPr="00032804" w:rsidTr="00032804">
        <w:trPr>
          <w:trHeight w:val="330"/>
          <w:jc w:val="center"/>
        </w:trPr>
        <w:tc>
          <w:tcPr>
            <w:tcW w:w="659" w:type="dxa"/>
            <w:vMerge w:val="restart"/>
            <w:tcBorders>
              <w:top w:val="single" w:sz="8" w:space="0" w:color="auto"/>
              <w:left w:val="single" w:sz="8" w:space="0" w:color="auto"/>
              <w:right w:val="single" w:sz="8" w:space="0" w:color="auto"/>
            </w:tcBorders>
            <w:vAlign w:val="center"/>
          </w:tcPr>
          <w:p w:rsidR="0027544C" w:rsidRPr="00032804" w:rsidRDefault="0027544C" w:rsidP="00032804">
            <w:pPr>
              <w:rPr>
                <w:rFonts w:eastAsia="EUAlbertina-Bold-Identity-H"/>
                <w:b/>
                <w:color w:val="000000" w:themeColor="text1"/>
                <w:szCs w:val="24"/>
                <w:lang w:eastAsia="lv-LV"/>
              </w:rPr>
            </w:pPr>
            <w:proofErr w:type="spellStart"/>
            <w:r w:rsidRPr="00032804">
              <w:rPr>
                <w:rFonts w:eastAsia="EUAlbertina-Bold-Identity-H"/>
                <w:b/>
                <w:color w:val="000000" w:themeColor="text1"/>
                <w:szCs w:val="24"/>
                <w:lang w:eastAsia="lv-LV"/>
              </w:rPr>
              <w:t>Nr</w:t>
            </w:r>
            <w:proofErr w:type="spellEnd"/>
            <w:r w:rsidRPr="00032804">
              <w:rPr>
                <w:rFonts w:eastAsia="EUAlbertina-Bold-Identity-H"/>
                <w:b/>
                <w:color w:val="000000" w:themeColor="text1"/>
                <w:szCs w:val="24"/>
                <w:lang w:eastAsia="lv-LV"/>
              </w:rPr>
              <w:t>.</w:t>
            </w:r>
          </w:p>
          <w:p w:rsidR="0027544C" w:rsidRPr="00032804" w:rsidRDefault="0027544C" w:rsidP="00032804">
            <w:pPr>
              <w:rPr>
                <w:rFonts w:eastAsia="EUAlbertina-Bold-Identity-H"/>
                <w:b/>
                <w:color w:val="000000" w:themeColor="text1"/>
                <w:szCs w:val="24"/>
                <w:lang w:eastAsia="lv-LV"/>
              </w:rPr>
            </w:pPr>
            <w:proofErr w:type="spellStart"/>
            <w:r w:rsidRPr="00032804">
              <w:rPr>
                <w:rFonts w:eastAsia="EUAlbertina-Bold-Identity-H"/>
                <w:b/>
                <w:color w:val="000000" w:themeColor="text1"/>
                <w:szCs w:val="24"/>
                <w:lang w:eastAsia="lv-LV"/>
              </w:rPr>
              <w:t>p.k</w:t>
            </w:r>
            <w:proofErr w:type="spellEnd"/>
            <w:r w:rsidRPr="00032804">
              <w:rPr>
                <w:rFonts w:eastAsia="EUAlbertina-Bold-Identity-H"/>
                <w:b/>
                <w:color w:val="000000" w:themeColor="text1"/>
                <w:szCs w:val="24"/>
                <w:lang w:eastAsia="lv-LV"/>
              </w:rPr>
              <w:t>.</w:t>
            </w:r>
          </w:p>
        </w:tc>
        <w:tc>
          <w:tcPr>
            <w:tcW w:w="22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7544C" w:rsidRPr="00032804" w:rsidRDefault="0027544C"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Finansējuma saņēmējs</w:t>
            </w:r>
          </w:p>
        </w:tc>
        <w:tc>
          <w:tcPr>
            <w:tcW w:w="297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7544C" w:rsidRPr="00032804" w:rsidRDefault="0027544C"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Kumulatīvi no 01.01.2009. līdz 30.09.2012.</w:t>
            </w:r>
          </w:p>
        </w:tc>
        <w:tc>
          <w:tcPr>
            <w:tcW w:w="2945" w:type="dxa"/>
            <w:gridSpan w:val="3"/>
            <w:tcBorders>
              <w:top w:val="single" w:sz="8" w:space="0" w:color="auto"/>
              <w:left w:val="nil"/>
              <w:bottom w:val="single" w:sz="8" w:space="0" w:color="auto"/>
              <w:right w:val="single" w:sz="8" w:space="0" w:color="000000"/>
            </w:tcBorders>
            <w:shd w:val="clear" w:color="auto" w:fill="auto"/>
            <w:vAlign w:val="center"/>
            <w:hideMark/>
          </w:tcPr>
          <w:p w:rsidR="0027544C" w:rsidRPr="00032804" w:rsidRDefault="0027544C"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 xml:space="preserve">t. </w:t>
            </w:r>
            <w:proofErr w:type="spellStart"/>
            <w:r w:rsidRPr="00032804">
              <w:rPr>
                <w:rFonts w:eastAsia="EUAlbertina-Bold-Identity-H"/>
                <w:b/>
                <w:color w:val="000000" w:themeColor="text1"/>
                <w:szCs w:val="24"/>
                <w:lang w:eastAsia="lv-LV"/>
              </w:rPr>
              <w:t>sk</w:t>
            </w:r>
            <w:proofErr w:type="spellEnd"/>
            <w:r w:rsidRPr="00032804">
              <w:rPr>
                <w:rFonts w:eastAsia="EUAlbertina-Bold-Identity-H"/>
                <w:b/>
                <w:color w:val="000000" w:themeColor="text1"/>
                <w:szCs w:val="24"/>
                <w:lang w:eastAsia="lv-LV"/>
              </w:rPr>
              <w:t>., 2012.gada 3.ceturksnī</w:t>
            </w:r>
          </w:p>
        </w:tc>
      </w:tr>
      <w:tr w:rsidR="0027544C" w:rsidRPr="00032804" w:rsidTr="00032804">
        <w:trPr>
          <w:trHeight w:val="1155"/>
          <w:jc w:val="center"/>
        </w:trPr>
        <w:tc>
          <w:tcPr>
            <w:tcW w:w="659" w:type="dxa"/>
            <w:vMerge/>
            <w:tcBorders>
              <w:left w:val="single" w:sz="8" w:space="0" w:color="auto"/>
              <w:bottom w:val="single" w:sz="8" w:space="0" w:color="000000"/>
              <w:right w:val="single" w:sz="8" w:space="0" w:color="auto"/>
            </w:tcBorders>
            <w:vAlign w:val="center"/>
          </w:tcPr>
          <w:p w:rsidR="0027544C" w:rsidRPr="00032804" w:rsidRDefault="0027544C" w:rsidP="00032804">
            <w:pPr>
              <w:rPr>
                <w:rFonts w:eastAsia="EUAlbertina-Bold-Identity-H"/>
                <w:color w:val="000000" w:themeColor="text1"/>
                <w:szCs w:val="24"/>
                <w:lang w:eastAsia="lv-LV"/>
              </w:rPr>
            </w:pPr>
          </w:p>
        </w:tc>
        <w:tc>
          <w:tcPr>
            <w:tcW w:w="2240" w:type="dxa"/>
            <w:vMerge/>
            <w:tcBorders>
              <w:top w:val="single" w:sz="8" w:space="0" w:color="auto"/>
              <w:left w:val="single" w:sz="8" w:space="0" w:color="auto"/>
              <w:bottom w:val="single" w:sz="8" w:space="0" w:color="000000"/>
              <w:right w:val="single" w:sz="8" w:space="0" w:color="auto"/>
            </w:tcBorders>
            <w:vAlign w:val="center"/>
            <w:hideMark/>
          </w:tcPr>
          <w:p w:rsidR="0027544C" w:rsidRPr="00032804" w:rsidRDefault="0027544C" w:rsidP="00032804">
            <w:pPr>
              <w:rPr>
                <w:rFonts w:eastAsia="EUAlbertina-Bold-Identity-H"/>
                <w:color w:val="000000" w:themeColor="text1"/>
                <w:szCs w:val="24"/>
                <w:lang w:eastAsia="lv-LV"/>
              </w:rPr>
            </w:pPr>
          </w:p>
        </w:tc>
        <w:tc>
          <w:tcPr>
            <w:tcW w:w="992" w:type="dxa"/>
            <w:tcBorders>
              <w:top w:val="nil"/>
              <w:left w:val="nil"/>
              <w:bottom w:val="single" w:sz="8" w:space="0" w:color="auto"/>
              <w:right w:val="single" w:sz="8" w:space="0" w:color="auto"/>
            </w:tcBorders>
            <w:shd w:val="clear" w:color="auto" w:fill="auto"/>
            <w:noWrap/>
            <w:vAlign w:val="center"/>
            <w:hideMark/>
          </w:tcPr>
          <w:p w:rsidR="0027544C" w:rsidRPr="00032804" w:rsidRDefault="0027544C"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Kopā</w:t>
            </w:r>
          </w:p>
        </w:tc>
        <w:tc>
          <w:tcPr>
            <w:tcW w:w="993" w:type="dxa"/>
            <w:tcBorders>
              <w:top w:val="nil"/>
              <w:left w:val="nil"/>
              <w:bottom w:val="single" w:sz="8" w:space="0" w:color="auto"/>
              <w:right w:val="single" w:sz="8" w:space="0" w:color="auto"/>
            </w:tcBorders>
            <w:shd w:val="clear" w:color="auto" w:fill="auto"/>
            <w:vAlign w:val="center"/>
            <w:hideMark/>
          </w:tcPr>
          <w:p w:rsidR="0027544C" w:rsidRPr="00032804" w:rsidRDefault="0027544C"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Šveices grants</w:t>
            </w:r>
          </w:p>
        </w:tc>
        <w:tc>
          <w:tcPr>
            <w:tcW w:w="992" w:type="dxa"/>
            <w:tcBorders>
              <w:top w:val="nil"/>
              <w:left w:val="nil"/>
              <w:bottom w:val="single" w:sz="8" w:space="0" w:color="auto"/>
              <w:right w:val="single" w:sz="8" w:space="0" w:color="auto"/>
            </w:tcBorders>
            <w:shd w:val="clear" w:color="auto" w:fill="auto"/>
            <w:vAlign w:val="center"/>
            <w:hideMark/>
          </w:tcPr>
          <w:p w:rsidR="0027544C" w:rsidRPr="00032804" w:rsidRDefault="0027544C" w:rsidP="00032804">
            <w:pPr>
              <w:rPr>
                <w:rFonts w:eastAsia="EUAlbertina-Bold-Identity-H"/>
                <w:b/>
                <w:color w:val="000000" w:themeColor="text1"/>
                <w:szCs w:val="24"/>
                <w:lang w:eastAsia="lv-LV"/>
              </w:rPr>
            </w:pPr>
            <w:proofErr w:type="spellStart"/>
            <w:r w:rsidRPr="00032804">
              <w:rPr>
                <w:rFonts w:eastAsia="EUAlbertina-Bold-Identity-H"/>
                <w:b/>
                <w:color w:val="000000" w:themeColor="text1"/>
                <w:szCs w:val="24"/>
                <w:lang w:eastAsia="lv-LV"/>
              </w:rPr>
              <w:t>Nac</w:t>
            </w:r>
            <w:proofErr w:type="spellEnd"/>
            <w:r w:rsidRPr="00032804">
              <w:rPr>
                <w:rFonts w:eastAsia="EUAlbertina-Bold-Identity-H"/>
                <w:b/>
                <w:color w:val="000000" w:themeColor="text1"/>
                <w:szCs w:val="24"/>
                <w:lang w:eastAsia="lv-LV"/>
              </w:rPr>
              <w:t>.</w:t>
            </w:r>
          </w:p>
          <w:p w:rsidR="0027544C" w:rsidRPr="00032804" w:rsidRDefault="0027544C" w:rsidP="00032804">
            <w:pPr>
              <w:rPr>
                <w:rFonts w:eastAsia="EUAlbertina-Bold-Identity-H"/>
                <w:b/>
                <w:color w:val="000000" w:themeColor="text1"/>
                <w:szCs w:val="24"/>
                <w:lang w:eastAsia="lv-LV"/>
              </w:rPr>
            </w:pPr>
            <w:proofErr w:type="spellStart"/>
            <w:r w:rsidRPr="00032804">
              <w:rPr>
                <w:rFonts w:eastAsia="EUAlbertina-Bold-Identity-H"/>
                <w:b/>
                <w:color w:val="000000" w:themeColor="text1"/>
                <w:szCs w:val="24"/>
                <w:lang w:eastAsia="lv-LV"/>
              </w:rPr>
              <w:t>finan-</w:t>
            </w:r>
            <w:proofErr w:type="spellEnd"/>
          </w:p>
          <w:p w:rsidR="0027544C" w:rsidRPr="00032804" w:rsidRDefault="0027544C"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sējums</w:t>
            </w:r>
          </w:p>
        </w:tc>
        <w:tc>
          <w:tcPr>
            <w:tcW w:w="850" w:type="dxa"/>
            <w:tcBorders>
              <w:top w:val="nil"/>
              <w:left w:val="nil"/>
              <w:bottom w:val="single" w:sz="8" w:space="0" w:color="auto"/>
              <w:right w:val="single" w:sz="8" w:space="0" w:color="auto"/>
            </w:tcBorders>
            <w:shd w:val="clear" w:color="auto" w:fill="auto"/>
            <w:vAlign w:val="center"/>
            <w:hideMark/>
          </w:tcPr>
          <w:p w:rsidR="0027544C" w:rsidRPr="00032804" w:rsidRDefault="0027544C"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Kopā</w:t>
            </w:r>
          </w:p>
        </w:tc>
        <w:tc>
          <w:tcPr>
            <w:tcW w:w="1103" w:type="dxa"/>
            <w:tcBorders>
              <w:top w:val="nil"/>
              <w:left w:val="nil"/>
              <w:bottom w:val="single" w:sz="8" w:space="0" w:color="auto"/>
              <w:right w:val="single" w:sz="8" w:space="0" w:color="auto"/>
            </w:tcBorders>
            <w:shd w:val="clear" w:color="auto" w:fill="auto"/>
            <w:vAlign w:val="center"/>
            <w:hideMark/>
          </w:tcPr>
          <w:p w:rsidR="0027544C" w:rsidRPr="00032804" w:rsidRDefault="0027544C"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Šveices grants</w:t>
            </w:r>
          </w:p>
        </w:tc>
        <w:tc>
          <w:tcPr>
            <w:tcW w:w="992" w:type="dxa"/>
            <w:tcBorders>
              <w:top w:val="nil"/>
              <w:left w:val="nil"/>
              <w:bottom w:val="single" w:sz="8" w:space="0" w:color="auto"/>
              <w:right w:val="single" w:sz="8" w:space="0" w:color="auto"/>
            </w:tcBorders>
            <w:shd w:val="clear" w:color="auto" w:fill="auto"/>
            <w:vAlign w:val="center"/>
            <w:hideMark/>
          </w:tcPr>
          <w:p w:rsidR="0027544C" w:rsidRPr="00032804" w:rsidRDefault="0027544C" w:rsidP="00032804">
            <w:pPr>
              <w:rPr>
                <w:rFonts w:eastAsia="EUAlbertina-Bold-Identity-H"/>
                <w:b/>
                <w:color w:val="000000" w:themeColor="text1"/>
                <w:szCs w:val="24"/>
                <w:lang w:eastAsia="lv-LV"/>
              </w:rPr>
            </w:pPr>
            <w:proofErr w:type="spellStart"/>
            <w:r w:rsidRPr="00032804">
              <w:rPr>
                <w:rFonts w:eastAsia="EUAlbertina-Bold-Identity-H"/>
                <w:b/>
                <w:color w:val="000000" w:themeColor="text1"/>
                <w:szCs w:val="24"/>
                <w:lang w:eastAsia="lv-LV"/>
              </w:rPr>
              <w:t>Nac</w:t>
            </w:r>
            <w:proofErr w:type="spellEnd"/>
            <w:r w:rsidRPr="00032804">
              <w:rPr>
                <w:rFonts w:eastAsia="EUAlbertina-Bold-Identity-H"/>
                <w:b/>
                <w:color w:val="000000" w:themeColor="text1"/>
                <w:szCs w:val="24"/>
                <w:lang w:eastAsia="lv-LV"/>
              </w:rPr>
              <w:t>.</w:t>
            </w:r>
          </w:p>
          <w:p w:rsidR="0027544C" w:rsidRPr="00032804" w:rsidRDefault="0027544C" w:rsidP="00032804">
            <w:pPr>
              <w:rPr>
                <w:rFonts w:eastAsia="EUAlbertina-Bold-Identity-H"/>
                <w:b/>
                <w:color w:val="000000" w:themeColor="text1"/>
                <w:szCs w:val="24"/>
                <w:lang w:eastAsia="lv-LV"/>
              </w:rPr>
            </w:pPr>
            <w:proofErr w:type="spellStart"/>
            <w:r w:rsidRPr="00032804">
              <w:rPr>
                <w:rFonts w:eastAsia="EUAlbertina-Bold-Identity-H"/>
                <w:b/>
                <w:color w:val="000000" w:themeColor="text1"/>
                <w:szCs w:val="24"/>
                <w:lang w:eastAsia="lv-LV"/>
              </w:rPr>
              <w:t>finan-</w:t>
            </w:r>
            <w:proofErr w:type="spellEnd"/>
          </w:p>
          <w:p w:rsidR="0027544C" w:rsidRPr="00032804" w:rsidRDefault="0027544C"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sējums</w:t>
            </w:r>
          </w:p>
        </w:tc>
      </w:tr>
      <w:tr w:rsidR="0027544C" w:rsidRPr="00032804" w:rsidTr="00032804">
        <w:trPr>
          <w:trHeight w:val="525"/>
          <w:jc w:val="center"/>
        </w:trPr>
        <w:tc>
          <w:tcPr>
            <w:tcW w:w="659" w:type="dxa"/>
            <w:tcBorders>
              <w:top w:val="nil"/>
              <w:left w:val="single" w:sz="8" w:space="0" w:color="auto"/>
              <w:bottom w:val="single" w:sz="8" w:space="0" w:color="auto"/>
              <w:right w:val="single" w:sz="8" w:space="0" w:color="auto"/>
            </w:tcBorders>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1.</w:t>
            </w:r>
          </w:p>
        </w:tc>
        <w:tc>
          <w:tcPr>
            <w:tcW w:w="2240" w:type="dxa"/>
            <w:tcBorders>
              <w:top w:val="nil"/>
              <w:left w:val="single" w:sz="8" w:space="0" w:color="auto"/>
              <w:bottom w:val="single" w:sz="8" w:space="0" w:color="auto"/>
              <w:right w:val="single" w:sz="8" w:space="0" w:color="auto"/>
            </w:tcBorders>
            <w:shd w:val="clear" w:color="auto" w:fill="auto"/>
            <w:vAlign w:val="center"/>
            <w:hideMark/>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Tiešās vai pastarpinātās valsts pārvaldes iestādes*</w:t>
            </w:r>
          </w:p>
        </w:tc>
        <w:tc>
          <w:tcPr>
            <w:tcW w:w="992" w:type="dxa"/>
            <w:tcBorders>
              <w:top w:val="nil"/>
              <w:left w:val="nil"/>
              <w:bottom w:val="single" w:sz="8" w:space="0" w:color="auto"/>
              <w:right w:val="single" w:sz="8" w:space="0" w:color="auto"/>
            </w:tcBorders>
            <w:shd w:val="clear" w:color="000000" w:fill="FFFFFF"/>
            <w:noWrap/>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67 555</w:t>
            </w:r>
          </w:p>
        </w:tc>
        <w:tc>
          <w:tcPr>
            <w:tcW w:w="993" w:type="dxa"/>
            <w:tcBorders>
              <w:top w:val="nil"/>
              <w:left w:val="nil"/>
              <w:bottom w:val="single" w:sz="8" w:space="0" w:color="auto"/>
              <w:right w:val="single" w:sz="8" w:space="0" w:color="auto"/>
            </w:tcBorders>
            <w:shd w:val="clear" w:color="000000" w:fill="FFFFFF"/>
            <w:noWrap/>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57 418</w:t>
            </w:r>
          </w:p>
        </w:tc>
        <w:tc>
          <w:tcPr>
            <w:tcW w:w="992" w:type="dxa"/>
            <w:tcBorders>
              <w:top w:val="nil"/>
              <w:left w:val="nil"/>
              <w:bottom w:val="single" w:sz="8" w:space="0" w:color="auto"/>
              <w:right w:val="single" w:sz="8" w:space="0" w:color="auto"/>
            </w:tcBorders>
            <w:shd w:val="clear" w:color="000000" w:fill="FFFFFF"/>
            <w:noWrap/>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10 137</w:t>
            </w:r>
          </w:p>
        </w:tc>
        <w:tc>
          <w:tcPr>
            <w:tcW w:w="850" w:type="dxa"/>
            <w:tcBorders>
              <w:top w:val="nil"/>
              <w:left w:val="nil"/>
              <w:bottom w:val="single" w:sz="8" w:space="0" w:color="auto"/>
              <w:right w:val="single" w:sz="8" w:space="0" w:color="auto"/>
            </w:tcBorders>
            <w:shd w:val="clear" w:color="000000" w:fill="FFFFFF"/>
            <w:noWrap/>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37 023</w:t>
            </w:r>
          </w:p>
        </w:tc>
        <w:tc>
          <w:tcPr>
            <w:tcW w:w="1103" w:type="dxa"/>
            <w:tcBorders>
              <w:top w:val="nil"/>
              <w:left w:val="nil"/>
              <w:bottom w:val="single" w:sz="8" w:space="0" w:color="auto"/>
              <w:right w:val="single" w:sz="8" w:space="0" w:color="auto"/>
            </w:tcBorders>
            <w:shd w:val="clear" w:color="000000" w:fill="FFFFFF"/>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31 470</w:t>
            </w:r>
          </w:p>
        </w:tc>
        <w:tc>
          <w:tcPr>
            <w:tcW w:w="992" w:type="dxa"/>
            <w:tcBorders>
              <w:top w:val="nil"/>
              <w:left w:val="nil"/>
              <w:bottom w:val="single" w:sz="8" w:space="0" w:color="auto"/>
              <w:right w:val="single" w:sz="8" w:space="0" w:color="auto"/>
            </w:tcBorders>
            <w:shd w:val="clear" w:color="000000" w:fill="FFFFFF"/>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5 553</w:t>
            </w:r>
          </w:p>
        </w:tc>
      </w:tr>
      <w:tr w:rsidR="0027544C" w:rsidRPr="00032804" w:rsidTr="00032804">
        <w:trPr>
          <w:trHeight w:val="525"/>
          <w:jc w:val="center"/>
        </w:trPr>
        <w:tc>
          <w:tcPr>
            <w:tcW w:w="659" w:type="dxa"/>
            <w:tcBorders>
              <w:top w:val="nil"/>
              <w:left w:val="single" w:sz="8" w:space="0" w:color="auto"/>
              <w:bottom w:val="single" w:sz="8" w:space="0" w:color="auto"/>
              <w:right w:val="single" w:sz="8" w:space="0" w:color="auto"/>
            </w:tcBorders>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2.</w:t>
            </w:r>
          </w:p>
        </w:tc>
        <w:tc>
          <w:tcPr>
            <w:tcW w:w="2240" w:type="dxa"/>
            <w:tcBorders>
              <w:top w:val="nil"/>
              <w:left w:val="single" w:sz="8" w:space="0" w:color="auto"/>
              <w:bottom w:val="single" w:sz="8" w:space="0" w:color="auto"/>
              <w:right w:val="single" w:sz="8" w:space="0" w:color="auto"/>
            </w:tcBorders>
            <w:shd w:val="clear" w:color="auto" w:fill="auto"/>
            <w:vAlign w:val="center"/>
            <w:hideMark/>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Atvasinātās publiskās personas vai citas valsts iestādes</w:t>
            </w:r>
          </w:p>
        </w:tc>
        <w:tc>
          <w:tcPr>
            <w:tcW w:w="992" w:type="dxa"/>
            <w:tcBorders>
              <w:top w:val="nil"/>
              <w:left w:val="nil"/>
              <w:bottom w:val="single" w:sz="8" w:space="0" w:color="auto"/>
              <w:right w:val="single" w:sz="8" w:space="0" w:color="auto"/>
            </w:tcBorders>
            <w:shd w:val="clear" w:color="000000" w:fill="FFFFFF"/>
            <w:noWrap/>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c>
          <w:tcPr>
            <w:tcW w:w="993" w:type="dxa"/>
            <w:tcBorders>
              <w:top w:val="nil"/>
              <w:left w:val="nil"/>
              <w:bottom w:val="single" w:sz="8" w:space="0" w:color="auto"/>
              <w:right w:val="single" w:sz="8" w:space="0" w:color="auto"/>
            </w:tcBorders>
            <w:shd w:val="clear" w:color="000000" w:fill="FFFFFF"/>
            <w:noWrap/>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c>
          <w:tcPr>
            <w:tcW w:w="992" w:type="dxa"/>
            <w:tcBorders>
              <w:top w:val="nil"/>
              <w:left w:val="nil"/>
              <w:bottom w:val="single" w:sz="8" w:space="0" w:color="auto"/>
              <w:right w:val="single" w:sz="8" w:space="0" w:color="auto"/>
            </w:tcBorders>
            <w:shd w:val="clear" w:color="000000" w:fill="FFFFFF"/>
            <w:noWrap/>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c>
          <w:tcPr>
            <w:tcW w:w="850" w:type="dxa"/>
            <w:tcBorders>
              <w:top w:val="nil"/>
              <w:left w:val="nil"/>
              <w:bottom w:val="single" w:sz="8" w:space="0" w:color="auto"/>
              <w:right w:val="single" w:sz="8" w:space="0" w:color="auto"/>
            </w:tcBorders>
            <w:shd w:val="clear" w:color="000000" w:fill="FFFFFF"/>
            <w:noWrap/>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c>
          <w:tcPr>
            <w:tcW w:w="1103" w:type="dxa"/>
            <w:tcBorders>
              <w:top w:val="nil"/>
              <w:left w:val="nil"/>
              <w:bottom w:val="single" w:sz="8" w:space="0" w:color="auto"/>
              <w:right w:val="single" w:sz="8" w:space="0" w:color="auto"/>
            </w:tcBorders>
            <w:shd w:val="clear" w:color="000000" w:fill="FFFFFF"/>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c>
          <w:tcPr>
            <w:tcW w:w="992" w:type="dxa"/>
            <w:tcBorders>
              <w:top w:val="nil"/>
              <w:left w:val="nil"/>
              <w:bottom w:val="single" w:sz="8" w:space="0" w:color="auto"/>
              <w:right w:val="single" w:sz="8" w:space="0" w:color="auto"/>
            </w:tcBorders>
            <w:shd w:val="clear" w:color="000000" w:fill="FFFFFF"/>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r>
      <w:tr w:rsidR="0027544C" w:rsidRPr="00032804" w:rsidTr="00032804">
        <w:trPr>
          <w:trHeight w:val="335"/>
          <w:jc w:val="center"/>
        </w:trPr>
        <w:tc>
          <w:tcPr>
            <w:tcW w:w="659" w:type="dxa"/>
            <w:tcBorders>
              <w:top w:val="nil"/>
              <w:left w:val="single" w:sz="8" w:space="0" w:color="auto"/>
              <w:bottom w:val="single" w:sz="8" w:space="0" w:color="auto"/>
              <w:right w:val="single" w:sz="8" w:space="0" w:color="auto"/>
            </w:tcBorders>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3.</w:t>
            </w:r>
          </w:p>
        </w:tc>
        <w:tc>
          <w:tcPr>
            <w:tcW w:w="2240" w:type="dxa"/>
            <w:tcBorders>
              <w:top w:val="nil"/>
              <w:left w:val="single" w:sz="8" w:space="0" w:color="auto"/>
              <w:bottom w:val="single" w:sz="8" w:space="0" w:color="auto"/>
              <w:right w:val="single" w:sz="8" w:space="0" w:color="auto"/>
            </w:tcBorders>
            <w:shd w:val="clear" w:color="auto" w:fill="auto"/>
            <w:vAlign w:val="center"/>
            <w:hideMark/>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NVO un privātais sektors</w:t>
            </w:r>
          </w:p>
        </w:tc>
        <w:tc>
          <w:tcPr>
            <w:tcW w:w="992" w:type="dxa"/>
            <w:tcBorders>
              <w:top w:val="nil"/>
              <w:left w:val="nil"/>
              <w:bottom w:val="single" w:sz="8" w:space="0" w:color="auto"/>
              <w:right w:val="single" w:sz="8" w:space="0" w:color="auto"/>
            </w:tcBorders>
            <w:shd w:val="clear" w:color="000000" w:fill="FFFFFF"/>
            <w:noWrap/>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c>
          <w:tcPr>
            <w:tcW w:w="993" w:type="dxa"/>
            <w:tcBorders>
              <w:top w:val="nil"/>
              <w:left w:val="nil"/>
              <w:bottom w:val="single" w:sz="8" w:space="0" w:color="auto"/>
              <w:right w:val="single" w:sz="8" w:space="0" w:color="auto"/>
            </w:tcBorders>
            <w:shd w:val="clear" w:color="000000" w:fill="FFFFFF"/>
            <w:noWrap/>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c>
          <w:tcPr>
            <w:tcW w:w="992" w:type="dxa"/>
            <w:tcBorders>
              <w:top w:val="nil"/>
              <w:left w:val="nil"/>
              <w:bottom w:val="single" w:sz="8" w:space="0" w:color="auto"/>
              <w:right w:val="single" w:sz="8" w:space="0" w:color="auto"/>
            </w:tcBorders>
            <w:shd w:val="clear" w:color="000000" w:fill="FFFFFF"/>
            <w:noWrap/>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c>
          <w:tcPr>
            <w:tcW w:w="850" w:type="dxa"/>
            <w:tcBorders>
              <w:top w:val="nil"/>
              <w:left w:val="nil"/>
              <w:bottom w:val="single" w:sz="8" w:space="0" w:color="auto"/>
              <w:right w:val="single" w:sz="8" w:space="0" w:color="auto"/>
            </w:tcBorders>
            <w:shd w:val="clear" w:color="000000" w:fill="FFFFFF"/>
            <w:noWrap/>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c>
          <w:tcPr>
            <w:tcW w:w="1103" w:type="dxa"/>
            <w:tcBorders>
              <w:top w:val="nil"/>
              <w:left w:val="nil"/>
              <w:bottom w:val="single" w:sz="8" w:space="0" w:color="auto"/>
              <w:right w:val="single" w:sz="8" w:space="0" w:color="auto"/>
            </w:tcBorders>
            <w:shd w:val="clear" w:color="000000" w:fill="FFFFFF"/>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c>
          <w:tcPr>
            <w:tcW w:w="992" w:type="dxa"/>
            <w:tcBorders>
              <w:top w:val="nil"/>
              <w:left w:val="nil"/>
              <w:bottom w:val="single" w:sz="8" w:space="0" w:color="auto"/>
              <w:right w:val="single" w:sz="8" w:space="0" w:color="auto"/>
            </w:tcBorders>
            <w:shd w:val="clear" w:color="000000" w:fill="FFFFFF"/>
            <w:vAlign w:val="center"/>
          </w:tcPr>
          <w:p w:rsidR="0027544C" w:rsidRPr="00032804" w:rsidRDefault="0027544C" w:rsidP="00032804">
            <w:pPr>
              <w:rPr>
                <w:rFonts w:eastAsia="EUAlbertina-Bold-Identity-H"/>
                <w:color w:val="000000" w:themeColor="text1"/>
                <w:szCs w:val="24"/>
                <w:lang w:eastAsia="lv-LV"/>
              </w:rPr>
            </w:pPr>
            <w:r w:rsidRPr="00032804">
              <w:rPr>
                <w:rFonts w:eastAsia="EUAlbertina-Bold-Identity-H"/>
                <w:color w:val="000000" w:themeColor="text1"/>
                <w:szCs w:val="24"/>
                <w:lang w:eastAsia="lv-LV"/>
              </w:rPr>
              <w:t>0</w:t>
            </w:r>
          </w:p>
        </w:tc>
      </w:tr>
      <w:tr w:rsidR="0027544C" w:rsidRPr="00032804" w:rsidTr="00032804">
        <w:trPr>
          <w:trHeight w:val="272"/>
          <w:jc w:val="center"/>
        </w:trPr>
        <w:tc>
          <w:tcPr>
            <w:tcW w:w="659" w:type="dxa"/>
            <w:tcBorders>
              <w:top w:val="nil"/>
              <w:left w:val="single" w:sz="8" w:space="0" w:color="auto"/>
              <w:bottom w:val="single" w:sz="8" w:space="0" w:color="auto"/>
              <w:right w:val="single" w:sz="8" w:space="0" w:color="auto"/>
            </w:tcBorders>
            <w:vAlign w:val="center"/>
          </w:tcPr>
          <w:p w:rsidR="0027544C" w:rsidRPr="00032804" w:rsidRDefault="0027544C" w:rsidP="00032804">
            <w:pPr>
              <w:rPr>
                <w:rFonts w:eastAsia="EUAlbertina-Bold-Identity-H"/>
                <w:color w:val="000000" w:themeColor="text1"/>
                <w:szCs w:val="24"/>
                <w:lang w:eastAsia="lv-LV"/>
              </w:rPr>
            </w:pPr>
          </w:p>
        </w:tc>
        <w:tc>
          <w:tcPr>
            <w:tcW w:w="2240" w:type="dxa"/>
            <w:tcBorders>
              <w:top w:val="nil"/>
              <w:left w:val="single" w:sz="8" w:space="0" w:color="auto"/>
              <w:bottom w:val="single" w:sz="8" w:space="0" w:color="auto"/>
              <w:right w:val="single" w:sz="8" w:space="0" w:color="auto"/>
            </w:tcBorders>
            <w:shd w:val="clear" w:color="auto" w:fill="auto"/>
            <w:vAlign w:val="center"/>
            <w:hideMark/>
          </w:tcPr>
          <w:p w:rsidR="0027544C" w:rsidRPr="00032804" w:rsidRDefault="0027544C"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 Kopā</w:t>
            </w:r>
          </w:p>
        </w:tc>
        <w:tc>
          <w:tcPr>
            <w:tcW w:w="992" w:type="dxa"/>
            <w:tcBorders>
              <w:top w:val="nil"/>
              <w:left w:val="nil"/>
              <w:bottom w:val="single" w:sz="8" w:space="0" w:color="auto"/>
              <w:right w:val="single" w:sz="8" w:space="0" w:color="auto"/>
            </w:tcBorders>
            <w:shd w:val="clear" w:color="000000" w:fill="FFFFFF"/>
            <w:noWrap/>
            <w:vAlign w:val="center"/>
            <w:hideMark/>
          </w:tcPr>
          <w:p w:rsidR="0027544C" w:rsidRPr="00032804" w:rsidRDefault="0027544C"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67 555</w:t>
            </w:r>
          </w:p>
        </w:tc>
        <w:tc>
          <w:tcPr>
            <w:tcW w:w="993" w:type="dxa"/>
            <w:tcBorders>
              <w:top w:val="nil"/>
              <w:left w:val="nil"/>
              <w:bottom w:val="single" w:sz="8" w:space="0" w:color="auto"/>
              <w:right w:val="single" w:sz="8" w:space="0" w:color="auto"/>
            </w:tcBorders>
            <w:shd w:val="clear" w:color="000000" w:fill="FFFFFF"/>
            <w:noWrap/>
            <w:vAlign w:val="center"/>
            <w:hideMark/>
          </w:tcPr>
          <w:p w:rsidR="0027544C" w:rsidRPr="00032804" w:rsidRDefault="0027544C"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57 418</w:t>
            </w:r>
          </w:p>
        </w:tc>
        <w:tc>
          <w:tcPr>
            <w:tcW w:w="992" w:type="dxa"/>
            <w:tcBorders>
              <w:top w:val="nil"/>
              <w:left w:val="nil"/>
              <w:bottom w:val="single" w:sz="8" w:space="0" w:color="auto"/>
              <w:right w:val="single" w:sz="8" w:space="0" w:color="auto"/>
            </w:tcBorders>
            <w:shd w:val="clear" w:color="000000" w:fill="FFFFFF"/>
            <w:noWrap/>
            <w:vAlign w:val="center"/>
            <w:hideMark/>
          </w:tcPr>
          <w:p w:rsidR="0027544C" w:rsidRPr="00032804" w:rsidRDefault="0027544C"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10 137</w:t>
            </w:r>
          </w:p>
        </w:tc>
        <w:tc>
          <w:tcPr>
            <w:tcW w:w="850" w:type="dxa"/>
            <w:tcBorders>
              <w:top w:val="nil"/>
              <w:left w:val="nil"/>
              <w:bottom w:val="single" w:sz="8" w:space="0" w:color="auto"/>
              <w:right w:val="single" w:sz="8" w:space="0" w:color="auto"/>
            </w:tcBorders>
            <w:shd w:val="clear" w:color="000000" w:fill="FFFFFF"/>
            <w:noWrap/>
            <w:vAlign w:val="center"/>
          </w:tcPr>
          <w:p w:rsidR="0027544C" w:rsidRPr="00032804" w:rsidRDefault="0027544C"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37 023</w:t>
            </w:r>
          </w:p>
        </w:tc>
        <w:tc>
          <w:tcPr>
            <w:tcW w:w="1103" w:type="dxa"/>
            <w:tcBorders>
              <w:top w:val="nil"/>
              <w:left w:val="nil"/>
              <w:bottom w:val="single" w:sz="8" w:space="0" w:color="auto"/>
              <w:right w:val="single" w:sz="8" w:space="0" w:color="auto"/>
            </w:tcBorders>
            <w:shd w:val="clear" w:color="000000" w:fill="FFFFFF"/>
            <w:vAlign w:val="center"/>
          </w:tcPr>
          <w:p w:rsidR="0027544C" w:rsidRPr="00032804" w:rsidRDefault="0027544C"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31 470</w:t>
            </w:r>
          </w:p>
        </w:tc>
        <w:tc>
          <w:tcPr>
            <w:tcW w:w="992" w:type="dxa"/>
            <w:tcBorders>
              <w:top w:val="nil"/>
              <w:left w:val="nil"/>
              <w:bottom w:val="single" w:sz="8" w:space="0" w:color="auto"/>
              <w:right w:val="single" w:sz="8" w:space="0" w:color="auto"/>
            </w:tcBorders>
            <w:shd w:val="clear" w:color="000000" w:fill="FFFFFF"/>
            <w:vAlign w:val="center"/>
          </w:tcPr>
          <w:p w:rsidR="0027544C" w:rsidRPr="00032804" w:rsidRDefault="0027544C" w:rsidP="00032804">
            <w:pPr>
              <w:rPr>
                <w:rFonts w:eastAsia="EUAlbertina-Bold-Identity-H"/>
                <w:b/>
                <w:color w:val="000000" w:themeColor="text1"/>
                <w:szCs w:val="24"/>
                <w:lang w:eastAsia="lv-LV"/>
              </w:rPr>
            </w:pPr>
            <w:r w:rsidRPr="00032804">
              <w:rPr>
                <w:rFonts w:eastAsia="EUAlbertina-Bold-Identity-H"/>
                <w:b/>
                <w:color w:val="000000" w:themeColor="text1"/>
                <w:szCs w:val="24"/>
                <w:lang w:eastAsia="lv-LV"/>
              </w:rPr>
              <w:t>5 553</w:t>
            </w:r>
          </w:p>
        </w:tc>
      </w:tr>
    </w:tbl>
    <w:p w:rsidR="00587878" w:rsidRPr="00032804" w:rsidRDefault="00B600F8" w:rsidP="003A0029">
      <w:pPr>
        <w:spacing w:before="120" w:after="120" w:line="276" w:lineRule="auto"/>
        <w:rPr>
          <w:rFonts w:eastAsia="EUAlbertina-Bold-Identity-H"/>
          <w:color w:val="000000" w:themeColor="text1"/>
          <w:sz w:val="20"/>
          <w:lang w:eastAsia="lv-LV"/>
        </w:rPr>
      </w:pPr>
      <w:r w:rsidRPr="00032804">
        <w:rPr>
          <w:rFonts w:eastAsia="EUAlbertina-Bold-Identity-H"/>
          <w:color w:val="000000" w:themeColor="text1"/>
          <w:sz w:val="20"/>
          <w:lang w:eastAsia="lv-LV"/>
        </w:rPr>
        <w:t xml:space="preserve">*100% valsts budžeta </w:t>
      </w:r>
      <w:proofErr w:type="spellStart"/>
      <w:r w:rsidRPr="00032804">
        <w:rPr>
          <w:rFonts w:eastAsia="EUAlbertina-Bold-Identity-H"/>
          <w:color w:val="000000" w:themeColor="text1"/>
          <w:sz w:val="20"/>
          <w:lang w:eastAsia="lv-LV"/>
        </w:rPr>
        <w:t>priekšfinansējums</w:t>
      </w:r>
      <w:proofErr w:type="spellEnd"/>
      <w:r w:rsidRPr="00032804">
        <w:rPr>
          <w:rFonts w:eastAsia="EUAlbertina-Bold-Identity-H"/>
          <w:color w:val="000000" w:themeColor="text1"/>
          <w:sz w:val="20"/>
          <w:lang w:eastAsia="lv-LV"/>
        </w:rPr>
        <w:t xml:space="preserve"> – dotācija </w:t>
      </w:r>
    </w:p>
    <w:p w:rsidR="0090181F" w:rsidRPr="008E4EA2" w:rsidRDefault="00F50585" w:rsidP="003A0029">
      <w:pPr>
        <w:pStyle w:val="1lmenis"/>
        <w:spacing w:before="120" w:after="120" w:line="276" w:lineRule="auto"/>
        <w:ind w:left="709"/>
        <w:rPr>
          <w:rFonts w:ascii="Times New Roman" w:hAnsi="Times New Roman"/>
          <w:color w:val="000000" w:themeColor="text1"/>
          <w:sz w:val="24"/>
          <w:szCs w:val="24"/>
          <w:lang w:val="lv-LV"/>
        </w:rPr>
      </w:pPr>
      <w:bookmarkStart w:id="86" w:name="_Toc324948892"/>
      <w:bookmarkStart w:id="87" w:name="_Toc340241717"/>
      <w:r w:rsidRPr="008E4EA2">
        <w:rPr>
          <w:rFonts w:ascii="Times New Roman" w:hAnsi="Times New Roman"/>
          <w:color w:val="000000" w:themeColor="text1"/>
          <w:sz w:val="24"/>
          <w:szCs w:val="24"/>
          <w:lang w:val="lv-LV"/>
        </w:rPr>
        <w:t xml:space="preserve">ES fondu </w:t>
      </w:r>
      <w:r w:rsidR="00C15B63" w:rsidRPr="008E4EA2">
        <w:rPr>
          <w:rFonts w:ascii="Times New Roman" w:hAnsi="Times New Roman"/>
          <w:color w:val="000000" w:themeColor="text1"/>
          <w:sz w:val="24"/>
          <w:szCs w:val="24"/>
          <w:lang w:val="lv-LV"/>
        </w:rPr>
        <w:t xml:space="preserve">un citu ārvalstu finanšu palīdzības līdzfinansētu programmu </w:t>
      </w:r>
      <w:r w:rsidR="009358E7" w:rsidRPr="008E4EA2">
        <w:rPr>
          <w:rFonts w:ascii="Times New Roman" w:hAnsi="Times New Roman"/>
          <w:color w:val="000000" w:themeColor="text1"/>
          <w:sz w:val="24"/>
          <w:szCs w:val="24"/>
          <w:lang w:val="lv-LV"/>
        </w:rPr>
        <w:t xml:space="preserve">vadības, kontroles </w:t>
      </w:r>
      <w:r w:rsidRPr="008E4EA2">
        <w:rPr>
          <w:rFonts w:ascii="Times New Roman" w:hAnsi="Times New Roman"/>
          <w:color w:val="000000" w:themeColor="text1"/>
          <w:sz w:val="24"/>
          <w:szCs w:val="24"/>
          <w:lang w:val="lv-LV"/>
        </w:rPr>
        <w:t>un</w:t>
      </w:r>
      <w:r w:rsidR="009826BA" w:rsidRPr="008E4EA2">
        <w:rPr>
          <w:rFonts w:ascii="Times New Roman" w:hAnsi="Times New Roman"/>
          <w:color w:val="000000" w:themeColor="text1"/>
          <w:sz w:val="24"/>
          <w:szCs w:val="24"/>
          <w:lang w:val="lv-LV"/>
        </w:rPr>
        <w:t xml:space="preserve"> uzraudzības sistēmas </w:t>
      </w:r>
      <w:bookmarkEnd w:id="84"/>
      <w:bookmarkEnd w:id="86"/>
      <w:r w:rsidR="00FA181B" w:rsidRPr="008E4EA2">
        <w:rPr>
          <w:rFonts w:ascii="Times New Roman" w:hAnsi="Times New Roman"/>
          <w:color w:val="000000" w:themeColor="text1"/>
          <w:sz w:val="24"/>
          <w:szCs w:val="24"/>
          <w:lang w:val="lv-LV"/>
        </w:rPr>
        <w:t>darbība</w:t>
      </w:r>
      <w:bookmarkEnd w:id="87"/>
    </w:p>
    <w:p w:rsidR="00B02E59" w:rsidRPr="008E4EA2" w:rsidRDefault="00B02E59" w:rsidP="003A0029">
      <w:pPr>
        <w:pStyle w:val="2lmenis"/>
        <w:numPr>
          <w:ilvl w:val="1"/>
          <w:numId w:val="2"/>
        </w:numPr>
        <w:spacing w:before="120" w:after="120" w:line="276" w:lineRule="auto"/>
        <w:ind w:left="1276" w:hanging="425"/>
        <w:jc w:val="both"/>
        <w:rPr>
          <w:color w:val="000000" w:themeColor="text1"/>
          <w:sz w:val="24"/>
          <w:szCs w:val="24"/>
          <w:lang w:val="lv-LV"/>
        </w:rPr>
      </w:pPr>
      <w:bookmarkStart w:id="88" w:name="_Toc324948893"/>
      <w:bookmarkStart w:id="89" w:name="_Toc340241718"/>
      <w:bookmarkStart w:id="90" w:name="_Toc290449016"/>
      <w:bookmarkEnd w:id="0"/>
      <w:bookmarkEnd w:id="1"/>
      <w:r w:rsidRPr="008E4EA2">
        <w:rPr>
          <w:color w:val="000000" w:themeColor="text1"/>
          <w:sz w:val="24"/>
          <w:szCs w:val="24"/>
          <w:lang w:val="lv-LV"/>
        </w:rPr>
        <w:t>Veiktie pasākumi ES fondu vadības un kontroles sistēmas pilnveidošanai</w:t>
      </w:r>
      <w:bookmarkEnd w:id="88"/>
      <w:bookmarkEnd w:id="89"/>
    </w:p>
    <w:p w:rsidR="00A87FB4" w:rsidRPr="008E4EA2" w:rsidRDefault="00A87FB4" w:rsidP="003A0029">
      <w:pPr>
        <w:pStyle w:val="ListParagraph"/>
        <w:numPr>
          <w:ilvl w:val="0"/>
          <w:numId w:val="6"/>
        </w:numPr>
        <w:spacing w:before="120" w:after="120"/>
        <w:ind w:left="0"/>
        <w:jc w:val="both"/>
        <w:rPr>
          <w:rFonts w:ascii="Times New Roman" w:hAnsi="Times New Roman"/>
          <w:color w:val="000000" w:themeColor="text1"/>
          <w:sz w:val="24"/>
          <w:szCs w:val="24"/>
        </w:rPr>
      </w:pPr>
      <w:r w:rsidRPr="008E4EA2">
        <w:rPr>
          <w:rFonts w:ascii="Times New Roman" w:hAnsi="Times New Roman"/>
          <w:b/>
          <w:bCs/>
          <w:color w:val="000000" w:themeColor="text1"/>
          <w:sz w:val="24"/>
          <w:szCs w:val="24"/>
        </w:rPr>
        <w:t>Metodoloģiskā atbalsta stiprināšana ES fond</w:t>
      </w:r>
      <w:r w:rsidR="00032804">
        <w:rPr>
          <w:rFonts w:ascii="Times New Roman" w:hAnsi="Times New Roman"/>
          <w:b/>
          <w:bCs/>
          <w:color w:val="000000" w:themeColor="text1"/>
          <w:sz w:val="24"/>
          <w:szCs w:val="24"/>
        </w:rPr>
        <w:t>u vadībā iesaistītajām iestādēm</w:t>
      </w:r>
    </w:p>
    <w:p w:rsidR="00A87FB4" w:rsidRPr="008E4EA2" w:rsidRDefault="00A87FB4" w:rsidP="003A0029">
      <w:pPr>
        <w:spacing w:before="120" w:after="120" w:line="276" w:lineRule="auto"/>
        <w:rPr>
          <w:bCs/>
          <w:color w:val="000000" w:themeColor="text1"/>
          <w:szCs w:val="24"/>
        </w:rPr>
      </w:pPr>
      <w:r w:rsidRPr="008E4EA2">
        <w:rPr>
          <w:bCs/>
          <w:color w:val="000000" w:themeColor="text1"/>
          <w:szCs w:val="24"/>
        </w:rPr>
        <w:t xml:space="preserve">Pārskata periodā </w:t>
      </w:r>
      <w:r w:rsidR="00651882" w:rsidRPr="008E4EA2">
        <w:rPr>
          <w:bCs/>
          <w:color w:val="000000" w:themeColor="text1"/>
          <w:szCs w:val="24"/>
        </w:rPr>
        <w:t>VI</w:t>
      </w:r>
      <w:r w:rsidRPr="008E4EA2">
        <w:rPr>
          <w:bCs/>
          <w:color w:val="000000" w:themeColor="text1"/>
          <w:szCs w:val="24"/>
        </w:rPr>
        <w:t xml:space="preserve"> aktualizējusi virkni metodisko un skaidrojošo materiālu ES fondu vadībā iesaistītajām iestādēm, kas izstrādāti un regulāri tiek precizēti un papildināti ar mērķi nodrošināt vienotu praksi starp iestādēm un mazināt neatbilstoši veikto izdevumu rašanās risku. Vadlīnijas un metodikas aktualizētas, ņemot vērā </w:t>
      </w:r>
      <w:r w:rsidR="00F139BD" w:rsidRPr="008E4EA2">
        <w:rPr>
          <w:bCs/>
          <w:color w:val="000000" w:themeColor="text1"/>
          <w:szCs w:val="24"/>
        </w:rPr>
        <w:t>RI</w:t>
      </w:r>
      <w:r w:rsidRPr="008E4EA2">
        <w:rPr>
          <w:bCs/>
          <w:color w:val="000000" w:themeColor="text1"/>
          <w:szCs w:val="24"/>
        </w:rPr>
        <w:t xml:space="preserve"> auditos, </w:t>
      </w:r>
      <w:r w:rsidR="00273AB1" w:rsidRPr="008E4EA2">
        <w:rPr>
          <w:bCs/>
          <w:color w:val="000000" w:themeColor="text1"/>
          <w:szCs w:val="24"/>
        </w:rPr>
        <w:t>VI</w:t>
      </w:r>
      <w:r w:rsidRPr="008E4EA2">
        <w:rPr>
          <w:bCs/>
          <w:color w:val="000000" w:themeColor="text1"/>
          <w:szCs w:val="24"/>
        </w:rPr>
        <w:t xml:space="preserve"> deleģēto funkciju pārbaudēs, pārbaudēs projektu īstenošanas vietās un procedūru izvērtējumā konstatētās sistēmiskās nepilnības. </w:t>
      </w:r>
      <w:r w:rsidR="00462B38" w:rsidRPr="008E4EA2">
        <w:rPr>
          <w:bCs/>
          <w:color w:val="000000" w:themeColor="text1"/>
          <w:szCs w:val="24"/>
        </w:rPr>
        <w:t xml:space="preserve">Visas vadlīnijas un metodikas ievietotas ES fondu mājas lapā un pieejamas pēc adreses </w:t>
      </w:r>
      <w:hyperlink r:id="rId66" w:history="1">
        <w:r w:rsidR="00462B38" w:rsidRPr="008E4EA2">
          <w:rPr>
            <w:rStyle w:val="Hyperlink"/>
            <w:rFonts w:ascii="Times New Roman" w:hAnsi="Times New Roman" w:cs="Times New Roman"/>
            <w:bCs/>
            <w:color w:val="000000" w:themeColor="text1"/>
            <w:sz w:val="24"/>
            <w:szCs w:val="24"/>
          </w:rPr>
          <w:t>http://www.esfondi.lv/page.php?id=1099</w:t>
        </w:r>
      </w:hyperlink>
      <w:r w:rsidR="00462B38" w:rsidRPr="008E4EA2">
        <w:rPr>
          <w:bCs/>
          <w:color w:val="000000" w:themeColor="text1"/>
          <w:szCs w:val="24"/>
        </w:rPr>
        <w:t xml:space="preserve">. </w:t>
      </w:r>
      <w:r w:rsidRPr="008E4EA2">
        <w:rPr>
          <w:bCs/>
          <w:color w:val="000000" w:themeColor="text1"/>
          <w:szCs w:val="24"/>
        </w:rPr>
        <w:t xml:space="preserve">Aktualizētas šādas vadlīnijas/ metodikas: </w:t>
      </w:r>
    </w:p>
    <w:p w:rsidR="00A87FB4" w:rsidRPr="008E4EA2" w:rsidRDefault="00A23D5B" w:rsidP="003A0029">
      <w:pPr>
        <w:pStyle w:val="ListParagraph"/>
        <w:numPr>
          <w:ilvl w:val="1"/>
          <w:numId w:val="11"/>
        </w:numPr>
        <w:spacing w:before="120" w:after="120"/>
        <w:ind w:left="709"/>
        <w:jc w:val="both"/>
        <w:rPr>
          <w:rFonts w:ascii="Times New Roman" w:hAnsi="Times New Roman"/>
          <w:bCs/>
          <w:i/>
          <w:color w:val="000000" w:themeColor="text1"/>
          <w:sz w:val="24"/>
          <w:szCs w:val="24"/>
        </w:rPr>
      </w:pPr>
      <w:r w:rsidRPr="008E4EA2">
        <w:rPr>
          <w:rFonts w:ascii="Times New Roman" w:hAnsi="Times New Roman"/>
          <w:bCs/>
          <w:i/>
          <w:color w:val="000000" w:themeColor="text1"/>
          <w:sz w:val="24"/>
          <w:szCs w:val="24"/>
        </w:rPr>
        <w:t>Metodika Nr.12.2. „</w:t>
      </w:r>
      <w:r w:rsidR="00A87FB4" w:rsidRPr="008E4EA2">
        <w:rPr>
          <w:rFonts w:ascii="Times New Roman" w:hAnsi="Times New Roman"/>
          <w:bCs/>
          <w:i/>
          <w:color w:val="000000" w:themeColor="text1"/>
          <w:sz w:val="24"/>
          <w:szCs w:val="24"/>
        </w:rPr>
        <w:t xml:space="preserve">Eiropas Savienības fondu vadošās iestādes metodika pārbaužu veikšanai Eiropas Savienības struktūrfondu un Kohēzijas fonda finansētā projekta īstenošanas vietā 2007. </w:t>
      </w:r>
      <w:r w:rsidR="00D1450C" w:rsidRPr="008E4EA2">
        <w:rPr>
          <w:rFonts w:ascii="Times New Roman" w:hAnsi="Times New Roman"/>
          <w:bCs/>
          <w:i/>
          <w:color w:val="000000" w:themeColor="text1"/>
          <w:sz w:val="24"/>
          <w:szCs w:val="24"/>
        </w:rPr>
        <w:t>– 2013.gada plānošanas periodā”</w:t>
      </w:r>
    </w:p>
    <w:p w:rsidR="00A87FB4" w:rsidRPr="008E4EA2" w:rsidRDefault="00A87FB4" w:rsidP="003A0029">
      <w:pPr>
        <w:spacing w:before="120" w:after="120" w:line="276" w:lineRule="auto"/>
        <w:rPr>
          <w:color w:val="000000" w:themeColor="text1"/>
          <w:szCs w:val="24"/>
        </w:rPr>
      </w:pPr>
      <w:r w:rsidRPr="008E4EA2">
        <w:rPr>
          <w:color w:val="000000" w:themeColor="text1"/>
          <w:szCs w:val="24"/>
        </w:rPr>
        <w:t>Vadlīnijās iekļauti detalizētāki nosacījumi par pārbaužu plānošanu nepieciešamajā intensitātē atbilstoši projektu risku līmeņiem, iekļautas norādes uz papildus pārbaudāmiem aspektiem attiecībā uz komercdarbības atbalstu. Tāpat metodika papildināta ar pārbaudāmiem aspektiem gadījumos, kad iepirkumā bijis tikai viens pretendents, ar pārbaudāmiem aspektiem, lai pārliecinātos par iepirkuma komisijas darba kvalitāti, iestrādāta nepieciešamība korekti dokumentēt</w:t>
      </w:r>
      <w:r w:rsidR="003271BE" w:rsidRPr="008E4EA2">
        <w:rPr>
          <w:color w:val="000000" w:themeColor="text1"/>
          <w:szCs w:val="24"/>
        </w:rPr>
        <w:t xml:space="preserve"> </w:t>
      </w:r>
      <w:r w:rsidRPr="008E4EA2">
        <w:rPr>
          <w:color w:val="000000" w:themeColor="text1"/>
          <w:szCs w:val="24"/>
        </w:rPr>
        <w:t xml:space="preserve">un uzglabāt liecības par veiktajām </w:t>
      </w:r>
      <w:r w:rsidRPr="008E4EA2">
        <w:rPr>
          <w:color w:val="000000" w:themeColor="text1"/>
          <w:szCs w:val="24"/>
        </w:rPr>
        <w:lastRenderedPageBreak/>
        <w:t>pārbaudēm, iekļauti detalizētāki nosacījumi komercdarbības atbalsta nosacījumu ievērošanas pārbaudes veikšanai.</w:t>
      </w:r>
    </w:p>
    <w:p w:rsidR="00A87FB4" w:rsidRPr="008E4EA2" w:rsidRDefault="00A87FB4" w:rsidP="003A0029">
      <w:pPr>
        <w:pStyle w:val="ListParagraph"/>
        <w:numPr>
          <w:ilvl w:val="1"/>
          <w:numId w:val="11"/>
        </w:numPr>
        <w:spacing w:before="120" w:after="120"/>
        <w:ind w:left="709"/>
        <w:jc w:val="both"/>
        <w:rPr>
          <w:rFonts w:ascii="Times New Roman" w:hAnsi="Times New Roman"/>
          <w:bCs/>
          <w:i/>
          <w:color w:val="000000" w:themeColor="text1"/>
          <w:sz w:val="24"/>
          <w:szCs w:val="24"/>
        </w:rPr>
      </w:pPr>
      <w:r w:rsidRPr="008E4EA2">
        <w:rPr>
          <w:rFonts w:ascii="Times New Roman" w:hAnsi="Times New Roman"/>
          <w:bCs/>
          <w:i/>
          <w:color w:val="000000" w:themeColor="text1"/>
          <w:sz w:val="24"/>
          <w:szCs w:val="24"/>
        </w:rPr>
        <w:t xml:space="preserve">Vadlīnijas Nr.10.7. </w:t>
      </w:r>
      <w:r w:rsidR="00D1450C" w:rsidRPr="008E4EA2">
        <w:rPr>
          <w:rFonts w:ascii="Times New Roman" w:hAnsi="Times New Roman"/>
          <w:bCs/>
          <w:i/>
          <w:color w:val="000000" w:themeColor="text1"/>
          <w:sz w:val="24"/>
          <w:szCs w:val="24"/>
        </w:rPr>
        <w:t>„</w:t>
      </w:r>
      <w:r w:rsidRPr="008E4EA2">
        <w:rPr>
          <w:rFonts w:ascii="Times New Roman" w:hAnsi="Times New Roman"/>
          <w:bCs/>
          <w:i/>
          <w:color w:val="000000" w:themeColor="text1"/>
          <w:sz w:val="24"/>
          <w:szCs w:val="24"/>
        </w:rPr>
        <w:t>Vadlīnijas par projekta attiecināmo izmaksu pamatojoš</w:t>
      </w:r>
      <w:r w:rsidR="00D1450C" w:rsidRPr="008E4EA2">
        <w:rPr>
          <w:rFonts w:ascii="Times New Roman" w:hAnsi="Times New Roman"/>
          <w:bCs/>
          <w:i/>
          <w:color w:val="000000" w:themeColor="text1"/>
          <w:sz w:val="24"/>
          <w:szCs w:val="24"/>
        </w:rPr>
        <w:t>iem dokumentiem un to pārbaudēm”</w:t>
      </w:r>
    </w:p>
    <w:p w:rsidR="00A87FB4" w:rsidRPr="008E4EA2" w:rsidRDefault="00A87FB4" w:rsidP="003A0029">
      <w:pPr>
        <w:spacing w:before="120" w:after="120" w:line="276" w:lineRule="auto"/>
        <w:rPr>
          <w:color w:val="000000" w:themeColor="text1"/>
          <w:szCs w:val="24"/>
        </w:rPr>
      </w:pPr>
      <w:r w:rsidRPr="008E4EA2">
        <w:rPr>
          <w:color w:val="000000" w:themeColor="text1"/>
          <w:szCs w:val="24"/>
        </w:rPr>
        <w:t xml:space="preserve">Vadlīnijās noteikta iepirkuma procesa dokumentācijas nepieciešamība, izvērtējuma veikšana tirgus cenai, kā arī izvērtējuma un dokumentēšanas nodrošināšana gadījumos, kad iepirkumos ir pieteicies tikai viens pretendents. Tāpat </w:t>
      </w:r>
      <w:r w:rsidRPr="008E4EA2">
        <w:rPr>
          <w:bCs/>
          <w:color w:val="000000" w:themeColor="text1"/>
          <w:szCs w:val="24"/>
        </w:rPr>
        <w:t>vadlīnijās sīkāk noteikt</w:t>
      </w:r>
      <w:r w:rsidR="00FA181B" w:rsidRPr="008E4EA2">
        <w:rPr>
          <w:bCs/>
          <w:color w:val="000000" w:themeColor="text1"/>
          <w:szCs w:val="24"/>
        </w:rPr>
        <w:t>a</w:t>
      </w:r>
      <w:r w:rsidRPr="008E4EA2">
        <w:rPr>
          <w:bCs/>
          <w:color w:val="000000" w:themeColor="text1"/>
          <w:szCs w:val="24"/>
        </w:rPr>
        <w:t xml:space="preserve"> avansu dzēšanas mehānisma nepieciešamība.</w:t>
      </w:r>
    </w:p>
    <w:p w:rsidR="00A87FB4" w:rsidRPr="008E4EA2" w:rsidRDefault="00A87FB4" w:rsidP="003A0029">
      <w:pPr>
        <w:pStyle w:val="ListParagraph"/>
        <w:numPr>
          <w:ilvl w:val="1"/>
          <w:numId w:val="11"/>
        </w:numPr>
        <w:spacing w:before="120" w:after="120"/>
        <w:ind w:left="709"/>
        <w:jc w:val="both"/>
        <w:rPr>
          <w:rFonts w:ascii="Times New Roman" w:hAnsi="Times New Roman"/>
          <w:bCs/>
          <w:i/>
          <w:color w:val="000000" w:themeColor="text1"/>
          <w:sz w:val="24"/>
          <w:szCs w:val="24"/>
        </w:rPr>
      </w:pPr>
      <w:r w:rsidRPr="008E4EA2">
        <w:rPr>
          <w:rFonts w:ascii="Times New Roman" w:hAnsi="Times New Roman"/>
          <w:bCs/>
          <w:i/>
          <w:color w:val="000000" w:themeColor="text1"/>
          <w:sz w:val="24"/>
          <w:szCs w:val="24"/>
        </w:rPr>
        <w:t>Vadlīnijas Nr.10.11. „Vadlīnijas ziņošanai par ES fondu ieviešanā konstatētajām neatbilstībām un neatbilstoši veikto izdevumu atgūšanu 2007</w:t>
      </w:r>
      <w:r w:rsidR="00D1450C" w:rsidRPr="008E4EA2">
        <w:rPr>
          <w:rFonts w:ascii="Times New Roman" w:hAnsi="Times New Roman"/>
          <w:bCs/>
          <w:i/>
          <w:color w:val="000000" w:themeColor="text1"/>
          <w:sz w:val="24"/>
          <w:szCs w:val="24"/>
        </w:rPr>
        <w:t>.-2013.gada plānošanas periodā”</w:t>
      </w:r>
    </w:p>
    <w:p w:rsidR="00A87FB4" w:rsidRPr="008E4EA2" w:rsidRDefault="00A87FB4" w:rsidP="003A0029">
      <w:pPr>
        <w:pStyle w:val="NormalWeb"/>
        <w:spacing w:before="120" w:beforeAutospacing="0" w:after="120" w:afterAutospacing="0" w:line="276" w:lineRule="auto"/>
        <w:jc w:val="both"/>
        <w:rPr>
          <w:color w:val="000000" w:themeColor="text1"/>
          <w:lang w:val="lv-LV"/>
        </w:rPr>
      </w:pPr>
      <w:r w:rsidRPr="008E4EA2">
        <w:rPr>
          <w:color w:val="000000" w:themeColor="text1"/>
          <w:lang w:val="lv-LV"/>
        </w:rPr>
        <w:t>Vadlīnijās veikti grozījumi</w:t>
      </w:r>
      <w:r w:rsidR="00273AB1" w:rsidRPr="008E4EA2">
        <w:rPr>
          <w:color w:val="000000" w:themeColor="text1"/>
          <w:lang w:val="lv-LV"/>
        </w:rPr>
        <w:t>,</w:t>
      </w:r>
      <w:r w:rsidRPr="008E4EA2">
        <w:rPr>
          <w:color w:val="000000" w:themeColor="text1"/>
          <w:lang w:val="lv-LV"/>
        </w:rPr>
        <w:t xml:space="preserve"> skaidrojot datu ievadi VIS, kā arī sniedzot piemērus par neatbilstībām bez finansiālās ietekmes, neatbilstībām saistībā ar avansa izmaksu un atmaksu. Papildus iekļauta arī sadaļa par informācijas ievadi EK izveidotajā un Eiropas Krāpšanas apkarošanas biroja uzturētajā datu apmaiņas sistēmā. </w:t>
      </w:r>
    </w:p>
    <w:p w:rsidR="00A87FB4" w:rsidRPr="008E4EA2" w:rsidRDefault="00A87FB4" w:rsidP="003A0029">
      <w:pPr>
        <w:pStyle w:val="ListParagraph"/>
        <w:numPr>
          <w:ilvl w:val="1"/>
          <w:numId w:val="11"/>
        </w:numPr>
        <w:spacing w:before="120" w:after="120"/>
        <w:ind w:left="709"/>
        <w:jc w:val="both"/>
        <w:rPr>
          <w:rFonts w:ascii="Times New Roman" w:hAnsi="Times New Roman"/>
          <w:bCs/>
          <w:i/>
          <w:color w:val="000000" w:themeColor="text1"/>
          <w:sz w:val="24"/>
          <w:szCs w:val="24"/>
        </w:rPr>
      </w:pPr>
      <w:r w:rsidRPr="008E4EA2">
        <w:rPr>
          <w:rFonts w:ascii="Times New Roman" w:hAnsi="Times New Roman"/>
          <w:bCs/>
          <w:i/>
          <w:color w:val="000000" w:themeColor="text1"/>
          <w:sz w:val="24"/>
          <w:szCs w:val="24"/>
        </w:rPr>
        <w:t>Metodika Nr.7.1. „Izm</w:t>
      </w:r>
      <w:r w:rsidR="00D1450C" w:rsidRPr="008E4EA2">
        <w:rPr>
          <w:rFonts w:ascii="Times New Roman" w:hAnsi="Times New Roman"/>
          <w:bCs/>
          <w:i/>
          <w:color w:val="000000" w:themeColor="text1"/>
          <w:sz w:val="24"/>
          <w:szCs w:val="24"/>
        </w:rPr>
        <w:t>aksu izmaiņu vadības metodika”</w:t>
      </w:r>
    </w:p>
    <w:p w:rsidR="00A87FB4" w:rsidRPr="008E4EA2" w:rsidRDefault="00A87FB4" w:rsidP="003A0029">
      <w:pPr>
        <w:spacing w:before="120" w:after="120" w:line="276" w:lineRule="auto"/>
        <w:rPr>
          <w:b/>
          <w:color w:val="000000" w:themeColor="text1"/>
          <w:szCs w:val="24"/>
        </w:rPr>
      </w:pPr>
      <w:r w:rsidRPr="008E4EA2">
        <w:rPr>
          <w:iCs/>
          <w:color w:val="000000" w:themeColor="text1"/>
          <w:szCs w:val="24"/>
        </w:rPr>
        <w:t xml:space="preserve">Izmaksu izmaiņu vadības metodika izstrādāta ar mērķi sniegt ieteikumus projektu ieviešanā izmaksu pieauguma un samazinājuma vadīšanai valsts un pašvaldību iestādēm </w:t>
      </w:r>
      <w:r w:rsidR="0053704A" w:rsidRPr="008E4EA2">
        <w:rPr>
          <w:iCs/>
          <w:color w:val="000000" w:themeColor="text1"/>
          <w:szCs w:val="24"/>
        </w:rPr>
        <w:t>ES fondu</w:t>
      </w:r>
      <w:r w:rsidRPr="008E4EA2">
        <w:rPr>
          <w:iCs/>
          <w:color w:val="000000" w:themeColor="text1"/>
          <w:szCs w:val="24"/>
        </w:rPr>
        <w:t xml:space="preserve">, </w:t>
      </w:r>
      <w:r w:rsidR="0053704A" w:rsidRPr="008E4EA2">
        <w:rPr>
          <w:rFonts w:eastAsia="EUAlbertina-Bold-Identity-H"/>
          <w:color w:val="000000" w:themeColor="text1"/>
          <w:szCs w:val="24"/>
          <w:lang w:eastAsia="lv-LV"/>
        </w:rPr>
        <w:t xml:space="preserve">EEZ/Norvēģijas finanšu instrumentu </w:t>
      </w:r>
      <w:r w:rsidRPr="008E4EA2">
        <w:rPr>
          <w:iCs/>
          <w:color w:val="000000" w:themeColor="text1"/>
          <w:szCs w:val="24"/>
        </w:rPr>
        <w:t xml:space="preserve">un </w:t>
      </w:r>
      <w:r w:rsidR="0053704A" w:rsidRPr="008E4EA2">
        <w:rPr>
          <w:color w:val="000000" w:themeColor="text1"/>
          <w:szCs w:val="24"/>
          <w:lang w:eastAsia="x-none"/>
        </w:rPr>
        <w:t>Šveices programmas</w:t>
      </w:r>
      <w:r w:rsidRPr="008E4EA2">
        <w:rPr>
          <w:iCs/>
          <w:color w:val="000000" w:themeColor="text1"/>
          <w:szCs w:val="24"/>
        </w:rPr>
        <w:t xml:space="preserve"> projektos. Metodikā ir iekļauti norādījumi, kā izmaksas būtu plānojamas/vadāmas dažādos projekta dzīves cikla posmos,</w:t>
      </w:r>
      <w:r w:rsidR="003271BE" w:rsidRPr="008E4EA2">
        <w:rPr>
          <w:iCs/>
          <w:color w:val="000000" w:themeColor="text1"/>
          <w:szCs w:val="24"/>
        </w:rPr>
        <w:t xml:space="preserve"> </w:t>
      </w:r>
      <w:r w:rsidRPr="008E4EA2">
        <w:rPr>
          <w:iCs/>
          <w:color w:val="000000" w:themeColor="text1"/>
          <w:szCs w:val="24"/>
        </w:rPr>
        <w:t xml:space="preserve">lai pēc iespējas mazinātu izmaksu pieauguma risku vai, gadījumā, ja izmaksas pieaug, tad cēlonis ir izsekojams un pamatojams. </w:t>
      </w:r>
    </w:p>
    <w:p w:rsidR="00C67F2D" w:rsidRPr="008E4EA2" w:rsidRDefault="00A87FB4" w:rsidP="003A0029">
      <w:pPr>
        <w:spacing w:before="120" w:after="120" w:line="276" w:lineRule="auto"/>
        <w:rPr>
          <w:rFonts w:eastAsia="Calibri"/>
          <w:color w:val="000000" w:themeColor="text1"/>
          <w:szCs w:val="24"/>
        </w:rPr>
      </w:pPr>
      <w:r w:rsidRPr="008E4EA2">
        <w:rPr>
          <w:iCs/>
          <w:color w:val="000000" w:themeColor="text1"/>
          <w:szCs w:val="24"/>
        </w:rPr>
        <w:t>Lai izmaksu</w:t>
      </w:r>
      <w:r w:rsidR="003271BE" w:rsidRPr="008E4EA2">
        <w:rPr>
          <w:iCs/>
          <w:color w:val="000000" w:themeColor="text1"/>
          <w:szCs w:val="24"/>
        </w:rPr>
        <w:t xml:space="preserve"> </w:t>
      </w:r>
      <w:r w:rsidRPr="008E4EA2">
        <w:rPr>
          <w:iCs/>
          <w:color w:val="000000" w:themeColor="text1"/>
          <w:szCs w:val="24"/>
        </w:rPr>
        <w:t>pieauguma risks tiktu mazinās, metodika uzsvars ir likts, galvenokārt, uz</w:t>
      </w:r>
      <w:r w:rsidR="003271BE" w:rsidRPr="008E4EA2">
        <w:rPr>
          <w:iCs/>
          <w:color w:val="000000" w:themeColor="text1"/>
          <w:szCs w:val="24"/>
        </w:rPr>
        <w:t xml:space="preserve"> </w:t>
      </w:r>
      <w:r w:rsidR="00273AB1" w:rsidRPr="008E4EA2">
        <w:rPr>
          <w:iCs/>
          <w:color w:val="000000" w:themeColor="text1"/>
          <w:szCs w:val="24"/>
        </w:rPr>
        <w:t xml:space="preserve">projektu sākotnējo posmu – </w:t>
      </w:r>
      <w:r w:rsidRPr="008E4EA2">
        <w:rPr>
          <w:iCs/>
          <w:color w:val="000000" w:themeColor="text1"/>
          <w:szCs w:val="24"/>
        </w:rPr>
        <w:t>projektu</w:t>
      </w:r>
      <w:r w:rsidR="003271BE" w:rsidRPr="008E4EA2">
        <w:rPr>
          <w:iCs/>
          <w:color w:val="000000" w:themeColor="text1"/>
          <w:szCs w:val="24"/>
        </w:rPr>
        <w:t xml:space="preserve"> </w:t>
      </w:r>
      <w:r w:rsidRPr="008E4EA2">
        <w:rPr>
          <w:iCs/>
          <w:color w:val="000000" w:themeColor="text1"/>
          <w:szCs w:val="24"/>
        </w:rPr>
        <w:t>iesniegumu un iepirkumu dokumentācijas sagatavošanai.</w:t>
      </w:r>
    </w:p>
    <w:p w:rsidR="00A87FB4" w:rsidRPr="008E4EA2" w:rsidRDefault="00A87FB4" w:rsidP="003A0029">
      <w:pPr>
        <w:pStyle w:val="ListParagraph"/>
        <w:numPr>
          <w:ilvl w:val="0"/>
          <w:numId w:val="6"/>
        </w:numPr>
        <w:spacing w:before="120" w:after="120"/>
        <w:ind w:left="0"/>
        <w:jc w:val="both"/>
        <w:rPr>
          <w:rFonts w:ascii="Times New Roman" w:hAnsi="Times New Roman"/>
          <w:b/>
          <w:bCs/>
          <w:color w:val="000000" w:themeColor="text1"/>
          <w:sz w:val="24"/>
          <w:szCs w:val="24"/>
        </w:rPr>
      </w:pPr>
      <w:r w:rsidRPr="008E4EA2">
        <w:rPr>
          <w:rFonts w:ascii="Times New Roman" w:hAnsi="Times New Roman"/>
          <w:b/>
          <w:bCs/>
          <w:color w:val="000000" w:themeColor="text1"/>
          <w:sz w:val="24"/>
          <w:szCs w:val="24"/>
        </w:rPr>
        <w:t>Metodoloģiskā atbalsta papildināšana attiecībā uz iepirkumu procedūra</w:t>
      </w:r>
      <w:r w:rsidR="00032804">
        <w:rPr>
          <w:rFonts w:ascii="Times New Roman" w:hAnsi="Times New Roman"/>
          <w:b/>
          <w:bCs/>
          <w:color w:val="000000" w:themeColor="text1"/>
          <w:sz w:val="24"/>
          <w:szCs w:val="24"/>
        </w:rPr>
        <w:t>s organizēšanu un dokumentēšanu</w:t>
      </w:r>
    </w:p>
    <w:p w:rsidR="00A87FB4" w:rsidRPr="008E4EA2" w:rsidRDefault="00273AB1" w:rsidP="003A0029">
      <w:pPr>
        <w:spacing w:before="120" w:after="120" w:line="276" w:lineRule="auto"/>
        <w:rPr>
          <w:iCs/>
          <w:color w:val="000000" w:themeColor="text1"/>
          <w:szCs w:val="24"/>
        </w:rPr>
      </w:pPr>
      <w:r w:rsidRPr="008E4EA2">
        <w:rPr>
          <w:iCs/>
          <w:color w:val="000000" w:themeColor="text1"/>
          <w:szCs w:val="24"/>
        </w:rPr>
        <w:t>VI</w:t>
      </w:r>
      <w:r w:rsidR="00A87FB4" w:rsidRPr="008E4EA2">
        <w:rPr>
          <w:iCs/>
          <w:color w:val="000000" w:themeColor="text1"/>
          <w:szCs w:val="24"/>
        </w:rPr>
        <w:t xml:space="preserve"> ir veikusi grozījumus vadlīnijās par maksājumu pieprasījumu pamatojošās dokumentācijas pārbaudēm, kā arī metodikā pārbaudēm projektu īstenošanas vietās, nosakot pamata lietas, kas iestādēm ir jāpārbauda, lai nodrošinātu iepirkuma procedūras veikšanu un dokumentēšanu atbilstoši drošas finanšu pārvaldības principiem arī tādos gadījumos, kad iepirkumi veikti zem normatīvajos aktos noteiktajiem sliekšņiem. </w:t>
      </w:r>
    </w:p>
    <w:p w:rsidR="00A87FB4" w:rsidRPr="008E4EA2" w:rsidRDefault="00A87FB4" w:rsidP="003A0029">
      <w:pPr>
        <w:spacing w:before="120" w:after="120" w:line="276" w:lineRule="auto"/>
        <w:rPr>
          <w:iCs/>
          <w:color w:val="000000" w:themeColor="text1"/>
          <w:szCs w:val="24"/>
        </w:rPr>
      </w:pPr>
      <w:r w:rsidRPr="008E4EA2">
        <w:rPr>
          <w:iCs/>
          <w:color w:val="000000" w:themeColor="text1"/>
          <w:szCs w:val="24"/>
        </w:rPr>
        <w:t xml:space="preserve">Lai ievērotu minēto prasību, vadlīnijās ir noteikts, ka finansējuma saņēmējiem ir nosakāma prasība arī pirms </w:t>
      </w:r>
      <w:proofErr w:type="spellStart"/>
      <w:r w:rsidRPr="008E4EA2">
        <w:rPr>
          <w:iCs/>
          <w:color w:val="000000" w:themeColor="text1"/>
          <w:szCs w:val="24"/>
        </w:rPr>
        <w:t>zemsliekšņa</w:t>
      </w:r>
      <w:proofErr w:type="spellEnd"/>
      <w:r w:rsidRPr="008E4EA2">
        <w:rPr>
          <w:iCs/>
          <w:color w:val="000000" w:themeColor="text1"/>
          <w:szCs w:val="24"/>
        </w:rPr>
        <w:t xml:space="preserve"> iepirkuma organizēšanas veikt tirgus izpēti, lai būtu iespējams konstatēt paredzamo līgumcenu un lai ievērotu </w:t>
      </w:r>
      <w:r w:rsidR="0053704A" w:rsidRPr="008E4EA2">
        <w:rPr>
          <w:iCs/>
          <w:color w:val="000000" w:themeColor="text1"/>
          <w:szCs w:val="24"/>
        </w:rPr>
        <w:t>EK</w:t>
      </w:r>
      <w:r w:rsidRPr="008E4EA2">
        <w:rPr>
          <w:iCs/>
          <w:color w:val="000000" w:themeColor="text1"/>
          <w:szCs w:val="24"/>
        </w:rPr>
        <w:t xml:space="preserve">, valsts un pašvaldību iestādēm normatīvajos aktos noteikto pienākumu – lietderīgi un efektīvi izmantot piešķirtos līdzekļus. Ar </w:t>
      </w:r>
      <w:proofErr w:type="spellStart"/>
      <w:r w:rsidRPr="008E4EA2">
        <w:rPr>
          <w:iCs/>
          <w:color w:val="000000" w:themeColor="text1"/>
          <w:szCs w:val="24"/>
        </w:rPr>
        <w:t>zemsliekšņa</w:t>
      </w:r>
      <w:proofErr w:type="spellEnd"/>
      <w:r w:rsidRPr="008E4EA2">
        <w:rPr>
          <w:iCs/>
          <w:color w:val="000000" w:themeColor="text1"/>
          <w:szCs w:val="24"/>
        </w:rPr>
        <w:t xml:space="preserve"> iepirkumiem saprot tādus iepirkumus, kuru līgumcena ir mazāka par Publisko iepirkumu likumā un Sabiedrisko pakalpojumu sniedzēju iepirkumu likumā noteikto līgumcenu robežām, no kurām jāpiemēro minētajos likumos noteiktās iepirkuma procedūras.</w:t>
      </w:r>
    </w:p>
    <w:p w:rsidR="00230127" w:rsidRPr="008E4EA2" w:rsidRDefault="00A87FB4" w:rsidP="003A0029">
      <w:pPr>
        <w:spacing w:before="120" w:after="120" w:line="276" w:lineRule="auto"/>
        <w:rPr>
          <w:iCs/>
          <w:color w:val="000000" w:themeColor="text1"/>
          <w:szCs w:val="24"/>
        </w:rPr>
      </w:pPr>
      <w:r w:rsidRPr="008E4EA2">
        <w:rPr>
          <w:iCs/>
          <w:color w:val="000000" w:themeColor="text1"/>
          <w:szCs w:val="24"/>
        </w:rPr>
        <w:lastRenderedPageBreak/>
        <w:t>Vadlīnijās noteikts, ka ar iepirkumu saistītai dokumentācijai jānodrošina izsekojumu cenu izvēles izvērtējumu un konkrēta iepirkuma izvēli. Lai nodrošinātu audita liecības un iepirkuma izsekojamību, procesa caurspīdīgumu un pieņemto lēmumu pamatotību, nepieciešams nodrošināt tirgus izpētes veikšanu un tās dokumentēšanu. Ieteicams piegādātāju sniegtos piedāvājumus salīdzināt un izvērtēt atbilstoši 10.pielikumā iekļautajai formai.</w:t>
      </w:r>
    </w:p>
    <w:p w:rsidR="00A87FB4" w:rsidRPr="008E4EA2" w:rsidRDefault="00A87FB4" w:rsidP="003A0029">
      <w:pPr>
        <w:pStyle w:val="ListParagraph"/>
        <w:numPr>
          <w:ilvl w:val="0"/>
          <w:numId w:val="6"/>
        </w:numPr>
        <w:spacing w:before="120" w:after="120"/>
        <w:ind w:left="0"/>
        <w:jc w:val="both"/>
        <w:rPr>
          <w:rFonts w:ascii="Times New Roman" w:hAnsi="Times New Roman"/>
          <w:b/>
          <w:bCs/>
          <w:color w:val="000000" w:themeColor="text1"/>
          <w:sz w:val="24"/>
          <w:szCs w:val="24"/>
        </w:rPr>
      </w:pPr>
      <w:r w:rsidRPr="008E4EA2">
        <w:rPr>
          <w:rFonts w:ascii="Times New Roman" w:hAnsi="Times New Roman"/>
          <w:b/>
          <w:bCs/>
          <w:color w:val="000000" w:themeColor="text1"/>
          <w:sz w:val="24"/>
          <w:szCs w:val="24"/>
        </w:rPr>
        <w:t>Izvērtējums par elektroniskās darba laika uzskaites ieviešanu ES fondu va</w:t>
      </w:r>
      <w:r w:rsidR="00032804">
        <w:rPr>
          <w:rFonts w:ascii="Times New Roman" w:hAnsi="Times New Roman"/>
          <w:b/>
          <w:bCs/>
          <w:color w:val="000000" w:themeColor="text1"/>
          <w:sz w:val="24"/>
          <w:szCs w:val="24"/>
        </w:rPr>
        <w:t>dībā iesaistītajās institūcijās</w:t>
      </w:r>
    </w:p>
    <w:p w:rsidR="00196A71" w:rsidRPr="002870EE" w:rsidRDefault="00A93B5B" w:rsidP="00196A71">
      <w:pPr>
        <w:spacing w:before="120" w:after="120" w:line="276" w:lineRule="auto"/>
        <w:rPr>
          <w:iCs/>
          <w:color w:val="000000" w:themeColor="text1"/>
          <w:szCs w:val="24"/>
        </w:rPr>
      </w:pPr>
      <w:r>
        <w:rPr>
          <w:szCs w:val="24"/>
        </w:rPr>
        <w:t>A</w:t>
      </w:r>
      <w:r w:rsidRPr="00A93B5B">
        <w:rPr>
          <w:szCs w:val="24"/>
        </w:rPr>
        <w:t>talgojuma daļveida attiecināšanas sistēmas izveidei un ieviešanai</w:t>
      </w:r>
      <w:r w:rsidR="005E1672">
        <w:rPr>
          <w:szCs w:val="24"/>
        </w:rPr>
        <w:t xml:space="preserve"> </w:t>
      </w:r>
      <w:r w:rsidRPr="00A93B5B">
        <w:rPr>
          <w:szCs w:val="24"/>
        </w:rPr>
        <w:t>2007. – 2013 gada plānošanas periodā ziņā</w:t>
      </w:r>
      <w:r w:rsidR="005E1672">
        <w:rPr>
          <w:szCs w:val="24"/>
        </w:rPr>
        <w:t xml:space="preserve"> </w:t>
      </w:r>
      <w:r w:rsidRPr="00A93B5B">
        <w:rPr>
          <w:szCs w:val="24"/>
        </w:rPr>
        <w:t>ES fondu vadībā iesaistītajās iestādēs nav nepieciešamo priekšnosacījumu – ne finanšu, ne administratīvo, ne IT resursu ziņā</w:t>
      </w:r>
      <w:r>
        <w:rPr>
          <w:color w:val="1F497D"/>
          <w:szCs w:val="24"/>
        </w:rPr>
        <w:t xml:space="preserve">. </w:t>
      </w:r>
      <w:r w:rsidR="00196A71">
        <w:rPr>
          <w:iCs/>
          <w:color w:val="000000" w:themeColor="text1"/>
          <w:szCs w:val="24"/>
        </w:rPr>
        <w:t>VI</w:t>
      </w:r>
      <w:r w:rsidR="00196A71" w:rsidRPr="002870EE">
        <w:rPr>
          <w:iCs/>
          <w:color w:val="000000" w:themeColor="text1"/>
          <w:szCs w:val="24"/>
        </w:rPr>
        <w:t xml:space="preserve"> ir izvērtējusi atalgojuma daļveida attiecināšanas un elektroniskas darba laika uzskaites sistēmas projekta (turpmāk – pilotprojekts) ieviešanas iespējas</w:t>
      </w:r>
      <w:r w:rsidR="00196A71">
        <w:rPr>
          <w:iCs/>
          <w:color w:val="000000" w:themeColor="text1"/>
          <w:szCs w:val="24"/>
        </w:rPr>
        <w:t>.</w:t>
      </w:r>
      <w:r w:rsidR="00196A71" w:rsidRPr="002870EE">
        <w:rPr>
          <w:iCs/>
          <w:color w:val="000000" w:themeColor="text1"/>
          <w:szCs w:val="24"/>
        </w:rPr>
        <w:t xml:space="preserve"> </w:t>
      </w:r>
      <w:r w:rsidR="00196A71">
        <w:rPr>
          <w:lang w:val="lv"/>
        </w:rPr>
        <w:t xml:space="preserve">Sākotnēji tika plānots ieviest sistēmu, kas </w:t>
      </w:r>
      <w:r w:rsidR="00196A71">
        <w:rPr>
          <w:szCs w:val="26"/>
        </w:rPr>
        <w:t>sasaistītu</w:t>
      </w:r>
      <w:r w:rsidR="00196A71" w:rsidRPr="004813C7">
        <w:rPr>
          <w:szCs w:val="26"/>
        </w:rPr>
        <w:t xml:space="preserve"> atalgojumu ar </w:t>
      </w:r>
      <w:r w:rsidR="00196A71">
        <w:rPr>
          <w:szCs w:val="26"/>
        </w:rPr>
        <w:t>konkrētām</w:t>
      </w:r>
      <w:r w:rsidR="00196A71" w:rsidRPr="004813C7">
        <w:rPr>
          <w:szCs w:val="26"/>
        </w:rPr>
        <w:t xml:space="preserve"> </w:t>
      </w:r>
      <w:r w:rsidR="00196A71">
        <w:rPr>
          <w:szCs w:val="26"/>
        </w:rPr>
        <w:t>f</w:t>
      </w:r>
      <w:r w:rsidR="00196A71" w:rsidRPr="004813C7">
        <w:rPr>
          <w:szCs w:val="26"/>
        </w:rPr>
        <w:t xml:space="preserve">unkcijām patērēto laiku un </w:t>
      </w:r>
      <w:r w:rsidR="00196A71">
        <w:rPr>
          <w:szCs w:val="26"/>
        </w:rPr>
        <w:t xml:space="preserve">attiecīgajai </w:t>
      </w:r>
      <w:r w:rsidR="00196A71" w:rsidRPr="004813C7">
        <w:rPr>
          <w:szCs w:val="26"/>
        </w:rPr>
        <w:t>funkcijai paredzēto finansējuma avotu</w:t>
      </w:r>
      <w:r w:rsidR="00196A71">
        <w:rPr>
          <w:szCs w:val="26"/>
        </w:rPr>
        <w:t xml:space="preserve">. Šāda sistēma būtu tieši sasaistīta ar grāmatvedības sistēmu, kā rezultātā darbinieku algu aprēķini tiktu veikti pēc iepriekšējā mēnesī faktiski nostrādātā pa attiecīgajiem finanšu avotiem. Tomēr, </w:t>
      </w:r>
      <w:r w:rsidR="00196A71">
        <w:rPr>
          <w:lang w:val="lv"/>
        </w:rPr>
        <w:t xml:space="preserve">izvērtējot iespējas ieviest šādu dalītā darba laika uzskaiti valstī, esam saskārušies ar vairākām būtiskām problēmām budžeta plānošanas un grāmatvedības jomā, jo iepriekš nav paredzams un plānojams finansējuma apjoms no dažādiem finansējuma avotiem, kā arī ir virkne citu kavējošu faktoru - </w:t>
      </w:r>
      <w:r w:rsidR="00196A71" w:rsidRPr="00997C70">
        <w:rPr>
          <w:lang w:val="lv"/>
        </w:rPr>
        <w:t>daudz manuālu operāciju, ievadīto datu pareizība atkarīga no sistēmas lietotāju precizitātes un atbildības kā rezultātā var tikt pieļautas kļūdas, kas var ietekmēt algu aprēķina pareizību un savlaicīgumu, sistēmas ieviešana saistīta ar papildus izmaksām (grāmatveži, informāciju sistēmas ieviešanas un uzturēšanas izmaksas), problēmas budžeta sagatavošanā, lai</w:t>
      </w:r>
      <w:r w:rsidR="005E1672">
        <w:rPr>
          <w:lang w:val="lv"/>
        </w:rPr>
        <w:t xml:space="preserve"> </w:t>
      </w:r>
      <w:r w:rsidR="00196A71" w:rsidRPr="00997C70">
        <w:rPr>
          <w:lang w:val="lv"/>
        </w:rPr>
        <w:t>nodrošinātu precīzu finansējuma plānošanu atlīdzībai un atalgojumiem</w:t>
      </w:r>
      <w:r w:rsidR="00196A71" w:rsidRPr="002870EE">
        <w:rPr>
          <w:iCs/>
          <w:color w:val="000000" w:themeColor="text1"/>
          <w:szCs w:val="24"/>
        </w:rPr>
        <w:t xml:space="preserve">. Galvenās </w:t>
      </w:r>
      <w:proofErr w:type="spellStart"/>
      <w:r w:rsidR="00196A71" w:rsidRPr="002870EE">
        <w:rPr>
          <w:iCs/>
          <w:color w:val="000000" w:themeColor="text1"/>
          <w:szCs w:val="24"/>
        </w:rPr>
        <w:t>problēmsituācijas</w:t>
      </w:r>
      <w:proofErr w:type="spellEnd"/>
      <w:r w:rsidR="00196A71" w:rsidRPr="002870EE">
        <w:rPr>
          <w:iCs/>
          <w:color w:val="000000" w:themeColor="text1"/>
          <w:szCs w:val="24"/>
        </w:rPr>
        <w:t xml:space="preserve"> ir šādas:</w:t>
      </w:r>
      <w:r w:rsidR="005E1672">
        <w:rPr>
          <w:iCs/>
          <w:color w:val="000000" w:themeColor="text1"/>
          <w:szCs w:val="24"/>
        </w:rPr>
        <w:t xml:space="preserve"> </w:t>
      </w:r>
    </w:p>
    <w:p w:rsidR="00196A71" w:rsidRPr="002870EE" w:rsidRDefault="00196A71" w:rsidP="00196A71">
      <w:pPr>
        <w:pStyle w:val="ListParagraph"/>
        <w:numPr>
          <w:ilvl w:val="0"/>
          <w:numId w:val="37"/>
        </w:numPr>
        <w:spacing w:before="120" w:after="120"/>
        <w:jc w:val="both"/>
        <w:rPr>
          <w:rFonts w:ascii="Times New Roman" w:hAnsi="Times New Roman"/>
          <w:iCs/>
          <w:color w:val="000000" w:themeColor="text1"/>
          <w:sz w:val="24"/>
          <w:szCs w:val="24"/>
        </w:rPr>
      </w:pPr>
      <w:r w:rsidRPr="002870EE">
        <w:rPr>
          <w:rFonts w:ascii="Times New Roman" w:hAnsi="Times New Roman"/>
          <w:iCs/>
          <w:color w:val="000000" w:themeColor="text1"/>
          <w:sz w:val="24"/>
          <w:szCs w:val="24"/>
        </w:rPr>
        <w:t>Būtiski tiks apgrūtināta sekmīga budžeta plānošana un izpilde. Budžetā līdzekļi ir plānoti divās lielās sadaļās - valsts pamatfunkciju īstenošanas sadaļa un ES un citu ārvalstu finanšu palīdzības projektu un pasākumu sadaļā. Katrā no šīm sadaļām jāplāno finansējums programmu un apakšprogrammu līmenī, kas ietver projektu izdevumu plānošanu dažādās budžeta programmās. Ja tikai pēc fakta nākošajā gadā varēs redzēt, kāds darba apjoms ir bijis darbiniekiem un no kāda finansējuma avota jāmaksā atalgojums, iepriekšējā gadā budžeta sagatavošanas laikā nevar saplānot finansējumu atlīdzībai un atalgojumam</w:t>
      </w:r>
      <w:r>
        <w:rPr>
          <w:rFonts w:ascii="Times New Roman" w:hAnsi="Times New Roman"/>
          <w:iCs/>
          <w:color w:val="000000" w:themeColor="text1"/>
          <w:sz w:val="24"/>
          <w:szCs w:val="24"/>
        </w:rPr>
        <w:t>, kā rezultātā</w:t>
      </w:r>
      <w:r w:rsidRPr="002870EE">
        <w:rPr>
          <w:rFonts w:ascii="Times New Roman" w:hAnsi="Times New Roman"/>
          <w:iCs/>
          <w:color w:val="000000" w:themeColor="text1"/>
          <w:sz w:val="24"/>
          <w:szCs w:val="24"/>
        </w:rPr>
        <w:t xml:space="preserve"> varētu būt nepieciešamas nepārtrauktas finansēšanas plānu izmaiņas, kā arī gadījumos, ja vispār konkrētajā kontā pietrūktu līdzekļi, jāvirza apropriācijas pārdales starp programmām. </w:t>
      </w:r>
      <w:r>
        <w:rPr>
          <w:rFonts w:ascii="Times New Roman" w:hAnsi="Times New Roman"/>
          <w:iCs/>
          <w:color w:val="000000" w:themeColor="text1"/>
          <w:sz w:val="24"/>
          <w:szCs w:val="24"/>
        </w:rPr>
        <w:t>Š</w:t>
      </w:r>
      <w:r w:rsidRPr="002870EE">
        <w:rPr>
          <w:rFonts w:ascii="Times New Roman" w:hAnsi="Times New Roman"/>
          <w:iCs/>
          <w:color w:val="000000" w:themeColor="text1"/>
          <w:sz w:val="24"/>
          <w:szCs w:val="24"/>
        </w:rPr>
        <w:t>ādas sistēmas ieviešanas rezultātā būtu būtiski jāmaina normatīvā bāze budžeta resorā.</w:t>
      </w:r>
    </w:p>
    <w:p w:rsidR="00196A71" w:rsidRPr="002870EE" w:rsidRDefault="00196A71" w:rsidP="00196A71">
      <w:pPr>
        <w:pStyle w:val="ListParagraph"/>
        <w:numPr>
          <w:ilvl w:val="0"/>
          <w:numId w:val="37"/>
        </w:numPr>
        <w:spacing w:before="120" w:after="120"/>
        <w:jc w:val="both"/>
        <w:rPr>
          <w:rFonts w:ascii="Times New Roman" w:hAnsi="Times New Roman"/>
          <w:iCs/>
          <w:color w:val="000000" w:themeColor="text1"/>
          <w:sz w:val="24"/>
          <w:szCs w:val="24"/>
        </w:rPr>
      </w:pPr>
      <w:r w:rsidRPr="002870EE">
        <w:rPr>
          <w:rFonts w:ascii="Times New Roman" w:hAnsi="Times New Roman"/>
          <w:iCs/>
          <w:color w:val="000000" w:themeColor="text1"/>
          <w:sz w:val="24"/>
          <w:szCs w:val="24"/>
        </w:rPr>
        <w:t>Ar 2012.gada 18.maija FM rīkojumu Nr.245 „Par darba grupas izveidošanu" izveidotā darba grupa ir izstrādājusi biznesa prasības „Darba laika uzskaites funkcionalitātes moduļa izstrādei un Centralizētās resursu vadības sistēmas „</w:t>
      </w:r>
      <w:proofErr w:type="spellStart"/>
      <w:r w:rsidRPr="002870EE">
        <w:rPr>
          <w:rFonts w:ascii="Times New Roman" w:hAnsi="Times New Roman"/>
          <w:iCs/>
          <w:color w:val="000000" w:themeColor="text1"/>
          <w:sz w:val="24"/>
          <w:szCs w:val="24"/>
        </w:rPr>
        <w:t>Horizon</w:t>
      </w:r>
      <w:proofErr w:type="spellEnd"/>
      <w:r w:rsidRPr="002870EE">
        <w:rPr>
          <w:rFonts w:ascii="Times New Roman" w:hAnsi="Times New Roman"/>
          <w:iCs/>
          <w:color w:val="000000" w:themeColor="text1"/>
          <w:sz w:val="24"/>
          <w:szCs w:val="24"/>
        </w:rPr>
        <w:t xml:space="preserve">" funkcionalitātes papildināšanai”, tomēr kā vienīgais risinājums Biznesa prasību aprakstā varēja tikt piedāvāts risinājums, ka visi darba samaksas aprēķini </w:t>
      </w:r>
      <w:r w:rsidRPr="002870EE">
        <w:rPr>
          <w:rFonts w:ascii="Times New Roman" w:hAnsi="Times New Roman"/>
          <w:iCs/>
          <w:color w:val="000000" w:themeColor="text1"/>
          <w:sz w:val="24"/>
          <w:szCs w:val="24"/>
        </w:rPr>
        <w:lastRenderedPageBreak/>
        <w:t>un izmaksas mēneša laikā, kamēr nav iesniegta darba laika uzskaites tabele, ir jāveic no pamatdarbības konta, un tikai pēc darba laika uzskaites tabeļu saņemšanas, katram darbiniekam jāveic darba samaksas pārrēķins pa finansējuma avotiem (centrālajā aparātā šobrīd ir 6 TP projekti) par iepriekšējā periodā faktiski nostrādātajām stundām. Šāda risinājuma rezultātā būtiski pieaugtu darba apjoms un būtu nepieciešami papildus resursi grāmatvedībā, kuri nepārtraukti nodarbotos ar izdevumu atjaunošanas un pārgrāmatošanas jautājumiem.</w:t>
      </w:r>
    </w:p>
    <w:p w:rsidR="00196A71" w:rsidRPr="002870EE" w:rsidRDefault="00196A71" w:rsidP="00196A71">
      <w:pPr>
        <w:pStyle w:val="ListParagraph"/>
        <w:numPr>
          <w:ilvl w:val="0"/>
          <w:numId w:val="37"/>
        </w:numPr>
        <w:spacing w:before="120" w:after="120"/>
        <w:rPr>
          <w:rFonts w:ascii="Times New Roman" w:hAnsi="Times New Roman"/>
          <w:iCs/>
          <w:color w:val="000000" w:themeColor="text1"/>
          <w:sz w:val="24"/>
          <w:szCs w:val="24"/>
        </w:rPr>
      </w:pPr>
      <w:r w:rsidRPr="002870EE">
        <w:rPr>
          <w:rFonts w:ascii="Times New Roman" w:hAnsi="Times New Roman"/>
          <w:iCs/>
          <w:color w:val="000000" w:themeColor="text1"/>
          <w:sz w:val="24"/>
          <w:szCs w:val="24"/>
        </w:rPr>
        <w:t>Var izrādīties, ka šādas sarežģītas sistēmas ieviešanas rezultātā būs nepieciešami papildus budžeta līdzekļi, jo:</w:t>
      </w:r>
    </w:p>
    <w:p w:rsidR="00196A71" w:rsidRDefault="00196A71" w:rsidP="00196A71">
      <w:pPr>
        <w:pStyle w:val="ListParagraph"/>
        <w:numPr>
          <w:ilvl w:val="0"/>
          <w:numId w:val="38"/>
        </w:numPr>
        <w:spacing w:before="120" w:after="120"/>
        <w:ind w:left="1134"/>
        <w:rPr>
          <w:rFonts w:ascii="Times New Roman" w:hAnsi="Times New Roman"/>
          <w:iCs/>
          <w:color w:val="000000" w:themeColor="text1"/>
          <w:sz w:val="24"/>
          <w:szCs w:val="24"/>
        </w:rPr>
      </w:pPr>
      <w:r w:rsidRPr="002870EE">
        <w:rPr>
          <w:rFonts w:ascii="Times New Roman" w:hAnsi="Times New Roman"/>
          <w:iCs/>
          <w:color w:val="000000" w:themeColor="text1"/>
          <w:sz w:val="24"/>
          <w:szCs w:val="24"/>
        </w:rPr>
        <w:t>ir izmaksas saistībā ar šādas IT sistēmas izveidi un uzturēšanu;</w:t>
      </w:r>
    </w:p>
    <w:p w:rsidR="00196A71" w:rsidRPr="002870EE" w:rsidRDefault="00196A71" w:rsidP="00196A71">
      <w:pPr>
        <w:pStyle w:val="ListParagraph"/>
        <w:numPr>
          <w:ilvl w:val="0"/>
          <w:numId w:val="38"/>
        </w:numPr>
        <w:spacing w:before="120" w:after="120"/>
        <w:ind w:left="1134"/>
        <w:rPr>
          <w:rFonts w:ascii="Times New Roman" w:hAnsi="Times New Roman"/>
          <w:iCs/>
          <w:color w:val="000000" w:themeColor="text1"/>
          <w:sz w:val="24"/>
          <w:szCs w:val="24"/>
        </w:rPr>
      </w:pPr>
      <w:r>
        <w:rPr>
          <w:rFonts w:ascii="Times New Roman" w:hAnsi="Times New Roman"/>
          <w:iCs/>
          <w:color w:val="000000" w:themeColor="text1"/>
          <w:sz w:val="24"/>
          <w:szCs w:val="24"/>
        </w:rPr>
        <w:t>izmaksas papildus cilvēkresursu nodrošināšanai;</w:t>
      </w:r>
    </w:p>
    <w:p w:rsidR="00196A71" w:rsidRPr="002870EE" w:rsidRDefault="00196A71" w:rsidP="00196A71">
      <w:pPr>
        <w:pStyle w:val="ListParagraph"/>
        <w:numPr>
          <w:ilvl w:val="0"/>
          <w:numId w:val="38"/>
        </w:numPr>
        <w:spacing w:before="120" w:after="120"/>
        <w:ind w:left="1134"/>
        <w:rPr>
          <w:rFonts w:ascii="Times New Roman" w:hAnsi="Times New Roman"/>
          <w:iCs/>
          <w:color w:val="000000" w:themeColor="text1"/>
          <w:sz w:val="24"/>
          <w:szCs w:val="24"/>
        </w:rPr>
      </w:pPr>
      <w:r w:rsidRPr="002870EE">
        <w:rPr>
          <w:rFonts w:ascii="Times New Roman" w:hAnsi="Times New Roman"/>
          <w:iCs/>
          <w:color w:val="000000" w:themeColor="text1"/>
          <w:sz w:val="24"/>
          <w:szCs w:val="24"/>
        </w:rPr>
        <w:t>decembra maksājumu avots būs tikai valsts budžets</w:t>
      </w:r>
      <w:r>
        <w:rPr>
          <w:rFonts w:ascii="Times New Roman" w:hAnsi="Times New Roman"/>
          <w:iCs/>
          <w:color w:val="000000" w:themeColor="text1"/>
          <w:sz w:val="24"/>
          <w:szCs w:val="24"/>
        </w:rPr>
        <w:t>, jo</w:t>
      </w:r>
      <w:r w:rsidRPr="002870EE">
        <w:rPr>
          <w:rFonts w:ascii="Times New Roman" w:hAnsi="Times New Roman"/>
          <w:iCs/>
          <w:color w:val="000000" w:themeColor="text1"/>
          <w:sz w:val="24"/>
          <w:szCs w:val="24"/>
        </w:rPr>
        <w:t xml:space="preserve"> gada beigās veiktos maksājumus janvārī vairs nevar pārgrāmatot.</w:t>
      </w:r>
    </w:p>
    <w:p w:rsidR="00A93B5B" w:rsidRDefault="00196A71" w:rsidP="00196A71">
      <w:pPr>
        <w:spacing w:before="120" w:after="120" w:line="276" w:lineRule="auto"/>
        <w:ind w:firstLine="360"/>
        <w:rPr>
          <w:b/>
          <w:bCs/>
          <w:color w:val="1F497D"/>
          <w:szCs w:val="24"/>
        </w:rPr>
      </w:pPr>
      <w:r w:rsidRPr="00E418F0">
        <w:rPr>
          <w:iCs/>
          <w:color w:val="000000" w:themeColor="text1"/>
          <w:szCs w:val="24"/>
        </w:rPr>
        <w:t>Ņemot vērā kopējos ieguvumus un zaudējumus</w:t>
      </w:r>
      <w:r>
        <w:rPr>
          <w:iCs/>
          <w:color w:val="000000" w:themeColor="text1"/>
          <w:szCs w:val="24"/>
        </w:rPr>
        <w:t>, kā arī</w:t>
      </w:r>
      <w:r w:rsidR="005E1672">
        <w:rPr>
          <w:iCs/>
          <w:color w:val="000000" w:themeColor="text1"/>
          <w:szCs w:val="24"/>
        </w:rPr>
        <w:t xml:space="preserve"> </w:t>
      </w:r>
      <w:r>
        <w:rPr>
          <w:iCs/>
          <w:color w:val="000000" w:themeColor="text1"/>
          <w:szCs w:val="24"/>
        </w:rPr>
        <w:t>i</w:t>
      </w:r>
      <w:r w:rsidRPr="00E418F0">
        <w:rPr>
          <w:iCs/>
          <w:color w:val="000000" w:themeColor="text1"/>
          <w:szCs w:val="24"/>
        </w:rPr>
        <w:t>zvērtējot iepriekš minētos riskus un ar tiem saistītās problēmas ieviešot pilotprojektu esam secinājuši, ka šādas sarežģītas sistēmas ieviešana rada problēmas, kas, savukārt, atsaucas uz dažādām jomām un, lai dalītā darba laika uzskaites sistēmas ieviešana būtu efekt</w:t>
      </w:r>
      <w:r>
        <w:rPr>
          <w:iCs/>
          <w:color w:val="000000" w:themeColor="text1"/>
          <w:szCs w:val="24"/>
        </w:rPr>
        <w:t>īva, nepieciešams to vienkāršot. E</w:t>
      </w:r>
      <w:r w:rsidRPr="00E418F0">
        <w:rPr>
          <w:iCs/>
          <w:color w:val="000000" w:themeColor="text1"/>
          <w:szCs w:val="24"/>
        </w:rPr>
        <w:t>sam izstrādājuši vienkāršotu sistēmas konceptu, kurā, tāpat kā sākotnēji plānots,</w:t>
      </w:r>
      <w:r w:rsidR="005E1672">
        <w:rPr>
          <w:iCs/>
          <w:color w:val="000000" w:themeColor="text1"/>
          <w:szCs w:val="24"/>
        </w:rPr>
        <w:t xml:space="preserve"> </w:t>
      </w:r>
      <w:r w:rsidRPr="00E418F0">
        <w:rPr>
          <w:iCs/>
          <w:color w:val="000000" w:themeColor="text1"/>
          <w:szCs w:val="24"/>
        </w:rPr>
        <w:t>tiks veikta elektroniska darba laika uzskaite, tomēr šī sistēma nebūs tieši sasaistīta ar grāmatvedības sistēmu un automātisku algu aprēķināšanu.</w:t>
      </w:r>
      <w:r>
        <w:rPr>
          <w:iCs/>
          <w:color w:val="000000" w:themeColor="text1"/>
          <w:szCs w:val="24"/>
        </w:rPr>
        <w:t xml:space="preserve"> </w:t>
      </w:r>
      <w:r w:rsidR="00A93B5B">
        <w:rPr>
          <w:iCs/>
          <w:color w:val="000000" w:themeColor="text1"/>
          <w:szCs w:val="24"/>
        </w:rPr>
        <w:t>P</w:t>
      </w:r>
      <w:proofErr w:type="spellStart"/>
      <w:r w:rsidR="00A93B5B" w:rsidRPr="00A93B5B">
        <w:rPr>
          <w:bCs/>
          <w:szCs w:val="24"/>
          <w:lang w:val="x-none"/>
        </w:rPr>
        <w:t>aralēli</w:t>
      </w:r>
      <w:proofErr w:type="spellEnd"/>
      <w:r w:rsidR="00A93B5B" w:rsidRPr="00A93B5B">
        <w:rPr>
          <w:bCs/>
          <w:szCs w:val="24"/>
          <w:lang w:val="x-none"/>
        </w:rPr>
        <w:t xml:space="preserve"> pilotprojekta virzībai FM šādas uzskaites ieviešanai </w:t>
      </w:r>
      <w:r w:rsidR="00A93B5B" w:rsidRPr="00A93B5B">
        <w:rPr>
          <w:szCs w:val="24"/>
          <w:lang w:val="x-none"/>
        </w:rPr>
        <w:t xml:space="preserve">esam uzsākuši </w:t>
      </w:r>
      <w:proofErr w:type="spellStart"/>
      <w:r w:rsidR="00A93B5B" w:rsidRPr="00A93B5B">
        <w:rPr>
          <w:szCs w:val="24"/>
        </w:rPr>
        <w:t>t</w:t>
      </w:r>
      <w:r w:rsidR="00A93B5B">
        <w:rPr>
          <w:szCs w:val="24"/>
        </w:rPr>
        <w:t>.</w:t>
      </w:r>
      <w:r w:rsidR="00A93B5B" w:rsidRPr="00A93B5B">
        <w:rPr>
          <w:szCs w:val="24"/>
        </w:rPr>
        <w:t>sk</w:t>
      </w:r>
      <w:proofErr w:type="spellEnd"/>
      <w:r w:rsidR="00A93B5B" w:rsidRPr="00A93B5B">
        <w:rPr>
          <w:szCs w:val="24"/>
        </w:rPr>
        <w:t xml:space="preserve">. oficiālas </w:t>
      </w:r>
      <w:r w:rsidR="00A93B5B" w:rsidRPr="00A93B5B">
        <w:rPr>
          <w:szCs w:val="24"/>
          <w:lang w:val="x-none"/>
        </w:rPr>
        <w:t xml:space="preserve">konsultācijas par Eiropas Komisiju, lai vienotos par vienkāršotākas sistēmas izveidi </w:t>
      </w:r>
      <w:r w:rsidR="00A93B5B" w:rsidRPr="00A93B5B">
        <w:rPr>
          <w:bCs/>
          <w:szCs w:val="24"/>
          <w:lang w:val="x-none"/>
        </w:rPr>
        <w:t>un ieviešanu TP attiecināto izdevumu proporcijas identificēšanā</w:t>
      </w:r>
      <w:r w:rsidR="00A93B5B" w:rsidRPr="00A93B5B">
        <w:rPr>
          <w:bCs/>
          <w:szCs w:val="24"/>
        </w:rPr>
        <w:t xml:space="preserve"> un uz</w:t>
      </w:r>
      <w:r w:rsidR="00A93B5B">
        <w:rPr>
          <w:bCs/>
          <w:szCs w:val="24"/>
        </w:rPr>
        <w:t>s</w:t>
      </w:r>
      <w:r w:rsidR="00A93B5B" w:rsidRPr="00A93B5B">
        <w:rPr>
          <w:bCs/>
          <w:szCs w:val="24"/>
        </w:rPr>
        <w:t>kaitē</w:t>
      </w:r>
      <w:r w:rsidR="00A93B5B" w:rsidRPr="00A93B5B">
        <w:rPr>
          <w:bCs/>
          <w:szCs w:val="24"/>
          <w:lang w:val="x-none"/>
        </w:rPr>
        <w:t xml:space="preserve">. </w:t>
      </w:r>
      <w:r w:rsidR="00A93B5B" w:rsidRPr="00A93B5B">
        <w:rPr>
          <w:bCs/>
          <w:szCs w:val="24"/>
        </w:rPr>
        <w:t xml:space="preserve">Tādējādi </w:t>
      </w:r>
      <w:r w:rsidR="00A93B5B" w:rsidRPr="00A93B5B">
        <w:rPr>
          <w:bCs/>
          <w:szCs w:val="24"/>
          <w:lang w:val="x-none"/>
        </w:rPr>
        <w:t>atalgojuma daļveida attiecināšanas sistēmas</w:t>
      </w:r>
      <w:r w:rsidR="00A93B5B" w:rsidRPr="00A93B5B">
        <w:rPr>
          <w:bCs/>
          <w:szCs w:val="24"/>
        </w:rPr>
        <w:t xml:space="preserve"> izstrāde un ieviešana </w:t>
      </w:r>
      <w:r w:rsidR="00A93B5B" w:rsidRPr="00A93B5B">
        <w:rPr>
          <w:szCs w:val="24"/>
        </w:rPr>
        <w:t xml:space="preserve">praktiski iespējama un lietderīga vienīgi attiecībā uz 2014. -2020.gada </w:t>
      </w:r>
      <w:r w:rsidR="00A93B5B" w:rsidRPr="00A93B5B">
        <w:rPr>
          <w:bCs/>
          <w:szCs w:val="24"/>
        </w:rPr>
        <w:t>plānošanas perioda ES fondu tehniskās palīdzības finansējumu, kuram tiks izstrādāts</w:t>
      </w:r>
      <w:r w:rsidR="005E1672">
        <w:rPr>
          <w:bCs/>
          <w:szCs w:val="24"/>
        </w:rPr>
        <w:t xml:space="preserve"> </w:t>
      </w:r>
      <w:r w:rsidR="00A93B5B" w:rsidRPr="00A93B5B">
        <w:rPr>
          <w:bCs/>
          <w:szCs w:val="24"/>
        </w:rPr>
        <w:t>atbilstošs</w:t>
      </w:r>
      <w:r w:rsidR="005E1672">
        <w:rPr>
          <w:bCs/>
          <w:szCs w:val="24"/>
        </w:rPr>
        <w:t xml:space="preserve"> </w:t>
      </w:r>
      <w:r w:rsidR="00A93B5B" w:rsidRPr="00A93B5B">
        <w:rPr>
          <w:bCs/>
          <w:szCs w:val="24"/>
        </w:rPr>
        <w:t>normatīvais regulējums.</w:t>
      </w:r>
      <w:r w:rsidR="00A93B5B">
        <w:rPr>
          <w:b/>
          <w:bCs/>
          <w:color w:val="1F497D"/>
          <w:szCs w:val="24"/>
        </w:rPr>
        <w:t> </w:t>
      </w:r>
    </w:p>
    <w:p w:rsidR="00196A71" w:rsidRPr="002870EE" w:rsidRDefault="00A93B5B" w:rsidP="00196A71">
      <w:pPr>
        <w:spacing w:before="120" w:after="120" w:line="276" w:lineRule="auto"/>
        <w:ind w:firstLine="360"/>
        <w:rPr>
          <w:iCs/>
          <w:color w:val="000000" w:themeColor="text1"/>
          <w:szCs w:val="24"/>
        </w:rPr>
      </w:pPr>
      <w:r w:rsidRPr="002870EE">
        <w:rPr>
          <w:iCs/>
          <w:color w:val="000000" w:themeColor="text1"/>
          <w:szCs w:val="24"/>
        </w:rPr>
        <w:t xml:space="preserve"> </w:t>
      </w:r>
      <w:r w:rsidR="00196A71" w:rsidRPr="002870EE">
        <w:rPr>
          <w:iCs/>
          <w:color w:val="000000" w:themeColor="text1"/>
          <w:szCs w:val="24"/>
        </w:rPr>
        <w:t>Lai šāda vienkāršotā darba laika uzskaites sistēma nodrošinātu darba laika izsekojamību pa funkciju veidiem un būtu identificējama no TP attiecināto izdevumu proporcija, iestādēm būtu jānodrošina elektroniskas darba laika uzskaites sistēmas ieviešana un ar iestādes rīkojumu jānosaka, ka darbiniekiem ir pienākums regulāri pildīt darba laika uzskaiti. Attiecīgi izanalizējot iegūtos datus par katru darbinieku vai noteiktām amata grupām, tiku aprēķināts vidējais objektīvais procents jeb proporcija, kādu darbinieks pavada</w:t>
      </w:r>
      <w:r w:rsidR="005E1672">
        <w:rPr>
          <w:iCs/>
          <w:color w:val="000000" w:themeColor="text1"/>
          <w:szCs w:val="24"/>
        </w:rPr>
        <w:t xml:space="preserve"> </w:t>
      </w:r>
      <w:r w:rsidR="00196A71" w:rsidRPr="002870EE">
        <w:rPr>
          <w:iCs/>
          <w:color w:val="000000" w:themeColor="text1"/>
          <w:szCs w:val="24"/>
        </w:rPr>
        <w:t xml:space="preserve">pildot pienākumus, kuru apmaksa tiek nodrošināta no TP līdzekļiem un šāda proporcija konstanti tiku segta no TP līdzekļiem, bet pārējā daļa no valsts budžeta līdzekļiem. </w:t>
      </w:r>
    </w:p>
    <w:p w:rsidR="00032804" w:rsidRPr="004B4B31" w:rsidRDefault="00196A71" w:rsidP="004B4B31">
      <w:pPr>
        <w:spacing w:before="120" w:after="120" w:line="276" w:lineRule="auto"/>
        <w:ind w:firstLine="360"/>
        <w:rPr>
          <w:iCs/>
          <w:color w:val="000000" w:themeColor="text1"/>
          <w:szCs w:val="24"/>
        </w:rPr>
      </w:pPr>
      <w:r w:rsidRPr="002870EE">
        <w:rPr>
          <w:iCs/>
          <w:color w:val="000000" w:themeColor="text1"/>
          <w:szCs w:val="24"/>
        </w:rPr>
        <w:t>Šādas vienkāršotākas sistēmas ieviešanu pieļauj arī FM esošā DLU un grāmatvedības sistēma, jo jau pašreiz tā nodrošina darba laika izsekojamību un tai nepieciešami tikai nelieli uzlabojumi, lai sistēmā varētu veidot detalizētākas DLU kartiņas, kas kalpotu par pamatojumu atalgojuma proporcionalitātes aprēķinam. Papildus ieguvumi no vienkāršotās sistēmas ieviešanas būtu gan grāmatvedības nodaļā, kur nebūtu nepieciešami papildus darbinieki, gan arī tiktu atvieglota budžeta plānošana, jo šajā gadījumā līdzekļus budžetā ir iespējams saplānot atbilsto</w:t>
      </w:r>
      <w:r w:rsidR="004B4B31">
        <w:rPr>
          <w:iCs/>
          <w:color w:val="000000" w:themeColor="text1"/>
          <w:szCs w:val="24"/>
        </w:rPr>
        <w:t>ši esošajai normatīvajai bāzei.</w:t>
      </w:r>
    </w:p>
    <w:p w:rsidR="00A87FB4" w:rsidRPr="00032804" w:rsidRDefault="00A87FB4" w:rsidP="00032804">
      <w:pPr>
        <w:pStyle w:val="ListParagraph"/>
        <w:numPr>
          <w:ilvl w:val="0"/>
          <w:numId w:val="6"/>
        </w:numPr>
        <w:spacing w:before="120" w:after="120"/>
        <w:ind w:left="0"/>
        <w:jc w:val="both"/>
        <w:rPr>
          <w:rFonts w:ascii="Times New Roman" w:hAnsi="Times New Roman"/>
          <w:b/>
          <w:bCs/>
          <w:color w:val="000000" w:themeColor="text1"/>
          <w:sz w:val="24"/>
          <w:szCs w:val="24"/>
        </w:rPr>
      </w:pPr>
      <w:r w:rsidRPr="008E4EA2">
        <w:rPr>
          <w:rFonts w:ascii="Times New Roman" w:hAnsi="Times New Roman"/>
          <w:b/>
          <w:bCs/>
          <w:color w:val="000000" w:themeColor="text1"/>
          <w:sz w:val="24"/>
          <w:szCs w:val="24"/>
        </w:rPr>
        <w:lastRenderedPageBreak/>
        <w:t>VI deleģēto funkciju ve</w:t>
      </w:r>
      <w:r w:rsidR="00032804">
        <w:rPr>
          <w:rFonts w:ascii="Times New Roman" w:hAnsi="Times New Roman"/>
          <w:b/>
          <w:bCs/>
          <w:color w:val="000000" w:themeColor="text1"/>
          <w:sz w:val="24"/>
          <w:szCs w:val="24"/>
        </w:rPr>
        <w:t>ikšanas kvalitāte un kapacitāte</w:t>
      </w:r>
    </w:p>
    <w:p w:rsidR="00A87FB4" w:rsidRPr="008E4EA2" w:rsidRDefault="00A87FB4" w:rsidP="003A0029">
      <w:pPr>
        <w:spacing w:before="120" w:after="120" w:line="276" w:lineRule="auto"/>
        <w:rPr>
          <w:iCs/>
          <w:color w:val="000000" w:themeColor="text1"/>
          <w:szCs w:val="24"/>
        </w:rPr>
      </w:pPr>
      <w:r w:rsidRPr="008E4EA2">
        <w:rPr>
          <w:b/>
          <w:bCs/>
          <w:color w:val="000000" w:themeColor="text1"/>
          <w:szCs w:val="24"/>
        </w:rPr>
        <w:t xml:space="preserve"> </w:t>
      </w:r>
      <w:r w:rsidRPr="008E4EA2">
        <w:rPr>
          <w:iCs/>
          <w:color w:val="000000" w:themeColor="text1"/>
          <w:szCs w:val="24"/>
        </w:rPr>
        <w:t xml:space="preserve">Ņemot vērā, ka VI </w:t>
      </w:r>
      <w:proofErr w:type="spellStart"/>
      <w:r w:rsidR="00A23D5B" w:rsidRPr="008E4EA2">
        <w:rPr>
          <w:iCs/>
          <w:color w:val="000000" w:themeColor="text1"/>
          <w:szCs w:val="24"/>
        </w:rPr>
        <w:t>š.g</w:t>
      </w:r>
      <w:proofErr w:type="spellEnd"/>
      <w:r w:rsidR="00A23D5B" w:rsidRPr="008E4EA2">
        <w:rPr>
          <w:iCs/>
          <w:color w:val="000000" w:themeColor="text1"/>
          <w:szCs w:val="24"/>
        </w:rPr>
        <w:t>.</w:t>
      </w:r>
      <w:r w:rsidRPr="008E4EA2">
        <w:rPr>
          <w:iCs/>
          <w:color w:val="000000" w:themeColor="text1"/>
          <w:szCs w:val="24"/>
        </w:rPr>
        <w:t xml:space="preserve"> sākumā ir uzsākusi deleģēto funkciju pārbaudes pie ES fondu vadībā iesaistītajām iestādēm, pastāvīgi tiek stiprināta un pilnveidota metodika pārbaužu veikšanai iestāžu procedūru, vērtēšanas procesa, projektu ieviešanas procesa </w:t>
      </w:r>
      <w:proofErr w:type="spellStart"/>
      <w:r w:rsidRPr="008E4EA2">
        <w:rPr>
          <w:iCs/>
          <w:color w:val="000000" w:themeColor="text1"/>
          <w:szCs w:val="24"/>
        </w:rPr>
        <w:t>u.c</w:t>
      </w:r>
      <w:proofErr w:type="spellEnd"/>
      <w:r w:rsidRPr="008E4EA2">
        <w:rPr>
          <w:iCs/>
          <w:color w:val="000000" w:themeColor="text1"/>
          <w:szCs w:val="24"/>
        </w:rPr>
        <w:t xml:space="preserve">. pārbaudes, vērtējums par iestādes spēju veikt deleģētās funkcijas, </w:t>
      </w:r>
      <w:proofErr w:type="spellStart"/>
      <w:r w:rsidRPr="008E4EA2">
        <w:rPr>
          <w:iCs/>
          <w:color w:val="000000" w:themeColor="text1"/>
          <w:szCs w:val="24"/>
        </w:rPr>
        <w:t>t.sk</w:t>
      </w:r>
      <w:proofErr w:type="spellEnd"/>
      <w:r w:rsidRPr="008E4EA2">
        <w:rPr>
          <w:iCs/>
          <w:color w:val="000000" w:themeColor="text1"/>
          <w:szCs w:val="24"/>
        </w:rPr>
        <w:t xml:space="preserve">. izstrādātas detalizētas pārbaudes lapas. Sākot ar </w:t>
      </w:r>
      <w:proofErr w:type="spellStart"/>
      <w:r w:rsidRPr="008E4EA2">
        <w:rPr>
          <w:iCs/>
          <w:color w:val="000000" w:themeColor="text1"/>
          <w:szCs w:val="24"/>
        </w:rPr>
        <w:t>š.g</w:t>
      </w:r>
      <w:proofErr w:type="spellEnd"/>
      <w:r w:rsidRPr="008E4EA2">
        <w:rPr>
          <w:iCs/>
          <w:color w:val="000000" w:themeColor="text1"/>
          <w:szCs w:val="24"/>
        </w:rPr>
        <w:t xml:space="preserve">. maiju, ir pilnībā nokomplektēta ES fondu kontroles nodaļa, kas nodrošina 2007.-2013.gada plānošanas periodā deleģēto funkciju uzraudzību, veicot VI deleģēto funkciju pārbaudes un </w:t>
      </w:r>
      <w:proofErr w:type="spellStart"/>
      <w:r w:rsidRPr="008E4EA2">
        <w:rPr>
          <w:iCs/>
          <w:color w:val="000000" w:themeColor="text1"/>
          <w:szCs w:val="24"/>
        </w:rPr>
        <w:t>virspārbaudes</w:t>
      </w:r>
      <w:proofErr w:type="spellEnd"/>
      <w:r w:rsidRPr="008E4EA2">
        <w:rPr>
          <w:iCs/>
          <w:color w:val="000000" w:themeColor="text1"/>
          <w:szCs w:val="24"/>
        </w:rPr>
        <w:t xml:space="preserve">, atbilstoši izstrādātajam un apstiprinātajam deleģēto funkciju pārbaužu plānam. Plānots, ka ES fondu kontroles nodaļa šajā gadā veiks arī pārbaudes ES fondu projektu īstenošanas vietā, lai pārliecinātos par projektu atbilstošu īstenošanu. </w:t>
      </w:r>
      <w:r w:rsidR="00273AB1" w:rsidRPr="008E4EA2">
        <w:rPr>
          <w:iCs/>
          <w:color w:val="000000" w:themeColor="text1"/>
          <w:szCs w:val="24"/>
        </w:rPr>
        <w:t>VI</w:t>
      </w:r>
      <w:r w:rsidRPr="008E4EA2">
        <w:rPr>
          <w:iCs/>
          <w:color w:val="000000" w:themeColor="text1"/>
          <w:szCs w:val="24"/>
        </w:rPr>
        <w:t>, atbilstoši risku novērtējumam, izstrādā deleģēto funkciju pārbaužu gada plānu, ņemot vērā objektīvos rādītājus, kas norāda uz ES fondu vadībā iesaistīto iestāžu darbību un tās atbilstību. Ik mēnesi pārbaužu plānu pārskata, ņemot vērā aktuālos riskus un iestāžu darbības rezultātus. Ņemot vērā risku novērtējumu, līdz 2012.gada septembra beigām, papildus jau iepriekš veiktajām pārbaudēm EM, SM, VARAM un NVA ir noslēgušās pārbaudes IZM, VIAA, LIAA, CFLA, VRAA un atkārtoti veiktā pārbaude NVA.</w:t>
      </w:r>
    </w:p>
    <w:p w:rsidR="00A87FB4" w:rsidRPr="008E4EA2" w:rsidRDefault="00A87FB4" w:rsidP="003A0029">
      <w:pPr>
        <w:spacing w:before="120" w:after="120" w:line="276" w:lineRule="auto"/>
        <w:rPr>
          <w:iCs/>
          <w:color w:val="000000" w:themeColor="text1"/>
          <w:szCs w:val="24"/>
        </w:rPr>
      </w:pPr>
      <w:r w:rsidRPr="008E4EA2">
        <w:rPr>
          <w:iCs/>
          <w:color w:val="000000" w:themeColor="text1"/>
          <w:szCs w:val="24"/>
        </w:rPr>
        <w:t xml:space="preserve">Pārskata periodā VI ir uzsākusi deleģēto funkciju pārbaudi SIF un atkārtoto pārbaudi SM. </w:t>
      </w:r>
      <w:r w:rsidR="00273AB1" w:rsidRPr="008E4EA2">
        <w:rPr>
          <w:iCs/>
          <w:color w:val="000000" w:themeColor="text1"/>
          <w:szCs w:val="24"/>
        </w:rPr>
        <w:t>VI</w:t>
      </w:r>
      <w:r w:rsidRPr="008E4EA2">
        <w:rPr>
          <w:iCs/>
          <w:color w:val="000000" w:themeColor="text1"/>
          <w:szCs w:val="24"/>
        </w:rPr>
        <w:t xml:space="preserve"> veikto deleģēto funkciju pārbaužu rezultātā visbiežāk konstatētie trūkumi saistīti ar projekta iesnieguma vērtēšanas izsekojamību, maksājuma pieprasījuma termiņa neievērošanu. Attiecībā uz maksājumu pieprasīju </w:t>
      </w:r>
      <w:r w:rsidR="00FA181B" w:rsidRPr="008E4EA2">
        <w:rPr>
          <w:iCs/>
          <w:color w:val="000000" w:themeColor="text1"/>
          <w:szCs w:val="24"/>
        </w:rPr>
        <w:t xml:space="preserve">izskatīšanas </w:t>
      </w:r>
      <w:r w:rsidRPr="008E4EA2">
        <w:rPr>
          <w:iCs/>
          <w:color w:val="000000" w:themeColor="text1"/>
          <w:szCs w:val="24"/>
        </w:rPr>
        <w:t xml:space="preserve">termiņu kavēšanu jāatzīmē, ka tas visbiežāk saistīts ar finansējuma saņēmēju nekvalitatīvi un nepilnīgi sagatavotiem maksājumu pieprasījumiem, tāpat arī atsevišķām iestādēm ir nepietiekoša kapacitāte. Arī deleģēto funkciju pārbaudēs konstatēti pārkāpumi iepirkumu jomā, ko ES fondu vadībā iesaistītās iestādes savās kontrolēs iepriekš nav konstatējušas, un ne vienmēr iestāžu procedūras atbilst spēkā esošiem tiesību aktiem un </w:t>
      </w:r>
      <w:r w:rsidR="00C776AE" w:rsidRPr="008E4EA2">
        <w:rPr>
          <w:iCs/>
          <w:color w:val="000000" w:themeColor="text1"/>
          <w:szCs w:val="24"/>
        </w:rPr>
        <w:t>VI</w:t>
      </w:r>
      <w:r w:rsidRPr="008E4EA2">
        <w:rPr>
          <w:iCs/>
          <w:color w:val="000000" w:themeColor="text1"/>
          <w:szCs w:val="24"/>
        </w:rPr>
        <w:t xml:space="preserve"> sniegtajiem skaidrojumiem. FM ir izteikusi ieteikumus nepilnību novēršanai un regulāri uzrauga ieteikumu ieviešanas statusu. </w:t>
      </w:r>
    </w:p>
    <w:p w:rsidR="00A87FB4" w:rsidRPr="008E4EA2" w:rsidRDefault="00A87FB4" w:rsidP="003A0029">
      <w:pPr>
        <w:spacing w:before="120" w:after="120" w:line="276" w:lineRule="auto"/>
        <w:rPr>
          <w:iCs/>
          <w:color w:val="000000" w:themeColor="text1"/>
          <w:szCs w:val="24"/>
        </w:rPr>
      </w:pPr>
      <w:r w:rsidRPr="008E4EA2">
        <w:rPr>
          <w:iCs/>
          <w:color w:val="000000" w:themeColor="text1"/>
          <w:szCs w:val="24"/>
        </w:rPr>
        <w:t xml:space="preserve">VI šajā pārskata periodā ir piedalījusies </w:t>
      </w:r>
      <w:proofErr w:type="spellStart"/>
      <w:r w:rsidRPr="008E4EA2">
        <w:rPr>
          <w:iCs/>
          <w:color w:val="000000" w:themeColor="text1"/>
          <w:szCs w:val="24"/>
        </w:rPr>
        <w:t>virspārbaudēs</w:t>
      </w:r>
      <w:proofErr w:type="spellEnd"/>
      <w:r w:rsidRPr="008E4EA2">
        <w:rPr>
          <w:iCs/>
          <w:color w:val="000000" w:themeColor="text1"/>
          <w:szCs w:val="24"/>
        </w:rPr>
        <w:t xml:space="preserve"> ES fondu projektu īstenošanas vietās novērotāja statusā, lai gūtu pārliecību par to, ka AI/SI pārbaudes projektu īstenošanas vietās veic atbilstoši VI un AI/SI izstrādātajai metodikai/vadlīnijām. Kopš 2012.gada februāra VI ir piedalījusies 31 </w:t>
      </w:r>
      <w:proofErr w:type="spellStart"/>
      <w:r w:rsidRPr="008E4EA2">
        <w:rPr>
          <w:iCs/>
          <w:color w:val="000000" w:themeColor="text1"/>
          <w:szCs w:val="24"/>
        </w:rPr>
        <w:t>virspārbaudē</w:t>
      </w:r>
      <w:proofErr w:type="spellEnd"/>
      <w:r w:rsidRPr="008E4EA2">
        <w:rPr>
          <w:iCs/>
          <w:color w:val="000000" w:themeColor="text1"/>
          <w:szCs w:val="24"/>
        </w:rPr>
        <w:t xml:space="preserve">, </w:t>
      </w:r>
      <w:proofErr w:type="spellStart"/>
      <w:r w:rsidRPr="008E4EA2">
        <w:rPr>
          <w:iCs/>
          <w:color w:val="000000" w:themeColor="text1"/>
          <w:szCs w:val="24"/>
        </w:rPr>
        <w:t>t.sk</w:t>
      </w:r>
      <w:proofErr w:type="spellEnd"/>
      <w:r w:rsidRPr="008E4EA2">
        <w:rPr>
          <w:iCs/>
          <w:color w:val="000000" w:themeColor="text1"/>
          <w:szCs w:val="24"/>
        </w:rPr>
        <w:t xml:space="preserve">. šajā pārskata periodā 17 </w:t>
      </w:r>
      <w:proofErr w:type="spellStart"/>
      <w:r w:rsidRPr="008E4EA2">
        <w:rPr>
          <w:iCs/>
          <w:color w:val="000000" w:themeColor="text1"/>
          <w:szCs w:val="24"/>
        </w:rPr>
        <w:t>virspārbaudēs</w:t>
      </w:r>
      <w:proofErr w:type="spellEnd"/>
      <w:r w:rsidRPr="008E4EA2">
        <w:rPr>
          <w:iCs/>
          <w:color w:val="000000" w:themeColor="text1"/>
          <w:szCs w:val="24"/>
        </w:rPr>
        <w:t>, novērotāja statusā un guvusi pārliecību par to, ka pārsvarā AI un SI pārstāvji pārbaudes īstenošanas vietās veic atbilstošā kvalitātē.</w:t>
      </w:r>
    </w:p>
    <w:p w:rsidR="00230127" w:rsidRPr="008E4EA2" w:rsidRDefault="00A87FB4" w:rsidP="003A0029">
      <w:pPr>
        <w:pStyle w:val="2lmenis"/>
        <w:numPr>
          <w:ilvl w:val="1"/>
          <w:numId w:val="2"/>
        </w:numPr>
        <w:spacing w:before="120" w:after="120" w:line="276" w:lineRule="auto"/>
        <w:ind w:left="1276" w:hanging="425"/>
        <w:jc w:val="both"/>
        <w:rPr>
          <w:color w:val="000000" w:themeColor="text1"/>
          <w:sz w:val="24"/>
          <w:szCs w:val="24"/>
          <w:lang w:val="lv-LV"/>
        </w:rPr>
      </w:pPr>
      <w:bookmarkStart w:id="91" w:name="_Toc340241719"/>
      <w:r w:rsidRPr="008E4EA2">
        <w:rPr>
          <w:color w:val="000000" w:themeColor="text1"/>
          <w:sz w:val="24"/>
          <w:szCs w:val="24"/>
          <w:lang w:val="lv-LV"/>
        </w:rPr>
        <w:t>Plānotie pasākumi ES fondu vadības un kontroles sistēmas pilnveidošanai</w:t>
      </w:r>
      <w:bookmarkEnd w:id="91"/>
    </w:p>
    <w:p w:rsidR="00A87FB4" w:rsidRPr="008E4EA2" w:rsidRDefault="00A87FB4" w:rsidP="003A0029">
      <w:pPr>
        <w:pStyle w:val="ListParagraph"/>
        <w:numPr>
          <w:ilvl w:val="0"/>
          <w:numId w:val="19"/>
        </w:numPr>
        <w:spacing w:before="120" w:after="120"/>
        <w:ind w:left="0"/>
        <w:jc w:val="both"/>
        <w:rPr>
          <w:rFonts w:ascii="Times New Roman" w:hAnsi="Times New Roman"/>
          <w:b/>
          <w:bCs/>
          <w:color w:val="000000" w:themeColor="text1"/>
          <w:sz w:val="24"/>
          <w:szCs w:val="24"/>
        </w:rPr>
      </w:pPr>
      <w:r w:rsidRPr="008E4EA2">
        <w:rPr>
          <w:rFonts w:ascii="Times New Roman" w:hAnsi="Times New Roman"/>
          <w:b/>
          <w:bCs/>
          <w:color w:val="000000" w:themeColor="text1"/>
          <w:sz w:val="24"/>
          <w:szCs w:val="24"/>
        </w:rPr>
        <w:t>Metodoloģiskā atbalsta stiprināšana ES fondu vadībā iesaistītajām iestādēm</w:t>
      </w:r>
    </w:p>
    <w:p w:rsidR="00A87FB4" w:rsidRPr="008E4EA2" w:rsidRDefault="00A87FB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Nākamajā pārskata periodā </w:t>
      </w:r>
      <w:r w:rsidR="00273AB1" w:rsidRPr="008E4EA2">
        <w:rPr>
          <w:rFonts w:eastAsia="EUAlbertina-Bold-Identity-H"/>
          <w:color w:val="000000" w:themeColor="text1"/>
          <w:szCs w:val="24"/>
          <w:lang w:eastAsia="lv-LV"/>
        </w:rPr>
        <w:t>VI</w:t>
      </w:r>
      <w:r w:rsidRPr="008E4EA2">
        <w:rPr>
          <w:rFonts w:eastAsia="EUAlbertina-Bold-Identity-H"/>
          <w:color w:val="000000" w:themeColor="text1"/>
          <w:szCs w:val="24"/>
          <w:lang w:eastAsia="lv-LV"/>
        </w:rPr>
        <w:t xml:space="preserve"> plāno turpināt aktualizēt un apstiprināt virkni metodisko un skaidrojošo materiālu ES fondu vadībā iesaistītajām iestādēm</w:t>
      </w:r>
      <w:r w:rsidR="00C776AE" w:rsidRPr="008E4EA2">
        <w:rPr>
          <w:rFonts w:eastAsia="EUAlbertina-Bold-Identity-H"/>
          <w:color w:val="000000" w:themeColor="text1"/>
          <w:szCs w:val="24"/>
          <w:lang w:eastAsia="lv-LV"/>
        </w:rPr>
        <w:t xml:space="preserve">: </w:t>
      </w:r>
    </w:p>
    <w:p w:rsidR="00A87FB4" w:rsidRPr="008E4EA2" w:rsidRDefault="00A87FB4" w:rsidP="00032804">
      <w:pPr>
        <w:pStyle w:val="ListParagraph"/>
        <w:numPr>
          <w:ilvl w:val="0"/>
          <w:numId w:val="25"/>
        </w:numPr>
        <w:spacing w:before="120" w:after="120"/>
        <w:ind w:left="709"/>
        <w:jc w:val="both"/>
        <w:rPr>
          <w:rFonts w:ascii="Times New Roman" w:hAnsi="Times New Roman"/>
          <w:bCs/>
          <w:i/>
          <w:color w:val="000000" w:themeColor="text1"/>
          <w:sz w:val="24"/>
          <w:szCs w:val="24"/>
        </w:rPr>
      </w:pPr>
      <w:r w:rsidRPr="008E4EA2">
        <w:rPr>
          <w:rFonts w:ascii="Times New Roman" w:hAnsi="Times New Roman"/>
          <w:bCs/>
          <w:i/>
          <w:color w:val="000000" w:themeColor="text1"/>
          <w:sz w:val="24"/>
          <w:szCs w:val="24"/>
        </w:rPr>
        <w:t xml:space="preserve">Vadlīnijas Nr.10.1. „Vadlīnijas attiecināmo un neattiecināmo izmaksu noteikšanai 2007.-2013.gada plānošanas periodā” </w:t>
      </w:r>
    </w:p>
    <w:p w:rsidR="00A87FB4" w:rsidRPr="008E4EA2" w:rsidRDefault="00A87FB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lastRenderedPageBreak/>
        <w:t xml:space="preserve">Vadlīnijas papildinātas ar nosacījumiem attiecībā uz </w:t>
      </w:r>
      <w:r w:rsidR="00C776AE" w:rsidRPr="008E4EA2">
        <w:rPr>
          <w:rFonts w:eastAsia="EUAlbertina-Bold-Identity-H"/>
          <w:color w:val="000000" w:themeColor="text1"/>
          <w:szCs w:val="24"/>
          <w:lang w:eastAsia="lv-LV"/>
        </w:rPr>
        <w:t>TP</w:t>
      </w:r>
      <w:r w:rsidRPr="008E4EA2">
        <w:rPr>
          <w:rFonts w:eastAsia="EUAlbertina-Bold-Identity-H"/>
          <w:color w:val="000000" w:themeColor="text1"/>
          <w:szCs w:val="24"/>
          <w:lang w:eastAsia="lv-LV"/>
        </w:rPr>
        <w:t xml:space="preserve"> otrās kārtas projektu ieviešanu, ar skaidrojumiem par atlīdzības izmaksām ES fondu projektos nodarbinātajiem, </w:t>
      </w:r>
      <w:proofErr w:type="spellStart"/>
      <w:r w:rsidRPr="008E4EA2">
        <w:rPr>
          <w:rFonts w:eastAsia="EUAlbertina-Bold-Identity-H"/>
          <w:color w:val="000000" w:themeColor="text1"/>
          <w:szCs w:val="24"/>
          <w:lang w:eastAsia="lv-LV"/>
        </w:rPr>
        <w:t>t.sk</w:t>
      </w:r>
      <w:proofErr w:type="spellEnd"/>
      <w:r w:rsidRPr="008E4EA2">
        <w:rPr>
          <w:rFonts w:eastAsia="EUAlbertina-Bold-Identity-H"/>
          <w:color w:val="000000" w:themeColor="text1"/>
          <w:szCs w:val="24"/>
          <w:lang w:eastAsia="lv-LV"/>
        </w:rPr>
        <w:t>. par izdevumiem par ikgadējo apmaksāto atvaļinājuma, kā arī papildatvaļinājumu, ar skaidrojumu atlīdzības izmaksu aprēķina atbilstībai Eiropas Investīciju fonda</w:t>
      </w:r>
      <w:r w:rsidR="003271BE" w:rsidRPr="008E4EA2">
        <w:rPr>
          <w:rFonts w:eastAsia="EUAlbertina-Bold-Identity-H"/>
          <w:color w:val="000000" w:themeColor="text1"/>
          <w:szCs w:val="24"/>
          <w:lang w:eastAsia="lv-LV"/>
        </w:rPr>
        <w:t xml:space="preserve"> </w:t>
      </w:r>
      <w:r w:rsidRPr="008E4EA2">
        <w:rPr>
          <w:rFonts w:eastAsia="EUAlbertina-Bold-Identity-H"/>
          <w:color w:val="000000" w:themeColor="text1"/>
          <w:szCs w:val="24"/>
          <w:lang w:eastAsia="lv-LV"/>
        </w:rPr>
        <w:t>metodoloģijai, papildinātas ar nosacījumiem attiecībā uz atbilstošu informatīvo un publicitātes prasību ievērošanu.</w:t>
      </w:r>
    </w:p>
    <w:p w:rsidR="00A87FB4" w:rsidRPr="008E4EA2" w:rsidRDefault="00A87FB4" w:rsidP="00032804">
      <w:pPr>
        <w:pStyle w:val="ListParagraph"/>
        <w:numPr>
          <w:ilvl w:val="0"/>
          <w:numId w:val="25"/>
        </w:numPr>
        <w:spacing w:before="120" w:after="120"/>
        <w:ind w:left="709"/>
        <w:jc w:val="both"/>
        <w:rPr>
          <w:rFonts w:ascii="Times New Roman" w:hAnsi="Times New Roman"/>
          <w:bCs/>
          <w:i/>
          <w:color w:val="000000" w:themeColor="text1"/>
          <w:sz w:val="24"/>
          <w:szCs w:val="24"/>
        </w:rPr>
      </w:pPr>
      <w:r w:rsidRPr="008E4EA2">
        <w:rPr>
          <w:rFonts w:ascii="Times New Roman" w:hAnsi="Times New Roman"/>
          <w:bCs/>
          <w:i/>
          <w:color w:val="000000" w:themeColor="text1"/>
          <w:sz w:val="24"/>
          <w:szCs w:val="24"/>
        </w:rPr>
        <w:t xml:space="preserve">Vadlīnijas Nr.10.5. „ES fondu vadošās iestādes vadlīnijas par pievienotās vērtības nodokļa likmes piemērošanu ES fondu projektos” </w:t>
      </w:r>
    </w:p>
    <w:p w:rsidR="00A87FB4" w:rsidRPr="008E4EA2" w:rsidRDefault="00A87FB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Vadlīnijas izstrādātas, lai sniegtu skaidrojumu attiecībā uz iespējamajiem risinājumiem par </w:t>
      </w:r>
      <w:r w:rsidR="00A91D50" w:rsidRPr="008E4EA2">
        <w:rPr>
          <w:rFonts w:eastAsia="EUAlbertina-Bold-Identity-H"/>
          <w:color w:val="000000" w:themeColor="text1"/>
          <w:szCs w:val="24"/>
          <w:lang w:eastAsia="lv-LV"/>
        </w:rPr>
        <w:t>PVN</w:t>
      </w:r>
      <w:r w:rsidRPr="008E4EA2">
        <w:rPr>
          <w:rFonts w:eastAsia="EUAlbertina-Bold-Identity-H"/>
          <w:color w:val="000000" w:themeColor="text1"/>
          <w:szCs w:val="24"/>
          <w:lang w:eastAsia="lv-LV"/>
        </w:rPr>
        <w:t xml:space="preserve"> likmes piemērošanu 2007.-2013.gada plānošanas perioda un 2004.-2006.gada plānošanas perioda </w:t>
      </w:r>
      <w:r w:rsidR="0053704A" w:rsidRPr="008E4EA2">
        <w:rPr>
          <w:rFonts w:eastAsia="EUAlbertina-Bold-Identity-H"/>
          <w:color w:val="000000" w:themeColor="text1"/>
          <w:szCs w:val="24"/>
          <w:lang w:eastAsia="lv-LV"/>
        </w:rPr>
        <w:t xml:space="preserve">ES fondu </w:t>
      </w:r>
      <w:r w:rsidRPr="008E4EA2">
        <w:rPr>
          <w:rFonts w:eastAsia="EUAlbertina-Bold-Identity-H"/>
          <w:color w:val="000000" w:themeColor="text1"/>
          <w:szCs w:val="24"/>
          <w:lang w:eastAsia="lv-LV"/>
        </w:rPr>
        <w:t xml:space="preserve">projektos saistībā ar 2012.gada 24.maija grozījumiem likumā „Par pievienotās vērtības nodokli”. </w:t>
      </w:r>
    </w:p>
    <w:p w:rsidR="00A87FB4" w:rsidRPr="008E4EA2" w:rsidRDefault="00A87FB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Vadlīnijās sniegts skaidrojums par PVN likmes piemērošanu attiecībā uz ES fondu projektu ietvaros noslēgtajiem piegāžu, pakalpojumu un/vai būvdarba līgumiem, PVN likmes piemērošanu 2007.-2013.gada plānošanas perioda ES fondu projektos, kuru īstenošana ir uzsākta, kuros projektu iesniedzēju iesniegumi atrodas sagatavošanas vai vērtēšanas stadijā, un iespējamiem risinājumiem, kas r</w:t>
      </w:r>
      <w:r w:rsidR="00754565" w:rsidRPr="008E4EA2">
        <w:rPr>
          <w:rFonts w:eastAsia="EUAlbertina-Bold-Identity-H"/>
          <w:color w:val="000000" w:themeColor="text1"/>
          <w:szCs w:val="24"/>
          <w:lang w:eastAsia="lv-LV"/>
        </w:rPr>
        <w:t>adušies PVN likmes izmaiņu dēļ.</w:t>
      </w:r>
    </w:p>
    <w:p w:rsidR="00A87FB4" w:rsidRPr="008E4EA2" w:rsidRDefault="00A87FB4" w:rsidP="00032804">
      <w:pPr>
        <w:pStyle w:val="ListParagraph"/>
        <w:numPr>
          <w:ilvl w:val="0"/>
          <w:numId w:val="25"/>
        </w:numPr>
        <w:spacing w:before="120" w:after="120"/>
        <w:ind w:left="709"/>
        <w:jc w:val="both"/>
        <w:rPr>
          <w:rFonts w:ascii="Times New Roman" w:hAnsi="Times New Roman"/>
          <w:bCs/>
          <w:i/>
          <w:color w:val="000000" w:themeColor="text1"/>
          <w:sz w:val="24"/>
          <w:szCs w:val="24"/>
        </w:rPr>
      </w:pPr>
      <w:r w:rsidRPr="008E4EA2">
        <w:rPr>
          <w:rFonts w:ascii="Times New Roman" w:hAnsi="Times New Roman"/>
          <w:bCs/>
          <w:i/>
          <w:color w:val="000000" w:themeColor="text1"/>
          <w:sz w:val="24"/>
          <w:szCs w:val="24"/>
        </w:rPr>
        <w:t xml:space="preserve">Vadlīnijas Nr.10.10 „Vadlīnijas par finanšu korekciju piemērošanu Eiropas Savienības fondu finansētajos projektos” </w:t>
      </w:r>
    </w:p>
    <w:p w:rsidR="00A87FB4" w:rsidRPr="008E4EA2" w:rsidRDefault="00A87FB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Vadlīnijas papildinātas ar dažāda veida proporcionālo korekciju piemērošanas gadījumiem, tādā viedā nodrošinot ES fondu uzraudzībā iesaistīto iestāžu izpratni par korekciju piemērošanas specifiku dažādu pārkāpumu gadījumā. Papildus proporcionālo finanšu korekciju vadlīnijās veikti precizējumi</w:t>
      </w:r>
      <w:r w:rsidR="00273AB1" w:rsidRPr="008E4EA2">
        <w:rPr>
          <w:rFonts w:eastAsia="EUAlbertina-Bold-Identity-H"/>
          <w:color w:val="000000" w:themeColor="text1"/>
          <w:szCs w:val="24"/>
          <w:lang w:eastAsia="lv-LV"/>
        </w:rPr>
        <w:t>,</w:t>
      </w:r>
      <w:r w:rsidRPr="008E4EA2">
        <w:rPr>
          <w:rFonts w:eastAsia="EUAlbertina-Bold-Identity-H"/>
          <w:color w:val="000000" w:themeColor="text1"/>
          <w:szCs w:val="24"/>
          <w:lang w:eastAsia="lv-LV"/>
        </w:rPr>
        <w:t xml:space="preserve"> attiecinot tās uz EEZ finanšu instrumentu, Norvēģijas finanšu instrumentu un Šveices programmām. Tāpat vadlīnijās noteikti proporcionālo finanšu korekciju apmēri par pārkāpumiem iepirkumu jomā, īpaši izdalot gadījumus un korekciju apmērus iepirkumos virs un zem normatīvajos a</w:t>
      </w:r>
      <w:r w:rsidR="00754565" w:rsidRPr="008E4EA2">
        <w:rPr>
          <w:rFonts w:eastAsia="EUAlbertina-Bold-Identity-H"/>
          <w:color w:val="000000" w:themeColor="text1"/>
          <w:szCs w:val="24"/>
          <w:lang w:eastAsia="lv-LV"/>
        </w:rPr>
        <w:t>ktos noteiktajiem sliekšņiem.</w:t>
      </w:r>
      <w:r w:rsidR="003271BE" w:rsidRPr="008E4EA2">
        <w:rPr>
          <w:rFonts w:eastAsia="EUAlbertina-Bold-Identity-H"/>
          <w:color w:val="000000" w:themeColor="text1"/>
          <w:szCs w:val="24"/>
          <w:lang w:eastAsia="lv-LV"/>
        </w:rPr>
        <w:t xml:space="preserve"> </w:t>
      </w:r>
    </w:p>
    <w:p w:rsidR="0095085C" w:rsidRPr="008E4EA2" w:rsidRDefault="0095085C" w:rsidP="00032804">
      <w:pPr>
        <w:pStyle w:val="PlainText"/>
        <w:numPr>
          <w:ilvl w:val="0"/>
          <w:numId w:val="25"/>
        </w:numPr>
        <w:spacing w:before="120" w:after="120" w:line="276" w:lineRule="auto"/>
        <w:ind w:left="709" w:hanging="709"/>
        <w:jc w:val="both"/>
        <w:rPr>
          <w:rFonts w:ascii="Times New Roman" w:hAnsi="Times New Roman"/>
          <w:i/>
          <w:color w:val="000000" w:themeColor="text1"/>
          <w:sz w:val="24"/>
          <w:szCs w:val="24"/>
        </w:rPr>
      </w:pPr>
      <w:r w:rsidRPr="008E4EA2">
        <w:rPr>
          <w:rFonts w:ascii="Times New Roman" w:hAnsi="Times New Roman"/>
          <w:i/>
          <w:color w:val="000000" w:themeColor="text1"/>
          <w:sz w:val="24"/>
          <w:szCs w:val="24"/>
        </w:rPr>
        <w:t>VI metodika Nr.12.5.</w:t>
      </w:r>
      <w:r w:rsidR="005E1672">
        <w:rPr>
          <w:rFonts w:ascii="Times New Roman" w:hAnsi="Times New Roman"/>
          <w:i/>
          <w:color w:val="000000" w:themeColor="text1"/>
          <w:sz w:val="24"/>
          <w:szCs w:val="24"/>
        </w:rPr>
        <w:t xml:space="preserve"> </w:t>
      </w:r>
      <w:r w:rsidRPr="008E4EA2">
        <w:rPr>
          <w:rFonts w:ascii="Times New Roman" w:hAnsi="Times New Roman"/>
          <w:i/>
          <w:color w:val="000000" w:themeColor="text1"/>
          <w:sz w:val="24"/>
          <w:szCs w:val="24"/>
        </w:rPr>
        <w:t>„Metodika par netiešo izmaksu nemainīgās likmes plānošanu un piemērošanu”</w:t>
      </w:r>
    </w:p>
    <w:p w:rsidR="0095085C" w:rsidRPr="008E4EA2" w:rsidRDefault="0095085C" w:rsidP="003A0029">
      <w:pPr>
        <w:pStyle w:val="PlainText"/>
        <w:spacing w:before="120" w:after="120" w:line="276" w:lineRule="auto"/>
        <w:jc w:val="both"/>
        <w:rPr>
          <w:rFonts w:ascii="Times New Roman" w:hAnsi="Times New Roman"/>
          <w:color w:val="000000" w:themeColor="text1"/>
          <w:sz w:val="24"/>
          <w:szCs w:val="24"/>
        </w:rPr>
      </w:pPr>
      <w:r w:rsidRPr="008E4EA2">
        <w:rPr>
          <w:rFonts w:ascii="Times New Roman" w:hAnsi="Times New Roman"/>
          <w:color w:val="000000" w:themeColor="text1"/>
          <w:sz w:val="24"/>
          <w:szCs w:val="24"/>
        </w:rPr>
        <w:t>Metodika papildināta ar skaidrojumiem attiecībā uz</w:t>
      </w:r>
      <w:r w:rsidR="005E1672">
        <w:rPr>
          <w:rFonts w:ascii="Times New Roman" w:hAnsi="Times New Roman"/>
          <w:color w:val="000000" w:themeColor="text1"/>
          <w:sz w:val="24"/>
          <w:szCs w:val="24"/>
        </w:rPr>
        <w:t xml:space="preserve"> </w:t>
      </w:r>
      <w:r w:rsidRPr="008E4EA2">
        <w:rPr>
          <w:rFonts w:ascii="Times New Roman" w:hAnsi="Times New Roman"/>
          <w:color w:val="000000" w:themeColor="text1"/>
          <w:sz w:val="24"/>
          <w:szCs w:val="24"/>
        </w:rPr>
        <w:t xml:space="preserve">netiešo izmaksu nemainīgās likmes plānošanu un piemērošanu, iesniedzot projekta iesniegumu, kā arī to īstenojot, </w:t>
      </w:r>
      <w:r w:rsidRPr="008E4EA2">
        <w:rPr>
          <w:rFonts w:ascii="Times New Roman" w:hAnsi="Times New Roman"/>
          <w:color w:val="000000" w:themeColor="text1"/>
          <w:sz w:val="24"/>
          <w:szCs w:val="24"/>
          <w:lang w:val="lv-LV"/>
        </w:rPr>
        <w:t>liekot</w:t>
      </w:r>
      <w:r w:rsidRPr="008E4EA2">
        <w:rPr>
          <w:rFonts w:ascii="Times New Roman" w:hAnsi="Times New Roman"/>
          <w:color w:val="000000" w:themeColor="text1"/>
          <w:sz w:val="24"/>
          <w:szCs w:val="24"/>
        </w:rPr>
        <w:t xml:space="preserve"> uzsvar</w:t>
      </w:r>
      <w:r w:rsidRPr="008E4EA2">
        <w:rPr>
          <w:rFonts w:ascii="Times New Roman" w:hAnsi="Times New Roman"/>
          <w:color w:val="000000" w:themeColor="text1"/>
          <w:sz w:val="24"/>
          <w:szCs w:val="24"/>
          <w:lang w:val="lv-LV"/>
        </w:rPr>
        <w:t>u</w:t>
      </w:r>
      <w:r w:rsidRPr="008E4EA2">
        <w:rPr>
          <w:rFonts w:ascii="Times New Roman" w:hAnsi="Times New Roman"/>
          <w:color w:val="000000" w:themeColor="text1"/>
          <w:sz w:val="24"/>
          <w:szCs w:val="24"/>
        </w:rPr>
        <w:t xml:space="preserve"> uz to, ka AI/SI ir jāpārbauda tikai tiešās projektu izmaksas, sniegti norādījumi rīcībai gadījumā, ja projektos</w:t>
      </w:r>
      <w:r w:rsidR="005E1672">
        <w:rPr>
          <w:rFonts w:ascii="Times New Roman" w:hAnsi="Times New Roman"/>
          <w:color w:val="000000" w:themeColor="text1"/>
          <w:sz w:val="24"/>
          <w:szCs w:val="24"/>
        </w:rPr>
        <w:t xml:space="preserve"> </w:t>
      </w:r>
      <w:r w:rsidRPr="008E4EA2">
        <w:rPr>
          <w:rFonts w:ascii="Times New Roman" w:hAnsi="Times New Roman"/>
          <w:color w:val="000000" w:themeColor="text1"/>
          <w:sz w:val="24"/>
          <w:szCs w:val="24"/>
        </w:rPr>
        <w:t xml:space="preserve">tiek konstatēta neatbilstība, papildināta ar skaidrojumu kādā dati tiek vadīti Vadības informācijas sistēmā, kā arī sniegti norādījumi attiecībā uz maksājumu kārtību, </w:t>
      </w:r>
      <w:proofErr w:type="spellStart"/>
      <w:r w:rsidRPr="008E4EA2">
        <w:rPr>
          <w:rFonts w:ascii="Times New Roman" w:hAnsi="Times New Roman"/>
          <w:color w:val="000000" w:themeColor="text1"/>
          <w:sz w:val="24"/>
          <w:szCs w:val="24"/>
        </w:rPr>
        <w:t>t.i</w:t>
      </w:r>
      <w:proofErr w:type="spellEnd"/>
      <w:r w:rsidRPr="008E4EA2">
        <w:rPr>
          <w:rFonts w:ascii="Times New Roman" w:hAnsi="Times New Roman"/>
          <w:color w:val="000000" w:themeColor="text1"/>
          <w:sz w:val="24"/>
          <w:szCs w:val="24"/>
        </w:rPr>
        <w:t>. atsevišķa konta nodalīšanu projektu tiešajām izmaksām.</w:t>
      </w:r>
    </w:p>
    <w:p w:rsidR="00A87FB4" w:rsidRPr="008E4EA2" w:rsidRDefault="00A87FB4" w:rsidP="003A0029">
      <w:pPr>
        <w:pStyle w:val="ListParagraph"/>
        <w:numPr>
          <w:ilvl w:val="0"/>
          <w:numId w:val="19"/>
        </w:numPr>
        <w:spacing w:before="120" w:after="120"/>
        <w:ind w:left="0"/>
        <w:jc w:val="both"/>
        <w:rPr>
          <w:rFonts w:ascii="Times New Roman" w:hAnsi="Times New Roman"/>
          <w:b/>
          <w:bCs/>
          <w:color w:val="000000" w:themeColor="text1"/>
          <w:sz w:val="24"/>
          <w:szCs w:val="24"/>
        </w:rPr>
      </w:pPr>
      <w:r w:rsidRPr="008E4EA2">
        <w:rPr>
          <w:rFonts w:ascii="Times New Roman" w:hAnsi="Times New Roman"/>
          <w:b/>
          <w:bCs/>
          <w:color w:val="000000" w:themeColor="text1"/>
          <w:sz w:val="24"/>
          <w:szCs w:val="24"/>
        </w:rPr>
        <w:t xml:space="preserve">Pilnveidots regulējums attiecībā uz pasūtītāja finansētiem iepirkumiem (pašlaik MK Nr.65) </w:t>
      </w:r>
    </w:p>
    <w:p w:rsidR="00A87FB4" w:rsidRPr="008E4EA2" w:rsidRDefault="00A87FB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Izpildot MK </w:t>
      </w:r>
      <w:proofErr w:type="spellStart"/>
      <w:r w:rsidRPr="008E4EA2">
        <w:rPr>
          <w:rFonts w:eastAsia="EUAlbertina-Bold-Identity-H"/>
          <w:color w:val="000000" w:themeColor="text1"/>
          <w:szCs w:val="24"/>
          <w:lang w:eastAsia="lv-LV"/>
        </w:rPr>
        <w:t>š.g</w:t>
      </w:r>
      <w:proofErr w:type="spellEnd"/>
      <w:r w:rsidRPr="008E4EA2">
        <w:rPr>
          <w:rFonts w:eastAsia="EUAlbertina-Bold-Identity-H"/>
          <w:color w:val="000000" w:themeColor="text1"/>
          <w:szCs w:val="24"/>
          <w:lang w:eastAsia="lv-LV"/>
        </w:rPr>
        <w:t xml:space="preserve">. 19.jūnija </w:t>
      </w:r>
      <w:proofErr w:type="spellStart"/>
      <w:r w:rsidRPr="008E4EA2">
        <w:rPr>
          <w:rFonts w:eastAsia="EUAlbertina-Bold-Identity-H"/>
          <w:color w:val="000000" w:themeColor="text1"/>
          <w:szCs w:val="24"/>
          <w:lang w:eastAsia="lv-LV"/>
        </w:rPr>
        <w:t>protokollēmuma</w:t>
      </w:r>
      <w:proofErr w:type="spellEnd"/>
      <w:r w:rsidRPr="008E4EA2">
        <w:rPr>
          <w:rFonts w:eastAsia="EUAlbertina-Bold-Identity-H"/>
          <w:color w:val="000000" w:themeColor="text1"/>
          <w:szCs w:val="24"/>
          <w:lang w:eastAsia="lv-LV"/>
        </w:rPr>
        <w:t xml:space="preserve"> Nr.34, 17.§ </w:t>
      </w:r>
      <w:r w:rsidR="00DA026E" w:rsidRPr="008E4EA2">
        <w:rPr>
          <w:rFonts w:eastAsia="EUAlbertina-Bold-Identity-H"/>
          <w:color w:val="000000" w:themeColor="text1"/>
          <w:szCs w:val="24"/>
          <w:lang w:eastAsia="lv-LV"/>
        </w:rPr>
        <w:t xml:space="preserve">otro </w:t>
      </w:r>
      <w:r w:rsidRPr="008E4EA2">
        <w:rPr>
          <w:rFonts w:eastAsia="EUAlbertina-Bold-Identity-H"/>
          <w:color w:val="000000" w:themeColor="text1"/>
          <w:szCs w:val="24"/>
          <w:lang w:eastAsia="lv-LV"/>
        </w:rPr>
        <w:t xml:space="preserve">punktu, </w:t>
      </w:r>
      <w:proofErr w:type="spellStart"/>
      <w:r w:rsidRPr="008E4EA2">
        <w:rPr>
          <w:rFonts w:eastAsia="EUAlbertina-Bold-Identity-H"/>
          <w:color w:val="000000" w:themeColor="text1"/>
          <w:szCs w:val="24"/>
          <w:lang w:eastAsia="lv-LV"/>
        </w:rPr>
        <w:t>š.g</w:t>
      </w:r>
      <w:proofErr w:type="spellEnd"/>
      <w:r w:rsidRPr="008E4EA2">
        <w:rPr>
          <w:rFonts w:eastAsia="EUAlbertina-Bold-Identity-H"/>
          <w:color w:val="000000" w:themeColor="text1"/>
          <w:szCs w:val="24"/>
          <w:lang w:eastAsia="lv-LV"/>
        </w:rPr>
        <w:t xml:space="preserve">. 23.augustā VSS tika izsludināts MK noteikumu projekts „Noteikumi par iepirkuma procedūru un tās piemērošanas kārtību pasūtītāja finansētiem projektiem”, kas aizstās šobrīd spēkā esošos </w:t>
      </w:r>
      <w:r w:rsidRPr="008E4EA2">
        <w:rPr>
          <w:rFonts w:eastAsia="EUAlbertina-Bold-Identity-H"/>
          <w:color w:val="000000" w:themeColor="text1"/>
          <w:szCs w:val="24"/>
          <w:lang w:eastAsia="lv-LV"/>
        </w:rPr>
        <w:lastRenderedPageBreak/>
        <w:t xml:space="preserve">MK 2008.gada 5.februāra noteikumus Nr.65. MK noteikumu projektā iekļautā regulējuma mērķis ir radīt pēc iespējas elastīgu procedūru piegādes, pakalpojumu un būvdarbu līgumu noslēgšanai, vienlaikus nodrošinot atklātības ievērošanas pamatnosacījumus un ierobežojot finanšu saņēmēju un piegādātāju atrašanos acīmredzamā interešu konflikta situācijā, kā arī radot finansējuma izlietojuma pamatotības kontroles mehānismu. Noteikumu paredzētais regulējums ir </w:t>
      </w:r>
      <w:proofErr w:type="spellStart"/>
      <w:r w:rsidRPr="008E4EA2">
        <w:rPr>
          <w:rFonts w:eastAsia="EUAlbertina-Bold-Identity-H"/>
          <w:color w:val="000000" w:themeColor="text1"/>
          <w:szCs w:val="24"/>
          <w:lang w:eastAsia="lv-LV"/>
        </w:rPr>
        <w:t>pašpietiekams</w:t>
      </w:r>
      <w:proofErr w:type="spellEnd"/>
      <w:r w:rsidRPr="008E4EA2">
        <w:rPr>
          <w:rFonts w:eastAsia="EUAlbertina-Bold-Identity-H"/>
          <w:color w:val="000000" w:themeColor="text1"/>
          <w:szCs w:val="24"/>
          <w:lang w:eastAsia="lv-LV"/>
        </w:rPr>
        <w:t xml:space="preserve"> un tā interpretācijā nav izmantojams Publisko iepirkumu likumā detalizēti noteiktais iepirkuma procedūru regulējums, </w:t>
      </w:r>
      <w:proofErr w:type="spellStart"/>
      <w:r w:rsidRPr="008E4EA2">
        <w:rPr>
          <w:rFonts w:eastAsia="EUAlbertina-Bold-Identity-H"/>
          <w:color w:val="000000" w:themeColor="text1"/>
          <w:szCs w:val="24"/>
          <w:lang w:eastAsia="lv-LV"/>
        </w:rPr>
        <w:t>t.sk</w:t>
      </w:r>
      <w:proofErr w:type="spellEnd"/>
      <w:r w:rsidRPr="008E4EA2">
        <w:rPr>
          <w:rFonts w:eastAsia="EUAlbertina-Bold-Identity-H"/>
          <w:color w:val="000000" w:themeColor="text1"/>
          <w:szCs w:val="24"/>
          <w:lang w:eastAsia="lv-LV"/>
        </w:rPr>
        <w:t>. attiecībā uz izņēmumiem, prasībām piegādātājiem un iepirkuma priekšmetam. Noteikumu projekts nosaka arī atšķirīgu standartu atklātības, vienlīdzīgas attieksmes un citu Publisko iepirkumu likumā paredzēto principu ievērošanai, prioritāti dodot finansējuma saņēmēja pienākumam nodrošināt piešķirtā finansējuma efektīvu izmantošanu. Ar noteikumu projektā ietverto regulējumu tiks novērstas būtiskākās iepriekš identificētās regulējuma problēmas:</w:t>
      </w:r>
    </w:p>
    <w:p w:rsidR="00A87FB4" w:rsidRPr="008E4EA2" w:rsidRDefault="00A87FB4" w:rsidP="003A0029">
      <w:pPr>
        <w:pStyle w:val="ListParagraph"/>
        <w:numPr>
          <w:ilvl w:val="0"/>
          <w:numId w:val="24"/>
        </w:numPr>
        <w:spacing w:before="120" w:after="120"/>
        <w:ind w:left="709"/>
        <w:jc w:val="both"/>
        <w:rPr>
          <w:rFonts w:ascii="Times New Roman" w:hAnsi="Times New Roman"/>
          <w:bCs/>
          <w:color w:val="000000" w:themeColor="text1"/>
          <w:sz w:val="24"/>
          <w:szCs w:val="24"/>
        </w:rPr>
      </w:pPr>
      <w:r w:rsidRPr="008E4EA2">
        <w:rPr>
          <w:rFonts w:ascii="Times New Roman" w:hAnsi="Times New Roman"/>
          <w:bCs/>
          <w:color w:val="000000" w:themeColor="text1"/>
          <w:sz w:val="24"/>
          <w:szCs w:val="24"/>
        </w:rPr>
        <w:t xml:space="preserve">minimālais piedāvājumu iesniegšanas termiņš, kas šobrīd ir piecas dienas, ir pārāk īss, jo sevišķi sarežģītu iepirkumu gadījumā – piedāvājumu iesniegšanas termiņš, atsaucoties uz paziņojumu Iepirkumu uzraudzības biroja </w:t>
      </w:r>
      <w:proofErr w:type="spellStart"/>
      <w:r w:rsidRPr="008E4EA2">
        <w:rPr>
          <w:rFonts w:ascii="Times New Roman" w:hAnsi="Times New Roman"/>
          <w:bCs/>
          <w:color w:val="000000" w:themeColor="text1"/>
          <w:sz w:val="24"/>
          <w:szCs w:val="24"/>
        </w:rPr>
        <w:t>mājaslapā</w:t>
      </w:r>
      <w:proofErr w:type="spellEnd"/>
      <w:r w:rsidRPr="008E4EA2">
        <w:rPr>
          <w:rFonts w:ascii="Times New Roman" w:hAnsi="Times New Roman"/>
          <w:bCs/>
          <w:color w:val="000000" w:themeColor="text1"/>
          <w:sz w:val="24"/>
          <w:szCs w:val="24"/>
        </w:rPr>
        <w:t xml:space="preserve"> internetā ir noteikts 10 darbdienas piegādes un pakalpojumu līgumiem un 15 darbdienas būvdarbu līgumiem līdzšinējo </w:t>
      </w:r>
      <w:r w:rsidR="00C9741B" w:rsidRPr="008E4EA2">
        <w:rPr>
          <w:rFonts w:ascii="Times New Roman" w:hAnsi="Times New Roman"/>
          <w:bCs/>
          <w:color w:val="000000" w:themeColor="text1"/>
          <w:sz w:val="24"/>
          <w:szCs w:val="24"/>
        </w:rPr>
        <w:t>piecu</w:t>
      </w:r>
      <w:r w:rsidRPr="008E4EA2">
        <w:rPr>
          <w:rFonts w:ascii="Times New Roman" w:hAnsi="Times New Roman"/>
          <w:bCs/>
          <w:color w:val="000000" w:themeColor="text1"/>
          <w:sz w:val="24"/>
          <w:szCs w:val="24"/>
        </w:rPr>
        <w:t xml:space="preserve"> dienu vietā;</w:t>
      </w:r>
    </w:p>
    <w:p w:rsidR="00A87FB4" w:rsidRPr="008E4EA2" w:rsidRDefault="00A87FB4" w:rsidP="003A0029">
      <w:pPr>
        <w:pStyle w:val="ListParagraph"/>
        <w:numPr>
          <w:ilvl w:val="0"/>
          <w:numId w:val="24"/>
        </w:numPr>
        <w:spacing w:before="120" w:after="120"/>
        <w:ind w:left="709"/>
        <w:jc w:val="both"/>
        <w:rPr>
          <w:rFonts w:ascii="Times New Roman" w:hAnsi="Times New Roman"/>
          <w:bCs/>
          <w:color w:val="000000" w:themeColor="text1"/>
          <w:sz w:val="24"/>
          <w:szCs w:val="24"/>
        </w:rPr>
      </w:pPr>
      <w:r w:rsidRPr="008E4EA2">
        <w:rPr>
          <w:rFonts w:ascii="Times New Roman" w:hAnsi="Times New Roman"/>
          <w:bCs/>
          <w:color w:val="000000" w:themeColor="text1"/>
          <w:sz w:val="24"/>
          <w:szCs w:val="24"/>
        </w:rPr>
        <w:t>nepietiekamā apmērā tiek veikta tirgus izpēte un iepirkuma dokumentos netiek norādīta paredzamā līgumcena – paredzēts finansējuma saņēmēja pienākums paziņojumā par finansējuma saņēmēja iepirkuma procedūru ir paredzēta iepirkuma paredzamās līgumcenas norādīšana, kā arī regulējums kopumā, uzliekot par pienākumu finansējuma saņēmējam pierādīt līgumcenas pamatotību un atbilstību tirgus situācijai, nodrošina, ka finansējuma saņēmējs veiks rūpīgāku tirgus izpēti, lai noskaidrotu un izraudzītu tādu piegādātāju, kura piedāvātā līgumcena (kontekstā ar citiem līguma izpildes noteikumiem) ir pamatota, atbilstoša tirgus situācijai un izdevīga (tiek izvēlēts ekonomiski izdevīgākais piedāvājums);</w:t>
      </w:r>
    </w:p>
    <w:p w:rsidR="00A87FB4" w:rsidRPr="008E4EA2" w:rsidRDefault="00A87FB4" w:rsidP="003A0029">
      <w:pPr>
        <w:pStyle w:val="ListParagraph"/>
        <w:numPr>
          <w:ilvl w:val="0"/>
          <w:numId w:val="24"/>
        </w:numPr>
        <w:spacing w:before="120" w:after="120"/>
        <w:ind w:left="709"/>
        <w:jc w:val="both"/>
        <w:rPr>
          <w:rFonts w:ascii="Times New Roman" w:hAnsi="Times New Roman"/>
          <w:bCs/>
          <w:color w:val="000000" w:themeColor="text1"/>
          <w:sz w:val="24"/>
          <w:szCs w:val="24"/>
        </w:rPr>
      </w:pPr>
      <w:r w:rsidRPr="008E4EA2">
        <w:rPr>
          <w:rFonts w:ascii="Times New Roman" w:hAnsi="Times New Roman"/>
          <w:bCs/>
          <w:color w:val="000000" w:themeColor="text1"/>
          <w:sz w:val="24"/>
          <w:szCs w:val="24"/>
        </w:rPr>
        <w:t>netiek novērsta interešu konflikta situāciju rašanās – paredzēta detalizēts regulējums, kas vērsts uz interešu konflikta situāciju novēršanu;</w:t>
      </w:r>
    </w:p>
    <w:p w:rsidR="00A87FB4" w:rsidRPr="008E4EA2" w:rsidRDefault="00A87FB4" w:rsidP="003A0029">
      <w:pPr>
        <w:pStyle w:val="ListParagraph"/>
        <w:numPr>
          <w:ilvl w:val="0"/>
          <w:numId w:val="24"/>
        </w:numPr>
        <w:spacing w:before="120" w:after="120"/>
        <w:ind w:left="709"/>
        <w:jc w:val="both"/>
        <w:rPr>
          <w:rFonts w:ascii="Times New Roman" w:hAnsi="Times New Roman"/>
          <w:bCs/>
          <w:color w:val="000000" w:themeColor="text1"/>
          <w:sz w:val="24"/>
          <w:szCs w:val="24"/>
        </w:rPr>
      </w:pPr>
      <w:r w:rsidRPr="008E4EA2">
        <w:rPr>
          <w:rFonts w:ascii="Times New Roman" w:hAnsi="Times New Roman"/>
          <w:bCs/>
          <w:color w:val="000000" w:themeColor="text1"/>
          <w:sz w:val="24"/>
          <w:szCs w:val="24"/>
        </w:rPr>
        <w:t>iepirkumos uzvar piegādātāji, kas sagatavojuši tehniskās specifikācijas – problēmu tiešā veidā nav iespējams atrisināt, jo jebkuru formālu ierobežojumu noslēgt līgumu ar piegādātāju, kurš sagatavojis iepirkuma tehniskās specifikācijas ir iespējams apiet, neformālo attiecību rezultātā nodrošinot, ka par uzvarētāju netiek atzīts piegādātājs, kas sagatavojis tehniskās specifikācijas, lai arī faktiski tas tā noticis. Noteikumu projekts uzsvaru no atklātas konkurences liek uz izraudzītā piedāvājuma ekonomiskā izdevīguma pierādīšanu, kas ir finansējuma saņēmēja pienākums, kā arī būtiski mazina iepriekš sagatavotu detalizētu tehnisko specifikāciju nozīmi, dodot piegādātājiem iespēju iesniegt savu sākotnējo piedāvājumu un par to veikt sarunas ar finansējuma saņēmēju attiecībā uz visiem finansējuma saņēmējam būtiskajiem aspektiem.</w:t>
      </w:r>
    </w:p>
    <w:p w:rsidR="00A87FB4" w:rsidRPr="008E4EA2" w:rsidRDefault="00A87FB4" w:rsidP="003A0029">
      <w:pPr>
        <w:pStyle w:val="ListParagraph"/>
        <w:numPr>
          <w:ilvl w:val="0"/>
          <w:numId w:val="24"/>
        </w:numPr>
        <w:spacing w:before="120" w:after="120"/>
        <w:ind w:left="709"/>
        <w:jc w:val="both"/>
        <w:rPr>
          <w:rFonts w:ascii="Times New Roman" w:hAnsi="Times New Roman"/>
          <w:bCs/>
          <w:color w:val="000000" w:themeColor="text1"/>
          <w:sz w:val="24"/>
          <w:szCs w:val="24"/>
        </w:rPr>
      </w:pPr>
      <w:r w:rsidRPr="008E4EA2">
        <w:rPr>
          <w:rFonts w:ascii="Times New Roman" w:hAnsi="Times New Roman"/>
          <w:bCs/>
          <w:color w:val="000000" w:themeColor="text1"/>
          <w:sz w:val="24"/>
          <w:szCs w:val="24"/>
        </w:rPr>
        <w:t xml:space="preserve">iepirkuma izsludināšanas brīdī nepietiekama un nereti neprecīza informācija piegādātājiem, lai tie varētu izlemt, vai piedalīties iepirkumā un iesniegt </w:t>
      </w:r>
      <w:r w:rsidRPr="008E4EA2">
        <w:rPr>
          <w:rFonts w:ascii="Times New Roman" w:hAnsi="Times New Roman"/>
          <w:bCs/>
          <w:color w:val="000000" w:themeColor="text1"/>
          <w:sz w:val="24"/>
          <w:szCs w:val="24"/>
        </w:rPr>
        <w:lastRenderedPageBreak/>
        <w:t>piedāvājumu – nepilnīgas un neprecīzas informācijas radīto seku risku būtiski samazina tas, ka finansējuma saņēmēja pienākums iepirkuma izziņošanas brīdī ir sniegt tikai iepirkuma priekšmeta aprakstu tādā detalizācijas pakāpē, lai piegādātāji varētu saprast iepirkuma priekšmetu un iesniegt sākotnējo piedāvājumu, savukārt sarunu laikā piedāvājumus var precizēt un uzlabot tā, lai tie atbilstu prasībām. Risku mazina arī finansējuma saņēmēja pienākums pamatot izraudzītā piedāvājuma ekonomisko izdevīgumu, jo finansējuma saņēmējs nebūs ieinteresēts nesniegt informāciju, jo tas var novest pie tā, ka vēlāk finansējuma saņēmējs nespēs pamatot izraudzītā piedāvājuma ekonomisko izdevīgumu un atbildīgā institūcija pieņems finansējuma saņēmējam nelabvēlīgu lēmumu attiecībā uz finansējumu;</w:t>
      </w:r>
    </w:p>
    <w:p w:rsidR="00A87FB4" w:rsidRPr="008E4EA2" w:rsidRDefault="00A87FB4" w:rsidP="003A0029">
      <w:pPr>
        <w:pStyle w:val="ListParagraph"/>
        <w:numPr>
          <w:ilvl w:val="0"/>
          <w:numId w:val="24"/>
        </w:numPr>
        <w:spacing w:before="120" w:after="120"/>
        <w:ind w:left="709"/>
        <w:jc w:val="both"/>
        <w:rPr>
          <w:rFonts w:ascii="Times New Roman" w:hAnsi="Times New Roman"/>
          <w:bCs/>
          <w:color w:val="000000" w:themeColor="text1"/>
          <w:sz w:val="24"/>
          <w:szCs w:val="24"/>
        </w:rPr>
      </w:pPr>
      <w:r w:rsidRPr="008E4EA2">
        <w:rPr>
          <w:rFonts w:ascii="Times New Roman" w:hAnsi="Times New Roman"/>
          <w:bCs/>
          <w:color w:val="000000" w:themeColor="text1"/>
          <w:sz w:val="24"/>
          <w:szCs w:val="24"/>
        </w:rPr>
        <w:t>līgumi noslēgti par nepamatoti augstām līgumcenām – problēma risināta, paredzot finansējuma saņēmēja pienākumu pamatot izraudzītā piedāvājuma ekonomisko izdevīgumu, kā arī atbildīgo institūciju pienākumu to izvērtēt;</w:t>
      </w:r>
    </w:p>
    <w:p w:rsidR="00A87FB4" w:rsidRPr="008E4EA2" w:rsidRDefault="00A87FB4" w:rsidP="003A0029">
      <w:pPr>
        <w:pStyle w:val="ListParagraph"/>
        <w:numPr>
          <w:ilvl w:val="0"/>
          <w:numId w:val="24"/>
        </w:numPr>
        <w:spacing w:before="120" w:after="120"/>
        <w:ind w:left="709"/>
        <w:jc w:val="both"/>
        <w:rPr>
          <w:rFonts w:ascii="Times New Roman" w:hAnsi="Times New Roman"/>
          <w:bCs/>
          <w:color w:val="000000" w:themeColor="text1"/>
          <w:sz w:val="24"/>
          <w:szCs w:val="24"/>
        </w:rPr>
      </w:pPr>
      <w:r w:rsidRPr="008E4EA2">
        <w:rPr>
          <w:rFonts w:ascii="Times New Roman" w:hAnsi="Times New Roman"/>
          <w:bCs/>
          <w:color w:val="000000" w:themeColor="text1"/>
          <w:sz w:val="24"/>
          <w:szCs w:val="24"/>
        </w:rPr>
        <w:t>tiek veiktas izmaiņas līguma apjomā, izmantotajās tehnoloģijās un risinājumos bez iepriekšējas norādes, ka tās atļautas – noteikumu projektā izvēlēta atšķirīga pieeja, proti, tā kā finansējuma saņēmējs un piegādātāji par risinājumiem un tehnoloģijām var veikt sarunas līdz līguma noslēgšanai, nav saskatāms pamatojums aizliegumam veikt tehnoloģiju vai risinājumu izmaiņas arī līguma izpildes laikā, ja joprojām tiek sasniegti projekta mērķi un nomainītie risinājumi un tehnoloģijas ir ekonomiski izdevīgas finansējuma saņēmējam. Tāpat paredzēts, ka līguma izmaiņu radītais sadārdzinājums pēc tam, kad atbildīgā institūcija apstiprinājusi finansējuma piešķīrumu, jāsedz pašam finansējuma saņēmējam.</w:t>
      </w:r>
    </w:p>
    <w:p w:rsidR="00A87FB4" w:rsidRPr="008E4EA2" w:rsidRDefault="00A87FB4" w:rsidP="003A0029">
      <w:pPr>
        <w:spacing w:before="120" w:after="120" w:line="276" w:lineRule="auto"/>
        <w:rPr>
          <w:rFonts w:eastAsia="EUAlbertina-Bold-Identity-H"/>
          <w:color w:val="000000" w:themeColor="text1"/>
          <w:szCs w:val="24"/>
          <w:lang w:eastAsia="lv-LV"/>
        </w:rPr>
      </w:pPr>
      <w:r w:rsidRPr="008E4EA2">
        <w:rPr>
          <w:bCs/>
          <w:color w:val="000000" w:themeColor="text1"/>
          <w:szCs w:val="24"/>
        </w:rPr>
        <w:t xml:space="preserve">Plānots, ka MK noteikumu projekts MK tiks apstiprināts līdz </w:t>
      </w:r>
      <w:proofErr w:type="spellStart"/>
      <w:r w:rsidRPr="008E4EA2">
        <w:rPr>
          <w:bCs/>
          <w:color w:val="000000" w:themeColor="text1"/>
          <w:szCs w:val="24"/>
        </w:rPr>
        <w:t>š.g</w:t>
      </w:r>
      <w:proofErr w:type="spellEnd"/>
      <w:r w:rsidRPr="008E4EA2">
        <w:rPr>
          <w:bCs/>
          <w:color w:val="000000" w:themeColor="text1"/>
          <w:szCs w:val="24"/>
        </w:rPr>
        <w:t xml:space="preserve"> beigām.</w:t>
      </w:r>
    </w:p>
    <w:p w:rsidR="00A87FB4" w:rsidRPr="008E4EA2" w:rsidRDefault="00A87FB4" w:rsidP="003A0029">
      <w:pPr>
        <w:pStyle w:val="ListParagraph"/>
        <w:numPr>
          <w:ilvl w:val="0"/>
          <w:numId w:val="19"/>
        </w:numPr>
        <w:spacing w:before="120" w:after="120"/>
        <w:ind w:left="0"/>
        <w:jc w:val="both"/>
        <w:rPr>
          <w:rFonts w:ascii="Times New Roman" w:hAnsi="Times New Roman"/>
          <w:b/>
          <w:bCs/>
          <w:color w:val="000000" w:themeColor="text1"/>
          <w:sz w:val="24"/>
          <w:szCs w:val="24"/>
        </w:rPr>
      </w:pPr>
      <w:r w:rsidRPr="008E4EA2">
        <w:rPr>
          <w:rFonts w:ascii="Times New Roman" w:hAnsi="Times New Roman"/>
          <w:b/>
          <w:bCs/>
          <w:color w:val="000000" w:themeColor="text1"/>
          <w:sz w:val="24"/>
          <w:szCs w:val="24"/>
        </w:rPr>
        <w:t xml:space="preserve">Iepirkumu plānu iesniegšanas procesa optimizēšana </w:t>
      </w:r>
    </w:p>
    <w:p w:rsidR="00A87FB4" w:rsidRPr="008E4EA2" w:rsidRDefault="00A87FB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Ņemot vērā iestāžu ierosinājumus, </w:t>
      </w:r>
      <w:r w:rsidR="00B9649A" w:rsidRPr="008E4EA2">
        <w:rPr>
          <w:rFonts w:eastAsia="EUAlbertina-Bold-Identity-H"/>
          <w:color w:val="000000" w:themeColor="text1"/>
          <w:szCs w:val="24"/>
          <w:lang w:eastAsia="lv-LV"/>
        </w:rPr>
        <w:t>Iepirkumu uzraudzības biroja</w:t>
      </w:r>
      <w:r w:rsidRPr="008E4EA2">
        <w:rPr>
          <w:rFonts w:eastAsia="EUAlbertina-Bold-Identity-H"/>
          <w:color w:val="000000" w:themeColor="text1"/>
          <w:szCs w:val="24"/>
          <w:lang w:eastAsia="lv-LV"/>
        </w:rPr>
        <w:t xml:space="preserve"> organizētā iepirkumu </w:t>
      </w:r>
      <w:proofErr w:type="spellStart"/>
      <w:r w:rsidRPr="008E4EA2">
        <w:rPr>
          <w:rFonts w:eastAsia="EUAlbertina-Bold-Identity-H"/>
          <w:color w:val="000000" w:themeColor="text1"/>
          <w:szCs w:val="24"/>
          <w:lang w:eastAsia="lv-LV"/>
        </w:rPr>
        <w:t>pirmspārbaužu</w:t>
      </w:r>
      <w:proofErr w:type="spellEnd"/>
      <w:r w:rsidRPr="008E4EA2">
        <w:rPr>
          <w:rFonts w:eastAsia="EUAlbertina-Bold-Identity-H"/>
          <w:color w:val="000000" w:themeColor="text1"/>
          <w:szCs w:val="24"/>
          <w:lang w:eastAsia="lv-LV"/>
        </w:rPr>
        <w:t xml:space="preserve"> darba grupas ietvaros izskatīti iespējamie risinājumi attiecībā uz iepirkumu </w:t>
      </w:r>
      <w:proofErr w:type="spellStart"/>
      <w:r w:rsidRPr="008E4EA2">
        <w:rPr>
          <w:rFonts w:eastAsia="EUAlbertina-Bold-Identity-H"/>
          <w:color w:val="000000" w:themeColor="text1"/>
          <w:szCs w:val="24"/>
          <w:lang w:eastAsia="lv-LV"/>
        </w:rPr>
        <w:t>pirmspārbaužu</w:t>
      </w:r>
      <w:proofErr w:type="spellEnd"/>
      <w:r w:rsidRPr="008E4EA2">
        <w:rPr>
          <w:rFonts w:eastAsia="EUAlbertina-Bold-Identity-H"/>
          <w:color w:val="000000" w:themeColor="text1"/>
          <w:szCs w:val="24"/>
          <w:lang w:eastAsia="lv-LV"/>
        </w:rPr>
        <w:t xml:space="preserve"> plāna veidošanu, kā arī pārbaudes izlases veidošanu un nepieciešamo intensitāti. 2012.gada III ceturkšņa ietvaros norit darbs pie iepi</w:t>
      </w:r>
      <w:r w:rsidR="00A23D5B" w:rsidRPr="008E4EA2">
        <w:rPr>
          <w:rFonts w:eastAsia="EUAlbertina-Bold-Identity-H"/>
          <w:color w:val="000000" w:themeColor="text1"/>
          <w:szCs w:val="24"/>
          <w:lang w:eastAsia="lv-LV"/>
        </w:rPr>
        <w:t xml:space="preserve">rkumu </w:t>
      </w:r>
      <w:proofErr w:type="spellStart"/>
      <w:r w:rsidR="00A23D5B" w:rsidRPr="008E4EA2">
        <w:rPr>
          <w:rFonts w:eastAsia="EUAlbertina-Bold-Identity-H"/>
          <w:color w:val="000000" w:themeColor="text1"/>
          <w:szCs w:val="24"/>
          <w:lang w:eastAsia="lv-LV"/>
        </w:rPr>
        <w:t>pirmspārbaužu</w:t>
      </w:r>
      <w:proofErr w:type="spellEnd"/>
      <w:r w:rsidR="00A23D5B" w:rsidRPr="008E4EA2">
        <w:rPr>
          <w:rFonts w:eastAsia="EUAlbertina-Bold-Identity-H"/>
          <w:color w:val="000000" w:themeColor="text1"/>
          <w:szCs w:val="24"/>
          <w:lang w:eastAsia="lv-LV"/>
        </w:rPr>
        <w:t xml:space="preserve"> metodikas „</w:t>
      </w:r>
      <w:r w:rsidRPr="008E4EA2">
        <w:rPr>
          <w:rFonts w:eastAsia="EUAlbertina-Bold-Identity-H"/>
          <w:color w:val="000000" w:themeColor="text1"/>
          <w:szCs w:val="24"/>
          <w:lang w:eastAsia="lv-LV"/>
        </w:rPr>
        <w:t xml:space="preserve">Metodika par iepirkumu </w:t>
      </w:r>
      <w:proofErr w:type="spellStart"/>
      <w:r w:rsidRPr="008E4EA2">
        <w:rPr>
          <w:rFonts w:eastAsia="EUAlbertina-Bold-Identity-H"/>
          <w:color w:val="000000" w:themeColor="text1"/>
          <w:szCs w:val="24"/>
          <w:lang w:eastAsia="lv-LV"/>
        </w:rPr>
        <w:t>pirmspārbaužu</w:t>
      </w:r>
      <w:proofErr w:type="spellEnd"/>
      <w:r w:rsidRPr="008E4EA2">
        <w:rPr>
          <w:rFonts w:eastAsia="EUAlbertina-Bold-Identity-H"/>
          <w:color w:val="000000" w:themeColor="text1"/>
          <w:szCs w:val="24"/>
          <w:lang w:eastAsia="lv-LV"/>
        </w:rPr>
        <w:t xml:space="preserve"> veikšanu atbildīgajām i</w:t>
      </w:r>
      <w:r w:rsidR="0065755F">
        <w:rPr>
          <w:rFonts w:eastAsia="EUAlbertina-Bold-Identity-H"/>
          <w:color w:val="000000" w:themeColor="text1"/>
          <w:szCs w:val="24"/>
          <w:lang w:eastAsia="lv-LV"/>
        </w:rPr>
        <w:t>estādēm un sadarbības iestādēm”</w:t>
      </w:r>
      <w:r w:rsidRPr="008E4EA2">
        <w:rPr>
          <w:rFonts w:eastAsia="EUAlbertina-Bold-Identity-H"/>
          <w:color w:val="000000" w:themeColor="text1"/>
          <w:szCs w:val="24"/>
          <w:lang w:eastAsia="lv-LV"/>
        </w:rPr>
        <w:t xml:space="preserve"> aktualizēšanas, kuras ietvaros </w:t>
      </w:r>
      <w:r w:rsidR="00840018" w:rsidRPr="008E4EA2">
        <w:rPr>
          <w:rFonts w:eastAsia="EUAlbertina-Bold-Identity-H"/>
          <w:color w:val="000000" w:themeColor="text1"/>
          <w:szCs w:val="24"/>
          <w:lang w:eastAsia="lv-LV"/>
        </w:rPr>
        <w:t>AI</w:t>
      </w:r>
      <w:r w:rsidRPr="008E4EA2">
        <w:rPr>
          <w:rFonts w:eastAsia="EUAlbertina-Bold-Identity-H"/>
          <w:color w:val="000000" w:themeColor="text1"/>
          <w:szCs w:val="24"/>
          <w:lang w:eastAsia="lv-LV"/>
        </w:rPr>
        <w:t xml:space="preserve"> un </w:t>
      </w:r>
      <w:r w:rsidR="00840018" w:rsidRPr="008E4EA2">
        <w:rPr>
          <w:rFonts w:eastAsia="EUAlbertina-Bold-Identity-H"/>
          <w:color w:val="000000" w:themeColor="text1"/>
          <w:szCs w:val="24"/>
          <w:lang w:eastAsia="lv-LV"/>
        </w:rPr>
        <w:t>SI</w:t>
      </w:r>
      <w:r w:rsidRPr="008E4EA2">
        <w:rPr>
          <w:rFonts w:eastAsia="EUAlbertina-Bold-Identity-H"/>
          <w:color w:val="000000" w:themeColor="text1"/>
          <w:szCs w:val="24"/>
          <w:lang w:eastAsia="lv-LV"/>
        </w:rPr>
        <w:t xml:space="preserve"> tiks noteikti vienkāršoti pārbaužu plāna un pārbaužu izlases veidošanas nosacījumi.</w:t>
      </w:r>
    </w:p>
    <w:p w:rsidR="00A87FB4" w:rsidRPr="008E4EA2" w:rsidRDefault="00A87FB4" w:rsidP="003A0029">
      <w:pPr>
        <w:pStyle w:val="ListParagraph"/>
        <w:numPr>
          <w:ilvl w:val="0"/>
          <w:numId w:val="19"/>
        </w:numPr>
        <w:spacing w:before="120" w:after="120"/>
        <w:ind w:left="0"/>
        <w:jc w:val="both"/>
        <w:rPr>
          <w:rFonts w:ascii="Times New Roman" w:hAnsi="Times New Roman"/>
          <w:bCs/>
          <w:color w:val="000000" w:themeColor="text1"/>
          <w:sz w:val="24"/>
          <w:szCs w:val="24"/>
        </w:rPr>
      </w:pPr>
      <w:r w:rsidRPr="008E4EA2">
        <w:rPr>
          <w:rFonts w:ascii="Times New Roman" w:hAnsi="Times New Roman"/>
          <w:b/>
          <w:bCs/>
          <w:color w:val="000000" w:themeColor="text1"/>
          <w:sz w:val="24"/>
          <w:szCs w:val="24"/>
        </w:rPr>
        <w:t xml:space="preserve">Grozījumi MK noteikumos Nr.740, </w:t>
      </w:r>
      <w:r w:rsidRPr="008E4EA2">
        <w:rPr>
          <w:rFonts w:ascii="Times New Roman" w:hAnsi="Times New Roman"/>
          <w:bCs/>
          <w:color w:val="000000" w:themeColor="text1"/>
          <w:sz w:val="24"/>
          <w:szCs w:val="24"/>
        </w:rPr>
        <w:t xml:space="preserve">lai normatīvajā aktā noteiktu kārtību, kādā piemēro proporcionālo finanšu korekciju </w:t>
      </w:r>
      <w:r w:rsidR="00F139BD" w:rsidRPr="008E4EA2">
        <w:rPr>
          <w:rFonts w:ascii="Times New Roman" w:hAnsi="Times New Roman"/>
          <w:bCs/>
          <w:color w:val="000000" w:themeColor="text1"/>
          <w:sz w:val="24"/>
          <w:szCs w:val="24"/>
        </w:rPr>
        <w:t>ES fondu</w:t>
      </w:r>
      <w:r w:rsidRPr="008E4EA2">
        <w:rPr>
          <w:rFonts w:ascii="Times New Roman" w:hAnsi="Times New Roman"/>
          <w:bCs/>
          <w:color w:val="000000" w:themeColor="text1"/>
          <w:sz w:val="24"/>
          <w:szCs w:val="24"/>
        </w:rPr>
        <w:t xml:space="preserve"> projektiem. </w:t>
      </w:r>
    </w:p>
    <w:p w:rsidR="00A87FB4" w:rsidRPr="008E4EA2" w:rsidRDefault="00A87FB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Izpildot MK </w:t>
      </w:r>
      <w:proofErr w:type="spellStart"/>
      <w:r w:rsidRPr="008E4EA2">
        <w:rPr>
          <w:rFonts w:eastAsia="EUAlbertina-Bold-Identity-H"/>
          <w:color w:val="000000" w:themeColor="text1"/>
          <w:szCs w:val="24"/>
          <w:lang w:eastAsia="lv-LV"/>
        </w:rPr>
        <w:t>š.g</w:t>
      </w:r>
      <w:proofErr w:type="spellEnd"/>
      <w:r w:rsidRPr="008E4EA2">
        <w:rPr>
          <w:rFonts w:eastAsia="EUAlbertina-Bold-Identity-H"/>
          <w:color w:val="000000" w:themeColor="text1"/>
          <w:szCs w:val="24"/>
          <w:lang w:eastAsia="lv-LV"/>
        </w:rPr>
        <w:t xml:space="preserve">. 12.jūnija </w:t>
      </w:r>
      <w:proofErr w:type="spellStart"/>
      <w:r w:rsidRPr="008E4EA2">
        <w:rPr>
          <w:rFonts w:eastAsia="EUAlbertina-Bold-Identity-H"/>
          <w:color w:val="000000" w:themeColor="text1"/>
          <w:szCs w:val="24"/>
          <w:lang w:eastAsia="lv-LV"/>
        </w:rPr>
        <w:t>protokollēmuma</w:t>
      </w:r>
      <w:proofErr w:type="spellEnd"/>
      <w:r w:rsidRPr="008E4EA2">
        <w:rPr>
          <w:rFonts w:eastAsia="EUAlbertina-Bold-Identity-H"/>
          <w:color w:val="000000" w:themeColor="text1"/>
          <w:szCs w:val="24"/>
          <w:lang w:eastAsia="lv-LV"/>
        </w:rPr>
        <w:t xml:space="preserve"> Nr.33, 51.§ 2.punktu, </w:t>
      </w:r>
      <w:proofErr w:type="spellStart"/>
      <w:r w:rsidRPr="008E4EA2">
        <w:rPr>
          <w:rFonts w:eastAsia="EUAlbertina-Bold-Identity-H"/>
          <w:color w:val="000000" w:themeColor="text1"/>
          <w:szCs w:val="24"/>
          <w:lang w:eastAsia="lv-LV"/>
        </w:rPr>
        <w:t>š.g</w:t>
      </w:r>
      <w:proofErr w:type="spellEnd"/>
      <w:r w:rsidRPr="008E4EA2">
        <w:rPr>
          <w:rFonts w:eastAsia="EUAlbertina-Bold-Identity-H"/>
          <w:color w:val="000000" w:themeColor="text1"/>
          <w:szCs w:val="24"/>
          <w:lang w:eastAsia="lv-LV"/>
        </w:rPr>
        <w:t>. 16.augustā VSS tika izsludināts MK noteikumu projekts „Grozījums Ministru kabineta 2010.gad</w:t>
      </w:r>
      <w:r w:rsidR="008E5444" w:rsidRPr="008E4EA2">
        <w:rPr>
          <w:rFonts w:eastAsia="EUAlbertina-Bold-Identity-H"/>
          <w:color w:val="000000" w:themeColor="text1"/>
          <w:szCs w:val="24"/>
          <w:lang w:eastAsia="lv-LV"/>
        </w:rPr>
        <w:t>a 10.augusta noteikumos Nr.740 „</w:t>
      </w:r>
      <w:r w:rsidRPr="008E4EA2">
        <w:rPr>
          <w:rFonts w:eastAsia="EUAlbertina-Bold-Identity-H"/>
          <w:color w:val="000000" w:themeColor="text1"/>
          <w:szCs w:val="24"/>
          <w:lang w:eastAsia="lv-LV"/>
        </w:rPr>
        <w:t xml:space="preserve">Kārtība, kādā ziņo par Eiropas Savienības struktūrfondu un Kohēzijas fonda ieviešanā konstatētajām neatbilstībām, pieņem lēmumu par piešķirtā finansējuma izlietojumu un atgūst neatbilstošos izdevumus”. MK noteikumu projekts paredz noteikt, ka ja līgumslēdzējs (AI vai SI), pieņemot lēmumu par neatbilstības konstatēšanu, secina, ka neatbilstoši veikto izdevumu summu nav iespējams konkrēti noteikt vai samazināt projekta attiecināmo izmaksu summu par visu izdevumu summu, </w:t>
      </w:r>
      <w:r w:rsidRPr="008E4EA2">
        <w:rPr>
          <w:rFonts w:eastAsia="EUAlbertina-Bold-Identity-H"/>
          <w:color w:val="000000" w:themeColor="text1"/>
          <w:szCs w:val="24"/>
          <w:lang w:eastAsia="lv-LV"/>
        </w:rPr>
        <w:lastRenderedPageBreak/>
        <w:t>kurus finansējuma saņēmējs veicis neatbilstoši normatīvo aktu un civiltiesiskā līguma vai vienošanās par projekta īstenošanu nosacījumiem, būtu nesamērīgi, līgumslēdzējs attiecināmo izmaksu summu samazina proporcionāli. ES fondu finansējuma saņēmēju tiesiskās noteiktības interesēs MK noteikumu projektā ir arī noteikts, ka attiecināmo izmaksu summas proporcionālās samazināšanas pamatprincipus VI nosaka vadlīnijās par finanšu korekciju piemērošanu. Lai arī faktiski šādas vadlīnijas jau ir izstrādātas un praksē tiek piemērotas, šis</w:t>
      </w:r>
      <w:r w:rsidR="003271BE" w:rsidRPr="008E4EA2">
        <w:rPr>
          <w:rFonts w:eastAsia="EUAlbertina-Bold-Identity-H"/>
          <w:color w:val="000000" w:themeColor="text1"/>
          <w:szCs w:val="24"/>
          <w:lang w:eastAsia="lv-LV"/>
        </w:rPr>
        <w:t xml:space="preserve"> </w:t>
      </w:r>
      <w:r w:rsidRPr="008E4EA2">
        <w:rPr>
          <w:rFonts w:eastAsia="EUAlbertina-Bold-Identity-H"/>
          <w:color w:val="000000" w:themeColor="text1"/>
          <w:szCs w:val="24"/>
          <w:lang w:eastAsia="lv-LV"/>
        </w:rPr>
        <w:t>punkts pēc būtības nodrošina gan to, ka līgumslēdzējiem ir jāievēro vadlīnijās minētie principi, gan arī to, ka finansējuma saņēmēji ir informēti par šādām vadlīnijām un var paļauties uz to, ka līgumslēdzējs tās piemēros, ja būs nepieciešams attiecināmo izmaksu summu samazināt proporcionāli, kā arī to, ka visos līdzīgos gadījumos tiek piemērota vienāda finanšu korekcija.</w:t>
      </w:r>
    </w:p>
    <w:p w:rsidR="00A87FB4" w:rsidRPr="008E4EA2" w:rsidRDefault="00A87FB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Plānots, ka MK noteikumu projekts MK tiks apstiprināts </w:t>
      </w:r>
      <w:proofErr w:type="spellStart"/>
      <w:r w:rsidRPr="008E4EA2">
        <w:rPr>
          <w:rFonts w:eastAsia="EUAlbertina-Bold-Identity-H"/>
          <w:color w:val="000000" w:themeColor="text1"/>
          <w:szCs w:val="24"/>
          <w:lang w:eastAsia="lv-LV"/>
        </w:rPr>
        <w:t>š.g</w:t>
      </w:r>
      <w:proofErr w:type="spellEnd"/>
      <w:r w:rsidRPr="008E4EA2">
        <w:rPr>
          <w:rFonts w:eastAsia="EUAlbertina-Bold-Identity-H"/>
          <w:color w:val="000000" w:themeColor="text1"/>
          <w:szCs w:val="24"/>
          <w:lang w:eastAsia="lv-LV"/>
        </w:rPr>
        <w:t xml:space="preserve"> novembra beigās.</w:t>
      </w:r>
    </w:p>
    <w:p w:rsidR="00A87FB4" w:rsidRPr="008E4EA2" w:rsidRDefault="00A87FB4" w:rsidP="003A0029">
      <w:pPr>
        <w:pStyle w:val="ListParagraph"/>
        <w:numPr>
          <w:ilvl w:val="0"/>
          <w:numId w:val="19"/>
        </w:numPr>
        <w:spacing w:before="120" w:after="120"/>
        <w:ind w:left="0"/>
        <w:jc w:val="both"/>
        <w:rPr>
          <w:rFonts w:ascii="Times New Roman" w:hAnsi="Times New Roman"/>
          <w:b/>
          <w:bCs/>
          <w:color w:val="000000" w:themeColor="text1"/>
          <w:sz w:val="24"/>
          <w:szCs w:val="24"/>
        </w:rPr>
      </w:pPr>
      <w:r w:rsidRPr="008E4EA2">
        <w:rPr>
          <w:rFonts w:ascii="Times New Roman" w:hAnsi="Times New Roman"/>
          <w:b/>
          <w:bCs/>
          <w:color w:val="000000" w:themeColor="text1"/>
          <w:sz w:val="24"/>
          <w:szCs w:val="24"/>
        </w:rPr>
        <w:t xml:space="preserve">Sistēmiskie pilnveidojumi, ņemot vērā deleģēto funkciju pārbaužu rezultātā konstatēto </w:t>
      </w:r>
    </w:p>
    <w:p w:rsidR="00A87FB4" w:rsidRPr="008E4EA2" w:rsidRDefault="00A87FB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Ņemot vērā FM kā VI deleģēto funkciju pārbaužu pie iestādēm rezultātus, VI 2012.gada nogalē izvērtēs un lems par nepieciešamajiem sistēmiskajiem pilnveidojumiem, lai nodrošinātu vienotu praksi un principus starp iestādēm, tādējādi atvieglojot gan iestāžu, gan finansējuma saņēmēju darbu un mazinot neatbilstoši veikto izdevumu rašanās risku ES fondu VKS. Tāpat, ņemot vērā deleģēto funkciju pārbaudes un pieredzi to veikšanā, VI vērtē un pastāvīgi nodrošina kontroļu sistēmas pilnveidošanu un pēc iespējas cenšas atvieglot slogu iestādēm, kā arī finansējuma saņēmējiem, un vienlaicīgi nodrošina kontroles, lai vērtētu drošas finanšu pārvaldības principu ievērošanu. </w:t>
      </w:r>
    </w:p>
    <w:p w:rsidR="00A87FB4" w:rsidRPr="008E4EA2" w:rsidRDefault="00A87FB4" w:rsidP="003A0029">
      <w:pPr>
        <w:pStyle w:val="ListParagraph"/>
        <w:numPr>
          <w:ilvl w:val="0"/>
          <w:numId w:val="19"/>
        </w:numPr>
        <w:spacing w:before="120" w:after="120"/>
        <w:ind w:left="0"/>
        <w:jc w:val="both"/>
        <w:rPr>
          <w:rFonts w:ascii="Times New Roman" w:hAnsi="Times New Roman"/>
          <w:b/>
          <w:bCs/>
          <w:color w:val="000000" w:themeColor="text1"/>
          <w:sz w:val="24"/>
          <w:szCs w:val="24"/>
        </w:rPr>
      </w:pPr>
      <w:r w:rsidRPr="008E4EA2">
        <w:rPr>
          <w:rFonts w:ascii="Times New Roman" w:hAnsi="Times New Roman"/>
          <w:b/>
          <w:bCs/>
          <w:color w:val="000000" w:themeColor="text1"/>
          <w:sz w:val="24"/>
          <w:szCs w:val="24"/>
        </w:rPr>
        <w:t xml:space="preserve">EEZ/NOR noteikumi (vadības noteikumi un neatbilstību noteikumi – virzība un saskaņošana) </w:t>
      </w:r>
    </w:p>
    <w:p w:rsidR="00581070" w:rsidRPr="008E4EA2" w:rsidRDefault="00A87FB4"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Pārskata periodā turpinājās MK noteikumu projekta „Eiropas Ekonomikas zonas finanšu instrumenta un Norvēģijas finanšu instrumenta 2009.-2014.gada perioda vadības noteikumi” (VSS-533) un MK noteikumu projekta „Kārtība, kādā nodrošina Eiropas Ekonomikas zonas finanšu instrumenta un Norvēģijas finanšu instrumenta 2009.-2014.gada perioda uzraudzību, izvērtēšanu, kontroli, ziņo par konstatētajām neatbilstībām un atgūst neatbilstoši veiktos izdevumus” izstrāde un saskaņošana. Rezultātā MK noteikumu projekts „Eiropas Ekonomikas zonas finanšu instrumenta un Norvēģijas finanšu instrumenta 2009.-2014.gada perioda vadības noteikumi” tika iesniegts MK un apstiprināts </w:t>
      </w:r>
      <w:proofErr w:type="spellStart"/>
      <w:r w:rsidRPr="008E4EA2">
        <w:rPr>
          <w:rFonts w:eastAsia="EUAlbertina-Bold-Identity-H"/>
          <w:color w:val="000000" w:themeColor="text1"/>
          <w:szCs w:val="24"/>
          <w:lang w:eastAsia="lv-LV"/>
        </w:rPr>
        <w:t>š.g</w:t>
      </w:r>
      <w:proofErr w:type="spellEnd"/>
      <w:r w:rsidRPr="008E4EA2">
        <w:rPr>
          <w:rFonts w:eastAsia="EUAlbertina-Bold-Identity-H"/>
          <w:color w:val="000000" w:themeColor="text1"/>
          <w:szCs w:val="24"/>
          <w:lang w:eastAsia="lv-LV"/>
        </w:rPr>
        <w:t xml:space="preserve">. 9.oktobra MK sēdē. Savukārt MK noteikumu projekts „Kārtība, kādā nodrošina Eiropas Ekonomikas zonas finanšu instrumenta un Norvēģijas finanšu instrumenta 2009.-2014.gada perioda uzraudzību, izvērtēšanu, kontroli, ziņo par konstatētajām neatbilstībām un atgūst neatbilstoši veiktos izdevumus” </w:t>
      </w:r>
      <w:proofErr w:type="spellStart"/>
      <w:r w:rsidRPr="008E4EA2">
        <w:rPr>
          <w:rFonts w:eastAsia="EUAlbertina-Bold-Identity-H"/>
          <w:color w:val="000000" w:themeColor="text1"/>
          <w:szCs w:val="24"/>
          <w:lang w:eastAsia="lv-LV"/>
        </w:rPr>
        <w:t>š.g</w:t>
      </w:r>
      <w:proofErr w:type="spellEnd"/>
      <w:r w:rsidRPr="008E4EA2">
        <w:rPr>
          <w:rFonts w:eastAsia="EUAlbertina-Bold-Identity-H"/>
          <w:color w:val="000000" w:themeColor="text1"/>
          <w:szCs w:val="24"/>
          <w:lang w:eastAsia="lv-LV"/>
        </w:rPr>
        <w:t>. 4.oktobrī tika izsludināts VSS (VSS-984). Minēto projektu plānots apst</w:t>
      </w:r>
      <w:r w:rsidR="00754565" w:rsidRPr="008E4EA2">
        <w:rPr>
          <w:rFonts w:eastAsia="EUAlbertina-Bold-Identity-H"/>
          <w:color w:val="000000" w:themeColor="text1"/>
          <w:szCs w:val="24"/>
          <w:lang w:eastAsia="lv-LV"/>
        </w:rPr>
        <w:t xml:space="preserve">iprināt MK līdz </w:t>
      </w:r>
      <w:proofErr w:type="spellStart"/>
      <w:r w:rsidR="00A23D5B" w:rsidRPr="008E4EA2">
        <w:rPr>
          <w:rFonts w:eastAsia="EUAlbertina-Bold-Identity-H"/>
          <w:color w:val="000000" w:themeColor="text1"/>
          <w:szCs w:val="24"/>
          <w:lang w:eastAsia="lv-LV"/>
        </w:rPr>
        <w:t>š.g</w:t>
      </w:r>
      <w:proofErr w:type="spellEnd"/>
      <w:r w:rsidR="00A23D5B" w:rsidRPr="008E4EA2">
        <w:rPr>
          <w:rFonts w:eastAsia="EUAlbertina-Bold-Identity-H"/>
          <w:color w:val="000000" w:themeColor="text1"/>
          <w:szCs w:val="24"/>
          <w:lang w:eastAsia="lv-LV"/>
        </w:rPr>
        <w:t>.</w:t>
      </w:r>
      <w:r w:rsidR="00754565" w:rsidRPr="008E4EA2">
        <w:rPr>
          <w:rFonts w:eastAsia="EUAlbertina-Bold-Identity-H"/>
          <w:color w:val="000000" w:themeColor="text1"/>
          <w:szCs w:val="24"/>
          <w:lang w:eastAsia="lv-LV"/>
        </w:rPr>
        <w:t xml:space="preserve"> beigām.</w:t>
      </w:r>
    </w:p>
    <w:p w:rsidR="0005142E" w:rsidRPr="008E4EA2" w:rsidRDefault="00472C1F" w:rsidP="003A0029">
      <w:pPr>
        <w:pStyle w:val="1lmenis"/>
        <w:spacing w:before="120" w:after="120" w:line="276" w:lineRule="auto"/>
        <w:ind w:left="709"/>
        <w:rPr>
          <w:rFonts w:ascii="Times New Roman" w:hAnsi="Times New Roman"/>
          <w:color w:val="000000" w:themeColor="text1"/>
          <w:sz w:val="24"/>
          <w:szCs w:val="24"/>
          <w:lang w:val="lv-LV"/>
        </w:rPr>
      </w:pPr>
      <w:bookmarkStart w:id="92" w:name="_Toc324948897"/>
      <w:bookmarkStart w:id="93" w:name="_Toc340241720"/>
      <w:r w:rsidRPr="008E4EA2">
        <w:rPr>
          <w:rFonts w:ascii="Times New Roman" w:hAnsi="Times New Roman"/>
          <w:color w:val="000000" w:themeColor="text1"/>
          <w:sz w:val="24"/>
          <w:szCs w:val="24"/>
          <w:lang w:val="lv-LV"/>
        </w:rPr>
        <w:lastRenderedPageBreak/>
        <w:t xml:space="preserve">Jaunais </w:t>
      </w:r>
      <w:r w:rsidR="008C7FDB" w:rsidRPr="008E4EA2">
        <w:rPr>
          <w:rFonts w:ascii="Times New Roman" w:hAnsi="Times New Roman"/>
          <w:color w:val="000000" w:themeColor="text1"/>
          <w:sz w:val="24"/>
          <w:szCs w:val="24"/>
          <w:lang w:val="lv-LV"/>
        </w:rPr>
        <w:t xml:space="preserve">ES fondu 2014.-2020.gada </w:t>
      </w:r>
      <w:r w:rsidRPr="008E4EA2">
        <w:rPr>
          <w:rFonts w:ascii="Times New Roman" w:hAnsi="Times New Roman"/>
          <w:color w:val="000000" w:themeColor="text1"/>
          <w:sz w:val="24"/>
          <w:szCs w:val="24"/>
          <w:lang w:val="lv-LV"/>
        </w:rPr>
        <w:t>plānošanas periods</w:t>
      </w:r>
      <w:bookmarkEnd w:id="92"/>
      <w:bookmarkEnd w:id="93"/>
    </w:p>
    <w:p w:rsidR="0067049B" w:rsidRPr="008E4EA2" w:rsidRDefault="00D271C7" w:rsidP="003A0029">
      <w:pPr>
        <w:pStyle w:val="2lmenis"/>
        <w:numPr>
          <w:ilvl w:val="1"/>
          <w:numId w:val="2"/>
        </w:numPr>
        <w:spacing w:before="120" w:after="120" w:line="276" w:lineRule="auto"/>
        <w:ind w:left="1276" w:hanging="425"/>
        <w:jc w:val="both"/>
        <w:rPr>
          <w:color w:val="000000" w:themeColor="text1"/>
          <w:sz w:val="24"/>
          <w:szCs w:val="24"/>
          <w:lang w:val="lv-LV"/>
        </w:rPr>
      </w:pPr>
      <w:bookmarkStart w:id="94" w:name="_Toc340241721"/>
      <w:r w:rsidRPr="008E4EA2">
        <w:rPr>
          <w:color w:val="000000" w:themeColor="text1"/>
          <w:sz w:val="24"/>
          <w:szCs w:val="24"/>
          <w:lang w:val="lv-LV"/>
        </w:rPr>
        <w:t xml:space="preserve">Pārskata periodā īstenotās aktivitātes, sadarbība ar </w:t>
      </w:r>
      <w:r w:rsidR="0053704A" w:rsidRPr="008E4EA2">
        <w:rPr>
          <w:color w:val="000000" w:themeColor="text1"/>
          <w:sz w:val="24"/>
          <w:szCs w:val="24"/>
          <w:lang w:val="lv-LV"/>
        </w:rPr>
        <w:t>EK</w:t>
      </w:r>
      <w:r w:rsidRPr="008E4EA2">
        <w:rPr>
          <w:color w:val="000000" w:themeColor="text1"/>
          <w:sz w:val="24"/>
          <w:szCs w:val="24"/>
          <w:lang w:val="lv-LV"/>
        </w:rPr>
        <w:t xml:space="preserve"> un citām institūcijām</w:t>
      </w:r>
      <w:bookmarkEnd w:id="94"/>
    </w:p>
    <w:p w:rsidR="00D271C7" w:rsidRPr="008E4EA2" w:rsidRDefault="00D271C7"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ES budžeta 2014. – 2020.gadam sarunu ietvaros tiek veiktas regulāras aktivitātes, lai sekmētu ES Kohēzijas politikas piešķīruma Latvijai saglabāšanu vismaz esošā plānošanas perioda apjomā. 18. un 19.septembrī </w:t>
      </w:r>
      <w:r w:rsidR="00C776AE" w:rsidRPr="008E4EA2">
        <w:rPr>
          <w:rFonts w:eastAsia="EUAlbertina-Bold-Identity-H"/>
          <w:color w:val="000000" w:themeColor="text1"/>
          <w:szCs w:val="24"/>
          <w:lang w:eastAsia="lv-LV"/>
        </w:rPr>
        <w:t>VI</w:t>
      </w:r>
      <w:r w:rsidRPr="008E4EA2">
        <w:rPr>
          <w:rFonts w:eastAsia="EUAlbertina-Bold-Identity-H"/>
          <w:color w:val="000000" w:themeColor="text1"/>
          <w:szCs w:val="24"/>
          <w:lang w:eastAsia="lv-LV"/>
        </w:rPr>
        <w:t xml:space="preserve"> un Latvijas Lielo pilsētu asociācijas pārstāvji devās vizītē uz Briseli, lai tiktos ar Eiropas Parlamenta pārstāvjiem. No Latvijas pārstāvju puses tika uzsvērts Kohēzijas politikas finansējuma nozīmīgums valsts attīstībā un skaidrota pozīciju saņemt to vismaz tādā pašā vai lielākā apjomā kā esošajā ES budžeta plānošanas periodā.</w:t>
      </w:r>
    </w:p>
    <w:p w:rsidR="00D271C7" w:rsidRPr="008E4EA2" w:rsidRDefault="00D271C7"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FM turpina īstenot nepieciešamos pasākumus, lai sagatavotos jaunajam Kohēzijas politikas plānošanas periodam, formulējot un pārstāvot Latvijas intereses sarunās par Kohēzijas politiku pēc 2013.gada. Trešajā ceturksnī Latvija ir aktīvi darbojusies ES Padomes Strukturālo pasākumu darba grupā, gatavojot viedokļus un komentārus par Kipras prezidentūras sagatavotajiem ES Kohēzijas politikas regulu priekšlikumu kompromisu dokumentiem.</w:t>
      </w:r>
    </w:p>
    <w:p w:rsidR="00D271C7" w:rsidRPr="008E4EA2" w:rsidRDefault="00D271C7"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5. un 6.jūlijā notika </w:t>
      </w:r>
      <w:r w:rsidR="0053704A" w:rsidRPr="008E4EA2">
        <w:rPr>
          <w:rFonts w:eastAsia="EUAlbertina-Bold-Identity-H"/>
          <w:color w:val="000000" w:themeColor="text1"/>
          <w:szCs w:val="24"/>
          <w:lang w:eastAsia="lv-LV"/>
        </w:rPr>
        <w:t>DG EMPL</w:t>
      </w:r>
      <w:r w:rsidRPr="008E4EA2">
        <w:rPr>
          <w:rFonts w:eastAsia="EUAlbertina-Bold-Identity-H"/>
          <w:color w:val="000000" w:themeColor="text1"/>
          <w:szCs w:val="24"/>
          <w:lang w:eastAsia="lv-LV"/>
        </w:rPr>
        <w:t xml:space="preserve"> vizīte Latvijā. Tās ietvaros, uzrunājot ES Sociālā fonda nākotnes jautājumus, norisinājās tikšanās ar </w:t>
      </w:r>
      <w:r w:rsidR="008E5444" w:rsidRPr="008E4EA2">
        <w:rPr>
          <w:rFonts w:eastAsia="EUAlbertina-Bold-Identity-H"/>
          <w:color w:val="000000" w:themeColor="text1"/>
          <w:szCs w:val="24"/>
          <w:lang w:eastAsia="lv-LV"/>
        </w:rPr>
        <w:t>VI</w:t>
      </w:r>
      <w:r w:rsidRPr="008E4EA2">
        <w:rPr>
          <w:rFonts w:eastAsia="EUAlbertina-Bold-Identity-H"/>
          <w:color w:val="000000" w:themeColor="text1"/>
          <w:szCs w:val="24"/>
          <w:lang w:eastAsia="lv-LV"/>
        </w:rPr>
        <w:t xml:space="preserve">, </w:t>
      </w:r>
      <w:r w:rsidR="00F139BD" w:rsidRPr="008E4EA2">
        <w:rPr>
          <w:rFonts w:eastAsia="EUAlbertina-Bold-Identity-H"/>
          <w:color w:val="000000" w:themeColor="text1"/>
          <w:szCs w:val="24"/>
          <w:lang w:eastAsia="lv-LV"/>
        </w:rPr>
        <w:t>PKC</w:t>
      </w:r>
      <w:r w:rsidRPr="008E4EA2">
        <w:rPr>
          <w:rFonts w:eastAsia="EUAlbertina-Bold-Identity-H"/>
          <w:color w:val="000000" w:themeColor="text1"/>
          <w:szCs w:val="24"/>
          <w:lang w:eastAsia="lv-LV"/>
        </w:rPr>
        <w:t xml:space="preserve">, </w:t>
      </w:r>
      <w:r w:rsidR="008E5444" w:rsidRPr="008E4EA2">
        <w:rPr>
          <w:rFonts w:eastAsia="EUAlbertina-Bold-Identity-H"/>
          <w:color w:val="000000" w:themeColor="text1"/>
          <w:szCs w:val="24"/>
          <w:lang w:eastAsia="lv-LV"/>
        </w:rPr>
        <w:t>LM</w:t>
      </w:r>
      <w:r w:rsidRPr="008E4EA2">
        <w:rPr>
          <w:rFonts w:eastAsia="EUAlbertina-Bold-Identity-H"/>
          <w:color w:val="000000" w:themeColor="text1"/>
          <w:szCs w:val="24"/>
          <w:lang w:eastAsia="lv-LV"/>
        </w:rPr>
        <w:t xml:space="preserve"> un </w:t>
      </w:r>
      <w:r w:rsidR="008E5444" w:rsidRPr="008E4EA2">
        <w:rPr>
          <w:rFonts w:eastAsia="EUAlbertina-Bold-Identity-H"/>
          <w:color w:val="000000" w:themeColor="text1"/>
          <w:szCs w:val="24"/>
          <w:lang w:eastAsia="lv-LV"/>
        </w:rPr>
        <w:t>IZM</w:t>
      </w:r>
      <w:r w:rsidRPr="008E4EA2">
        <w:rPr>
          <w:rFonts w:eastAsia="EUAlbertina-Bold-Identity-H"/>
          <w:color w:val="000000" w:themeColor="text1"/>
          <w:szCs w:val="24"/>
          <w:lang w:eastAsia="lv-LV"/>
        </w:rPr>
        <w:t xml:space="preserve">. </w:t>
      </w:r>
    </w:p>
    <w:p w:rsidR="00D271C7" w:rsidRPr="008E4EA2" w:rsidRDefault="00D271C7"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6. un 7.septembrī Lietuvā notika trīs Baltijas valstu </w:t>
      </w:r>
      <w:r w:rsidR="008E5444" w:rsidRPr="008E4EA2">
        <w:rPr>
          <w:rFonts w:eastAsia="EUAlbertina-Bold-Identity-H"/>
          <w:color w:val="000000" w:themeColor="text1"/>
          <w:szCs w:val="24"/>
          <w:lang w:eastAsia="lv-LV"/>
        </w:rPr>
        <w:t>VI</w:t>
      </w:r>
      <w:r w:rsidRPr="008E4EA2">
        <w:rPr>
          <w:rFonts w:eastAsia="EUAlbertina-Bold-Identity-H"/>
          <w:color w:val="000000" w:themeColor="text1"/>
          <w:szCs w:val="24"/>
          <w:lang w:eastAsia="lv-LV"/>
        </w:rPr>
        <w:t xml:space="preserve"> un </w:t>
      </w:r>
      <w:r w:rsidR="008E5444" w:rsidRPr="008E4EA2">
        <w:rPr>
          <w:rFonts w:eastAsia="EUAlbertina-Bold-Identity-H"/>
          <w:color w:val="000000" w:themeColor="text1"/>
          <w:szCs w:val="24"/>
          <w:lang w:eastAsia="lv-LV"/>
        </w:rPr>
        <w:t>SI</w:t>
      </w:r>
      <w:r w:rsidRPr="008E4EA2">
        <w:rPr>
          <w:rFonts w:eastAsia="EUAlbertina-Bold-Identity-H"/>
          <w:color w:val="000000" w:themeColor="text1"/>
          <w:szCs w:val="24"/>
          <w:lang w:eastAsia="lv-LV"/>
        </w:rPr>
        <w:t xml:space="preserve"> pārstāvju tikšanās, kurā tika diskutēts par Latvijas, Lietuvas un Igaunijas pieredzi attiecībā uz ES fondu jaunā plānošanas perioda plānošanas dokumentu izstrādes progresu, sarunu par ES budžeta un Kohēzijas politikas fondu aktualitātēm, jauno darbības programmu </w:t>
      </w:r>
      <w:proofErr w:type="spellStart"/>
      <w:r w:rsidRPr="008E4EA2">
        <w:rPr>
          <w:rFonts w:eastAsia="EUAlbertina-Bold-Identity-H"/>
          <w:color w:val="000000" w:themeColor="text1"/>
          <w:szCs w:val="24"/>
          <w:lang w:eastAsia="lv-LV"/>
        </w:rPr>
        <w:t>ex-ante</w:t>
      </w:r>
      <w:proofErr w:type="spellEnd"/>
      <w:r w:rsidRPr="008E4EA2">
        <w:rPr>
          <w:rFonts w:eastAsia="EUAlbertina-Bold-Identity-H"/>
          <w:color w:val="000000" w:themeColor="text1"/>
          <w:szCs w:val="24"/>
          <w:lang w:eastAsia="lv-LV"/>
        </w:rPr>
        <w:t xml:space="preserve"> izvērtējumu statusu, kā arī kopējo rādītāju, izmaksu vienkāršošanas un izvērtējumu jautājumiem.</w:t>
      </w:r>
    </w:p>
    <w:p w:rsidR="00D271C7" w:rsidRPr="008E4EA2" w:rsidRDefault="00D271C7"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Nacionālā līmenī </w:t>
      </w:r>
      <w:r w:rsidR="008E5444" w:rsidRPr="008E4EA2">
        <w:rPr>
          <w:rFonts w:eastAsia="EUAlbertina-Bold-Identity-H"/>
          <w:color w:val="000000" w:themeColor="text1"/>
          <w:szCs w:val="24"/>
          <w:lang w:eastAsia="lv-LV"/>
        </w:rPr>
        <w:t>VI</w:t>
      </w:r>
      <w:r w:rsidRPr="008E4EA2">
        <w:rPr>
          <w:rFonts w:eastAsia="EUAlbertina-Bold-Identity-H"/>
          <w:color w:val="000000" w:themeColor="text1"/>
          <w:szCs w:val="24"/>
          <w:lang w:eastAsia="lv-LV"/>
        </w:rPr>
        <w:t xml:space="preserve"> veic aktivitātes ES fondu plānošanas dokumentu sagatavošanai, kur </w:t>
      </w:r>
      <w:r w:rsidR="008E5444" w:rsidRPr="008E4EA2">
        <w:rPr>
          <w:rFonts w:eastAsia="EUAlbertina-Bold-Identity-H"/>
          <w:color w:val="000000" w:themeColor="text1"/>
          <w:szCs w:val="24"/>
          <w:lang w:eastAsia="lv-LV"/>
        </w:rPr>
        <w:t>VI</w:t>
      </w:r>
      <w:r w:rsidRPr="008E4EA2">
        <w:rPr>
          <w:rFonts w:eastAsia="EUAlbertina-Bold-Identity-H"/>
          <w:color w:val="000000" w:themeColor="text1"/>
          <w:szCs w:val="24"/>
          <w:lang w:eastAsia="lv-LV"/>
        </w:rPr>
        <w:t xml:space="preserve"> aktīvi sadarbojas ar </w:t>
      </w:r>
      <w:r w:rsidR="00F139BD" w:rsidRPr="008E4EA2">
        <w:rPr>
          <w:rFonts w:eastAsia="EUAlbertina-Bold-Identity-H"/>
          <w:color w:val="000000" w:themeColor="text1"/>
          <w:szCs w:val="24"/>
          <w:lang w:eastAsia="lv-LV"/>
        </w:rPr>
        <w:t>PKC</w:t>
      </w:r>
      <w:r w:rsidRPr="008E4EA2">
        <w:rPr>
          <w:rFonts w:eastAsia="EUAlbertina-Bold-Identity-H"/>
          <w:color w:val="000000" w:themeColor="text1"/>
          <w:szCs w:val="24"/>
          <w:lang w:eastAsia="lv-LV"/>
        </w:rPr>
        <w:t xml:space="preserve">, lai veiktu ES fondu atbalstāmo aktivitāšu identifikāciju Nacionālā attīstības plāna 2014. – 2020.gadam ietvaros, kā arī norisinās darbības ES </w:t>
      </w:r>
      <w:r w:rsidR="008E5444" w:rsidRPr="008E4EA2">
        <w:rPr>
          <w:rFonts w:eastAsia="EUAlbertina-Bold-Identity-H"/>
          <w:color w:val="000000" w:themeColor="text1"/>
          <w:szCs w:val="24"/>
          <w:lang w:eastAsia="lv-LV"/>
        </w:rPr>
        <w:t>fondu</w:t>
      </w:r>
      <w:r w:rsidRPr="008E4EA2">
        <w:rPr>
          <w:rFonts w:eastAsia="EUAlbertina-Bold-Identity-H"/>
          <w:color w:val="000000" w:themeColor="text1"/>
          <w:szCs w:val="24"/>
          <w:lang w:eastAsia="lv-LV"/>
        </w:rPr>
        <w:t xml:space="preserve"> darbības programmas 2014. – 2020.gadam sākotnējā (</w:t>
      </w:r>
      <w:proofErr w:type="spellStart"/>
      <w:r w:rsidRPr="008E4EA2">
        <w:rPr>
          <w:rFonts w:eastAsia="EUAlbertina-Bold-Identity-H"/>
          <w:color w:val="000000" w:themeColor="text1"/>
          <w:szCs w:val="24"/>
          <w:lang w:eastAsia="lv-LV"/>
        </w:rPr>
        <w:t>ex-ante)</w:t>
      </w:r>
      <w:proofErr w:type="spellEnd"/>
      <w:r w:rsidRPr="008E4EA2">
        <w:rPr>
          <w:rFonts w:eastAsia="EUAlbertina-Bold-Identity-H"/>
          <w:color w:val="000000" w:themeColor="text1"/>
          <w:szCs w:val="24"/>
          <w:lang w:eastAsia="lv-LV"/>
        </w:rPr>
        <w:t xml:space="preserve"> izvērtējuma iepirkuma konkursa izsludināšanai. Papildus ir veiktas šādas aktivitātes:</w:t>
      </w:r>
    </w:p>
    <w:p w:rsidR="00D271C7" w:rsidRPr="008E4EA2" w:rsidRDefault="00D271C7" w:rsidP="003A0029">
      <w:pPr>
        <w:pStyle w:val="ListParagraph"/>
        <w:numPr>
          <w:ilvl w:val="0"/>
          <w:numId w:val="11"/>
        </w:numPr>
        <w:spacing w:before="120" w:after="120"/>
        <w:ind w:left="0"/>
        <w:jc w:val="both"/>
        <w:rPr>
          <w:rFonts w:ascii="Times New Roman" w:hAnsi="Times New Roman"/>
          <w:b/>
          <w:bCs/>
          <w:color w:val="000000" w:themeColor="text1"/>
          <w:sz w:val="24"/>
          <w:szCs w:val="24"/>
        </w:rPr>
      </w:pPr>
      <w:r w:rsidRPr="008E4EA2">
        <w:rPr>
          <w:rFonts w:ascii="Times New Roman" w:hAnsi="Times New Roman"/>
          <w:b/>
          <w:bCs/>
          <w:color w:val="000000" w:themeColor="text1"/>
          <w:sz w:val="24"/>
          <w:szCs w:val="24"/>
        </w:rPr>
        <w:t>Politikas plānošanas dokumentu izstrāde un apstiprināšana:</w:t>
      </w:r>
    </w:p>
    <w:p w:rsidR="00D271C7" w:rsidRPr="008E4EA2" w:rsidRDefault="00D271C7" w:rsidP="003A0029">
      <w:pPr>
        <w:pStyle w:val="ListParagraph"/>
        <w:numPr>
          <w:ilvl w:val="1"/>
          <w:numId w:val="11"/>
        </w:numPr>
        <w:spacing w:before="120" w:after="120"/>
        <w:ind w:left="709"/>
        <w:jc w:val="both"/>
        <w:rPr>
          <w:rFonts w:ascii="Times New Roman" w:hAnsi="Times New Roman"/>
          <w:bCs/>
          <w:color w:val="000000" w:themeColor="text1"/>
          <w:sz w:val="24"/>
          <w:szCs w:val="24"/>
        </w:rPr>
      </w:pPr>
      <w:r w:rsidRPr="008E4EA2">
        <w:rPr>
          <w:rFonts w:ascii="Times New Roman" w:hAnsi="Times New Roman"/>
          <w:bCs/>
          <w:color w:val="000000" w:themeColor="text1"/>
          <w:sz w:val="24"/>
          <w:szCs w:val="24"/>
        </w:rPr>
        <w:t xml:space="preserve">9.augustā </w:t>
      </w:r>
      <w:r w:rsidR="00C776AE" w:rsidRPr="008E4EA2">
        <w:rPr>
          <w:rFonts w:ascii="Times New Roman" w:hAnsi="Times New Roman"/>
          <w:bCs/>
          <w:color w:val="000000" w:themeColor="text1"/>
          <w:sz w:val="24"/>
          <w:szCs w:val="24"/>
        </w:rPr>
        <w:t>VSS</w:t>
      </w:r>
      <w:r w:rsidRPr="008E4EA2">
        <w:rPr>
          <w:rFonts w:ascii="Times New Roman" w:hAnsi="Times New Roman"/>
          <w:bCs/>
          <w:color w:val="000000" w:themeColor="text1"/>
          <w:sz w:val="24"/>
          <w:szCs w:val="24"/>
        </w:rPr>
        <w:t xml:space="preserve"> ir izsludināts informatīvais ziņojums „Par Eiropas Savienības Vienotā stratēģiskā ietvara fondu 2014. – 2020.gada plānošanas periodā piemērojamo </w:t>
      </w:r>
      <w:proofErr w:type="spellStart"/>
      <w:r w:rsidRPr="008E4EA2">
        <w:rPr>
          <w:rFonts w:ascii="Times New Roman" w:hAnsi="Times New Roman"/>
          <w:bCs/>
          <w:color w:val="000000" w:themeColor="text1"/>
          <w:sz w:val="24"/>
          <w:szCs w:val="24"/>
        </w:rPr>
        <w:t>ex-ante</w:t>
      </w:r>
      <w:proofErr w:type="spellEnd"/>
      <w:r w:rsidRPr="008E4EA2">
        <w:rPr>
          <w:rFonts w:ascii="Times New Roman" w:hAnsi="Times New Roman"/>
          <w:bCs/>
          <w:color w:val="000000" w:themeColor="text1"/>
          <w:sz w:val="24"/>
          <w:szCs w:val="24"/>
        </w:rPr>
        <w:t xml:space="preserve"> nosacījumu izpildes novērtējuma sagatavošanu”. Informatīvā ziņojuma pielikumā ir identificētas par </w:t>
      </w:r>
      <w:proofErr w:type="spellStart"/>
      <w:r w:rsidRPr="008E4EA2">
        <w:rPr>
          <w:rFonts w:ascii="Times New Roman" w:hAnsi="Times New Roman"/>
          <w:bCs/>
          <w:color w:val="000000" w:themeColor="text1"/>
          <w:sz w:val="24"/>
          <w:szCs w:val="24"/>
        </w:rPr>
        <w:t>ex-ante</w:t>
      </w:r>
      <w:proofErr w:type="spellEnd"/>
      <w:r w:rsidRPr="008E4EA2">
        <w:rPr>
          <w:rFonts w:ascii="Times New Roman" w:hAnsi="Times New Roman"/>
          <w:bCs/>
          <w:color w:val="000000" w:themeColor="text1"/>
          <w:sz w:val="24"/>
          <w:szCs w:val="24"/>
        </w:rPr>
        <w:t xml:space="preserve"> nosacījumu izpildi atbildīgajās un līdzatbildīgajās institūcijas, veicamie uzdevumi nosacījumu izpildei un to izpildes termiņi. Informatīvais ziņojums tiks sagatavots, lai nodrošinātu Priekšlikumā Eiropas Parlamenta un Padomes regulai, ar ko paredz kopīgus noteikumus par </w:t>
      </w:r>
      <w:r w:rsidR="0053704A" w:rsidRPr="008E4EA2">
        <w:rPr>
          <w:rFonts w:ascii="Times New Roman" w:hAnsi="Times New Roman"/>
          <w:bCs/>
          <w:color w:val="000000" w:themeColor="text1"/>
          <w:sz w:val="24"/>
          <w:szCs w:val="24"/>
        </w:rPr>
        <w:t>ERAF</w:t>
      </w:r>
      <w:r w:rsidRPr="008E4EA2">
        <w:rPr>
          <w:rFonts w:ascii="Times New Roman" w:hAnsi="Times New Roman"/>
          <w:bCs/>
          <w:color w:val="000000" w:themeColor="text1"/>
          <w:sz w:val="24"/>
          <w:szCs w:val="24"/>
        </w:rPr>
        <w:t xml:space="preserve">, </w:t>
      </w:r>
      <w:r w:rsidR="0053704A" w:rsidRPr="008E4EA2">
        <w:rPr>
          <w:rFonts w:ascii="Times New Roman" w:hAnsi="Times New Roman"/>
          <w:bCs/>
          <w:color w:val="000000" w:themeColor="text1"/>
          <w:sz w:val="24"/>
          <w:szCs w:val="24"/>
        </w:rPr>
        <w:t>ESF</w:t>
      </w:r>
      <w:r w:rsidRPr="008E4EA2">
        <w:rPr>
          <w:rFonts w:ascii="Times New Roman" w:hAnsi="Times New Roman"/>
          <w:bCs/>
          <w:color w:val="000000" w:themeColor="text1"/>
          <w:sz w:val="24"/>
          <w:szCs w:val="24"/>
        </w:rPr>
        <w:t xml:space="preserve">, </w:t>
      </w:r>
      <w:r w:rsidR="008E5444" w:rsidRPr="008E4EA2">
        <w:rPr>
          <w:rFonts w:ascii="Times New Roman" w:hAnsi="Times New Roman"/>
          <w:bCs/>
          <w:color w:val="000000" w:themeColor="text1"/>
          <w:sz w:val="24"/>
          <w:szCs w:val="24"/>
        </w:rPr>
        <w:t>KF</w:t>
      </w:r>
      <w:r w:rsidRPr="008E4EA2">
        <w:rPr>
          <w:rFonts w:ascii="Times New Roman" w:hAnsi="Times New Roman"/>
          <w:bCs/>
          <w:color w:val="000000" w:themeColor="text1"/>
          <w:sz w:val="24"/>
          <w:szCs w:val="24"/>
        </w:rPr>
        <w:t xml:space="preserve">, Eiropas Lauksaimniecības fondu lauku attīstībai un Eiropas Jūrlietu un zivsaimniecības fondu, uz kuriem attiecas vienotais stratēģiskais satvars, un vispārīgus noteikumus par </w:t>
      </w:r>
      <w:r w:rsidR="008E5444" w:rsidRPr="008E4EA2">
        <w:rPr>
          <w:rFonts w:ascii="Times New Roman" w:hAnsi="Times New Roman"/>
          <w:bCs/>
          <w:color w:val="000000" w:themeColor="text1"/>
          <w:sz w:val="24"/>
          <w:szCs w:val="24"/>
        </w:rPr>
        <w:t>ES</w:t>
      </w:r>
      <w:r w:rsidRPr="008E4EA2">
        <w:rPr>
          <w:rFonts w:ascii="Times New Roman" w:hAnsi="Times New Roman"/>
          <w:bCs/>
          <w:color w:val="000000" w:themeColor="text1"/>
          <w:sz w:val="24"/>
          <w:szCs w:val="24"/>
        </w:rPr>
        <w:t xml:space="preserve"> fondu un atceļ Regulu (EK) Nr.1083/2006 COM(2011) 615 galīgā redakcija minēto prasību </w:t>
      </w:r>
      <w:r w:rsidRPr="008E4EA2">
        <w:rPr>
          <w:rFonts w:ascii="Times New Roman" w:hAnsi="Times New Roman"/>
          <w:bCs/>
          <w:color w:val="000000" w:themeColor="text1"/>
          <w:sz w:val="24"/>
          <w:szCs w:val="24"/>
        </w:rPr>
        <w:lastRenderedPageBreak/>
        <w:t xml:space="preserve">izpildi par </w:t>
      </w:r>
      <w:proofErr w:type="spellStart"/>
      <w:r w:rsidRPr="008E4EA2">
        <w:rPr>
          <w:rFonts w:ascii="Times New Roman" w:hAnsi="Times New Roman"/>
          <w:bCs/>
          <w:color w:val="000000" w:themeColor="text1"/>
          <w:sz w:val="24"/>
          <w:szCs w:val="24"/>
        </w:rPr>
        <w:t>ex-ante</w:t>
      </w:r>
      <w:proofErr w:type="spellEnd"/>
      <w:r w:rsidRPr="008E4EA2">
        <w:rPr>
          <w:rFonts w:ascii="Times New Roman" w:hAnsi="Times New Roman"/>
          <w:bCs/>
          <w:color w:val="000000" w:themeColor="text1"/>
          <w:sz w:val="24"/>
          <w:szCs w:val="24"/>
        </w:rPr>
        <w:t xml:space="preserve"> nosacījumu izpildes novērtējumu veikšanu un to iekļaušanu ES fondu plānošanas dokumentos.</w:t>
      </w:r>
      <w:r w:rsidR="003271BE" w:rsidRPr="008E4EA2">
        <w:rPr>
          <w:rFonts w:ascii="Times New Roman" w:hAnsi="Times New Roman"/>
          <w:bCs/>
          <w:color w:val="000000" w:themeColor="text1"/>
          <w:sz w:val="24"/>
          <w:szCs w:val="24"/>
        </w:rPr>
        <w:t xml:space="preserve"> </w:t>
      </w:r>
    </w:p>
    <w:p w:rsidR="00D271C7" w:rsidRPr="008E4EA2" w:rsidRDefault="00D271C7" w:rsidP="003A0029">
      <w:pPr>
        <w:pStyle w:val="ListParagraph"/>
        <w:numPr>
          <w:ilvl w:val="1"/>
          <w:numId w:val="11"/>
        </w:numPr>
        <w:spacing w:before="120" w:after="120"/>
        <w:ind w:left="709"/>
        <w:jc w:val="both"/>
        <w:rPr>
          <w:rFonts w:ascii="Times New Roman" w:hAnsi="Times New Roman"/>
          <w:bCs/>
          <w:color w:val="000000" w:themeColor="text1"/>
          <w:sz w:val="24"/>
          <w:szCs w:val="24"/>
        </w:rPr>
      </w:pPr>
      <w:r w:rsidRPr="008E4EA2">
        <w:rPr>
          <w:rFonts w:ascii="Times New Roman" w:hAnsi="Times New Roman"/>
          <w:bCs/>
          <w:color w:val="000000" w:themeColor="text1"/>
          <w:sz w:val="24"/>
          <w:szCs w:val="24"/>
        </w:rPr>
        <w:t xml:space="preserve">4.septembrī </w:t>
      </w:r>
      <w:r w:rsidR="008E5444" w:rsidRPr="008E4EA2">
        <w:rPr>
          <w:rFonts w:ascii="Times New Roman" w:hAnsi="Times New Roman"/>
          <w:bCs/>
          <w:color w:val="000000" w:themeColor="text1"/>
          <w:sz w:val="24"/>
          <w:szCs w:val="24"/>
        </w:rPr>
        <w:t>MK</w:t>
      </w:r>
      <w:r w:rsidRPr="008E4EA2">
        <w:rPr>
          <w:rFonts w:ascii="Times New Roman" w:hAnsi="Times New Roman"/>
          <w:bCs/>
          <w:color w:val="000000" w:themeColor="text1"/>
          <w:sz w:val="24"/>
          <w:szCs w:val="24"/>
        </w:rPr>
        <w:t xml:space="preserve"> ir pieņēmis informatīvo ziņojumu „Par Eiropas Savienības struktūrfondu un Kohēzijas fonda pagaidu uzraudzības komitejas izveidi” (sēdes protokols Nr.50 23§). Šādas pagaidu uzraudzības komiteja tika izveidota, lai nodrošinātu partnerības līguma, darbības programmas un citu dokumentu sagatavošanas uzraudzību, kā arī īstenotu ieinteresēto pušu iesaisti un partnerības principa piemērošanu. </w:t>
      </w:r>
      <w:r w:rsidR="008E5444" w:rsidRPr="008E4EA2">
        <w:rPr>
          <w:rFonts w:ascii="Times New Roman" w:hAnsi="Times New Roman"/>
          <w:bCs/>
          <w:color w:val="000000" w:themeColor="text1"/>
          <w:sz w:val="24"/>
          <w:szCs w:val="24"/>
        </w:rPr>
        <w:t>MK</w:t>
      </w:r>
      <w:r w:rsidRPr="008E4EA2">
        <w:rPr>
          <w:rFonts w:ascii="Times New Roman" w:hAnsi="Times New Roman"/>
          <w:bCs/>
          <w:color w:val="000000" w:themeColor="text1"/>
          <w:sz w:val="24"/>
          <w:szCs w:val="24"/>
        </w:rPr>
        <w:t xml:space="preserve"> sēdes </w:t>
      </w:r>
      <w:proofErr w:type="spellStart"/>
      <w:r w:rsidRPr="008E4EA2">
        <w:rPr>
          <w:rFonts w:ascii="Times New Roman" w:hAnsi="Times New Roman"/>
          <w:bCs/>
          <w:color w:val="000000" w:themeColor="text1"/>
          <w:sz w:val="24"/>
          <w:szCs w:val="24"/>
        </w:rPr>
        <w:t>protokollēmumā</w:t>
      </w:r>
      <w:proofErr w:type="spellEnd"/>
      <w:r w:rsidRPr="008E4EA2">
        <w:rPr>
          <w:rFonts w:ascii="Times New Roman" w:hAnsi="Times New Roman"/>
          <w:bCs/>
          <w:color w:val="000000" w:themeColor="text1"/>
          <w:sz w:val="24"/>
          <w:szCs w:val="24"/>
        </w:rPr>
        <w:t xml:space="preserve"> finanšu ministram ir uzdots līdz 2012.gada 14.septembrim izveidot </w:t>
      </w:r>
      <w:r w:rsidR="008E5444" w:rsidRPr="008E4EA2">
        <w:rPr>
          <w:rFonts w:ascii="Times New Roman" w:hAnsi="Times New Roman"/>
          <w:bCs/>
          <w:color w:val="000000" w:themeColor="text1"/>
          <w:sz w:val="24"/>
          <w:szCs w:val="24"/>
        </w:rPr>
        <w:t>ES fondu</w:t>
      </w:r>
      <w:r w:rsidRPr="008E4EA2">
        <w:rPr>
          <w:rFonts w:ascii="Times New Roman" w:hAnsi="Times New Roman"/>
          <w:bCs/>
          <w:color w:val="000000" w:themeColor="text1"/>
          <w:sz w:val="24"/>
          <w:szCs w:val="24"/>
        </w:rPr>
        <w:t xml:space="preserve"> pagaidu uzraudzības komiteju, tās sastāvu un pienākumus nosakot saskaņā ar informatīvajā ziņojumā norādīto. Pagaidu uzraudzības komitejas personālsastāvu nosaka </w:t>
      </w:r>
      <w:r w:rsidR="008E5444" w:rsidRPr="008E4EA2">
        <w:rPr>
          <w:rFonts w:ascii="Times New Roman" w:hAnsi="Times New Roman"/>
          <w:bCs/>
          <w:color w:val="000000" w:themeColor="text1"/>
          <w:sz w:val="24"/>
          <w:szCs w:val="24"/>
        </w:rPr>
        <w:t>FM</w:t>
      </w:r>
      <w:r w:rsidRPr="008E4EA2">
        <w:rPr>
          <w:rFonts w:ascii="Times New Roman" w:hAnsi="Times New Roman"/>
          <w:bCs/>
          <w:color w:val="000000" w:themeColor="text1"/>
          <w:sz w:val="24"/>
          <w:szCs w:val="24"/>
        </w:rPr>
        <w:t xml:space="preserve"> 2012.gada 25.septembra rīkojums Nr.516 „Par Eiropas Savienības struktūrfondu un Kohēzijas fonda pagaidu uzraudzības komitejas izveidošanu”, savukārt uzdevumus, sastāvu, sanāksmju un saskaņošanas procedūras – </w:t>
      </w:r>
      <w:r w:rsidR="008E5444" w:rsidRPr="008E4EA2">
        <w:rPr>
          <w:rFonts w:ascii="Times New Roman" w:hAnsi="Times New Roman"/>
          <w:bCs/>
          <w:color w:val="000000" w:themeColor="text1"/>
          <w:sz w:val="24"/>
          <w:szCs w:val="24"/>
        </w:rPr>
        <w:t>FM</w:t>
      </w:r>
      <w:r w:rsidRPr="008E4EA2">
        <w:rPr>
          <w:rFonts w:ascii="Times New Roman" w:hAnsi="Times New Roman"/>
          <w:bCs/>
          <w:color w:val="000000" w:themeColor="text1"/>
          <w:sz w:val="24"/>
          <w:szCs w:val="24"/>
        </w:rPr>
        <w:t xml:space="preserve"> 2012.gada 25.septembra reglaments Nr.12-16/16 „Eiropas Savienības struktūrfondu un Kohēzijas fonda pagaidu uzraudzības komiteja</w:t>
      </w:r>
      <w:r w:rsidR="00B62EB6" w:rsidRPr="008E4EA2">
        <w:rPr>
          <w:rFonts w:ascii="Times New Roman" w:hAnsi="Times New Roman"/>
          <w:bCs/>
          <w:color w:val="000000" w:themeColor="text1"/>
          <w:sz w:val="24"/>
          <w:szCs w:val="24"/>
        </w:rPr>
        <w:t>s reglaments”.</w:t>
      </w:r>
    </w:p>
    <w:p w:rsidR="00D271C7" w:rsidRPr="008E4EA2" w:rsidRDefault="00D271C7" w:rsidP="003A0029">
      <w:pPr>
        <w:pStyle w:val="ListParagraph"/>
        <w:numPr>
          <w:ilvl w:val="0"/>
          <w:numId w:val="11"/>
        </w:numPr>
        <w:spacing w:before="120" w:after="120"/>
        <w:ind w:left="0"/>
        <w:jc w:val="both"/>
        <w:rPr>
          <w:rFonts w:ascii="Times New Roman" w:hAnsi="Times New Roman"/>
          <w:b/>
          <w:bCs/>
          <w:color w:val="000000" w:themeColor="text1"/>
          <w:sz w:val="24"/>
          <w:szCs w:val="24"/>
        </w:rPr>
      </w:pPr>
      <w:r w:rsidRPr="008E4EA2">
        <w:rPr>
          <w:rFonts w:ascii="Times New Roman" w:hAnsi="Times New Roman"/>
          <w:b/>
          <w:bCs/>
          <w:color w:val="000000" w:themeColor="text1"/>
          <w:sz w:val="24"/>
          <w:szCs w:val="24"/>
        </w:rPr>
        <w:t>Sanāksmes un tikšanās:</w:t>
      </w:r>
    </w:p>
    <w:p w:rsidR="00D271C7" w:rsidRPr="008E4EA2" w:rsidRDefault="00D271C7" w:rsidP="003A0029">
      <w:pPr>
        <w:pStyle w:val="ListParagraph"/>
        <w:numPr>
          <w:ilvl w:val="1"/>
          <w:numId w:val="11"/>
        </w:numPr>
        <w:spacing w:before="120" w:after="120"/>
        <w:ind w:left="709"/>
        <w:jc w:val="both"/>
        <w:rPr>
          <w:rFonts w:ascii="Times New Roman" w:hAnsi="Times New Roman"/>
          <w:bCs/>
          <w:color w:val="000000" w:themeColor="text1"/>
          <w:sz w:val="24"/>
          <w:szCs w:val="24"/>
        </w:rPr>
      </w:pPr>
      <w:r w:rsidRPr="008E4EA2">
        <w:rPr>
          <w:rFonts w:ascii="Times New Roman" w:hAnsi="Times New Roman"/>
          <w:bCs/>
          <w:color w:val="000000" w:themeColor="text1"/>
          <w:sz w:val="24"/>
          <w:szCs w:val="24"/>
        </w:rPr>
        <w:t>14.septembrī notika pagaidu uzraudzības komitejas pirmā sanāksme, kuras laikā tika saskaņots pagaidu uzraudzības komitejas reglaments un diskutēts par ES fondu 2014. – 2020.gada plānošanas perioda darbības programmas metodoloģiju un citiem ar nākamā perioda ES fondu plānošanas dokumentu sagatavošanu saistītiem jautājumiem;</w:t>
      </w:r>
    </w:p>
    <w:p w:rsidR="00D271C7" w:rsidRPr="008E4EA2" w:rsidRDefault="00D271C7" w:rsidP="003A0029">
      <w:pPr>
        <w:pStyle w:val="ListParagraph"/>
        <w:numPr>
          <w:ilvl w:val="1"/>
          <w:numId w:val="11"/>
        </w:numPr>
        <w:spacing w:before="120" w:after="120"/>
        <w:ind w:left="709"/>
        <w:jc w:val="both"/>
        <w:rPr>
          <w:rFonts w:ascii="Times New Roman" w:hAnsi="Times New Roman"/>
          <w:bCs/>
          <w:color w:val="000000" w:themeColor="text1"/>
          <w:sz w:val="24"/>
          <w:szCs w:val="24"/>
        </w:rPr>
      </w:pPr>
      <w:r w:rsidRPr="008E4EA2">
        <w:rPr>
          <w:rFonts w:ascii="Times New Roman" w:hAnsi="Times New Roman"/>
          <w:bCs/>
          <w:color w:val="000000" w:themeColor="text1"/>
          <w:sz w:val="24"/>
          <w:szCs w:val="24"/>
        </w:rPr>
        <w:t xml:space="preserve">11.septembrī </w:t>
      </w:r>
      <w:r w:rsidR="00C776AE" w:rsidRPr="008E4EA2">
        <w:rPr>
          <w:rFonts w:ascii="Times New Roman" w:hAnsi="Times New Roman"/>
          <w:bCs/>
          <w:color w:val="000000" w:themeColor="text1"/>
          <w:sz w:val="24"/>
          <w:szCs w:val="24"/>
        </w:rPr>
        <w:t>VI</w:t>
      </w:r>
      <w:r w:rsidRPr="008E4EA2">
        <w:rPr>
          <w:rFonts w:ascii="Times New Roman" w:hAnsi="Times New Roman"/>
          <w:bCs/>
          <w:color w:val="000000" w:themeColor="text1"/>
          <w:sz w:val="24"/>
          <w:szCs w:val="24"/>
        </w:rPr>
        <w:t xml:space="preserve"> tikās ar Eiropas Ekonomikas un sociālo lietu komitejas pārstāvjiem, lai padziļināti iepazīstinātu ar ES Kohēzijas politikas jautājumiem Latvijā. Vizīte Latvijā noris Eiropas Ekonomikas un sociālo lietu komitejas ziņojuma par Kohēzijas politikas vienoto stratēģisko ietvaru 2014.-2020.gada periodam sagatavošanas ietvaros;</w:t>
      </w:r>
    </w:p>
    <w:p w:rsidR="00D271C7" w:rsidRPr="008E4EA2" w:rsidRDefault="00D271C7" w:rsidP="003A0029">
      <w:pPr>
        <w:pStyle w:val="ListParagraph"/>
        <w:numPr>
          <w:ilvl w:val="1"/>
          <w:numId w:val="11"/>
        </w:numPr>
        <w:spacing w:before="120" w:after="120"/>
        <w:ind w:left="709"/>
        <w:jc w:val="both"/>
        <w:rPr>
          <w:rFonts w:ascii="Times New Roman" w:hAnsi="Times New Roman"/>
          <w:bCs/>
          <w:color w:val="000000" w:themeColor="text1"/>
          <w:sz w:val="24"/>
          <w:szCs w:val="24"/>
        </w:rPr>
      </w:pPr>
      <w:r w:rsidRPr="008E4EA2">
        <w:rPr>
          <w:rFonts w:ascii="Times New Roman" w:hAnsi="Times New Roman"/>
          <w:bCs/>
          <w:color w:val="000000" w:themeColor="text1"/>
          <w:sz w:val="24"/>
          <w:szCs w:val="24"/>
        </w:rPr>
        <w:t>31.augustā notika Kurzemes biznesa forums, kurā tika diskutēts par nacionālo un reģionālo attīstības centru attīstības plāniem nākamajam ES fondu plānošanas periodam 2014. – 2020.gadam, atbildīgo valsts pārvaldes institūciju un citu iesaistīto pušu interesēm, argumentiem, un viedokļiem par nacionālās nozīmes attīstības centra attīstības plānu ietekmi uz dažāda līmeņa teritoriju sociālās un ekonomiskās attīstības perspektīvām, cilvēkresursu kvalitāti kā būtisku attīstības faktoru un tādu jautājumu, kā ES fondu, ES un Latvijas finanšu atbalsta mehānismu un instrumentu un nodokļu konjunktūras lomu attīstības plānos iekļauto mērķu un uzdevumu īstenošanā;</w:t>
      </w:r>
    </w:p>
    <w:p w:rsidR="00D271C7" w:rsidRPr="008E4EA2" w:rsidRDefault="00D271C7" w:rsidP="003A0029">
      <w:pPr>
        <w:pStyle w:val="ListParagraph"/>
        <w:numPr>
          <w:ilvl w:val="1"/>
          <w:numId w:val="11"/>
        </w:numPr>
        <w:spacing w:before="120" w:after="120"/>
        <w:ind w:left="709"/>
        <w:jc w:val="both"/>
        <w:rPr>
          <w:rFonts w:ascii="Times New Roman" w:hAnsi="Times New Roman"/>
          <w:bCs/>
          <w:color w:val="000000" w:themeColor="text1"/>
          <w:sz w:val="24"/>
          <w:szCs w:val="24"/>
        </w:rPr>
      </w:pPr>
      <w:r w:rsidRPr="008E4EA2">
        <w:rPr>
          <w:rFonts w:ascii="Times New Roman" w:hAnsi="Times New Roman"/>
          <w:bCs/>
          <w:color w:val="000000" w:themeColor="text1"/>
          <w:sz w:val="24"/>
          <w:szCs w:val="24"/>
        </w:rPr>
        <w:t>10.augustā finanšu ministrs A.Vilks tikās ar Latvijas Darba devēju konfederācijas, Latvijas Pašvaldību savienības, Latvijas Brīvo arodbiedrību, Latvijas Lielo pilsētu asociāciju, Latvijas Tirdzniecības un rūpniecības kameras, kā arī Latvijas Komercbanku asociācijas pārstāvjiem, lai pārrunātu jautājumus, kas saistīti ar ES Kohēzijas politikas lomu ekonomikas izrāvienam Latvijā.</w:t>
      </w:r>
    </w:p>
    <w:p w:rsidR="0067049B" w:rsidRPr="008E4EA2" w:rsidRDefault="005D692C" w:rsidP="003A0029">
      <w:pPr>
        <w:pStyle w:val="2lmenis"/>
        <w:numPr>
          <w:ilvl w:val="1"/>
          <w:numId w:val="2"/>
        </w:numPr>
        <w:spacing w:before="120" w:after="120" w:line="276" w:lineRule="auto"/>
        <w:ind w:left="1276" w:hanging="425"/>
        <w:jc w:val="both"/>
        <w:rPr>
          <w:color w:val="000000" w:themeColor="text1"/>
          <w:sz w:val="24"/>
          <w:szCs w:val="24"/>
          <w:lang w:val="lv-LV"/>
        </w:rPr>
      </w:pPr>
      <w:bookmarkStart w:id="95" w:name="_Toc340241722"/>
      <w:r w:rsidRPr="008E4EA2">
        <w:rPr>
          <w:color w:val="000000" w:themeColor="text1"/>
          <w:sz w:val="24"/>
          <w:szCs w:val="24"/>
          <w:lang w:val="lv-LV"/>
        </w:rPr>
        <w:t>Nākamā pārskata periodā plānotie pasākumi</w:t>
      </w:r>
      <w:bookmarkEnd w:id="95"/>
    </w:p>
    <w:p w:rsidR="00D271C7" w:rsidRPr="008E4EA2" w:rsidRDefault="00D271C7" w:rsidP="003A0029">
      <w:pPr>
        <w:pStyle w:val="ListParagraph"/>
        <w:numPr>
          <w:ilvl w:val="0"/>
          <w:numId w:val="13"/>
        </w:numPr>
        <w:spacing w:before="120" w:after="120"/>
        <w:ind w:left="0"/>
        <w:jc w:val="both"/>
        <w:rPr>
          <w:rFonts w:ascii="Times New Roman" w:hAnsi="Times New Roman"/>
          <w:b/>
          <w:bCs/>
          <w:color w:val="000000" w:themeColor="text1"/>
          <w:sz w:val="24"/>
          <w:szCs w:val="24"/>
        </w:rPr>
      </w:pPr>
      <w:r w:rsidRPr="008E4EA2">
        <w:rPr>
          <w:rFonts w:ascii="Times New Roman" w:hAnsi="Times New Roman"/>
          <w:b/>
          <w:bCs/>
          <w:color w:val="000000" w:themeColor="text1"/>
          <w:sz w:val="24"/>
          <w:szCs w:val="24"/>
        </w:rPr>
        <w:t>ES līmenī tiek plānoti šādi pasākumi, kuros tiks nodrošināta Latvijas dalība:</w:t>
      </w:r>
    </w:p>
    <w:p w:rsidR="00D271C7" w:rsidRPr="008E4EA2" w:rsidRDefault="00D271C7" w:rsidP="003A0029">
      <w:pPr>
        <w:pStyle w:val="ListParagraph"/>
        <w:numPr>
          <w:ilvl w:val="0"/>
          <w:numId w:val="14"/>
        </w:numPr>
        <w:spacing w:before="120" w:after="120"/>
        <w:ind w:left="709"/>
        <w:jc w:val="both"/>
        <w:rPr>
          <w:rFonts w:ascii="Times New Roman" w:hAnsi="Times New Roman"/>
          <w:bCs/>
          <w:color w:val="000000" w:themeColor="text1"/>
          <w:sz w:val="24"/>
          <w:szCs w:val="24"/>
        </w:rPr>
      </w:pPr>
      <w:r w:rsidRPr="008E4EA2">
        <w:rPr>
          <w:rFonts w:ascii="Times New Roman" w:hAnsi="Times New Roman"/>
          <w:bCs/>
          <w:color w:val="000000" w:themeColor="text1"/>
          <w:sz w:val="24"/>
          <w:szCs w:val="24"/>
        </w:rPr>
        <w:lastRenderedPageBreak/>
        <w:t>5.oktobrī Bratislavā notiks augsta līmeņa „Kohēzijas draugu” sanāksme, kurā plānots diskutēt par Kohēzijas politikas fondu finanšu apjoma saglābšanas iespējām ES jaunā plānošanas perioda budžeta kontekstā;</w:t>
      </w:r>
    </w:p>
    <w:p w:rsidR="00D271C7" w:rsidRPr="008E4EA2" w:rsidRDefault="00D271C7" w:rsidP="003A0029">
      <w:pPr>
        <w:pStyle w:val="ListParagraph"/>
        <w:numPr>
          <w:ilvl w:val="0"/>
          <w:numId w:val="14"/>
        </w:numPr>
        <w:spacing w:before="120" w:after="120"/>
        <w:ind w:left="709"/>
        <w:jc w:val="both"/>
        <w:rPr>
          <w:rFonts w:ascii="Times New Roman" w:hAnsi="Times New Roman"/>
          <w:bCs/>
          <w:color w:val="000000" w:themeColor="text1"/>
          <w:sz w:val="24"/>
          <w:szCs w:val="24"/>
        </w:rPr>
      </w:pPr>
      <w:r w:rsidRPr="008E4EA2">
        <w:rPr>
          <w:rFonts w:ascii="Times New Roman" w:hAnsi="Times New Roman"/>
          <w:bCs/>
          <w:color w:val="000000" w:themeColor="text1"/>
          <w:sz w:val="24"/>
          <w:szCs w:val="24"/>
        </w:rPr>
        <w:t>No 8. līdz 9.oktobrim Kiprā notiks Kohēzijas politikas un pilsētvides attīstības direktoru tikšanās, 6.novembrī – neformālā ministru padome Kohēzijas politika, bet 16.oktobrī, 26.novembrī, 10.decembrī – ES Vispārējo lietu padome uz kuru būs nepieciešams aktualizēt Latvijas nacionālo pozīciju;</w:t>
      </w:r>
    </w:p>
    <w:p w:rsidR="00D271C7" w:rsidRPr="008E4EA2" w:rsidRDefault="00D271C7" w:rsidP="003A0029">
      <w:pPr>
        <w:pStyle w:val="ListParagraph"/>
        <w:numPr>
          <w:ilvl w:val="0"/>
          <w:numId w:val="14"/>
        </w:numPr>
        <w:spacing w:before="120" w:after="120"/>
        <w:ind w:left="709"/>
        <w:jc w:val="both"/>
        <w:rPr>
          <w:rFonts w:ascii="Times New Roman" w:hAnsi="Times New Roman"/>
          <w:bCs/>
          <w:color w:val="000000" w:themeColor="text1"/>
          <w:sz w:val="24"/>
          <w:szCs w:val="24"/>
        </w:rPr>
      </w:pPr>
      <w:r w:rsidRPr="008E4EA2">
        <w:rPr>
          <w:rFonts w:ascii="Times New Roman" w:hAnsi="Times New Roman"/>
          <w:bCs/>
          <w:color w:val="000000" w:themeColor="text1"/>
          <w:sz w:val="24"/>
          <w:szCs w:val="24"/>
        </w:rPr>
        <w:t xml:space="preserve">Savukārt no 18. līdz 19.oktobrim, 22.novembrī un no 13. līdz 14.decembrim notiks Eiropadome par ES daudzgadu budžetu 2014. – 2020.gadam. </w:t>
      </w:r>
    </w:p>
    <w:p w:rsidR="00D271C7" w:rsidRPr="008E4EA2" w:rsidRDefault="00D271C7" w:rsidP="003A0029">
      <w:pPr>
        <w:pStyle w:val="ListParagraph"/>
        <w:numPr>
          <w:ilvl w:val="0"/>
          <w:numId w:val="13"/>
        </w:numPr>
        <w:spacing w:before="120" w:after="120"/>
        <w:ind w:left="0"/>
        <w:jc w:val="both"/>
        <w:rPr>
          <w:rFonts w:ascii="Times New Roman" w:hAnsi="Times New Roman"/>
          <w:b/>
          <w:bCs/>
          <w:color w:val="000000" w:themeColor="text1"/>
          <w:sz w:val="24"/>
          <w:szCs w:val="24"/>
        </w:rPr>
      </w:pPr>
      <w:r w:rsidRPr="008E4EA2">
        <w:rPr>
          <w:rFonts w:ascii="Times New Roman" w:hAnsi="Times New Roman"/>
          <w:b/>
          <w:bCs/>
          <w:color w:val="000000" w:themeColor="text1"/>
          <w:sz w:val="24"/>
          <w:szCs w:val="24"/>
        </w:rPr>
        <w:t>Nacionālajā līmenī ir plānotas šādas tikšanās un pasākumi:</w:t>
      </w:r>
    </w:p>
    <w:p w:rsidR="00D271C7" w:rsidRPr="008E4EA2" w:rsidRDefault="00D271C7" w:rsidP="003A0029">
      <w:pPr>
        <w:pStyle w:val="ListParagraph"/>
        <w:numPr>
          <w:ilvl w:val="0"/>
          <w:numId w:val="15"/>
        </w:numPr>
        <w:spacing w:before="120" w:after="120"/>
        <w:ind w:left="709"/>
        <w:jc w:val="both"/>
        <w:rPr>
          <w:rFonts w:ascii="Times New Roman" w:hAnsi="Times New Roman"/>
          <w:bCs/>
          <w:color w:val="000000" w:themeColor="text1"/>
          <w:sz w:val="24"/>
          <w:szCs w:val="24"/>
        </w:rPr>
      </w:pPr>
      <w:r w:rsidRPr="008E4EA2">
        <w:rPr>
          <w:rFonts w:ascii="Times New Roman" w:hAnsi="Times New Roman"/>
          <w:bCs/>
          <w:color w:val="000000" w:themeColor="text1"/>
          <w:sz w:val="24"/>
          <w:szCs w:val="24"/>
        </w:rPr>
        <w:t xml:space="preserve">3.oktobrī notiks </w:t>
      </w:r>
      <w:r w:rsidR="0053704A" w:rsidRPr="008E4EA2">
        <w:rPr>
          <w:rFonts w:ascii="Times New Roman" w:hAnsi="Times New Roman"/>
          <w:bCs/>
          <w:color w:val="000000" w:themeColor="text1"/>
          <w:sz w:val="24"/>
          <w:szCs w:val="24"/>
        </w:rPr>
        <w:t>DG EMPL</w:t>
      </w:r>
      <w:r w:rsidRPr="008E4EA2">
        <w:rPr>
          <w:rFonts w:ascii="Times New Roman" w:hAnsi="Times New Roman"/>
          <w:bCs/>
          <w:color w:val="000000" w:themeColor="text1"/>
          <w:sz w:val="24"/>
          <w:szCs w:val="24"/>
        </w:rPr>
        <w:t xml:space="preserve"> ikgadējā izvērtēšanas sanāksme Latvijā, kā ietvaros tiks uzrunāts arī ES fondu nākamā plānošanas perioda jautājums.</w:t>
      </w:r>
    </w:p>
    <w:p w:rsidR="00D271C7" w:rsidRPr="008E4EA2" w:rsidRDefault="00D271C7" w:rsidP="003A0029">
      <w:pPr>
        <w:pStyle w:val="ListParagraph"/>
        <w:numPr>
          <w:ilvl w:val="0"/>
          <w:numId w:val="15"/>
        </w:numPr>
        <w:spacing w:before="120" w:after="120"/>
        <w:ind w:left="709"/>
        <w:jc w:val="both"/>
        <w:rPr>
          <w:rFonts w:ascii="Times New Roman" w:hAnsi="Times New Roman"/>
          <w:bCs/>
          <w:color w:val="000000" w:themeColor="text1"/>
          <w:sz w:val="24"/>
          <w:szCs w:val="24"/>
        </w:rPr>
      </w:pPr>
      <w:r w:rsidRPr="008E4EA2">
        <w:rPr>
          <w:rFonts w:ascii="Times New Roman" w:hAnsi="Times New Roman"/>
          <w:bCs/>
          <w:color w:val="000000" w:themeColor="text1"/>
          <w:sz w:val="24"/>
          <w:szCs w:val="24"/>
        </w:rPr>
        <w:t>5.oktobrī tiks rīkota Ārlietu ministrijas konference par ES daudzgadu budžetu 2014. – 2020.gadam;</w:t>
      </w:r>
    </w:p>
    <w:p w:rsidR="00D271C7" w:rsidRPr="008E4EA2" w:rsidRDefault="00D271C7" w:rsidP="003A0029">
      <w:pPr>
        <w:pStyle w:val="ListParagraph"/>
        <w:numPr>
          <w:ilvl w:val="0"/>
          <w:numId w:val="15"/>
        </w:numPr>
        <w:spacing w:before="120" w:after="120"/>
        <w:ind w:left="709"/>
        <w:jc w:val="both"/>
        <w:rPr>
          <w:rFonts w:ascii="Times New Roman" w:hAnsi="Times New Roman"/>
          <w:bCs/>
          <w:color w:val="000000" w:themeColor="text1"/>
          <w:sz w:val="24"/>
          <w:szCs w:val="24"/>
        </w:rPr>
      </w:pPr>
      <w:r w:rsidRPr="008E4EA2">
        <w:rPr>
          <w:rFonts w:ascii="Times New Roman" w:hAnsi="Times New Roman"/>
          <w:bCs/>
          <w:color w:val="000000" w:themeColor="text1"/>
          <w:sz w:val="24"/>
          <w:szCs w:val="24"/>
        </w:rPr>
        <w:t xml:space="preserve"> Oktobra beigās ir plānota Latvijas pārstāvju vizīte Briselē, kurā tiks uzsāktas diskusijas par EK izstrādāto pozīcijas dokumentu par ES Kohēzijas politikas investīcijām Latvijā pēc 2013.gada. Tiek plānots, ka pozīcijas dokumenta prezentēšana Latvijā norisināsies 4.decembrī. </w:t>
      </w:r>
    </w:p>
    <w:p w:rsidR="00D271C7" w:rsidRPr="008E4EA2" w:rsidRDefault="00D271C7"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Arī nākamajā ceturksnī tiks turpinātas aktivitātes, lai sagatavotu ES fondu plānošanas dokumentus – partnerības līgumu un darbības programmu.</w:t>
      </w:r>
    </w:p>
    <w:p w:rsidR="00D271C7" w:rsidRPr="008E4EA2" w:rsidRDefault="00D271C7"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Tiks sagatavots Koncepcijas „Par Eiropas Reģionālās attīstības fonda, Eiropas Sociālā fonda, Kohēzijas fonda, Eiropas Lauksaimniecības fonda lauku attīstībai un Eiropas Jūrlietu un zivsaimniecības fonda institucionālo sistēmu 2014. – 2020.gadā” projekts un izsludināts VSS.</w:t>
      </w:r>
    </w:p>
    <w:p w:rsidR="00D03A16" w:rsidRPr="008E4EA2" w:rsidRDefault="00D271C7"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Tiks veikts iepirkums ES Kohēzijas politikas fo</w:t>
      </w:r>
      <w:r w:rsidR="005F03A9" w:rsidRPr="008E4EA2">
        <w:rPr>
          <w:rFonts w:eastAsia="EUAlbertina-Bold-Identity-H"/>
          <w:color w:val="000000" w:themeColor="text1"/>
          <w:szCs w:val="24"/>
          <w:lang w:eastAsia="lv-LV"/>
        </w:rPr>
        <w:t>ndu darbības programmas 2014. –</w:t>
      </w:r>
      <w:r w:rsidRPr="008E4EA2">
        <w:rPr>
          <w:rFonts w:eastAsia="EUAlbertina-Bold-Identity-H"/>
          <w:color w:val="000000" w:themeColor="text1"/>
          <w:szCs w:val="24"/>
          <w:lang w:eastAsia="lv-LV"/>
        </w:rPr>
        <w:t>2020.gadam sākotnējā (</w:t>
      </w:r>
      <w:proofErr w:type="spellStart"/>
      <w:r w:rsidRPr="008E4EA2">
        <w:rPr>
          <w:rFonts w:eastAsia="EUAlbertina-Bold-Identity-H"/>
          <w:color w:val="000000" w:themeColor="text1"/>
          <w:szCs w:val="24"/>
          <w:lang w:eastAsia="lv-LV"/>
        </w:rPr>
        <w:t>ex-ante)</w:t>
      </w:r>
      <w:proofErr w:type="spellEnd"/>
      <w:r w:rsidRPr="008E4EA2">
        <w:rPr>
          <w:rFonts w:eastAsia="EUAlbertina-Bold-Identity-H"/>
          <w:color w:val="000000" w:themeColor="text1"/>
          <w:szCs w:val="24"/>
          <w:lang w:eastAsia="lv-LV"/>
        </w:rPr>
        <w:t xml:space="preserve"> izvērtējuma izstrādei.</w:t>
      </w:r>
    </w:p>
    <w:p w:rsidR="00D03A16" w:rsidRPr="008E4EA2" w:rsidRDefault="00D03A16" w:rsidP="003A0029">
      <w:pPr>
        <w:pStyle w:val="1lmenis"/>
        <w:spacing w:before="120" w:after="120" w:line="276" w:lineRule="auto"/>
        <w:ind w:left="709"/>
        <w:rPr>
          <w:rFonts w:ascii="Times New Roman" w:hAnsi="Times New Roman"/>
          <w:color w:val="000000" w:themeColor="text1"/>
          <w:sz w:val="24"/>
          <w:szCs w:val="24"/>
          <w:lang w:val="lv-LV"/>
        </w:rPr>
      </w:pPr>
      <w:bookmarkStart w:id="96" w:name="_Toc340241723"/>
      <w:r w:rsidRPr="008E4EA2">
        <w:rPr>
          <w:rFonts w:ascii="Times New Roman" w:hAnsi="Times New Roman"/>
          <w:color w:val="000000" w:themeColor="text1"/>
          <w:sz w:val="24"/>
          <w:szCs w:val="24"/>
          <w:lang w:val="lv-LV"/>
        </w:rPr>
        <w:t>Informācija par publicitātes pasākumiem</w:t>
      </w:r>
      <w:bookmarkEnd w:id="96"/>
    </w:p>
    <w:p w:rsidR="00D03A16" w:rsidRPr="008E4EA2" w:rsidRDefault="00D03A16" w:rsidP="003A0029">
      <w:pPr>
        <w:spacing w:before="120" w:after="120" w:line="276" w:lineRule="auto"/>
        <w:rPr>
          <w:rFonts w:eastAsia="EUAlbertina-Bold-Identity-H"/>
          <w:color w:val="000000" w:themeColor="text1"/>
          <w:szCs w:val="24"/>
          <w:lang w:eastAsia="lv-LV"/>
        </w:rPr>
      </w:pPr>
      <w:r w:rsidRPr="008E4EA2">
        <w:rPr>
          <w:bCs/>
          <w:color w:val="000000" w:themeColor="text1"/>
          <w:szCs w:val="24"/>
        </w:rPr>
        <w:t>8</w:t>
      </w:r>
      <w:r w:rsidRPr="008E4EA2">
        <w:rPr>
          <w:rFonts w:eastAsia="EUAlbertina-Bold-Identity-H"/>
          <w:color w:val="000000" w:themeColor="text1"/>
          <w:szCs w:val="24"/>
          <w:lang w:eastAsia="lv-LV"/>
        </w:rPr>
        <w:t>.-9. septembrī FM sadarbībā ar plānošanas reģioniem, Latvijas Pašvaldību savienību un Latvijas Lielo pilsētu asociāciju rīkoja ES fondu projektu atvērtās dienas Latvijā ar mērķi iedzīvotājus iepazīstināt ar īstenotiem ES fondu projektiem un celt ES fondu atpazīstamību.</w:t>
      </w:r>
    </w:p>
    <w:p w:rsidR="00D03A16" w:rsidRPr="008E4EA2" w:rsidRDefault="00D03A16"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Projektu dienās ikvienam Latvijas iedzīvotājam no vairāk nekā pieciem tūkstošiem ES fondu finansētu projektu apskatei bija</w:t>
      </w:r>
      <w:r w:rsidR="005E1672">
        <w:rPr>
          <w:rFonts w:eastAsia="EUAlbertina-Bold-Identity-H"/>
          <w:color w:val="000000" w:themeColor="text1"/>
          <w:szCs w:val="24"/>
          <w:lang w:eastAsia="lv-LV"/>
        </w:rPr>
        <w:t xml:space="preserve"> </w:t>
      </w:r>
      <w:r w:rsidRPr="008E4EA2">
        <w:rPr>
          <w:rFonts w:eastAsia="EUAlbertina-Bold-Identity-H"/>
          <w:color w:val="000000" w:themeColor="text1"/>
          <w:szCs w:val="24"/>
          <w:lang w:eastAsia="lv-LV"/>
        </w:rPr>
        <w:t xml:space="preserve">atvērti 170 ES fondu finansēti projekti ikvienā Latvijas reģionā. Vairums no tiem bija pašvaldībās īstenoti sabiedriski nozīmīgi ES fondu projekti: gan atjaunotas skolas, bērnudārzi, bērnu un jauniešu centri, gan kultūrvēstures un tūrisma objekti, jaunās koncertzāles Vidzemē un Latgalē, siltinātas ēkas, kā arī izveidoti gājēju un veloceliņi un uzlabotas ielas. Projektu dienās piedalījās arī atsevišķi uzņēmumi, kas parādīja savas ražotnes un ieviestos jauninājumus, kā arī vairākas augstskolas. Sociālo jomu pārstāvēja ESF projekti. Apskatāmo objektu karti var skatīt </w:t>
      </w:r>
      <w:hyperlink r:id="rId67" w:history="1">
        <w:r w:rsidRPr="008E4EA2">
          <w:rPr>
            <w:rStyle w:val="Hyperlink"/>
            <w:rFonts w:ascii="Times New Roman" w:eastAsia="EUAlbertina-Bold-Identity-H" w:hAnsi="Times New Roman" w:cs="Times New Roman"/>
            <w:color w:val="000000" w:themeColor="text1"/>
            <w:sz w:val="24"/>
            <w:szCs w:val="24"/>
            <w:lang w:eastAsia="lv-LV"/>
          </w:rPr>
          <w:t>ES fondu interneta vietnē</w:t>
        </w:r>
      </w:hyperlink>
      <w:r w:rsidRPr="008E4EA2">
        <w:rPr>
          <w:rFonts w:eastAsia="EUAlbertina-Bold-Identity-H"/>
          <w:color w:val="000000" w:themeColor="text1"/>
          <w:szCs w:val="24"/>
          <w:lang w:eastAsia="lv-LV"/>
        </w:rPr>
        <w:t>.</w:t>
      </w:r>
    </w:p>
    <w:p w:rsidR="00D03A16" w:rsidRPr="008E4EA2" w:rsidRDefault="00D03A16"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lastRenderedPageBreak/>
        <w:t>ES fondu finansētie projekti reprezentē kohēzijas politikas jeb ES fondu finansēj</w:t>
      </w:r>
      <w:r w:rsidR="005F03A9" w:rsidRPr="008E4EA2">
        <w:rPr>
          <w:rFonts w:eastAsia="EUAlbertina-Bold-Identity-H"/>
          <w:color w:val="000000" w:themeColor="text1"/>
          <w:szCs w:val="24"/>
          <w:lang w:eastAsia="lv-LV"/>
        </w:rPr>
        <w:t>umu izaugsmei 2007.-2013.gadā 3,</w:t>
      </w:r>
      <w:r w:rsidRPr="008E4EA2">
        <w:rPr>
          <w:rFonts w:eastAsia="EUAlbertina-Bold-Identity-H"/>
          <w:color w:val="000000" w:themeColor="text1"/>
          <w:szCs w:val="24"/>
          <w:lang w:eastAsia="lv-LV"/>
        </w:rPr>
        <w:t>2 miljardu latu apmērā. Tās ir visnozīmīgākās investīcijas Latvijā un veido 70% no kopējā publiskajā finansējuma. Pateicoties šiem ieguldījumiem, Latvijas dzīves līmenis ir būtiski tuvinājies ES vidējam līmenim.</w:t>
      </w:r>
    </w:p>
    <w:p w:rsidR="00D03A16" w:rsidRPr="008E4EA2" w:rsidRDefault="00D03A16"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 xml:space="preserve">Projektu dienas apmeklēja aptuveni 3170 iedzīvotāju, no tiem Latgalē ap 883, Vidzemē 690, Zemgalē 581, Rīgā 560, Kurzemē 454. Projektu dienu atspoguļojums medijos </w:t>
      </w:r>
      <w:r w:rsidR="005F03A9" w:rsidRPr="008E4EA2">
        <w:rPr>
          <w:rFonts w:eastAsia="EUAlbertina-Bold-Identity-H"/>
          <w:color w:val="000000" w:themeColor="text1"/>
          <w:szCs w:val="24"/>
          <w:lang w:eastAsia="lv-LV"/>
        </w:rPr>
        <w:t>tika sniegts 20 publikācijā</w:t>
      </w:r>
      <w:r w:rsidRPr="008E4EA2">
        <w:rPr>
          <w:rFonts w:eastAsia="EUAlbertina-Bold-Identity-H"/>
          <w:color w:val="000000" w:themeColor="text1"/>
          <w:szCs w:val="24"/>
          <w:lang w:eastAsia="lv-LV"/>
        </w:rPr>
        <w:t>s reģionā</w:t>
      </w:r>
      <w:r w:rsidR="005F03A9" w:rsidRPr="008E4EA2">
        <w:rPr>
          <w:rFonts w:eastAsia="EUAlbertina-Bold-Identity-H"/>
          <w:color w:val="000000" w:themeColor="text1"/>
          <w:szCs w:val="24"/>
          <w:lang w:eastAsia="lv-LV"/>
        </w:rPr>
        <w:t>lajos laikrakstos, publikācijā</w:t>
      </w:r>
      <w:r w:rsidRPr="008E4EA2">
        <w:rPr>
          <w:rFonts w:eastAsia="EUAlbertina-Bold-Identity-H"/>
          <w:color w:val="000000" w:themeColor="text1"/>
          <w:szCs w:val="24"/>
          <w:lang w:eastAsia="lv-LV"/>
        </w:rPr>
        <w:t xml:space="preserve"> nacionālajā laik</w:t>
      </w:r>
      <w:r w:rsidR="005F03A9" w:rsidRPr="008E4EA2">
        <w:rPr>
          <w:rFonts w:eastAsia="EUAlbertina-Bold-Identity-H"/>
          <w:color w:val="000000" w:themeColor="text1"/>
          <w:szCs w:val="24"/>
          <w:lang w:eastAsia="lv-LV"/>
        </w:rPr>
        <w:t>rakstā Latvijas Avīze, intervijā</w:t>
      </w:r>
      <w:r w:rsidRPr="008E4EA2">
        <w:rPr>
          <w:rFonts w:eastAsia="EUAlbertina-Bold-Identity-H"/>
          <w:color w:val="000000" w:themeColor="text1"/>
          <w:szCs w:val="24"/>
          <w:lang w:eastAsia="lv-LV"/>
        </w:rPr>
        <w:t>s Ogres, Latgales un Vidzemes reģionālajās televīzijās, Jēkabpils reģionālajā radio 1, sižet</w:t>
      </w:r>
      <w:r w:rsidR="005F03A9" w:rsidRPr="008E4EA2">
        <w:rPr>
          <w:rFonts w:eastAsia="EUAlbertina-Bold-Identity-H"/>
          <w:color w:val="000000" w:themeColor="text1"/>
          <w:szCs w:val="24"/>
          <w:lang w:eastAsia="lv-LV"/>
        </w:rPr>
        <w:t>ā LTV raidījumā „</w:t>
      </w:r>
      <w:proofErr w:type="spellStart"/>
      <w:r w:rsidRPr="008E4EA2">
        <w:rPr>
          <w:rFonts w:eastAsia="EUAlbertina-Bold-Identity-H"/>
          <w:color w:val="000000" w:themeColor="text1"/>
          <w:szCs w:val="24"/>
          <w:lang w:eastAsia="lv-LV"/>
        </w:rPr>
        <w:t>Eirobu</w:t>
      </w:r>
      <w:r w:rsidR="005F03A9" w:rsidRPr="008E4EA2">
        <w:rPr>
          <w:rFonts w:eastAsia="EUAlbertina-Bold-Identity-H"/>
          <w:color w:val="000000" w:themeColor="text1"/>
          <w:szCs w:val="24"/>
          <w:lang w:eastAsia="lv-LV"/>
        </w:rPr>
        <w:t>siņš</w:t>
      </w:r>
      <w:proofErr w:type="spellEnd"/>
      <w:r w:rsidR="005F03A9" w:rsidRPr="008E4EA2">
        <w:rPr>
          <w:rFonts w:eastAsia="EUAlbertina-Bold-Identity-H"/>
          <w:color w:val="000000" w:themeColor="text1"/>
          <w:szCs w:val="24"/>
          <w:lang w:eastAsia="lv-LV"/>
        </w:rPr>
        <w:t>” un projektu dienām veltītā raidījumā</w:t>
      </w:r>
      <w:r w:rsidR="005E1672">
        <w:rPr>
          <w:rFonts w:eastAsia="EUAlbertina-Bold-Identity-H"/>
          <w:color w:val="000000" w:themeColor="text1"/>
          <w:szCs w:val="24"/>
          <w:lang w:eastAsia="lv-LV"/>
        </w:rPr>
        <w:t xml:space="preserve"> </w:t>
      </w:r>
      <w:r w:rsidR="005F03A9" w:rsidRPr="008E4EA2">
        <w:rPr>
          <w:rFonts w:eastAsia="EUAlbertina-Bold-Identity-H"/>
          <w:color w:val="000000" w:themeColor="text1"/>
          <w:szCs w:val="24"/>
          <w:lang w:eastAsia="lv-LV"/>
        </w:rPr>
        <w:t xml:space="preserve">LR1 raidījumā „Eiropa-fondi”. </w:t>
      </w:r>
      <w:r w:rsidRPr="008E4EA2">
        <w:rPr>
          <w:rFonts w:eastAsia="EUAlbertina-Bold-Identity-H"/>
          <w:color w:val="000000" w:themeColor="text1"/>
          <w:szCs w:val="24"/>
          <w:lang w:eastAsia="lv-LV"/>
        </w:rPr>
        <w:t xml:space="preserve">Foto no projektu dienām skatāmi </w:t>
      </w:r>
      <w:hyperlink r:id="rId68" w:history="1">
        <w:r w:rsidRPr="008E4EA2">
          <w:rPr>
            <w:rStyle w:val="Hyperlink"/>
            <w:rFonts w:ascii="Times New Roman" w:eastAsia="EUAlbertina-Bold-Identity-H" w:hAnsi="Times New Roman" w:cs="Times New Roman"/>
            <w:color w:val="000000" w:themeColor="text1"/>
            <w:sz w:val="24"/>
            <w:szCs w:val="24"/>
            <w:lang w:eastAsia="lv-LV"/>
          </w:rPr>
          <w:t>ES fondu interneta vietnē</w:t>
        </w:r>
      </w:hyperlink>
      <w:r w:rsidRPr="008E4EA2">
        <w:rPr>
          <w:rFonts w:eastAsia="EUAlbertina-Bold-Identity-H"/>
          <w:color w:val="000000" w:themeColor="text1"/>
          <w:szCs w:val="24"/>
          <w:lang w:eastAsia="lv-LV"/>
        </w:rPr>
        <w:t>.</w:t>
      </w:r>
    </w:p>
    <w:p w:rsidR="00D03A16" w:rsidRPr="008E4EA2" w:rsidRDefault="00D03A16" w:rsidP="003A0029">
      <w:pPr>
        <w:spacing w:before="120" w:after="120" w:line="276" w:lineRule="auto"/>
        <w:rPr>
          <w:rFonts w:eastAsia="EUAlbertina-Bold-Identity-H"/>
          <w:color w:val="000000" w:themeColor="text1"/>
          <w:szCs w:val="24"/>
          <w:lang w:eastAsia="lv-LV"/>
        </w:rPr>
      </w:pPr>
      <w:r w:rsidRPr="008E4EA2">
        <w:rPr>
          <w:rFonts w:eastAsia="EUAlbertina-Bold-Identity-H"/>
          <w:color w:val="000000" w:themeColor="text1"/>
          <w:szCs w:val="24"/>
          <w:lang w:eastAsia="lv-LV"/>
        </w:rPr>
        <w:t>Gūtās atziņas:</w:t>
      </w:r>
    </w:p>
    <w:p w:rsidR="00D03A16" w:rsidRPr="008E4EA2" w:rsidRDefault="00D03A16" w:rsidP="003A0029">
      <w:pPr>
        <w:pStyle w:val="ListParagraph"/>
        <w:numPr>
          <w:ilvl w:val="0"/>
          <w:numId w:val="40"/>
        </w:numPr>
        <w:spacing w:before="120" w:after="120"/>
        <w:jc w:val="both"/>
        <w:rPr>
          <w:rFonts w:ascii="Times New Roman" w:eastAsia="EUAlbertina-Bold-Identity-H" w:hAnsi="Times New Roman"/>
          <w:color w:val="000000" w:themeColor="text1"/>
          <w:sz w:val="24"/>
          <w:szCs w:val="24"/>
          <w:lang w:eastAsia="lv-LV"/>
        </w:rPr>
      </w:pPr>
      <w:r w:rsidRPr="008E4EA2">
        <w:rPr>
          <w:rFonts w:ascii="Times New Roman" w:eastAsia="EUAlbertina-Bold-Identity-H" w:hAnsi="Times New Roman"/>
          <w:color w:val="000000" w:themeColor="text1"/>
          <w:sz w:val="24"/>
          <w:szCs w:val="24"/>
          <w:lang w:eastAsia="lv-LV"/>
        </w:rPr>
        <w:t xml:space="preserve">Projekti, kuru izvēlētā specifika bija saistoša iedzīvotājiem un kuros tika piedāvātas īpašas aktivitātes, guva intensīvāku apmeklētāju skaitu, piemēram, Rēzeknes jauniešu interešu izglītības centrs CARANDACHE (457 apmeklētāji), Baložu veloceliņš (100 apmeklētāji), Alūksnes pils (90 apmeklētāji), Līgatnes papīrfabrikas ciemata kultūrvēsturiskā tūrisma taka (130 apmeklētāji), Limbažu vēsturiskā centra renovācija tūrisma attīstībai (200 apmeklētāji) </w:t>
      </w:r>
      <w:proofErr w:type="spellStart"/>
      <w:r w:rsidRPr="008E4EA2">
        <w:rPr>
          <w:rFonts w:ascii="Times New Roman" w:eastAsia="EUAlbertina-Bold-Identity-H" w:hAnsi="Times New Roman"/>
          <w:color w:val="000000" w:themeColor="text1"/>
          <w:sz w:val="24"/>
          <w:szCs w:val="24"/>
          <w:lang w:eastAsia="lv-LV"/>
        </w:rPr>
        <w:t>u.c</w:t>
      </w:r>
      <w:proofErr w:type="spellEnd"/>
      <w:r w:rsidRPr="008E4EA2">
        <w:rPr>
          <w:rFonts w:ascii="Times New Roman" w:eastAsia="EUAlbertina-Bold-Identity-H" w:hAnsi="Times New Roman"/>
          <w:color w:val="000000" w:themeColor="text1"/>
          <w:sz w:val="24"/>
          <w:szCs w:val="24"/>
          <w:lang w:eastAsia="lv-LV"/>
        </w:rPr>
        <w:t>.</w:t>
      </w:r>
      <w:r w:rsidR="005F03A9" w:rsidRPr="008E4EA2">
        <w:rPr>
          <w:rFonts w:ascii="Times New Roman" w:eastAsia="EUAlbertina-Bold-Identity-H" w:hAnsi="Times New Roman"/>
          <w:color w:val="000000" w:themeColor="text1"/>
          <w:sz w:val="24"/>
          <w:szCs w:val="24"/>
          <w:lang w:eastAsia="lv-LV"/>
        </w:rPr>
        <w:t>;</w:t>
      </w:r>
    </w:p>
    <w:p w:rsidR="00D03A16" w:rsidRPr="008E4EA2" w:rsidRDefault="00D03A16" w:rsidP="003A0029">
      <w:pPr>
        <w:pStyle w:val="ListParagraph"/>
        <w:numPr>
          <w:ilvl w:val="0"/>
          <w:numId w:val="40"/>
        </w:numPr>
        <w:spacing w:before="120" w:after="120"/>
        <w:jc w:val="both"/>
        <w:rPr>
          <w:rFonts w:ascii="Times New Roman" w:eastAsia="EUAlbertina-Bold-Identity-H" w:hAnsi="Times New Roman"/>
          <w:color w:val="000000" w:themeColor="text1"/>
          <w:sz w:val="24"/>
          <w:szCs w:val="24"/>
          <w:lang w:eastAsia="lv-LV"/>
        </w:rPr>
      </w:pPr>
      <w:r w:rsidRPr="008E4EA2">
        <w:rPr>
          <w:rFonts w:ascii="Times New Roman" w:eastAsia="EUAlbertina-Bold-Identity-H" w:hAnsi="Times New Roman"/>
          <w:color w:val="000000" w:themeColor="text1"/>
          <w:sz w:val="24"/>
          <w:szCs w:val="24"/>
          <w:lang w:eastAsia="lv-LV"/>
        </w:rPr>
        <w:t>Saskaņā ar reģionu vērtējumu turpmāk apskatei nevajadzētu piedāvāt pašvaldību īstenotos projektus, jo vairums no tiem ir plaši pieejami sabiedrībai un vietējie iedzīvotāji tos ir apskatījuši gan ikdienā, gan pašvaldību īstenotajos pasākumos.</w:t>
      </w:r>
      <w:r w:rsidR="005E1672">
        <w:rPr>
          <w:rFonts w:ascii="Times New Roman" w:eastAsia="EUAlbertina-Bold-Identity-H" w:hAnsi="Times New Roman"/>
          <w:color w:val="000000" w:themeColor="text1"/>
          <w:sz w:val="24"/>
          <w:szCs w:val="24"/>
          <w:lang w:eastAsia="lv-LV"/>
        </w:rPr>
        <w:t xml:space="preserve"> </w:t>
      </w:r>
      <w:r w:rsidRPr="008E4EA2">
        <w:rPr>
          <w:rFonts w:ascii="Times New Roman" w:eastAsia="EUAlbertina-Bold-Identity-H" w:hAnsi="Times New Roman"/>
          <w:color w:val="000000" w:themeColor="text1"/>
          <w:sz w:val="24"/>
          <w:szCs w:val="24"/>
          <w:lang w:eastAsia="lv-LV"/>
        </w:rPr>
        <w:t>Ja tomēr tiek piedāvāts pašvaldības projekts, tad pašvaldībai jāpiestrādā pie izvēlētā projekta specifisku aktivitāšu piedāvājuma, lai ieinteresētu apmeklētājus. Saistošāki ir projekti, kas ikdienā nav p</w:t>
      </w:r>
      <w:r w:rsidR="005F03A9" w:rsidRPr="008E4EA2">
        <w:rPr>
          <w:rFonts w:ascii="Times New Roman" w:eastAsia="EUAlbertina-Bold-Identity-H" w:hAnsi="Times New Roman"/>
          <w:color w:val="000000" w:themeColor="text1"/>
          <w:sz w:val="24"/>
          <w:szCs w:val="24"/>
          <w:lang w:eastAsia="lv-LV"/>
        </w:rPr>
        <w:t>ieejami iedzīvotāju redzeslokam;</w:t>
      </w:r>
    </w:p>
    <w:p w:rsidR="005F03A9" w:rsidRPr="008E4EA2" w:rsidRDefault="00D03A16" w:rsidP="003A0029">
      <w:pPr>
        <w:pStyle w:val="ListParagraph"/>
        <w:numPr>
          <w:ilvl w:val="0"/>
          <w:numId w:val="40"/>
        </w:numPr>
        <w:spacing w:before="120" w:after="120"/>
        <w:jc w:val="both"/>
        <w:rPr>
          <w:rFonts w:ascii="Times New Roman" w:eastAsia="Times New Roman" w:hAnsi="Times New Roman"/>
          <w:b/>
          <w:bCs/>
          <w:color w:val="000000" w:themeColor="text1"/>
          <w:kern w:val="32"/>
          <w:sz w:val="24"/>
          <w:szCs w:val="24"/>
          <w:lang w:eastAsia="x-none"/>
        </w:rPr>
      </w:pPr>
      <w:r w:rsidRPr="008E4EA2">
        <w:rPr>
          <w:rFonts w:ascii="Times New Roman" w:eastAsia="EUAlbertina-Bold-Identity-H" w:hAnsi="Times New Roman"/>
          <w:color w:val="000000" w:themeColor="text1"/>
          <w:sz w:val="24"/>
          <w:szCs w:val="24"/>
          <w:lang w:eastAsia="lv-LV"/>
        </w:rPr>
        <w:t>Lai apskatāmie objekti būtu interesantāki, no apmeklētāja viedokļa ir atraktīvāk apskatē iekļaut</w:t>
      </w:r>
      <w:r w:rsidR="005E1672">
        <w:rPr>
          <w:rFonts w:ascii="Times New Roman" w:eastAsia="EUAlbertina-Bold-Identity-H" w:hAnsi="Times New Roman"/>
          <w:color w:val="000000" w:themeColor="text1"/>
          <w:sz w:val="24"/>
          <w:szCs w:val="24"/>
          <w:lang w:eastAsia="lv-LV"/>
        </w:rPr>
        <w:t xml:space="preserve"> </w:t>
      </w:r>
      <w:r w:rsidRPr="008E4EA2">
        <w:rPr>
          <w:rFonts w:ascii="Times New Roman" w:eastAsia="EUAlbertina-Bold-Identity-H" w:hAnsi="Times New Roman"/>
          <w:color w:val="000000" w:themeColor="text1"/>
          <w:sz w:val="24"/>
          <w:szCs w:val="24"/>
          <w:lang w:eastAsia="lv-LV"/>
        </w:rPr>
        <w:t>arī projektus, kas tiek īstenoti Lauku attīstības programmas, pārrobežu programmu vai citu fondu ietvaros. Šādā veidā tiktu nodrošināts, ka apmeklētāji gūst plašāku ieskatu par īstenotajiem projektiem savā teritorijā. Sevišķi svarīgi tas ir lauku pašvaldībās, kur lielākoties tiek īstenoti Eiropas Lauksaimniecības fonda projekti. Tomēr tādā gadījumā precīzi jānosaka finansēšanas proporcijas starp dažādiem finansējuma avotiem (vairāki ārvalstu finanšu palīdzības tehniskās palīdzības resursi), lai novērstu neattiecināmu izmaksu risku.</w:t>
      </w:r>
    </w:p>
    <w:p w:rsidR="00137024" w:rsidRPr="008E4EA2" w:rsidRDefault="00B14E76" w:rsidP="003A0029">
      <w:pPr>
        <w:pStyle w:val="1lmenis"/>
        <w:spacing w:before="120" w:after="120" w:line="276" w:lineRule="auto"/>
        <w:ind w:left="709"/>
        <w:rPr>
          <w:rFonts w:ascii="Times New Roman" w:hAnsi="Times New Roman"/>
          <w:color w:val="000000" w:themeColor="text1"/>
          <w:sz w:val="24"/>
          <w:szCs w:val="24"/>
          <w:lang w:val="lv-LV"/>
        </w:rPr>
      </w:pPr>
      <w:r w:rsidRPr="008E4EA2">
        <w:rPr>
          <w:rFonts w:ascii="Times New Roman" w:eastAsia="EUAlbertina-Bold-Identity-H" w:hAnsi="Times New Roman"/>
          <w:color w:val="000000" w:themeColor="text1"/>
          <w:sz w:val="24"/>
          <w:szCs w:val="24"/>
          <w:lang w:val="lv-LV" w:eastAsia="lv-LV"/>
        </w:rPr>
        <w:br w:type="page"/>
      </w:r>
      <w:bookmarkStart w:id="97" w:name="_Toc324948900"/>
      <w:bookmarkStart w:id="98" w:name="_Toc340241724"/>
      <w:r w:rsidR="00421725" w:rsidRPr="008E4EA2">
        <w:rPr>
          <w:rFonts w:ascii="Times New Roman" w:hAnsi="Times New Roman"/>
          <w:color w:val="000000" w:themeColor="text1"/>
          <w:sz w:val="24"/>
          <w:szCs w:val="24"/>
          <w:lang w:val="lv-LV"/>
        </w:rPr>
        <w:lastRenderedPageBreak/>
        <w:t>Secinājumi</w:t>
      </w:r>
      <w:r w:rsidR="00B60D9A" w:rsidRPr="008E4EA2">
        <w:rPr>
          <w:rFonts w:ascii="Times New Roman" w:hAnsi="Times New Roman"/>
          <w:color w:val="000000" w:themeColor="text1"/>
          <w:sz w:val="24"/>
          <w:szCs w:val="24"/>
          <w:lang w:val="lv-LV"/>
        </w:rPr>
        <w:t xml:space="preserve"> </w:t>
      </w:r>
      <w:r w:rsidR="00421725" w:rsidRPr="008E4EA2">
        <w:rPr>
          <w:rFonts w:ascii="Times New Roman" w:hAnsi="Times New Roman"/>
          <w:color w:val="000000" w:themeColor="text1"/>
          <w:sz w:val="24"/>
          <w:szCs w:val="24"/>
          <w:lang w:val="lv-LV"/>
        </w:rPr>
        <w:t>un turpmākā rīcība</w:t>
      </w:r>
      <w:bookmarkEnd w:id="90"/>
      <w:bookmarkEnd w:id="97"/>
      <w:bookmarkEnd w:id="98"/>
      <w:r w:rsidR="00B47CDF" w:rsidRPr="008E4EA2">
        <w:rPr>
          <w:rFonts w:ascii="Times New Roman" w:hAnsi="Times New Roman"/>
          <w:color w:val="000000" w:themeColor="text1"/>
          <w:sz w:val="24"/>
          <w:szCs w:val="24"/>
          <w:lang w:val="lv-LV"/>
        </w:rPr>
        <w:t xml:space="preserve"> </w:t>
      </w:r>
    </w:p>
    <w:p w:rsidR="00D00C2A" w:rsidRPr="008E4EA2" w:rsidRDefault="00D00C2A" w:rsidP="003A0029">
      <w:pPr>
        <w:pStyle w:val="Default"/>
        <w:spacing w:before="120" w:after="120" w:line="276" w:lineRule="auto"/>
        <w:jc w:val="both"/>
        <w:rPr>
          <w:rFonts w:eastAsia="Times New Roman"/>
          <w:color w:val="000000" w:themeColor="text1"/>
          <w:lang w:eastAsia="en-US"/>
        </w:rPr>
      </w:pPr>
      <w:r w:rsidRPr="008E4EA2">
        <w:rPr>
          <w:rFonts w:eastAsia="Times New Roman"/>
          <w:color w:val="000000" w:themeColor="text1"/>
          <w:lang w:eastAsia="en-US"/>
        </w:rPr>
        <w:t xml:space="preserve">Lai arī gada sākumā AI izvirzīto finanšu apguves mērķu izpilde bija pozitīva, jau iepriekšējā ziņojumā VI ziņoja, ka </w:t>
      </w:r>
      <w:proofErr w:type="spellStart"/>
      <w:r w:rsidRPr="008E4EA2">
        <w:rPr>
          <w:rFonts w:eastAsia="Times New Roman"/>
          <w:color w:val="000000" w:themeColor="text1"/>
          <w:lang w:eastAsia="en-US"/>
        </w:rPr>
        <w:t>š.g</w:t>
      </w:r>
      <w:proofErr w:type="spellEnd"/>
      <w:r w:rsidRPr="008E4EA2">
        <w:rPr>
          <w:rFonts w:eastAsia="Times New Roman"/>
          <w:color w:val="000000" w:themeColor="text1"/>
          <w:lang w:eastAsia="en-US"/>
        </w:rPr>
        <w:t>. otrajā pusgadā sagaidāma būtiska novirze no plānotā - trešā ceturkšņa mērķa izpilde nav apmierinoša, ir veikta tikai puse no 2012.gadā plānotā maksājumu finansējuma saņēmējiem apjoma. Taču salīdzinot ar pirmā ceturkšņa un otrā ceturkšņa plāna izpildi, ir vērojams nozīmīgs valsts budžeta plānu ES fondu projektiem apguves progress. Galvenie finanšu apguvi kavējošie faktori ir iepirkumu problēmas (sūdzības, iepirkumu beigšanās bez rezultātiem, problēmas iepirkumu procedūras norisē), projektu ietvaros konstatētas neatbilstības un jautājumi saistīti ar MK noteikumos par aktivitāšu īstenošanu noteikto izdevumu pozīciju apjoma pārsniegumu, pieaugoši sadārdzinājumi autoceļu būvniecības un ūdenssaimniecības projektos, kā arī projektu ieviešanas termiņu pagarinājumi.</w:t>
      </w:r>
    </w:p>
    <w:p w:rsidR="00D00C2A" w:rsidRPr="008E4EA2" w:rsidRDefault="00D00C2A" w:rsidP="003A0029">
      <w:pPr>
        <w:pStyle w:val="Default"/>
        <w:spacing w:before="120" w:after="120" w:line="276" w:lineRule="auto"/>
        <w:jc w:val="both"/>
        <w:rPr>
          <w:rFonts w:eastAsia="Times New Roman"/>
          <w:color w:val="000000" w:themeColor="text1"/>
          <w:lang w:eastAsia="en-US"/>
        </w:rPr>
      </w:pPr>
      <w:r w:rsidRPr="008E4EA2">
        <w:rPr>
          <w:rFonts w:eastAsia="Times New Roman"/>
          <w:color w:val="000000" w:themeColor="text1"/>
          <w:lang w:eastAsia="en-US"/>
        </w:rPr>
        <w:t xml:space="preserve">Kopējais lemtais </w:t>
      </w:r>
      <w:proofErr w:type="spellStart"/>
      <w:r w:rsidRPr="008E4EA2">
        <w:rPr>
          <w:rFonts w:eastAsia="Times New Roman"/>
          <w:color w:val="000000" w:themeColor="text1"/>
          <w:lang w:eastAsia="en-US"/>
        </w:rPr>
        <w:t>virssaistību</w:t>
      </w:r>
      <w:proofErr w:type="spellEnd"/>
      <w:r w:rsidRPr="008E4EA2">
        <w:rPr>
          <w:rFonts w:eastAsia="Times New Roman"/>
          <w:color w:val="000000" w:themeColor="text1"/>
          <w:lang w:eastAsia="en-US"/>
        </w:rPr>
        <w:t xml:space="preserve"> apjoms ir </w:t>
      </w:r>
      <w:r w:rsidR="000C7130" w:rsidRPr="00D120DB">
        <w:rPr>
          <w:color w:val="000000" w:themeColor="text1"/>
        </w:rPr>
        <w:t xml:space="preserve">298,6 </w:t>
      </w:r>
      <w:proofErr w:type="spellStart"/>
      <w:r w:rsidRPr="00D120DB">
        <w:rPr>
          <w:rFonts w:eastAsia="Times New Roman"/>
          <w:color w:val="000000" w:themeColor="text1"/>
          <w:lang w:eastAsia="en-US"/>
        </w:rPr>
        <w:t>milj</w:t>
      </w:r>
      <w:proofErr w:type="spellEnd"/>
      <w:r w:rsidRPr="008E4EA2">
        <w:rPr>
          <w:rFonts w:eastAsia="Times New Roman"/>
          <w:color w:val="000000" w:themeColor="text1"/>
          <w:lang w:eastAsia="en-US"/>
        </w:rPr>
        <w:t>. latu, ko ministrijas paredz uzņemties līdz 2013.gada beigām, lielāko daļu no līgumu apjoma slēdzot 2013.gada ceturtajā ceturksnī. Savukārt lielākais maksājumu apjoms ES fondu finansējuma saņēmējiem paredzēts 2014.gadā.</w:t>
      </w:r>
    </w:p>
    <w:p w:rsidR="00D00C2A" w:rsidRPr="008E4EA2" w:rsidRDefault="00D00C2A" w:rsidP="003A0029">
      <w:pPr>
        <w:pStyle w:val="Default"/>
        <w:spacing w:before="120" w:after="120" w:line="276" w:lineRule="auto"/>
        <w:jc w:val="both"/>
        <w:rPr>
          <w:rFonts w:eastAsia="Times New Roman"/>
          <w:color w:val="000000" w:themeColor="text1"/>
          <w:lang w:eastAsia="en-US"/>
        </w:rPr>
      </w:pPr>
      <w:r w:rsidRPr="008E4EA2">
        <w:rPr>
          <w:rFonts w:eastAsia="Times New Roman"/>
          <w:color w:val="000000" w:themeColor="text1"/>
          <w:lang w:eastAsia="en-US"/>
        </w:rPr>
        <w:t xml:space="preserve">Oktobrī tika pieņems lēmums par </w:t>
      </w:r>
      <w:proofErr w:type="spellStart"/>
      <w:r w:rsidRPr="008E4EA2">
        <w:rPr>
          <w:rFonts w:eastAsia="Times New Roman"/>
          <w:color w:val="000000" w:themeColor="text1"/>
          <w:lang w:eastAsia="en-US"/>
        </w:rPr>
        <w:t>virssaistību</w:t>
      </w:r>
      <w:proofErr w:type="spellEnd"/>
      <w:r w:rsidRPr="008E4EA2">
        <w:rPr>
          <w:rFonts w:eastAsia="Times New Roman"/>
          <w:color w:val="000000" w:themeColor="text1"/>
          <w:lang w:eastAsia="en-US"/>
        </w:rPr>
        <w:t xml:space="preserve"> pārdali, tika lemts par </w:t>
      </w:r>
      <w:proofErr w:type="spellStart"/>
      <w:r w:rsidRPr="008E4EA2">
        <w:rPr>
          <w:rFonts w:eastAsia="Times New Roman"/>
          <w:color w:val="000000" w:themeColor="text1"/>
          <w:lang w:eastAsia="en-US"/>
        </w:rPr>
        <w:t>virssaistību</w:t>
      </w:r>
      <w:proofErr w:type="spellEnd"/>
      <w:r w:rsidRPr="008E4EA2">
        <w:rPr>
          <w:rFonts w:eastAsia="Times New Roman"/>
          <w:color w:val="000000" w:themeColor="text1"/>
          <w:lang w:eastAsia="en-US"/>
        </w:rPr>
        <w:t xml:space="preserve"> finansējuma novirzīšanu IEM radio sakaru tīkla projekta un Ģenerālprokuratūras informācijas sistēmas</w:t>
      </w:r>
      <w:r w:rsidR="00657661" w:rsidRPr="008E4EA2">
        <w:rPr>
          <w:rFonts w:eastAsia="Times New Roman"/>
          <w:color w:val="000000" w:themeColor="text1"/>
          <w:lang w:eastAsia="en-US"/>
        </w:rPr>
        <w:t xml:space="preserve"> attīstības </w:t>
      </w:r>
      <w:r w:rsidRPr="008E4EA2">
        <w:rPr>
          <w:rFonts w:eastAsia="Times New Roman"/>
          <w:color w:val="000000" w:themeColor="text1"/>
          <w:lang w:eastAsia="en-US"/>
        </w:rPr>
        <w:t xml:space="preserve">projekta īstenošanai, veicot </w:t>
      </w:r>
      <w:proofErr w:type="spellStart"/>
      <w:r w:rsidRPr="008E4EA2">
        <w:rPr>
          <w:rFonts w:eastAsia="Times New Roman"/>
          <w:color w:val="000000" w:themeColor="text1"/>
          <w:lang w:eastAsia="en-US"/>
        </w:rPr>
        <w:t>virssaistību</w:t>
      </w:r>
      <w:proofErr w:type="spellEnd"/>
      <w:r w:rsidRPr="008E4EA2">
        <w:rPr>
          <w:rFonts w:eastAsia="Times New Roman"/>
          <w:color w:val="000000" w:themeColor="text1"/>
          <w:lang w:eastAsia="en-US"/>
        </w:rPr>
        <w:t xml:space="preserve"> finansējuma samazinājumu citās ES fondu aktivitātēs. </w:t>
      </w:r>
    </w:p>
    <w:p w:rsidR="00D00C2A" w:rsidRPr="008E4EA2" w:rsidRDefault="00D00C2A" w:rsidP="003A0029">
      <w:pPr>
        <w:pStyle w:val="Default"/>
        <w:spacing w:before="120" w:after="120" w:line="276" w:lineRule="auto"/>
        <w:jc w:val="both"/>
        <w:rPr>
          <w:rFonts w:eastAsia="Times New Roman"/>
          <w:color w:val="000000" w:themeColor="text1"/>
          <w:lang w:eastAsia="en-US"/>
        </w:rPr>
      </w:pPr>
      <w:r w:rsidRPr="008E4EA2">
        <w:rPr>
          <w:rFonts w:eastAsia="Times New Roman"/>
          <w:color w:val="000000" w:themeColor="text1"/>
          <w:lang w:eastAsia="en-US"/>
        </w:rPr>
        <w:t xml:space="preserve">Atbildīgās ministrijas pārskata periodā ir precizējušas </w:t>
      </w:r>
      <w:proofErr w:type="spellStart"/>
      <w:r w:rsidRPr="008E4EA2">
        <w:rPr>
          <w:rFonts w:eastAsia="Times New Roman"/>
          <w:color w:val="000000" w:themeColor="text1"/>
          <w:lang w:eastAsia="en-US"/>
        </w:rPr>
        <w:t>virssaistību</w:t>
      </w:r>
      <w:proofErr w:type="spellEnd"/>
      <w:r w:rsidRPr="008E4EA2">
        <w:rPr>
          <w:rFonts w:eastAsia="Times New Roman"/>
          <w:color w:val="000000" w:themeColor="text1"/>
          <w:lang w:eastAsia="en-US"/>
        </w:rPr>
        <w:t xml:space="preserve"> izlietojuma plānus noslēgto līgumu un maksājumu finansējuma saņēmējiem apjomam, taču ņemot vērā to, ka </w:t>
      </w:r>
      <w:proofErr w:type="spellStart"/>
      <w:r w:rsidRPr="008E4EA2">
        <w:rPr>
          <w:rFonts w:eastAsia="Times New Roman"/>
          <w:color w:val="000000" w:themeColor="text1"/>
          <w:lang w:eastAsia="en-US"/>
        </w:rPr>
        <w:t>š.g</w:t>
      </w:r>
      <w:proofErr w:type="spellEnd"/>
      <w:r w:rsidRPr="008E4EA2">
        <w:rPr>
          <w:rFonts w:eastAsia="Times New Roman"/>
          <w:color w:val="000000" w:themeColor="text1"/>
          <w:lang w:eastAsia="en-US"/>
        </w:rPr>
        <w:t xml:space="preserve">. 16.oktobrī tika veikta </w:t>
      </w:r>
      <w:proofErr w:type="spellStart"/>
      <w:r w:rsidRPr="008E4EA2">
        <w:rPr>
          <w:rFonts w:eastAsia="Times New Roman"/>
          <w:color w:val="000000" w:themeColor="text1"/>
          <w:lang w:eastAsia="en-US"/>
        </w:rPr>
        <w:t>vissaistību</w:t>
      </w:r>
      <w:proofErr w:type="spellEnd"/>
      <w:r w:rsidRPr="008E4EA2">
        <w:rPr>
          <w:rFonts w:eastAsia="Times New Roman"/>
          <w:color w:val="000000" w:themeColor="text1"/>
          <w:lang w:eastAsia="en-US"/>
        </w:rPr>
        <w:t xml:space="preserve"> pārdale, </w:t>
      </w:r>
      <w:r w:rsidR="00915256" w:rsidRPr="008E4EA2">
        <w:rPr>
          <w:rFonts w:eastAsia="Times New Roman"/>
          <w:color w:val="000000" w:themeColor="text1"/>
          <w:lang w:eastAsia="en-US"/>
        </w:rPr>
        <w:t>ar šo ziņojumu FM pieprasījusi</w:t>
      </w:r>
      <w:r w:rsidRPr="008E4EA2">
        <w:rPr>
          <w:rFonts w:eastAsia="Times New Roman"/>
          <w:color w:val="000000" w:themeColor="text1"/>
          <w:lang w:eastAsia="en-US"/>
        </w:rPr>
        <w:t xml:space="preserve"> AI precizēt iesniegtos noslēgto līgumu plānus. Savukārt, ņemot vērā to, ka maksājumu plāns </w:t>
      </w:r>
      <w:proofErr w:type="spellStart"/>
      <w:r w:rsidRPr="008E4EA2">
        <w:rPr>
          <w:rFonts w:eastAsia="Times New Roman"/>
          <w:color w:val="000000" w:themeColor="text1"/>
          <w:lang w:eastAsia="en-US"/>
        </w:rPr>
        <w:t>virssaistībām</w:t>
      </w:r>
      <w:proofErr w:type="spellEnd"/>
      <w:r w:rsidRPr="008E4EA2">
        <w:rPr>
          <w:rFonts w:eastAsia="Times New Roman"/>
          <w:color w:val="000000" w:themeColor="text1"/>
          <w:lang w:eastAsia="en-US"/>
        </w:rPr>
        <w:t xml:space="preserve"> jāskata kontekstā ar maksājumu mērķiem finansējuma saņēmējiem, kas tiks iesniegti</w:t>
      </w:r>
      <w:r w:rsidR="00032804">
        <w:rPr>
          <w:rFonts w:eastAsia="Times New Roman"/>
          <w:color w:val="000000" w:themeColor="text1"/>
          <w:lang w:eastAsia="en-US"/>
        </w:rPr>
        <w:t xml:space="preserve"> apstiprināšanai MK 2013.gada pirmajā </w:t>
      </w:r>
      <w:r w:rsidRPr="008E4EA2">
        <w:rPr>
          <w:rFonts w:eastAsia="Times New Roman"/>
          <w:color w:val="000000" w:themeColor="text1"/>
          <w:lang w:eastAsia="en-US"/>
        </w:rPr>
        <w:t xml:space="preserve">ceturksnī, FM ir ierosinājumi </w:t>
      </w:r>
      <w:proofErr w:type="spellStart"/>
      <w:r w:rsidRPr="008E4EA2">
        <w:rPr>
          <w:rFonts w:eastAsia="Times New Roman"/>
          <w:color w:val="000000" w:themeColor="text1"/>
          <w:lang w:eastAsia="en-US"/>
        </w:rPr>
        <w:t>protokollēmuma</w:t>
      </w:r>
      <w:proofErr w:type="spellEnd"/>
      <w:r w:rsidRPr="008E4EA2">
        <w:rPr>
          <w:rFonts w:eastAsia="Times New Roman"/>
          <w:color w:val="000000" w:themeColor="text1"/>
          <w:lang w:eastAsia="en-US"/>
        </w:rPr>
        <w:t xml:space="preserve"> punktu, kas</w:t>
      </w:r>
      <w:r w:rsidR="00915256" w:rsidRPr="008E4EA2">
        <w:rPr>
          <w:rFonts w:eastAsia="Times New Roman"/>
          <w:color w:val="000000" w:themeColor="text1"/>
          <w:lang w:eastAsia="en-US"/>
        </w:rPr>
        <w:t xml:space="preserve"> </w:t>
      </w:r>
      <w:r w:rsidR="007352C0" w:rsidRPr="008E4EA2">
        <w:rPr>
          <w:rFonts w:eastAsia="Times New Roman"/>
          <w:color w:val="000000" w:themeColor="text1"/>
          <w:lang w:eastAsia="en-US"/>
        </w:rPr>
        <w:t>uzdod</w:t>
      </w:r>
      <w:r w:rsidRPr="008E4EA2">
        <w:rPr>
          <w:rFonts w:eastAsia="Times New Roman"/>
          <w:color w:val="000000" w:themeColor="text1"/>
          <w:lang w:eastAsia="en-US"/>
        </w:rPr>
        <w:t xml:space="preserve"> AI līdz 2013.gada 1.februārim iesniegt FM precizētus kumulatīvos ikmēneša maksājumu FS plānus 2013.gadam, iekļaujot tajos arī plānotos </w:t>
      </w:r>
      <w:proofErr w:type="spellStart"/>
      <w:r w:rsidRPr="008E4EA2">
        <w:rPr>
          <w:rFonts w:eastAsia="Times New Roman"/>
          <w:color w:val="000000" w:themeColor="text1"/>
          <w:lang w:eastAsia="en-US"/>
        </w:rPr>
        <w:t>virssaistību</w:t>
      </w:r>
      <w:proofErr w:type="spellEnd"/>
      <w:r w:rsidRPr="008E4EA2">
        <w:rPr>
          <w:rFonts w:eastAsia="Times New Roman"/>
          <w:color w:val="000000" w:themeColor="text1"/>
          <w:lang w:eastAsia="en-US"/>
        </w:rPr>
        <w:t xml:space="preserve"> finansējuma maksājumus.</w:t>
      </w:r>
    </w:p>
    <w:p w:rsidR="00D00C2A" w:rsidRPr="008E4EA2" w:rsidRDefault="00D00C2A" w:rsidP="003A0029">
      <w:pPr>
        <w:pStyle w:val="Default"/>
        <w:spacing w:before="120" w:after="120" w:line="276" w:lineRule="auto"/>
        <w:jc w:val="both"/>
        <w:rPr>
          <w:rFonts w:eastAsia="Times New Roman"/>
          <w:color w:val="000000" w:themeColor="text1"/>
          <w:lang w:eastAsia="en-US"/>
        </w:rPr>
      </w:pPr>
      <w:r w:rsidRPr="008E4EA2">
        <w:rPr>
          <w:rFonts w:eastAsia="Times New Roman"/>
          <w:color w:val="000000" w:themeColor="text1"/>
          <w:lang w:eastAsia="en-US"/>
        </w:rPr>
        <w:t xml:space="preserve">Sākot ar 2013.gada 1.ceturksni tiks </w:t>
      </w:r>
      <w:r w:rsidR="004C13B7" w:rsidRPr="008E4EA2">
        <w:rPr>
          <w:rFonts w:eastAsia="Times New Roman"/>
          <w:color w:val="000000" w:themeColor="text1"/>
          <w:lang w:eastAsia="en-US"/>
        </w:rPr>
        <w:t>pielietots</w:t>
      </w:r>
      <w:r w:rsidRPr="008E4EA2">
        <w:rPr>
          <w:rFonts w:eastAsia="Times New Roman"/>
          <w:color w:val="000000" w:themeColor="text1"/>
          <w:lang w:eastAsia="en-US"/>
        </w:rPr>
        <w:t xml:space="preserve"> </w:t>
      </w:r>
      <w:proofErr w:type="spellStart"/>
      <w:r w:rsidRPr="008E4EA2">
        <w:rPr>
          <w:rFonts w:eastAsia="Times New Roman"/>
          <w:color w:val="000000" w:themeColor="text1"/>
          <w:lang w:eastAsia="en-US"/>
        </w:rPr>
        <w:t>virssaistību</w:t>
      </w:r>
      <w:proofErr w:type="spellEnd"/>
      <w:r w:rsidRPr="008E4EA2">
        <w:rPr>
          <w:rFonts w:eastAsia="Times New Roman"/>
          <w:color w:val="000000" w:themeColor="text1"/>
          <w:lang w:eastAsia="en-US"/>
        </w:rPr>
        <w:t xml:space="preserve"> uzraudzības mehānisms, kas paredz </w:t>
      </w:r>
      <w:proofErr w:type="spellStart"/>
      <w:r w:rsidRPr="008E4EA2">
        <w:rPr>
          <w:rFonts w:eastAsia="Times New Roman"/>
          <w:color w:val="000000" w:themeColor="text1"/>
          <w:lang w:eastAsia="en-US"/>
        </w:rPr>
        <w:t>virssaistību</w:t>
      </w:r>
      <w:proofErr w:type="spellEnd"/>
      <w:r w:rsidRPr="008E4EA2">
        <w:rPr>
          <w:rFonts w:eastAsia="Times New Roman"/>
          <w:color w:val="000000" w:themeColor="text1"/>
          <w:lang w:eastAsia="en-US"/>
        </w:rPr>
        <w:t xml:space="preserve"> samazinājumu, ja tiek</w:t>
      </w:r>
      <w:r w:rsidR="004C13B7" w:rsidRPr="008E4EA2">
        <w:rPr>
          <w:rFonts w:eastAsia="Times New Roman"/>
          <w:color w:val="000000" w:themeColor="text1"/>
          <w:lang w:eastAsia="en-US"/>
        </w:rPr>
        <w:t xml:space="preserve"> konstatētas nobīdes no plānotā. S</w:t>
      </w:r>
      <w:r w:rsidRPr="008E4EA2">
        <w:rPr>
          <w:rFonts w:eastAsia="Times New Roman"/>
          <w:color w:val="000000" w:themeColor="text1"/>
          <w:lang w:eastAsia="en-US"/>
        </w:rPr>
        <w:t xml:space="preserve">askaņošanas procesā ir VI izstrādātā kārtība, kādā tiek nodrošināta valsts budžeta </w:t>
      </w:r>
      <w:proofErr w:type="spellStart"/>
      <w:r w:rsidRPr="008E4EA2">
        <w:rPr>
          <w:rFonts w:eastAsia="Times New Roman"/>
          <w:color w:val="000000" w:themeColor="text1"/>
          <w:lang w:eastAsia="en-US"/>
        </w:rPr>
        <w:t>virssaistību</w:t>
      </w:r>
      <w:proofErr w:type="spellEnd"/>
      <w:r w:rsidRPr="008E4EA2">
        <w:rPr>
          <w:rFonts w:eastAsia="Times New Roman"/>
          <w:color w:val="000000" w:themeColor="text1"/>
          <w:lang w:eastAsia="en-US"/>
        </w:rPr>
        <w:t xml:space="preserve"> izmantošana un uzraudzība, kā arī konceptuāli saskaņoti galvenie principi kontroles mehānismam. Jebkurā gadījumā, lai </w:t>
      </w:r>
      <w:proofErr w:type="spellStart"/>
      <w:r w:rsidRPr="008E4EA2">
        <w:rPr>
          <w:rFonts w:eastAsia="Times New Roman"/>
          <w:color w:val="000000" w:themeColor="text1"/>
          <w:lang w:eastAsia="en-US"/>
        </w:rPr>
        <w:t>virssaistību</w:t>
      </w:r>
      <w:proofErr w:type="spellEnd"/>
      <w:r w:rsidRPr="008E4EA2">
        <w:rPr>
          <w:rFonts w:eastAsia="Times New Roman"/>
          <w:color w:val="000000" w:themeColor="text1"/>
          <w:lang w:eastAsia="en-US"/>
        </w:rPr>
        <w:t xml:space="preserve"> projektu izdevumi varētu tikt deklarēti EK, šo projektu ieviešanas, uzraudzības, kontroles aspekti, saistošais regulējums ir tāds pats kā citiem ES fondu projektiem.</w:t>
      </w:r>
    </w:p>
    <w:p w:rsidR="00D00C2A" w:rsidRPr="008E4EA2" w:rsidRDefault="00D00C2A" w:rsidP="003A0029">
      <w:pPr>
        <w:pStyle w:val="Default"/>
        <w:spacing w:before="120" w:after="120" w:line="276" w:lineRule="auto"/>
        <w:jc w:val="both"/>
        <w:rPr>
          <w:rFonts w:eastAsia="Times New Roman"/>
          <w:color w:val="000000" w:themeColor="text1"/>
          <w:lang w:eastAsia="en-US"/>
        </w:rPr>
      </w:pPr>
      <w:proofErr w:type="spellStart"/>
      <w:r w:rsidRPr="008E4EA2">
        <w:rPr>
          <w:rFonts w:eastAsia="Times New Roman"/>
          <w:color w:val="000000" w:themeColor="text1"/>
          <w:lang w:eastAsia="en-US"/>
        </w:rPr>
        <w:t>Š.g</w:t>
      </w:r>
      <w:proofErr w:type="spellEnd"/>
      <w:r w:rsidRPr="008E4EA2">
        <w:rPr>
          <w:rFonts w:eastAsia="Times New Roman"/>
          <w:color w:val="000000" w:themeColor="text1"/>
          <w:lang w:eastAsia="en-US"/>
        </w:rPr>
        <w:t xml:space="preserve">. 5.decembrī notiks gadskārtējā sanāksmē ar EK (DG REGIO) par ES fondu jautājumiem. Kā viens no jautājumiem ir par aktuālo informāciju par darbības programmu īstenošanu un sasniegtajiem rādītājiem. Šim nolūkam </w:t>
      </w:r>
      <w:r w:rsidR="00CE5CF4" w:rsidRPr="008E4EA2">
        <w:rPr>
          <w:rFonts w:eastAsia="Times New Roman"/>
          <w:color w:val="000000" w:themeColor="text1"/>
          <w:lang w:eastAsia="en-US"/>
        </w:rPr>
        <w:t>FM pieprasījusi</w:t>
      </w:r>
      <w:r w:rsidRPr="008E4EA2">
        <w:rPr>
          <w:rFonts w:eastAsia="Times New Roman"/>
          <w:color w:val="000000" w:themeColor="text1"/>
          <w:lang w:eastAsia="en-US"/>
        </w:rPr>
        <w:t xml:space="preserve"> apstiprināt </w:t>
      </w:r>
      <w:r w:rsidR="00CE5CF4" w:rsidRPr="008E4EA2">
        <w:rPr>
          <w:rFonts w:eastAsia="Times New Roman"/>
          <w:color w:val="000000" w:themeColor="text1"/>
          <w:lang w:eastAsia="en-US"/>
        </w:rPr>
        <w:t>AI</w:t>
      </w:r>
      <w:r w:rsidRPr="008E4EA2">
        <w:rPr>
          <w:rFonts w:eastAsia="Times New Roman"/>
          <w:color w:val="000000" w:themeColor="text1"/>
          <w:lang w:eastAsia="en-US"/>
        </w:rPr>
        <w:t xml:space="preserve"> aktuālo informāciju par rādītāju izpildi, kā arī sniegt</w:t>
      </w:r>
      <w:r w:rsidR="005E1672">
        <w:rPr>
          <w:rFonts w:eastAsia="Times New Roman"/>
          <w:color w:val="000000" w:themeColor="text1"/>
          <w:lang w:eastAsia="en-US"/>
        </w:rPr>
        <w:t xml:space="preserve"> </w:t>
      </w:r>
      <w:r w:rsidRPr="008E4EA2">
        <w:rPr>
          <w:rFonts w:eastAsia="Times New Roman"/>
          <w:color w:val="000000" w:themeColor="text1"/>
          <w:lang w:eastAsia="en-US"/>
        </w:rPr>
        <w:t xml:space="preserve">komentārus par </w:t>
      </w:r>
      <w:r w:rsidRPr="008E4EA2">
        <w:rPr>
          <w:rFonts w:eastAsia="Times New Roman"/>
          <w:color w:val="000000" w:themeColor="text1"/>
          <w:lang w:eastAsia="en-US"/>
        </w:rPr>
        <w:lastRenderedPageBreak/>
        <w:t>rādītāja aktuālo situāciju, rādītāju prognožu izpildi, apguves progresu un kavējošiem faktoriem rādītāju sasniegšanā.</w:t>
      </w:r>
    </w:p>
    <w:p w:rsidR="00D00C2A" w:rsidRPr="008E4EA2" w:rsidRDefault="00D00C2A" w:rsidP="003A0029">
      <w:pPr>
        <w:pStyle w:val="Default"/>
        <w:spacing w:before="120" w:after="120" w:line="276" w:lineRule="auto"/>
        <w:jc w:val="both"/>
        <w:rPr>
          <w:rFonts w:eastAsia="Times New Roman"/>
          <w:color w:val="000000" w:themeColor="text1"/>
          <w:lang w:eastAsia="en-US"/>
        </w:rPr>
      </w:pPr>
      <w:r w:rsidRPr="008E4EA2">
        <w:rPr>
          <w:rFonts w:eastAsia="Times New Roman"/>
          <w:color w:val="000000" w:themeColor="text1"/>
          <w:lang w:eastAsia="en-US"/>
        </w:rPr>
        <w:t xml:space="preserve">Līdz pārskata perioda beigām </w:t>
      </w:r>
      <w:proofErr w:type="spellStart"/>
      <w:r w:rsidRPr="008E4EA2">
        <w:rPr>
          <w:rFonts w:eastAsia="Times New Roman"/>
          <w:color w:val="000000" w:themeColor="text1"/>
          <w:lang w:eastAsia="en-US"/>
        </w:rPr>
        <w:t>donorvalstis</w:t>
      </w:r>
      <w:proofErr w:type="spellEnd"/>
      <w:r w:rsidRPr="008E4EA2">
        <w:rPr>
          <w:rFonts w:eastAsia="Times New Roman"/>
          <w:color w:val="000000" w:themeColor="text1"/>
          <w:lang w:eastAsia="en-US"/>
        </w:rPr>
        <w:t xml:space="preserve"> ir apstiprinājušas četras no septiņām EEZ/Norvē</w:t>
      </w:r>
      <w:r w:rsidR="00BA4562">
        <w:rPr>
          <w:rFonts w:eastAsia="Times New Roman"/>
          <w:color w:val="000000" w:themeColor="text1"/>
          <w:lang w:eastAsia="en-US"/>
        </w:rPr>
        <w:t>ģijas finanšu instrumentu 2009.–</w:t>
      </w:r>
      <w:r w:rsidRPr="008E4EA2">
        <w:rPr>
          <w:rFonts w:eastAsia="Times New Roman"/>
          <w:color w:val="000000" w:themeColor="text1"/>
          <w:lang w:eastAsia="en-US"/>
        </w:rPr>
        <w:t xml:space="preserve">2014.gada perioda Latvijas programmām, atlikušās trīs plānots apstiprināt 2012.gada ceturtajā ceturksnī. Latvijā programmas ieviesīs laika periodā no 2012.gada nogales līdz 2017.gadam par kopējo finansējumu 53,0 </w:t>
      </w:r>
      <w:proofErr w:type="spellStart"/>
      <w:r w:rsidRPr="008E4EA2">
        <w:rPr>
          <w:rFonts w:eastAsia="Times New Roman"/>
          <w:color w:val="000000" w:themeColor="text1"/>
          <w:lang w:eastAsia="en-US"/>
        </w:rPr>
        <w:t>milj</w:t>
      </w:r>
      <w:proofErr w:type="spellEnd"/>
      <w:r w:rsidRPr="008E4EA2">
        <w:rPr>
          <w:rFonts w:eastAsia="Times New Roman"/>
          <w:color w:val="000000" w:themeColor="text1"/>
          <w:lang w:eastAsia="en-US"/>
        </w:rPr>
        <w:t xml:space="preserve">. latu (ieskaitot </w:t>
      </w:r>
      <w:r w:rsidR="00BA4562">
        <w:rPr>
          <w:rFonts w:eastAsia="Times New Roman"/>
          <w:color w:val="000000" w:themeColor="text1"/>
          <w:lang w:eastAsia="en-US"/>
        </w:rPr>
        <w:t>nacionālo līdzfinansējumu no 5%–1</w:t>
      </w:r>
      <w:r w:rsidRPr="008E4EA2">
        <w:rPr>
          <w:rFonts w:eastAsia="Times New Roman"/>
          <w:color w:val="000000" w:themeColor="text1"/>
          <w:lang w:eastAsia="en-US"/>
        </w:rPr>
        <w:t xml:space="preserve">5% atkarībā no programmas specifikas). Pārskata periodā aktīvi noritēja darbs pie apstiprināto programmu līgumu projektu saskaņošanas ar </w:t>
      </w:r>
      <w:proofErr w:type="spellStart"/>
      <w:r w:rsidRPr="008E4EA2">
        <w:rPr>
          <w:rFonts w:eastAsia="Times New Roman"/>
          <w:color w:val="000000" w:themeColor="text1"/>
          <w:lang w:eastAsia="en-US"/>
        </w:rPr>
        <w:t>donorvalstīm</w:t>
      </w:r>
      <w:proofErr w:type="spellEnd"/>
      <w:r w:rsidRPr="008E4EA2">
        <w:rPr>
          <w:rFonts w:eastAsia="Times New Roman"/>
          <w:color w:val="000000" w:themeColor="text1"/>
          <w:lang w:eastAsia="en-US"/>
        </w:rPr>
        <w:t>. Pirmo projektu konkursu programmā „NVO fonds” SIF izsludinās jau 2012.gada nogalē.</w:t>
      </w:r>
    </w:p>
    <w:p w:rsidR="00D00C2A" w:rsidRPr="008E4EA2" w:rsidRDefault="00D00C2A" w:rsidP="003A0029">
      <w:pPr>
        <w:pStyle w:val="Default"/>
        <w:spacing w:before="120" w:after="120" w:line="276" w:lineRule="auto"/>
        <w:jc w:val="both"/>
        <w:rPr>
          <w:rFonts w:eastAsia="Times New Roman"/>
          <w:color w:val="000000" w:themeColor="text1"/>
          <w:lang w:eastAsia="en-US"/>
        </w:rPr>
      </w:pPr>
      <w:r w:rsidRPr="008E4EA2">
        <w:rPr>
          <w:rFonts w:eastAsia="Times New Roman"/>
          <w:color w:val="000000" w:themeColor="text1"/>
          <w:lang w:eastAsia="en-US"/>
        </w:rPr>
        <w:t>2012.gada jūnijā noslēdzās piecu gadu Šveices programmas finansēšanas periods. Šveices kompetentās iestādes ir apstiprinājušas 12 paredzētos projektus par visu Latvijai pieejamo finansējumu. Pārskata perioda beigās turpinās 10 projektu īstenošana, savukārt divu projektu īstenošana jau ir noslēgusies.</w:t>
      </w:r>
    </w:p>
    <w:p w:rsidR="00D00C2A" w:rsidRPr="008E4EA2" w:rsidRDefault="00D00C2A" w:rsidP="003A0029">
      <w:pPr>
        <w:pStyle w:val="Default"/>
        <w:spacing w:before="120" w:after="120" w:line="276" w:lineRule="auto"/>
        <w:jc w:val="both"/>
        <w:rPr>
          <w:rFonts w:eastAsia="Times New Roman"/>
          <w:color w:val="000000" w:themeColor="text1"/>
          <w:lang w:eastAsia="en-US"/>
        </w:rPr>
      </w:pPr>
      <w:r w:rsidRPr="008E4EA2">
        <w:rPr>
          <w:rFonts w:eastAsia="Times New Roman"/>
          <w:color w:val="000000" w:themeColor="text1"/>
          <w:lang w:eastAsia="en-US"/>
        </w:rPr>
        <w:t>Tāpat, kā līdz šim valsts iestāžu un izglītības iestāžu īstenotajos projektos neatbilstības sastāda salīdzinoši liel</w:t>
      </w:r>
      <w:r w:rsidR="00657661" w:rsidRPr="008E4EA2">
        <w:rPr>
          <w:rFonts w:eastAsia="Times New Roman"/>
          <w:color w:val="000000" w:themeColor="text1"/>
          <w:lang w:eastAsia="en-US"/>
        </w:rPr>
        <w:t xml:space="preserve">u neatbilstību apjomu – kopumā </w:t>
      </w:r>
      <w:r w:rsidRPr="008E4EA2">
        <w:rPr>
          <w:rFonts w:eastAsia="Times New Roman"/>
          <w:color w:val="000000" w:themeColor="text1"/>
          <w:lang w:eastAsia="en-US"/>
        </w:rPr>
        <w:t xml:space="preserve">7 </w:t>
      </w:r>
      <w:proofErr w:type="spellStart"/>
      <w:r w:rsidRPr="008E4EA2">
        <w:rPr>
          <w:rFonts w:eastAsia="Times New Roman"/>
          <w:color w:val="000000" w:themeColor="text1"/>
          <w:lang w:eastAsia="en-US"/>
        </w:rPr>
        <w:t>mlj</w:t>
      </w:r>
      <w:proofErr w:type="spellEnd"/>
      <w:r w:rsidRPr="008E4EA2">
        <w:rPr>
          <w:rFonts w:eastAsia="Times New Roman"/>
          <w:color w:val="000000" w:themeColor="text1"/>
          <w:lang w:eastAsia="en-US"/>
        </w:rPr>
        <w:t>. latu jeb 28% no kopējā 2007 – 2013. gada plānošanas periodā konstatēto</w:t>
      </w:r>
      <w:r w:rsidR="005E1672">
        <w:rPr>
          <w:rFonts w:eastAsia="Times New Roman"/>
          <w:color w:val="000000" w:themeColor="text1"/>
          <w:lang w:eastAsia="en-US"/>
        </w:rPr>
        <w:t xml:space="preserve"> </w:t>
      </w:r>
      <w:r w:rsidRPr="008E4EA2">
        <w:rPr>
          <w:rFonts w:eastAsia="Times New Roman"/>
          <w:color w:val="000000" w:themeColor="text1"/>
          <w:lang w:eastAsia="en-US"/>
        </w:rPr>
        <w:t>neatbilstību apjoma.</w:t>
      </w:r>
      <w:r w:rsidR="005E1672">
        <w:rPr>
          <w:rFonts w:eastAsia="Times New Roman"/>
          <w:color w:val="000000" w:themeColor="text1"/>
          <w:lang w:eastAsia="en-US"/>
        </w:rPr>
        <w:t xml:space="preserve"> </w:t>
      </w:r>
      <w:r w:rsidRPr="008E4EA2">
        <w:rPr>
          <w:rFonts w:eastAsia="Times New Roman"/>
          <w:color w:val="000000" w:themeColor="text1"/>
          <w:lang w:eastAsia="en-US"/>
        </w:rPr>
        <w:t>Attiecīgi, lai novērstu turpmāku neatbilstību rašanās risku, par pārkāpumiem jeb konstatētajām neatbilstībām tiešo vai pastarpināto valsts pārvaldes iestāžu, atvasināto publisko personu vai citu valsts iestāžu īstenotajos projektos ir jāierosina dienesta izmeklēšana un, ja nepieciešams, disciplinārlietas. Minētais par dienesta izmeklēšanu un disciplin</w:t>
      </w:r>
      <w:r w:rsidR="00657661" w:rsidRPr="008E4EA2">
        <w:rPr>
          <w:rFonts w:eastAsia="Times New Roman"/>
          <w:color w:val="000000" w:themeColor="text1"/>
          <w:lang w:eastAsia="en-US"/>
        </w:rPr>
        <w:t xml:space="preserve">ārlietu ierosināšanu izriet no </w:t>
      </w:r>
      <w:r w:rsidRPr="008E4EA2">
        <w:rPr>
          <w:rFonts w:eastAsia="Times New Roman"/>
          <w:color w:val="000000" w:themeColor="text1"/>
          <w:lang w:eastAsia="en-US"/>
        </w:rPr>
        <w:t xml:space="preserve">MK ar 2011.gada 8.marta </w:t>
      </w:r>
      <w:proofErr w:type="spellStart"/>
      <w:r w:rsidRPr="008E4EA2">
        <w:rPr>
          <w:rFonts w:eastAsia="Times New Roman"/>
          <w:color w:val="000000" w:themeColor="text1"/>
          <w:lang w:eastAsia="en-US"/>
        </w:rPr>
        <w:t>protokollēmumu</w:t>
      </w:r>
      <w:proofErr w:type="spellEnd"/>
      <w:r w:rsidRPr="008E4EA2">
        <w:rPr>
          <w:rFonts w:eastAsia="Times New Roman"/>
          <w:color w:val="000000" w:themeColor="text1"/>
          <w:lang w:eastAsia="en-US"/>
        </w:rPr>
        <w:t xml:space="preserve"> Nr.14 21.§ 4.punktu, kas nosaka, ka: „Gadījumos, kad konstatēti neatbilstoši veikti izdevumi valsts budžeta iestādes īstenotajā projektā apmērā virs 85 latiem, attiecīgajai iestādei veikt dienesta pārbaudi atbilstoši Valsts pārvaldes iekārtas likuma 35.panta pirmajai daļai un pēc dienesta pārbaudes atzinuma saņemšanas, ja nepieciešamas, ierosināt disciplinārlietu pret atbildīgajām amatpersonām un pārvaldes amatpersonām. Disciplinārlietas tiek ierosinātas saskaņā ar Valsts pārvaldes iekārtas likumu un Valsts civildienesta ierēdņu </w:t>
      </w:r>
      <w:r w:rsidR="00657661" w:rsidRPr="008E4EA2">
        <w:rPr>
          <w:rFonts w:eastAsia="Times New Roman"/>
          <w:color w:val="000000" w:themeColor="text1"/>
          <w:lang w:eastAsia="en-US"/>
        </w:rPr>
        <w:t xml:space="preserve">disciplināratbildības likumu”. </w:t>
      </w:r>
      <w:r w:rsidRPr="008E4EA2">
        <w:rPr>
          <w:rFonts w:eastAsia="Times New Roman"/>
          <w:color w:val="000000" w:themeColor="text1"/>
          <w:lang w:eastAsia="en-US"/>
        </w:rPr>
        <w:t xml:space="preserve">Līdz šim ne visas iestādes ir rīkojušās atbilstoši MK </w:t>
      </w:r>
      <w:proofErr w:type="spellStart"/>
      <w:r w:rsidRPr="008E4EA2">
        <w:rPr>
          <w:rFonts w:eastAsia="Times New Roman"/>
          <w:color w:val="000000" w:themeColor="text1"/>
          <w:lang w:eastAsia="en-US"/>
        </w:rPr>
        <w:t>protokollēmumā</w:t>
      </w:r>
      <w:proofErr w:type="spellEnd"/>
      <w:r w:rsidRPr="008E4EA2">
        <w:rPr>
          <w:rFonts w:eastAsia="Times New Roman"/>
          <w:color w:val="000000" w:themeColor="text1"/>
          <w:lang w:eastAsia="en-US"/>
        </w:rPr>
        <w:t xml:space="preserve"> noteiktajam, tomēr ar katru ceturksni šī situācija uzlabojas un konstatētās neatbilstības valsts iestāžu īstenotajos projektos tiek izskatītas un ja nepieciešams tiek ierosinātas disciplinārlietas.</w:t>
      </w:r>
      <w:r w:rsidR="005E1672">
        <w:rPr>
          <w:rFonts w:eastAsia="Times New Roman"/>
          <w:color w:val="000000" w:themeColor="text1"/>
          <w:lang w:eastAsia="en-US"/>
        </w:rPr>
        <w:t xml:space="preserve"> </w:t>
      </w:r>
    </w:p>
    <w:p w:rsidR="00D00C2A" w:rsidRPr="008E4EA2" w:rsidRDefault="00D00C2A" w:rsidP="003A0029">
      <w:pPr>
        <w:pStyle w:val="Default"/>
        <w:spacing w:before="120" w:after="120" w:line="276" w:lineRule="auto"/>
        <w:jc w:val="both"/>
        <w:rPr>
          <w:rFonts w:eastAsia="Times New Roman"/>
          <w:color w:val="000000" w:themeColor="text1"/>
          <w:lang w:eastAsia="en-US"/>
        </w:rPr>
      </w:pPr>
      <w:r w:rsidRPr="008E4EA2">
        <w:rPr>
          <w:rFonts w:eastAsia="Times New Roman"/>
          <w:color w:val="000000" w:themeColor="text1"/>
          <w:lang w:eastAsia="en-US"/>
        </w:rPr>
        <w:t xml:space="preserve">Pašvaldību īstenotajos projektos neatbilstību apjoms salīdzinājumā ar datiem uz iepriekšējā ceturkšņa beigām ir pieaudzis tikai par 0,2%, tomēr kopumā pašvaldību īstenotajos projektos neatbilstību apjoms ir 7,7 </w:t>
      </w:r>
      <w:proofErr w:type="spellStart"/>
      <w:r w:rsidRPr="008E4EA2">
        <w:rPr>
          <w:rFonts w:eastAsia="Times New Roman"/>
          <w:color w:val="000000" w:themeColor="text1"/>
          <w:lang w:eastAsia="en-US"/>
        </w:rPr>
        <w:t>milj</w:t>
      </w:r>
      <w:proofErr w:type="spellEnd"/>
      <w:r w:rsidRPr="008E4EA2">
        <w:rPr>
          <w:rFonts w:eastAsia="Times New Roman"/>
          <w:color w:val="000000" w:themeColor="text1"/>
          <w:lang w:eastAsia="en-US"/>
        </w:rPr>
        <w:t xml:space="preserve">. latu jeb 30 % no kopējā konstatētā neatbilstību apjoma 2007 – 2013.gada plānošanas periodā. Attiecīgi, lai novērstu turpmāku neatbilstību rašanās risku, jau iepriekšējā MK ziņojumā par ES fondu apguvi tika iekļauta informācija par pašvaldībām, kurās konstatēts lielākais neatbilstību apjoms. Attiecīgi arī turpmāk MK ziņojumos tiks, ja nepieciešams, iekļauta informācija par ceturksnī konstatētajiem būtiskākajiem neatbilstību gadījumiem pašvaldību īstenotajos projektos, atbildoši </w:t>
      </w:r>
      <w:proofErr w:type="spellStart"/>
      <w:r w:rsidRPr="008E4EA2">
        <w:rPr>
          <w:rFonts w:eastAsia="Times New Roman"/>
          <w:color w:val="000000" w:themeColor="text1"/>
          <w:lang w:eastAsia="en-US"/>
        </w:rPr>
        <w:t>š.g</w:t>
      </w:r>
      <w:proofErr w:type="spellEnd"/>
      <w:r w:rsidRPr="008E4EA2">
        <w:rPr>
          <w:rFonts w:eastAsia="Times New Roman"/>
          <w:color w:val="000000" w:themeColor="text1"/>
          <w:lang w:eastAsia="en-US"/>
        </w:rPr>
        <w:t xml:space="preserve">. 25. septembra MK sēdes protokola Nr.5 21. § 3. punktam un lūgts </w:t>
      </w:r>
      <w:r w:rsidRPr="008E4EA2">
        <w:rPr>
          <w:rFonts w:eastAsia="Times New Roman"/>
          <w:color w:val="000000" w:themeColor="text1"/>
          <w:lang w:eastAsia="en-US"/>
        </w:rPr>
        <w:lastRenderedPageBreak/>
        <w:t xml:space="preserve">VARAM, kopā ar </w:t>
      </w:r>
      <w:r w:rsidR="0065755F">
        <w:rPr>
          <w:rFonts w:eastAsia="Times New Roman"/>
          <w:color w:val="000000" w:themeColor="text1"/>
          <w:lang w:eastAsia="en-US"/>
        </w:rPr>
        <w:t>AI</w:t>
      </w:r>
      <w:r w:rsidRPr="008E4EA2">
        <w:rPr>
          <w:rFonts w:eastAsia="Times New Roman"/>
          <w:color w:val="000000" w:themeColor="text1"/>
          <w:lang w:eastAsia="en-US"/>
        </w:rPr>
        <w:t xml:space="preserve"> un attiecīgajām pašvaldībām meklēt risinājumus turpmāku neatbilstību rašanās risku novēršanai.</w:t>
      </w:r>
    </w:p>
    <w:p w:rsidR="00D00C2A" w:rsidRPr="008E4EA2" w:rsidRDefault="00D00C2A" w:rsidP="003A0029">
      <w:pPr>
        <w:pStyle w:val="Default"/>
        <w:spacing w:before="120" w:after="120" w:line="276" w:lineRule="auto"/>
        <w:jc w:val="both"/>
        <w:rPr>
          <w:rFonts w:eastAsia="Times New Roman"/>
          <w:color w:val="000000" w:themeColor="text1"/>
          <w:lang w:eastAsia="en-US"/>
        </w:rPr>
      </w:pPr>
      <w:r w:rsidRPr="008E4EA2">
        <w:rPr>
          <w:rFonts w:eastAsia="Times New Roman"/>
          <w:color w:val="000000" w:themeColor="text1"/>
          <w:lang w:eastAsia="en-US"/>
        </w:rPr>
        <w:t>Pārskata periodā VI aktualizējusi virkni metodisko un skaidrojošo materiālu ES fondu vadībā iesaistītajām iestādēm, kas izstrādāti un regulāri tiek precizēti un papildināti ar mērķi nodrošināt vienotu praksi starp iestādēm un mazināt neatbilstoši veikto izdevumu rašanās risku. Vadlīnijas un metodikas aktualizētas, ņemot vērā RI auditos, vadošās iestādes deleģēto funkciju pārbaudēs, pārbaudēs projektu īstenošanas vietās un procedūru izvērtējumā konstatētās sistēmiskās nepilnības.</w:t>
      </w:r>
    </w:p>
    <w:p w:rsidR="00EF4C56" w:rsidRPr="008E4EA2" w:rsidRDefault="00D00C2A" w:rsidP="003A0029">
      <w:pPr>
        <w:pStyle w:val="Default"/>
        <w:spacing w:before="120" w:after="120" w:line="276" w:lineRule="auto"/>
        <w:jc w:val="both"/>
        <w:rPr>
          <w:color w:val="000000" w:themeColor="text1"/>
        </w:rPr>
      </w:pPr>
      <w:r w:rsidRPr="008E4EA2">
        <w:rPr>
          <w:rFonts w:eastAsia="Times New Roman"/>
          <w:color w:val="000000" w:themeColor="text1"/>
          <w:lang w:eastAsia="en-US"/>
        </w:rPr>
        <w:t>VI turpina īstenot nepieciešamos pasākumus, lai sagatavotos jaunajam Kohēzijas politikas plānošanas periodam, formulējot un pārstāvot Latvijas intereses sarunās par Kohēzijas politiku pēc 2013.gada. Trešajā ceturksnī Latvija ir aktīvi darbojusies ES Padomes Strukturālo pasākumu darba grupā, gatavojot viedokļus un komentārus par Kipras prezidentūras sagatavotajiem ES Kohēzijas politikas regulu priekšlikumu kompromisu dokumentiem. ES budžeta 2014. – 2020.gadam sarunu ietvaros tiek veiktas regulāras aktivitātes, lai sekmētu ES Kohēzijas politikas piešķīruma Latvijai saglabāšanu vismaz esošā plānošanas perioda apjomā.</w:t>
      </w:r>
    </w:p>
    <w:p w:rsidR="00486FCC" w:rsidRDefault="00486FCC" w:rsidP="003A0029">
      <w:pPr>
        <w:spacing w:before="120" w:after="120" w:line="276" w:lineRule="auto"/>
        <w:rPr>
          <w:color w:val="000000" w:themeColor="text1"/>
          <w:szCs w:val="24"/>
          <w:highlight w:val="yellow"/>
        </w:rPr>
      </w:pPr>
    </w:p>
    <w:p w:rsidR="00BA4562" w:rsidRDefault="00BA4562" w:rsidP="003A0029">
      <w:pPr>
        <w:spacing w:before="120" w:after="120" w:line="276" w:lineRule="auto"/>
        <w:rPr>
          <w:color w:val="000000" w:themeColor="text1"/>
          <w:szCs w:val="24"/>
          <w:highlight w:val="yellow"/>
        </w:rPr>
      </w:pPr>
    </w:p>
    <w:p w:rsidR="00BA4562" w:rsidRDefault="00BA4562" w:rsidP="003A0029">
      <w:pPr>
        <w:spacing w:before="120" w:after="120" w:line="276" w:lineRule="auto"/>
        <w:rPr>
          <w:color w:val="000000" w:themeColor="text1"/>
          <w:szCs w:val="24"/>
          <w:highlight w:val="yellow"/>
        </w:rPr>
      </w:pPr>
    </w:p>
    <w:p w:rsidR="00BA4562" w:rsidRDefault="00BA4562" w:rsidP="003A0029">
      <w:pPr>
        <w:spacing w:before="120" w:after="120" w:line="276" w:lineRule="auto"/>
        <w:rPr>
          <w:color w:val="000000" w:themeColor="text1"/>
          <w:szCs w:val="24"/>
          <w:highlight w:val="yellow"/>
        </w:rPr>
      </w:pPr>
    </w:p>
    <w:p w:rsidR="00BA4562" w:rsidRPr="008E4EA2" w:rsidRDefault="00BA4562" w:rsidP="003A0029">
      <w:pPr>
        <w:spacing w:before="120" w:after="120" w:line="276" w:lineRule="auto"/>
        <w:rPr>
          <w:color w:val="000000" w:themeColor="text1"/>
          <w:szCs w:val="24"/>
          <w:highlight w:val="yellow"/>
        </w:rPr>
      </w:pPr>
    </w:p>
    <w:p w:rsidR="009056FC" w:rsidRPr="008E4EA2" w:rsidRDefault="009056FC" w:rsidP="003A0029">
      <w:pPr>
        <w:spacing w:before="120" w:after="120" w:line="276" w:lineRule="auto"/>
        <w:rPr>
          <w:color w:val="000000" w:themeColor="text1"/>
          <w:spacing w:val="6"/>
          <w:szCs w:val="24"/>
          <w:highlight w:val="yellow"/>
        </w:rPr>
      </w:pPr>
    </w:p>
    <w:p w:rsidR="00FF4209" w:rsidRPr="009C6824" w:rsidRDefault="00442F96" w:rsidP="00BA4562">
      <w:pPr>
        <w:tabs>
          <w:tab w:val="right" w:pos="8647"/>
        </w:tabs>
        <w:spacing w:before="120" w:after="120" w:line="276" w:lineRule="auto"/>
        <w:rPr>
          <w:color w:val="000000" w:themeColor="text1"/>
          <w:spacing w:val="6"/>
          <w:sz w:val="28"/>
          <w:szCs w:val="24"/>
        </w:rPr>
      </w:pPr>
      <w:r w:rsidRPr="009C6824">
        <w:rPr>
          <w:color w:val="000000" w:themeColor="text1"/>
          <w:spacing w:val="6"/>
          <w:sz w:val="28"/>
          <w:szCs w:val="24"/>
        </w:rPr>
        <w:t>Finanšu ministr</w:t>
      </w:r>
      <w:r w:rsidR="008E64FA" w:rsidRPr="009C6824">
        <w:rPr>
          <w:color w:val="000000" w:themeColor="text1"/>
          <w:spacing w:val="6"/>
          <w:sz w:val="28"/>
          <w:szCs w:val="24"/>
        </w:rPr>
        <w:t>s</w:t>
      </w:r>
      <w:r w:rsidR="00BA4562">
        <w:rPr>
          <w:color w:val="000000" w:themeColor="text1"/>
          <w:spacing w:val="6"/>
          <w:sz w:val="28"/>
          <w:szCs w:val="24"/>
        </w:rPr>
        <w:tab/>
      </w:r>
      <w:bookmarkStart w:id="99" w:name="_GoBack"/>
      <w:bookmarkEnd w:id="99"/>
      <w:r w:rsidR="00FF4209" w:rsidRPr="009C6824">
        <w:rPr>
          <w:color w:val="000000" w:themeColor="text1"/>
          <w:spacing w:val="6"/>
          <w:sz w:val="28"/>
          <w:szCs w:val="24"/>
        </w:rPr>
        <w:t xml:space="preserve"> </w:t>
      </w:r>
      <w:r w:rsidR="008E64FA" w:rsidRPr="009C6824">
        <w:rPr>
          <w:color w:val="000000" w:themeColor="text1"/>
          <w:spacing w:val="6"/>
          <w:sz w:val="28"/>
          <w:szCs w:val="24"/>
        </w:rPr>
        <w:t>A.Vilks</w:t>
      </w:r>
      <w:r w:rsidR="002A561D" w:rsidRPr="009C6824">
        <w:rPr>
          <w:color w:val="000000" w:themeColor="text1"/>
          <w:spacing w:val="6"/>
          <w:sz w:val="28"/>
          <w:szCs w:val="24"/>
        </w:rPr>
        <w:tab/>
      </w:r>
    </w:p>
    <w:p w:rsidR="00BA4562" w:rsidRDefault="00BA4562" w:rsidP="003A0029">
      <w:pPr>
        <w:pStyle w:val="FootnoteText"/>
        <w:spacing w:before="120" w:after="120" w:line="276" w:lineRule="auto"/>
        <w:rPr>
          <w:color w:val="000000" w:themeColor="text1"/>
          <w:sz w:val="24"/>
          <w:szCs w:val="24"/>
          <w:highlight w:val="yellow"/>
          <w:lang w:val="lv-LV" w:eastAsia="lv-LV"/>
        </w:rPr>
      </w:pPr>
    </w:p>
    <w:p w:rsidR="00BA4562" w:rsidRDefault="00BA4562" w:rsidP="003A0029">
      <w:pPr>
        <w:pStyle w:val="FootnoteText"/>
        <w:spacing w:before="120" w:after="120" w:line="276" w:lineRule="auto"/>
        <w:rPr>
          <w:color w:val="000000" w:themeColor="text1"/>
          <w:sz w:val="24"/>
          <w:szCs w:val="24"/>
          <w:highlight w:val="yellow"/>
          <w:lang w:val="lv-LV" w:eastAsia="lv-LV"/>
        </w:rPr>
      </w:pPr>
    </w:p>
    <w:p w:rsidR="00BA4562" w:rsidRPr="008E4EA2" w:rsidRDefault="00BA4562" w:rsidP="003A0029">
      <w:pPr>
        <w:pStyle w:val="FootnoteText"/>
        <w:spacing w:before="120" w:after="120" w:line="276" w:lineRule="auto"/>
        <w:rPr>
          <w:color w:val="000000" w:themeColor="text1"/>
          <w:sz w:val="24"/>
          <w:szCs w:val="24"/>
          <w:highlight w:val="yellow"/>
          <w:lang w:val="lv-LV" w:eastAsia="lv-LV"/>
        </w:rPr>
      </w:pPr>
    </w:p>
    <w:p w:rsidR="00794609" w:rsidRPr="009C6824" w:rsidRDefault="00E62148" w:rsidP="00032804">
      <w:pPr>
        <w:tabs>
          <w:tab w:val="center" w:pos="4153"/>
          <w:tab w:val="right" w:pos="8306"/>
        </w:tabs>
        <w:spacing w:line="276" w:lineRule="auto"/>
        <w:rPr>
          <w:color w:val="000000" w:themeColor="text1"/>
          <w:sz w:val="22"/>
          <w:szCs w:val="22"/>
        </w:rPr>
      </w:pPr>
      <w:r>
        <w:rPr>
          <w:color w:val="000000" w:themeColor="text1"/>
          <w:sz w:val="22"/>
          <w:szCs w:val="22"/>
        </w:rPr>
        <w:t>13</w:t>
      </w:r>
      <w:r w:rsidR="00032804" w:rsidRPr="009C6824">
        <w:rPr>
          <w:color w:val="000000" w:themeColor="text1"/>
          <w:sz w:val="22"/>
          <w:szCs w:val="22"/>
        </w:rPr>
        <w:t>.11</w:t>
      </w:r>
      <w:r w:rsidR="00794609" w:rsidRPr="009C6824">
        <w:rPr>
          <w:color w:val="000000" w:themeColor="text1"/>
          <w:sz w:val="22"/>
          <w:szCs w:val="22"/>
        </w:rPr>
        <w:t>.2012. 11:00</w:t>
      </w:r>
    </w:p>
    <w:p w:rsidR="00794609" w:rsidRPr="009C6824" w:rsidRDefault="008A33DF" w:rsidP="00032804">
      <w:pPr>
        <w:tabs>
          <w:tab w:val="center" w:pos="4153"/>
          <w:tab w:val="right" w:pos="8306"/>
        </w:tabs>
        <w:spacing w:line="276" w:lineRule="auto"/>
        <w:rPr>
          <w:color w:val="000000" w:themeColor="text1"/>
          <w:sz w:val="22"/>
          <w:szCs w:val="22"/>
        </w:rPr>
      </w:pPr>
      <w:r w:rsidRPr="00E62148">
        <w:rPr>
          <w:color w:val="000000" w:themeColor="text1"/>
          <w:sz w:val="22"/>
          <w:szCs w:val="22"/>
        </w:rPr>
        <w:t xml:space="preserve">26 </w:t>
      </w:r>
      <w:r w:rsidR="00E41BB8">
        <w:rPr>
          <w:color w:val="000000" w:themeColor="text1"/>
          <w:sz w:val="22"/>
          <w:szCs w:val="22"/>
        </w:rPr>
        <w:t>4</w:t>
      </w:r>
      <w:r w:rsidR="00BA4562">
        <w:rPr>
          <w:color w:val="000000" w:themeColor="text1"/>
          <w:sz w:val="22"/>
          <w:szCs w:val="22"/>
        </w:rPr>
        <w:t>69</w:t>
      </w:r>
    </w:p>
    <w:p w:rsidR="00794609" w:rsidRPr="009C6824" w:rsidRDefault="004B4B31" w:rsidP="00032804">
      <w:pPr>
        <w:tabs>
          <w:tab w:val="center" w:pos="4153"/>
          <w:tab w:val="right" w:pos="8306"/>
        </w:tabs>
        <w:spacing w:line="276" w:lineRule="auto"/>
        <w:rPr>
          <w:color w:val="000000" w:themeColor="text1"/>
          <w:sz w:val="22"/>
          <w:szCs w:val="22"/>
        </w:rPr>
      </w:pPr>
      <w:r>
        <w:rPr>
          <w:color w:val="000000" w:themeColor="text1"/>
          <w:sz w:val="22"/>
          <w:szCs w:val="22"/>
        </w:rPr>
        <w:t>Sintija Laugale - Volbaka</w:t>
      </w:r>
    </w:p>
    <w:p w:rsidR="00794609" w:rsidRPr="009C6824" w:rsidRDefault="00794609" w:rsidP="00032804">
      <w:pPr>
        <w:tabs>
          <w:tab w:val="center" w:pos="4153"/>
          <w:tab w:val="right" w:pos="8306"/>
        </w:tabs>
        <w:spacing w:line="276" w:lineRule="auto"/>
        <w:rPr>
          <w:color w:val="000000" w:themeColor="text1"/>
          <w:sz w:val="22"/>
          <w:szCs w:val="22"/>
        </w:rPr>
      </w:pPr>
      <w:r w:rsidRPr="009C6824">
        <w:rPr>
          <w:color w:val="000000" w:themeColor="text1"/>
          <w:sz w:val="22"/>
          <w:szCs w:val="22"/>
        </w:rPr>
        <w:t>Finanšu ministrijas Eiropas Savienības fondu uzraudzības departamenta</w:t>
      </w:r>
    </w:p>
    <w:p w:rsidR="00794609" w:rsidRPr="009C6824" w:rsidRDefault="00794609" w:rsidP="00032804">
      <w:pPr>
        <w:tabs>
          <w:tab w:val="center" w:pos="4153"/>
          <w:tab w:val="right" w:pos="8306"/>
        </w:tabs>
        <w:spacing w:line="276" w:lineRule="auto"/>
        <w:rPr>
          <w:color w:val="000000" w:themeColor="text1"/>
          <w:sz w:val="22"/>
          <w:szCs w:val="22"/>
        </w:rPr>
      </w:pPr>
      <w:r w:rsidRPr="009C6824">
        <w:rPr>
          <w:color w:val="000000" w:themeColor="text1"/>
          <w:sz w:val="22"/>
          <w:szCs w:val="22"/>
        </w:rPr>
        <w:t xml:space="preserve">Uzņēmējdarbības un inovāciju uzraudzības nodaļas </w:t>
      </w:r>
      <w:r w:rsidR="004B4B31">
        <w:rPr>
          <w:color w:val="000000" w:themeColor="text1"/>
          <w:sz w:val="22"/>
          <w:szCs w:val="22"/>
        </w:rPr>
        <w:t>eksperte</w:t>
      </w:r>
    </w:p>
    <w:p w:rsidR="00794609" w:rsidRPr="009C6824" w:rsidRDefault="00794609" w:rsidP="00032804">
      <w:pPr>
        <w:tabs>
          <w:tab w:val="center" w:pos="4153"/>
          <w:tab w:val="right" w:pos="8306"/>
        </w:tabs>
        <w:spacing w:line="276" w:lineRule="auto"/>
        <w:rPr>
          <w:color w:val="000000" w:themeColor="text1"/>
          <w:sz w:val="22"/>
          <w:szCs w:val="22"/>
        </w:rPr>
      </w:pPr>
      <w:proofErr w:type="spellStart"/>
      <w:r w:rsidRPr="009C6824">
        <w:rPr>
          <w:color w:val="000000" w:themeColor="text1"/>
          <w:sz w:val="22"/>
          <w:szCs w:val="22"/>
        </w:rPr>
        <w:t>Tālr</w:t>
      </w:r>
      <w:proofErr w:type="spellEnd"/>
      <w:r w:rsidRPr="009C6824">
        <w:rPr>
          <w:color w:val="000000" w:themeColor="text1"/>
          <w:sz w:val="22"/>
          <w:szCs w:val="22"/>
        </w:rPr>
        <w:t>. 67083</w:t>
      </w:r>
      <w:r w:rsidR="004B4B31">
        <w:rPr>
          <w:color w:val="000000" w:themeColor="text1"/>
          <w:sz w:val="22"/>
          <w:szCs w:val="22"/>
        </w:rPr>
        <w:t>964</w:t>
      </w:r>
      <w:r w:rsidRPr="009C6824">
        <w:rPr>
          <w:color w:val="000000" w:themeColor="text1"/>
          <w:sz w:val="22"/>
          <w:szCs w:val="22"/>
        </w:rPr>
        <w:t>, fakss 67095697</w:t>
      </w:r>
    </w:p>
    <w:p w:rsidR="00794609" w:rsidRPr="009C6824" w:rsidRDefault="00E61B97" w:rsidP="00032804">
      <w:pPr>
        <w:tabs>
          <w:tab w:val="center" w:pos="4153"/>
          <w:tab w:val="right" w:pos="8306"/>
        </w:tabs>
        <w:spacing w:line="276" w:lineRule="auto"/>
        <w:rPr>
          <w:color w:val="000000" w:themeColor="text1"/>
          <w:sz w:val="22"/>
          <w:szCs w:val="22"/>
          <w:highlight w:val="yellow"/>
        </w:rPr>
      </w:pPr>
      <w:hyperlink r:id="rId69" w:history="1">
        <w:r w:rsidR="004B4B31" w:rsidRPr="003E1F9C">
          <w:rPr>
            <w:rStyle w:val="Hyperlink"/>
            <w:rFonts w:ascii="Times New Roman" w:hAnsi="Times New Roman" w:cs="Times New Roman"/>
            <w:sz w:val="22"/>
            <w:szCs w:val="22"/>
          </w:rPr>
          <w:t>Sintija.Laugale-Volbaka@fm.gov.lv</w:t>
        </w:r>
      </w:hyperlink>
    </w:p>
    <w:p w:rsidR="005212A9" w:rsidRPr="008E4EA2" w:rsidRDefault="005212A9" w:rsidP="003A0029">
      <w:pPr>
        <w:tabs>
          <w:tab w:val="center" w:pos="4153"/>
          <w:tab w:val="right" w:pos="8306"/>
        </w:tabs>
        <w:spacing w:before="120" w:after="120" w:line="276" w:lineRule="auto"/>
        <w:rPr>
          <w:color w:val="000000" w:themeColor="text1"/>
          <w:szCs w:val="24"/>
          <w:highlight w:val="yellow"/>
        </w:rPr>
      </w:pPr>
    </w:p>
    <w:sectPr w:rsidR="005212A9" w:rsidRPr="008E4EA2" w:rsidSect="00305963">
      <w:headerReference w:type="even" r:id="rId70"/>
      <w:headerReference w:type="default" r:id="rId71"/>
      <w:footerReference w:type="even" r:id="rId72"/>
      <w:footerReference w:type="default" r:id="rId73"/>
      <w:headerReference w:type="first" r:id="rId74"/>
      <w:pgSz w:w="11906" w:h="16838" w:code="9"/>
      <w:pgMar w:top="1418" w:right="1558" w:bottom="1418"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562" w:rsidRDefault="00BA4562" w:rsidP="00FF4209">
      <w:r>
        <w:separator/>
      </w:r>
    </w:p>
  </w:endnote>
  <w:endnote w:type="continuationSeparator" w:id="0">
    <w:p w:rsidR="00BA4562" w:rsidRDefault="00BA4562" w:rsidP="00FF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entury Schoolbook">
    <w:panose1 w:val="02040604050505020304"/>
    <w:charset w:val="BA"/>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62" w:rsidRDefault="00BA4562" w:rsidP="007906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4562" w:rsidRDefault="00BA45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62" w:rsidRPr="005B7478" w:rsidRDefault="00BA4562" w:rsidP="006147B6">
    <w:pPr>
      <w:pStyle w:val="Footer"/>
      <w:rPr>
        <w:sz w:val="20"/>
        <w:lang w:val="lv-LV"/>
      </w:rPr>
    </w:pPr>
    <w:r w:rsidRPr="003A479C">
      <w:rPr>
        <w:sz w:val="20"/>
      </w:rPr>
      <w:t>FMzino_</w:t>
    </w:r>
    <w:r>
      <w:rPr>
        <w:sz w:val="20"/>
        <w:lang w:val="lv-LV"/>
      </w:rPr>
      <w:t>131112</w:t>
    </w:r>
    <w:r w:rsidRPr="003A479C">
      <w:rPr>
        <w:sz w:val="20"/>
      </w:rPr>
      <w:t>_</w:t>
    </w:r>
    <w:proofErr w:type="spellStart"/>
    <w:r w:rsidRPr="003A479C">
      <w:rPr>
        <w:sz w:val="20"/>
      </w:rPr>
      <w:t>ES_fondi</w:t>
    </w:r>
    <w:proofErr w:type="spellEnd"/>
    <w:r w:rsidRPr="003A479C">
      <w:rPr>
        <w:sz w:val="20"/>
      </w:rPr>
      <w:t xml:space="preserve">; Informatīvais ziņojums par ES struktūrfondu un Kohēzijas fonda, Eiropas Ekonomikas zonas </w:t>
    </w:r>
    <w:r>
      <w:rPr>
        <w:sz w:val="20"/>
      </w:rPr>
      <w:t>finanšu instrumenta, Norvēģijas</w:t>
    </w:r>
    <w:r>
      <w:rPr>
        <w:sz w:val="20"/>
        <w:lang w:val="lv-LV"/>
      </w:rPr>
      <w:t xml:space="preserve"> </w:t>
    </w:r>
    <w:r w:rsidRPr="003A479C">
      <w:rPr>
        <w:sz w:val="20"/>
      </w:rPr>
      <w:t>finanšu instrumenta un Latvijas</w:t>
    </w:r>
    <w:r>
      <w:rPr>
        <w:sz w:val="20"/>
      </w:rPr>
      <w:t>–Šveices sadarbības programmas</w:t>
    </w:r>
    <w:r>
      <w:rPr>
        <w:sz w:val="20"/>
        <w:lang w:val="lv-LV"/>
      </w:rPr>
      <w:t xml:space="preserve"> </w:t>
    </w:r>
    <w:r w:rsidRPr="003A479C">
      <w:rPr>
        <w:sz w:val="20"/>
      </w:rPr>
      <w:t xml:space="preserve">apguvi līdz </w:t>
    </w:r>
    <w:r>
      <w:rPr>
        <w:sz w:val="20"/>
        <w:lang w:val="lv-LV"/>
      </w:rPr>
      <w:t>2012.gada 30.septembrim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562" w:rsidRDefault="00BA4562" w:rsidP="00FF4209">
      <w:r>
        <w:separator/>
      </w:r>
    </w:p>
  </w:footnote>
  <w:footnote w:type="continuationSeparator" w:id="0">
    <w:p w:rsidR="00BA4562" w:rsidRDefault="00BA4562" w:rsidP="00FF4209">
      <w:r>
        <w:continuationSeparator/>
      </w:r>
    </w:p>
  </w:footnote>
  <w:footnote w:id="1">
    <w:p w:rsidR="00BA4562" w:rsidRPr="002A3EC7" w:rsidRDefault="00BA4562" w:rsidP="003F7E8A">
      <w:pPr>
        <w:pStyle w:val="FootnoteText"/>
        <w:rPr>
          <w:lang w:val="lv-LV"/>
        </w:rPr>
      </w:pPr>
      <w:r>
        <w:rPr>
          <w:rStyle w:val="FootnoteReference"/>
        </w:rPr>
        <w:footnoteRef/>
      </w:r>
      <w:r>
        <w:t xml:space="preserve"> </w:t>
      </w:r>
      <w:proofErr w:type="spellStart"/>
      <w:r>
        <w:rPr>
          <w:color w:val="000000" w:themeColor="text1"/>
          <w:szCs w:val="24"/>
          <w:lang w:val="lv-LV" w:eastAsia="en-US"/>
        </w:rPr>
        <w:t>apakšaktivitāte</w:t>
      </w:r>
      <w:proofErr w:type="spellEnd"/>
      <w:r w:rsidRPr="00B52CFD">
        <w:rPr>
          <w:color w:val="000000" w:themeColor="text1"/>
          <w:szCs w:val="24"/>
          <w:lang w:val="lv-LV" w:eastAsia="en-US"/>
        </w:rPr>
        <w:t xml:space="preserve"> „Ārējo tirgu apgūšana - ārējais mārketings”</w:t>
      </w:r>
    </w:p>
  </w:footnote>
  <w:footnote w:id="2">
    <w:p w:rsidR="00BA4562" w:rsidRPr="005715D1" w:rsidRDefault="00BA4562" w:rsidP="003F7E8A">
      <w:pPr>
        <w:pStyle w:val="FootnoteText"/>
      </w:pPr>
      <w:r>
        <w:rPr>
          <w:rStyle w:val="FootnoteReference"/>
        </w:rPr>
        <w:footnoteRef/>
      </w:r>
      <w:r>
        <w:t xml:space="preserve"> </w:t>
      </w:r>
      <w:r w:rsidRPr="00B52CFD">
        <w:rPr>
          <w:color w:val="000000" w:themeColor="text1"/>
          <w:szCs w:val="24"/>
          <w:lang w:val="lv-LV" w:eastAsia="en-US"/>
        </w:rPr>
        <w:t>aktivitāte „Klasteru programma”</w:t>
      </w:r>
    </w:p>
  </w:footnote>
  <w:footnote w:id="3">
    <w:p w:rsidR="00BA4562" w:rsidRPr="00674073" w:rsidRDefault="00BA4562" w:rsidP="006E4CB9">
      <w:pPr>
        <w:rPr>
          <w:sz w:val="18"/>
          <w:szCs w:val="24"/>
        </w:rPr>
      </w:pPr>
      <w:r w:rsidRPr="00674073">
        <w:rPr>
          <w:rStyle w:val="FootnoteReference"/>
          <w:sz w:val="18"/>
        </w:rPr>
        <w:footnoteRef/>
      </w:r>
      <w:r w:rsidRPr="00674073">
        <w:rPr>
          <w:sz w:val="18"/>
        </w:rPr>
        <w:t xml:space="preserve"> </w:t>
      </w:r>
      <w:r w:rsidRPr="00674073">
        <w:rPr>
          <w:sz w:val="18"/>
          <w:szCs w:val="24"/>
        </w:rPr>
        <w:t xml:space="preserve">Atbilstoši </w:t>
      </w:r>
      <w:r>
        <w:rPr>
          <w:sz w:val="18"/>
          <w:szCs w:val="24"/>
        </w:rPr>
        <w:t>MK</w:t>
      </w:r>
      <w:r w:rsidRPr="00674073">
        <w:rPr>
          <w:sz w:val="18"/>
          <w:szCs w:val="24"/>
        </w:rPr>
        <w:t xml:space="preserve"> 2010.gada 9.novembra  noteikumu Nr.1041  „Kārtība, kādā paredzami valsts budžeta līdzekļi Eiropas Savienības struktūrfondu un Kohēzijas fonda līdzfinansēto projektu īstenošanai, kā arī maksājumu veikšanas un izdevumu deklarācijas sagatavošanas kārtība” 42.punktam apliecina, ka: </w:t>
      </w:r>
    </w:p>
    <w:p w:rsidR="00BA4562" w:rsidRPr="00674073" w:rsidRDefault="00BA4562" w:rsidP="006E4CB9">
      <w:pPr>
        <w:pStyle w:val="ListParagraph"/>
        <w:numPr>
          <w:ilvl w:val="0"/>
          <w:numId w:val="42"/>
        </w:numPr>
        <w:spacing w:after="0" w:line="240" w:lineRule="auto"/>
        <w:contextualSpacing w:val="0"/>
        <w:rPr>
          <w:rFonts w:ascii="Times New Roman" w:hAnsi="Times New Roman"/>
          <w:sz w:val="18"/>
          <w:szCs w:val="24"/>
        </w:rPr>
      </w:pPr>
      <w:r w:rsidRPr="00674073">
        <w:rPr>
          <w:rFonts w:ascii="Times New Roman" w:hAnsi="Times New Roman"/>
          <w:sz w:val="18"/>
          <w:szCs w:val="24"/>
        </w:rPr>
        <w:t xml:space="preserve">VI nodrošina  Padomes Regulas </w:t>
      </w:r>
      <w:proofErr w:type="spellStart"/>
      <w:r w:rsidRPr="00674073">
        <w:rPr>
          <w:rFonts w:ascii="Times New Roman" w:hAnsi="Times New Roman"/>
          <w:sz w:val="18"/>
          <w:szCs w:val="24"/>
        </w:rPr>
        <w:t>Nr</w:t>
      </w:r>
      <w:proofErr w:type="spellEnd"/>
      <w:r w:rsidRPr="00674073">
        <w:rPr>
          <w:rFonts w:ascii="Times New Roman" w:hAnsi="Times New Roman"/>
          <w:sz w:val="18"/>
          <w:szCs w:val="24"/>
        </w:rPr>
        <w:t xml:space="preserve">. 1083/2006, ar ko paredz vispārīgus noteikumus par </w:t>
      </w:r>
      <w:r>
        <w:rPr>
          <w:rFonts w:ascii="Times New Roman" w:hAnsi="Times New Roman"/>
          <w:sz w:val="18"/>
          <w:szCs w:val="24"/>
        </w:rPr>
        <w:t>ES fondiem</w:t>
      </w:r>
      <w:r w:rsidRPr="00674073">
        <w:rPr>
          <w:rFonts w:ascii="Times New Roman" w:hAnsi="Times New Roman"/>
          <w:sz w:val="18"/>
          <w:szCs w:val="24"/>
        </w:rPr>
        <w:t xml:space="preserve"> un atceļ Regulu (EK) </w:t>
      </w:r>
      <w:proofErr w:type="spellStart"/>
      <w:r w:rsidRPr="00674073">
        <w:rPr>
          <w:rFonts w:ascii="Times New Roman" w:hAnsi="Times New Roman"/>
          <w:sz w:val="18"/>
          <w:szCs w:val="24"/>
        </w:rPr>
        <w:t>Nr</w:t>
      </w:r>
      <w:proofErr w:type="spellEnd"/>
      <w:r w:rsidRPr="00674073">
        <w:rPr>
          <w:rFonts w:ascii="Times New Roman" w:hAnsi="Times New Roman"/>
          <w:sz w:val="18"/>
          <w:szCs w:val="24"/>
        </w:rPr>
        <w:t>. 1260/1999, 60.pantā minēto darbību izpildi, kā arī nodrošina atbilstību pamatprasībām, saskaņā ar kurām tiek vērtēta vadošās iestādes funkcionalitāte;</w:t>
      </w:r>
    </w:p>
    <w:p w:rsidR="00BA4562" w:rsidRPr="00674073" w:rsidRDefault="00BA4562" w:rsidP="006E4CB9">
      <w:pPr>
        <w:pStyle w:val="ListParagraph"/>
        <w:numPr>
          <w:ilvl w:val="0"/>
          <w:numId w:val="42"/>
        </w:numPr>
        <w:spacing w:after="0" w:line="240" w:lineRule="auto"/>
        <w:contextualSpacing w:val="0"/>
        <w:rPr>
          <w:rFonts w:ascii="Times New Roman" w:hAnsi="Times New Roman"/>
          <w:sz w:val="18"/>
          <w:szCs w:val="24"/>
        </w:rPr>
      </w:pPr>
      <w:r w:rsidRPr="00674073">
        <w:rPr>
          <w:rFonts w:ascii="Times New Roman" w:hAnsi="Times New Roman"/>
          <w:sz w:val="18"/>
          <w:szCs w:val="24"/>
        </w:rPr>
        <w:t xml:space="preserve">nav konstatēti trūkumi, kas apdraud izveidotās </w:t>
      </w:r>
      <w:r>
        <w:rPr>
          <w:rFonts w:ascii="Times New Roman" w:hAnsi="Times New Roman"/>
          <w:sz w:val="18"/>
          <w:szCs w:val="24"/>
        </w:rPr>
        <w:t>ES fondu</w:t>
      </w:r>
      <w:r w:rsidRPr="00674073">
        <w:rPr>
          <w:rFonts w:ascii="Times New Roman" w:hAnsi="Times New Roman"/>
          <w:sz w:val="18"/>
          <w:szCs w:val="24"/>
        </w:rPr>
        <w:t xml:space="preserve"> vadības un kontroles sistēmas darbību;</w:t>
      </w:r>
    </w:p>
    <w:p w:rsidR="00BA4562" w:rsidRPr="00674073" w:rsidRDefault="00BA4562" w:rsidP="006E4CB9">
      <w:pPr>
        <w:pStyle w:val="ListParagraph"/>
        <w:numPr>
          <w:ilvl w:val="0"/>
          <w:numId w:val="42"/>
        </w:numPr>
        <w:spacing w:after="0" w:line="240" w:lineRule="auto"/>
        <w:contextualSpacing w:val="0"/>
        <w:rPr>
          <w:rFonts w:ascii="Times New Roman" w:hAnsi="Times New Roman"/>
          <w:sz w:val="18"/>
          <w:szCs w:val="24"/>
        </w:rPr>
      </w:pPr>
      <w:r>
        <w:rPr>
          <w:rFonts w:ascii="Times New Roman" w:hAnsi="Times New Roman"/>
          <w:sz w:val="18"/>
          <w:szCs w:val="24"/>
        </w:rPr>
        <w:t>ES fondu</w:t>
      </w:r>
      <w:r w:rsidRPr="00674073">
        <w:rPr>
          <w:rFonts w:ascii="Times New Roman" w:hAnsi="Times New Roman"/>
          <w:sz w:val="18"/>
          <w:szCs w:val="24"/>
        </w:rPr>
        <w:t xml:space="preserve"> vadības informācijas sistēmā iekļautie dati ir pilnīgi un korekti;</w:t>
      </w:r>
    </w:p>
    <w:p w:rsidR="00BA4562" w:rsidRPr="00AE346E" w:rsidRDefault="00BA4562" w:rsidP="006E4CB9">
      <w:pPr>
        <w:pStyle w:val="FootnoteText"/>
        <w:rPr>
          <w:sz w:val="14"/>
          <w:lang w:val="lv-LV"/>
        </w:rPr>
      </w:pPr>
      <w:r w:rsidRPr="00674073">
        <w:rPr>
          <w:sz w:val="18"/>
          <w:szCs w:val="24"/>
        </w:rPr>
        <w:t>VI nodrošinājusi pasākumus atbilstoši rīcības plānā norādītajam.</w:t>
      </w:r>
    </w:p>
  </w:footnote>
  <w:footnote w:id="4">
    <w:p w:rsidR="00BA4562" w:rsidRDefault="00BA4562" w:rsidP="00612E2D">
      <w:pPr>
        <w:pStyle w:val="FootnoteText"/>
      </w:pPr>
      <w:r>
        <w:rPr>
          <w:rStyle w:val="FootnoteReference"/>
        </w:rPr>
        <w:footnoteRef/>
      </w:r>
      <w:r w:rsidRPr="007D4DB1">
        <w:t xml:space="preserve"> </w:t>
      </w:r>
      <w:r w:rsidRPr="007D4DB1">
        <w:rPr>
          <w:rFonts w:eastAsia="Calibri"/>
          <w:bCs/>
          <w:color w:val="222222"/>
          <w:szCs w:val="24"/>
          <w:lang w:eastAsia="lv-LV"/>
        </w:rPr>
        <w:t>MK 09.11.2010. noteikumu Nr.1041 „Kārtība, kādā paredzami valsts budžeta līdzekļi Eiropas Savienības struktūrfondu un Kohēzijas fonda līdzfinansēto projektu īstenošanai, kā arī maksājumu veikšanas un izdevumu deklarācijas sagatavošanas kārtība”</w:t>
      </w:r>
    </w:p>
  </w:footnote>
  <w:footnote w:id="5">
    <w:p w:rsidR="00BA4562" w:rsidRPr="00236944" w:rsidRDefault="00BA4562" w:rsidP="00894D2F">
      <w:pPr>
        <w:spacing w:before="120" w:after="120"/>
        <w:rPr>
          <w:color w:val="000000" w:themeColor="text1"/>
          <w:szCs w:val="24"/>
        </w:rPr>
      </w:pPr>
      <w:r w:rsidRPr="00DE4BEE">
        <w:rPr>
          <w:rStyle w:val="FootnoteReference"/>
        </w:rPr>
        <w:footnoteRef/>
      </w:r>
      <w:r w:rsidRPr="00DE4BEE">
        <w:t xml:space="preserve"> </w:t>
      </w:r>
      <w:r w:rsidRPr="00DE4BEE">
        <w:rPr>
          <w:color w:val="000000" w:themeColor="text1"/>
          <w:sz w:val="20"/>
        </w:rPr>
        <w:t xml:space="preserve">MK 2012.gada 8.maija sēdes </w:t>
      </w:r>
      <w:proofErr w:type="spellStart"/>
      <w:r w:rsidRPr="00DE4BEE">
        <w:rPr>
          <w:color w:val="000000" w:themeColor="text1"/>
          <w:sz w:val="20"/>
        </w:rPr>
        <w:t>protokollēmum</w:t>
      </w:r>
      <w:r>
        <w:rPr>
          <w:color w:val="000000" w:themeColor="text1"/>
          <w:sz w:val="20"/>
        </w:rPr>
        <w:t>s</w:t>
      </w:r>
      <w:proofErr w:type="spellEnd"/>
      <w:r w:rsidRPr="00DE4BEE">
        <w:rPr>
          <w:color w:val="000000" w:themeColor="text1"/>
          <w:sz w:val="20"/>
        </w:rPr>
        <w:t xml:space="preserve"> (protokols Nr.25, 26.§), MK 2012.gada 15.maija sēdes </w:t>
      </w:r>
      <w:proofErr w:type="spellStart"/>
      <w:r w:rsidRPr="00DE4BEE">
        <w:rPr>
          <w:color w:val="000000" w:themeColor="text1"/>
          <w:sz w:val="20"/>
        </w:rPr>
        <w:t>protokollēmum</w:t>
      </w:r>
      <w:r>
        <w:rPr>
          <w:color w:val="000000" w:themeColor="text1"/>
          <w:sz w:val="20"/>
        </w:rPr>
        <w:t>s</w:t>
      </w:r>
      <w:proofErr w:type="spellEnd"/>
      <w:r w:rsidRPr="00DE4BEE">
        <w:rPr>
          <w:color w:val="000000" w:themeColor="text1"/>
          <w:sz w:val="20"/>
        </w:rPr>
        <w:t xml:space="preserve"> (protokols Nr.27, 31.§), MK 2012.gada 5.jūnija sēdes </w:t>
      </w:r>
      <w:proofErr w:type="spellStart"/>
      <w:r w:rsidRPr="00DE4BEE">
        <w:rPr>
          <w:color w:val="000000" w:themeColor="text1"/>
          <w:sz w:val="20"/>
        </w:rPr>
        <w:t>protokollēmum</w:t>
      </w:r>
      <w:r>
        <w:rPr>
          <w:color w:val="000000" w:themeColor="text1"/>
          <w:sz w:val="20"/>
        </w:rPr>
        <w:t>s</w:t>
      </w:r>
      <w:proofErr w:type="spellEnd"/>
      <w:r w:rsidRPr="00DE4BEE">
        <w:rPr>
          <w:color w:val="000000" w:themeColor="text1"/>
          <w:sz w:val="20"/>
        </w:rPr>
        <w:t xml:space="preserve"> (protokols Nr.32, 14.§), MK 2012.gada 12.jūnija sēdes </w:t>
      </w:r>
      <w:proofErr w:type="spellStart"/>
      <w:r w:rsidRPr="00DE4BEE">
        <w:rPr>
          <w:color w:val="000000" w:themeColor="text1"/>
          <w:sz w:val="20"/>
        </w:rPr>
        <w:t>prototokollēmum</w:t>
      </w:r>
      <w:r>
        <w:rPr>
          <w:color w:val="000000" w:themeColor="text1"/>
          <w:sz w:val="20"/>
        </w:rPr>
        <w:t>s</w:t>
      </w:r>
      <w:proofErr w:type="spellEnd"/>
      <w:r>
        <w:rPr>
          <w:color w:val="000000" w:themeColor="text1"/>
          <w:sz w:val="20"/>
        </w:rPr>
        <w:t xml:space="preserve"> (protokols Nr.33, 61.§) </w:t>
      </w:r>
    </w:p>
  </w:footnote>
  <w:footnote w:id="6">
    <w:p w:rsidR="00BA4562" w:rsidRPr="001570AC" w:rsidRDefault="00BA4562">
      <w:pPr>
        <w:pStyle w:val="FootnoteText"/>
        <w:rPr>
          <w:lang w:val="lv-LV"/>
        </w:rPr>
      </w:pPr>
      <w:r>
        <w:rPr>
          <w:rStyle w:val="FootnoteReference"/>
        </w:rPr>
        <w:footnoteRef/>
      </w:r>
      <w:r>
        <w:t xml:space="preserve"> </w:t>
      </w:r>
      <w:r>
        <w:rPr>
          <w:color w:val="000000"/>
        </w:rPr>
        <w:t xml:space="preserve">Atbilstoši </w:t>
      </w:r>
      <w:r>
        <w:rPr>
          <w:color w:val="000000"/>
          <w:lang w:val="lv-LV"/>
        </w:rPr>
        <w:t>MK</w:t>
      </w:r>
      <w:r>
        <w:rPr>
          <w:color w:val="000000"/>
        </w:rPr>
        <w:t xml:space="preserve"> 2012.gada 16.augusta </w:t>
      </w:r>
      <w:proofErr w:type="spellStart"/>
      <w:r>
        <w:rPr>
          <w:color w:val="000000"/>
        </w:rPr>
        <w:t>protokollēmuma</w:t>
      </w:r>
      <w:proofErr w:type="spellEnd"/>
      <w:r>
        <w:rPr>
          <w:color w:val="000000"/>
        </w:rPr>
        <w:t xml:space="preserve"> Nr.16 11.§ „Par valsts budžeta prioritārajiem pasākumiem 2013.-2015.gada” 12.punktam VARAM sadarbībā ar IeM un FM tika uzdots izvērtēt iespējas IeM radiosakaru sistēmas attīstības nodrošināšanai nepieciešamo finansējumu 2013. un 2014.gadā piesaistīt no ES fondu līdzekļiem. Saskaņā ar VARAM sniegto informāciju IeM radio sakaru tīkla projekta īstenošanai nepieciešamais finansējums ir 11 402 025 latu apmērā.</w:t>
      </w:r>
    </w:p>
  </w:footnote>
  <w:footnote w:id="7">
    <w:p w:rsidR="00BA4562" w:rsidRPr="00CB2904" w:rsidRDefault="00BA4562" w:rsidP="007C2854">
      <w:pPr>
        <w:pStyle w:val="FootnoteText"/>
      </w:pPr>
      <w:r>
        <w:rPr>
          <w:rStyle w:val="FootnoteReference"/>
        </w:rPr>
        <w:footnoteRef/>
      </w:r>
      <w:r>
        <w:t xml:space="preserve"> </w:t>
      </w:r>
      <w:r w:rsidRPr="00CB2904">
        <w:rPr>
          <w:bCs/>
          <w:lang w:eastAsia="lv-LV"/>
        </w:rPr>
        <w:t xml:space="preserve">Studiju vērtējumu rezultātus projekta īstenotājs ir publicējis savā mājas lapā </w:t>
      </w:r>
      <w:hyperlink r:id="rId1" w:history="1">
        <w:r w:rsidRPr="00CB2904">
          <w:rPr>
            <w:rStyle w:val="Hyperlink"/>
            <w:rFonts w:ascii="Times New Roman" w:hAnsi="Times New Roman" w:cs="Times New Roman"/>
            <w:bCs/>
            <w:lang w:eastAsia="lv-LV"/>
          </w:rPr>
          <w:t>www.aip.lv</w:t>
        </w:r>
      </w:hyperlink>
    </w:p>
  </w:footnote>
  <w:footnote w:id="8">
    <w:p w:rsidR="00BA4562" w:rsidRPr="004C5848" w:rsidRDefault="00BA4562" w:rsidP="009B5076">
      <w:pPr>
        <w:pStyle w:val="FootnoteText"/>
      </w:pPr>
      <w:r>
        <w:rPr>
          <w:rStyle w:val="FootnoteReference"/>
        </w:rPr>
        <w:footnoteRef/>
      </w:r>
      <w:r>
        <w:t xml:space="preserve"> </w:t>
      </w:r>
      <w:r w:rsidRPr="004C5848">
        <w:t>2010.gada 10.aug</w:t>
      </w:r>
      <w:r>
        <w:t xml:space="preserve">usta </w:t>
      </w:r>
      <w:r>
        <w:rPr>
          <w:lang w:val="lv-LV"/>
        </w:rPr>
        <w:t>MK</w:t>
      </w:r>
      <w:r>
        <w:t xml:space="preserve"> noteikumi</w:t>
      </w:r>
      <w:r w:rsidRPr="004C5848">
        <w:t xml:space="preserve"> </w:t>
      </w:r>
      <w:proofErr w:type="spellStart"/>
      <w:r w:rsidRPr="004C5848">
        <w:t>Nr</w:t>
      </w:r>
      <w:proofErr w:type="spellEnd"/>
      <w:r w:rsidRPr="004C5848">
        <w:t>. 740 „Kārtība, kādā ziņo par Eiropas Savienības struktūrfondu un Kohēzijas fonda ieviešanā konstatētajām neatbilstībām, pieņem lēmumu par piešķirtā finansējuma izlietojumu un atgūst neatbilstošos izdevumus”</w:t>
      </w:r>
    </w:p>
  </w:footnote>
  <w:footnote w:id="9">
    <w:p w:rsidR="00BA4562" w:rsidRPr="0024659D" w:rsidRDefault="00BA4562" w:rsidP="009B3BD9">
      <w:pPr>
        <w:pStyle w:val="FootnoteText"/>
        <w:spacing w:line="276" w:lineRule="auto"/>
        <w:rPr>
          <w:i/>
          <w:lang w:val="lv-LV"/>
        </w:rPr>
      </w:pPr>
      <w:r w:rsidRPr="0024659D">
        <w:rPr>
          <w:rStyle w:val="FootnoteReference"/>
          <w:rFonts w:eastAsia="Century Schoolbook"/>
        </w:rPr>
        <w:footnoteRef/>
      </w:r>
      <w:r w:rsidRPr="0024659D">
        <w:t xml:space="preserve"> </w:t>
      </w:r>
      <w:r w:rsidRPr="0024659D">
        <w:rPr>
          <w:rFonts w:eastAsia="EUAlbertina-Bold-Identity-H"/>
          <w:lang w:val="lv-LV" w:eastAsia="lv-LV"/>
        </w:rPr>
        <w:t>Ņemot vērā ļoti svārstīgo Šveices franka kursu</w:t>
      </w:r>
      <w:r>
        <w:rPr>
          <w:rFonts w:eastAsia="EUAlbertina-Bold-Identity-H"/>
          <w:lang w:val="lv-LV" w:eastAsia="lv-LV"/>
        </w:rPr>
        <w:t>,</w:t>
      </w:r>
      <w:r w:rsidRPr="0024659D">
        <w:rPr>
          <w:rFonts w:eastAsia="EUAlbertina-Bold-Identity-H"/>
          <w:lang w:val="lv-LV" w:eastAsia="lv-LV"/>
        </w:rPr>
        <w:t xml:space="preserve"> kā informācija atspoguļota CHF nevis latos.</w:t>
      </w:r>
    </w:p>
  </w:footnote>
  <w:footnote w:id="10">
    <w:p w:rsidR="00BA4562" w:rsidRPr="00EA5C9D" w:rsidRDefault="00BA4562" w:rsidP="00992376">
      <w:pPr>
        <w:pStyle w:val="FootnoteText"/>
        <w:rPr>
          <w:sz w:val="18"/>
          <w:szCs w:val="18"/>
          <w:lang w:val="lv-LV"/>
        </w:rPr>
      </w:pPr>
      <w:r>
        <w:rPr>
          <w:rStyle w:val="FootnoteReference"/>
        </w:rPr>
        <w:footnoteRef/>
      </w:r>
      <w:r>
        <w:t xml:space="preserve"> </w:t>
      </w:r>
      <w:r w:rsidRPr="00EA5C9D">
        <w:rPr>
          <w:sz w:val="18"/>
          <w:szCs w:val="18"/>
          <w:lang w:val="lv-LV"/>
        </w:rPr>
        <w:t xml:space="preserve">Jebkurš </w:t>
      </w:r>
      <w:r>
        <w:rPr>
          <w:sz w:val="18"/>
          <w:szCs w:val="18"/>
          <w:lang w:val="lv-LV"/>
        </w:rPr>
        <w:t>LR</w:t>
      </w:r>
      <w:r w:rsidRPr="00EA5C9D">
        <w:rPr>
          <w:sz w:val="18"/>
          <w:szCs w:val="18"/>
          <w:lang w:val="lv-LV"/>
        </w:rPr>
        <w:t xml:space="preserve"> vai ES tiesību akta pārkāpums</w:t>
      </w:r>
      <w:r w:rsidRPr="00EA5C9D">
        <w:rPr>
          <w:bCs/>
          <w:sz w:val="18"/>
          <w:szCs w:val="18"/>
          <w:lang w:val="lv-LV"/>
        </w:rPr>
        <w:t xml:space="preserve">, </w:t>
      </w:r>
      <w:r w:rsidRPr="00EA5C9D">
        <w:rPr>
          <w:sz w:val="18"/>
          <w:szCs w:val="18"/>
          <w:lang w:val="lv-LV"/>
        </w:rPr>
        <w:t xml:space="preserve">kas atbilst </w:t>
      </w:r>
      <w:r w:rsidRPr="00EA5C9D">
        <w:rPr>
          <w:bCs/>
          <w:sz w:val="18"/>
          <w:szCs w:val="18"/>
          <w:lang w:val="lv-LV"/>
        </w:rPr>
        <w:t xml:space="preserve">Padomes 2006.gada 11.jūlija Regulas (EK) Nr.1083/2006, ar ko paredz vispārīgus noteikumus par </w:t>
      </w:r>
      <w:r>
        <w:rPr>
          <w:bCs/>
          <w:sz w:val="18"/>
          <w:szCs w:val="18"/>
          <w:lang w:val="lv-LV"/>
        </w:rPr>
        <w:t>ES fondiem</w:t>
      </w:r>
      <w:r w:rsidRPr="00EA5C9D">
        <w:rPr>
          <w:bCs/>
          <w:sz w:val="18"/>
          <w:szCs w:val="18"/>
          <w:lang w:val="lv-LV"/>
        </w:rPr>
        <w:t xml:space="preserve"> un atceļ Regulu (EK) Nr.1260/1999, 2.panta 7.punktā noteiktajam.</w:t>
      </w:r>
    </w:p>
  </w:footnote>
  <w:footnote w:id="11">
    <w:p w:rsidR="00BA4562" w:rsidRPr="00032804" w:rsidRDefault="00BA4562">
      <w:pPr>
        <w:pStyle w:val="FootnoteText"/>
        <w:rPr>
          <w:lang w:val="lv-LV"/>
        </w:rPr>
      </w:pPr>
      <w:r>
        <w:rPr>
          <w:rStyle w:val="FootnoteReference"/>
        </w:rPr>
        <w:footnoteRef/>
      </w:r>
      <w:r>
        <w:t xml:space="preserve"> </w:t>
      </w:r>
      <w:r>
        <w:rPr>
          <w:lang w:val="lv-LV"/>
        </w:rPr>
        <w:t xml:space="preserve">Veiktas dienesta pārbaudes par iepriekšējos ceturkšņos konstatētajām neatbilstībām, tai skaitā  </w:t>
      </w:r>
      <w:r w:rsidRPr="001C0B87">
        <w:rPr>
          <w:lang w:val="lv-LV"/>
        </w:rPr>
        <w:t>tās padotības iestāžu īstenotajiem projektiem kurus, kā atbildīgā iestāde uzrauga IZM/VIAA</w:t>
      </w:r>
    </w:p>
  </w:footnote>
  <w:footnote w:id="12">
    <w:p w:rsidR="00BA4562" w:rsidRPr="003D67A3" w:rsidRDefault="00BA4562">
      <w:pPr>
        <w:pStyle w:val="FootnoteText"/>
        <w:rPr>
          <w:lang w:val="de-DE"/>
        </w:rPr>
      </w:pPr>
      <w:r>
        <w:rPr>
          <w:rStyle w:val="FootnoteReference"/>
        </w:rPr>
        <w:footnoteRef/>
      </w:r>
      <w:r>
        <w:t xml:space="preserve"> </w:t>
      </w:r>
      <w:r w:rsidRPr="003D67A3">
        <w:rPr>
          <w:lang w:val="de-DE"/>
        </w:rPr>
        <w:t>Valsts vides dienests uzsacis dienesta</w:t>
      </w:r>
      <w:r>
        <w:rPr>
          <w:rFonts w:eastAsia="EUAlbertina-Bold-Identity-H"/>
          <w:color w:val="000000" w:themeColor="text1"/>
          <w:sz w:val="24"/>
          <w:szCs w:val="24"/>
          <w:lang w:val="lv-LV" w:eastAsia="lv-LV"/>
        </w:rPr>
        <w:t xml:space="preserve"> </w:t>
      </w:r>
      <w:r>
        <w:rPr>
          <w:lang w:val="lv-LV"/>
        </w:rPr>
        <w:t xml:space="preserve">dienesta izmeklēšanu 2012. gada 4.ceturksnī. </w:t>
      </w:r>
    </w:p>
  </w:footnote>
  <w:footnote w:id="13">
    <w:p w:rsidR="00BA4562" w:rsidRPr="006A2160" w:rsidRDefault="00BA4562">
      <w:pPr>
        <w:pStyle w:val="FootnoteText"/>
        <w:rPr>
          <w:lang w:val="lv-LV"/>
        </w:rPr>
      </w:pPr>
      <w:r>
        <w:rPr>
          <w:rStyle w:val="FootnoteReference"/>
        </w:rPr>
        <w:footnoteRef/>
      </w:r>
      <w:r>
        <w:t xml:space="preserve"> </w:t>
      </w:r>
      <w:r>
        <w:rPr>
          <w:lang w:val="lv-LV"/>
        </w:rPr>
        <w:t xml:space="preserve">Izveidota komisija dienesta pārbaudes </w:t>
      </w:r>
      <w:proofErr w:type="spellStart"/>
      <w:r>
        <w:rPr>
          <w:lang w:val="lv-LV"/>
        </w:rPr>
        <w:t>viekšanai</w:t>
      </w:r>
      <w:proofErr w:type="spellEnd"/>
      <w:r>
        <w:rPr>
          <w:lang w:val="lv-LV"/>
        </w:rPr>
        <w:t>.</w:t>
      </w:r>
    </w:p>
  </w:footnote>
  <w:footnote w:id="14">
    <w:p w:rsidR="00BA4562" w:rsidRPr="00032804" w:rsidRDefault="00BA4562">
      <w:pPr>
        <w:pStyle w:val="FootnoteText"/>
        <w:rPr>
          <w:lang w:val="lv-LV"/>
        </w:rPr>
      </w:pPr>
      <w:r>
        <w:rPr>
          <w:rStyle w:val="FootnoteReference"/>
        </w:rPr>
        <w:footnoteRef/>
      </w:r>
      <w:r>
        <w:t xml:space="preserve"> </w:t>
      </w:r>
      <w:r>
        <w:rPr>
          <w:lang w:val="lv-LV"/>
        </w:rPr>
        <w:t>KM ir ierosinājusi dienesta pārbaudes par tās padotības iestāžu īstenotajiem projektiem kurus, kā atbildīgā iestāde uzrauga IZM/VIAA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62" w:rsidRDefault="00BA4562" w:rsidP="007906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4562" w:rsidRDefault="00BA4562" w:rsidP="0079067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985051"/>
      <w:docPartObj>
        <w:docPartGallery w:val="Page Numbers (Top of Page)"/>
        <w:docPartUnique/>
      </w:docPartObj>
    </w:sdtPr>
    <w:sdtEndPr>
      <w:rPr>
        <w:noProof/>
      </w:rPr>
    </w:sdtEndPr>
    <w:sdtContent>
      <w:p w:rsidR="00BA4562" w:rsidRDefault="00BA4562">
        <w:pPr>
          <w:pStyle w:val="Header"/>
          <w:jc w:val="center"/>
        </w:pPr>
        <w:r>
          <w:fldChar w:fldCharType="begin"/>
        </w:r>
        <w:r>
          <w:instrText xml:space="preserve"> PAGE   \* MERGEFORMAT </w:instrText>
        </w:r>
        <w:r>
          <w:fldChar w:fldCharType="separate"/>
        </w:r>
        <w:r w:rsidR="00E61B97">
          <w:rPr>
            <w:noProof/>
          </w:rPr>
          <w:t>92</w:t>
        </w:r>
        <w:r>
          <w:rPr>
            <w:noProof/>
          </w:rPr>
          <w:fldChar w:fldCharType="end"/>
        </w:r>
      </w:p>
    </w:sdtContent>
  </w:sdt>
  <w:p w:rsidR="00BA4562" w:rsidRPr="00781FA1" w:rsidRDefault="00BA4562" w:rsidP="00D120DB">
    <w:pP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62" w:rsidRPr="00EC578D" w:rsidRDefault="00BA4562">
    <w:pPr>
      <w:pStyle w:val="Header"/>
      <w:rPr>
        <w:i/>
      </w:rPr>
    </w:pPr>
    <w:r w:rsidRPr="00EC578D">
      <w:rPr>
        <w:i/>
      </w:rPr>
      <w:tab/>
    </w:r>
    <w:r w:rsidRPr="00EC578D">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E94"/>
    <w:multiLevelType w:val="hybridMultilevel"/>
    <w:tmpl w:val="EB886EB4"/>
    <w:lvl w:ilvl="0" w:tplc="EB801948">
      <w:start w:val="1"/>
      <w:numFmt w:val="decimal"/>
      <w:lvlText w:val="%1)"/>
      <w:lvlJc w:val="left"/>
      <w:pPr>
        <w:ind w:left="144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B8685A"/>
    <w:multiLevelType w:val="hybridMultilevel"/>
    <w:tmpl w:val="86D04B76"/>
    <w:lvl w:ilvl="0" w:tplc="42CE360E">
      <w:start w:val="1"/>
      <w:numFmt w:val="decimal"/>
      <w:lvlText w:val="%1."/>
      <w:lvlJc w:val="left"/>
      <w:pPr>
        <w:ind w:left="360" w:hanging="360"/>
      </w:pPr>
      <w:rPr>
        <w:rFonts w:ascii="Times New Roman" w:hAnsi="Times New Roman" w:cs="Times New Roman" w:hint="default"/>
        <w:b w:val="0"/>
        <w:sz w:val="24"/>
        <w:szCs w:val="24"/>
      </w:rPr>
    </w:lvl>
    <w:lvl w:ilvl="1" w:tplc="EB801948">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6E12388"/>
    <w:multiLevelType w:val="hybridMultilevel"/>
    <w:tmpl w:val="AC6AE4EE"/>
    <w:lvl w:ilvl="0" w:tplc="EB801948">
      <w:start w:val="1"/>
      <w:numFmt w:val="decimal"/>
      <w:lvlText w:val="%1)"/>
      <w:lvlJc w:val="left"/>
      <w:pPr>
        <w:ind w:left="144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1C4511"/>
    <w:multiLevelType w:val="hybridMultilevel"/>
    <w:tmpl w:val="E40641BE"/>
    <w:lvl w:ilvl="0" w:tplc="0426000F">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12E4481"/>
    <w:multiLevelType w:val="hybridMultilevel"/>
    <w:tmpl w:val="9E967B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2F91480"/>
    <w:multiLevelType w:val="multilevel"/>
    <w:tmpl w:val="DAB61E9A"/>
    <w:lvl w:ilvl="0">
      <w:start w:val="1"/>
      <w:numFmt w:val="decimal"/>
      <w:lvlText w:val="%1."/>
      <w:lvlJc w:val="left"/>
      <w:pPr>
        <w:ind w:left="360" w:hanging="360"/>
      </w:pPr>
      <w:rPr>
        <w:rFonts w:ascii="Times New Roman" w:hAnsi="Times New Roman" w:hint="default"/>
        <w:sz w:val="24"/>
      </w:r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3210757"/>
    <w:multiLevelType w:val="hybridMultilevel"/>
    <w:tmpl w:val="96329E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5910059"/>
    <w:multiLevelType w:val="hybridMultilevel"/>
    <w:tmpl w:val="317844B0"/>
    <w:lvl w:ilvl="0" w:tplc="69F20A38">
      <w:start w:val="1"/>
      <w:numFmt w:val="lowerLetter"/>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88B3065"/>
    <w:multiLevelType w:val="hybridMultilevel"/>
    <w:tmpl w:val="CF0802F0"/>
    <w:lvl w:ilvl="0" w:tplc="4D4CAB78">
      <w:start w:val="5"/>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F7333C2"/>
    <w:multiLevelType w:val="multilevel"/>
    <w:tmpl w:val="286ABB34"/>
    <w:lvl w:ilvl="0">
      <w:start w:val="1"/>
      <w:numFmt w:val="decimal"/>
      <w:lvlText w:val="%1."/>
      <w:lvlJc w:val="left"/>
      <w:pPr>
        <w:ind w:left="720" w:hanging="360"/>
      </w:pPr>
      <w:rPr>
        <w:rFonts w:ascii="Times New Roman" w:hAnsi="Times New Roman" w:cs="Times New Roman" w:hint="default"/>
        <w:b w:val="0"/>
      </w:r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6B82A97"/>
    <w:multiLevelType w:val="hybridMultilevel"/>
    <w:tmpl w:val="E58E1168"/>
    <w:lvl w:ilvl="0" w:tplc="18E09018">
      <w:start w:val="1"/>
      <w:numFmt w:val="decimal"/>
      <w:lvlText w:val="%1."/>
      <w:lvlJc w:val="left"/>
      <w:pPr>
        <w:ind w:left="360" w:hanging="360"/>
      </w:pPr>
      <w:rPr>
        <w:rFonts w:ascii="Times New Roman" w:hAnsi="Times New Roman" w:cs="Times New Roman" w:hint="default"/>
        <w:b w:val="0"/>
        <w:sz w:val="24"/>
        <w:szCs w:val="24"/>
      </w:rPr>
    </w:lvl>
    <w:lvl w:ilvl="1" w:tplc="EB801948">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297112EC"/>
    <w:multiLevelType w:val="hybridMultilevel"/>
    <w:tmpl w:val="5D003A1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nsid w:val="2A2A437B"/>
    <w:multiLevelType w:val="hybridMultilevel"/>
    <w:tmpl w:val="7BC6B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B384FF6"/>
    <w:multiLevelType w:val="hybridMultilevel"/>
    <w:tmpl w:val="E40641BE"/>
    <w:lvl w:ilvl="0" w:tplc="0426000F">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2E970AD6"/>
    <w:multiLevelType w:val="hybridMultilevel"/>
    <w:tmpl w:val="2DC2F82E"/>
    <w:lvl w:ilvl="0" w:tplc="75F6F894">
      <w:start w:val="1"/>
      <w:numFmt w:val="decimal"/>
      <w:lvlText w:val="%1."/>
      <w:lvlJc w:val="left"/>
      <w:pPr>
        <w:ind w:left="720" w:hanging="360"/>
      </w:pPr>
      <w:rPr>
        <w:rFonts w:ascii="Times New Roman" w:hAnsi="Times New Roman" w:hint="default"/>
        <w:b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254D4E"/>
    <w:multiLevelType w:val="multilevel"/>
    <w:tmpl w:val="286ABB34"/>
    <w:lvl w:ilvl="0">
      <w:start w:val="1"/>
      <w:numFmt w:val="decimal"/>
      <w:lvlText w:val="%1."/>
      <w:lvlJc w:val="left"/>
      <w:pPr>
        <w:ind w:left="1778" w:hanging="360"/>
      </w:pPr>
      <w:rPr>
        <w:rFonts w:ascii="Times New Roman" w:hAnsi="Times New Roman" w:cs="Times New Roman" w:hint="default"/>
        <w:b w:val="0"/>
      </w:rPr>
    </w:lvl>
    <w:lvl w:ilvl="1">
      <w:start w:val="2"/>
      <w:numFmt w:val="decimal"/>
      <w:isLgl/>
      <w:lvlText w:val="%1.%2."/>
      <w:lvlJc w:val="left"/>
      <w:pPr>
        <w:ind w:left="1958" w:hanging="540"/>
      </w:pPr>
      <w:rPr>
        <w:rFonts w:hint="default"/>
      </w:rPr>
    </w:lvl>
    <w:lvl w:ilvl="2">
      <w:start w:val="5"/>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6">
    <w:nsid w:val="2F981A3D"/>
    <w:multiLevelType w:val="hybridMultilevel"/>
    <w:tmpl w:val="87881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44617E1"/>
    <w:multiLevelType w:val="hybridMultilevel"/>
    <w:tmpl w:val="7B3C0A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93855D5"/>
    <w:multiLevelType w:val="hybridMultilevel"/>
    <w:tmpl w:val="E40641BE"/>
    <w:lvl w:ilvl="0" w:tplc="0426000F">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3D2A301E"/>
    <w:multiLevelType w:val="hybridMultilevel"/>
    <w:tmpl w:val="EB886EB4"/>
    <w:lvl w:ilvl="0" w:tplc="EB801948">
      <w:start w:val="1"/>
      <w:numFmt w:val="decimal"/>
      <w:lvlText w:val="%1)"/>
      <w:lvlJc w:val="left"/>
      <w:pPr>
        <w:ind w:left="144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E546683"/>
    <w:multiLevelType w:val="hybridMultilevel"/>
    <w:tmpl w:val="15FCAB5A"/>
    <w:lvl w:ilvl="0" w:tplc="BB6CB3C4">
      <w:start w:val="3"/>
      <w:numFmt w:val="bullet"/>
      <w:lvlText w:val=""/>
      <w:lvlJc w:val="left"/>
      <w:pPr>
        <w:ind w:left="720" w:hanging="360"/>
      </w:pPr>
      <w:rPr>
        <w:rFonts w:ascii="Symbol" w:eastAsia="Times New Roman" w:hAnsi="Symbol"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41871778"/>
    <w:multiLevelType w:val="hybridMultilevel"/>
    <w:tmpl w:val="A5E02554"/>
    <w:lvl w:ilvl="0" w:tplc="04260011">
      <w:start w:val="1"/>
      <w:numFmt w:val="decimal"/>
      <w:lvlText w:val="%1)"/>
      <w:lvlJc w:val="left"/>
      <w:pPr>
        <w:ind w:left="1429" w:hanging="360"/>
      </w:pPr>
    </w:lvl>
    <w:lvl w:ilvl="1" w:tplc="2BB4E83A">
      <w:start w:val="1"/>
      <w:numFmt w:val="bullet"/>
      <w:lvlText w:val=""/>
      <w:lvlJc w:val="left"/>
      <w:pPr>
        <w:ind w:left="2149" w:hanging="360"/>
      </w:pPr>
      <w:rPr>
        <w:rFonts w:ascii="Symbol" w:hAnsi="Symbol"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nsid w:val="41B32FA8"/>
    <w:multiLevelType w:val="hybridMultilevel"/>
    <w:tmpl w:val="E58E1168"/>
    <w:lvl w:ilvl="0" w:tplc="18E09018">
      <w:start w:val="1"/>
      <w:numFmt w:val="decimal"/>
      <w:lvlText w:val="%1."/>
      <w:lvlJc w:val="left"/>
      <w:pPr>
        <w:ind w:left="360" w:hanging="360"/>
      </w:pPr>
      <w:rPr>
        <w:rFonts w:ascii="Times New Roman" w:hAnsi="Times New Roman" w:cs="Times New Roman" w:hint="default"/>
        <w:b w:val="0"/>
        <w:sz w:val="24"/>
        <w:szCs w:val="24"/>
      </w:rPr>
    </w:lvl>
    <w:lvl w:ilvl="1" w:tplc="EB801948">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4A876CB1"/>
    <w:multiLevelType w:val="hybridMultilevel"/>
    <w:tmpl w:val="7BC6B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B1F1A30"/>
    <w:multiLevelType w:val="hybridMultilevel"/>
    <w:tmpl w:val="A4E2E126"/>
    <w:lvl w:ilvl="0" w:tplc="EB801948">
      <w:start w:val="1"/>
      <w:numFmt w:val="decimal"/>
      <w:lvlText w:val="%1)"/>
      <w:lvlJc w:val="left"/>
      <w:pPr>
        <w:ind w:left="144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C174ADC"/>
    <w:multiLevelType w:val="hybridMultilevel"/>
    <w:tmpl w:val="E40641BE"/>
    <w:lvl w:ilvl="0" w:tplc="0426000F">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4C9A633E"/>
    <w:multiLevelType w:val="hybridMultilevel"/>
    <w:tmpl w:val="86D04B76"/>
    <w:lvl w:ilvl="0" w:tplc="42CE360E">
      <w:start w:val="1"/>
      <w:numFmt w:val="decimal"/>
      <w:lvlText w:val="%1."/>
      <w:lvlJc w:val="left"/>
      <w:pPr>
        <w:ind w:left="360" w:hanging="360"/>
      </w:pPr>
      <w:rPr>
        <w:rFonts w:ascii="Times New Roman" w:hAnsi="Times New Roman" w:cs="Times New Roman" w:hint="default"/>
        <w:b w:val="0"/>
        <w:sz w:val="24"/>
        <w:szCs w:val="24"/>
      </w:rPr>
    </w:lvl>
    <w:lvl w:ilvl="1" w:tplc="EB801948">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4E21015F"/>
    <w:multiLevelType w:val="hybridMultilevel"/>
    <w:tmpl w:val="E40641BE"/>
    <w:lvl w:ilvl="0" w:tplc="0426000F">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nsid w:val="5B383BDF"/>
    <w:multiLevelType w:val="hybridMultilevel"/>
    <w:tmpl w:val="86D04B76"/>
    <w:lvl w:ilvl="0" w:tplc="42CE360E">
      <w:start w:val="1"/>
      <w:numFmt w:val="decimal"/>
      <w:lvlText w:val="%1."/>
      <w:lvlJc w:val="left"/>
      <w:pPr>
        <w:ind w:left="360" w:hanging="360"/>
      </w:pPr>
      <w:rPr>
        <w:rFonts w:ascii="Times New Roman" w:hAnsi="Times New Roman" w:cs="Times New Roman" w:hint="default"/>
        <w:b w:val="0"/>
        <w:sz w:val="24"/>
        <w:szCs w:val="24"/>
      </w:rPr>
    </w:lvl>
    <w:lvl w:ilvl="1" w:tplc="EB801948">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30">
    <w:nsid w:val="5E176C54"/>
    <w:multiLevelType w:val="hybridMultilevel"/>
    <w:tmpl w:val="2F10F7C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600A1BE6"/>
    <w:multiLevelType w:val="singleLevel"/>
    <w:tmpl w:val="CC80D138"/>
    <w:lvl w:ilvl="0">
      <w:start w:val="1"/>
      <w:numFmt w:val="decimal"/>
      <w:pStyle w:val="Bullet1Rakstz"/>
      <w:lvlText w:val="%1."/>
      <w:lvlJc w:val="left"/>
      <w:pPr>
        <w:tabs>
          <w:tab w:val="num" w:pos="717"/>
        </w:tabs>
        <w:ind w:left="717" w:hanging="360"/>
      </w:pPr>
    </w:lvl>
  </w:abstractNum>
  <w:abstractNum w:abstractNumId="33">
    <w:nsid w:val="63E060E4"/>
    <w:multiLevelType w:val="hybridMultilevel"/>
    <w:tmpl w:val="824286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5DA3422"/>
    <w:multiLevelType w:val="hybridMultilevel"/>
    <w:tmpl w:val="F16AF98A"/>
    <w:lvl w:ilvl="0" w:tplc="BA1665EC">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nsid w:val="6B451181"/>
    <w:multiLevelType w:val="hybridMultilevel"/>
    <w:tmpl w:val="E40641BE"/>
    <w:lvl w:ilvl="0" w:tplc="0426000F">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6CF55008"/>
    <w:multiLevelType w:val="multilevel"/>
    <w:tmpl w:val="E3D61C3A"/>
    <w:lvl w:ilvl="0">
      <w:start w:val="1"/>
      <w:numFmt w:val="decimal"/>
      <w:lvlText w:val="%1."/>
      <w:lvlJc w:val="left"/>
      <w:pPr>
        <w:ind w:left="644" w:hanging="360"/>
      </w:pPr>
      <w:rPr>
        <w:rFonts w:hint="default"/>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nsid w:val="6F0976F8"/>
    <w:multiLevelType w:val="multilevel"/>
    <w:tmpl w:val="09147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F707260"/>
    <w:multiLevelType w:val="hybridMultilevel"/>
    <w:tmpl w:val="3B48BFDA"/>
    <w:lvl w:ilvl="0" w:tplc="53A44C50">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0CA4850"/>
    <w:multiLevelType w:val="hybridMultilevel"/>
    <w:tmpl w:val="7BC6B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7316479"/>
    <w:multiLevelType w:val="hybridMultilevel"/>
    <w:tmpl w:val="79981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B163DA1"/>
    <w:multiLevelType w:val="hybridMultilevel"/>
    <w:tmpl w:val="E40641BE"/>
    <w:lvl w:ilvl="0" w:tplc="0426000F">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nsid w:val="7FDC7BC0"/>
    <w:multiLevelType w:val="hybridMultilevel"/>
    <w:tmpl w:val="34E0D0CA"/>
    <w:lvl w:ilvl="0" w:tplc="04260011">
      <w:start w:val="1"/>
      <w:numFmt w:val="decimal"/>
      <w:lvlText w:val="%1)"/>
      <w:lvlJc w:val="left"/>
      <w:pPr>
        <w:ind w:left="502"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2"/>
    <w:lvlOverride w:ilvl="0">
      <w:startOverride w:val="1"/>
    </w:lvlOverride>
  </w:num>
  <w:num w:numId="2">
    <w:abstractNumId w:val="31"/>
  </w:num>
  <w:num w:numId="3">
    <w:abstractNumId w:val="29"/>
  </w:num>
  <w:num w:numId="4">
    <w:abstractNumId w:val="30"/>
  </w:num>
  <w:num w:numId="5">
    <w:abstractNumId w:val="25"/>
  </w:num>
  <w:num w:numId="6">
    <w:abstractNumId w:val="10"/>
  </w:num>
  <w:num w:numId="7">
    <w:abstractNumId w:val="9"/>
  </w:num>
  <w:num w:numId="8">
    <w:abstractNumId w:val="38"/>
  </w:num>
  <w:num w:numId="9">
    <w:abstractNumId w:val="42"/>
  </w:num>
  <w:num w:numId="10">
    <w:abstractNumId w:val="39"/>
  </w:num>
  <w:num w:numId="11">
    <w:abstractNumId w:val="28"/>
  </w:num>
  <w:num w:numId="12">
    <w:abstractNumId w:val="1"/>
  </w:num>
  <w:num w:numId="13">
    <w:abstractNumId w:val="26"/>
  </w:num>
  <w:num w:numId="14">
    <w:abstractNumId w:val="0"/>
  </w:num>
  <w:num w:numId="15">
    <w:abstractNumId w:val="19"/>
  </w:num>
  <w:num w:numId="16">
    <w:abstractNumId w:val="13"/>
  </w:num>
  <w:num w:numId="17">
    <w:abstractNumId w:val="18"/>
  </w:num>
  <w:num w:numId="18">
    <w:abstractNumId w:val="7"/>
  </w:num>
  <w:num w:numId="19">
    <w:abstractNumId w:val="22"/>
  </w:num>
  <w:num w:numId="20">
    <w:abstractNumId w:val="41"/>
  </w:num>
  <w:num w:numId="21">
    <w:abstractNumId w:val="12"/>
  </w:num>
  <w:num w:numId="22">
    <w:abstractNumId w:val="27"/>
  </w:num>
  <w:num w:numId="23">
    <w:abstractNumId w:val="3"/>
  </w:num>
  <w:num w:numId="24">
    <w:abstractNumId w:val="24"/>
  </w:num>
  <w:num w:numId="25">
    <w:abstractNumId w:val="2"/>
  </w:num>
  <w:num w:numId="26">
    <w:abstractNumId w:val="36"/>
  </w:num>
  <w:num w:numId="27">
    <w:abstractNumId w:val="23"/>
  </w:num>
  <w:num w:numId="28">
    <w:abstractNumId w:val="15"/>
  </w:num>
  <w:num w:numId="29">
    <w:abstractNumId w:val="31"/>
  </w:num>
  <w:num w:numId="30">
    <w:abstractNumId w:val="37"/>
  </w:num>
  <w:num w:numId="31">
    <w:abstractNumId w:val="5"/>
  </w:num>
  <w:num w:numId="32">
    <w:abstractNumId w:val="31"/>
  </w:num>
  <w:num w:numId="33">
    <w:abstractNumId w:val="4"/>
  </w:num>
  <w:num w:numId="34">
    <w:abstractNumId w:val="17"/>
  </w:num>
  <w:num w:numId="35">
    <w:abstractNumId w:val="6"/>
  </w:num>
  <w:num w:numId="36">
    <w:abstractNumId w:val="8"/>
  </w:num>
  <w:num w:numId="37">
    <w:abstractNumId w:val="33"/>
  </w:num>
  <w:num w:numId="38">
    <w:abstractNumId w:val="40"/>
  </w:num>
  <w:num w:numId="39">
    <w:abstractNumId w:val="11"/>
  </w:num>
  <w:num w:numId="40">
    <w:abstractNumId w:val="34"/>
  </w:num>
  <w:num w:numId="41">
    <w:abstractNumId w:val="31"/>
  </w:num>
  <w:num w:numId="42">
    <w:abstractNumId w:val="20"/>
  </w:num>
  <w:num w:numId="43">
    <w:abstractNumId w:val="16"/>
  </w:num>
  <w:num w:numId="44">
    <w:abstractNumId w:val="14"/>
  </w:num>
  <w:num w:numId="45">
    <w:abstractNumId w:val="21"/>
  </w:num>
  <w:num w:numId="46">
    <w:abstractNumId w:val="31"/>
  </w:num>
  <w:num w:numId="47">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20"/>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09"/>
    <w:rsid w:val="00000265"/>
    <w:rsid w:val="000004B8"/>
    <w:rsid w:val="0000065D"/>
    <w:rsid w:val="000009C4"/>
    <w:rsid w:val="00001122"/>
    <w:rsid w:val="00001243"/>
    <w:rsid w:val="00001D4E"/>
    <w:rsid w:val="00002744"/>
    <w:rsid w:val="00002746"/>
    <w:rsid w:val="000031BC"/>
    <w:rsid w:val="000032F8"/>
    <w:rsid w:val="000033C8"/>
    <w:rsid w:val="0000351B"/>
    <w:rsid w:val="00003A1C"/>
    <w:rsid w:val="00003AA3"/>
    <w:rsid w:val="00004A7C"/>
    <w:rsid w:val="000057F6"/>
    <w:rsid w:val="000058F8"/>
    <w:rsid w:val="00005D74"/>
    <w:rsid w:val="0000602C"/>
    <w:rsid w:val="0000674E"/>
    <w:rsid w:val="000069DD"/>
    <w:rsid w:val="000069FC"/>
    <w:rsid w:val="00006F67"/>
    <w:rsid w:val="0000744B"/>
    <w:rsid w:val="00007DCD"/>
    <w:rsid w:val="00010B47"/>
    <w:rsid w:val="00010C9C"/>
    <w:rsid w:val="00010D1E"/>
    <w:rsid w:val="00011090"/>
    <w:rsid w:val="000111FC"/>
    <w:rsid w:val="0001152F"/>
    <w:rsid w:val="000115DB"/>
    <w:rsid w:val="000129A0"/>
    <w:rsid w:val="000133DB"/>
    <w:rsid w:val="00013891"/>
    <w:rsid w:val="00013A3B"/>
    <w:rsid w:val="00013CA4"/>
    <w:rsid w:val="00013D4D"/>
    <w:rsid w:val="00014776"/>
    <w:rsid w:val="00014F6D"/>
    <w:rsid w:val="00014F70"/>
    <w:rsid w:val="00015892"/>
    <w:rsid w:val="00015E19"/>
    <w:rsid w:val="000165CA"/>
    <w:rsid w:val="00016876"/>
    <w:rsid w:val="00017679"/>
    <w:rsid w:val="00017F83"/>
    <w:rsid w:val="00020071"/>
    <w:rsid w:val="0002029B"/>
    <w:rsid w:val="0002051C"/>
    <w:rsid w:val="00020680"/>
    <w:rsid w:val="00020D72"/>
    <w:rsid w:val="000213F9"/>
    <w:rsid w:val="00021ED6"/>
    <w:rsid w:val="00022EC0"/>
    <w:rsid w:val="00023D4A"/>
    <w:rsid w:val="00023DF3"/>
    <w:rsid w:val="0002418B"/>
    <w:rsid w:val="0002456F"/>
    <w:rsid w:val="000246D3"/>
    <w:rsid w:val="00024994"/>
    <w:rsid w:val="00024A2A"/>
    <w:rsid w:val="00024BA1"/>
    <w:rsid w:val="00025092"/>
    <w:rsid w:val="0002641F"/>
    <w:rsid w:val="000268D1"/>
    <w:rsid w:val="00027427"/>
    <w:rsid w:val="00027635"/>
    <w:rsid w:val="000300F4"/>
    <w:rsid w:val="00030864"/>
    <w:rsid w:val="0003086E"/>
    <w:rsid w:val="000315B3"/>
    <w:rsid w:val="00031805"/>
    <w:rsid w:val="00031B1D"/>
    <w:rsid w:val="00032071"/>
    <w:rsid w:val="00032570"/>
    <w:rsid w:val="00032804"/>
    <w:rsid w:val="00033615"/>
    <w:rsid w:val="000338B0"/>
    <w:rsid w:val="00034754"/>
    <w:rsid w:val="00034EC5"/>
    <w:rsid w:val="00034FBA"/>
    <w:rsid w:val="00035291"/>
    <w:rsid w:val="0003548F"/>
    <w:rsid w:val="000359D6"/>
    <w:rsid w:val="00035E74"/>
    <w:rsid w:val="000362C6"/>
    <w:rsid w:val="00036C09"/>
    <w:rsid w:val="00037DB0"/>
    <w:rsid w:val="00037EC1"/>
    <w:rsid w:val="0004051C"/>
    <w:rsid w:val="0004102D"/>
    <w:rsid w:val="00041191"/>
    <w:rsid w:val="00041C38"/>
    <w:rsid w:val="00042B08"/>
    <w:rsid w:val="00042E7D"/>
    <w:rsid w:val="00043180"/>
    <w:rsid w:val="00043226"/>
    <w:rsid w:val="00043453"/>
    <w:rsid w:val="00043780"/>
    <w:rsid w:val="000439A5"/>
    <w:rsid w:val="00043F27"/>
    <w:rsid w:val="000440DC"/>
    <w:rsid w:val="00044AE3"/>
    <w:rsid w:val="00044B07"/>
    <w:rsid w:val="0004547F"/>
    <w:rsid w:val="000456D8"/>
    <w:rsid w:val="0004576A"/>
    <w:rsid w:val="000460EA"/>
    <w:rsid w:val="000461C0"/>
    <w:rsid w:val="00046C9F"/>
    <w:rsid w:val="00047C5C"/>
    <w:rsid w:val="00050CDE"/>
    <w:rsid w:val="00050FE4"/>
    <w:rsid w:val="0005142E"/>
    <w:rsid w:val="00051F93"/>
    <w:rsid w:val="00051FD5"/>
    <w:rsid w:val="0005210A"/>
    <w:rsid w:val="000527B9"/>
    <w:rsid w:val="00053776"/>
    <w:rsid w:val="00053AFB"/>
    <w:rsid w:val="00053C4C"/>
    <w:rsid w:val="00053D62"/>
    <w:rsid w:val="000543B5"/>
    <w:rsid w:val="000544F0"/>
    <w:rsid w:val="0005460E"/>
    <w:rsid w:val="00054A3C"/>
    <w:rsid w:val="000553FA"/>
    <w:rsid w:val="0005540F"/>
    <w:rsid w:val="00055941"/>
    <w:rsid w:val="00056078"/>
    <w:rsid w:val="00057BFC"/>
    <w:rsid w:val="00057E52"/>
    <w:rsid w:val="00057FF0"/>
    <w:rsid w:val="0006099D"/>
    <w:rsid w:val="00060D7E"/>
    <w:rsid w:val="000617C8"/>
    <w:rsid w:val="00061878"/>
    <w:rsid w:val="00061D08"/>
    <w:rsid w:val="00062491"/>
    <w:rsid w:val="00062C3A"/>
    <w:rsid w:val="00062F39"/>
    <w:rsid w:val="00064026"/>
    <w:rsid w:val="00064317"/>
    <w:rsid w:val="000644A0"/>
    <w:rsid w:val="00065026"/>
    <w:rsid w:val="00065164"/>
    <w:rsid w:val="00065559"/>
    <w:rsid w:val="00065C14"/>
    <w:rsid w:val="00065FA2"/>
    <w:rsid w:val="00066384"/>
    <w:rsid w:val="00066958"/>
    <w:rsid w:val="0006775E"/>
    <w:rsid w:val="00067D07"/>
    <w:rsid w:val="0007048F"/>
    <w:rsid w:val="000705CF"/>
    <w:rsid w:val="00070B8B"/>
    <w:rsid w:val="00070F8E"/>
    <w:rsid w:val="00071BBA"/>
    <w:rsid w:val="00071E8D"/>
    <w:rsid w:val="00071EC1"/>
    <w:rsid w:val="000729D0"/>
    <w:rsid w:val="000730E9"/>
    <w:rsid w:val="0007351D"/>
    <w:rsid w:val="00073A7B"/>
    <w:rsid w:val="00073BE9"/>
    <w:rsid w:val="00073C6E"/>
    <w:rsid w:val="00073F45"/>
    <w:rsid w:val="000748C8"/>
    <w:rsid w:val="000749C2"/>
    <w:rsid w:val="00075970"/>
    <w:rsid w:val="00075C2E"/>
    <w:rsid w:val="0007600B"/>
    <w:rsid w:val="000760F1"/>
    <w:rsid w:val="000762A3"/>
    <w:rsid w:val="00076C0A"/>
    <w:rsid w:val="000777EB"/>
    <w:rsid w:val="0008040A"/>
    <w:rsid w:val="0008064B"/>
    <w:rsid w:val="00080AB6"/>
    <w:rsid w:val="0008190D"/>
    <w:rsid w:val="0008242F"/>
    <w:rsid w:val="0008247D"/>
    <w:rsid w:val="00082A2D"/>
    <w:rsid w:val="00082D57"/>
    <w:rsid w:val="00082EA4"/>
    <w:rsid w:val="000838B5"/>
    <w:rsid w:val="00083A61"/>
    <w:rsid w:val="00083C6A"/>
    <w:rsid w:val="00084A91"/>
    <w:rsid w:val="00084B6F"/>
    <w:rsid w:val="00084B74"/>
    <w:rsid w:val="000850F7"/>
    <w:rsid w:val="00085493"/>
    <w:rsid w:val="00085BF5"/>
    <w:rsid w:val="000860CA"/>
    <w:rsid w:val="00086156"/>
    <w:rsid w:val="00086851"/>
    <w:rsid w:val="000868F2"/>
    <w:rsid w:val="00087038"/>
    <w:rsid w:val="000877F5"/>
    <w:rsid w:val="00087C14"/>
    <w:rsid w:val="00090152"/>
    <w:rsid w:val="000903FC"/>
    <w:rsid w:val="00091137"/>
    <w:rsid w:val="000913FD"/>
    <w:rsid w:val="0009150B"/>
    <w:rsid w:val="000916A2"/>
    <w:rsid w:val="0009209F"/>
    <w:rsid w:val="0009262E"/>
    <w:rsid w:val="000927EA"/>
    <w:rsid w:val="00092892"/>
    <w:rsid w:val="000929FB"/>
    <w:rsid w:val="00092BFC"/>
    <w:rsid w:val="0009340C"/>
    <w:rsid w:val="00093956"/>
    <w:rsid w:val="00094595"/>
    <w:rsid w:val="0009485C"/>
    <w:rsid w:val="00095B35"/>
    <w:rsid w:val="00095E11"/>
    <w:rsid w:val="00095E6A"/>
    <w:rsid w:val="000961BD"/>
    <w:rsid w:val="0009646D"/>
    <w:rsid w:val="00096735"/>
    <w:rsid w:val="00096DBE"/>
    <w:rsid w:val="00097408"/>
    <w:rsid w:val="00097AB4"/>
    <w:rsid w:val="000A0087"/>
    <w:rsid w:val="000A09B6"/>
    <w:rsid w:val="000A1062"/>
    <w:rsid w:val="000A11E2"/>
    <w:rsid w:val="000A15F5"/>
    <w:rsid w:val="000A1738"/>
    <w:rsid w:val="000A1F77"/>
    <w:rsid w:val="000A20FC"/>
    <w:rsid w:val="000A2230"/>
    <w:rsid w:val="000A2565"/>
    <w:rsid w:val="000A2569"/>
    <w:rsid w:val="000A2833"/>
    <w:rsid w:val="000A2C40"/>
    <w:rsid w:val="000A2EB0"/>
    <w:rsid w:val="000A332F"/>
    <w:rsid w:val="000A3A68"/>
    <w:rsid w:val="000A3ABE"/>
    <w:rsid w:val="000A453B"/>
    <w:rsid w:val="000A46A5"/>
    <w:rsid w:val="000A4A90"/>
    <w:rsid w:val="000A5381"/>
    <w:rsid w:val="000A65FE"/>
    <w:rsid w:val="000A6DAE"/>
    <w:rsid w:val="000A6E47"/>
    <w:rsid w:val="000A7595"/>
    <w:rsid w:val="000A7690"/>
    <w:rsid w:val="000A79C8"/>
    <w:rsid w:val="000B099C"/>
    <w:rsid w:val="000B24DF"/>
    <w:rsid w:val="000B28B8"/>
    <w:rsid w:val="000B29CC"/>
    <w:rsid w:val="000B2D05"/>
    <w:rsid w:val="000B3954"/>
    <w:rsid w:val="000B4535"/>
    <w:rsid w:val="000B46C1"/>
    <w:rsid w:val="000B4DB3"/>
    <w:rsid w:val="000B5033"/>
    <w:rsid w:val="000B510E"/>
    <w:rsid w:val="000B58D9"/>
    <w:rsid w:val="000B5961"/>
    <w:rsid w:val="000B5B38"/>
    <w:rsid w:val="000B6206"/>
    <w:rsid w:val="000B7124"/>
    <w:rsid w:val="000B71FF"/>
    <w:rsid w:val="000B75C3"/>
    <w:rsid w:val="000B789B"/>
    <w:rsid w:val="000B7938"/>
    <w:rsid w:val="000B7B18"/>
    <w:rsid w:val="000B7B39"/>
    <w:rsid w:val="000C02D2"/>
    <w:rsid w:val="000C08BB"/>
    <w:rsid w:val="000C0E16"/>
    <w:rsid w:val="000C0FC5"/>
    <w:rsid w:val="000C0FCB"/>
    <w:rsid w:val="000C1304"/>
    <w:rsid w:val="000C145C"/>
    <w:rsid w:val="000C181B"/>
    <w:rsid w:val="000C19BC"/>
    <w:rsid w:val="000C1A7A"/>
    <w:rsid w:val="000C1D8D"/>
    <w:rsid w:val="000C253E"/>
    <w:rsid w:val="000C2FE5"/>
    <w:rsid w:val="000C30E3"/>
    <w:rsid w:val="000C391F"/>
    <w:rsid w:val="000C39A4"/>
    <w:rsid w:val="000C39F0"/>
    <w:rsid w:val="000C3A9A"/>
    <w:rsid w:val="000C5932"/>
    <w:rsid w:val="000C59CD"/>
    <w:rsid w:val="000C5DB7"/>
    <w:rsid w:val="000C615B"/>
    <w:rsid w:val="000C6961"/>
    <w:rsid w:val="000C6D49"/>
    <w:rsid w:val="000C70FC"/>
    <w:rsid w:val="000C710F"/>
    <w:rsid w:val="000C7130"/>
    <w:rsid w:val="000C7166"/>
    <w:rsid w:val="000C7520"/>
    <w:rsid w:val="000C77E1"/>
    <w:rsid w:val="000C7A49"/>
    <w:rsid w:val="000C7BA4"/>
    <w:rsid w:val="000C7DE4"/>
    <w:rsid w:val="000D0964"/>
    <w:rsid w:val="000D0D17"/>
    <w:rsid w:val="000D1DBE"/>
    <w:rsid w:val="000D2E60"/>
    <w:rsid w:val="000D2E8A"/>
    <w:rsid w:val="000D2EE6"/>
    <w:rsid w:val="000D3343"/>
    <w:rsid w:val="000D42BB"/>
    <w:rsid w:val="000D45A7"/>
    <w:rsid w:val="000D4C69"/>
    <w:rsid w:val="000D514C"/>
    <w:rsid w:val="000D56BA"/>
    <w:rsid w:val="000D5FF4"/>
    <w:rsid w:val="000D607F"/>
    <w:rsid w:val="000D624F"/>
    <w:rsid w:val="000D6475"/>
    <w:rsid w:val="000D7433"/>
    <w:rsid w:val="000D7EB2"/>
    <w:rsid w:val="000E0EC3"/>
    <w:rsid w:val="000E156A"/>
    <w:rsid w:val="000E1590"/>
    <w:rsid w:val="000E1BC0"/>
    <w:rsid w:val="000E1CD4"/>
    <w:rsid w:val="000E205C"/>
    <w:rsid w:val="000E2671"/>
    <w:rsid w:val="000E2B2F"/>
    <w:rsid w:val="000E2BB6"/>
    <w:rsid w:val="000E2CC8"/>
    <w:rsid w:val="000E2E06"/>
    <w:rsid w:val="000E2E7C"/>
    <w:rsid w:val="000E3107"/>
    <w:rsid w:val="000E3168"/>
    <w:rsid w:val="000E3F42"/>
    <w:rsid w:val="000E409B"/>
    <w:rsid w:val="000E4522"/>
    <w:rsid w:val="000E457B"/>
    <w:rsid w:val="000E4ABC"/>
    <w:rsid w:val="000E4E98"/>
    <w:rsid w:val="000E5653"/>
    <w:rsid w:val="000E5A00"/>
    <w:rsid w:val="000E608F"/>
    <w:rsid w:val="000E6234"/>
    <w:rsid w:val="000E67D3"/>
    <w:rsid w:val="000E6C24"/>
    <w:rsid w:val="000E7C84"/>
    <w:rsid w:val="000E7D3F"/>
    <w:rsid w:val="000F0356"/>
    <w:rsid w:val="000F0763"/>
    <w:rsid w:val="000F0A8F"/>
    <w:rsid w:val="000F0ADD"/>
    <w:rsid w:val="000F0B0A"/>
    <w:rsid w:val="000F0B40"/>
    <w:rsid w:val="000F0C17"/>
    <w:rsid w:val="000F1609"/>
    <w:rsid w:val="000F1969"/>
    <w:rsid w:val="000F25B5"/>
    <w:rsid w:val="000F27E1"/>
    <w:rsid w:val="000F2FAE"/>
    <w:rsid w:val="000F3929"/>
    <w:rsid w:val="000F41D9"/>
    <w:rsid w:val="000F4E7D"/>
    <w:rsid w:val="000F657E"/>
    <w:rsid w:val="000F6B75"/>
    <w:rsid w:val="000F6C84"/>
    <w:rsid w:val="000F6D79"/>
    <w:rsid w:val="000F6F4B"/>
    <w:rsid w:val="000F766B"/>
    <w:rsid w:val="000F78CE"/>
    <w:rsid w:val="000F7C71"/>
    <w:rsid w:val="000F7C93"/>
    <w:rsid w:val="000F7DE3"/>
    <w:rsid w:val="00100480"/>
    <w:rsid w:val="00100620"/>
    <w:rsid w:val="001006B0"/>
    <w:rsid w:val="00100D01"/>
    <w:rsid w:val="00101615"/>
    <w:rsid w:val="00101714"/>
    <w:rsid w:val="00102307"/>
    <w:rsid w:val="0010251F"/>
    <w:rsid w:val="00102B81"/>
    <w:rsid w:val="00102D97"/>
    <w:rsid w:val="00103476"/>
    <w:rsid w:val="0010353D"/>
    <w:rsid w:val="0010370C"/>
    <w:rsid w:val="00103773"/>
    <w:rsid w:val="001037E0"/>
    <w:rsid w:val="00103A55"/>
    <w:rsid w:val="00103C0A"/>
    <w:rsid w:val="001045FA"/>
    <w:rsid w:val="0010491D"/>
    <w:rsid w:val="001051C0"/>
    <w:rsid w:val="00105B91"/>
    <w:rsid w:val="001064C2"/>
    <w:rsid w:val="00106A71"/>
    <w:rsid w:val="00106AE0"/>
    <w:rsid w:val="00106B3D"/>
    <w:rsid w:val="00106CD4"/>
    <w:rsid w:val="00106FC4"/>
    <w:rsid w:val="00107222"/>
    <w:rsid w:val="00107F65"/>
    <w:rsid w:val="00110037"/>
    <w:rsid w:val="0011005C"/>
    <w:rsid w:val="00110D33"/>
    <w:rsid w:val="00111702"/>
    <w:rsid w:val="00111BC4"/>
    <w:rsid w:val="00112080"/>
    <w:rsid w:val="0011258A"/>
    <w:rsid w:val="00112C28"/>
    <w:rsid w:val="00112DB4"/>
    <w:rsid w:val="00113227"/>
    <w:rsid w:val="001132F5"/>
    <w:rsid w:val="001133CE"/>
    <w:rsid w:val="00113C19"/>
    <w:rsid w:val="0011411F"/>
    <w:rsid w:val="00114C66"/>
    <w:rsid w:val="0011512A"/>
    <w:rsid w:val="00115ECA"/>
    <w:rsid w:val="00116B82"/>
    <w:rsid w:val="00116F7D"/>
    <w:rsid w:val="0011726F"/>
    <w:rsid w:val="0011731F"/>
    <w:rsid w:val="00120253"/>
    <w:rsid w:val="0012047D"/>
    <w:rsid w:val="001205E6"/>
    <w:rsid w:val="00120BA0"/>
    <w:rsid w:val="001215E7"/>
    <w:rsid w:val="00121633"/>
    <w:rsid w:val="00121A88"/>
    <w:rsid w:val="00121C67"/>
    <w:rsid w:val="00122564"/>
    <w:rsid w:val="00122719"/>
    <w:rsid w:val="00123CC9"/>
    <w:rsid w:val="00123DFC"/>
    <w:rsid w:val="00123FC8"/>
    <w:rsid w:val="001240C4"/>
    <w:rsid w:val="0012431C"/>
    <w:rsid w:val="001247A6"/>
    <w:rsid w:val="001247E9"/>
    <w:rsid w:val="00124BB2"/>
    <w:rsid w:val="00125412"/>
    <w:rsid w:val="001257C3"/>
    <w:rsid w:val="00125CED"/>
    <w:rsid w:val="00125EB2"/>
    <w:rsid w:val="00125EEA"/>
    <w:rsid w:val="001264F8"/>
    <w:rsid w:val="00126A4B"/>
    <w:rsid w:val="00126B54"/>
    <w:rsid w:val="00126D13"/>
    <w:rsid w:val="00127129"/>
    <w:rsid w:val="0013014F"/>
    <w:rsid w:val="001301E7"/>
    <w:rsid w:val="001303EC"/>
    <w:rsid w:val="00130611"/>
    <w:rsid w:val="0013071B"/>
    <w:rsid w:val="001308C6"/>
    <w:rsid w:val="00130B83"/>
    <w:rsid w:val="00130CCC"/>
    <w:rsid w:val="00131537"/>
    <w:rsid w:val="00131853"/>
    <w:rsid w:val="00131AFD"/>
    <w:rsid w:val="001332DF"/>
    <w:rsid w:val="0013360F"/>
    <w:rsid w:val="00133B60"/>
    <w:rsid w:val="00133DC5"/>
    <w:rsid w:val="0013471D"/>
    <w:rsid w:val="00134989"/>
    <w:rsid w:val="00134DC1"/>
    <w:rsid w:val="001352BC"/>
    <w:rsid w:val="0013574F"/>
    <w:rsid w:val="0013592F"/>
    <w:rsid w:val="00135981"/>
    <w:rsid w:val="001359B1"/>
    <w:rsid w:val="00135FC6"/>
    <w:rsid w:val="00136139"/>
    <w:rsid w:val="00136649"/>
    <w:rsid w:val="00136A18"/>
    <w:rsid w:val="00136EC1"/>
    <w:rsid w:val="00137024"/>
    <w:rsid w:val="00137434"/>
    <w:rsid w:val="00137808"/>
    <w:rsid w:val="00137AE9"/>
    <w:rsid w:val="001401AE"/>
    <w:rsid w:val="001402C3"/>
    <w:rsid w:val="0014042B"/>
    <w:rsid w:val="00140692"/>
    <w:rsid w:val="00140939"/>
    <w:rsid w:val="00140B05"/>
    <w:rsid w:val="001415D5"/>
    <w:rsid w:val="0014160C"/>
    <w:rsid w:val="00142C73"/>
    <w:rsid w:val="00142DC1"/>
    <w:rsid w:val="00142F59"/>
    <w:rsid w:val="00142FE8"/>
    <w:rsid w:val="00143176"/>
    <w:rsid w:val="0014362D"/>
    <w:rsid w:val="001437B4"/>
    <w:rsid w:val="00144367"/>
    <w:rsid w:val="00144C2C"/>
    <w:rsid w:val="00144C70"/>
    <w:rsid w:val="00144D6A"/>
    <w:rsid w:val="0014503E"/>
    <w:rsid w:val="0014536D"/>
    <w:rsid w:val="00145B0B"/>
    <w:rsid w:val="00145E83"/>
    <w:rsid w:val="001479F2"/>
    <w:rsid w:val="00147B33"/>
    <w:rsid w:val="00150310"/>
    <w:rsid w:val="00150DA5"/>
    <w:rsid w:val="00151DFB"/>
    <w:rsid w:val="00152818"/>
    <w:rsid w:val="00152F70"/>
    <w:rsid w:val="0015468E"/>
    <w:rsid w:val="00155170"/>
    <w:rsid w:val="00155378"/>
    <w:rsid w:val="001554E1"/>
    <w:rsid w:val="00155578"/>
    <w:rsid w:val="00155BB8"/>
    <w:rsid w:val="0015618B"/>
    <w:rsid w:val="00156D50"/>
    <w:rsid w:val="00156DFF"/>
    <w:rsid w:val="001570AC"/>
    <w:rsid w:val="00157852"/>
    <w:rsid w:val="0016055A"/>
    <w:rsid w:val="0016087C"/>
    <w:rsid w:val="00161130"/>
    <w:rsid w:val="00161304"/>
    <w:rsid w:val="00161443"/>
    <w:rsid w:val="00161447"/>
    <w:rsid w:val="00161556"/>
    <w:rsid w:val="001618FC"/>
    <w:rsid w:val="00162C84"/>
    <w:rsid w:val="00162F57"/>
    <w:rsid w:val="00163599"/>
    <w:rsid w:val="00163C93"/>
    <w:rsid w:val="00164566"/>
    <w:rsid w:val="00164905"/>
    <w:rsid w:val="00164AA7"/>
    <w:rsid w:val="00164CA4"/>
    <w:rsid w:val="00165002"/>
    <w:rsid w:val="00165397"/>
    <w:rsid w:val="0016597D"/>
    <w:rsid w:val="00165D86"/>
    <w:rsid w:val="00165F4D"/>
    <w:rsid w:val="00166B93"/>
    <w:rsid w:val="001674F6"/>
    <w:rsid w:val="00167814"/>
    <w:rsid w:val="001678B0"/>
    <w:rsid w:val="00170945"/>
    <w:rsid w:val="00170A6B"/>
    <w:rsid w:val="00170B26"/>
    <w:rsid w:val="00170CB3"/>
    <w:rsid w:val="00170CFE"/>
    <w:rsid w:val="00170FDB"/>
    <w:rsid w:val="00171697"/>
    <w:rsid w:val="001718BB"/>
    <w:rsid w:val="00172070"/>
    <w:rsid w:val="0017352E"/>
    <w:rsid w:val="0017378E"/>
    <w:rsid w:val="001739E4"/>
    <w:rsid w:val="00175300"/>
    <w:rsid w:val="0017539E"/>
    <w:rsid w:val="00175B82"/>
    <w:rsid w:val="00176963"/>
    <w:rsid w:val="00177333"/>
    <w:rsid w:val="00177635"/>
    <w:rsid w:val="001803B1"/>
    <w:rsid w:val="00180736"/>
    <w:rsid w:val="0018073F"/>
    <w:rsid w:val="00180A37"/>
    <w:rsid w:val="0018139A"/>
    <w:rsid w:val="00181DDF"/>
    <w:rsid w:val="00181E4C"/>
    <w:rsid w:val="0018233B"/>
    <w:rsid w:val="00182343"/>
    <w:rsid w:val="00182D65"/>
    <w:rsid w:val="00182E13"/>
    <w:rsid w:val="001831F6"/>
    <w:rsid w:val="001845EA"/>
    <w:rsid w:val="00184BA0"/>
    <w:rsid w:val="00184F62"/>
    <w:rsid w:val="00184FB6"/>
    <w:rsid w:val="00185394"/>
    <w:rsid w:val="00185625"/>
    <w:rsid w:val="00185A0E"/>
    <w:rsid w:val="00185AC9"/>
    <w:rsid w:val="00185B82"/>
    <w:rsid w:val="00186BAB"/>
    <w:rsid w:val="00187DA8"/>
    <w:rsid w:val="00190250"/>
    <w:rsid w:val="00190389"/>
    <w:rsid w:val="0019068A"/>
    <w:rsid w:val="001907E2"/>
    <w:rsid w:val="00190973"/>
    <w:rsid w:val="001911B6"/>
    <w:rsid w:val="0019138B"/>
    <w:rsid w:val="00191E31"/>
    <w:rsid w:val="0019222C"/>
    <w:rsid w:val="001923CE"/>
    <w:rsid w:val="001926D5"/>
    <w:rsid w:val="00192918"/>
    <w:rsid w:val="00192D07"/>
    <w:rsid w:val="001932A6"/>
    <w:rsid w:val="00193554"/>
    <w:rsid w:val="00194049"/>
    <w:rsid w:val="00194496"/>
    <w:rsid w:val="0019460F"/>
    <w:rsid w:val="00194693"/>
    <w:rsid w:val="001947E2"/>
    <w:rsid w:val="00194D53"/>
    <w:rsid w:val="00194EF3"/>
    <w:rsid w:val="00195548"/>
    <w:rsid w:val="00195AC7"/>
    <w:rsid w:val="00195E11"/>
    <w:rsid w:val="00196318"/>
    <w:rsid w:val="001964B7"/>
    <w:rsid w:val="001968F0"/>
    <w:rsid w:val="00196A71"/>
    <w:rsid w:val="00196D8C"/>
    <w:rsid w:val="00196F01"/>
    <w:rsid w:val="00196F86"/>
    <w:rsid w:val="0019778F"/>
    <w:rsid w:val="00197994"/>
    <w:rsid w:val="00197CF8"/>
    <w:rsid w:val="001A05E7"/>
    <w:rsid w:val="001A06B1"/>
    <w:rsid w:val="001A0AA9"/>
    <w:rsid w:val="001A0D49"/>
    <w:rsid w:val="001A1583"/>
    <w:rsid w:val="001A1E31"/>
    <w:rsid w:val="001A20E8"/>
    <w:rsid w:val="001A24DF"/>
    <w:rsid w:val="001A26F1"/>
    <w:rsid w:val="001A34FA"/>
    <w:rsid w:val="001A3F2C"/>
    <w:rsid w:val="001A3F98"/>
    <w:rsid w:val="001A40C4"/>
    <w:rsid w:val="001A453A"/>
    <w:rsid w:val="001A4770"/>
    <w:rsid w:val="001A484F"/>
    <w:rsid w:val="001A4905"/>
    <w:rsid w:val="001A4DD5"/>
    <w:rsid w:val="001A4FA4"/>
    <w:rsid w:val="001A5735"/>
    <w:rsid w:val="001A57C5"/>
    <w:rsid w:val="001A597D"/>
    <w:rsid w:val="001A5A31"/>
    <w:rsid w:val="001A6D8D"/>
    <w:rsid w:val="001A77EA"/>
    <w:rsid w:val="001A78C2"/>
    <w:rsid w:val="001A7A4A"/>
    <w:rsid w:val="001A7E83"/>
    <w:rsid w:val="001B02AD"/>
    <w:rsid w:val="001B03B3"/>
    <w:rsid w:val="001B05B2"/>
    <w:rsid w:val="001B08AA"/>
    <w:rsid w:val="001B0D32"/>
    <w:rsid w:val="001B1950"/>
    <w:rsid w:val="001B2149"/>
    <w:rsid w:val="001B21C0"/>
    <w:rsid w:val="001B21DE"/>
    <w:rsid w:val="001B23EA"/>
    <w:rsid w:val="001B36CF"/>
    <w:rsid w:val="001B37AF"/>
    <w:rsid w:val="001B3B44"/>
    <w:rsid w:val="001B44A7"/>
    <w:rsid w:val="001B4A39"/>
    <w:rsid w:val="001B5FA1"/>
    <w:rsid w:val="001B6A26"/>
    <w:rsid w:val="001B71CE"/>
    <w:rsid w:val="001B7663"/>
    <w:rsid w:val="001C01A9"/>
    <w:rsid w:val="001C0502"/>
    <w:rsid w:val="001C0B87"/>
    <w:rsid w:val="001C0F72"/>
    <w:rsid w:val="001C108D"/>
    <w:rsid w:val="001C14D7"/>
    <w:rsid w:val="001C15CC"/>
    <w:rsid w:val="001C1733"/>
    <w:rsid w:val="001C1847"/>
    <w:rsid w:val="001C3602"/>
    <w:rsid w:val="001C3749"/>
    <w:rsid w:val="001C3852"/>
    <w:rsid w:val="001C3AC4"/>
    <w:rsid w:val="001C3D07"/>
    <w:rsid w:val="001C4245"/>
    <w:rsid w:val="001C43AA"/>
    <w:rsid w:val="001C47C3"/>
    <w:rsid w:val="001C58F4"/>
    <w:rsid w:val="001C5EA0"/>
    <w:rsid w:val="001C68C8"/>
    <w:rsid w:val="001C7012"/>
    <w:rsid w:val="001C7176"/>
    <w:rsid w:val="001C7374"/>
    <w:rsid w:val="001C7D6D"/>
    <w:rsid w:val="001D0046"/>
    <w:rsid w:val="001D0C28"/>
    <w:rsid w:val="001D0EA8"/>
    <w:rsid w:val="001D101F"/>
    <w:rsid w:val="001D161B"/>
    <w:rsid w:val="001D19C0"/>
    <w:rsid w:val="001D1A19"/>
    <w:rsid w:val="001D1B9E"/>
    <w:rsid w:val="001D2119"/>
    <w:rsid w:val="001D23C7"/>
    <w:rsid w:val="001D254E"/>
    <w:rsid w:val="001D298F"/>
    <w:rsid w:val="001D2D4D"/>
    <w:rsid w:val="001D327E"/>
    <w:rsid w:val="001D3AB8"/>
    <w:rsid w:val="001D3AF7"/>
    <w:rsid w:val="001D3F6D"/>
    <w:rsid w:val="001D4BD2"/>
    <w:rsid w:val="001D4CB6"/>
    <w:rsid w:val="001D54DA"/>
    <w:rsid w:val="001D5C74"/>
    <w:rsid w:val="001D5E7F"/>
    <w:rsid w:val="001D6B38"/>
    <w:rsid w:val="001D6C0B"/>
    <w:rsid w:val="001D7128"/>
    <w:rsid w:val="001D7300"/>
    <w:rsid w:val="001D73B1"/>
    <w:rsid w:val="001D7FE5"/>
    <w:rsid w:val="001E0091"/>
    <w:rsid w:val="001E013D"/>
    <w:rsid w:val="001E0A5D"/>
    <w:rsid w:val="001E1008"/>
    <w:rsid w:val="001E113A"/>
    <w:rsid w:val="001E1906"/>
    <w:rsid w:val="001E2B7C"/>
    <w:rsid w:val="001E3C5A"/>
    <w:rsid w:val="001E4373"/>
    <w:rsid w:val="001E46FE"/>
    <w:rsid w:val="001E4A97"/>
    <w:rsid w:val="001E4E9F"/>
    <w:rsid w:val="001E4F87"/>
    <w:rsid w:val="001E531D"/>
    <w:rsid w:val="001E53C0"/>
    <w:rsid w:val="001E60A2"/>
    <w:rsid w:val="001E6458"/>
    <w:rsid w:val="001E64D5"/>
    <w:rsid w:val="001E64EE"/>
    <w:rsid w:val="001E668F"/>
    <w:rsid w:val="001E6F30"/>
    <w:rsid w:val="001E6F89"/>
    <w:rsid w:val="001E791A"/>
    <w:rsid w:val="001E7AB0"/>
    <w:rsid w:val="001E7C31"/>
    <w:rsid w:val="001F0B14"/>
    <w:rsid w:val="001F0B9D"/>
    <w:rsid w:val="001F0C5E"/>
    <w:rsid w:val="001F0FF5"/>
    <w:rsid w:val="001F108C"/>
    <w:rsid w:val="001F15CF"/>
    <w:rsid w:val="001F181E"/>
    <w:rsid w:val="001F1C96"/>
    <w:rsid w:val="001F1F6F"/>
    <w:rsid w:val="001F2246"/>
    <w:rsid w:val="001F2C08"/>
    <w:rsid w:val="001F2E56"/>
    <w:rsid w:val="001F2F61"/>
    <w:rsid w:val="001F33F2"/>
    <w:rsid w:val="001F43D6"/>
    <w:rsid w:val="001F46FD"/>
    <w:rsid w:val="001F475C"/>
    <w:rsid w:val="001F49F7"/>
    <w:rsid w:val="001F5370"/>
    <w:rsid w:val="001F5A25"/>
    <w:rsid w:val="001F5F72"/>
    <w:rsid w:val="001F6239"/>
    <w:rsid w:val="001F6413"/>
    <w:rsid w:val="001F6430"/>
    <w:rsid w:val="001F6DFE"/>
    <w:rsid w:val="001F7214"/>
    <w:rsid w:val="001F78FE"/>
    <w:rsid w:val="0020010E"/>
    <w:rsid w:val="002001C6"/>
    <w:rsid w:val="00200A60"/>
    <w:rsid w:val="00200A95"/>
    <w:rsid w:val="00200CAA"/>
    <w:rsid w:val="00201168"/>
    <w:rsid w:val="002015F0"/>
    <w:rsid w:val="00201E43"/>
    <w:rsid w:val="00202211"/>
    <w:rsid w:val="00202508"/>
    <w:rsid w:val="002028B7"/>
    <w:rsid w:val="00202D51"/>
    <w:rsid w:val="00203177"/>
    <w:rsid w:val="002035B3"/>
    <w:rsid w:val="00203EE4"/>
    <w:rsid w:val="00204A43"/>
    <w:rsid w:val="00204BFD"/>
    <w:rsid w:val="00204E77"/>
    <w:rsid w:val="00205006"/>
    <w:rsid w:val="002050FF"/>
    <w:rsid w:val="002051DD"/>
    <w:rsid w:val="002056A8"/>
    <w:rsid w:val="002057CB"/>
    <w:rsid w:val="00205A0C"/>
    <w:rsid w:val="00206748"/>
    <w:rsid w:val="0020686D"/>
    <w:rsid w:val="002069AB"/>
    <w:rsid w:val="00206C65"/>
    <w:rsid w:val="002075D4"/>
    <w:rsid w:val="00207CDE"/>
    <w:rsid w:val="002106E9"/>
    <w:rsid w:val="002116FA"/>
    <w:rsid w:val="00211C40"/>
    <w:rsid w:val="00213896"/>
    <w:rsid w:val="00213991"/>
    <w:rsid w:val="002139A9"/>
    <w:rsid w:val="00213A39"/>
    <w:rsid w:val="00213AD5"/>
    <w:rsid w:val="00213C75"/>
    <w:rsid w:val="002141D4"/>
    <w:rsid w:val="00214969"/>
    <w:rsid w:val="002151FB"/>
    <w:rsid w:val="00215E0D"/>
    <w:rsid w:val="002165A4"/>
    <w:rsid w:val="002165C6"/>
    <w:rsid w:val="00216C12"/>
    <w:rsid w:val="00216CCE"/>
    <w:rsid w:val="00216D04"/>
    <w:rsid w:val="00216DB0"/>
    <w:rsid w:val="0021778F"/>
    <w:rsid w:val="0021797A"/>
    <w:rsid w:val="00217F11"/>
    <w:rsid w:val="00220AB4"/>
    <w:rsid w:val="00221313"/>
    <w:rsid w:val="002224CE"/>
    <w:rsid w:val="002227D3"/>
    <w:rsid w:val="002229C2"/>
    <w:rsid w:val="002234B2"/>
    <w:rsid w:val="00223D31"/>
    <w:rsid w:val="00224172"/>
    <w:rsid w:val="002241E5"/>
    <w:rsid w:val="00225606"/>
    <w:rsid w:val="0022579F"/>
    <w:rsid w:val="00225A72"/>
    <w:rsid w:val="00225CBD"/>
    <w:rsid w:val="002262EF"/>
    <w:rsid w:val="0022651B"/>
    <w:rsid w:val="0022697F"/>
    <w:rsid w:val="00226E03"/>
    <w:rsid w:val="002273AE"/>
    <w:rsid w:val="002277F0"/>
    <w:rsid w:val="00227CB3"/>
    <w:rsid w:val="00227D4E"/>
    <w:rsid w:val="00230127"/>
    <w:rsid w:val="0023107F"/>
    <w:rsid w:val="00232FE3"/>
    <w:rsid w:val="002337C4"/>
    <w:rsid w:val="00234C36"/>
    <w:rsid w:val="00234D2F"/>
    <w:rsid w:val="00235541"/>
    <w:rsid w:val="002361B4"/>
    <w:rsid w:val="0023702B"/>
    <w:rsid w:val="00237227"/>
    <w:rsid w:val="00237656"/>
    <w:rsid w:val="0023788C"/>
    <w:rsid w:val="0024044E"/>
    <w:rsid w:val="00240757"/>
    <w:rsid w:val="002407C7"/>
    <w:rsid w:val="00240B70"/>
    <w:rsid w:val="00240BAC"/>
    <w:rsid w:val="00240BF0"/>
    <w:rsid w:val="00240EE1"/>
    <w:rsid w:val="0024137F"/>
    <w:rsid w:val="00241750"/>
    <w:rsid w:val="00242065"/>
    <w:rsid w:val="002420D5"/>
    <w:rsid w:val="002431CB"/>
    <w:rsid w:val="002434CF"/>
    <w:rsid w:val="00243A5E"/>
    <w:rsid w:val="00243ABB"/>
    <w:rsid w:val="00243E04"/>
    <w:rsid w:val="00244336"/>
    <w:rsid w:val="0024518A"/>
    <w:rsid w:val="00245CCD"/>
    <w:rsid w:val="0024659D"/>
    <w:rsid w:val="00246A2C"/>
    <w:rsid w:val="002477BC"/>
    <w:rsid w:val="002478C2"/>
    <w:rsid w:val="00247A11"/>
    <w:rsid w:val="00247C46"/>
    <w:rsid w:val="00247FB7"/>
    <w:rsid w:val="002503FD"/>
    <w:rsid w:val="0025071A"/>
    <w:rsid w:val="00250B0F"/>
    <w:rsid w:val="00250DB0"/>
    <w:rsid w:val="00250E8A"/>
    <w:rsid w:val="00250F9F"/>
    <w:rsid w:val="00251A00"/>
    <w:rsid w:val="00251AB6"/>
    <w:rsid w:val="002520E5"/>
    <w:rsid w:val="00252321"/>
    <w:rsid w:val="00252C5D"/>
    <w:rsid w:val="00253217"/>
    <w:rsid w:val="002532B5"/>
    <w:rsid w:val="0025362C"/>
    <w:rsid w:val="002536FD"/>
    <w:rsid w:val="00253B3C"/>
    <w:rsid w:val="00253CD1"/>
    <w:rsid w:val="002541A4"/>
    <w:rsid w:val="00254988"/>
    <w:rsid w:val="002550E9"/>
    <w:rsid w:val="002553FF"/>
    <w:rsid w:val="00255D72"/>
    <w:rsid w:val="002562A7"/>
    <w:rsid w:val="002577CE"/>
    <w:rsid w:val="00260159"/>
    <w:rsid w:val="0026072E"/>
    <w:rsid w:val="002609B8"/>
    <w:rsid w:val="002611D7"/>
    <w:rsid w:val="00261CE1"/>
    <w:rsid w:val="00261FDF"/>
    <w:rsid w:val="00262280"/>
    <w:rsid w:val="0026229D"/>
    <w:rsid w:val="002626EE"/>
    <w:rsid w:val="00262D00"/>
    <w:rsid w:val="00262D63"/>
    <w:rsid w:val="00263627"/>
    <w:rsid w:val="002644A5"/>
    <w:rsid w:val="002645EE"/>
    <w:rsid w:val="002648E1"/>
    <w:rsid w:val="00264A6F"/>
    <w:rsid w:val="0026509A"/>
    <w:rsid w:val="0026512D"/>
    <w:rsid w:val="002652DB"/>
    <w:rsid w:val="002656FF"/>
    <w:rsid w:val="002659FD"/>
    <w:rsid w:val="002665A7"/>
    <w:rsid w:val="00267069"/>
    <w:rsid w:val="0026722E"/>
    <w:rsid w:val="002677E4"/>
    <w:rsid w:val="00267A60"/>
    <w:rsid w:val="00270CAD"/>
    <w:rsid w:val="00270CBA"/>
    <w:rsid w:val="00270CBB"/>
    <w:rsid w:val="0027188B"/>
    <w:rsid w:val="002720B7"/>
    <w:rsid w:val="002729C5"/>
    <w:rsid w:val="00273AB1"/>
    <w:rsid w:val="00273D6D"/>
    <w:rsid w:val="00273FC8"/>
    <w:rsid w:val="002742A9"/>
    <w:rsid w:val="00274FFE"/>
    <w:rsid w:val="00275131"/>
    <w:rsid w:val="002753CE"/>
    <w:rsid w:val="00275432"/>
    <w:rsid w:val="0027544C"/>
    <w:rsid w:val="0027569F"/>
    <w:rsid w:val="00275E6C"/>
    <w:rsid w:val="00276913"/>
    <w:rsid w:val="00276C85"/>
    <w:rsid w:val="00277B91"/>
    <w:rsid w:val="0028070A"/>
    <w:rsid w:val="00281CAB"/>
    <w:rsid w:val="00281FAB"/>
    <w:rsid w:val="002826C6"/>
    <w:rsid w:val="00283341"/>
    <w:rsid w:val="0028396C"/>
    <w:rsid w:val="0028398E"/>
    <w:rsid w:val="00283E68"/>
    <w:rsid w:val="00284E6C"/>
    <w:rsid w:val="002852AD"/>
    <w:rsid w:val="00285990"/>
    <w:rsid w:val="0028681A"/>
    <w:rsid w:val="00286CF6"/>
    <w:rsid w:val="00287059"/>
    <w:rsid w:val="002870EE"/>
    <w:rsid w:val="00287C0B"/>
    <w:rsid w:val="00287FD2"/>
    <w:rsid w:val="002903E9"/>
    <w:rsid w:val="00291091"/>
    <w:rsid w:val="002913AA"/>
    <w:rsid w:val="00291BE9"/>
    <w:rsid w:val="00291D4F"/>
    <w:rsid w:val="00292362"/>
    <w:rsid w:val="00292AF0"/>
    <w:rsid w:val="00292CC3"/>
    <w:rsid w:val="00292FF4"/>
    <w:rsid w:val="002938BC"/>
    <w:rsid w:val="0029460E"/>
    <w:rsid w:val="00294A64"/>
    <w:rsid w:val="002952AB"/>
    <w:rsid w:val="00295584"/>
    <w:rsid w:val="00295EA0"/>
    <w:rsid w:val="00295EC7"/>
    <w:rsid w:val="00296EB1"/>
    <w:rsid w:val="00297865"/>
    <w:rsid w:val="00297F57"/>
    <w:rsid w:val="002A050F"/>
    <w:rsid w:val="002A10DF"/>
    <w:rsid w:val="002A12E9"/>
    <w:rsid w:val="002A130D"/>
    <w:rsid w:val="002A1B87"/>
    <w:rsid w:val="002A1F56"/>
    <w:rsid w:val="002A2039"/>
    <w:rsid w:val="002A2484"/>
    <w:rsid w:val="002A2E15"/>
    <w:rsid w:val="002A3204"/>
    <w:rsid w:val="002A337F"/>
    <w:rsid w:val="002A35AB"/>
    <w:rsid w:val="002A3E6A"/>
    <w:rsid w:val="002A43C0"/>
    <w:rsid w:val="002A561D"/>
    <w:rsid w:val="002A581E"/>
    <w:rsid w:val="002A58D2"/>
    <w:rsid w:val="002A58F7"/>
    <w:rsid w:val="002A635A"/>
    <w:rsid w:val="002A652B"/>
    <w:rsid w:val="002A6C91"/>
    <w:rsid w:val="002A705F"/>
    <w:rsid w:val="002A727D"/>
    <w:rsid w:val="002A7644"/>
    <w:rsid w:val="002A770D"/>
    <w:rsid w:val="002B035B"/>
    <w:rsid w:val="002B0478"/>
    <w:rsid w:val="002B0705"/>
    <w:rsid w:val="002B0986"/>
    <w:rsid w:val="002B0CCF"/>
    <w:rsid w:val="002B0D5C"/>
    <w:rsid w:val="002B0F5D"/>
    <w:rsid w:val="002B10C3"/>
    <w:rsid w:val="002B1B52"/>
    <w:rsid w:val="002B1FF5"/>
    <w:rsid w:val="002B2547"/>
    <w:rsid w:val="002B2866"/>
    <w:rsid w:val="002B2C87"/>
    <w:rsid w:val="002B2DE2"/>
    <w:rsid w:val="002B34F3"/>
    <w:rsid w:val="002B4701"/>
    <w:rsid w:val="002B4996"/>
    <w:rsid w:val="002B4BD7"/>
    <w:rsid w:val="002B4DDE"/>
    <w:rsid w:val="002B4EC3"/>
    <w:rsid w:val="002B4F6E"/>
    <w:rsid w:val="002B5B87"/>
    <w:rsid w:val="002B5FC0"/>
    <w:rsid w:val="002B6233"/>
    <w:rsid w:val="002B6F2F"/>
    <w:rsid w:val="002B6F38"/>
    <w:rsid w:val="002B74A2"/>
    <w:rsid w:val="002B7937"/>
    <w:rsid w:val="002C0453"/>
    <w:rsid w:val="002C0DE2"/>
    <w:rsid w:val="002C0E22"/>
    <w:rsid w:val="002C127B"/>
    <w:rsid w:val="002C13A4"/>
    <w:rsid w:val="002C1419"/>
    <w:rsid w:val="002C160E"/>
    <w:rsid w:val="002C19FA"/>
    <w:rsid w:val="002C1F31"/>
    <w:rsid w:val="002C202D"/>
    <w:rsid w:val="002C2536"/>
    <w:rsid w:val="002C320A"/>
    <w:rsid w:val="002C4012"/>
    <w:rsid w:val="002C4496"/>
    <w:rsid w:val="002C4608"/>
    <w:rsid w:val="002C46A4"/>
    <w:rsid w:val="002C46DB"/>
    <w:rsid w:val="002C488A"/>
    <w:rsid w:val="002C4C64"/>
    <w:rsid w:val="002C506D"/>
    <w:rsid w:val="002C55BF"/>
    <w:rsid w:val="002C5AA8"/>
    <w:rsid w:val="002C60D7"/>
    <w:rsid w:val="002C61B4"/>
    <w:rsid w:val="002C6425"/>
    <w:rsid w:val="002C69BC"/>
    <w:rsid w:val="002C6EF9"/>
    <w:rsid w:val="002D097C"/>
    <w:rsid w:val="002D0C06"/>
    <w:rsid w:val="002D1E64"/>
    <w:rsid w:val="002D1F5C"/>
    <w:rsid w:val="002D2A31"/>
    <w:rsid w:val="002D312C"/>
    <w:rsid w:val="002D3205"/>
    <w:rsid w:val="002D32F3"/>
    <w:rsid w:val="002D3311"/>
    <w:rsid w:val="002D353D"/>
    <w:rsid w:val="002D3F72"/>
    <w:rsid w:val="002D49A0"/>
    <w:rsid w:val="002D4D59"/>
    <w:rsid w:val="002D50DC"/>
    <w:rsid w:val="002D54EA"/>
    <w:rsid w:val="002D56F6"/>
    <w:rsid w:val="002D6887"/>
    <w:rsid w:val="002D6B0D"/>
    <w:rsid w:val="002D70A5"/>
    <w:rsid w:val="002D74C5"/>
    <w:rsid w:val="002D7B97"/>
    <w:rsid w:val="002E02EA"/>
    <w:rsid w:val="002E0882"/>
    <w:rsid w:val="002E1363"/>
    <w:rsid w:val="002E205B"/>
    <w:rsid w:val="002E211E"/>
    <w:rsid w:val="002E2219"/>
    <w:rsid w:val="002E2E6B"/>
    <w:rsid w:val="002E2FE4"/>
    <w:rsid w:val="002E32D6"/>
    <w:rsid w:val="002E3BE4"/>
    <w:rsid w:val="002E3C39"/>
    <w:rsid w:val="002E3C7A"/>
    <w:rsid w:val="002E400C"/>
    <w:rsid w:val="002E43E8"/>
    <w:rsid w:val="002E47C7"/>
    <w:rsid w:val="002E49E2"/>
    <w:rsid w:val="002E4AEC"/>
    <w:rsid w:val="002E4DDB"/>
    <w:rsid w:val="002E56D1"/>
    <w:rsid w:val="002E5E98"/>
    <w:rsid w:val="002E5F11"/>
    <w:rsid w:val="002E6804"/>
    <w:rsid w:val="002E690E"/>
    <w:rsid w:val="002E760D"/>
    <w:rsid w:val="002E7D60"/>
    <w:rsid w:val="002F015D"/>
    <w:rsid w:val="002F0314"/>
    <w:rsid w:val="002F088F"/>
    <w:rsid w:val="002F153D"/>
    <w:rsid w:val="002F1B5C"/>
    <w:rsid w:val="002F21A0"/>
    <w:rsid w:val="002F258D"/>
    <w:rsid w:val="002F2731"/>
    <w:rsid w:val="002F2AEB"/>
    <w:rsid w:val="002F3075"/>
    <w:rsid w:val="002F3300"/>
    <w:rsid w:val="002F331E"/>
    <w:rsid w:val="002F3334"/>
    <w:rsid w:val="002F3D5B"/>
    <w:rsid w:val="002F4759"/>
    <w:rsid w:val="002F4E84"/>
    <w:rsid w:val="002F50B3"/>
    <w:rsid w:val="002F524B"/>
    <w:rsid w:val="002F6ADF"/>
    <w:rsid w:val="002F75B0"/>
    <w:rsid w:val="00300746"/>
    <w:rsid w:val="00301507"/>
    <w:rsid w:val="00301787"/>
    <w:rsid w:val="00301F41"/>
    <w:rsid w:val="00302806"/>
    <w:rsid w:val="003029D1"/>
    <w:rsid w:val="00302B41"/>
    <w:rsid w:val="00302D04"/>
    <w:rsid w:val="0030308B"/>
    <w:rsid w:val="00303147"/>
    <w:rsid w:val="0030324B"/>
    <w:rsid w:val="00303B01"/>
    <w:rsid w:val="00304AFA"/>
    <w:rsid w:val="00304B8C"/>
    <w:rsid w:val="0030520C"/>
    <w:rsid w:val="00305525"/>
    <w:rsid w:val="00305963"/>
    <w:rsid w:val="00305A99"/>
    <w:rsid w:val="00305BA5"/>
    <w:rsid w:val="00306426"/>
    <w:rsid w:val="00306D5C"/>
    <w:rsid w:val="00306F38"/>
    <w:rsid w:val="00306F63"/>
    <w:rsid w:val="00306FDE"/>
    <w:rsid w:val="003076CA"/>
    <w:rsid w:val="003079BB"/>
    <w:rsid w:val="00307EC2"/>
    <w:rsid w:val="00307F67"/>
    <w:rsid w:val="003100E0"/>
    <w:rsid w:val="00310610"/>
    <w:rsid w:val="00310A62"/>
    <w:rsid w:val="0031170E"/>
    <w:rsid w:val="00311C3F"/>
    <w:rsid w:val="00311CBF"/>
    <w:rsid w:val="00311ECE"/>
    <w:rsid w:val="00312173"/>
    <w:rsid w:val="0031231D"/>
    <w:rsid w:val="0031377F"/>
    <w:rsid w:val="0031415D"/>
    <w:rsid w:val="00314F5B"/>
    <w:rsid w:val="003154FF"/>
    <w:rsid w:val="003159E6"/>
    <w:rsid w:val="00315ED5"/>
    <w:rsid w:val="00316A32"/>
    <w:rsid w:val="0031710E"/>
    <w:rsid w:val="003179BC"/>
    <w:rsid w:val="00320508"/>
    <w:rsid w:val="00320D52"/>
    <w:rsid w:val="00321442"/>
    <w:rsid w:val="00321701"/>
    <w:rsid w:val="003217DB"/>
    <w:rsid w:val="00321873"/>
    <w:rsid w:val="003219FC"/>
    <w:rsid w:val="00321B99"/>
    <w:rsid w:val="00321C19"/>
    <w:rsid w:val="00321E09"/>
    <w:rsid w:val="00321FE3"/>
    <w:rsid w:val="003227F6"/>
    <w:rsid w:val="00322E98"/>
    <w:rsid w:val="00323B80"/>
    <w:rsid w:val="0032403D"/>
    <w:rsid w:val="0032470B"/>
    <w:rsid w:val="003250DF"/>
    <w:rsid w:val="003258B6"/>
    <w:rsid w:val="00325937"/>
    <w:rsid w:val="00325D84"/>
    <w:rsid w:val="00325D87"/>
    <w:rsid w:val="00327113"/>
    <w:rsid w:val="003271BE"/>
    <w:rsid w:val="003273FE"/>
    <w:rsid w:val="00327EF1"/>
    <w:rsid w:val="00330289"/>
    <w:rsid w:val="003302AA"/>
    <w:rsid w:val="00330867"/>
    <w:rsid w:val="00330E65"/>
    <w:rsid w:val="00331244"/>
    <w:rsid w:val="003319D6"/>
    <w:rsid w:val="00331D11"/>
    <w:rsid w:val="00332DDE"/>
    <w:rsid w:val="00332FD3"/>
    <w:rsid w:val="003335D9"/>
    <w:rsid w:val="00333689"/>
    <w:rsid w:val="003346AB"/>
    <w:rsid w:val="00334BA5"/>
    <w:rsid w:val="003355A7"/>
    <w:rsid w:val="00335C56"/>
    <w:rsid w:val="003361E1"/>
    <w:rsid w:val="003364B6"/>
    <w:rsid w:val="003369AF"/>
    <w:rsid w:val="00337ACF"/>
    <w:rsid w:val="0034042A"/>
    <w:rsid w:val="0034089A"/>
    <w:rsid w:val="00340B60"/>
    <w:rsid w:val="00341704"/>
    <w:rsid w:val="00341AB2"/>
    <w:rsid w:val="00342234"/>
    <w:rsid w:val="00342822"/>
    <w:rsid w:val="003429BA"/>
    <w:rsid w:val="00343864"/>
    <w:rsid w:val="00343C7E"/>
    <w:rsid w:val="0034461B"/>
    <w:rsid w:val="00344DE9"/>
    <w:rsid w:val="00345480"/>
    <w:rsid w:val="003454AF"/>
    <w:rsid w:val="00346191"/>
    <w:rsid w:val="003465D0"/>
    <w:rsid w:val="003466DC"/>
    <w:rsid w:val="00346970"/>
    <w:rsid w:val="00346DB9"/>
    <w:rsid w:val="00346E75"/>
    <w:rsid w:val="00346EBE"/>
    <w:rsid w:val="00347036"/>
    <w:rsid w:val="003470BF"/>
    <w:rsid w:val="00347898"/>
    <w:rsid w:val="00347CA3"/>
    <w:rsid w:val="0035003F"/>
    <w:rsid w:val="00350110"/>
    <w:rsid w:val="0035039F"/>
    <w:rsid w:val="00351D9C"/>
    <w:rsid w:val="00352058"/>
    <w:rsid w:val="00352284"/>
    <w:rsid w:val="003528D1"/>
    <w:rsid w:val="00352EE1"/>
    <w:rsid w:val="00353718"/>
    <w:rsid w:val="00354268"/>
    <w:rsid w:val="00354612"/>
    <w:rsid w:val="003552A9"/>
    <w:rsid w:val="0035547B"/>
    <w:rsid w:val="00355D78"/>
    <w:rsid w:val="00356E64"/>
    <w:rsid w:val="0035702B"/>
    <w:rsid w:val="00357903"/>
    <w:rsid w:val="0035796C"/>
    <w:rsid w:val="00357AB3"/>
    <w:rsid w:val="00357B7D"/>
    <w:rsid w:val="003608C4"/>
    <w:rsid w:val="00360DD1"/>
    <w:rsid w:val="00361076"/>
    <w:rsid w:val="00362BBF"/>
    <w:rsid w:val="00362E94"/>
    <w:rsid w:val="00364379"/>
    <w:rsid w:val="003646AC"/>
    <w:rsid w:val="00364726"/>
    <w:rsid w:val="00364AEF"/>
    <w:rsid w:val="003652A1"/>
    <w:rsid w:val="003653B2"/>
    <w:rsid w:val="0036542B"/>
    <w:rsid w:val="00365741"/>
    <w:rsid w:val="00365885"/>
    <w:rsid w:val="0036597A"/>
    <w:rsid w:val="0036692A"/>
    <w:rsid w:val="0036771B"/>
    <w:rsid w:val="00367982"/>
    <w:rsid w:val="00367A2C"/>
    <w:rsid w:val="00367B29"/>
    <w:rsid w:val="003702F4"/>
    <w:rsid w:val="00370894"/>
    <w:rsid w:val="00370DAE"/>
    <w:rsid w:val="003711BF"/>
    <w:rsid w:val="00372115"/>
    <w:rsid w:val="00372353"/>
    <w:rsid w:val="00372733"/>
    <w:rsid w:val="003733C8"/>
    <w:rsid w:val="003742B3"/>
    <w:rsid w:val="00374474"/>
    <w:rsid w:val="0037449A"/>
    <w:rsid w:val="00374629"/>
    <w:rsid w:val="00374928"/>
    <w:rsid w:val="00374D04"/>
    <w:rsid w:val="003760C8"/>
    <w:rsid w:val="00376D50"/>
    <w:rsid w:val="00376FAC"/>
    <w:rsid w:val="00380A38"/>
    <w:rsid w:val="00380D1C"/>
    <w:rsid w:val="00380DB7"/>
    <w:rsid w:val="00380DD2"/>
    <w:rsid w:val="0038142C"/>
    <w:rsid w:val="00381677"/>
    <w:rsid w:val="0038201B"/>
    <w:rsid w:val="0038245B"/>
    <w:rsid w:val="00382E84"/>
    <w:rsid w:val="00383021"/>
    <w:rsid w:val="003840EE"/>
    <w:rsid w:val="00384867"/>
    <w:rsid w:val="00384F24"/>
    <w:rsid w:val="0038538E"/>
    <w:rsid w:val="00385471"/>
    <w:rsid w:val="00385A22"/>
    <w:rsid w:val="0038605F"/>
    <w:rsid w:val="00386260"/>
    <w:rsid w:val="00386400"/>
    <w:rsid w:val="003866B7"/>
    <w:rsid w:val="003867DB"/>
    <w:rsid w:val="00386C01"/>
    <w:rsid w:val="00386C3B"/>
    <w:rsid w:val="00387202"/>
    <w:rsid w:val="003876AE"/>
    <w:rsid w:val="003901F3"/>
    <w:rsid w:val="00390F54"/>
    <w:rsid w:val="003917D9"/>
    <w:rsid w:val="0039268B"/>
    <w:rsid w:val="00392BFA"/>
    <w:rsid w:val="00392FDF"/>
    <w:rsid w:val="0039301C"/>
    <w:rsid w:val="003932E9"/>
    <w:rsid w:val="00393D26"/>
    <w:rsid w:val="00394348"/>
    <w:rsid w:val="0039542F"/>
    <w:rsid w:val="00395AD4"/>
    <w:rsid w:val="0039619B"/>
    <w:rsid w:val="00396CED"/>
    <w:rsid w:val="003975E0"/>
    <w:rsid w:val="00397857"/>
    <w:rsid w:val="00397B36"/>
    <w:rsid w:val="00397C4C"/>
    <w:rsid w:val="003A0029"/>
    <w:rsid w:val="003A0120"/>
    <w:rsid w:val="003A06AA"/>
    <w:rsid w:val="003A1888"/>
    <w:rsid w:val="003A240B"/>
    <w:rsid w:val="003A2487"/>
    <w:rsid w:val="003A2FD7"/>
    <w:rsid w:val="003A30E5"/>
    <w:rsid w:val="003A33EA"/>
    <w:rsid w:val="003A35AE"/>
    <w:rsid w:val="003A3966"/>
    <w:rsid w:val="003A3ECD"/>
    <w:rsid w:val="003A4572"/>
    <w:rsid w:val="003A462D"/>
    <w:rsid w:val="003A479C"/>
    <w:rsid w:val="003A4816"/>
    <w:rsid w:val="003A4BB5"/>
    <w:rsid w:val="003A4E9F"/>
    <w:rsid w:val="003A5F60"/>
    <w:rsid w:val="003A630D"/>
    <w:rsid w:val="003A66E1"/>
    <w:rsid w:val="003A6DD1"/>
    <w:rsid w:val="003A7065"/>
    <w:rsid w:val="003A7427"/>
    <w:rsid w:val="003A7885"/>
    <w:rsid w:val="003A7C18"/>
    <w:rsid w:val="003A7FC6"/>
    <w:rsid w:val="003B06AB"/>
    <w:rsid w:val="003B079F"/>
    <w:rsid w:val="003B0862"/>
    <w:rsid w:val="003B0E80"/>
    <w:rsid w:val="003B10DB"/>
    <w:rsid w:val="003B159C"/>
    <w:rsid w:val="003B1EFE"/>
    <w:rsid w:val="003B2195"/>
    <w:rsid w:val="003B2503"/>
    <w:rsid w:val="003B283E"/>
    <w:rsid w:val="003B293D"/>
    <w:rsid w:val="003B2A28"/>
    <w:rsid w:val="003B4703"/>
    <w:rsid w:val="003B4923"/>
    <w:rsid w:val="003B4D8D"/>
    <w:rsid w:val="003B55FD"/>
    <w:rsid w:val="003B5636"/>
    <w:rsid w:val="003B5821"/>
    <w:rsid w:val="003B6720"/>
    <w:rsid w:val="003B6E5D"/>
    <w:rsid w:val="003B71C7"/>
    <w:rsid w:val="003B7606"/>
    <w:rsid w:val="003B7703"/>
    <w:rsid w:val="003B7CFC"/>
    <w:rsid w:val="003C086F"/>
    <w:rsid w:val="003C08F1"/>
    <w:rsid w:val="003C25F7"/>
    <w:rsid w:val="003C290E"/>
    <w:rsid w:val="003C3282"/>
    <w:rsid w:val="003C3F5F"/>
    <w:rsid w:val="003C41BB"/>
    <w:rsid w:val="003C46A8"/>
    <w:rsid w:val="003C47AB"/>
    <w:rsid w:val="003C4910"/>
    <w:rsid w:val="003C4C27"/>
    <w:rsid w:val="003C5F9B"/>
    <w:rsid w:val="003C605A"/>
    <w:rsid w:val="003C616B"/>
    <w:rsid w:val="003C6553"/>
    <w:rsid w:val="003C7DB7"/>
    <w:rsid w:val="003D00FE"/>
    <w:rsid w:val="003D1469"/>
    <w:rsid w:val="003D1571"/>
    <w:rsid w:val="003D1605"/>
    <w:rsid w:val="003D175D"/>
    <w:rsid w:val="003D1817"/>
    <w:rsid w:val="003D1A68"/>
    <w:rsid w:val="003D240D"/>
    <w:rsid w:val="003D2DF5"/>
    <w:rsid w:val="003D394D"/>
    <w:rsid w:val="003D397F"/>
    <w:rsid w:val="003D4E1F"/>
    <w:rsid w:val="003D53CF"/>
    <w:rsid w:val="003D580D"/>
    <w:rsid w:val="003D628E"/>
    <w:rsid w:val="003D67A3"/>
    <w:rsid w:val="003D6E8B"/>
    <w:rsid w:val="003D7555"/>
    <w:rsid w:val="003D75BB"/>
    <w:rsid w:val="003D7979"/>
    <w:rsid w:val="003D7A10"/>
    <w:rsid w:val="003E049B"/>
    <w:rsid w:val="003E057A"/>
    <w:rsid w:val="003E0A1A"/>
    <w:rsid w:val="003E0E97"/>
    <w:rsid w:val="003E1DF7"/>
    <w:rsid w:val="003E2029"/>
    <w:rsid w:val="003E22E2"/>
    <w:rsid w:val="003E238D"/>
    <w:rsid w:val="003E2A76"/>
    <w:rsid w:val="003E2CFF"/>
    <w:rsid w:val="003E34A8"/>
    <w:rsid w:val="003E3873"/>
    <w:rsid w:val="003E3B03"/>
    <w:rsid w:val="003E478D"/>
    <w:rsid w:val="003E4999"/>
    <w:rsid w:val="003E4BC5"/>
    <w:rsid w:val="003E514F"/>
    <w:rsid w:val="003E5214"/>
    <w:rsid w:val="003E54FB"/>
    <w:rsid w:val="003E5AD0"/>
    <w:rsid w:val="003E5DE7"/>
    <w:rsid w:val="003E5EC9"/>
    <w:rsid w:val="003E6300"/>
    <w:rsid w:val="003E6350"/>
    <w:rsid w:val="003E65C2"/>
    <w:rsid w:val="003E6BF6"/>
    <w:rsid w:val="003E6F9F"/>
    <w:rsid w:val="003E74E3"/>
    <w:rsid w:val="003E7597"/>
    <w:rsid w:val="003E7821"/>
    <w:rsid w:val="003E7E51"/>
    <w:rsid w:val="003F0394"/>
    <w:rsid w:val="003F039F"/>
    <w:rsid w:val="003F03F3"/>
    <w:rsid w:val="003F0400"/>
    <w:rsid w:val="003F1582"/>
    <w:rsid w:val="003F17CE"/>
    <w:rsid w:val="003F2110"/>
    <w:rsid w:val="003F21E2"/>
    <w:rsid w:val="003F3203"/>
    <w:rsid w:val="003F378B"/>
    <w:rsid w:val="003F384F"/>
    <w:rsid w:val="003F3E34"/>
    <w:rsid w:val="003F44B7"/>
    <w:rsid w:val="003F471D"/>
    <w:rsid w:val="003F4A52"/>
    <w:rsid w:val="003F4A70"/>
    <w:rsid w:val="003F4CEE"/>
    <w:rsid w:val="003F52B3"/>
    <w:rsid w:val="003F559F"/>
    <w:rsid w:val="003F5A98"/>
    <w:rsid w:val="003F5CC5"/>
    <w:rsid w:val="003F5FF0"/>
    <w:rsid w:val="003F6375"/>
    <w:rsid w:val="003F688E"/>
    <w:rsid w:val="003F6C4E"/>
    <w:rsid w:val="003F717E"/>
    <w:rsid w:val="003F7E8A"/>
    <w:rsid w:val="003F7F59"/>
    <w:rsid w:val="0040009F"/>
    <w:rsid w:val="0040041F"/>
    <w:rsid w:val="0040070F"/>
    <w:rsid w:val="00400759"/>
    <w:rsid w:val="00400892"/>
    <w:rsid w:val="00401240"/>
    <w:rsid w:val="00401437"/>
    <w:rsid w:val="00401F37"/>
    <w:rsid w:val="004025AB"/>
    <w:rsid w:val="0040271E"/>
    <w:rsid w:val="004027DE"/>
    <w:rsid w:val="00402E90"/>
    <w:rsid w:val="00403A02"/>
    <w:rsid w:val="00404148"/>
    <w:rsid w:val="00404247"/>
    <w:rsid w:val="0040475A"/>
    <w:rsid w:val="00404AF0"/>
    <w:rsid w:val="0040556A"/>
    <w:rsid w:val="00405618"/>
    <w:rsid w:val="00405635"/>
    <w:rsid w:val="0040573A"/>
    <w:rsid w:val="00405830"/>
    <w:rsid w:val="00406307"/>
    <w:rsid w:val="00407237"/>
    <w:rsid w:val="00407327"/>
    <w:rsid w:val="0040797A"/>
    <w:rsid w:val="00407D65"/>
    <w:rsid w:val="00407FDC"/>
    <w:rsid w:val="004103B3"/>
    <w:rsid w:val="00410489"/>
    <w:rsid w:val="00410D3D"/>
    <w:rsid w:val="00411323"/>
    <w:rsid w:val="00411C11"/>
    <w:rsid w:val="00412193"/>
    <w:rsid w:val="00412513"/>
    <w:rsid w:val="00412834"/>
    <w:rsid w:val="00412F24"/>
    <w:rsid w:val="00413C31"/>
    <w:rsid w:val="00414AD4"/>
    <w:rsid w:val="00414B16"/>
    <w:rsid w:val="00415A3B"/>
    <w:rsid w:val="004160E6"/>
    <w:rsid w:val="0041641E"/>
    <w:rsid w:val="00416579"/>
    <w:rsid w:val="0041693F"/>
    <w:rsid w:val="0042069F"/>
    <w:rsid w:val="00420737"/>
    <w:rsid w:val="0042143C"/>
    <w:rsid w:val="004216DB"/>
    <w:rsid w:val="00421725"/>
    <w:rsid w:val="0042193E"/>
    <w:rsid w:val="004220EB"/>
    <w:rsid w:val="00423239"/>
    <w:rsid w:val="004238BF"/>
    <w:rsid w:val="00424367"/>
    <w:rsid w:val="00424A44"/>
    <w:rsid w:val="0042502D"/>
    <w:rsid w:val="0042535D"/>
    <w:rsid w:val="004255E8"/>
    <w:rsid w:val="0042565B"/>
    <w:rsid w:val="004259F5"/>
    <w:rsid w:val="00425B5C"/>
    <w:rsid w:val="00425BDF"/>
    <w:rsid w:val="0042616F"/>
    <w:rsid w:val="0042624E"/>
    <w:rsid w:val="0042642A"/>
    <w:rsid w:val="00426B54"/>
    <w:rsid w:val="0042758D"/>
    <w:rsid w:val="00427B46"/>
    <w:rsid w:val="00427C26"/>
    <w:rsid w:val="00427D80"/>
    <w:rsid w:val="00427EFC"/>
    <w:rsid w:val="0043027D"/>
    <w:rsid w:val="00431262"/>
    <w:rsid w:val="00431416"/>
    <w:rsid w:val="00431472"/>
    <w:rsid w:val="004319FC"/>
    <w:rsid w:val="00431A67"/>
    <w:rsid w:val="00431D56"/>
    <w:rsid w:val="00432117"/>
    <w:rsid w:val="0043229E"/>
    <w:rsid w:val="004324DC"/>
    <w:rsid w:val="00432AC7"/>
    <w:rsid w:val="00433326"/>
    <w:rsid w:val="004334C2"/>
    <w:rsid w:val="0043398F"/>
    <w:rsid w:val="00433DE4"/>
    <w:rsid w:val="00434343"/>
    <w:rsid w:val="004344A8"/>
    <w:rsid w:val="00434BE9"/>
    <w:rsid w:val="0043585F"/>
    <w:rsid w:val="00435D11"/>
    <w:rsid w:val="004366FF"/>
    <w:rsid w:val="00437291"/>
    <w:rsid w:val="00437849"/>
    <w:rsid w:val="00437B8E"/>
    <w:rsid w:val="00437F77"/>
    <w:rsid w:val="00437FD0"/>
    <w:rsid w:val="004400E4"/>
    <w:rsid w:val="0044010D"/>
    <w:rsid w:val="00440BC4"/>
    <w:rsid w:val="00440F39"/>
    <w:rsid w:val="004414C4"/>
    <w:rsid w:val="0044283D"/>
    <w:rsid w:val="00442D54"/>
    <w:rsid w:val="00442F96"/>
    <w:rsid w:val="0044330A"/>
    <w:rsid w:val="00443868"/>
    <w:rsid w:val="0044478E"/>
    <w:rsid w:val="00445286"/>
    <w:rsid w:val="0044531F"/>
    <w:rsid w:val="00445D5C"/>
    <w:rsid w:val="00445FCE"/>
    <w:rsid w:val="004461D8"/>
    <w:rsid w:val="00446387"/>
    <w:rsid w:val="00446906"/>
    <w:rsid w:val="00446A8E"/>
    <w:rsid w:val="004471C5"/>
    <w:rsid w:val="0044720C"/>
    <w:rsid w:val="004474CB"/>
    <w:rsid w:val="004478F0"/>
    <w:rsid w:val="0044790F"/>
    <w:rsid w:val="00447A49"/>
    <w:rsid w:val="00447AA3"/>
    <w:rsid w:val="00447FF8"/>
    <w:rsid w:val="00450084"/>
    <w:rsid w:val="00450367"/>
    <w:rsid w:val="00450908"/>
    <w:rsid w:val="00450F40"/>
    <w:rsid w:val="004512FB"/>
    <w:rsid w:val="00451650"/>
    <w:rsid w:val="0045220F"/>
    <w:rsid w:val="004523B6"/>
    <w:rsid w:val="004525B3"/>
    <w:rsid w:val="00452A03"/>
    <w:rsid w:val="00452D44"/>
    <w:rsid w:val="0045325A"/>
    <w:rsid w:val="004532A8"/>
    <w:rsid w:val="00453749"/>
    <w:rsid w:val="00453CAB"/>
    <w:rsid w:val="00453E68"/>
    <w:rsid w:val="00454223"/>
    <w:rsid w:val="004544D5"/>
    <w:rsid w:val="004546B6"/>
    <w:rsid w:val="00454865"/>
    <w:rsid w:val="00454A5E"/>
    <w:rsid w:val="00455AA3"/>
    <w:rsid w:val="004560C7"/>
    <w:rsid w:val="004560E9"/>
    <w:rsid w:val="0045636D"/>
    <w:rsid w:val="00456776"/>
    <w:rsid w:val="0045738F"/>
    <w:rsid w:val="00457C10"/>
    <w:rsid w:val="0046088F"/>
    <w:rsid w:val="004608E0"/>
    <w:rsid w:val="004614CF"/>
    <w:rsid w:val="00461C07"/>
    <w:rsid w:val="0046255D"/>
    <w:rsid w:val="00462B38"/>
    <w:rsid w:val="00462CEF"/>
    <w:rsid w:val="00463170"/>
    <w:rsid w:val="00463335"/>
    <w:rsid w:val="00463ED8"/>
    <w:rsid w:val="0046409B"/>
    <w:rsid w:val="004640AA"/>
    <w:rsid w:val="004641E9"/>
    <w:rsid w:val="0046452B"/>
    <w:rsid w:val="004646A5"/>
    <w:rsid w:val="00464AB1"/>
    <w:rsid w:val="004652EB"/>
    <w:rsid w:val="00465ADC"/>
    <w:rsid w:val="004660A7"/>
    <w:rsid w:val="004661A8"/>
    <w:rsid w:val="004666B0"/>
    <w:rsid w:val="004676CA"/>
    <w:rsid w:val="00467DFA"/>
    <w:rsid w:val="00467F93"/>
    <w:rsid w:val="004705A6"/>
    <w:rsid w:val="0047076F"/>
    <w:rsid w:val="00470BF9"/>
    <w:rsid w:val="00471074"/>
    <w:rsid w:val="00471436"/>
    <w:rsid w:val="0047154D"/>
    <w:rsid w:val="004718B7"/>
    <w:rsid w:val="004719C3"/>
    <w:rsid w:val="0047279E"/>
    <w:rsid w:val="0047299F"/>
    <w:rsid w:val="00472B22"/>
    <w:rsid w:val="00472C1F"/>
    <w:rsid w:val="0047319B"/>
    <w:rsid w:val="00473242"/>
    <w:rsid w:val="004736C0"/>
    <w:rsid w:val="00473F3F"/>
    <w:rsid w:val="004751EA"/>
    <w:rsid w:val="004770D2"/>
    <w:rsid w:val="004776F9"/>
    <w:rsid w:val="00480D10"/>
    <w:rsid w:val="00481693"/>
    <w:rsid w:val="00482169"/>
    <w:rsid w:val="00482223"/>
    <w:rsid w:val="004825AF"/>
    <w:rsid w:val="0048270A"/>
    <w:rsid w:val="00482FDB"/>
    <w:rsid w:val="00483552"/>
    <w:rsid w:val="00484550"/>
    <w:rsid w:val="0048473F"/>
    <w:rsid w:val="004849AD"/>
    <w:rsid w:val="00484B1F"/>
    <w:rsid w:val="00484E94"/>
    <w:rsid w:val="00485374"/>
    <w:rsid w:val="00485866"/>
    <w:rsid w:val="00485D7C"/>
    <w:rsid w:val="0048659F"/>
    <w:rsid w:val="00486A44"/>
    <w:rsid w:val="00486A4A"/>
    <w:rsid w:val="00486E89"/>
    <w:rsid w:val="00486FCC"/>
    <w:rsid w:val="00487D23"/>
    <w:rsid w:val="00487DEA"/>
    <w:rsid w:val="004905CA"/>
    <w:rsid w:val="00490CE1"/>
    <w:rsid w:val="00491638"/>
    <w:rsid w:val="00491D67"/>
    <w:rsid w:val="0049239A"/>
    <w:rsid w:val="00492C44"/>
    <w:rsid w:val="004937C5"/>
    <w:rsid w:val="00493BFB"/>
    <w:rsid w:val="00493CC2"/>
    <w:rsid w:val="00494208"/>
    <w:rsid w:val="004946B7"/>
    <w:rsid w:val="00495062"/>
    <w:rsid w:val="004951F2"/>
    <w:rsid w:val="00495217"/>
    <w:rsid w:val="004954A0"/>
    <w:rsid w:val="00495646"/>
    <w:rsid w:val="0049628C"/>
    <w:rsid w:val="004966BA"/>
    <w:rsid w:val="0049680F"/>
    <w:rsid w:val="00496B3A"/>
    <w:rsid w:val="00496B95"/>
    <w:rsid w:val="00496E70"/>
    <w:rsid w:val="00497E28"/>
    <w:rsid w:val="00497E58"/>
    <w:rsid w:val="004A0EE8"/>
    <w:rsid w:val="004A12E3"/>
    <w:rsid w:val="004A1C2E"/>
    <w:rsid w:val="004A1F43"/>
    <w:rsid w:val="004A2701"/>
    <w:rsid w:val="004A2934"/>
    <w:rsid w:val="004A29F9"/>
    <w:rsid w:val="004A2A5B"/>
    <w:rsid w:val="004A3F90"/>
    <w:rsid w:val="004A4284"/>
    <w:rsid w:val="004A4B83"/>
    <w:rsid w:val="004A4D09"/>
    <w:rsid w:val="004A548E"/>
    <w:rsid w:val="004A5E01"/>
    <w:rsid w:val="004A6017"/>
    <w:rsid w:val="004A69EB"/>
    <w:rsid w:val="004A72C4"/>
    <w:rsid w:val="004A7340"/>
    <w:rsid w:val="004A7C5E"/>
    <w:rsid w:val="004A7D66"/>
    <w:rsid w:val="004A7DA9"/>
    <w:rsid w:val="004B02DD"/>
    <w:rsid w:val="004B0347"/>
    <w:rsid w:val="004B07B7"/>
    <w:rsid w:val="004B08FD"/>
    <w:rsid w:val="004B1502"/>
    <w:rsid w:val="004B15D9"/>
    <w:rsid w:val="004B1826"/>
    <w:rsid w:val="004B1BCC"/>
    <w:rsid w:val="004B22AF"/>
    <w:rsid w:val="004B35FE"/>
    <w:rsid w:val="004B380B"/>
    <w:rsid w:val="004B3EF0"/>
    <w:rsid w:val="004B3FD3"/>
    <w:rsid w:val="004B44A9"/>
    <w:rsid w:val="004B44FA"/>
    <w:rsid w:val="004B48A2"/>
    <w:rsid w:val="004B4B31"/>
    <w:rsid w:val="004B4B8C"/>
    <w:rsid w:val="004B50F1"/>
    <w:rsid w:val="004B5582"/>
    <w:rsid w:val="004B57C7"/>
    <w:rsid w:val="004B68B3"/>
    <w:rsid w:val="004B7010"/>
    <w:rsid w:val="004B77D6"/>
    <w:rsid w:val="004B7C6E"/>
    <w:rsid w:val="004C0245"/>
    <w:rsid w:val="004C0E74"/>
    <w:rsid w:val="004C13B7"/>
    <w:rsid w:val="004C1624"/>
    <w:rsid w:val="004C1636"/>
    <w:rsid w:val="004C167A"/>
    <w:rsid w:val="004C16B5"/>
    <w:rsid w:val="004C23C6"/>
    <w:rsid w:val="004C25B2"/>
    <w:rsid w:val="004C25D1"/>
    <w:rsid w:val="004C295F"/>
    <w:rsid w:val="004C2AEB"/>
    <w:rsid w:val="004C4DC1"/>
    <w:rsid w:val="004C4F1B"/>
    <w:rsid w:val="004C52DF"/>
    <w:rsid w:val="004C5301"/>
    <w:rsid w:val="004C59C2"/>
    <w:rsid w:val="004C693B"/>
    <w:rsid w:val="004C6D0F"/>
    <w:rsid w:val="004C6E0C"/>
    <w:rsid w:val="004C74F3"/>
    <w:rsid w:val="004C7AC0"/>
    <w:rsid w:val="004C7E23"/>
    <w:rsid w:val="004D02A8"/>
    <w:rsid w:val="004D0B53"/>
    <w:rsid w:val="004D131B"/>
    <w:rsid w:val="004D1502"/>
    <w:rsid w:val="004D156C"/>
    <w:rsid w:val="004D1C61"/>
    <w:rsid w:val="004D1E09"/>
    <w:rsid w:val="004D273E"/>
    <w:rsid w:val="004D31C3"/>
    <w:rsid w:val="004D37B4"/>
    <w:rsid w:val="004D37DA"/>
    <w:rsid w:val="004D3C15"/>
    <w:rsid w:val="004D3C33"/>
    <w:rsid w:val="004D40D9"/>
    <w:rsid w:val="004D426B"/>
    <w:rsid w:val="004D4343"/>
    <w:rsid w:val="004D4870"/>
    <w:rsid w:val="004D4B1A"/>
    <w:rsid w:val="004D520B"/>
    <w:rsid w:val="004D52C8"/>
    <w:rsid w:val="004D53B1"/>
    <w:rsid w:val="004D54B1"/>
    <w:rsid w:val="004D56B2"/>
    <w:rsid w:val="004D58EC"/>
    <w:rsid w:val="004D5EBC"/>
    <w:rsid w:val="004D6284"/>
    <w:rsid w:val="004D7558"/>
    <w:rsid w:val="004D78E7"/>
    <w:rsid w:val="004D78FD"/>
    <w:rsid w:val="004D79D9"/>
    <w:rsid w:val="004D7B83"/>
    <w:rsid w:val="004D7C47"/>
    <w:rsid w:val="004E005A"/>
    <w:rsid w:val="004E0724"/>
    <w:rsid w:val="004E0847"/>
    <w:rsid w:val="004E0F16"/>
    <w:rsid w:val="004E0F4C"/>
    <w:rsid w:val="004E126B"/>
    <w:rsid w:val="004E17E2"/>
    <w:rsid w:val="004E2824"/>
    <w:rsid w:val="004E2F34"/>
    <w:rsid w:val="004E4098"/>
    <w:rsid w:val="004E485A"/>
    <w:rsid w:val="004E48D2"/>
    <w:rsid w:val="004E48E5"/>
    <w:rsid w:val="004E4956"/>
    <w:rsid w:val="004E52A5"/>
    <w:rsid w:val="004E63BE"/>
    <w:rsid w:val="004E6475"/>
    <w:rsid w:val="004E6C2A"/>
    <w:rsid w:val="004E6E73"/>
    <w:rsid w:val="004E70FD"/>
    <w:rsid w:val="004E7836"/>
    <w:rsid w:val="004E7988"/>
    <w:rsid w:val="004F04AE"/>
    <w:rsid w:val="004F0CF0"/>
    <w:rsid w:val="004F1147"/>
    <w:rsid w:val="004F162A"/>
    <w:rsid w:val="004F18A9"/>
    <w:rsid w:val="004F1CF2"/>
    <w:rsid w:val="004F2028"/>
    <w:rsid w:val="004F20D4"/>
    <w:rsid w:val="004F23C1"/>
    <w:rsid w:val="004F3474"/>
    <w:rsid w:val="004F3500"/>
    <w:rsid w:val="004F38BA"/>
    <w:rsid w:val="004F4219"/>
    <w:rsid w:val="004F4536"/>
    <w:rsid w:val="004F4982"/>
    <w:rsid w:val="004F4F87"/>
    <w:rsid w:val="004F577D"/>
    <w:rsid w:val="004F57BC"/>
    <w:rsid w:val="004F59F7"/>
    <w:rsid w:val="004F5DF1"/>
    <w:rsid w:val="004F5F73"/>
    <w:rsid w:val="004F7420"/>
    <w:rsid w:val="004F79D7"/>
    <w:rsid w:val="004F7C4D"/>
    <w:rsid w:val="00500353"/>
    <w:rsid w:val="00500D6A"/>
    <w:rsid w:val="00501324"/>
    <w:rsid w:val="005013FF"/>
    <w:rsid w:val="00501662"/>
    <w:rsid w:val="005016B2"/>
    <w:rsid w:val="00502A2D"/>
    <w:rsid w:val="00502D4E"/>
    <w:rsid w:val="0050326E"/>
    <w:rsid w:val="00503BE2"/>
    <w:rsid w:val="005043B5"/>
    <w:rsid w:val="005048E1"/>
    <w:rsid w:val="00504E6D"/>
    <w:rsid w:val="005050E0"/>
    <w:rsid w:val="005052B7"/>
    <w:rsid w:val="005055BE"/>
    <w:rsid w:val="005055D1"/>
    <w:rsid w:val="005056E3"/>
    <w:rsid w:val="00505873"/>
    <w:rsid w:val="005060E6"/>
    <w:rsid w:val="00506226"/>
    <w:rsid w:val="00506510"/>
    <w:rsid w:val="0050659A"/>
    <w:rsid w:val="00506BB1"/>
    <w:rsid w:val="00506D96"/>
    <w:rsid w:val="00506DB5"/>
    <w:rsid w:val="00506F57"/>
    <w:rsid w:val="00507330"/>
    <w:rsid w:val="00507BB1"/>
    <w:rsid w:val="00507D98"/>
    <w:rsid w:val="00507FEC"/>
    <w:rsid w:val="00510087"/>
    <w:rsid w:val="0051034F"/>
    <w:rsid w:val="005105B2"/>
    <w:rsid w:val="0051085C"/>
    <w:rsid w:val="00510B62"/>
    <w:rsid w:val="005114ED"/>
    <w:rsid w:val="005115C9"/>
    <w:rsid w:val="005116ED"/>
    <w:rsid w:val="0051171E"/>
    <w:rsid w:val="005120D4"/>
    <w:rsid w:val="00512A97"/>
    <w:rsid w:val="00513357"/>
    <w:rsid w:val="005139C0"/>
    <w:rsid w:val="00514224"/>
    <w:rsid w:val="00514363"/>
    <w:rsid w:val="00514B36"/>
    <w:rsid w:val="00514E2E"/>
    <w:rsid w:val="0051569E"/>
    <w:rsid w:val="0051597E"/>
    <w:rsid w:val="00516031"/>
    <w:rsid w:val="005164BD"/>
    <w:rsid w:val="00516602"/>
    <w:rsid w:val="005170E0"/>
    <w:rsid w:val="0051720D"/>
    <w:rsid w:val="005178A3"/>
    <w:rsid w:val="00517A9E"/>
    <w:rsid w:val="00517CEA"/>
    <w:rsid w:val="00517E84"/>
    <w:rsid w:val="00517EAD"/>
    <w:rsid w:val="00517FBB"/>
    <w:rsid w:val="00520951"/>
    <w:rsid w:val="00520DB8"/>
    <w:rsid w:val="005212A9"/>
    <w:rsid w:val="00521397"/>
    <w:rsid w:val="005213C3"/>
    <w:rsid w:val="0052151D"/>
    <w:rsid w:val="00521A81"/>
    <w:rsid w:val="005224FF"/>
    <w:rsid w:val="005228A3"/>
    <w:rsid w:val="00523038"/>
    <w:rsid w:val="0052308E"/>
    <w:rsid w:val="00523138"/>
    <w:rsid w:val="00523FA5"/>
    <w:rsid w:val="005241D4"/>
    <w:rsid w:val="005244FB"/>
    <w:rsid w:val="00524E33"/>
    <w:rsid w:val="005250BE"/>
    <w:rsid w:val="00525675"/>
    <w:rsid w:val="00525888"/>
    <w:rsid w:val="00525E9A"/>
    <w:rsid w:val="00526050"/>
    <w:rsid w:val="00526F3A"/>
    <w:rsid w:val="00527FDD"/>
    <w:rsid w:val="0053004A"/>
    <w:rsid w:val="00530170"/>
    <w:rsid w:val="005301ED"/>
    <w:rsid w:val="005313FD"/>
    <w:rsid w:val="005315D6"/>
    <w:rsid w:val="00531644"/>
    <w:rsid w:val="00531FE4"/>
    <w:rsid w:val="0053216C"/>
    <w:rsid w:val="005321DA"/>
    <w:rsid w:val="00532BA4"/>
    <w:rsid w:val="00532DE0"/>
    <w:rsid w:val="00533362"/>
    <w:rsid w:val="005347B5"/>
    <w:rsid w:val="00534B33"/>
    <w:rsid w:val="0053690D"/>
    <w:rsid w:val="00537023"/>
    <w:rsid w:val="0053704A"/>
    <w:rsid w:val="00537549"/>
    <w:rsid w:val="00537925"/>
    <w:rsid w:val="00540148"/>
    <w:rsid w:val="00540A43"/>
    <w:rsid w:val="00540DA1"/>
    <w:rsid w:val="00541418"/>
    <w:rsid w:val="005414B6"/>
    <w:rsid w:val="00541AE9"/>
    <w:rsid w:val="00542E54"/>
    <w:rsid w:val="00543829"/>
    <w:rsid w:val="0054383A"/>
    <w:rsid w:val="00543E45"/>
    <w:rsid w:val="0054421D"/>
    <w:rsid w:val="005446A3"/>
    <w:rsid w:val="00544D8B"/>
    <w:rsid w:val="00544E0A"/>
    <w:rsid w:val="00545007"/>
    <w:rsid w:val="005455B7"/>
    <w:rsid w:val="005458A4"/>
    <w:rsid w:val="0054597C"/>
    <w:rsid w:val="00545B0F"/>
    <w:rsid w:val="00545EDD"/>
    <w:rsid w:val="00546483"/>
    <w:rsid w:val="005470F5"/>
    <w:rsid w:val="0054794B"/>
    <w:rsid w:val="00550587"/>
    <w:rsid w:val="005513AC"/>
    <w:rsid w:val="00551B27"/>
    <w:rsid w:val="005522AD"/>
    <w:rsid w:val="0055351E"/>
    <w:rsid w:val="0055386D"/>
    <w:rsid w:val="00554200"/>
    <w:rsid w:val="00554451"/>
    <w:rsid w:val="00554495"/>
    <w:rsid w:val="005550C0"/>
    <w:rsid w:val="00555A88"/>
    <w:rsid w:val="005561ED"/>
    <w:rsid w:val="00556333"/>
    <w:rsid w:val="00556E49"/>
    <w:rsid w:val="00556FE0"/>
    <w:rsid w:val="0055765E"/>
    <w:rsid w:val="00557F6D"/>
    <w:rsid w:val="005601F5"/>
    <w:rsid w:val="005609A6"/>
    <w:rsid w:val="005611A2"/>
    <w:rsid w:val="00561376"/>
    <w:rsid w:val="005618DE"/>
    <w:rsid w:val="00561D33"/>
    <w:rsid w:val="00561DCC"/>
    <w:rsid w:val="00561F8F"/>
    <w:rsid w:val="0056254C"/>
    <w:rsid w:val="0056270F"/>
    <w:rsid w:val="0056293B"/>
    <w:rsid w:val="005641DE"/>
    <w:rsid w:val="005647A8"/>
    <w:rsid w:val="00564A3C"/>
    <w:rsid w:val="00564BE8"/>
    <w:rsid w:val="00565006"/>
    <w:rsid w:val="00565294"/>
    <w:rsid w:val="005654F6"/>
    <w:rsid w:val="00565CD8"/>
    <w:rsid w:val="00565F46"/>
    <w:rsid w:val="005660FA"/>
    <w:rsid w:val="00566857"/>
    <w:rsid w:val="005668B8"/>
    <w:rsid w:val="00566EF6"/>
    <w:rsid w:val="0056717C"/>
    <w:rsid w:val="00567187"/>
    <w:rsid w:val="0056777D"/>
    <w:rsid w:val="005706B9"/>
    <w:rsid w:val="00570DB0"/>
    <w:rsid w:val="00571451"/>
    <w:rsid w:val="005720BF"/>
    <w:rsid w:val="00572252"/>
    <w:rsid w:val="005730ED"/>
    <w:rsid w:val="005734C9"/>
    <w:rsid w:val="005737DD"/>
    <w:rsid w:val="00573857"/>
    <w:rsid w:val="00573906"/>
    <w:rsid w:val="005748E5"/>
    <w:rsid w:val="00574D61"/>
    <w:rsid w:val="005750A2"/>
    <w:rsid w:val="005755DB"/>
    <w:rsid w:val="005755E6"/>
    <w:rsid w:val="00576204"/>
    <w:rsid w:val="0057624F"/>
    <w:rsid w:val="00576459"/>
    <w:rsid w:val="00576E93"/>
    <w:rsid w:val="0057745E"/>
    <w:rsid w:val="0057778D"/>
    <w:rsid w:val="00577FFE"/>
    <w:rsid w:val="0058026F"/>
    <w:rsid w:val="00580728"/>
    <w:rsid w:val="00581070"/>
    <w:rsid w:val="00581892"/>
    <w:rsid w:val="00581EBA"/>
    <w:rsid w:val="0058271E"/>
    <w:rsid w:val="00582C69"/>
    <w:rsid w:val="0058348F"/>
    <w:rsid w:val="005834B5"/>
    <w:rsid w:val="00583517"/>
    <w:rsid w:val="005837EC"/>
    <w:rsid w:val="00583A35"/>
    <w:rsid w:val="00585197"/>
    <w:rsid w:val="00586507"/>
    <w:rsid w:val="00586D17"/>
    <w:rsid w:val="00587878"/>
    <w:rsid w:val="00590537"/>
    <w:rsid w:val="0059060E"/>
    <w:rsid w:val="00590647"/>
    <w:rsid w:val="00591277"/>
    <w:rsid w:val="00591909"/>
    <w:rsid w:val="00591DF4"/>
    <w:rsid w:val="0059296C"/>
    <w:rsid w:val="00592D9B"/>
    <w:rsid w:val="00593070"/>
    <w:rsid w:val="0059340A"/>
    <w:rsid w:val="005938D8"/>
    <w:rsid w:val="005959E5"/>
    <w:rsid w:val="00595E64"/>
    <w:rsid w:val="00596184"/>
    <w:rsid w:val="005963E1"/>
    <w:rsid w:val="00596455"/>
    <w:rsid w:val="00596DF8"/>
    <w:rsid w:val="005970A3"/>
    <w:rsid w:val="00597B29"/>
    <w:rsid w:val="00597EC1"/>
    <w:rsid w:val="005A091A"/>
    <w:rsid w:val="005A093E"/>
    <w:rsid w:val="005A0E85"/>
    <w:rsid w:val="005A11A9"/>
    <w:rsid w:val="005A1D22"/>
    <w:rsid w:val="005A1ED4"/>
    <w:rsid w:val="005A28C5"/>
    <w:rsid w:val="005A2F71"/>
    <w:rsid w:val="005A3377"/>
    <w:rsid w:val="005A53F1"/>
    <w:rsid w:val="005A55CD"/>
    <w:rsid w:val="005A5733"/>
    <w:rsid w:val="005A5B06"/>
    <w:rsid w:val="005A5DA8"/>
    <w:rsid w:val="005A6B89"/>
    <w:rsid w:val="005A723C"/>
    <w:rsid w:val="005A730C"/>
    <w:rsid w:val="005A762A"/>
    <w:rsid w:val="005B004E"/>
    <w:rsid w:val="005B010C"/>
    <w:rsid w:val="005B011F"/>
    <w:rsid w:val="005B086F"/>
    <w:rsid w:val="005B091E"/>
    <w:rsid w:val="005B0AF6"/>
    <w:rsid w:val="005B1852"/>
    <w:rsid w:val="005B22C9"/>
    <w:rsid w:val="005B2513"/>
    <w:rsid w:val="005B25C8"/>
    <w:rsid w:val="005B271C"/>
    <w:rsid w:val="005B30C5"/>
    <w:rsid w:val="005B3972"/>
    <w:rsid w:val="005B46C3"/>
    <w:rsid w:val="005B4B95"/>
    <w:rsid w:val="005B4CF1"/>
    <w:rsid w:val="005B5164"/>
    <w:rsid w:val="005B61EA"/>
    <w:rsid w:val="005B7478"/>
    <w:rsid w:val="005B7723"/>
    <w:rsid w:val="005C0207"/>
    <w:rsid w:val="005C06DD"/>
    <w:rsid w:val="005C17AC"/>
    <w:rsid w:val="005C1833"/>
    <w:rsid w:val="005C2227"/>
    <w:rsid w:val="005C255D"/>
    <w:rsid w:val="005C25D3"/>
    <w:rsid w:val="005C2995"/>
    <w:rsid w:val="005C2C37"/>
    <w:rsid w:val="005C3173"/>
    <w:rsid w:val="005C3E30"/>
    <w:rsid w:val="005C3F9A"/>
    <w:rsid w:val="005C4211"/>
    <w:rsid w:val="005C44DF"/>
    <w:rsid w:val="005C4891"/>
    <w:rsid w:val="005C5017"/>
    <w:rsid w:val="005C55C3"/>
    <w:rsid w:val="005C5CAD"/>
    <w:rsid w:val="005C5D6F"/>
    <w:rsid w:val="005C61D1"/>
    <w:rsid w:val="005C733E"/>
    <w:rsid w:val="005C7D39"/>
    <w:rsid w:val="005D037F"/>
    <w:rsid w:val="005D10B3"/>
    <w:rsid w:val="005D150A"/>
    <w:rsid w:val="005D16D1"/>
    <w:rsid w:val="005D1B68"/>
    <w:rsid w:val="005D1E30"/>
    <w:rsid w:val="005D23CF"/>
    <w:rsid w:val="005D2410"/>
    <w:rsid w:val="005D257D"/>
    <w:rsid w:val="005D2A99"/>
    <w:rsid w:val="005D2AB9"/>
    <w:rsid w:val="005D2D08"/>
    <w:rsid w:val="005D2DD5"/>
    <w:rsid w:val="005D2E91"/>
    <w:rsid w:val="005D2EDB"/>
    <w:rsid w:val="005D2EEA"/>
    <w:rsid w:val="005D2F06"/>
    <w:rsid w:val="005D33B8"/>
    <w:rsid w:val="005D346C"/>
    <w:rsid w:val="005D47B4"/>
    <w:rsid w:val="005D4B45"/>
    <w:rsid w:val="005D5242"/>
    <w:rsid w:val="005D5268"/>
    <w:rsid w:val="005D52B0"/>
    <w:rsid w:val="005D5ED0"/>
    <w:rsid w:val="005D6685"/>
    <w:rsid w:val="005D692C"/>
    <w:rsid w:val="005D7FA1"/>
    <w:rsid w:val="005E0121"/>
    <w:rsid w:val="005E064F"/>
    <w:rsid w:val="005E0BAE"/>
    <w:rsid w:val="005E1089"/>
    <w:rsid w:val="005E121F"/>
    <w:rsid w:val="005E1345"/>
    <w:rsid w:val="005E142D"/>
    <w:rsid w:val="005E153A"/>
    <w:rsid w:val="005E1578"/>
    <w:rsid w:val="005E15AC"/>
    <w:rsid w:val="005E15DD"/>
    <w:rsid w:val="005E1672"/>
    <w:rsid w:val="005E32FB"/>
    <w:rsid w:val="005E3AE4"/>
    <w:rsid w:val="005E3D09"/>
    <w:rsid w:val="005E4071"/>
    <w:rsid w:val="005E4089"/>
    <w:rsid w:val="005E4D8E"/>
    <w:rsid w:val="005E54BE"/>
    <w:rsid w:val="005E5E1E"/>
    <w:rsid w:val="005E61AD"/>
    <w:rsid w:val="005E669B"/>
    <w:rsid w:val="005E6C1E"/>
    <w:rsid w:val="005E6F65"/>
    <w:rsid w:val="005E703B"/>
    <w:rsid w:val="005E71F1"/>
    <w:rsid w:val="005E7AF2"/>
    <w:rsid w:val="005E7F39"/>
    <w:rsid w:val="005F03A9"/>
    <w:rsid w:val="005F0594"/>
    <w:rsid w:val="005F0AAC"/>
    <w:rsid w:val="005F1ECE"/>
    <w:rsid w:val="005F22DB"/>
    <w:rsid w:val="005F357B"/>
    <w:rsid w:val="005F383B"/>
    <w:rsid w:val="005F4632"/>
    <w:rsid w:val="005F46A8"/>
    <w:rsid w:val="005F4C7F"/>
    <w:rsid w:val="005F4E4B"/>
    <w:rsid w:val="005F4FF4"/>
    <w:rsid w:val="005F603C"/>
    <w:rsid w:val="005F60F4"/>
    <w:rsid w:val="005F68F4"/>
    <w:rsid w:val="005F748E"/>
    <w:rsid w:val="005F74FC"/>
    <w:rsid w:val="006000AC"/>
    <w:rsid w:val="00600A57"/>
    <w:rsid w:val="00600CEA"/>
    <w:rsid w:val="0060206E"/>
    <w:rsid w:val="00602472"/>
    <w:rsid w:val="0060249B"/>
    <w:rsid w:val="0060341A"/>
    <w:rsid w:val="006036CF"/>
    <w:rsid w:val="00603C91"/>
    <w:rsid w:val="00604175"/>
    <w:rsid w:val="006041FA"/>
    <w:rsid w:val="00604527"/>
    <w:rsid w:val="00604BAE"/>
    <w:rsid w:val="0060599E"/>
    <w:rsid w:val="00605DA5"/>
    <w:rsid w:val="00606F3E"/>
    <w:rsid w:val="0060784D"/>
    <w:rsid w:val="0061008F"/>
    <w:rsid w:val="00610801"/>
    <w:rsid w:val="00610942"/>
    <w:rsid w:val="00611610"/>
    <w:rsid w:val="00611984"/>
    <w:rsid w:val="00611F57"/>
    <w:rsid w:val="00612041"/>
    <w:rsid w:val="006123EA"/>
    <w:rsid w:val="0061267B"/>
    <w:rsid w:val="00612816"/>
    <w:rsid w:val="00612E2D"/>
    <w:rsid w:val="0061320F"/>
    <w:rsid w:val="00613421"/>
    <w:rsid w:val="00613533"/>
    <w:rsid w:val="006139AC"/>
    <w:rsid w:val="00614290"/>
    <w:rsid w:val="006147B6"/>
    <w:rsid w:val="00614D63"/>
    <w:rsid w:val="00614E8A"/>
    <w:rsid w:val="00615800"/>
    <w:rsid w:val="00615881"/>
    <w:rsid w:val="00615C98"/>
    <w:rsid w:val="00615DEC"/>
    <w:rsid w:val="0061611B"/>
    <w:rsid w:val="00616BBA"/>
    <w:rsid w:val="00617243"/>
    <w:rsid w:val="00617733"/>
    <w:rsid w:val="006204F1"/>
    <w:rsid w:val="00621234"/>
    <w:rsid w:val="00621E09"/>
    <w:rsid w:val="00621F85"/>
    <w:rsid w:val="00622D05"/>
    <w:rsid w:val="00622DB7"/>
    <w:rsid w:val="00622EA6"/>
    <w:rsid w:val="0062329B"/>
    <w:rsid w:val="0062388A"/>
    <w:rsid w:val="00623998"/>
    <w:rsid w:val="006240E5"/>
    <w:rsid w:val="006241EE"/>
    <w:rsid w:val="006243A1"/>
    <w:rsid w:val="006248BE"/>
    <w:rsid w:val="00624AE4"/>
    <w:rsid w:val="00624BB7"/>
    <w:rsid w:val="00625107"/>
    <w:rsid w:val="0062512F"/>
    <w:rsid w:val="00626B94"/>
    <w:rsid w:val="00626D9F"/>
    <w:rsid w:val="00627BEC"/>
    <w:rsid w:val="00627E9D"/>
    <w:rsid w:val="00630224"/>
    <w:rsid w:val="006304ED"/>
    <w:rsid w:val="00630942"/>
    <w:rsid w:val="00631462"/>
    <w:rsid w:val="0063152C"/>
    <w:rsid w:val="006316F4"/>
    <w:rsid w:val="00631D94"/>
    <w:rsid w:val="0063202C"/>
    <w:rsid w:val="00632A87"/>
    <w:rsid w:val="00632B0C"/>
    <w:rsid w:val="00632C3D"/>
    <w:rsid w:val="00632C90"/>
    <w:rsid w:val="00632EB8"/>
    <w:rsid w:val="0063324D"/>
    <w:rsid w:val="006333C1"/>
    <w:rsid w:val="00633DDB"/>
    <w:rsid w:val="0063412B"/>
    <w:rsid w:val="0063498A"/>
    <w:rsid w:val="00634EA4"/>
    <w:rsid w:val="00634FB0"/>
    <w:rsid w:val="00635234"/>
    <w:rsid w:val="00635B2C"/>
    <w:rsid w:val="00635C1E"/>
    <w:rsid w:val="00635EDF"/>
    <w:rsid w:val="006365F2"/>
    <w:rsid w:val="00636938"/>
    <w:rsid w:val="0063772F"/>
    <w:rsid w:val="006377EB"/>
    <w:rsid w:val="006379F8"/>
    <w:rsid w:val="00637AF9"/>
    <w:rsid w:val="00637C88"/>
    <w:rsid w:val="00637F32"/>
    <w:rsid w:val="00640181"/>
    <w:rsid w:val="0064042A"/>
    <w:rsid w:val="00640587"/>
    <w:rsid w:val="00640AAE"/>
    <w:rsid w:val="00641137"/>
    <w:rsid w:val="0064204F"/>
    <w:rsid w:val="0064263C"/>
    <w:rsid w:val="00642743"/>
    <w:rsid w:val="00642837"/>
    <w:rsid w:val="00642899"/>
    <w:rsid w:val="00642C25"/>
    <w:rsid w:val="00642CBF"/>
    <w:rsid w:val="00642ECD"/>
    <w:rsid w:val="00643061"/>
    <w:rsid w:val="0064374D"/>
    <w:rsid w:val="006439AC"/>
    <w:rsid w:val="00643CC8"/>
    <w:rsid w:val="00644211"/>
    <w:rsid w:val="0064424F"/>
    <w:rsid w:val="006446F8"/>
    <w:rsid w:val="00644814"/>
    <w:rsid w:val="006448EC"/>
    <w:rsid w:val="006450FA"/>
    <w:rsid w:val="00645C24"/>
    <w:rsid w:val="00645DF8"/>
    <w:rsid w:val="00646502"/>
    <w:rsid w:val="006466E5"/>
    <w:rsid w:val="006473ED"/>
    <w:rsid w:val="0064743E"/>
    <w:rsid w:val="00650DBF"/>
    <w:rsid w:val="00651882"/>
    <w:rsid w:val="00651CE5"/>
    <w:rsid w:val="00651F42"/>
    <w:rsid w:val="00651F92"/>
    <w:rsid w:val="006526CD"/>
    <w:rsid w:val="00652E8A"/>
    <w:rsid w:val="00652F08"/>
    <w:rsid w:val="00652F4A"/>
    <w:rsid w:val="006530F6"/>
    <w:rsid w:val="006531A1"/>
    <w:rsid w:val="006537B0"/>
    <w:rsid w:val="006538E4"/>
    <w:rsid w:val="0065459E"/>
    <w:rsid w:val="00654B9A"/>
    <w:rsid w:val="006551F8"/>
    <w:rsid w:val="00655531"/>
    <w:rsid w:val="006555B9"/>
    <w:rsid w:val="0065580A"/>
    <w:rsid w:val="00655857"/>
    <w:rsid w:val="00656A97"/>
    <w:rsid w:val="00656C81"/>
    <w:rsid w:val="0065755F"/>
    <w:rsid w:val="00657661"/>
    <w:rsid w:val="00657863"/>
    <w:rsid w:val="006579CA"/>
    <w:rsid w:val="00657A26"/>
    <w:rsid w:val="00657B4A"/>
    <w:rsid w:val="00657E71"/>
    <w:rsid w:val="00660857"/>
    <w:rsid w:val="006608B8"/>
    <w:rsid w:val="006613F6"/>
    <w:rsid w:val="006617FB"/>
    <w:rsid w:val="00661A3B"/>
    <w:rsid w:val="006625CE"/>
    <w:rsid w:val="006627F0"/>
    <w:rsid w:val="006628D5"/>
    <w:rsid w:val="00662ECA"/>
    <w:rsid w:val="0066317C"/>
    <w:rsid w:val="006635B7"/>
    <w:rsid w:val="00663FD0"/>
    <w:rsid w:val="00664634"/>
    <w:rsid w:val="00664E73"/>
    <w:rsid w:val="00664F99"/>
    <w:rsid w:val="006651FF"/>
    <w:rsid w:val="00665AA7"/>
    <w:rsid w:val="0066624E"/>
    <w:rsid w:val="0066759A"/>
    <w:rsid w:val="006678BF"/>
    <w:rsid w:val="00667A44"/>
    <w:rsid w:val="0067049B"/>
    <w:rsid w:val="006704AD"/>
    <w:rsid w:val="00670D43"/>
    <w:rsid w:val="006718A6"/>
    <w:rsid w:val="00671B3D"/>
    <w:rsid w:val="00671C06"/>
    <w:rsid w:val="0067252B"/>
    <w:rsid w:val="0067255D"/>
    <w:rsid w:val="006725ED"/>
    <w:rsid w:val="00672AF6"/>
    <w:rsid w:val="00672C20"/>
    <w:rsid w:val="00673234"/>
    <w:rsid w:val="0067388C"/>
    <w:rsid w:val="00673AE2"/>
    <w:rsid w:val="00673EC9"/>
    <w:rsid w:val="00674073"/>
    <w:rsid w:val="00674077"/>
    <w:rsid w:val="00674108"/>
    <w:rsid w:val="006742FE"/>
    <w:rsid w:val="006744C7"/>
    <w:rsid w:val="006745E0"/>
    <w:rsid w:val="00674917"/>
    <w:rsid w:val="00674C87"/>
    <w:rsid w:val="00674D35"/>
    <w:rsid w:val="00675AC2"/>
    <w:rsid w:val="00675E3A"/>
    <w:rsid w:val="00675FB7"/>
    <w:rsid w:val="00676C9C"/>
    <w:rsid w:val="00676EA1"/>
    <w:rsid w:val="00676F2F"/>
    <w:rsid w:val="006776F9"/>
    <w:rsid w:val="00677836"/>
    <w:rsid w:val="00677B82"/>
    <w:rsid w:val="00677D99"/>
    <w:rsid w:val="00677ECA"/>
    <w:rsid w:val="006800EE"/>
    <w:rsid w:val="00680DBC"/>
    <w:rsid w:val="006815EE"/>
    <w:rsid w:val="00681FED"/>
    <w:rsid w:val="006820D3"/>
    <w:rsid w:val="00682319"/>
    <w:rsid w:val="00682708"/>
    <w:rsid w:val="00684655"/>
    <w:rsid w:val="00684C27"/>
    <w:rsid w:val="00685364"/>
    <w:rsid w:val="0068555F"/>
    <w:rsid w:val="00685899"/>
    <w:rsid w:val="00686501"/>
    <w:rsid w:val="00686B37"/>
    <w:rsid w:val="00686BC2"/>
    <w:rsid w:val="00686DC8"/>
    <w:rsid w:val="00687235"/>
    <w:rsid w:val="00687486"/>
    <w:rsid w:val="00687879"/>
    <w:rsid w:val="00690C46"/>
    <w:rsid w:val="00690CAA"/>
    <w:rsid w:val="00690CEF"/>
    <w:rsid w:val="00691087"/>
    <w:rsid w:val="00691166"/>
    <w:rsid w:val="00691265"/>
    <w:rsid w:val="00691759"/>
    <w:rsid w:val="00691D5F"/>
    <w:rsid w:val="00691DE4"/>
    <w:rsid w:val="0069272D"/>
    <w:rsid w:val="006927CC"/>
    <w:rsid w:val="00692BC0"/>
    <w:rsid w:val="00692DC4"/>
    <w:rsid w:val="00693423"/>
    <w:rsid w:val="0069367A"/>
    <w:rsid w:val="00693924"/>
    <w:rsid w:val="00693B7D"/>
    <w:rsid w:val="00693C87"/>
    <w:rsid w:val="006944F0"/>
    <w:rsid w:val="00694626"/>
    <w:rsid w:val="00694D3E"/>
    <w:rsid w:val="006952EB"/>
    <w:rsid w:val="006953CE"/>
    <w:rsid w:val="0069573F"/>
    <w:rsid w:val="00695A86"/>
    <w:rsid w:val="006965A4"/>
    <w:rsid w:val="00696E72"/>
    <w:rsid w:val="00696FBC"/>
    <w:rsid w:val="006975DA"/>
    <w:rsid w:val="00697909"/>
    <w:rsid w:val="006979C1"/>
    <w:rsid w:val="00697CFE"/>
    <w:rsid w:val="006A0930"/>
    <w:rsid w:val="006A0D9E"/>
    <w:rsid w:val="006A1048"/>
    <w:rsid w:val="006A129F"/>
    <w:rsid w:val="006A131C"/>
    <w:rsid w:val="006A138B"/>
    <w:rsid w:val="006A17EE"/>
    <w:rsid w:val="006A1D8A"/>
    <w:rsid w:val="006A2160"/>
    <w:rsid w:val="006A2C05"/>
    <w:rsid w:val="006A2C75"/>
    <w:rsid w:val="006A31B8"/>
    <w:rsid w:val="006A3766"/>
    <w:rsid w:val="006A393A"/>
    <w:rsid w:val="006A39E1"/>
    <w:rsid w:val="006A45BD"/>
    <w:rsid w:val="006A4A85"/>
    <w:rsid w:val="006A4BF2"/>
    <w:rsid w:val="006A4C4E"/>
    <w:rsid w:val="006A515D"/>
    <w:rsid w:val="006A5564"/>
    <w:rsid w:val="006A5C8A"/>
    <w:rsid w:val="006A6194"/>
    <w:rsid w:val="006A631E"/>
    <w:rsid w:val="006A67DB"/>
    <w:rsid w:val="006A78DE"/>
    <w:rsid w:val="006B09FF"/>
    <w:rsid w:val="006B12C9"/>
    <w:rsid w:val="006B1448"/>
    <w:rsid w:val="006B1641"/>
    <w:rsid w:val="006B1770"/>
    <w:rsid w:val="006B25C7"/>
    <w:rsid w:val="006B263C"/>
    <w:rsid w:val="006B2957"/>
    <w:rsid w:val="006B2C8C"/>
    <w:rsid w:val="006B2D01"/>
    <w:rsid w:val="006B3A1A"/>
    <w:rsid w:val="006B3C72"/>
    <w:rsid w:val="006B418F"/>
    <w:rsid w:val="006B453D"/>
    <w:rsid w:val="006B46F2"/>
    <w:rsid w:val="006B47B5"/>
    <w:rsid w:val="006B4F00"/>
    <w:rsid w:val="006B5681"/>
    <w:rsid w:val="006B58E3"/>
    <w:rsid w:val="006B5B76"/>
    <w:rsid w:val="006B630D"/>
    <w:rsid w:val="006B66EB"/>
    <w:rsid w:val="006B7EAF"/>
    <w:rsid w:val="006C0B2A"/>
    <w:rsid w:val="006C0BE7"/>
    <w:rsid w:val="006C11D6"/>
    <w:rsid w:val="006C1307"/>
    <w:rsid w:val="006C1475"/>
    <w:rsid w:val="006C1B17"/>
    <w:rsid w:val="006C22D2"/>
    <w:rsid w:val="006C29B8"/>
    <w:rsid w:val="006C2D43"/>
    <w:rsid w:val="006C36E6"/>
    <w:rsid w:val="006C389D"/>
    <w:rsid w:val="006C39CA"/>
    <w:rsid w:val="006C442D"/>
    <w:rsid w:val="006C49C8"/>
    <w:rsid w:val="006C535A"/>
    <w:rsid w:val="006C609C"/>
    <w:rsid w:val="006C6324"/>
    <w:rsid w:val="006C6411"/>
    <w:rsid w:val="006C6744"/>
    <w:rsid w:val="006C7548"/>
    <w:rsid w:val="006C774E"/>
    <w:rsid w:val="006C7B3A"/>
    <w:rsid w:val="006C7D7F"/>
    <w:rsid w:val="006D00C7"/>
    <w:rsid w:val="006D00FB"/>
    <w:rsid w:val="006D027F"/>
    <w:rsid w:val="006D0281"/>
    <w:rsid w:val="006D0459"/>
    <w:rsid w:val="006D0BF1"/>
    <w:rsid w:val="006D1090"/>
    <w:rsid w:val="006D1640"/>
    <w:rsid w:val="006D1B79"/>
    <w:rsid w:val="006D2904"/>
    <w:rsid w:val="006D3C87"/>
    <w:rsid w:val="006D44D8"/>
    <w:rsid w:val="006D60D1"/>
    <w:rsid w:val="006D60EB"/>
    <w:rsid w:val="006D6151"/>
    <w:rsid w:val="006D6424"/>
    <w:rsid w:val="006D6B96"/>
    <w:rsid w:val="006D7A81"/>
    <w:rsid w:val="006D7BCC"/>
    <w:rsid w:val="006E012D"/>
    <w:rsid w:val="006E04F5"/>
    <w:rsid w:val="006E0BAF"/>
    <w:rsid w:val="006E1437"/>
    <w:rsid w:val="006E1C96"/>
    <w:rsid w:val="006E1DFA"/>
    <w:rsid w:val="006E2A47"/>
    <w:rsid w:val="006E2C71"/>
    <w:rsid w:val="006E31F2"/>
    <w:rsid w:val="006E37E4"/>
    <w:rsid w:val="006E3AE2"/>
    <w:rsid w:val="006E433C"/>
    <w:rsid w:val="006E45CB"/>
    <w:rsid w:val="006E4839"/>
    <w:rsid w:val="006E490B"/>
    <w:rsid w:val="006E4C99"/>
    <w:rsid w:val="006E4CB9"/>
    <w:rsid w:val="006E57B1"/>
    <w:rsid w:val="006E5D3C"/>
    <w:rsid w:val="006E6804"/>
    <w:rsid w:val="006E69B4"/>
    <w:rsid w:val="006E742B"/>
    <w:rsid w:val="006E7508"/>
    <w:rsid w:val="006E78FF"/>
    <w:rsid w:val="006E7E68"/>
    <w:rsid w:val="006F0362"/>
    <w:rsid w:val="006F0D85"/>
    <w:rsid w:val="006F0EC1"/>
    <w:rsid w:val="006F2474"/>
    <w:rsid w:val="006F2606"/>
    <w:rsid w:val="006F2637"/>
    <w:rsid w:val="006F2B68"/>
    <w:rsid w:val="006F2F8C"/>
    <w:rsid w:val="006F3017"/>
    <w:rsid w:val="006F36A6"/>
    <w:rsid w:val="006F423C"/>
    <w:rsid w:val="006F44C6"/>
    <w:rsid w:val="006F4646"/>
    <w:rsid w:val="006F49F3"/>
    <w:rsid w:val="006F4A2A"/>
    <w:rsid w:val="006F4AF2"/>
    <w:rsid w:val="006F4C3E"/>
    <w:rsid w:val="006F4C7F"/>
    <w:rsid w:val="006F5682"/>
    <w:rsid w:val="006F58EF"/>
    <w:rsid w:val="006F6A49"/>
    <w:rsid w:val="006F71C7"/>
    <w:rsid w:val="006F73DE"/>
    <w:rsid w:val="006F74BF"/>
    <w:rsid w:val="006F74C1"/>
    <w:rsid w:val="006F793A"/>
    <w:rsid w:val="006F7ADA"/>
    <w:rsid w:val="006F7F5C"/>
    <w:rsid w:val="0070010C"/>
    <w:rsid w:val="00700578"/>
    <w:rsid w:val="00700B55"/>
    <w:rsid w:val="0070174B"/>
    <w:rsid w:val="007017E6"/>
    <w:rsid w:val="007023B9"/>
    <w:rsid w:val="007023DE"/>
    <w:rsid w:val="00702ADB"/>
    <w:rsid w:val="00702EBD"/>
    <w:rsid w:val="007030EE"/>
    <w:rsid w:val="007031E5"/>
    <w:rsid w:val="00703C9E"/>
    <w:rsid w:val="00703CA2"/>
    <w:rsid w:val="0070431C"/>
    <w:rsid w:val="0070449B"/>
    <w:rsid w:val="007056B6"/>
    <w:rsid w:val="007056E8"/>
    <w:rsid w:val="00705EEA"/>
    <w:rsid w:val="0070658F"/>
    <w:rsid w:val="00707163"/>
    <w:rsid w:val="007073F3"/>
    <w:rsid w:val="0070761A"/>
    <w:rsid w:val="007105BE"/>
    <w:rsid w:val="00711C8E"/>
    <w:rsid w:val="007122B1"/>
    <w:rsid w:val="0071253F"/>
    <w:rsid w:val="00712E9D"/>
    <w:rsid w:val="00713FE3"/>
    <w:rsid w:val="00714673"/>
    <w:rsid w:val="00714AC3"/>
    <w:rsid w:val="00714D4A"/>
    <w:rsid w:val="00714D6E"/>
    <w:rsid w:val="00714DE1"/>
    <w:rsid w:val="00714E78"/>
    <w:rsid w:val="00714EB3"/>
    <w:rsid w:val="0071549F"/>
    <w:rsid w:val="00715B76"/>
    <w:rsid w:val="00715DFC"/>
    <w:rsid w:val="00716E82"/>
    <w:rsid w:val="00717FC1"/>
    <w:rsid w:val="007200D0"/>
    <w:rsid w:val="0072145E"/>
    <w:rsid w:val="007214C1"/>
    <w:rsid w:val="00721D61"/>
    <w:rsid w:val="00721F40"/>
    <w:rsid w:val="0072260F"/>
    <w:rsid w:val="007235D8"/>
    <w:rsid w:val="00723AEF"/>
    <w:rsid w:val="00723B0F"/>
    <w:rsid w:val="007241F1"/>
    <w:rsid w:val="00724543"/>
    <w:rsid w:val="0072554F"/>
    <w:rsid w:val="00726163"/>
    <w:rsid w:val="007264DC"/>
    <w:rsid w:val="007271BF"/>
    <w:rsid w:val="00727952"/>
    <w:rsid w:val="00730187"/>
    <w:rsid w:val="00731B18"/>
    <w:rsid w:val="00731BFF"/>
    <w:rsid w:val="00731C49"/>
    <w:rsid w:val="00731DA2"/>
    <w:rsid w:val="00731FB5"/>
    <w:rsid w:val="00732840"/>
    <w:rsid w:val="0073296C"/>
    <w:rsid w:val="007331EF"/>
    <w:rsid w:val="0073321C"/>
    <w:rsid w:val="007336A3"/>
    <w:rsid w:val="007337F9"/>
    <w:rsid w:val="00733E6B"/>
    <w:rsid w:val="00733ED6"/>
    <w:rsid w:val="0073413C"/>
    <w:rsid w:val="007352C0"/>
    <w:rsid w:val="0073546F"/>
    <w:rsid w:val="00735E04"/>
    <w:rsid w:val="00736625"/>
    <w:rsid w:val="0073662F"/>
    <w:rsid w:val="007369F2"/>
    <w:rsid w:val="00736C78"/>
    <w:rsid w:val="00736F39"/>
    <w:rsid w:val="00737037"/>
    <w:rsid w:val="00737862"/>
    <w:rsid w:val="007378A2"/>
    <w:rsid w:val="00740CF7"/>
    <w:rsid w:val="00742113"/>
    <w:rsid w:val="00743406"/>
    <w:rsid w:val="0074375B"/>
    <w:rsid w:val="00743CEF"/>
    <w:rsid w:val="00743D96"/>
    <w:rsid w:val="00744067"/>
    <w:rsid w:val="00744727"/>
    <w:rsid w:val="00744A7F"/>
    <w:rsid w:val="007452B6"/>
    <w:rsid w:val="007456C2"/>
    <w:rsid w:val="00745C56"/>
    <w:rsid w:val="007463DE"/>
    <w:rsid w:val="007469B1"/>
    <w:rsid w:val="00746FAC"/>
    <w:rsid w:val="00747878"/>
    <w:rsid w:val="0075085B"/>
    <w:rsid w:val="00750FE5"/>
    <w:rsid w:val="00751CAA"/>
    <w:rsid w:val="00751D53"/>
    <w:rsid w:val="0075217D"/>
    <w:rsid w:val="0075266E"/>
    <w:rsid w:val="00753F0F"/>
    <w:rsid w:val="00754565"/>
    <w:rsid w:val="00754706"/>
    <w:rsid w:val="00754825"/>
    <w:rsid w:val="0075498C"/>
    <w:rsid w:val="00754C09"/>
    <w:rsid w:val="00754D4E"/>
    <w:rsid w:val="00754EFB"/>
    <w:rsid w:val="00754F74"/>
    <w:rsid w:val="00754FD8"/>
    <w:rsid w:val="007551FE"/>
    <w:rsid w:val="00755AE7"/>
    <w:rsid w:val="00755DDC"/>
    <w:rsid w:val="007579DC"/>
    <w:rsid w:val="00757E05"/>
    <w:rsid w:val="007606F6"/>
    <w:rsid w:val="00760978"/>
    <w:rsid w:val="00760B18"/>
    <w:rsid w:val="00760D5F"/>
    <w:rsid w:val="00761307"/>
    <w:rsid w:val="0076137F"/>
    <w:rsid w:val="00761741"/>
    <w:rsid w:val="007619FA"/>
    <w:rsid w:val="0076227D"/>
    <w:rsid w:val="00762AB7"/>
    <w:rsid w:val="00762C96"/>
    <w:rsid w:val="00764565"/>
    <w:rsid w:val="0076488E"/>
    <w:rsid w:val="00764956"/>
    <w:rsid w:val="00764C90"/>
    <w:rsid w:val="00764EAB"/>
    <w:rsid w:val="00764FFF"/>
    <w:rsid w:val="007654B9"/>
    <w:rsid w:val="00765831"/>
    <w:rsid w:val="00765D1C"/>
    <w:rsid w:val="007660C5"/>
    <w:rsid w:val="00766632"/>
    <w:rsid w:val="00766B52"/>
    <w:rsid w:val="00766D69"/>
    <w:rsid w:val="0076738D"/>
    <w:rsid w:val="00767781"/>
    <w:rsid w:val="0076789C"/>
    <w:rsid w:val="00767A81"/>
    <w:rsid w:val="00767E9E"/>
    <w:rsid w:val="00770349"/>
    <w:rsid w:val="0077053D"/>
    <w:rsid w:val="00770598"/>
    <w:rsid w:val="007709D6"/>
    <w:rsid w:val="007712D8"/>
    <w:rsid w:val="0077163E"/>
    <w:rsid w:val="00772491"/>
    <w:rsid w:val="00772BA7"/>
    <w:rsid w:val="00772F5C"/>
    <w:rsid w:val="00773099"/>
    <w:rsid w:val="007730FD"/>
    <w:rsid w:val="007731B0"/>
    <w:rsid w:val="0077328D"/>
    <w:rsid w:val="0077359A"/>
    <w:rsid w:val="00773ED5"/>
    <w:rsid w:val="0077409F"/>
    <w:rsid w:val="007746F9"/>
    <w:rsid w:val="0077568C"/>
    <w:rsid w:val="00775B17"/>
    <w:rsid w:val="00775EB5"/>
    <w:rsid w:val="0077609B"/>
    <w:rsid w:val="007761FD"/>
    <w:rsid w:val="007770B8"/>
    <w:rsid w:val="00777618"/>
    <w:rsid w:val="00777C7E"/>
    <w:rsid w:val="0078005D"/>
    <w:rsid w:val="00780E35"/>
    <w:rsid w:val="0078112D"/>
    <w:rsid w:val="00781FA1"/>
    <w:rsid w:val="0078240E"/>
    <w:rsid w:val="00782A39"/>
    <w:rsid w:val="007830E1"/>
    <w:rsid w:val="00783230"/>
    <w:rsid w:val="0078381C"/>
    <w:rsid w:val="00783954"/>
    <w:rsid w:val="00783EEB"/>
    <w:rsid w:val="00784CF9"/>
    <w:rsid w:val="00784F29"/>
    <w:rsid w:val="007856AA"/>
    <w:rsid w:val="007857FC"/>
    <w:rsid w:val="007862ED"/>
    <w:rsid w:val="007866D0"/>
    <w:rsid w:val="0078684A"/>
    <w:rsid w:val="007872EB"/>
    <w:rsid w:val="00790531"/>
    <w:rsid w:val="00790675"/>
    <w:rsid w:val="007907EA"/>
    <w:rsid w:val="00791004"/>
    <w:rsid w:val="00791284"/>
    <w:rsid w:val="00791797"/>
    <w:rsid w:val="00791D55"/>
    <w:rsid w:val="00792140"/>
    <w:rsid w:val="007935E1"/>
    <w:rsid w:val="00793905"/>
    <w:rsid w:val="007940B3"/>
    <w:rsid w:val="00794609"/>
    <w:rsid w:val="0079497B"/>
    <w:rsid w:val="00794BDD"/>
    <w:rsid w:val="007952F6"/>
    <w:rsid w:val="00796359"/>
    <w:rsid w:val="00796763"/>
    <w:rsid w:val="00796F5A"/>
    <w:rsid w:val="00797A9A"/>
    <w:rsid w:val="007A04C3"/>
    <w:rsid w:val="007A05F0"/>
    <w:rsid w:val="007A07D7"/>
    <w:rsid w:val="007A1387"/>
    <w:rsid w:val="007A1743"/>
    <w:rsid w:val="007A19AB"/>
    <w:rsid w:val="007A1BA8"/>
    <w:rsid w:val="007A1D8E"/>
    <w:rsid w:val="007A1F72"/>
    <w:rsid w:val="007A1FA7"/>
    <w:rsid w:val="007A2B14"/>
    <w:rsid w:val="007A2BE5"/>
    <w:rsid w:val="007A3232"/>
    <w:rsid w:val="007A324E"/>
    <w:rsid w:val="007A4065"/>
    <w:rsid w:val="007A493A"/>
    <w:rsid w:val="007A4A77"/>
    <w:rsid w:val="007A5B89"/>
    <w:rsid w:val="007A5CD9"/>
    <w:rsid w:val="007A5D0C"/>
    <w:rsid w:val="007A68BB"/>
    <w:rsid w:val="007A6BF8"/>
    <w:rsid w:val="007A7006"/>
    <w:rsid w:val="007A70DF"/>
    <w:rsid w:val="007A71F0"/>
    <w:rsid w:val="007A78DD"/>
    <w:rsid w:val="007A7A77"/>
    <w:rsid w:val="007B03DF"/>
    <w:rsid w:val="007B0602"/>
    <w:rsid w:val="007B214B"/>
    <w:rsid w:val="007B2519"/>
    <w:rsid w:val="007B2ABE"/>
    <w:rsid w:val="007B2B87"/>
    <w:rsid w:val="007B3129"/>
    <w:rsid w:val="007B36FA"/>
    <w:rsid w:val="007B38A6"/>
    <w:rsid w:val="007B39A9"/>
    <w:rsid w:val="007B3C20"/>
    <w:rsid w:val="007B4587"/>
    <w:rsid w:val="007B5928"/>
    <w:rsid w:val="007B5B4B"/>
    <w:rsid w:val="007B5E5D"/>
    <w:rsid w:val="007B64BA"/>
    <w:rsid w:val="007B6619"/>
    <w:rsid w:val="007B67AE"/>
    <w:rsid w:val="007B68B4"/>
    <w:rsid w:val="007B6EC2"/>
    <w:rsid w:val="007B6F3C"/>
    <w:rsid w:val="007B71D4"/>
    <w:rsid w:val="007B7839"/>
    <w:rsid w:val="007B793F"/>
    <w:rsid w:val="007B7D92"/>
    <w:rsid w:val="007C1047"/>
    <w:rsid w:val="007C1671"/>
    <w:rsid w:val="007C194D"/>
    <w:rsid w:val="007C1C26"/>
    <w:rsid w:val="007C25B6"/>
    <w:rsid w:val="007C2854"/>
    <w:rsid w:val="007C2E79"/>
    <w:rsid w:val="007C30BC"/>
    <w:rsid w:val="007C3409"/>
    <w:rsid w:val="007C3603"/>
    <w:rsid w:val="007C3AA4"/>
    <w:rsid w:val="007C3C02"/>
    <w:rsid w:val="007C4153"/>
    <w:rsid w:val="007C4BC7"/>
    <w:rsid w:val="007C595D"/>
    <w:rsid w:val="007C5AE8"/>
    <w:rsid w:val="007C643F"/>
    <w:rsid w:val="007C678B"/>
    <w:rsid w:val="007C6982"/>
    <w:rsid w:val="007C69AC"/>
    <w:rsid w:val="007C6FE8"/>
    <w:rsid w:val="007C70B4"/>
    <w:rsid w:val="007C71E0"/>
    <w:rsid w:val="007C724D"/>
    <w:rsid w:val="007C76CC"/>
    <w:rsid w:val="007C7707"/>
    <w:rsid w:val="007C777E"/>
    <w:rsid w:val="007C7E23"/>
    <w:rsid w:val="007D0144"/>
    <w:rsid w:val="007D1B16"/>
    <w:rsid w:val="007D1DCA"/>
    <w:rsid w:val="007D1FDA"/>
    <w:rsid w:val="007D203E"/>
    <w:rsid w:val="007D21F8"/>
    <w:rsid w:val="007D2527"/>
    <w:rsid w:val="007D2DE8"/>
    <w:rsid w:val="007D2F34"/>
    <w:rsid w:val="007D2FE5"/>
    <w:rsid w:val="007D334A"/>
    <w:rsid w:val="007D381E"/>
    <w:rsid w:val="007D466E"/>
    <w:rsid w:val="007D4AC8"/>
    <w:rsid w:val="007D4C0B"/>
    <w:rsid w:val="007D4DD2"/>
    <w:rsid w:val="007D502B"/>
    <w:rsid w:val="007D5303"/>
    <w:rsid w:val="007D5A44"/>
    <w:rsid w:val="007D6155"/>
    <w:rsid w:val="007D6E20"/>
    <w:rsid w:val="007D7085"/>
    <w:rsid w:val="007D711C"/>
    <w:rsid w:val="007D7335"/>
    <w:rsid w:val="007D733D"/>
    <w:rsid w:val="007D75BE"/>
    <w:rsid w:val="007D7D1A"/>
    <w:rsid w:val="007E0238"/>
    <w:rsid w:val="007E0373"/>
    <w:rsid w:val="007E03BE"/>
    <w:rsid w:val="007E1064"/>
    <w:rsid w:val="007E1C3F"/>
    <w:rsid w:val="007E292C"/>
    <w:rsid w:val="007E2DDE"/>
    <w:rsid w:val="007E306D"/>
    <w:rsid w:val="007E38AD"/>
    <w:rsid w:val="007E4631"/>
    <w:rsid w:val="007E49D7"/>
    <w:rsid w:val="007E51C3"/>
    <w:rsid w:val="007E62B3"/>
    <w:rsid w:val="007E658B"/>
    <w:rsid w:val="007E6E4D"/>
    <w:rsid w:val="007E7453"/>
    <w:rsid w:val="007F030D"/>
    <w:rsid w:val="007F0680"/>
    <w:rsid w:val="007F0816"/>
    <w:rsid w:val="007F0CF4"/>
    <w:rsid w:val="007F0D2A"/>
    <w:rsid w:val="007F16BF"/>
    <w:rsid w:val="007F19F7"/>
    <w:rsid w:val="007F2CAA"/>
    <w:rsid w:val="007F354E"/>
    <w:rsid w:val="007F3C09"/>
    <w:rsid w:val="007F3C33"/>
    <w:rsid w:val="007F523C"/>
    <w:rsid w:val="007F5C71"/>
    <w:rsid w:val="00800C89"/>
    <w:rsid w:val="00800EB5"/>
    <w:rsid w:val="00801862"/>
    <w:rsid w:val="008022B9"/>
    <w:rsid w:val="00802593"/>
    <w:rsid w:val="00802A18"/>
    <w:rsid w:val="00802A26"/>
    <w:rsid w:val="00802EAA"/>
    <w:rsid w:val="00803CEC"/>
    <w:rsid w:val="00803D38"/>
    <w:rsid w:val="008048F4"/>
    <w:rsid w:val="00804B5F"/>
    <w:rsid w:val="00804EB3"/>
    <w:rsid w:val="0080543E"/>
    <w:rsid w:val="00805476"/>
    <w:rsid w:val="00805B03"/>
    <w:rsid w:val="0080609F"/>
    <w:rsid w:val="008062F4"/>
    <w:rsid w:val="00806658"/>
    <w:rsid w:val="00807B22"/>
    <w:rsid w:val="008108F8"/>
    <w:rsid w:val="008115B6"/>
    <w:rsid w:val="00811636"/>
    <w:rsid w:val="00811B3B"/>
    <w:rsid w:val="00812A23"/>
    <w:rsid w:val="0081301C"/>
    <w:rsid w:val="008132C6"/>
    <w:rsid w:val="008135E5"/>
    <w:rsid w:val="008136C5"/>
    <w:rsid w:val="00813738"/>
    <w:rsid w:val="00813AEB"/>
    <w:rsid w:val="00813CC6"/>
    <w:rsid w:val="00813D95"/>
    <w:rsid w:val="00813F6E"/>
    <w:rsid w:val="00814033"/>
    <w:rsid w:val="00814058"/>
    <w:rsid w:val="00814B1D"/>
    <w:rsid w:val="00814DCF"/>
    <w:rsid w:val="0081519E"/>
    <w:rsid w:val="00815D78"/>
    <w:rsid w:val="0081674F"/>
    <w:rsid w:val="00816CC5"/>
    <w:rsid w:val="00817093"/>
    <w:rsid w:val="008208F4"/>
    <w:rsid w:val="00821056"/>
    <w:rsid w:val="0082113D"/>
    <w:rsid w:val="008212A8"/>
    <w:rsid w:val="008216CF"/>
    <w:rsid w:val="00821D36"/>
    <w:rsid w:val="00822DB3"/>
    <w:rsid w:val="00822E14"/>
    <w:rsid w:val="00822F9B"/>
    <w:rsid w:val="008235DB"/>
    <w:rsid w:val="008236EB"/>
    <w:rsid w:val="008237CD"/>
    <w:rsid w:val="00823B24"/>
    <w:rsid w:val="00823E51"/>
    <w:rsid w:val="00824828"/>
    <w:rsid w:val="00824DEF"/>
    <w:rsid w:val="008250DE"/>
    <w:rsid w:val="00825818"/>
    <w:rsid w:val="00825B81"/>
    <w:rsid w:val="008260C5"/>
    <w:rsid w:val="00826B61"/>
    <w:rsid w:val="00826EEE"/>
    <w:rsid w:val="00827767"/>
    <w:rsid w:val="008277EB"/>
    <w:rsid w:val="00827F2D"/>
    <w:rsid w:val="00827F64"/>
    <w:rsid w:val="00830436"/>
    <w:rsid w:val="00830A76"/>
    <w:rsid w:val="00830B34"/>
    <w:rsid w:val="008312F3"/>
    <w:rsid w:val="00831AEE"/>
    <w:rsid w:val="0083211A"/>
    <w:rsid w:val="0083215C"/>
    <w:rsid w:val="008321D0"/>
    <w:rsid w:val="008328AD"/>
    <w:rsid w:val="00832AC2"/>
    <w:rsid w:val="00832EAE"/>
    <w:rsid w:val="00833697"/>
    <w:rsid w:val="00833728"/>
    <w:rsid w:val="00833788"/>
    <w:rsid w:val="008337D5"/>
    <w:rsid w:val="00833A70"/>
    <w:rsid w:val="00833DD9"/>
    <w:rsid w:val="0083413F"/>
    <w:rsid w:val="008352DE"/>
    <w:rsid w:val="008358AD"/>
    <w:rsid w:val="0083599F"/>
    <w:rsid w:val="00835A21"/>
    <w:rsid w:val="0083609A"/>
    <w:rsid w:val="008369A4"/>
    <w:rsid w:val="00836BC3"/>
    <w:rsid w:val="00836E7B"/>
    <w:rsid w:val="008374C8"/>
    <w:rsid w:val="008378F9"/>
    <w:rsid w:val="00840018"/>
    <w:rsid w:val="008401EE"/>
    <w:rsid w:val="00840289"/>
    <w:rsid w:val="00840BB3"/>
    <w:rsid w:val="008412FA"/>
    <w:rsid w:val="00841B23"/>
    <w:rsid w:val="00841DF6"/>
    <w:rsid w:val="00841E7A"/>
    <w:rsid w:val="00842262"/>
    <w:rsid w:val="00842967"/>
    <w:rsid w:val="00842ACB"/>
    <w:rsid w:val="00842EC9"/>
    <w:rsid w:val="00843A77"/>
    <w:rsid w:val="00844241"/>
    <w:rsid w:val="008443E8"/>
    <w:rsid w:val="00844498"/>
    <w:rsid w:val="008447FA"/>
    <w:rsid w:val="0084487B"/>
    <w:rsid w:val="00844D64"/>
    <w:rsid w:val="008454B7"/>
    <w:rsid w:val="008454D3"/>
    <w:rsid w:val="0084580F"/>
    <w:rsid w:val="0084598D"/>
    <w:rsid w:val="008459CA"/>
    <w:rsid w:val="00845A61"/>
    <w:rsid w:val="008460D2"/>
    <w:rsid w:val="008462B6"/>
    <w:rsid w:val="00846D42"/>
    <w:rsid w:val="00847663"/>
    <w:rsid w:val="00850410"/>
    <w:rsid w:val="00850EAD"/>
    <w:rsid w:val="00851CA8"/>
    <w:rsid w:val="008521A3"/>
    <w:rsid w:val="00852BD5"/>
    <w:rsid w:val="008530E0"/>
    <w:rsid w:val="008533D1"/>
    <w:rsid w:val="008533E1"/>
    <w:rsid w:val="008544EF"/>
    <w:rsid w:val="00854AD9"/>
    <w:rsid w:val="00855309"/>
    <w:rsid w:val="00856B39"/>
    <w:rsid w:val="00856F95"/>
    <w:rsid w:val="008570D0"/>
    <w:rsid w:val="00857EF8"/>
    <w:rsid w:val="00860448"/>
    <w:rsid w:val="0086087F"/>
    <w:rsid w:val="00860BE6"/>
    <w:rsid w:val="00860E60"/>
    <w:rsid w:val="00861217"/>
    <w:rsid w:val="008612BC"/>
    <w:rsid w:val="0086139A"/>
    <w:rsid w:val="00861913"/>
    <w:rsid w:val="00862162"/>
    <w:rsid w:val="008621CE"/>
    <w:rsid w:val="00862594"/>
    <w:rsid w:val="0086310F"/>
    <w:rsid w:val="00863B19"/>
    <w:rsid w:val="00863D52"/>
    <w:rsid w:val="00863E39"/>
    <w:rsid w:val="008644FC"/>
    <w:rsid w:val="008645E6"/>
    <w:rsid w:val="00864743"/>
    <w:rsid w:val="00864815"/>
    <w:rsid w:val="00864C05"/>
    <w:rsid w:val="00865B4B"/>
    <w:rsid w:val="00865F7D"/>
    <w:rsid w:val="00865FDD"/>
    <w:rsid w:val="008661EF"/>
    <w:rsid w:val="00866D52"/>
    <w:rsid w:val="008674DE"/>
    <w:rsid w:val="00867899"/>
    <w:rsid w:val="00867AAF"/>
    <w:rsid w:val="00870728"/>
    <w:rsid w:val="00870731"/>
    <w:rsid w:val="00870A5A"/>
    <w:rsid w:val="00870A6A"/>
    <w:rsid w:val="00870E1C"/>
    <w:rsid w:val="0087108D"/>
    <w:rsid w:val="00871A1C"/>
    <w:rsid w:val="00871A90"/>
    <w:rsid w:val="00871D70"/>
    <w:rsid w:val="00872287"/>
    <w:rsid w:val="008725A4"/>
    <w:rsid w:val="0087274F"/>
    <w:rsid w:val="00872C7A"/>
    <w:rsid w:val="00872F36"/>
    <w:rsid w:val="008730F7"/>
    <w:rsid w:val="00873322"/>
    <w:rsid w:val="00873503"/>
    <w:rsid w:val="00873D56"/>
    <w:rsid w:val="00875457"/>
    <w:rsid w:val="00875890"/>
    <w:rsid w:val="00875B93"/>
    <w:rsid w:val="00875FBB"/>
    <w:rsid w:val="00876521"/>
    <w:rsid w:val="00876665"/>
    <w:rsid w:val="00876743"/>
    <w:rsid w:val="00876A0E"/>
    <w:rsid w:val="00876E7F"/>
    <w:rsid w:val="0087745F"/>
    <w:rsid w:val="008776D3"/>
    <w:rsid w:val="00877A29"/>
    <w:rsid w:val="00877C49"/>
    <w:rsid w:val="00877EFE"/>
    <w:rsid w:val="008803B9"/>
    <w:rsid w:val="008818E7"/>
    <w:rsid w:val="00881D25"/>
    <w:rsid w:val="008826CA"/>
    <w:rsid w:val="008827C3"/>
    <w:rsid w:val="008828BA"/>
    <w:rsid w:val="00883745"/>
    <w:rsid w:val="00883820"/>
    <w:rsid w:val="00883D52"/>
    <w:rsid w:val="00884EC7"/>
    <w:rsid w:val="0088504D"/>
    <w:rsid w:val="008850CA"/>
    <w:rsid w:val="008851A9"/>
    <w:rsid w:val="00885215"/>
    <w:rsid w:val="00885A70"/>
    <w:rsid w:val="00885F39"/>
    <w:rsid w:val="00885F5A"/>
    <w:rsid w:val="00885F74"/>
    <w:rsid w:val="00886323"/>
    <w:rsid w:val="008865FC"/>
    <w:rsid w:val="0088660A"/>
    <w:rsid w:val="008866A7"/>
    <w:rsid w:val="0088673D"/>
    <w:rsid w:val="008867EB"/>
    <w:rsid w:val="0088698F"/>
    <w:rsid w:val="008869C6"/>
    <w:rsid w:val="00886A32"/>
    <w:rsid w:val="00886B2D"/>
    <w:rsid w:val="00886E12"/>
    <w:rsid w:val="008874BA"/>
    <w:rsid w:val="00887563"/>
    <w:rsid w:val="008875D9"/>
    <w:rsid w:val="008876FD"/>
    <w:rsid w:val="008900B1"/>
    <w:rsid w:val="008907C5"/>
    <w:rsid w:val="0089117E"/>
    <w:rsid w:val="00891B3A"/>
    <w:rsid w:val="00891B56"/>
    <w:rsid w:val="00891D1B"/>
    <w:rsid w:val="008925C3"/>
    <w:rsid w:val="00892990"/>
    <w:rsid w:val="00892C5F"/>
    <w:rsid w:val="00892C6D"/>
    <w:rsid w:val="008937FC"/>
    <w:rsid w:val="00893821"/>
    <w:rsid w:val="00893F23"/>
    <w:rsid w:val="00894D2F"/>
    <w:rsid w:val="008962D3"/>
    <w:rsid w:val="00896655"/>
    <w:rsid w:val="00896E3E"/>
    <w:rsid w:val="00897091"/>
    <w:rsid w:val="008977B2"/>
    <w:rsid w:val="0089797E"/>
    <w:rsid w:val="00897A26"/>
    <w:rsid w:val="008A03C3"/>
    <w:rsid w:val="008A1586"/>
    <w:rsid w:val="008A160A"/>
    <w:rsid w:val="008A23E0"/>
    <w:rsid w:val="008A25AC"/>
    <w:rsid w:val="008A2631"/>
    <w:rsid w:val="008A3078"/>
    <w:rsid w:val="008A33DF"/>
    <w:rsid w:val="008A48C3"/>
    <w:rsid w:val="008A4AE8"/>
    <w:rsid w:val="008A4BD2"/>
    <w:rsid w:val="008A588B"/>
    <w:rsid w:val="008A65A1"/>
    <w:rsid w:val="008A669C"/>
    <w:rsid w:val="008A690F"/>
    <w:rsid w:val="008A6E9D"/>
    <w:rsid w:val="008A78C8"/>
    <w:rsid w:val="008B0729"/>
    <w:rsid w:val="008B0BF7"/>
    <w:rsid w:val="008B164D"/>
    <w:rsid w:val="008B1683"/>
    <w:rsid w:val="008B1CA6"/>
    <w:rsid w:val="008B1F5F"/>
    <w:rsid w:val="008B233C"/>
    <w:rsid w:val="008B28ED"/>
    <w:rsid w:val="008B2CEC"/>
    <w:rsid w:val="008B38DD"/>
    <w:rsid w:val="008B39B8"/>
    <w:rsid w:val="008B41ED"/>
    <w:rsid w:val="008B45B4"/>
    <w:rsid w:val="008B4688"/>
    <w:rsid w:val="008B4BC0"/>
    <w:rsid w:val="008B4D7F"/>
    <w:rsid w:val="008B5886"/>
    <w:rsid w:val="008B5DE9"/>
    <w:rsid w:val="008B60DC"/>
    <w:rsid w:val="008B6134"/>
    <w:rsid w:val="008B6187"/>
    <w:rsid w:val="008B6287"/>
    <w:rsid w:val="008B6489"/>
    <w:rsid w:val="008B6611"/>
    <w:rsid w:val="008B68F8"/>
    <w:rsid w:val="008B6A03"/>
    <w:rsid w:val="008B6C0B"/>
    <w:rsid w:val="008B725E"/>
    <w:rsid w:val="008B7D3D"/>
    <w:rsid w:val="008B7D7E"/>
    <w:rsid w:val="008B7E1A"/>
    <w:rsid w:val="008C057D"/>
    <w:rsid w:val="008C1911"/>
    <w:rsid w:val="008C21A4"/>
    <w:rsid w:val="008C24D2"/>
    <w:rsid w:val="008C3109"/>
    <w:rsid w:val="008C3402"/>
    <w:rsid w:val="008C3611"/>
    <w:rsid w:val="008C3FF2"/>
    <w:rsid w:val="008C4C7D"/>
    <w:rsid w:val="008C4F79"/>
    <w:rsid w:val="008C59EA"/>
    <w:rsid w:val="008C6056"/>
    <w:rsid w:val="008C6091"/>
    <w:rsid w:val="008C6587"/>
    <w:rsid w:val="008C7693"/>
    <w:rsid w:val="008C7A35"/>
    <w:rsid w:val="008C7FDB"/>
    <w:rsid w:val="008D0076"/>
    <w:rsid w:val="008D024D"/>
    <w:rsid w:val="008D0258"/>
    <w:rsid w:val="008D17C5"/>
    <w:rsid w:val="008D1BB2"/>
    <w:rsid w:val="008D1CBC"/>
    <w:rsid w:val="008D20A7"/>
    <w:rsid w:val="008D228C"/>
    <w:rsid w:val="008D2329"/>
    <w:rsid w:val="008D2B3B"/>
    <w:rsid w:val="008D2CAB"/>
    <w:rsid w:val="008D312E"/>
    <w:rsid w:val="008D36DF"/>
    <w:rsid w:val="008D3869"/>
    <w:rsid w:val="008D48C5"/>
    <w:rsid w:val="008D4A4E"/>
    <w:rsid w:val="008D4AC2"/>
    <w:rsid w:val="008D4B81"/>
    <w:rsid w:val="008D528E"/>
    <w:rsid w:val="008D605A"/>
    <w:rsid w:val="008D611E"/>
    <w:rsid w:val="008D70B2"/>
    <w:rsid w:val="008D7158"/>
    <w:rsid w:val="008D7379"/>
    <w:rsid w:val="008D772E"/>
    <w:rsid w:val="008D7769"/>
    <w:rsid w:val="008D79D0"/>
    <w:rsid w:val="008D7A88"/>
    <w:rsid w:val="008E0BCD"/>
    <w:rsid w:val="008E0FE6"/>
    <w:rsid w:val="008E1241"/>
    <w:rsid w:val="008E14CF"/>
    <w:rsid w:val="008E166A"/>
    <w:rsid w:val="008E189A"/>
    <w:rsid w:val="008E25F9"/>
    <w:rsid w:val="008E3504"/>
    <w:rsid w:val="008E3C88"/>
    <w:rsid w:val="008E4A66"/>
    <w:rsid w:val="008E4E0D"/>
    <w:rsid w:val="008E4EA2"/>
    <w:rsid w:val="008E4FA7"/>
    <w:rsid w:val="008E5222"/>
    <w:rsid w:val="008E5444"/>
    <w:rsid w:val="008E5866"/>
    <w:rsid w:val="008E59C4"/>
    <w:rsid w:val="008E5BBB"/>
    <w:rsid w:val="008E5C91"/>
    <w:rsid w:val="008E5CC0"/>
    <w:rsid w:val="008E5E54"/>
    <w:rsid w:val="008E5FEB"/>
    <w:rsid w:val="008E62A4"/>
    <w:rsid w:val="008E63D0"/>
    <w:rsid w:val="008E64FA"/>
    <w:rsid w:val="008E68D0"/>
    <w:rsid w:val="008E710C"/>
    <w:rsid w:val="008E7866"/>
    <w:rsid w:val="008E7B88"/>
    <w:rsid w:val="008F0633"/>
    <w:rsid w:val="008F0A9B"/>
    <w:rsid w:val="008F0BAB"/>
    <w:rsid w:val="008F10F6"/>
    <w:rsid w:val="008F20EA"/>
    <w:rsid w:val="008F2368"/>
    <w:rsid w:val="008F2485"/>
    <w:rsid w:val="008F27FF"/>
    <w:rsid w:val="008F3377"/>
    <w:rsid w:val="008F3659"/>
    <w:rsid w:val="008F4951"/>
    <w:rsid w:val="008F4A05"/>
    <w:rsid w:val="008F4ED9"/>
    <w:rsid w:val="008F5A58"/>
    <w:rsid w:val="008F5EFB"/>
    <w:rsid w:val="008F5F32"/>
    <w:rsid w:val="008F61BD"/>
    <w:rsid w:val="008F6D51"/>
    <w:rsid w:val="008F74E7"/>
    <w:rsid w:val="008F7509"/>
    <w:rsid w:val="008F7853"/>
    <w:rsid w:val="009010B1"/>
    <w:rsid w:val="009015CA"/>
    <w:rsid w:val="0090172C"/>
    <w:rsid w:val="0090181F"/>
    <w:rsid w:val="00901E9F"/>
    <w:rsid w:val="00901FA3"/>
    <w:rsid w:val="00902054"/>
    <w:rsid w:val="00902965"/>
    <w:rsid w:val="009030E7"/>
    <w:rsid w:val="00903117"/>
    <w:rsid w:val="009038BD"/>
    <w:rsid w:val="00903B9F"/>
    <w:rsid w:val="00903EA1"/>
    <w:rsid w:val="00904695"/>
    <w:rsid w:val="00904A67"/>
    <w:rsid w:val="00904BA2"/>
    <w:rsid w:val="00904C30"/>
    <w:rsid w:val="00905254"/>
    <w:rsid w:val="009056FC"/>
    <w:rsid w:val="00905CCB"/>
    <w:rsid w:val="00906730"/>
    <w:rsid w:val="0090691F"/>
    <w:rsid w:val="00906E08"/>
    <w:rsid w:val="00906F22"/>
    <w:rsid w:val="00906FFF"/>
    <w:rsid w:val="0090702C"/>
    <w:rsid w:val="009076C6"/>
    <w:rsid w:val="00907F73"/>
    <w:rsid w:val="00910125"/>
    <w:rsid w:val="0091014C"/>
    <w:rsid w:val="00910944"/>
    <w:rsid w:val="00910E0E"/>
    <w:rsid w:val="00911F2E"/>
    <w:rsid w:val="00912B01"/>
    <w:rsid w:val="00912FB4"/>
    <w:rsid w:val="009135B8"/>
    <w:rsid w:val="00913849"/>
    <w:rsid w:val="00913DB5"/>
    <w:rsid w:val="00914227"/>
    <w:rsid w:val="009150B0"/>
    <w:rsid w:val="00915256"/>
    <w:rsid w:val="0091569F"/>
    <w:rsid w:val="00915996"/>
    <w:rsid w:val="00915FFC"/>
    <w:rsid w:val="009160EC"/>
    <w:rsid w:val="00916694"/>
    <w:rsid w:val="00916EA7"/>
    <w:rsid w:val="00916EBC"/>
    <w:rsid w:val="00917452"/>
    <w:rsid w:val="009176F5"/>
    <w:rsid w:val="00920732"/>
    <w:rsid w:val="009209E1"/>
    <w:rsid w:val="009212FC"/>
    <w:rsid w:val="00921650"/>
    <w:rsid w:val="00921DF8"/>
    <w:rsid w:val="0092373C"/>
    <w:rsid w:val="0092383D"/>
    <w:rsid w:val="00923B08"/>
    <w:rsid w:val="00923E06"/>
    <w:rsid w:val="0092404D"/>
    <w:rsid w:val="0092428A"/>
    <w:rsid w:val="0092463C"/>
    <w:rsid w:val="00924E3A"/>
    <w:rsid w:val="0092567B"/>
    <w:rsid w:val="00925FA8"/>
    <w:rsid w:val="009262D2"/>
    <w:rsid w:val="00926A1C"/>
    <w:rsid w:val="00927063"/>
    <w:rsid w:val="009271AD"/>
    <w:rsid w:val="00927256"/>
    <w:rsid w:val="009273E5"/>
    <w:rsid w:val="009300BB"/>
    <w:rsid w:val="009301E9"/>
    <w:rsid w:val="009303F3"/>
    <w:rsid w:val="009305CC"/>
    <w:rsid w:val="009306EA"/>
    <w:rsid w:val="00931663"/>
    <w:rsid w:val="0093194D"/>
    <w:rsid w:val="00931989"/>
    <w:rsid w:val="00931DEE"/>
    <w:rsid w:val="00932800"/>
    <w:rsid w:val="00933010"/>
    <w:rsid w:val="00933058"/>
    <w:rsid w:val="00933068"/>
    <w:rsid w:val="00933575"/>
    <w:rsid w:val="00933BF9"/>
    <w:rsid w:val="00933DB2"/>
    <w:rsid w:val="00934339"/>
    <w:rsid w:val="0093449E"/>
    <w:rsid w:val="00934AB7"/>
    <w:rsid w:val="0093507E"/>
    <w:rsid w:val="009352C9"/>
    <w:rsid w:val="009358E7"/>
    <w:rsid w:val="00936167"/>
    <w:rsid w:val="00936BC3"/>
    <w:rsid w:val="00936D9C"/>
    <w:rsid w:val="00937907"/>
    <w:rsid w:val="00937D6B"/>
    <w:rsid w:val="00940D0E"/>
    <w:rsid w:val="00940F53"/>
    <w:rsid w:val="00940F63"/>
    <w:rsid w:val="0094217D"/>
    <w:rsid w:val="0094245E"/>
    <w:rsid w:val="00942871"/>
    <w:rsid w:val="00942B10"/>
    <w:rsid w:val="00942BCD"/>
    <w:rsid w:val="0094321F"/>
    <w:rsid w:val="00943670"/>
    <w:rsid w:val="00943A16"/>
    <w:rsid w:val="00944763"/>
    <w:rsid w:val="00944A78"/>
    <w:rsid w:val="00944B9C"/>
    <w:rsid w:val="0094568E"/>
    <w:rsid w:val="009458B1"/>
    <w:rsid w:val="009459F7"/>
    <w:rsid w:val="00945F2C"/>
    <w:rsid w:val="009461C0"/>
    <w:rsid w:val="00946744"/>
    <w:rsid w:val="009468EA"/>
    <w:rsid w:val="00947D6A"/>
    <w:rsid w:val="009500E2"/>
    <w:rsid w:val="00950347"/>
    <w:rsid w:val="00950486"/>
    <w:rsid w:val="009505D5"/>
    <w:rsid w:val="009507D1"/>
    <w:rsid w:val="0095085C"/>
    <w:rsid w:val="009512C4"/>
    <w:rsid w:val="009528A9"/>
    <w:rsid w:val="00952A35"/>
    <w:rsid w:val="00952C49"/>
    <w:rsid w:val="0095325F"/>
    <w:rsid w:val="00953411"/>
    <w:rsid w:val="00953860"/>
    <w:rsid w:val="00953E9A"/>
    <w:rsid w:val="009541B0"/>
    <w:rsid w:val="0095438C"/>
    <w:rsid w:val="00954BC3"/>
    <w:rsid w:val="009559E3"/>
    <w:rsid w:val="00956256"/>
    <w:rsid w:val="0095723F"/>
    <w:rsid w:val="00957678"/>
    <w:rsid w:val="009608BA"/>
    <w:rsid w:val="00960B15"/>
    <w:rsid w:val="0096120E"/>
    <w:rsid w:val="00961868"/>
    <w:rsid w:val="00961B32"/>
    <w:rsid w:val="009622D7"/>
    <w:rsid w:val="009625BD"/>
    <w:rsid w:val="00962BC0"/>
    <w:rsid w:val="00962FA2"/>
    <w:rsid w:val="00963BD6"/>
    <w:rsid w:val="0096459B"/>
    <w:rsid w:val="00964D8F"/>
    <w:rsid w:val="009657F3"/>
    <w:rsid w:val="00966184"/>
    <w:rsid w:val="009664F8"/>
    <w:rsid w:val="00967A2A"/>
    <w:rsid w:val="00967DBF"/>
    <w:rsid w:val="0097009B"/>
    <w:rsid w:val="0097060D"/>
    <w:rsid w:val="0097068A"/>
    <w:rsid w:val="009707EA"/>
    <w:rsid w:val="00970AB0"/>
    <w:rsid w:val="00970B74"/>
    <w:rsid w:val="00970EBB"/>
    <w:rsid w:val="00971125"/>
    <w:rsid w:val="0097146D"/>
    <w:rsid w:val="00971733"/>
    <w:rsid w:val="00971942"/>
    <w:rsid w:val="0097256B"/>
    <w:rsid w:val="00973123"/>
    <w:rsid w:val="0097361D"/>
    <w:rsid w:val="00973A58"/>
    <w:rsid w:val="00973AA6"/>
    <w:rsid w:val="0097400A"/>
    <w:rsid w:val="009746CA"/>
    <w:rsid w:val="00975081"/>
    <w:rsid w:val="00975231"/>
    <w:rsid w:val="00975C01"/>
    <w:rsid w:val="00975DEB"/>
    <w:rsid w:val="00975E0C"/>
    <w:rsid w:val="00975F74"/>
    <w:rsid w:val="009762F0"/>
    <w:rsid w:val="009771C7"/>
    <w:rsid w:val="00977243"/>
    <w:rsid w:val="009772E8"/>
    <w:rsid w:val="00977B84"/>
    <w:rsid w:val="009802A6"/>
    <w:rsid w:val="00981150"/>
    <w:rsid w:val="0098157F"/>
    <w:rsid w:val="009826BA"/>
    <w:rsid w:val="009826CD"/>
    <w:rsid w:val="009828E7"/>
    <w:rsid w:val="00982D21"/>
    <w:rsid w:val="00982E97"/>
    <w:rsid w:val="00982EFC"/>
    <w:rsid w:val="00983292"/>
    <w:rsid w:val="0098368C"/>
    <w:rsid w:val="00984392"/>
    <w:rsid w:val="00984AB1"/>
    <w:rsid w:val="00984D85"/>
    <w:rsid w:val="00984FDD"/>
    <w:rsid w:val="0098555E"/>
    <w:rsid w:val="009857E5"/>
    <w:rsid w:val="00985E48"/>
    <w:rsid w:val="009861E5"/>
    <w:rsid w:val="00986A13"/>
    <w:rsid w:val="00986EA9"/>
    <w:rsid w:val="00990515"/>
    <w:rsid w:val="00990A42"/>
    <w:rsid w:val="009919C8"/>
    <w:rsid w:val="00991D0F"/>
    <w:rsid w:val="00992376"/>
    <w:rsid w:val="00992D2E"/>
    <w:rsid w:val="00992D96"/>
    <w:rsid w:val="00992E1D"/>
    <w:rsid w:val="009932A7"/>
    <w:rsid w:val="00993437"/>
    <w:rsid w:val="00993AEE"/>
    <w:rsid w:val="00993C4B"/>
    <w:rsid w:val="009946D9"/>
    <w:rsid w:val="0099499D"/>
    <w:rsid w:val="00994BE7"/>
    <w:rsid w:val="009954C4"/>
    <w:rsid w:val="00995CFA"/>
    <w:rsid w:val="00996240"/>
    <w:rsid w:val="00996AF9"/>
    <w:rsid w:val="00996C91"/>
    <w:rsid w:val="00996D86"/>
    <w:rsid w:val="00996DD3"/>
    <w:rsid w:val="00997B86"/>
    <w:rsid w:val="00997F05"/>
    <w:rsid w:val="009A03D3"/>
    <w:rsid w:val="009A06F5"/>
    <w:rsid w:val="009A0C53"/>
    <w:rsid w:val="009A1312"/>
    <w:rsid w:val="009A14E5"/>
    <w:rsid w:val="009A18C5"/>
    <w:rsid w:val="009A25C0"/>
    <w:rsid w:val="009A2886"/>
    <w:rsid w:val="009A29EC"/>
    <w:rsid w:val="009A30DE"/>
    <w:rsid w:val="009A32F3"/>
    <w:rsid w:val="009A3346"/>
    <w:rsid w:val="009A349C"/>
    <w:rsid w:val="009A39AA"/>
    <w:rsid w:val="009A40A7"/>
    <w:rsid w:val="009A4205"/>
    <w:rsid w:val="009A455A"/>
    <w:rsid w:val="009A4F8E"/>
    <w:rsid w:val="009A517D"/>
    <w:rsid w:val="009A5517"/>
    <w:rsid w:val="009A62AD"/>
    <w:rsid w:val="009A69CA"/>
    <w:rsid w:val="009A711F"/>
    <w:rsid w:val="009A7187"/>
    <w:rsid w:val="009A7458"/>
    <w:rsid w:val="009A746C"/>
    <w:rsid w:val="009A7C35"/>
    <w:rsid w:val="009A7E1C"/>
    <w:rsid w:val="009B0487"/>
    <w:rsid w:val="009B0678"/>
    <w:rsid w:val="009B0FD3"/>
    <w:rsid w:val="009B1637"/>
    <w:rsid w:val="009B28AA"/>
    <w:rsid w:val="009B29B2"/>
    <w:rsid w:val="009B2EDF"/>
    <w:rsid w:val="009B319A"/>
    <w:rsid w:val="009B31E5"/>
    <w:rsid w:val="009B3869"/>
    <w:rsid w:val="009B3BD9"/>
    <w:rsid w:val="009B3BF5"/>
    <w:rsid w:val="009B4FF1"/>
    <w:rsid w:val="009B5024"/>
    <w:rsid w:val="009B5052"/>
    <w:rsid w:val="009B5076"/>
    <w:rsid w:val="009B5DD5"/>
    <w:rsid w:val="009B5ED3"/>
    <w:rsid w:val="009B5F0F"/>
    <w:rsid w:val="009B6513"/>
    <w:rsid w:val="009B6546"/>
    <w:rsid w:val="009B6E10"/>
    <w:rsid w:val="009B7106"/>
    <w:rsid w:val="009B74EF"/>
    <w:rsid w:val="009B7607"/>
    <w:rsid w:val="009B79CD"/>
    <w:rsid w:val="009B7B55"/>
    <w:rsid w:val="009B7E29"/>
    <w:rsid w:val="009C0A0C"/>
    <w:rsid w:val="009C0C36"/>
    <w:rsid w:val="009C0F2E"/>
    <w:rsid w:val="009C107B"/>
    <w:rsid w:val="009C16C1"/>
    <w:rsid w:val="009C17EE"/>
    <w:rsid w:val="009C18B0"/>
    <w:rsid w:val="009C1EBA"/>
    <w:rsid w:val="009C2092"/>
    <w:rsid w:val="009C277E"/>
    <w:rsid w:val="009C2CEF"/>
    <w:rsid w:val="009C2F1E"/>
    <w:rsid w:val="009C331C"/>
    <w:rsid w:val="009C36D7"/>
    <w:rsid w:val="009C4014"/>
    <w:rsid w:val="009C4825"/>
    <w:rsid w:val="009C4884"/>
    <w:rsid w:val="009C4F1E"/>
    <w:rsid w:val="009C504B"/>
    <w:rsid w:val="009C5193"/>
    <w:rsid w:val="009C52AA"/>
    <w:rsid w:val="009C5406"/>
    <w:rsid w:val="009C5698"/>
    <w:rsid w:val="009C5809"/>
    <w:rsid w:val="009C5D06"/>
    <w:rsid w:val="009C6205"/>
    <w:rsid w:val="009C6824"/>
    <w:rsid w:val="009C682A"/>
    <w:rsid w:val="009C68F9"/>
    <w:rsid w:val="009C6A85"/>
    <w:rsid w:val="009C7102"/>
    <w:rsid w:val="009C74E1"/>
    <w:rsid w:val="009C78AD"/>
    <w:rsid w:val="009C7C42"/>
    <w:rsid w:val="009D0432"/>
    <w:rsid w:val="009D059D"/>
    <w:rsid w:val="009D0DBB"/>
    <w:rsid w:val="009D18FF"/>
    <w:rsid w:val="009D1963"/>
    <w:rsid w:val="009D19A3"/>
    <w:rsid w:val="009D2B6C"/>
    <w:rsid w:val="009D3106"/>
    <w:rsid w:val="009D3C1F"/>
    <w:rsid w:val="009D4678"/>
    <w:rsid w:val="009D4B53"/>
    <w:rsid w:val="009D502F"/>
    <w:rsid w:val="009D52E5"/>
    <w:rsid w:val="009D58C6"/>
    <w:rsid w:val="009D5A73"/>
    <w:rsid w:val="009D5E4D"/>
    <w:rsid w:val="009D5E8B"/>
    <w:rsid w:val="009D6527"/>
    <w:rsid w:val="009D693D"/>
    <w:rsid w:val="009D6DCC"/>
    <w:rsid w:val="009D77BB"/>
    <w:rsid w:val="009E02EF"/>
    <w:rsid w:val="009E049A"/>
    <w:rsid w:val="009E0A96"/>
    <w:rsid w:val="009E153B"/>
    <w:rsid w:val="009E1685"/>
    <w:rsid w:val="009E2175"/>
    <w:rsid w:val="009E21D8"/>
    <w:rsid w:val="009E246B"/>
    <w:rsid w:val="009E24C7"/>
    <w:rsid w:val="009E26B5"/>
    <w:rsid w:val="009E29F5"/>
    <w:rsid w:val="009E31E9"/>
    <w:rsid w:val="009E331F"/>
    <w:rsid w:val="009E346A"/>
    <w:rsid w:val="009E3DD6"/>
    <w:rsid w:val="009E3F8D"/>
    <w:rsid w:val="009E40F3"/>
    <w:rsid w:val="009E52C6"/>
    <w:rsid w:val="009E61A8"/>
    <w:rsid w:val="009E62BF"/>
    <w:rsid w:val="009E658F"/>
    <w:rsid w:val="009E68EE"/>
    <w:rsid w:val="009E70B2"/>
    <w:rsid w:val="009E710D"/>
    <w:rsid w:val="009E7D20"/>
    <w:rsid w:val="009F0401"/>
    <w:rsid w:val="009F0B64"/>
    <w:rsid w:val="009F0C7A"/>
    <w:rsid w:val="009F0E45"/>
    <w:rsid w:val="009F0F63"/>
    <w:rsid w:val="009F16C7"/>
    <w:rsid w:val="009F16CD"/>
    <w:rsid w:val="009F1AA7"/>
    <w:rsid w:val="009F2179"/>
    <w:rsid w:val="009F23EA"/>
    <w:rsid w:val="009F29BF"/>
    <w:rsid w:val="009F2ADA"/>
    <w:rsid w:val="009F2E41"/>
    <w:rsid w:val="009F34BD"/>
    <w:rsid w:val="009F3E90"/>
    <w:rsid w:val="009F41E0"/>
    <w:rsid w:val="009F541C"/>
    <w:rsid w:val="009F5801"/>
    <w:rsid w:val="009F6771"/>
    <w:rsid w:val="009F68DF"/>
    <w:rsid w:val="009F6E5A"/>
    <w:rsid w:val="009F70CC"/>
    <w:rsid w:val="009F7824"/>
    <w:rsid w:val="009F792F"/>
    <w:rsid w:val="00A0014B"/>
    <w:rsid w:val="00A00B4A"/>
    <w:rsid w:val="00A01043"/>
    <w:rsid w:val="00A01A66"/>
    <w:rsid w:val="00A01A8B"/>
    <w:rsid w:val="00A01C50"/>
    <w:rsid w:val="00A02C90"/>
    <w:rsid w:val="00A02EEA"/>
    <w:rsid w:val="00A02FE4"/>
    <w:rsid w:val="00A037F8"/>
    <w:rsid w:val="00A03B6C"/>
    <w:rsid w:val="00A03E86"/>
    <w:rsid w:val="00A03E94"/>
    <w:rsid w:val="00A03FBA"/>
    <w:rsid w:val="00A04D9A"/>
    <w:rsid w:val="00A0530C"/>
    <w:rsid w:val="00A0542F"/>
    <w:rsid w:val="00A05496"/>
    <w:rsid w:val="00A05CB4"/>
    <w:rsid w:val="00A060EB"/>
    <w:rsid w:val="00A065E6"/>
    <w:rsid w:val="00A06CD4"/>
    <w:rsid w:val="00A06F6F"/>
    <w:rsid w:val="00A07E4E"/>
    <w:rsid w:val="00A101C8"/>
    <w:rsid w:val="00A10933"/>
    <w:rsid w:val="00A10D4F"/>
    <w:rsid w:val="00A10E16"/>
    <w:rsid w:val="00A11096"/>
    <w:rsid w:val="00A1120A"/>
    <w:rsid w:val="00A112D3"/>
    <w:rsid w:val="00A1160E"/>
    <w:rsid w:val="00A11735"/>
    <w:rsid w:val="00A11B58"/>
    <w:rsid w:val="00A12973"/>
    <w:rsid w:val="00A13801"/>
    <w:rsid w:val="00A13AE0"/>
    <w:rsid w:val="00A13DDF"/>
    <w:rsid w:val="00A13E93"/>
    <w:rsid w:val="00A1401A"/>
    <w:rsid w:val="00A14CB4"/>
    <w:rsid w:val="00A14DA3"/>
    <w:rsid w:val="00A14EC7"/>
    <w:rsid w:val="00A14F8C"/>
    <w:rsid w:val="00A15437"/>
    <w:rsid w:val="00A1555C"/>
    <w:rsid w:val="00A15B13"/>
    <w:rsid w:val="00A15CCE"/>
    <w:rsid w:val="00A15CFB"/>
    <w:rsid w:val="00A166B1"/>
    <w:rsid w:val="00A16701"/>
    <w:rsid w:val="00A16E82"/>
    <w:rsid w:val="00A2054A"/>
    <w:rsid w:val="00A20CCA"/>
    <w:rsid w:val="00A212AB"/>
    <w:rsid w:val="00A2149A"/>
    <w:rsid w:val="00A215F4"/>
    <w:rsid w:val="00A21748"/>
    <w:rsid w:val="00A21F53"/>
    <w:rsid w:val="00A21FE5"/>
    <w:rsid w:val="00A2236A"/>
    <w:rsid w:val="00A22C2E"/>
    <w:rsid w:val="00A22C3A"/>
    <w:rsid w:val="00A22DC9"/>
    <w:rsid w:val="00A22E0B"/>
    <w:rsid w:val="00A22F37"/>
    <w:rsid w:val="00A23396"/>
    <w:rsid w:val="00A23A94"/>
    <w:rsid w:val="00A23D5B"/>
    <w:rsid w:val="00A23E61"/>
    <w:rsid w:val="00A24342"/>
    <w:rsid w:val="00A246D4"/>
    <w:rsid w:val="00A247F0"/>
    <w:rsid w:val="00A24EFD"/>
    <w:rsid w:val="00A25427"/>
    <w:rsid w:val="00A256BF"/>
    <w:rsid w:val="00A25E0E"/>
    <w:rsid w:val="00A263F3"/>
    <w:rsid w:val="00A267AE"/>
    <w:rsid w:val="00A278A3"/>
    <w:rsid w:val="00A27D25"/>
    <w:rsid w:val="00A30F23"/>
    <w:rsid w:val="00A31531"/>
    <w:rsid w:val="00A316ED"/>
    <w:rsid w:val="00A31C98"/>
    <w:rsid w:val="00A31F75"/>
    <w:rsid w:val="00A3289A"/>
    <w:rsid w:val="00A333DA"/>
    <w:rsid w:val="00A33AC4"/>
    <w:rsid w:val="00A33EE0"/>
    <w:rsid w:val="00A34B0E"/>
    <w:rsid w:val="00A34EA1"/>
    <w:rsid w:val="00A3553D"/>
    <w:rsid w:val="00A3627F"/>
    <w:rsid w:val="00A371AC"/>
    <w:rsid w:val="00A37269"/>
    <w:rsid w:val="00A37514"/>
    <w:rsid w:val="00A37522"/>
    <w:rsid w:val="00A3757C"/>
    <w:rsid w:val="00A401DF"/>
    <w:rsid w:val="00A40471"/>
    <w:rsid w:val="00A4065A"/>
    <w:rsid w:val="00A40822"/>
    <w:rsid w:val="00A40A78"/>
    <w:rsid w:val="00A40A87"/>
    <w:rsid w:val="00A40C5B"/>
    <w:rsid w:val="00A40E05"/>
    <w:rsid w:val="00A40FEB"/>
    <w:rsid w:val="00A41434"/>
    <w:rsid w:val="00A41B58"/>
    <w:rsid w:val="00A42A83"/>
    <w:rsid w:val="00A43031"/>
    <w:rsid w:val="00A437A5"/>
    <w:rsid w:val="00A437DD"/>
    <w:rsid w:val="00A4394F"/>
    <w:rsid w:val="00A43B58"/>
    <w:rsid w:val="00A43F1E"/>
    <w:rsid w:val="00A442CD"/>
    <w:rsid w:val="00A44B61"/>
    <w:rsid w:val="00A44E58"/>
    <w:rsid w:val="00A44E72"/>
    <w:rsid w:val="00A452B9"/>
    <w:rsid w:val="00A45943"/>
    <w:rsid w:val="00A45C1E"/>
    <w:rsid w:val="00A469D9"/>
    <w:rsid w:val="00A4784E"/>
    <w:rsid w:val="00A47B70"/>
    <w:rsid w:val="00A506A1"/>
    <w:rsid w:val="00A50C46"/>
    <w:rsid w:val="00A5117A"/>
    <w:rsid w:val="00A51393"/>
    <w:rsid w:val="00A5192B"/>
    <w:rsid w:val="00A51F53"/>
    <w:rsid w:val="00A52385"/>
    <w:rsid w:val="00A5251E"/>
    <w:rsid w:val="00A5293B"/>
    <w:rsid w:val="00A52BC3"/>
    <w:rsid w:val="00A53157"/>
    <w:rsid w:val="00A533ED"/>
    <w:rsid w:val="00A53A07"/>
    <w:rsid w:val="00A53A2A"/>
    <w:rsid w:val="00A53C5A"/>
    <w:rsid w:val="00A53F0E"/>
    <w:rsid w:val="00A54537"/>
    <w:rsid w:val="00A545AF"/>
    <w:rsid w:val="00A54EEF"/>
    <w:rsid w:val="00A55C2B"/>
    <w:rsid w:val="00A55DD4"/>
    <w:rsid w:val="00A55E55"/>
    <w:rsid w:val="00A56791"/>
    <w:rsid w:val="00A56C08"/>
    <w:rsid w:val="00A572A7"/>
    <w:rsid w:val="00A5763A"/>
    <w:rsid w:val="00A577AC"/>
    <w:rsid w:val="00A60E80"/>
    <w:rsid w:val="00A6156D"/>
    <w:rsid w:val="00A615CA"/>
    <w:rsid w:val="00A615FF"/>
    <w:rsid w:val="00A61749"/>
    <w:rsid w:val="00A61A5E"/>
    <w:rsid w:val="00A61D82"/>
    <w:rsid w:val="00A61D85"/>
    <w:rsid w:val="00A62CC4"/>
    <w:rsid w:val="00A62DAE"/>
    <w:rsid w:val="00A63B18"/>
    <w:rsid w:val="00A63B90"/>
    <w:rsid w:val="00A63E49"/>
    <w:rsid w:val="00A64103"/>
    <w:rsid w:val="00A644C8"/>
    <w:rsid w:val="00A647E7"/>
    <w:rsid w:val="00A64F22"/>
    <w:rsid w:val="00A6529E"/>
    <w:rsid w:val="00A65A59"/>
    <w:rsid w:val="00A66668"/>
    <w:rsid w:val="00A666D0"/>
    <w:rsid w:val="00A66BB3"/>
    <w:rsid w:val="00A66D4F"/>
    <w:rsid w:val="00A67195"/>
    <w:rsid w:val="00A672D8"/>
    <w:rsid w:val="00A6748C"/>
    <w:rsid w:val="00A6754F"/>
    <w:rsid w:val="00A67638"/>
    <w:rsid w:val="00A703F1"/>
    <w:rsid w:val="00A70693"/>
    <w:rsid w:val="00A70D0A"/>
    <w:rsid w:val="00A70F29"/>
    <w:rsid w:val="00A7153B"/>
    <w:rsid w:val="00A71908"/>
    <w:rsid w:val="00A7193F"/>
    <w:rsid w:val="00A7212B"/>
    <w:rsid w:val="00A72377"/>
    <w:rsid w:val="00A72CE4"/>
    <w:rsid w:val="00A72F5F"/>
    <w:rsid w:val="00A72F73"/>
    <w:rsid w:val="00A7328A"/>
    <w:rsid w:val="00A737E2"/>
    <w:rsid w:val="00A73A4E"/>
    <w:rsid w:val="00A73BD3"/>
    <w:rsid w:val="00A73BFD"/>
    <w:rsid w:val="00A73FCA"/>
    <w:rsid w:val="00A742B0"/>
    <w:rsid w:val="00A74B9B"/>
    <w:rsid w:val="00A74F1D"/>
    <w:rsid w:val="00A752C8"/>
    <w:rsid w:val="00A75413"/>
    <w:rsid w:val="00A7548F"/>
    <w:rsid w:val="00A75955"/>
    <w:rsid w:val="00A759A4"/>
    <w:rsid w:val="00A75CA4"/>
    <w:rsid w:val="00A75D1E"/>
    <w:rsid w:val="00A75F7E"/>
    <w:rsid w:val="00A76198"/>
    <w:rsid w:val="00A7752A"/>
    <w:rsid w:val="00A77D23"/>
    <w:rsid w:val="00A77FF7"/>
    <w:rsid w:val="00A8023C"/>
    <w:rsid w:val="00A804C6"/>
    <w:rsid w:val="00A8066F"/>
    <w:rsid w:val="00A80A6A"/>
    <w:rsid w:val="00A8126C"/>
    <w:rsid w:val="00A8291E"/>
    <w:rsid w:val="00A82946"/>
    <w:rsid w:val="00A829AF"/>
    <w:rsid w:val="00A82CC7"/>
    <w:rsid w:val="00A82F1D"/>
    <w:rsid w:val="00A831C9"/>
    <w:rsid w:val="00A83268"/>
    <w:rsid w:val="00A838CD"/>
    <w:rsid w:val="00A83DB9"/>
    <w:rsid w:val="00A84E47"/>
    <w:rsid w:val="00A85C79"/>
    <w:rsid w:val="00A87FB4"/>
    <w:rsid w:val="00A9013A"/>
    <w:rsid w:val="00A90C48"/>
    <w:rsid w:val="00A91D50"/>
    <w:rsid w:val="00A91D64"/>
    <w:rsid w:val="00A91DEC"/>
    <w:rsid w:val="00A91E57"/>
    <w:rsid w:val="00A91ECD"/>
    <w:rsid w:val="00A921FA"/>
    <w:rsid w:val="00A9256D"/>
    <w:rsid w:val="00A92883"/>
    <w:rsid w:val="00A929D8"/>
    <w:rsid w:val="00A92A5D"/>
    <w:rsid w:val="00A92E83"/>
    <w:rsid w:val="00A935BB"/>
    <w:rsid w:val="00A93B5B"/>
    <w:rsid w:val="00A93C3A"/>
    <w:rsid w:val="00A941D2"/>
    <w:rsid w:val="00A944C1"/>
    <w:rsid w:val="00A95DD8"/>
    <w:rsid w:val="00A96EFA"/>
    <w:rsid w:val="00A97420"/>
    <w:rsid w:val="00A976BD"/>
    <w:rsid w:val="00A97F9B"/>
    <w:rsid w:val="00AA0183"/>
    <w:rsid w:val="00AA0362"/>
    <w:rsid w:val="00AA0492"/>
    <w:rsid w:val="00AA06C1"/>
    <w:rsid w:val="00AA0A22"/>
    <w:rsid w:val="00AA0D06"/>
    <w:rsid w:val="00AA11BC"/>
    <w:rsid w:val="00AA1553"/>
    <w:rsid w:val="00AA1E78"/>
    <w:rsid w:val="00AA2244"/>
    <w:rsid w:val="00AA367D"/>
    <w:rsid w:val="00AA3CC5"/>
    <w:rsid w:val="00AA3E24"/>
    <w:rsid w:val="00AA5F6F"/>
    <w:rsid w:val="00AA64F8"/>
    <w:rsid w:val="00AA6BCD"/>
    <w:rsid w:val="00AA702C"/>
    <w:rsid w:val="00AA74C4"/>
    <w:rsid w:val="00AA76CE"/>
    <w:rsid w:val="00AB00E6"/>
    <w:rsid w:val="00AB0805"/>
    <w:rsid w:val="00AB1215"/>
    <w:rsid w:val="00AB2B67"/>
    <w:rsid w:val="00AB2CB6"/>
    <w:rsid w:val="00AB2D4C"/>
    <w:rsid w:val="00AB32B0"/>
    <w:rsid w:val="00AB379D"/>
    <w:rsid w:val="00AB3B68"/>
    <w:rsid w:val="00AB3FF1"/>
    <w:rsid w:val="00AB415D"/>
    <w:rsid w:val="00AB5225"/>
    <w:rsid w:val="00AB52ED"/>
    <w:rsid w:val="00AB54DE"/>
    <w:rsid w:val="00AB5678"/>
    <w:rsid w:val="00AB618B"/>
    <w:rsid w:val="00AB61AC"/>
    <w:rsid w:val="00AB6CEB"/>
    <w:rsid w:val="00AB7824"/>
    <w:rsid w:val="00AC08E3"/>
    <w:rsid w:val="00AC09A3"/>
    <w:rsid w:val="00AC09D1"/>
    <w:rsid w:val="00AC0E0A"/>
    <w:rsid w:val="00AC0F54"/>
    <w:rsid w:val="00AC103B"/>
    <w:rsid w:val="00AC1411"/>
    <w:rsid w:val="00AC181A"/>
    <w:rsid w:val="00AC1A21"/>
    <w:rsid w:val="00AC25B9"/>
    <w:rsid w:val="00AC28DD"/>
    <w:rsid w:val="00AC2CD5"/>
    <w:rsid w:val="00AC3481"/>
    <w:rsid w:val="00AC3A6D"/>
    <w:rsid w:val="00AC40DA"/>
    <w:rsid w:val="00AC4154"/>
    <w:rsid w:val="00AC43F6"/>
    <w:rsid w:val="00AC4EF2"/>
    <w:rsid w:val="00AC4F67"/>
    <w:rsid w:val="00AC53E9"/>
    <w:rsid w:val="00AC5889"/>
    <w:rsid w:val="00AC5D4C"/>
    <w:rsid w:val="00AC6AF0"/>
    <w:rsid w:val="00AC6B15"/>
    <w:rsid w:val="00AC7025"/>
    <w:rsid w:val="00AD152F"/>
    <w:rsid w:val="00AD1592"/>
    <w:rsid w:val="00AD15C6"/>
    <w:rsid w:val="00AD1AA8"/>
    <w:rsid w:val="00AD1D85"/>
    <w:rsid w:val="00AD2003"/>
    <w:rsid w:val="00AD2881"/>
    <w:rsid w:val="00AD33A7"/>
    <w:rsid w:val="00AD3495"/>
    <w:rsid w:val="00AD393C"/>
    <w:rsid w:val="00AD3E20"/>
    <w:rsid w:val="00AD4155"/>
    <w:rsid w:val="00AD42F7"/>
    <w:rsid w:val="00AD4EBD"/>
    <w:rsid w:val="00AD4EEF"/>
    <w:rsid w:val="00AD5F4C"/>
    <w:rsid w:val="00AD625B"/>
    <w:rsid w:val="00AD626D"/>
    <w:rsid w:val="00AD6993"/>
    <w:rsid w:val="00AD69C0"/>
    <w:rsid w:val="00AD69DE"/>
    <w:rsid w:val="00AD69F1"/>
    <w:rsid w:val="00AD7D30"/>
    <w:rsid w:val="00AE01EB"/>
    <w:rsid w:val="00AE0EA8"/>
    <w:rsid w:val="00AE1309"/>
    <w:rsid w:val="00AE1410"/>
    <w:rsid w:val="00AE15AA"/>
    <w:rsid w:val="00AE1A11"/>
    <w:rsid w:val="00AE1F67"/>
    <w:rsid w:val="00AE20E5"/>
    <w:rsid w:val="00AE24B7"/>
    <w:rsid w:val="00AE346E"/>
    <w:rsid w:val="00AE3C2E"/>
    <w:rsid w:val="00AE3E83"/>
    <w:rsid w:val="00AE4160"/>
    <w:rsid w:val="00AE42B3"/>
    <w:rsid w:val="00AE536A"/>
    <w:rsid w:val="00AE5465"/>
    <w:rsid w:val="00AE5E80"/>
    <w:rsid w:val="00AE633E"/>
    <w:rsid w:val="00AE6485"/>
    <w:rsid w:val="00AE6806"/>
    <w:rsid w:val="00AE6C93"/>
    <w:rsid w:val="00AE7D4D"/>
    <w:rsid w:val="00AE7E66"/>
    <w:rsid w:val="00AF045E"/>
    <w:rsid w:val="00AF0DC1"/>
    <w:rsid w:val="00AF12DC"/>
    <w:rsid w:val="00AF2087"/>
    <w:rsid w:val="00AF2156"/>
    <w:rsid w:val="00AF2451"/>
    <w:rsid w:val="00AF2465"/>
    <w:rsid w:val="00AF24C0"/>
    <w:rsid w:val="00AF269D"/>
    <w:rsid w:val="00AF26CA"/>
    <w:rsid w:val="00AF3225"/>
    <w:rsid w:val="00AF40BD"/>
    <w:rsid w:val="00AF4B5E"/>
    <w:rsid w:val="00AF53CA"/>
    <w:rsid w:val="00AF5890"/>
    <w:rsid w:val="00AF5A6B"/>
    <w:rsid w:val="00AF5F0E"/>
    <w:rsid w:val="00AF5F18"/>
    <w:rsid w:val="00AF609A"/>
    <w:rsid w:val="00AF62D1"/>
    <w:rsid w:val="00AF6352"/>
    <w:rsid w:val="00AF65E5"/>
    <w:rsid w:val="00AF663C"/>
    <w:rsid w:val="00AF6823"/>
    <w:rsid w:val="00AF6906"/>
    <w:rsid w:val="00AF6A0F"/>
    <w:rsid w:val="00AF76FF"/>
    <w:rsid w:val="00AF7B12"/>
    <w:rsid w:val="00B00E1D"/>
    <w:rsid w:val="00B01B02"/>
    <w:rsid w:val="00B01B73"/>
    <w:rsid w:val="00B021D4"/>
    <w:rsid w:val="00B02533"/>
    <w:rsid w:val="00B02A9E"/>
    <w:rsid w:val="00B02D08"/>
    <w:rsid w:val="00B02E59"/>
    <w:rsid w:val="00B03885"/>
    <w:rsid w:val="00B03A45"/>
    <w:rsid w:val="00B040D6"/>
    <w:rsid w:val="00B0411C"/>
    <w:rsid w:val="00B04422"/>
    <w:rsid w:val="00B04882"/>
    <w:rsid w:val="00B04B1B"/>
    <w:rsid w:val="00B04DE9"/>
    <w:rsid w:val="00B06719"/>
    <w:rsid w:val="00B06DC8"/>
    <w:rsid w:val="00B07839"/>
    <w:rsid w:val="00B07AB8"/>
    <w:rsid w:val="00B07B26"/>
    <w:rsid w:val="00B102F2"/>
    <w:rsid w:val="00B1096B"/>
    <w:rsid w:val="00B11943"/>
    <w:rsid w:val="00B126DE"/>
    <w:rsid w:val="00B12B40"/>
    <w:rsid w:val="00B12C76"/>
    <w:rsid w:val="00B1372F"/>
    <w:rsid w:val="00B1400D"/>
    <w:rsid w:val="00B1464F"/>
    <w:rsid w:val="00B14B61"/>
    <w:rsid w:val="00B14C2C"/>
    <w:rsid w:val="00B14DED"/>
    <w:rsid w:val="00B14E76"/>
    <w:rsid w:val="00B14F4D"/>
    <w:rsid w:val="00B15548"/>
    <w:rsid w:val="00B15554"/>
    <w:rsid w:val="00B157C1"/>
    <w:rsid w:val="00B15E4A"/>
    <w:rsid w:val="00B165B1"/>
    <w:rsid w:val="00B16D60"/>
    <w:rsid w:val="00B176DA"/>
    <w:rsid w:val="00B176E1"/>
    <w:rsid w:val="00B17AD3"/>
    <w:rsid w:val="00B2062F"/>
    <w:rsid w:val="00B20A50"/>
    <w:rsid w:val="00B21316"/>
    <w:rsid w:val="00B219CF"/>
    <w:rsid w:val="00B21C95"/>
    <w:rsid w:val="00B220AE"/>
    <w:rsid w:val="00B22202"/>
    <w:rsid w:val="00B22EB1"/>
    <w:rsid w:val="00B23456"/>
    <w:rsid w:val="00B235D9"/>
    <w:rsid w:val="00B23E5A"/>
    <w:rsid w:val="00B2414F"/>
    <w:rsid w:val="00B24357"/>
    <w:rsid w:val="00B246DF"/>
    <w:rsid w:val="00B2503C"/>
    <w:rsid w:val="00B251C0"/>
    <w:rsid w:val="00B252BE"/>
    <w:rsid w:val="00B25E2B"/>
    <w:rsid w:val="00B2659B"/>
    <w:rsid w:val="00B26676"/>
    <w:rsid w:val="00B27EA1"/>
    <w:rsid w:val="00B27ED6"/>
    <w:rsid w:val="00B302C0"/>
    <w:rsid w:val="00B305B7"/>
    <w:rsid w:val="00B31B55"/>
    <w:rsid w:val="00B31E8B"/>
    <w:rsid w:val="00B32638"/>
    <w:rsid w:val="00B32C8D"/>
    <w:rsid w:val="00B3329E"/>
    <w:rsid w:val="00B33326"/>
    <w:rsid w:val="00B3333D"/>
    <w:rsid w:val="00B34D85"/>
    <w:rsid w:val="00B34FAE"/>
    <w:rsid w:val="00B3575D"/>
    <w:rsid w:val="00B35CF0"/>
    <w:rsid w:val="00B3631B"/>
    <w:rsid w:val="00B369D0"/>
    <w:rsid w:val="00B3704D"/>
    <w:rsid w:val="00B37313"/>
    <w:rsid w:val="00B37E7E"/>
    <w:rsid w:val="00B37F1B"/>
    <w:rsid w:val="00B37F22"/>
    <w:rsid w:val="00B4020B"/>
    <w:rsid w:val="00B41452"/>
    <w:rsid w:val="00B415D7"/>
    <w:rsid w:val="00B418C2"/>
    <w:rsid w:val="00B4200D"/>
    <w:rsid w:val="00B4266D"/>
    <w:rsid w:val="00B42A64"/>
    <w:rsid w:val="00B42D92"/>
    <w:rsid w:val="00B4348B"/>
    <w:rsid w:val="00B436B7"/>
    <w:rsid w:val="00B43788"/>
    <w:rsid w:val="00B43B4E"/>
    <w:rsid w:val="00B43D71"/>
    <w:rsid w:val="00B447E4"/>
    <w:rsid w:val="00B4486C"/>
    <w:rsid w:val="00B449A3"/>
    <w:rsid w:val="00B449A9"/>
    <w:rsid w:val="00B44D0E"/>
    <w:rsid w:val="00B4533F"/>
    <w:rsid w:val="00B458AC"/>
    <w:rsid w:val="00B46051"/>
    <w:rsid w:val="00B46841"/>
    <w:rsid w:val="00B46C76"/>
    <w:rsid w:val="00B47248"/>
    <w:rsid w:val="00B47270"/>
    <w:rsid w:val="00B473E4"/>
    <w:rsid w:val="00B4760A"/>
    <w:rsid w:val="00B47889"/>
    <w:rsid w:val="00B47BFD"/>
    <w:rsid w:val="00B47CDF"/>
    <w:rsid w:val="00B50645"/>
    <w:rsid w:val="00B507ED"/>
    <w:rsid w:val="00B5082C"/>
    <w:rsid w:val="00B50B69"/>
    <w:rsid w:val="00B50CD9"/>
    <w:rsid w:val="00B50CE0"/>
    <w:rsid w:val="00B50E14"/>
    <w:rsid w:val="00B5100F"/>
    <w:rsid w:val="00B52055"/>
    <w:rsid w:val="00B5289D"/>
    <w:rsid w:val="00B528F7"/>
    <w:rsid w:val="00B52CFD"/>
    <w:rsid w:val="00B530D8"/>
    <w:rsid w:val="00B54F3B"/>
    <w:rsid w:val="00B55289"/>
    <w:rsid w:val="00B554D4"/>
    <w:rsid w:val="00B558B3"/>
    <w:rsid w:val="00B558D6"/>
    <w:rsid w:val="00B5595F"/>
    <w:rsid w:val="00B56C13"/>
    <w:rsid w:val="00B56F9D"/>
    <w:rsid w:val="00B57B5B"/>
    <w:rsid w:val="00B57EEC"/>
    <w:rsid w:val="00B600F8"/>
    <w:rsid w:val="00B6014B"/>
    <w:rsid w:val="00B60822"/>
    <w:rsid w:val="00B609B4"/>
    <w:rsid w:val="00B60D9A"/>
    <w:rsid w:val="00B6127A"/>
    <w:rsid w:val="00B61AC2"/>
    <w:rsid w:val="00B61B27"/>
    <w:rsid w:val="00B61CD9"/>
    <w:rsid w:val="00B62752"/>
    <w:rsid w:val="00B62889"/>
    <w:rsid w:val="00B629A9"/>
    <w:rsid w:val="00B62EB6"/>
    <w:rsid w:val="00B63395"/>
    <w:rsid w:val="00B634BA"/>
    <w:rsid w:val="00B63527"/>
    <w:rsid w:val="00B63C0B"/>
    <w:rsid w:val="00B63D45"/>
    <w:rsid w:val="00B63FCE"/>
    <w:rsid w:val="00B641EB"/>
    <w:rsid w:val="00B64208"/>
    <w:rsid w:val="00B64710"/>
    <w:rsid w:val="00B6492A"/>
    <w:rsid w:val="00B64F4F"/>
    <w:rsid w:val="00B650A2"/>
    <w:rsid w:val="00B65D7A"/>
    <w:rsid w:val="00B66061"/>
    <w:rsid w:val="00B6630F"/>
    <w:rsid w:val="00B66354"/>
    <w:rsid w:val="00B66AA2"/>
    <w:rsid w:val="00B66F33"/>
    <w:rsid w:val="00B674E4"/>
    <w:rsid w:val="00B678E7"/>
    <w:rsid w:val="00B70539"/>
    <w:rsid w:val="00B70612"/>
    <w:rsid w:val="00B70E4C"/>
    <w:rsid w:val="00B71916"/>
    <w:rsid w:val="00B71AC4"/>
    <w:rsid w:val="00B733BF"/>
    <w:rsid w:val="00B73558"/>
    <w:rsid w:val="00B7384F"/>
    <w:rsid w:val="00B747F9"/>
    <w:rsid w:val="00B74CC1"/>
    <w:rsid w:val="00B75193"/>
    <w:rsid w:val="00B75318"/>
    <w:rsid w:val="00B75515"/>
    <w:rsid w:val="00B7581F"/>
    <w:rsid w:val="00B76340"/>
    <w:rsid w:val="00B76A40"/>
    <w:rsid w:val="00B7756F"/>
    <w:rsid w:val="00B77893"/>
    <w:rsid w:val="00B778A0"/>
    <w:rsid w:val="00B77AB8"/>
    <w:rsid w:val="00B80B87"/>
    <w:rsid w:val="00B8125E"/>
    <w:rsid w:val="00B8130B"/>
    <w:rsid w:val="00B818B9"/>
    <w:rsid w:val="00B820C2"/>
    <w:rsid w:val="00B83810"/>
    <w:rsid w:val="00B8473E"/>
    <w:rsid w:val="00B85134"/>
    <w:rsid w:val="00B8522F"/>
    <w:rsid w:val="00B86094"/>
    <w:rsid w:val="00B86157"/>
    <w:rsid w:val="00B8671A"/>
    <w:rsid w:val="00B867CF"/>
    <w:rsid w:val="00B86D8D"/>
    <w:rsid w:val="00B8705E"/>
    <w:rsid w:val="00B878EF"/>
    <w:rsid w:val="00B87A7A"/>
    <w:rsid w:val="00B87DF3"/>
    <w:rsid w:val="00B87FBA"/>
    <w:rsid w:val="00B90DEA"/>
    <w:rsid w:val="00B91C8F"/>
    <w:rsid w:val="00B91D94"/>
    <w:rsid w:val="00B91F5A"/>
    <w:rsid w:val="00B9204E"/>
    <w:rsid w:val="00B929BF"/>
    <w:rsid w:val="00B92A9A"/>
    <w:rsid w:val="00B92B98"/>
    <w:rsid w:val="00B92D8B"/>
    <w:rsid w:val="00B93045"/>
    <w:rsid w:val="00B931C4"/>
    <w:rsid w:val="00B93277"/>
    <w:rsid w:val="00B934D0"/>
    <w:rsid w:val="00B93E10"/>
    <w:rsid w:val="00B9431A"/>
    <w:rsid w:val="00B945A4"/>
    <w:rsid w:val="00B94676"/>
    <w:rsid w:val="00B94AA6"/>
    <w:rsid w:val="00B94AAF"/>
    <w:rsid w:val="00B95907"/>
    <w:rsid w:val="00B95AEF"/>
    <w:rsid w:val="00B95B0A"/>
    <w:rsid w:val="00B95C5D"/>
    <w:rsid w:val="00B95DD0"/>
    <w:rsid w:val="00B96482"/>
    <w:rsid w:val="00B9649A"/>
    <w:rsid w:val="00B96668"/>
    <w:rsid w:val="00B968E4"/>
    <w:rsid w:val="00B96DC0"/>
    <w:rsid w:val="00B97419"/>
    <w:rsid w:val="00B97F80"/>
    <w:rsid w:val="00BA0209"/>
    <w:rsid w:val="00BA0B74"/>
    <w:rsid w:val="00BA0C49"/>
    <w:rsid w:val="00BA10BA"/>
    <w:rsid w:val="00BA1C62"/>
    <w:rsid w:val="00BA1D0E"/>
    <w:rsid w:val="00BA1F96"/>
    <w:rsid w:val="00BA26A4"/>
    <w:rsid w:val="00BA2CEF"/>
    <w:rsid w:val="00BA2EB0"/>
    <w:rsid w:val="00BA3135"/>
    <w:rsid w:val="00BA3664"/>
    <w:rsid w:val="00BA375C"/>
    <w:rsid w:val="00BA3A8F"/>
    <w:rsid w:val="00BA4066"/>
    <w:rsid w:val="00BA43B6"/>
    <w:rsid w:val="00BA4562"/>
    <w:rsid w:val="00BA46C1"/>
    <w:rsid w:val="00BA4879"/>
    <w:rsid w:val="00BA4AC4"/>
    <w:rsid w:val="00BA541B"/>
    <w:rsid w:val="00BA56D5"/>
    <w:rsid w:val="00BA5952"/>
    <w:rsid w:val="00BA67C9"/>
    <w:rsid w:val="00BA69CA"/>
    <w:rsid w:val="00BA6AC7"/>
    <w:rsid w:val="00BA701A"/>
    <w:rsid w:val="00BA718B"/>
    <w:rsid w:val="00BA7C55"/>
    <w:rsid w:val="00BB0010"/>
    <w:rsid w:val="00BB02BD"/>
    <w:rsid w:val="00BB06A7"/>
    <w:rsid w:val="00BB06D4"/>
    <w:rsid w:val="00BB110E"/>
    <w:rsid w:val="00BB14A4"/>
    <w:rsid w:val="00BB18A1"/>
    <w:rsid w:val="00BB20EF"/>
    <w:rsid w:val="00BB2694"/>
    <w:rsid w:val="00BB26CE"/>
    <w:rsid w:val="00BB3B41"/>
    <w:rsid w:val="00BB3C05"/>
    <w:rsid w:val="00BB3FBD"/>
    <w:rsid w:val="00BB4287"/>
    <w:rsid w:val="00BB42B1"/>
    <w:rsid w:val="00BB4492"/>
    <w:rsid w:val="00BB5361"/>
    <w:rsid w:val="00BB5B5A"/>
    <w:rsid w:val="00BB5EF3"/>
    <w:rsid w:val="00BB65D0"/>
    <w:rsid w:val="00BB68CA"/>
    <w:rsid w:val="00BB6B0E"/>
    <w:rsid w:val="00BB7235"/>
    <w:rsid w:val="00BB7598"/>
    <w:rsid w:val="00BC0B4B"/>
    <w:rsid w:val="00BC1621"/>
    <w:rsid w:val="00BC2253"/>
    <w:rsid w:val="00BC29D5"/>
    <w:rsid w:val="00BC3127"/>
    <w:rsid w:val="00BC335C"/>
    <w:rsid w:val="00BC3551"/>
    <w:rsid w:val="00BC3BC6"/>
    <w:rsid w:val="00BC3E00"/>
    <w:rsid w:val="00BC40BF"/>
    <w:rsid w:val="00BC44C9"/>
    <w:rsid w:val="00BC45C1"/>
    <w:rsid w:val="00BC4E1B"/>
    <w:rsid w:val="00BC4EA1"/>
    <w:rsid w:val="00BC5241"/>
    <w:rsid w:val="00BC55C9"/>
    <w:rsid w:val="00BC5E41"/>
    <w:rsid w:val="00BC63FF"/>
    <w:rsid w:val="00BC679A"/>
    <w:rsid w:val="00BC6B80"/>
    <w:rsid w:val="00BC6C7A"/>
    <w:rsid w:val="00BC77F6"/>
    <w:rsid w:val="00BC7B95"/>
    <w:rsid w:val="00BC7D87"/>
    <w:rsid w:val="00BD0079"/>
    <w:rsid w:val="00BD133C"/>
    <w:rsid w:val="00BD1957"/>
    <w:rsid w:val="00BD25E1"/>
    <w:rsid w:val="00BD33CE"/>
    <w:rsid w:val="00BD3466"/>
    <w:rsid w:val="00BD34A2"/>
    <w:rsid w:val="00BD3663"/>
    <w:rsid w:val="00BD3BC9"/>
    <w:rsid w:val="00BD3D41"/>
    <w:rsid w:val="00BD40CB"/>
    <w:rsid w:val="00BD4112"/>
    <w:rsid w:val="00BD4120"/>
    <w:rsid w:val="00BD44F1"/>
    <w:rsid w:val="00BD488E"/>
    <w:rsid w:val="00BD4C8A"/>
    <w:rsid w:val="00BD50BE"/>
    <w:rsid w:val="00BD531B"/>
    <w:rsid w:val="00BD5908"/>
    <w:rsid w:val="00BD5C91"/>
    <w:rsid w:val="00BD651F"/>
    <w:rsid w:val="00BD6A5D"/>
    <w:rsid w:val="00BD6B5E"/>
    <w:rsid w:val="00BD7459"/>
    <w:rsid w:val="00BD7710"/>
    <w:rsid w:val="00BD7C4B"/>
    <w:rsid w:val="00BD7EE6"/>
    <w:rsid w:val="00BD7F0C"/>
    <w:rsid w:val="00BE002B"/>
    <w:rsid w:val="00BE0389"/>
    <w:rsid w:val="00BE0D9C"/>
    <w:rsid w:val="00BE0E72"/>
    <w:rsid w:val="00BE1A9F"/>
    <w:rsid w:val="00BE27A2"/>
    <w:rsid w:val="00BE2A2C"/>
    <w:rsid w:val="00BE2E40"/>
    <w:rsid w:val="00BE2ED0"/>
    <w:rsid w:val="00BE32CC"/>
    <w:rsid w:val="00BE32D2"/>
    <w:rsid w:val="00BE4179"/>
    <w:rsid w:val="00BE49D7"/>
    <w:rsid w:val="00BE50C4"/>
    <w:rsid w:val="00BE53B3"/>
    <w:rsid w:val="00BE5456"/>
    <w:rsid w:val="00BE5775"/>
    <w:rsid w:val="00BE66D4"/>
    <w:rsid w:val="00BE6BBF"/>
    <w:rsid w:val="00BE7645"/>
    <w:rsid w:val="00BE77A2"/>
    <w:rsid w:val="00BE7DB4"/>
    <w:rsid w:val="00BE7EB6"/>
    <w:rsid w:val="00BF07DF"/>
    <w:rsid w:val="00BF0919"/>
    <w:rsid w:val="00BF1645"/>
    <w:rsid w:val="00BF1726"/>
    <w:rsid w:val="00BF1839"/>
    <w:rsid w:val="00BF1E34"/>
    <w:rsid w:val="00BF2E08"/>
    <w:rsid w:val="00BF40FF"/>
    <w:rsid w:val="00BF53E0"/>
    <w:rsid w:val="00BF5EEB"/>
    <w:rsid w:val="00BF68B1"/>
    <w:rsid w:val="00BF69BB"/>
    <w:rsid w:val="00BF6D90"/>
    <w:rsid w:val="00BF7490"/>
    <w:rsid w:val="00BF75D1"/>
    <w:rsid w:val="00BF7928"/>
    <w:rsid w:val="00BF7B7D"/>
    <w:rsid w:val="00C001D2"/>
    <w:rsid w:val="00C006C0"/>
    <w:rsid w:val="00C00703"/>
    <w:rsid w:val="00C00908"/>
    <w:rsid w:val="00C012ED"/>
    <w:rsid w:val="00C012F6"/>
    <w:rsid w:val="00C014B6"/>
    <w:rsid w:val="00C01944"/>
    <w:rsid w:val="00C01B21"/>
    <w:rsid w:val="00C01DC3"/>
    <w:rsid w:val="00C02111"/>
    <w:rsid w:val="00C034CB"/>
    <w:rsid w:val="00C0379C"/>
    <w:rsid w:val="00C03D01"/>
    <w:rsid w:val="00C03EC5"/>
    <w:rsid w:val="00C043F3"/>
    <w:rsid w:val="00C05747"/>
    <w:rsid w:val="00C058C1"/>
    <w:rsid w:val="00C059B8"/>
    <w:rsid w:val="00C05D74"/>
    <w:rsid w:val="00C06816"/>
    <w:rsid w:val="00C078A3"/>
    <w:rsid w:val="00C079E1"/>
    <w:rsid w:val="00C10205"/>
    <w:rsid w:val="00C10A39"/>
    <w:rsid w:val="00C10C9C"/>
    <w:rsid w:val="00C11063"/>
    <w:rsid w:val="00C11F15"/>
    <w:rsid w:val="00C12BA0"/>
    <w:rsid w:val="00C13223"/>
    <w:rsid w:val="00C13B0B"/>
    <w:rsid w:val="00C13BA4"/>
    <w:rsid w:val="00C13D44"/>
    <w:rsid w:val="00C13E9F"/>
    <w:rsid w:val="00C14617"/>
    <w:rsid w:val="00C1489E"/>
    <w:rsid w:val="00C1496A"/>
    <w:rsid w:val="00C14E3C"/>
    <w:rsid w:val="00C14E85"/>
    <w:rsid w:val="00C15B63"/>
    <w:rsid w:val="00C15BAB"/>
    <w:rsid w:val="00C15F90"/>
    <w:rsid w:val="00C166B5"/>
    <w:rsid w:val="00C16C48"/>
    <w:rsid w:val="00C16E8E"/>
    <w:rsid w:val="00C17411"/>
    <w:rsid w:val="00C17C1C"/>
    <w:rsid w:val="00C17D98"/>
    <w:rsid w:val="00C17F65"/>
    <w:rsid w:val="00C17FDD"/>
    <w:rsid w:val="00C20B57"/>
    <w:rsid w:val="00C215CE"/>
    <w:rsid w:val="00C2161B"/>
    <w:rsid w:val="00C22395"/>
    <w:rsid w:val="00C223D0"/>
    <w:rsid w:val="00C22605"/>
    <w:rsid w:val="00C2275E"/>
    <w:rsid w:val="00C22DCB"/>
    <w:rsid w:val="00C22E08"/>
    <w:rsid w:val="00C23624"/>
    <w:rsid w:val="00C23670"/>
    <w:rsid w:val="00C238F6"/>
    <w:rsid w:val="00C241C1"/>
    <w:rsid w:val="00C24206"/>
    <w:rsid w:val="00C242BE"/>
    <w:rsid w:val="00C25780"/>
    <w:rsid w:val="00C25D36"/>
    <w:rsid w:val="00C26AF2"/>
    <w:rsid w:val="00C27154"/>
    <w:rsid w:val="00C272CD"/>
    <w:rsid w:val="00C27484"/>
    <w:rsid w:val="00C27844"/>
    <w:rsid w:val="00C278A7"/>
    <w:rsid w:val="00C27BEB"/>
    <w:rsid w:val="00C27D20"/>
    <w:rsid w:val="00C27E8D"/>
    <w:rsid w:val="00C303A3"/>
    <w:rsid w:val="00C304F9"/>
    <w:rsid w:val="00C30674"/>
    <w:rsid w:val="00C30846"/>
    <w:rsid w:val="00C308E3"/>
    <w:rsid w:val="00C30A01"/>
    <w:rsid w:val="00C30A18"/>
    <w:rsid w:val="00C30A6F"/>
    <w:rsid w:val="00C30C6B"/>
    <w:rsid w:val="00C3111C"/>
    <w:rsid w:val="00C31721"/>
    <w:rsid w:val="00C31EDC"/>
    <w:rsid w:val="00C31F1D"/>
    <w:rsid w:val="00C3241A"/>
    <w:rsid w:val="00C326D1"/>
    <w:rsid w:val="00C3271A"/>
    <w:rsid w:val="00C32AAD"/>
    <w:rsid w:val="00C32C92"/>
    <w:rsid w:val="00C32EED"/>
    <w:rsid w:val="00C330DA"/>
    <w:rsid w:val="00C33142"/>
    <w:rsid w:val="00C33726"/>
    <w:rsid w:val="00C341AD"/>
    <w:rsid w:val="00C3476A"/>
    <w:rsid w:val="00C347D4"/>
    <w:rsid w:val="00C34C58"/>
    <w:rsid w:val="00C34EDC"/>
    <w:rsid w:val="00C355B9"/>
    <w:rsid w:val="00C35722"/>
    <w:rsid w:val="00C35CF0"/>
    <w:rsid w:val="00C36CBE"/>
    <w:rsid w:val="00C36FF5"/>
    <w:rsid w:val="00C371DD"/>
    <w:rsid w:val="00C373AF"/>
    <w:rsid w:val="00C377E5"/>
    <w:rsid w:val="00C37CD5"/>
    <w:rsid w:val="00C4023C"/>
    <w:rsid w:val="00C41306"/>
    <w:rsid w:val="00C41BAA"/>
    <w:rsid w:val="00C426E3"/>
    <w:rsid w:val="00C42D41"/>
    <w:rsid w:val="00C43063"/>
    <w:rsid w:val="00C438A1"/>
    <w:rsid w:val="00C43FCA"/>
    <w:rsid w:val="00C440A5"/>
    <w:rsid w:val="00C44218"/>
    <w:rsid w:val="00C442F7"/>
    <w:rsid w:val="00C45C48"/>
    <w:rsid w:val="00C45CCE"/>
    <w:rsid w:val="00C45E79"/>
    <w:rsid w:val="00C46556"/>
    <w:rsid w:val="00C466C3"/>
    <w:rsid w:val="00C46809"/>
    <w:rsid w:val="00C47586"/>
    <w:rsid w:val="00C47743"/>
    <w:rsid w:val="00C5020A"/>
    <w:rsid w:val="00C50801"/>
    <w:rsid w:val="00C50A6E"/>
    <w:rsid w:val="00C516CE"/>
    <w:rsid w:val="00C52438"/>
    <w:rsid w:val="00C52578"/>
    <w:rsid w:val="00C52967"/>
    <w:rsid w:val="00C52A47"/>
    <w:rsid w:val="00C532B8"/>
    <w:rsid w:val="00C53318"/>
    <w:rsid w:val="00C535B6"/>
    <w:rsid w:val="00C537A5"/>
    <w:rsid w:val="00C53C64"/>
    <w:rsid w:val="00C5415E"/>
    <w:rsid w:val="00C54602"/>
    <w:rsid w:val="00C54AB3"/>
    <w:rsid w:val="00C55B6C"/>
    <w:rsid w:val="00C55F2B"/>
    <w:rsid w:val="00C5627C"/>
    <w:rsid w:val="00C5654D"/>
    <w:rsid w:val="00C56748"/>
    <w:rsid w:val="00C57124"/>
    <w:rsid w:val="00C60048"/>
    <w:rsid w:val="00C6068A"/>
    <w:rsid w:val="00C60B94"/>
    <w:rsid w:val="00C60EAD"/>
    <w:rsid w:val="00C6148B"/>
    <w:rsid w:val="00C617B1"/>
    <w:rsid w:val="00C619A2"/>
    <w:rsid w:val="00C621A6"/>
    <w:rsid w:val="00C62B45"/>
    <w:rsid w:val="00C63271"/>
    <w:rsid w:val="00C63B0C"/>
    <w:rsid w:val="00C63E35"/>
    <w:rsid w:val="00C64237"/>
    <w:rsid w:val="00C657EB"/>
    <w:rsid w:val="00C6584B"/>
    <w:rsid w:val="00C65EB3"/>
    <w:rsid w:val="00C65F35"/>
    <w:rsid w:val="00C6733A"/>
    <w:rsid w:val="00C673B2"/>
    <w:rsid w:val="00C6748A"/>
    <w:rsid w:val="00C67F2D"/>
    <w:rsid w:val="00C7077D"/>
    <w:rsid w:val="00C707B2"/>
    <w:rsid w:val="00C7080C"/>
    <w:rsid w:val="00C709CA"/>
    <w:rsid w:val="00C70A13"/>
    <w:rsid w:val="00C70B15"/>
    <w:rsid w:val="00C71089"/>
    <w:rsid w:val="00C719E4"/>
    <w:rsid w:val="00C71D69"/>
    <w:rsid w:val="00C71E7D"/>
    <w:rsid w:val="00C72D60"/>
    <w:rsid w:val="00C72F47"/>
    <w:rsid w:val="00C73620"/>
    <w:rsid w:val="00C73F18"/>
    <w:rsid w:val="00C74075"/>
    <w:rsid w:val="00C740E4"/>
    <w:rsid w:val="00C74315"/>
    <w:rsid w:val="00C74328"/>
    <w:rsid w:val="00C747B8"/>
    <w:rsid w:val="00C74923"/>
    <w:rsid w:val="00C75580"/>
    <w:rsid w:val="00C756A9"/>
    <w:rsid w:val="00C756E5"/>
    <w:rsid w:val="00C7590D"/>
    <w:rsid w:val="00C759F0"/>
    <w:rsid w:val="00C759F2"/>
    <w:rsid w:val="00C75A20"/>
    <w:rsid w:val="00C75DE7"/>
    <w:rsid w:val="00C76263"/>
    <w:rsid w:val="00C764E8"/>
    <w:rsid w:val="00C765B1"/>
    <w:rsid w:val="00C76C37"/>
    <w:rsid w:val="00C76D74"/>
    <w:rsid w:val="00C7715C"/>
    <w:rsid w:val="00C776AE"/>
    <w:rsid w:val="00C77CC4"/>
    <w:rsid w:val="00C77D2A"/>
    <w:rsid w:val="00C77FCE"/>
    <w:rsid w:val="00C8031F"/>
    <w:rsid w:val="00C80524"/>
    <w:rsid w:val="00C8100A"/>
    <w:rsid w:val="00C82029"/>
    <w:rsid w:val="00C82936"/>
    <w:rsid w:val="00C82B25"/>
    <w:rsid w:val="00C84B12"/>
    <w:rsid w:val="00C84DB0"/>
    <w:rsid w:val="00C86522"/>
    <w:rsid w:val="00C86AE1"/>
    <w:rsid w:val="00C87B49"/>
    <w:rsid w:val="00C900DA"/>
    <w:rsid w:val="00C90975"/>
    <w:rsid w:val="00C9116D"/>
    <w:rsid w:val="00C9189A"/>
    <w:rsid w:val="00C91992"/>
    <w:rsid w:val="00C91F3D"/>
    <w:rsid w:val="00C9221F"/>
    <w:rsid w:val="00C927A5"/>
    <w:rsid w:val="00C927C0"/>
    <w:rsid w:val="00C927E0"/>
    <w:rsid w:val="00C92DB5"/>
    <w:rsid w:val="00C92EAC"/>
    <w:rsid w:val="00C931A9"/>
    <w:rsid w:val="00C931F0"/>
    <w:rsid w:val="00C93461"/>
    <w:rsid w:val="00C93978"/>
    <w:rsid w:val="00C939F0"/>
    <w:rsid w:val="00C93DB6"/>
    <w:rsid w:val="00C94097"/>
    <w:rsid w:val="00C940A7"/>
    <w:rsid w:val="00C958D8"/>
    <w:rsid w:val="00C965FC"/>
    <w:rsid w:val="00C9679A"/>
    <w:rsid w:val="00C96D84"/>
    <w:rsid w:val="00C96F75"/>
    <w:rsid w:val="00C971D1"/>
    <w:rsid w:val="00C9741B"/>
    <w:rsid w:val="00C97D73"/>
    <w:rsid w:val="00C97F4E"/>
    <w:rsid w:val="00CA04EA"/>
    <w:rsid w:val="00CA0A53"/>
    <w:rsid w:val="00CA0F2B"/>
    <w:rsid w:val="00CA0F7E"/>
    <w:rsid w:val="00CA128C"/>
    <w:rsid w:val="00CA18C8"/>
    <w:rsid w:val="00CA1C99"/>
    <w:rsid w:val="00CA29A1"/>
    <w:rsid w:val="00CA2CBE"/>
    <w:rsid w:val="00CA310E"/>
    <w:rsid w:val="00CA42AA"/>
    <w:rsid w:val="00CA42F8"/>
    <w:rsid w:val="00CA48F7"/>
    <w:rsid w:val="00CA4A1A"/>
    <w:rsid w:val="00CA54D0"/>
    <w:rsid w:val="00CA613F"/>
    <w:rsid w:val="00CA67EB"/>
    <w:rsid w:val="00CA71FD"/>
    <w:rsid w:val="00CA767F"/>
    <w:rsid w:val="00CA7729"/>
    <w:rsid w:val="00CB0435"/>
    <w:rsid w:val="00CB1B28"/>
    <w:rsid w:val="00CB1C26"/>
    <w:rsid w:val="00CB2753"/>
    <w:rsid w:val="00CB2904"/>
    <w:rsid w:val="00CB448C"/>
    <w:rsid w:val="00CB4AE3"/>
    <w:rsid w:val="00CB4D15"/>
    <w:rsid w:val="00CB5104"/>
    <w:rsid w:val="00CB5207"/>
    <w:rsid w:val="00CB5214"/>
    <w:rsid w:val="00CB61A2"/>
    <w:rsid w:val="00CB6279"/>
    <w:rsid w:val="00CB6779"/>
    <w:rsid w:val="00CB6B89"/>
    <w:rsid w:val="00CB6B9C"/>
    <w:rsid w:val="00CB743E"/>
    <w:rsid w:val="00CB74F0"/>
    <w:rsid w:val="00CC0167"/>
    <w:rsid w:val="00CC0CB4"/>
    <w:rsid w:val="00CC17B0"/>
    <w:rsid w:val="00CC1A18"/>
    <w:rsid w:val="00CC1B31"/>
    <w:rsid w:val="00CC215D"/>
    <w:rsid w:val="00CC29B5"/>
    <w:rsid w:val="00CC31B0"/>
    <w:rsid w:val="00CC32B5"/>
    <w:rsid w:val="00CC3500"/>
    <w:rsid w:val="00CC39DA"/>
    <w:rsid w:val="00CC4523"/>
    <w:rsid w:val="00CC56FE"/>
    <w:rsid w:val="00CC5948"/>
    <w:rsid w:val="00CC5D88"/>
    <w:rsid w:val="00CC66E8"/>
    <w:rsid w:val="00CC6C48"/>
    <w:rsid w:val="00CC6F88"/>
    <w:rsid w:val="00CC743D"/>
    <w:rsid w:val="00CC7FE2"/>
    <w:rsid w:val="00CD02FF"/>
    <w:rsid w:val="00CD038D"/>
    <w:rsid w:val="00CD0E5B"/>
    <w:rsid w:val="00CD1045"/>
    <w:rsid w:val="00CD213E"/>
    <w:rsid w:val="00CD27D0"/>
    <w:rsid w:val="00CD31E2"/>
    <w:rsid w:val="00CD380C"/>
    <w:rsid w:val="00CD3BA2"/>
    <w:rsid w:val="00CD3D91"/>
    <w:rsid w:val="00CD4A53"/>
    <w:rsid w:val="00CD4E2A"/>
    <w:rsid w:val="00CD5033"/>
    <w:rsid w:val="00CD5225"/>
    <w:rsid w:val="00CD5763"/>
    <w:rsid w:val="00CD5FCA"/>
    <w:rsid w:val="00CD658C"/>
    <w:rsid w:val="00CD7928"/>
    <w:rsid w:val="00CD7CBC"/>
    <w:rsid w:val="00CE01B4"/>
    <w:rsid w:val="00CE0811"/>
    <w:rsid w:val="00CE0A17"/>
    <w:rsid w:val="00CE11BE"/>
    <w:rsid w:val="00CE16B4"/>
    <w:rsid w:val="00CE1A70"/>
    <w:rsid w:val="00CE1EF2"/>
    <w:rsid w:val="00CE2184"/>
    <w:rsid w:val="00CE234A"/>
    <w:rsid w:val="00CE2853"/>
    <w:rsid w:val="00CE4257"/>
    <w:rsid w:val="00CE4AC7"/>
    <w:rsid w:val="00CE4FFF"/>
    <w:rsid w:val="00CE51F5"/>
    <w:rsid w:val="00CE5275"/>
    <w:rsid w:val="00CE52B5"/>
    <w:rsid w:val="00CE52D9"/>
    <w:rsid w:val="00CE5639"/>
    <w:rsid w:val="00CE5CAA"/>
    <w:rsid w:val="00CE5CF4"/>
    <w:rsid w:val="00CE6A29"/>
    <w:rsid w:val="00CE70DD"/>
    <w:rsid w:val="00CE7265"/>
    <w:rsid w:val="00CE7A15"/>
    <w:rsid w:val="00CE7B02"/>
    <w:rsid w:val="00CE7E2F"/>
    <w:rsid w:val="00CF0416"/>
    <w:rsid w:val="00CF0443"/>
    <w:rsid w:val="00CF0E86"/>
    <w:rsid w:val="00CF11BA"/>
    <w:rsid w:val="00CF161C"/>
    <w:rsid w:val="00CF1A92"/>
    <w:rsid w:val="00CF2D82"/>
    <w:rsid w:val="00CF3B65"/>
    <w:rsid w:val="00CF49AE"/>
    <w:rsid w:val="00CF4AEC"/>
    <w:rsid w:val="00CF4E96"/>
    <w:rsid w:val="00CF4FF6"/>
    <w:rsid w:val="00CF5CAE"/>
    <w:rsid w:val="00CF5E41"/>
    <w:rsid w:val="00CF6B14"/>
    <w:rsid w:val="00CF6BC3"/>
    <w:rsid w:val="00CF71DD"/>
    <w:rsid w:val="00CF73D5"/>
    <w:rsid w:val="00CF7445"/>
    <w:rsid w:val="00CF7949"/>
    <w:rsid w:val="00D00BA1"/>
    <w:rsid w:val="00D00C2A"/>
    <w:rsid w:val="00D00DD5"/>
    <w:rsid w:val="00D01283"/>
    <w:rsid w:val="00D0156A"/>
    <w:rsid w:val="00D01789"/>
    <w:rsid w:val="00D02B72"/>
    <w:rsid w:val="00D02C8F"/>
    <w:rsid w:val="00D03A16"/>
    <w:rsid w:val="00D03CBA"/>
    <w:rsid w:val="00D049B5"/>
    <w:rsid w:val="00D05688"/>
    <w:rsid w:val="00D0570D"/>
    <w:rsid w:val="00D062EB"/>
    <w:rsid w:val="00D068FA"/>
    <w:rsid w:val="00D06CF6"/>
    <w:rsid w:val="00D06D69"/>
    <w:rsid w:val="00D07302"/>
    <w:rsid w:val="00D07597"/>
    <w:rsid w:val="00D075B7"/>
    <w:rsid w:val="00D07CF1"/>
    <w:rsid w:val="00D1004C"/>
    <w:rsid w:val="00D103D9"/>
    <w:rsid w:val="00D1046D"/>
    <w:rsid w:val="00D10881"/>
    <w:rsid w:val="00D10E8C"/>
    <w:rsid w:val="00D11194"/>
    <w:rsid w:val="00D116AC"/>
    <w:rsid w:val="00D1178F"/>
    <w:rsid w:val="00D117CA"/>
    <w:rsid w:val="00D11DFA"/>
    <w:rsid w:val="00D120DB"/>
    <w:rsid w:val="00D12149"/>
    <w:rsid w:val="00D12693"/>
    <w:rsid w:val="00D127ED"/>
    <w:rsid w:val="00D12C0C"/>
    <w:rsid w:val="00D13E1A"/>
    <w:rsid w:val="00D14193"/>
    <w:rsid w:val="00D1450C"/>
    <w:rsid w:val="00D14835"/>
    <w:rsid w:val="00D14A62"/>
    <w:rsid w:val="00D14C49"/>
    <w:rsid w:val="00D14CB2"/>
    <w:rsid w:val="00D15DE8"/>
    <w:rsid w:val="00D15F2F"/>
    <w:rsid w:val="00D15FE5"/>
    <w:rsid w:val="00D1628C"/>
    <w:rsid w:val="00D165FB"/>
    <w:rsid w:val="00D16FE8"/>
    <w:rsid w:val="00D1762E"/>
    <w:rsid w:val="00D17D50"/>
    <w:rsid w:val="00D200E2"/>
    <w:rsid w:val="00D20518"/>
    <w:rsid w:val="00D212B7"/>
    <w:rsid w:val="00D212FC"/>
    <w:rsid w:val="00D215E0"/>
    <w:rsid w:val="00D21952"/>
    <w:rsid w:val="00D21BA6"/>
    <w:rsid w:val="00D21E8F"/>
    <w:rsid w:val="00D2339B"/>
    <w:rsid w:val="00D23FD8"/>
    <w:rsid w:val="00D24ADF"/>
    <w:rsid w:val="00D25077"/>
    <w:rsid w:val="00D25234"/>
    <w:rsid w:val="00D26ADA"/>
    <w:rsid w:val="00D26D56"/>
    <w:rsid w:val="00D270E7"/>
    <w:rsid w:val="00D271C7"/>
    <w:rsid w:val="00D27864"/>
    <w:rsid w:val="00D27B89"/>
    <w:rsid w:val="00D27BC6"/>
    <w:rsid w:val="00D27C25"/>
    <w:rsid w:val="00D301B9"/>
    <w:rsid w:val="00D309D0"/>
    <w:rsid w:val="00D30C92"/>
    <w:rsid w:val="00D31106"/>
    <w:rsid w:val="00D3212E"/>
    <w:rsid w:val="00D3238E"/>
    <w:rsid w:val="00D32454"/>
    <w:rsid w:val="00D328BC"/>
    <w:rsid w:val="00D32E8F"/>
    <w:rsid w:val="00D332C7"/>
    <w:rsid w:val="00D3438A"/>
    <w:rsid w:val="00D34396"/>
    <w:rsid w:val="00D343AC"/>
    <w:rsid w:val="00D34743"/>
    <w:rsid w:val="00D3493F"/>
    <w:rsid w:val="00D34BE3"/>
    <w:rsid w:val="00D34E82"/>
    <w:rsid w:val="00D351A4"/>
    <w:rsid w:val="00D35237"/>
    <w:rsid w:val="00D3551C"/>
    <w:rsid w:val="00D35FCA"/>
    <w:rsid w:val="00D36275"/>
    <w:rsid w:val="00D362DD"/>
    <w:rsid w:val="00D36B53"/>
    <w:rsid w:val="00D36CE8"/>
    <w:rsid w:val="00D374DF"/>
    <w:rsid w:val="00D37598"/>
    <w:rsid w:val="00D377D9"/>
    <w:rsid w:val="00D40C08"/>
    <w:rsid w:val="00D410CB"/>
    <w:rsid w:val="00D416AF"/>
    <w:rsid w:val="00D41FB4"/>
    <w:rsid w:val="00D4290F"/>
    <w:rsid w:val="00D4350F"/>
    <w:rsid w:val="00D438D6"/>
    <w:rsid w:val="00D43AF1"/>
    <w:rsid w:val="00D43B3C"/>
    <w:rsid w:val="00D4415D"/>
    <w:rsid w:val="00D44A2D"/>
    <w:rsid w:val="00D45224"/>
    <w:rsid w:val="00D45811"/>
    <w:rsid w:val="00D4609A"/>
    <w:rsid w:val="00D4656D"/>
    <w:rsid w:val="00D47780"/>
    <w:rsid w:val="00D47A8D"/>
    <w:rsid w:val="00D47CD0"/>
    <w:rsid w:val="00D508FF"/>
    <w:rsid w:val="00D51483"/>
    <w:rsid w:val="00D5186A"/>
    <w:rsid w:val="00D521AA"/>
    <w:rsid w:val="00D53222"/>
    <w:rsid w:val="00D534C1"/>
    <w:rsid w:val="00D5350A"/>
    <w:rsid w:val="00D53E35"/>
    <w:rsid w:val="00D53F05"/>
    <w:rsid w:val="00D53FC1"/>
    <w:rsid w:val="00D540B5"/>
    <w:rsid w:val="00D54751"/>
    <w:rsid w:val="00D54DB8"/>
    <w:rsid w:val="00D5503B"/>
    <w:rsid w:val="00D550E2"/>
    <w:rsid w:val="00D560AC"/>
    <w:rsid w:val="00D562BD"/>
    <w:rsid w:val="00D56348"/>
    <w:rsid w:val="00D56866"/>
    <w:rsid w:val="00D56C9F"/>
    <w:rsid w:val="00D56D85"/>
    <w:rsid w:val="00D572E3"/>
    <w:rsid w:val="00D57740"/>
    <w:rsid w:val="00D60F23"/>
    <w:rsid w:val="00D6167F"/>
    <w:rsid w:val="00D61C3A"/>
    <w:rsid w:val="00D61E86"/>
    <w:rsid w:val="00D61FA6"/>
    <w:rsid w:val="00D62040"/>
    <w:rsid w:val="00D6236C"/>
    <w:rsid w:val="00D62FA3"/>
    <w:rsid w:val="00D6306E"/>
    <w:rsid w:val="00D64D46"/>
    <w:rsid w:val="00D654FE"/>
    <w:rsid w:val="00D656BC"/>
    <w:rsid w:val="00D65A47"/>
    <w:rsid w:val="00D65EC5"/>
    <w:rsid w:val="00D661EE"/>
    <w:rsid w:val="00D6665A"/>
    <w:rsid w:val="00D66D04"/>
    <w:rsid w:val="00D66D38"/>
    <w:rsid w:val="00D67864"/>
    <w:rsid w:val="00D67A03"/>
    <w:rsid w:val="00D702B6"/>
    <w:rsid w:val="00D7046E"/>
    <w:rsid w:val="00D70FB4"/>
    <w:rsid w:val="00D713B0"/>
    <w:rsid w:val="00D71655"/>
    <w:rsid w:val="00D722D3"/>
    <w:rsid w:val="00D72A26"/>
    <w:rsid w:val="00D72F38"/>
    <w:rsid w:val="00D7311B"/>
    <w:rsid w:val="00D733BB"/>
    <w:rsid w:val="00D733D1"/>
    <w:rsid w:val="00D73862"/>
    <w:rsid w:val="00D7399A"/>
    <w:rsid w:val="00D73F5A"/>
    <w:rsid w:val="00D7532B"/>
    <w:rsid w:val="00D75339"/>
    <w:rsid w:val="00D75ECE"/>
    <w:rsid w:val="00D765AF"/>
    <w:rsid w:val="00D7660C"/>
    <w:rsid w:val="00D7695B"/>
    <w:rsid w:val="00D76B1F"/>
    <w:rsid w:val="00D770CD"/>
    <w:rsid w:val="00D77214"/>
    <w:rsid w:val="00D77645"/>
    <w:rsid w:val="00D77FE8"/>
    <w:rsid w:val="00D800C4"/>
    <w:rsid w:val="00D80DD7"/>
    <w:rsid w:val="00D80F2A"/>
    <w:rsid w:val="00D81904"/>
    <w:rsid w:val="00D8191B"/>
    <w:rsid w:val="00D81C53"/>
    <w:rsid w:val="00D81F38"/>
    <w:rsid w:val="00D82DC1"/>
    <w:rsid w:val="00D8333D"/>
    <w:rsid w:val="00D83B95"/>
    <w:rsid w:val="00D83F03"/>
    <w:rsid w:val="00D845BD"/>
    <w:rsid w:val="00D84808"/>
    <w:rsid w:val="00D84966"/>
    <w:rsid w:val="00D84BA4"/>
    <w:rsid w:val="00D84FDE"/>
    <w:rsid w:val="00D85491"/>
    <w:rsid w:val="00D8549D"/>
    <w:rsid w:val="00D860E9"/>
    <w:rsid w:val="00D8619F"/>
    <w:rsid w:val="00D872CA"/>
    <w:rsid w:val="00D87637"/>
    <w:rsid w:val="00D877AA"/>
    <w:rsid w:val="00D87E45"/>
    <w:rsid w:val="00D90FB0"/>
    <w:rsid w:val="00D91A6C"/>
    <w:rsid w:val="00D92331"/>
    <w:rsid w:val="00D9242D"/>
    <w:rsid w:val="00D92BB8"/>
    <w:rsid w:val="00D92BE9"/>
    <w:rsid w:val="00D92FCA"/>
    <w:rsid w:val="00D930D2"/>
    <w:rsid w:val="00D93312"/>
    <w:rsid w:val="00D93481"/>
    <w:rsid w:val="00D93731"/>
    <w:rsid w:val="00D93A8D"/>
    <w:rsid w:val="00D93BA5"/>
    <w:rsid w:val="00D93DFD"/>
    <w:rsid w:val="00D9410E"/>
    <w:rsid w:val="00D942D4"/>
    <w:rsid w:val="00D952BE"/>
    <w:rsid w:val="00D95635"/>
    <w:rsid w:val="00D95817"/>
    <w:rsid w:val="00D95E73"/>
    <w:rsid w:val="00D97278"/>
    <w:rsid w:val="00DA0077"/>
    <w:rsid w:val="00DA026E"/>
    <w:rsid w:val="00DA032C"/>
    <w:rsid w:val="00DA0463"/>
    <w:rsid w:val="00DA0543"/>
    <w:rsid w:val="00DA0B02"/>
    <w:rsid w:val="00DA0BE3"/>
    <w:rsid w:val="00DA1266"/>
    <w:rsid w:val="00DA14A1"/>
    <w:rsid w:val="00DA17F8"/>
    <w:rsid w:val="00DA1A3D"/>
    <w:rsid w:val="00DA1A45"/>
    <w:rsid w:val="00DA1BEE"/>
    <w:rsid w:val="00DA21ED"/>
    <w:rsid w:val="00DA2C85"/>
    <w:rsid w:val="00DA2F8D"/>
    <w:rsid w:val="00DA3B5B"/>
    <w:rsid w:val="00DA3FD2"/>
    <w:rsid w:val="00DA471A"/>
    <w:rsid w:val="00DA48D7"/>
    <w:rsid w:val="00DA4E12"/>
    <w:rsid w:val="00DA509C"/>
    <w:rsid w:val="00DA59DD"/>
    <w:rsid w:val="00DA5C9B"/>
    <w:rsid w:val="00DA5D36"/>
    <w:rsid w:val="00DA60A5"/>
    <w:rsid w:val="00DA66C3"/>
    <w:rsid w:val="00DA69D3"/>
    <w:rsid w:val="00DA6DDD"/>
    <w:rsid w:val="00DA72C0"/>
    <w:rsid w:val="00DB043F"/>
    <w:rsid w:val="00DB0775"/>
    <w:rsid w:val="00DB0EA8"/>
    <w:rsid w:val="00DB18B4"/>
    <w:rsid w:val="00DB1E05"/>
    <w:rsid w:val="00DB2A5C"/>
    <w:rsid w:val="00DB2B21"/>
    <w:rsid w:val="00DB3459"/>
    <w:rsid w:val="00DB42FC"/>
    <w:rsid w:val="00DB46FC"/>
    <w:rsid w:val="00DB4C0F"/>
    <w:rsid w:val="00DB4D7C"/>
    <w:rsid w:val="00DB5391"/>
    <w:rsid w:val="00DB559F"/>
    <w:rsid w:val="00DB57B3"/>
    <w:rsid w:val="00DB5B3C"/>
    <w:rsid w:val="00DB5BEC"/>
    <w:rsid w:val="00DB5ED5"/>
    <w:rsid w:val="00DB6591"/>
    <w:rsid w:val="00DB6994"/>
    <w:rsid w:val="00DB6D14"/>
    <w:rsid w:val="00DB7051"/>
    <w:rsid w:val="00DB716A"/>
    <w:rsid w:val="00DB71C3"/>
    <w:rsid w:val="00DB73CB"/>
    <w:rsid w:val="00DB7783"/>
    <w:rsid w:val="00DC08D0"/>
    <w:rsid w:val="00DC15CB"/>
    <w:rsid w:val="00DC19E7"/>
    <w:rsid w:val="00DC1BCF"/>
    <w:rsid w:val="00DC1D32"/>
    <w:rsid w:val="00DC25BF"/>
    <w:rsid w:val="00DC268B"/>
    <w:rsid w:val="00DC272F"/>
    <w:rsid w:val="00DC2B8C"/>
    <w:rsid w:val="00DC3737"/>
    <w:rsid w:val="00DC398D"/>
    <w:rsid w:val="00DC4D19"/>
    <w:rsid w:val="00DC51DF"/>
    <w:rsid w:val="00DC563A"/>
    <w:rsid w:val="00DC5830"/>
    <w:rsid w:val="00DC5B5A"/>
    <w:rsid w:val="00DC5BB8"/>
    <w:rsid w:val="00DC6249"/>
    <w:rsid w:val="00DC6473"/>
    <w:rsid w:val="00DC67E8"/>
    <w:rsid w:val="00DC68CB"/>
    <w:rsid w:val="00DC69B6"/>
    <w:rsid w:val="00DC76B2"/>
    <w:rsid w:val="00DC7725"/>
    <w:rsid w:val="00DC77F1"/>
    <w:rsid w:val="00DD04DE"/>
    <w:rsid w:val="00DD0930"/>
    <w:rsid w:val="00DD1403"/>
    <w:rsid w:val="00DD1419"/>
    <w:rsid w:val="00DD1AFF"/>
    <w:rsid w:val="00DD2300"/>
    <w:rsid w:val="00DD272E"/>
    <w:rsid w:val="00DD33D7"/>
    <w:rsid w:val="00DD39E2"/>
    <w:rsid w:val="00DD3ACC"/>
    <w:rsid w:val="00DD449F"/>
    <w:rsid w:val="00DD48A8"/>
    <w:rsid w:val="00DD4B1C"/>
    <w:rsid w:val="00DD4E9B"/>
    <w:rsid w:val="00DD61B8"/>
    <w:rsid w:val="00DD6BB5"/>
    <w:rsid w:val="00DD70A1"/>
    <w:rsid w:val="00DD7A6E"/>
    <w:rsid w:val="00DE0736"/>
    <w:rsid w:val="00DE1FB2"/>
    <w:rsid w:val="00DE3C60"/>
    <w:rsid w:val="00DE46CD"/>
    <w:rsid w:val="00DE46EA"/>
    <w:rsid w:val="00DE575D"/>
    <w:rsid w:val="00DE5816"/>
    <w:rsid w:val="00DE5C50"/>
    <w:rsid w:val="00DE6E09"/>
    <w:rsid w:val="00DE721A"/>
    <w:rsid w:val="00DE7717"/>
    <w:rsid w:val="00DE7CB8"/>
    <w:rsid w:val="00DF0114"/>
    <w:rsid w:val="00DF0D62"/>
    <w:rsid w:val="00DF0E81"/>
    <w:rsid w:val="00DF120F"/>
    <w:rsid w:val="00DF17FF"/>
    <w:rsid w:val="00DF25EB"/>
    <w:rsid w:val="00DF3004"/>
    <w:rsid w:val="00DF322E"/>
    <w:rsid w:val="00DF350E"/>
    <w:rsid w:val="00DF3768"/>
    <w:rsid w:val="00DF466B"/>
    <w:rsid w:val="00DF52B2"/>
    <w:rsid w:val="00DF5C20"/>
    <w:rsid w:val="00DF6A26"/>
    <w:rsid w:val="00DF7512"/>
    <w:rsid w:val="00E00173"/>
    <w:rsid w:val="00E01B1C"/>
    <w:rsid w:val="00E01C3F"/>
    <w:rsid w:val="00E01DAD"/>
    <w:rsid w:val="00E01FE0"/>
    <w:rsid w:val="00E02176"/>
    <w:rsid w:val="00E02534"/>
    <w:rsid w:val="00E02A1A"/>
    <w:rsid w:val="00E02CD8"/>
    <w:rsid w:val="00E03DFD"/>
    <w:rsid w:val="00E0494C"/>
    <w:rsid w:val="00E058DC"/>
    <w:rsid w:val="00E05BC6"/>
    <w:rsid w:val="00E069FB"/>
    <w:rsid w:val="00E075F7"/>
    <w:rsid w:val="00E07D32"/>
    <w:rsid w:val="00E101AF"/>
    <w:rsid w:val="00E106DE"/>
    <w:rsid w:val="00E10B12"/>
    <w:rsid w:val="00E11289"/>
    <w:rsid w:val="00E116B1"/>
    <w:rsid w:val="00E11DAC"/>
    <w:rsid w:val="00E12455"/>
    <w:rsid w:val="00E125CA"/>
    <w:rsid w:val="00E12758"/>
    <w:rsid w:val="00E12ABF"/>
    <w:rsid w:val="00E13087"/>
    <w:rsid w:val="00E132E8"/>
    <w:rsid w:val="00E137D2"/>
    <w:rsid w:val="00E13950"/>
    <w:rsid w:val="00E13ACD"/>
    <w:rsid w:val="00E140E6"/>
    <w:rsid w:val="00E1481D"/>
    <w:rsid w:val="00E14D3D"/>
    <w:rsid w:val="00E14F84"/>
    <w:rsid w:val="00E1517B"/>
    <w:rsid w:val="00E15A10"/>
    <w:rsid w:val="00E15CBF"/>
    <w:rsid w:val="00E15DD4"/>
    <w:rsid w:val="00E15DDB"/>
    <w:rsid w:val="00E161ED"/>
    <w:rsid w:val="00E16824"/>
    <w:rsid w:val="00E16C23"/>
    <w:rsid w:val="00E16F5A"/>
    <w:rsid w:val="00E1751E"/>
    <w:rsid w:val="00E17AF8"/>
    <w:rsid w:val="00E17B07"/>
    <w:rsid w:val="00E201EA"/>
    <w:rsid w:val="00E2056C"/>
    <w:rsid w:val="00E20A10"/>
    <w:rsid w:val="00E20CBA"/>
    <w:rsid w:val="00E21D24"/>
    <w:rsid w:val="00E21DD1"/>
    <w:rsid w:val="00E22485"/>
    <w:rsid w:val="00E23116"/>
    <w:rsid w:val="00E2348E"/>
    <w:rsid w:val="00E2421B"/>
    <w:rsid w:val="00E2486F"/>
    <w:rsid w:val="00E24871"/>
    <w:rsid w:val="00E24ABC"/>
    <w:rsid w:val="00E24C51"/>
    <w:rsid w:val="00E254AE"/>
    <w:rsid w:val="00E26132"/>
    <w:rsid w:val="00E263A5"/>
    <w:rsid w:val="00E26578"/>
    <w:rsid w:val="00E26C2F"/>
    <w:rsid w:val="00E2739E"/>
    <w:rsid w:val="00E27DE3"/>
    <w:rsid w:val="00E31C52"/>
    <w:rsid w:val="00E31E57"/>
    <w:rsid w:val="00E31F68"/>
    <w:rsid w:val="00E32117"/>
    <w:rsid w:val="00E3265E"/>
    <w:rsid w:val="00E331D8"/>
    <w:rsid w:val="00E33269"/>
    <w:rsid w:val="00E3338E"/>
    <w:rsid w:val="00E33521"/>
    <w:rsid w:val="00E335C6"/>
    <w:rsid w:val="00E34869"/>
    <w:rsid w:val="00E348D8"/>
    <w:rsid w:val="00E34AAE"/>
    <w:rsid w:val="00E34B16"/>
    <w:rsid w:val="00E34C29"/>
    <w:rsid w:val="00E34FE4"/>
    <w:rsid w:val="00E357CF"/>
    <w:rsid w:val="00E35A02"/>
    <w:rsid w:val="00E362D7"/>
    <w:rsid w:val="00E362DE"/>
    <w:rsid w:val="00E36FF3"/>
    <w:rsid w:val="00E370E7"/>
    <w:rsid w:val="00E371E5"/>
    <w:rsid w:val="00E37392"/>
    <w:rsid w:val="00E37BC0"/>
    <w:rsid w:val="00E4021A"/>
    <w:rsid w:val="00E404BC"/>
    <w:rsid w:val="00E40C46"/>
    <w:rsid w:val="00E41BB8"/>
    <w:rsid w:val="00E421A4"/>
    <w:rsid w:val="00E42286"/>
    <w:rsid w:val="00E423A4"/>
    <w:rsid w:val="00E4372C"/>
    <w:rsid w:val="00E43853"/>
    <w:rsid w:val="00E439AE"/>
    <w:rsid w:val="00E43D7E"/>
    <w:rsid w:val="00E44925"/>
    <w:rsid w:val="00E44A2D"/>
    <w:rsid w:val="00E44AE9"/>
    <w:rsid w:val="00E4538F"/>
    <w:rsid w:val="00E45E50"/>
    <w:rsid w:val="00E45FD2"/>
    <w:rsid w:val="00E462C5"/>
    <w:rsid w:val="00E46387"/>
    <w:rsid w:val="00E46B28"/>
    <w:rsid w:val="00E46EC7"/>
    <w:rsid w:val="00E47086"/>
    <w:rsid w:val="00E47124"/>
    <w:rsid w:val="00E50339"/>
    <w:rsid w:val="00E5049B"/>
    <w:rsid w:val="00E50977"/>
    <w:rsid w:val="00E50BB8"/>
    <w:rsid w:val="00E50C23"/>
    <w:rsid w:val="00E51347"/>
    <w:rsid w:val="00E51792"/>
    <w:rsid w:val="00E520C0"/>
    <w:rsid w:val="00E52290"/>
    <w:rsid w:val="00E52C45"/>
    <w:rsid w:val="00E52D24"/>
    <w:rsid w:val="00E52E3C"/>
    <w:rsid w:val="00E5312B"/>
    <w:rsid w:val="00E5368F"/>
    <w:rsid w:val="00E53B2B"/>
    <w:rsid w:val="00E53DB8"/>
    <w:rsid w:val="00E5437E"/>
    <w:rsid w:val="00E5509B"/>
    <w:rsid w:val="00E558C6"/>
    <w:rsid w:val="00E559A3"/>
    <w:rsid w:val="00E55B2D"/>
    <w:rsid w:val="00E56667"/>
    <w:rsid w:val="00E56D8E"/>
    <w:rsid w:val="00E56F71"/>
    <w:rsid w:val="00E57104"/>
    <w:rsid w:val="00E57582"/>
    <w:rsid w:val="00E5772D"/>
    <w:rsid w:val="00E57857"/>
    <w:rsid w:val="00E5799E"/>
    <w:rsid w:val="00E603AA"/>
    <w:rsid w:val="00E607A6"/>
    <w:rsid w:val="00E60C9D"/>
    <w:rsid w:val="00E60E70"/>
    <w:rsid w:val="00E60E96"/>
    <w:rsid w:val="00E60F0D"/>
    <w:rsid w:val="00E60FAE"/>
    <w:rsid w:val="00E616EC"/>
    <w:rsid w:val="00E61B97"/>
    <w:rsid w:val="00E62074"/>
    <w:rsid w:val="00E62148"/>
    <w:rsid w:val="00E629ED"/>
    <w:rsid w:val="00E63271"/>
    <w:rsid w:val="00E63534"/>
    <w:rsid w:val="00E63584"/>
    <w:rsid w:val="00E636EA"/>
    <w:rsid w:val="00E63B76"/>
    <w:rsid w:val="00E644AD"/>
    <w:rsid w:val="00E645F8"/>
    <w:rsid w:val="00E64777"/>
    <w:rsid w:val="00E64901"/>
    <w:rsid w:val="00E64959"/>
    <w:rsid w:val="00E64F51"/>
    <w:rsid w:val="00E65D1D"/>
    <w:rsid w:val="00E67833"/>
    <w:rsid w:val="00E67A6E"/>
    <w:rsid w:val="00E704A7"/>
    <w:rsid w:val="00E7065A"/>
    <w:rsid w:val="00E70B4F"/>
    <w:rsid w:val="00E70D0E"/>
    <w:rsid w:val="00E71044"/>
    <w:rsid w:val="00E71418"/>
    <w:rsid w:val="00E71786"/>
    <w:rsid w:val="00E72425"/>
    <w:rsid w:val="00E727F7"/>
    <w:rsid w:val="00E7280B"/>
    <w:rsid w:val="00E735E0"/>
    <w:rsid w:val="00E736CB"/>
    <w:rsid w:val="00E7371C"/>
    <w:rsid w:val="00E7384A"/>
    <w:rsid w:val="00E740B5"/>
    <w:rsid w:val="00E745D1"/>
    <w:rsid w:val="00E760D0"/>
    <w:rsid w:val="00E76D9D"/>
    <w:rsid w:val="00E77C94"/>
    <w:rsid w:val="00E77E38"/>
    <w:rsid w:val="00E8054E"/>
    <w:rsid w:val="00E8070B"/>
    <w:rsid w:val="00E807BE"/>
    <w:rsid w:val="00E81254"/>
    <w:rsid w:val="00E814C6"/>
    <w:rsid w:val="00E8152E"/>
    <w:rsid w:val="00E81657"/>
    <w:rsid w:val="00E81671"/>
    <w:rsid w:val="00E826DB"/>
    <w:rsid w:val="00E8307B"/>
    <w:rsid w:val="00E844B5"/>
    <w:rsid w:val="00E844C3"/>
    <w:rsid w:val="00E84B50"/>
    <w:rsid w:val="00E84BF5"/>
    <w:rsid w:val="00E85447"/>
    <w:rsid w:val="00E85AF1"/>
    <w:rsid w:val="00E861EA"/>
    <w:rsid w:val="00E86239"/>
    <w:rsid w:val="00E86253"/>
    <w:rsid w:val="00E86E40"/>
    <w:rsid w:val="00E903C4"/>
    <w:rsid w:val="00E9062E"/>
    <w:rsid w:val="00E90658"/>
    <w:rsid w:val="00E90EFC"/>
    <w:rsid w:val="00E91214"/>
    <w:rsid w:val="00E915A4"/>
    <w:rsid w:val="00E91B7B"/>
    <w:rsid w:val="00E91BC9"/>
    <w:rsid w:val="00E91F07"/>
    <w:rsid w:val="00E9201A"/>
    <w:rsid w:val="00E9206B"/>
    <w:rsid w:val="00E93213"/>
    <w:rsid w:val="00E93589"/>
    <w:rsid w:val="00E9382F"/>
    <w:rsid w:val="00E94217"/>
    <w:rsid w:val="00E9500C"/>
    <w:rsid w:val="00E9535A"/>
    <w:rsid w:val="00E95E1C"/>
    <w:rsid w:val="00E96795"/>
    <w:rsid w:val="00E96F4F"/>
    <w:rsid w:val="00E97229"/>
    <w:rsid w:val="00E97415"/>
    <w:rsid w:val="00E974AE"/>
    <w:rsid w:val="00E9798D"/>
    <w:rsid w:val="00EA0039"/>
    <w:rsid w:val="00EA011C"/>
    <w:rsid w:val="00EA1672"/>
    <w:rsid w:val="00EA1AE4"/>
    <w:rsid w:val="00EA2359"/>
    <w:rsid w:val="00EA25F6"/>
    <w:rsid w:val="00EA323F"/>
    <w:rsid w:val="00EA3471"/>
    <w:rsid w:val="00EA34C8"/>
    <w:rsid w:val="00EA46DC"/>
    <w:rsid w:val="00EA471F"/>
    <w:rsid w:val="00EA4C17"/>
    <w:rsid w:val="00EA5160"/>
    <w:rsid w:val="00EA53CF"/>
    <w:rsid w:val="00EA56E0"/>
    <w:rsid w:val="00EA588D"/>
    <w:rsid w:val="00EA5C9D"/>
    <w:rsid w:val="00EA603F"/>
    <w:rsid w:val="00EA69AA"/>
    <w:rsid w:val="00EA6E47"/>
    <w:rsid w:val="00EA7620"/>
    <w:rsid w:val="00EA77DD"/>
    <w:rsid w:val="00EA788E"/>
    <w:rsid w:val="00EA7C1E"/>
    <w:rsid w:val="00EB046B"/>
    <w:rsid w:val="00EB08DE"/>
    <w:rsid w:val="00EB1069"/>
    <w:rsid w:val="00EB10D6"/>
    <w:rsid w:val="00EB11F9"/>
    <w:rsid w:val="00EB133A"/>
    <w:rsid w:val="00EB16FC"/>
    <w:rsid w:val="00EB18FA"/>
    <w:rsid w:val="00EB1C02"/>
    <w:rsid w:val="00EB1D28"/>
    <w:rsid w:val="00EB27EA"/>
    <w:rsid w:val="00EB2878"/>
    <w:rsid w:val="00EB28C1"/>
    <w:rsid w:val="00EB2931"/>
    <w:rsid w:val="00EB2B55"/>
    <w:rsid w:val="00EB2F0E"/>
    <w:rsid w:val="00EB325E"/>
    <w:rsid w:val="00EB357C"/>
    <w:rsid w:val="00EB37C9"/>
    <w:rsid w:val="00EB3923"/>
    <w:rsid w:val="00EB3C92"/>
    <w:rsid w:val="00EB4134"/>
    <w:rsid w:val="00EB4228"/>
    <w:rsid w:val="00EB4D4B"/>
    <w:rsid w:val="00EB4F2E"/>
    <w:rsid w:val="00EB5AE3"/>
    <w:rsid w:val="00EB5CF7"/>
    <w:rsid w:val="00EB60C0"/>
    <w:rsid w:val="00EB62BC"/>
    <w:rsid w:val="00EB655E"/>
    <w:rsid w:val="00EB7754"/>
    <w:rsid w:val="00EB7B97"/>
    <w:rsid w:val="00EB7D60"/>
    <w:rsid w:val="00EC080A"/>
    <w:rsid w:val="00EC0B37"/>
    <w:rsid w:val="00EC191D"/>
    <w:rsid w:val="00EC265E"/>
    <w:rsid w:val="00EC2BF7"/>
    <w:rsid w:val="00EC2FD9"/>
    <w:rsid w:val="00EC312B"/>
    <w:rsid w:val="00EC322F"/>
    <w:rsid w:val="00EC36C6"/>
    <w:rsid w:val="00EC3A0D"/>
    <w:rsid w:val="00EC3DBE"/>
    <w:rsid w:val="00EC3FF5"/>
    <w:rsid w:val="00EC44B0"/>
    <w:rsid w:val="00EC513F"/>
    <w:rsid w:val="00EC5200"/>
    <w:rsid w:val="00EC520E"/>
    <w:rsid w:val="00EC5785"/>
    <w:rsid w:val="00EC578D"/>
    <w:rsid w:val="00EC5BED"/>
    <w:rsid w:val="00EC5C34"/>
    <w:rsid w:val="00EC658F"/>
    <w:rsid w:val="00EC6684"/>
    <w:rsid w:val="00EC680C"/>
    <w:rsid w:val="00EC6A66"/>
    <w:rsid w:val="00EC6DC1"/>
    <w:rsid w:val="00EC7606"/>
    <w:rsid w:val="00EC78A3"/>
    <w:rsid w:val="00EC7B49"/>
    <w:rsid w:val="00EC7EAB"/>
    <w:rsid w:val="00ED00FB"/>
    <w:rsid w:val="00ED016D"/>
    <w:rsid w:val="00ED0CAB"/>
    <w:rsid w:val="00ED124F"/>
    <w:rsid w:val="00ED1878"/>
    <w:rsid w:val="00ED1B78"/>
    <w:rsid w:val="00ED1D4B"/>
    <w:rsid w:val="00ED1E2D"/>
    <w:rsid w:val="00ED224C"/>
    <w:rsid w:val="00ED2B62"/>
    <w:rsid w:val="00ED2B90"/>
    <w:rsid w:val="00ED2E06"/>
    <w:rsid w:val="00ED2E9B"/>
    <w:rsid w:val="00ED2F63"/>
    <w:rsid w:val="00ED35E8"/>
    <w:rsid w:val="00ED37FA"/>
    <w:rsid w:val="00ED42BF"/>
    <w:rsid w:val="00ED4336"/>
    <w:rsid w:val="00ED4C5F"/>
    <w:rsid w:val="00ED4DDC"/>
    <w:rsid w:val="00ED5565"/>
    <w:rsid w:val="00ED5C56"/>
    <w:rsid w:val="00ED5D0B"/>
    <w:rsid w:val="00ED6003"/>
    <w:rsid w:val="00ED60E4"/>
    <w:rsid w:val="00ED6D30"/>
    <w:rsid w:val="00ED7136"/>
    <w:rsid w:val="00ED760E"/>
    <w:rsid w:val="00ED7969"/>
    <w:rsid w:val="00EE079C"/>
    <w:rsid w:val="00EE0AA4"/>
    <w:rsid w:val="00EE0D1E"/>
    <w:rsid w:val="00EE0EE9"/>
    <w:rsid w:val="00EE17DE"/>
    <w:rsid w:val="00EE1859"/>
    <w:rsid w:val="00EE2147"/>
    <w:rsid w:val="00EE2E4B"/>
    <w:rsid w:val="00EE30E4"/>
    <w:rsid w:val="00EE3C99"/>
    <w:rsid w:val="00EE3DE8"/>
    <w:rsid w:val="00EE423C"/>
    <w:rsid w:val="00EE4564"/>
    <w:rsid w:val="00EE510D"/>
    <w:rsid w:val="00EE5B20"/>
    <w:rsid w:val="00EE61BC"/>
    <w:rsid w:val="00EE6932"/>
    <w:rsid w:val="00EE6D8D"/>
    <w:rsid w:val="00EE75B1"/>
    <w:rsid w:val="00EF00F3"/>
    <w:rsid w:val="00EF1154"/>
    <w:rsid w:val="00EF13E5"/>
    <w:rsid w:val="00EF1C37"/>
    <w:rsid w:val="00EF1F50"/>
    <w:rsid w:val="00EF23A5"/>
    <w:rsid w:val="00EF23B1"/>
    <w:rsid w:val="00EF25A3"/>
    <w:rsid w:val="00EF2B49"/>
    <w:rsid w:val="00EF2BFC"/>
    <w:rsid w:val="00EF2F38"/>
    <w:rsid w:val="00EF358D"/>
    <w:rsid w:val="00EF35FA"/>
    <w:rsid w:val="00EF3742"/>
    <w:rsid w:val="00EF3B02"/>
    <w:rsid w:val="00EF3C95"/>
    <w:rsid w:val="00EF3E7C"/>
    <w:rsid w:val="00EF40EE"/>
    <w:rsid w:val="00EF429F"/>
    <w:rsid w:val="00EF436A"/>
    <w:rsid w:val="00EF43C0"/>
    <w:rsid w:val="00EF4618"/>
    <w:rsid w:val="00EF4C56"/>
    <w:rsid w:val="00EF4D6A"/>
    <w:rsid w:val="00EF4EE2"/>
    <w:rsid w:val="00EF5762"/>
    <w:rsid w:val="00EF5CF8"/>
    <w:rsid w:val="00EF6062"/>
    <w:rsid w:val="00EF648D"/>
    <w:rsid w:val="00EF688C"/>
    <w:rsid w:val="00EF7843"/>
    <w:rsid w:val="00EF7900"/>
    <w:rsid w:val="00EF7A57"/>
    <w:rsid w:val="00EF7B80"/>
    <w:rsid w:val="00EF7E7A"/>
    <w:rsid w:val="00F00E08"/>
    <w:rsid w:val="00F010D9"/>
    <w:rsid w:val="00F01E77"/>
    <w:rsid w:val="00F02AFE"/>
    <w:rsid w:val="00F02C81"/>
    <w:rsid w:val="00F03265"/>
    <w:rsid w:val="00F03C2F"/>
    <w:rsid w:val="00F03C47"/>
    <w:rsid w:val="00F03D49"/>
    <w:rsid w:val="00F04567"/>
    <w:rsid w:val="00F0463F"/>
    <w:rsid w:val="00F0483B"/>
    <w:rsid w:val="00F04E80"/>
    <w:rsid w:val="00F05071"/>
    <w:rsid w:val="00F054F3"/>
    <w:rsid w:val="00F061CF"/>
    <w:rsid w:val="00F062B2"/>
    <w:rsid w:val="00F064C9"/>
    <w:rsid w:val="00F06A96"/>
    <w:rsid w:val="00F06DA5"/>
    <w:rsid w:val="00F0738B"/>
    <w:rsid w:val="00F07DD8"/>
    <w:rsid w:val="00F103FA"/>
    <w:rsid w:val="00F10642"/>
    <w:rsid w:val="00F10D9D"/>
    <w:rsid w:val="00F117F8"/>
    <w:rsid w:val="00F11B94"/>
    <w:rsid w:val="00F123AC"/>
    <w:rsid w:val="00F12634"/>
    <w:rsid w:val="00F13196"/>
    <w:rsid w:val="00F139BD"/>
    <w:rsid w:val="00F149E4"/>
    <w:rsid w:val="00F155A9"/>
    <w:rsid w:val="00F15B11"/>
    <w:rsid w:val="00F15BAF"/>
    <w:rsid w:val="00F16491"/>
    <w:rsid w:val="00F167B6"/>
    <w:rsid w:val="00F16BB8"/>
    <w:rsid w:val="00F16F72"/>
    <w:rsid w:val="00F175DD"/>
    <w:rsid w:val="00F1775C"/>
    <w:rsid w:val="00F2094F"/>
    <w:rsid w:val="00F20BD7"/>
    <w:rsid w:val="00F20F65"/>
    <w:rsid w:val="00F214D2"/>
    <w:rsid w:val="00F21680"/>
    <w:rsid w:val="00F21BF4"/>
    <w:rsid w:val="00F21E8E"/>
    <w:rsid w:val="00F2234B"/>
    <w:rsid w:val="00F22360"/>
    <w:rsid w:val="00F224CC"/>
    <w:rsid w:val="00F22DB1"/>
    <w:rsid w:val="00F22E16"/>
    <w:rsid w:val="00F231D6"/>
    <w:rsid w:val="00F231E9"/>
    <w:rsid w:val="00F24CF3"/>
    <w:rsid w:val="00F24F00"/>
    <w:rsid w:val="00F25E2C"/>
    <w:rsid w:val="00F26261"/>
    <w:rsid w:val="00F26BE6"/>
    <w:rsid w:val="00F2759D"/>
    <w:rsid w:val="00F308D4"/>
    <w:rsid w:val="00F3091C"/>
    <w:rsid w:val="00F309BA"/>
    <w:rsid w:val="00F31810"/>
    <w:rsid w:val="00F31919"/>
    <w:rsid w:val="00F31CF6"/>
    <w:rsid w:val="00F31ED2"/>
    <w:rsid w:val="00F32602"/>
    <w:rsid w:val="00F3291C"/>
    <w:rsid w:val="00F3297A"/>
    <w:rsid w:val="00F329F2"/>
    <w:rsid w:val="00F32F97"/>
    <w:rsid w:val="00F33E60"/>
    <w:rsid w:val="00F33E6B"/>
    <w:rsid w:val="00F340D4"/>
    <w:rsid w:val="00F34245"/>
    <w:rsid w:val="00F3443D"/>
    <w:rsid w:val="00F3490B"/>
    <w:rsid w:val="00F34DA0"/>
    <w:rsid w:val="00F3652D"/>
    <w:rsid w:val="00F371BE"/>
    <w:rsid w:val="00F3729F"/>
    <w:rsid w:val="00F3752D"/>
    <w:rsid w:val="00F375BA"/>
    <w:rsid w:val="00F37887"/>
    <w:rsid w:val="00F4073B"/>
    <w:rsid w:val="00F40B6F"/>
    <w:rsid w:val="00F40D9C"/>
    <w:rsid w:val="00F4194E"/>
    <w:rsid w:val="00F435A7"/>
    <w:rsid w:val="00F43BDC"/>
    <w:rsid w:val="00F43C54"/>
    <w:rsid w:val="00F43E38"/>
    <w:rsid w:val="00F44259"/>
    <w:rsid w:val="00F44D4E"/>
    <w:rsid w:val="00F45741"/>
    <w:rsid w:val="00F457D6"/>
    <w:rsid w:val="00F458C2"/>
    <w:rsid w:val="00F45D55"/>
    <w:rsid w:val="00F474D8"/>
    <w:rsid w:val="00F47755"/>
    <w:rsid w:val="00F47DE9"/>
    <w:rsid w:val="00F5012C"/>
    <w:rsid w:val="00F50585"/>
    <w:rsid w:val="00F50707"/>
    <w:rsid w:val="00F50A52"/>
    <w:rsid w:val="00F515FE"/>
    <w:rsid w:val="00F516BD"/>
    <w:rsid w:val="00F5170D"/>
    <w:rsid w:val="00F51966"/>
    <w:rsid w:val="00F51D96"/>
    <w:rsid w:val="00F52769"/>
    <w:rsid w:val="00F52D16"/>
    <w:rsid w:val="00F530C2"/>
    <w:rsid w:val="00F531C2"/>
    <w:rsid w:val="00F53473"/>
    <w:rsid w:val="00F53A60"/>
    <w:rsid w:val="00F53B98"/>
    <w:rsid w:val="00F53EA8"/>
    <w:rsid w:val="00F53EFD"/>
    <w:rsid w:val="00F55264"/>
    <w:rsid w:val="00F56B40"/>
    <w:rsid w:val="00F576EB"/>
    <w:rsid w:val="00F579CB"/>
    <w:rsid w:val="00F57EFD"/>
    <w:rsid w:val="00F607AD"/>
    <w:rsid w:val="00F60E88"/>
    <w:rsid w:val="00F61B69"/>
    <w:rsid w:val="00F62032"/>
    <w:rsid w:val="00F621C5"/>
    <w:rsid w:val="00F629B2"/>
    <w:rsid w:val="00F62B77"/>
    <w:rsid w:val="00F62BFD"/>
    <w:rsid w:val="00F6360C"/>
    <w:rsid w:val="00F63D79"/>
    <w:rsid w:val="00F63DC0"/>
    <w:rsid w:val="00F64398"/>
    <w:rsid w:val="00F6472F"/>
    <w:rsid w:val="00F647A8"/>
    <w:rsid w:val="00F64A61"/>
    <w:rsid w:val="00F65212"/>
    <w:rsid w:val="00F66498"/>
    <w:rsid w:val="00F668A4"/>
    <w:rsid w:val="00F6693E"/>
    <w:rsid w:val="00F66AF3"/>
    <w:rsid w:val="00F67261"/>
    <w:rsid w:val="00F6796B"/>
    <w:rsid w:val="00F67EC3"/>
    <w:rsid w:val="00F700EB"/>
    <w:rsid w:val="00F71EBE"/>
    <w:rsid w:val="00F72622"/>
    <w:rsid w:val="00F732D0"/>
    <w:rsid w:val="00F735D9"/>
    <w:rsid w:val="00F73ADE"/>
    <w:rsid w:val="00F73E69"/>
    <w:rsid w:val="00F751F1"/>
    <w:rsid w:val="00F7533B"/>
    <w:rsid w:val="00F75596"/>
    <w:rsid w:val="00F757A9"/>
    <w:rsid w:val="00F75DF6"/>
    <w:rsid w:val="00F75E5F"/>
    <w:rsid w:val="00F7624A"/>
    <w:rsid w:val="00F770EA"/>
    <w:rsid w:val="00F77C0D"/>
    <w:rsid w:val="00F77D3D"/>
    <w:rsid w:val="00F77ED8"/>
    <w:rsid w:val="00F80146"/>
    <w:rsid w:val="00F8088F"/>
    <w:rsid w:val="00F80C34"/>
    <w:rsid w:val="00F81305"/>
    <w:rsid w:val="00F8147A"/>
    <w:rsid w:val="00F81A41"/>
    <w:rsid w:val="00F8218D"/>
    <w:rsid w:val="00F82952"/>
    <w:rsid w:val="00F83396"/>
    <w:rsid w:val="00F8429F"/>
    <w:rsid w:val="00F84372"/>
    <w:rsid w:val="00F844AA"/>
    <w:rsid w:val="00F847ED"/>
    <w:rsid w:val="00F8491D"/>
    <w:rsid w:val="00F84B65"/>
    <w:rsid w:val="00F8519A"/>
    <w:rsid w:val="00F852E5"/>
    <w:rsid w:val="00F855D7"/>
    <w:rsid w:val="00F85C20"/>
    <w:rsid w:val="00F860EB"/>
    <w:rsid w:val="00F86527"/>
    <w:rsid w:val="00F86D30"/>
    <w:rsid w:val="00F86F93"/>
    <w:rsid w:val="00F87391"/>
    <w:rsid w:val="00F905ED"/>
    <w:rsid w:val="00F90AE7"/>
    <w:rsid w:val="00F90BBE"/>
    <w:rsid w:val="00F90E01"/>
    <w:rsid w:val="00F9110E"/>
    <w:rsid w:val="00F912E0"/>
    <w:rsid w:val="00F91A06"/>
    <w:rsid w:val="00F92077"/>
    <w:rsid w:val="00F927A5"/>
    <w:rsid w:val="00F9294C"/>
    <w:rsid w:val="00F92DE9"/>
    <w:rsid w:val="00F938BD"/>
    <w:rsid w:val="00F93C7A"/>
    <w:rsid w:val="00F941B9"/>
    <w:rsid w:val="00F9469A"/>
    <w:rsid w:val="00F954CE"/>
    <w:rsid w:val="00F95765"/>
    <w:rsid w:val="00F96271"/>
    <w:rsid w:val="00F962A9"/>
    <w:rsid w:val="00F96C7A"/>
    <w:rsid w:val="00F975A1"/>
    <w:rsid w:val="00F97C51"/>
    <w:rsid w:val="00FA0C18"/>
    <w:rsid w:val="00FA1192"/>
    <w:rsid w:val="00FA181B"/>
    <w:rsid w:val="00FA19F6"/>
    <w:rsid w:val="00FA1A6A"/>
    <w:rsid w:val="00FA1FBC"/>
    <w:rsid w:val="00FA1FCF"/>
    <w:rsid w:val="00FA2304"/>
    <w:rsid w:val="00FA3467"/>
    <w:rsid w:val="00FA379F"/>
    <w:rsid w:val="00FA3CC1"/>
    <w:rsid w:val="00FA407A"/>
    <w:rsid w:val="00FA4F4D"/>
    <w:rsid w:val="00FA5164"/>
    <w:rsid w:val="00FA59BD"/>
    <w:rsid w:val="00FA5B0F"/>
    <w:rsid w:val="00FA5B44"/>
    <w:rsid w:val="00FA5C02"/>
    <w:rsid w:val="00FA654A"/>
    <w:rsid w:val="00FA6B51"/>
    <w:rsid w:val="00FA7525"/>
    <w:rsid w:val="00FA761B"/>
    <w:rsid w:val="00FA7702"/>
    <w:rsid w:val="00FA79E0"/>
    <w:rsid w:val="00FA7D9C"/>
    <w:rsid w:val="00FB0429"/>
    <w:rsid w:val="00FB0463"/>
    <w:rsid w:val="00FB0A35"/>
    <w:rsid w:val="00FB0CC2"/>
    <w:rsid w:val="00FB0D4E"/>
    <w:rsid w:val="00FB0DAA"/>
    <w:rsid w:val="00FB103C"/>
    <w:rsid w:val="00FB1DEB"/>
    <w:rsid w:val="00FB2125"/>
    <w:rsid w:val="00FB3C8F"/>
    <w:rsid w:val="00FB440B"/>
    <w:rsid w:val="00FB4467"/>
    <w:rsid w:val="00FB5A31"/>
    <w:rsid w:val="00FB5E80"/>
    <w:rsid w:val="00FB6E8E"/>
    <w:rsid w:val="00FB72E2"/>
    <w:rsid w:val="00FB7EA1"/>
    <w:rsid w:val="00FC0350"/>
    <w:rsid w:val="00FC0DC2"/>
    <w:rsid w:val="00FC143D"/>
    <w:rsid w:val="00FC1CF1"/>
    <w:rsid w:val="00FC2088"/>
    <w:rsid w:val="00FC23A3"/>
    <w:rsid w:val="00FC2439"/>
    <w:rsid w:val="00FC2B1E"/>
    <w:rsid w:val="00FC2B47"/>
    <w:rsid w:val="00FC2C24"/>
    <w:rsid w:val="00FC3A06"/>
    <w:rsid w:val="00FC415F"/>
    <w:rsid w:val="00FC4561"/>
    <w:rsid w:val="00FC4CC5"/>
    <w:rsid w:val="00FC5214"/>
    <w:rsid w:val="00FC64AD"/>
    <w:rsid w:val="00FC6869"/>
    <w:rsid w:val="00FC6FF6"/>
    <w:rsid w:val="00FC7211"/>
    <w:rsid w:val="00FC72FA"/>
    <w:rsid w:val="00FC78B4"/>
    <w:rsid w:val="00FC7D16"/>
    <w:rsid w:val="00FD0106"/>
    <w:rsid w:val="00FD0694"/>
    <w:rsid w:val="00FD10EE"/>
    <w:rsid w:val="00FD13EE"/>
    <w:rsid w:val="00FD1652"/>
    <w:rsid w:val="00FD1673"/>
    <w:rsid w:val="00FD270D"/>
    <w:rsid w:val="00FD2C02"/>
    <w:rsid w:val="00FD303D"/>
    <w:rsid w:val="00FD3186"/>
    <w:rsid w:val="00FD3B8A"/>
    <w:rsid w:val="00FD3CE2"/>
    <w:rsid w:val="00FD3E8A"/>
    <w:rsid w:val="00FD4153"/>
    <w:rsid w:val="00FD4648"/>
    <w:rsid w:val="00FD4B85"/>
    <w:rsid w:val="00FD4DA9"/>
    <w:rsid w:val="00FD5B4E"/>
    <w:rsid w:val="00FD5CD3"/>
    <w:rsid w:val="00FD5DE8"/>
    <w:rsid w:val="00FD5EA9"/>
    <w:rsid w:val="00FD5FF7"/>
    <w:rsid w:val="00FD6215"/>
    <w:rsid w:val="00FD62E2"/>
    <w:rsid w:val="00FD65E6"/>
    <w:rsid w:val="00FD663D"/>
    <w:rsid w:val="00FD68C2"/>
    <w:rsid w:val="00FD6E27"/>
    <w:rsid w:val="00FD7157"/>
    <w:rsid w:val="00FD728C"/>
    <w:rsid w:val="00FD7C53"/>
    <w:rsid w:val="00FE0973"/>
    <w:rsid w:val="00FE180D"/>
    <w:rsid w:val="00FE23CA"/>
    <w:rsid w:val="00FE2623"/>
    <w:rsid w:val="00FE2DF1"/>
    <w:rsid w:val="00FE2F22"/>
    <w:rsid w:val="00FE3040"/>
    <w:rsid w:val="00FE4222"/>
    <w:rsid w:val="00FE4AEA"/>
    <w:rsid w:val="00FE520B"/>
    <w:rsid w:val="00FE5421"/>
    <w:rsid w:val="00FE575F"/>
    <w:rsid w:val="00FE5970"/>
    <w:rsid w:val="00FE5D47"/>
    <w:rsid w:val="00FE693E"/>
    <w:rsid w:val="00FE6956"/>
    <w:rsid w:val="00FE69E7"/>
    <w:rsid w:val="00FE6E33"/>
    <w:rsid w:val="00FE7C30"/>
    <w:rsid w:val="00FF001C"/>
    <w:rsid w:val="00FF12D8"/>
    <w:rsid w:val="00FF130B"/>
    <w:rsid w:val="00FF143A"/>
    <w:rsid w:val="00FF16DA"/>
    <w:rsid w:val="00FF18AA"/>
    <w:rsid w:val="00FF1992"/>
    <w:rsid w:val="00FF2223"/>
    <w:rsid w:val="00FF248B"/>
    <w:rsid w:val="00FF2CD6"/>
    <w:rsid w:val="00FF37FA"/>
    <w:rsid w:val="00FF3A9A"/>
    <w:rsid w:val="00FF3DFA"/>
    <w:rsid w:val="00FF401D"/>
    <w:rsid w:val="00FF4209"/>
    <w:rsid w:val="00FF4463"/>
    <w:rsid w:val="00FF47A5"/>
    <w:rsid w:val="00FF4995"/>
    <w:rsid w:val="00FF56A3"/>
    <w:rsid w:val="00FF6094"/>
    <w:rsid w:val="00FF6E80"/>
    <w:rsid w:val="00FF7221"/>
    <w:rsid w:val="00FF7335"/>
    <w:rsid w:val="00FF7415"/>
    <w:rsid w:val="00FF75A9"/>
    <w:rsid w:val="00FF793A"/>
    <w:rsid w:val="00FF7A80"/>
  </w:rsids>
  <m:mathPr>
    <m:mathFont m:val="Cambria Math"/>
    <m:brkBin m:val="before"/>
    <m:brkBinSub m:val="--"/>
    <m:smallFrac/>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6A"/>
    <w:pPr>
      <w:jc w:val="both"/>
    </w:pPr>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FF420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FF4209"/>
    <w:pPr>
      <w:keepNext/>
      <w:spacing w:before="240" w:after="60"/>
      <w:jc w:val="left"/>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semiHidden/>
    <w:unhideWhenUsed/>
    <w:qFormat/>
    <w:rsid w:val="00FF4209"/>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209"/>
    <w:rPr>
      <w:rFonts w:ascii="Cambria" w:eastAsia="Times New Roman" w:hAnsi="Cambria" w:cs="DokChampa"/>
      <w:b/>
      <w:bCs/>
      <w:kern w:val="32"/>
      <w:sz w:val="32"/>
      <w:szCs w:val="32"/>
    </w:rPr>
  </w:style>
  <w:style w:type="character" w:customStyle="1" w:styleId="Heading2Char">
    <w:name w:val="Heading 2 Char"/>
    <w:link w:val="Heading2"/>
    <w:rsid w:val="00FF4209"/>
    <w:rPr>
      <w:rFonts w:ascii="Arial" w:eastAsia="Times New Roman" w:hAnsi="Arial" w:cs="Arial"/>
      <w:b/>
      <w:bCs/>
      <w:i/>
      <w:iCs/>
      <w:sz w:val="28"/>
      <w:szCs w:val="28"/>
    </w:rPr>
  </w:style>
  <w:style w:type="character" w:customStyle="1" w:styleId="Heading3Char">
    <w:name w:val="Heading 3 Char"/>
    <w:link w:val="Heading3"/>
    <w:uiPriority w:val="9"/>
    <w:semiHidden/>
    <w:rsid w:val="00FF4209"/>
    <w:rPr>
      <w:rFonts w:ascii="Cambria" w:eastAsia="Times New Roman" w:hAnsi="Cambria" w:cs="Times New Roman"/>
      <w:b/>
      <w:bCs/>
      <w:color w:val="4F81BD"/>
      <w:sz w:val="24"/>
      <w:szCs w:val="20"/>
    </w:rPr>
  </w:style>
  <w:style w:type="paragraph" w:styleId="Header">
    <w:name w:val="header"/>
    <w:basedOn w:val="Normal"/>
    <w:link w:val="HeaderChar"/>
    <w:uiPriority w:val="99"/>
    <w:rsid w:val="00FF4209"/>
    <w:pPr>
      <w:tabs>
        <w:tab w:val="center" w:pos="4153"/>
        <w:tab w:val="right" w:pos="8306"/>
      </w:tabs>
      <w:jc w:val="left"/>
    </w:pPr>
    <w:rPr>
      <w:szCs w:val="24"/>
      <w:lang w:val="en-GB" w:eastAsia="x-none"/>
    </w:rPr>
  </w:style>
  <w:style w:type="character" w:customStyle="1" w:styleId="HeaderChar">
    <w:name w:val="Header Char"/>
    <w:link w:val="Header"/>
    <w:uiPriority w:val="99"/>
    <w:rsid w:val="00FF4209"/>
    <w:rPr>
      <w:rFonts w:ascii="Times New Roman" w:eastAsia="Times New Roman" w:hAnsi="Times New Roman" w:cs="Times New Roman"/>
      <w:sz w:val="24"/>
      <w:szCs w:val="24"/>
      <w:lang w:val="en-GB"/>
    </w:rPr>
  </w:style>
  <w:style w:type="character" w:styleId="Hyperlink">
    <w:name w:val="Hyperlink"/>
    <w:uiPriority w:val="99"/>
    <w:rsid w:val="00FF4209"/>
    <w:rPr>
      <w:rFonts w:ascii="Arial" w:hAnsi="Arial" w:cs="Arial" w:hint="default"/>
      <w:strike w:val="0"/>
      <w:dstrike w:val="0"/>
      <w:color w:val="189B70"/>
      <w:sz w:val="18"/>
      <w:szCs w:val="18"/>
      <w:u w:val="none"/>
      <w:effect w:val="none"/>
    </w:rPr>
  </w:style>
  <w:style w:type="paragraph" w:styleId="BalloonText">
    <w:name w:val="Balloon Text"/>
    <w:basedOn w:val="Normal"/>
    <w:link w:val="BalloonTextChar"/>
    <w:semiHidden/>
    <w:rsid w:val="00FF4209"/>
    <w:rPr>
      <w:rFonts w:ascii="Tahoma" w:hAnsi="Tahoma"/>
      <w:sz w:val="16"/>
      <w:szCs w:val="16"/>
      <w:lang w:val="x-none" w:eastAsia="x-none"/>
    </w:rPr>
  </w:style>
  <w:style w:type="character" w:customStyle="1" w:styleId="BalloonTextChar">
    <w:name w:val="Balloon Text Char"/>
    <w:link w:val="BalloonText"/>
    <w:semiHidden/>
    <w:rsid w:val="00FF4209"/>
    <w:rPr>
      <w:rFonts w:ascii="Tahoma" w:eastAsia="Times New Roman" w:hAnsi="Tahoma" w:cs="Tahoma"/>
      <w:sz w:val="16"/>
      <w:szCs w:val="16"/>
    </w:rPr>
  </w:style>
  <w:style w:type="paragraph" w:styleId="NormalWeb">
    <w:name w:val="Normal (Web)"/>
    <w:basedOn w:val="Normal"/>
    <w:uiPriority w:val="99"/>
    <w:rsid w:val="00FF4209"/>
    <w:pPr>
      <w:spacing w:before="100" w:beforeAutospacing="1" w:after="100" w:afterAutospacing="1"/>
      <w:jc w:val="left"/>
    </w:pPr>
    <w:rPr>
      <w:szCs w:val="24"/>
      <w:lang w:val="en-GB"/>
    </w:rPr>
  </w:style>
  <w:style w:type="character" w:styleId="Strong">
    <w:name w:val="Strong"/>
    <w:uiPriority w:val="22"/>
    <w:qFormat/>
    <w:rsid w:val="00FF4209"/>
    <w:rPr>
      <w:b/>
      <w:bCs/>
    </w:rPr>
  </w:style>
  <w:style w:type="paragraph" w:styleId="Title">
    <w:name w:val="Title"/>
    <w:basedOn w:val="Normal"/>
    <w:link w:val="TitleChar"/>
    <w:uiPriority w:val="10"/>
    <w:qFormat/>
    <w:rsid w:val="00FF4209"/>
    <w:pPr>
      <w:jc w:val="center"/>
    </w:pPr>
    <w:rPr>
      <w:b/>
      <w:sz w:val="28"/>
      <w:szCs w:val="28"/>
      <w:lang w:val="x-none" w:eastAsia="x-none"/>
    </w:rPr>
  </w:style>
  <w:style w:type="character" w:customStyle="1" w:styleId="TitleChar">
    <w:name w:val="Title Char"/>
    <w:link w:val="Title"/>
    <w:uiPriority w:val="10"/>
    <w:rsid w:val="00FF4209"/>
    <w:rPr>
      <w:rFonts w:ascii="Times New Roman" w:eastAsia="Times New Roman" w:hAnsi="Times New Roman" w:cs="Times New Roman"/>
      <w:b/>
      <w:sz w:val="28"/>
      <w:szCs w:val="28"/>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rsid w:val="00FF4209"/>
    <w:rPr>
      <w:sz w:val="20"/>
      <w:lang w:val="x-none" w:eastAsia="x-none"/>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link w:val="FootnoteText"/>
    <w:uiPriority w:val="99"/>
    <w:rsid w:val="00FF4209"/>
    <w:rPr>
      <w:rFonts w:ascii="Times New Roman" w:eastAsia="Times New Roman" w:hAnsi="Times New Roman" w:cs="Times New Roman"/>
      <w:sz w:val="20"/>
      <w:szCs w:val="20"/>
    </w:rPr>
  </w:style>
  <w:style w:type="character" w:styleId="FootnoteReference">
    <w:name w:val="footnote reference"/>
    <w:aliases w:val="Footnote Reference Number,Footnote symbol"/>
    <w:uiPriority w:val="99"/>
    <w:rsid w:val="00FF4209"/>
    <w:rPr>
      <w:vertAlign w:val="superscript"/>
    </w:rPr>
  </w:style>
  <w:style w:type="paragraph" w:styleId="Footer">
    <w:name w:val="footer"/>
    <w:basedOn w:val="Normal"/>
    <w:link w:val="FooterChar"/>
    <w:rsid w:val="00FF4209"/>
    <w:pPr>
      <w:tabs>
        <w:tab w:val="center" w:pos="4153"/>
        <w:tab w:val="right" w:pos="8306"/>
      </w:tabs>
    </w:pPr>
    <w:rPr>
      <w:lang w:val="x-none" w:eastAsia="x-none"/>
    </w:rPr>
  </w:style>
  <w:style w:type="character" w:customStyle="1" w:styleId="FooterChar">
    <w:name w:val="Footer Char"/>
    <w:link w:val="Footer"/>
    <w:rsid w:val="00FF4209"/>
    <w:rPr>
      <w:rFonts w:ascii="Times New Roman" w:eastAsia="Times New Roman" w:hAnsi="Times New Roman" w:cs="Times New Roman"/>
      <w:sz w:val="24"/>
      <w:szCs w:val="20"/>
    </w:rPr>
  </w:style>
  <w:style w:type="character" w:styleId="PageNumber">
    <w:name w:val="page number"/>
    <w:basedOn w:val="DefaultParagraphFont"/>
    <w:rsid w:val="00FF4209"/>
  </w:style>
  <w:style w:type="character" w:styleId="FollowedHyperlink">
    <w:name w:val="FollowedHyperlink"/>
    <w:rsid w:val="00FF4209"/>
    <w:rPr>
      <w:color w:val="800080"/>
      <w:u w:val="single"/>
    </w:rPr>
  </w:style>
  <w:style w:type="character" w:styleId="Emphasis">
    <w:name w:val="Emphasis"/>
    <w:uiPriority w:val="20"/>
    <w:qFormat/>
    <w:rsid w:val="00FF4209"/>
    <w:rPr>
      <w:i/>
      <w:iCs/>
    </w:rPr>
  </w:style>
  <w:style w:type="paragraph" w:customStyle="1" w:styleId="RakstzRakstz">
    <w:name w:val="Rakstz. Rakstz."/>
    <w:basedOn w:val="Normal"/>
    <w:next w:val="BlockText"/>
    <w:rsid w:val="00FF4209"/>
    <w:pPr>
      <w:spacing w:before="120" w:after="160" w:line="240" w:lineRule="exact"/>
      <w:ind w:firstLine="720"/>
    </w:pPr>
    <w:rPr>
      <w:rFonts w:ascii="Verdana" w:hAnsi="Verdana"/>
      <w:sz w:val="20"/>
      <w:lang w:val="en-US"/>
    </w:rPr>
  </w:style>
  <w:style w:type="paragraph" w:styleId="BlockText">
    <w:name w:val="Block Text"/>
    <w:basedOn w:val="Normal"/>
    <w:rsid w:val="00FF4209"/>
    <w:pPr>
      <w:spacing w:after="120"/>
      <w:ind w:left="1440" w:right="1440"/>
    </w:pPr>
  </w:style>
  <w:style w:type="paragraph" w:customStyle="1" w:styleId="CharChar2Char">
    <w:name w:val="Char Char2 Char"/>
    <w:basedOn w:val="Normal"/>
    <w:rsid w:val="00FF4209"/>
    <w:pPr>
      <w:spacing w:before="40"/>
      <w:jc w:val="left"/>
    </w:pPr>
    <w:rPr>
      <w:szCs w:val="24"/>
      <w:lang w:val="pl-PL" w:eastAsia="pl-PL"/>
    </w:rPr>
  </w:style>
  <w:style w:type="paragraph" w:styleId="BodyText">
    <w:name w:val="Body Text"/>
    <w:basedOn w:val="Normal"/>
    <w:link w:val="BodyTextChar"/>
    <w:rsid w:val="00FF4209"/>
    <w:pPr>
      <w:jc w:val="left"/>
    </w:pPr>
    <w:rPr>
      <w:b/>
      <w:bCs/>
      <w:szCs w:val="24"/>
      <w:lang w:val="en-GB" w:eastAsia="x-none"/>
    </w:rPr>
  </w:style>
  <w:style w:type="character" w:customStyle="1" w:styleId="BodyTextChar">
    <w:name w:val="Body Text Char"/>
    <w:link w:val="BodyText"/>
    <w:rsid w:val="00FF4209"/>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FF4209"/>
    <w:pPr>
      <w:spacing w:after="120"/>
      <w:ind w:left="283"/>
    </w:pPr>
    <w:rPr>
      <w:lang w:val="x-none" w:eastAsia="x-none"/>
    </w:rPr>
  </w:style>
  <w:style w:type="character" w:customStyle="1" w:styleId="BodyTextIndentChar">
    <w:name w:val="Body Text Indent Char"/>
    <w:link w:val="BodyTextIndent"/>
    <w:rsid w:val="00FF4209"/>
    <w:rPr>
      <w:rFonts w:ascii="Times New Roman" w:eastAsia="Times New Roman" w:hAnsi="Times New Roman" w:cs="Times New Roman"/>
      <w:sz w:val="24"/>
      <w:szCs w:val="20"/>
    </w:rPr>
  </w:style>
  <w:style w:type="paragraph" w:customStyle="1" w:styleId="CharCharCharCharChar">
    <w:name w:val="Char Char Char Char Char"/>
    <w:basedOn w:val="Normal"/>
    <w:next w:val="BlockText"/>
    <w:rsid w:val="00FF4209"/>
    <w:pPr>
      <w:spacing w:before="120" w:after="160" w:line="240" w:lineRule="exact"/>
      <w:ind w:firstLine="720"/>
    </w:pPr>
    <w:rPr>
      <w:rFonts w:ascii="Verdana" w:hAnsi="Verdana"/>
      <w:sz w:val="20"/>
      <w:lang w:val="en-US"/>
    </w:rPr>
  </w:style>
  <w:style w:type="paragraph" w:customStyle="1" w:styleId="CharChar1">
    <w:name w:val="Char Char1"/>
    <w:basedOn w:val="Normal"/>
    <w:next w:val="BlockText"/>
    <w:rsid w:val="00FF4209"/>
    <w:pPr>
      <w:spacing w:before="120" w:after="160" w:line="240" w:lineRule="exact"/>
      <w:ind w:firstLine="720"/>
    </w:pPr>
    <w:rPr>
      <w:rFonts w:ascii="Verdana" w:hAnsi="Verdana"/>
      <w:sz w:val="20"/>
      <w:lang w:val="en-US"/>
    </w:rPr>
  </w:style>
  <w:style w:type="character" w:styleId="CommentReference">
    <w:name w:val="annotation reference"/>
    <w:uiPriority w:val="99"/>
    <w:rsid w:val="00FF4209"/>
    <w:rPr>
      <w:sz w:val="16"/>
      <w:szCs w:val="16"/>
    </w:rPr>
  </w:style>
  <w:style w:type="paragraph" w:styleId="CommentText">
    <w:name w:val="annotation text"/>
    <w:basedOn w:val="Normal"/>
    <w:link w:val="CommentTextChar"/>
    <w:uiPriority w:val="99"/>
    <w:rsid w:val="00FF4209"/>
    <w:rPr>
      <w:sz w:val="20"/>
      <w:lang w:val="x-none" w:eastAsia="x-none"/>
    </w:rPr>
  </w:style>
  <w:style w:type="character" w:customStyle="1" w:styleId="CommentTextChar">
    <w:name w:val="Comment Text Char"/>
    <w:link w:val="CommentText"/>
    <w:uiPriority w:val="99"/>
    <w:rsid w:val="00FF42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4209"/>
    <w:rPr>
      <w:b/>
      <w:bCs/>
    </w:rPr>
  </w:style>
  <w:style w:type="character" w:customStyle="1" w:styleId="CommentSubjectChar">
    <w:name w:val="Comment Subject Char"/>
    <w:link w:val="CommentSubject"/>
    <w:semiHidden/>
    <w:rsid w:val="00FF4209"/>
    <w:rPr>
      <w:rFonts w:ascii="Times New Roman" w:eastAsia="Times New Roman" w:hAnsi="Times New Roman" w:cs="Times New Roman"/>
      <w:b/>
      <w:bCs/>
      <w:sz w:val="20"/>
      <w:szCs w:val="20"/>
    </w:rPr>
  </w:style>
  <w:style w:type="paragraph" w:customStyle="1" w:styleId="Norm">
    <w:name w:val="Norm"/>
    <w:basedOn w:val="Normal"/>
    <w:autoRedefine/>
    <w:rsid w:val="00FF4209"/>
    <w:pPr>
      <w:tabs>
        <w:tab w:val="num" w:pos="1080"/>
      </w:tabs>
      <w:ind w:left="1080" w:hanging="360"/>
    </w:pPr>
    <w:rPr>
      <w:sz w:val="28"/>
      <w:szCs w:val="28"/>
    </w:rPr>
  </w:style>
  <w:style w:type="paragraph" w:styleId="BodyText2">
    <w:name w:val="Body Text 2"/>
    <w:basedOn w:val="Normal"/>
    <w:link w:val="BodyText2Char"/>
    <w:rsid w:val="00FF4209"/>
    <w:pPr>
      <w:spacing w:after="120" w:line="480" w:lineRule="auto"/>
      <w:jc w:val="left"/>
    </w:pPr>
    <w:rPr>
      <w:szCs w:val="24"/>
      <w:lang w:val="x-none" w:eastAsia="x-none"/>
    </w:rPr>
  </w:style>
  <w:style w:type="character" w:customStyle="1" w:styleId="BodyText2Char">
    <w:name w:val="Body Text 2 Char"/>
    <w:link w:val="BodyText2"/>
    <w:rsid w:val="00FF4209"/>
    <w:rPr>
      <w:rFonts w:ascii="Times New Roman" w:eastAsia="Times New Roman" w:hAnsi="Times New Roman" w:cs="Times New Roman"/>
      <w:sz w:val="24"/>
      <w:szCs w:val="24"/>
    </w:rPr>
  </w:style>
  <w:style w:type="paragraph" w:styleId="BodyText3">
    <w:name w:val="Body Text 3"/>
    <w:basedOn w:val="Normal"/>
    <w:link w:val="BodyText3Char"/>
    <w:rsid w:val="00FF4209"/>
    <w:pPr>
      <w:spacing w:after="120"/>
      <w:jc w:val="left"/>
    </w:pPr>
    <w:rPr>
      <w:sz w:val="16"/>
      <w:szCs w:val="16"/>
      <w:lang w:val="x-none" w:eastAsia="lv-LV"/>
    </w:rPr>
  </w:style>
  <w:style w:type="character" w:customStyle="1" w:styleId="BodyText3Char">
    <w:name w:val="Body Text 3 Char"/>
    <w:link w:val="BodyText3"/>
    <w:rsid w:val="00FF4209"/>
    <w:rPr>
      <w:rFonts w:ascii="Times New Roman" w:eastAsia="Times New Roman" w:hAnsi="Times New Roman" w:cs="Times New Roman"/>
      <w:sz w:val="16"/>
      <w:szCs w:val="16"/>
      <w:lang w:eastAsia="lv-LV"/>
    </w:rPr>
  </w:style>
  <w:style w:type="paragraph" w:customStyle="1" w:styleId="mkh">
    <w:name w:val="mkh"/>
    <w:basedOn w:val="Normal"/>
    <w:rsid w:val="00FF4209"/>
    <w:pPr>
      <w:spacing w:after="120"/>
      <w:ind w:firstLine="720"/>
      <w:jc w:val="center"/>
    </w:pPr>
    <w:rPr>
      <w:b/>
      <w:bCs/>
      <w:sz w:val="28"/>
      <w:szCs w:val="28"/>
      <w:lang w:eastAsia="lv-LV"/>
    </w:rPr>
  </w:style>
  <w:style w:type="paragraph" w:customStyle="1" w:styleId="CharChar2CharCharCharChar">
    <w:name w:val="Char Char2 Char Char Char Char"/>
    <w:basedOn w:val="Normal"/>
    <w:rsid w:val="00FF4209"/>
    <w:pPr>
      <w:spacing w:before="40"/>
      <w:jc w:val="left"/>
    </w:pPr>
    <w:rPr>
      <w:szCs w:val="24"/>
      <w:lang w:val="pl-PL" w:eastAsia="pl-PL"/>
    </w:rPr>
  </w:style>
  <w:style w:type="paragraph" w:customStyle="1" w:styleId="CharChar2CharCharCharCharChar">
    <w:name w:val="Char Char2 Char Char Char Char Char"/>
    <w:basedOn w:val="Normal"/>
    <w:rsid w:val="00FF4209"/>
    <w:pPr>
      <w:spacing w:before="40"/>
      <w:jc w:val="left"/>
    </w:pPr>
    <w:rPr>
      <w:szCs w:val="24"/>
      <w:lang w:val="pl-PL" w:eastAsia="pl-PL"/>
    </w:rPr>
  </w:style>
  <w:style w:type="paragraph" w:styleId="NoSpacing">
    <w:name w:val="No Spacing"/>
    <w:uiPriority w:val="1"/>
    <w:qFormat/>
    <w:rsid w:val="00FF4209"/>
    <w:rPr>
      <w:rFonts w:ascii="Times New Roman" w:hAnsi="Times New Roman"/>
      <w:sz w:val="24"/>
      <w:szCs w:val="24"/>
    </w:rPr>
  </w:style>
  <w:style w:type="paragraph" w:customStyle="1" w:styleId="naiskr">
    <w:name w:val="naiskr"/>
    <w:basedOn w:val="Normal"/>
    <w:rsid w:val="00FF4209"/>
    <w:pPr>
      <w:spacing w:before="100" w:beforeAutospacing="1" w:after="100" w:afterAutospacing="1"/>
      <w:jc w:val="left"/>
    </w:pPr>
    <w:rPr>
      <w:szCs w:val="24"/>
      <w:lang w:eastAsia="lv-LV"/>
    </w:rPr>
  </w:style>
  <w:style w:type="paragraph" w:styleId="BodyTextIndent2">
    <w:name w:val="Body Text Indent 2"/>
    <w:basedOn w:val="Normal"/>
    <w:link w:val="BodyTextIndent2Char"/>
    <w:rsid w:val="00FF4209"/>
    <w:pPr>
      <w:spacing w:after="120" w:line="480" w:lineRule="auto"/>
      <w:ind w:left="283"/>
    </w:pPr>
    <w:rPr>
      <w:lang w:val="x-none" w:eastAsia="x-none"/>
    </w:rPr>
  </w:style>
  <w:style w:type="character" w:customStyle="1" w:styleId="BodyTextIndent2Char">
    <w:name w:val="Body Text Indent 2 Char"/>
    <w:link w:val="BodyTextIndent2"/>
    <w:rsid w:val="00FF4209"/>
    <w:rPr>
      <w:rFonts w:ascii="Times New Roman" w:eastAsia="Times New Roman" w:hAnsi="Times New Roman" w:cs="Times New Roman"/>
      <w:sz w:val="24"/>
      <w:szCs w:val="20"/>
    </w:rPr>
  </w:style>
  <w:style w:type="paragraph" w:customStyle="1" w:styleId="RakstzCharCharRakstzCharCharRakstzCharCharRakstzCharChar">
    <w:name w:val="Rakstz. Char Char Rakstz. Char Char Rakstz. Char Char Rakstz. Char Char"/>
    <w:basedOn w:val="Normal"/>
    <w:rsid w:val="00FF4209"/>
    <w:pPr>
      <w:spacing w:after="160" w:line="240" w:lineRule="exact"/>
      <w:jc w:val="left"/>
    </w:pPr>
    <w:rPr>
      <w:rFonts w:ascii="Tahoma" w:hAnsi="Tahoma"/>
      <w:sz w:val="20"/>
      <w:lang w:val="en-US"/>
    </w:rPr>
  </w:style>
  <w:style w:type="paragraph" w:customStyle="1" w:styleId="msolistparagraph0">
    <w:name w:val="msolistparagraph"/>
    <w:basedOn w:val="Normal"/>
    <w:rsid w:val="00FF4209"/>
    <w:pPr>
      <w:ind w:left="720"/>
      <w:jc w:val="left"/>
    </w:pPr>
    <w:rPr>
      <w:szCs w:val="24"/>
      <w:lang w:eastAsia="lv-LV"/>
    </w:rPr>
  </w:style>
  <w:style w:type="paragraph" w:customStyle="1" w:styleId="NChar1CharCharCharCharChar">
    <w:name w:val="N Char1 Char Char Char Char Char"/>
    <w:basedOn w:val="Normal"/>
    <w:uiPriority w:val="99"/>
    <w:rsid w:val="00FF4209"/>
    <w:pPr>
      <w:tabs>
        <w:tab w:val="num" w:pos="0"/>
        <w:tab w:val="num" w:pos="765"/>
      </w:tabs>
      <w:spacing w:before="120"/>
      <w:ind w:left="765" w:hanging="720"/>
    </w:pPr>
    <w:rPr>
      <w:iCs/>
      <w:sz w:val="22"/>
      <w:szCs w:val="16"/>
      <w:lang w:eastAsia="lv-LV"/>
    </w:rPr>
  </w:style>
  <w:style w:type="character" w:customStyle="1" w:styleId="textsCharChar">
    <w:name w:val="texts Char Char"/>
    <w:aliases w:val="texts Char Char1,texts Char Char2,texts Char Char3"/>
    <w:rsid w:val="00FF4209"/>
    <w:rPr>
      <w:sz w:val="24"/>
      <w:szCs w:val="24"/>
      <w:lang w:val="en-GB" w:eastAsia="en-US" w:bidi="ar-SA"/>
    </w:rPr>
  </w:style>
  <w:style w:type="paragraph" w:styleId="ListParagraph">
    <w:name w:val="List Paragraph"/>
    <w:basedOn w:val="Normal"/>
    <w:uiPriority w:val="34"/>
    <w:qFormat/>
    <w:rsid w:val="00FF4209"/>
    <w:pPr>
      <w:spacing w:after="200" w:line="276" w:lineRule="auto"/>
      <w:ind w:left="720"/>
      <w:contextualSpacing/>
      <w:jc w:val="left"/>
    </w:pPr>
    <w:rPr>
      <w:rFonts w:ascii="Calibri" w:eastAsia="Calibri" w:hAnsi="Calibri"/>
      <w:sz w:val="22"/>
      <w:szCs w:val="22"/>
    </w:rPr>
  </w:style>
  <w:style w:type="paragraph" w:customStyle="1" w:styleId="CharCharCharCharCharCharCharChar">
    <w:name w:val="Char Char Char Char Char Char Char Char"/>
    <w:basedOn w:val="Normal"/>
    <w:next w:val="BlockText"/>
    <w:rsid w:val="00FF4209"/>
    <w:pPr>
      <w:spacing w:before="120" w:after="160" w:line="240" w:lineRule="exact"/>
      <w:ind w:firstLine="720"/>
    </w:pPr>
    <w:rPr>
      <w:rFonts w:ascii="Verdana" w:hAnsi="Verdana"/>
      <w:sz w:val="20"/>
      <w:lang w:val="en-US"/>
    </w:rPr>
  </w:style>
  <w:style w:type="paragraph" w:customStyle="1" w:styleId="naisf">
    <w:name w:val="naisf"/>
    <w:basedOn w:val="Normal"/>
    <w:link w:val="naisfChar"/>
    <w:rsid w:val="00FF4209"/>
    <w:pPr>
      <w:spacing w:before="100" w:beforeAutospacing="1" w:after="100" w:afterAutospacing="1"/>
      <w:jc w:val="left"/>
    </w:pPr>
    <w:rPr>
      <w:szCs w:val="24"/>
      <w:lang w:val="x-none" w:eastAsia="x-none"/>
    </w:rPr>
  </w:style>
  <w:style w:type="character" w:customStyle="1" w:styleId="naisfChar">
    <w:name w:val="naisf Char"/>
    <w:link w:val="naisf"/>
    <w:rsid w:val="00FF4209"/>
    <w:rPr>
      <w:rFonts w:ascii="Times New Roman" w:eastAsia="Times New Roman" w:hAnsi="Times New Roman" w:cs="Times New Roman"/>
      <w:sz w:val="24"/>
      <w:szCs w:val="24"/>
    </w:rPr>
  </w:style>
  <w:style w:type="paragraph" w:customStyle="1" w:styleId="Rakstz">
    <w:name w:val="Rakstz."/>
    <w:basedOn w:val="Normal"/>
    <w:rsid w:val="00FF4209"/>
    <w:pPr>
      <w:spacing w:before="40"/>
      <w:jc w:val="left"/>
    </w:pPr>
    <w:rPr>
      <w:szCs w:val="24"/>
      <w:lang w:val="pl-PL" w:eastAsia="pl-PL"/>
    </w:rPr>
  </w:style>
  <w:style w:type="paragraph" w:customStyle="1" w:styleId="Bullet1Rakstz">
    <w:name w:val="Bullet 1 Rakstz."/>
    <w:basedOn w:val="Normal"/>
    <w:rsid w:val="00FF4209"/>
    <w:pPr>
      <w:numPr>
        <w:numId w:val="1"/>
      </w:numPr>
      <w:snapToGrid w:val="0"/>
      <w:spacing w:before="20" w:line="288" w:lineRule="auto"/>
    </w:pPr>
    <w:rPr>
      <w:rFonts w:eastAsia="Calibri"/>
      <w:szCs w:val="24"/>
      <w:lang w:val="en-GB" w:eastAsia="en-GB"/>
    </w:rPr>
  </w:style>
  <w:style w:type="paragraph" w:customStyle="1" w:styleId="naisnod">
    <w:name w:val="naisnod"/>
    <w:basedOn w:val="Normal"/>
    <w:rsid w:val="00FF4209"/>
    <w:pPr>
      <w:spacing w:before="100" w:beforeAutospacing="1" w:after="100" w:afterAutospacing="1"/>
      <w:jc w:val="left"/>
    </w:pPr>
    <w:rPr>
      <w:rFonts w:eastAsia="Calibri"/>
      <w:szCs w:val="24"/>
      <w:lang w:eastAsia="lv-LV"/>
    </w:rPr>
  </w:style>
  <w:style w:type="table" w:styleId="TableGrid">
    <w:name w:val="Table Grid"/>
    <w:basedOn w:val="TableNormal"/>
    <w:uiPriority w:val="59"/>
    <w:rsid w:val="00FF420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F4209"/>
    <w:pPr>
      <w:autoSpaceDE w:val="0"/>
      <w:autoSpaceDN w:val="0"/>
      <w:adjustRightInd w:val="0"/>
    </w:pPr>
    <w:rPr>
      <w:rFonts w:ascii="Times New Roman" w:hAnsi="Times New Roman"/>
      <w:color w:val="000000"/>
      <w:sz w:val="24"/>
      <w:szCs w:val="24"/>
    </w:rPr>
  </w:style>
  <w:style w:type="character" w:customStyle="1" w:styleId="skypetbinnertext">
    <w:name w:val="skype_tb_innertext"/>
    <w:basedOn w:val="DefaultParagraphFont"/>
    <w:rsid w:val="00FF4209"/>
  </w:style>
  <w:style w:type="character" w:customStyle="1" w:styleId="spelle">
    <w:name w:val="spelle"/>
    <w:basedOn w:val="DefaultParagraphFont"/>
    <w:rsid w:val="00FF4209"/>
  </w:style>
  <w:style w:type="paragraph" w:customStyle="1" w:styleId="Normal1">
    <w:name w:val="Normal1"/>
    <w:basedOn w:val="Normal"/>
    <w:rsid w:val="00FF4209"/>
    <w:pPr>
      <w:spacing w:before="100" w:beforeAutospacing="1" w:after="100" w:afterAutospacing="1"/>
      <w:jc w:val="left"/>
    </w:pPr>
    <w:rPr>
      <w:szCs w:val="24"/>
      <w:lang w:val="en-US"/>
    </w:rPr>
  </w:style>
  <w:style w:type="paragraph" w:customStyle="1" w:styleId="1lmenis">
    <w:name w:val="1.līmenis"/>
    <w:basedOn w:val="Heading1"/>
    <w:link w:val="1lmenisChar"/>
    <w:uiPriority w:val="99"/>
    <w:qFormat/>
    <w:rsid w:val="00FF4209"/>
    <w:pPr>
      <w:numPr>
        <w:numId w:val="2"/>
      </w:numPr>
    </w:pPr>
    <w:rPr>
      <w:sz w:val="36"/>
      <w:szCs w:val="30"/>
    </w:rPr>
  </w:style>
  <w:style w:type="paragraph" w:customStyle="1" w:styleId="2lmenis">
    <w:name w:val="2.līmenis"/>
    <w:basedOn w:val="Heading2"/>
    <w:link w:val="2lmenisChar"/>
    <w:uiPriority w:val="99"/>
    <w:qFormat/>
    <w:rsid w:val="00FF4209"/>
    <w:pPr>
      <w:ind w:left="720"/>
    </w:pPr>
    <w:rPr>
      <w:rFonts w:ascii="Times New Roman" w:hAnsi="Times New Roman"/>
      <w:bCs w:val="0"/>
      <w:i w:val="0"/>
    </w:rPr>
  </w:style>
  <w:style w:type="character" w:customStyle="1" w:styleId="1lmenisChar">
    <w:name w:val="1.līmenis Char"/>
    <w:link w:val="1lmenis"/>
    <w:uiPriority w:val="99"/>
    <w:rsid w:val="00FF4209"/>
    <w:rPr>
      <w:rFonts w:ascii="Cambria" w:eastAsia="Times New Roman" w:hAnsi="Cambria"/>
      <w:b/>
      <w:bCs/>
      <w:kern w:val="32"/>
      <w:sz w:val="36"/>
      <w:szCs w:val="30"/>
      <w:lang w:val="x-none" w:eastAsia="x-none"/>
    </w:rPr>
  </w:style>
  <w:style w:type="paragraph" w:customStyle="1" w:styleId="3lmenis">
    <w:name w:val="3.līmenis"/>
    <w:basedOn w:val="Normal"/>
    <w:link w:val="3lmenisChar"/>
    <w:qFormat/>
    <w:rsid w:val="00FF4209"/>
    <w:pPr>
      <w:spacing w:before="120" w:after="120" w:line="276" w:lineRule="auto"/>
      <w:ind w:left="720"/>
    </w:pPr>
    <w:rPr>
      <w:b/>
      <w:bCs/>
      <w:szCs w:val="24"/>
      <w:u w:val="single"/>
      <w:lang w:val="x-none" w:eastAsia="x-none"/>
    </w:rPr>
  </w:style>
  <w:style w:type="character" w:customStyle="1" w:styleId="2lmenisChar">
    <w:name w:val="2.līmenis Char"/>
    <w:link w:val="2lmenis"/>
    <w:uiPriority w:val="99"/>
    <w:rsid w:val="00FF4209"/>
    <w:rPr>
      <w:rFonts w:ascii="Times New Roman" w:eastAsia="Times New Roman" w:hAnsi="Times New Roman" w:cs="Arial"/>
      <w:b/>
      <w:iCs/>
      <w:sz w:val="28"/>
      <w:szCs w:val="28"/>
    </w:rPr>
  </w:style>
  <w:style w:type="character" w:customStyle="1" w:styleId="3lmenisChar">
    <w:name w:val="3.līmenis Char"/>
    <w:link w:val="3lmenis"/>
    <w:rsid w:val="00FF4209"/>
    <w:rPr>
      <w:rFonts w:ascii="Times New Roman" w:eastAsia="Times New Roman" w:hAnsi="Times New Roman" w:cs="Times New Roman"/>
      <w:b/>
      <w:bCs/>
      <w:sz w:val="24"/>
      <w:szCs w:val="24"/>
      <w:u w:val="single"/>
    </w:rPr>
  </w:style>
  <w:style w:type="paragraph" w:styleId="TOCHeading">
    <w:name w:val="TOC Heading"/>
    <w:basedOn w:val="Heading1"/>
    <w:next w:val="Normal"/>
    <w:uiPriority w:val="39"/>
    <w:unhideWhenUsed/>
    <w:qFormat/>
    <w:rsid w:val="00FF4209"/>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unhideWhenUsed/>
    <w:qFormat/>
    <w:rsid w:val="00A5117A"/>
    <w:pPr>
      <w:tabs>
        <w:tab w:val="left" w:pos="426"/>
        <w:tab w:val="right" w:leader="dot" w:pos="9214"/>
      </w:tabs>
      <w:spacing w:before="120" w:after="120" w:line="276" w:lineRule="auto"/>
      <w:jc w:val="left"/>
    </w:pPr>
    <w:rPr>
      <w:b/>
      <w:bCs/>
      <w:caps/>
      <w:noProof/>
      <w:szCs w:val="24"/>
    </w:rPr>
  </w:style>
  <w:style w:type="paragraph" w:styleId="TOC2">
    <w:name w:val="toc 2"/>
    <w:basedOn w:val="Normal"/>
    <w:next w:val="Normal"/>
    <w:autoRedefine/>
    <w:uiPriority w:val="39"/>
    <w:unhideWhenUsed/>
    <w:qFormat/>
    <w:rsid w:val="00906FFF"/>
    <w:pPr>
      <w:tabs>
        <w:tab w:val="left" w:pos="720"/>
        <w:tab w:val="right" w:leader="dot" w:pos="9214"/>
      </w:tabs>
      <w:spacing w:before="240"/>
    </w:pPr>
    <w:rPr>
      <w:bCs/>
      <w:noProof/>
      <w:szCs w:val="24"/>
    </w:rPr>
  </w:style>
  <w:style w:type="paragraph" w:styleId="TOC3">
    <w:name w:val="toc 3"/>
    <w:basedOn w:val="Normal"/>
    <w:next w:val="Normal"/>
    <w:autoRedefine/>
    <w:uiPriority w:val="39"/>
    <w:unhideWhenUsed/>
    <w:qFormat/>
    <w:rsid w:val="00FF4209"/>
    <w:pPr>
      <w:ind w:left="240"/>
      <w:jc w:val="left"/>
    </w:pPr>
    <w:rPr>
      <w:rFonts w:ascii="Calibri" w:hAnsi="Calibri"/>
      <w:sz w:val="20"/>
      <w:szCs w:val="24"/>
    </w:rPr>
  </w:style>
  <w:style w:type="paragraph" w:styleId="TOC4">
    <w:name w:val="toc 4"/>
    <w:basedOn w:val="Normal"/>
    <w:next w:val="Normal"/>
    <w:autoRedefine/>
    <w:uiPriority w:val="39"/>
    <w:unhideWhenUsed/>
    <w:rsid w:val="00FF4209"/>
    <w:pPr>
      <w:ind w:left="480"/>
      <w:jc w:val="left"/>
    </w:pPr>
    <w:rPr>
      <w:rFonts w:ascii="Calibri" w:hAnsi="Calibri"/>
      <w:sz w:val="20"/>
      <w:szCs w:val="24"/>
    </w:rPr>
  </w:style>
  <w:style w:type="paragraph" w:styleId="TOC5">
    <w:name w:val="toc 5"/>
    <w:basedOn w:val="Normal"/>
    <w:next w:val="Normal"/>
    <w:autoRedefine/>
    <w:uiPriority w:val="39"/>
    <w:unhideWhenUsed/>
    <w:rsid w:val="00FF4209"/>
    <w:pPr>
      <w:ind w:left="720"/>
      <w:jc w:val="left"/>
    </w:pPr>
    <w:rPr>
      <w:rFonts w:ascii="Calibri" w:hAnsi="Calibri"/>
      <w:sz w:val="20"/>
      <w:szCs w:val="24"/>
    </w:rPr>
  </w:style>
  <w:style w:type="paragraph" w:styleId="TOC6">
    <w:name w:val="toc 6"/>
    <w:basedOn w:val="Normal"/>
    <w:next w:val="Normal"/>
    <w:autoRedefine/>
    <w:uiPriority w:val="39"/>
    <w:unhideWhenUsed/>
    <w:rsid w:val="00FF4209"/>
    <w:pPr>
      <w:ind w:left="960"/>
      <w:jc w:val="left"/>
    </w:pPr>
    <w:rPr>
      <w:rFonts w:ascii="Calibri" w:hAnsi="Calibri"/>
      <w:sz w:val="20"/>
      <w:szCs w:val="24"/>
    </w:rPr>
  </w:style>
  <w:style w:type="paragraph" w:styleId="TOC7">
    <w:name w:val="toc 7"/>
    <w:basedOn w:val="Normal"/>
    <w:next w:val="Normal"/>
    <w:autoRedefine/>
    <w:uiPriority w:val="39"/>
    <w:unhideWhenUsed/>
    <w:rsid w:val="00FF4209"/>
    <w:pPr>
      <w:ind w:left="1200"/>
      <w:jc w:val="left"/>
    </w:pPr>
    <w:rPr>
      <w:rFonts w:ascii="Calibri" w:hAnsi="Calibri"/>
      <w:sz w:val="20"/>
      <w:szCs w:val="24"/>
    </w:rPr>
  </w:style>
  <w:style w:type="paragraph" w:styleId="TOC8">
    <w:name w:val="toc 8"/>
    <w:basedOn w:val="Normal"/>
    <w:next w:val="Normal"/>
    <w:autoRedefine/>
    <w:uiPriority w:val="39"/>
    <w:unhideWhenUsed/>
    <w:rsid w:val="00FF4209"/>
    <w:pPr>
      <w:ind w:left="1440"/>
      <w:jc w:val="left"/>
    </w:pPr>
    <w:rPr>
      <w:rFonts w:ascii="Calibri" w:hAnsi="Calibri"/>
      <w:sz w:val="20"/>
      <w:szCs w:val="24"/>
    </w:rPr>
  </w:style>
  <w:style w:type="paragraph" w:styleId="TOC9">
    <w:name w:val="toc 9"/>
    <w:basedOn w:val="Normal"/>
    <w:next w:val="Normal"/>
    <w:autoRedefine/>
    <w:uiPriority w:val="39"/>
    <w:unhideWhenUsed/>
    <w:rsid w:val="00FF4209"/>
    <w:pPr>
      <w:ind w:left="1680"/>
      <w:jc w:val="left"/>
    </w:pPr>
    <w:rPr>
      <w:rFonts w:ascii="Calibri" w:hAnsi="Calibri"/>
      <w:sz w:val="20"/>
      <w:szCs w:val="24"/>
    </w:rPr>
  </w:style>
  <w:style w:type="paragraph" w:customStyle="1" w:styleId="TabCharChar">
    <w:name w:val="Tab Char Char"/>
    <w:basedOn w:val="Normal"/>
    <w:autoRedefine/>
    <w:rsid w:val="00FF4209"/>
    <w:pPr>
      <w:spacing w:after="200" w:line="276" w:lineRule="auto"/>
    </w:pPr>
    <w:rPr>
      <w:szCs w:val="24"/>
      <w:lang w:eastAsia="lv-LV"/>
    </w:rPr>
  </w:style>
  <w:style w:type="paragraph" w:customStyle="1" w:styleId="MKNormal">
    <w:name w:val="MKNormal"/>
    <w:basedOn w:val="Normal"/>
    <w:autoRedefine/>
    <w:rsid w:val="00FF4209"/>
    <w:pPr>
      <w:ind w:firstLine="720"/>
    </w:pPr>
    <w:rPr>
      <w:szCs w:val="24"/>
      <w:lang w:eastAsia="lv-LV"/>
    </w:rPr>
  </w:style>
  <w:style w:type="paragraph" w:styleId="EndnoteText">
    <w:name w:val="endnote text"/>
    <w:basedOn w:val="Normal"/>
    <w:link w:val="EndnoteTextChar"/>
    <w:uiPriority w:val="99"/>
    <w:semiHidden/>
    <w:unhideWhenUsed/>
    <w:rsid w:val="00FF4209"/>
    <w:rPr>
      <w:sz w:val="20"/>
      <w:lang w:val="x-none" w:eastAsia="x-none"/>
    </w:rPr>
  </w:style>
  <w:style w:type="character" w:customStyle="1" w:styleId="EndnoteTextChar">
    <w:name w:val="Endnote Text Char"/>
    <w:link w:val="EndnoteText"/>
    <w:uiPriority w:val="99"/>
    <w:semiHidden/>
    <w:rsid w:val="00FF4209"/>
    <w:rPr>
      <w:rFonts w:ascii="Times New Roman" w:eastAsia="Times New Roman" w:hAnsi="Times New Roman" w:cs="Times New Roman"/>
      <w:sz w:val="20"/>
      <w:szCs w:val="20"/>
    </w:rPr>
  </w:style>
  <w:style w:type="character" w:styleId="EndnoteReference">
    <w:name w:val="endnote reference"/>
    <w:uiPriority w:val="99"/>
    <w:semiHidden/>
    <w:unhideWhenUsed/>
    <w:rsid w:val="00FF4209"/>
    <w:rPr>
      <w:vertAlign w:val="superscript"/>
    </w:rPr>
  </w:style>
  <w:style w:type="paragraph" w:customStyle="1" w:styleId="Normal1-centered">
    <w:name w:val="Normal1-centered"/>
    <w:basedOn w:val="Normal1"/>
    <w:qFormat/>
    <w:rsid w:val="00FF4209"/>
    <w:pPr>
      <w:spacing w:before="0" w:beforeAutospacing="0" w:after="0" w:afterAutospacing="0"/>
      <w:jc w:val="center"/>
    </w:pPr>
    <w:rPr>
      <w:rFonts w:eastAsia="Calibri"/>
      <w:i/>
      <w:sz w:val="20"/>
      <w:szCs w:val="22"/>
      <w:lang w:val="lv-LV"/>
    </w:rPr>
  </w:style>
  <w:style w:type="character" w:customStyle="1" w:styleId="xdtextbox1">
    <w:name w:val="xdtextbox1"/>
    <w:rsid w:val="00FF4209"/>
    <w:rPr>
      <w:color w:val="auto"/>
      <w:bdr w:val="single" w:sz="8" w:space="1" w:color="DCDCDC" w:frame="1"/>
      <w:shd w:val="clear" w:color="auto" w:fill="FFFFFF"/>
    </w:rPr>
  </w:style>
  <w:style w:type="paragraph" w:styleId="PlainText">
    <w:name w:val="Plain Text"/>
    <w:basedOn w:val="Normal"/>
    <w:link w:val="PlainTextChar"/>
    <w:uiPriority w:val="99"/>
    <w:unhideWhenUsed/>
    <w:rsid w:val="00FF4209"/>
    <w:pPr>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FF4209"/>
    <w:rPr>
      <w:rFonts w:ascii="Consolas" w:eastAsia="Calibri" w:hAnsi="Consolas" w:cs="Times New Roman"/>
      <w:sz w:val="21"/>
      <w:szCs w:val="21"/>
    </w:rPr>
  </w:style>
  <w:style w:type="paragraph" w:styleId="ListBullet">
    <w:name w:val="List Bullet"/>
    <w:basedOn w:val="Normal"/>
    <w:rsid w:val="00FF4209"/>
    <w:pPr>
      <w:numPr>
        <w:numId w:val="3"/>
      </w:numPr>
      <w:spacing w:before="120" w:after="120"/>
    </w:pPr>
    <w:rPr>
      <w:lang w:val="en-GB" w:eastAsia="de-DE"/>
    </w:rPr>
  </w:style>
  <w:style w:type="character" w:customStyle="1" w:styleId="colora">
    <w:name w:val="colora"/>
    <w:basedOn w:val="DefaultParagraphFont"/>
    <w:rsid w:val="00FF4209"/>
  </w:style>
  <w:style w:type="table" w:styleId="LightGrid-Accent3">
    <w:name w:val="Light Grid Accent 3"/>
    <w:basedOn w:val="TableNormal"/>
    <w:uiPriority w:val="62"/>
    <w:rsid w:val="00FF4209"/>
    <w:rPr>
      <w:rFonts w:ascii="Times New Roman" w:hAnsi="Times New Roman"/>
      <w:sz w:val="28"/>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naisc">
    <w:name w:val="naisc"/>
    <w:basedOn w:val="Normal"/>
    <w:uiPriority w:val="99"/>
    <w:rsid w:val="00A63B18"/>
    <w:pPr>
      <w:spacing w:before="100" w:beforeAutospacing="1" w:after="100" w:afterAutospacing="1"/>
      <w:jc w:val="left"/>
    </w:pPr>
    <w:rPr>
      <w:szCs w:val="24"/>
      <w:lang w:eastAsia="lv-LV"/>
    </w:rPr>
  </w:style>
  <w:style w:type="character" w:customStyle="1" w:styleId="xdtextboxctrl11ms-xedit-plaintext">
    <w:name w:val="xdtextbox ctrl11 ms-xedit-plaintext"/>
    <w:uiPriority w:val="99"/>
    <w:rsid w:val="00014F70"/>
    <w:rPr>
      <w:rFonts w:ascii="Times New Roman" w:hAnsi="Times New Roman" w:cs="Times New Roman" w:hint="default"/>
    </w:rPr>
  </w:style>
  <w:style w:type="character" w:customStyle="1" w:styleId="xdtextboxctrl10ms-xedit-plaintext">
    <w:name w:val="xdtextbox ctrl10 ms-xedit-plaintext"/>
    <w:uiPriority w:val="99"/>
    <w:rsid w:val="00014F70"/>
    <w:rPr>
      <w:rFonts w:ascii="Times New Roman" w:hAnsi="Times New Roman" w:cs="Times New Roman" w:hint="default"/>
    </w:rPr>
  </w:style>
  <w:style w:type="character" w:customStyle="1" w:styleId="apple-style-span">
    <w:name w:val="apple-style-span"/>
    <w:rsid w:val="00AC09A3"/>
  </w:style>
  <w:style w:type="paragraph" w:customStyle="1" w:styleId="rteleft">
    <w:name w:val="rteleft"/>
    <w:basedOn w:val="Normal"/>
    <w:rsid w:val="00D800C4"/>
    <w:pPr>
      <w:spacing w:before="100" w:beforeAutospacing="1" w:after="100" w:afterAutospacing="1"/>
      <w:jc w:val="left"/>
    </w:pPr>
    <w:rPr>
      <w:szCs w:val="24"/>
      <w:lang w:eastAsia="lv-LV"/>
    </w:rPr>
  </w:style>
  <w:style w:type="character" w:customStyle="1" w:styleId="EE-paragr-12Char">
    <w:name w:val="EE-paragr-12 Char"/>
    <w:link w:val="EE-paragr-12"/>
    <w:uiPriority w:val="99"/>
    <w:locked/>
    <w:rsid w:val="002001C6"/>
    <w:rPr>
      <w:sz w:val="24"/>
      <w:szCs w:val="24"/>
    </w:rPr>
  </w:style>
  <w:style w:type="paragraph" w:customStyle="1" w:styleId="EE-paragr-12">
    <w:name w:val="EE-paragr-12"/>
    <w:basedOn w:val="Normal"/>
    <w:link w:val="EE-paragr-12Char"/>
    <w:uiPriority w:val="99"/>
    <w:rsid w:val="002001C6"/>
    <w:rPr>
      <w:rFonts w:ascii="Calibri" w:eastAsia="Calibri" w:hAnsi="Calibri"/>
      <w:szCs w:val="24"/>
      <w:lang w:eastAsia="lv-LV"/>
    </w:rPr>
  </w:style>
  <w:style w:type="character" w:customStyle="1" w:styleId="st">
    <w:name w:val="st"/>
    <w:basedOn w:val="DefaultParagraphFont"/>
    <w:rsid w:val="00EC5BED"/>
  </w:style>
  <w:style w:type="character" w:customStyle="1" w:styleId="hps">
    <w:name w:val="hps"/>
    <w:basedOn w:val="DefaultParagraphFont"/>
    <w:rsid w:val="00591277"/>
  </w:style>
  <w:style w:type="character" w:customStyle="1" w:styleId="PlainTextChar1">
    <w:name w:val="Plain Text Char1"/>
    <w:basedOn w:val="DefaultParagraphFont"/>
    <w:uiPriority w:val="99"/>
    <w:semiHidden/>
    <w:rsid w:val="00467DFA"/>
    <w:rPr>
      <w:rFonts w:ascii="Consolas" w:eastAsia="Calibri" w:hAnsi="Consolas" w:cs="Times New Roman"/>
      <w:sz w:val="21"/>
      <w:szCs w:val="21"/>
    </w:rPr>
  </w:style>
  <w:style w:type="character" w:customStyle="1" w:styleId="st1">
    <w:name w:val="st1"/>
    <w:rsid w:val="000F2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6A"/>
    <w:pPr>
      <w:jc w:val="both"/>
    </w:pPr>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FF420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FF4209"/>
    <w:pPr>
      <w:keepNext/>
      <w:spacing w:before="240" w:after="60"/>
      <w:jc w:val="left"/>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semiHidden/>
    <w:unhideWhenUsed/>
    <w:qFormat/>
    <w:rsid w:val="00FF4209"/>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209"/>
    <w:rPr>
      <w:rFonts w:ascii="Cambria" w:eastAsia="Times New Roman" w:hAnsi="Cambria" w:cs="DokChampa"/>
      <w:b/>
      <w:bCs/>
      <w:kern w:val="32"/>
      <w:sz w:val="32"/>
      <w:szCs w:val="32"/>
    </w:rPr>
  </w:style>
  <w:style w:type="character" w:customStyle="1" w:styleId="Heading2Char">
    <w:name w:val="Heading 2 Char"/>
    <w:link w:val="Heading2"/>
    <w:rsid w:val="00FF4209"/>
    <w:rPr>
      <w:rFonts w:ascii="Arial" w:eastAsia="Times New Roman" w:hAnsi="Arial" w:cs="Arial"/>
      <w:b/>
      <w:bCs/>
      <w:i/>
      <w:iCs/>
      <w:sz w:val="28"/>
      <w:szCs w:val="28"/>
    </w:rPr>
  </w:style>
  <w:style w:type="character" w:customStyle="1" w:styleId="Heading3Char">
    <w:name w:val="Heading 3 Char"/>
    <w:link w:val="Heading3"/>
    <w:uiPriority w:val="9"/>
    <w:semiHidden/>
    <w:rsid w:val="00FF4209"/>
    <w:rPr>
      <w:rFonts w:ascii="Cambria" w:eastAsia="Times New Roman" w:hAnsi="Cambria" w:cs="Times New Roman"/>
      <w:b/>
      <w:bCs/>
      <w:color w:val="4F81BD"/>
      <w:sz w:val="24"/>
      <w:szCs w:val="20"/>
    </w:rPr>
  </w:style>
  <w:style w:type="paragraph" w:styleId="Header">
    <w:name w:val="header"/>
    <w:basedOn w:val="Normal"/>
    <w:link w:val="HeaderChar"/>
    <w:uiPriority w:val="99"/>
    <w:rsid w:val="00FF4209"/>
    <w:pPr>
      <w:tabs>
        <w:tab w:val="center" w:pos="4153"/>
        <w:tab w:val="right" w:pos="8306"/>
      </w:tabs>
      <w:jc w:val="left"/>
    </w:pPr>
    <w:rPr>
      <w:szCs w:val="24"/>
      <w:lang w:val="en-GB" w:eastAsia="x-none"/>
    </w:rPr>
  </w:style>
  <w:style w:type="character" w:customStyle="1" w:styleId="HeaderChar">
    <w:name w:val="Header Char"/>
    <w:link w:val="Header"/>
    <w:uiPriority w:val="99"/>
    <w:rsid w:val="00FF4209"/>
    <w:rPr>
      <w:rFonts w:ascii="Times New Roman" w:eastAsia="Times New Roman" w:hAnsi="Times New Roman" w:cs="Times New Roman"/>
      <w:sz w:val="24"/>
      <w:szCs w:val="24"/>
      <w:lang w:val="en-GB"/>
    </w:rPr>
  </w:style>
  <w:style w:type="character" w:styleId="Hyperlink">
    <w:name w:val="Hyperlink"/>
    <w:uiPriority w:val="99"/>
    <w:rsid w:val="00FF4209"/>
    <w:rPr>
      <w:rFonts w:ascii="Arial" w:hAnsi="Arial" w:cs="Arial" w:hint="default"/>
      <w:strike w:val="0"/>
      <w:dstrike w:val="0"/>
      <w:color w:val="189B70"/>
      <w:sz w:val="18"/>
      <w:szCs w:val="18"/>
      <w:u w:val="none"/>
      <w:effect w:val="none"/>
    </w:rPr>
  </w:style>
  <w:style w:type="paragraph" w:styleId="BalloonText">
    <w:name w:val="Balloon Text"/>
    <w:basedOn w:val="Normal"/>
    <w:link w:val="BalloonTextChar"/>
    <w:semiHidden/>
    <w:rsid w:val="00FF4209"/>
    <w:rPr>
      <w:rFonts w:ascii="Tahoma" w:hAnsi="Tahoma"/>
      <w:sz w:val="16"/>
      <w:szCs w:val="16"/>
      <w:lang w:val="x-none" w:eastAsia="x-none"/>
    </w:rPr>
  </w:style>
  <w:style w:type="character" w:customStyle="1" w:styleId="BalloonTextChar">
    <w:name w:val="Balloon Text Char"/>
    <w:link w:val="BalloonText"/>
    <w:semiHidden/>
    <w:rsid w:val="00FF4209"/>
    <w:rPr>
      <w:rFonts w:ascii="Tahoma" w:eastAsia="Times New Roman" w:hAnsi="Tahoma" w:cs="Tahoma"/>
      <w:sz w:val="16"/>
      <w:szCs w:val="16"/>
    </w:rPr>
  </w:style>
  <w:style w:type="paragraph" w:styleId="NormalWeb">
    <w:name w:val="Normal (Web)"/>
    <w:basedOn w:val="Normal"/>
    <w:uiPriority w:val="99"/>
    <w:rsid w:val="00FF4209"/>
    <w:pPr>
      <w:spacing w:before="100" w:beforeAutospacing="1" w:after="100" w:afterAutospacing="1"/>
      <w:jc w:val="left"/>
    </w:pPr>
    <w:rPr>
      <w:szCs w:val="24"/>
      <w:lang w:val="en-GB"/>
    </w:rPr>
  </w:style>
  <w:style w:type="character" w:styleId="Strong">
    <w:name w:val="Strong"/>
    <w:uiPriority w:val="22"/>
    <w:qFormat/>
    <w:rsid w:val="00FF4209"/>
    <w:rPr>
      <w:b/>
      <w:bCs/>
    </w:rPr>
  </w:style>
  <w:style w:type="paragraph" w:styleId="Title">
    <w:name w:val="Title"/>
    <w:basedOn w:val="Normal"/>
    <w:link w:val="TitleChar"/>
    <w:uiPriority w:val="10"/>
    <w:qFormat/>
    <w:rsid w:val="00FF4209"/>
    <w:pPr>
      <w:jc w:val="center"/>
    </w:pPr>
    <w:rPr>
      <w:b/>
      <w:sz w:val="28"/>
      <w:szCs w:val="28"/>
      <w:lang w:val="x-none" w:eastAsia="x-none"/>
    </w:rPr>
  </w:style>
  <w:style w:type="character" w:customStyle="1" w:styleId="TitleChar">
    <w:name w:val="Title Char"/>
    <w:link w:val="Title"/>
    <w:uiPriority w:val="10"/>
    <w:rsid w:val="00FF4209"/>
    <w:rPr>
      <w:rFonts w:ascii="Times New Roman" w:eastAsia="Times New Roman" w:hAnsi="Times New Roman" w:cs="Times New Roman"/>
      <w:b/>
      <w:sz w:val="28"/>
      <w:szCs w:val="28"/>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rsid w:val="00FF4209"/>
    <w:rPr>
      <w:sz w:val="20"/>
      <w:lang w:val="x-none" w:eastAsia="x-none"/>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link w:val="FootnoteText"/>
    <w:uiPriority w:val="99"/>
    <w:rsid w:val="00FF4209"/>
    <w:rPr>
      <w:rFonts w:ascii="Times New Roman" w:eastAsia="Times New Roman" w:hAnsi="Times New Roman" w:cs="Times New Roman"/>
      <w:sz w:val="20"/>
      <w:szCs w:val="20"/>
    </w:rPr>
  </w:style>
  <w:style w:type="character" w:styleId="FootnoteReference">
    <w:name w:val="footnote reference"/>
    <w:aliases w:val="Footnote Reference Number,Footnote symbol"/>
    <w:uiPriority w:val="99"/>
    <w:rsid w:val="00FF4209"/>
    <w:rPr>
      <w:vertAlign w:val="superscript"/>
    </w:rPr>
  </w:style>
  <w:style w:type="paragraph" w:styleId="Footer">
    <w:name w:val="footer"/>
    <w:basedOn w:val="Normal"/>
    <w:link w:val="FooterChar"/>
    <w:rsid w:val="00FF4209"/>
    <w:pPr>
      <w:tabs>
        <w:tab w:val="center" w:pos="4153"/>
        <w:tab w:val="right" w:pos="8306"/>
      </w:tabs>
    </w:pPr>
    <w:rPr>
      <w:lang w:val="x-none" w:eastAsia="x-none"/>
    </w:rPr>
  </w:style>
  <w:style w:type="character" w:customStyle="1" w:styleId="FooterChar">
    <w:name w:val="Footer Char"/>
    <w:link w:val="Footer"/>
    <w:rsid w:val="00FF4209"/>
    <w:rPr>
      <w:rFonts w:ascii="Times New Roman" w:eastAsia="Times New Roman" w:hAnsi="Times New Roman" w:cs="Times New Roman"/>
      <w:sz w:val="24"/>
      <w:szCs w:val="20"/>
    </w:rPr>
  </w:style>
  <w:style w:type="character" w:styleId="PageNumber">
    <w:name w:val="page number"/>
    <w:basedOn w:val="DefaultParagraphFont"/>
    <w:rsid w:val="00FF4209"/>
  </w:style>
  <w:style w:type="character" w:styleId="FollowedHyperlink">
    <w:name w:val="FollowedHyperlink"/>
    <w:rsid w:val="00FF4209"/>
    <w:rPr>
      <w:color w:val="800080"/>
      <w:u w:val="single"/>
    </w:rPr>
  </w:style>
  <w:style w:type="character" w:styleId="Emphasis">
    <w:name w:val="Emphasis"/>
    <w:uiPriority w:val="20"/>
    <w:qFormat/>
    <w:rsid w:val="00FF4209"/>
    <w:rPr>
      <w:i/>
      <w:iCs/>
    </w:rPr>
  </w:style>
  <w:style w:type="paragraph" w:customStyle="1" w:styleId="RakstzRakstz">
    <w:name w:val="Rakstz. Rakstz."/>
    <w:basedOn w:val="Normal"/>
    <w:next w:val="BlockText"/>
    <w:rsid w:val="00FF4209"/>
    <w:pPr>
      <w:spacing w:before="120" w:after="160" w:line="240" w:lineRule="exact"/>
      <w:ind w:firstLine="720"/>
    </w:pPr>
    <w:rPr>
      <w:rFonts w:ascii="Verdana" w:hAnsi="Verdana"/>
      <w:sz w:val="20"/>
      <w:lang w:val="en-US"/>
    </w:rPr>
  </w:style>
  <w:style w:type="paragraph" w:styleId="BlockText">
    <w:name w:val="Block Text"/>
    <w:basedOn w:val="Normal"/>
    <w:rsid w:val="00FF4209"/>
    <w:pPr>
      <w:spacing w:after="120"/>
      <w:ind w:left="1440" w:right="1440"/>
    </w:pPr>
  </w:style>
  <w:style w:type="paragraph" w:customStyle="1" w:styleId="CharChar2Char">
    <w:name w:val="Char Char2 Char"/>
    <w:basedOn w:val="Normal"/>
    <w:rsid w:val="00FF4209"/>
    <w:pPr>
      <w:spacing w:before="40"/>
      <w:jc w:val="left"/>
    </w:pPr>
    <w:rPr>
      <w:szCs w:val="24"/>
      <w:lang w:val="pl-PL" w:eastAsia="pl-PL"/>
    </w:rPr>
  </w:style>
  <w:style w:type="paragraph" w:styleId="BodyText">
    <w:name w:val="Body Text"/>
    <w:basedOn w:val="Normal"/>
    <w:link w:val="BodyTextChar"/>
    <w:rsid w:val="00FF4209"/>
    <w:pPr>
      <w:jc w:val="left"/>
    </w:pPr>
    <w:rPr>
      <w:b/>
      <w:bCs/>
      <w:szCs w:val="24"/>
      <w:lang w:val="en-GB" w:eastAsia="x-none"/>
    </w:rPr>
  </w:style>
  <w:style w:type="character" w:customStyle="1" w:styleId="BodyTextChar">
    <w:name w:val="Body Text Char"/>
    <w:link w:val="BodyText"/>
    <w:rsid w:val="00FF4209"/>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FF4209"/>
    <w:pPr>
      <w:spacing w:after="120"/>
      <w:ind w:left="283"/>
    </w:pPr>
    <w:rPr>
      <w:lang w:val="x-none" w:eastAsia="x-none"/>
    </w:rPr>
  </w:style>
  <w:style w:type="character" w:customStyle="1" w:styleId="BodyTextIndentChar">
    <w:name w:val="Body Text Indent Char"/>
    <w:link w:val="BodyTextIndent"/>
    <w:rsid w:val="00FF4209"/>
    <w:rPr>
      <w:rFonts w:ascii="Times New Roman" w:eastAsia="Times New Roman" w:hAnsi="Times New Roman" w:cs="Times New Roman"/>
      <w:sz w:val="24"/>
      <w:szCs w:val="20"/>
    </w:rPr>
  </w:style>
  <w:style w:type="paragraph" w:customStyle="1" w:styleId="CharCharCharCharChar">
    <w:name w:val="Char Char Char Char Char"/>
    <w:basedOn w:val="Normal"/>
    <w:next w:val="BlockText"/>
    <w:rsid w:val="00FF4209"/>
    <w:pPr>
      <w:spacing w:before="120" w:after="160" w:line="240" w:lineRule="exact"/>
      <w:ind w:firstLine="720"/>
    </w:pPr>
    <w:rPr>
      <w:rFonts w:ascii="Verdana" w:hAnsi="Verdana"/>
      <w:sz w:val="20"/>
      <w:lang w:val="en-US"/>
    </w:rPr>
  </w:style>
  <w:style w:type="paragraph" w:customStyle="1" w:styleId="CharChar1">
    <w:name w:val="Char Char1"/>
    <w:basedOn w:val="Normal"/>
    <w:next w:val="BlockText"/>
    <w:rsid w:val="00FF4209"/>
    <w:pPr>
      <w:spacing w:before="120" w:after="160" w:line="240" w:lineRule="exact"/>
      <w:ind w:firstLine="720"/>
    </w:pPr>
    <w:rPr>
      <w:rFonts w:ascii="Verdana" w:hAnsi="Verdana"/>
      <w:sz w:val="20"/>
      <w:lang w:val="en-US"/>
    </w:rPr>
  </w:style>
  <w:style w:type="character" w:styleId="CommentReference">
    <w:name w:val="annotation reference"/>
    <w:uiPriority w:val="99"/>
    <w:rsid w:val="00FF4209"/>
    <w:rPr>
      <w:sz w:val="16"/>
      <w:szCs w:val="16"/>
    </w:rPr>
  </w:style>
  <w:style w:type="paragraph" w:styleId="CommentText">
    <w:name w:val="annotation text"/>
    <w:basedOn w:val="Normal"/>
    <w:link w:val="CommentTextChar"/>
    <w:uiPriority w:val="99"/>
    <w:rsid w:val="00FF4209"/>
    <w:rPr>
      <w:sz w:val="20"/>
      <w:lang w:val="x-none" w:eastAsia="x-none"/>
    </w:rPr>
  </w:style>
  <w:style w:type="character" w:customStyle="1" w:styleId="CommentTextChar">
    <w:name w:val="Comment Text Char"/>
    <w:link w:val="CommentText"/>
    <w:uiPriority w:val="99"/>
    <w:rsid w:val="00FF42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4209"/>
    <w:rPr>
      <w:b/>
      <w:bCs/>
    </w:rPr>
  </w:style>
  <w:style w:type="character" w:customStyle="1" w:styleId="CommentSubjectChar">
    <w:name w:val="Comment Subject Char"/>
    <w:link w:val="CommentSubject"/>
    <w:semiHidden/>
    <w:rsid w:val="00FF4209"/>
    <w:rPr>
      <w:rFonts w:ascii="Times New Roman" w:eastAsia="Times New Roman" w:hAnsi="Times New Roman" w:cs="Times New Roman"/>
      <w:b/>
      <w:bCs/>
      <w:sz w:val="20"/>
      <w:szCs w:val="20"/>
    </w:rPr>
  </w:style>
  <w:style w:type="paragraph" w:customStyle="1" w:styleId="Norm">
    <w:name w:val="Norm"/>
    <w:basedOn w:val="Normal"/>
    <w:autoRedefine/>
    <w:rsid w:val="00FF4209"/>
    <w:pPr>
      <w:tabs>
        <w:tab w:val="num" w:pos="1080"/>
      </w:tabs>
      <w:ind w:left="1080" w:hanging="360"/>
    </w:pPr>
    <w:rPr>
      <w:sz w:val="28"/>
      <w:szCs w:val="28"/>
    </w:rPr>
  </w:style>
  <w:style w:type="paragraph" w:styleId="BodyText2">
    <w:name w:val="Body Text 2"/>
    <w:basedOn w:val="Normal"/>
    <w:link w:val="BodyText2Char"/>
    <w:rsid w:val="00FF4209"/>
    <w:pPr>
      <w:spacing w:after="120" w:line="480" w:lineRule="auto"/>
      <w:jc w:val="left"/>
    </w:pPr>
    <w:rPr>
      <w:szCs w:val="24"/>
      <w:lang w:val="x-none" w:eastAsia="x-none"/>
    </w:rPr>
  </w:style>
  <w:style w:type="character" w:customStyle="1" w:styleId="BodyText2Char">
    <w:name w:val="Body Text 2 Char"/>
    <w:link w:val="BodyText2"/>
    <w:rsid w:val="00FF4209"/>
    <w:rPr>
      <w:rFonts w:ascii="Times New Roman" w:eastAsia="Times New Roman" w:hAnsi="Times New Roman" w:cs="Times New Roman"/>
      <w:sz w:val="24"/>
      <w:szCs w:val="24"/>
    </w:rPr>
  </w:style>
  <w:style w:type="paragraph" w:styleId="BodyText3">
    <w:name w:val="Body Text 3"/>
    <w:basedOn w:val="Normal"/>
    <w:link w:val="BodyText3Char"/>
    <w:rsid w:val="00FF4209"/>
    <w:pPr>
      <w:spacing w:after="120"/>
      <w:jc w:val="left"/>
    </w:pPr>
    <w:rPr>
      <w:sz w:val="16"/>
      <w:szCs w:val="16"/>
      <w:lang w:val="x-none" w:eastAsia="lv-LV"/>
    </w:rPr>
  </w:style>
  <w:style w:type="character" w:customStyle="1" w:styleId="BodyText3Char">
    <w:name w:val="Body Text 3 Char"/>
    <w:link w:val="BodyText3"/>
    <w:rsid w:val="00FF4209"/>
    <w:rPr>
      <w:rFonts w:ascii="Times New Roman" w:eastAsia="Times New Roman" w:hAnsi="Times New Roman" w:cs="Times New Roman"/>
      <w:sz w:val="16"/>
      <w:szCs w:val="16"/>
      <w:lang w:eastAsia="lv-LV"/>
    </w:rPr>
  </w:style>
  <w:style w:type="paragraph" w:customStyle="1" w:styleId="mkh">
    <w:name w:val="mkh"/>
    <w:basedOn w:val="Normal"/>
    <w:rsid w:val="00FF4209"/>
    <w:pPr>
      <w:spacing w:after="120"/>
      <w:ind w:firstLine="720"/>
      <w:jc w:val="center"/>
    </w:pPr>
    <w:rPr>
      <w:b/>
      <w:bCs/>
      <w:sz w:val="28"/>
      <w:szCs w:val="28"/>
      <w:lang w:eastAsia="lv-LV"/>
    </w:rPr>
  </w:style>
  <w:style w:type="paragraph" w:customStyle="1" w:styleId="CharChar2CharCharCharChar">
    <w:name w:val="Char Char2 Char Char Char Char"/>
    <w:basedOn w:val="Normal"/>
    <w:rsid w:val="00FF4209"/>
    <w:pPr>
      <w:spacing w:before="40"/>
      <w:jc w:val="left"/>
    </w:pPr>
    <w:rPr>
      <w:szCs w:val="24"/>
      <w:lang w:val="pl-PL" w:eastAsia="pl-PL"/>
    </w:rPr>
  </w:style>
  <w:style w:type="paragraph" w:customStyle="1" w:styleId="CharChar2CharCharCharCharChar">
    <w:name w:val="Char Char2 Char Char Char Char Char"/>
    <w:basedOn w:val="Normal"/>
    <w:rsid w:val="00FF4209"/>
    <w:pPr>
      <w:spacing w:before="40"/>
      <w:jc w:val="left"/>
    </w:pPr>
    <w:rPr>
      <w:szCs w:val="24"/>
      <w:lang w:val="pl-PL" w:eastAsia="pl-PL"/>
    </w:rPr>
  </w:style>
  <w:style w:type="paragraph" w:styleId="NoSpacing">
    <w:name w:val="No Spacing"/>
    <w:uiPriority w:val="1"/>
    <w:qFormat/>
    <w:rsid w:val="00FF4209"/>
    <w:rPr>
      <w:rFonts w:ascii="Times New Roman" w:hAnsi="Times New Roman"/>
      <w:sz w:val="24"/>
      <w:szCs w:val="24"/>
    </w:rPr>
  </w:style>
  <w:style w:type="paragraph" w:customStyle="1" w:styleId="naiskr">
    <w:name w:val="naiskr"/>
    <w:basedOn w:val="Normal"/>
    <w:rsid w:val="00FF4209"/>
    <w:pPr>
      <w:spacing w:before="100" w:beforeAutospacing="1" w:after="100" w:afterAutospacing="1"/>
      <w:jc w:val="left"/>
    </w:pPr>
    <w:rPr>
      <w:szCs w:val="24"/>
      <w:lang w:eastAsia="lv-LV"/>
    </w:rPr>
  </w:style>
  <w:style w:type="paragraph" w:styleId="BodyTextIndent2">
    <w:name w:val="Body Text Indent 2"/>
    <w:basedOn w:val="Normal"/>
    <w:link w:val="BodyTextIndent2Char"/>
    <w:rsid w:val="00FF4209"/>
    <w:pPr>
      <w:spacing w:after="120" w:line="480" w:lineRule="auto"/>
      <w:ind w:left="283"/>
    </w:pPr>
    <w:rPr>
      <w:lang w:val="x-none" w:eastAsia="x-none"/>
    </w:rPr>
  </w:style>
  <w:style w:type="character" w:customStyle="1" w:styleId="BodyTextIndent2Char">
    <w:name w:val="Body Text Indent 2 Char"/>
    <w:link w:val="BodyTextIndent2"/>
    <w:rsid w:val="00FF4209"/>
    <w:rPr>
      <w:rFonts w:ascii="Times New Roman" w:eastAsia="Times New Roman" w:hAnsi="Times New Roman" w:cs="Times New Roman"/>
      <w:sz w:val="24"/>
      <w:szCs w:val="20"/>
    </w:rPr>
  </w:style>
  <w:style w:type="paragraph" w:customStyle="1" w:styleId="RakstzCharCharRakstzCharCharRakstzCharCharRakstzCharChar">
    <w:name w:val="Rakstz. Char Char Rakstz. Char Char Rakstz. Char Char Rakstz. Char Char"/>
    <w:basedOn w:val="Normal"/>
    <w:rsid w:val="00FF4209"/>
    <w:pPr>
      <w:spacing w:after="160" w:line="240" w:lineRule="exact"/>
      <w:jc w:val="left"/>
    </w:pPr>
    <w:rPr>
      <w:rFonts w:ascii="Tahoma" w:hAnsi="Tahoma"/>
      <w:sz w:val="20"/>
      <w:lang w:val="en-US"/>
    </w:rPr>
  </w:style>
  <w:style w:type="paragraph" w:customStyle="1" w:styleId="msolistparagraph0">
    <w:name w:val="msolistparagraph"/>
    <w:basedOn w:val="Normal"/>
    <w:rsid w:val="00FF4209"/>
    <w:pPr>
      <w:ind w:left="720"/>
      <w:jc w:val="left"/>
    </w:pPr>
    <w:rPr>
      <w:szCs w:val="24"/>
      <w:lang w:eastAsia="lv-LV"/>
    </w:rPr>
  </w:style>
  <w:style w:type="paragraph" w:customStyle="1" w:styleId="NChar1CharCharCharCharChar">
    <w:name w:val="N Char1 Char Char Char Char Char"/>
    <w:basedOn w:val="Normal"/>
    <w:uiPriority w:val="99"/>
    <w:rsid w:val="00FF4209"/>
    <w:pPr>
      <w:tabs>
        <w:tab w:val="num" w:pos="0"/>
        <w:tab w:val="num" w:pos="765"/>
      </w:tabs>
      <w:spacing w:before="120"/>
      <w:ind w:left="765" w:hanging="720"/>
    </w:pPr>
    <w:rPr>
      <w:iCs/>
      <w:sz w:val="22"/>
      <w:szCs w:val="16"/>
      <w:lang w:eastAsia="lv-LV"/>
    </w:rPr>
  </w:style>
  <w:style w:type="character" w:customStyle="1" w:styleId="textsCharChar">
    <w:name w:val="texts Char Char"/>
    <w:aliases w:val="texts Char Char1,texts Char Char2,texts Char Char3"/>
    <w:rsid w:val="00FF4209"/>
    <w:rPr>
      <w:sz w:val="24"/>
      <w:szCs w:val="24"/>
      <w:lang w:val="en-GB" w:eastAsia="en-US" w:bidi="ar-SA"/>
    </w:rPr>
  </w:style>
  <w:style w:type="paragraph" w:styleId="ListParagraph">
    <w:name w:val="List Paragraph"/>
    <w:basedOn w:val="Normal"/>
    <w:uiPriority w:val="34"/>
    <w:qFormat/>
    <w:rsid w:val="00FF4209"/>
    <w:pPr>
      <w:spacing w:after="200" w:line="276" w:lineRule="auto"/>
      <w:ind w:left="720"/>
      <w:contextualSpacing/>
      <w:jc w:val="left"/>
    </w:pPr>
    <w:rPr>
      <w:rFonts w:ascii="Calibri" w:eastAsia="Calibri" w:hAnsi="Calibri"/>
      <w:sz w:val="22"/>
      <w:szCs w:val="22"/>
    </w:rPr>
  </w:style>
  <w:style w:type="paragraph" w:customStyle="1" w:styleId="CharCharCharCharCharCharCharChar">
    <w:name w:val="Char Char Char Char Char Char Char Char"/>
    <w:basedOn w:val="Normal"/>
    <w:next w:val="BlockText"/>
    <w:rsid w:val="00FF4209"/>
    <w:pPr>
      <w:spacing w:before="120" w:after="160" w:line="240" w:lineRule="exact"/>
      <w:ind w:firstLine="720"/>
    </w:pPr>
    <w:rPr>
      <w:rFonts w:ascii="Verdana" w:hAnsi="Verdana"/>
      <w:sz w:val="20"/>
      <w:lang w:val="en-US"/>
    </w:rPr>
  </w:style>
  <w:style w:type="paragraph" w:customStyle="1" w:styleId="naisf">
    <w:name w:val="naisf"/>
    <w:basedOn w:val="Normal"/>
    <w:link w:val="naisfChar"/>
    <w:rsid w:val="00FF4209"/>
    <w:pPr>
      <w:spacing w:before="100" w:beforeAutospacing="1" w:after="100" w:afterAutospacing="1"/>
      <w:jc w:val="left"/>
    </w:pPr>
    <w:rPr>
      <w:szCs w:val="24"/>
      <w:lang w:val="x-none" w:eastAsia="x-none"/>
    </w:rPr>
  </w:style>
  <w:style w:type="character" w:customStyle="1" w:styleId="naisfChar">
    <w:name w:val="naisf Char"/>
    <w:link w:val="naisf"/>
    <w:rsid w:val="00FF4209"/>
    <w:rPr>
      <w:rFonts w:ascii="Times New Roman" w:eastAsia="Times New Roman" w:hAnsi="Times New Roman" w:cs="Times New Roman"/>
      <w:sz w:val="24"/>
      <w:szCs w:val="24"/>
    </w:rPr>
  </w:style>
  <w:style w:type="paragraph" w:customStyle="1" w:styleId="Rakstz">
    <w:name w:val="Rakstz."/>
    <w:basedOn w:val="Normal"/>
    <w:rsid w:val="00FF4209"/>
    <w:pPr>
      <w:spacing w:before="40"/>
      <w:jc w:val="left"/>
    </w:pPr>
    <w:rPr>
      <w:szCs w:val="24"/>
      <w:lang w:val="pl-PL" w:eastAsia="pl-PL"/>
    </w:rPr>
  </w:style>
  <w:style w:type="paragraph" w:customStyle="1" w:styleId="Bullet1Rakstz">
    <w:name w:val="Bullet 1 Rakstz."/>
    <w:basedOn w:val="Normal"/>
    <w:rsid w:val="00FF4209"/>
    <w:pPr>
      <w:numPr>
        <w:numId w:val="1"/>
      </w:numPr>
      <w:snapToGrid w:val="0"/>
      <w:spacing w:before="20" w:line="288" w:lineRule="auto"/>
    </w:pPr>
    <w:rPr>
      <w:rFonts w:eastAsia="Calibri"/>
      <w:szCs w:val="24"/>
      <w:lang w:val="en-GB" w:eastAsia="en-GB"/>
    </w:rPr>
  </w:style>
  <w:style w:type="paragraph" w:customStyle="1" w:styleId="naisnod">
    <w:name w:val="naisnod"/>
    <w:basedOn w:val="Normal"/>
    <w:rsid w:val="00FF4209"/>
    <w:pPr>
      <w:spacing w:before="100" w:beforeAutospacing="1" w:after="100" w:afterAutospacing="1"/>
      <w:jc w:val="left"/>
    </w:pPr>
    <w:rPr>
      <w:rFonts w:eastAsia="Calibri"/>
      <w:szCs w:val="24"/>
      <w:lang w:eastAsia="lv-LV"/>
    </w:rPr>
  </w:style>
  <w:style w:type="table" w:styleId="TableGrid">
    <w:name w:val="Table Grid"/>
    <w:basedOn w:val="TableNormal"/>
    <w:uiPriority w:val="59"/>
    <w:rsid w:val="00FF420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F4209"/>
    <w:pPr>
      <w:autoSpaceDE w:val="0"/>
      <w:autoSpaceDN w:val="0"/>
      <w:adjustRightInd w:val="0"/>
    </w:pPr>
    <w:rPr>
      <w:rFonts w:ascii="Times New Roman" w:hAnsi="Times New Roman"/>
      <w:color w:val="000000"/>
      <w:sz w:val="24"/>
      <w:szCs w:val="24"/>
    </w:rPr>
  </w:style>
  <w:style w:type="character" w:customStyle="1" w:styleId="skypetbinnertext">
    <w:name w:val="skype_tb_innertext"/>
    <w:basedOn w:val="DefaultParagraphFont"/>
    <w:rsid w:val="00FF4209"/>
  </w:style>
  <w:style w:type="character" w:customStyle="1" w:styleId="spelle">
    <w:name w:val="spelle"/>
    <w:basedOn w:val="DefaultParagraphFont"/>
    <w:rsid w:val="00FF4209"/>
  </w:style>
  <w:style w:type="paragraph" w:customStyle="1" w:styleId="Normal1">
    <w:name w:val="Normal1"/>
    <w:basedOn w:val="Normal"/>
    <w:rsid w:val="00FF4209"/>
    <w:pPr>
      <w:spacing w:before="100" w:beforeAutospacing="1" w:after="100" w:afterAutospacing="1"/>
      <w:jc w:val="left"/>
    </w:pPr>
    <w:rPr>
      <w:szCs w:val="24"/>
      <w:lang w:val="en-US"/>
    </w:rPr>
  </w:style>
  <w:style w:type="paragraph" w:customStyle="1" w:styleId="1lmenis">
    <w:name w:val="1.līmenis"/>
    <w:basedOn w:val="Heading1"/>
    <w:link w:val="1lmenisChar"/>
    <w:uiPriority w:val="99"/>
    <w:qFormat/>
    <w:rsid w:val="00FF4209"/>
    <w:pPr>
      <w:numPr>
        <w:numId w:val="2"/>
      </w:numPr>
    </w:pPr>
    <w:rPr>
      <w:sz w:val="36"/>
      <w:szCs w:val="30"/>
    </w:rPr>
  </w:style>
  <w:style w:type="paragraph" w:customStyle="1" w:styleId="2lmenis">
    <w:name w:val="2.līmenis"/>
    <w:basedOn w:val="Heading2"/>
    <w:link w:val="2lmenisChar"/>
    <w:uiPriority w:val="99"/>
    <w:qFormat/>
    <w:rsid w:val="00FF4209"/>
    <w:pPr>
      <w:ind w:left="720"/>
    </w:pPr>
    <w:rPr>
      <w:rFonts w:ascii="Times New Roman" w:hAnsi="Times New Roman"/>
      <w:bCs w:val="0"/>
      <w:i w:val="0"/>
    </w:rPr>
  </w:style>
  <w:style w:type="character" w:customStyle="1" w:styleId="1lmenisChar">
    <w:name w:val="1.līmenis Char"/>
    <w:link w:val="1lmenis"/>
    <w:uiPriority w:val="99"/>
    <w:rsid w:val="00FF4209"/>
    <w:rPr>
      <w:rFonts w:ascii="Cambria" w:eastAsia="Times New Roman" w:hAnsi="Cambria"/>
      <w:b/>
      <w:bCs/>
      <w:kern w:val="32"/>
      <w:sz w:val="36"/>
      <w:szCs w:val="30"/>
      <w:lang w:val="x-none" w:eastAsia="x-none"/>
    </w:rPr>
  </w:style>
  <w:style w:type="paragraph" w:customStyle="1" w:styleId="3lmenis">
    <w:name w:val="3.līmenis"/>
    <w:basedOn w:val="Normal"/>
    <w:link w:val="3lmenisChar"/>
    <w:qFormat/>
    <w:rsid w:val="00FF4209"/>
    <w:pPr>
      <w:spacing w:before="120" w:after="120" w:line="276" w:lineRule="auto"/>
      <w:ind w:left="720"/>
    </w:pPr>
    <w:rPr>
      <w:b/>
      <w:bCs/>
      <w:szCs w:val="24"/>
      <w:u w:val="single"/>
      <w:lang w:val="x-none" w:eastAsia="x-none"/>
    </w:rPr>
  </w:style>
  <w:style w:type="character" w:customStyle="1" w:styleId="2lmenisChar">
    <w:name w:val="2.līmenis Char"/>
    <w:link w:val="2lmenis"/>
    <w:uiPriority w:val="99"/>
    <w:rsid w:val="00FF4209"/>
    <w:rPr>
      <w:rFonts w:ascii="Times New Roman" w:eastAsia="Times New Roman" w:hAnsi="Times New Roman" w:cs="Arial"/>
      <w:b/>
      <w:iCs/>
      <w:sz w:val="28"/>
      <w:szCs w:val="28"/>
    </w:rPr>
  </w:style>
  <w:style w:type="character" w:customStyle="1" w:styleId="3lmenisChar">
    <w:name w:val="3.līmenis Char"/>
    <w:link w:val="3lmenis"/>
    <w:rsid w:val="00FF4209"/>
    <w:rPr>
      <w:rFonts w:ascii="Times New Roman" w:eastAsia="Times New Roman" w:hAnsi="Times New Roman" w:cs="Times New Roman"/>
      <w:b/>
      <w:bCs/>
      <w:sz w:val="24"/>
      <w:szCs w:val="24"/>
      <w:u w:val="single"/>
    </w:rPr>
  </w:style>
  <w:style w:type="paragraph" w:styleId="TOCHeading">
    <w:name w:val="TOC Heading"/>
    <w:basedOn w:val="Heading1"/>
    <w:next w:val="Normal"/>
    <w:uiPriority w:val="39"/>
    <w:unhideWhenUsed/>
    <w:qFormat/>
    <w:rsid w:val="00FF4209"/>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unhideWhenUsed/>
    <w:qFormat/>
    <w:rsid w:val="00A5117A"/>
    <w:pPr>
      <w:tabs>
        <w:tab w:val="left" w:pos="426"/>
        <w:tab w:val="right" w:leader="dot" w:pos="9214"/>
      </w:tabs>
      <w:spacing w:before="120" w:after="120" w:line="276" w:lineRule="auto"/>
      <w:jc w:val="left"/>
    </w:pPr>
    <w:rPr>
      <w:b/>
      <w:bCs/>
      <w:caps/>
      <w:noProof/>
      <w:szCs w:val="24"/>
    </w:rPr>
  </w:style>
  <w:style w:type="paragraph" w:styleId="TOC2">
    <w:name w:val="toc 2"/>
    <w:basedOn w:val="Normal"/>
    <w:next w:val="Normal"/>
    <w:autoRedefine/>
    <w:uiPriority w:val="39"/>
    <w:unhideWhenUsed/>
    <w:qFormat/>
    <w:rsid w:val="00906FFF"/>
    <w:pPr>
      <w:tabs>
        <w:tab w:val="left" w:pos="720"/>
        <w:tab w:val="right" w:leader="dot" w:pos="9214"/>
      </w:tabs>
      <w:spacing w:before="240"/>
    </w:pPr>
    <w:rPr>
      <w:bCs/>
      <w:noProof/>
      <w:szCs w:val="24"/>
    </w:rPr>
  </w:style>
  <w:style w:type="paragraph" w:styleId="TOC3">
    <w:name w:val="toc 3"/>
    <w:basedOn w:val="Normal"/>
    <w:next w:val="Normal"/>
    <w:autoRedefine/>
    <w:uiPriority w:val="39"/>
    <w:unhideWhenUsed/>
    <w:qFormat/>
    <w:rsid w:val="00FF4209"/>
    <w:pPr>
      <w:ind w:left="240"/>
      <w:jc w:val="left"/>
    </w:pPr>
    <w:rPr>
      <w:rFonts w:ascii="Calibri" w:hAnsi="Calibri"/>
      <w:sz w:val="20"/>
      <w:szCs w:val="24"/>
    </w:rPr>
  </w:style>
  <w:style w:type="paragraph" w:styleId="TOC4">
    <w:name w:val="toc 4"/>
    <w:basedOn w:val="Normal"/>
    <w:next w:val="Normal"/>
    <w:autoRedefine/>
    <w:uiPriority w:val="39"/>
    <w:unhideWhenUsed/>
    <w:rsid w:val="00FF4209"/>
    <w:pPr>
      <w:ind w:left="480"/>
      <w:jc w:val="left"/>
    </w:pPr>
    <w:rPr>
      <w:rFonts w:ascii="Calibri" w:hAnsi="Calibri"/>
      <w:sz w:val="20"/>
      <w:szCs w:val="24"/>
    </w:rPr>
  </w:style>
  <w:style w:type="paragraph" w:styleId="TOC5">
    <w:name w:val="toc 5"/>
    <w:basedOn w:val="Normal"/>
    <w:next w:val="Normal"/>
    <w:autoRedefine/>
    <w:uiPriority w:val="39"/>
    <w:unhideWhenUsed/>
    <w:rsid w:val="00FF4209"/>
    <w:pPr>
      <w:ind w:left="720"/>
      <w:jc w:val="left"/>
    </w:pPr>
    <w:rPr>
      <w:rFonts w:ascii="Calibri" w:hAnsi="Calibri"/>
      <w:sz w:val="20"/>
      <w:szCs w:val="24"/>
    </w:rPr>
  </w:style>
  <w:style w:type="paragraph" w:styleId="TOC6">
    <w:name w:val="toc 6"/>
    <w:basedOn w:val="Normal"/>
    <w:next w:val="Normal"/>
    <w:autoRedefine/>
    <w:uiPriority w:val="39"/>
    <w:unhideWhenUsed/>
    <w:rsid w:val="00FF4209"/>
    <w:pPr>
      <w:ind w:left="960"/>
      <w:jc w:val="left"/>
    </w:pPr>
    <w:rPr>
      <w:rFonts w:ascii="Calibri" w:hAnsi="Calibri"/>
      <w:sz w:val="20"/>
      <w:szCs w:val="24"/>
    </w:rPr>
  </w:style>
  <w:style w:type="paragraph" w:styleId="TOC7">
    <w:name w:val="toc 7"/>
    <w:basedOn w:val="Normal"/>
    <w:next w:val="Normal"/>
    <w:autoRedefine/>
    <w:uiPriority w:val="39"/>
    <w:unhideWhenUsed/>
    <w:rsid w:val="00FF4209"/>
    <w:pPr>
      <w:ind w:left="1200"/>
      <w:jc w:val="left"/>
    </w:pPr>
    <w:rPr>
      <w:rFonts w:ascii="Calibri" w:hAnsi="Calibri"/>
      <w:sz w:val="20"/>
      <w:szCs w:val="24"/>
    </w:rPr>
  </w:style>
  <w:style w:type="paragraph" w:styleId="TOC8">
    <w:name w:val="toc 8"/>
    <w:basedOn w:val="Normal"/>
    <w:next w:val="Normal"/>
    <w:autoRedefine/>
    <w:uiPriority w:val="39"/>
    <w:unhideWhenUsed/>
    <w:rsid w:val="00FF4209"/>
    <w:pPr>
      <w:ind w:left="1440"/>
      <w:jc w:val="left"/>
    </w:pPr>
    <w:rPr>
      <w:rFonts w:ascii="Calibri" w:hAnsi="Calibri"/>
      <w:sz w:val="20"/>
      <w:szCs w:val="24"/>
    </w:rPr>
  </w:style>
  <w:style w:type="paragraph" w:styleId="TOC9">
    <w:name w:val="toc 9"/>
    <w:basedOn w:val="Normal"/>
    <w:next w:val="Normal"/>
    <w:autoRedefine/>
    <w:uiPriority w:val="39"/>
    <w:unhideWhenUsed/>
    <w:rsid w:val="00FF4209"/>
    <w:pPr>
      <w:ind w:left="1680"/>
      <w:jc w:val="left"/>
    </w:pPr>
    <w:rPr>
      <w:rFonts w:ascii="Calibri" w:hAnsi="Calibri"/>
      <w:sz w:val="20"/>
      <w:szCs w:val="24"/>
    </w:rPr>
  </w:style>
  <w:style w:type="paragraph" w:customStyle="1" w:styleId="TabCharChar">
    <w:name w:val="Tab Char Char"/>
    <w:basedOn w:val="Normal"/>
    <w:autoRedefine/>
    <w:rsid w:val="00FF4209"/>
    <w:pPr>
      <w:spacing w:after="200" w:line="276" w:lineRule="auto"/>
    </w:pPr>
    <w:rPr>
      <w:szCs w:val="24"/>
      <w:lang w:eastAsia="lv-LV"/>
    </w:rPr>
  </w:style>
  <w:style w:type="paragraph" w:customStyle="1" w:styleId="MKNormal">
    <w:name w:val="MKNormal"/>
    <w:basedOn w:val="Normal"/>
    <w:autoRedefine/>
    <w:rsid w:val="00FF4209"/>
    <w:pPr>
      <w:ind w:firstLine="720"/>
    </w:pPr>
    <w:rPr>
      <w:szCs w:val="24"/>
      <w:lang w:eastAsia="lv-LV"/>
    </w:rPr>
  </w:style>
  <w:style w:type="paragraph" w:styleId="EndnoteText">
    <w:name w:val="endnote text"/>
    <w:basedOn w:val="Normal"/>
    <w:link w:val="EndnoteTextChar"/>
    <w:uiPriority w:val="99"/>
    <w:semiHidden/>
    <w:unhideWhenUsed/>
    <w:rsid w:val="00FF4209"/>
    <w:rPr>
      <w:sz w:val="20"/>
      <w:lang w:val="x-none" w:eastAsia="x-none"/>
    </w:rPr>
  </w:style>
  <w:style w:type="character" w:customStyle="1" w:styleId="EndnoteTextChar">
    <w:name w:val="Endnote Text Char"/>
    <w:link w:val="EndnoteText"/>
    <w:uiPriority w:val="99"/>
    <w:semiHidden/>
    <w:rsid w:val="00FF4209"/>
    <w:rPr>
      <w:rFonts w:ascii="Times New Roman" w:eastAsia="Times New Roman" w:hAnsi="Times New Roman" w:cs="Times New Roman"/>
      <w:sz w:val="20"/>
      <w:szCs w:val="20"/>
    </w:rPr>
  </w:style>
  <w:style w:type="character" w:styleId="EndnoteReference">
    <w:name w:val="endnote reference"/>
    <w:uiPriority w:val="99"/>
    <w:semiHidden/>
    <w:unhideWhenUsed/>
    <w:rsid w:val="00FF4209"/>
    <w:rPr>
      <w:vertAlign w:val="superscript"/>
    </w:rPr>
  </w:style>
  <w:style w:type="paragraph" w:customStyle="1" w:styleId="Normal1-centered">
    <w:name w:val="Normal1-centered"/>
    <w:basedOn w:val="Normal1"/>
    <w:qFormat/>
    <w:rsid w:val="00FF4209"/>
    <w:pPr>
      <w:spacing w:before="0" w:beforeAutospacing="0" w:after="0" w:afterAutospacing="0"/>
      <w:jc w:val="center"/>
    </w:pPr>
    <w:rPr>
      <w:rFonts w:eastAsia="Calibri"/>
      <w:i/>
      <w:sz w:val="20"/>
      <w:szCs w:val="22"/>
      <w:lang w:val="lv-LV"/>
    </w:rPr>
  </w:style>
  <w:style w:type="character" w:customStyle="1" w:styleId="xdtextbox1">
    <w:name w:val="xdtextbox1"/>
    <w:rsid w:val="00FF4209"/>
    <w:rPr>
      <w:color w:val="auto"/>
      <w:bdr w:val="single" w:sz="8" w:space="1" w:color="DCDCDC" w:frame="1"/>
      <w:shd w:val="clear" w:color="auto" w:fill="FFFFFF"/>
    </w:rPr>
  </w:style>
  <w:style w:type="paragraph" w:styleId="PlainText">
    <w:name w:val="Plain Text"/>
    <w:basedOn w:val="Normal"/>
    <w:link w:val="PlainTextChar"/>
    <w:uiPriority w:val="99"/>
    <w:unhideWhenUsed/>
    <w:rsid w:val="00FF4209"/>
    <w:pPr>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FF4209"/>
    <w:rPr>
      <w:rFonts w:ascii="Consolas" w:eastAsia="Calibri" w:hAnsi="Consolas" w:cs="Times New Roman"/>
      <w:sz w:val="21"/>
      <w:szCs w:val="21"/>
    </w:rPr>
  </w:style>
  <w:style w:type="paragraph" w:styleId="ListBullet">
    <w:name w:val="List Bullet"/>
    <w:basedOn w:val="Normal"/>
    <w:rsid w:val="00FF4209"/>
    <w:pPr>
      <w:numPr>
        <w:numId w:val="3"/>
      </w:numPr>
      <w:spacing w:before="120" w:after="120"/>
    </w:pPr>
    <w:rPr>
      <w:lang w:val="en-GB" w:eastAsia="de-DE"/>
    </w:rPr>
  </w:style>
  <w:style w:type="character" w:customStyle="1" w:styleId="colora">
    <w:name w:val="colora"/>
    <w:basedOn w:val="DefaultParagraphFont"/>
    <w:rsid w:val="00FF4209"/>
  </w:style>
  <w:style w:type="table" w:styleId="LightGrid-Accent3">
    <w:name w:val="Light Grid Accent 3"/>
    <w:basedOn w:val="TableNormal"/>
    <w:uiPriority w:val="62"/>
    <w:rsid w:val="00FF4209"/>
    <w:rPr>
      <w:rFonts w:ascii="Times New Roman" w:hAnsi="Times New Roman"/>
      <w:sz w:val="28"/>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naisc">
    <w:name w:val="naisc"/>
    <w:basedOn w:val="Normal"/>
    <w:uiPriority w:val="99"/>
    <w:rsid w:val="00A63B18"/>
    <w:pPr>
      <w:spacing w:before="100" w:beforeAutospacing="1" w:after="100" w:afterAutospacing="1"/>
      <w:jc w:val="left"/>
    </w:pPr>
    <w:rPr>
      <w:szCs w:val="24"/>
      <w:lang w:eastAsia="lv-LV"/>
    </w:rPr>
  </w:style>
  <w:style w:type="character" w:customStyle="1" w:styleId="xdtextboxctrl11ms-xedit-plaintext">
    <w:name w:val="xdtextbox ctrl11 ms-xedit-plaintext"/>
    <w:uiPriority w:val="99"/>
    <w:rsid w:val="00014F70"/>
    <w:rPr>
      <w:rFonts w:ascii="Times New Roman" w:hAnsi="Times New Roman" w:cs="Times New Roman" w:hint="default"/>
    </w:rPr>
  </w:style>
  <w:style w:type="character" w:customStyle="1" w:styleId="xdtextboxctrl10ms-xedit-plaintext">
    <w:name w:val="xdtextbox ctrl10 ms-xedit-plaintext"/>
    <w:uiPriority w:val="99"/>
    <w:rsid w:val="00014F70"/>
    <w:rPr>
      <w:rFonts w:ascii="Times New Roman" w:hAnsi="Times New Roman" w:cs="Times New Roman" w:hint="default"/>
    </w:rPr>
  </w:style>
  <w:style w:type="character" w:customStyle="1" w:styleId="apple-style-span">
    <w:name w:val="apple-style-span"/>
    <w:rsid w:val="00AC09A3"/>
  </w:style>
  <w:style w:type="paragraph" w:customStyle="1" w:styleId="rteleft">
    <w:name w:val="rteleft"/>
    <w:basedOn w:val="Normal"/>
    <w:rsid w:val="00D800C4"/>
    <w:pPr>
      <w:spacing w:before="100" w:beforeAutospacing="1" w:after="100" w:afterAutospacing="1"/>
      <w:jc w:val="left"/>
    </w:pPr>
    <w:rPr>
      <w:szCs w:val="24"/>
      <w:lang w:eastAsia="lv-LV"/>
    </w:rPr>
  </w:style>
  <w:style w:type="character" w:customStyle="1" w:styleId="EE-paragr-12Char">
    <w:name w:val="EE-paragr-12 Char"/>
    <w:link w:val="EE-paragr-12"/>
    <w:uiPriority w:val="99"/>
    <w:locked/>
    <w:rsid w:val="002001C6"/>
    <w:rPr>
      <w:sz w:val="24"/>
      <w:szCs w:val="24"/>
    </w:rPr>
  </w:style>
  <w:style w:type="paragraph" w:customStyle="1" w:styleId="EE-paragr-12">
    <w:name w:val="EE-paragr-12"/>
    <w:basedOn w:val="Normal"/>
    <w:link w:val="EE-paragr-12Char"/>
    <w:uiPriority w:val="99"/>
    <w:rsid w:val="002001C6"/>
    <w:rPr>
      <w:rFonts w:ascii="Calibri" w:eastAsia="Calibri" w:hAnsi="Calibri"/>
      <w:szCs w:val="24"/>
      <w:lang w:eastAsia="lv-LV"/>
    </w:rPr>
  </w:style>
  <w:style w:type="character" w:customStyle="1" w:styleId="st">
    <w:name w:val="st"/>
    <w:basedOn w:val="DefaultParagraphFont"/>
    <w:rsid w:val="00EC5BED"/>
  </w:style>
  <w:style w:type="character" w:customStyle="1" w:styleId="hps">
    <w:name w:val="hps"/>
    <w:basedOn w:val="DefaultParagraphFont"/>
    <w:rsid w:val="00591277"/>
  </w:style>
  <w:style w:type="character" w:customStyle="1" w:styleId="PlainTextChar1">
    <w:name w:val="Plain Text Char1"/>
    <w:basedOn w:val="DefaultParagraphFont"/>
    <w:uiPriority w:val="99"/>
    <w:semiHidden/>
    <w:rsid w:val="00467DFA"/>
    <w:rPr>
      <w:rFonts w:ascii="Consolas" w:eastAsia="Calibri" w:hAnsi="Consolas" w:cs="Times New Roman"/>
      <w:sz w:val="21"/>
      <w:szCs w:val="21"/>
    </w:rPr>
  </w:style>
  <w:style w:type="character" w:customStyle="1" w:styleId="st1">
    <w:name w:val="st1"/>
    <w:rsid w:val="000F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367">
      <w:bodyDiv w:val="1"/>
      <w:marLeft w:val="0"/>
      <w:marRight w:val="0"/>
      <w:marTop w:val="0"/>
      <w:marBottom w:val="0"/>
      <w:divBdr>
        <w:top w:val="none" w:sz="0" w:space="0" w:color="auto"/>
        <w:left w:val="none" w:sz="0" w:space="0" w:color="auto"/>
        <w:bottom w:val="none" w:sz="0" w:space="0" w:color="auto"/>
        <w:right w:val="none" w:sz="0" w:space="0" w:color="auto"/>
      </w:divBdr>
    </w:div>
    <w:div w:id="20211245">
      <w:bodyDiv w:val="1"/>
      <w:marLeft w:val="0"/>
      <w:marRight w:val="0"/>
      <w:marTop w:val="0"/>
      <w:marBottom w:val="0"/>
      <w:divBdr>
        <w:top w:val="none" w:sz="0" w:space="0" w:color="auto"/>
        <w:left w:val="none" w:sz="0" w:space="0" w:color="auto"/>
        <w:bottom w:val="none" w:sz="0" w:space="0" w:color="auto"/>
        <w:right w:val="none" w:sz="0" w:space="0" w:color="auto"/>
      </w:divBdr>
    </w:div>
    <w:div w:id="20666058">
      <w:bodyDiv w:val="1"/>
      <w:marLeft w:val="0"/>
      <w:marRight w:val="0"/>
      <w:marTop w:val="0"/>
      <w:marBottom w:val="0"/>
      <w:divBdr>
        <w:top w:val="none" w:sz="0" w:space="0" w:color="auto"/>
        <w:left w:val="none" w:sz="0" w:space="0" w:color="auto"/>
        <w:bottom w:val="none" w:sz="0" w:space="0" w:color="auto"/>
        <w:right w:val="none" w:sz="0" w:space="0" w:color="auto"/>
      </w:divBdr>
      <w:divsChild>
        <w:div w:id="1080054089">
          <w:marLeft w:val="0"/>
          <w:marRight w:val="0"/>
          <w:marTop w:val="0"/>
          <w:marBottom w:val="0"/>
          <w:divBdr>
            <w:top w:val="none" w:sz="0" w:space="0" w:color="auto"/>
            <w:left w:val="none" w:sz="0" w:space="0" w:color="auto"/>
            <w:bottom w:val="none" w:sz="0" w:space="0" w:color="auto"/>
            <w:right w:val="none" w:sz="0" w:space="0" w:color="auto"/>
          </w:divBdr>
          <w:divsChild>
            <w:div w:id="1289702363">
              <w:marLeft w:val="0"/>
              <w:marRight w:val="0"/>
              <w:marTop w:val="0"/>
              <w:marBottom w:val="0"/>
              <w:divBdr>
                <w:top w:val="none" w:sz="0" w:space="0" w:color="auto"/>
                <w:left w:val="none" w:sz="0" w:space="0" w:color="auto"/>
                <w:bottom w:val="none" w:sz="0" w:space="0" w:color="auto"/>
                <w:right w:val="none" w:sz="0" w:space="0" w:color="auto"/>
              </w:divBdr>
              <w:divsChild>
                <w:div w:id="90663725">
                  <w:marLeft w:val="135"/>
                  <w:marRight w:val="0"/>
                  <w:marTop w:val="0"/>
                  <w:marBottom w:val="0"/>
                  <w:divBdr>
                    <w:top w:val="none" w:sz="0" w:space="0" w:color="auto"/>
                    <w:left w:val="none" w:sz="0" w:space="0" w:color="auto"/>
                    <w:bottom w:val="none" w:sz="0" w:space="0" w:color="auto"/>
                    <w:right w:val="none" w:sz="0" w:space="0" w:color="auto"/>
                  </w:divBdr>
                  <w:divsChild>
                    <w:div w:id="2054427960">
                      <w:marLeft w:val="0"/>
                      <w:marRight w:val="0"/>
                      <w:marTop w:val="0"/>
                      <w:marBottom w:val="0"/>
                      <w:divBdr>
                        <w:top w:val="none" w:sz="0" w:space="0" w:color="auto"/>
                        <w:left w:val="none" w:sz="0" w:space="0" w:color="auto"/>
                        <w:bottom w:val="none" w:sz="0" w:space="0" w:color="auto"/>
                        <w:right w:val="none" w:sz="0" w:space="0" w:color="auto"/>
                      </w:divBdr>
                      <w:divsChild>
                        <w:div w:id="1688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54056">
      <w:bodyDiv w:val="1"/>
      <w:marLeft w:val="0"/>
      <w:marRight w:val="0"/>
      <w:marTop w:val="0"/>
      <w:marBottom w:val="0"/>
      <w:divBdr>
        <w:top w:val="none" w:sz="0" w:space="0" w:color="auto"/>
        <w:left w:val="none" w:sz="0" w:space="0" w:color="auto"/>
        <w:bottom w:val="none" w:sz="0" w:space="0" w:color="auto"/>
        <w:right w:val="none" w:sz="0" w:space="0" w:color="auto"/>
      </w:divBdr>
    </w:div>
    <w:div w:id="43405393">
      <w:bodyDiv w:val="1"/>
      <w:marLeft w:val="0"/>
      <w:marRight w:val="0"/>
      <w:marTop w:val="0"/>
      <w:marBottom w:val="0"/>
      <w:divBdr>
        <w:top w:val="none" w:sz="0" w:space="0" w:color="auto"/>
        <w:left w:val="none" w:sz="0" w:space="0" w:color="auto"/>
        <w:bottom w:val="none" w:sz="0" w:space="0" w:color="auto"/>
        <w:right w:val="none" w:sz="0" w:space="0" w:color="auto"/>
      </w:divBdr>
    </w:div>
    <w:div w:id="48000122">
      <w:bodyDiv w:val="1"/>
      <w:marLeft w:val="0"/>
      <w:marRight w:val="0"/>
      <w:marTop w:val="0"/>
      <w:marBottom w:val="0"/>
      <w:divBdr>
        <w:top w:val="none" w:sz="0" w:space="0" w:color="auto"/>
        <w:left w:val="none" w:sz="0" w:space="0" w:color="auto"/>
        <w:bottom w:val="none" w:sz="0" w:space="0" w:color="auto"/>
        <w:right w:val="none" w:sz="0" w:space="0" w:color="auto"/>
      </w:divBdr>
    </w:div>
    <w:div w:id="53968234">
      <w:bodyDiv w:val="1"/>
      <w:marLeft w:val="0"/>
      <w:marRight w:val="0"/>
      <w:marTop w:val="0"/>
      <w:marBottom w:val="0"/>
      <w:divBdr>
        <w:top w:val="none" w:sz="0" w:space="0" w:color="auto"/>
        <w:left w:val="none" w:sz="0" w:space="0" w:color="auto"/>
        <w:bottom w:val="none" w:sz="0" w:space="0" w:color="auto"/>
        <w:right w:val="none" w:sz="0" w:space="0" w:color="auto"/>
      </w:divBdr>
    </w:div>
    <w:div w:id="68112552">
      <w:bodyDiv w:val="1"/>
      <w:marLeft w:val="0"/>
      <w:marRight w:val="0"/>
      <w:marTop w:val="0"/>
      <w:marBottom w:val="0"/>
      <w:divBdr>
        <w:top w:val="none" w:sz="0" w:space="0" w:color="auto"/>
        <w:left w:val="none" w:sz="0" w:space="0" w:color="auto"/>
        <w:bottom w:val="none" w:sz="0" w:space="0" w:color="auto"/>
        <w:right w:val="none" w:sz="0" w:space="0" w:color="auto"/>
      </w:divBdr>
    </w:div>
    <w:div w:id="81417354">
      <w:bodyDiv w:val="1"/>
      <w:marLeft w:val="0"/>
      <w:marRight w:val="0"/>
      <w:marTop w:val="0"/>
      <w:marBottom w:val="0"/>
      <w:divBdr>
        <w:top w:val="none" w:sz="0" w:space="0" w:color="auto"/>
        <w:left w:val="none" w:sz="0" w:space="0" w:color="auto"/>
        <w:bottom w:val="none" w:sz="0" w:space="0" w:color="auto"/>
        <w:right w:val="none" w:sz="0" w:space="0" w:color="auto"/>
      </w:divBdr>
    </w:div>
    <w:div w:id="82919630">
      <w:bodyDiv w:val="1"/>
      <w:marLeft w:val="0"/>
      <w:marRight w:val="0"/>
      <w:marTop w:val="0"/>
      <w:marBottom w:val="0"/>
      <w:divBdr>
        <w:top w:val="none" w:sz="0" w:space="0" w:color="auto"/>
        <w:left w:val="none" w:sz="0" w:space="0" w:color="auto"/>
        <w:bottom w:val="none" w:sz="0" w:space="0" w:color="auto"/>
        <w:right w:val="none" w:sz="0" w:space="0" w:color="auto"/>
      </w:divBdr>
    </w:div>
    <w:div w:id="83427417">
      <w:bodyDiv w:val="1"/>
      <w:marLeft w:val="0"/>
      <w:marRight w:val="0"/>
      <w:marTop w:val="0"/>
      <w:marBottom w:val="0"/>
      <w:divBdr>
        <w:top w:val="none" w:sz="0" w:space="0" w:color="auto"/>
        <w:left w:val="none" w:sz="0" w:space="0" w:color="auto"/>
        <w:bottom w:val="none" w:sz="0" w:space="0" w:color="auto"/>
        <w:right w:val="none" w:sz="0" w:space="0" w:color="auto"/>
      </w:divBdr>
    </w:div>
    <w:div w:id="89744451">
      <w:bodyDiv w:val="1"/>
      <w:marLeft w:val="0"/>
      <w:marRight w:val="0"/>
      <w:marTop w:val="0"/>
      <w:marBottom w:val="0"/>
      <w:divBdr>
        <w:top w:val="none" w:sz="0" w:space="0" w:color="auto"/>
        <w:left w:val="none" w:sz="0" w:space="0" w:color="auto"/>
        <w:bottom w:val="none" w:sz="0" w:space="0" w:color="auto"/>
        <w:right w:val="none" w:sz="0" w:space="0" w:color="auto"/>
      </w:divBdr>
    </w:div>
    <w:div w:id="90396161">
      <w:bodyDiv w:val="1"/>
      <w:marLeft w:val="0"/>
      <w:marRight w:val="0"/>
      <w:marTop w:val="0"/>
      <w:marBottom w:val="0"/>
      <w:divBdr>
        <w:top w:val="none" w:sz="0" w:space="0" w:color="auto"/>
        <w:left w:val="none" w:sz="0" w:space="0" w:color="auto"/>
        <w:bottom w:val="none" w:sz="0" w:space="0" w:color="auto"/>
        <w:right w:val="none" w:sz="0" w:space="0" w:color="auto"/>
      </w:divBdr>
    </w:div>
    <w:div w:id="102309454">
      <w:bodyDiv w:val="1"/>
      <w:marLeft w:val="0"/>
      <w:marRight w:val="0"/>
      <w:marTop w:val="0"/>
      <w:marBottom w:val="0"/>
      <w:divBdr>
        <w:top w:val="none" w:sz="0" w:space="0" w:color="auto"/>
        <w:left w:val="none" w:sz="0" w:space="0" w:color="auto"/>
        <w:bottom w:val="none" w:sz="0" w:space="0" w:color="auto"/>
        <w:right w:val="none" w:sz="0" w:space="0" w:color="auto"/>
      </w:divBdr>
    </w:div>
    <w:div w:id="110052936">
      <w:bodyDiv w:val="1"/>
      <w:marLeft w:val="0"/>
      <w:marRight w:val="0"/>
      <w:marTop w:val="0"/>
      <w:marBottom w:val="0"/>
      <w:divBdr>
        <w:top w:val="none" w:sz="0" w:space="0" w:color="auto"/>
        <w:left w:val="none" w:sz="0" w:space="0" w:color="auto"/>
        <w:bottom w:val="none" w:sz="0" w:space="0" w:color="auto"/>
        <w:right w:val="none" w:sz="0" w:space="0" w:color="auto"/>
      </w:divBdr>
    </w:div>
    <w:div w:id="127287465">
      <w:bodyDiv w:val="1"/>
      <w:marLeft w:val="0"/>
      <w:marRight w:val="0"/>
      <w:marTop w:val="0"/>
      <w:marBottom w:val="0"/>
      <w:divBdr>
        <w:top w:val="none" w:sz="0" w:space="0" w:color="auto"/>
        <w:left w:val="none" w:sz="0" w:space="0" w:color="auto"/>
        <w:bottom w:val="none" w:sz="0" w:space="0" w:color="auto"/>
        <w:right w:val="none" w:sz="0" w:space="0" w:color="auto"/>
      </w:divBdr>
    </w:div>
    <w:div w:id="148138949">
      <w:bodyDiv w:val="1"/>
      <w:marLeft w:val="0"/>
      <w:marRight w:val="0"/>
      <w:marTop w:val="0"/>
      <w:marBottom w:val="0"/>
      <w:divBdr>
        <w:top w:val="none" w:sz="0" w:space="0" w:color="auto"/>
        <w:left w:val="none" w:sz="0" w:space="0" w:color="auto"/>
        <w:bottom w:val="none" w:sz="0" w:space="0" w:color="auto"/>
        <w:right w:val="none" w:sz="0" w:space="0" w:color="auto"/>
      </w:divBdr>
    </w:div>
    <w:div w:id="156920479">
      <w:bodyDiv w:val="1"/>
      <w:marLeft w:val="0"/>
      <w:marRight w:val="0"/>
      <w:marTop w:val="0"/>
      <w:marBottom w:val="0"/>
      <w:divBdr>
        <w:top w:val="none" w:sz="0" w:space="0" w:color="auto"/>
        <w:left w:val="none" w:sz="0" w:space="0" w:color="auto"/>
        <w:bottom w:val="none" w:sz="0" w:space="0" w:color="auto"/>
        <w:right w:val="none" w:sz="0" w:space="0" w:color="auto"/>
      </w:divBdr>
    </w:div>
    <w:div w:id="166483197">
      <w:bodyDiv w:val="1"/>
      <w:marLeft w:val="0"/>
      <w:marRight w:val="0"/>
      <w:marTop w:val="0"/>
      <w:marBottom w:val="0"/>
      <w:divBdr>
        <w:top w:val="none" w:sz="0" w:space="0" w:color="auto"/>
        <w:left w:val="none" w:sz="0" w:space="0" w:color="auto"/>
        <w:bottom w:val="none" w:sz="0" w:space="0" w:color="auto"/>
        <w:right w:val="none" w:sz="0" w:space="0" w:color="auto"/>
      </w:divBdr>
    </w:div>
    <w:div w:id="177471859">
      <w:bodyDiv w:val="1"/>
      <w:marLeft w:val="0"/>
      <w:marRight w:val="0"/>
      <w:marTop w:val="0"/>
      <w:marBottom w:val="0"/>
      <w:divBdr>
        <w:top w:val="none" w:sz="0" w:space="0" w:color="auto"/>
        <w:left w:val="none" w:sz="0" w:space="0" w:color="auto"/>
        <w:bottom w:val="none" w:sz="0" w:space="0" w:color="auto"/>
        <w:right w:val="none" w:sz="0" w:space="0" w:color="auto"/>
      </w:divBdr>
    </w:div>
    <w:div w:id="192160117">
      <w:bodyDiv w:val="1"/>
      <w:marLeft w:val="0"/>
      <w:marRight w:val="0"/>
      <w:marTop w:val="0"/>
      <w:marBottom w:val="0"/>
      <w:divBdr>
        <w:top w:val="none" w:sz="0" w:space="0" w:color="auto"/>
        <w:left w:val="none" w:sz="0" w:space="0" w:color="auto"/>
        <w:bottom w:val="none" w:sz="0" w:space="0" w:color="auto"/>
        <w:right w:val="none" w:sz="0" w:space="0" w:color="auto"/>
      </w:divBdr>
    </w:div>
    <w:div w:id="216674010">
      <w:bodyDiv w:val="1"/>
      <w:marLeft w:val="0"/>
      <w:marRight w:val="0"/>
      <w:marTop w:val="0"/>
      <w:marBottom w:val="0"/>
      <w:divBdr>
        <w:top w:val="none" w:sz="0" w:space="0" w:color="auto"/>
        <w:left w:val="none" w:sz="0" w:space="0" w:color="auto"/>
        <w:bottom w:val="none" w:sz="0" w:space="0" w:color="auto"/>
        <w:right w:val="none" w:sz="0" w:space="0" w:color="auto"/>
      </w:divBdr>
    </w:div>
    <w:div w:id="223030110">
      <w:bodyDiv w:val="1"/>
      <w:marLeft w:val="0"/>
      <w:marRight w:val="0"/>
      <w:marTop w:val="0"/>
      <w:marBottom w:val="0"/>
      <w:divBdr>
        <w:top w:val="none" w:sz="0" w:space="0" w:color="auto"/>
        <w:left w:val="none" w:sz="0" w:space="0" w:color="auto"/>
        <w:bottom w:val="none" w:sz="0" w:space="0" w:color="auto"/>
        <w:right w:val="none" w:sz="0" w:space="0" w:color="auto"/>
      </w:divBdr>
    </w:div>
    <w:div w:id="226839236">
      <w:bodyDiv w:val="1"/>
      <w:marLeft w:val="0"/>
      <w:marRight w:val="0"/>
      <w:marTop w:val="0"/>
      <w:marBottom w:val="0"/>
      <w:divBdr>
        <w:top w:val="none" w:sz="0" w:space="0" w:color="auto"/>
        <w:left w:val="none" w:sz="0" w:space="0" w:color="auto"/>
        <w:bottom w:val="none" w:sz="0" w:space="0" w:color="auto"/>
        <w:right w:val="none" w:sz="0" w:space="0" w:color="auto"/>
      </w:divBdr>
    </w:div>
    <w:div w:id="228343490">
      <w:bodyDiv w:val="1"/>
      <w:marLeft w:val="0"/>
      <w:marRight w:val="0"/>
      <w:marTop w:val="0"/>
      <w:marBottom w:val="0"/>
      <w:divBdr>
        <w:top w:val="none" w:sz="0" w:space="0" w:color="auto"/>
        <w:left w:val="none" w:sz="0" w:space="0" w:color="auto"/>
        <w:bottom w:val="none" w:sz="0" w:space="0" w:color="auto"/>
        <w:right w:val="none" w:sz="0" w:space="0" w:color="auto"/>
      </w:divBdr>
    </w:div>
    <w:div w:id="242422654">
      <w:bodyDiv w:val="1"/>
      <w:marLeft w:val="0"/>
      <w:marRight w:val="0"/>
      <w:marTop w:val="0"/>
      <w:marBottom w:val="0"/>
      <w:divBdr>
        <w:top w:val="none" w:sz="0" w:space="0" w:color="auto"/>
        <w:left w:val="none" w:sz="0" w:space="0" w:color="auto"/>
        <w:bottom w:val="none" w:sz="0" w:space="0" w:color="auto"/>
        <w:right w:val="none" w:sz="0" w:space="0" w:color="auto"/>
      </w:divBdr>
    </w:div>
    <w:div w:id="249628054">
      <w:bodyDiv w:val="1"/>
      <w:marLeft w:val="0"/>
      <w:marRight w:val="0"/>
      <w:marTop w:val="0"/>
      <w:marBottom w:val="0"/>
      <w:divBdr>
        <w:top w:val="none" w:sz="0" w:space="0" w:color="auto"/>
        <w:left w:val="none" w:sz="0" w:space="0" w:color="auto"/>
        <w:bottom w:val="none" w:sz="0" w:space="0" w:color="auto"/>
        <w:right w:val="none" w:sz="0" w:space="0" w:color="auto"/>
      </w:divBdr>
    </w:div>
    <w:div w:id="251469777">
      <w:bodyDiv w:val="1"/>
      <w:marLeft w:val="0"/>
      <w:marRight w:val="0"/>
      <w:marTop w:val="0"/>
      <w:marBottom w:val="0"/>
      <w:divBdr>
        <w:top w:val="none" w:sz="0" w:space="0" w:color="auto"/>
        <w:left w:val="none" w:sz="0" w:space="0" w:color="auto"/>
        <w:bottom w:val="none" w:sz="0" w:space="0" w:color="auto"/>
        <w:right w:val="none" w:sz="0" w:space="0" w:color="auto"/>
      </w:divBdr>
    </w:div>
    <w:div w:id="253128226">
      <w:bodyDiv w:val="1"/>
      <w:marLeft w:val="0"/>
      <w:marRight w:val="0"/>
      <w:marTop w:val="0"/>
      <w:marBottom w:val="0"/>
      <w:divBdr>
        <w:top w:val="none" w:sz="0" w:space="0" w:color="auto"/>
        <w:left w:val="none" w:sz="0" w:space="0" w:color="auto"/>
        <w:bottom w:val="none" w:sz="0" w:space="0" w:color="auto"/>
        <w:right w:val="none" w:sz="0" w:space="0" w:color="auto"/>
      </w:divBdr>
    </w:div>
    <w:div w:id="279144483">
      <w:bodyDiv w:val="1"/>
      <w:marLeft w:val="0"/>
      <w:marRight w:val="0"/>
      <w:marTop w:val="0"/>
      <w:marBottom w:val="0"/>
      <w:divBdr>
        <w:top w:val="none" w:sz="0" w:space="0" w:color="auto"/>
        <w:left w:val="none" w:sz="0" w:space="0" w:color="auto"/>
        <w:bottom w:val="none" w:sz="0" w:space="0" w:color="auto"/>
        <w:right w:val="none" w:sz="0" w:space="0" w:color="auto"/>
      </w:divBdr>
    </w:div>
    <w:div w:id="283275607">
      <w:bodyDiv w:val="1"/>
      <w:marLeft w:val="0"/>
      <w:marRight w:val="0"/>
      <w:marTop w:val="0"/>
      <w:marBottom w:val="0"/>
      <w:divBdr>
        <w:top w:val="none" w:sz="0" w:space="0" w:color="auto"/>
        <w:left w:val="none" w:sz="0" w:space="0" w:color="auto"/>
        <w:bottom w:val="none" w:sz="0" w:space="0" w:color="auto"/>
        <w:right w:val="none" w:sz="0" w:space="0" w:color="auto"/>
      </w:divBdr>
    </w:div>
    <w:div w:id="301929169">
      <w:bodyDiv w:val="1"/>
      <w:marLeft w:val="0"/>
      <w:marRight w:val="0"/>
      <w:marTop w:val="0"/>
      <w:marBottom w:val="0"/>
      <w:divBdr>
        <w:top w:val="none" w:sz="0" w:space="0" w:color="auto"/>
        <w:left w:val="none" w:sz="0" w:space="0" w:color="auto"/>
        <w:bottom w:val="none" w:sz="0" w:space="0" w:color="auto"/>
        <w:right w:val="none" w:sz="0" w:space="0" w:color="auto"/>
      </w:divBdr>
    </w:div>
    <w:div w:id="310597030">
      <w:bodyDiv w:val="1"/>
      <w:marLeft w:val="0"/>
      <w:marRight w:val="0"/>
      <w:marTop w:val="0"/>
      <w:marBottom w:val="0"/>
      <w:divBdr>
        <w:top w:val="none" w:sz="0" w:space="0" w:color="auto"/>
        <w:left w:val="none" w:sz="0" w:space="0" w:color="auto"/>
        <w:bottom w:val="none" w:sz="0" w:space="0" w:color="auto"/>
        <w:right w:val="none" w:sz="0" w:space="0" w:color="auto"/>
      </w:divBdr>
    </w:div>
    <w:div w:id="317729354">
      <w:bodyDiv w:val="1"/>
      <w:marLeft w:val="0"/>
      <w:marRight w:val="0"/>
      <w:marTop w:val="0"/>
      <w:marBottom w:val="0"/>
      <w:divBdr>
        <w:top w:val="none" w:sz="0" w:space="0" w:color="auto"/>
        <w:left w:val="none" w:sz="0" w:space="0" w:color="auto"/>
        <w:bottom w:val="none" w:sz="0" w:space="0" w:color="auto"/>
        <w:right w:val="none" w:sz="0" w:space="0" w:color="auto"/>
      </w:divBdr>
    </w:div>
    <w:div w:id="322859718">
      <w:bodyDiv w:val="1"/>
      <w:marLeft w:val="0"/>
      <w:marRight w:val="0"/>
      <w:marTop w:val="0"/>
      <w:marBottom w:val="0"/>
      <w:divBdr>
        <w:top w:val="none" w:sz="0" w:space="0" w:color="auto"/>
        <w:left w:val="none" w:sz="0" w:space="0" w:color="auto"/>
        <w:bottom w:val="none" w:sz="0" w:space="0" w:color="auto"/>
        <w:right w:val="none" w:sz="0" w:space="0" w:color="auto"/>
      </w:divBdr>
    </w:div>
    <w:div w:id="359553000">
      <w:bodyDiv w:val="1"/>
      <w:marLeft w:val="0"/>
      <w:marRight w:val="0"/>
      <w:marTop w:val="0"/>
      <w:marBottom w:val="0"/>
      <w:divBdr>
        <w:top w:val="none" w:sz="0" w:space="0" w:color="auto"/>
        <w:left w:val="none" w:sz="0" w:space="0" w:color="auto"/>
        <w:bottom w:val="none" w:sz="0" w:space="0" w:color="auto"/>
        <w:right w:val="none" w:sz="0" w:space="0" w:color="auto"/>
      </w:divBdr>
    </w:div>
    <w:div w:id="371346119">
      <w:bodyDiv w:val="1"/>
      <w:marLeft w:val="0"/>
      <w:marRight w:val="0"/>
      <w:marTop w:val="0"/>
      <w:marBottom w:val="0"/>
      <w:divBdr>
        <w:top w:val="none" w:sz="0" w:space="0" w:color="auto"/>
        <w:left w:val="none" w:sz="0" w:space="0" w:color="auto"/>
        <w:bottom w:val="none" w:sz="0" w:space="0" w:color="auto"/>
        <w:right w:val="none" w:sz="0" w:space="0" w:color="auto"/>
      </w:divBdr>
    </w:div>
    <w:div w:id="377358285">
      <w:bodyDiv w:val="1"/>
      <w:marLeft w:val="0"/>
      <w:marRight w:val="0"/>
      <w:marTop w:val="0"/>
      <w:marBottom w:val="0"/>
      <w:divBdr>
        <w:top w:val="none" w:sz="0" w:space="0" w:color="auto"/>
        <w:left w:val="none" w:sz="0" w:space="0" w:color="auto"/>
        <w:bottom w:val="none" w:sz="0" w:space="0" w:color="auto"/>
        <w:right w:val="none" w:sz="0" w:space="0" w:color="auto"/>
      </w:divBdr>
    </w:div>
    <w:div w:id="386999702">
      <w:bodyDiv w:val="1"/>
      <w:marLeft w:val="0"/>
      <w:marRight w:val="0"/>
      <w:marTop w:val="0"/>
      <w:marBottom w:val="0"/>
      <w:divBdr>
        <w:top w:val="none" w:sz="0" w:space="0" w:color="auto"/>
        <w:left w:val="none" w:sz="0" w:space="0" w:color="auto"/>
        <w:bottom w:val="none" w:sz="0" w:space="0" w:color="auto"/>
        <w:right w:val="none" w:sz="0" w:space="0" w:color="auto"/>
      </w:divBdr>
    </w:div>
    <w:div w:id="397365793">
      <w:bodyDiv w:val="1"/>
      <w:marLeft w:val="0"/>
      <w:marRight w:val="0"/>
      <w:marTop w:val="0"/>
      <w:marBottom w:val="0"/>
      <w:divBdr>
        <w:top w:val="none" w:sz="0" w:space="0" w:color="auto"/>
        <w:left w:val="none" w:sz="0" w:space="0" w:color="auto"/>
        <w:bottom w:val="none" w:sz="0" w:space="0" w:color="auto"/>
        <w:right w:val="none" w:sz="0" w:space="0" w:color="auto"/>
      </w:divBdr>
    </w:div>
    <w:div w:id="419327817">
      <w:bodyDiv w:val="1"/>
      <w:marLeft w:val="0"/>
      <w:marRight w:val="0"/>
      <w:marTop w:val="0"/>
      <w:marBottom w:val="0"/>
      <w:divBdr>
        <w:top w:val="none" w:sz="0" w:space="0" w:color="auto"/>
        <w:left w:val="none" w:sz="0" w:space="0" w:color="auto"/>
        <w:bottom w:val="none" w:sz="0" w:space="0" w:color="auto"/>
        <w:right w:val="none" w:sz="0" w:space="0" w:color="auto"/>
      </w:divBdr>
      <w:divsChild>
        <w:div w:id="253049575">
          <w:marLeft w:val="0"/>
          <w:marRight w:val="0"/>
          <w:marTop w:val="0"/>
          <w:marBottom w:val="0"/>
          <w:divBdr>
            <w:top w:val="none" w:sz="0" w:space="0" w:color="auto"/>
            <w:left w:val="none" w:sz="0" w:space="0" w:color="auto"/>
            <w:bottom w:val="none" w:sz="0" w:space="0" w:color="auto"/>
            <w:right w:val="none" w:sz="0" w:space="0" w:color="auto"/>
          </w:divBdr>
          <w:divsChild>
            <w:div w:id="1323002648">
              <w:marLeft w:val="0"/>
              <w:marRight w:val="0"/>
              <w:marTop w:val="0"/>
              <w:marBottom w:val="0"/>
              <w:divBdr>
                <w:top w:val="none" w:sz="0" w:space="0" w:color="auto"/>
                <w:left w:val="none" w:sz="0" w:space="0" w:color="auto"/>
                <w:bottom w:val="none" w:sz="0" w:space="0" w:color="auto"/>
                <w:right w:val="none" w:sz="0" w:space="0" w:color="auto"/>
              </w:divBdr>
              <w:divsChild>
                <w:div w:id="2113627719">
                  <w:marLeft w:val="0"/>
                  <w:marRight w:val="0"/>
                  <w:marTop w:val="0"/>
                  <w:marBottom w:val="0"/>
                  <w:divBdr>
                    <w:top w:val="none" w:sz="0" w:space="0" w:color="auto"/>
                    <w:left w:val="none" w:sz="0" w:space="0" w:color="auto"/>
                    <w:bottom w:val="none" w:sz="0" w:space="0" w:color="auto"/>
                    <w:right w:val="none" w:sz="0" w:space="0" w:color="auto"/>
                  </w:divBdr>
                  <w:divsChild>
                    <w:div w:id="1992981266">
                      <w:marLeft w:val="0"/>
                      <w:marRight w:val="0"/>
                      <w:marTop w:val="0"/>
                      <w:marBottom w:val="0"/>
                      <w:divBdr>
                        <w:top w:val="none" w:sz="0" w:space="0" w:color="auto"/>
                        <w:left w:val="none" w:sz="0" w:space="0" w:color="auto"/>
                        <w:bottom w:val="none" w:sz="0" w:space="0" w:color="auto"/>
                        <w:right w:val="none" w:sz="0" w:space="0" w:color="auto"/>
                      </w:divBdr>
                      <w:divsChild>
                        <w:div w:id="1108088366">
                          <w:marLeft w:val="0"/>
                          <w:marRight w:val="0"/>
                          <w:marTop w:val="450"/>
                          <w:marBottom w:val="0"/>
                          <w:divBdr>
                            <w:top w:val="none" w:sz="0" w:space="0" w:color="auto"/>
                            <w:left w:val="none" w:sz="0" w:space="0" w:color="auto"/>
                            <w:bottom w:val="none" w:sz="0" w:space="0" w:color="auto"/>
                            <w:right w:val="none" w:sz="0" w:space="0" w:color="auto"/>
                          </w:divBdr>
                          <w:divsChild>
                            <w:div w:id="8906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6736">
      <w:bodyDiv w:val="1"/>
      <w:marLeft w:val="0"/>
      <w:marRight w:val="0"/>
      <w:marTop w:val="0"/>
      <w:marBottom w:val="0"/>
      <w:divBdr>
        <w:top w:val="none" w:sz="0" w:space="0" w:color="auto"/>
        <w:left w:val="none" w:sz="0" w:space="0" w:color="auto"/>
        <w:bottom w:val="none" w:sz="0" w:space="0" w:color="auto"/>
        <w:right w:val="none" w:sz="0" w:space="0" w:color="auto"/>
      </w:divBdr>
    </w:div>
    <w:div w:id="437723217">
      <w:bodyDiv w:val="1"/>
      <w:marLeft w:val="0"/>
      <w:marRight w:val="0"/>
      <w:marTop w:val="0"/>
      <w:marBottom w:val="0"/>
      <w:divBdr>
        <w:top w:val="none" w:sz="0" w:space="0" w:color="auto"/>
        <w:left w:val="none" w:sz="0" w:space="0" w:color="auto"/>
        <w:bottom w:val="none" w:sz="0" w:space="0" w:color="auto"/>
        <w:right w:val="none" w:sz="0" w:space="0" w:color="auto"/>
      </w:divBdr>
    </w:div>
    <w:div w:id="441194674">
      <w:bodyDiv w:val="1"/>
      <w:marLeft w:val="0"/>
      <w:marRight w:val="0"/>
      <w:marTop w:val="0"/>
      <w:marBottom w:val="0"/>
      <w:divBdr>
        <w:top w:val="none" w:sz="0" w:space="0" w:color="auto"/>
        <w:left w:val="none" w:sz="0" w:space="0" w:color="auto"/>
        <w:bottom w:val="none" w:sz="0" w:space="0" w:color="auto"/>
        <w:right w:val="none" w:sz="0" w:space="0" w:color="auto"/>
      </w:divBdr>
    </w:div>
    <w:div w:id="444038480">
      <w:bodyDiv w:val="1"/>
      <w:marLeft w:val="0"/>
      <w:marRight w:val="0"/>
      <w:marTop w:val="0"/>
      <w:marBottom w:val="0"/>
      <w:divBdr>
        <w:top w:val="none" w:sz="0" w:space="0" w:color="auto"/>
        <w:left w:val="none" w:sz="0" w:space="0" w:color="auto"/>
        <w:bottom w:val="none" w:sz="0" w:space="0" w:color="auto"/>
        <w:right w:val="none" w:sz="0" w:space="0" w:color="auto"/>
      </w:divBdr>
    </w:div>
    <w:div w:id="449281112">
      <w:bodyDiv w:val="1"/>
      <w:marLeft w:val="0"/>
      <w:marRight w:val="0"/>
      <w:marTop w:val="0"/>
      <w:marBottom w:val="0"/>
      <w:divBdr>
        <w:top w:val="none" w:sz="0" w:space="0" w:color="auto"/>
        <w:left w:val="none" w:sz="0" w:space="0" w:color="auto"/>
        <w:bottom w:val="none" w:sz="0" w:space="0" w:color="auto"/>
        <w:right w:val="none" w:sz="0" w:space="0" w:color="auto"/>
      </w:divBdr>
    </w:div>
    <w:div w:id="454252422">
      <w:bodyDiv w:val="1"/>
      <w:marLeft w:val="0"/>
      <w:marRight w:val="0"/>
      <w:marTop w:val="0"/>
      <w:marBottom w:val="0"/>
      <w:divBdr>
        <w:top w:val="none" w:sz="0" w:space="0" w:color="auto"/>
        <w:left w:val="none" w:sz="0" w:space="0" w:color="auto"/>
        <w:bottom w:val="none" w:sz="0" w:space="0" w:color="auto"/>
        <w:right w:val="none" w:sz="0" w:space="0" w:color="auto"/>
      </w:divBdr>
    </w:div>
    <w:div w:id="477067864">
      <w:bodyDiv w:val="1"/>
      <w:marLeft w:val="0"/>
      <w:marRight w:val="0"/>
      <w:marTop w:val="0"/>
      <w:marBottom w:val="0"/>
      <w:divBdr>
        <w:top w:val="none" w:sz="0" w:space="0" w:color="auto"/>
        <w:left w:val="none" w:sz="0" w:space="0" w:color="auto"/>
        <w:bottom w:val="none" w:sz="0" w:space="0" w:color="auto"/>
        <w:right w:val="none" w:sz="0" w:space="0" w:color="auto"/>
      </w:divBdr>
    </w:div>
    <w:div w:id="477965574">
      <w:bodyDiv w:val="1"/>
      <w:marLeft w:val="0"/>
      <w:marRight w:val="0"/>
      <w:marTop w:val="0"/>
      <w:marBottom w:val="0"/>
      <w:divBdr>
        <w:top w:val="none" w:sz="0" w:space="0" w:color="auto"/>
        <w:left w:val="none" w:sz="0" w:space="0" w:color="auto"/>
        <w:bottom w:val="none" w:sz="0" w:space="0" w:color="auto"/>
        <w:right w:val="none" w:sz="0" w:space="0" w:color="auto"/>
      </w:divBdr>
    </w:div>
    <w:div w:id="479616573">
      <w:bodyDiv w:val="1"/>
      <w:marLeft w:val="0"/>
      <w:marRight w:val="0"/>
      <w:marTop w:val="0"/>
      <w:marBottom w:val="0"/>
      <w:divBdr>
        <w:top w:val="none" w:sz="0" w:space="0" w:color="auto"/>
        <w:left w:val="none" w:sz="0" w:space="0" w:color="auto"/>
        <w:bottom w:val="none" w:sz="0" w:space="0" w:color="auto"/>
        <w:right w:val="none" w:sz="0" w:space="0" w:color="auto"/>
      </w:divBdr>
    </w:div>
    <w:div w:id="482936877">
      <w:bodyDiv w:val="1"/>
      <w:marLeft w:val="0"/>
      <w:marRight w:val="0"/>
      <w:marTop w:val="0"/>
      <w:marBottom w:val="0"/>
      <w:divBdr>
        <w:top w:val="none" w:sz="0" w:space="0" w:color="auto"/>
        <w:left w:val="none" w:sz="0" w:space="0" w:color="auto"/>
        <w:bottom w:val="none" w:sz="0" w:space="0" w:color="auto"/>
        <w:right w:val="none" w:sz="0" w:space="0" w:color="auto"/>
      </w:divBdr>
    </w:div>
    <w:div w:id="491797378">
      <w:bodyDiv w:val="1"/>
      <w:marLeft w:val="0"/>
      <w:marRight w:val="0"/>
      <w:marTop w:val="0"/>
      <w:marBottom w:val="0"/>
      <w:divBdr>
        <w:top w:val="none" w:sz="0" w:space="0" w:color="auto"/>
        <w:left w:val="none" w:sz="0" w:space="0" w:color="auto"/>
        <w:bottom w:val="none" w:sz="0" w:space="0" w:color="auto"/>
        <w:right w:val="none" w:sz="0" w:space="0" w:color="auto"/>
      </w:divBdr>
    </w:div>
    <w:div w:id="492375623">
      <w:bodyDiv w:val="1"/>
      <w:marLeft w:val="0"/>
      <w:marRight w:val="0"/>
      <w:marTop w:val="0"/>
      <w:marBottom w:val="0"/>
      <w:divBdr>
        <w:top w:val="none" w:sz="0" w:space="0" w:color="auto"/>
        <w:left w:val="none" w:sz="0" w:space="0" w:color="auto"/>
        <w:bottom w:val="none" w:sz="0" w:space="0" w:color="auto"/>
        <w:right w:val="none" w:sz="0" w:space="0" w:color="auto"/>
      </w:divBdr>
    </w:div>
    <w:div w:id="499539723">
      <w:bodyDiv w:val="1"/>
      <w:marLeft w:val="0"/>
      <w:marRight w:val="0"/>
      <w:marTop w:val="0"/>
      <w:marBottom w:val="0"/>
      <w:divBdr>
        <w:top w:val="none" w:sz="0" w:space="0" w:color="auto"/>
        <w:left w:val="none" w:sz="0" w:space="0" w:color="auto"/>
        <w:bottom w:val="none" w:sz="0" w:space="0" w:color="auto"/>
        <w:right w:val="none" w:sz="0" w:space="0" w:color="auto"/>
      </w:divBdr>
    </w:div>
    <w:div w:id="513032292">
      <w:bodyDiv w:val="1"/>
      <w:marLeft w:val="0"/>
      <w:marRight w:val="0"/>
      <w:marTop w:val="0"/>
      <w:marBottom w:val="0"/>
      <w:divBdr>
        <w:top w:val="none" w:sz="0" w:space="0" w:color="auto"/>
        <w:left w:val="none" w:sz="0" w:space="0" w:color="auto"/>
        <w:bottom w:val="none" w:sz="0" w:space="0" w:color="auto"/>
        <w:right w:val="none" w:sz="0" w:space="0" w:color="auto"/>
      </w:divBdr>
    </w:div>
    <w:div w:id="522591120">
      <w:bodyDiv w:val="1"/>
      <w:marLeft w:val="0"/>
      <w:marRight w:val="0"/>
      <w:marTop w:val="0"/>
      <w:marBottom w:val="0"/>
      <w:divBdr>
        <w:top w:val="none" w:sz="0" w:space="0" w:color="auto"/>
        <w:left w:val="none" w:sz="0" w:space="0" w:color="auto"/>
        <w:bottom w:val="none" w:sz="0" w:space="0" w:color="auto"/>
        <w:right w:val="none" w:sz="0" w:space="0" w:color="auto"/>
      </w:divBdr>
    </w:div>
    <w:div w:id="538902530">
      <w:bodyDiv w:val="1"/>
      <w:marLeft w:val="0"/>
      <w:marRight w:val="0"/>
      <w:marTop w:val="0"/>
      <w:marBottom w:val="0"/>
      <w:divBdr>
        <w:top w:val="none" w:sz="0" w:space="0" w:color="auto"/>
        <w:left w:val="none" w:sz="0" w:space="0" w:color="auto"/>
        <w:bottom w:val="none" w:sz="0" w:space="0" w:color="auto"/>
        <w:right w:val="none" w:sz="0" w:space="0" w:color="auto"/>
      </w:divBdr>
    </w:div>
    <w:div w:id="564491320">
      <w:bodyDiv w:val="1"/>
      <w:marLeft w:val="0"/>
      <w:marRight w:val="0"/>
      <w:marTop w:val="0"/>
      <w:marBottom w:val="0"/>
      <w:divBdr>
        <w:top w:val="none" w:sz="0" w:space="0" w:color="auto"/>
        <w:left w:val="none" w:sz="0" w:space="0" w:color="auto"/>
        <w:bottom w:val="none" w:sz="0" w:space="0" w:color="auto"/>
        <w:right w:val="none" w:sz="0" w:space="0" w:color="auto"/>
      </w:divBdr>
    </w:div>
    <w:div w:id="579369961">
      <w:bodyDiv w:val="1"/>
      <w:marLeft w:val="0"/>
      <w:marRight w:val="0"/>
      <w:marTop w:val="0"/>
      <w:marBottom w:val="0"/>
      <w:divBdr>
        <w:top w:val="none" w:sz="0" w:space="0" w:color="auto"/>
        <w:left w:val="none" w:sz="0" w:space="0" w:color="auto"/>
        <w:bottom w:val="none" w:sz="0" w:space="0" w:color="auto"/>
        <w:right w:val="none" w:sz="0" w:space="0" w:color="auto"/>
      </w:divBdr>
    </w:div>
    <w:div w:id="586381056">
      <w:bodyDiv w:val="1"/>
      <w:marLeft w:val="0"/>
      <w:marRight w:val="0"/>
      <w:marTop w:val="0"/>
      <w:marBottom w:val="0"/>
      <w:divBdr>
        <w:top w:val="none" w:sz="0" w:space="0" w:color="auto"/>
        <w:left w:val="none" w:sz="0" w:space="0" w:color="auto"/>
        <w:bottom w:val="none" w:sz="0" w:space="0" w:color="auto"/>
        <w:right w:val="none" w:sz="0" w:space="0" w:color="auto"/>
      </w:divBdr>
      <w:divsChild>
        <w:div w:id="1317566231">
          <w:marLeft w:val="0"/>
          <w:marRight w:val="0"/>
          <w:marTop w:val="0"/>
          <w:marBottom w:val="0"/>
          <w:divBdr>
            <w:top w:val="none" w:sz="0" w:space="0" w:color="auto"/>
            <w:left w:val="none" w:sz="0" w:space="0" w:color="auto"/>
            <w:bottom w:val="none" w:sz="0" w:space="0" w:color="auto"/>
            <w:right w:val="none" w:sz="0" w:space="0" w:color="auto"/>
          </w:divBdr>
        </w:div>
      </w:divsChild>
    </w:div>
    <w:div w:id="589704696">
      <w:bodyDiv w:val="1"/>
      <w:marLeft w:val="0"/>
      <w:marRight w:val="0"/>
      <w:marTop w:val="0"/>
      <w:marBottom w:val="0"/>
      <w:divBdr>
        <w:top w:val="none" w:sz="0" w:space="0" w:color="auto"/>
        <w:left w:val="none" w:sz="0" w:space="0" w:color="auto"/>
        <w:bottom w:val="none" w:sz="0" w:space="0" w:color="auto"/>
        <w:right w:val="none" w:sz="0" w:space="0" w:color="auto"/>
      </w:divBdr>
    </w:div>
    <w:div w:id="593053687">
      <w:bodyDiv w:val="1"/>
      <w:marLeft w:val="0"/>
      <w:marRight w:val="0"/>
      <w:marTop w:val="0"/>
      <w:marBottom w:val="0"/>
      <w:divBdr>
        <w:top w:val="none" w:sz="0" w:space="0" w:color="auto"/>
        <w:left w:val="none" w:sz="0" w:space="0" w:color="auto"/>
        <w:bottom w:val="none" w:sz="0" w:space="0" w:color="auto"/>
        <w:right w:val="none" w:sz="0" w:space="0" w:color="auto"/>
      </w:divBdr>
    </w:div>
    <w:div w:id="596793131">
      <w:bodyDiv w:val="1"/>
      <w:marLeft w:val="0"/>
      <w:marRight w:val="0"/>
      <w:marTop w:val="0"/>
      <w:marBottom w:val="0"/>
      <w:divBdr>
        <w:top w:val="none" w:sz="0" w:space="0" w:color="auto"/>
        <w:left w:val="none" w:sz="0" w:space="0" w:color="auto"/>
        <w:bottom w:val="none" w:sz="0" w:space="0" w:color="auto"/>
        <w:right w:val="none" w:sz="0" w:space="0" w:color="auto"/>
      </w:divBdr>
    </w:div>
    <w:div w:id="602612642">
      <w:bodyDiv w:val="1"/>
      <w:marLeft w:val="0"/>
      <w:marRight w:val="0"/>
      <w:marTop w:val="0"/>
      <w:marBottom w:val="0"/>
      <w:divBdr>
        <w:top w:val="none" w:sz="0" w:space="0" w:color="auto"/>
        <w:left w:val="none" w:sz="0" w:space="0" w:color="auto"/>
        <w:bottom w:val="none" w:sz="0" w:space="0" w:color="auto"/>
        <w:right w:val="none" w:sz="0" w:space="0" w:color="auto"/>
      </w:divBdr>
    </w:div>
    <w:div w:id="603656233">
      <w:bodyDiv w:val="1"/>
      <w:marLeft w:val="0"/>
      <w:marRight w:val="0"/>
      <w:marTop w:val="0"/>
      <w:marBottom w:val="0"/>
      <w:divBdr>
        <w:top w:val="none" w:sz="0" w:space="0" w:color="auto"/>
        <w:left w:val="none" w:sz="0" w:space="0" w:color="auto"/>
        <w:bottom w:val="none" w:sz="0" w:space="0" w:color="auto"/>
        <w:right w:val="none" w:sz="0" w:space="0" w:color="auto"/>
      </w:divBdr>
    </w:div>
    <w:div w:id="606350383">
      <w:bodyDiv w:val="1"/>
      <w:marLeft w:val="0"/>
      <w:marRight w:val="0"/>
      <w:marTop w:val="0"/>
      <w:marBottom w:val="0"/>
      <w:divBdr>
        <w:top w:val="none" w:sz="0" w:space="0" w:color="auto"/>
        <w:left w:val="none" w:sz="0" w:space="0" w:color="auto"/>
        <w:bottom w:val="none" w:sz="0" w:space="0" w:color="auto"/>
        <w:right w:val="none" w:sz="0" w:space="0" w:color="auto"/>
      </w:divBdr>
    </w:div>
    <w:div w:id="607155575">
      <w:bodyDiv w:val="1"/>
      <w:marLeft w:val="0"/>
      <w:marRight w:val="0"/>
      <w:marTop w:val="0"/>
      <w:marBottom w:val="0"/>
      <w:divBdr>
        <w:top w:val="none" w:sz="0" w:space="0" w:color="auto"/>
        <w:left w:val="none" w:sz="0" w:space="0" w:color="auto"/>
        <w:bottom w:val="none" w:sz="0" w:space="0" w:color="auto"/>
        <w:right w:val="none" w:sz="0" w:space="0" w:color="auto"/>
      </w:divBdr>
    </w:div>
    <w:div w:id="621616386">
      <w:bodyDiv w:val="1"/>
      <w:marLeft w:val="0"/>
      <w:marRight w:val="0"/>
      <w:marTop w:val="0"/>
      <w:marBottom w:val="0"/>
      <w:divBdr>
        <w:top w:val="none" w:sz="0" w:space="0" w:color="auto"/>
        <w:left w:val="none" w:sz="0" w:space="0" w:color="auto"/>
        <w:bottom w:val="none" w:sz="0" w:space="0" w:color="auto"/>
        <w:right w:val="none" w:sz="0" w:space="0" w:color="auto"/>
      </w:divBdr>
    </w:div>
    <w:div w:id="637300043">
      <w:bodyDiv w:val="1"/>
      <w:marLeft w:val="0"/>
      <w:marRight w:val="0"/>
      <w:marTop w:val="0"/>
      <w:marBottom w:val="0"/>
      <w:divBdr>
        <w:top w:val="none" w:sz="0" w:space="0" w:color="auto"/>
        <w:left w:val="none" w:sz="0" w:space="0" w:color="auto"/>
        <w:bottom w:val="none" w:sz="0" w:space="0" w:color="auto"/>
        <w:right w:val="none" w:sz="0" w:space="0" w:color="auto"/>
      </w:divBdr>
    </w:div>
    <w:div w:id="645164658">
      <w:bodyDiv w:val="1"/>
      <w:marLeft w:val="0"/>
      <w:marRight w:val="0"/>
      <w:marTop w:val="0"/>
      <w:marBottom w:val="0"/>
      <w:divBdr>
        <w:top w:val="none" w:sz="0" w:space="0" w:color="auto"/>
        <w:left w:val="none" w:sz="0" w:space="0" w:color="auto"/>
        <w:bottom w:val="none" w:sz="0" w:space="0" w:color="auto"/>
        <w:right w:val="none" w:sz="0" w:space="0" w:color="auto"/>
      </w:divBdr>
    </w:div>
    <w:div w:id="657154672">
      <w:bodyDiv w:val="1"/>
      <w:marLeft w:val="0"/>
      <w:marRight w:val="0"/>
      <w:marTop w:val="0"/>
      <w:marBottom w:val="0"/>
      <w:divBdr>
        <w:top w:val="none" w:sz="0" w:space="0" w:color="auto"/>
        <w:left w:val="none" w:sz="0" w:space="0" w:color="auto"/>
        <w:bottom w:val="none" w:sz="0" w:space="0" w:color="auto"/>
        <w:right w:val="none" w:sz="0" w:space="0" w:color="auto"/>
      </w:divBdr>
    </w:div>
    <w:div w:id="664748253">
      <w:bodyDiv w:val="1"/>
      <w:marLeft w:val="0"/>
      <w:marRight w:val="0"/>
      <w:marTop w:val="0"/>
      <w:marBottom w:val="0"/>
      <w:divBdr>
        <w:top w:val="none" w:sz="0" w:space="0" w:color="auto"/>
        <w:left w:val="none" w:sz="0" w:space="0" w:color="auto"/>
        <w:bottom w:val="none" w:sz="0" w:space="0" w:color="auto"/>
        <w:right w:val="none" w:sz="0" w:space="0" w:color="auto"/>
      </w:divBdr>
    </w:div>
    <w:div w:id="669604294">
      <w:bodyDiv w:val="1"/>
      <w:marLeft w:val="0"/>
      <w:marRight w:val="0"/>
      <w:marTop w:val="0"/>
      <w:marBottom w:val="0"/>
      <w:divBdr>
        <w:top w:val="none" w:sz="0" w:space="0" w:color="auto"/>
        <w:left w:val="none" w:sz="0" w:space="0" w:color="auto"/>
        <w:bottom w:val="none" w:sz="0" w:space="0" w:color="auto"/>
        <w:right w:val="none" w:sz="0" w:space="0" w:color="auto"/>
      </w:divBdr>
    </w:div>
    <w:div w:id="697699654">
      <w:bodyDiv w:val="1"/>
      <w:marLeft w:val="0"/>
      <w:marRight w:val="0"/>
      <w:marTop w:val="0"/>
      <w:marBottom w:val="0"/>
      <w:divBdr>
        <w:top w:val="none" w:sz="0" w:space="0" w:color="auto"/>
        <w:left w:val="none" w:sz="0" w:space="0" w:color="auto"/>
        <w:bottom w:val="none" w:sz="0" w:space="0" w:color="auto"/>
        <w:right w:val="none" w:sz="0" w:space="0" w:color="auto"/>
      </w:divBdr>
    </w:div>
    <w:div w:id="717508115">
      <w:bodyDiv w:val="1"/>
      <w:marLeft w:val="0"/>
      <w:marRight w:val="0"/>
      <w:marTop w:val="0"/>
      <w:marBottom w:val="0"/>
      <w:divBdr>
        <w:top w:val="none" w:sz="0" w:space="0" w:color="auto"/>
        <w:left w:val="none" w:sz="0" w:space="0" w:color="auto"/>
        <w:bottom w:val="none" w:sz="0" w:space="0" w:color="auto"/>
        <w:right w:val="none" w:sz="0" w:space="0" w:color="auto"/>
      </w:divBdr>
    </w:div>
    <w:div w:id="731776240">
      <w:bodyDiv w:val="1"/>
      <w:marLeft w:val="0"/>
      <w:marRight w:val="0"/>
      <w:marTop w:val="0"/>
      <w:marBottom w:val="0"/>
      <w:divBdr>
        <w:top w:val="none" w:sz="0" w:space="0" w:color="auto"/>
        <w:left w:val="none" w:sz="0" w:space="0" w:color="auto"/>
        <w:bottom w:val="none" w:sz="0" w:space="0" w:color="auto"/>
        <w:right w:val="none" w:sz="0" w:space="0" w:color="auto"/>
      </w:divBdr>
    </w:div>
    <w:div w:id="745766106">
      <w:bodyDiv w:val="1"/>
      <w:marLeft w:val="0"/>
      <w:marRight w:val="0"/>
      <w:marTop w:val="0"/>
      <w:marBottom w:val="0"/>
      <w:divBdr>
        <w:top w:val="none" w:sz="0" w:space="0" w:color="auto"/>
        <w:left w:val="none" w:sz="0" w:space="0" w:color="auto"/>
        <w:bottom w:val="none" w:sz="0" w:space="0" w:color="auto"/>
        <w:right w:val="none" w:sz="0" w:space="0" w:color="auto"/>
      </w:divBdr>
      <w:divsChild>
        <w:div w:id="437990304">
          <w:marLeft w:val="547"/>
          <w:marRight w:val="0"/>
          <w:marTop w:val="134"/>
          <w:marBottom w:val="0"/>
          <w:divBdr>
            <w:top w:val="none" w:sz="0" w:space="0" w:color="auto"/>
            <w:left w:val="none" w:sz="0" w:space="0" w:color="auto"/>
            <w:bottom w:val="none" w:sz="0" w:space="0" w:color="auto"/>
            <w:right w:val="none" w:sz="0" w:space="0" w:color="auto"/>
          </w:divBdr>
        </w:div>
        <w:div w:id="1228564835">
          <w:marLeft w:val="547"/>
          <w:marRight w:val="0"/>
          <w:marTop w:val="134"/>
          <w:marBottom w:val="0"/>
          <w:divBdr>
            <w:top w:val="none" w:sz="0" w:space="0" w:color="auto"/>
            <w:left w:val="none" w:sz="0" w:space="0" w:color="auto"/>
            <w:bottom w:val="none" w:sz="0" w:space="0" w:color="auto"/>
            <w:right w:val="none" w:sz="0" w:space="0" w:color="auto"/>
          </w:divBdr>
        </w:div>
        <w:div w:id="1330671717">
          <w:marLeft w:val="547"/>
          <w:marRight w:val="0"/>
          <w:marTop w:val="134"/>
          <w:marBottom w:val="0"/>
          <w:divBdr>
            <w:top w:val="none" w:sz="0" w:space="0" w:color="auto"/>
            <w:left w:val="none" w:sz="0" w:space="0" w:color="auto"/>
            <w:bottom w:val="none" w:sz="0" w:space="0" w:color="auto"/>
            <w:right w:val="none" w:sz="0" w:space="0" w:color="auto"/>
          </w:divBdr>
        </w:div>
      </w:divsChild>
    </w:div>
    <w:div w:id="760417839">
      <w:bodyDiv w:val="1"/>
      <w:marLeft w:val="0"/>
      <w:marRight w:val="0"/>
      <w:marTop w:val="0"/>
      <w:marBottom w:val="0"/>
      <w:divBdr>
        <w:top w:val="none" w:sz="0" w:space="0" w:color="auto"/>
        <w:left w:val="none" w:sz="0" w:space="0" w:color="auto"/>
        <w:bottom w:val="none" w:sz="0" w:space="0" w:color="auto"/>
        <w:right w:val="none" w:sz="0" w:space="0" w:color="auto"/>
      </w:divBdr>
    </w:div>
    <w:div w:id="761487905">
      <w:bodyDiv w:val="1"/>
      <w:marLeft w:val="0"/>
      <w:marRight w:val="0"/>
      <w:marTop w:val="0"/>
      <w:marBottom w:val="0"/>
      <w:divBdr>
        <w:top w:val="none" w:sz="0" w:space="0" w:color="auto"/>
        <w:left w:val="none" w:sz="0" w:space="0" w:color="auto"/>
        <w:bottom w:val="none" w:sz="0" w:space="0" w:color="auto"/>
        <w:right w:val="none" w:sz="0" w:space="0" w:color="auto"/>
      </w:divBdr>
    </w:div>
    <w:div w:id="799036984">
      <w:bodyDiv w:val="1"/>
      <w:marLeft w:val="0"/>
      <w:marRight w:val="0"/>
      <w:marTop w:val="0"/>
      <w:marBottom w:val="0"/>
      <w:divBdr>
        <w:top w:val="none" w:sz="0" w:space="0" w:color="auto"/>
        <w:left w:val="none" w:sz="0" w:space="0" w:color="auto"/>
        <w:bottom w:val="none" w:sz="0" w:space="0" w:color="auto"/>
        <w:right w:val="none" w:sz="0" w:space="0" w:color="auto"/>
      </w:divBdr>
    </w:div>
    <w:div w:id="802306098">
      <w:bodyDiv w:val="1"/>
      <w:marLeft w:val="0"/>
      <w:marRight w:val="0"/>
      <w:marTop w:val="0"/>
      <w:marBottom w:val="0"/>
      <w:divBdr>
        <w:top w:val="none" w:sz="0" w:space="0" w:color="auto"/>
        <w:left w:val="none" w:sz="0" w:space="0" w:color="auto"/>
        <w:bottom w:val="none" w:sz="0" w:space="0" w:color="auto"/>
        <w:right w:val="none" w:sz="0" w:space="0" w:color="auto"/>
      </w:divBdr>
    </w:div>
    <w:div w:id="803933995">
      <w:bodyDiv w:val="1"/>
      <w:marLeft w:val="0"/>
      <w:marRight w:val="0"/>
      <w:marTop w:val="0"/>
      <w:marBottom w:val="0"/>
      <w:divBdr>
        <w:top w:val="none" w:sz="0" w:space="0" w:color="auto"/>
        <w:left w:val="none" w:sz="0" w:space="0" w:color="auto"/>
        <w:bottom w:val="none" w:sz="0" w:space="0" w:color="auto"/>
        <w:right w:val="none" w:sz="0" w:space="0" w:color="auto"/>
      </w:divBdr>
    </w:div>
    <w:div w:id="805396646">
      <w:bodyDiv w:val="1"/>
      <w:marLeft w:val="0"/>
      <w:marRight w:val="0"/>
      <w:marTop w:val="0"/>
      <w:marBottom w:val="0"/>
      <w:divBdr>
        <w:top w:val="none" w:sz="0" w:space="0" w:color="auto"/>
        <w:left w:val="none" w:sz="0" w:space="0" w:color="auto"/>
        <w:bottom w:val="none" w:sz="0" w:space="0" w:color="auto"/>
        <w:right w:val="none" w:sz="0" w:space="0" w:color="auto"/>
      </w:divBdr>
    </w:div>
    <w:div w:id="812912698">
      <w:bodyDiv w:val="1"/>
      <w:marLeft w:val="0"/>
      <w:marRight w:val="0"/>
      <w:marTop w:val="0"/>
      <w:marBottom w:val="0"/>
      <w:divBdr>
        <w:top w:val="none" w:sz="0" w:space="0" w:color="auto"/>
        <w:left w:val="none" w:sz="0" w:space="0" w:color="auto"/>
        <w:bottom w:val="none" w:sz="0" w:space="0" w:color="auto"/>
        <w:right w:val="none" w:sz="0" w:space="0" w:color="auto"/>
      </w:divBdr>
    </w:div>
    <w:div w:id="816411589">
      <w:bodyDiv w:val="1"/>
      <w:marLeft w:val="0"/>
      <w:marRight w:val="0"/>
      <w:marTop w:val="0"/>
      <w:marBottom w:val="0"/>
      <w:divBdr>
        <w:top w:val="none" w:sz="0" w:space="0" w:color="auto"/>
        <w:left w:val="none" w:sz="0" w:space="0" w:color="auto"/>
        <w:bottom w:val="none" w:sz="0" w:space="0" w:color="auto"/>
        <w:right w:val="none" w:sz="0" w:space="0" w:color="auto"/>
      </w:divBdr>
    </w:div>
    <w:div w:id="834493988">
      <w:bodyDiv w:val="1"/>
      <w:marLeft w:val="0"/>
      <w:marRight w:val="0"/>
      <w:marTop w:val="0"/>
      <w:marBottom w:val="0"/>
      <w:divBdr>
        <w:top w:val="none" w:sz="0" w:space="0" w:color="auto"/>
        <w:left w:val="none" w:sz="0" w:space="0" w:color="auto"/>
        <w:bottom w:val="none" w:sz="0" w:space="0" w:color="auto"/>
        <w:right w:val="none" w:sz="0" w:space="0" w:color="auto"/>
      </w:divBdr>
    </w:div>
    <w:div w:id="836650032">
      <w:bodyDiv w:val="1"/>
      <w:marLeft w:val="0"/>
      <w:marRight w:val="0"/>
      <w:marTop w:val="0"/>
      <w:marBottom w:val="0"/>
      <w:divBdr>
        <w:top w:val="none" w:sz="0" w:space="0" w:color="auto"/>
        <w:left w:val="none" w:sz="0" w:space="0" w:color="auto"/>
        <w:bottom w:val="none" w:sz="0" w:space="0" w:color="auto"/>
        <w:right w:val="none" w:sz="0" w:space="0" w:color="auto"/>
      </w:divBdr>
    </w:div>
    <w:div w:id="839854455">
      <w:bodyDiv w:val="1"/>
      <w:marLeft w:val="0"/>
      <w:marRight w:val="0"/>
      <w:marTop w:val="0"/>
      <w:marBottom w:val="0"/>
      <w:divBdr>
        <w:top w:val="none" w:sz="0" w:space="0" w:color="auto"/>
        <w:left w:val="none" w:sz="0" w:space="0" w:color="auto"/>
        <w:bottom w:val="none" w:sz="0" w:space="0" w:color="auto"/>
        <w:right w:val="none" w:sz="0" w:space="0" w:color="auto"/>
      </w:divBdr>
    </w:div>
    <w:div w:id="854617009">
      <w:bodyDiv w:val="1"/>
      <w:marLeft w:val="0"/>
      <w:marRight w:val="0"/>
      <w:marTop w:val="0"/>
      <w:marBottom w:val="0"/>
      <w:divBdr>
        <w:top w:val="none" w:sz="0" w:space="0" w:color="auto"/>
        <w:left w:val="none" w:sz="0" w:space="0" w:color="auto"/>
        <w:bottom w:val="none" w:sz="0" w:space="0" w:color="auto"/>
        <w:right w:val="none" w:sz="0" w:space="0" w:color="auto"/>
      </w:divBdr>
    </w:div>
    <w:div w:id="866454591">
      <w:bodyDiv w:val="1"/>
      <w:marLeft w:val="0"/>
      <w:marRight w:val="0"/>
      <w:marTop w:val="0"/>
      <w:marBottom w:val="0"/>
      <w:divBdr>
        <w:top w:val="none" w:sz="0" w:space="0" w:color="auto"/>
        <w:left w:val="none" w:sz="0" w:space="0" w:color="auto"/>
        <w:bottom w:val="none" w:sz="0" w:space="0" w:color="auto"/>
        <w:right w:val="none" w:sz="0" w:space="0" w:color="auto"/>
      </w:divBdr>
    </w:div>
    <w:div w:id="871575662">
      <w:bodyDiv w:val="1"/>
      <w:marLeft w:val="0"/>
      <w:marRight w:val="0"/>
      <w:marTop w:val="0"/>
      <w:marBottom w:val="0"/>
      <w:divBdr>
        <w:top w:val="none" w:sz="0" w:space="0" w:color="auto"/>
        <w:left w:val="none" w:sz="0" w:space="0" w:color="auto"/>
        <w:bottom w:val="none" w:sz="0" w:space="0" w:color="auto"/>
        <w:right w:val="none" w:sz="0" w:space="0" w:color="auto"/>
      </w:divBdr>
    </w:div>
    <w:div w:id="871921736">
      <w:bodyDiv w:val="1"/>
      <w:marLeft w:val="0"/>
      <w:marRight w:val="0"/>
      <w:marTop w:val="0"/>
      <w:marBottom w:val="0"/>
      <w:divBdr>
        <w:top w:val="none" w:sz="0" w:space="0" w:color="auto"/>
        <w:left w:val="none" w:sz="0" w:space="0" w:color="auto"/>
        <w:bottom w:val="none" w:sz="0" w:space="0" w:color="auto"/>
        <w:right w:val="none" w:sz="0" w:space="0" w:color="auto"/>
      </w:divBdr>
    </w:div>
    <w:div w:id="874535608">
      <w:bodyDiv w:val="1"/>
      <w:marLeft w:val="0"/>
      <w:marRight w:val="0"/>
      <w:marTop w:val="0"/>
      <w:marBottom w:val="0"/>
      <w:divBdr>
        <w:top w:val="none" w:sz="0" w:space="0" w:color="auto"/>
        <w:left w:val="none" w:sz="0" w:space="0" w:color="auto"/>
        <w:bottom w:val="none" w:sz="0" w:space="0" w:color="auto"/>
        <w:right w:val="none" w:sz="0" w:space="0" w:color="auto"/>
      </w:divBdr>
    </w:div>
    <w:div w:id="880939796">
      <w:bodyDiv w:val="1"/>
      <w:marLeft w:val="0"/>
      <w:marRight w:val="0"/>
      <w:marTop w:val="0"/>
      <w:marBottom w:val="0"/>
      <w:divBdr>
        <w:top w:val="none" w:sz="0" w:space="0" w:color="auto"/>
        <w:left w:val="none" w:sz="0" w:space="0" w:color="auto"/>
        <w:bottom w:val="none" w:sz="0" w:space="0" w:color="auto"/>
        <w:right w:val="none" w:sz="0" w:space="0" w:color="auto"/>
      </w:divBdr>
    </w:div>
    <w:div w:id="887838664">
      <w:bodyDiv w:val="1"/>
      <w:marLeft w:val="0"/>
      <w:marRight w:val="0"/>
      <w:marTop w:val="0"/>
      <w:marBottom w:val="0"/>
      <w:divBdr>
        <w:top w:val="none" w:sz="0" w:space="0" w:color="auto"/>
        <w:left w:val="none" w:sz="0" w:space="0" w:color="auto"/>
        <w:bottom w:val="none" w:sz="0" w:space="0" w:color="auto"/>
        <w:right w:val="none" w:sz="0" w:space="0" w:color="auto"/>
      </w:divBdr>
    </w:div>
    <w:div w:id="929848114">
      <w:bodyDiv w:val="1"/>
      <w:marLeft w:val="0"/>
      <w:marRight w:val="0"/>
      <w:marTop w:val="0"/>
      <w:marBottom w:val="0"/>
      <w:divBdr>
        <w:top w:val="none" w:sz="0" w:space="0" w:color="auto"/>
        <w:left w:val="none" w:sz="0" w:space="0" w:color="auto"/>
        <w:bottom w:val="none" w:sz="0" w:space="0" w:color="auto"/>
        <w:right w:val="none" w:sz="0" w:space="0" w:color="auto"/>
      </w:divBdr>
    </w:div>
    <w:div w:id="949240576">
      <w:bodyDiv w:val="1"/>
      <w:marLeft w:val="0"/>
      <w:marRight w:val="0"/>
      <w:marTop w:val="0"/>
      <w:marBottom w:val="0"/>
      <w:divBdr>
        <w:top w:val="none" w:sz="0" w:space="0" w:color="auto"/>
        <w:left w:val="none" w:sz="0" w:space="0" w:color="auto"/>
        <w:bottom w:val="none" w:sz="0" w:space="0" w:color="auto"/>
        <w:right w:val="none" w:sz="0" w:space="0" w:color="auto"/>
      </w:divBdr>
    </w:div>
    <w:div w:id="965357364">
      <w:bodyDiv w:val="1"/>
      <w:marLeft w:val="0"/>
      <w:marRight w:val="0"/>
      <w:marTop w:val="0"/>
      <w:marBottom w:val="0"/>
      <w:divBdr>
        <w:top w:val="none" w:sz="0" w:space="0" w:color="auto"/>
        <w:left w:val="none" w:sz="0" w:space="0" w:color="auto"/>
        <w:bottom w:val="none" w:sz="0" w:space="0" w:color="auto"/>
        <w:right w:val="none" w:sz="0" w:space="0" w:color="auto"/>
      </w:divBdr>
    </w:div>
    <w:div w:id="967053772">
      <w:bodyDiv w:val="1"/>
      <w:marLeft w:val="0"/>
      <w:marRight w:val="0"/>
      <w:marTop w:val="0"/>
      <w:marBottom w:val="0"/>
      <w:divBdr>
        <w:top w:val="none" w:sz="0" w:space="0" w:color="auto"/>
        <w:left w:val="none" w:sz="0" w:space="0" w:color="auto"/>
        <w:bottom w:val="none" w:sz="0" w:space="0" w:color="auto"/>
        <w:right w:val="none" w:sz="0" w:space="0" w:color="auto"/>
      </w:divBdr>
    </w:div>
    <w:div w:id="990905761">
      <w:bodyDiv w:val="1"/>
      <w:marLeft w:val="0"/>
      <w:marRight w:val="0"/>
      <w:marTop w:val="0"/>
      <w:marBottom w:val="0"/>
      <w:divBdr>
        <w:top w:val="none" w:sz="0" w:space="0" w:color="auto"/>
        <w:left w:val="none" w:sz="0" w:space="0" w:color="auto"/>
        <w:bottom w:val="none" w:sz="0" w:space="0" w:color="auto"/>
        <w:right w:val="none" w:sz="0" w:space="0" w:color="auto"/>
      </w:divBdr>
    </w:div>
    <w:div w:id="1004161253">
      <w:bodyDiv w:val="1"/>
      <w:marLeft w:val="0"/>
      <w:marRight w:val="0"/>
      <w:marTop w:val="0"/>
      <w:marBottom w:val="0"/>
      <w:divBdr>
        <w:top w:val="none" w:sz="0" w:space="0" w:color="auto"/>
        <w:left w:val="none" w:sz="0" w:space="0" w:color="auto"/>
        <w:bottom w:val="none" w:sz="0" w:space="0" w:color="auto"/>
        <w:right w:val="none" w:sz="0" w:space="0" w:color="auto"/>
      </w:divBdr>
    </w:div>
    <w:div w:id="1007514530">
      <w:bodyDiv w:val="1"/>
      <w:marLeft w:val="0"/>
      <w:marRight w:val="0"/>
      <w:marTop w:val="0"/>
      <w:marBottom w:val="0"/>
      <w:divBdr>
        <w:top w:val="none" w:sz="0" w:space="0" w:color="auto"/>
        <w:left w:val="none" w:sz="0" w:space="0" w:color="auto"/>
        <w:bottom w:val="none" w:sz="0" w:space="0" w:color="auto"/>
        <w:right w:val="none" w:sz="0" w:space="0" w:color="auto"/>
      </w:divBdr>
    </w:div>
    <w:div w:id="1028529993">
      <w:bodyDiv w:val="1"/>
      <w:marLeft w:val="0"/>
      <w:marRight w:val="0"/>
      <w:marTop w:val="0"/>
      <w:marBottom w:val="0"/>
      <w:divBdr>
        <w:top w:val="none" w:sz="0" w:space="0" w:color="auto"/>
        <w:left w:val="none" w:sz="0" w:space="0" w:color="auto"/>
        <w:bottom w:val="none" w:sz="0" w:space="0" w:color="auto"/>
        <w:right w:val="none" w:sz="0" w:space="0" w:color="auto"/>
      </w:divBdr>
    </w:div>
    <w:div w:id="1043748936">
      <w:bodyDiv w:val="1"/>
      <w:marLeft w:val="0"/>
      <w:marRight w:val="0"/>
      <w:marTop w:val="0"/>
      <w:marBottom w:val="0"/>
      <w:divBdr>
        <w:top w:val="none" w:sz="0" w:space="0" w:color="auto"/>
        <w:left w:val="none" w:sz="0" w:space="0" w:color="auto"/>
        <w:bottom w:val="none" w:sz="0" w:space="0" w:color="auto"/>
        <w:right w:val="none" w:sz="0" w:space="0" w:color="auto"/>
      </w:divBdr>
    </w:div>
    <w:div w:id="1064334180">
      <w:bodyDiv w:val="1"/>
      <w:marLeft w:val="0"/>
      <w:marRight w:val="0"/>
      <w:marTop w:val="0"/>
      <w:marBottom w:val="0"/>
      <w:divBdr>
        <w:top w:val="none" w:sz="0" w:space="0" w:color="auto"/>
        <w:left w:val="none" w:sz="0" w:space="0" w:color="auto"/>
        <w:bottom w:val="none" w:sz="0" w:space="0" w:color="auto"/>
        <w:right w:val="none" w:sz="0" w:space="0" w:color="auto"/>
      </w:divBdr>
    </w:div>
    <w:div w:id="1067803699">
      <w:bodyDiv w:val="1"/>
      <w:marLeft w:val="0"/>
      <w:marRight w:val="0"/>
      <w:marTop w:val="0"/>
      <w:marBottom w:val="0"/>
      <w:divBdr>
        <w:top w:val="none" w:sz="0" w:space="0" w:color="auto"/>
        <w:left w:val="none" w:sz="0" w:space="0" w:color="auto"/>
        <w:bottom w:val="none" w:sz="0" w:space="0" w:color="auto"/>
        <w:right w:val="none" w:sz="0" w:space="0" w:color="auto"/>
      </w:divBdr>
    </w:div>
    <w:div w:id="1068651581">
      <w:bodyDiv w:val="1"/>
      <w:marLeft w:val="0"/>
      <w:marRight w:val="0"/>
      <w:marTop w:val="0"/>
      <w:marBottom w:val="0"/>
      <w:divBdr>
        <w:top w:val="none" w:sz="0" w:space="0" w:color="auto"/>
        <w:left w:val="none" w:sz="0" w:space="0" w:color="auto"/>
        <w:bottom w:val="none" w:sz="0" w:space="0" w:color="auto"/>
        <w:right w:val="none" w:sz="0" w:space="0" w:color="auto"/>
      </w:divBdr>
    </w:div>
    <w:div w:id="1071317126">
      <w:bodyDiv w:val="1"/>
      <w:marLeft w:val="0"/>
      <w:marRight w:val="0"/>
      <w:marTop w:val="0"/>
      <w:marBottom w:val="0"/>
      <w:divBdr>
        <w:top w:val="none" w:sz="0" w:space="0" w:color="auto"/>
        <w:left w:val="none" w:sz="0" w:space="0" w:color="auto"/>
        <w:bottom w:val="none" w:sz="0" w:space="0" w:color="auto"/>
        <w:right w:val="none" w:sz="0" w:space="0" w:color="auto"/>
      </w:divBdr>
    </w:div>
    <w:div w:id="1074621827">
      <w:bodyDiv w:val="1"/>
      <w:marLeft w:val="0"/>
      <w:marRight w:val="0"/>
      <w:marTop w:val="0"/>
      <w:marBottom w:val="0"/>
      <w:divBdr>
        <w:top w:val="none" w:sz="0" w:space="0" w:color="auto"/>
        <w:left w:val="none" w:sz="0" w:space="0" w:color="auto"/>
        <w:bottom w:val="none" w:sz="0" w:space="0" w:color="auto"/>
        <w:right w:val="none" w:sz="0" w:space="0" w:color="auto"/>
      </w:divBdr>
    </w:div>
    <w:div w:id="1074814748">
      <w:bodyDiv w:val="1"/>
      <w:marLeft w:val="0"/>
      <w:marRight w:val="0"/>
      <w:marTop w:val="0"/>
      <w:marBottom w:val="0"/>
      <w:divBdr>
        <w:top w:val="none" w:sz="0" w:space="0" w:color="auto"/>
        <w:left w:val="none" w:sz="0" w:space="0" w:color="auto"/>
        <w:bottom w:val="none" w:sz="0" w:space="0" w:color="auto"/>
        <w:right w:val="none" w:sz="0" w:space="0" w:color="auto"/>
      </w:divBdr>
    </w:div>
    <w:div w:id="1088772822">
      <w:bodyDiv w:val="1"/>
      <w:marLeft w:val="0"/>
      <w:marRight w:val="0"/>
      <w:marTop w:val="0"/>
      <w:marBottom w:val="0"/>
      <w:divBdr>
        <w:top w:val="none" w:sz="0" w:space="0" w:color="auto"/>
        <w:left w:val="none" w:sz="0" w:space="0" w:color="auto"/>
        <w:bottom w:val="none" w:sz="0" w:space="0" w:color="auto"/>
        <w:right w:val="none" w:sz="0" w:space="0" w:color="auto"/>
      </w:divBdr>
    </w:div>
    <w:div w:id="1092361986">
      <w:bodyDiv w:val="1"/>
      <w:marLeft w:val="0"/>
      <w:marRight w:val="0"/>
      <w:marTop w:val="0"/>
      <w:marBottom w:val="0"/>
      <w:divBdr>
        <w:top w:val="none" w:sz="0" w:space="0" w:color="auto"/>
        <w:left w:val="none" w:sz="0" w:space="0" w:color="auto"/>
        <w:bottom w:val="none" w:sz="0" w:space="0" w:color="auto"/>
        <w:right w:val="none" w:sz="0" w:space="0" w:color="auto"/>
      </w:divBdr>
    </w:div>
    <w:div w:id="1101415162">
      <w:bodyDiv w:val="1"/>
      <w:marLeft w:val="0"/>
      <w:marRight w:val="0"/>
      <w:marTop w:val="0"/>
      <w:marBottom w:val="0"/>
      <w:divBdr>
        <w:top w:val="none" w:sz="0" w:space="0" w:color="auto"/>
        <w:left w:val="none" w:sz="0" w:space="0" w:color="auto"/>
        <w:bottom w:val="none" w:sz="0" w:space="0" w:color="auto"/>
        <w:right w:val="none" w:sz="0" w:space="0" w:color="auto"/>
      </w:divBdr>
    </w:div>
    <w:div w:id="1108701595">
      <w:bodyDiv w:val="1"/>
      <w:marLeft w:val="0"/>
      <w:marRight w:val="0"/>
      <w:marTop w:val="0"/>
      <w:marBottom w:val="0"/>
      <w:divBdr>
        <w:top w:val="none" w:sz="0" w:space="0" w:color="auto"/>
        <w:left w:val="none" w:sz="0" w:space="0" w:color="auto"/>
        <w:bottom w:val="none" w:sz="0" w:space="0" w:color="auto"/>
        <w:right w:val="none" w:sz="0" w:space="0" w:color="auto"/>
      </w:divBdr>
    </w:div>
    <w:div w:id="1111390486">
      <w:bodyDiv w:val="1"/>
      <w:marLeft w:val="0"/>
      <w:marRight w:val="0"/>
      <w:marTop w:val="0"/>
      <w:marBottom w:val="0"/>
      <w:divBdr>
        <w:top w:val="none" w:sz="0" w:space="0" w:color="auto"/>
        <w:left w:val="none" w:sz="0" w:space="0" w:color="auto"/>
        <w:bottom w:val="none" w:sz="0" w:space="0" w:color="auto"/>
        <w:right w:val="none" w:sz="0" w:space="0" w:color="auto"/>
      </w:divBdr>
    </w:div>
    <w:div w:id="1116289172">
      <w:bodyDiv w:val="1"/>
      <w:marLeft w:val="0"/>
      <w:marRight w:val="0"/>
      <w:marTop w:val="0"/>
      <w:marBottom w:val="0"/>
      <w:divBdr>
        <w:top w:val="none" w:sz="0" w:space="0" w:color="auto"/>
        <w:left w:val="none" w:sz="0" w:space="0" w:color="auto"/>
        <w:bottom w:val="none" w:sz="0" w:space="0" w:color="auto"/>
        <w:right w:val="none" w:sz="0" w:space="0" w:color="auto"/>
      </w:divBdr>
    </w:div>
    <w:div w:id="1126968778">
      <w:bodyDiv w:val="1"/>
      <w:marLeft w:val="0"/>
      <w:marRight w:val="0"/>
      <w:marTop w:val="0"/>
      <w:marBottom w:val="0"/>
      <w:divBdr>
        <w:top w:val="none" w:sz="0" w:space="0" w:color="auto"/>
        <w:left w:val="none" w:sz="0" w:space="0" w:color="auto"/>
        <w:bottom w:val="none" w:sz="0" w:space="0" w:color="auto"/>
        <w:right w:val="none" w:sz="0" w:space="0" w:color="auto"/>
      </w:divBdr>
    </w:div>
    <w:div w:id="1130050738">
      <w:bodyDiv w:val="1"/>
      <w:marLeft w:val="0"/>
      <w:marRight w:val="0"/>
      <w:marTop w:val="0"/>
      <w:marBottom w:val="0"/>
      <w:divBdr>
        <w:top w:val="none" w:sz="0" w:space="0" w:color="auto"/>
        <w:left w:val="none" w:sz="0" w:space="0" w:color="auto"/>
        <w:bottom w:val="none" w:sz="0" w:space="0" w:color="auto"/>
        <w:right w:val="none" w:sz="0" w:space="0" w:color="auto"/>
      </w:divBdr>
    </w:div>
    <w:div w:id="1145464604">
      <w:bodyDiv w:val="1"/>
      <w:marLeft w:val="0"/>
      <w:marRight w:val="0"/>
      <w:marTop w:val="0"/>
      <w:marBottom w:val="0"/>
      <w:divBdr>
        <w:top w:val="none" w:sz="0" w:space="0" w:color="auto"/>
        <w:left w:val="none" w:sz="0" w:space="0" w:color="auto"/>
        <w:bottom w:val="none" w:sz="0" w:space="0" w:color="auto"/>
        <w:right w:val="none" w:sz="0" w:space="0" w:color="auto"/>
      </w:divBdr>
    </w:div>
    <w:div w:id="1179386527">
      <w:bodyDiv w:val="1"/>
      <w:marLeft w:val="0"/>
      <w:marRight w:val="0"/>
      <w:marTop w:val="0"/>
      <w:marBottom w:val="0"/>
      <w:divBdr>
        <w:top w:val="none" w:sz="0" w:space="0" w:color="auto"/>
        <w:left w:val="none" w:sz="0" w:space="0" w:color="auto"/>
        <w:bottom w:val="none" w:sz="0" w:space="0" w:color="auto"/>
        <w:right w:val="none" w:sz="0" w:space="0" w:color="auto"/>
      </w:divBdr>
    </w:div>
    <w:div w:id="1213613066">
      <w:bodyDiv w:val="1"/>
      <w:marLeft w:val="0"/>
      <w:marRight w:val="0"/>
      <w:marTop w:val="0"/>
      <w:marBottom w:val="0"/>
      <w:divBdr>
        <w:top w:val="none" w:sz="0" w:space="0" w:color="auto"/>
        <w:left w:val="none" w:sz="0" w:space="0" w:color="auto"/>
        <w:bottom w:val="none" w:sz="0" w:space="0" w:color="auto"/>
        <w:right w:val="none" w:sz="0" w:space="0" w:color="auto"/>
      </w:divBdr>
    </w:div>
    <w:div w:id="1230850951">
      <w:bodyDiv w:val="1"/>
      <w:marLeft w:val="0"/>
      <w:marRight w:val="0"/>
      <w:marTop w:val="0"/>
      <w:marBottom w:val="0"/>
      <w:divBdr>
        <w:top w:val="none" w:sz="0" w:space="0" w:color="auto"/>
        <w:left w:val="none" w:sz="0" w:space="0" w:color="auto"/>
        <w:bottom w:val="none" w:sz="0" w:space="0" w:color="auto"/>
        <w:right w:val="none" w:sz="0" w:space="0" w:color="auto"/>
      </w:divBdr>
    </w:div>
    <w:div w:id="1237936604">
      <w:bodyDiv w:val="1"/>
      <w:marLeft w:val="0"/>
      <w:marRight w:val="0"/>
      <w:marTop w:val="0"/>
      <w:marBottom w:val="0"/>
      <w:divBdr>
        <w:top w:val="none" w:sz="0" w:space="0" w:color="auto"/>
        <w:left w:val="none" w:sz="0" w:space="0" w:color="auto"/>
        <w:bottom w:val="none" w:sz="0" w:space="0" w:color="auto"/>
        <w:right w:val="none" w:sz="0" w:space="0" w:color="auto"/>
      </w:divBdr>
    </w:div>
    <w:div w:id="1241526536">
      <w:bodyDiv w:val="1"/>
      <w:marLeft w:val="0"/>
      <w:marRight w:val="0"/>
      <w:marTop w:val="0"/>
      <w:marBottom w:val="0"/>
      <w:divBdr>
        <w:top w:val="none" w:sz="0" w:space="0" w:color="auto"/>
        <w:left w:val="none" w:sz="0" w:space="0" w:color="auto"/>
        <w:bottom w:val="none" w:sz="0" w:space="0" w:color="auto"/>
        <w:right w:val="none" w:sz="0" w:space="0" w:color="auto"/>
      </w:divBdr>
    </w:div>
    <w:div w:id="1246065446">
      <w:bodyDiv w:val="1"/>
      <w:marLeft w:val="0"/>
      <w:marRight w:val="0"/>
      <w:marTop w:val="0"/>
      <w:marBottom w:val="0"/>
      <w:divBdr>
        <w:top w:val="none" w:sz="0" w:space="0" w:color="auto"/>
        <w:left w:val="none" w:sz="0" w:space="0" w:color="auto"/>
        <w:bottom w:val="none" w:sz="0" w:space="0" w:color="auto"/>
        <w:right w:val="none" w:sz="0" w:space="0" w:color="auto"/>
      </w:divBdr>
    </w:div>
    <w:div w:id="1247569244">
      <w:bodyDiv w:val="1"/>
      <w:marLeft w:val="0"/>
      <w:marRight w:val="0"/>
      <w:marTop w:val="0"/>
      <w:marBottom w:val="0"/>
      <w:divBdr>
        <w:top w:val="none" w:sz="0" w:space="0" w:color="auto"/>
        <w:left w:val="none" w:sz="0" w:space="0" w:color="auto"/>
        <w:bottom w:val="none" w:sz="0" w:space="0" w:color="auto"/>
        <w:right w:val="none" w:sz="0" w:space="0" w:color="auto"/>
      </w:divBdr>
    </w:div>
    <w:div w:id="1250843624">
      <w:bodyDiv w:val="1"/>
      <w:marLeft w:val="0"/>
      <w:marRight w:val="0"/>
      <w:marTop w:val="0"/>
      <w:marBottom w:val="0"/>
      <w:divBdr>
        <w:top w:val="none" w:sz="0" w:space="0" w:color="auto"/>
        <w:left w:val="none" w:sz="0" w:space="0" w:color="auto"/>
        <w:bottom w:val="none" w:sz="0" w:space="0" w:color="auto"/>
        <w:right w:val="none" w:sz="0" w:space="0" w:color="auto"/>
      </w:divBdr>
      <w:divsChild>
        <w:div w:id="55596543">
          <w:marLeft w:val="547"/>
          <w:marRight w:val="0"/>
          <w:marTop w:val="60"/>
          <w:marBottom w:val="60"/>
          <w:divBdr>
            <w:top w:val="none" w:sz="0" w:space="0" w:color="auto"/>
            <w:left w:val="none" w:sz="0" w:space="0" w:color="auto"/>
            <w:bottom w:val="none" w:sz="0" w:space="0" w:color="auto"/>
            <w:right w:val="none" w:sz="0" w:space="0" w:color="auto"/>
          </w:divBdr>
        </w:div>
        <w:div w:id="1105343720">
          <w:marLeft w:val="547"/>
          <w:marRight w:val="0"/>
          <w:marTop w:val="60"/>
          <w:marBottom w:val="60"/>
          <w:divBdr>
            <w:top w:val="none" w:sz="0" w:space="0" w:color="auto"/>
            <w:left w:val="none" w:sz="0" w:space="0" w:color="auto"/>
            <w:bottom w:val="none" w:sz="0" w:space="0" w:color="auto"/>
            <w:right w:val="none" w:sz="0" w:space="0" w:color="auto"/>
          </w:divBdr>
        </w:div>
        <w:div w:id="1385252390">
          <w:marLeft w:val="547"/>
          <w:marRight w:val="0"/>
          <w:marTop w:val="60"/>
          <w:marBottom w:val="60"/>
          <w:divBdr>
            <w:top w:val="none" w:sz="0" w:space="0" w:color="auto"/>
            <w:left w:val="none" w:sz="0" w:space="0" w:color="auto"/>
            <w:bottom w:val="none" w:sz="0" w:space="0" w:color="auto"/>
            <w:right w:val="none" w:sz="0" w:space="0" w:color="auto"/>
          </w:divBdr>
        </w:div>
        <w:div w:id="1858496520">
          <w:marLeft w:val="547"/>
          <w:marRight w:val="0"/>
          <w:marTop w:val="60"/>
          <w:marBottom w:val="60"/>
          <w:divBdr>
            <w:top w:val="none" w:sz="0" w:space="0" w:color="auto"/>
            <w:left w:val="none" w:sz="0" w:space="0" w:color="auto"/>
            <w:bottom w:val="none" w:sz="0" w:space="0" w:color="auto"/>
            <w:right w:val="none" w:sz="0" w:space="0" w:color="auto"/>
          </w:divBdr>
        </w:div>
      </w:divsChild>
    </w:div>
    <w:div w:id="1268611627">
      <w:bodyDiv w:val="1"/>
      <w:marLeft w:val="0"/>
      <w:marRight w:val="0"/>
      <w:marTop w:val="0"/>
      <w:marBottom w:val="0"/>
      <w:divBdr>
        <w:top w:val="none" w:sz="0" w:space="0" w:color="auto"/>
        <w:left w:val="none" w:sz="0" w:space="0" w:color="auto"/>
        <w:bottom w:val="none" w:sz="0" w:space="0" w:color="auto"/>
        <w:right w:val="none" w:sz="0" w:space="0" w:color="auto"/>
      </w:divBdr>
    </w:div>
    <w:div w:id="1286694345">
      <w:bodyDiv w:val="1"/>
      <w:marLeft w:val="0"/>
      <w:marRight w:val="0"/>
      <w:marTop w:val="0"/>
      <w:marBottom w:val="0"/>
      <w:divBdr>
        <w:top w:val="none" w:sz="0" w:space="0" w:color="auto"/>
        <w:left w:val="none" w:sz="0" w:space="0" w:color="auto"/>
        <w:bottom w:val="none" w:sz="0" w:space="0" w:color="auto"/>
        <w:right w:val="none" w:sz="0" w:space="0" w:color="auto"/>
      </w:divBdr>
    </w:div>
    <w:div w:id="1310093790">
      <w:bodyDiv w:val="1"/>
      <w:marLeft w:val="0"/>
      <w:marRight w:val="0"/>
      <w:marTop w:val="0"/>
      <w:marBottom w:val="0"/>
      <w:divBdr>
        <w:top w:val="none" w:sz="0" w:space="0" w:color="auto"/>
        <w:left w:val="none" w:sz="0" w:space="0" w:color="auto"/>
        <w:bottom w:val="none" w:sz="0" w:space="0" w:color="auto"/>
        <w:right w:val="none" w:sz="0" w:space="0" w:color="auto"/>
      </w:divBdr>
    </w:div>
    <w:div w:id="1314069002">
      <w:bodyDiv w:val="1"/>
      <w:marLeft w:val="0"/>
      <w:marRight w:val="0"/>
      <w:marTop w:val="0"/>
      <w:marBottom w:val="0"/>
      <w:divBdr>
        <w:top w:val="none" w:sz="0" w:space="0" w:color="auto"/>
        <w:left w:val="none" w:sz="0" w:space="0" w:color="auto"/>
        <w:bottom w:val="none" w:sz="0" w:space="0" w:color="auto"/>
        <w:right w:val="none" w:sz="0" w:space="0" w:color="auto"/>
      </w:divBdr>
    </w:div>
    <w:div w:id="1325551078">
      <w:bodyDiv w:val="1"/>
      <w:marLeft w:val="0"/>
      <w:marRight w:val="0"/>
      <w:marTop w:val="0"/>
      <w:marBottom w:val="0"/>
      <w:divBdr>
        <w:top w:val="none" w:sz="0" w:space="0" w:color="auto"/>
        <w:left w:val="none" w:sz="0" w:space="0" w:color="auto"/>
        <w:bottom w:val="none" w:sz="0" w:space="0" w:color="auto"/>
        <w:right w:val="none" w:sz="0" w:space="0" w:color="auto"/>
      </w:divBdr>
    </w:div>
    <w:div w:id="1329603368">
      <w:bodyDiv w:val="1"/>
      <w:marLeft w:val="0"/>
      <w:marRight w:val="0"/>
      <w:marTop w:val="0"/>
      <w:marBottom w:val="0"/>
      <w:divBdr>
        <w:top w:val="none" w:sz="0" w:space="0" w:color="auto"/>
        <w:left w:val="none" w:sz="0" w:space="0" w:color="auto"/>
        <w:bottom w:val="none" w:sz="0" w:space="0" w:color="auto"/>
        <w:right w:val="none" w:sz="0" w:space="0" w:color="auto"/>
      </w:divBdr>
    </w:div>
    <w:div w:id="1330907360">
      <w:bodyDiv w:val="1"/>
      <w:marLeft w:val="0"/>
      <w:marRight w:val="0"/>
      <w:marTop w:val="0"/>
      <w:marBottom w:val="0"/>
      <w:divBdr>
        <w:top w:val="none" w:sz="0" w:space="0" w:color="auto"/>
        <w:left w:val="none" w:sz="0" w:space="0" w:color="auto"/>
        <w:bottom w:val="none" w:sz="0" w:space="0" w:color="auto"/>
        <w:right w:val="none" w:sz="0" w:space="0" w:color="auto"/>
      </w:divBdr>
    </w:div>
    <w:div w:id="1345207740">
      <w:bodyDiv w:val="1"/>
      <w:marLeft w:val="0"/>
      <w:marRight w:val="0"/>
      <w:marTop w:val="0"/>
      <w:marBottom w:val="0"/>
      <w:divBdr>
        <w:top w:val="none" w:sz="0" w:space="0" w:color="auto"/>
        <w:left w:val="none" w:sz="0" w:space="0" w:color="auto"/>
        <w:bottom w:val="none" w:sz="0" w:space="0" w:color="auto"/>
        <w:right w:val="none" w:sz="0" w:space="0" w:color="auto"/>
      </w:divBdr>
    </w:div>
    <w:div w:id="1381049995">
      <w:bodyDiv w:val="1"/>
      <w:marLeft w:val="0"/>
      <w:marRight w:val="0"/>
      <w:marTop w:val="0"/>
      <w:marBottom w:val="0"/>
      <w:divBdr>
        <w:top w:val="none" w:sz="0" w:space="0" w:color="auto"/>
        <w:left w:val="none" w:sz="0" w:space="0" w:color="auto"/>
        <w:bottom w:val="none" w:sz="0" w:space="0" w:color="auto"/>
        <w:right w:val="none" w:sz="0" w:space="0" w:color="auto"/>
      </w:divBdr>
    </w:div>
    <w:div w:id="1389187897">
      <w:bodyDiv w:val="1"/>
      <w:marLeft w:val="0"/>
      <w:marRight w:val="0"/>
      <w:marTop w:val="0"/>
      <w:marBottom w:val="0"/>
      <w:divBdr>
        <w:top w:val="none" w:sz="0" w:space="0" w:color="auto"/>
        <w:left w:val="none" w:sz="0" w:space="0" w:color="auto"/>
        <w:bottom w:val="none" w:sz="0" w:space="0" w:color="auto"/>
        <w:right w:val="none" w:sz="0" w:space="0" w:color="auto"/>
      </w:divBdr>
    </w:div>
    <w:div w:id="1399137164">
      <w:bodyDiv w:val="1"/>
      <w:marLeft w:val="0"/>
      <w:marRight w:val="0"/>
      <w:marTop w:val="0"/>
      <w:marBottom w:val="0"/>
      <w:divBdr>
        <w:top w:val="none" w:sz="0" w:space="0" w:color="auto"/>
        <w:left w:val="none" w:sz="0" w:space="0" w:color="auto"/>
        <w:bottom w:val="none" w:sz="0" w:space="0" w:color="auto"/>
        <w:right w:val="none" w:sz="0" w:space="0" w:color="auto"/>
      </w:divBdr>
    </w:div>
    <w:div w:id="1413890143">
      <w:bodyDiv w:val="1"/>
      <w:marLeft w:val="0"/>
      <w:marRight w:val="0"/>
      <w:marTop w:val="0"/>
      <w:marBottom w:val="0"/>
      <w:divBdr>
        <w:top w:val="none" w:sz="0" w:space="0" w:color="auto"/>
        <w:left w:val="none" w:sz="0" w:space="0" w:color="auto"/>
        <w:bottom w:val="none" w:sz="0" w:space="0" w:color="auto"/>
        <w:right w:val="none" w:sz="0" w:space="0" w:color="auto"/>
      </w:divBdr>
    </w:div>
    <w:div w:id="1428112211">
      <w:bodyDiv w:val="1"/>
      <w:marLeft w:val="0"/>
      <w:marRight w:val="0"/>
      <w:marTop w:val="0"/>
      <w:marBottom w:val="0"/>
      <w:divBdr>
        <w:top w:val="none" w:sz="0" w:space="0" w:color="auto"/>
        <w:left w:val="none" w:sz="0" w:space="0" w:color="auto"/>
        <w:bottom w:val="none" w:sz="0" w:space="0" w:color="auto"/>
        <w:right w:val="none" w:sz="0" w:space="0" w:color="auto"/>
      </w:divBdr>
    </w:div>
    <w:div w:id="1449161158">
      <w:bodyDiv w:val="1"/>
      <w:marLeft w:val="0"/>
      <w:marRight w:val="0"/>
      <w:marTop w:val="0"/>
      <w:marBottom w:val="0"/>
      <w:divBdr>
        <w:top w:val="none" w:sz="0" w:space="0" w:color="auto"/>
        <w:left w:val="none" w:sz="0" w:space="0" w:color="auto"/>
        <w:bottom w:val="none" w:sz="0" w:space="0" w:color="auto"/>
        <w:right w:val="none" w:sz="0" w:space="0" w:color="auto"/>
      </w:divBdr>
    </w:div>
    <w:div w:id="1473137809">
      <w:bodyDiv w:val="1"/>
      <w:marLeft w:val="0"/>
      <w:marRight w:val="0"/>
      <w:marTop w:val="0"/>
      <w:marBottom w:val="0"/>
      <w:divBdr>
        <w:top w:val="none" w:sz="0" w:space="0" w:color="auto"/>
        <w:left w:val="none" w:sz="0" w:space="0" w:color="auto"/>
        <w:bottom w:val="none" w:sz="0" w:space="0" w:color="auto"/>
        <w:right w:val="none" w:sz="0" w:space="0" w:color="auto"/>
      </w:divBdr>
    </w:div>
    <w:div w:id="1498110980">
      <w:bodyDiv w:val="1"/>
      <w:marLeft w:val="0"/>
      <w:marRight w:val="0"/>
      <w:marTop w:val="0"/>
      <w:marBottom w:val="0"/>
      <w:divBdr>
        <w:top w:val="none" w:sz="0" w:space="0" w:color="auto"/>
        <w:left w:val="none" w:sz="0" w:space="0" w:color="auto"/>
        <w:bottom w:val="none" w:sz="0" w:space="0" w:color="auto"/>
        <w:right w:val="none" w:sz="0" w:space="0" w:color="auto"/>
      </w:divBdr>
    </w:div>
    <w:div w:id="1507132260">
      <w:bodyDiv w:val="1"/>
      <w:marLeft w:val="0"/>
      <w:marRight w:val="0"/>
      <w:marTop w:val="0"/>
      <w:marBottom w:val="0"/>
      <w:divBdr>
        <w:top w:val="none" w:sz="0" w:space="0" w:color="auto"/>
        <w:left w:val="none" w:sz="0" w:space="0" w:color="auto"/>
        <w:bottom w:val="none" w:sz="0" w:space="0" w:color="auto"/>
        <w:right w:val="none" w:sz="0" w:space="0" w:color="auto"/>
      </w:divBdr>
    </w:div>
    <w:div w:id="1519807518">
      <w:bodyDiv w:val="1"/>
      <w:marLeft w:val="0"/>
      <w:marRight w:val="0"/>
      <w:marTop w:val="0"/>
      <w:marBottom w:val="0"/>
      <w:divBdr>
        <w:top w:val="none" w:sz="0" w:space="0" w:color="auto"/>
        <w:left w:val="none" w:sz="0" w:space="0" w:color="auto"/>
        <w:bottom w:val="none" w:sz="0" w:space="0" w:color="auto"/>
        <w:right w:val="none" w:sz="0" w:space="0" w:color="auto"/>
      </w:divBdr>
    </w:div>
    <w:div w:id="1530609521">
      <w:bodyDiv w:val="1"/>
      <w:marLeft w:val="0"/>
      <w:marRight w:val="0"/>
      <w:marTop w:val="0"/>
      <w:marBottom w:val="0"/>
      <w:divBdr>
        <w:top w:val="none" w:sz="0" w:space="0" w:color="auto"/>
        <w:left w:val="none" w:sz="0" w:space="0" w:color="auto"/>
        <w:bottom w:val="none" w:sz="0" w:space="0" w:color="auto"/>
        <w:right w:val="none" w:sz="0" w:space="0" w:color="auto"/>
      </w:divBdr>
    </w:div>
    <w:div w:id="1536386517">
      <w:bodyDiv w:val="1"/>
      <w:marLeft w:val="0"/>
      <w:marRight w:val="0"/>
      <w:marTop w:val="0"/>
      <w:marBottom w:val="0"/>
      <w:divBdr>
        <w:top w:val="none" w:sz="0" w:space="0" w:color="auto"/>
        <w:left w:val="none" w:sz="0" w:space="0" w:color="auto"/>
        <w:bottom w:val="none" w:sz="0" w:space="0" w:color="auto"/>
        <w:right w:val="none" w:sz="0" w:space="0" w:color="auto"/>
      </w:divBdr>
    </w:div>
    <w:div w:id="1538657991">
      <w:bodyDiv w:val="1"/>
      <w:marLeft w:val="0"/>
      <w:marRight w:val="0"/>
      <w:marTop w:val="0"/>
      <w:marBottom w:val="0"/>
      <w:divBdr>
        <w:top w:val="none" w:sz="0" w:space="0" w:color="auto"/>
        <w:left w:val="none" w:sz="0" w:space="0" w:color="auto"/>
        <w:bottom w:val="none" w:sz="0" w:space="0" w:color="auto"/>
        <w:right w:val="none" w:sz="0" w:space="0" w:color="auto"/>
      </w:divBdr>
    </w:div>
    <w:div w:id="1542127881">
      <w:bodyDiv w:val="1"/>
      <w:marLeft w:val="0"/>
      <w:marRight w:val="0"/>
      <w:marTop w:val="0"/>
      <w:marBottom w:val="0"/>
      <w:divBdr>
        <w:top w:val="none" w:sz="0" w:space="0" w:color="auto"/>
        <w:left w:val="none" w:sz="0" w:space="0" w:color="auto"/>
        <w:bottom w:val="none" w:sz="0" w:space="0" w:color="auto"/>
        <w:right w:val="none" w:sz="0" w:space="0" w:color="auto"/>
      </w:divBdr>
    </w:div>
    <w:div w:id="1559513212">
      <w:bodyDiv w:val="1"/>
      <w:marLeft w:val="0"/>
      <w:marRight w:val="0"/>
      <w:marTop w:val="0"/>
      <w:marBottom w:val="0"/>
      <w:divBdr>
        <w:top w:val="none" w:sz="0" w:space="0" w:color="auto"/>
        <w:left w:val="none" w:sz="0" w:space="0" w:color="auto"/>
        <w:bottom w:val="none" w:sz="0" w:space="0" w:color="auto"/>
        <w:right w:val="none" w:sz="0" w:space="0" w:color="auto"/>
      </w:divBdr>
    </w:div>
    <w:div w:id="1578049130">
      <w:bodyDiv w:val="1"/>
      <w:marLeft w:val="0"/>
      <w:marRight w:val="0"/>
      <w:marTop w:val="0"/>
      <w:marBottom w:val="0"/>
      <w:divBdr>
        <w:top w:val="none" w:sz="0" w:space="0" w:color="auto"/>
        <w:left w:val="none" w:sz="0" w:space="0" w:color="auto"/>
        <w:bottom w:val="none" w:sz="0" w:space="0" w:color="auto"/>
        <w:right w:val="none" w:sz="0" w:space="0" w:color="auto"/>
      </w:divBdr>
    </w:div>
    <w:div w:id="1584487202">
      <w:bodyDiv w:val="1"/>
      <w:marLeft w:val="0"/>
      <w:marRight w:val="0"/>
      <w:marTop w:val="0"/>
      <w:marBottom w:val="0"/>
      <w:divBdr>
        <w:top w:val="none" w:sz="0" w:space="0" w:color="auto"/>
        <w:left w:val="none" w:sz="0" w:space="0" w:color="auto"/>
        <w:bottom w:val="none" w:sz="0" w:space="0" w:color="auto"/>
        <w:right w:val="none" w:sz="0" w:space="0" w:color="auto"/>
      </w:divBdr>
    </w:div>
    <w:div w:id="1597636679">
      <w:bodyDiv w:val="1"/>
      <w:marLeft w:val="0"/>
      <w:marRight w:val="0"/>
      <w:marTop w:val="0"/>
      <w:marBottom w:val="0"/>
      <w:divBdr>
        <w:top w:val="none" w:sz="0" w:space="0" w:color="auto"/>
        <w:left w:val="none" w:sz="0" w:space="0" w:color="auto"/>
        <w:bottom w:val="none" w:sz="0" w:space="0" w:color="auto"/>
        <w:right w:val="none" w:sz="0" w:space="0" w:color="auto"/>
      </w:divBdr>
    </w:div>
    <w:div w:id="1603108073">
      <w:bodyDiv w:val="1"/>
      <w:marLeft w:val="0"/>
      <w:marRight w:val="0"/>
      <w:marTop w:val="0"/>
      <w:marBottom w:val="0"/>
      <w:divBdr>
        <w:top w:val="none" w:sz="0" w:space="0" w:color="auto"/>
        <w:left w:val="none" w:sz="0" w:space="0" w:color="auto"/>
        <w:bottom w:val="none" w:sz="0" w:space="0" w:color="auto"/>
        <w:right w:val="none" w:sz="0" w:space="0" w:color="auto"/>
      </w:divBdr>
    </w:div>
    <w:div w:id="1658727512">
      <w:bodyDiv w:val="1"/>
      <w:marLeft w:val="0"/>
      <w:marRight w:val="0"/>
      <w:marTop w:val="0"/>
      <w:marBottom w:val="0"/>
      <w:divBdr>
        <w:top w:val="none" w:sz="0" w:space="0" w:color="auto"/>
        <w:left w:val="none" w:sz="0" w:space="0" w:color="auto"/>
        <w:bottom w:val="none" w:sz="0" w:space="0" w:color="auto"/>
        <w:right w:val="none" w:sz="0" w:space="0" w:color="auto"/>
      </w:divBdr>
    </w:div>
    <w:div w:id="1669095836">
      <w:bodyDiv w:val="1"/>
      <w:marLeft w:val="0"/>
      <w:marRight w:val="0"/>
      <w:marTop w:val="0"/>
      <w:marBottom w:val="0"/>
      <w:divBdr>
        <w:top w:val="none" w:sz="0" w:space="0" w:color="auto"/>
        <w:left w:val="none" w:sz="0" w:space="0" w:color="auto"/>
        <w:bottom w:val="none" w:sz="0" w:space="0" w:color="auto"/>
        <w:right w:val="none" w:sz="0" w:space="0" w:color="auto"/>
      </w:divBdr>
    </w:div>
    <w:div w:id="1675762637">
      <w:bodyDiv w:val="1"/>
      <w:marLeft w:val="0"/>
      <w:marRight w:val="0"/>
      <w:marTop w:val="0"/>
      <w:marBottom w:val="0"/>
      <w:divBdr>
        <w:top w:val="none" w:sz="0" w:space="0" w:color="auto"/>
        <w:left w:val="none" w:sz="0" w:space="0" w:color="auto"/>
        <w:bottom w:val="none" w:sz="0" w:space="0" w:color="auto"/>
        <w:right w:val="none" w:sz="0" w:space="0" w:color="auto"/>
      </w:divBdr>
    </w:div>
    <w:div w:id="1683897024">
      <w:bodyDiv w:val="1"/>
      <w:marLeft w:val="0"/>
      <w:marRight w:val="0"/>
      <w:marTop w:val="0"/>
      <w:marBottom w:val="0"/>
      <w:divBdr>
        <w:top w:val="none" w:sz="0" w:space="0" w:color="auto"/>
        <w:left w:val="none" w:sz="0" w:space="0" w:color="auto"/>
        <w:bottom w:val="none" w:sz="0" w:space="0" w:color="auto"/>
        <w:right w:val="none" w:sz="0" w:space="0" w:color="auto"/>
      </w:divBdr>
    </w:div>
    <w:div w:id="1708485780">
      <w:bodyDiv w:val="1"/>
      <w:marLeft w:val="0"/>
      <w:marRight w:val="0"/>
      <w:marTop w:val="0"/>
      <w:marBottom w:val="0"/>
      <w:divBdr>
        <w:top w:val="none" w:sz="0" w:space="0" w:color="auto"/>
        <w:left w:val="none" w:sz="0" w:space="0" w:color="auto"/>
        <w:bottom w:val="none" w:sz="0" w:space="0" w:color="auto"/>
        <w:right w:val="none" w:sz="0" w:space="0" w:color="auto"/>
      </w:divBdr>
    </w:div>
    <w:div w:id="1755589735">
      <w:bodyDiv w:val="1"/>
      <w:marLeft w:val="0"/>
      <w:marRight w:val="0"/>
      <w:marTop w:val="0"/>
      <w:marBottom w:val="0"/>
      <w:divBdr>
        <w:top w:val="none" w:sz="0" w:space="0" w:color="auto"/>
        <w:left w:val="none" w:sz="0" w:space="0" w:color="auto"/>
        <w:bottom w:val="none" w:sz="0" w:space="0" w:color="auto"/>
        <w:right w:val="none" w:sz="0" w:space="0" w:color="auto"/>
      </w:divBdr>
    </w:div>
    <w:div w:id="1771662564">
      <w:bodyDiv w:val="1"/>
      <w:marLeft w:val="0"/>
      <w:marRight w:val="0"/>
      <w:marTop w:val="0"/>
      <w:marBottom w:val="0"/>
      <w:divBdr>
        <w:top w:val="none" w:sz="0" w:space="0" w:color="auto"/>
        <w:left w:val="none" w:sz="0" w:space="0" w:color="auto"/>
        <w:bottom w:val="none" w:sz="0" w:space="0" w:color="auto"/>
        <w:right w:val="none" w:sz="0" w:space="0" w:color="auto"/>
      </w:divBdr>
    </w:div>
    <w:div w:id="1775175346">
      <w:bodyDiv w:val="1"/>
      <w:marLeft w:val="0"/>
      <w:marRight w:val="0"/>
      <w:marTop w:val="0"/>
      <w:marBottom w:val="0"/>
      <w:divBdr>
        <w:top w:val="none" w:sz="0" w:space="0" w:color="auto"/>
        <w:left w:val="none" w:sz="0" w:space="0" w:color="auto"/>
        <w:bottom w:val="none" w:sz="0" w:space="0" w:color="auto"/>
        <w:right w:val="none" w:sz="0" w:space="0" w:color="auto"/>
      </w:divBdr>
    </w:div>
    <w:div w:id="1814104124">
      <w:bodyDiv w:val="1"/>
      <w:marLeft w:val="0"/>
      <w:marRight w:val="0"/>
      <w:marTop w:val="0"/>
      <w:marBottom w:val="0"/>
      <w:divBdr>
        <w:top w:val="none" w:sz="0" w:space="0" w:color="auto"/>
        <w:left w:val="none" w:sz="0" w:space="0" w:color="auto"/>
        <w:bottom w:val="none" w:sz="0" w:space="0" w:color="auto"/>
        <w:right w:val="none" w:sz="0" w:space="0" w:color="auto"/>
      </w:divBdr>
    </w:div>
    <w:div w:id="1852404333">
      <w:bodyDiv w:val="1"/>
      <w:marLeft w:val="0"/>
      <w:marRight w:val="0"/>
      <w:marTop w:val="0"/>
      <w:marBottom w:val="0"/>
      <w:divBdr>
        <w:top w:val="none" w:sz="0" w:space="0" w:color="auto"/>
        <w:left w:val="none" w:sz="0" w:space="0" w:color="auto"/>
        <w:bottom w:val="none" w:sz="0" w:space="0" w:color="auto"/>
        <w:right w:val="none" w:sz="0" w:space="0" w:color="auto"/>
      </w:divBdr>
    </w:div>
    <w:div w:id="1854221202">
      <w:bodyDiv w:val="1"/>
      <w:marLeft w:val="0"/>
      <w:marRight w:val="0"/>
      <w:marTop w:val="0"/>
      <w:marBottom w:val="0"/>
      <w:divBdr>
        <w:top w:val="none" w:sz="0" w:space="0" w:color="auto"/>
        <w:left w:val="none" w:sz="0" w:space="0" w:color="auto"/>
        <w:bottom w:val="none" w:sz="0" w:space="0" w:color="auto"/>
        <w:right w:val="none" w:sz="0" w:space="0" w:color="auto"/>
      </w:divBdr>
    </w:div>
    <w:div w:id="1855992211">
      <w:bodyDiv w:val="1"/>
      <w:marLeft w:val="0"/>
      <w:marRight w:val="0"/>
      <w:marTop w:val="0"/>
      <w:marBottom w:val="0"/>
      <w:divBdr>
        <w:top w:val="none" w:sz="0" w:space="0" w:color="auto"/>
        <w:left w:val="none" w:sz="0" w:space="0" w:color="auto"/>
        <w:bottom w:val="none" w:sz="0" w:space="0" w:color="auto"/>
        <w:right w:val="none" w:sz="0" w:space="0" w:color="auto"/>
      </w:divBdr>
    </w:div>
    <w:div w:id="1862862162">
      <w:bodyDiv w:val="1"/>
      <w:marLeft w:val="0"/>
      <w:marRight w:val="0"/>
      <w:marTop w:val="0"/>
      <w:marBottom w:val="0"/>
      <w:divBdr>
        <w:top w:val="none" w:sz="0" w:space="0" w:color="auto"/>
        <w:left w:val="none" w:sz="0" w:space="0" w:color="auto"/>
        <w:bottom w:val="none" w:sz="0" w:space="0" w:color="auto"/>
        <w:right w:val="none" w:sz="0" w:space="0" w:color="auto"/>
      </w:divBdr>
    </w:div>
    <w:div w:id="1881091745">
      <w:bodyDiv w:val="1"/>
      <w:marLeft w:val="0"/>
      <w:marRight w:val="0"/>
      <w:marTop w:val="0"/>
      <w:marBottom w:val="0"/>
      <w:divBdr>
        <w:top w:val="none" w:sz="0" w:space="0" w:color="auto"/>
        <w:left w:val="none" w:sz="0" w:space="0" w:color="auto"/>
        <w:bottom w:val="none" w:sz="0" w:space="0" w:color="auto"/>
        <w:right w:val="none" w:sz="0" w:space="0" w:color="auto"/>
      </w:divBdr>
    </w:div>
    <w:div w:id="1887326866">
      <w:bodyDiv w:val="1"/>
      <w:marLeft w:val="0"/>
      <w:marRight w:val="0"/>
      <w:marTop w:val="0"/>
      <w:marBottom w:val="0"/>
      <w:divBdr>
        <w:top w:val="none" w:sz="0" w:space="0" w:color="auto"/>
        <w:left w:val="none" w:sz="0" w:space="0" w:color="auto"/>
        <w:bottom w:val="none" w:sz="0" w:space="0" w:color="auto"/>
        <w:right w:val="none" w:sz="0" w:space="0" w:color="auto"/>
      </w:divBdr>
    </w:div>
    <w:div w:id="1892687166">
      <w:bodyDiv w:val="1"/>
      <w:marLeft w:val="0"/>
      <w:marRight w:val="0"/>
      <w:marTop w:val="0"/>
      <w:marBottom w:val="0"/>
      <w:divBdr>
        <w:top w:val="none" w:sz="0" w:space="0" w:color="auto"/>
        <w:left w:val="none" w:sz="0" w:space="0" w:color="auto"/>
        <w:bottom w:val="none" w:sz="0" w:space="0" w:color="auto"/>
        <w:right w:val="none" w:sz="0" w:space="0" w:color="auto"/>
      </w:divBdr>
    </w:div>
    <w:div w:id="1898591899">
      <w:bodyDiv w:val="1"/>
      <w:marLeft w:val="0"/>
      <w:marRight w:val="0"/>
      <w:marTop w:val="0"/>
      <w:marBottom w:val="0"/>
      <w:divBdr>
        <w:top w:val="none" w:sz="0" w:space="0" w:color="auto"/>
        <w:left w:val="none" w:sz="0" w:space="0" w:color="auto"/>
        <w:bottom w:val="none" w:sz="0" w:space="0" w:color="auto"/>
        <w:right w:val="none" w:sz="0" w:space="0" w:color="auto"/>
      </w:divBdr>
    </w:div>
    <w:div w:id="1904901078">
      <w:bodyDiv w:val="1"/>
      <w:marLeft w:val="0"/>
      <w:marRight w:val="0"/>
      <w:marTop w:val="0"/>
      <w:marBottom w:val="0"/>
      <w:divBdr>
        <w:top w:val="none" w:sz="0" w:space="0" w:color="auto"/>
        <w:left w:val="none" w:sz="0" w:space="0" w:color="auto"/>
        <w:bottom w:val="none" w:sz="0" w:space="0" w:color="auto"/>
        <w:right w:val="none" w:sz="0" w:space="0" w:color="auto"/>
      </w:divBdr>
      <w:divsChild>
        <w:div w:id="88084956">
          <w:marLeft w:val="0"/>
          <w:marRight w:val="0"/>
          <w:marTop w:val="0"/>
          <w:marBottom w:val="0"/>
          <w:divBdr>
            <w:top w:val="none" w:sz="0" w:space="0" w:color="auto"/>
            <w:left w:val="none" w:sz="0" w:space="0" w:color="auto"/>
            <w:bottom w:val="none" w:sz="0" w:space="0" w:color="auto"/>
            <w:right w:val="none" w:sz="0" w:space="0" w:color="auto"/>
          </w:divBdr>
          <w:divsChild>
            <w:div w:id="216015281">
              <w:marLeft w:val="0"/>
              <w:marRight w:val="0"/>
              <w:marTop w:val="0"/>
              <w:marBottom w:val="0"/>
              <w:divBdr>
                <w:top w:val="none" w:sz="0" w:space="0" w:color="auto"/>
                <w:left w:val="none" w:sz="0" w:space="0" w:color="auto"/>
                <w:bottom w:val="none" w:sz="0" w:space="0" w:color="auto"/>
                <w:right w:val="none" w:sz="0" w:space="0" w:color="auto"/>
              </w:divBdr>
              <w:divsChild>
                <w:div w:id="1630626703">
                  <w:marLeft w:val="0"/>
                  <w:marRight w:val="0"/>
                  <w:marTop w:val="0"/>
                  <w:marBottom w:val="0"/>
                  <w:divBdr>
                    <w:top w:val="none" w:sz="0" w:space="0" w:color="auto"/>
                    <w:left w:val="none" w:sz="0" w:space="0" w:color="auto"/>
                    <w:bottom w:val="none" w:sz="0" w:space="0" w:color="auto"/>
                    <w:right w:val="none" w:sz="0" w:space="0" w:color="auto"/>
                  </w:divBdr>
                  <w:divsChild>
                    <w:div w:id="157498358">
                      <w:marLeft w:val="0"/>
                      <w:marRight w:val="0"/>
                      <w:marTop w:val="0"/>
                      <w:marBottom w:val="0"/>
                      <w:divBdr>
                        <w:top w:val="none" w:sz="0" w:space="0" w:color="auto"/>
                        <w:left w:val="none" w:sz="0" w:space="0" w:color="auto"/>
                        <w:bottom w:val="none" w:sz="0" w:space="0" w:color="auto"/>
                        <w:right w:val="none" w:sz="0" w:space="0" w:color="auto"/>
                      </w:divBdr>
                      <w:divsChild>
                        <w:div w:id="1960837444">
                          <w:marLeft w:val="0"/>
                          <w:marRight w:val="0"/>
                          <w:marTop w:val="450"/>
                          <w:marBottom w:val="0"/>
                          <w:divBdr>
                            <w:top w:val="none" w:sz="0" w:space="0" w:color="auto"/>
                            <w:left w:val="none" w:sz="0" w:space="0" w:color="auto"/>
                            <w:bottom w:val="none" w:sz="0" w:space="0" w:color="auto"/>
                            <w:right w:val="none" w:sz="0" w:space="0" w:color="auto"/>
                          </w:divBdr>
                          <w:divsChild>
                            <w:div w:id="1680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04321">
      <w:bodyDiv w:val="1"/>
      <w:marLeft w:val="0"/>
      <w:marRight w:val="0"/>
      <w:marTop w:val="0"/>
      <w:marBottom w:val="0"/>
      <w:divBdr>
        <w:top w:val="none" w:sz="0" w:space="0" w:color="auto"/>
        <w:left w:val="none" w:sz="0" w:space="0" w:color="auto"/>
        <w:bottom w:val="none" w:sz="0" w:space="0" w:color="auto"/>
        <w:right w:val="none" w:sz="0" w:space="0" w:color="auto"/>
      </w:divBdr>
    </w:div>
    <w:div w:id="1933734078">
      <w:bodyDiv w:val="1"/>
      <w:marLeft w:val="0"/>
      <w:marRight w:val="0"/>
      <w:marTop w:val="0"/>
      <w:marBottom w:val="0"/>
      <w:divBdr>
        <w:top w:val="none" w:sz="0" w:space="0" w:color="auto"/>
        <w:left w:val="none" w:sz="0" w:space="0" w:color="auto"/>
        <w:bottom w:val="none" w:sz="0" w:space="0" w:color="auto"/>
        <w:right w:val="none" w:sz="0" w:space="0" w:color="auto"/>
      </w:divBdr>
    </w:div>
    <w:div w:id="1939480681">
      <w:bodyDiv w:val="1"/>
      <w:marLeft w:val="0"/>
      <w:marRight w:val="0"/>
      <w:marTop w:val="0"/>
      <w:marBottom w:val="0"/>
      <w:divBdr>
        <w:top w:val="none" w:sz="0" w:space="0" w:color="auto"/>
        <w:left w:val="none" w:sz="0" w:space="0" w:color="auto"/>
        <w:bottom w:val="none" w:sz="0" w:space="0" w:color="auto"/>
        <w:right w:val="none" w:sz="0" w:space="0" w:color="auto"/>
      </w:divBdr>
    </w:div>
    <w:div w:id="1978486956">
      <w:bodyDiv w:val="1"/>
      <w:marLeft w:val="0"/>
      <w:marRight w:val="0"/>
      <w:marTop w:val="0"/>
      <w:marBottom w:val="0"/>
      <w:divBdr>
        <w:top w:val="none" w:sz="0" w:space="0" w:color="auto"/>
        <w:left w:val="none" w:sz="0" w:space="0" w:color="auto"/>
        <w:bottom w:val="none" w:sz="0" w:space="0" w:color="auto"/>
        <w:right w:val="none" w:sz="0" w:space="0" w:color="auto"/>
      </w:divBdr>
    </w:div>
    <w:div w:id="1981033873">
      <w:bodyDiv w:val="1"/>
      <w:marLeft w:val="0"/>
      <w:marRight w:val="0"/>
      <w:marTop w:val="0"/>
      <w:marBottom w:val="0"/>
      <w:divBdr>
        <w:top w:val="none" w:sz="0" w:space="0" w:color="auto"/>
        <w:left w:val="none" w:sz="0" w:space="0" w:color="auto"/>
        <w:bottom w:val="none" w:sz="0" w:space="0" w:color="auto"/>
        <w:right w:val="none" w:sz="0" w:space="0" w:color="auto"/>
      </w:divBdr>
    </w:div>
    <w:div w:id="1981224847">
      <w:bodyDiv w:val="1"/>
      <w:marLeft w:val="0"/>
      <w:marRight w:val="0"/>
      <w:marTop w:val="0"/>
      <w:marBottom w:val="0"/>
      <w:divBdr>
        <w:top w:val="none" w:sz="0" w:space="0" w:color="auto"/>
        <w:left w:val="none" w:sz="0" w:space="0" w:color="auto"/>
        <w:bottom w:val="none" w:sz="0" w:space="0" w:color="auto"/>
        <w:right w:val="none" w:sz="0" w:space="0" w:color="auto"/>
      </w:divBdr>
    </w:div>
    <w:div w:id="1985695859">
      <w:bodyDiv w:val="1"/>
      <w:marLeft w:val="0"/>
      <w:marRight w:val="0"/>
      <w:marTop w:val="0"/>
      <w:marBottom w:val="0"/>
      <w:divBdr>
        <w:top w:val="none" w:sz="0" w:space="0" w:color="auto"/>
        <w:left w:val="none" w:sz="0" w:space="0" w:color="auto"/>
        <w:bottom w:val="none" w:sz="0" w:space="0" w:color="auto"/>
        <w:right w:val="none" w:sz="0" w:space="0" w:color="auto"/>
      </w:divBdr>
    </w:div>
    <w:div w:id="2017729488">
      <w:bodyDiv w:val="1"/>
      <w:marLeft w:val="0"/>
      <w:marRight w:val="0"/>
      <w:marTop w:val="0"/>
      <w:marBottom w:val="0"/>
      <w:divBdr>
        <w:top w:val="none" w:sz="0" w:space="0" w:color="auto"/>
        <w:left w:val="none" w:sz="0" w:space="0" w:color="auto"/>
        <w:bottom w:val="none" w:sz="0" w:space="0" w:color="auto"/>
        <w:right w:val="none" w:sz="0" w:space="0" w:color="auto"/>
      </w:divBdr>
    </w:div>
    <w:div w:id="2027632117">
      <w:bodyDiv w:val="1"/>
      <w:marLeft w:val="0"/>
      <w:marRight w:val="0"/>
      <w:marTop w:val="0"/>
      <w:marBottom w:val="0"/>
      <w:divBdr>
        <w:top w:val="none" w:sz="0" w:space="0" w:color="auto"/>
        <w:left w:val="none" w:sz="0" w:space="0" w:color="auto"/>
        <w:bottom w:val="none" w:sz="0" w:space="0" w:color="auto"/>
        <w:right w:val="none" w:sz="0" w:space="0" w:color="auto"/>
      </w:divBdr>
    </w:div>
    <w:div w:id="2028557256">
      <w:bodyDiv w:val="1"/>
      <w:marLeft w:val="0"/>
      <w:marRight w:val="0"/>
      <w:marTop w:val="0"/>
      <w:marBottom w:val="0"/>
      <w:divBdr>
        <w:top w:val="none" w:sz="0" w:space="0" w:color="auto"/>
        <w:left w:val="none" w:sz="0" w:space="0" w:color="auto"/>
        <w:bottom w:val="none" w:sz="0" w:space="0" w:color="auto"/>
        <w:right w:val="none" w:sz="0" w:space="0" w:color="auto"/>
      </w:divBdr>
    </w:div>
    <w:div w:id="2028943271">
      <w:bodyDiv w:val="1"/>
      <w:marLeft w:val="0"/>
      <w:marRight w:val="0"/>
      <w:marTop w:val="0"/>
      <w:marBottom w:val="0"/>
      <w:divBdr>
        <w:top w:val="none" w:sz="0" w:space="0" w:color="auto"/>
        <w:left w:val="none" w:sz="0" w:space="0" w:color="auto"/>
        <w:bottom w:val="none" w:sz="0" w:space="0" w:color="auto"/>
        <w:right w:val="none" w:sz="0" w:space="0" w:color="auto"/>
      </w:divBdr>
    </w:div>
    <w:div w:id="2030597592">
      <w:bodyDiv w:val="1"/>
      <w:marLeft w:val="0"/>
      <w:marRight w:val="0"/>
      <w:marTop w:val="0"/>
      <w:marBottom w:val="0"/>
      <w:divBdr>
        <w:top w:val="none" w:sz="0" w:space="0" w:color="auto"/>
        <w:left w:val="none" w:sz="0" w:space="0" w:color="auto"/>
        <w:bottom w:val="none" w:sz="0" w:space="0" w:color="auto"/>
        <w:right w:val="none" w:sz="0" w:space="0" w:color="auto"/>
      </w:divBdr>
    </w:div>
    <w:div w:id="2038384966">
      <w:bodyDiv w:val="1"/>
      <w:marLeft w:val="0"/>
      <w:marRight w:val="0"/>
      <w:marTop w:val="0"/>
      <w:marBottom w:val="0"/>
      <w:divBdr>
        <w:top w:val="none" w:sz="0" w:space="0" w:color="auto"/>
        <w:left w:val="none" w:sz="0" w:space="0" w:color="auto"/>
        <w:bottom w:val="none" w:sz="0" w:space="0" w:color="auto"/>
        <w:right w:val="none" w:sz="0" w:space="0" w:color="auto"/>
      </w:divBdr>
    </w:div>
    <w:div w:id="2042514368">
      <w:bodyDiv w:val="1"/>
      <w:marLeft w:val="0"/>
      <w:marRight w:val="0"/>
      <w:marTop w:val="0"/>
      <w:marBottom w:val="0"/>
      <w:divBdr>
        <w:top w:val="none" w:sz="0" w:space="0" w:color="auto"/>
        <w:left w:val="none" w:sz="0" w:space="0" w:color="auto"/>
        <w:bottom w:val="none" w:sz="0" w:space="0" w:color="auto"/>
        <w:right w:val="none" w:sz="0" w:space="0" w:color="auto"/>
      </w:divBdr>
    </w:div>
    <w:div w:id="2059936218">
      <w:bodyDiv w:val="1"/>
      <w:marLeft w:val="0"/>
      <w:marRight w:val="0"/>
      <w:marTop w:val="0"/>
      <w:marBottom w:val="0"/>
      <w:divBdr>
        <w:top w:val="none" w:sz="0" w:space="0" w:color="auto"/>
        <w:left w:val="none" w:sz="0" w:space="0" w:color="auto"/>
        <w:bottom w:val="none" w:sz="0" w:space="0" w:color="auto"/>
        <w:right w:val="none" w:sz="0" w:space="0" w:color="auto"/>
      </w:divBdr>
    </w:div>
    <w:div w:id="2062170655">
      <w:bodyDiv w:val="1"/>
      <w:marLeft w:val="0"/>
      <w:marRight w:val="0"/>
      <w:marTop w:val="0"/>
      <w:marBottom w:val="0"/>
      <w:divBdr>
        <w:top w:val="none" w:sz="0" w:space="0" w:color="auto"/>
        <w:left w:val="none" w:sz="0" w:space="0" w:color="auto"/>
        <w:bottom w:val="none" w:sz="0" w:space="0" w:color="auto"/>
        <w:right w:val="none" w:sz="0" w:space="0" w:color="auto"/>
      </w:divBdr>
    </w:div>
    <w:div w:id="2078360961">
      <w:bodyDiv w:val="1"/>
      <w:marLeft w:val="0"/>
      <w:marRight w:val="0"/>
      <w:marTop w:val="0"/>
      <w:marBottom w:val="0"/>
      <w:divBdr>
        <w:top w:val="none" w:sz="0" w:space="0" w:color="auto"/>
        <w:left w:val="none" w:sz="0" w:space="0" w:color="auto"/>
        <w:bottom w:val="none" w:sz="0" w:space="0" w:color="auto"/>
        <w:right w:val="none" w:sz="0" w:space="0" w:color="auto"/>
      </w:divBdr>
    </w:div>
    <w:div w:id="2089813587">
      <w:bodyDiv w:val="1"/>
      <w:marLeft w:val="0"/>
      <w:marRight w:val="0"/>
      <w:marTop w:val="0"/>
      <w:marBottom w:val="0"/>
      <w:divBdr>
        <w:top w:val="none" w:sz="0" w:space="0" w:color="auto"/>
        <w:left w:val="none" w:sz="0" w:space="0" w:color="auto"/>
        <w:bottom w:val="none" w:sz="0" w:space="0" w:color="auto"/>
        <w:right w:val="none" w:sz="0" w:space="0" w:color="auto"/>
      </w:divBdr>
    </w:div>
    <w:div w:id="21458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esfondi.lv/page.php?id=939" TargetMode="External"/><Relationship Id="rId26" Type="http://schemas.openxmlformats.org/officeDocument/2006/relationships/chart" Target="charts/chart3.xml"/><Relationship Id="rId39" Type="http://schemas.openxmlformats.org/officeDocument/2006/relationships/hyperlink" Target="http://www.esfondi.lv/page.php?id=1064" TargetMode="External"/><Relationship Id="rId21" Type="http://schemas.openxmlformats.org/officeDocument/2006/relationships/hyperlink" Target="http://www.esfondi.lv/page.php?id=909" TargetMode="External"/><Relationship Id="rId34" Type="http://schemas.openxmlformats.org/officeDocument/2006/relationships/hyperlink" Target="http://www.esfondi.lv/page.php?id=1064" TargetMode="External"/><Relationship Id="rId42" Type="http://schemas.openxmlformats.org/officeDocument/2006/relationships/chart" Target="charts/chart12.xml"/><Relationship Id="rId47" Type="http://schemas.openxmlformats.org/officeDocument/2006/relationships/image" Target="media/image7.png"/><Relationship Id="rId50" Type="http://schemas.openxmlformats.org/officeDocument/2006/relationships/hyperlink" Target="http://www.esfondi.lv/page.php?id=1065" TargetMode="External"/><Relationship Id="rId55" Type="http://schemas.openxmlformats.org/officeDocument/2006/relationships/image" Target="media/image9.png"/><Relationship Id="rId63" Type="http://schemas.openxmlformats.org/officeDocument/2006/relationships/image" Target="media/image14.png"/><Relationship Id="rId68" Type="http://schemas.openxmlformats.org/officeDocument/2006/relationships/hyperlink" Target="http://www.esfondi.lv/page.php?id=1156"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cid:image011.png@01CBC3A8.FD1A1C60" TargetMode="External"/><Relationship Id="rId29" Type="http://schemas.openxmlformats.org/officeDocument/2006/relationships/hyperlink" Target="http://www.esfondi.lv/page.php?id=1142" TargetMode="External"/><Relationship Id="rId11" Type="http://schemas.openxmlformats.org/officeDocument/2006/relationships/image" Target="media/image2.jpeg"/><Relationship Id="rId24" Type="http://schemas.openxmlformats.org/officeDocument/2006/relationships/chart" Target="charts/chart1.xml"/><Relationship Id="rId32" Type="http://schemas.openxmlformats.org/officeDocument/2006/relationships/chart" Target="charts/chart7.xml"/><Relationship Id="rId37" Type="http://schemas.openxmlformats.org/officeDocument/2006/relationships/chart" Target="charts/chart9.xml"/><Relationship Id="rId40" Type="http://schemas.openxmlformats.org/officeDocument/2006/relationships/chart" Target="charts/chart10.xml"/><Relationship Id="rId45" Type="http://schemas.openxmlformats.org/officeDocument/2006/relationships/hyperlink" Target="http://www.likumi.lv/doc.php?id=218762" TargetMode="External"/><Relationship Id="rId53" Type="http://schemas.openxmlformats.org/officeDocument/2006/relationships/chart" Target="charts/chart16.xml"/><Relationship Id="rId58" Type="http://schemas.openxmlformats.org/officeDocument/2006/relationships/chart" Target="charts/chart17.xml"/><Relationship Id="rId66" Type="http://schemas.openxmlformats.org/officeDocument/2006/relationships/hyperlink" Target="http://www.esfondi.lv/page.php?id=1099" TargetMode="External"/><Relationship Id="rId7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esfondi.lv/page.php?id=909" TargetMode="External"/><Relationship Id="rId28" Type="http://schemas.openxmlformats.org/officeDocument/2006/relationships/chart" Target="charts/chart4.xml"/><Relationship Id="rId36" Type="http://schemas.openxmlformats.org/officeDocument/2006/relationships/hyperlink" Target="http://www.fm.gov.lv/lv/finansu_ministrija/fm_es_fondu_projekti/eiropas_savienibas_fondu_projekti/atbalsts_reformam_budzeta_un_finansu_politikas_joma/" TargetMode="External"/><Relationship Id="rId49" Type="http://schemas.openxmlformats.org/officeDocument/2006/relationships/chart" Target="charts/chart14.xml"/><Relationship Id="rId57" Type="http://schemas.openxmlformats.org/officeDocument/2006/relationships/hyperlink" Target="http://www.norwaygrants.lv" TargetMode="External"/><Relationship Id="rId61" Type="http://schemas.openxmlformats.org/officeDocument/2006/relationships/image" Target="media/image12.png"/><Relationship Id="rId10" Type="http://schemas.openxmlformats.org/officeDocument/2006/relationships/image" Target="cid:image006.jpg@01CBC3A8.FD1A1C60" TargetMode="External"/><Relationship Id="rId19" Type="http://schemas.openxmlformats.org/officeDocument/2006/relationships/hyperlink" Target="http://www.esfondi.lv/page.php?id=939" TargetMode="External"/><Relationship Id="rId31" Type="http://schemas.openxmlformats.org/officeDocument/2006/relationships/chart" Target="charts/chart6.xml"/><Relationship Id="rId44" Type="http://schemas.openxmlformats.org/officeDocument/2006/relationships/hyperlink" Target="http://www.likumi.lv/doc.php?id=205050" TargetMode="External"/><Relationship Id="rId52" Type="http://schemas.openxmlformats.org/officeDocument/2006/relationships/hyperlink" Target="http://www.esfondi.lv/page.php?id=1025" TargetMode="External"/><Relationship Id="rId60" Type="http://schemas.openxmlformats.org/officeDocument/2006/relationships/image" Target="media/image11.png"/><Relationship Id="rId65" Type="http://schemas.openxmlformats.org/officeDocument/2006/relationships/image" Target="media/image16.png"/><Relationship Id="rId73"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9.jpg@01CBC3A8.FD1A1C60" TargetMode="External"/><Relationship Id="rId22" Type="http://schemas.openxmlformats.org/officeDocument/2006/relationships/image" Target="media/image6.png"/><Relationship Id="rId27" Type="http://schemas.openxmlformats.org/officeDocument/2006/relationships/hyperlink" Target="http://www.esfondi.lv/page.php?id=1141." TargetMode="External"/><Relationship Id="rId30" Type="http://schemas.openxmlformats.org/officeDocument/2006/relationships/chart" Target="charts/chart5.xml"/><Relationship Id="rId35" Type="http://schemas.openxmlformats.org/officeDocument/2006/relationships/hyperlink" Target="http://www.mk.gov.lv/lv/esstrukturfondi/vk-realizetie-projekti/strukturaloreformuistenosana/par-projektu/" TargetMode="External"/><Relationship Id="rId43" Type="http://schemas.openxmlformats.org/officeDocument/2006/relationships/hyperlink" Target="http://www.likumi.lv/doc.php?id=228846" TargetMode="External"/><Relationship Id="rId48" Type="http://schemas.openxmlformats.org/officeDocument/2006/relationships/chart" Target="charts/chart13.xml"/><Relationship Id="rId56" Type="http://schemas.openxmlformats.org/officeDocument/2006/relationships/hyperlink" Target="http://www.eeagrants.lv" TargetMode="External"/><Relationship Id="rId64" Type="http://schemas.openxmlformats.org/officeDocument/2006/relationships/image" Target="media/image15.png"/><Relationship Id="rId69" Type="http://schemas.openxmlformats.org/officeDocument/2006/relationships/hyperlink" Target="mailto:Sintija.Laugale-Volbaka@fm.gov.lv" TargetMode="External"/><Relationship Id="rId8" Type="http://schemas.openxmlformats.org/officeDocument/2006/relationships/endnotes" Target="endnotes.xml"/><Relationship Id="rId51" Type="http://schemas.openxmlformats.org/officeDocument/2006/relationships/chart" Target="charts/chart15.xm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cid:image010.jpg@01CBC3A8.FD1A1C60" TargetMode="External"/><Relationship Id="rId17" Type="http://schemas.openxmlformats.org/officeDocument/2006/relationships/image" Target="media/image5.png"/><Relationship Id="rId25" Type="http://schemas.openxmlformats.org/officeDocument/2006/relationships/chart" Target="charts/chart2.xml"/><Relationship Id="rId33" Type="http://schemas.openxmlformats.org/officeDocument/2006/relationships/chart" Target="charts/chart8.xml"/><Relationship Id="rId38" Type="http://schemas.openxmlformats.org/officeDocument/2006/relationships/hyperlink" Target="http://www.esfondi.lv/page.php?id=1064" TargetMode="External"/><Relationship Id="rId46" Type="http://schemas.openxmlformats.org/officeDocument/2006/relationships/hyperlink" Target="http://www.esfondi.lv/page.php?id=791" TargetMode="External"/><Relationship Id="rId59" Type="http://schemas.openxmlformats.org/officeDocument/2006/relationships/image" Target="media/image10.png"/><Relationship Id="rId67" Type="http://schemas.openxmlformats.org/officeDocument/2006/relationships/hyperlink" Target="http://www.esfondi.lv/projektudienas/" TargetMode="External"/><Relationship Id="rId20" Type="http://schemas.openxmlformats.org/officeDocument/2006/relationships/hyperlink" Target="http://www.esfondi.lv/page.php?id=939" TargetMode="External"/><Relationship Id="rId41" Type="http://schemas.openxmlformats.org/officeDocument/2006/relationships/chart" Target="charts/chart11.xml"/><Relationship Id="rId54" Type="http://schemas.openxmlformats.org/officeDocument/2006/relationships/image" Target="media/image8.png"/><Relationship Id="rId62" Type="http://schemas.openxmlformats.org/officeDocument/2006/relationships/image" Target="media/image13.png"/><Relationship Id="rId70" Type="http://schemas.openxmlformats.org/officeDocument/2006/relationships/header" Target="head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aip.l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2.gads\19.%20-%2009.11.2012\Darba%20faili\Grafiki\AI_m&#275;r&#311;u_izpilde_fondi_11.10.20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2.gads\19.%20-%2009.11.2012\Darba%20faili\Grafiki\Grafils_FI%20apguves%20progress_uz%2030.09.2012._link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2.gads\19.%20-%2009.11.2012\Darba%20faili\Grafiki\Garfiks_FI_m&#275;r&#311;a%20izpilde_uz%2030.09.20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2.gads\19.%20-%2009.11.2012\Darba%20faili\Grafiki\Apguves_grafiks%20-%20preciz&#275;ts.xlsx"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15.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2.gads\19.%20-%2009.11.2012\Darba%20faili\Grafiki\2012.10.08_EK%20kop&#275;jie%20maks&#257;jumi%20vis&#257;m%20ES%20DV.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2.gads\19.%20-%2009.11.2012\Darba%20faili\Grafiki\3B%20grafiki_MK_dati%20uz%2030.09.201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fud-mezvi\My%20Documents\Programmu%20finans&#275;jums%20(melnrakstiem).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2.gads\19.%20-%2009.11.2012\Darba%20faili\Grafiki\AI_m&#275;r&#311;u_izpilde_fondi_11.10.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2.gads\19.%20-%2009.11.2012\Darba%20faili\Grafiki\maks&#257;jumu%20pl&#363;sm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x\FUD\IEVIE&#352;ANAS%20UZRAUDZ&#298;BA\BUDGET\7_Budget%20izpildes%20dati\5_2012_budget_izpilde\9-septembris\Darba%20faili\GRAFIKI_budget%20izpilde%202012%203.cet.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2.gads\19.%20-%2009.11.2012\Darba%20faili\Grafiki\Virssaist&#299;b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2.gads\19.%20-%2009.11.2012\Darba%20faili\Grafiki\Virssaist&#299;ba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2.gads\19.%20-%2009.11.2012\Darba%20faili\Grafiki\Apguves_grafiks%20-%20preciz&#275;ts.xlsx"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filex\FUD\IEVIE&#352;ANAS%20UZRAUDZ&#298;BA\UK_TIK&#352;AN&#256;S%20AR%20EK\06.%20-%20Tik&#353;anas_ar_EK\03.10.2012_ESF_AEM\Materi&#257;li\Darba%20materi&#257;li\ESFUN%20materiali\Grafiki\1312_tr.xlsx" TargetMode="External"/><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2.gads\19.%20-%2009.11.2012\Darba%20faili\Grafiki\Apguves_grafiks%20-%20preciz&#275;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4"/>
          <c:order val="0"/>
          <c:tx>
            <c:strRef>
              <c:f>'pa Fondiem'!$F$20</c:f>
              <c:strCache>
                <c:ptCount val="1"/>
                <c:pt idx="0">
                  <c:v>Faktiksi veikti maksājumi finansējuma saņēmējiem 01.01.2012.-30.09.2012.</c:v>
                </c:pt>
              </c:strCache>
            </c:strRef>
          </c:tx>
          <c:spPr>
            <a:solidFill>
              <a:schemeClr val="accent1">
                <a:lumMod val="75000"/>
              </a:schemeClr>
            </a:solidFill>
            <a:ln>
              <a:solidFill>
                <a:schemeClr val="accent1">
                  <a:lumMod val="75000"/>
                </a:schemeClr>
              </a:solidFill>
            </a:ln>
          </c:spPr>
          <c:invertIfNegative val="0"/>
          <c:dLbls>
            <c:numFmt formatCode="#,##0.0" sourceLinked="0"/>
            <c:showLegendKey val="0"/>
            <c:showVal val="1"/>
            <c:showCatName val="0"/>
            <c:showSerName val="0"/>
            <c:showPercent val="0"/>
            <c:showBubbleSize val="0"/>
            <c:showLeaderLines val="0"/>
          </c:dLbls>
          <c:cat>
            <c:strRef>
              <c:f>'pa Fondiem'!$A$21:$A$24</c:f>
              <c:strCache>
                <c:ptCount val="4"/>
                <c:pt idx="0">
                  <c:v>ESF</c:v>
                </c:pt>
                <c:pt idx="1">
                  <c:v>KF</c:v>
                </c:pt>
                <c:pt idx="2">
                  <c:v>ERAF</c:v>
                </c:pt>
                <c:pt idx="3">
                  <c:v>Kopā</c:v>
                </c:pt>
              </c:strCache>
            </c:strRef>
          </c:cat>
          <c:val>
            <c:numRef>
              <c:f>'pa Fondiem'!$F$21:$F$24</c:f>
              <c:numCache>
                <c:formatCode>_-* #,##0_-;\-* #,##0_-;_-* "-"??_-;_-@_-</c:formatCode>
                <c:ptCount val="4"/>
                <c:pt idx="0">
                  <c:v>53102597.45000001</c:v>
                </c:pt>
                <c:pt idx="1">
                  <c:v>61349316.579999991</c:v>
                </c:pt>
                <c:pt idx="2">
                  <c:v>172952539.20000002</c:v>
                </c:pt>
                <c:pt idx="3">
                  <c:v>287404453.23000002</c:v>
                </c:pt>
              </c:numCache>
            </c:numRef>
          </c:val>
        </c:ser>
        <c:ser>
          <c:idx val="3"/>
          <c:order val="1"/>
          <c:tx>
            <c:strRef>
              <c:f>'pa Fondiem'!$E$20</c:f>
              <c:strCache>
                <c:ptCount val="1"/>
                <c:pt idx="0">
                  <c:v>AI mērķis 01.01.2012.-30.09.2012.</c:v>
                </c:pt>
              </c:strCache>
            </c:strRef>
          </c:tx>
          <c:spPr>
            <a:solidFill>
              <a:schemeClr val="accent2">
                <a:lumMod val="75000"/>
              </a:schemeClr>
            </a:solidFill>
            <a:ln>
              <a:solidFill>
                <a:schemeClr val="accent2">
                  <a:lumMod val="75000"/>
                </a:schemeClr>
              </a:solidFill>
            </a:ln>
          </c:spPr>
          <c:invertIfNegative val="0"/>
          <c:dLbls>
            <c:dLbl>
              <c:idx val="0"/>
              <c:layout/>
              <c:tx>
                <c:rich>
                  <a:bodyPr/>
                  <a:lstStyle/>
                  <a:p>
                    <a:r>
                      <a:rPr lang="en-US"/>
                      <a:t>41,0</a:t>
                    </a:r>
                    <a:r>
                      <a:rPr lang="lv-LV"/>
                      <a:t> (129,4%)</a:t>
                    </a:r>
                    <a:endParaRPr lang="en-US"/>
                  </a:p>
                </c:rich>
              </c:tx>
              <c:showLegendKey val="0"/>
              <c:showVal val="1"/>
              <c:showCatName val="0"/>
              <c:showSerName val="0"/>
              <c:showPercent val="0"/>
              <c:showBubbleSize val="0"/>
            </c:dLbl>
            <c:dLbl>
              <c:idx val="1"/>
              <c:layout/>
              <c:tx>
                <c:rich>
                  <a:bodyPr/>
                  <a:lstStyle/>
                  <a:p>
                    <a:r>
                      <a:rPr lang="en-US"/>
                      <a:t>117,9</a:t>
                    </a:r>
                    <a:r>
                      <a:rPr lang="lv-LV"/>
                      <a:t> (52%)</a:t>
                    </a:r>
                    <a:endParaRPr lang="en-US"/>
                  </a:p>
                </c:rich>
              </c:tx>
              <c:showLegendKey val="0"/>
              <c:showVal val="1"/>
              <c:showCatName val="0"/>
              <c:showSerName val="0"/>
              <c:showPercent val="0"/>
              <c:showBubbleSize val="0"/>
            </c:dLbl>
            <c:dLbl>
              <c:idx val="2"/>
              <c:layout/>
              <c:tx>
                <c:rich>
                  <a:bodyPr/>
                  <a:lstStyle/>
                  <a:p>
                    <a:r>
                      <a:rPr lang="en-US"/>
                      <a:t>204,2</a:t>
                    </a:r>
                    <a:r>
                      <a:rPr lang="lv-LV"/>
                      <a:t> (84,7%)</a:t>
                    </a:r>
                    <a:endParaRPr lang="en-US"/>
                  </a:p>
                </c:rich>
              </c:tx>
              <c:showLegendKey val="0"/>
              <c:showVal val="1"/>
              <c:showCatName val="0"/>
              <c:showSerName val="0"/>
              <c:showPercent val="0"/>
              <c:showBubbleSize val="0"/>
            </c:dLbl>
            <c:dLbl>
              <c:idx val="3"/>
              <c:layout/>
              <c:tx>
                <c:rich>
                  <a:bodyPr/>
                  <a:lstStyle/>
                  <a:p>
                    <a:r>
                      <a:rPr lang="en-US"/>
                      <a:t>363,2</a:t>
                    </a:r>
                    <a:r>
                      <a:rPr lang="lv-LV"/>
                      <a:t> (79,1%)</a:t>
                    </a:r>
                    <a:endParaRPr lang="en-US"/>
                  </a:p>
                </c:rich>
              </c:tx>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'pa Fondiem'!$A$21:$A$24</c:f>
              <c:strCache>
                <c:ptCount val="4"/>
                <c:pt idx="0">
                  <c:v>ESF</c:v>
                </c:pt>
                <c:pt idx="1">
                  <c:v>KF</c:v>
                </c:pt>
                <c:pt idx="2">
                  <c:v>ERAF</c:v>
                </c:pt>
                <c:pt idx="3">
                  <c:v>Kopā</c:v>
                </c:pt>
              </c:strCache>
            </c:strRef>
          </c:cat>
          <c:val>
            <c:numRef>
              <c:f>'pa Fondiem'!$E$21:$E$24</c:f>
              <c:numCache>
                <c:formatCode>_-* #,##0_-;\-* #,##0_-;_-* "-"??_-;_-@_-</c:formatCode>
                <c:ptCount val="4"/>
                <c:pt idx="0">
                  <c:v>41039462.387999997</c:v>
                </c:pt>
                <c:pt idx="1">
                  <c:v>117923187.61087501</c:v>
                </c:pt>
                <c:pt idx="2">
                  <c:v>204199444.58518201</c:v>
                </c:pt>
                <c:pt idx="3">
                  <c:v>363162094.58405703</c:v>
                </c:pt>
              </c:numCache>
            </c:numRef>
          </c:val>
        </c:ser>
        <c:ser>
          <c:idx val="2"/>
          <c:order val="2"/>
          <c:tx>
            <c:strRef>
              <c:f>'pa Fondiem'!$D$20</c:f>
              <c:strCache>
                <c:ptCount val="1"/>
                <c:pt idx="0">
                  <c:v>2012.gada AI mērķis</c:v>
                </c:pt>
              </c:strCache>
            </c:strRef>
          </c:tx>
          <c:invertIfNegative val="0"/>
          <c:dLbls>
            <c:dLbl>
              <c:idx val="0"/>
              <c:layout/>
              <c:tx>
                <c:rich>
                  <a:bodyPr/>
                  <a:lstStyle/>
                  <a:p>
                    <a:r>
                      <a:rPr lang="en-US"/>
                      <a:t>60,4</a:t>
                    </a:r>
                    <a:r>
                      <a:rPr lang="lv-LV"/>
                      <a:t> (87,9%)</a:t>
                    </a:r>
                    <a:endParaRPr lang="en-US"/>
                  </a:p>
                </c:rich>
              </c:tx>
              <c:showLegendKey val="0"/>
              <c:showVal val="1"/>
              <c:showCatName val="0"/>
              <c:showSerName val="0"/>
              <c:showPercent val="0"/>
              <c:showBubbleSize val="0"/>
            </c:dLbl>
            <c:dLbl>
              <c:idx val="1"/>
              <c:layout/>
              <c:tx>
                <c:rich>
                  <a:bodyPr/>
                  <a:lstStyle/>
                  <a:p>
                    <a:r>
                      <a:rPr lang="en-US"/>
                      <a:t>200,4</a:t>
                    </a:r>
                    <a:r>
                      <a:rPr lang="lv-LV"/>
                      <a:t> (30,6%)</a:t>
                    </a:r>
                    <a:endParaRPr lang="en-US"/>
                  </a:p>
                </c:rich>
              </c:tx>
              <c:showLegendKey val="0"/>
              <c:showVal val="1"/>
              <c:showCatName val="0"/>
              <c:showSerName val="0"/>
              <c:showPercent val="0"/>
              <c:showBubbleSize val="0"/>
            </c:dLbl>
            <c:dLbl>
              <c:idx val="2"/>
              <c:layout/>
              <c:tx>
                <c:rich>
                  <a:bodyPr/>
                  <a:lstStyle/>
                  <a:p>
                    <a:r>
                      <a:rPr lang="en-US"/>
                      <a:t>288,8</a:t>
                    </a:r>
                    <a:r>
                      <a:rPr lang="lv-LV"/>
                      <a:t> (59,9%)</a:t>
                    </a:r>
                    <a:endParaRPr lang="en-US"/>
                  </a:p>
                </c:rich>
              </c:tx>
              <c:showLegendKey val="0"/>
              <c:showVal val="1"/>
              <c:showCatName val="0"/>
              <c:showSerName val="0"/>
              <c:showPercent val="0"/>
              <c:showBubbleSize val="0"/>
            </c:dLbl>
            <c:dLbl>
              <c:idx val="3"/>
              <c:layout/>
              <c:tx>
                <c:rich>
                  <a:bodyPr/>
                  <a:lstStyle/>
                  <a:p>
                    <a:r>
                      <a:rPr lang="en-US"/>
                      <a:t>549,5</a:t>
                    </a:r>
                    <a:r>
                      <a:rPr lang="lv-LV"/>
                      <a:t> (52,3%)</a:t>
                    </a:r>
                    <a:endParaRPr lang="en-US"/>
                  </a:p>
                </c:rich>
              </c:tx>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'pa Fondiem'!$A$21:$A$24</c:f>
              <c:strCache>
                <c:ptCount val="4"/>
                <c:pt idx="0">
                  <c:v>ESF</c:v>
                </c:pt>
                <c:pt idx="1">
                  <c:v>KF</c:v>
                </c:pt>
                <c:pt idx="2">
                  <c:v>ERAF</c:v>
                </c:pt>
                <c:pt idx="3">
                  <c:v>Kopā</c:v>
                </c:pt>
              </c:strCache>
            </c:strRef>
          </c:cat>
          <c:val>
            <c:numRef>
              <c:f>'pa Fondiem'!$D$21:$D$24</c:f>
              <c:numCache>
                <c:formatCode>General</c:formatCode>
                <c:ptCount val="4"/>
                <c:pt idx="0">
                  <c:v>60381911.331500001</c:v>
                </c:pt>
                <c:pt idx="1">
                  <c:v>200398231.39087498</c:v>
                </c:pt>
                <c:pt idx="2">
                  <c:v>288768760.50912803</c:v>
                </c:pt>
                <c:pt idx="3" formatCode="_-* #,##0_-;\-* #,##0_-;_-* &quot;-&quot;??_-;_-@_-">
                  <c:v>549548903.23150301</c:v>
                </c:pt>
              </c:numCache>
            </c:numRef>
          </c:val>
        </c:ser>
        <c:ser>
          <c:idx val="1"/>
          <c:order val="3"/>
          <c:tx>
            <c:strRef>
              <c:f>'pa Fondiem'!$C$20</c:f>
              <c:strCache>
                <c:ptCount val="1"/>
              </c:strCache>
            </c:strRef>
          </c:tx>
          <c:invertIfNegative val="0"/>
          <c:cat>
            <c:strRef>
              <c:f>'pa Fondiem'!$A$21:$A$24</c:f>
              <c:strCache>
                <c:ptCount val="4"/>
                <c:pt idx="0">
                  <c:v>ESF</c:v>
                </c:pt>
                <c:pt idx="1">
                  <c:v>KF</c:v>
                </c:pt>
                <c:pt idx="2">
                  <c:v>ERAF</c:v>
                </c:pt>
                <c:pt idx="3">
                  <c:v>Kopā</c:v>
                </c:pt>
              </c:strCache>
            </c:strRef>
          </c:cat>
          <c:val>
            <c:numRef>
              <c:f>'pa Fondiem'!$C$21:$C$24</c:f>
            </c:numRef>
          </c:val>
        </c:ser>
        <c:dLbls>
          <c:showLegendKey val="0"/>
          <c:showVal val="0"/>
          <c:showCatName val="0"/>
          <c:showSerName val="0"/>
          <c:showPercent val="0"/>
          <c:showBubbleSize val="0"/>
        </c:dLbls>
        <c:gapWidth val="150"/>
        <c:shape val="box"/>
        <c:axId val="46818432"/>
        <c:axId val="46819968"/>
        <c:axId val="0"/>
      </c:bar3DChart>
      <c:catAx>
        <c:axId val="46818432"/>
        <c:scaling>
          <c:orientation val="minMax"/>
        </c:scaling>
        <c:delete val="0"/>
        <c:axPos val="l"/>
        <c:majorTickMark val="out"/>
        <c:minorTickMark val="none"/>
        <c:tickLblPos val="nextTo"/>
        <c:crossAx val="46819968"/>
        <c:crosses val="autoZero"/>
        <c:auto val="1"/>
        <c:lblAlgn val="ctr"/>
        <c:lblOffset val="100"/>
        <c:noMultiLvlLbl val="0"/>
      </c:catAx>
      <c:valAx>
        <c:axId val="46819968"/>
        <c:scaling>
          <c:orientation val="minMax"/>
        </c:scaling>
        <c:delete val="0"/>
        <c:axPos val="b"/>
        <c:majorGridlines/>
        <c:numFmt formatCode="#,##0" sourceLinked="0"/>
        <c:majorTickMark val="out"/>
        <c:minorTickMark val="none"/>
        <c:tickLblPos val="nextTo"/>
        <c:crossAx val="46818432"/>
        <c:crosses val="autoZero"/>
        <c:crossBetween val="between"/>
        <c:dispUnits>
          <c:builtInUnit val="millions"/>
        </c:dispUnits>
      </c:valAx>
    </c:plotArea>
    <c:legend>
      <c:legendPos val="r"/>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8749916823777308"/>
          <c:y val="4.7410460247090964E-3"/>
          <c:w val="0.52991440410537671"/>
          <c:h val="0.87099530084512633"/>
        </c:manualLayout>
      </c:layout>
      <c:bar3DChart>
        <c:barDir val="bar"/>
        <c:grouping val="clustered"/>
        <c:varyColors val="1"/>
        <c:ser>
          <c:idx val="0"/>
          <c:order val="0"/>
          <c:invertIfNegative val="0"/>
          <c:dLbls>
            <c:dLbl>
              <c:idx val="0"/>
              <c:tx>
                <c:rich>
                  <a:bodyPr/>
                  <a:lstStyle/>
                  <a:p>
                    <a:r>
                      <a:rPr lang="en-US"/>
                      <a:t>53,3</a:t>
                    </a:r>
                    <a:r>
                      <a:rPr lang="lv-LV"/>
                      <a:t> (45,1%)</a:t>
                    </a:r>
                    <a:endParaRPr lang="en-US"/>
                  </a:p>
                </c:rich>
              </c:tx>
              <c:showLegendKey val="0"/>
              <c:showVal val="1"/>
              <c:showCatName val="0"/>
              <c:showSerName val="0"/>
              <c:showPercent val="0"/>
              <c:showBubbleSize val="0"/>
            </c:dLbl>
            <c:dLbl>
              <c:idx val="1"/>
              <c:tx>
                <c:rich>
                  <a:bodyPr/>
                  <a:lstStyle/>
                  <a:p>
                    <a:r>
                      <a:rPr lang="en-US"/>
                      <a:t>116,4</a:t>
                    </a:r>
                    <a:r>
                      <a:rPr lang="lv-LV"/>
                      <a:t> (98,5%)</a:t>
                    </a:r>
                    <a:endParaRPr lang="en-US"/>
                  </a:p>
                </c:rich>
              </c:tx>
              <c:showLegendKey val="0"/>
              <c:showVal val="1"/>
              <c:showCatName val="0"/>
              <c:showSerName val="0"/>
              <c:showPercent val="0"/>
              <c:showBubbleSize val="0"/>
            </c:dLbl>
            <c:dLbl>
              <c:idx val="2"/>
              <c:tx>
                <c:rich>
                  <a:bodyPr/>
                  <a:lstStyle/>
                  <a:p>
                    <a:r>
                      <a:rPr lang="en-US"/>
                      <a:t>129,5</a:t>
                    </a:r>
                    <a:r>
                      <a:rPr lang="lv-LV"/>
                      <a:t> (109,6%)</a:t>
                    </a:r>
                    <a:endParaRPr lang="en-US"/>
                  </a:p>
                </c:rich>
              </c:tx>
              <c:showLegendKey val="0"/>
              <c:showVal val="1"/>
              <c:showCatName val="0"/>
              <c:showSerName val="0"/>
              <c:showPercent val="0"/>
              <c:showBubbleSize val="0"/>
            </c:dLbl>
            <c:dLbl>
              <c:idx val="3"/>
              <c:tx>
                <c:rich>
                  <a:bodyPr/>
                  <a:lstStyle/>
                  <a:p>
                    <a:r>
                      <a:rPr lang="en-US"/>
                      <a:t>118,2</a:t>
                    </a:r>
                    <a:r>
                      <a:rPr lang="lv-LV"/>
                      <a:t> (100%)</a:t>
                    </a:r>
                    <a:endParaRPr lang="en-US"/>
                  </a:p>
                </c:rich>
              </c:tx>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'2DP'!$A$3:$A$6</c:f>
              <c:strCache>
                <c:ptCount val="4"/>
                <c:pt idx="0">
                  <c:v>Apgūts ES fondu finansējums komersantu līmenī **</c:v>
                </c:pt>
                <c:pt idx="1">
                  <c:v>Noslēgti līgumi ar ieviesējinstitūcijām/finanšu starpniekiem*</c:v>
                </c:pt>
                <c:pt idx="2">
                  <c:v>Pieejamais ES fondu finansējums atbilstoši nacionālajā līmenī apstiprinātajai DP*</c:v>
                </c:pt>
                <c:pt idx="3">
                  <c:v>Pieejamais ES fondu finansējums atbilstoši EK apstiprinātajai DP</c:v>
                </c:pt>
              </c:strCache>
            </c:strRef>
          </c:cat>
          <c:val>
            <c:numRef>
              <c:f>'2DP'!$B$3:$B$6</c:f>
              <c:numCache>
                <c:formatCode>_-* #,##0_-;\-* #,##0_-;_-* "-"??_-;_-@_-</c:formatCode>
                <c:ptCount val="4"/>
                <c:pt idx="0">
                  <c:v>53253498</c:v>
                </c:pt>
                <c:pt idx="1">
                  <c:v>116423684.01945598</c:v>
                </c:pt>
                <c:pt idx="2">
                  <c:v>129516332.12695199</c:v>
                </c:pt>
                <c:pt idx="3">
                  <c:v>118190548.72945599</c:v>
                </c:pt>
              </c:numCache>
            </c:numRef>
          </c:val>
        </c:ser>
        <c:dLbls>
          <c:showLegendKey val="0"/>
          <c:showVal val="0"/>
          <c:showCatName val="0"/>
          <c:showSerName val="0"/>
          <c:showPercent val="0"/>
          <c:showBubbleSize val="0"/>
        </c:dLbls>
        <c:gapWidth val="150"/>
        <c:shape val="box"/>
        <c:axId val="96954240"/>
        <c:axId val="96955776"/>
        <c:axId val="0"/>
      </c:bar3DChart>
      <c:catAx>
        <c:axId val="96954240"/>
        <c:scaling>
          <c:orientation val="minMax"/>
        </c:scaling>
        <c:delete val="0"/>
        <c:axPos val="l"/>
        <c:majorTickMark val="out"/>
        <c:minorTickMark val="none"/>
        <c:tickLblPos val="nextTo"/>
        <c:crossAx val="96955776"/>
        <c:crosses val="autoZero"/>
        <c:auto val="1"/>
        <c:lblAlgn val="ctr"/>
        <c:lblOffset val="100"/>
        <c:noMultiLvlLbl val="0"/>
      </c:catAx>
      <c:valAx>
        <c:axId val="96955776"/>
        <c:scaling>
          <c:orientation val="minMax"/>
        </c:scaling>
        <c:delete val="0"/>
        <c:axPos val="b"/>
        <c:majorGridlines/>
        <c:numFmt formatCode="#,##0" sourceLinked="0"/>
        <c:majorTickMark val="out"/>
        <c:minorTickMark val="none"/>
        <c:tickLblPos val="nextTo"/>
        <c:crossAx val="96954240"/>
        <c:crosses val="autoZero"/>
        <c:crossBetween val="between"/>
        <c:dispUnits>
          <c:builtInUnit val="millions"/>
        </c:dispUnits>
      </c:valAx>
    </c:plotArea>
    <c:plotVisOnly val="1"/>
    <c:dispBlanksAs val="gap"/>
    <c:showDLblsOverMax val="0"/>
  </c:chart>
  <c:spPr>
    <a:ln>
      <a:noFill/>
    </a:ln>
  </c:spPr>
  <c:txPr>
    <a:bodyPr/>
    <a:lstStyle/>
    <a:p>
      <a:pPr>
        <a:defRPr sz="1050">
          <a:latin typeface="Times New Roman" pitchFamily="18" charset="0"/>
          <a:cs typeface="Times New Roman" pitchFamily="18" charset="0"/>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46335062083445772"/>
          <c:y val="2.9949433265395072E-2"/>
          <c:w val="0.45600277275957346"/>
          <c:h val="0.8219300739365305"/>
        </c:manualLayout>
      </c:layout>
      <c:bar3DChart>
        <c:barDir val="bar"/>
        <c:grouping val="clustered"/>
        <c:varyColors val="0"/>
        <c:ser>
          <c:idx val="0"/>
          <c:order val="0"/>
          <c:tx>
            <c:strRef>
              <c:f>'uz 30.09.2012. _web'!$C$2</c:f>
              <c:strCache>
                <c:ptCount val="1"/>
                <c:pt idx="0">
                  <c:v>Veiktas investīcijas, faktiski izsniegti aizdevumi, granti un garantijas līdz 30.09.2012.</c:v>
                </c:pt>
              </c:strCache>
            </c:strRef>
          </c:tx>
          <c:invertIfNegative val="0"/>
          <c:dLbls>
            <c:numFmt formatCode="#,##0.0" sourceLinked="0"/>
            <c:showLegendKey val="0"/>
            <c:showVal val="1"/>
            <c:showCatName val="0"/>
            <c:showSerName val="0"/>
            <c:showPercent val="0"/>
            <c:showBubbleSize val="0"/>
            <c:showLeaderLines val="0"/>
          </c:dLbls>
          <c:cat>
            <c:strRef>
              <c:f>'uz 30.09.2012. _web'!$B$3:$B$7</c:f>
              <c:strCache>
                <c:ptCount val="5"/>
                <c:pt idx="0">
                  <c:v>2.2.1.4.2. apakšaktivitāte "Mezanīna aizdevumi investīcijām komersantu konkurētspējas uzlabošanai"</c:v>
                </c:pt>
                <c:pt idx="1">
                  <c:v>2.2.1.4.1. apakšaktivitāte "Atbalsts aizdevumu veidā komersantu konkurētspējas uzlabošanai"</c:v>
                </c:pt>
                <c:pt idx="2">
                  <c:v>2.2.1.3. aktivitāte "Garantijas komersantu konkurētspējas uzlabošanai"*</c:v>
                </c:pt>
                <c:pt idx="3">
                  <c:v>2.2.1.1. aktivitāte "Ieguldījumu fonds investīcijām garantijās, paaugstināta riska aizdevumos, riska kapitāla fondos un cita veida finanšu instrumentos"</c:v>
                </c:pt>
                <c:pt idx="4">
                  <c:v>2.2.prioritātē "Finanšu pieejamība" kopā</c:v>
                </c:pt>
              </c:strCache>
            </c:strRef>
          </c:cat>
          <c:val>
            <c:numRef>
              <c:f>'uz 30.09.2012. _web'!$C$3:$C$7</c:f>
              <c:numCache>
                <c:formatCode>#,##0</c:formatCode>
                <c:ptCount val="5"/>
                <c:pt idx="0">
                  <c:v>270147</c:v>
                </c:pt>
                <c:pt idx="1">
                  <c:v>27522437</c:v>
                </c:pt>
                <c:pt idx="2">
                  <c:v>68569020</c:v>
                </c:pt>
                <c:pt idx="3">
                  <c:v>8318659</c:v>
                </c:pt>
                <c:pt idx="4">
                  <c:v>104680263</c:v>
                </c:pt>
              </c:numCache>
            </c:numRef>
          </c:val>
        </c:ser>
        <c:ser>
          <c:idx val="1"/>
          <c:order val="1"/>
          <c:tx>
            <c:strRef>
              <c:f>'uz 30.09.2012. _web'!$D$2</c:f>
              <c:strCache>
                <c:ptCount val="1"/>
                <c:pt idx="0">
                  <c:v>Plānots līdz 30.09.2012.</c:v>
                </c:pt>
              </c:strCache>
            </c:strRef>
          </c:tx>
          <c:invertIfNegative val="0"/>
          <c:dLbls>
            <c:dLbl>
              <c:idx val="0"/>
              <c:tx>
                <c:rich>
                  <a:bodyPr/>
                  <a:lstStyle/>
                  <a:p>
                    <a:r>
                      <a:rPr lang="en-US"/>
                      <a:t>3,0</a:t>
                    </a:r>
                    <a:r>
                      <a:rPr lang="lv-LV"/>
                      <a:t> (9%)</a:t>
                    </a:r>
                    <a:endParaRPr lang="en-US"/>
                  </a:p>
                </c:rich>
              </c:tx>
              <c:showLegendKey val="0"/>
              <c:showVal val="1"/>
              <c:showCatName val="0"/>
              <c:showSerName val="0"/>
              <c:showPercent val="0"/>
              <c:showBubbleSize val="0"/>
            </c:dLbl>
            <c:dLbl>
              <c:idx val="1"/>
              <c:tx>
                <c:rich>
                  <a:bodyPr/>
                  <a:lstStyle/>
                  <a:p>
                    <a:r>
                      <a:rPr lang="en-US"/>
                      <a:t>29,8</a:t>
                    </a:r>
                    <a:r>
                      <a:rPr lang="lv-LV"/>
                      <a:t> (92,4%)</a:t>
                    </a:r>
                    <a:endParaRPr lang="en-US"/>
                  </a:p>
                </c:rich>
              </c:tx>
              <c:showLegendKey val="0"/>
              <c:showVal val="1"/>
              <c:showCatName val="0"/>
              <c:showSerName val="0"/>
              <c:showPercent val="0"/>
              <c:showBubbleSize val="0"/>
            </c:dLbl>
            <c:dLbl>
              <c:idx val="2"/>
              <c:tx>
                <c:rich>
                  <a:bodyPr/>
                  <a:lstStyle/>
                  <a:p>
                    <a:r>
                      <a:rPr lang="en-US"/>
                      <a:t>87,9</a:t>
                    </a:r>
                    <a:r>
                      <a:rPr lang="lv-LV"/>
                      <a:t> (78%)</a:t>
                    </a:r>
                    <a:endParaRPr lang="en-US"/>
                  </a:p>
                </c:rich>
              </c:tx>
              <c:showLegendKey val="0"/>
              <c:showVal val="1"/>
              <c:showCatName val="0"/>
              <c:showSerName val="0"/>
              <c:showPercent val="0"/>
              <c:showBubbleSize val="0"/>
            </c:dLbl>
            <c:dLbl>
              <c:idx val="3"/>
              <c:tx>
                <c:rich>
                  <a:bodyPr/>
                  <a:lstStyle/>
                  <a:p>
                    <a:r>
                      <a:rPr lang="en-US"/>
                      <a:t>16,4</a:t>
                    </a:r>
                    <a:r>
                      <a:rPr lang="lv-LV"/>
                      <a:t> (50,9%)</a:t>
                    </a:r>
                    <a:endParaRPr lang="en-US"/>
                  </a:p>
                </c:rich>
              </c:tx>
              <c:showLegendKey val="0"/>
              <c:showVal val="1"/>
              <c:showCatName val="0"/>
              <c:showSerName val="0"/>
              <c:showPercent val="0"/>
              <c:showBubbleSize val="0"/>
            </c:dLbl>
            <c:dLbl>
              <c:idx val="4"/>
              <c:tx>
                <c:rich>
                  <a:bodyPr/>
                  <a:lstStyle/>
                  <a:p>
                    <a:r>
                      <a:rPr lang="en-US"/>
                      <a:t>137,0</a:t>
                    </a:r>
                    <a:r>
                      <a:rPr lang="lv-LV"/>
                      <a:t> (76,4%)</a:t>
                    </a:r>
                    <a:endParaRPr lang="en-US"/>
                  </a:p>
                </c:rich>
              </c:tx>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'uz 30.09.2012. _web'!$B$3:$B$7</c:f>
              <c:strCache>
                <c:ptCount val="5"/>
                <c:pt idx="0">
                  <c:v>2.2.1.4.2. apakšaktivitāte "Mezanīna aizdevumi investīcijām komersantu konkurētspējas uzlabošanai"</c:v>
                </c:pt>
                <c:pt idx="1">
                  <c:v>2.2.1.4.1. apakšaktivitāte "Atbalsts aizdevumu veidā komersantu konkurētspējas uzlabošanai"</c:v>
                </c:pt>
                <c:pt idx="2">
                  <c:v>2.2.1.3. aktivitāte "Garantijas komersantu konkurētspējas uzlabošanai"*</c:v>
                </c:pt>
                <c:pt idx="3">
                  <c:v>2.2.1.1. aktivitāte "Ieguldījumu fonds investīcijām garantijās, paaugstināta riska aizdevumos, riska kapitāla fondos un cita veida finanšu instrumentos"</c:v>
                </c:pt>
                <c:pt idx="4">
                  <c:v>2.2.prioritātē "Finanšu pieejamība" kopā</c:v>
                </c:pt>
              </c:strCache>
            </c:strRef>
          </c:cat>
          <c:val>
            <c:numRef>
              <c:f>'uz 30.09.2012. _web'!$D$3:$D$7</c:f>
              <c:numCache>
                <c:formatCode>#,##0</c:formatCode>
                <c:ptCount val="5"/>
                <c:pt idx="0">
                  <c:v>3008106</c:v>
                </c:pt>
                <c:pt idx="1">
                  <c:v>29771440</c:v>
                </c:pt>
                <c:pt idx="2">
                  <c:v>87912000</c:v>
                </c:pt>
                <c:pt idx="3">
                  <c:v>16351890</c:v>
                </c:pt>
                <c:pt idx="4">
                  <c:v>137043436</c:v>
                </c:pt>
              </c:numCache>
            </c:numRef>
          </c:val>
        </c:ser>
        <c:ser>
          <c:idx val="2"/>
          <c:order val="2"/>
          <c:tx>
            <c:strRef>
              <c:f>'uz 30.09.2012. _web'!$F$2</c:f>
              <c:strCache>
                <c:ptCount val="1"/>
                <c:pt idx="0">
                  <c:v>Plānots līdz 31.12.2012.</c:v>
                </c:pt>
              </c:strCache>
            </c:strRef>
          </c:tx>
          <c:invertIfNegative val="0"/>
          <c:dLbls>
            <c:dLbl>
              <c:idx val="0"/>
              <c:tx>
                <c:rich>
                  <a:bodyPr/>
                  <a:lstStyle/>
                  <a:p>
                    <a:r>
                      <a:rPr lang="en-US"/>
                      <a:t>5,1</a:t>
                    </a:r>
                    <a:r>
                      <a:rPr lang="lv-LV"/>
                      <a:t> (5,3%)</a:t>
                    </a:r>
                    <a:endParaRPr lang="en-US"/>
                  </a:p>
                </c:rich>
              </c:tx>
              <c:showLegendKey val="0"/>
              <c:showVal val="1"/>
              <c:showCatName val="0"/>
              <c:showSerName val="0"/>
              <c:showPercent val="0"/>
              <c:showBubbleSize val="0"/>
            </c:dLbl>
            <c:dLbl>
              <c:idx val="1"/>
              <c:tx>
                <c:rich>
                  <a:bodyPr/>
                  <a:lstStyle/>
                  <a:p>
                    <a:r>
                      <a:rPr lang="en-US"/>
                      <a:t>31,5</a:t>
                    </a:r>
                    <a:r>
                      <a:rPr lang="lv-LV"/>
                      <a:t> (87,4%)</a:t>
                    </a:r>
                    <a:endParaRPr lang="en-US"/>
                  </a:p>
                </c:rich>
              </c:tx>
              <c:showLegendKey val="0"/>
              <c:showVal val="1"/>
              <c:showCatName val="0"/>
              <c:showSerName val="0"/>
              <c:showPercent val="0"/>
              <c:showBubbleSize val="0"/>
            </c:dLbl>
            <c:dLbl>
              <c:idx val="2"/>
              <c:tx>
                <c:rich>
                  <a:bodyPr/>
                  <a:lstStyle/>
                  <a:p>
                    <a:r>
                      <a:rPr lang="en-US"/>
                      <a:t>95,9</a:t>
                    </a:r>
                    <a:r>
                      <a:rPr lang="lv-LV"/>
                      <a:t> (71,5%)</a:t>
                    </a:r>
                    <a:endParaRPr lang="en-US"/>
                  </a:p>
                </c:rich>
              </c:tx>
              <c:showLegendKey val="0"/>
              <c:showVal val="1"/>
              <c:showCatName val="0"/>
              <c:showSerName val="0"/>
              <c:showPercent val="0"/>
              <c:showBubbleSize val="0"/>
            </c:dLbl>
            <c:dLbl>
              <c:idx val="3"/>
              <c:tx>
                <c:rich>
                  <a:bodyPr/>
                  <a:lstStyle/>
                  <a:p>
                    <a:r>
                      <a:rPr lang="en-US"/>
                      <a:t>19,9</a:t>
                    </a:r>
                    <a:r>
                      <a:rPr lang="lv-LV"/>
                      <a:t> (41,8%)</a:t>
                    </a:r>
                    <a:endParaRPr lang="en-US"/>
                  </a:p>
                </c:rich>
              </c:tx>
              <c:showLegendKey val="0"/>
              <c:showVal val="1"/>
              <c:showCatName val="0"/>
              <c:showSerName val="0"/>
              <c:showPercent val="0"/>
              <c:showBubbleSize val="0"/>
            </c:dLbl>
            <c:dLbl>
              <c:idx val="4"/>
              <c:tx>
                <c:rich>
                  <a:bodyPr/>
                  <a:lstStyle/>
                  <a:p>
                    <a:r>
                      <a:rPr lang="en-US"/>
                      <a:t>152,4</a:t>
                    </a:r>
                    <a:r>
                      <a:rPr lang="lv-LV"/>
                      <a:t> (68,7%)</a:t>
                    </a:r>
                    <a:endParaRPr lang="en-US"/>
                  </a:p>
                </c:rich>
              </c:tx>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'uz 30.09.2012. _web'!$B$3:$B$7</c:f>
              <c:strCache>
                <c:ptCount val="5"/>
                <c:pt idx="0">
                  <c:v>2.2.1.4.2. apakšaktivitāte "Mezanīna aizdevumi investīcijām komersantu konkurētspējas uzlabošanai"</c:v>
                </c:pt>
                <c:pt idx="1">
                  <c:v>2.2.1.4.1. apakšaktivitāte "Atbalsts aizdevumu veidā komersantu konkurētspējas uzlabošanai"</c:v>
                </c:pt>
                <c:pt idx="2">
                  <c:v>2.2.1.3. aktivitāte "Garantijas komersantu konkurētspējas uzlabošanai"*</c:v>
                </c:pt>
                <c:pt idx="3">
                  <c:v>2.2.1.1. aktivitāte "Ieguldījumu fonds investīcijām garantijās, paaugstināta riska aizdevumos, riska kapitāla fondos un cita veida finanšu instrumentos"</c:v>
                </c:pt>
                <c:pt idx="4">
                  <c:v>2.2.prioritātē "Finanšu pieejamība" kopā</c:v>
                </c:pt>
              </c:strCache>
            </c:strRef>
          </c:cat>
          <c:val>
            <c:numRef>
              <c:f>'uz 30.09.2012. _web'!$F$3:$F$7</c:f>
              <c:numCache>
                <c:formatCode>#,##0</c:formatCode>
                <c:ptCount val="5"/>
                <c:pt idx="0">
                  <c:v>5113780</c:v>
                </c:pt>
                <c:pt idx="1">
                  <c:v>31497019</c:v>
                </c:pt>
                <c:pt idx="2">
                  <c:v>95912000</c:v>
                </c:pt>
                <c:pt idx="3">
                  <c:v>19916684</c:v>
                </c:pt>
                <c:pt idx="4">
                  <c:v>152439483</c:v>
                </c:pt>
              </c:numCache>
            </c:numRef>
          </c:val>
        </c:ser>
        <c:ser>
          <c:idx val="3"/>
          <c:order val="3"/>
          <c:tx>
            <c:strRef>
              <c:f>'uz 30.09.2012. _web'!$H$2</c:f>
              <c:strCache>
                <c:ptCount val="1"/>
                <c:pt idx="0">
                  <c:v>Plānots līdz 2015.gadam</c:v>
                </c:pt>
              </c:strCache>
            </c:strRef>
          </c:tx>
          <c:invertIfNegative val="0"/>
          <c:dLbls>
            <c:dLbl>
              <c:idx val="0"/>
              <c:tx>
                <c:rich>
                  <a:bodyPr/>
                  <a:lstStyle/>
                  <a:p>
                    <a:r>
                      <a:rPr lang="en-US"/>
                      <a:t>10,7</a:t>
                    </a:r>
                    <a:r>
                      <a:rPr lang="lv-LV"/>
                      <a:t> (2,5%)</a:t>
                    </a:r>
                    <a:endParaRPr lang="en-US"/>
                  </a:p>
                </c:rich>
              </c:tx>
              <c:showLegendKey val="0"/>
              <c:showVal val="1"/>
              <c:showCatName val="0"/>
              <c:showSerName val="0"/>
              <c:showPercent val="0"/>
              <c:showBubbleSize val="0"/>
            </c:dLbl>
            <c:dLbl>
              <c:idx val="1"/>
              <c:tx>
                <c:rich>
                  <a:bodyPr/>
                  <a:lstStyle/>
                  <a:p>
                    <a:r>
                      <a:rPr lang="en-US"/>
                      <a:t>38,4</a:t>
                    </a:r>
                    <a:r>
                      <a:rPr lang="lv-LV"/>
                      <a:t> (71,7%)</a:t>
                    </a:r>
                    <a:endParaRPr lang="en-US"/>
                  </a:p>
                </c:rich>
              </c:tx>
              <c:showLegendKey val="0"/>
              <c:showVal val="1"/>
              <c:showCatName val="0"/>
              <c:showSerName val="0"/>
              <c:showPercent val="0"/>
              <c:showBubbleSize val="0"/>
            </c:dLbl>
            <c:dLbl>
              <c:idx val="2"/>
              <c:tx>
                <c:rich>
                  <a:bodyPr/>
                  <a:lstStyle/>
                  <a:p>
                    <a:r>
                      <a:rPr lang="en-US"/>
                      <a:t>202,3</a:t>
                    </a:r>
                    <a:r>
                      <a:rPr lang="lv-LV"/>
                      <a:t> (33,9%)</a:t>
                    </a:r>
                    <a:endParaRPr lang="en-US"/>
                  </a:p>
                </c:rich>
              </c:tx>
              <c:showLegendKey val="0"/>
              <c:showVal val="1"/>
              <c:showCatName val="0"/>
              <c:showSerName val="0"/>
              <c:showPercent val="0"/>
              <c:showBubbleSize val="0"/>
            </c:dLbl>
            <c:dLbl>
              <c:idx val="3"/>
              <c:tx>
                <c:rich>
                  <a:bodyPr/>
                  <a:lstStyle/>
                  <a:p>
                    <a:r>
                      <a:rPr lang="en-US"/>
                      <a:t>37,3</a:t>
                    </a:r>
                    <a:r>
                      <a:rPr lang="lv-LV"/>
                      <a:t> (22,3%)</a:t>
                    </a:r>
                    <a:endParaRPr lang="en-US"/>
                  </a:p>
                </c:rich>
              </c:tx>
              <c:showLegendKey val="0"/>
              <c:showVal val="1"/>
              <c:showCatName val="0"/>
              <c:showSerName val="0"/>
              <c:showPercent val="0"/>
              <c:showBubbleSize val="0"/>
            </c:dLbl>
            <c:dLbl>
              <c:idx val="4"/>
              <c:tx>
                <c:rich>
                  <a:bodyPr/>
                  <a:lstStyle/>
                  <a:p>
                    <a:r>
                      <a:rPr lang="en-US"/>
                      <a:t>288,7</a:t>
                    </a:r>
                    <a:r>
                      <a:rPr lang="lv-LV"/>
                      <a:t> (36,3%)</a:t>
                    </a:r>
                    <a:endParaRPr lang="en-US"/>
                  </a:p>
                </c:rich>
              </c:tx>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'uz 30.09.2012. _web'!$B$3:$B$7</c:f>
              <c:strCache>
                <c:ptCount val="5"/>
                <c:pt idx="0">
                  <c:v>2.2.1.4.2. apakšaktivitāte "Mezanīna aizdevumi investīcijām komersantu konkurētspējas uzlabošanai"</c:v>
                </c:pt>
                <c:pt idx="1">
                  <c:v>2.2.1.4.1. apakšaktivitāte "Atbalsts aizdevumu veidā komersantu konkurētspējas uzlabošanai"</c:v>
                </c:pt>
                <c:pt idx="2">
                  <c:v>2.2.1.3. aktivitāte "Garantijas komersantu konkurētspējas uzlabošanai"*</c:v>
                </c:pt>
                <c:pt idx="3">
                  <c:v>2.2.1.1. aktivitāte "Ieguldījumu fonds investīcijām garantijās, paaugstināta riska aizdevumos, riska kapitāla fondos un cita veida finanšu instrumentos"</c:v>
                </c:pt>
                <c:pt idx="4">
                  <c:v>2.2.prioritātē "Finanšu pieejamība" kopā</c:v>
                </c:pt>
              </c:strCache>
            </c:strRef>
          </c:cat>
          <c:val>
            <c:numRef>
              <c:f>'uz 30.09.2012. _web'!$H$3:$H$7</c:f>
              <c:numCache>
                <c:formatCode>#,##0</c:formatCode>
                <c:ptCount val="5"/>
                <c:pt idx="0">
                  <c:v>10671891.23906612</c:v>
                </c:pt>
                <c:pt idx="1">
                  <c:v>38399336.122063652</c:v>
                </c:pt>
                <c:pt idx="2">
                  <c:v>202312000</c:v>
                </c:pt>
                <c:pt idx="3">
                  <c:v>37270548.951523237</c:v>
                </c:pt>
                <c:pt idx="4">
                  <c:v>288653776.31265301</c:v>
                </c:pt>
              </c:numCache>
            </c:numRef>
          </c:val>
        </c:ser>
        <c:dLbls>
          <c:showLegendKey val="0"/>
          <c:showVal val="0"/>
          <c:showCatName val="0"/>
          <c:showSerName val="0"/>
          <c:showPercent val="0"/>
          <c:showBubbleSize val="0"/>
        </c:dLbls>
        <c:gapWidth val="150"/>
        <c:shape val="box"/>
        <c:axId val="97017216"/>
        <c:axId val="97035392"/>
        <c:axId val="0"/>
      </c:bar3DChart>
      <c:catAx>
        <c:axId val="97017216"/>
        <c:scaling>
          <c:orientation val="minMax"/>
        </c:scaling>
        <c:delete val="0"/>
        <c:axPos val="l"/>
        <c:majorTickMark val="out"/>
        <c:minorTickMark val="none"/>
        <c:tickLblPos val="nextTo"/>
        <c:crossAx val="97035392"/>
        <c:crosses val="autoZero"/>
        <c:auto val="1"/>
        <c:lblAlgn val="ctr"/>
        <c:lblOffset val="100"/>
        <c:noMultiLvlLbl val="0"/>
      </c:catAx>
      <c:valAx>
        <c:axId val="97035392"/>
        <c:scaling>
          <c:orientation val="minMax"/>
        </c:scaling>
        <c:delete val="0"/>
        <c:axPos val="b"/>
        <c:majorGridlines/>
        <c:numFmt formatCode="#,##0" sourceLinked="1"/>
        <c:majorTickMark val="out"/>
        <c:minorTickMark val="none"/>
        <c:tickLblPos val="nextTo"/>
        <c:crossAx val="97017216"/>
        <c:crosses val="autoZero"/>
        <c:crossBetween val="between"/>
        <c:dispUnits>
          <c:builtInUnit val="millions"/>
        </c:dispUnits>
      </c:valAx>
    </c:plotArea>
    <c:legend>
      <c:legendPos val="b"/>
      <c:layout>
        <c:manualLayout>
          <c:xMode val="edge"/>
          <c:yMode val="edge"/>
          <c:x val="0"/>
          <c:y val="0.83102964444022542"/>
          <c:w val="0.99917104111985999"/>
          <c:h val="0.15979503211219334"/>
        </c:manualLayout>
      </c:layout>
      <c:overlay val="0"/>
    </c:legend>
    <c:plotVisOnly val="1"/>
    <c:dispBlanksAs val="gap"/>
    <c:showDLblsOverMax val="0"/>
  </c:chart>
  <c:spPr>
    <a:ln>
      <a:noFill/>
    </a:ln>
  </c:spPr>
  <c:txPr>
    <a:bodyPr/>
    <a:lstStyle/>
    <a:p>
      <a:pPr>
        <a:defRPr sz="1200">
          <a:solidFill>
            <a:sysClr val="windowText" lastClr="000000"/>
          </a:solidFill>
          <a:latin typeface="Times New Roman" pitchFamily="18" charset="0"/>
          <a:cs typeface="Times New Roman" pitchFamily="18" charset="0"/>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46426363371245261"/>
          <c:y val="2.0218004212349538E-2"/>
          <c:w val="0.43735673665791774"/>
          <c:h val="0.8769546945272072"/>
        </c:manualLayout>
      </c:layout>
      <c:bar3DChart>
        <c:barDir val="bar"/>
        <c:grouping val="clustered"/>
        <c:varyColors val="0"/>
        <c:ser>
          <c:idx val="0"/>
          <c:order val="0"/>
          <c:tx>
            <c:strRef>
              <c:f>'3 DP'!$C$17</c:f>
              <c:strCache>
                <c:ptCount val="1"/>
                <c:pt idx="0">
                  <c:v>Veikti maksājumi finansējuma saņēmējiem</c:v>
                </c:pt>
              </c:strCache>
            </c:strRef>
          </c:tx>
          <c:invertIfNegative val="0"/>
          <c:dLbls>
            <c:dLbl>
              <c:idx val="0"/>
              <c:tx>
                <c:rich>
                  <a:bodyPr/>
                  <a:lstStyle/>
                  <a:p>
                    <a:r>
                      <a:rPr lang="en-US" sz="1000"/>
                      <a:t>2,7</a:t>
                    </a:r>
                    <a:r>
                      <a:rPr lang="lv-LV" sz="1000"/>
                      <a:t>(31,1%);2,5%</a:t>
                    </a:r>
                    <a:endParaRPr lang="en-US"/>
                  </a:p>
                </c:rich>
              </c:tx>
              <c:showLegendKey val="0"/>
              <c:showVal val="1"/>
              <c:showCatName val="0"/>
              <c:showSerName val="0"/>
              <c:showPercent val="0"/>
              <c:showBubbleSize val="0"/>
            </c:dLbl>
            <c:dLbl>
              <c:idx val="1"/>
              <c:tx>
                <c:rich>
                  <a:bodyPr/>
                  <a:lstStyle/>
                  <a:p>
                    <a:r>
                      <a:rPr lang="en-US" sz="1000"/>
                      <a:t>17,1</a:t>
                    </a:r>
                    <a:r>
                      <a:rPr lang="lv-LV" sz="1000"/>
                      <a:t>(42,2%);3,6%</a:t>
                    </a:r>
                    <a:endParaRPr lang="en-US"/>
                  </a:p>
                </c:rich>
              </c:tx>
              <c:showLegendKey val="0"/>
              <c:showVal val="1"/>
              <c:showCatName val="0"/>
              <c:showSerName val="0"/>
              <c:showPercent val="0"/>
              <c:showBubbleSize val="0"/>
            </c:dLbl>
            <c:dLbl>
              <c:idx val="2"/>
              <c:tx>
                <c:rich>
                  <a:bodyPr/>
                  <a:lstStyle/>
                  <a:p>
                    <a:r>
                      <a:rPr lang="en-US" sz="1000"/>
                      <a:t>147,9</a:t>
                    </a:r>
                    <a:r>
                      <a:rPr lang="lv-LV" sz="1000"/>
                      <a:t>(54,7%);2,4%</a:t>
                    </a:r>
                    <a:endParaRPr lang="en-US"/>
                  </a:p>
                </c:rich>
              </c:tx>
              <c:showLegendKey val="0"/>
              <c:showVal val="1"/>
              <c:showCatName val="0"/>
              <c:showSerName val="0"/>
              <c:showPercent val="0"/>
              <c:showBubbleSize val="0"/>
            </c:dLbl>
            <c:dLbl>
              <c:idx val="3"/>
              <c:tx>
                <c:rich>
                  <a:bodyPr/>
                  <a:lstStyle/>
                  <a:p>
                    <a:r>
                      <a:rPr lang="en-US" sz="1000"/>
                      <a:t>283,8</a:t>
                    </a:r>
                    <a:r>
                      <a:rPr lang="lv-LV" sz="1000"/>
                      <a:t>(56%);2,6%</a:t>
                    </a:r>
                    <a:endParaRPr lang="en-US"/>
                  </a:p>
                </c:rich>
              </c:tx>
              <c:showLegendKey val="0"/>
              <c:showVal val="1"/>
              <c:showCatName val="0"/>
              <c:showSerName val="0"/>
              <c:showPercent val="0"/>
              <c:showBubbleSize val="0"/>
            </c:dLbl>
            <c:dLbl>
              <c:idx val="4"/>
              <c:tx>
                <c:rich>
                  <a:bodyPr/>
                  <a:lstStyle/>
                  <a:p>
                    <a:r>
                      <a:rPr lang="en-US" sz="1000"/>
                      <a:t>93,6</a:t>
                    </a:r>
                    <a:r>
                      <a:rPr lang="lv-LV" sz="1000"/>
                      <a:t>(32,7%)</a:t>
                    </a:r>
                    <a:endParaRPr lang="en-US"/>
                  </a:p>
                </c:rich>
              </c:tx>
              <c:showLegendKey val="0"/>
              <c:showVal val="1"/>
              <c:showCatName val="0"/>
              <c:showSerName val="0"/>
              <c:showPercent val="0"/>
              <c:showBubbleSize val="0"/>
            </c:dLbl>
            <c:dLbl>
              <c:idx val="5"/>
              <c:tx>
                <c:rich>
                  <a:bodyPr/>
                  <a:lstStyle/>
                  <a:p>
                    <a:r>
                      <a:rPr lang="en-US" sz="1000"/>
                      <a:t>259,6</a:t>
                    </a:r>
                    <a:r>
                      <a:rPr lang="lv-LV" sz="1000"/>
                      <a:t>(37,8%);2,1%</a:t>
                    </a:r>
                    <a:endParaRPr lang="en-US"/>
                  </a:p>
                </c:rich>
              </c:tx>
              <c:showLegendKey val="0"/>
              <c:showVal val="1"/>
              <c:showCatName val="0"/>
              <c:showSerName val="0"/>
              <c:showPercent val="0"/>
              <c:showBubbleSize val="0"/>
            </c:dLbl>
            <c:dLbl>
              <c:idx val="6"/>
              <c:tx>
                <c:rich>
                  <a:bodyPr/>
                  <a:lstStyle/>
                  <a:p>
                    <a:r>
                      <a:rPr lang="en-US" sz="1000"/>
                      <a:t>161,8</a:t>
                    </a:r>
                    <a:r>
                      <a:rPr lang="lv-LV" sz="1000"/>
                      <a:t>(37,4%);1,8%</a:t>
                    </a:r>
                    <a:endParaRPr lang="en-US"/>
                  </a:p>
                </c:rich>
              </c:tx>
              <c:showLegendKey val="0"/>
              <c:showVal val="1"/>
              <c:showCatName val="0"/>
              <c:showSerName val="0"/>
              <c:showPercent val="0"/>
              <c:showBubbleSize val="0"/>
            </c:dLbl>
            <c:dLbl>
              <c:idx val="7"/>
              <c:tx>
                <c:rich>
                  <a:bodyPr/>
                  <a:lstStyle/>
                  <a:p>
                    <a:r>
                      <a:rPr lang="en-US" sz="1000"/>
                      <a:t>227,2</a:t>
                    </a:r>
                    <a:r>
                      <a:rPr lang="lv-LV" sz="1000"/>
                      <a:t>(49,4%);3,9%</a:t>
                    </a:r>
                    <a:endParaRPr lang="en-US"/>
                  </a:p>
                </c:rich>
              </c:tx>
              <c:showLegendKey val="0"/>
              <c:showVal val="1"/>
              <c:showCatName val="0"/>
              <c:showSerName val="0"/>
              <c:showPercent val="0"/>
              <c:showBubbleSize val="0"/>
            </c:dLbl>
            <c:dLbl>
              <c:idx val="8"/>
              <c:tx>
                <c:rich>
                  <a:bodyPr/>
                  <a:lstStyle/>
                  <a:p>
                    <a:r>
                      <a:rPr lang="en-US" sz="1000"/>
                      <a:t>1 193,8</a:t>
                    </a:r>
                    <a:r>
                      <a:rPr lang="lv-LV" sz="1000"/>
                      <a:t>(44,4%)2,6%</a:t>
                    </a:r>
                    <a:endParaRPr lang="en-US"/>
                  </a:p>
                </c:rich>
              </c:tx>
              <c:showLegendKey val="0"/>
              <c:showVal val="1"/>
              <c:showCatName val="0"/>
              <c:showSerName val="0"/>
              <c:showPercent val="0"/>
              <c:showBubbleSize val="0"/>
            </c:dLbl>
            <c:numFmt formatCode="#,##0.0" sourceLinked="0"/>
            <c:txPr>
              <a:bodyPr/>
              <a:lstStyle/>
              <a:p>
                <a:pPr>
                  <a:defRPr sz="1000"/>
                </a:pPr>
                <a:endParaRPr lang="lv-LV"/>
              </a:p>
            </c:txPr>
            <c:showLegendKey val="0"/>
            <c:showVal val="1"/>
            <c:showCatName val="0"/>
            <c:showSerName val="0"/>
            <c:showPercent val="0"/>
            <c:showBubbleSize val="0"/>
            <c:showLeaderLines val="0"/>
          </c:dLbls>
          <c:cat>
            <c:strRef>
              <c:f>'3 DP'!$B$18:$B$26</c:f>
              <c:strCache>
                <c:ptCount val="9"/>
                <c:pt idx="0">
                  <c:v>Tehniskā palīdzība KF ieviešanai</c:v>
                </c:pt>
                <c:pt idx="1">
                  <c:v>Tehniskā palīdzība ERAF ieviešanai</c:v>
                </c:pt>
                <c:pt idx="2">
                  <c:v>Policentriska attīstība</c:v>
                </c:pt>
                <c:pt idx="3">
                  <c:v>Vides infrastruktūras un videi draudzīgas enerģētikas veicināšana</c:v>
                </c:pt>
                <c:pt idx="4">
                  <c:v>Kvalitatīvas vides dzīvei un ekonomiskai aktivitātei nodrošināšana</c:v>
                </c:pt>
                <c:pt idx="5">
                  <c:v>Eiropas nozīmes transporta tīklu attīstība un ilgtspējīga transporta veicināšana</c:v>
                </c:pt>
                <c:pt idx="6">
                  <c:v>Teritoriju pieejamības un sasniedzamības veicināšana</c:v>
                </c:pt>
                <c:pt idx="7">
                  <c:v>Infrastruktūra cilvēku kapitāla nostiprināšanai</c:v>
                </c:pt>
                <c:pt idx="8">
                  <c:v>DP "Infrastruktūra un pakalpojumi" kopā</c:v>
                </c:pt>
              </c:strCache>
            </c:strRef>
          </c:cat>
          <c:val>
            <c:numRef>
              <c:f>'3 DP'!$C$18:$C$26</c:f>
              <c:numCache>
                <c:formatCode>#,##0_ ;\-#,##0\ </c:formatCode>
                <c:ptCount val="9"/>
                <c:pt idx="0">
                  <c:v>2664843.85</c:v>
                </c:pt>
                <c:pt idx="1">
                  <c:v>17096625.25</c:v>
                </c:pt>
                <c:pt idx="2">
                  <c:v>147934759.52000001</c:v>
                </c:pt>
                <c:pt idx="3">
                  <c:v>283847714.5</c:v>
                </c:pt>
                <c:pt idx="4">
                  <c:v>93625309.579999998</c:v>
                </c:pt>
                <c:pt idx="5">
                  <c:v>259604741.46000001</c:v>
                </c:pt>
                <c:pt idx="6">
                  <c:v>161820034.52000001</c:v>
                </c:pt>
                <c:pt idx="7">
                  <c:v>227187882.96000001</c:v>
                </c:pt>
                <c:pt idx="8">
                  <c:v>1193781911.6400001</c:v>
                </c:pt>
              </c:numCache>
            </c:numRef>
          </c:val>
        </c:ser>
        <c:ser>
          <c:idx val="1"/>
          <c:order val="1"/>
          <c:tx>
            <c:strRef>
              <c:f>'3 DP'!$D$17</c:f>
              <c:strCache>
                <c:ptCount val="1"/>
                <c:pt idx="0">
                  <c:v>Noslēgti līgumi</c:v>
                </c:pt>
              </c:strCache>
            </c:strRef>
          </c:tx>
          <c:invertIfNegative val="0"/>
          <c:dLbls>
            <c:dLbl>
              <c:idx val="0"/>
              <c:tx>
                <c:rich>
                  <a:bodyPr/>
                  <a:lstStyle/>
                  <a:p>
                    <a:r>
                      <a:rPr lang="en-US" sz="1000"/>
                      <a:t>6,4</a:t>
                    </a:r>
                    <a:r>
                      <a:rPr lang="lv-LV" sz="1000"/>
                      <a:t>(74,5%);0%</a:t>
                    </a:r>
                    <a:endParaRPr lang="en-US"/>
                  </a:p>
                </c:rich>
              </c:tx>
              <c:showLegendKey val="0"/>
              <c:showVal val="1"/>
              <c:showCatName val="0"/>
              <c:showSerName val="0"/>
              <c:showPercent val="0"/>
              <c:showBubbleSize val="0"/>
            </c:dLbl>
            <c:dLbl>
              <c:idx val="1"/>
              <c:tx>
                <c:rich>
                  <a:bodyPr/>
                  <a:lstStyle/>
                  <a:p>
                    <a:r>
                      <a:rPr lang="en-US" sz="1000"/>
                      <a:t>35,6</a:t>
                    </a:r>
                    <a:r>
                      <a:rPr lang="lv-LV" sz="1000"/>
                      <a:t>(8%);0%</a:t>
                    </a:r>
                    <a:endParaRPr lang="en-US"/>
                  </a:p>
                </c:rich>
              </c:tx>
              <c:showLegendKey val="0"/>
              <c:showVal val="1"/>
              <c:showCatName val="0"/>
              <c:showSerName val="0"/>
              <c:showPercent val="0"/>
              <c:showBubbleSize val="0"/>
            </c:dLbl>
            <c:dLbl>
              <c:idx val="2"/>
              <c:tx>
                <c:rich>
                  <a:bodyPr/>
                  <a:lstStyle/>
                  <a:p>
                    <a:r>
                      <a:rPr lang="en-US" sz="1000"/>
                      <a:t>205,2</a:t>
                    </a:r>
                    <a:r>
                      <a:rPr lang="lv-LV" sz="1000"/>
                      <a:t>(75,8%);0,6%</a:t>
                    </a:r>
                    <a:endParaRPr lang="en-US"/>
                  </a:p>
                </c:rich>
              </c:tx>
              <c:showLegendKey val="0"/>
              <c:showVal val="1"/>
              <c:showCatName val="0"/>
              <c:showSerName val="0"/>
              <c:showPercent val="0"/>
              <c:showBubbleSize val="0"/>
            </c:dLbl>
            <c:dLbl>
              <c:idx val="3"/>
              <c:tx>
                <c:rich>
                  <a:bodyPr/>
                  <a:lstStyle/>
                  <a:p>
                    <a:r>
                      <a:rPr lang="en-US" sz="1000"/>
                      <a:t>416,7</a:t>
                    </a:r>
                    <a:r>
                      <a:rPr lang="lv-LV" sz="1000"/>
                      <a:t>(82,2%);5%</a:t>
                    </a:r>
                    <a:endParaRPr lang="en-US"/>
                  </a:p>
                </c:rich>
              </c:tx>
              <c:showLegendKey val="0"/>
              <c:showVal val="1"/>
              <c:showCatName val="0"/>
              <c:showSerName val="0"/>
              <c:showPercent val="0"/>
              <c:showBubbleSize val="0"/>
            </c:dLbl>
            <c:dLbl>
              <c:idx val="4"/>
              <c:tx>
                <c:rich>
                  <a:bodyPr/>
                  <a:lstStyle/>
                  <a:p>
                    <a:r>
                      <a:rPr lang="en-US" sz="1000"/>
                      <a:t>209,3</a:t>
                    </a:r>
                    <a:r>
                      <a:rPr lang="lv-LV" sz="1000"/>
                      <a:t>(73,1%);2,6%</a:t>
                    </a:r>
                    <a:endParaRPr lang="en-US"/>
                  </a:p>
                </c:rich>
              </c:tx>
              <c:showLegendKey val="0"/>
              <c:showVal val="1"/>
              <c:showCatName val="0"/>
              <c:showSerName val="0"/>
              <c:showPercent val="0"/>
              <c:showBubbleSize val="0"/>
            </c:dLbl>
            <c:dLbl>
              <c:idx val="5"/>
              <c:tx>
                <c:rich>
                  <a:bodyPr/>
                  <a:lstStyle/>
                  <a:p>
                    <a:r>
                      <a:rPr lang="en-US" sz="1000"/>
                      <a:t>640,2</a:t>
                    </a:r>
                    <a:r>
                      <a:rPr lang="lv-LV" sz="1000"/>
                      <a:t>(93,3%);1,7%</a:t>
                    </a:r>
                    <a:endParaRPr lang="en-US"/>
                  </a:p>
                </c:rich>
              </c:tx>
              <c:showLegendKey val="0"/>
              <c:showVal val="1"/>
              <c:showCatName val="0"/>
              <c:showSerName val="0"/>
              <c:showPercent val="0"/>
              <c:showBubbleSize val="0"/>
            </c:dLbl>
            <c:dLbl>
              <c:idx val="6"/>
              <c:tx>
                <c:rich>
                  <a:bodyPr/>
                  <a:lstStyle/>
                  <a:p>
                    <a:r>
                      <a:rPr lang="en-US" sz="1000"/>
                      <a:t>365,0</a:t>
                    </a:r>
                    <a:r>
                      <a:rPr lang="lv-LV" sz="1000"/>
                      <a:t>(84,4%);5,8%</a:t>
                    </a:r>
                    <a:endParaRPr lang="en-US"/>
                  </a:p>
                </c:rich>
              </c:tx>
              <c:showLegendKey val="0"/>
              <c:showVal val="1"/>
              <c:showCatName val="0"/>
              <c:showSerName val="0"/>
              <c:showPercent val="0"/>
              <c:showBubbleSize val="0"/>
            </c:dLbl>
            <c:dLbl>
              <c:idx val="7"/>
              <c:tx>
                <c:rich>
                  <a:bodyPr/>
                  <a:lstStyle/>
                  <a:p>
                    <a:r>
                      <a:rPr lang="en-US" sz="1000"/>
                      <a:t>354,5</a:t>
                    </a:r>
                    <a:r>
                      <a:rPr lang="lv-LV" sz="1000"/>
                      <a:t>(77,1%);-1,1%</a:t>
                    </a:r>
                    <a:endParaRPr lang="en-US"/>
                  </a:p>
                </c:rich>
              </c:tx>
              <c:showLegendKey val="0"/>
              <c:showVal val="1"/>
              <c:showCatName val="0"/>
              <c:showSerName val="0"/>
              <c:showPercent val="0"/>
              <c:showBubbleSize val="0"/>
            </c:dLbl>
            <c:dLbl>
              <c:idx val="8"/>
              <c:tx>
                <c:rich>
                  <a:bodyPr/>
                  <a:lstStyle/>
                  <a:p>
                    <a:r>
                      <a:rPr lang="en-US" sz="1000"/>
                      <a:t>2 233,0</a:t>
                    </a:r>
                    <a:r>
                      <a:rPr lang="lv-LV" sz="1000"/>
                      <a:t>(83,0%);2,5%</a:t>
                    </a:r>
                    <a:endParaRPr lang="en-US"/>
                  </a:p>
                </c:rich>
              </c:tx>
              <c:showLegendKey val="0"/>
              <c:showVal val="1"/>
              <c:showCatName val="0"/>
              <c:showSerName val="0"/>
              <c:showPercent val="0"/>
              <c:showBubbleSize val="0"/>
            </c:dLbl>
            <c:numFmt formatCode="#,##0.0" sourceLinked="0"/>
            <c:txPr>
              <a:bodyPr/>
              <a:lstStyle/>
              <a:p>
                <a:pPr>
                  <a:defRPr sz="1000"/>
                </a:pPr>
                <a:endParaRPr lang="lv-LV"/>
              </a:p>
            </c:txPr>
            <c:showLegendKey val="0"/>
            <c:showVal val="1"/>
            <c:showCatName val="0"/>
            <c:showSerName val="0"/>
            <c:showPercent val="0"/>
            <c:showBubbleSize val="0"/>
            <c:showLeaderLines val="0"/>
          </c:dLbls>
          <c:cat>
            <c:strRef>
              <c:f>'3 DP'!$B$18:$B$26</c:f>
              <c:strCache>
                <c:ptCount val="9"/>
                <c:pt idx="0">
                  <c:v>Tehniskā palīdzība KF ieviešanai</c:v>
                </c:pt>
                <c:pt idx="1">
                  <c:v>Tehniskā palīdzība ERAF ieviešanai</c:v>
                </c:pt>
                <c:pt idx="2">
                  <c:v>Policentriska attīstība</c:v>
                </c:pt>
                <c:pt idx="3">
                  <c:v>Vides infrastruktūras un videi draudzīgas enerģētikas veicināšana</c:v>
                </c:pt>
                <c:pt idx="4">
                  <c:v>Kvalitatīvas vides dzīvei un ekonomiskai aktivitātei nodrošināšana</c:v>
                </c:pt>
                <c:pt idx="5">
                  <c:v>Eiropas nozīmes transporta tīklu attīstība un ilgtspējīga transporta veicināšana</c:v>
                </c:pt>
                <c:pt idx="6">
                  <c:v>Teritoriju pieejamības un sasniedzamības veicināšana</c:v>
                </c:pt>
                <c:pt idx="7">
                  <c:v>Infrastruktūra cilvēku kapitāla nostiprināšanai</c:v>
                </c:pt>
                <c:pt idx="8">
                  <c:v>DP "Infrastruktūra un pakalpojumi" kopā</c:v>
                </c:pt>
              </c:strCache>
            </c:strRef>
          </c:cat>
          <c:val>
            <c:numRef>
              <c:f>'3 DP'!$D$18:$D$26</c:f>
              <c:numCache>
                <c:formatCode>#,##0_ ;\-#,##0\ </c:formatCode>
                <c:ptCount val="9"/>
                <c:pt idx="0">
                  <c:v>6390247.2300000004</c:v>
                </c:pt>
                <c:pt idx="1">
                  <c:v>35649158.560000002</c:v>
                </c:pt>
                <c:pt idx="2">
                  <c:v>205183775.88999999</c:v>
                </c:pt>
                <c:pt idx="3">
                  <c:v>416728241.64999998</c:v>
                </c:pt>
                <c:pt idx="4">
                  <c:v>209333862.22</c:v>
                </c:pt>
                <c:pt idx="5">
                  <c:v>640182029.01999998</c:v>
                </c:pt>
                <c:pt idx="6">
                  <c:v>364997530.43000001</c:v>
                </c:pt>
                <c:pt idx="7">
                  <c:v>354535992.30000001</c:v>
                </c:pt>
                <c:pt idx="8">
                  <c:v>2233000837.2999997</c:v>
                </c:pt>
              </c:numCache>
            </c:numRef>
          </c:val>
        </c:ser>
        <c:ser>
          <c:idx val="2"/>
          <c:order val="2"/>
          <c:tx>
            <c:strRef>
              <c:f>'3 DP'!$E$17</c:f>
              <c:strCache>
                <c:ptCount val="1"/>
                <c:pt idx="0">
                  <c:v>Apstiprināti projekti</c:v>
                </c:pt>
              </c:strCache>
            </c:strRef>
          </c:tx>
          <c:invertIfNegative val="0"/>
          <c:dLbls>
            <c:dLbl>
              <c:idx val="0"/>
              <c:tx>
                <c:rich>
                  <a:bodyPr/>
                  <a:lstStyle/>
                  <a:p>
                    <a:r>
                      <a:rPr lang="en-US" sz="1000"/>
                      <a:t>6,4</a:t>
                    </a:r>
                    <a:r>
                      <a:rPr lang="lv-LV" sz="1000"/>
                      <a:t>(74,5%);0%</a:t>
                    </a:r>
                    <a:endParaRPr lang="en-US"/>
                  </a:p>
                </c:rich>
              </c:tx>
              <c:showLegendKey val="0"/>
              <c:showVal val="1"/>
              <c:showCatName val="0"/>
              <c:showSerName val="0"/>
              <c:showPercent val="0"/>
              <c:showBubbleSize val="0"/>
            </c:dLbl>
            <c:dLbl>
              <c:idx val="1"/>
              <c:tx>
                <c:rich>
                  <a:bodyPr/>
                  <a:lstStyle/>
                  <a:p>
                    <a:r>
                      <a:rPr lang="en-US" sz="1000"/>
                      <a:t>35,6</a:t>
                    </a:r>
                    <a:r>
                      <a:rPr lang="lv-LV" sz="1000"/>
                      <a:t>(88%);0%</a:t>
                    </a:r>
                    <a:endParaRPr lang="en-US"/>
                  </a:p>
                </c:rich>
              </c:tx>
              <c:showLegendKey val="0"/>
              <c:showVal val="1"/>
              <c:showCatName val="0"/>
              <c:showSerName val="0"/>
              <c:showPercent val="0"/>
              <c:showBubbleSize val="0"/>
            </c:dLbl>
            <c:dLbl>
              <c:idx val="2"/>
              <c:tx>
                <c:rich>
                  <a:bodyPr/>
                  <a:lstStyle/>
                  <a:p>
                    <a:r>
                      <a:rPr lang="en-US" sz="1000"/>
                      <a:t>206,6</a:t>
                    </a:r>
                    <a:r>
                      <a:rPr lang="lv-LV" sz="1000"/>
                      <a:t>(76,4%);1%</a:t>
                    </a:r>
                    <a:endParaRPr lang="en-US"/>
                  </a:p>
                </c:rich>
              </c:tx>
              <c:showLegendKey val="0"/>
              <c:showVal val="1"/>
              <c:showCatName val="0"/>
              <c:showSerName val="0"/>
              <c:showPercent val="0"/>
              <c:showBubbleSize val="0"/>
            </c:dLbl>
            <c:dLbl>
              <c:idx val="3"/>
              <c:tx>
                <c:rich>
                  <a:bodyPr/>
                  <a:lstStyle/>
                  <a:p>
                    <a:r>
                      <a:rPr lang="en-US" sz="1000"/>
                      <a:t>430,7</a:t>
                    </a:r>
                    <a:r>
                      <a:rPr lang="lv-LV" sz="1000"/>
                      <a:t>(85%);1,1%</a:t>
                    </a:r>
                    <a:endParaRPr lang="en-US"/>
                  </a:p>
                </c:rich>
              </c:tx>
              <c:showLegendKey val="0"/>
              <c:showVal val="1"/>
              <c:showCatName val="0"/>
              <c:showSerName val="0"/>
              <c:showPercent val="0"/>
              <c:showBubbleSize val="0"/>
            </c:dLbl>
            <c:dLbl>
              <c:idx val="4"/>
              <c:tx>
                <c:rich>
                  <a:bodyPr/>
                  <a:lstStyle/>
                  <a:p>
                    <a:r>
                      <a:rPr lang="en-US" sz="1000"/>
                      <a:t>219,3</a:t>
                    </a:r>
                    <a:r>
                      <a:rPr lang="lv-LV" sz="1000"/>
                      <a:t>(76,6%);0,9%</a:t>
                    </a:r>
                    <a:endParaRPr lang="en-US"/>
                  </a:p>
                </c:rich>
              </c:tx>
              <c:showLegendKey val="0"/>
              <c:showVal val="1"/>
              <c:showCatName val="0"/>
              <c:showSerName val="0"/>
              <c:showPercent val="0"/>
              <c:showBubbleSize val="0"/>
            </c:dLbl>
            <c:dLbl>
              <c:idx val="5"/>
              <c:tx>
                <c:rich>
                  <a:bodyPr/>
                  <a:lstStyle/>
                  <a:p>
                    <a:r>
                      <a:rPr lang="en-US" sz="1000"/>
                      <a:t>668,5</a:t>
                    </a:r>
                    <a:r>
                      <a:rPr lang="lv-LV" sz="1000"/>
                      <a:t>(97,4%);4,4%</a:t>
                    </a:r>
                    <a:endParaRPr lang="en-US"/>
                  </a:p>
                </c:rich>
              </c:tx>
              <c:showLegendKey val="0"/>
              <c:showVal val="1"/>
              <c:showCatName val="0"/>
              <c:showSerName val="0"/>
              <c:showPercent val="0"/>
              <c:showBubbleSize val="0"/>
            </c:dLbl>
            <c:dLbl>
              <c:idx val="6"/>
              <c:tx>
                <c:rich>
                  <a:bodyPr/>
                  <a:lstStyle/>
                  <a:p>
                    <a:r>
                      <a:rPr lang="en-US" sz="1000"/>
                      <a:t>402,0</a:t>
                    </a:r>
                    <a:r>
                      <a:rPr lang="lv-LV" sz="1000"/>
                      <a:t>(93%);9,3%</a:t>
                    </a:r>
                    <a:endParaRPr lang="en-US"/>
                  </a:p>
                </c:rich>
              </c:tx>
              <c:showLegendKey val="0"/>
              <c:showVal val="1"/>
              <c:showCatName val="0"/>
              <c:showSerName val="0"/>
              <c:showPercent val="0"/>
              <c:showBubbleSize val="0"/>
            </c:dLbl>
            <c:dLbl>
              <c:idx val="7"/>
              <c:tx>
                <c:rich>
                  <a:bodyPr/>
                  <a:lstStyle/>
                  <a:p>
                    <a:r>
                      <a:rPr lang="en-US" sz="1000"/>
                      <a:t>354,5</a:t>
                    </a:r>
                    <a:r>
                      <a:rPr lang="lv-LV" sz="1000"/>
                      <a:t>(77,1%);-1,1%</a:t>
                    </a:r>
                    <a:endParaRPr lang="en-US"/>
                  </a:p>
                </c:rich>
              </c:tx>
              <c:showLegendKey val="0"/>
              <c:showVal val="1"/>
              <c:showCatName val="0"/>
              <c:showSerName val="0"/>
              <c:showPercent val="0"/>
              <c:showBubbleSize val="0"/>
            </c:dLbl>
            <c:dLbl>
              <c:idx val="8"/>
              <c:tx>
                <c:rich>
                  <a:bodyPr/>
                  <a:lstStyle/>
                  <a:p>
                    <a:r>
                      <a:rPr lang="en-US" sz="1000"/>
                      <a:t>2 323,7</a:t>
                    </a:r>
                    <a:r>
                      <a:rPr lang="lv-LV" sz="1000"/>
                      <a:t>(86,4%);2,9%</a:t>
                    </a:r>
                    <a:endParaRPr lang="en-US"/>
                  </a:p>
                </c:rich>
              </c:tx>
              <c:showLegendKey val="0"/>
              <c:showVal val="1"/>
              <c:showCatName val="0"/>
              <c:showSerName val="0"/>
              <c:showPercent val="0"/>
              <c:showBubbleSize val="0"/>
            </c:dLbl>
            <c:numFmt formatCode="#,##0.0" sourceLinked="0"/>
            <c:txPr>
              <a:bodyPr/>
              <a:lstStyle/>
              <a:p>
                <a:pPr>
                  <a:defRPr sz="1000"/>
                </a:pPr>
                <a:endParaRPr lang="lv-LV"/>
              </a:p>
            </c:txPr>
            <c:showLegendKey val="0"/>
            <c:showVal val="1"/>
            <c:showCatName val="0"/>
            <c:showSerName val="0"/>
            <c:showPercent val="0"/>
            <c:showBubbleSize val="0"/>
            <c:showLeaderLines val="0"/>
          </c:dLbls>
          <c:cat>
            <c:strRef>
              <c:f>'3 DP'!$B$18:$B$26</c:f>
              <c:strCache>
                <c:ptCount val="9"/>
                <c:pt idx="0">
                  <c:v>Tehniskā palīdzība KF ieviešanai</c:v>
                </c:pt>
                <c:pt idx="1">
                  <c:v>Tehniskā palīdzība ERAF ieviešanai</c:v>
                </c:pt>
                <c:pt idx="2">
                  <c:v>Policentriska attīstība</c:v>
                </c:pt>
                <c:pt idx="3">
                  <c:v>Vides infrastruktūras un videi draudzīgas enerģētikas veicināšana</c:v>
                </c:pt>
                <c:pt idx="4">
                  <c:v>Kvalitatīvas vides dzīvei un ekonomiskai aktivitātei nodrošināšana</c:v>
                </c:pt>
                <c:pt idx="5">
                  <c:v>Eiropas nozīmes transporta tīklu attīstība un ilgtspējīga transporta veicināšana</c:v>
                </c:pt>
                <c:pt idx="6">
                  <c:v>Teritoriju pieejamības un sasniedzamības veicināšana</c:v>
                </c:pt>
                <c:pt idx="7">
                  <c:v>Infrastruktūra cilvēku kapitāla nostiprināšanai</c:v>
                </c:pt>
                <c:pt idx="8">
                  <c:v>DP "Infrastruktūra un pakalpojumi" kopā</c:v>
                </c:pt>
              </c:strCache>
            </c:strRef>
          </c:cat>
          <c:val>
            <c:numRef>
              <c:f>'3 DP'!$E$18:$E$26</c:f>
              <c:numCache>
                <c:formatCode>#,##0_ ;\-#,##0\ </c:formatCode>
                <c:ptCount val="9"/>
                <c:pt idx="0">
                  <c:v>6390247.2300000004</c:v>
                </c:pt>
                <c:pt idx="1">
                  <c:v>35649158.560000002</c:v>
                </c:pt>
                <c:pt idx="2">
                  <c:v>206622960.68000001</c:v>
                </c:pt>
                <c:pt idx="3">
                  <c:v>430710597.12</c:v>
                </c:pt>
                <c:pt idx="4">
                  <c:v>219264453.03</c:v>
                </c:pt>
                <c:pt idx="5">
                  <c:v>668539021.01999998</c:v>
                </c:pt>
                <c:pt idx="6">
                  <c:v>401973156.52999997</c:v>
                </c:pt>
                <c:pt idx="7">
                  <c:v>354535992.30000001</c:v>
                </c:pt>
                <c:pt idx="8">
                  <c:v>2323685586.4699998</c:v>
                </c:pt>
              </c:numCache>
            </c:numRef>
          </c:val>
        </c:ser>
        <c:ser>
          <c:idx val="3"/>
          <c:order val="3"/>
          <c:tx>
            <c:strRef>
              <c:f>'3 DP'!$F$17</c:f>
              <c:strCache>
                <c:ptCount val="1"/>
                <c:pt idx="0">
                  <c:v>Kopā pieejamais publiskais finansējums (ieskaitot virssaistības)</c:v>
                </c:pt>
              </c:strCache>
            </c:strRef>
          </c:tx>
          <c:invertIfNegative val="0"/>
          <c:dLbls>
            <c:dLbl>
              <c:idx val="0"/>
              <c:tx>
                <c:rich>
                  <a:bodyPr/>
                  <a:lstStyle/>
                  <a:p>
                    <a:r>
                      <a:rPr lang="en-US" sz="1000"/>
                      <a:t>8,6</a:t>
                    </a:r>
                    <a:r>
                      <a:rPr lang="lv-LV" sz="1000" b="0" i="0" u="none" strike="noStrike" baseline="0">
                        <a:effectLst/>
                      </a:rPr>
                      <a:t>(100%)</a:t>
                    </a:r>
                    <a:endParaRPr lang="en-US"/>
                  </a:p>
                </c:rich>
              </c:tx>
              <c:showLegendKey val="0"/>
              <c:showVal val="1"/>
              <c:showCatName val="0"/>
              <c:showSerName val="0"/>
              <c:showPercent val="0"/>
              <c:showBubbleSize val="0"/>
            </c:dLbl>
            <c:dLbl>
              <c:idx val="1"/>
              <c:tx>
                <c:rich>
                  <a:bodyPr/>
                  <a:lstStyle/>
                  <a:p>
                    <a:r>
                      <a:rPr lang="en-US" sz="1000"/>
                      <a:t>40,5</a:t>
                    </a:r>
                    <a:r>
                      <a:rPr lang="lv-LV" sz="1000" b="0" i="0" u="none" strike="noStrike" baseline="0">
                        <a:effectLst/>
                      </a:rPr>
                      <a:t>(100%)</a:t>
                    </a:r>
                    <a:endParaRPr lang="en-US"/>
                  </a:p>
                </c:rich>
              </c:tx>
              <c:showLegendKey val="0"/>
              <c:showVal val="1"/>
              <c:showCatName val="0"/>
              <c:showSerName val="0"/>
              <c:showPercent val="0"/>
              <c:showBubbleSize val="0"/>
            </c:dLbl>
            <c:dLbl>
              <c:idx val="2"/>
              <c:tx>
                <c:rich>
                  <a:bodyPr/>
                  <a:lstStyle/>
                  <a:p>
                    <a:r>
                      <a:rPr lang="en-US" sz="1000"/>
                      <a:t>270,5</a:t>
                    </a:r>
                    <a:r>
                      <a:rPr lang="lv-LV" sz="1000" b="0" i="0" u="none" strike="noStrike" baseline="0">
                        <a:effectLst/>
                      </a:rPr>
                      <a:t>(100%)</a:t>
                    </a:r>
                    <a:endParaRPr lang="en-US"/>
                  </a:p>
                </c:rich>
              </c:tx>
              <c:showLegendKey val="0"/>
              <c:showVal val="1"/>
              <c:showCatName val="0"/>
              <c:showSerName val="0"/>
              <c:showPercent val="0"/>
              <c:showBubbleSize val="0"/>
            </c:dLbl>
            <c:dLbl>
              <c:idx val="3"/>
              <c:tx>
                <c:rich>
                  <a:bodyPr/>
                  <a:lstStyle/>
                  <a:p>
                    <a:r>
                      <a:rPr lang="en-US" sz="1000"/>
                      <a:t>506,8</a:t>
                    </a:r>
                    <a:r>
                      <a:rPr lang="lv-LV" sz="1000" b="0" i="0" u="none" strike="noStrike" baseline="0">
                        <a:effectLst/>
                      </a:rPr>
                      <a:t>(100%)</a:t>
                    </a:r>
                    <a:endParaRPr lang="en-US"/>
                  </a:p>
                </c:rich>
              </c:tx>
              <c:showLegendKey val="0"/>
              <c:showVal val="1"/>
              <c:showCatName val="0"/>
              <c:showSerName val="0"/>
              <c:showPercent val="0"/>
              <c:showBubbleSize val="0"/>
            </c:dLbl>
            <c:dLbl>
              <c:idx val="4"/>
              <c:tx>
                <c:rich>
                  <a:bodyPr/>
                  <a:lstStyle/>
                  <a:p>
                    <a:r>
                      <a:rPr lang="en-US" sz="1000"/>
                      <a:t>286,2</a:t>
                    </a:r>
                    <a:r>
                      <a:rPr lang="lv-LV" sz="1000" b="0" i="0" u="none" strike="noStrike" baseline="0">
                        <a:effectLst/>
                      </a:rPr>
                      <a:t>(100%)</a:t>
                    </a:r>
                    <a:endParaRPr lang="en-US"/>
                  </a:p>
                </c:rich>
              </c:tx>
              <c:showLegendKey val="0"/>
              <c:showVal val="1"/>
              <c:showCatName val="0"/>
              <c:showSerName val="0"/>
              <c:showPercent val="0"/>
              <c:showBubbleSize val="0"/>
            </c:dLbl>
            <c:dLbl>
              <c:idx val="5"/>
              <c:tx>
                <c:rich>
                  <a:bodyPr/>
                  <a:lstStyle/>
                  <a:p>
                    <a:r>
                      <a:rPr lang="en-US" sz="1000"/>
                      <a:t>686,1</a:t>
                    </a:r>
                    <a:r>
                      <a:rPr lang="lv-LV" sz="1000" b="0" i="0" u="none" strike="noStrike" baseline="0">
                        <a:effectLst/>
                      </a:rPr>
                      <a:t>(100%)</a:t>
                    </a:r>
                    <a:endParaRPr lang="en-US"/>
                  </a:p>
                </c:rich>
              </c:tx>
              <c:showLegendKey val="0"/>
              <c:showVal val="1"/>
              <c:showCatName val="0"/>
              <c:showSerName val="0"/>
              <c:showPercent val="0"/>
              <c:showBubbleSize val="0"/>
            </c:dLbl>
            <c:dLbl>
              <c:idx val="6"/>
              <c:tx>
                <c:rich>
                  <a:bodyPr/>
                  <a:lstStyle/>
                  <a:p>
                    <a:r>
                      <a:rPr lang="en-US" sz="1000"/>
                      <a:t>432,3</a:t>
                    </a:r>
                    <a:r>
                      <a:rPr lang="lv-LV" sz="1000" b="0" i="0" u="none" strike="noStrike" baseline="0">
                        <a:effectLst/>
                      </a:rPr>
                      <a:t>(100%)</a:t>
                    </a:r>
                    <a:endParaRPr lang="en-US"/>
                  </a:p>
                </c:rich>
              </c:tx>
              <c:showLegendKey val="0"/>
              <c:showVal val="1"/>
              <c:showCatName val="0"/>
              <c:showSerName val="0"/>
              <c:showPercent val="0"/>
              <c:showBubbleSize val="0"/>
            </c:dLbl>
            <c:dLbl>
              <c:idx val="7"/>
              <c:tx>
                <c:rich>
                  <a:bodyPr/>
                  <a:lstStyle/>
                  <a:p>
                    <a:r>
                      <a:rPr lang="en-US" sz="1000"/>
                      <a:t>459,8</a:t>
                    </a:r>
                    <a:r>
                      <a:rPr lang="lv-LV" sz="1000" b="0" i="0" u="none" strike="noStrike" baseline="0">
                        <a:effectLst/>
                      </a:rPr>
                      <a:t>(100%)</a:t>
                    </a:r>
                    <a:endParaRPr lang="en-US"/>
                  </a:p>
                </c:rich>
              </c:tx>
              <c:showLegendKey val="0"/>
              <c:showVal val="1"/>
              <c:showCatName val="0"/>
              <c:showSerName val="0"/>
              <c:showPercent val="0"/>
              <c:showBubbleSize val="0"/>
            </c:dLbl>
            <c:dLbl>
              <c:idx val="8"/>
              <c:tx>
                <c:rich>
                  <a:bodyPr/>
                  <a:lstStyle/>
                  <a:p>
                    <a:r>
                      <a:rPr lang="en-US" sz="1000"/>
                      <a:t>2 690,7</a:t>
                    </a:r>
                    <a:r>
                      <a:rPr lang="lv-LV" sz="1000" b="0" i="0" u="none" strike="noStrike" baseline="0">
                        <a:effectLst/>
                      </a:rPr>
                      <a:t>(100%)</a:t>
                    </a:r>
                    <a:endParaRPr lang="en-US"/>
                  </a:p>
                </c:rich>
              </c:tx>
              <c:showLegendKey val="0"/>
              <c:showVal val="1"/>
              <c:showCatName val="0"/>
              <c:showSerName val="0"/>
              <c:showPercent val="0"/>
              <c:showBubbleSize val="0"/>
            </c:dLbl>
            <c:numFmt formatCode="#,##0.0" sourceLinked="0"/>
            <c:txPr>
              <a:bodyPr/>
              <a:lstStyle/>
              <a:p>
                <a:pPr>
                  <a:defRPr sz="1000"/>
                </a:pPr>
                <a:endParaRPr lang="lv-LV"/>
              </a:p>
            </c:txPr>
            <c:showLegendKey val="0"/>
            <c:showVal val="1"/>
            <c:showCatName val="0"/>
            <c:showSerName val="0"/>
            <c:showPercent val="0"/>
            <c:showBubbleSize val="0"/>
            <c:showLeaderLines val="0"/>
          </c:dLbls>
          <c:cat>
            <c:strRef>
              <c:f>'3 DP'!$B$18:$B$26</c:f>
              <c:strCache>
                <c:ptCount val="9"/>
                <c:pt idx="0">
                  <c:v>Tehniskā palīdzība KF ieviešanai</c:v>
                </c:pt>
                <c:pt idx="1">
                  <c:v>Tehniskā palīdzība ERAF ieviešanai</c:v>
                </c:pt>
                <c:pt idx="2">
                  <c:v>Policentriska attīstība</c:v>
                </c:pt>
                <c:pt idx="3">
                  <c:v>Vides infrastruktūras un videi draudzīgas enerģētikas veicināšana</c:v>
                </c:pt>
                <c:pt idx="4">
                  <c:v>Kvalitatīvas vides dzīvei un ekonomiskai aktivitātei nodrošināšana</c:v>
                </c:pt>
                <c:pt idx="5">
                  <c:v>Eiropas nozīmes transporta tīklu attīstība un ilgtspējīga transporta veicināšana</c:v>
                </c:pt>
                <c:pt idx="6">
                  <c:v>Teritoriju pieejamības un sasniedzamības veicināšana</c:v>
                </c:pt>
                <c:pt idx="7">
                  <c:v>Infrastruktūra cilvēku kapitāla nostiprināšanai</c:v>
                </c:pt>
                <c:pt idx="8">
                  <c:v>DP "Infrastruktūra un pakalpojumi" kopā</c:v>
                </c:pt>
              </c:strCache>
            </c:strRef>
          </c:cat>
          <c:val>
            <c:numRef>
              <c:f>'3 DP'!$F$18:$F$26</c:f>
              <c:numCache>
                <c:formatCode>#,##0_ ;\-#,##0\ </c:formatCode>
                <c:ptCount val="9"/>
                <c:pt idx="0">
                  <c:v>8574208.8000000007</c:v>
                </c:pt>
                <c:pt idx="1">
                  <c:v>40488570.07</c:v>
                </c:pt>
                <c:pt idx="2">
                  <c:v>270530944.31</c:v>
                </c:pt>
                <c:pt idx="3">
                  <c:v>506809475</c:v>
                </c:pt>
                <c:pt idx="4">
                  <c:v>286173385.30000001</c:v>
                </c:pt>
                <c:pt idx="5">
                  <c:v>686071904</c:v>
                </c:pt>
                <c:pt idx="6">
                  <c:v>432265434.89999998</c:v>
                </c:pt>
                <c:pt idx="7">
                  <c:v>459785035</c:v>
                </c:pt>
                <c:pt idx="8">
                  <c:v>2690698957.3800001</c:v>
                </c:pt>
              </c:numCache>
            </c:numRef>
          </c:val>
        </c:ser>
        <c:dLbls>
          <c:showLegendKey val="0"/>
          <c:showVal val="0"/>
          <c:showCatName val="0"/>
          <c:showSerName val="0"/>
          <c:showPercent val="0"/>
          <c:showBubbleSize val="0"/>
        </c:dLbls>
        <c:gapWidth val="150"/>
        <c:shape val="box"/>
        <c:axId val="97142272"/>
        <c:axId val="97143808"/>
        <c:axId val="0"/>
      </c:bar3DChart>
      <c:catAx>
        <c:axId val="97142272"/>
        <c:scaling>
          <c:orientation val="minMax"/>
        </c:scaling>
        <c:delete val="0"/>
        <c:axPos val="l"/>
        <c:majorTickMark val="out"/>
        <c:minorTickMark val="none"/>
        <c:tickLblPos val="nextTo"/>
        <c:crossAx val="97143808"/>
        <c:crosses val="autoZero"/>
        <c:auto val="1"/>
        <c:lblAlgn val="ctr"/>
        <c:lblOffset val="100"/>
        <c:noMultiLvlLbl val="0"/>
      </c:catAx>
      <c:valAx>
        <c:axId val="97143808"/>
        <c:scaling>
          <c:orientation val="minMax"/>
        </c:scaling>
        <c:delete val="0"/>
        <c:axPos val="b"/>
        <c:majorGridlines/>
        <c:numFmt formatCode="#,##0_ ;\-#,##0\ " sourceLinked="1"/>
        <c:majorTickMark val="out"/>
        <c:minorTickMark val="none"/>
        <c:tickLblPos val="nextTo"/>
        <c:crossAx val="97142272"/>
        <c:crosses val="autoZero"/>
        <c:crossBetween val="between"/>
        <c:dispUnits>
          <c:builtInUnit val="millions"/>
        </c:dispUnits>
      </c:valAx>
    </c:plotArea>
    <c:legend>
      <c:legendPos val="b"/>
      <c:layout>
        <c:manualLayout>
          <c:xMode val="edge"/>
          <c:yMode val="edge"/>
          <c:x val="1.0503287976717913E-2"/>
          <c:y val="0.90556732356507386"/>
          <c:w val="0.96788094880823827"/>
          <c:h val="9.4071844915489464E-2"/>
        </c:manualLayout>
      </c:layout>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136116706341943E-2"/>
          <c:y val="0.10604586626302026"/>
          <c:w val="0.48949130195934809"/>
          <c:h val="0.77811926004628351"/>
        </c:manualLayout>
      </c:layout>
      <c:pieChart>
        <c:varyColors val="1"/>
        <c:ser>
          <c:idx val="0"/>
          <c:order val="0"/>
          <c:dLbls>
            <c:txPr>
              <a:bodyPr/>
              <a:lstStyle/>
              <a:p>
                <a:pPr>
                  <a:defRPr b="1"/>
                </a:pPr>
                <a:endParaRPr lang="lv-LV"/>
              </a:p>
            </c:txPr>
            <c:showLegendKey val="0"/>
            <c:showVal val="0"/>
            <c:showCatName val="0"/>
            <c:showSerName val="0"/>
            <c:showPercent val="1"/>
            <c:showBubbleSize val="0"/>
            <c:showLeaderLines val="1"/>
          </c:dLbls>
          <c:cat>
            <c:strRef>
              <c:f>Raditaji!$B$3:$B$13</c:f>
              <c:strCache>
                <c:ptCount val="11"/>
                <c:pt idx="0">
                  <c:v>ES fondu administrēšana kā atbalsta funkcija</c:v>
                </c:pt>
                <c:pt idx="1">
                  <c:v>ES fondu izvērtēšana</c:v>
                </c:pt>
                <c:pt idx="2">
                  <c:v>ES fondu urzaudzība</c:v>
                </c:pt>
                <c:pt idx="3">
                  <c:v>ES fondu publicitāte</c:v>
                </c:pt>
                <c:pt idx="4">
                  <c:v>Informācijas sistēmas izveide un uzturēšana</c:v>
                </c:pt>
                <c:pt idx="5">
                  <c:v>ES fondu projektu vērtēšana</c:v>
                </c:pt>
                <c:pt idx="6">
                  <c:v>ES fondu finanšu kontroles un revīzijas nodrošināšana</c:v>
                </c:pt>
                <c:pt idx="7">
                  <c:v>Mācibas, konferences, semināri, komitejas, darba grupas un citi pasākumi</c:v>
                </c:pt>
                <c:pt idx="8">
                  <c:v>HP koordinēšanas funkciju nodrošināšana</c:v>
                </c:pt>
                <c:pt idx="9">
                  <c:v>Stratēģiskā plānošana</c:v>
                </c:pt>
                <c:pt idx="10">
                  <c:v>Nākotnes kohezijas politikas plānošana</c:v>
                </c:pt>
              </c:strCache>
            </c:strRef>
          </c:cat>
          <c:val>
            <c:numRef>
              <c:f>Raditaji!$C$3:$C$13</c:f>
              <c:numCache>
                <c:formatCode>#,##0</c:formatCode>
                <c:ptCount val="11"/>
                <c:pt idx="0">
                  <c:v>1785916.6909999999</c:v>
                </c:pt>
                <c:pt idx="1">
                  <c:v>128110.16399999999</c:v>
                </c:pt>
                <c:pt idx="2">
                  <c:v>3760948.3860000004</c:v>
                </c:pt>
                <c:pt idx="3">
                  <c:v>450673.25549999997</c:v>
                </c:pt>
                <c:pt idx="4">
                  <c:v>198265.72999999998</c:v>
                </c:pt>
                <c:pt idx="5">
                  <c:v>336289.18050000002</c:v>
                </c:pt>
                <c:pt idx="6">
                  <c:v>366791.6005</c:v>
                </c:pt>
                <c:pt idx="7">
                  <c:v>314174.92599999998</c:v>
                </c:pt>
                <c:pt idx="8">
                  <c:v>68630.444999999992</c:v>
                </c:pt>
                <c:pt idx="9">
                  <c:v>132685.527</c:v>
                </c:pt>
                <c:pt idx="10">
                  <c:v>83119.094500000007</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6790945717772534"/>
          <c:y val="2.8543525082620487E-2"/>
          <c:w val="0.42278817058695689"/>
          <c:h val="0.95608025740968428"/>
        </c:manualLayout>
      </c:layout>
      <c:overlay val="0"/>
      <c:txPr>
        <a:bodyPr/>
        <a:lstStyle/>
        <a:p>
          <a:pPr>
            <a:defRPr sz="1000"/>
          </a:pPr>
          <a:endParaRPr lang="lv-LV"/>
        </a:p>
      </c:txPr>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lv-LV"/>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516185378103756"/>
          <c:y val="0.18241186067957724"/>
          <c:w val="0.53798764865010618"/>
          <c:h val="0.79825750159608422"/>
        </c:manualLayout>
      </c:layout>
      <c:pieChart>
        <c:varyColors val="1"/>
        <c:ser>
          <c:idx val="0"/>
          <c:order val="0"/>
          <c:dLbls>
            <c:dLbl>
              <c:idx val="0"/>
              <c:layout>
                <c:manualLayout>
                  <c:x val="9.7869070713986844E-2"/>
                  <c:y val="1.5446065984422956E-2"/>
                </c:manualLayout>
              </c:layout>
              <c:showLegendKey val="0"/>
              <c:showVal val="0"/>
              <c:showCatName val="1"/>
              <c:showSerName val="0"/>
              <c:showPercent val="1"/>
              <c:showBubbleSize val="0"/>
            </c:dLbl>
            <c:dLbl>
              <c:idx val="3"/>
              <c:layout>
                <c:manualLayout>
                  <c:x val="-3.7830102155104968E-2"/>
                  <c:y val="8.1499910231090829E-3"/>
                </c:manualLayout>
              </c:layout>
              <c:showLegendKey val="0"/>
              <c:showVal val="0"/>
              <c:showCatName val="1"/>
              <c:showSerName val="0"/>
              <c:showPercent val="1"/>
              <c:showBubbleSize val="0"/>
            </c:dLbl>
            <c:txPr>
              <a:bodyPr/>
              <a:lstStyle/>
              <a:p>
                <a:pPr>
                  <a:defRPr b="1"/>
                </a:pPr>
                <a:endParaRPr lang="lv-LV"/>
              </a:p>
            </c:txPr>
            <c:showLegendKey val="0"/>
            <c:showVal val="0"/>
            <c:showCatName val="1"/>
            <c:showSerName val="0"/>
            <c:showPercent val="1"/>
            <c:showBubbleSize val="0"/>
            <c:showLeaderLines val="1"/>
          </c:dLbls>
          <c:cat>
            <c:strRef>
              <c:f>darbiieki!$B$3:$B$6</c:f>
              <c:strCache>
                <c:ptCount val="4"/>
                <c:pt idx="0">
                  <c:v>Plānošanas reģioni</c:v>
                </c:pt>
                <c:pt idx="1">
                  <c:v>Sadarbības iestādes</c:v>
                </c:pt>
                <c:pt idx="2">
                  <c:v>Atbildīgās iestādes</c:v>
                </c:pt>
                <c:pt idx="3">
                  <c:v>Citas iestādes</c:v>
                </c:pt>
              </c:strCache>
            </c:strRef>
          </c:cat>
          <c:val>
            <c:numRef>
              <c:f>darbiieki!$C$3:$C$6</c:f>
              <c:numCache>
                <c:formatCode>General</c:formatCode>
                <c:ptCount val="4"/>
                <c:pt idx="0">
                  <c:v>22</c:v>
                </c:pt>
                <c:pt idx="1">
                  <c:v>354</c:v>
                </c:pt>
                <c:pt idx="2">
                  <c:v>271</c:v>
                </c:pt>
                <c:pt idx="3">
                  <c:v>38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invertIfNegative val="0"/>
          <c:dPt>
            <c:idx val="10"/>
            <c:invertIfNegative val="0"/>
            <c:bubble3D val="0"/>
            <c:spPr>
              <a:solidFill>
                <a:schemeClr val="accent2"/>
              </a:solidFill>
            </c:spPr>
          </c:dPt>
          <c:dLbls>
            <c:dLbl>
              <c:idx val="0"/>
              <c:tx>
                <c:rich>
                  <a:bodyPr/>
                  <a:lstStyle/>
                  <a:p>
                    <a:pPr>
                      <a:defRPr/>
                    </a:pPr>
                    <a:r>
                      <a:rPr lang="en-US"/>
                      <a:t>21,3%</a:t>
                    </a:r>
                    <a:r>
                      <a:rPr lang="lv-LV"/>
                      <a:t> (0,3%)</a:t>
                    </a:r>
                    <a:endParaRPr lang="en-US"/>
                  </a:p>
                </c:rich>
              </c:tx>
              <c:spPr/>
              <c:showLegendKey val="0"/>
              <c:showVal val="0"/>
              <c:showCatName val="0"/>
              <c:showSerName val="0"/>
              <c:showPercent val="0"/>
              <c:showBubbleSize val="0"/>
            </c:dLbl>
            <c:dLbl>
              <c:idx val="1"/>
              <c:tx>
                <c:rich>
                  <a:bodyPr/>
                  <a:lstStyle/>
                  <a:p>
                    <a:pPr>
                      <a:defRPr/>
                    </a:pPr>
                    <a:r>
                      <a:rPr lang="en-US"/>
                      <a:t>24,9%</a:t>
                    </a:r>
                    <a:r>
                      <a:rPr lang="lv-LV"/>
                      <a:t> (2,3%)</a:t>
                    </a:r>
                    <a:endParaRPr lang="en-US"/>
                  </a:p>
                </c:rich>
              </c:tx>
              <c:spPr/>
              <c:showLegendKey val="0"/>
              <c:showVal val="0"/>
              <c:showCatName val="0"/>
              <c:showSerName val="0"/>
              <c:showPercent val="0"/>
              <c:showBubbleSize val="0"/>
            </c:dLbl>
            <c:dLbl>
              <c:idx val="2"/>
              <c:tx>
                <c:rich>
                  <a:bodyPr/>
                  <a:lstStyle/>
                  <a:p>
                    <a:pPr>
                      <a:defRPr/>
                    </a:pPr>
                    <a:r>
                      <a:rPr lang="en-US"/>
                      <a:t>26,0%</a:t>
                    </a:r>
                    <a:r>
                      <a:rPr lang="lv-LV"/>
                      <a:t> (0%)</a:t>
                    </a:r>
                    <a:endParaRPr lang="en-US"/>
                  </a:p>
                </c:rich>
              </c:tx>
              <c:spPr/>
              <c:showLegendKey val="0"/>
              <c:showVal val="0"/>
              <c:showCatName val="0"/>
              <c:showSerName val="0"/>
              <c:showPercent val="0"/>
              <c:showBubbleSize val="0"/>
            </c:dLbl>
            <c:dLbl>
              <c:idx val="3"/>
              <c:tx>
                <c:rich>
                  <a:bodyPr/>
                  <a:lstStyle/>
                  <a:p>
                    <a:pPr>
                      <a:defRPr/>
                    </a:pPr>
                    <a:r>
                      <a:rPr lang="en-US"/>
                      <a:t>27,7%</a:t>
                    </a:r>
                    <a:r>
                      <a:rPr lang="lv-LV"/>
                      <a:t> (1,2%)</a:t>
                    </a:r>
                    <a:endParaRPr lang="en-US"/>
                  </a:p>
                </c:rich>
              </c:tx>
              <c:spPr/>
              <c:showLegendKey val="0"/>
              <c:showVal val="0"/>
              <c:showCatName val="0"/>
              <c:showSerName val="0"/>
              <c:showPercent val="0"/>
              <c:showBubbleSize val="0"/>
            </c:dLbl>
            <c:dLbl>
              <c:idx val="4"/>
              <c:tx>
                <c:rich>
                  <a:bodyPr/>
                  <a:lstStyle/>
                  <a:p>
                    <a:pPr>
                      <a:defRPr/>
                    </a:pPr>
                    <a:r>
                      <a:rPr lang="en-US"/>
                      <a:t>35,0%</a:t>
                    </a:r>
                    <a:r>
                      <a:rPr lang="lv-LV"/>
                      <a:t> (0%)</a:t>
                    </a:r>
                    <a:endParaRPr lang="en-US"/>
                  </a:p>
                </c:rich>
              </c:tx>
              <c:spPr/>
              <c:showLegendKey val="0"/>
              <c:showVal val="0"/>
              <c:showCatName val="0"/>
              <c:showSerName val="0"/>
              <c:showPercent val="0"/>
              <c:showBubbleSize val="0"/>
            </c:dLbl>
            <c:dLbl>
              <c:idx val="5"/>
              <c:tx>
                <c:rich>
                  <a:bodyPr/>
                  <a:lstStyle/>
                  <a:p>
                    <a:pPr>
                      <a:defRPr/>
                    </a:pPr>
                    <a:r>
                      <a:rPr lang="en-US"/>
                      <a:t>36,5%</a:t>
                    </a:r>
                    <a:r>
                      <a:rPr lang="lv-LV"/>
                      <a:t> (1,9%)</a:t>
                    </a:r>
                    <a:endParaRPr lang="en-US"/>
                  </a:p>
                </c:rich>
              </c:tx>
              <c:spPr/>
              <c:showLegendKey val="0"/>
              <c:showVal val="0"/>
              <c:showCatName val="0"/>
              <c:showSerName val="0"/>
              <c:showPercent val="0"/>
              <c:showBubbleSize val="0"/>
            </c:dLbl>
            <c:dLbl>
              <c:idx val="6"/>
              <c:tx>
                <c:rich>
                  <a:bodyPr/>
                  <a:lstStyle/>
                  <a:p>
                    <a:pPr>
                      <a:defRPr/>
                    </a:pPr>
                    <a:r>
                      <a:rPr lang="en-US"/>
                      <a:t>38,3%</a:t>
                    </a:r>
                    <a:r>
                      <a:rPr lang="lv-LV"/>
                      <a:t> (1,0%)</a:t>
                    </a:r>
                    <a:endParaRPr lang="en-US"/>
                  </a:p>
                </c:rich>
              </c:tx>
              <c:spPr/>
              <c:showLegendKey val="0"/>
              <c:showVal val="0"/>
              <c:showCatName val="0"/>
              <c:showSerName val="0"/>
              <c:showPercent val="0"/>
              <c:showBubbleSize val="0"/>
            </c:dLbl>
            <c:dLbl>
              <c:idx val="7"/>
              <c:tx>
                <c:rich>
                  <a:bodyPr/>
                  <a:lstStyle/>
                  <a:p>
                    <a:pPr>
                      <a:defRPr/>
                    </a:pPr>
                    <a:r>
                      <a:rPr lang="en-US"/>
                      <a:t>48,5%</a:t>
                    </a:r>
                    <a:r>
                      <a:rPr lang="lv-LV"/>
                      <a:t> (2,0%)</a:t>
                    </a:r>
                    <a:endParaRPr lang="en-US"/>
                  </a:p>
                </c:rich>
              </c:tx>
              <c:spPr/>
              <c:showLegendKey val="0"/>
              <c:showVal val="0"/>
              <c:showCatName val="0"/>
              <c:showSerName val="0"/>
              <c:showPercent val="0"/>
              <c:showBubbleSize val="0"/>
            </c:dLbl>
            <c:dLbl>
              <c:idx val="8"/>
              <c:tx>
                <c:rich>
                  <a:bodyPr/>
                  <a:lstStyle/>
                  <a:p>
                    <a:pPr>
                      <a:defRPr/>
                    </a:pPr>
                    <a:r>
                      <a:rPr lang="en-US"/>
                      <a:t>53,7%</a:t>
                    </a:r>
                    <a:r>
                      <a:rPr lang="lv-LV"/>
                      <a:t> (5,6%)</a:t>
                    </a:r>
                    <a:endParaRPr lang="en-US"/>
                  </a:p>
                </c:rich>
              </c:tx>
              <c:spPr/>
              <c:showLegendKey val="0"/>
              <c:showVal val="0"/>
              <c:showCatName val="0"/>
              <c:showSerName val="0"/>
              <c:showPercent val="0"/>
              <c:showBubbleSize val="0"/>
            </c:dLbl>
            <c:dLbl>
              <c:idx val="9"/>
              <c:tx>
                <c:rich>
                  <a:bodyPr/>
                  <a:lstStyle/>
                  <a:p>
                    <a:pPr>
                      <a:defRPr/>
                    </a:pPr>
                    <a:r>
                      <a:rPr lang="en-US"/>
                      <a:t>58,4%</a:t>
                    </a:r>
                    <a:r>
                      <a:rPr lang="lv-LV"/>
                      <a:t> (10,8%)</a:t>
                    </a:r>
                    <a:endParaRPr lang="en-US"/>
                  </a:p>
                </c:rich>
              </c:tx>
              <c:spPr/>
              <c:showLegendKey val="0"/>
              <c:showVal val="0"/>
              <c:showCatName val="0"/>
              <c:showSerName val="0"/>
              <c:showPercent val="0"/>
              <c:showBubbleSize val="0"/>
            </c:dLbl>
            <c:dLbl>
              <c:idx val="10"/>
              <c:tx>
                <c:rich>
                  <a:bodyPr/>
                  <a:lstStyle/>
                  <a:p>
                    <a:pPr>
                      <a:defRPr b="1">
                        <a:solidFill>
                          <a:schemeClr val="tx1"/>
                        </a:solidFill>
                      </a:defRPr>
                    </a:pPr>
                    <a:r>
                      <a:rPr lang="en-US" b="1">
                        <a:solidFill>
                          <a:schemeClr val="tx1"/>
                        </a:solidFill>
                      </a:rPr>
                      <a:t>70,7%</a:t>
                    </a:r>
                    <a:r>
                      <a:rPr lang="lv-LV" b="1">
                        <a:solidFill>
                          <a:schemeClr val="tx1"/>
                        </a:solidFill>
                      </a:rPr>
                      <a:t> (8,2%)</a:t>
                    </a:r>
                    <a:endParaRPr lang="en-US" b="1">
                      <a:solidFill>
                        <a:schemeClr val="tx1"/>
                      </a:solidFill>
                    </a:endParaRPr>
                  </a:p>
                </c:rich>
              </c:tx>
              <c:spPr/>
              <c:showLegendKey val="0"/>
              <c:showVal val="0"/>
              <c:showCatName val="0"/>
              <c:showSerName val="0"/>
              <c:showPercent val="0"/>
              <c:showBubbleSize val="0"/>
            </c:dLbl>
            <c:dLbl>
              <c:idx val="11"/>
              <c:tx>
                <c:rich>
                  <a:bodyPr/>
                  <a:lstStyle/>
                  <a:p>
                    <a:pPr>
                      <a:defRPr/>
                    </a:pPr>
                    <a:r>
                      <a:rPr lang="en-US"/>
                      <a:t>71,0%</a:t>
                    </a:r>
                    <a:r>
                      <a:rPr lang="lv-LV"/>
                      <a:t> (5,5%)</a:t>
                    </a:r>
                    <a:endParaRPr lang="en-US"/>
                  </a:p>
                </c:rich>
              </c:tx>
              <c:spPr/>
              <c:showLegendKey val="0"/>
              <c:showVal val="0"/>
              <c:showCatName val="0"/>
              <c:showSerName val="0"/>
              <c:showPercent val="0"/>
              <c:showBubbleSize val="0"/>
            </c:dLbl>
            <c:showLegendKey val="0"/>
            <c:showVal val="1"/>
            <c:showCatName val="0"/>
            <c:showSerName val="0"/>
            <c:showPercent val="0"/>
            <c:showBubbleSize val="0"/>
            <c:showLeaderLines val="0"/>
          </c:dLbls>
          <c:cat>
            <c:strRef>
              <c:f>ESF!$C$103:$C$114</c:f>
              <c:strCache>
                <c:ptCount val="12"/>
                <c:pt idx="0">
                  <c:v>Rumānija</c:v>
                </c:pt>
                <c:pt idx="1">
                  <c:v>Bulgārija</c:v>
                </c:pt>
                <c:pt idx="2">
                  <c:v>Čehija</c:v>
                </c:pt>
                <c:pt idx="3">
                  <c:v>Malta</c:v>
                </c:pt>
                <c:pt idx="4">
                  <c:v>Slovākija</c:v>
                </c:pt>
                <c:pt idx="5">
                  <c:v>Kipra</c:v>
                </c:pt>
                <c:pt idx="6">
                  <c:v>Ungārija</c:v>
                </c:pt>
                <c:pt idx="7">
                  <c:v>Slovēnija</c:v>
                </c:pt>
                <c:pt idx="8">
                  <c:v>Polija</c:v>
                </c:pt>
                <c:pt idx="9">
                  <c:v>Lietuva</c:v>
                </c:pt>
                <c:pt idx="10">
                  <c:v>Latvija</c:v>
                </c:pt>
                <c:pt idx="11">
                  <c:v>Igaunija</c:v>
                </c:pt>
              </c:strCache>
            </c:strRef>
          </c:cat>
          <c:val>
            <c:numRef>
              <c:f>ESF!$D$103:$D$114</c:f>
              <c:numCache>
                <c:formatCode>0.0%</c:formatCode>
                <c:ptCount val="12"/>
                <c:pt idx="0">
                  <c:v>0.21348741541930252</c:v>
                </c:pt>
                <c:pt idx="1">
                  <c:v>0.24943696910301891</c:v>
                </c:pt>
                <c:pt idx="2">
                  <c:v>0.26000442214417968</c:v>
                </c:pt>
                <c:pt idx="3">
                  <c:v>0.27712900196428569</c:v>
                </c:pt>
                <c:pt idx="4">
                  <c:v>0.34994755639204583</c:v>
                </c:pt>
                <c:pt idx="5">
                  <c:v>0.36494924561293968</c:v>
                </c:pt>
                <c:pt idx="6">
                  <c:v>0.38287541783931528</c:v>
                </c:pt>
                <c:pt idx="7">
                  <c:v>0.48501916029121478</c:v>
                </c:pt>
                <c:pt idx="8">
                  <c:v>0.53674592879837435</c:v>
                </c:pt>
                <c:pt idx="9">
                  <c:v>0.58415539611655187</c:v>
                </c:pt>
                <c:pt idx="10">
                  <c:v>0.70704372675093063</c:v>
                </c:pt>
                <c:pt idx="11">
                  <c:v>0.70974198007976297</c:v>
                </c:pt>
              </c:numCache>
            </c:numRef>
          </c:val>
        </c:ser>
        <c:dLbls>
          <c:showLegendKey val="0"/>
          <c:showVal val="0"/>
          <c:showCatName val="0"/>
          <c:showSerName val="0"/>
          <c:showPercent val="0"/>
          <c:showBubbleSize val="0"/>
        </c:dLbls>
        <c:gapWidth val="150"/>
        <c:shape val="box"/>
        <c:axId val="97519488"/>
        <c:axId val="97521024"/>
        <c:axId val="0"/>
      </c:bar3DChart>
      <c:catAx>
        <c:axId val="97519488"/>
        <c:scaling>
          <c:orientation val="minMax"/>
        </c:scaling>
        <c:delete val="0"/>
        <c:axPos val="l"/>
        <c:numFmt formatCode="General" sourceLinked="1"/>
        <c:majorTickMark val="out"/>
        <c:minorTickMark val="none"/>
        <c:tickLblPos val="nextTo"/>
        <c:crossAx val="97521024"/>
        <c:crosses val="autoZero"/>
        <c:auto val="1"/>
        <c:lblAlgn val="ctr"/>
        <c:lblOffset val="100"/>
        <c:noMultiLvlLbl val="0"/>
      </c:catAx>
      <c:valAx>
        <c:axId val="97521024"/>
        <c:scaling>
          <c:orientation val="minMax"/>
          <c:max val="0.75000000000000011"/>
          <c:min val="0"/>
        </c:scaling>
        <c:delete val="0"/>
        <c:axPos val="b"/>
        <c:majorGridlines/>
        <c:numFmt formatCode="0%" sourceLinked="0"/>
        <c:majorTickMark val="out"/>
        <c:minorTickMark val="none"/>
        <c:tickLblPos val="nextTo"/>
        <c:crossAx val="97519488"/>
        <c:crosses val="autoZero"/>
        <c:crossBetween val="between"/>
      </c:valAx>
      <c:spPr>
        <a:noFill/>
        <a:ln w="25400">
          <a:noFill/>
        </a:ln>
      </c:spPr>
    </c:plotArea>
    <c:plotVisOnly val="1"/>
    <c:dispBlanksAs val="gap"/>
    <c:showDLblsOverMax val="0"/>
  </c:chart>
  <c:spPr>
    <a:ln>
      <a:noFill/>
    </a:ln>
  </c:spPr>
  <c:txPr>
    <a:bodyPr/>
    <a:lstStyle/>
    <a:p>
      <a:pPr>
        <a:defRPr>
          <a:solidFill>
            <a:schemeClr val="tx1"/>
          </a:solidFill>
          <a:latin typeface="Times New Roman" pitchFamily="18" charset="0"/>
          <a:cs typeface="Times New Roman" pitchFamily="18" charset="0"/>
        </a:defRPr>
      </a:pPr>
      <a:endParaRPr lang="lv-LV"/>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2"/>
          <c:order val="0"/>
          <c:tx>
            <c:strRef>
              <c:f>Sheet2!$A$5</c:f>
              <c:strCache>
                <c:ptCount val="1"/>
                <c:pt idx="0">
                  <c:v>KF</c:v>
                </c:pt>
              </c:strCache>
            </c:strRef>
          </c:tx>
          <c:invertIfNegative val="0"/>
          <c:dLbls>
            <c:showLegendKey val="0"/>
            <c:showVal val="1"/>
            <c:showCatName val="0"/>
            <c:showSerName val="0"/>
            <c:showPercent val="0"/>
            <c:showBubbleSize val="0"/>
            <c:showLeaderLines val="0"/>
          </c:dLbls>
          <c:cat>
            <c:strRef>
              <c:f>Sheet2!$B$2:$D$2</c:f>
              <c:strCache>
                <c:ptCount val="3"/>
                <c:pt idx="0">
                  <c:v>Latvija</c:v>
                </c:pt>
                <c:pt idx="1">
                  <c:v>Igaunija</c:v>
                </c:pt>
                <c:pt idx="2">
                  <c:v>Lietuva</c:v>
                </c:pt>
              </c:strCache>
            </c:strRef>
          </c:cat>
          <c:val>
            <c:numRef>
              <c:f>Sheet2!$B$5:$D$5</c:f>
              <c:numCache>
                <c:formatCode>0.0%</c:formatCode>
                <c:ptCount val="3"/>
                <c:pt idx="0">
                  <c:v>0.4668147313969393</c:v>
                </c:pt>
                <c:pt idx="1">
                  <c:v>0.41347573152730743</c:v>
                </c:pt>
                <c:pt idx="2">
                  <c:v>0.50910443387725479</c:v>
                </c:pt>
              </c:numCache>
            </c:numRef>
          </c:val>
        </c:ser>
        <c:ser>
          <c:idx val="0"/>
          <c:order val="1"/>
          <c:tx>
            <c:strRef>
              <c:f>Sheet2!$A$3</c:f>
              <c:strCache>
                <c:ptCount val="1"/>
                <c:pt idx="0">
                  <c:v>ERAF</c:v>
                </c:pt>
              </c:strCache>
            </c:strRef>
          </c:tx>
          <c:invertIfNegative val="0"/>
          <c:dLbls>
            <c:showLegendKey val="0"/>
            <c:showVal val="1"/>
            <c:showCatName val="0"/>
            <c:showSerName val="0"/>
            <c:showPercent val="0"/>
            <c:showBubbleSize val="0"/>
            <c:showLeaderLines val="0"/>
          </c:dLbls>
          <c:cat>
            <c:strRef>
              <c:f>Sheet2!$B$2:$D$2</c:f>
              <c:strCache>
                <c:ptCount val="3"/>
                <c:pt idx="0">
                  <c:v>Latvija</c:v>
                </c:pt>
                <c:pt idx="1">
                  <c:v>Igaunija</c:v>
                </c:pt>
                <c:pt idx="2">
                  <c:v>Lietuva</c:v>
                </c:pt>
              </c:strCache>
            </c:strRef>
          </c:cat>
          <c:val>
            <c:numRef>
              <c:f>Sheet2!$B$3:$D$3</c:f>
              <c:numCache>
                <c:formatCode>0.0%</c:formatCode>
                <c:ptCount val="3"/>
                <c:pt idx="0">
                  <c:v>0.5018373423582273</c:v>
                </c:pt>
                <c:pt idx="1">
                  <c:v>0.5769809697881948</c:v>
                </c:pt>
                <c:pt idx="2">
                  <c:v>0.53897222161064151</c:v>
                </c:pt>
              </c:numCache>
            </c:numRef>
          </c:val>
        </c:ser>
        <c:ser>
          <c:idx val="1"/>
          <c:order val="2"/>
          <c:tx>
            <c:strRef>
              <c:f>Sheet2!$A$4</c:f>
              <c:strCache>
                <c:ptCount val="1"/>
                <c:pt idx="0">
                  <c:v>ESF</c:v>
                </c:pt>
              </c:strCache>
            </c:strRef>
          </c:tx>
          <c:invertIfNegative val="0"/>
          <c:dLbls>
            <c:showLegendKey val="0"/>
            <c:showVal val="1"/>
            <c:showCatName val="0"/>
            <c:showSerName val="0"/>
            <c:showPercent val="0"/>
            <c:showBubbleSize val="0"/>
            <c:showLeaderLines val="0"/>
          </c:dLbls>
          <c:cat>
            <c:strRef>
              <c:f>Sheet2!$B$2:$D$2</c:f>
              <c:strCache>
                <c:ptCount val="3"/>
                <c:pt idx="0">
                  <c:v>Latvija</c:v>
                </c:pt>
                <c:pt idx="1">
                  <c:v>Igaunija</c:v>
                </c:pt>
                <c:pt idx="2">
                  <c:v>Lietuva</c:v>
                </c:pt>
              </c:strCache>
            </c:strRef>
          </c:cat>
          <c:val>
            <c:numRef>
              <c:f>Sheet2!$B$4:$D$4</c:f>
              <c:numCache>
                <c:formatCode>0.0%</c:formatCode>
                <c:ptCount val="3"/>
                <c:pt idx="0">
                  <c:v>0.72943252424559246</c:v>
                </c:pt>
                <c:pt idx="1">
                  <c:v>0.65083014048531296</c:v>
                </c:pt>
                <c:pt idx="2">
                  <c:v>0.55741423331951001</c:v>
                </c:pt>
              </c:numCache>
            </c:numRef>
          </c:val>
        </c:ser>
        <c:ser>
          <c:idx val="3"/>
          <c:order val="3"/>
          <c:tx>
            <c:strRef>
              <c:f>Sheet2!$A$6</c:f>
              <c:strCache>
                <c:ptCount val="1"/>
                <c:pt idx="0">
                  <c:v>Kopā</c:v>
                </c:pt>
              </c:strCache>
            </c:strRef>
          </c:tx>
          <c:invertIfNegative val="0"/>
          <c:dLbls>
            <c:showLegendKey val="0"/>
            <c:showVal val="1"/>
            <c:showCatName val="0"/>
            <c:showSerName val="0"/>
            <c:showPercent val="0"/>
            <c:showBubbleSize val="0"/>
            <c:showLeaderLines val="0"/>
          </c:dLbls>
          <c:val>
            <c:numRef>
              <c:f>Sheet2!$B$6:$D$6</c:f>
              <c:numCache>
                <c:formatCode>0.0%</c:formatCode>
                <c:ptCount val="3"/>
                <c:pt idx="0">
                  <c:v>0.51922736803858516</c:v>
                </c:pt>
                <c:pt idx="1">
                  <c:v>0.53014632426397135</c:v>
                </c:pt>
                <c:pt idx="2">
                  <c:v>0.53160917829442833</c:v>
                </c:pt>
              </c:numCache>
            </c:numRef>
          </c:val>
        </c:ser>
        <c:dLbls>
          <c:showLegendKey val="0"/>
          <c:showVal val="0"/>
          <c:showCatName val="0"/>
          <c:showSerName val="0"/>
          <c:showPercent val="0"/>
          <c:showBubbleSize val="0"/>
        </c:dLbls>
        <c:gapWidth val="150"/>
        <c:shape val="box"/>
        <c:axId val="97569792"/>
        <c:axId val="97579776"/>
        <c:axId val="0"/>
      </c:bar3DChart>
      <c:catAx>
        <c:axId val="97569792"/>
        <c:scaling>
          <c:orientation val="minMax"/>
        </c:scaling>
        <c:delete val="0"/>
        <c:axPos val="l"/>
        <c:majorTickMark val="out"/>
        <c:minorTickMark val="none"/>
        <c:tickLblPos val="nextTo"/>
        <c:crossAx val="97579776"/>
        <c:crosses val="autoZero"/>
        <c:auto val="1"/>
        <c:lblAlgn val="ctr"/>
        <c:lblOffset val="100"/>
        <c:noMultiLvlLbl val="0"/>
      </c:catAx>
      <c:valAx>
        <c:axId val="97579776"/>
        <c:scaling>
          <c:orientation val="minMax"/>
        </c:scaling>
        <c:delete val="0"/>
        <c:axPos val="b"/>
        <c:majorGridlines/>
        <c:numFmt formatCode="0%" sourceLinked="0"/>
        <c:majorTickMark val="out"/>
        <c:minorTickMark val="none"/>
        <c:tickLblPos val="nextTo"/>
        <c:crossAx val="97569792"/>
        <c:crosses val="autoZero"/>
        <c:crossBetween val="between"/>
      </c:valAx>
    </c:plotArea>
    <c:legend>
      <c:legendPos val="b"/>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lv-LV"/>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0178438516081012E-2"/>
          <c:y val="5.1222697508832155E-2"/>
          <c:w val="0.93926509186351703"/>
          <c:h val="0.83319873943092748"/>
        </c:manualLayout>
      </c:layout>
      <c:bar3DChart>
        <c:barDir val="col"/>
        <c:grouping val="clustered"/>
        <c:varyColors val="0"/>
        <c:ser>
          <c:idx val="0"/>
          <c:order val="0"/>
          <c:invertIfNegative val="0"/>
          <c:dLbls>
            <c:dLbl>
              <c:idx val="0"/>
              <c:tx>
                <c:rich>
                  <a:bodyPr/>
                  <a:lstStyle/>
                  <a:p>
                    <a:r>
                      <a:rPr lang="en-US" b="1"/>
                      <a:t>0,2</a:t>
                    </a:r>
                    <a:endParaRPr lang="lv-LV" b="1"/>
                  </a:p>
                  <a:p>
                    <a:r>
                      <a:rPr lang="lv-LV" b="1"/>
                      <a:t>0,4%</a:t>
                    </a:r>
                    <a:endParaRPr lang="en-US"/>
                  </a:p>
                </c:rich>
              </c:tx>
              <c:showLegendKey val="0"/>
              <c:showVal val="1"/>
              <c:showCatName val="0"/>
              <c:showSerName val="0"/>
              <c:showPercent val="0"/>
              <c:showBubbleSize val="0"/>
            </c:dLbl>
            <c:dLbl>
              <c:idx val="1"/>
              <c:tx>
                <c:rich>
                  <a:bodyPr/>
                  <a:lstStyle/>
                  <a:p>
                    <a:r>
                      <a:rPr lang="en-US" b="1"/>
                      <a:t>9,7</a:t>
                    </a:r>
                    <a:endParaRPr lang="lv-LV" b="1"/>
                  </a:p>
                  <a:p>
                    <a:r>
                      <a:rPr lang="lv-LV" b="1"/>
                      <a:t>20,6%</a:t>
                    </a:r>
                    <a:endParaRPr lang="en-US"/>
                  </a:p>
                </c:rich>
              </c:tx>
              <c:showLegendKey val="0"/>
              <c:showVal val="1"/>
              <c:showCatName val="0"/>
              <c:showSerName val="0"/>
              <c:showPercent val="0"/>
              <c:showBubbleSize val="0"/>
            </c:dLbl>
            <c:dLbl>
              <c:idx val="2"/>
              <c:tx>
                <c:rich>
                  <a:bodyPr/>
                  <a:lstStyle/>
                  <a:p>
                    <a:r>
                      <a:rPr lang="en-US" b="1"/>
                      <a:t>16,7</a:t>
                    </a:r>
                    <a:endParaRPr lang="lv-LV" b="1"/>
                  </a:p>
                  <a:p>
                    <a:r>
                      <a:rPr lang="lv-LV" b="1"/>
                      <a:t>35,4%</a:t>
                    </a:r>
                    <a:endParaRPr lang="en-US"/>
                  </a:p>
                </c:rich>
              </c:tx>
              <c:showLegendKey val="0"/>
              <c:showVal val="1"/>
              <c:showCatName val="0"/>
              <c:showSerName val="0"/>
              <c:showPercent val="0"/>
              <c:showBubbleSize val="0"/>
            </c:dLbl>
            <c:dLbl>
              <c:idx val="3"/>
              <c:tx>
                <c:rich>
                  <a:bodyPr/>
                  <a:lstStyle/>
                  <a:p>
                    <a:r>
                      <a:rPr lang="en-US" b="1"/>
                      <a:t>14,7</a:t>
                    </a:r>
                    <a:endParaRPr lang="lv-LV" b="1"/>
                  </a:p>
                  <a:p>
                    <a:r>
                      <a:rPr lang="lv-LV" b="1"/>
                      <a:t>35,4%</a:t>
                    </a:r>
                    <a:endParaRPr lang="en-US"/>
                  </a:p>
                </c:rich>
              </c:tx>
              <c:showLegendKey val="0"/>
              <c:showVal val="1"/>
              <c:showCatName val="0"/>
              <c:showSerName val="0"/>
              <c:showPercent val="0"/>
              <c:showBubbleSize val="0"/>
            </c:dLbl>
            <c:dLbl>
              <c:idx val="4"/>
              <c:tx>
                <c:rich>
                  <a:bodyPr/>
                  <a:lstStyle/>
                  <a:p>
                    <a:r>
                      <a:rPr lang="en-US" b="1"/>
                      <a:t>4,9</a:t>
                    </a:r>
                    <a:endParaRPr lang="lv-LV" b="1"/>
                  </a:p>
                  <a:p>
                    <a:r>
                      <a:rPr lang="lv-LV" b="1"/>
                      <a:t>31,2%</a:t>
                    </a:r>
                    <a:endParaRPr lang="en-US"/>
                  </a:p>
                </c:rich>
              </c:tx>
              <c:showLegendKey val="0"/>
              <c:showVal val="1"/>
              <c:showCatName val="0"/>
              <c:showSerName val="0"/>
              <c:showPercent val="0"/>
              <c:showBubbleSize val="0"/>
            </c:dLbl>
            <c:dLbl>
              <c:idx val="5"/>
              <c:tx>
                <c:rich>
                  <a:bodyPr/>
                  <a:lstStyle/>
                  <a:p>
                    <a:r>
                      <a:rPr lang="en-US" b="1"/>
                      <a:t>0,9</a:t>
                    </a:r>
                    <a:endParaRPr lang="lv-LV" b="1"/>
                  </a:p>
                  <a:p>
                    <a:r>
                      <a:rPr lang="lv-LV" b="1"/>
                      <a:t>2,0%</a:t>
                    </a:r>
                    <a:endParaRPr lang="en-US"/>
                  </a:p>
                </c:rich>
              </c:tx>
              <c:showLegendKey val="0"/>
              <c:showVal val="1"/>
              <c:showCatName val="0"/>
              <c:showSerName val="0"/>
              <c:showPercent val="0"/>
              <c:showBubbleSize val="0"/>
            </c:dLbl>
            <c:dLbl>
              <c:idx val="6"/>
              <c:tx>
                <c:rich>
                  <a:bodyPr/>
                  <a:lstStyle/>
                  <a:p>
                    <a:r>
                      <a:rPr lang="en-US" b="1"/>
                      <a:t>47,2</a:t>
                    </a:r>
                    <a:endParaRPr lang="lv-LV" b="1"/>
                  </a:p>
                  <a:p>
                    <a:r>
                      <a:rPr lang="lv-LV" b="1"/>
                      <a:t>100%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'Maksājumu grafiks'!$M$18:$S$18</c:f>
              <c:strCache>
                <c:ptCount val="7"/>
                <c:pt idx="0">
                  <c:v>2012</c:v>
                </c:pt>
                <c:pt idx="1">
                  <c:v>2013</c:v>
                </c:pt>
                <c:pt idx="2">
                  <c:v>2014</c:v>
                </c:pt>
                <c:pt idx="3">
                  <c:v>2015</c:v>
                </c:pt>
                <c:pt idx="4">
                  <c:v>2016</c:v>
                </c:pt>
                <c:pt idx="5">
                  <c:v>2017</c:v>
                </c:pt>
                <c:pt idx="6">
                  <c:v>Kopā</c:v>
                </c:pt>
              </c:strCache>
            </c:strRef>
          </c:cat>
          <c:val>
            <c:numRef>
              <c:f>'Maksājumu grafiks'!$M$19:$S$19</c:f>
              <c:numCache>
                <c:formatCode>#,##0.0</c:formatCode>
                <c:ptCount val="7"/>
                <c:pt idx="0">
                  <c:v>0.192254142612</c:v>
                </c:pt>
                <c:pt idx="1">
                  <c:v>9.7236096017999998</c:v>
                </c:pt>
                <c:pt idx="2">
                  <c:v>16.696078889519999</c:v>
                </c:pt>
                <c:pt idx="3">
                  <c:v>14.719929682691999</c:v>
                </c:pt>
                <c:pt idx="4">
                  <c:v>4.8831215490239996</c:v>
                </c:pt>
                <c:pt idx="5">
                  <c:v>0.93946481335199994</c:v>
                </c:pt>
                <c:pt idx="6">
                  <c:v>47.154458678999994</c:v>
                </c:pt>
              </c:numCache>
            </c:numRef>
          </c:val>
        </c:ser>
        <c:dLbls>
          <c:showLegendKey val="0"/>
          <c:showVal val="0"/>
          <c:showCatName val="0"/>
          <c:showSerName val="0"/>
          <c:showPercent val="0"/>
          <c:showBubbleSize val="0"/>
        </c:dLbls>
        <c:gapWidth val="150"/>
        <c:shape val="box"/>
        <c:axId val="109745664"/>
        <c:axId val="109747200"/>
        <c:axId val="0"/>
      </c:bar3DChart>
      <c:catAx>
        <c:axId val="109745664"/>
        <c:scaling>
          <c:orientation val="minMax"/>
        </c:scaling>
        <c:delete val="0"/>
        <c:axPos val="b"/>
        <c:numFmt formatCode="General" sourceLinked="1"/>
        <c:majorTickMark val="out"/>
        <c:minorTickMark val="none"/>
        <c:tickLblPos val="nextTo"/>
        <c:crossAx val="109747200"/>
        <c:crosses val="autoZero"/>
        <c:auto val="1"/>
        <c:lblAlgn val="ctr"/>
        <c:lblOffset val="100"/>
        <c:noMultiLvlLbl val="0"/>
      </c:catAx>
      <c:valAx>
        <c:axId val="109747200"/>
        <c:scaling>
          <c:orientation val="minMax"/>
        </c:scaling>
        <c:delete val="0"/>
        <c:axPos val="l"/>
        <c:majorGridlines/>
        <c:numFmt formatCode="#,##0" sourceLinked="0"/>
        <c:majorTickMark val="out"/>
        <c:minorTickMark val="none"/>
        <c:tickLblPos val="nextTo"/>
        <c:crossAx val="109745664"/>
        <c:crosses val="autoZero"/>
        <c:crossBetween val="between"/>
      </c:valAx>
      <c:spPr>
        <a:noFill/>
        <a:ln w="25400">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5130426042851963"/>
          <c:y val="1.6182410902539839E-2"/>
          <c:w val="0.76663878788313888"/>
          <c:h val="0.80440566857365792"/>
        </c:manualLayout>
      </c:layout>
      <c:bar3DChart>
        <c:barDir val="bar"/>
        <c:grouping val="clustered"/>
        <c:varyColors val="0"/>
        <c:ser>
          <c:idx val="2"/>
          <c:order val="0"/>
          <c:tx>
            <c:strRef>
              <c:f>'pa ministrijām'!$D$14</c:f>
              <c:strCache>
                <c:ptCount val="1"/>
                <c:pt idx="0">
                  <c:v>Faktiksi veikti maksājumi finansējuma saņēmējiem 01.01.2012.-30.09.2012.</c:v>
                </c:pt>
              </c:strCache>
            </c:strRef>
          </c:tx>
          <c:invertIfNegative val="0"/>
          <c:dLbls>
            <c:numFmt formatCode="#,##0.0" sourceLinked="0"/>
            <c:showLegendKey val="0"/>
            <c:showVal val="1"/>
            <c:showCatName val="0"/>
            <c:showSerName val="0"/>
            <c:showPercent val="0"/>
            <c:showBubbleSize val="0"/>
            <c:showLeaderLines val="0"/>
          </c:dLbls>
          <c:cat>
            <c:strRef>
              <c:f>'pa ministrijām'!$A$15:$A$23</c:f>
              <c:strCache>
                <c:ptCount val="9"/>
                <c:pt idx="0">
                  <c:v>VKanc</c:v>
                </c:pt>
                <c:pt idx="1">
                  <c:v>KM</c:v>
                </c:pt>
                <c:pt idx="2">
                  <c:v>FM</c:v>
                </c:pt>
                <c:pt idx="3">
                  <c:v>VM</c:v>
                </c:pt>
                <c:pt idx="4">
                  <c:v>LM</c:v>
                </c:pt>
                <c:pt idx="5">
                  <c:v>EM</c:v>
                </c:pt>
                <c:pt idx="6">
                  <c:v>IZM </c:v>
                </c:pt>
                <c:pt idx="7">
                  <c:v>VARAM</c:v>
                </c:pt>
                <c:pt idx="8">
                  <c:v>SM</c:v>
                </c:pt>
              </c:strCache>
            </c:strRef>
          </c:cat>
          <c:val>
            <c:numRef>
              <c:f>'pa ministrijām'!$D$15:$D$23</c:f>
              <c:numCache>
                <c:formatCode>_-* #,##0_-;\-* #,##0_-;_-* "-"??_-;_-@_-</c:formatCode>
                <c:ptCount val="9"/>
                <c:pt idx="0">
                  <c:v>1534811.76</c:v>
                </c:pt>
                <c:pt idx="1">
                  <c:v>2540754.3600000003</c:v>
                </c:pt>
                <c:pt idx="2">
                  <c:v>9349206.8200000003</c:v>
                </c:pt>
                <c:pt idx="3">
                  <c:v>17863152.740000002</c:v>
                </c:pt>
                <c:pt idx="4">
                  <c:v>23687472.88000001</c:v>
                </c:pt>
                <c:pt idx="5">
                  <c:v>39489967.549999997</c:v>
                </c:pt>
                <c:pt idx="6">
                  <c:v>55269157.230000004</c:v>
                </c:pt>
                <c:pt idx="7">
                  <c:v>62124211.029999986</c:v>
                </c:pt>
                <c:pt idx="8">
                  <c:v>75545718.860000014</c:v>
                </c:pt>
              </c:numCache>
            </c:numRef>
          </c:val>
        </c:ser>
        <c:ser>
          <c:idx val="1"/>
          <c:order val="1"/>
          <c:tx>
            <c:strRef>
              <c:f>'pa ministrijām'!$C$14</c:f>
              <c:strCache>
                <c:ptCount val="1"/>
                <c:pt idx="0">
                  <c:v>AI mērķis 01.01.2012. - 30.09.2012.</c:v>
                </c:pt>
              </c:strCache>
            </c:strRef>
          </c:tx>
          <c:invertIfNegative val="0"/>
          <c:dLbls>
            <c:dLbl>
              <c:idx val="0"/>
              <c:tx>
                <c:rich>
                  <a:bodyPr/>
                  <a:lstStyle/>
                  <a:p>
                    <a:r>
                      <a:rPr lang="en-US"/>
                      <a:t>2,2</a:t>
                    </a:r>
                    <a:r>
                      <a:rPr lang="lv-LV"/>
                      <a:t> (71,3%)</a:t>
                    </a:r>
                    <a:endParaRPr lang="en-US"/>
                  </a:p>
                </c:rich>
              </c:tx>
              <c:showLegendKey val="0"/>
              <c:showVal val="1"/>
              <c:showCatName val="0"/>
              <c:showSerName val="0"/>
              <c:showPercent val="0"/>
              <c:showBubbleSize val="0"/>
            </c:dLbl>
            <c:dLbl>
              <c:idx val="1"/>
              <c:tx>
                <c:rich>
                  <a:bodyPr/>
                  <a:lstStyle/>
                  <a:p>
                    <a:r>
                      <a:rPr lang="en-US"/>
                      <a:t>4,2</a:t>
                    </a:r>
                    <a:r>
                      <a:rPr lang="lv-LV"/>
                      <a:t> (59,8%)</a:t>
                    </a:r>
                    <a:endParaRPr lang="en-US"/>
                  </a:p>
                </c:rich>
              </c:tx>
              <c:showLegendKey val="0"/>
              <c:showVal val="1"/>
              <c:showCatName val="0"/>
              <c:showSerName val="0"/>
              <c:showPercent val="0"/>
              <c:showBubbleSize val="0"/>
            </c:dLbl>
            <c:dLbl>
              <c:idx val="2"/>
              <c:tx>
                <c:rich>
                  <a:bodyPr/>
                  <a:lstStyle/>
                  <a:p>
                    <a:r>
                      <a:rPr lang="en-US"/>
                      <a:t>9,3</a:t>
                    </a:r>
                    <a:r>
                      <a:rPr lang="lv-LV"/>
                      <a:t> (100,2%)</a:t>
                    </a:r>
                    <a:endParaRPr lang="en-US"/>
                  </a:p>
                </c:rich>
              </c:tx>
              <c:showLegendKey val="0"/>
              <c:showVal val="1"/>
              <c:showCatName val="0"/>
              <c:showSerName val="0"/>
              <c:showPercent val="0"/>
              <c:showBubbleSize val="0"/>
            </c:dLbl>
            <c:dLbl>
              <c:idx val="3"/>
              <c:tx>
                <c:rich>
                  <a:bodyPr/>
                  <a:lstStyle/>
                  <a:p>
                    <a:r>
                      <a:rPr lang="en-US"/>
                      <a:t>14,5</a:t>
                    </a:r>
                    <a:r>
                      <a:rPr lang="lv-LV"/>
                      <a:t> (123,3%)</a:t>
                    </a:r>
                    <a:endParaRPr lang="en-US"/>
                  </a:p>
                </c:rich>
              </c:tx>
              <c:showLegendKey val="0"/>
              <c:showVal val="1"/>
              <c:showCatName val="0"/>
              <c:showSerName val="0"/>
              <c:showPercent val="0"/>
              <c:showBubbleSize val="0"/>
            </c:dLbl>
            <c:dLbl>
              <c:idx val="4"/>
              <c:tx>
                <c:rich>
                  <a:bodyPr/>
                  <a:lstStyle/>
                  <a:p>
                    <a:r>
                      <a:rPr lang="en-US"/>
                      <a:t>16,4</a:t>
                    </a:r>
                    <a:r>
                      <a:rPr lang="lv-LV"/>
                      <a:t> (144,3%)</a:t>
                    </a:r>
                    <a:endParaRPr lang="en-US"/>
                  </a:p>
                </c:rich>
              </c:tx>
              <c:showLegendKey val="0"/>
              <c:showVal val="1"/>
              <c:showCatName val="0"/>
              <c:showSerName val="0"/>
              <c:showPercent val="0"/>
              <c:showBubbleSize val="0"/>
            </c:dLbl>
            <c:dLbl>
              <c:idx val="5"/>
              <c:tx>
                <c:rich>
                  <a:bodyPr/>
                  <a:lstStyle/>
                  <a:p>
                    <a:r>
                      <a:rPr lang="en-US"/>
                      <a:t>48,7</a:t>
                    </a:r>
                    <a:r>
                      <a:rPr lang="lv-LV"/>
                      <a:t> (81%)</a:t>
                    </a:r>
                    <a:endParaRPr lang="en-US"/>
                  </a:p>
                </c:rich>
              </c:tx>
              <c:showLegendKey val="0"/>
              <c:showVal val="1"/>
              <c:showCatName val="0"/>
              <c:showSerName val="0"/>
              <c:showPercent val="0"/>
              <c:showBubbleSize val="0"/>
            </c:dLbl>
            <c:dLbl>
              <c:idx val="6"/>
              <c:tx>
                <c:rich>
                  <a:bodyPr/>
                  <a:lstStyle/>
                  <a:p>
                    <a:r>
                      <a:rPr lang="en-US"/>
                      <a:t>67,6</a:t>
                    </a:r>
                    <a:r>
                      <a:rPr lang="lv-LV"/>
                      <a:t> (81,7%)</a:t>
                    </a:r>
                    <a:endParaRPr lang="en-US"/>
                  </a:p>
                </c:rich>
              </c:tx>
              <c:showLegendKey val="0"/>
              <c:showVal val="1"/>
              <c:showCatName val="0"/>
              <c:showSerName val="0"/>
              <c:showPercent val="0"/>
              <c:showBubbleSize val="0"/>
            </c:dLbl>
            <c:dLbl>
              <c:idx val="7"/>
              <c:tx>
                <c:rich>
                  <a:bodyPr/>
                  <a:lstStyle/>
                  <a:p>
                    <a:r>
                      <a:rPr lang="en-US"/>
                      <a:t>82,3</a:t>
                    </a:r>
                    <a:r>
                      <a:rPr lang="lv-LV"/>
                      <a:t> (75,5%)</a:t>
                    </a:r>
                    <a:endParaRPr lang="en-US"/>
                  </a:p>
                </c:rich>
              </c:tx>
              <c:showLegendKey val="0"/>
              <c:showVal val="1"/>
              <c:showCatName val="0"/>
              <c:showSerName val="0"/>
              <c:showPercent val="0"/>
              <c:showBubbleSize val="0"/>
            </c:dLbl>
            <c:dLbl>
              <c:idx val="8"/>
              <c:tx>
                <c:rich>
                  <a:bodyPr/>
                  <a:lstStyle/>
                  <a:p>
                    <a:r>
                      <a:rPr lang="en-US"/>
                      <a:t>117,9</a:t>
                    </a:r>
                    <a:r>
                      <a:rPr lang="lv-LV"/>
                      <a:t> (64,1%)</a:t>
                    </a:r>
                    <a:endParaRPr lang="en-US"/>
                  </a:p>
                </c:rich>
              </c:tx>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'pa ministrijām'!$A$15:$A$23</c:f>
              <c:strCache>
                <c:ptCount val="9"/>
                <c:pt idx="0">
                  <c:v>VKanc</c:v>
                </c:pt>
                <c:pt idx="1">
                  <c:v>KM</c:v>
                </c:pt>
                <c:pt idx="2">
                  <c:v>FM</c:v>
                </c:pt>
                <c:pt idx="3">
                  <c:v>VM</c:v>
                </c:pt>
                <c:pt idx="4">
                  <c:v>LM</c:v>
                </c:pt>
                <c:pt idx="5">
                  <c:v>EM</c:v>
                </c:pt>
                <c:pt idx="6">
                  <c:v>IZM </c:v>
                </c:pt>
                <c:pt idx="7">
                  <c:v>VARAM</c:v>
                </c:pt>
                <c:pt idx="8">
                  <c:v>SM</c:v>
                </c:pt>
              </c:strCache>
            </c:strRef>
          </c:cat>
          <c:val>
            <c:numRef>
              <c:f>'pa ministrijām'!$C$15:$C$23</c:f>
              <c:numCache>
                <c:formatCode>_-* #,##0_-;\-* #,##0_-;_-* "-"??_-;_-@_-</c:formatCode>
                <c:ptCount val="9"/>
                <c:pt idx="0">
                  <c:v>2151386.75</c:v>
                </c:pt>
                <c:pt idx="1">
                  <c:v>4247728</c:v>
                </c:pt>
                <c:pt idx="2">
                  <c:v>9326581.1699999999</c:v>
                </c:pt>
                <c:pt idx="3">
                  <c:v>14486677.500000002</c:v>
                </c:pt>
                <c:pt idx="4">
                  <c:v>16417599.579400001</c:v>
                </c:pt>
                <c:pt idx="5">
                  <c:v>48743317.264657006</c:v>
                </c:pt>
                <c:pt idx="6">
                  <c:v>67621876.170000002</c:v>
                </c:pt>
                <c:pt idx="7">
                  <c:v>82312447.060000002</c:v>
                </c:pt>
                <c:pt idx="8">
                  <c:v>117854481.09</c:v>
                </c:pt>
              </c:numCache>
            </c:numRef>
          </c:val>
        </c:ser>
        <c:ser>
          <c:idx val="0"/>
          <c:order val="2"/>
          <c:tx>
            <c:strRef>
              <c:f>'pa ministrijām'!$B$14</c:f>
              <c:strCache>
                <c:ptCount val="1"/>
                <c:pt idx="0">
                  <c:v>2012.gada AI mērķis</c:v>
                </c:pt>
              </c:strCache>
            </c:strRef>
          </c:tx>
          <c:invertIfNegative val="0"/>
          <c:dLbls>
            <c:dLbl>
              <c:idx val="0"/>
              <c:tx>
                <c:rich>
                  <a:bodyPr/>
                  <a:lstStyle/>
                  <a:p>
                    <a:r>
                      <a:rPr lang="en-US"/>
                      <a:t>2,6</a:t>
                    </a:r>
                    <a:r>
                      <a:rPr lang="lv-LV"/>
                      <a:t> (58,3%)</a:t>
                    </a:r>
                    <a:endParaRPr lang="en-US"/>
                  </a:p>
                </c:rich>
              </c:tx>
              <c:showLegendKey val="0"/>
              <c:showVal val="1"/>
              <c:showCatName val="0"/>
              <c:showSerName val="0"/>
              <c:showPercent val="0"/>
              <c:showBubbleSize val="0"/>
            </c:dLbl>
            <c:dLbl>
              <c:idx val="1"/>
              <c:tx>
                <c:rich>
                  <a:bodyPr/>
                  <a:lstStyle/>
                  <a:p>
                    <a:r>
                      <a:rPr lang="en-US"/>
                      <a:t>5,6</a:t>
                    </a:r>
                    <a:r>
                      <a:rPr lang="lv-LV"/>
                      <a:t> (45,5%)</a:t>
                    </a:r>
                    <a:endParaRPr lang="en-US"/>
                  </a:p>
                </c:rich>
              </c:tx>
              <c:showLegendKey val="0"/>
              <c:showVal val="1"/>
              <c:showCatName val="0"/>
              <c:showSerName val="0"/>
              <c:showPercent val="0"/>
              <c:showBubbleSize val="0"/>
            </c:dLbl>
            <c:dLbl>
              <c:idx val="2"/>
              <c:tx>
                <c:rich>
                  <a:bodyPr/>
                  <a:lstStyle/>
                  <a:p>
                    <a:r>
                      <a:rPr lang="en-US"/>
                      <a:t>12,3</a:t>
                    </a:r>
                    <a:r>
                      <a:rPr lang="lv-LV"/>
                      <a:t> (75,8%)</a:t>
                    </a:r>
                    <a:endParaRPr lang="en-US"/>
                  </a:p>
                </c:rich>
              </c:tx>
              <c:showLegendKey val="0"/>
              <c:showVal val="1"/>
              <c:showCatName val="0"/>
              <c:showSerName val="0"/>
              <c:showPercent val="0"/>
              <c:showBubbleSize val="0"/>
            </c:dLbl>
            <c:dLbl>
              <c:idx val="3"/>
              <c:tx>
                <c:rich>
                  <a:bodyPr/>
                  <a:lstStyle/>
                  <a:p>
                    <a:r>
                      <a:rPr lang="en-US"/>
                      <a:t>22,0</a:t>
                    </a:r>
                    <a:r>
                      <a:rPr lang="lv-LV"/>
                      <a:t>(81,1%)</a:t>
                    </a:r>
                    <a:endParaRPr lang="en-US"/>
                  </a:p>
                </c:rich>
              </c:tx>
              <c:showLegendKey val="0"/>
              <c:showVal val="1"/>
              <c:showCatName val="0"/>
              <c:showSerName val="0"/>
              <c:showPercent val="0"/>
              <c:showBubbleSize val="0"/>
            </c:dLbl>
            <c:dLbl>
              <c:idx val="4"/>
              <c:tx>
                <c:rich>
                  <a:bodyPr/>
                  <a:lstStyle/>
                  <a:p>
                    <a:r>
                      <a:rPr lang="en-US"/>
                      <a:t>25,9</a:t>
                    </a:r>
                    <a:r>
                      <a:rPr lang="lv-LV"/>
                      <a:t> (91,5%)</a:t>
                    </a:r>
                    <a:endParaRPr lang="en-US"/>
                  </a:p>
                </c:rich>
              </c:tx>
              <c:showLegendKey val="0"/>
              <c:showVal val="1"/>
              <c:showCatName val="0"/>
              <c:showSerName val="0"/>
              <c:showPercent val="0"/>
              <c:showBubbleSize val="0"/>
            </c:dLbl>
            <c:dLbl>
              <c:idx val="5"/>
              <c:tx>
                <c:rich>
                  <a:bodyPr/>
                  <a:lstStyle/>
                  <a:p>
                    <a:r>
                      <a:rPr lang="en-US"/>
                      <a:t>76,4</a:t>
                    </a:r>
                    <a:r>
                      <a:rPr lang="lv-LV"/>
                      <a:t> (51,7%)</a:t>
                    </a:r>
                    <a:endParaRPr lang="en-US"/>
                  </a:p>
                </c:rich>
              </c:tx>
              <c:showLegendKey val="0"/>
              <c:showVal val="1"/>
              <c:showCatName val="0"/>
              <c:showSerName val="0"/>
              <c:showPercent val="0"/>
              <c:showBubbleSize val="0"/>
            </c:dLbl>
            <c:dLbl>
              <c:idx val="6"/>
              <c:tx>
                <c:rich>
                  <a:bodyPr/>
                  <a:lstStyle/>
                  <a:p>
                    <a:r>
                      <a:rPr lang="en-US"/>
                      <a:t>90,5</a:t>
                    </a:r>
                    <a:r>
                      <a:rPr lang="lv-LV"/>
                      <a:t> (61,1%)</a:t>
                    </a:r>
                    <a:endParaRPr lang="en-US"/>
                  </a:p>
                </c:rich>
              </c:tx>
              <c:showLegendKey val="0"/>
              <c:showVal val="1"/>
              <c:showCatName val="0"/>
              <c:showSerName val="0"/>
              <c:showPercent val="0"/>
              <c:showBubbleSize val="0"/>
            </c:dLbl>
            <c:dLbl>
              <c:idx val="7"/>
              <c:tx>
                <c:rich>
                  <a:bodyPr/>
                  <a:lstStyle/>
                  <a:p>
                    <a:r>
                      <a:rPr lang="en-US"/>
                      <a:t>122,7</a:t>
                    </a:r>
                    <a:r>
                      <a:rPr lang="lv-LV"/>
                      <a:t> (50,6%)</a:t>
                    </a:r>
                    <a:endParaRPr lang="en-US"/>
                  </a:p>
                </c:rich>
              </c:tx>
              <c:showLegendKey val="0"/>
              <c:showVal val="1"/>
              <c:showCatName val="0"/>
              <c:showSerName val="0"/>
              <c:showPercent val="0"/>
              <c:showBubbleSize val="0"/>
            </c:dLbl>
            <c:dLbl>
              <c:idx val="8"/>
              <c:tx>
                <c:rich>
                  <a:bodyPr/>
                  <a:lstStyle/>
                  <a:p>
                    <a:r>
                      <a:rPr lang="en-US"/>
                      <a:t>191,5</a:t>
                    </a:r>
                    <a:r>
                      <a:rPr lang="lv-LV"/>
                      <a:t> (39,5%)</a:t>
                    </a:r>
                    <a:endParaRPr lang="en-US"/>
                  </a:p>
                </c:rich>
              </c:tx>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'pa ministrijām'!$A$15:$A$23</c:f>
              <c:strCache>
                <c:ptCount val="9"/>
                <c:pt idx="0">
                  <c:v>VKanc</c:v>
                </c:pt>
                <c:pt idx="1">
                  <c:v>KM</c:v>
                </c:pt>
                <c:pt idx="2">
                  <c:v>FM</c:v>
                </c:pt>
                <c:pt idx="3">
                  <c:v>VM</c:v>
                </c:pt>
                <c:pt idx="4">
                  <c:v>LM</c:v>
                </c:pt>
                <c:pt idx="5">
                  <c:v>EM</c:v>
                </c:pt>
                <c:pt idx="6">
                  <c:v>IZM </c:v>
                </c:pt>
                <c:pt idx="7">
                  <c:v>VARAM</c:v>
                </c:pt>
                <c:pt idx="8">
                  <c:v>SM</c:v>
                </c:pt>
              </c:strCache>
            </c:strRef>
          </c:cat>
          <c:val>
            <c:numRef>
              <c:f>'pa ministrijām'!$B$15:$B$23</c:f>
              <c:numCache>
                <c:formatCode>General</c:formatCode>
                <c:ptCount val="9"/>
                <c:pt idx="0">
                  <c:v>2630693.85</c:v>
                </c:pt>
                <c:pt idx="1">
                  <c:v>5579811</c:v>
                </c:pt>
                <c:pt idx="2">
                  <c:v>12327808.510000002</c:v>
                </c:pt>
                <c:pt idx="3">
                  <c:v>22015967.560000002</c:v>
                </c:pt>
                <c:pt idx="4">
                  <c:v>25897572.881499995</c:v>
                </c:pt>
                <c:pt idx="5">
                  <c:v>76376429.966003001</c:v>
                </c:pt>
                <c:pt idx="6">
                  <c:v>90522166.170000002</c:v>
                </c:pt>
                <c:pt idx="7">
                  <c:v>122717905.21399999</c:v>
                </c:pt>
                <c:pt idx="8">
                  <c:v>191480548.07999998</c:v>
                </c:pt>
              </c:numCache>
            </c:numRef>
          </c:val>
        </c:ser>
        <c:dLbls>
          <c:showLegendKey val="0"/>
          <c:showVal val="0"/>
          <c:showCatName val="0"/>
          <c:showSerName val="0"/>
          <c:showPercent val="0"/>
          <c:showBubbleSize val="0"/>
        </c:dLbls>
        <c:gapWidth val="150"/>
        <c:shape val="box"/>
        <c:axId val="58564992"/>
        <c:axId val="58566528"/>
        <c:axId val="0"/>
      </c:bar3DChart>
      <c:catAx>
        <c:axId val="58564992"/>
        <c:scaling>
          <c:orientation val="minMax"/>
        </c:scaling>
        <c:delete val="0"/>
        <c:axPos val="l"/>
        <c:majorTickMark val="out"/>
        <c:minorTickMark val="none"/>
        <c:tickLblPos val="nextTo"/>
        <c:crossAx val="58566528"/>
        <c:crosses val="autoZero"/>
        <c:auto val="1"/>
        <c:lblAlgn val="ctr"/>
        <c:lblOffset val="100"/>
        <c:noMultiLvlLbl val="0"/>
      </c:catAx>
      <c:valAx>
        <c:axId val="58566528"/>
        <c:scaling>
          <c:orientation val="minMax"/>
        </c:scaling>
        <c:delete val="0"/>
        <c:axPos val="b"/>
        <c:majorGridlines/>
        <c:numFmt formatCode="#,##0" sourceLinked="0"/>
        <c:majorTickMark val="out"/>
        <c:minorTickMark val="none"/>
        <c:tickLblPos val="nextTo"/>
        <c:crossAx val="58564992"/>
        <c:crosses val="autoZero"/>
        <c:crossBetween val="between"/>
        <c:dispUnits>
          <c:builtInUnit val="millions"/>
        </c:dispUnits>
      </c:valAx>
    </c:plotArea>
    <c:legend>
      <c:legendPos val="b"/>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Sheet1!$B$4</c:f>
              <c:strCache>
                <c:ptCount val="1"/>
                <c:pt idx="0">
                  <c:v>Apstiprinātais AI mērķis maksājumiem finansējuma saņēmējiem 2012.g.</c:v>
                </c:pt>
              </c:strCache>
            </c:strRef>
          </c:tx>
          <c:dLbls>
            <c:dLbl>
              <c:idx val="0"/>
              <c:layout>
                <c:manualLayout>
                  <c:x val="-6.4343470818118073E-2"/>
                  <c:y val="-1.2535433070866067E-2"/>
                </c:manualLayout>
              </c:layout>
              <c:dLblPos val="r"/>
              <c:showLegendKey val="0"/>
              <c:showVal val="1"/>
              <c:showCatName val="0"/>
              <c:showSerName val="0"/>
              <c:showPercent val="0"/>
              <c:showBubbleSize val="0"/>
            </c:dLbl>
            <c:dLbl>
              <c:idx val="6"/>
              <c:layout>
                <c:manualLayout>
                  <c:x val="-5.1274261748978013E-2"/>
                  <c:y val="-4.9797820726954586E-2"/>
                </c:manualLayout>
              </c:layout>
              <c:dLblPos val="r"/>
              <c:showLegendKey val="0"/>
              <c:showVal val="1"/>
              <c:showCatName val="0"/>
              <c:showSerName val="0"/>
              <c:showPercent val="0"/>
              <c:showBubbleSize val="0"/>
            </c:dLbl>
            <c:numFmt formatCode="#,##0.0" sourceLinked="0"/>
            <c:dLblPos val="t"/>
            <c:showLegendKey val="0"/>
            <c:showVal val="1"/>
            <c:showCatName val="0"/>
            <c:showSerName val="0"/>
            <c:showPercent val="0"/>
            <c:showBubbleSize val="0"/>
            <c:showLeaderLines val="0"/>
          </c:dLbls>
          <c:cat>
            <c:strRef>
              <c:f>Sheet1!$C$3:$I$3</c:f>
              <c:strCache>
                <c:ptCount val="7"/>
                <c:pt idx="0">
                  <c:v>Jūn.</c:v>
                </c:pt>
                <c:pt idx="1">
                  <c:v>Jūl.</c:v>
                </c:pt>
                <c:pt idx="2">
                  <c:v>Aug.</c:v>
                </c:pt>
                <c:pt idx="3">
                  <c:v>Sept.</c:v>
                </c:pt>
                <c:pt idx="4">
                  <c:v>Okt.</c:v>
                </c:pt>
                <c:pt idx="5">
                  <c:v>Nov.</c:v>
                </c:pt>
                <c:pt idx="6">
                  <c:v>Dec.</c:v>
                </c:pt>
              </c:strCache>
            </c:strRef>
          </c:cat>
          <c:val>
            <c:numRef>
              <c:f>Sheet1!$C$4:$I$4</c:f>
              <c:numCache>
                <c:formatCode>#,##0</c:formatCode>
                <c:ptCount val="7"/>
                <c:pt idx="0">
                  <c:v>180394024.92255002</c:v>
                </c:pt>
                <c:pt idx="1">
                  <c:v>251506943.9163</c:v>
                </c:pt>
                <c:pt idx="2">
                  <c:v>302269317.71129996</c:v>
                </c:pt>
                <c:pt idx="3">
                  <c:v>363162094.58405703</c:v>
                </c:pt>
                <c:pt idx="4">
                  <c:v>445162491.47471398</c:v>
                </c:pt>
                <c:pt idx="5">
                  <c:v>485851039.39537096</c:v>
                </c:pt>
                <c:pt idx="6">
                  <c:v>549548908.23150301</c:v>
                </c:pt>
              </c:numCache>
            </c:numRef>
          </c:val>
          <c:smooth val="0"/>
        </c:ser>
        <c:ser>
          <c:idx val="1"/>
          <c:order val="1"/>
          <c:tx>
            <c:strRef>
              <c:f>Sheet1!$B$5</c:f>
              <c:strCache>
                <c:ptCount val="1"/>
                <c:pt idx="0">
                  <c:v>AI prognoze maksājumiem finansējuma saņēmējiem 2012.g.</c:v>
                </c:pt>
              </c:strCache>
            </c:strRef>
          </c:tx>
          <c:dLbls>
            <c:numFmt formatCode="#,##0.0" sourceLinked="0"/>
            <c:dLblPos val="b"/>
            <c:showLegendKey val="0"/>
            <c:showVal val="1"/>
            <c:showCatName val="0"/>
            <c:showSerName val="0"/>
            <c:showPercent val="0"/>
            <c:showBubbleSize val="0"/>
            <c:showLeaderLines val="0"/>
          </c:dLbls>
          <c:cat>
            <c:strRef>
              <c:f>Sheet1!$C$3:$I$3</c:f>
              <c:strCache>
                <c:ptCount val="7"/>
                <c:pt idx="0">
                  <c:v>Jūn.</c:v>
                </c:pt>
                <c:pt idx="1">
                  <c:v>Jūl.</c:v>
                </c:pt>
                <c:pt idx="2">
                  <c:v>Aug.</c:v>
                </c:pt>
                <c:pt idx="3">
                  <c:v>Sept.</c:v>
                </c:pt>
                <c:pt idx="4">
                  <c:v>Okt.</c:v>
                </c:pt>
                <c:pt idx="5">
                  <c:v>Nov.</c:v>
                </c:pt>
                <c:pt idx="6">
                  <c:v>Dec.</c:v>
                </c:pt>
              </c:strCache>
            </c:strRef>
          </c:cat>
          <c:val>
            <c:numRef>
              <c:f>Sheet1!$C$5:$I$5</c:f>
              <c:numCache>
                <c:formatCode>#,##0</c:formatCode>
                <c:ptCount val="7"/>
                <c:pt idx="0">
                  <c:v>152072170.80199999</c:v>
                </c:pt>
                <c:pt idx="1">
                  <c:v>186444729.785</c:v>
                </c:pt>
                <c:pt idx="2">
                  <c:v>229697914.03999999</c:v>
                </c:pt>
                <c:pt idx="3">
                  <c:v>263525825.58950001</c:v>
                </c:pt>
                <c:pt idx="4">
                  <c:v>338947238.9515</c:v>
                </c:pt>
                <c:pt idx="5">
                  <c:v>388018085.81889147</c:v>
                </c:pt>
                <c:pt idx="6">
                  <c:v>444074318.45643115</c:v>
                </c:pt>
              </c:numCache>
            </c:numRef>
          </c:val>
          <c:smooth val="0"/>
        </c:ser>
        <c:ser>
          <c:idx val="2"/>
          <c:order val="2"/>
          <c:tx>
            <c:strRef>
              <c:f>Sheet1!$B$6</c:f>
              <c:strCache>
                <c:ptCount val="1"/>
                <c:pt idx="0">
                  <c:v>Faktiski maksājumi finansējuma saņēmējiem no 01.01.2012.</c:v>
                </c:pt>
              </c:strCache>
            </c:strRef>
          </c:tx>
          <c:dLbls>
            <c:dLbl>
              <c:idx val="0"/>
              <c:layout>
                <c:manualLayout>
                  <c:x val="-4.5204279951836984E-2"/>
                  <c:y val="-4.4858665394098468E-2"/>
                </c:manualLayout>
              </c:layout>
              <c:dLblPos val="r"/>
              <c:showLegendKey val="0"/>
              <c:showVal val="1"/>
              <c:showCatName val="0"/>
              <c:showSerName val="0"/>
              <c:showPercent val="0"/>
              <c:showBubbleSize val="0"/>
            </c:dLbl>
            <c:numFmt formatCode="#,##0.0" sourceLinked="0"/>
            <c:txPr>
              <a:bodyPr/>
              <a:lstStyle/>
              <a:p>
                <a:pPr>
                  <a:defRPr b="1">
                    <a:solidFill>
                      <a:schemeClr val="accent3">
                        <a:lumMod val="75000"/>
                      </a:schemeClr>
                    </a:solidFill>
                  </a:defRPr>
                </a:pPr>
                <a:endParaRPr lang="lv-LV"/>
              </a:p>
            </c:txPr>
            <c:dLblPos val="t"/>
            <c:showLegendKey val="0"/>
            <c:showVal val="1"/>
            <c:showCatName val="0"/>
            <c:showSerName val="0"/>
            <c:showPercent val="0"/>
            <c:showBubbleSize val="0"/>
            <c:showLeaderLines val="0"/>
          </c:dLbls>
          <c:cat>
            <c:strRef>
              <c:f>Sheet1!$C$3:$I$3</c:f>
              <c:strCache>
                <c:ptCount val="7"/>
                <c:pt idx="0">
                  <c:v>Jūn.</c:v>
                </c:pt>
                <c:pt idx="1">
                  <c:v>Jūl.</c:v>
                </c:pt>
                <c:pt idx="2">
                  <c:v>Aug.</c:v>
                </c:pt>
                <c:pt idx="3">
                  <c:v>Sept.</c:v>
                </c:pt>
                <c:pt idx="4">
                  <c:v>Okt.</c:v>
                </c:pt>
                <c:pt idx="5">
                  <c:v>Nov.</c:v>
                </c:pt>
                <c:pt idx="6">
                  <c:v>Dec.</c:v>
                </c:pt>
              </c:strCache>
            </c:strRef>
          </c:cat>
          <c:val>
            <c:numRef>
              <c:f>Sheet1!$C$6:$I$6</c:f>
              <c:numCache>
                <c:formatCode>#,##0</c:formatCode>
                <c:ptCount val="7"/>
                <c:pt idx="0">
                  <c:v>197195845.84</c:v>
                </c:pt>
                <c:pt idx="1">
                  <c:v>216463988.18999985</c:v>
                </c:pt>
                <c:pt idx="2">
                  <c:v>252574989.22000003</c:v>
                </c:pt>
                <c:pt idx="3">
                  <c:v>287404453.23000002</c:v>
                </c:pt>
              </c:numCache>
            </c:numRef>
          </c:val>
          <c:smooth val="0"/>
        </c:ser>
        <c:dLbls>
          <c:dLblPos val="t"/>
          <c:showLegendKey val="0"/>
          <c:showVal val="1"/>
          <c:showCatName val="0"/>
          <c:showSerName val="0"/>
          <c:showPercent val="0"/>
          <c:showBubbleSize val="0"/>
        </c:dLbls>
        <c:marker val="1"/>
        <c:smooth val="0"/>
        <c:axId val="84181760"/>
        <c:axId val="84183296"/>
      </c:lineChart>
      <c:catAx>
        <c:axId val="84181760"/>
        <c:scaling>
          <c:orientation val="minMax"/>
        </c:scaling>
        <c:delete val="0"/>
        <c:axPos val="b"/>
        <c:majorTickMark val="out"/>
        <c:minorTickMark val="none"/>
        <c:tickLblPos val="nextTo"/>
        <c:crossAx val="84183296"/>
        <c:crosses val="autoZero"/>
        <c:auto val="1"/>
        <c:lblAlgn val="ctr"/>
        <c:lblOffset val="100"/>
        <c:noMultiLvlLbl val="0"/>
      </c:catAx>
      <c:valAx>
        <c:axId val="84183296"/>
        <c:scaling>
          <c:orientation val="minMax"/>
        </c:scaling>
        <c:delete val="0"/>
        <c:axPos val="l"/>
        <c:majorGridlines/>
        <c:numFmt formatCode="#,##0" sourceLinked="1"/>
        <c:majorTickMark val="out"/>
        <c:minorTickMark val="none"/>
        <c:tickLblPos val="nextTo"/>
        <c:crossAx val="84181760"/>
        <c:crosses val="autoZero"/>
        <c:crossBetween val="between"/>
        <c:dispUnits>
          <c:builtInUnit val="millions"/>
        </c:dispUnits>
      </c:valAx>
    </c:plotArea>
    <c:legend>
      <c:legendPos val="b"/>
      <c:layout>
        <c:manualLayout>
          <c:xMode val="edge"/>
          <c:yMode val="edge"/>
          <c:x val="8.6172420635165069E-3"/>
          <c:y val="0.74961107134335481"/>
          <c:w val="0.97102655127919146"/>
          <c:h val="0.22614650441422096"/>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626088405616"/>
          <c:y val="4.5197732801486187E-2"/>
          <c:w val="0.8056016180529938"/>
          <c:h val="0.70732176028260629"/>
        </c:manualLayout>
      </c:layout>
      <c:barChart>
        <c:barDir val="bar"/>
        <c:grouping val="clustered"/>
        <c:varyColors val="0"/>
        <c:ser>
          <c:idx val="0"/>
          <c:order val="0"/>
          <c:tx>
            <c:strRef>
              <c:f>'ministriju plāni'!$C$4</c:f>
              <c:strCache>
                <c:ptCount val="1"/>
                <c:pt idx="0">
                  <c:v>Gada plāns</c:v>
                </c:pt>
              </c:strCache>
            </c:strRef>
          </c:tx>
          <c:invertIfNegative val="0"/>
          <c:dLbls>
            <c:dLbl>
              <c:idx val="0"/>
              <c:tx>
                <c:rich>
                  <a:bodyPr/>
                  <a:lstStyle/>
                  <a:p>
                    <a:r>
                      <a:rPr lang="lv-LV" sz="1100"/>
                      <a:t>36,6</a:t>
                    </a:r>
                    <a:endParaRPr lang="en-US"/>
                  </a:p>
                </c:rich>
              </c:tx>
              <c:showLegendKey val="0"/>
              <c:showVal val="0"/>
              <c:showCatName val="0"/>
              <c:showSerName val="0"/>
              <c:showPercent val="0"/>
              <c:showBubbleSize val="0"/>
            </c:dLbl>
            <c:dLbl>
              <c:idx val="1"/>
              <c:tx>
                <c:rich>
                  <a:bodyPr/>
                  <a:lstStyle/>
                  <a:p>
                    <a:r>
                      <a:rPr lang="en-US" sz="1100"/>
                      <a:t>55,</a:t>
                    </a:r>
                    <a:r>
                      <a:rPr lang="lv-LV" sz="1100"/>
                      <a:t>6</a:t>
                    </a:r>
                    <a:endParaRPr lang="en-US"/>
                  </a:p>
                </c:rich>
              </c:tx>
              <c:showLegendKey val="0"/>
              <c:showVal val="0"/>
              <c:showCatName val="0"/>
              <c:showSerName val="0"/>
              <c:showPercent val="0"/>
              <c:showBubbleSize val="0"/>
            </c:dLbl>
            <c:dLbl>
              <c:idx val="2"/>
              <c:tx>
                <c:rich>
                  <a:bodyPr/>
                  <a:lstStyle/>
                  <a:p>
                    <a:r>
                      <a:rPr lang="en-US" sz="1100"/>
                      <a:t>92,9</a:t>
                    </a:r>
                    <a:endParaRPr lang="en-US"/>
                  </a:p>
                </c:rich>
              </c:tx>
              <c:showLegendKey val="0"/>
              <c:showVal val="0"/>
              <c:showCatName val="0"/>
              <c:showSerName val="0"/>
              <c:showPercent val="0"/>
              <c:showBubbleSize val="0"/>
            </c:dLbl>
            <c:dLbl>
              <c:idx val="3"/>
              <c:tx>
                <c:rich>
                  <a:bodyPr/>
                  <a:lstStyle/>
                  <a:p>
                    <a:r>
                      <a:rPr lang="lv-LV" sz="1100"/>
                      <a:t>58,5</a:t>
                    </a:r>
                    <a:endParaRPr lang="en-US"/>
                  </a:p>
                </c:rich>
              </c:tx>
              <c:showLegendKey val="0"/>
              <c:showVal val="0"/>
              <c:showCatName val="0"/>
              <c:showSerName val="0"/>
              <c:showPercent val="0"/>
              <c:showBubbleSize val="0"/>
            </c:dLbl>
            <c:dLbl>
              <c:idx val="4"/>
              <c:tx>
                <c:rich>
                  <a:bodyPr/>
                  <a:lstStyle/>
                  <a:p>
                    <a:r>
                      <a:rPr lang="en-US" sz="1100"/>
                      <a:t>86,6</a:t>
                    </a:r>
                    <a:endParaRPr lang="en-US"/>
                  </a:p>
                </c:rich>
              </c:tx>
              <c:showLegendKey val="0"/>
              <c:showVal val="0"/>
              <c:showCatName val="0"/>
              <c:showSerName val="0"/>
              <c:showPercent val="0"/>
              <c:showBubbleSize val="0"/>
            </c:dLbl>
            <c:dLbl>
              <c:idx val="5"/>
              <c:tx>
                <c:rich>
                  <a:bodyPr/>
                  <a:lstStyle/>
                  <a:p>
                    <a:r>
                      <a:rPr lang="lv-LV" sz="1100"/>
                      <a:t>144,0</a:t>
                    </a:r>
                    <a:endParaRPr lang="en-US"/>
                  </a:p>
                </c:rich>
              </c:tx>
              <c:showLegendKey val="0"/>
              <c:showVal val="0"/>
              <c:showCatName val="0"/>
              <c:showSerName val="0"/>
              <c:showPercent val="0"/>
              <c:showBubbleSize val="0"/>
            </c:dLbl>
            <c:numFmt formatCode="#,##0.00" sourceLinked="0"/>
            <c:txPr>
              <a:bodyPr/>
              <a:lstStyle/>
              <a:p>
                <a:pPr>
                  <a:defRPr sz="1100"/>
                </a:pPr>
                <a:endParaRPr lang="lv-LV"/>
              </a:p>
            </c:txPr>
            <c:showLegendKey val="0"/>
            <c:showVal val="1"/>
            <c:showCatName val="0"/>
            <c:showSerName val="0"/>
            <c:showPercent val="0"/>
            <c:showBubbleSize val="0"/>
            <c:showLeaderLines val="0"/>
          </c:dLbls>
          <c:cat>
            <c:strRef>
              <c:f>'ministriju plāni'!$B$5:$B$10</c:f>
              <c:strCache>
                <c:ptCount val="6"/>
                <c:pt idx="0">
                  <c:v>LM</c:v>
                </c:pt>
                <c:pt idx="1">
                  <c:v>FM</c:v>
                </c:pt>
                <c:pt idx="2">
                  <c:v>IZM</c:v>
                </c:pt>
                <c:pt idx="3">
                  <c:v>EM</c:v>
                </c:pt>
                <c:pt idx="4">
                  <c:v>VARAM</c:v>
                </c:pt>
                <c:pt idx="5">
                  <c:v>SM</c:v>
                </c:pt>
              </c:strCache>
            </c:strRef>
          </c:cat>
          <c:val>
            <c:numRef>
              <c:f>'ministriju plāni'!$C$5:$C$10</c:f>
              <c:numCache>
                <c:formatCode>#,##0</c:formatCode>
                <c:ptCount val="6"/>
                <c:pt idx="0">
                  <c:v>36603366</c:v>
                </c:pt>
                <c:pt idx="1">
                  <c:v>55588934</c:v>
                </c:pt>
                <c:pt idx="2">
                  <c:v>92941359</c:v>
                </c:pt>
                <c:pt idx="3">
                  <c:v>58530601</c:v>
                </c:pt>
                <c:pt idx="4">
                  <c:v>86558438</c:v>
                </c:pt>
                <c:pt idx="5">
                  <c:v>143988130</c:v>
                </c:pt>
              </c:numCache>
            </c:numRef>
          </c:val>
        </c:ser>
        <c:ser>
          <c:idx val="1"/>
          <c:order val="1"/>
          <c:tx>
            <c:strRef>
              <c:f>'ministriju plāni'!$D$4</c:f>
              <c:strCache>
                <c:ptCount val="1"/>
                <c:pt idx="0">
                  <c:v>Izpilde uz 30.09.2012.</c:v>
                </c:pt>
              </c:strCache>
            </c:strRef>
          </c:tx>
          <c:invertIfNegative val="0"/>
          <c:dLbls>
            <c:dLbl>
              <c:idx val="0"/>
              <c:tx>
                <c:rich>
                  <a:bodyPr/>
                  <a:lstStyle/>
                  <a:p>
                    <a:r>
                      <a:rPr lang="en-US" sz="1100"/>
                      <a:t>23,</a:t>
                    </a:r>
                    <a:r>
                      <a:rPr lang="lv-LV" sz="1100"/>
                      <a:t>8</a:t>
                    </a:r>
                    <a:endParaRPr lang="en-US"/>
                  </a:p>
                </c:rich>
              </c:tx>
              <c:showLegendKey val="0"/>
              <c:showVal val="0"/>
              <c:showCatName val="0"/>
              <c:showSerName val="0"/>
              <c:showPercent val="0"/>
              <c:showBubbleSize val="0"/>
            </c:dLbl>
            <c:dLbl>
              <c:idx val="1"/>
              <c:tx>
                <c:rich>
                  <a:bodyPr/>
                  <a:lstStyle/>
                  <a:p>
                    <a:r>
                      <a:rPr lang="en-US" sz="1100"/>
                      <a:t>36,</a:t>
                    </a:r>
                    <a:r>
                      <a:rPr lang="lv-LV" sz="1100"/>
                      <a:t>3</a:t>
                    </a:r>
                    <a:endParaRPr lang="en-US"/>
                  </a:p>
                </c:rich>
              </c:tx>
              <c:showLegendKey val="0"/>
              <c:showVal val="0"/>
              <c:showCatName val="0"/>
              <c:showSerName val="0"/>
              <c:showPercent val="0"/>
              <c:showBubbleSize val="0"/>
            </c:dLbl>
            <c:dLbl>
              <c:idx val="2"/>
              <c:tx>
                <c:rich>
                  <a:bodyPr/>
                  <a:lstStyle/>
                  <a:p>
                    <a:r>
                      <a:rPr lang="en-US" sz="1100"/>
                      <a:t>5</a:t>
                    </a:r>
                    <a:r>
                      <a:rPr lang="lv-LV" sz="1100"/>
                      <a:t>5,0</a:t>
                    </a:r>
                    <a:endParaRPr lang="en-US"/>
                  </a:p>
                </c:rich>
              </c:tx>
              <c:showLegendKey val="0"/>
              <c:showVal val="0"/>
              <c:showCatName val="0"/>
              <c:showSerName val="0"/>
              <c:showPercent val="0"/>
              <c:showBubbleSize val="0"/>
            </c:dLbl>
            <c:dLbl>
              <c:idx val="3"/>
              <c:tx>
                <c:rich>
                  <a:bodyPr/>
                  <a:lstStyle/>
                  <a:p>
                    <a:r>
                      <a:rPr lang="en-US" sz="1100"/>
                      <a:t>31,7</a:t>
                    </a:r>
                    <a:endParaRPr lang="en-US"/>
                  </a:p>
                </c:rich>
              </c:tx>
              <c:showLegendKey val="0"/>
              <c:showVal val="0"/>
              <c:showCatName val="0"/>
              <c:showSerName val="0"/>
              <c:showPercent val="0"/>
              <c:showBubbleSize val="0"/>
            </c:dLbl>
            <c:dLbl>
              <c:idx val="4"/>
              <c:tx>
                <c:rich>
                  <a:bodyPr/>
                  <a:lstStyle/>
                  <a:p>
                    <a:r>
                      <a:rPr lang="en-US" sz="1100"/>
                      <a:t>42,</a:t>
                    </a:r>
                    <a:r>
                      <a:rPr lang="lv-LV" sz="1100"/>
                      <a:t>8</a:t>
                    </a:r>
                    <a:endParaRPr lang="en-US"/>
                  </a:p>
                </c:rich>
              </c:tx>
              <c:showLegendKey val="0"/>
              <c:showVal val="0"/>
              <c:showCatName val="0"/>
              <c:showSerName val="0"/>
              <c:showPercent val="0"/>
              <c:showBubbleSize val="0"/>
            </c:dLbl>
            <c:dLbl>
              <c:idx val="5"/>
              <c:layout>
                <c:manualLayout>
                  <c:x val="0"/>
                  <c:y val="-1.376915665541764E-2"/>
                </c:manualLayout>
              </c:layout>
              <c:tx>
                <c:rich>
                  <a:bodyPr/>
                  <a:lstStyle/>
                  <a:p>
                    <a:r>
                      <a:rPr lang="en-US" sz="1100"/>
                      <a:t>81,</a:t>
                    </a:r>
                    <a:r>
                      <a:rPr lang="lv-LV" sz="1100"/>
                      <a:t>9</a:t>
                    </a:r>
                    <a:endParaRPr lang="en-US"/>
                  </a:p>
                </c:rich>
              </c:tx>
              <c:showLegendKey val="0"/>
              <c:showVal val="0"/>
              <c:showCatName val="0"/>
              <c:showSerName val="0"/>
              <c:showPercent val="0"/>
              <c:showBubbleSize val="0"/>
            </c:dLbl>
            <c:numFmt formatCode="#,##0.00" sourceLinked="0"/>
            <c:txPr>
              <a:bodyPr/>
              <a:lstStyle/>
              <a:p>
                <a:pPr>
                  <a:defRPr sz="1100"/>
                </a:pPr>
                <a:endParaRPr lang="lv-LV"/>
              </a:p>
            </c:txPr>
            <c:showLegendKey val="0"/>
            <c:showVal val="1"/>
            <c:showCatName val="0"/>
            <c:showSerName val="0"/>
            <c:showPercent val="0"/>
            <c:showBubbleSize val="0"/>
            <c:showLeaderLines val="0"/>
          </c:dLbls>
          <c:cat>
            <c:strRef>
              <c:f>'ministriju plāni'!$B$5:$B$10</c:f>
              <c:strCache>
                <c:ptCount val="6"/>
                <c:pt idx="0">
                  <c:v>LM</c:v>
                </c:pt>
                <c:pt idx="1">
                  <c:v>FM</c:v>
                </c:pt>
                <c:pt idx="2">
                  <c:v>IZM</c:v>
                </c:pt>
                <c:pt idx="3">
                  <c:v>EM</c:v>
                </c:pt>
                <c:pt idx="4">
                  <c:v>VARAM</c:v>
                </c:pt>
                <c:pt idx="5">
                  <c:v>SM</c:v>
                </c:pt>
              </c:strCache>
            </c:strRef>
          </c:cat>
          <c:val>
            <c:numRef>
              <c:f>'ministriju plāni'!$D$5:$D$10</c:f>
              <c:numCache>
                <c:formatCode>#,##0</c:formatCode>
                <c:ptCount val="6"/>
                <c:pt idx="0">
                  <c:v>23747717.109999996</c:v>
                </c:pt>
                <c:pt idx="1">
                  <c:v>36291966.429999992</c:v>
                </c:pt>
                <c:pt idx="2">
                  <c:v>54987620.009999998</c:v>
                </c:pt>
                <c:pt idx="3">
                  <c:v>31710473.140000001</c:v>
                </c:pt>
                <c:pt idx="4">
                  <c:v>42761065.510000005</c:v>
                </c:pt>
                <c:pt idx="5">
                  <c:v>81890734.640000001</c:v>
                </c:pt>
              </c:numCache>
            </c:numRef>
          </c:val>
        </c:ser>
        <c:ser>
          <c:idx val="2"/>
          <c:order val="2"/>
          <c:tx>
            <c:strRef>
              <c:f>'ministriju plāni'!$E$4</c:f>
              <c:strCache>
                <c:ptCount val="1"/>
                <c:pt idx="0">
                  <c:v>4.ceturksnī atlikušais</c:v>
                </c:pt>
              </c:strCache>
            </c:strRef>
          </c:tx>
          <c:invertIfNegative val="0"/>
          <c:dLbls>
            <c:dLbl>
              <c:idx val="0"/>
              <c:layout>
                <c:manualLayout>
                  <c:x val="-1.1574074074074073E-2"/>
                  <c:y val="-4.5897188851392974E-3"/>
                </c:manualLayout>
              </c:layout>
              <c:tx>
                <c:rich>
                  <a:bodyPr/>
                  <a:lstStyle/>
                  <a:p>
                    <a:r>
                      <a:rPr lang="en-US" sz="1100"/>
                      <a:t>12,</a:t>
                    </a:r>
                    <a:r>
                      <a:rPr lang="lv-LV" sz="1100"/>
                      <a:t>8</a:t>
                    </a:r>
                    <a:endParaRPr lang="en-US"/>
                  </a:p>
                </c:rich>
              </c:tx>
              <c:showLegendKey val="0"/>
              <c:showVal val="0"/>
              <c:showCatName val="0"/>
              <c:showSerName val="0"/>
              <c:showPercent val="0"/>
              <c:showBubbleSize val="0"/>
            </c:dLbl>
            <c:dLbl>
              <c:idx val="1"/>
              <c:layout>
                <c:manualLayout>
                  <c:x val="-4.6296296296296294E-3"/>
                  <c:y val="-2.2948594425696064E-2"/>
                </c:manualLayout>
              </c:layout>
              <c:tx>
                <c:rich>
                  <a:bodyPr/>
                  <a:lstStyle/>
                  <a:p>
                    <a:r>
                      <a:rPr lang="en-US" sz="1100"/>
                      <a:t>19,</a:t>
                    </a:r>
                    <a:r>
                      <a:rPr lang="lv-LV" sz="1100"/>
                      <a:t>3</a:t>
                    </a:r>
                    <a:endParaRPr lang="en-US"/>
                  </a:p>
                </c:rich>
              </c:tx>
              <c:showLegendKey val="0"/>
              <c:showVal val="0"/>
              <c:showCatName val="0"/>
              <c:showSerName val="0"/>
              <c:showPercent val="0"/>
              <c:showBubbleSize val="0"/>
            </c:dLbl>
            <c:dLbl>
              <c:idx val="2"/>
              <c:layout>
                <c:manualLayout>
                  <c:x val="0"/>
                  <c:y val="-9.1794377702784265E-3"/>
                </c:manualLayout>
              </c:layout>
              <c:tx>
                <c:rich>
                  <a:bodyPr/>
                  <a:lstStyle/>
                  <a:p>
                    <a:r>
                      <a:rPr lang="en-US" sz="1100"/>
                      <a:t>37,9</a:t>
                    </a:r>
                    <a:endParaRPr lang="en-US"/>
                  </a:p>
                </c:rich>
              </c:tx>
              <c:showLegendKey val="0"/>
              <c:showVal val="0"/>
              <c:showCatName val="0"/>
              <c:showSerName val="0"/>
              <c:showPercent val="0"/>
              <c:showBubbleSize val="0"/>
            </c:dLbl>
            <c:dLbl>
              <c:idx val="3"/>
              <c:layout>
                <c:manualLayout>
                  <c:x val="0"/>
                  <c:y val="-1.8358875540556853E-2"/>
                </c:manualLayout>
              </c:layout>
              <c:tx>
                <c:rich>
                  <a:bodyPr/>
                  <a:lstStyle/>
                  <a:p>
                    <a:r>
                      <a:rPr lang="lv-LV" sz="1100"/>
                      <a:t>26,8</a:t>
                    </a:r>
                    <a:endParaRPr lang="en-US"/>
                  </a:p>
                </c:rich>
              </c:tx>
              <c:showLegendKey val="0"/>
              <c:showVal val="0"/>
              <c:showCatName val="0"/>
              <c:showSerName val="0"/>
              <c:showPercent val="0"/>
              <c:showBubbleSize val="0"/>
            </c:dLbl>
            <c:dLbl>
              <c:idx val="4"/>
              <c:layout>
                <c:manualLayout>
                  <c:x val="-4.6296296296295869E-3"/>
                  <c:y val="-1.376915665541764E-2"/>
                </c:manualLayout>
              </c:layout>
              <c:tx>
                <c:rich>
                  <a:bodyPr/>
                  <a:lstStyle/>
                  <a:p>
                    <a:r>
                      <a:rPr lang="en-US" sz="1100"/>
                      <a:t>43,</a:t>
                    </a:r>
                    <a:r>
                      <a:rPr lang="lv-LV" sz="1100"/>
                      <a:t>8</a:t>
                    </a:r>
                    <a:endParaRPr lang="en-US"/>
                  </a:p>
                </c:rich>
              </c:tx>
              <c:showLegendKey val="0"/>
              <c:showVal val="0"/>
              <c:showCatName val="0"/>
              <c:showSerName val="0"/>
              <c:showPercent val="0"/>
              <c:showBubbleSize val="0"/>
            </c:dLbl>
            <c:dLbl>
              <c:idx val="5"/>
              <c:layout>
                <c:manualLayout>
                  <c:x val="-2.3148148148148147E-3"/>
                  <c:y val="-1.3770943309616708E-2"/>
                </c:manualLayout>
              </c:layout>
              <c:tx>
                <c:rich>
                  <a:bodyPr/>
                  <a:lstStyle/>
                  <a:p>
                    <a:r>
                      <a:rPr lang="lv-LV" sz="1100"/>
                      <a:t>62,1</a:t>
                    </a:r>
                    <a:endParaRPr lang="en-US"/>
                  </a:p>
                </c:rich>
              </c:tx>
              <c:showLegendKey val="0"/>
              <c:showVal val="0"/>
              <c:showCatName val="0"/>
              <c:showSerName val="0"/>
              <c:showPercent val="0"/>
              <c:showBubbleSize val="0"/>
            </c:dLbl>
            <c:numFmt formatCode="0.00" sourceLinked="0"/>
            <c:txPr>
              <a:bodyPr/>
              <a:lstStyle/>
              <a:p>
                <a:pPr>
                  <a:defRPr sz="1100"/>
                </a:pPr>
                <a:endParaRPr lang="lv-LV"/>
              </a:p>
            </c:txPr>
            <c:showLegendKey val="0"/>
            <c:showVal val="1"/>
            <c:showCatName val="0"/>
            <c:showSerName val="0"/>
            <c:showPercent val="0"/>
            <c:showBubbleSize val="0"/>
            <c:showLeaderLines val="0"/>
          </c:dLbls>
          <c:cat>
            <c:strRef>
              <c:f>'ministriju plāni'!$B$5:$B$10</c:f>
              <c:strCache>
                <c:ptCount val="6"/>
                <c:pt idx="0">
                  <c:v>LM</c:v>
                </c:pt>
                <c:pt idx="1">
                  <c:v>FM</c:v>
                </c:pt>
                <c:pt idx="2">
                  <c:v>IZM</c:v>
                </c:pt>
                <c:pt idx="3">
                  <c:v>EM</c:v>
                </c:pt>
                <c:pt idx="4">
                  <c:v>VARAM</c:v>
                </c:pt>
                <c:pt idx="5">
                  <c:v>SM</c:v>
                </c:pt>
              </c:strCache>
            </c:strRef>
          </c:cat>
          <c:val>
            <c:numRef>
              <c:f>'ministriju plāni'!$E$5:$E$10</c:f>
              <c:numCache>
                <c:formatCode>#,##0</c:formatCode>
                <c:ptCount val="6"/>
                <c:pt idx="0">
                  <c:v>12855648.890000004</c:v>
                </c:pt>
                <c:pt idx="1">
                  <c:v>19296967.570000008</c:v>
                </c:pt>
                <c:pt idx="2">
                  <c:v>37953738.990000002</c:v>
                </c:pt>
                <c:pt idx="3">
                  <c:v>26820127.859999999</c:v>
                </c:pt>
                <c:pt idx="4">
                  <c:v>43797372.489999995</c:v>
                </c:pt>
                <c:pt idx="5">
                  <c:v>62097395.359999999</c:v>
                </c:pt>
              </c:numCache>
            </c:numRef>
          </c:val>
        </c:ser>
        <c:dLbls>
          <c:showLegendKey val="0"/>
          <c:showVal val="0"/>
          <c:showCatName val="0"/>
          <c:showSerName val="0"/>
          <c:showPercent val="0"/>
          <c:showBubbleSize val="0"/>
        </c:dLbls>
        <c:gapWidth val="150"/>
        <c:axId val="96819072"/>
        <c:axId val="96820608"/>
      </c:barChart>
      <c:catAx>
        <c:axId val="96819072"/>
        <c:scaling>
          <c:orientation val="minMax"/>
        </c:scaling>
        <c:delete val="0"/>
        <c:axPos val="l"/>
        <c:numFmt formatCode="General" sourceLinked="1"/>
        <c:majorTickMark val="out"/>
        <c:minorTickMark val="none"/>
        <c:tickLblPos val="nextTo"/>
        <c:crossAx val="96820608"/>
        <c:crosses val="autoZero"/>
        <c:auto val="1"/>
        <c:lblAlgn val="ctr"/>
        <c:lblOffset val="100"/>
        <c:noMultiLvlLbl val="0"/>
      </c:catAx>
      <c:valAx>
        <c:axId val="96820608"/>
        <c:scaling>
          <c:orientation val="minMax"/>
        </c:scaling>
        <c:delete val="0"/>
        <c:axPos val="b"/>
        <c:majorGridlines/>
        <c:numFmt formatCode="#,##0" sourceLinked="1"/>
        <c:majorTickMark val="out"/>
        <c:minorTickMark val="none"/>
        <c:tickLblPos val="nextTo"/>
        <c:crossAx val="96819072"/>
        <c:crosses val="autoZero"/>
        <c:crossBetween val="between"/>
        <c:dispUnits>
          <c:builtInUnit val="millions"/>
        </c:dispUnits>
      </c:valAx>
    </c:plotArea>
    <c:legend>
      <c:legendPos val="r"/>
      <c:layout>
        <c:manualLayout>
          <c:xMode val="edge"/>
          <c:yMode val="edge"/>
          <c:x val="1.9386482939632545E-2"/>
          <c:y val="0.89777297461411543"/>
          <c:w val="0.96471438466025083"/>
          <c:h val="9.9240202757156143E-2"/>
        </c:manualLayout>
      </c:layout>
      <c:overlay val="0"/>
    </c:legend>
    <c:plotVisOnly val="1"/>
    <c:dispBlanksAs val="gap"/>
    <c:showDLblsOverMax val="0"/>
  </c:chart>
  <c:spPr>
    <a:ln w="0">
      <a:noFill/>
    </a:ln>
    <a:effectLst/>
  </c:spPr>
  <c:txPr>
    <a:bodyPr/>
    <a:lstStyle/>
    <a:p>
      <a:pPr>
        <a:defRPr sz="1200">
          <a:latin typeface="Times New Roman" pitchFamily="18" charset="0"/>
          <a:cs typeface="Times New Roman" pitchFamily="18"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'cet.plāni'!$O$215</c:f>
              <c:strCache>
                <c:ptCount val="1"/>
                <c:pt idx="0">
                  <c:v>VISI fondi</c:v>
                </c:pt>
              </c:strCache>
            </c:strRef>
          </c:tx>
          <c:dLbls>
            <c:numFmt formatCode="#,##0.0" sourceLinked="0"/>
            <c:showLegendKey val="0"/>
            <c:showVal val="1"/>
            <c:showCatName val="0"/>
            <c:showSerName val="0"/>
            <c:showPercent val="0"/>
            <c:showBubbleSize val="0"/>
            <c:showLeaderLines val="0"/>
          </c:dLbls>
          <c:cat>
            <c:numRef>
              <c:f>'cet.plāni'!$P$214:$S$214</c:f>
              <c:numCache>
                <c:formatCode>General</c:formatCode>
                <c:ptCount val="4"/>
                <c:pt idx="0">
                  <c:v>2012</c:v>
                </c:pt>
                <c:pt idx="1">
                  <c:v>2013</c:v>
                </c:pt>
                <c:pt idx="2">
                  <c:v>2014</c:v>
                </c:pt>
                <c:pt idx="3">
                  <c:v>2015</c:v>
                </c:pt>
              </c:numCache>
            </c:numRef>
          </c:cat>
          <c:val>
            <c:numRef>
              <c:f>'cet.plāni'!$P$215:$S$215</c:f>
              <c:numCache>
                <c:formatCode>#,##0</c:formatCode>
                <c:ptCount val="4"/>
                <c:pt idx="0">
                  <c:v>83787953</c:v>
                </c:pt>
                <c:pt idx="1">
                  <c:v>234679194</c:v>
                </c:pt>
                <c:pt idx="2">
                  <c:v>291408802</c:v>
                </c:pt>
                <c:pt idx="3">
                  <c:v>291408802</c:v>
                </c:pt>
              </c:numCache>
            </c:numRef>
          </c:val>
          <c:smooth val="0"/>
        </c:ser>
        <c:ser>
          <c:idx val="1"/>
          <c:order val="1"/>
          <c:tx>
            <c:strRef>
              <c:f>'cet.plāni'!$O$216</c:f>
              <c:strCache>
                <c:ptCount val="1"/>
                <c:pt idx="0">
                  <c:v>ESF</c:v>
                </c:pt>
              </c:strCache>
            </c:strRef>
          </c:tx>
          <c:dLbls>
            <c:dLbl>
              <c:idx val="0"/>
              <c:layout>
                <c:manualLayout>
                  <c:x val="-4.6296296296296294E-2"/>
                  <c:y val="3.237612732230722E-2"/>
                </c:manualLayout>
              </c:layout>
              <c:showLegendKey val="0"/>
              <c:showVal val="1"/>
              <c:showCatName val="0"/>
              <c:showSerName val="0"/>
              <c:showPercent val="0"/>
              <c:showBubbleSize val="0"/>
            </c:dLbl>
            <c:dLbl>
              <c:idx val="1"/>
              <c:layout>
                <c:manualLayout>
                  <c:x val="-6.9444444444444866E-3"/>
                  <c:y val="4.3168169763076428E-2"/>
                </c:manualLayout>
              </c:layout>
              <c:showLegendKey val="0"/>
              <c:showVal val="1"/>
              <c:showCatName val="0"/>
              <c:showSerName val="0"/>
              <c:showPercent val="0"/>
              <c:showBubbleSize val="0"/>
            </c:dLbl>
            <c:dLbl>
              <c:idx val="2"/>
              <c:layout>
                <c:manualLayout>
                  <c:x val="-2.3148148148148147E-3"/>
                  <c:y val="4.3168169763076428E-2"/>
                </c:manualLayout>
              </c:layout>
              <c:showLegendKey val="0"/>
              <c:showVal val="1"/>
              <c:showCatName val="0"/>
              <c:showSerName val="0"/>
              <c:showPercent val="0"/>
              <c:showBubbleSize val="0"/>
            </c:dLbl>
            <c:dLbl>
              <c:idx val="3"/>
              <c:layout>
                <c:manualLayout>
                  <c:x val="-4.6296296296296294E-3"/>
                  <c:y val="3.2376127322307324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numRef>
              <c:f>'cet.plāni'!$P$214:$S$214</c:f>
              <c:numCache>
                <c:formatCode>General</c:formatCode>
                <c:ptCount val="4"/>
                <c:pt idx="0">
                  <c:v>2012</c:v>
                </c:pt>
                <c:pt idx="1">
                  <c:v>2013</c:v>
                </c:pt>
                <c:pt idx="2">
                  <c:v>2014</c:v>
                </c:pt>
                <c:pt idx="3">
                  <c:v>2015</c:v>
                </c:pt>
              </c:numCache>
            </c:numRef>
          </c:cat>
          <c:val>
            <c:numRef>
              <c:f>'cet.plāni'!$P$216:$S$216</c:f>
              <c:numCache>
                <c:formatCode>#,##0</c:formatCode>
                <c:ptCount val="4"/>
                <c:pt idx="0">
                  <c:v>22915229</c:v>
                </c:pt>
                <c:pt idx="1">
                  <c:v>33703546</c:v>
                </c:pt>
                <c:pt idx="2">
                  <c:v>33703546</c:v>
                </c:pt>
                <c:pt idx="3">
                  <c:v>33703546</c:v>
                </c:pt>
              </c:numCache>
            </c:numRef>
          </c:val>
          <c:smooth val="0"/>
        </c:ser>
        <c:ser>
          <c:idx val="2"/>
          <c:order val="2"/>
          <c:tx>
            <c:strRef>
              <c:f>'cet.plāni'!$O$217</c:f>
              <c:strCache>
                <c:ptCount val="1"/>
                <c:pt idx="0">
                  <c:v>ERAF</c:v>
                </c:pt>
              </c:strCache>
            </c:strRef>
          </c:tx>
          <c:dLbls>
            <c:dLbl>
              <c:idx val="0"/>
              <c:layout>
                <c:manualLayout>
                  <c:x val="-6.4814814814814811E-2"/>
                  <c:y val="-4.3168169763076428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numRef>
              <c:f>'cet.plāni'!$P$214:$S$214</c:f>
              <c:numCache>
                <c:formatCode>General</c:formatCode>
                <c:ptCount val="4"/>
                <c:pt idx="0">
                  <c:v>2012</c:v>
                </c:pt>
                <c:pt idx="1">
                  <c:v>2013</c:v>
                </c:pt>
                <c:pt idx="2">
                  <c:v>2014</c:v>
                </c:pt>
                <c:pt idx="3">
                  <c:v>2015</c:v>
                </c:pt>
              </c:numCache>
            </c:numRef>
          </c:cat>
          <c:val>
            <c:numRef>
              <c:f>'cet.plāni'!$P$217:$S$217</c:f>
              <c:numCache>
                <c:formatCode>#,##0</c:formatCode>
                <c:ptCount val="4"/>
                <c:pt idx="0">
                  <c:v>32515732</c:v>
                </c:pt>
                <c:pt idx="1">
                  <c:v>154018691</c:v>
                </c:pt>
                <c:pt idx="2">
                  <c:v>210748299</c:v>
                </c:pt>
                <c:pt idx="3">
                  <c:v>210748299</c:v>
                </c:pt>
              </c:numCache>
            </c:numRef>
          </c:val>
          <c:smooth val="0"/>
        </c:ser>
        <c:ser>
          <c:idx val="3"/>
          <c:order val="3"/>
          <c:tx>
            <c:strRef>
              <c:f>'cet.plāni'!$O$218</c:f>
              <c:strCache>
                <c:ptCount val="1"/>
                <c:pt idx="0">
                  <c:v>KF</c:v>
                </c:pt>
              </c:strCache>
            </c:strRef>
          </c:tx>
          <c:dLbls>
            <c:dLbl>
              <c:idx val="0"/>
              <c:layout>
                <c:manualLayout>
                  <c:x val="-8.3333333333333329E-2"/>
                  <c:y val="1.6188063661153759E-2"/>
                </c:manualLayout>
              </c:layout>
              <c:showLegendKey val="0"/>
              <c:showVal val="1"/>
              <c:showCatName val="0"/>
              <c:showSerName val="0"/>
              <c:showPercent val="0"/>
              <c:showBubbleSize val="0"/>
            </c:dLbl>
            <c:dLbl>
              <c:idx val="1"/>
              <c:layout>
                <c:manualLayout>
                  <c:x val="-2.3148148148148572E-3"/>
                  <c:y val="-4.3168169763076428E-2"/>
                </c:manualLayout>
              </c:layout>
              <c:showLegendKey val="0"/>
              <c:showVal val="1"/>
              <c:showCatName val="0"/>
              <c:showSerName val="0"/>
              <c:showPercent val="0"/>
              <c:showBubbleSize val="0"/>
            </c:dLbl>
            <c:dLbl>
              <c:idx val="2"/>
              <c:layout>
                <c:manualLayout>
                  <c:x val="0"/>
                  <c:y val="-4.8564190983460979E-2"/>
                </c:manualLayout>
              </c:layout>
              <c:showLegendKey val="0"/>
              <c:showVal val="1"/>
              <c:showCatName val="0"/>
              <c:showSerName val="0"/>
              <c:showPercent val="0"/>
              <c:showBubbleSize val="0"/>
            </c:dLbl>
            <c:dLbl>
              <c:idx val="3"/>
              <c:layout>
                <c:manualLayout>
                  <c:x val="-2.3148148148148147E-3"/>
                  <c:y val="-4.3168169763076428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numRef>
              <c:f>'cet.plāni'!$P$214:$S$214</c:f>
              <c:numCache>
                <c:formatCode>General</c:formatCode>
                <c:ptCount val="4"/>
                <c:pt idx="0">
                  <c:v>2012</c:v>
                </c:pt>
                <c:pt idx="1">
                  <c:v>2013</c:v>
                </c:pt>
                <c:pt idx="2">
                  <c:v>2014</c:v>
                </c:pt>
                <c:pt idx="3">
                  <c:v>2015</c:v>
                </c:pt>
              </c:numCache>
            </c:numRef>
          </c:cat>
          <c:val>
            <c:numRef>
              <c:f>'cet.plāni'!$P$218:$S$218</c:f>
              <c:numCache>
                <c:formatCode>#,##0</c:formatCode>
                <c:ptCount val="4"/>
                <c:pt idx="0">
                  <c:v>29356992</c:v>
                </c:pt>
                <c:pt idx="1">
                  <c:v>47956957</c:v>
                </c:pt>
                <c:pt idx="2">
                  <c:v>47956957</c:v>
                </c:pt>
                <c:pt idx="3">
                  <c:v>47956957</c:v>
                </c:pt>
              </c:numCache>
            </c:numRef>
          </c:val>
          <c:smooth val="0"/>
        </c:ser>
        <c:dLbls>
          <c:showLegendKey val="0"/>
          <c:showVal val="0"/>
          <c:showCatName val="0"/>
          <c:showSerName val="0"/>
          <c:showPercent val="0"/>
          <c:showBubbleSize val="0"/>
        </c:dLbls>
        <c:marker val="1"/>
        <c:smooth val="0"/>
        <c:axId val="96628736"/>
        <c:axId val="96630272"/>
      </c:lineChart>
      <c:catAx>
        <c:axId val="96628736"/>
        <c:scaling>
          <c:orientation val="minMax"/>
        </c:scaling>
        <c:delete val="0"/>
        <c:axPos val="b"/>
        <c:numFmt formatCode="General" sourceLinked="1"/>
        <c:majorTickMark val="out"/>
        <c:minorTickMark val="none"/>
        <c:tickLblPos val="nextTo"/>
        <c:crossAx val="96630272"/>
        <c:crosses val="autoZero"/>
        <c:auto val="1"/>
        <c:lblAlgn val="ctr"/>
        <c:lblOffset val="100"/>
        <c:noMultiLvlLbl val="0"/>
      </c:catAx>
      <c:valAx>
        <c:axId val="96630272"/>
        <c:scaling>
          <c:orientation val="minMax"/>
          <c:max val="300000000"/>
        </c:scaling>
        <c:delete val="0"/>
        <c:axPos val="l"/>
        <c:majorGridlines/>
        <c:numFmt formatCode="#,##0" sourceLinked="1"/>
        <c:majorTickMark val="out"/>
        <c:minorTickMark val="none"/>
        <c:tickLblPos val="nextTo"/>
        <c:crossAx val="96628736"/>
        <c:crosses val="autoZero"/>
        <c:crossBetween val="between"/>
        <c:dispUnits>
          <c:builtInUnit val="millions"/>
        </c:dispUnits>
      </c:valAx>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Sheet1!$B$20:$B$28</c:f>
              <c:strCache>
                <c:ptCount val="9"/>
                <c:pt idx="0">
                  <c:v>FM</c:v>
                </c:pt>
                <c:pt idx="1">
                  <c:v>Vkanc</c:v>
                </c:pt>
                <c:pt idx="2">
                  <c:v>VM</c:v>
                </c:pt>
                <c:pt idx="3">
                  <c:v>KM</c:v>
                </c:pt>
                <c:pt idx="4">
                  <c:v>LM</c:v>
                </c:pt>
                <c:pt idx="5">
                  <c:v>EM</c:v>
                </c:pt>
                <c:pt idx="6">
                  <c:v>SM</c:v>
                </c:pt>
                <c:pt idx="7">
                  <c:v>IZM</c:v>
                </c:pt>
                <c:pt idx="8">
                  <c:v>VARAM</c:v>
                </c:pt>
              </c:strCache>
            </c:strRef>
          </c:cat>
          <c:val>
            <c:numRef>
              <c:f>Sheet1!$C$20:$C$28</c:f>
              <c:numCache>
                <c:formatCode>General</c:formatCode>
                <c:ptCount val="9"/>
                <c:pt idx="0">
                  <c:v>0</c:v>
                </c:pt>
                <c:pt idx="1">
                  <c:v>0</c:v>
                </c:pt>
                <c:pt idx="2">
                  <c:v>11800000</c:v>
                </c:pt>
                <c:pt idx="3">
                  <c:v>12000000</c:v>
                </c:pt>
                <c:pt idx="4">
                  <c:v>26404039</c:v>
                </c:pt>
                <c:pt idx="5">
                  <c:v>43570678</c:v>
                </c:pt>
                <c:pt idx="6">
                  <c:v>57022961</c:v>
                </c:pt>
                <c:pt idx="7">
                  <c:v>69273003</c:v>
                </c:pt>
                <c:pt idx="8">
                  <c:v>78501761</c:v>
                </c:pt>
              </c:numCache>
            </c:numRef>
          </c:val>
        </c:ser>
        <c:dLbls>
          <c:showLegendKey val="0"/>
          <c:showVal val="0"/>
          <c:showCatName val="0"/>
          <c:showSerName val="0"/>
          <c:showPercent val="0"/>
          <c:showBubbleSize val="0"/>
        </c:dLbls>
        <c:gapWidth val="150"/>
        <c:shape val="box"/>
        <c:axId val="96677888"/>
        <c:axId val="96679424"/>
        <c:axId val="0"/>
      </c:bar3DChart>
      <c:catAx>
        <c:axId val="96677888"/>
        <c:scaling>
          <c:orientation val="minMax"/>
        </c:scaling>
        <c:delete val="0"/>
        <c:axPos val="l"/>
        <c:majorTickMark val="out"/>
        <c:minorTickMark val="none"/>
        <c:tickLblPos val="nextTo"/>
        <c:crossAx val="96679424"/>
        <c:crosses val="autoZero"/>
        <c:auto val="1"/>
        <c:lblAlgn val="ctr"/>
        <c:lblOffset val="100"/>
        <c:noMultiLvlLbl val="0"/>
      </c:catAx>
      <c:valAx>
        <c:axId val="96679424"/>
        <c:scaling>
          <c:orientation val="minMax"/>
        </c:scaling>
        <c:delete val="0"/>
        <c:axPos val="b"/>
        <c:majorGridlines/>
        <c:numFmt formatCode="General" sourceLinked="1"/>
        <c:majorTickMark val="out"/>
        <c:minorTickMark val="none"/>
        <c:tickLblPos val="nextTo"/>
        <c:crossAx val="96677888"/>
        <c:crosses val="autoZero"/>
        <c:crossBetween val="between"/>
        <c:dispUnits>
          <c:builtInUnit val="millions"/>
        </c:dispUnits>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44726859142607173"/>
          <c:y val="0"/>
          <c:w val="0.4493842957130359"/>
          <c:h val="0.82345270225841338"/>
        </c:manualLayout>
      </c:layout>
      <c:bar3DChart>
        <c:barDir val="bar"/>
        <c:grouping val="clustered"/>
        <c:varyColors val="0"/>
        <c:ser>
          <c:idx val="0"/>
          <c:order val="0"/>
          <c:tx>
            <c:strRef>
              <c:f>'1 DP'!$C$18</c:f>
              <c:strCache>
                <c:ptCount val="1"/>
                <c:pt idx="0">
                  <c:v>Veikti maksājumi finansējuma saņēmējiem</c:v>
                </c:pt>
              </c:strCache>
            </c:strRef>
          </c:tx>
          <c:invertIfNegative val="0"/>
          <c:dLbls>
            <c:dLbl>
              <c:idx val="0"/>
              <c:tx>
                <c:rich>
                  <a:bodyPr/>
                  <a:lstStyle/>
                  <a:p>
                    <a:r>
                      <a:rPr lang="en-US"/>
                      <a:t>7,8</a:t>
                    </a:r>
                    <a:r>
                      <a:rPr lang="lv-LV"/>
                      <a:t>(60,4%);3,9%</a:t>
                    </a:r>
                    <a:endParaRPr lang="en-US"/>
                  </a:p>
                </c:rich>
              </c:tx>
              <c:showLegendKey val="0"/>
              <c:showVal val="1"/>
              <c:showCatName val="0"/>
              <c:showSerName val="0"/>
              <c:showPercent val="0"/>
              <c:showBubbleSize val="0"/>
            </c:dLbl>
            <c:dLbl>
              <c:idx val="1"/>
              <c:tx>
                <c:rich>
                  <a:bodyPr/>
                  <a:lstStyle/>
                  <a:p>
                    <a:r>
                      <a:rPr lang="en-US"/>
                      <a:t>10,4</a:t>
                    </a:r>
                    <a:r>
                      <a:rPr lang="lv-LV"/>
                      <a:t>(61,7%);7,2%</a:t>
                    </a:r>
                    <a:endParaRPr lang="en-US"/>
                  </a:p>
                </c:rich>
              </c:tx>
              <c:showLegendKey val="0"/>
              <c:showVal val="1"/>
              <c:showCatName val="0"/>
              <c:showSerName val="0"/>
              <c:showPercent val="0"/>
              <c:showBubbleSize val="0"/>
            </c:dLbl>
            <c:dLbl>
              <c:idx val="2"/>
              <c:tx>
                <c:rich>
                  <a:bodyPr/>
                  <a:lstStyle/>
                  <a:p>
                    <a:r>
                      <a:rPr lang="en-US"/>
                      <a:t>24,9</a:t>
                    </a:r>
                    <a:r>
                      <a:rPr lang="lv-LV"/>
                      <a:t>(65%);6,4%</a:t>
                    </a:r>
                    <a:endParaRPr lang="en-US"/>
                  </a:p>
                </c:rich>
              </c:tx>
              <c:showLegendKey val="0"/>
              <c:showVal val="1"/>
              <c:showCatName val="0"/>
              <c:showSerName val="0"/>
              <c:showPercent val="0"/>
              <c:showBubbleSize val="0"/>
            </c:dLbl>
            <c:dLbl>
              <c:idx val="3"/>
              <c:tx>
                <c:rich>
                  <a:bodyPr/>
                  <a:lstStyle/>
                  <a:p>
                    <a:r>
                      <a:rPr lang="en-US"/>
                      <a:t>156,4</a:t>
                    </a:r>
                    <a:r>
                      <a:rPr lang="lv-LV"/>
                      <a:t>(69,2%);3,6%</a:t>
                    </a:r>
                    <a:endParaRPr lang="en-US"/>
                  </a:p>
                </c:rich>
              </c:tx>
              <c:showLegendKey val="0"/>
              <c:showVal val="1"/>
              <c:showCatName val="0"/>
              <c:showSerName val="0"/>
              <c:showPercent val="0"/>
              <c:showBubbleSize val="0"/>
            </c:dLbl>
            <c:dLbl>
              <c:idx val="4"/>
              <c:tx>
                <c:rich>
                  <a:bodyPr/>
                  <a:lstStyle/>
                  <a:p>
                    <a:r>
                      <a:rPr lang="en-US"/>
                      <a:t>70,7</a:t>
                    </a:r>
                    <a:r>
                      <a:rPr lang="lv-LV"/>
                      <a:t>(64,3%)6%</a:t>
                    </a:r>
                    <a:endParaRPr lang="en-US"/>
                  </a:p>
                </c:rich>
              </c:tx>
              <c:showLegendKey val="0"/>
              <c:showVal val="1"/>
              <c:showCatName val="0"/>
              <c:showSerName val="0"/>
              <c:showPercent val="0"/>
              <c:showBubbleSize val="0"/>
            </c:dLbl>
            <c:dLbl>
              <c:idx val="5"/>
              <c:tx>
                <c:rich>
                  <a:bodyPr/>
                  <a:lstStyle/>
                  <a:p>
                    <a:r>
                      <a:rPr lang="en-US"/>
                      <a:t>72,2</a:t>
                    </a:r>
                    <a:r>
                      <a:rPr lang="lv-LV" sz="1000" b="0" i="0" u="none" strike="noStrike" baseline="0">
                        <a:effectLst/>
                      </a:rPr>
                      <a:t>(75,2%);4,7%</a:t>
                    </a:r>
                    <a:endParaRPr lang="en-US"/>
                  </a:p>
                </c:rich>
              </c:tx>
              <c:showLegendKey val="0"/>
              <c:showVal val="1"/>
              <c:showCatName val="0"/>
              <c:showSerName val="0"/>
              <c:showPercent val="0"/>
              <c:showBubbleSize val="0"/>
            </c:dLbl>
            <c:dLbl>
              <c:idx val="6"/>
              <c:tx>
                <c:rich>
                  <a:bodyPr/>
                  <a:lstStyle/>
                  <a:p>
                    <a:r>
                      <a:rPr lang="en-US" sz="1000"/>
                      <a:t>342,5</a:t>
                    </a:r>
                    <a:r>
                      <a:rPr lang="lv-LV" sz="1000"/>
                      <a:t>(68,5%);4,7%</a:t>
                    </a:r>
                    <a:endParaRPr lang="en-US"/>
                  </a:p>
                </c:rich>
              </c:tx>
              <c:showLegendKey val="0"/>
              <c:showVal val="1"/>
              <c:showCatName val="0"/>
              <c:showSerName val="0"/>
              <c:showPercent val="0"/>
              <c:showBubbleSize val="0"/>
            </c:dLbl>
            <c:numFmt formatCode="#,##0.0" sourceLinked="0"/>
            <c:txPr>
              <a:bodyPr/>
              <a:lstStyle/>
              <a:p>
                <a:pPr>
                  <a:defRPr sz="1000"/>
                </a:pPr>
                <a:endParaRPr lang="lv-LV"/>
              </a:p>
            </c:txPr>
            <c:showLegendKey val="0"/>
            <c:showVal val="1"/>
            <c:showCatName val="0"/>
            <c:showSerName val="0"/>
            <c:showPercent val="0"/>
            <c:showBubbleSize val="0"/>
            <c:showLeaderLines val="0"/>
          </c:dLbls>
          <c:cat>
            <c:strRef>
              <c:f>'1 DP'!$B$19:$B$25</c:f>
              <c:strCache>
                <c:ptCount val="7"/>
                <c:pt idx="0">
                  <c:v>Tehniskā palīdzība</c:v>
                </c:pt>
                <c:pt idx="1">
                  <c:v>Administratīvās kapacitātes stiprināšana</c:v>
                </c:pt>
                <c:pt idx="2">
                  <c:v>Sociālās iekļaušanas veicināšana</c:v>
                </c:pt>
                <c:pt idx="3">
                  <c:v>Nodarbinātības veicināšana un veselība darbā</c:v>
                </c:pt>
                <c:pt idx="4">
                  <c:v>Izglītība un prasmes</c:v>
                </c:pt>
                <c:pt idx="5">
                  <c:v>Augstākā izglītība un zinātne</c:v>
                </c:pt>
                <c:pt idx="6">
                  <c:v>DP "Cilvēkresursi un nodarbinātība" kopā</c:v>
                </c:pt>
              </c:strCache>
            </c:strRef>
          </c:cat>
          <c:val>
            <c:numRef>
              <c:f>'1 DP'!$C$19:$C$25</c:f>
              <c:numCache>
                <c:formatCode>#,##0_ ;\-#,##0\ </c:formatCode>
                <c:ptCount val="7"/>
                <c:pt idx="0">
                  <c:v>7757009.2699999996</c:v>
                </c:pt>
                <c:pt idx="1">
                  <c:v>10424788.060000001</c:v>
                </c:pt>
                <c:pt idx="2">
                  <c:v>24941915.690000001</c:v>
                </c:pt>
                <c:pt idx="3">
                  <c:v>156418077.15000001</c:v>
                </c:pt>
                <c:pt idx="4">
                  <c:v>70732107.819999993</c:v>
                </c:pt>
                <c:pt idx="5">
                  <c:v>72191844.280000001</c:v>
                </c:pt>
                <c:pt idx="6">
                  <c:v>342465742.26999998</c:v>
                </c:pt>
              </c:numCache>
            </c:numRef>
          </c:val>
        </c:ser>
        <c:ser>
          <c:idx val="1"/>
          <c:order val="1"/>
          <c:tx>
            <c:strRef>
              <c:f>'1 DP'!$D$18</c:f>
              <c:strCache>
                <c:ptCount val="1"/>
                <c:pt idx="0">
                  <c:v>Noslēgti līgumi</c:v>
                </c:pt>
              </c:strCache>
            </c:strRef>
          </c:tx>
          <c:invertIfNegative val="0"/>
          <c:dLbls>
            <c:dLbl>
              <c:idx val="0"/>
              <c:tx>
                <c:rich>
                  <a:bodyPr/>
                  <a:lstStyle/>
                  <a:p>
                    <a:r>
                      <a:rPr lang="en-US" sz="1000"/>
                      <a:t>12,6</a:t>
                    </a:r>
                    <a:r>
                      <a:rPr lang="lv-LV" sz="1000"/>
                      <a:t>(98,3%);0%</a:t>
                    </a:r>
                    <a:endParaRPr lang="en-US"/>
                  </a:p>
                </c:rich>
              </c:tx>
              <c:showLegendKey val="0"/>
              <c:showVal val="1"/>
              <c:showCatName val="0"/>
              <c:showSerName val="0"/>
              <c:showPercent val="0"/>
              <c:showBubbleSize val="0"/>
            </c:dLbl>
            <c:dLbl>
              <c:idx val="1"/>
              <c:tx>
                <c:rich>
                  <a:bodyPr/>
                  <a:lstStyle/>
                  <a:p>
                    <a:r>
                      <a:rPr lang="en-US" sz="1000"/>
                      <a:t>16,3</a:t>
                    </a:r>
                    <a:r>
                      <a:rPr lang="lv-LV" sz="1000"/>
                      <a:t>(96,5%);2,9%</a:t>
                    </a:r>
                    <a:endParaRPr lang="en-US"/>
                  </a:p>
                </c:rich>
              </c:tx>
              <c:showLegendKey val="0"/>
              <c:showVal val="1"/>
              <c:showCatName val="0"/>
              <c:showSerName val="0"/>
              <c:showPercent val="0"/>
              <c:showBubbleSize val="0"/>
            </c:dLbl>
            <c:dLbl>
              <c:idx val="2"/>
              <c:tx>
                <c:rich>
                  <a:bodyPr/>
                  <a:lstStyle/>
                  <a:p>
                    <a:r>
                      <a:rPr lang="en-US" sz="1000"/>
                      <a:t>35,8</a:t>
                    </a:r>
                    <a:r>
                      <a:rPr lang="lv-LV" sz="1000"/>
                      <a:t>(93,3%);1,3%</a:t>
                    </a:r>
                    <a:endParaRPr lang="en-US"/>
                  </a:p>
                </c:rich>
              </c:tx>
              <c:showLegendKey val="0"/>
              <c:showVal val="1"/>
              <c:showCatName val="0"/>
              <c:showSerName val="0"/>
              <c:showPercent val="0"/>
              <c:showBubbleSize val="0"/>
            </c:dLbl>
            <c:dLbl>
              <c:idx val="3"/>
              <c:tx>
                <c:rich>
                  <a:bodyPr/>
                  <a:lstStyle/>
                  <a:p>
                    <a:r>
                      <a:rPr lang="en-US" sz="1000"/>
                      <a:t>217,7</a:t>
                    </a:r>
                    <a:r>
                      <a:rPr lang="lv-LV" sz="1000"/>
                      <a:t>(96,3%)7,9%</a:t>
                    </a:r>
                    <a:endParaRPr lang="en-US"/>
                  </a:p>
                </c:rich>
              </c:tx>
              <c:showLegendKey val="0"/>
              <c:showVal val="1"/>
              <c:showCatName val="0"/>
              <c:showSerName val="0"/>
              <c:showPercent val="0"/>
              <c:showBubbleSize val="0"/>
            </c:dLbl>
            <c:dLbl>
              <c:idx val="4"/>
              <c:tx>
                <c:rich>
                  <a:bodyPr/>
                  <a:lstStyle/>
                  <a:p>
                    <a:r>
                      <a:rPr lang="en-US" sz="1000"/>
                      <a:t>99,1</a:t>
                    </a:r>
                    <a:r>
                      <a:rPr lang="lv-LV" sz="1000"/>
                      <a:t>(90,1%);-0,8%</a:t>
                    </a:r>
                    <a:endParaRPr lang="en-US"/>
                  </a:p>
                </c:rich>
              </c:tx>
              <c:showLegendKey val="0"/>
              <c:showVal val="1"/>
              <c:showCatName val="0"/>
              <c:showSerName val="0"/>
              <c:showPercent val="0"/>
              <c:showBubbleSize val="0"/>
            </c:dLbl>
            <c:dLbl>
              <c:idx val="5"/>
              <c:tx>
                <c:rich>
                  <a:bodyPr/>
                  <a:lstStyle/>
                  <a:p>
                    <a:r>
                      <a:rPr lang="en-US" sz="1000"/>
                      <a:t>85,7</a:t>
                    </a:r>
                    <a:r>
                      <a:rPr lang="lv-LV" sz="1000" b="0" i="0" u="none" strike="noStrike" baseline="0">
                        <a:effectLst/>
                      </a:rPr>
                      <a:t>(89,3%);0%</a:t>
                    </a:r>
                    <a:endParaRPr lang="en-US"/>
                  </a:p>
                </c:rich>
              </c:tx>
              <c:showLegendKey val="0"/>
              <c:showVal val="1"/>
              <c:showCatName val="0"/>
              <c:showSerName val="0"/>
              <c:showPercent val="0"/>
              <c:showBubbleSize val="0"/>
            </c:dLbl>
            <c:dLbl>
              <c:idx val="6"/>
              <c:tx>
                <c:rich>
                  <a:bodyPr/>
                  <a:lstStyle/>
                  <a:p>
                    <a:r>
                      <a:rPr lang="en-US" sz="1000"/>
                      <a:t>467,2</a:t>
                    </a:r>
                    <a:r>
                      <a:rPr lang="lv-LV" sz="1000"/>
                      <a:t>93,4%);3,4%</a:t>
                    </a:r>
                    <a:endParaRPr lang="en-US"/>
                  </a:p>
                </c:rich>
              </c:tx>
              <c:showLegendKey val="0"/>
              <c:showVal val="1"/>
              <c:showCatName val="0"/>
              <c:showSerName val="0"/>
              <c:showPercent val="0"/>
              <c:showBubbleSize val="0"/>
            </c:dLbl>
            <c:numFmt formatCode="#,##0.0" sourceLinked="0"/>
            <c:txPr>
              <a:bodyPr/>
              <a:lstStyle/>
              <a:p>
                <a:pPr>
                  <a:defRPr sz="1000"/>
                </a:pPr>
                <a:endParaRPr lang="lv-LV"/>
              </a:p>
            </c:txPr>
            <c:showLegendKey val="0"/>
            <c:showVal val="1"/>
            <c:showCatName val="0"/>
            <c:showSerName val="0"/>
            <c:showPercent val="0"/>
            <c:showBubbleSize val="0"/>
            <c:showLeaderLines val="0"/>
          </c:dLbls>
          <c:cat>
            <c:strRef>
              <c:f>'1 DP'!$B$19:$B$25</c:f>
              <c:strCache>
                <c:ptCount val="7"/>
                <c:pt idx="0">
                  <c:v>Tehniskā palīdzība</c:v>
                </c:pt>
                <c:pt idx="1">
                  <c:v>Administratīvās kapacitātes stiprināšana</c:v>
                </c:pt>
                <c:pt idx="2">
                  <c:v>Sociālās iekļaušanas veicināšana</c:v>
                </c:pt>
                <c:pt idx="3">
                  <c:v>Nodarbinātības veicināšana un veselība darbā</c:v>
                </c:pt>
                <c:pt idx="4">
                  <c:v>Izglītība un prasmes</c:v>
                </c:pt>
                <c:pt idx="5">
                  <c:v>Augstākā izglītība un zinātne</c:v>
                </c:pt>
                <c:pt idx="6">
                  <c:v>DP "Cilvēkresursi un nodarbinātība" kopā</c:v>
                </c:pt>
              </c:strCache>
            </c:strRef>
          </c:cat>
          <c:val>
            <c:numRef>
              <c:f>'1 DP'!$D$19:$D$25</c:f>
              <c:numCache>
                <c:formatCode>#,##0_ ;\-#,##0\ </c:formatCode>
                <c:ptCount val="7"/>
                <c:pt idx="0">
                  <c:v>12629928.24</c:v>
                </c:pt>
                <c:pt idx="1">
                  <c:v>16294252.66</c:v>
                </c:pt>
                <c:pt idx="2">
                  <c:v>35816067.979999997</c:v>
                </c:pt>
                <c:pt idx="3">
                  <c:v>217691243.59999999</c:v>
                </c:pt>
                <c:pt idx="4">
                  <c:v>99080819.810000002</c:v>
                </c:pt>
                <c:pt idx="5">
                  <c:v>85675542</c:v>
                </c:pt>
                <c:pt idx="6">
                  <c:v>467187854.29000002</c:v>
                </c:pt>
              </c:numCache>
            </c:numRef>
          </c:val>
        </c:ser>
        <c:ser>
          <c:idx val="2"/>
          <c:order val="2"/>
          <c:tx>
            <c:strRef>
              <c:f>'1 DP'!$E$18</c:f>
              <c:strCache>
                <c:ptCount val="1"/>
                <c:pt idx="0">
                  <c:v>Apstiprināti projekti</c:v>
                </c:pt>
              </c:strCache>
            </c:strRef>
          </c:tx>
          <c:invertIfNegative val="0"/>
          <c:dLbls>
            <c:dLbl>
              <c:idx val="0"/>
              <c:tx>
                <c:rich>
                  <a:bodyPr/>
                  <a:lstStyle/>
                  <a:p>
                    <a:r>
                      <a:rPr lang="en-US"/>
                      <a:t>12,6</a:t>
                    </a:r>
                    <a:r>
                      <a:rPr lang="lv-LV"/>
                      <a:t>(98,3%);0%</a:t>
                    </a:r>
                    <a:endParaRPr lang="en-US"/>
                  </a:p>
                </c:rich>
              </c:tx>
              <c:showLegendKey val="0"/>
              <c:showVal val="1"/>
              <c:showCatName val="0"/>
              <c:showSerName val="0"/>
              <c:showPercent val="0"/>
              <c:showBubbleSize val="0"/>
            </c:dLbl>
            <c:dLbl>
              <c:idx val="1"/>
              <c:tx>
                <c:rich>
                  <a:bodyPr/>
                  <a:lstStyle/>
                  <a:p>
                    <a:r>
                      <a:rPr lang="en-US"/>
                      <a:t>16,5</a:t>
                    </a:r>
                    <a:r>
                      <a:rPr lang="lv-LV"/>
                      <a:t>(97,5%);0,1%</a:t>
                    </a:r>
                    <a:endParaRPr lang="en-US"/>
                  </a:p>
                </c:rich>
              </c:tx>
              <c:showLegendKey val="0"/>
              <c:showVal val="1"/>
              <c:showCatName val="0"/>
              <c:showSerName val="0"/>
              <c:showPercent val="0"/>
              <c:showBubbleSize val="0"/>
            </c:dLbl>
            <c:dLbl>
              <c:idx val="2"/>
              <c:tx>
                <c:rich>
                  <a:bodyPr/>
                  <a:lstStyle/>
                  <a:p>
                    <a:r>
                      <a:rPr lang="en-US"/>
                      <a:t>35,8</a:t>
                    </a:r>
                    <a:r>
                      <a:rPr lang="lv-LV"/>
                      <a:t>(93,3%);0,9%</a:t>
                    </a:r>
                    <a:endParaRPr lang="en-US"/>
                  </a:p>
                </c:rich>
              </c:tx>
              <c:showLegendKey val="0"/>
              <c:showVal val="1"/>
              <c:showCatName val="0"/>
              <c:showSerName val="0"/>
              <c:showPercent val="0"/>
              <c:showBubbleSize val="0"/>
            </c:dLbl>
            <c:dLbl>
              <c:idx val="3"/>
              <c:tx>
                <c:rich>
                  <a:bodyPr/>
                  <a:lstStyle/>
                  <a:p>
                    <a:r>
                      <a:rPr lang="en-US"/>
                      <a:t>217,7</a:t>
                    </a:r>
                    <a:r>
                      <a:rPr lang="lv-LV"/>
                      <a:t>(96,3%);7,9%</a:t>
                    </a:r>
                    <a:endParaRPr lang="en-US"/>
                  </a:p>
                </c:rich>
              </c:tx>
              <c:showLegendKey val="0"/>
              <c:showVal val="1"/>
              <c:showCatName val="0"/>
              <c:showSerName val="0"/>
              <c:showPercent val="0"/>
              <c:showBubbleSize val="0"/>
            </c:dLbl>
            <c:dLbl>
              <c:idx val="4"/>
              <c:tx>
                <c:rich>
                  <a:bodyPr/>
                  <a:lstStyle/>
                  <a:p>
                    <a:r>
                      <a:rPr lang="en-US"/>
                      <a:t>99,1</a:t>
                    </a:r>
                    <a:r>
                      <a:rPr lang="lv-LV"/>
                      <a:t>(90,1%);-0,8%</a:t>
                    </a:r>
                    <a:endParaRPr lang="en-US"/>
                  </a:p>
                </c:rich>
              </c:tx>
              <c:showLegendKey val="0"/>
              <c:showVal val="1"/>
              <c:showCatName val="0"/>
              <c:showSerName val="0"/>
              <c:showPercent val="0"/>
              <c:showBubbleSize val="0"/>
            </c:dLbl>
            <c:dLbl>
              <c:idx val="5"/>
              <c:tx>
                <c:rich>
                  <a:bodyPr/>
                  <a:lstStyle/>
                  <a:p>
                    <a:r>
                      <a:rPr lang="en-US"/>
                      <a:t>85,7</a:t>
                    </a:r>
                    <a:r>
                      <a:rPr lang="lv-LV" sz="1000" b="0" i="0" u="none" strike="noStrike" baseline="0">
                        <a:effectLst/>
                      </a:rPr>
                      <a:t>(89,3%);0%</a:t>
                    </a:r>
                    <a:endParaRPr lang="en-US"/>
                  </a:p>
                </c:rich>
              </c:tx>
              <c:showLegendKey val="0"/>
              <c:showVal val="1"/>
              <c:showCatName val="0"/>
              <c:showSerName val="0"/>
              <c:showPercent val="0"/>
              <c:showBubbleSize val="0"/>
            </c:dLbl>
            <c:dLbl>
              <c:idx val="6"/>
              <c:tx>
                <c:rich>
                  <a:bodyPr/>
                  <a:lstStyle/>
                  <a:p>
                    <a:r>
                      <a:rPr lang="en-US" sz="1000"/>
                      <a:t>467,4</a:t>
                    </a:r>
                    <a:r>
                      <a:rPr lang="lv-LV" sz="1000"/>
                      <a:t>(93,5%);3,3%</a:t>
                    </a:r>
                    <a:endParaRPr lang="en-US"/>
                  </a:p>
                </c:rich>
              </c:tx>
              <c:showLegendKey val="0"/>
              <c:showVal val="1"/>
              <c:showCatName val="0"/>
              <c:showSerName val="0"/>
              <c:showPercent val="0"/>
              <c:showBubbleSize val="0"/>
            </c:dLbl>
            <c:numFmt formatCode="#,##0.0" sourceLinked="0"/>
            <c:txPr>
              <a:bodyPr/>
              <a:lstStyle/>
              <a:p>
                <a:pPr>
                  <a:defRPr sz="1000"/>
                </a:pPr>
                <a:endParaRPr lang="lv-LV"/>
              </a:p>
            </c:txPr>
            <c:showLegendKey val="0"/>
            <c:showVal val="1"/>
            <c:showCatName val="0"/>
            <c:showSerName val="0"/>
            <c:showPercent val="0"/>
            <c:showBubbleSize val="0"/>
            <c:showLeaderLines val="0"/>
          </c:dLbls>
          <c:cat>
            <c:strRef>
              <c:f>'1 DP'!$B$19:$B$25</c:f>
              <c:strCache>
                <c:ptCount val="7"/>
                <c:pt idx="0">
                  <c:v>Tehniskā palīdzība</c:v>
                </c:pt>
                <c:pt idx="1">
                  <c:v>Administratīvās kapacitātes stiprināšana</c:v>
                </c:pt>
                <c:pt idx="2">
                  <c:v>Sociālās iekļaušanas veicināšana</c:v>
                </c:pt>
                <c:pt idx="3">
                  <c:v>Nodarbinātības veicināšana un veselība darbā</c:v>
                </c:pt>
                <c:pt idx="4">
                  <c:v>Izglītība un prasmes</c:v>
                </c:pt>
                <c:pt idx="5">
                  <c:v>Augstākā izglītība un zinātne</c:v>
                </c:pt>
                <c:pt idx="6">
                  <c:v>DP "Cilvēkresursi un nodarbinātība" kopā</c:v>
                </c:pt>
              </c:strCache>
            </c:strRef>
          </c:cat>
          <c:val>
            <c:numRef>
              <c:f>'1 DP'!$E$19:$E$25</c:f>
              <c:numCache>
                <c:formatCode>#,##0_ ;\-#,##0\ </c:formatCode>
                <c:ptCount val="7"/>
                <c:pt idx="0">
                  <c:v>12629928.24</c:v>
                </c:pt>
                <c:pt idx="1">
                  <c:v>16458506.09</c:v>
                </c:pt>
                <c:pt idx="2">
                  <c:v>35816067.979999997</c:v>
                </c:pt>
                <c:pt idx="3">
                  <c:v>217691243.59999999</c:v>
                </c:pt>
                <c:pt idx="4">
                  <c:v>99080819.810000002</c:v>
                </c:pt>
                <c:pt idx="5">
                  <c:v>85675542</c:v>
                </c:pt>
                <c:pt idx="6">
                  <c:v>467352107.71999997</c:v>
                </c:pt>
              </c:numCache>
            </c:numRef>
          </c:val>
        </c:ser>
        <c:ser>
          <c:idx val="3"/>
          <c:order val="3"/>
          <c:tx>
            <c:strRef>
              <c:f>'1 DP'!$F$18</c:f>
              <c:strCache>
                <c:ptCount val="1"/>
                <c:pt idx="0">
                  <c:v>Kopā pieejamais publiskais finansējums (ieskaitot virssaistības)</c:v>
                </c:pt>
              </c:strCache>
            </c:strRef>
          </c:tx>
          <c:invertIfNegative val="0"/>
          <c:dLbls>
            <c:dLbl>
              <c:idx val="0"/>
              <c:tx>
                <c:rich>
                  <a:bodyPr/>
                  <a:lstStyle/>
                  <a:p>
                    <a:r>
                      <a:rPr lang="en-US" sz="1000"/>
                      <a:t>12,8</a:t>
                    </a:r>
                    <a:r>
                      <a:rPr lang="lv-LV" sz="1000"/>
                      <a:t>(100%)</a:t>
                    </a:r>
                    <a:endParaRPr lang="en-US"/>
                  </a:p>
                </c:rich>
              </c:tx>
              <c:showLegendKey val="0"/>
              <c:showVal val="1"/>
              <c:showCatName val="0"/>
              <c:showSerName val="0"/>
              <c:showPercent val="0"/>
              <c:showBubbleSize val="0"/>
            </c:dLbl>
            <c:dLbl>
              <c:idx val="1"/>
              <c:tx>
                <c:rich>
                  <a:bodyPr/>
                  <a:lstStyle/>
                  <a:p>
                    <a:r>
                      <a:rPr lang="en-US" sz="1000"/>
                      <a:t>16,9</a:t>
                    </a:r>
                    <a:r>
                      <a:rPr lang="lv-LV" sz="1000"/>
                      <a:t>(100%)</a:t>
                    </a:r>
                    <a:endParaRPr lang="en-US"/>
                  </a:p>
                </c:rich>
              </c:tx>
              <c:showLegendKey val="0"/>
              <c:showVal val="1"/>
              <c:showCatName val="0"/>
              <c:showSerName val="0"/>
              <c:showPercent val="0"/>
              <c:showBubbleSize val="0"/>
            </c:dLbl>
            <c:dLbl>
              <c:idx val="2"/>
              <c:tx>
                <c:rich>
                  <a:bodyPr/>
                  <a:lstStyle/>
                  <a:p>
                    <a:r>
                      <a:rPr lang="en-US" sz="1000"/>
                      <a:t>38,4</a:t>
                    </a:r>
                    <a:r>
                      <a:rPr lang="lv-LV" sz="1000"/>
                      <a:t>(100%)</a:t>
                    </a:r>
                    <a:endParaRPr lang="en-US"/>
                  </a:p>
                </c:rich>
              </c:tx>
              <c:showLegendKey val="0"/>
              <c:showVal val="1"/>
              <c:showCatName val="0"/>
              <c:showSerName val="0"/>
              <c:showPercent val="0"/>
              <c:showBubbleSize val="0"/>
            </c:dLbl>
            <c:dLbl>
              <c:idx val="3"/>
              <c:tx>
                <c:rich>
                  <a:bodyPr/>
                  <a:lstStyle/>
                  <a:p>
                    <a:r>
                      <a:rPr lang="en-US" sz="1000"/>
                      <a:t>226,0</a:t>
                    </a:r>
                    <a:r>
                      <a:rPr lang="lv-LV" sz="1000"/>
                      <a:t>(100%)</a:t>
                    </a:r>
                    <a:endParaRPr lang="en-US"/>
                  </a:p>
                </c:rich>
              </c:tx>
              <c:showLegendKey val="0"/>
              <c:showVal val="1"/>
              <c:showCatName val="0"/>
              <c:showSerName val="0"/>
              <c:showPercent val="0"/>
              <c:showBubbleSize val="0"/>
            </c:dLbl>
            <c:dLbl>
              <c:idx val="4"/>
              <c:tx>
                <c:rich>
                  <a:bodyPr/>
                  <a:lstStyle/>
                  <a:p>
                    <a:r>
                      <a:rPr lang="en-US" sz="1000"/>
                      <a:t>110,0</a:t>
                    </a:r>
                    <a:r>
                      <a:rPr lang="lv-LV" sz="1000"/>
                      <a:t> (100%)</a:t>
                    </a:r>
                    <a:endParaRPr lang="en-US"/>
                  </a:p>
                </c:rich>
              </c:tx>
              <c:showLegendKey val="0"/>
              <c:showVal val="1"/>
              <c:showCatName val="0"/>
              <c:showSerName val="0"/>
              <c:showPercent val="0"/>
              <c:showBubbleSize val="0"/>
            </c:dLbl>
            <c:dLbl>
              <c:idx val="5"/>
              <c:tx>
                <c:rich>
                  <a:bodyPr/>
                  <a:lstStyle/>
                  <a:p>
                    <a:r>
                      <a:rPr lang="en-US" sz="1000"/>
                      <a:t>96,0</a:t>
                    </a:r>
                    <a:r>
                      <a:rPr lang="lv-LV" sz="1000"/>
                      <a:t>9!00%)</a:t>
                    </a:r>
                    <a:endParaRPr lang="en-US"/>
                  </a:p>
                </c:rich>
              </c:tx>
              <c:showLegendKey val="0"/>
              <c:showVal val="1"/>
              <c:showCatName val="0"/>
              <c:showSerName val="0"/>
              <c:showPercent val="0"/>
              <c:showBubbleSize val="0"/>
            </c:dLbl>
            <c:dLbl>
              <c:idx val="6"/>
              <c:tx>
                <c:rich>
                  <a:bodyPr/>
                  <a:lstStyle/>
                  <a:p>
                    <a:r>
                      <a:rPr lang="en-US" sz="1000"/>
                      <a:t>500,0</a:t>
                    </a:r>
                    <a:r>
                      <a:rPr lang="lv-LV" sz="1000"/>
                      <a:t> (100%)</a:t>
                    </a:r>
                    <a:endParaRPr lang="en-US"/>
                  </a:p>
                </c:rich>
              </c:tx>
              <c:showLegendKey val="0"/>
              <c:showVal val="1"/>
              <c:showCatName val="0"/>
              <c:showSerName val="0"/>
              <c:showPercent val="0"/>
              <c:showBubbleSize val="0"/>
            </c:dLbl>
            <c:numFmt formatCode="#,##0.0" sourceLinked="0"/>
            <c:txPr>
              <a:bodyPr/>
              <a:lstStyle/>
              <a:p>
                <a:pPr>
                  <a:defRPr sz="1000"/>
                </a:pPr>
                <a:endParaRPr lang="lv-LV"/>
              </a:p>
            </c:txPr>
            <c:showLegendKey val="0"/>
            <c:showVal val="1"/>
            <c:showCatName val="0"/>
            <c:showSerName val="0"/>
            <c:showPercent val="0"/>
            <c:showBubbleSize val="0"/>
            <c:showLeaderLines val="0"/>
          </c:dLbls>
          <c:cat>
            <c:strRef>
              <c:f>'1 DP'!$B$19:$B$25</c:f>
              <c:strCache>
                <c:ptCount val="7"/>
                <c:pt idx="0">
                  <c:v>Tehniskā palīdzība</c:v>
                </c:pt>
                <c:pt idx="1">
                  <c:v>Administratīvās kapacitātes stiprināšana</c:v>
                </c:pt>
                <c:pt idx="2">
                  <c:v>Sociālās iekļaušanas veicināšana</c:v>
                </c:pt>
                <c:pt idx="3">
                  <c:v>Nodarbinātības veicināšana un veselība darbā</c:v>
                </c:pt>
                <c:pt idx="4">
                  <c:v>Izglītība un prasmes</c:v>
                </c:pt>
                <c:pt idx="5">
                  <c:v>Augstākā izglītība un zinātne</c:v>
                </c:pt>
                <c:pt idx="6">
                  <c:v>DP "Cilvēkresursi un nodarbinātība" kopā</c:v>
                </c:pt>
              </c:strCache>
            </c:strRef>
          </c:cat>
          <c:val>
            <c:numRef>
              <c:f>'1 DP'!$F$19:$F$25</c:f>
              <c:numCache>
                <c:formatCode>#,##0_ ;\-#,##0\ </c:formatCode>
                <c:ptCount val="7"/>
                <c:pt idx="0">
                  <c:v>12847761.029999999</c:v>
                </c:pt>
                <c:pt idx="1">
                  <c:v>16885635</c:v>
                </c:pt>
                <c:pt idx="2">
                  <c:v>38386076.340000004</c:v>
                </c:pt>
                <c:pt idx="3">
                  <c:v>225959034</c:v>
                </c:pt>
                <c:pt idx="4">
                  <c:v>109961493</c:v>
                </c:pt>
                <c:pt idx="5">
                  <c:v>95981346</c:v>
                </c:pt>
                <c:pt idx="6">
                  <c:v>500021345.37</c:v>
                </c:pt>
              </c:numCache>
            </c:numRef>
          </c:val>
        </c:ser>
        <c:dLbls>
          <c:showLegendKey val="0"/>
          <c:showVal val="0"/>
          <c:showCatName val="0"/>
          <c:showSerName val="0"/>
          <c:showPercent val="0"/>
          <c:showBubbleSize val="0"/>
        </c:dLbls>
        <c:gapWidth val="150"/>
        <c:shape val="box"/>
        <c:axId val="96769920"/>
        <c:axId val="96771456"/>
        <c:axId val="0"/>
      </c:bar3DChart>
      <c:catAx>
        <c:axId val="96769920"/>
        <c:scaling>
          <c:orientation val="minMax"/>
        </c:scaling>
        <c:delete val="0"/>
        <c:axPos val="l"/>
        <c:majorTickMark val="out"/>
        <c:minorTickMark val="none"/>
        <c:tickLblPos val="nextTo"/>
        <c:crossAx val="96771456"/>
        <c:crosses val="autoZero"/>
        <c:auto val="1"/>
        <c:lblAlgn val="ctr"/>
        <c:lblOffset val="100"/>
        <c:noMultiLvlLbl val="0"/>
      </c:catAx>
      <c:valAx>
        <c:axId val="96771456"/>
        <c:scaling>
          <c:orientation val="minMax"/>
        </c:scaling>
        <c:delete val="0"/>
        <c:axPos val="b"/>
        <c:majorGridlines/>
        <c:numFmt formatCode="#,##0_ ;\-#,##0\ " sourceLinked="1"/>
        <c:majorTickMark val="out"/>
        <c:minorTickMark val="none"/>
        <c:tickLblPos val="nextTo"/>
        <c:crossAx val="96769920"/>
        <c:crosses val="autoZero"/>
        <c:crossBetween val="between"/>
        <c:dispUnits>
          <c:builtInUnit val="millions"/>
        </c:dispUnits>
      </c:valAx>
    </c:plotArea>
    <c:legend>
      <c:legendPos val="b"/>
      <c:layout>
        <c:manualLayout>
          <c:xMode val="edge"/>
          <c:yMode val="edge"/>
          <c:x val="2.3734908136482935E-2"/>
          <c:y val="0.8458595082616861"/>
          <c:w val="0.96641885389326332"/>
          <c:h val="0.15391267609253137"/>
        </c:manualLayout>
      </c:layout>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39349872626215843"/>
          <c:y val="9.9411323584551931E-2"/>
          <c:w val="0.55485911687509648"/>
          <c:h val="0.85693788276465443"/>
        </c:manualLayout>
      </c:layout>
      <c:bar3DChart>
        <c:barDir val="bar"/>
        <c:grouping val="clustered"/>
        <c:varyColors val="0"/>
        <c:ser>
          <c:idx val="0"/>
          <c:order val="0"/>
          <c:invertIfNegative val="0"/>
          <c:dPt>
            <c:idx val="0"/>
            <c:invertIfNegative val="0"/>
            <c:bubble3D val="0"/>
            <c:spPr>
              <a:solidFill>
                <a:schemeClr val="accent4"/>
              </a:solidFill>
            </c:spPr>
          </c:dPt>
          <c:dPt>
            <c:idx val="1"/>
            <c:invertIfNegative val="0"/>
            <c:bubble3D val="0"/>
            <c:spPr>
              <a:solidFill>
                <a:schemeClr val="accent3"/>
              </a:solidFill>
            </c:spPr>
          </c:dPt>
          <c:dPt>
            <c:idx val="2"/>
            <c:invertIfNegative val="0"/>
            <c:bubble3D val="0"/>
            <c:spPr>
              <a:solidFill>
                <a:schemeClr val="accent2"/>
              </a:solidFill>
            </c:spPr>
          </c:dPt>
          <c:dPt>
            <c:idx val="3"/>
            <c:invertIfNegative val="0"/>
            <c:bubble3D val="0"/>
            <c:spPr>
              <a:solidFill>
                <a:schemeClr val="accent6"/>
              </a:solidFill>
            </c:spPr>
          </c:dPt>
          <c:dLbls>
            <c:dLbl>
              <c:idx val="0"/>
              <c:layout>
                <c:manualLayout>
                  <c:x val="1.6666666666666566E-2"/>
                  <c:y val="0"/>
                </c:manualLayout>
              </c:layout>
              <c:tx>
                <c:rich>
                  <a:bodyPr/>
                  <a:lstStyle/>
                  <a:p>
                    <a:r>
                      <a:rPr lang="en-US"/>
                      <a:t>16,</a:t>
                    </a:r>
                    <a:r>
                      <a:rPr lang="lv-LV"/>
                      <a:t>5 (100,0%)</a:t>
                    </a:r>
                  </a:p>
                </c:rich>
              </c:tx>
              <c:showLegendKey val="0"/>
              <c:showVal val="1"/>
              <c:showCatName val="0"/>
              <c:showSerName val="0"/>
              <c:showPercent val="0"/>
              <c:showBubbleSize val="0"/>
            </c:dLbl>
            <c:dLbl>
              <c:idx val="1"/>
              <c:layout>
                <c:manualLayout>
                  <c:x val="2.2222222222222324E-2"/>
                  <c:y val="0"/>
                </c:manualLayout>
              </c:layout>
              <c:tx>
                <c:rich>
                  <a:bodyPr/>
                  <a:lstStyle/>
                  <a:p>
                    <a:r>
                      <a:rPr lang="lv-LV"/>
                      <a:t>10,7</a:t>
                    </a:r>
                    <a:r>
                      <a:rPr lang="lv-LV" baseline="0"/>
                      <a:t> </a:t>
                    </a:r>
                    <a:r>
                      <a:rPr lang="lv-LV"/>
                      <a:t>(64,7%)</a:t>
                    </a:r>
                    <a:endParaRPr lang="en-US"/>
                  </a:p>
                </c:rich>
              </c:tx>
              <c:showLegendKey val="0"/>
              <c:showVal val="1"/>
              <c:showCatName val="0"/>
              <c:showSerName val="0"/>
              <c:showPercent val="0"/>
              <c:showBubbleSize val="0"/>
            </c:dLbl>
            <c:dLbl>
              <c:idx val="2"/>
              <c:layout>
                <c:manualLayout>
                  <c:x val="2.5000000000000001E-2"/>
                  <c:y val="4.6296296296296294E-3"/>
                </c:manualLayout>
              </c:layout>
              <c:tx>
                <c:rich>
                  <a:bodyPr/>
                  <a:lstStyle/>
                  <a:p>
                    <a:r>
                      <a:rPr lang="en-US"/>
                      <a:t>9,5</a:t>
                    </a:r>
                    <a:r>
                      <a:rPr lang="lv-LV"/>
                      <a:t> (57,4%)</a:t>
                    </a:r>
                    <a:endParaRPr lang="en-US"/>
                  </a:p>
                </c:rich>
              </c:tx>
              <c:showLegendKey val="0"/>
              <c:showVal val="1"/>
              <c:showCatName val="0"/>
              <c:showSerName val="0"/>
              <c:showPercent val="0"/>
              <c:showBubbleSize val="0"/>
            </c:dLbl>
            <c:dLbl>
              <c:idx val="3"/>
              <c:tx>
                <c:rich>
                  <a:bodyPr/>
                  <a:lstStyle/>
                  <a:p>
                    <a:r>
                      <a:rPr lang="en-US"/>
                      <a:t>9,5</a:t>
                    </a:r>
                    <a:r>
                      <a:rPr lang="lv-LV"/>
                      <a:t> (57,7%)</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Sheet1!$D$37:$D$40</c:f>
              <c:strCache>
                <c:ptCount val="4"/>
                <c:pt idx="0">
                  <c:v>Plānots līdz 2015.gadam</c:v>
                </c:pt>
                <c:pt idx="1">
                  <c:v>Plānots līdz 31.12.2012</c:v>
                </c:pt>
                <c:pt idx="2">
                  <c:v>Plānots līdz 30.09.2012</c:v>
                </c:pt>
                <c:pt idx="3">
                  <c:v>Piešķirtie aizdevumi līdz  30.09.2012</c:v>
                </c:pt>
              </c:strCache>
            </c:strRef>
          </c:cat>
          <c:val>
            <c:numRef>
              <c:f>Sheet1!$E$37:$E$40</c:f>
              <c:numCache>
                <c:formatCode>General</c:formatCode>
                <c:ptCount val="4"/>
                <c:pt idx="0">
                  <c:v>16.5</c:v>
                </c:pt>
                <c:pt idx="1">
                  <c:v>10.7</c:v>
                </c:pt>
                <c:pt idx="2">
                  <c:v>9.5</c:v>
                </c:pt>
                <c:pt idx="3">
                  <c:v>9.5</c:v>
                </c:pt>
              </c:numCache>
            </c:numRef>
          </c:val>
        </c:ser>
        <c:dLbls>
          <c:showLegendKey val="0"/>
          <c:showVal val="0"/>
          <c:showCatName val="0"/>
          <c:showSerName val="0"/>
          <c:showPercent val="0"/>
          <c:showBubbleSize val="0"/>
        </c:dLbls>
        <c:gapWidth val="150"/>
        <c:shape val="box"/>
        <c:axId val="96897280"/>
        <c:axId val="96911360"/>
        <c:axId val="0"/>
      </c:bar3DChart>
      <c:catAx>
        <c:axId val="96897280"/>
        <c:scaling>
          <c:orientation val="maxMin"/>
        </c:scaling>
        <c:delete val="0"/>
        <c:axPos val="l"/>
        <c:majorTickMark val="out"/>
        <c:minorTickMark val="none"/>
        <c:tickLblPos val="nextTo"/>
        <c:txPr>
          <a:bodyPr/>
          <a:lstStyle/>
          <a:p>
            <a:pPr>
              <a:defRPr sz="1000">
                <a:latin typeface="Times New Roman" pitchFamily="18" charset="0"/>
                <a:cs typeface="Times New Roman" pitchFamily="18" charset="0"/>
              </a:defRPr>
            </a:pPr>
            <a:endParaRPr lang="lv-LV"/>
          </a:p>
        </c:txPr>
        <c:crossAx val="96911360"/>
        <c:crosses val="autoZero"/>
        <c:auto val="1"/>
        <c:lblAlgn val="ctr"/>
        <c:lblOffset val="100"/>
        <c:noMultiLvlLbl val="0"/>
      </c:catAx>
      <c:valAx>
        <c:axId val="96911360"/>
        <c:scaling>
          <c:orientation val="minMax"/>
        </c:scaling>
        <c:delete val="0"/>
        <c:axPos val="t"/>
        <c:majorGridlines/>
        <c:numFmt formatCode="General" sourceLinked="1"/>
        <c:majorTickMark val="out"/>
        <c:minorTickMark val="none"/>
        <c:tickLblPos val="nextTo"/>
        <c:crossAx val="96897280"/>
        <c:crosses val="autoZero"/>
        <c:crossBetween val="between"/>
      </c:valAx>
    </c:plotArea>
    <c:plotVisOnly val="1"/>
    <c:dispBlanksAs val="gap"/>
    <c:showDLblsOverMax val="0"/>
  </c:chart>
  <c:spPr>
    <a:no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'2 DP'!$C$13</c:f>
              <c:strCache>
                <c:ptCount val="1"/>
                <c:pt idx="0">
                  <c:v>Veikti maksājumi finansējuma saņēmējiem</c:v>
                </c:pt>
              </c:strCache>
            </c:strRef>
          </c:tx>
          <c:invertIfNegative val="0"/>
          <c:dLbls>
            <c:dLbl>
              <c:idx val="0"/>
              <c:layout/>
              <c:tx>
                <c:rich>
                  <a:bodyPr/>
                  <a:lstStyle/>
                  <a:p>
                    <a:r>
                      <a:rPr lang="en-US"/>
                      <a:t>7,4</a:t>
                    </a:r>
                    <a:r>
                      <a:rPr lang="lv-LV"/>
                      <a:t>(46%);3,1%</a:t>
                    </a:r>
                    <a:endParaRPr lang="en-US"/>
                  </a:p>
                </c:rich>
              </c:tx>
              <c:showLegendKey val="0"/>
              <c:showVal val="1"/>
              <c:showCatName val="0"/>
              <c:showSerName val="0"/>
              <c:showPercent val="0"/>
              <c:showBubbleSize val="0"/>
            </c:dLbl>
            <c:dLbl>
              <c:idx val="1"/>
              <c:layout/>
              <c:tx>
                <c:rich>
                  <a:bodyPr/>
                  <a:lstStyle/>
                  <a:p>
                    <a:r>
                      <a:rPr lang="en-US"/>
                      <a:t>18,2</a:t>
                    </a:r>
                    <a:r>
                      <a:rPr lang="lv-LV"/>
                      <a:t>(27,8%);1%</a:t>
                    </a:r>
                    <a:endParaRPr lang="en-US"/>
                  </a:p>
                </c:rich>
              </c:tx>
              <c:showLegendKey val="0"/>
              <c:showVal val="1"/>
              <c:showCatName val="0"/>
              <c:showSerName val="0"/>
              <c:showPercent val="0"/>
              <c:showBubbleSize val="0"/>
            </c:dLbl>
            <c:dLbl>
              <c:idx val="2"/>
              <c:layout/>
              <c:tx>
                <c:rich>
                  <a:bodyPr/>
                  <a:lstStyle/>
                  <a:p>
                    <a:r>
                      <a:rPr lang="en-US" sz="1000"/>
                      <a:t>147,5</a:t>
                    </a:r>
                    <a:r>
                      <a:rPr lang="lv-LV" sz="1000" b="0" i="0" u="none" strike="noStrike" baseline="0">
                        <a:effectLst/>
                      </a:rPr>
                      <a:t>(100%);0%</a:t>
                    </a:r>
                    <a:endParaRPr lang="en-US"/>
                  </a:p>
                </c:rich>
              </c:tx>
              <c:showLegendKey val="0"/>
              <c:showVal val="1"/>
              <c:showCatName val="0"/>
              <c:showSerName val="0"/>
              <c:showPercent val="0"/>
              <c:showBubbleSize val="0"/>
            </c:dLbl>
            <c:dLbl>
              <c:idx val="3"/>
              <c:layout/>
              <c:tx>
                <c:rich>
                  <a:bodyPr/>
                  <a:lstStyle/>
                  <a:p>
                    <a:r>
                      <a:rPr lang="en-US"/>
                      <a:t>116,3</a:t>
                    </a:r>
                    <a:r>
                      <a:rPr lang="lv-LV"/>
                      <a:t>(32,8%);3,1%</a:t>
                    </a:r>
                    <a:endParaRPr lang="en-US"/>
                  </a:p>
                </c:rich>
              </c:tx>
              <c:showLegendKey val="0"/>
              <c:showVal val="1"/>
              <c:showCatName val="0"/>
              <c:showSerName val="0"/>
              <c:showPercent val="0"/>
              <c:showBubbleSize val="0"/>
            </c:dLbl>
            <c:dLbl>
              <c:idx val="4"/>
              <c:layout/>
              <c:tx>
                <c:rich>
                  <a:bodyPr/>
                  <a:lstStyle/>
                  <a:p>
                    <a:r>
                      <a:rPr lang="en-US"/>
                      <a:t>289,4</a:t>
                    </a:r>
                    <a:r>
                      <a:rPr lang="lv-LV"/>
                      <a:t>(49,5%);2%</a:t>
                    </a:r>
                    <a:endParaRPr lang="en-US"/>
                  </a:p>
                </c:rich>
              </c:tx>
              <c:showLegendKey val="0"/>
              <c:showVal val="1"/>
              <c:showCatName val="0"/>
              <c:showSerName val="0"/>
              <c:showPercent val="0"/>
              <c:showBubbleSize val="0"/>
            </c:dLbl>
            <c:numFmt formatCode="#,##0.0" sourceLinked="0"/>
            <c:txPr>
              <a:bodyPr/>
              <a:lstStyle/>
              <a:p>
                <a:pPr>
                  <a:defRPr sz="1000"/>
                </a:pPr>
                <a:endParaRPr lang="lv-LV"/>
              </a:p>
            </c:txPr>
            <c:showLegendKey val="0"/>
            <c:showVal val="1"/>
            <c:showCatName val="0"/>
            <c:showSerName val="0"/>
            <c:showPercent val="0"/>
            <c:showBubbleSize val="0"/>
            <c:showLeaderLines val="0"/>
          </c:dLbls>
          <c:cat>
            <c:strRef>
              <c:f>'2 DP'!$B$14:$B$18</c:f>
              <c:strCache>
                <c:ptCount val="5"/>
                <c:pt idx="0">
                  <c:v>Tehniskā palīdzība</c:v>
                </c:pt>
                <c:pt idx="1">
                  <c:v>Uzņēmējdarbības veicināšana</c:v>
                </c:pt>
                <c:pt idx="2">
                  <c:v>Finanšu pieejamība</c:v>
                </c:pt>
                <c:pt idx="3">
                  <c:v>Zinātne un inovācijas</c:v>
                </c:pt>
                <c:pt idx="4">
                  <c:v>DP "Uzņēmējdarbība un inovācijas" kopā</c:v>
                </c:pt>
              </c:strCache>
            </c:strRef>
          </c:cat>
          <c:val>
            <c:numRef>
              <c:f>'2 DP'!$C$14:$C$18</c:f>
              <c:numCache>
                <c:formatCode>#,##0_ ;\-#,##0\ </c:formatCode>
                <c:ptCount val="5"/>
                <c:pt idx="0">
                  <c:v>7424341.5499999998</c:v>
                </c:pt>
                <c:pt idx="1">
                  <c:v>18197469.030000001</c:v>
                </c:pt>
                <c:pt idx="2">
                  <c:v>147494366</c:v>
                </c:pt>
                <c:pt idx="3">
                  <c:v>116319443.23999999</c:v>
                </c:pt>
                <c:pt idx="4">
                  <c:v>289435619.81999999</c:v>
                </c:pt>
              </c:numCache>
            </c:numRef>
          </c:val>
        </c:ser>
        <c:ser>
          <c:idx val="1"/>
          <c:order val="1"/>
          <c:tx>
            <c:strRef>
              <c:f>'2 DP'!$D$13</c:f>
              <c:strCache>
                <c:ptCount val="1"/>
                <c:pt idx="0">
                  <c:v>Noslēgti līgumi</c:v>
                </c:pt>
              </c:strCache>
            </c:strRef>
          </c:tx>
          <c:invertIfNegative val="0"/>
          <c:dLbls>
            <c:dLbl>
              <c:idx val="0"/>
              <c:layout/>
              <c:tx>
                <c:rich>
                  <a:bodyPr/>
                  <a:lstStyle/>
                  <a:p>
                    <a:r>
                      <a:rPr lang="en-US"/>
                      <a:t>14,8</a:t>
                    </a:r>
                    <a:r>
                      <a:rPr lang="lv-LV"/>
                      <a:t>(91,8%);-0,1%</a:t>
                    </a:r>
                    <a:endParaRPr lang="en-US"/>
                  </a:p>
                </c:rich>
              </c:tx>
              <c:showLegendKey val="0"/>
              <c:showVal val="1"/>
              <c:showCatName val="0"/>
              <c:showSerName val="0"/>
              <c:showPercent val="0"/>
              <c:showBubbleSize val="0"/>
            </c:dLbl>
            <c:dLbl>
              <c:idx val="1"/>
              <c:layout/>
              <c:tx>
                <c:rich>
                  <a:bodyPr/>
                  <a:lstStyle/>
                  <a:p>
                    <a:r>
                      <a:rPr lang="en-US"/>
                      <a:t>43,1</a:t>
                    </a:r>
                    <a:r>
                      <a:rPr lang="lv-LV"/>
                      <a:t>(65,8%);4,2%</a:t>
                    </a:r>
                    <a:endParaRPr lang="en-US"/>
                  </a:p>
                </c:rich>
              </c:tx>
              <c:showLegendKey val="0"/>
              <c:showVal val="1"/>
              <c:showCatName val="0"/>
              <c:showSerName val="0"/>
              <c:showPercent val="0"/>
              <c:showBubbleSize val="0"/>
            </c:dLbl>
            <c:dLbl>
              <c:idx val="2"/>
              <c:layout/>
              <c:tx>
                <c:rich>
                  <a:bodyPr/>
                  <a:lstStyle/>
                  <a:p>
                    <a:r>
                      <a:rPr lang="en-US" sz="1000"/>
                      <a:t>147,5</a:t>
                    </a:r>
                    <a:r>
                      <a:rPr lang="lv-LV" sz="1000" b="0" i="0" u="none" strike="noStrike" baseline="0">
                        <a:effectLst/>
                      </a:rPr>
                      <a:t>(100%);0%</a:t>
                    </a:r>
                    <a:endParaRPr lang="en-US"/>
                  </a:p>
                </c:rich>
              </c:tx>
              <c:showLegendKey val="0"/>
              <c:showVal val="1"/>
              <c:showCatName val="0"/>
              <c:showSerName val="0"/>
              <c:showPercent val="0"/>
              <c:showBubbleSize val="0"/>
            </c:dLbl>
            <c:dLbl>
              <c:idx val="3"/>
              <c:layout/>
              <c:tx>
                <c:rich>
                  <a:bodyPr/>
                  <a:lstStyle/>
                  <a:p>
                    <a:r>
                      <a:rPr lang="en-US"/>
                      <a:t>294,5</a:t>
                    </a:r>
                    <a:r>
                      <a:rPr lang="lv-LV"/>
                      <a:t>(82,9%);9,8%</a:t>
                    </a:r>
                    <a:endParaRPr lang="en-US"/>
                  </a:p>
                </c:rich>
              </c:tx>
              <c:showLegendKey val="0"/>
              <c:showVal val="1"/>
              <c:showCatName val="0"/>
              <c:showSerName val="0"/>
              <c:showPercent val="0"/>
              <c:showBubbleSize val="0"/>
            </c:dLbl>
            <c:dLbl>
              <c:idx val="4"/>
              <c:layout/>
              <c:tx>
                <c:rich>
                  <a:bodyPr/>
                  <a:lstStyle/>
                  <a:p>
                    <a:r>
                      <a:rPr lang="en-US"/>
                      <a:t>499,9</a:t>
                    </a:r>
                    <a:r>
                      <a:rPr lang="lv-LV"/>
                      <a:t>(85,6%);6,2%</a:t>
                    </a:r>
                    <a:endParaRPr lang="en-US"/>
                  </a:p>
                </c:rich>
              </c:tx>
              <c:showLegendKey val="0"/>
              <c:showVal val="1"/>
              <c:showCatName val="0"/>
              <c:showSerName val="0"/>
              <c:showPercent val="0"/>
              <c:showBubbleSize val="0"/>
            </c:dLbl>
            <c:numFmt formatCode="#,##0.0" sourceLinked="0"/>
            <c:txPr>
              <a:bodyPr/>
              <a:lstStyle/>
              <a:p>
                <a:pPr>
                  <a:defRPr sz="1000"/>
                </a:pPr>
                <a:endParaRPr lang="lv-LV"/>
              </a:p>
            </c:txPr>
            <c:showLegendKey val="0"/>
            <c:showVal val="1"/>
            <c:showCatName val="0"/>
            <c:showSerName val="0"/>
            <c:showPercent val="0"/>
            <c:showBubbleSize val="0"/>
            <c:showLeaderLines val="0"/>
          </c:dLbls>
          <c:cat>
            <c:strRef>
              <c:f>'2 DP'!$B$14:$B$18</c:f>
              <c:strCache>
                <c:ptCount val="5"/>
                <c:pt idx="0">
                  <c:v>Tehniskā palīdzība</c:v>
                </c:pt>
                <c:pt idx="1">
                  <c:v>Uzņēmējdarbības veicināšana</c:v>
                </c:pt>
                <c:pt idx="2">
                  <c:v>Finanšu pieejamība</c:v>
                </c:pt>
                <c:pt idx="3">
                  <c:v>Zinātne un inovācijas</c:v>
                </c:pt>
                <c:pt idx="4">
                  <c:v>DP "Uzņēmējdarbība un inovācijas" kopā</c:v>
                </c:pt>
              </c:strCache>
            </c:strRef>
          </c:cat>
          <c:val>
            <c:numRef>
              <c:f>'2 DP'!$D$14:$D$18</c:f>
              <c:numCache>
                <c:formatCode>#,##0_ ;\-#,##0\ </c:formatCode>
                <c:ptCount val="5"/>
                <c:pt idx="0">
                  <c:v>14831275.73</c:v>
                </c:pt>
                <c:pt idx="1">
                  <c:v>43076614.710000001</c:v>
                </c:pt>
                <c:pt idx="2">
                  <c:v>147494366</c:v>
                </c:pt>
                <c:pt idx="3">
                  <c:v>294503238.77999997</c:v>
                </c:pt>
                <c:pt idx="4">
                  <c:v>499905495.21999997</c:v>
                </c:pt>
              </c:numCache>
            </c:numRef>
          </c:val>
        </c:ser>
        <c:ser>
          <c:idx val="2"/>
          <c:order val="2"/>
          <c:tx>
            <c:strRef>
              <c:f>'2 DP'!$E$13</c:f>
              <c:strCache>
                <c:ptCount val="1"/>
                <c:pt idx="0">
                  <c:v>Apstiprināti projekti</c:v>
                </c:pt>
              </c:strCache>
            </c:strRef>
          </c:tx>
          <c:invertIfNegative val="0"/>
          <c:dLbls>
            <c:dLbl>
              <c:idx val="0"/>
              <c:layout/>
              <c:tx>
                <c:rich>
                  <a:bodyPr/>
                  <a:lstStyle/>
                  <a:p>
                    <a:r>
                      <a:rPr lang="en-US"/>
                      <a:t>14,8</a:t>
                    </a:r>
                    <a:r>
                      <a:rPr lang="lv-LV"/>
                      <a:t>(91,8%);-0,1%</a:t>
                    </a:r>
                    <a:endParaRPr lang="en-US"/>
                  </a:p>
                </c:rich>
              </c:tx>
              <c:showLegendKey val="0"/>
              <c:showVal val="1"/>
              <c:showCatName val="0"/>
              <c:showSerName val="0"/>
              <c:showPercent val="0"/>
              <c:showBubbleSize val="0"/>
            </c:dLbl>
            <c:dLbl>
              <c:idx val="1"/>
              <c:layout/>
              <c:tx>
                <c:rich>
                  <a:bodyPr/>
                  <a:lstStyle/>
                  <a:p>
                    <a:r>
                      <a:rPr lang="en-US"/>
                      <a:t>43,2</a:t>
                    </a:r>
                    <a:r>
                      <a:rPr lang="lv-LV"/>
                      <a:t>(66%);4%</a:t>
                    </a:r>
                    <a:endParaRPr lang="en-US"/>
                  </a:p>
                </c:rich>
              </c:tx>
              <c:showLegendKey val="0"/>
              <c:showVal val="1"/>
              <c:showCatName val="0"/>
              <c:showSerName val="0"/>
              <c:showPercent val="0"/>
              <c:showBubbleSize val="0"/>
            </c:dLbl>
            <c:dLbl>
              <c:idx val="2"/>
              <c:layout/>
              <c:tx>
                <c:rich>
                  <a:bodyPr/>
                  <a:lstStyle/>
                  <a:p>
                    <a:r>
                      <a:rPr lang="en-US" sz="1000"/>
                      <a:t>147,5</a:t>
                    </a:r>
                    <a:r>
                      <a:rPr lang="lv-LV" sz="1000" b="0" i="0" u="none" strike="noStrike" baseline="0">
                        <a:effectLst/>
                      </a:rPr>
                      <a:t>(100%);0%</a:t>
                    </a:r>
                    <a:endParaRPr lang="en-US"/>
                  </a:p>
                </c:rich>
              </c:tx>
              <c:showLegendKey val="0"/>
              <c:showVal val="1"/>
              <c:showCatName val="0"/>
              <c:showSerName val="0"/>
              <c:showPercent val="0"/>
              <c:showBubbleSize val="0"/>
            </c:dLbl>
            <c:dLbl>
              <c:idx val="3"/>
              <c:layout/>
              <c:tx>
                <c:rich>
                  <a:bodyPr/>
                  <a:lstStyle/>
                  <a:p>
                    <a:r>
                      <a:rPr lang="en-US"/>
                      <a:t>305,6</a:t>
                    </a:r>
                    <a:r>
                      <a:rPr lang="lv-LV"/>
                      <a:t>(86,1%);8,4%</a:t>
                    </a:r>
                    <a:endParaRPr lang="en-US"/>
                  </a:p>
                </c:rich>
              </c:tx>
              <c:showLegendKey val="0"/>
              <c:showVal val="1"/>
              <c:showCatName val="0"/>
              <c:showSerName val="0"/>
              <c:showPercent val="0"/>
              <c:showBubbleSize val="0"/>
            </c:dLbl>
            <c:dLbl>
              <c:idx val="4"/>
              <c:layout/>
              <c:tx>
                <c:rich>
                  <a:bodyPr/>
                  <a:lstStyle/>
                  <a:p>
                    <a:r>
                      <a:rPr lang="en-US" sz="1000"/>
                      <a:t>511,1</a:t>
                    </a:r>
                    <a:r>
                      <a:rPr lang="lv-LV" sz="1000"/>
                      <a:t>(87,5%);5,4%</a:t>
                    </a:r>
                    <a:endParaRPr lang="en-US"/>
                  </a:p>
                </c:rich>
              </c:tx>
              <c:showLegendKey val="0"/>
              <c:showVal val="1"/>
              <c:showCatName val="0"/>
              <c:showSerName val="0"/>
              <c:showPercent val="0"/>
              <c:showBubbleSize val="0"/>
            </c:dLbl>
            <c:numFmt formatCode="#,##0.0" sourceLinked="0"/>
            <c:txPr>
              <a:bodyPr/>
              <a:lstStyle/>
              <a:p>
                <a:pPr>
                  <a:defRPr sz="1000"/>
                </a:pPr>
                <a:endParaRPr lang="lv-LV"/>
              </a:p>
            </c:txPr>
            <c:showLegendKey val="0"/>
            <c:showVal val="1"/>
            <c:showCatName val="0"/>
            <c:showSerName val="0"/>
            <c:showPercent val="0"/>
            <c:showBubbleSize val="0"/>
            <c:showLeaderLines val="0"/>
          </c:dLbls>
          <c:cat>
            <c:strRef>
              <c:f>'2 DP'!$B$14:$B$18</c:f>
              <c:strCache>
                <c:ptCount val="5"/>
                <c:pt idx="0">
                  <c:v>Tehniskā palīdzība</c:v>
                </c:pt>
                <c:pt idx="1">
                  <c:v>Uzņēmējdarbības veicināšana</c:v>
                </c:pt>
                <c:pt idx="2">
                  <c:v>Finanšu pieejamība</c:v>
                </c:pt>
                <c:pt idx="3">
                  <c:v>Zinātne un inovācijas</c:v>
                </c:pt>
                <c:pt idx="4">
                  <c:v>DP "Uzņēmējdarbība un inovācijas" kopā</c:v>
                </c:pt>
              </c:strCache>
            </c:strRef>
          </c:cat>
          <c:val>
            <c:numRef>
              <c:f>'2 DP'!$E$14:$E$18</c:f>
              <c:numCache>
                <c:formatCode>#,##0_ ;\-#,##0\ </c:formatCode>
                <c:ptCount val="5"/>
                <c:pt idx="0">
                  <c:v>14831275.73</c:v>
                </c:pt>
                <c:pt idx="1">
                  <c:v>43191751.520000003</c:v>
                </c:pt>
                <c:pt idx="2">
                  <c:v>147494366</c:v>
                </c:pt>
                <c:pt idx="3">
                  <c:v>305591258.38999999</c:v>
                </c:pt>
                <c:pt idx="4">
                  <c:v>511108651.63999999</c:v>
                </c:pt>
              </c:numCache>
            </c:numRef>
          </c:val>
        </c:ser>
        <c:ser>
          <c:idx val="3"/>
          <c:order val="3"/>
          <c:tx>
            <c:strRef>
              <c:f>'2 DP'!$F$13</c:f>
              <c:strCache>
                <c:ptCount val="1"/>
                <c:pt idx="0">
                  <c:v>Kopā pieejamais publiskais finansējums (ieskaitot virssaistības)</c:v>
                </c:pt>
              </c:strCache>
            </c:strRef>
          </c:tx>
          <c:invertIfNegative val="0"/>
          <c:dLbls>
            <c:dLbl>
              <c:idx val="0"/>
              <c:layout/>
              <c:tx>
                <c:rich>
                  <a:bodyPr/>
                  <a:lstStyle/>
                  <a:p>
                    <a:r>
                      <a:rPr lang="en-US" sz="1000"/>
                      <a:t>16,2</a:t>
                    </a:r>
                    <a:r>
                      <a:rPr lang="lv-LV" sz="1000" b="0" i="0" u="none" strike="noStrike" baseline="0">
                        <a:effectLst/>
                      </a:rPr>
                      <a:t>(100%)</a:t>
                    </a:r>
                    <a:endParaRPr lang="en-US"/>
                  </a:p>
                </c:rich>
              </c:tx>
              <c:showLegendKey val="0"/>
              <c:showVal val="1"/>
              <c:showCatName val="0"/>
              <c:showSerName val="0"/>
              <c:showPercent val="0"/>
              <c:showBubbleSize val="0"/>
            </c:dLbl>
            <c:dLbl>
              <c:idx val="1"/>
              <c:layout/>
              <c:tx>
                <c:rich>
                  <a:bodyPr/>
                  <a:lstStyle/>
                  <a:p>
                    <a:r>
                      <a:rPr lang="en-US" sz="1000"/>
                      <a:t>65,4</a:t>
                    </a:r>
                    <a:r>
                      <a:rPr lang="lv-LV" sz="1000" b="0" i="0" u="none" strike="noStrike" baseline="0">
                        <a:effectLst/>
                      </a:rPr>
                      <a:t>(100%)</a:t>
                    </a:r>
                    <a:endParaRPr lang="en-US"/>
                  </a:p>
                </c:rich>
              </c:tx>
              <c:showLegendKey val="0"/>
              <c:showVal val="1"/>
              <c:showCatName val="0"/>
              <c:showSerName val="0"/>
              <c:showPercent val="0"/>
              <c:showBubbleSize val="0"/>
            </c:dLbl>
            <c:dLbl>
              <c:idx val="2"/>
              <c:layout/>
              <c:tx>
                <c:rich>
                  <a:bodyPr/>
                  <a:lstStyle/>
                  <a:p>
                    <a:r>
                      <a:rPr lang="en-US" sz="1000"/>
                      <a:t>147,5</a:t>
                    </a:r>
                    <a:r>
                      <a:rPr lang="lv-LV" sz="1000" b="0" i="0" u="none" strike="noStrike" baseline="0">
                        <a:effectLst/>
                      </a:rPr>
                      <a:t>(100%)</a:t>
                    </a:r>
                    <a:endParaRPr lang="en-US"/>
                  </a:p>
                </c:rich>
              </c:tx>
              <c:showLegendKey val="0"/>
              <c:showVal val="1"/>
              <c:showCatName val="0"/>
              <c:showSerName val="0"/>
              <c:showPercent val="0"/>
              <c:showBubbleSize val="0"/>
            </c:dLbl>
            <c:dLbl>
              <c:idx val="3"/>
              <c:layout/>
              <c:tx>
                <c:rich>
                  <a:bodyPr/>
                  <a:lstStyle/>
                  <a:p>
                    <a:r>
                      <a:rPr lang="en-US" sz="1000"/>
                      <a:t>355,1</a:t>
                    </a:r>
                    <a:r>
                      <a:rPr lang="lv-LV" sz="1000"/>
                      <a:t>(100%)</a:t>
                    </a:r>
                    <a:endParaRPr lang="en-US"/>
                  </a:p>
                </c:rich>
              </c:tx>
              <c:showLegendKey val="0"/>
              <c:showVal val="1"/>
              <c:showCatName val="0"/>
              <c:showSerName val="0"/>
              <c:showPercent val="0"/>
              <c:showBubbleSize val="0"/>
            </c:dLbl>
            <c:dLbl>
              <c:idx val="4"/>
              <c:layout/>
              <c:tx>
                <c:rich>
                  <a:bodyPr/>
                  <a:lstStyle/>
                  <a:p>
                    <a:r>
                      <a:rPr lang="en-US" sz="1000"/>
                      <a:t>584,2</a:t>
                    </a:r>
                    <a:r>
                      <a:rPr lang="lv-LV" sz="1000"/>
                      <a:t> (100%)</a:t>
                    </a:r>
                    <a:endParaRPr lang="en-US"/>
                  </a:p>
                </c:rich>
              </c:tx>
              <c:showLegendKey val="0"/>
              <c:showVal val="1"/>
              <c:showCatName val="0"/>
              <c:showSerName val="0"/>
              <c:showPercent val="0"/>
              <c:showBubbleSize val="0"/>
            </c:dLbl>
            <c:numFmt formatCode="#,##0.0" sourceLinked="0"/>
            <c:txPr>
              <a:bodyPr/>
              <a:lstStyle/>
              <a:p>
                <a:pPr>
                  <a:defRPr sz="1000"/>
                </a:pPr>
                <a:endParaRPr lang="lv-LV"/>
              </a:p>
            </c:txPr>
            <c:showLegendKey val="0"/>
            <c:showVal val="1"/>
            <c:showCatName val="0"/>
            <c:showSerName val="0"/>
            <c:showPercent val="0"/>
            <c:showBubbleSize val="0"/>
            <c:showLeaderLines val="0"/>
          </c:dLbls>
          <c:cat>
            <c:strRef>
              <c:f>'2 DP'!$B$14:$B$18</c:f>
              <c:strCache>
                <c:ptCount val="5"/>
                <c:pt idx="0">
                  <c:v>Tehniskā palīdzība</c:v>
                </c:pt>
                <c:pt idx="1">
                  <c:v>Uzņēmējdarbības veicināšana</c:v>
                </c:pt>
                <c:pt idx="2">
                  <c:v>Finanšu pieejamība</c:v>
                </c:pt>
                <c:pt idx="3">
                  <c:v>Zinātne un inovācijas</c:v>
                </c:pt>
                <c:pt idx="4">
                  <c:v>DP "Uzņēmējdarbība un inovācijas" kopā</c:v>
                </c:pt>
              </c:strCache>
            </c:strRef>
          </c:cat>
          <c:val>
            <c:numRef>
              <c:f>'2 DP'!$F$14:$F$18</c:f>
              <c:numCache>
                <c:formatCode>#,##0_ ;\-#,##0\ </c:formatCode>
                <c:ptCount val="5"/>
                <c:pt idx="0">
                  <c:v>16153989.300000001</c:v>
                </c:pt>
                <c:pt idx="1">
                  <c:v>65433653.119999997</c:v>
                </c:pt>
                <c:pt idx="2">
                  <c:v>147494366.30000001</c:v>
                </c:pt>
                <c:pt idx="3">
                  <c:v>355115772.39999998</c:v>
                </c:pt>
                <c:pt idx="4">
                  <c:v>584197781.12</c:v>
                </c:pt>
              </c:numCache>
            </c:numRef>
          </c:val>
        </c:ser>
        <c:dLbls>
          <c:showLegendKey val="0"/>
          <c:showVal val="0"/>
          <c:showCatName val="0"/>
          <c:showSerName val="0"/>
          <c:showPercent val="0"/>
          <c:showBubbleSize val="0"/>
        </c:dLbls>
        <c:gapWidth val="150"/>
        <c:shape val="box"/>
        <c:axId val="97217536"/>
        <c:axId val="97248000"/>
        <c:axId val="0"/>
      </c:bar3DChart>
      <c:catAx>
        <c:axId val="97217536"/>
        <c:scaling>
          <c:orientation val="minMax"/>
        </c:scaling>
        <c:delete val="0"/>
        <c:axPos val="l"/>
        <c:majorTickMark val="out"/>
        <c:minorTickMark val="none"/>
        <c:tickLblPos val="nextTo"/>
        <c:crossAx val="97248000"/>
        <c:crosses val="autoZero"/>
        <c:auto val="1"/>
        <c:lblAlgn val="ctr"/>
        <c:lblOffset val="100"/>
        <c:noMultiLvlLbl val="0"/>
      </c:catAx>
      <c:valAx>
        <c:axId val="97248000"/>
        <c:scaling>
          <c:orientation val="minMax"/>
        </c:scaling>
        <c:delete val="0"/>
        <c:axPos val="b"/>
        <c:majorGridlines/>
        <c:numFmt formatCode="#,##0_ ;\-#,##0\ " sourceLinked="1"/>
        <c:majorTickMark val="out"/>
        <c:minorTickMark val="none"/>
        <c:tickLblPos val="nextTo"/>
        <c:crossAx val="97217536"/>
        <c:crosses val="autoZero"/>
        <c:crossBetween val="between"/>
        <c:dispUnits>
          <c:builtInUnit val="millions"/>
        </c:dispUnits>
      </c:valAx>
    </c:plotArea>
    <c:legend>
      <c:legendPos val="b"/>
      <c:layout>
        <c:manualLayout>
          <c:xMode val="edge"/>
          <c:yMode val="edge"/>
          <c:x val="0"/>
          <c:y val="0.83154637928323472"/>
          <c:w val="0.99419663167104111"/>
          <c:h val="0.15002044099326295"/>
        </c:manualLayout>
      </c:layout>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46C1-26F4-4041-898F-B42D3BB9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92</Pages>
  <Words>138075</Words>
  <Characters>78704</Characters>
  <Application>Microsoft Office Word</Application>
  <DocSecurity>0</DocSecurity>
  <Lines>655</Lines>
  <Paragraphs>432</Paragraphs>
  <ScaleCrop>false</ScaleCrop>
  <HeadingPairs>
    <vt:vector size="2" baseType="variant">
      <vt:variant>
        <vt:lpstr>Title</vt:lpstr>
      </vt:variant>
      <vt:variant>
        <vt:i4>1</vt:i4>
      </vt:variant>
    </vt:vector>
  </HeadingPairs>
  <TitlesOfParts>
    <vt:vector size="1" baseType="lpstr">
      <vt:lpstr>Informatīvais ziņojums par Eiropas Savienības struktūrfondu un Kohēzijas fonda, Eiropas Ekonomikas zonas finanšu instrumenta, Norvēģijas finanšu instrumenta un Latvijas un Šveices sadarbības programmas apguvi līdz 2012.gada 30.jūnijam</vt:lpstr>
    </vt:vector>
  </TitlesOfParts>
  <Company>Finanšu ministrija</Company>
  <LinksUpToDate>false</LinksUpToDate>
  <CharactersWithSpaces>216347</CharactersWithSpaces>
  <SharedDoc>false</SharedDoc>
  <HLinks>
    <vt:vector size="228" baseType="variant">
      <vt:variant>
        <vt:i4>1507377</vt:i4>
      </vt:variant>
      <vt:variant>
        <vt:i4>200</vt:i4>
      </vt:variant>
      <vt:variant>
        <vt:i4>0</vt:i4>
      </vt:variant>
      <vt:variant>
        <vt:i4>5</vt:i4>
      </vt:variant>
      <vt:variant>
        <vt:lpwstr/>
      </vt:variant>
      <vt:variant>
        <vt:lpwstr>_Toc317146161</vt:lpwstr>
      </vt:variant>
      <vt:variant>
        <vt:i4>1507377</vt:i4>
      </vt:variant>
      <vt:variant>
        <vt:i4>194</vt:i4>
      </vt:variant>
      <vt:variant>
        <vt:i4>0</vt:i4>
      </vt:variant>
      <vt:variant>
        <vt:i4>5</vt:i4>
      </vt:variant>
      <vt:variant>
        <vt:lpwstr/>
      </vt:variant>
      <vt:variant>
        <vt:lpwstr>_Toc317146160</vt:lpwstr>
      </vt:variant>
      <vt:variant>
        <vt:i4>1310769</vt:i4>
      </vt:variant>
      <vt:variant>
        <vt:i4>188</vt:i4>
      </vt:variant>
      <vt:variant>
        <vt:i4>0</vt:i4>
      </vt:variant>
      <vt:variant>
        <vt:i4>5</vt:i4>
      </vt:variant>
      <vt:variant>
        <vt:lpwstr/>
      </vt:variant>
      <vt:variant>
        <vt:lpwstr>_Toc317146159</vt:lpwstr>
      </vt:variant>
      <vt:variant>
        <vt:i4>1310769</vt:i4>
      </vt:variant>
      <vt:variant>
        <vt:i4>182</vt:i4>
      </vt:variant>
      <vt:variant>
        <vt:i4>0</vt:i4>
      </vt:variant>
      <vt:variant>
        <vt:i4>5</vt:i4>
      </vt:variant>
      <vt:variant>
        <vt:lpwstr/>
      </vt:variant>
      <vt:variant>
        <vt:lpwstr>_Toc317146158</vt:lpwstr>
      </vt:variant>
      <vt:variant>
        <vt:i4>1310769</vt:i4>
      </vt:variant>
      <vt:variant>
        <vt:i4>176</vt:i4>
      </vt:variant>
      <vt:variant>
        <vt:i4>0</vt:i4>
      </vt:variant>
      <vt:variant>
        <vt:i4>5</vt:i4>
      </vt:variant>
      <vt:variant>
        <vt:lpwstr/>
      </vt:variant>
      <vt:variant>
        <vt:lpwstr>_Toc317146157</vt:lpwstr>
      </vt:variant>
      <vt:variant>
        <vt:i4>1310769</vt:i4>
      </vt:variant>
      <vt:variant>
        <vt:i4>170</vt:i4>
      </vt:variant>
      <vt:variant>
        <vt:i4>0</vt:i4>
      </vt:variant>
      <vt:variant>
        <vt:i4>5</vt:i4>
      </vt:variant>
      <vt:variant>
        <vt:lpwstr/>
      </vt:variant>
      <vt:variant>
        <vt:lpwstr>_Toc317146156</vt:lpwstr>
      </vt:variant>
      <vt:variant>
        <vt:i4>1310769</vt:i4>
      </vt:variant>
      <vt:variant>
        <vt:i4>164</vt:i4>
      </vt:variant>
      <vt:variant>
        <vt:i4>0</vt:i4>
      </vt:variant>
      <vt:variant>
        <vt:i4>5</vt:i4>
      </vt:variant>
      <vt:variant>
        <vt:lpwstr/>
      </vt:variant>
      <vt:variant>
        <vt:lpwstr>_Toc317146155</vt:lpwstr>
      </vt:variant>
      <vt:variant>
        <vt:i4>1310769</vt:i4>
      </vt:variant>
      <vt:variant>
        <vt:i4>158</vt:i4>
      </vt:variant>
      <vt:variant>
        <vt:i4>0</vt:i4>
      </vt:variant>
      <vt:variant>
        <vt:i4>5</vt:i4>
      </vt:variant>
      <vt:variant>
        <vt:lpwstr/>
      </vt:variant>
      <vt:variant>
        <vt:lpwstr>_Toc317146154</vt:lpwstr>
      </vt:variant>
      <vt:variant>
        <vt:i4>1310769</vt:i4>
      </vt:variant>
      <vt:variant>
        <vt:i4>152</vt:i4>
      </vt:variant>
      <vt:variant>
        <vt:i4>0</vt:i4>
      </vt:variant>
      <vt:variant>
        <vt:i4>5</vt:i4>
      </vt:variant>
      <vt:variant>
        <vt:lpwstr/>
      </vt:variant>
      <vt:variant>
        <vt:lpwstr>_Toc317146153</vt:lpwstr>
      </vt:variant>
      <vt:variant>
        <vt:i4>1310769</vt:i4>
      </vt:variant>
      <vt:variant>
        <vt:i4>146</vt:i4>
      </vt:variant>
      <vt:variant>
        <vt:i4>0</vt:i4>
      </vt:variant>
      <vt:variant>
        <vt:i4>5</vt:i4>
      </vt:variant>
      <vt:variant>
        <vt:lpwstr/>
      </vt:variant>
      <vt:variant>
        <vt:lpwstr>_Toc317146152</vt:lpwstr>
      </vt:variant>
      <vt:variant>
        <vt:i4>1310769</vt:i4>
      </vt:variant>
      <vt:variant>
        <vt:i4>140</vt:i4>
      </vt:variant>
      <vt:variant>
        <vt:i4>0</vt:i4>
      </vt:variant>
      <vt:variant>
        <vt:i4>5</vt:i4>
      </vt:variant>
      <vt:variant>
        <vt:lpwstr/>
      </vt:variant>
      <vt:variant>
        <vt:lpwstr>_Toc317146151</vt:lpwstr>
      </vt:variant>
      <vt:variant>
        <vt:i4>1310769</vt:i4>
      </vt:variant>
      <vt:variant>
        <vt:i4>134</vt:i4>
      </vt:variant>
      <vt:variant>
        <vt:i4>0</vt:i4>
      </vt:variant>
      <vt:variant>
        <vt:i4>5</vt:i4>
      </vt:variant>
      <vt:variant>
        <vt:lpwstr/>
      </vt:variant>
      <vt:variant>
        <vt:lpwstr>_Toc317146150</vt:lpwstr>
      </vt:variant>
      <vt:variant>
        <vt:i4>1376305</vt:i4>
      </vt:variant>
      <vt:variant>
        <vt:i4>128</vt:i4>
      </vt:variant>
      <vt:variant>
        <vt:i4>0</vt:i4>
      </vt:variant>
      <vt:variant>
        <vt:i4>5</vt:i4>
      </vt:variant>
      <vt:variant>
        <vt:lpwstr/>
      </vt:variant>
      <vt:variant>
        <vt:lpwstr>_Toc317146149</vt:lpwstr>
      </vt:variant>
      <vt:variant>
        <vt:i4>1376305</vt:i4>
      </vt:variant>
      <vt:variant>
        <vt:i4>122</vt:i4>
      </vt:variant>
      <vt:variant>
        <vt:i4>0</vt:i4>
      </vt:variant>
      <vt:variant>
        <vt:i4>5</vt:i4>
      </vt:variant>
      <vt:variant>
        <vt:lpwstr/>
      </vt:variant>
      <vt:variant>
        <vt:lpwstr>_Toc317146148</vt:lpwstr>
      </vt:variant>
      <vt:variant>
        <vt:i4>1376305</vt:i4>
      </vt:variant>
      <vt:variant>
        <vt:i4>116</vt:i4>
      </vt:variant>
      <vt:variant>
        <vt:i4>0</vt:i4>
      </vt:variant>
      <vt:variant>
        <vt:i4>5</vt:i4>
      </vt:variant>
      <vt:variant>
        <vt:lpwstr/>
      </vt:variant>
      <vt:variant>
        <vt:lpwstr>_Toc317146147</vt:lpwstr>
      </vt:variant>
      <vt:variant>
        <vt:i4>1376305</vt:i4>
      </vt:variant>
      <vt:variant>
        <vt:i4>110</vt:i4>
      </vt:variant>
      <vt:variant>
        <vt:i4>0</vt:i4>
      </vt:variant>
      <vt:variant>
        <vt:i4>5</vt:i4>
      </vt:variant>
      <vt:variant>
        <vt:lpwstr/>
      </vt:variant>
      <vt:variant>
        <vt:lpwstr>_Toc317146146</vt:lpwstr>
      </vt:variant>
      <vt:variant>
        <vt:i4>1376305</vt:i4>
      </vt:variant>
      <vt:variant>
        <vt:i4>104</vt:i4>
      </vt:variant>
      <vt:variant>
        <vt:i4>0</vt:i4>
      </vt:variant>
      <vt:variant>
        <vt:i4>5</vt:i4>
      </vt:variant>
      <vt:variant>
        <vt:lpwstr/>
      </vt:variant>
      <vt:variant>
        <vt:lpwstr>_Toc317146145</vt:lpwstr>
      </vt:variant>
      <vt:variant>
        <vt:i4>1376305</vt:i4>
      </vt:variant>
      <vt:variant>
        <vt:i4>98</vt:i4>
      </vt:variant>
      <vt:variant>
        <vt:i4>0</vt:i4>
      </vt:variant>
      <vt:variant>
        <vt:i4>5</vt:i4>
      </vt:variant>
      <vt:variant>
        <vt:lpwstr/>
      </vt:variant>
      <vt:variant>
        <vt:lpwstr>_Toc317146144</vt:lpwstr>
      </vt:variant>
      <vt:variant>
        <vt:i4>1376305</vt:i4>
      </vt:variant>
      <vt:variant>
        <vt:i4>92</vt:i4>
      </vt:variant>
      <vt:variant>
        <vt:i4>0</vt:i4>
      </vt:variant>
      <vt:variant>
        <vt:i4>5</vt:i4>
      </vt:variant>
      <vt:variant>
        <vt:lpwstr/>
      </vt:variant>
      <vt:variant>
        <vt:lpwstr>_Toc317146143</vt:lpwstr>
      </vt:variant>
      <vt:variant>
        <vt:i4>1376305</vt:i4>
      </vt:variant>
      <vt:variant>
        <vt:i4>86</vt:i4>
      </vt:variant>
      <vt:variant>
        <vt:i4>0</vt:i4>
      </vt:variant>
      <vt:variant>
        <vt:i4>5</vt:i4>
      </vt:variant>
      <vt:variant>
        <vt:lpwstr/>
      </vt:variant>
      <vt:variant>
        <vt:lpwstr>_Toc317146142</vt:lpwstr>
      </vt:variant>
      <vt:variant>
        <vt:i4>1376305</vt:i4>
      </vt:variant>
      <vt:variant>
        <vt:i4>80</vt:i4>
      </vt:variant>
      <vt:variant>
        <vt:i4>0</vt:i4>
      </vt:variant>
      <vt:variant>
        <vt:i4>5</vt:i4>
      </vt:variant>
      <vt:variant>
        <vt:lpwstr/>
      </vt:variant>
      <vt:variant>
        <vt:lpwstr>_Toc317146141</vt:lpwstr>
      </vt:variant>
      <vt:variant>
        <vt:i4>1376305</vt:i4>
      </vt:variant>
      <vt:variant>
        <vt:i4>74</vt:i4>
      </vt:variant>
      <vt:variant>
        <vt:i4>0</vt:i4>
      </vt:variant>
      <vt:variant>
        <vt:i4>5</vt:i4>
      </vt:variant>
      <vt:variant>
        <vt:lpwstr/>
      </vt:variant>
      <vt:variant>
        <vt:lpwstr>_Toc317146140</vt:lpwstr>
      </vt:variant>
      <vt:variant>
        <vt:i4>1179697</vt:i4>
      </vt:variant>
      <vt:variant>
        <vt:i4>68</vt:i4>
      </vt:variant>
      <vt:variant>
        <vt:i4>0</vt:i4>
      </vt:variant>
      <vt:variant>
        <vt:i4>5</vt:i4>
      </vt:variant>
      <vt:variant>
        <vt:lpwstr/>
      </vt:variant>
      <vt:variant>
        <vt:lpwstr>_Toc317146139</vt:lpwstr>
      </vt:variant>
      <vt:variant>
        <vt:i4>1179697</vt:i4>
      </vt:variant>
      <vt:variant>
        <vt:i4>62</vt:i4>
      </vt:variant>
      <vt:variant>
        <vt:i4>0</vt:i4>
      </vt:variant>
      <vt:variant>
        <vt:i4>5</vt:i4>
      </vt:variant>
      <vt:variant>
        <vt:lpwstr/>
      </vt:variant>
      <vt:variant>
        <vt:lpwstr>_Toc317146138</vt:lpwstr>
      </vt:variant>
      <vt:variant>
        <vt:i4>1179697</vt:i4>
      </vt:variant>
      <vt:variant>
        <vt:i4>56</vt:i4>
      </vt:variant>
      <vt:variant>
        <vt:i4>0</vt:i4>
      </vt:variant>
      <vt:variant>
        <vt:i4>5</vt:i4>
      </vt:variant>
      <vt:variant>
        <vt:lpwstr/>
      </vt:variant>
      <vt:variant>
        <vt:lpwstr>_Toc317146137</vt:lpwstr>
      </vt:variant>
      <vt:variant>
        <vt:i4>1179697</vt:i4>
      </vt:variant>
      <vt:variant>
        <vt:i4>50</vt:i4>
      </vt:variant>
      <vt:variant>
        <vt:i4>0</vt:i4>
      </vt:variant>
      <vt:variant>
        <vt:i4>5</vt:i4>
      </vt:variant>
      <vt:variant>
        <vt:lpwstr/>
      </vt:variant>
      <vt:variant>
        <vt:lpwstr>_Toc317146136</vt:lpwstr>
      </vt:variant>
      <vt:variant>
        <vt:i4>1179697</vt:i4>
      </vt:variant>
      <vt:variant>
        <vt:i4>44</vt:i4>
      </vt:variant>
      <vt:variant>
        <vt:i4>0</vt:i4>
      </vt:variant>
      <vt:variant>
        <vt:i4>5</vt:i4>
      </vt:variant>
      <vt:variant>
        <vt:lpwstr/>
      </vt:variant>
      <vt:variant>
        <vt:lpwstr>_Toc317146135</vt:lpwstr>
      </vt:variant>
      <vt:variant>
        <vt:i4>1179697</vt:i4>
      </vt:variant>
      <vt:variant>
        <vt:i4>38</vt:i4>
      </vt:variant>
      <vt:variant>
        <vt:i4>0</vt:i4>
      </vt:variant>
      <vt:variant>
        <vt:i4>5</vt:i4>
      </vt:variant>
      <vt:variant>
        <vt:lpwstr/>
      </vt:variant>
      <vt:variant>
        <vt:lpwstr>_Toc317146134</vt:lpwstr>
      </vt:variant>
      <vt:variant>
        <vt:i4>1179697</vt:i4>
      </vt:variant>
      <vt:variant>
        <vt:i4>32</vt:i4>
      </vt:variant>
      <vt:variant>
        <vt:i4>0</vt:i4>
      </vt:variant>
      <vt:variant>
        <vt:i4>5</vt:i4>
      </vt:variant>
      <vt:variant>
        <vt:lpwstr/>
      </vt:variant>
      <vt:variant>
        <vt:lpwstr>_Toc317146133</vt:lpwstr>
      </vt:variant>
      <vt:variant>
        <vt:i4>1179697</vt:i4>
      </vt:variant>
      <vt:variant>
        <vt:i4>26</vt:i4>
      </vt:variant>
      <vt:variant>
        <vt:i4>0</vt:i4>
      </vt:variant>
      <vt:variant>
        <vt:i4>5</vt:i4>
      </vt:variant>
      <vt:variant>
        <vt:lpwstr/>
      </vt:variant>
      <vt:variant>
        <vt:lpwstr>_Toc317146132</vt:lpwstr>
      </vt:variant>
      <vt:variant>
        <vt:i4>1179697</vt:i4>
      </vt:variant>
      <vt:variant>
        <vt:i4>20</vt:i4>
      </vt:variant>
      <vt:variant>
        <vt:i4>0</vt:i4>
      </vt:variant>
      <vt:variant>
        <vt:i4>5</vt:i4>
      </vt:variant>
      <vt:variant>
        <vt:lpwstr/>
      </vt:variant>
      <vt:variant>
        <vt:lpwstr>_Toc317146131</vt:lpwstr>
      </vt:variant>
      <vt:variant>
        <vt:i4>1179697</vt:i4>
      </vt:variant>
      <vt:variant>
        <vt:i4>14</vt:i4>
      </vt:variant>
      <vt:variant>
        <vt:i4>0</vt:i4>
      </vt:variant>
      <vt:variant>
        <vt:i4>5</vt:i4>
      </vt:variant>
      <vt:variant>
        <vt:lpwstr/>
      </vt:variant>
      <vt:variant>
        <vt:lpwstr>_Toc317146130</vt:lpwstr>
      </vt:variant>
      <vt:variant>
        <vt:i4>1245233</vt:i4>
      </vt:variant>
      <vt:variant>
        <vt:i4>8</vt:i4>
      </vt:variant>
      <vt:variant>
        <vt:i4>0</vt:i4>
      </vt:variant>
      <vt:variant>
        <vt:i4>5</vt:i4>
      </vt:variant>
      <vt:variant>
        <vt:lpwstr/>
      </vt:variant>
      <vt:variant>
        <vt:lpwstr>_Toc317146129</vt:lpwstr>
      </vt:variant>
      <vt:variant>
        <vt:i4>1245233</vt:i4>
      </vt:variant>
      <vt:variant>
        <vt:i4>2</vt:i4>
      </vt:variant>
      <vt:variant>
        <vt:i4>0</vt:i4>
      </vt:variant>
      <vt:variant>
        <vt:i4>5</vt:i4>
      </vt:variant>
      <vt:variant>
        <vt:lpwstr/>
      </vt:variant>
      <vt:variant>
        <vt:lpwstr>_Toc317146128</vt:lpwstr>
      </vt:variant>
      <vt:variant>
        <vt:i4>7602252</vt:i4>
      </vt:variant>
      <vt:variant>
        <vt:i4>-1</vt:i4>
      </vt:variant>
      <vt:variant>
        <vt:i4>1027</vt:i4>
      </vt:variant>
      <vt:variant>
        <vt:i4>1</vt:i4>
      </vt:variant>
      <vt:variant>
        <vt:lpwstr>cid:image009.jpg@01CBC3A8.FD1A1C60</vt:lpwstr>
      </vt:variant>
      <vt:variant>
        <vt:lpwstr/>
      </vt:variant>
      <vt:variant>
        <vt:i4>8061004</vt:i4>
      </vt:variant>
      <vt:variant>
        <vt:i4>-1</vt:i4>
      </vt:variant>
      <vt:variant>
        <vt:i4>1029</vt:i4>
      </vt:variant>
      <vt:variant>
        <vt:i4>1</vt:i4>
      </vt:variant>
      <vt:variant>
        <vt:lpwstr>cid:image006.jpg@01CBC3A8.FD1A1C60</vt:lpwstr>
      </vt:variant>
      <vt:variant>
        <vt:lpwstr/>
      </vt:variant>
      <vt:variant>
        <vt:i4>8192077</vt:i4>
      </vt:variant>
      <vt:variant>
        <vt:i4>-1</vt:i4>
      </vt:variant>
      <vt:variant>
        <vt:i4>1028</vt:i4>
      </vt:variant>
      <vt:variant>
        <vt:i4>1</vt:i4>
      </vt:variant>
      <vt:variant>
        <vt:lpwstr>cid:image010.jpg@01CBC3A8.FD1A1C60</vt:lpwstr>
      </vt:variant>
      <vt:variant>
        <vt:lpwstr/>
      </vt:variant>
      <vt:variant>
        <vt:i4>6684755</vt:i4>
      </vt:variant>
      <vt:variant>
        <vt:i4>-1</vt:i4>
      </vt:variant>
      <vt:variant>
        <vt:i4>1026</vt:i4>
      </vt:variant>
      <vt:variant>
        <vt:i4>1</vt:i4>
      </vt:variant>
      <vt:variant>
        <vt:lpwstr>cid:image011.png@01CBC3A8.FD1A1C60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struktūrfondu un Kohēzijas fonda, Eiropas Ekonomikas zonas finanšu instrumenta, Norvēģijas finanšu instrumenta un Latvijas un Šveices sadarbības programmas apguvi līdz 2012.gada 30.jūnijam</dc:title>
  <dc:subject>Informatīvais ziņojums par Eiropas Savienības struktūrfondu un Kohēzijas fonda, Eiropas Ekonomikas zonas finanšu instrumenta, Norvēģijas finanšu instrumenta un Latvijas un Šveices sadarbības programmas apguvi līdz 2012.gada 30.jūnijam</dc:subject>
  <dc:creator>Sintija Laugale - Volbaka</dc:creator>
  <dc:description>Sintija Laugale - Volbaka
Finanšu ministrijas Eiropas Savienības fondu uzraudzības departamenta
Uzņēmējdarbības un inovāciju uzraudzības nodaļas eksperte
Tālr. 67083964, fakss 67095697</dc:description>
  <cp:lastModifiedBy>Sintija Laugale - Volbaka</cp:lastModifiedBy>
  <cp:revision>108</cp:revision>
  <cp:lastPrinted>2012-11-13T13:39:00Z</cp:lastPrinted>
  <dcterms:created xsi:type="dcterms:W3CDTF">2012-11-02T06:56:00Z</dcterms:created>
  <dcterms:modified xsi:type="dcterms:W3CDTF">2012-11-20T07:26:00Z</dcterms:modified>
</cp:coreProperties>
</file>