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A" w:rsidRPr="00E97AAA" w:rsidRDefault="0058245E" w:rsidP="00973FFB">
      <w:pPr>
        <w:tabs>
          <w:tab w:val="left" w:pos="3686"/>
        </w:tabs>
        <w:ind w:left="3686"/>
        <w:rPr>
          <w:b/>
          <w:bCs/>
          <w:color w:val="000000"/>
          <w:sz w:val="18"/>
          <w:lang w:eastAsia="lv-LV"/>
        </w:rPr>
      </w:pPr>
      <w:r>
        <w:rPr>
          <w:b/>
          <w:bCs/>
          <w:color w:val="000000"/>
          <w:sz w:val="18"/>
          <w:lang w:eastAsia="lv-LV"/>
        </w:rPr>
        <w:t>7</w:t>
      </w:r>
      <w:bookmarkStart w:id="0" w:name="_GoBack"/>
      <w:bookmarkEnd w:id="0"/>
      <w:r w:rsidR="00E93E3A" w:rsidRPr="00E97AAA">
        <w:rPr>
          <w:b/>
          <w:bCs/>
          <w:color w:val="000000"/>
          <w:sz w:val="18"/>
          <w:lang w:eastAsia="lv-LV"/>
        </w:rPr>
        <w:t>.pielikums informatīvajam ziņojumam par Eiropas Savienības struktūrfondu un Kohēzijas fonda, Eiropas Ekonomikas zonas finanšu instrumenta,  Norvēģijas finanšu instrumenta un Latvijas–Šveices sadarbības programmas apguvi līdz 201</w:t>
      </w:r>
      <w:r w:rsidR="0038792A" w:rsidRPr="00E97AAA">
        <w:rPr>
          <w:b/>
          <w:bCs/>
          <w:color w:val="000000"/>
          <w:sz w:val="18"/>
          <w:lang w:eastAsia="lv-LV"/>
        </w:rPr>
        <w:t>2</w:t>
      </w:r>
      <w:r w:rsidR="00E93E3A" w:rsidRPr="00E97AAA">
        <w:rPr>
          <w:b/>
          <w:bCs/>
          <w:color w:val="000000"/>
          <w:sz w:val="18"/>
          <w:lang w:eastAsia="lv-LV"/>
        </w:rPr>
        <w:t xml:space="preserve">.gada </w:t>
      </w:r>
      <w:r w:rsidR="0077696A" w:rsidRPr="00E97AAA">
        <w:rPr>
          <w:b/>
          <w:bCs/>
          <w:color w:val="000000"/>
          <w:sz w:val="18"/>
          <w:lang w:eastAsia="lv-LV"/>
        </w:rPr>
        <w:t>31</w:t>
      </w:r>
      <w:r w:rsidR="00E93E3A" w:rsidRPr="00E97AAA">
        <w:rPr>
          <w:b/>
          <w:bCs/>
          <w:color w:val="000000"/>
          <w:sz w:val="18"/>
          <w:lang w:eastAsia="lv-LV"/>
        </w:rPr>
        <w:t>.</w:t>
      </w:r>
      <w:r w:rsidR="0077696A" w:rsidRPr="00E97AAA">
        <w:rPr>
          <w:b/>
          <w:bCs/>
          <w:color w:val="000000"/>
          <w:sz w:val="18"/>
          <w:lang w:eastAsia="lv-LV"/>
        </w:rPr>
        <w:t>dec</w:t>
      </w:r>
      <w:r w:rsidR="00C13818" w:rsidRPr="00E97AAA">
        <w:rPr>
          <w:b/>
          <w:bCs/>
          <w:color w:val="000000"/>
          <w:sz w:val="18"/>
          <w:lang w:eastAsia="lv-LV"/>
        </w:rPr>
        <w:t>embrim</w:t>
      </w:r>
      <w:r w:rsidR="00E93E3A" w:rsidRPr="00E97AAA">
        <w:rPr>
          <w:b/>
          <w:bCs/>
          <w:color w:val="000000"/>
          <w:sz w:val="18"/>
          <w:lang w:eastAsia="lv-LV"/>
        </w:rPr>
        <w:t>.</w:t>
      </w:r>
    </w:p>
    <w:p w:rsidR="00E84355" w:rsidRPr="005D09A9" w:rsidRDefault="00E84355" w:rsidP="00973FFB">
      <w:pPr>
        <w:tabs>
          <w:tab w:val="left" w:pos="3686"/>
        </w:tabs>
        <w:ind w:left="3686"/>
        <w:rPr>
          <w:b/>
          <w:bCs/>
          <w:color w:val="000000"/>
          <w:sz w:val="22"/>
          <w:szCs w:val="22"/>
          <w:lang w:eastAsia="lv-LV"/>
        </w:rPr>
      </w:pPr>
    </w:p>
    <w:p w:rsidR="00E84355" w:rsidRDefault="00E93E3A" w:rsidP="00E84355">
      <w:pPr>
        <w:jc w:val="center"/>
        <w:rPr>
          <w:rFonts w:eastAsia="EUAlbertina-Bold-Identity-H"/>
          <w:color w:val="000000" w:themeColor="text1"/>
          <w:szCs w:val="24"/>
          <w:lang w:eastAsia="lv-LV"/>
        </w:rPr>
      </w:pPr>
      <w:r w:rsidRPr="00E84355">
        <w:rPr>
          <w:rFonts w:eastAsia="EUAlbertina-Bold-Identity-H"/>
          <w:color w:val="000000" w:themeColor="text1"/>
          <w:szCs w:val="24"/>
          <w:lang w:eastAsia="lv-LV"/>
        </w:rPr>
        <w:t>Informācija par aktivitātēm,</w:t>
      </w:r>
      <w:r w:rsidR="00AF0873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kurās neatbilstību apjoms pret aktivitātē</w:t>
      </w:r>
      <w:r w:rsidR="00E7539D">
        <w:rPr>
          <w:rFonts w:eastAsia="EUAlbertina-Bold-Identity-H"/>
          <w:color w:val="000000" w:themeColor="text1"/>
          <w:szCs w:val="24"/>
          <w:lang w:eastAsia="lv-LV"/>
        </w:rPr>
        <w:t xml:space="preserve"> finansējumu saņēmēju</w:t>
      </w:r>
      <w:r w:rsidR="00E84355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pieprasī</w:t>
      </w:r>
      <w:r w:rsidR="00E7539D">
        <w:rPr>
          <w:rFonts w:eastAsia="EUAlbertina-Bold-Identity-H"/>
          <w:color w:val="000000" w:themeColor="text1"/>
          <w:szCs w:val="24"/>
          <w:lang w:eastAsia="lv-LV"/>
        </w:rPr>
        <w:t>tā finansējuma (tai skaitā avansi) l</w:t>
      </w:r>
      <w:r w:rsidR="00D27A5D" w:rsidRPr="00E84355">
        <w:rPr>
          <w:rFonts w:eastAsia="EUAlbertina-Bold-Identity-H"/>
          <w:color w:val="000000" w:themeColor="text1"/>
          <w:szCs w:val="24"/>
          <w:lang w:eastAsia="lv-LV"/>
        </w:rPr>
        <w:t>īdz</w:t>
      </w:r>
      <w:r w:rsidR="005D09A9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</w:t>
      </w:r>
      <w:r w:rsidR="0077696A">
        <w:rPr>
          <w:rFonts w:eastAsia="EUAlbertina-Bold-Identity-H"/>
          <w:color w:val="000000" w:themeColor="text1"/>
          <w:szCs w:val="24"/>
          <w:lang w:eastAsia="lv-LV"/>
        </w:rPr>
        <w:t>2012.gada 31</w:t>
      </w:r>
      <w:r w:rsidR="00C13818">
        <w:rPr>
          <w:rFonts w:eastAsia="EUAlbertina-Bold-Identity-H"/>
          <w:color w:val="000000" w:themeColor="text1"/>
          <w:szCs w:val="24"/>
          <w:lang w:eastAsia="lv-LV"/>
        </w:rPr>
        <w:t>.</w:t>
      </w:r>
      <w:r w:rsidR="0077696A">
        <w:rPr>
          <w:rFonts w:eastAsia="EUAlbertina-Bold-Identity-H"/>
          <w:color w:val="000000" w:themeColor="text1"/>
          <w:szCs w:val="24"/>
          <w:lang w:eastAsia="lv-LV"/>
        </w:rPr>
        <w:t>dec</w:t>
      </w:r>
      <w:r w:rsidR="00C13818">
        <w:rPr>
          <w:rFonts w:eastAsia="EUAlbertina-Bold-Identity-H"/>
          <w:color w:val="000000" w:themeColor="text1"/>
          <w:szCs w:val="24"/>
          <w:lang w:eastAsia="lv-LV"/>
        </w:rPr>
        <w:t>embrim</w:t>
      </w:r>
      <w:r w:rsidR="00AF0873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pārsniedz </w:t>
      </w:r>
      <w:r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2% </w:t>
      </w:r>
    </w:p>
    <w:p w:rsidR="00D2094F" w:rsidRPr="00E84355" w:rsidRDefault="00D2094F" w:rsidP="00FC158A">
      <w:pPr>
        <w:spacing w:after="240"/>
        <w:jc w:val="center"/>
        <w:rPr>
          <w:rFonts w:eastAsia="EUAlbertina-Bold-Identity-H"/>
          <w:color w:val="000000" w:themeColor="text1"/>
          <w:szCs w:val="24"/>
          <w:lang w:eastAsia="lv-LV"/>
        </w:rPr>
      </w:pPr>
      <w:r w:rsidRPr="00E84355">
        <w:rPr>
          <w:rFonts w:eastAsia="EUAlbertina-Bold-Identity-H"/>
          <w:color w:val="000000" w:themeColor="text1"/>
          <w:szCs w:val="24"/>
          <w:lang w:eastAsia="lv-LV"/>
        </w:rPr>
        <w:t>būtiskuma līmeni</w:t>
      </w:r>
    </w:p>
    <w:tbl>
      <w:tblPr>
        <w:tblW w:w="9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98"/>
        <w:gridCol w:w="1559"/>
        <w:gridCol w:w="1701"/>
        <w:gridCol w:w="1984"/>
      </w:tblGrid>
      <w:tr w:rsidR="00520D56" w:rsidRPr="00520D56" w:rsidTr="00774A30">
        <w:trPr>
          <w:trHeight w:val="728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20D56" w:rsidRPr="00520D56" w:rsidRDefault="00520D56" w:rsidP="00774A30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520D56">
              <w:rPr>
                <w:b/>
                <w:bCs/>
                <w:color w:val="000000"/>
                <w:sz w:val="20"/>
                <w:lang w:eastAsia="lv-LV"/>
              </w:rPr>
              <w:t>Aktiv</w:t>
            </w:r>
            <w:r w:rsidR="00774A30">
              <w:rPr>
                <w:b/>
                <w:bCs/>
                <w:color w:val="000000"/>
                <w:sz w:val="20"/>
                <w:lang w:eastAsia="lv-LV"/>
              </w:rPr>
              <w:t>./ Apašaktiv.</w:t>
            </w:r>
            <w:r w:rsidRPr="00520D56">
              <w:rPr>
                <w:b/>
                <w:bCs/>
                <w:color w:val="000000"/>
                <w:sz w:val="20"/>
                <w:lang w:eastAsia="lv-LV"/>
              </w:rPr>
              <w:t xml:space="preserve"> Nr.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20D56" w:rsidRPr="00520D56" w:rsidRDefault="00520D56" w:rsidP="00774A30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520D56">
              <w:rPr>
                <w:b/>
                <w:bCs/>
                <w:color w:val="000000"/>
                <w:sz w:val="20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0D56" w:rsidRPr="00520D56" w:rsidRDefault="00520D56" w:rsidP="00774A30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520D56">
              <w:rPr>
                <w:b/>
                <w:bCs/>
                <w:color w:val="000000"/>
                <w:sz w:val="20"/>
                <w:lang w:eastAsia="lv-LV"/>
              </w:rPr>
              <w:t>Pieprasītais finansējums uz 31.12.2012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0D56" w:rsidRPr="00520D56" w:rsidRDefault="00520D56" w:rsidP="00774A30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520D56">
              <w:rPr>
                <w:b/>
                <w:bCs/>
                <w:color w:val="000000"/>
                <w:sz w:val="20"/>
                <w:lang w:eastAsia="lv-LV"/>
              </w:rPr>
              <w:t>Konstatētās neatbilstības uz 31.12.2012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0D56" w:rsidRPr="00520D56" w:rsidRDefault="00520D56" w:rsidP="00774A30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520D56">
              <w:rPr>
                <w:b/>
                <w:bCs/>
                <w:color w:val="000000"/>
                <w:sz w:val="20"/>
                <w:lang w:eastAsia="lv-LV"/>
              </w:rPr>
              <w:t xml:space="preserve">Neatbilstības pret </w:t>
            </w:r>
            <w:r w:rsidR="00E97AAA" w:rsidRPr="00520D56">
              <w:rPr>
                <w:b/>
                <w:bCs/>
                <w:color w:val="000000"/>
                <w:sz w:val="20"/>
                <w:lang w:eastAsia="lv-LV"/>
              </w:rPr>
              <w:t>pieprasīto</w:t>
            </w:r>
            <w:r w:rsidRPr="00520D56">
              <w:rPr>
                <w:b/>
                <w:bCs/>
                <w:color w:val="000000"/>
                <w:sz w:val="20"/>
                <w:lang w:eastAsia="lv-LV"/>
              </w:rPr>
              <w:t xml:space="preserve"> fin uz 31.12.2012, %</w:t>
            </w:r>
          </w:p>
        </w:tc>
      </w:tr>
      <w:tr w:rsidR="00520D56" w:rsidRPr="00520D56" w:rsidTr="00774A30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1.2.1.1.2.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Profesionālajā izglītībā iesaistīto pedagogu kompetences paaugstināšana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4635598,78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228519,25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4,93%</w:t>
            </w:r>
          </w:p>
        </w:tc>
      </w:tr>
      <w:tr w:rsidR="00520D56" w:rsidRPr="00520D56" w:rsidTr="00774A30">
        <w:trPr>
          <w:trHeight w:val="62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1.2.1.1.3.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Atbalsts sākotnējās profesionālās izglītības programmu īstenošanas kvalitātes uzlabošanai un īstenošanai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5639499,42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284494,96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5,04%</w:t>
            </w:r>
          </w:p>
        </w:tc>
      </w:tr>
      <w:tr w:rsidR="00520D56" w:rsidRPr="00520D56" w:rsidTr="00774A30">
        <w:trPr>
          <w:trHeight w:val="7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1.2.1.2.3.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Vispārējās izglītības pedagogu kompetences paaugstināšana un prasmju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2550702,1</w:t>
            </w:r>
            <w:r w:rsidR="00E97AAA">
              <w:rPr>
                <w:color w:val="000000"/>
                <w:sz w:val="20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52628,1</w:t>
            </w:r>
            <w:r w:rsidR="00E97AAA">
              <w:rPr>
                <w:color w:val="000000"/>
                <w:sz w:val="20"/>
                <w:lang w:eastAsia="lv-LV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2,06%</w:t>
            </w:r>
          </w:p>
        </w:tc>
      </w:tr>
      <w:tr w:rsidR="00520D56" w:rsidRPr="00520D56" w:rsidTr="00774A30">
        <w:trPr>
          <w:trHeight w:val="8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1.3.1.1.4.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Atbalsts nodarbināto apmācībām komersantu konkurētspējas veicināšanai - atbalsts komersantu individuāli organizētām apmācībām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2050409,78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72662,97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3,54%</w:t>
            </w:r>
          </w:p>
        </w:tc>
      </w:tr>
      <w:tr w:rsidR="00520D56" w:rsidRPr="00520D56" w:rsidTr="00774A30">
        <w:trPr>
          <w:trHeight w:val="3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1.3.1.3.1.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Darba attiecību un darba drošības normatīvo aktu uzraudzības pilnveidošana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684875,27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73419,04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10,72%</w:t>
            </w:r>
          </w:p>
        </w:tc>
      </w:tr>
      <w:tr w:rsidR="00520D56" w:rsidRPr="00520D56" w:rsidTr="00774A30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1.5.2.1.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Publiskās pārvaldes cilvēkresursu plānošanas un vadības IT sistēmas izstrāde un ieviešana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68695,57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6733,08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9,80%</w:t>
            </w:r>
          </w:p>
        </w:tc>
      </w:tr>
      <w:tr w:rsidR="00520D56" w:rsidRPr="00520D56" w:rsidTr="00774A30">
        <w:trPr>
          <w:trHeight w:val="9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1.5.2.2.3.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Atbalsts pašvaldībām kapacitātes stiprināšanā  Eiropas Savienības politiku instrumentu un pārējās ārvalstu finanšu palīdzības līdzfinansēto projektu un pasākumu īstenošanai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5479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774A30">
              <w:rPr>
                <w:color w:val="000000"/>
                <w:sz w:val="20"/>
                <w:lang w:eastAsia="lv-LV"/>
              </w:rPr>
              <w:t>1 162 058,21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75705,65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6,25%</w:t>
            </w:r>
          </w:p>
        </w:tc>
      </w:tr>
      <w:tr w:rsidR="00520D56" w:rsidRPr="00520D56" w:rsidTr="00774A30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2.1.1.2.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Atbalsts starptautiskās sadarbības projektiem zinātnē un tehnoloģijās (EUREKA, 7.IP un citi)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3027500,82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80151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2,65%</w:t>
            </w:r>
          </w:p>
        </w:tc>
      </w:tr>
      <w:tr w:rsidR="00520D56" w:rsidRPr="00520D56" w:rsidTr="00774A3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2.1.2.2.1.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Jaunu produktu un tehnoloģiju izstrāde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5251743,61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369454,28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7,03%</w:t>
            </w:r>
          </w:p>
        </w:tc>
      </w:tr>
      <w:tr w:rsidR="00520D56" w:rsidRPr="00520D56" w:rsidTr="00774A30">
        <w:trPr>
          <w:trHeight w:val="7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2.1.2.2.2.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Jaunu produktu un tehnoloģiju izstrāde – atbalsts jaunu produktu un tehnoloģiju ieviešanai ražošanā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17106054,44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380234,07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2,22%</w:t>
            </w:r>
          </w:p>
        </w:tc>
      </w:tr>
      <w:tr w:rsidR="00520D56" w:rsidRPr="00520D56" w:rsidTr="00774A30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2.1.2.2.3.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Jaunu produktu un tehnoloģiju izstrāde - atbalsts rūpnieciskā īpašuma tiesību nostiprināšanai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10664,71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3988,11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37,40%</w:t>
            </w:r>
          </w:p>
        </w:tc>
      </w:tr>
      <w:tr w:rsidR="00520D56" w:rsidRPr="00520D56" w:rsidTr="00774A3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2.1.2.4.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Augstas pievienotās vērtības investīcijas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47825207,7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6577463,87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13,75%</w:t>
            </w:r>
          </w:p>
        </w:tc>
      </w:tr>
      <w:tr w:rsidR="00520D56" w:rsidRPr="00520D56" w:rsidTr="00774A3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2.3.1.1.1.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Ārējo tirgu apgūšana – ārējais mārketings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3837560,38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218095,25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5,68%</w:t>
            </w:r>
          </w:p>
        </w:tc>
      </w:tr>
      <w:tr w:rsidR="00520D56" w:rsidRPr="00520D56" w:rsidTr="00774A30">
        <w:trPr>
          <w:trHeight w:val="6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2.3.2.2.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Atbalsts ieguldījumiem mikro, maziem un vidējiem komersantiem  īpaši atbalstāmajās teritorijās (ĪĀT)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5707543,33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1338329,75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23,45%</w:t>
            </w:r>
          </w:p>
        </w:tc>
      </w:tr>
      <w:tr w:rsidR="00EA4327" w:rsidRPr="00520D56" w:rsidTr="00774A30">
        <w:trPr>
          <w:trHeight w:val="7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4327" w:rsidRPr="00E97AAA" w:rsidRDefault="00EA4327" w:rsidP="00EA4327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3.1.1.1.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A4327" w:rsidRPr="00E97AAA" w:rsidRDefault="00EA4327" w:rsidP="00EA4327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Mācību aprīkojuma modernizācija un infrastruktūras uzlabošana profesionālās izglītības programmu īstenošanai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27" w:rsidRPr="00E97AAA" w:rsidRDefault="00EA4327" w:rsidP="00EA4327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22215032,67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27" w:rsidRPr="00774A30" w:rsidRDefault="00EA4327" w:rsidP="00EA4327">
            <w:pPr>
              <w:jc w:val="right"/>
              <w:rPr>
                <w:color w:val="000000"/>
                <w:sz w:val="20"/>
                <w:lang w:eastAsia="lv-LV"/>
              </w:rPr>
            </w:pPr>
            <w:r w:rsidRPr="00774A30">
              <w:rPr>
                <w:color w:val="000000"/>
                <w:sz w:val="20"/>
                <w:lang w:eastAsia="lv-LV"/>
              </w:rPr>
              <w:t>4675938.59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27" w:rsidRPr="00774A30" w:rsidRDefault="00EA4327" w:rsidP="00EA4327">
            <w:pPr>
              <w:jc w:val="right"/>
              <w:rPr>
                <w:color w:val="000000"/>
                <w:sz w:val="20"/>
                <w:lang w:eastAsia="lv-LV"/>
              </w:rPr>
            </w:pPr>
            <w:r w:rsidRPr="00774A30">
              <w:rPr>
                <w:color w:val="000000"/>
                <w:sz w:val="20"/>
                <w:lang w:eastAsia="lv-LV"/>
              </w:rPr>
              <w:t>21,05%</w:t>
            </w:r>
          </w:p>
        </w:tc>
      </w:tr>
      <w:tr w:rsidR="00520D56" w:rsidRPr="00520D56" w:rsidTr="00774A30">
        <w:trPr>
          <w:trHeight w:val="7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3.1.1.2.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Profesionālās izglītības infrastruktūras attīstība un mācību aprīkojuma modernizācija ieslodzījuma vietās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2257142,9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207892,56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9,21%</w:t>
            </w:r>
          </w:p>
        </w:tc>
      </w:tr>
      <w:tr w:rsidR="00520D56" w:rsidRPr="00520D56" w:rsidTr="00774A30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3.1.3.3.1.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Speciālās izglītības iestāžu infrastruktūras un aprīkojuma uzlabošana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5403072,92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7D08A9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774A30">
              <w:rPr>
                <w:color w:val="000000"/>
                <w:sz w:val="20"/>
                <w:lang w:eastAsia="lv-LV"/>
              </w:rPr>
              <w:t>117825.08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2,18%</w:t>
            </w:r>
          </w:p>
        </w:tc>
      </w:tr>
      <w:tr w:rsidR="00520D56" w:rsidRPr="00520D56" w:rsidTr="00774A30">
        <w:trPr>
          <w:trHeight w:val="6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lastRenderedPageBreak/>
              <w:t>3.1.4.3.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Pirmskolas izglītības iestāžu infrastruktūras attīstība nacionālās un reģionālās attīstības centros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21833272,7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717753,74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3,29%</w:t>
            </w:r>
          </w:p>
        </w:tc>
      </w:tr>
      <w:tr w:rsidR="00520D56" w:rsidRPr="00520D56" w:rsidTr="00774A30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3.1.4.4.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Atbalsts alternatīvās aprūpes pakalpojumu pieejamības attīstībai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1962980,74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41686,15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2,12%</w:t>
            </w:r>
          </w:p>
        </w:tc>
      </w:tr>
      <w:tr w:rsidR="00520D56" w:rsidRPr="00520D56" w:rsidTr="00774A30">
        <w:trPr>
          <w:trHeight w:val="7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3.4.1.1.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Ūdenssaimniecības infrastruktūras attīstība apdzīvotās vietās ar iedzīvotāju skaitu līdz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55098557,99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3342097,18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6,07%</w:t>
            </w:r>
          </w:p>
        </w:tc>
      </w:tr>
      <w:tr w:rsidR="00520D56" w:rsidRPr="00520D56" w:rsidTr="00774A30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3.4.2.1.1.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Valsts nozīmes pilsētbūvniecības pieminekļu saglabāšana, atjaunošana un infrastruktūras pielāgošana tūrisma produkta attīstība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5507580,27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365194,75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6,63%</w:t>
            </w:r>
          </w:p>
        </w:tc>
      </w:tr>
      <w:tr w:rsidR="00520D56" w:rsidRPr="00520D56" w:rsidTr="00774A30">
        <w:trPr>
          <w:trHeight w:val="4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3.4.2.1.2.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Nacionālas nozīmes velotūrisma produktu attīstība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2724085,58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88584,74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3,25%</w:t>
            </w:r>
          </w:p>
        </w:tc>
      </w:tr>
      <w:tr w:rsidR="00520D56" w:rsidRPr="00520D56" w:rsidTr="00774A30">
        <w:trPr>
          <w:trHeight w:val="41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3.4.4.1.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Daudzdzīvokļu māju siltumnoturības uzlabošanas pasākumi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7658156,45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162045,82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2,12%</w:t>
            </w:r>
          </w:p>
        </w:tc>
      </w:tr>
      <w:tr w:rsidR="00520D56" w:rsidRPr="00520D56" w:rsidTr="00774A30">
        <w:trPr>
          <w:trHeight w:val="3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3.4.4.2.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20D56" w:rsidRPr="00E97AAA" w:rsidRDefault="00520D56" w:rsidP="00520D56">
            <w:pPr>
              <w:jc w:val="left"/>
              <w:rPr>
                <w:bCs/>
                <w:color w:val="000000"/>
                <w:sz w:val="20"/>
                <w:lang w:eastAsia="lv-LV"/>
              </w:rPr>
            </w:pPr>
            <w:r w:rsidRPr="00E97AAA">
              <w:rPr>
                <w:bCs/>
                <w:color w:val="000000"/>
                <w:sz w:val="20"/>
                <w:lang w:eastAsia="lv-LV"/>
              </w:rPr>
              <w:t>Sociālo dzīvojamo māju siltumnoturības uzlabošanas pasākumi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2615580,12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344422,86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20D56" w:rsidRPr="00E97AAA" w:rsidRDefault="00520D56" w:rsidP="00520D56">
            <w:pPr>
              <w:jc w:val="right"/>
              <w:rPr>
                <w:color w:val="000000"/>
                <w:sz w:val="20"/>
                <w:lang w:eastAsia="lv-LV"/>
              </w:rPr>
            </w:pPr>
            <w:r w:rsidRPr="00E97AAA">
              <w:rPr>
                <w:color w:val="000000"/>
                <w:sz w:val="20"/>
                <w:lang w:eastAsia="lv-LV"/>
              </w:rPr>
              <w:t>13,17%</w:t>
            </w:r>
          </w:p>
        </w:tc>
      </w:tr>
    </w:tbl>
    <w:p w:rsidR="006702B6" w:rsidRDefault="006702B6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6702B6" w:rsidRDefault="006702B6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FC158A" w:rsidRPr="00813BBB" w:rsidRDefault="00FC158A" w:rsidP="00EF5BE6">
      <w:pPr>
        <w:pStyle w:val="Header"/>
        <w:spacing w:line="276" w:lineRule="auto"/>
        <w:rPr>
          <w:color w:val="000000"/>
          <w:lang w:eastAsia="lv-LV"/>
        </w:rPr>
      </w:pPr>
      <w:r>
        <w:rPr>
          <w:color w:val="000000"/>
          <w:sz w:val="32"/>
          <w:szCs w:val="32"/>
          <w:lang w:eastAsia="lv-LV"/>
        </w:rPr>
        <w:tab/>
      </w:r>
    </w:p>
    <w:p w:rsidR="006702B6" w:rsidRPr="00813BBB" w:rsidRDefault="00FC158A" w:rsidP="00987C1F">
      <w:pPr>
        <w:pStyle w:val="Header"/>
        <w:tabs>
          <w:tab w:val="clear" w:pos="8306"/>
          <w:tab w:val="left" w:pos="2992"/>
        </w:tabs>
        <w:spacing w:line="276" w:lineRule="auto"/>
        <w:rPr>
          <w:color w:val="000000"/>
          <w:lang w:eastAsia="lv-LV"/>
        </w:rPr>
      </w:pPr>
      <w:r w:rsidRPr="00813BBB">
        <w:rPr>
          <w:color w:val="000000"/>
          <w:lang w:eastAsia="lv-LV"/>
        </w:rPr>
        <w:tab/>
      </w:r>
      <w:r w:rsidR="00987C1F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  <w:t>Finanšu ministrs</w:t>
      </w:r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r w:rsidR="006702B6" w:rsidRPr="00813BBB">
        <w:rPr>
          <w:color w:val="000000"/>
          <w:lang w:eastAsia="lv-LV"/>
        </w:rPr>
        <w:t>A.Vilks</w:t>
      </w:r>
    </w:p>
    <w:p w:rsidR="005D09A9" w:rsidRDefault="005D09A9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E97AAA" w:rsidRDefault="00774A30" w:rsidP="00EF5BE6">
      <w:pPr>
        <w:pStyle w:val="Header"/>
        <w:spacing w:line="276" w:lineRule="auto"/>
        <w:rPr>
          <w:i/>
          <w:color w:val="000000"/>
          <w:sz w:val="16"/>
          <w:szCs w:val="16"/>
          <w:lang w:eastAsia="lv-LV"/>
        </w:rPr>
      </w:pPr>
      <w:r>
        <w:rPr>
          <w:i/>
          <w:color w:val="000000"/>
          <w:sz w:val="16"/>
          <w:szCs w:val="16"/>
          <w:lang w:eastAsia="lv-LV"/>
        </w:rPr>
        <w:t>27</w:t>
      </w:r>
      <w:r w:rsidR="00E97AAA">
        <w:rPr>
          <w:i/>
          <w:color w:val="000000"/>
          <w:sz w:val="16"/>
          <w:szCs w:val="16"/>
          <w:lang w:eastAsia="lv-LV"/>
        </w:rPr>
        <w:t>.02.2013.</w:t>
      </w:r>
    </w:p>
    <w:p w:rsidR="00E93E3A" w:rsidRPr="005D09A9" w:rsidRDefault="00774A30" w:rsidP="00EF5BE6">
      <w:pPr>
        <w:pStyle w:val="Header"/>
        <w:spacing w:line="276" w:lineRule="auto"/>
        <w:rPr>
          <w:i/>
          <w:color w:val="000000"/>
          <w:sz w:val="16"/>
          <w:szCs w:val="16"/>
          <w:lang w:eastAsia="lv-LV"/>
        </w:rPr>
      </w:pPr>
      <w:r>
        <w:rPr>
          <w:i/>
          <w:color w:val="000000"/>
          <w:sz w:val="16"/>
          <w:szCs w:val="16"/>
          <w:lang w:eastAsia="lv-LV"/>
        </w:rPr>
        <w:t>A.Pukse</w:t>
      </w:r>
    </w:p>
    <w:p w:rsidR="00E93E3A" w:rsidRPr="005D09A9" w:rsidRDefault="00774A30" w:rsidP="00EF5BE6">
      <w:pPr>
        <w:pStyle w:val="Header"/>
        <w:spacing w:line="276" w:lineRule="auto"/>
        <w:rPr>
          <w:i/>
          <w:sz w:val="16"/>
          <w:szCs w:val="16"/>
          <w:lang w:val="lv-LV"/>
        </w:rPr>
      </w:pPr>
      <w:r>
        <w:rPr>
          <w:i/>
          <w:color w:val="000000"/>
          <w:sz w:val="16"/>
          <w:szCs w:val="16"/>
          <w:lang w:eastAsia="lv-LV"/>
        </w:rPr>
        <w:t>67083930, Anna.Pukse@fm.gov.lv</w:t>
      </w:r>
    </w:p>
    <w:sectPr w:rsidR="00E93E3A" w:rsidRPr="005D09A9" w:rsidSect="00C83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85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B3" w:rsidRDefault="003F5FB3" w:rsidP="00A93D58">
      <w:r>
        <w:separator/>
      </w:r>
    </w:p>
  </w:endnote>
  <w:endnote w:type="continuationSeparator" w:id="0">
    <w:p w:rsidR="003F5FB3" w:rsidRDefault="003F5FB3" w:rsidP="00A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0" w:rsidRDefault="00371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8A" w:rsidRPr="00691A6B" w:rsidRDefault="00987C1F">
    <w:pPr>
      <w:pStyle w:val="Footer"/>
      <w:rPr>
        <w:sz w:val="16"/>
        <w:szCs w:val="16"/>
      </w:rPr>
    </w:pPr>
    <w:r>
      <w:rPr>
        <w:sz w:val="16"/>
        <w:szCs w:val="16"/>
      </w:rPr>
      <w:t>FMzinop7_180213</w:t>
    </w:r>
    <w:r w:rsidR="002C2DC3" w:rsidRPr="00691A6B">
      <w:rPr>
        <w:sz w:val="16"/>
        <w:szCs w:val="16"/>
      </w:rPr>
      <w:t>_ES_fondi</w:t>
    </w:r>
    <w:r>
      <w:rPr>
        <w:sz w:val="16"/>
        <w:szCs w:val="16"/>
      </w:rPr>
      <w:t>_Neatbilstības</w:t>
    </w:r>
    <w:r w:rsidR="002C2DC3" w:rsidRPr="00691A6B">
      <w:rPr>
        <w:sz w:val="16"/>
        <w:szCs w:val="16"/>
      </w:rPr>
      <w:t>; Informācija par aktivitātēm, kurās neatbilstību apjoms pret aktivitātē iesniegtajiem maksājumu pieprasījumiem līdz 2012.gada 30.septembrim pārsniedz 2% būtiskuma līmeni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32" w:rsidRPr="00371170" w:rsidRDefault="009A5032" w:rsidP="009A5032">
    <w:pPr>
      <w:jc w:val="left"/>
      <w:rPr>
        <w:sz w:val="20"/>
      </w:rPr>
    </w:pPr>
    <w:r w:rsidRPr="009A5032">
      <w:rPr>
        <w:sz w:val="20"/>
      </w:rPr>
      <w:t>FMzinop7_</w:t>
    </w:r>
    <w:r w:rsidR="00371170">
      <w:rPr>
        <w:sz w:val="20"/>
      </w:rPr>
      <w:t>27</w:t>
    </w:r>
    <w:r w:rsidR="00E97AAA">
      <w:rPr>
        <w:sz w:val="20"/>
      </w:rPr>
      <w:t>02</w:t>
    </w:r>
    <w:r w:rsidRPr="009A5032">
      <w:rPr>
        <w:sz w:val="20"/>
      </w:rPr>
      <w:t xml:space="preserve">13; </w:t>
    </w:r>
    <w:r w:rsidRPr="009A5032">
      <w:rPr>
        <w:rFonts w:eastAsia="EUAlbertina-Bold-Identity-H"/>
        <w:color w:val="000000" w:themeColor="text1"/>
        <w:sz w:val="20"/>
        <w:szCs w:val="24"/>
        <w:lang w:eastAsia="lv-LV"/>
      </w:rPr>
      <w:t>Informācija par aktivitātēm, kurās neatbilstību apjoms pret aktivitātē iesniegtajiem maksājumu pieprasījumiem līdz 2012.gada 31.decembrim pārsniedz 2% būtiskuma līmeni</w:t>
    </w:r>
  </w:p>
  <w:p w:rsidR="009A5032" w:rsidRDefault="009A5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B3" w:rsidRDefault="003F5FB3" w:rsidP="00A93D58">
      <w:r>
        <w:separator/>
      </w:r>
    </w:p>
  </w:footnote>
  <w:footnote w:type="continuationSeparator" w:id="0">
    <w:p w:rsidR="003F5FB3" w:rsidRDefault="003F5FB3" w:rsidP="00A9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0" w:rsidRDefault="00371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32A9" w:rsidRDefault="00C832A9" w:rsidP="00C832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0" w:rsidRDefault="00371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18B"/>
    <w:multiLevelType w:val="multilevel"/>
    <w:tmpl w:val="0AAE01CA"/>
    <w:lvl w:ilvl="0">
      <w:start w:val="1"/>
      <w:numFmt w:val="decimal"/>
      <w:pStyle w:val="1lmenis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73"/>
    <w:rsid w:val="00000A45"/>
    <w:rsid w:val="00016C64"/>
    <w:rsid w:val="00050214"/>
    <w:rsid w:val="00054F87"/>
    <w:rsid w:val="000746E9"/>
    <w:rsid w:val="00097B3A"/>
    <w:rsid w:val="001039B3"/>
    <w:rsid w:val="001B7234"/>
    <w:rsid w:val="001C2D8A"/>
    <w:rsid w:val="001E2099"/>
    <w:rsid w:val="00203B19"/>
    <w:rsid w:val="002270AF"/>
    <w:rsid w:val="002C2DC3"/>
    <w:rsid w:val="0032663F"/>
    <w:rsid w:val="00371170"/>
    <w:rsid w:val="0038792A"/>
    <w:rsid w:val="00392C90"/>
    <w:rsid w:val="00393F9A"/>
    <w:rsid w:val="003F5FB3"/>
    <w:rsid w:val="004674CB"/>
    <w:rsid w:val="00491D95"/>
    <w:rsid w:val="0049789E"/>
    <w:rsid w:val="004A5778"/>
    <w:rsid w:val="00520D56"/>
    <w:rsid w:val="00532061"/>
    <w:rsid w:val="0054003B"/>
    <w:rsid w:val="005440CF"/>
    <w:rsid w:val="00554796"/>
    <w:rsid w:val="005745EF"/>
    <w:rsid w:val="0058245E"/>
    <w:rsid w:val="0059068E"/>
    <w:rsid w:val="005C4183"/>
    <w:rsid w:val="005D09A9"/>
    <w:rsid w:val="006430C5"/>
    <w:rsid w:val="00661306"/>
    <w:rsid w:val="006702B6"/>
    <w:rsid w:val="00683CAB"/>
    <w:rsid w:val="00691A6B"/>
    <w:rsid w:val="006B2E3B"/>
    <w:rsid w:val="006B4FCC"/>
    <w:rsid w:val="006E314B"/>
    <w:rsid w:val="006E7F51"/>
    <w:rsid w:val="00773D2A"/>
    <w:rsid w:val="00774A30"/>
    <w:rsid w:val="0077696A"/>
    <w:rsid w:val="0078732D"/>
    <w:rsid w:val="007D08A9"/>
    <w:rsid w:val="007E6807"/>
    <w:rsid w:val="00813BBB"/>
    <w:rsid w:val="00814D12"/>
    <w:rsid w:val="00822646"/>
    <w:rsid w:val="008B0B3E"/>
    <w:rsid w:val="008B1058"/>
    <w:rsid w:val="008C626D"/>
    <w:rsid w:val="008D480D"/>
    <w:rsid w:val="008F519D"/>
    <w:rsid w:val="00973FFB"/>
    <w:rsid w:val="00987C1F"/>
    <w:rsid w:val="009A5032"/>
    <w:rsid w:val="009A7871"/>
    <w:rsid w:val="00A122C5"/>
    <w:rsid w:val="00A369A7"/>
    <w:rsid w:val="00A93D58"/>
    <w:rsid w:val="00AF0873"/>
    <w:rsid w:val="00AF2FEF"/>
    <w:rsid w:val="00B73300"/>
    <w:rsid w:val="00BF5F52"/>
    <w:rsid w:val="00C13818"/>
    <w:rsid w:val="00C7502A"/>
    <w:rsid w:val="00C832A9"/>
    <w:rsid w:val="00D2094F"/>
    <w:rsid w:val="00D27A5D"/>
    <w:rsid w:val="00D91954"/>
    <w:rsid w:val="00DB0B88"/>
    <w:rsid w:val="00DB5020"/>
    <w:rsid w:val="00DE2499"/>
    <w:rsid w:val="00E33D95"/>
    <w:rsid w:val="00E7539D"/>
    <w:rsid w:val="00E84355"/>
    <w:rsid w:val="00E93E3A"/>
    <w:rsid w:val="00E97AAA"/>
    <w:rsid w:val="00EA4327"/>
    <w:rsid w:val="00EF5BE6"/>
    <w:rsid w:val="00F81FB4"/>
    <w:rsid w:val="00FC158A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3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73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menis">
    <w:name w:val="1.līmenis"/>
    <w:basedOn w:val="Heading1"/>
    <w:link w:val="1lmenisChar"/>
    <w:qFormat/>
    <w:rsid w:val="00AF0873"/>
    <w:pPr>
      <w:keepLines w:val="0"/>
      <w:numPr>
        <w:numId w:val="1"/>
      </w:numPr>
      <w:spacing w:before="240" w:after="60"/>
    </w:pPr>
    <w:rPr>
      <w:rFonts w:ascii="Cambria" w:eastAsia="Times New Roman" w:hAnsi="Cambria" w:cs="Times New Roman"/>
      <w:color w:val="auto"/>
      <w:kern w:val="32"/>
      <w:sz w:val="36"/>
      <w:szCs w:val="30"/>
      <w:lang w:val="x-none" w:eastAsia="x-none"/>
    </w:rPr>
  </w:style>
  <w:style w:type="character" w:customStyle="1" w:styleId="1lmenisChar">
    <w:name w:val="1.līmenis Char"/>
    <w:link w:val="1lmenis"/>
    <w:rsid w:val="00AF0873"/>
    <w:rPr>
      <w:rFonts w:ascii="Cambria" w:eastAsia="Times New Roman" w:hAnsi="Cambria" w:cs="Times New Roman"/>
      <w:b/>
      <w:bCs/>
      <w:kern w:val="32"/>
      <w:sz w:val="36"/>
      <w:szCs w:val="3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F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E93E3A"/>
    <w:pPr>
      <w:tabs>
        <w:tab w:val="center" w:pos="4153"/>
        <w:tab w:val="right" w:pos="8306"/>
      </w:tabs>
      <w:jc w:val="left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E3A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rsid w:val="00E93E3A"/>
    <w:pPr>
      <w:spacing w:before="100" w:beforeAutospacing="1" w:after="100" w:afterAutospacing="1"/>
      <w:jc w:val="left"/>
    </w:pPr>
    <w:rPr>
      <w:rFonts w:ascii="Helvetica" w:hAnsi="Helvetica"/>
      <w:color w:val="000000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3D5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27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0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AF"/>
    <w:rPr>
      <w:vertAlign w:val="superscript"/>
    </w:rPr>
  </w:style>
  <w:style w:type="table" w:styleId="LightGrid-Accent3">
    <w:name w:val="Light Grid Accent 3"/>
    <w:basedOn w:val="TableNormal"/>
    <w:uiPriority w:val="62"/>
    <w:rsid w:val="00E8435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14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021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3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73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menis">
    <w:name w:val="1.līmenis"/>
    <w:basedOn w:val="Heading1"/>
    <w:link w:val="1lmenisChar"/>
    <w:qFormat/>
    <w:rsid w:val="00AF0873"/>
    <w:pPr>
      <w:keepLines w:val="0"/>
      <w:numPr>
        <w:numId w:val="1"/>
      </w:numPr>
      <w:spacing w:before="240" w:after="60"/>
    </w:pPr>
    <w:rPr>
      <w:rFonts w:ascii="Cambria" w:eastAsia="Times New Roman" w:hAnsi="Cambria" w:cs="Times New Roman"/>
      <w:color w:val="auto"/>
      <w:kern w:val="32"/>
      <w:sz w:val="36"/>
      <w:szCs w:val="30"/>
      <w:lang w:val="x-none" w:eastAsia="x-none"/>
    </w:rPr>
  </w:style>
  <w:style w:type="character" w:customStyle="1" w:styleId="1lmenisChar">
    <w:name w:val="1.līmenis Char"/>
    <w:link w:val="1lmenis"/>
    <w:rsid w:val="00AF0873"/>
    <w:rPr>
      <w:rFonts w:ascii="Cambria" w:eastAsia="Times New Roman" w:hAnsi="Cambria" w:cs="Times New Roman"/>
      <w:b/>
      <w:bCs/>
      <w:kern w:val="32"/>
      <w:sz w:val="36"/>
      <w:szCs w:val="3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F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E93E3A"/>
    <w:pPr>
      <w:tabs>
        <w:tab w:val="center" w:pos="4153"/>
        <w:tab w:val="right" w:pos="8306"/>
      </w:tabs>
      <w:jc w:val="left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E3A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rsid w:val="00E93E3A"/>
    <w:pPr>
      <w:spacing w:before="100" w:beforeAutospacing="1" w:after="100" w:afterAutospacing="1"/>
      <w:jc w:val="left"/>
    </w:pPr>
    <w:rPr>
      <w:rFonts w:ascii="Helvetica" w:hAnsi="Helvetica"/>
      <w:color w:val="000000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3D5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27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0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AF"/>
    <w:rPr>
      <w:vertAlign w:val="superscript"/>
    </w:rPr>
  </w:style>
  <w:style w:type="table" w:styleId="LightGrid-Accent3">
    <w:name w:val="Light Grid Accent 3"/>
    <w:basedOn w:val="TableNormal"/>
    <w:uiPriority w:val="62"/>
    <w:rsid w:val="00E8435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14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021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05D3-16FA-4DC0-B1CE-25642B2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7.pielikums</vt:lpstr>
    </vt:vector>
  </TitlesOfParts>
  <Company>Finanšu ministrija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7.pielikums</dc:title>
  <dc:subject>Informācija par aktivitātēm, kurās neatbilstību apjoms pret aktivitātē iesniegtajiem maksājumu pieprasījumiem līdz 2012.gada 31.decembrim pārsniedz 2% būtiskuma līmeni</dc:subject>
  <dc:creator>anna.pukse@fm.gov.lv</dc:creator>
  <dc:description>Anna Pukse
LR Finanšu ministrijas
Eiropas Savienības fondu vadības sistēmas departamenta
Ieviešanas sistēmas nodaļas
vecākā eksperte 
Tālr.: 67083930; fakss 67095697
Anna.Pukse@fm.gov.lv</dc:description>
  <cp:lastModifiedBy>Sintija Laugale - Volbaka</cp:lastModifiedBy>
  <cp:revision>17</cp:revision>
  <cp:lastPrinted>2013-02-19T07:53:00Z</cp:lastPrinted>
  <dcterms:created xsi:type="dcterms:W3CDTF">2013-02-05T11:24:00Z</dcterms:created>
  <dcterms:modified xsi:type="dcterms:W3CDTF">2013-02-28T09:40:00Z</dcterms:modified>
</cp:coreProperties>
</file>