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3A" w:rsidRPr="00097B3A" w:rsidRDefault="00661306" w:rsidP="00E93E3A">
      <w:pPr>
        <w:tabs>
          <w:tab w:val="left" w:pos="3686"/>
        </w:tabs>
        <w:ind w:left="3686"/>
        <w:rPr>
          <w:b/>
          <w:bCs/>
          <w:color w:val="000000"/>
          <w:sz w:val="12"/>
          <w:szCs w:val="12"/>
          <w:lang w:eastAsia="lv-LV"/>
        </w:rPr>
      </w:pPr>
      <w:r w:rsidRPr="00097B3A">
        <w:rPr>
          <w:b/>
          <w:bCs/>
          <w:color w:val="000000"/>
          <w:sz w:val="12"/>
          <w:szCs w:val="12"/>
          <w:lang w:eastAsia="lv-LV"/>
        </w:rPr>
        <w:t>8</w:t>
      </w:r>
      <w:r w:rsidR="00E93E3A" w:rsidRPr="00097B3A">
        <w:rPr>
          <w:b/>
          <w:bCs/>
          <w:color w:val="000000"/>
          <w:sz w:val="12"/>
          <w:szCs w:val="12"/>
          <w:lang w:eastAsia="lv-LV"/>
        </w:rPr>
        <w:t>.pielikums informatīvajam ziņojumam par Eiropas Savienības struktūrfondu un Kohēzijas fonda, Eiropas Ekonomikas zonas finanšu instrumenta,  Norvēģijas valdības divpusējā finanšu instrumenta un Latvijas–Šveices sadarbības programmas apguvi līdz 2011.gada 31.decembrim.</w:t>
      </w:r>
    </w:p>
    <w:p w:rsidR="00E93E3A" w:rsidRDefault="00E93E3A" w:rsidP="00AF0873">
      <w:pPr>
        <w:spacing w:before="120" w:after="120" w:line="276" w:lineRule="auto"/>
        <w:rPr>
          <w:rFonts w:eastAsia="EUAlbertina-Bold-Identity-H"/>
          <w:color w:val="000000" w:themeColor="text1"/>
          <w:szCs w:val="24"/>
          <w:highlight w:val="red"/>
          <w:lang w:eastAsia="lv-LV"/>
        </w:rPr>
      </w:pPr>
    </w:p>
    <w:p w:rsidR="00AF0873" w:rsidRPr="00097B3A" w:rsidRDefault="00E93E3A" w:rsidP="00E93E3A">
      <w:pPr>
        <w:spacing w:before="120" w:after="120" w:line="276" w:lineRule="auto"/>
        <w:jc w:val="center"/>
        <w:rPr>
          <w:rFonts w:eastAsia="EUAlbertina-Bold-Identity-H"/>
          <w:b/>
          <w:color w:val="000000" w:themeColor="text1"/>
          <w:sz w:val="16"/>
          <w:szCs w:val="16"/>
          <w:lang w:eastAsia="lv-LV"/>
        </w:rPr>
      </w:pPr>
      <w:r w:rsidRPr="00097B3A">
        <w:rPr>
          <w:rFonts w:eastAsia="EUAlbertina-Bold-Identity-H"/>
          <w:b/>
          <w:color w:val="000000" w:themeColor="text1"/>
          <w:sz w:val="16"/>
          <w:szCs w:val="16"/>
          <w:lang w:eastAsia="lv-LV"/>
        </w:rPr>
        <w:t>Informācija par aktivitātēm,</w:t>
      </w:r>
      <w:r w:rsidR="00AF0873" w:rsidRPr="00097B3A">
        <w:rPr>
          <w:rFonts w:eastAsia="EUAlbertina-Bold-Identity-H"/>
          <w:b/>
          <w:color w:val="000000" w:themeColor="text1"/>
          <w:sz w:val="16"/>
          <w:szCs w:val="16"/>
          <w:lang w:eastAsia="lv-LV"/>
        </w:rPr>
        <w:t xml:space="preserve"> kurās neatbilstību apjoms pret aktivitātē veiktajiem maksājumiem uz 31.12.2011 pārsniedz </w:t>
      </w:r>
      <w:r w:rsidRPr="00097B3A">
        <w:rPr>
          <w:rFonts w:eastAsia="EUAlbertina-Bold-Identity-H"/>
          <w:b/>
          <w:color w:val="000000" w:themeColor="text1"/>
          <w:sz w:val="16"/>
          <w:szCs w:val="16"/>
          <w:lang w:eastAsia="lv-LV"/>
        </w:rPr>
        <w:t>2% būtiskuma līmeni</w:t>
      </w:r>
    </w:p>
    <w:tbl>
      <w:tblPr>
        <w:tblStyle w:val="TableGrid"/>
        <w:tblW w:w="9673" w:type="dxa"/>
        <w:tblLayout w:type="fixed"/>
        <w:tblLook w:val="04A0" w:firstRow="1" w:lastRow="0" w:firstColumn="1" w:lastColumn="0" w:noHBand="0" w:noVBand="1"/>
      </w:tblPr>
      <w:tblGrid>
        <w:gridCol w:w="5070"/>
        <w:gridCol w:w="1417"/>
        <w:gridCol w:w="1701"/>
        <w:gridCol w:w="1485"/>
      </w:tblGrid>
      <w:tr w:rsidR="00AF0873" w:rsidRPr="00E93E3A" w:rsidTr="00E33D95">
        <w:trPr>
          <w:trHeight w:val="395"/>
        </w:trPr>
        <w:tc>
          <w:tcPr>
            <w:tcW w:w="5070" w:type="dxa"/>
            <w:shd w:val="clear" w:color="auto" w:fill="C2D69B" w:themeFill="accent3" w:themeFillTint="99"/>
            <w:hideMark/>
          </w:tcPr>
          <w:p w:rsidR="00AF0873" w:rsidRPr="00097B3A" w:rsidRDefault="005745EF" w:rsidP="00E33D95">
            <w:pPr>
              <w:spacing w:line="276" w:lineRule="auto"/>
              <w:jc w:val="center"/>
              <w:rPr>
                <w:rFonts w:eastAsia="EUAlbertina-Bold-Identity-H"/>
                <w:bCs/>
                <w:color w:val="000000" w:themeColor="text1"/>
                <w:sz w:val="16"/>
                <w:szCs w:val="16"/>
              </w:rPr>
            </w:pPr>
            <w:r w:rsidRPr="00097B3A">
              <w:rPr>
                <w:rFonts w:eastAsia="EUAlbertina-Bold-Identity-H"/>
                <w:bCs/>
                <w:color w:val="000000" w:themeColor="text1"/>
                <w:sz w:val="16"/>
                <w:szCs w:val="16"/>
              </w:rPr>
              <w:t xml:space="preserve">Aktivitātes / </w:t>
            </w:r>
            <w:proofErr w:type="spellStart"/>
            <w:r w:rsidRPr="00097B3A">
              <w:rPr>
                <w:rFonts w:eastAsia="EUAlbertina-Bold-Identity-H"/>
                <w:bCs/>
                <w:color w:val="000000" w:themeColor="text1"/>
                <w:sz w:val="16"/>
                <w:szCs w:val="16"/>
              </w:rPr>
              <w:t>apakšaktivitātes</w:t>
            </w:r>
            <w:proofErr w:type="spellEnd"/>
            <w:r w:rsidR="00AF0873" w:rsidRPr="00097B3A">
              <w:rPr>
                <w:rFonts w:eastAsia="EUAlbertina-Bold-Identity-H"/>
                <w:bCs/>
                <w:color w:val="000000" w:themeColor="text1"/>
                <w:sz w:val="16"/>
                <w:szCs w:val="16"/>
              </w:rPr>
              <w:t xml:space="preserve"> nosaukums</w:t>
            </w:r>
          </w:p>
        </w:tc>
        <w:tc>
          <w:tcPr>
            <w:tcW w:w="1417" w:type="dxa"/>
            <w:shd w:val="clear" w:color="auto" w:fill="C2D69B" w:themeFill="accent3" w:themeFillTint="99"/>
            <w:hideMark/>
          </w:tcPr>
          <w:p w:rsidR="00AF0873" w:rsidRPr="00097B3A" w:rsidRDefault="00AF0873" w:rsidP="00A122C5">
            <w:pPr>
              <w:spacing w:line="276" w:lineRule="auto"/>
              <w:rPr>
                <w:rFonts w:eastAsia="EUAlbertina-Bold-Identity-H"/>
                <w:bCs/>
                <w:color w:val="000000" w:themeColor="text1"/>
                <w:sz w:val="16"/>
                <w:szCs w:val="16"/>
              </w:rPr>
            </w:pPr>
            <w:r w:rsidRPr="00097B3A">
              <w:rPr>
                <w:rFonts w:eastAsia="EUAlbertina-Bold-Identity-H"/>
                <w:bCs/>
                <w:color w:val="000000" w:themeColor="text1"/>
                <w:sz w:val="16"/>
                <w:szCs w:val="16"/>
              </w:rPr>
              <w:t>Neatb</w:t>
            </w:r>
            <w:r w:rsidR="00E33D95" w:rsidRPr="00097B3A">
              <w:rPr>
                <w:rFonts w:eastAsia="EUAlbertina-Bold-Identity-H"/>
                <w:bCs/>
                <w:color w:val="000000" w:themeColor="text1"/>
                <w:sz w:val="16"/>
                <w:szCs w:val="16"/>
              </w:rPr>
              <w:t>ilstīb</w:t>
            </w:r>
            <w:r w:rsidR="00A122C5" w:rsidRPr="00097B3A">
              <w:rPr>
                <w:rFonts w:eastAsia="EUAlbertina-Bold-Identity-H"/>
                <w:bCs/>
                <w:color w:val="000000" w:themeColor="text1"/>
                <w:sz w:val="16"/>
                <w:szCs w:val="16"/>
              </w:rPr>
              <w:t>as</w:t>
            </w:r>
            <w:r w:rsidR="005745EF" w:rsidRPr="00097B3A">
              <w:rPr>
                <w:rFonts w:eastAsia="EUAlbertina-Bold-Identity-H"/>
                <w:bCs/>
                <w:color w:val="000000" w:themeColor="text1"/>
                <w:sz w:val="16"/>
                <w:szCs w:val="16"/>
              </w:rPr>
              <w:t xml:space="preserve"> summa</w:t>
            </w:r>
            <w:r w:rsidR="00A122C5" w:rsidRPr="00097B3A">
              <w:rPr>
                <w:rFonts w:eastAsia="EUAlbertina-Bold-Identity-H"/>
                <w:bCs/>
                <w:color w:val="000000" w:themeColor="text1"/>
                <w:sz w:val="16"/>
                <w:szCs w:val="16"/>
              </w:rPr>
              <w:t xml:space="preserve"> latos</w:t>
            </w:r>
          </w:p>
        </w:tc>
        <w:tc>
          <w:tcPr>
            <w:tcW w:w="1701" w:type="dxa"/>
            <w:shd w:val="clear" w:color="auto" w:fill="C2D69B" w:themeFill="accent3" w:themeFillTint="99"/>
            <w:hideMark/>
          </w:tcPr>
          <w:p w:rsidR="00AF0873" w:rsidRPr="00097B3A" w:rsidRDefault="00AF0873" w:rsidP="00A122C5">
            <w:pPr>
              <w:spacing w:line="276" w:lineRule="auto"/>
              <w:rPr>
                <w:rFonts w:eastAsia="EUAlbertina-Bold-Identity-H"/>
                <w:bCs/>
                <w:color w:val="000000" w:themeColor="text1"/>
                <w:sz w:val="16"/>
                <w:szCs w:val="16"/>
              </w:rPr>
            </w:pPr>
            <w:r w:rsidRPr="00097B3A">
              <w:rPr>
                <w:rFonts w:eastAsia="EUAlbertina-Bold-Identity-H"/>
                <w:bCs/>
                <w:color w:val="000000" w:themeColor="text1"/>
                <w:sz w:val="16"/>
                <w:szCs w:val="16"/>
              </w:rPr>
              <w:t>Pieprasītais fin</w:t>
            </w:r>
            <w:r w:rsidR="00A122C5" w:rsidRPr="00097B3A">
              <w:rPr>
                <w:rFonts w:eastAsia="EUAlbertina-Bold-Identity-H"/>
                <w:bCs/>
                <w:color w:val="000000" w:themeColor="text1"/>
                <w:sz w:val="16"/>
                <w:szCs w:val="16"/>
              </w:rPr>
              <w:t>ansējums uz</w:t>
            </w:r>
            <w:r w:rsidRPr="00097B3A">
              <w:rPr>
                <w:rFonts w:eastAsia="EUAlbertina-Bold-Identity-H"/>
                <w:bCs/>
                <w:color w:val="000000" w:themeColor="text1"/>
                <w:sz w:val="16"/>
                <w:szCs w:val="16"/>
              </w:rPr>
              <w:t xml:space="preserve"> 31.12.2011, </w:t>
            </w:r>
            <w:r w:rsidR="00A122C5" w:rsidRPr="00097B3A">
              <w:rPr>
                <w:rFonts w:eastAsia="EUAlbertina-Bold-Identity-H"/>
                <w:bCs/>
                <w:color w:val="000000" w:themeColor="text1"/>
                <w:sz w:val="16"/>
                <w:szCs w:val="16"/>
              </w:rPr>
              <w:t>latos</w:t>
            </w:r>
          </w:p>
        </w:tc>
        <w:tc>
          <w:tcPr>
            <w:tcW w:w="1485" w:type="dxa"/>
            <w:shd w:val="clear" w:color="auto" w:fill="C2D69B" w:themeFill="accent3" w:themeFillTint="99"/>
            <w:hideMark/>
          </w:tcPr>
          <w:p w:rsidR="00AF0873" w:rsidRPr="00097B3A" w:rsidRDefault="00AF0873" w:rsidP="00E33D95">
            <w:pPr>
              <w:spacing w:line="276" w:lineRule="auto"/>
              <w:rPr>
                <w:rFonts w:eastAsia="EUAlbertina-Bold-Identity-H"/>
                <w:bCs/>
                <w:color w:val="000000" w:themeColor="text1"/>
                <w:sz w:val="16"/>
                <w:szCs w:val="16"/>
              </w:rPr>
            </w:pPr>
            <w:r w:rsidRPr="00097B3A">
              <w:rPr>
                <w:rFonts w:eastAsia="EUAlbertina-Bold-Identity-H"/>
                <w:bCs/>
                <w:color w:val="000000" w:themeColor="text1"/>
                <w:sz w:val="16"/>
                <w:szCs w:val="16"/>
              </w:rPr>
              <w:t>Neatb</w:t>
            </w:r>
            <w:r w:rsidR="00A122C5" w:rsidRPr="00097B3A">
              <w:rPr>
                <w:rFonts w:eastAsia="EUAlbertina-Bold-Identity-H"/>
                <w:bCs/>
                <w:color w:val="000000" w:themeColor="text1"/>
                <w:sz w:val="16"/>
                <w:szCs w:val="16"/>
              </w:rPr>
              <w:t>ilstības</w:t>
            </w:r>
            <w:r w:rsidRPr="00097B3A">
              <w:rPr>
                <w:rFonts w:eastAsia="EUAlbertina-Bold-Identity-H"/>
                <w:bCs/>
                <w:color w:val="000000" w:themeColor="text1"/>
                <w:sz w:val="16"/>
                <w:szCs w:val="16"/>
              </w:rPr>
              <w:t xml:space="preserve"> %</w:t>
            </w:r>
            <w:r w:rsidR="00E33D95" w:rsidRPr="00097B3A">
              <w:rPr>
                <w:rFonts w:eastAsia="EUAlbertina-Bold-Identity-H"/>
                <w:bCs/>
                <w:color w:val="000000" w:themeColor="text1"/>
                <w:sz w:val="16"/>
                <w:szCs w:val="16"/>
              </w:rPr>
              <w:t xml:space="preserve"> </w:t>
            </w:r>
            <w:r w:rsidRPr="00097B3A">
              <w:rPr>
                <w:rFonts w:eastAsia="EUAlbertina-Bold-Identity-H"/>
                <w:bCs/>
                <w:color w:val="000000" w:themeColor="text1"/>
                <w:sz w:val="16"/>
                <w:szCs w:val="16"/>
              </w:rPr>
              <w:t>no piepras</w:t>
            </w:r>
            <w:r w:rsidR="00A122C5" w:rsidRPr="00097B3A">
              <w:rPr>
                <w:rFonts w:eastAsia="EUAlbertina-Bold-Identity-H"/>
                <w:bCs/>
                <w:color w:val="000000" w:themeColor="text1"/>
                <w:sz w:val="16"/>
                <w:szCs w:val="16"/>
              </w:rPr>
              <w:t>ītā finansējuma</w:t>
            </w:r>
          </w:p>
        </w:tc>
      </w:tr>
      <w:tr w:rsidR="00AF0873" w:rsidRPr="00E93E3A" w:rsidTr="00E33D95">
        <w:trPr>
          <w:trHeight w:val="395"/>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1.2.1.1.2.Apakšaktivitāte "Profesionālajā izglītībā iesaistīto pedagogu kompetences paaugstināšana"</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197083,89</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3017575,8</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6,5%</w:t>
            </w:r>
          </w:p>
        </w:tc>
      </w:tr>
      <w:tr w:rsidR="00AF0873" w:rsidRPr="00E93E3A" w:rsidTr="00E33D95">
        <w:trPr>
          <w:trHeight w:val="658"/>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1.2.1.1.3.Apakšaktivitāte "Atbalsts sākotnējās profesionālās izglītības programmu īstenošanas kvalitātes uzlabošanai un īstenošanai"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106765,18</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2494461,32</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4,3%</w:t>
            </w:r>
          </w:p>
        </w:tc>
      </w:tr>
      <w:tr w:rsidR="00AF0873" w:rsidRPr="00E93E3A" w:rsidTr="00E33D95">
        <w:trPr>
          <w:trHeight w:val="647"/>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1.3.1.1.4.Apakšaktivitāte "Atbalsts nodarbināto apmācībām komersantu konkurētspējas veicināšanai - atbalsts komersantu individuāli organizētām apmācībām"</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93806,49</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3094946,73</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3,0%</w:t>
            </w:r>
          </w:p>
        </w:tc>
      </w:tr>
      <w:tr w:rsidR="00AF0873" w:rsidRPr="00E93E3A" w:rsidTr="00E33D95">
        <w:trPr>
          <w:trHeight w:val="526"/>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1.3.1.3.1.Apakšaktivitāte "Darba attiecību un darba drošības normatīvo aktu uzraudzības pilnveidošana"</w:t>
            </w:r>
          </w:p>
        </w:tc>
        <w:tc>
          <w:tcPr>
            <w:tcW w:w="1417" w:type="dxa"/>
            <w:hideMark/>
          </w:tcPr>
          <w:p w:rsidR="00AF0873" w:rsidRPr="00097B3A" w:rsidRDefault="00BF5F52"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73419,04</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684875,27</w:t>
            </w:r>
          </w:p>
        </w:tc>
        <w:tc>
          <w:tcPr>
            <w:tcW w:w="1485" w:type="dxa"/>
            <w:hideMark/>
          </w:tcPr>
          <w:p w:rsidR="00AF0873" w:rsidRPr="00097B3A" w:rsidRDefault="00BF5F52"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10,7</w:t>
            </w:r>
            <w:r w:rsidR="00AF0873" w:rsidRPr="00097B3A">
              <w:rPr>
                <w:rFonts w:eastAsia="EUAlbertina-Bold-Identity-H"/>
                <w:color w:val="000000" w:themeColor="text1"/>
                <w:sz w:val="16"/>
                <w:szCs w:val="16"/>
              </w:rPr>
              <w:t>%</w:t>
            </w:r>
          </w:p>
        </w:tc>
      </w:tr>
      <w:tr w:rsidR="00AF0873" w:rsidRPr="00E93E3A" w:rsidTr="00E33D95">
        <w:trPr>
          <w:trHeight w:val="329"/>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1.4.1.2.1.Apakšaktivitāte "Darbspēju vērtēšanas sistēmas pilnveidošana"</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17568,26</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442827,44</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4,0%</w:t>
            </w:r>
          </w:p>
        </w:tc>
      </w:tr>
      <w:tr w:rsidR="00AF0873" w:rsidRPr="00E93E3A" w:rsidTr="00E33D95">
        <w:trPr>
          <w:trHeight w:val="395"/>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1.5.2.2.2.Apakšaktivitāte "NVO administratīvās kapacitātes stiprināšana"</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21058,21</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829666,22</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2,5%</w:t>
            </w:r>
          </w:p>
        </w:tc>
      </w:tr>
      <w:tr w:rsidR="00AF0873" w:rsidRPr="00E93E3A" w:rsidTr="00E33D95">
        <w:trPr>
          <w:trHeight w:val="658"/>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2.1.1.2.Aktivitāte "Atbalsts starptautiskās sadarbības projektiem zinātnē un tehnoloģijās (EUREKA, 7.IP un citi)"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48740,16</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1847255,58</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2,6%</w:t>
            </w:r>
          </w:p>
        </w:tc>
      </w:tr>
      <w:tr w:rsidR="00AF0873" w:rsidRPr="00E93E3A" w:rsidTr="00E33D95">
        <w:trPr>
          <w:trHeight w:val="263"/>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2.1.2.4.Aktivitāte "Augstas pievienotās vērtības investīcijas"</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2468540,52</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74615603,63</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3,3%</w:t>
            </w:r>
          </w:p>
        </w:tc>
      </w:tr>
      <w:tr w:rsidR="00AF0873" w:rsidRPr="00E93E3A" w:rsidTr="00E33D95">
        <w:trPr>
          <w:trHeight w:val="526"/>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 xml:space="preserve">2.3.2.2.Aktivitāte "Atbalsts ieguldījumiem </w:t>
            </w:r>
            <w:proofErr w:type="spellStart"/>
            <w:r w:rsidRPr="00097B3A">
              <w:rPr>
                <w:rFonts w:eastAsia="EUAlbertina-Bold-Identity-H"/>
                <w:color w:val="000000" w:themeColor="text1"/>
                <w:sz w:val="16"/>
                <w:szCs w:val="16"/>
              </w:rPr>
              <w:t>mikro</w:t>
            </w:r>
            <w:proofErr w:type="spellEnd"/>
            <w:r w:rsidRPr="00097B3A">
              <w:rPr>
                <w:rFonts w:eastAsia="EUAlbertina-Bold-Identity-H"/>
                <w:color w:val="000000" w:themeColor="text1"/>
                <w:sz w:val="16"/>
                <w:szCs w:val="16"/>
              </w:rPr>
              <w:t>, maziem un vidējiem komersantiem īpaši atbalstāmajās teritorijās (ĪAT)"</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479596,29</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12276384,12</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3,9%</w:t>
            </w:r>
          </w:p>
        </w:tc>
      </w:tr>
      <w:tr w:rsidR="00AF0873" w:rsidRPr="00E93E3A" w:rsidTr="00E33D95">
        <w:trPr>
          <w:trHeight w:val="292"/>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3.1.1.1.Aktivitāte "Mācību aprīkojuma modernizācija un infrastruktūras uzlabošana profesionālās izglītības programmu īstenošanai"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1225161,79</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9356558,77</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13,1%</w:t>
            </w:r>
          </w:p>
        </w:tc>
      </w:tr>
      <w:tr w:rsidR="00AF0873" w:rsidRPr="00E93E3A" w:rsidTr="00E33D95">
        <w:trPr>
          <w:trHeight w:val="395"/>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3.1.4.4.Aktivitāte "Atbalsts alternatīvās aprūpes pakalpojumu pieejamības attīstībai"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43013,55</w:t>
            </w:r>
            <w:r w:rsidR="002270AF" w:rsidRPr="00097B3A">
              <w:rPr>
                <w:rStyle w:val="FootnoteReference"/>
                <w:rFonts w:eastAsia="EUAlbertina-Bold-Identity-H"/>
                <w:color w:val="000000" w:themeColor="text1"/>
                <w:sz w:val="16"/>
                <w:szCs w:val="16"/>
              </w:rPr>
              <w:footnoteReference w:id="1"/>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2112809,08</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2,0%</w:t>
            </w:r>
          </w:p>
        </w:tc>
      </w:tr>
      <w:tr w:rsidR="00AF0873" w:rsidRPr="00E33D95" w:rsidTr="00E33D95">
        <w:trPr>
          <w:trHeight w:val="526"/>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3.4.1.1.Aktivitāte "Ūdenssaimniecības infrastruktūras attīstība apdzīvotās vietās ar iedzīvotāju skaitu līdz 2000"</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1380154,35</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39766921,11</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3,5%</w:t>
            </w:r>
          </w:p>
        </w:tc>
      </w:tr>
      <w:tr w:rsidR="00AF0873" w:rsidRPr="00E93E3A" w:rsidTr="00E33D95">
        <w:trPr>
          <w:trHeight w:val="647"/>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3.4.2.1.1.Apakšaktivitāte "Valsts nozīmes pilsētbūvniecības pieminekļu saglabāšana, atjaunošana un infrastruktūras pielāgošana tūrisma produkta attīstībai"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227284</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3988114,51</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5,7%</w:t>
            </w:r>
          </w:p>
        </w:tc>
      </w:tr>
      <w:tr w:rsidR="00AF0873" w:rsidRPr="00E93E3A" w:rsidTr="00E33D95">
        <w:trPr>
          <w:trHeight w:val="395"/>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 xml:space="preserve">3.4.2.1.2.Apakšaktivitāte "Nacionālās nozīmes </w:t>
            </w:r>
            <w:proofErr w:type="spellStart"/>
            <w:r w:rsidRPr="00097B3A">
              <w:rPr>
                <w:rFonts w:eastAsia="EUAlbertina-Bold-Identity-H"/>
                <w:color w:val="000000" w:themeColor="text1"/>
                <w:sz w:val="16"/>
                <w:szCs w:val="16"/>
              </w:rPr>
              <w:t>velotūrisma</w:t>
            </w:r>
            <w:proofErr w:type="spellEnd"/>
            <w:r w:rsidRPr="00097B3A">
              <w:rPr>
                <w:rFonts w:eastAsia="EUAlbertina-Bold-Identity-H"/>
                <w:color w:val="000000" w:themeColor="text1"/>
                <w:sz w:val="16"/>
                <w:szCs w:val="16"/>
              </w:rPr>
              <w:t xml:space="preserve"> produkta attīstība"</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40542,04</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1970450,71</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2,1%</w:t>
            </w:r>
          </w:p>
        </w:tc>
      </w:tr>
      <w:tr w:rsidR="00AF0873" w:rsidRPr="00E93E3A" w:rsidTr="00E33D95">
        <w:trPr>
          <w:trHeight w:val="395"/>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 xml:space="preserve">3.4.4.1.Aktivitāte "Daudzdzīvokļu māju </w:t>
            </w:r>
            <w:proofErr w:type="spellStart"/>
            <w:r w:rsidRPr="00097B3A">
              <w:rPr>
                <w:rFonts w:eastAsia="EUAlbertina-Bold-Identity-H"/>
                <w:color w:val="000000" w:themeColor="text1"/>
                <w:sz w:val="16"/>
                <w:szCs w:val="16"/>
              </w:rPr>
              <w:t>siltumnoturības</w:t>
            </w:r>
            <w:proofErr w:type="spellEnd"/>
            <w:r w:rsidRPr="00097B3A">
              <w:rPr>
                <w:rFonts w:eastAsia="EUAlbertina-Bold-Identity-H"/>
                <w:color w:val="000000" w:themeColor="text1"/>
                <w:sz w:val="16"/>
                <w:szCs w:val="16"/>
              </w:rPr>
              <w:t xml:space="preserve"> uzlabošanas pasākumi"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242888,09</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5613590,12</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4,3%</w:t>
            </w:r>
          </w:p>
        </w:tc>
      </w:tr>
      <w:tr w:rsidR="00AF0873" w:rsidRPr="00E93E3A" w:rsidTr="00E33D95">
        <w:trPr>
          <w:trHeight w:val="427"/>
        </w:trPr>
        <w:tc>
          <w:tcPr>
            <w:tcW w:w="5070"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 xml:space="preserve">3.4.4.2.Aktivitāte "Sociālo dzīvojamo māju </w:t>
            </w:r>
            <w:proofErr w:type="spellStart"/>
            <w:r w:rsidRPr="00097B3A">
              <w:rPr>
                <w:rFonts w:eastAsia="EUAlbertina-Bold-Identity-H"/>
                <w:color w:val="000000" w:themeColor="text1"/>
                <w:sz w:val="16"/>
                <w:szCs w:val="16"/>
              </w:rPr>
              <w:t>siltumnoturības</w:t>
            </w:r>
            <w:proofErr w:type="spellEnd"/>
            <w:r w:rsidRPr="00097B3A">
              <w:rPr>
                <w:rFonts w:eastAsia="EUAlbertina-Bold-Identity-H"/>
                <w:color w:val="000000" w:themeColor="text1"/>
                <w:sz w:val="16"/>
                <w:szCs w:val="16"/>
              </w:rPr>
              <w:t xml:space="preserve"> uzlabošanas pasākumi"</w:t>
            </w:r>
          </w:p>
        </w:tc>
        <w:tc>
          <w:tcPr>
            <w:tcW w:w="1417"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32940,26</w:t>
            </w:r>
          </w:p>
        </w:tc>
        <w:tc>
          <w:tcPr>
            <w:tcW w:w="1701"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1635742,77</w:t>
            </w:r>
          </w:p>
        </w:tc>
        <w:tc>
          <w:tcPr>
            <w:tcW w:w="1485" w:type="dxa"/>
            <w:hideMark/>
          </w:tcPr>
          <w:p w:rsidR="00AF0873" w:rsidRPr="00097B3A" w:rsidRDefault="00AF0873" w:rsidP="00E93E3A">
            <w:pPr>
              <w:spacing w:line="276" w:lineRule="auto"/>
              <w:rPr>
                <w:rFonts w:eastAsia="EUAlbertina-Bold-Identity-H"/>
                <w:color w:val="000000" w:themeColor="text1"/>
                <w:sz w:val="16"/>
                <w:szCs w:val="16"/>
              </w:rPr>
            </w:pPr>
            <w:r w:rsidRPr="00097B3A">
              <w:rPr>
                <w:rFonts w:eastAsia="EUAlbertina-Bold-Identity-H"/>
                <w:color w:val="000000" w:themeColor="text1"/>
                <w:sz w:val="16"/>
                <w:szCs w:val="16"/>
              </w:rPr>
              <w:t>2,0%</w:t>
            </w:r>
          </w:p>
        </w:tc>
      </w:tr>
    </w:tbl>
    <w:p w:rsidR="00E93E3A" w:rsidRDefault="00E93E3A"/>
    <w:p w:rsidR="00097B3A" w:rsidRDefault="00097B3A"/>
    <w:p w:rsidR="00A369A7" w:rsidRDefault="00A369A7" w:rsidP="00A369A7">
      <w:pPr>
        <w:pStyle w:val="NormalWeb"/>
        <w:tabs>
          <w:tab w:val="left" w:pos="6840"/>
        </w:tabs>
        <w:spacing w:before="0" w:beforeAutospacing="0" w:after="0" w:afterAutospacing="0"/>
        <w:ind w:firstLine="720"/>
        <w:rPr>
          <w:rFonts w:ascii="Times New Roman" w:hAnsi="Times New Roman"/>
          <w:color w:val="auto"/>
          <w:sz w:val="22"/>
          <w:szCs w:val="22"/>
        </w:rPr>
      </w:pPr>
      <w:r w:rsidRPr="00A369A7">
        <w:rPr>
          <w:rFonts w:ascii="Times New Roman" w:hAnsi="Times New Roman"/>
          <w:color w:val="auto"/>
          <w:sz w:val="22"/>
          <w:szCs w:val="22"/>
        </w:rPr>
        <w:t xml:space="preserve">Finanšu ministra </w:t>
      </w:r>
      <w:r w:rsidR="004674CB">
        <w:rPr>
          <w:rFonts w:ascii="Times New Roman" w:hAnsi="Times New Roman"/>
          <w:color w:val="auto"/>
          <w:sz w:val="22"/>
          <w:szCs w:val="22"/>
        </w:rPr>
        <w:t>vietā</w:t>
      </w:r>
    </w:p>
    <w:p w:rsidR="00E93E3A" w:rsidRPr="00097B3A" w:rsidRDefault="00A369A7" w:rsidP="00A369A7">
      <w:pPr>
        <w:pStyle w:val="NormalWeb"/>
        <w:tabs>
          <w:tab w:val="left" w:pos="6840"/>
        </w:tabs>
        <w:spacing w:before="0" w:beforeAutospacing="0" w:after="0" w:afterAutospacing="0"/>
        <w:ind w:firstLine="720"/>
        <w:rPr>
          <w:rFonts w:ascii="Times New Roman" w:hAnsi="Times New Roman"/>
          <w:color w:val="auto"/>
          <w:sz w:val="22"/>
          <w:szCs w:val="22"/>
        </w:rPr>
      </w:pPr>
      <w:r w:rsidRPr="00A369A7">
        <w:rPr>
          <w:rFonts w:ascii="Times New Roman" w:hAnsi="Times New Roman"/>
          <w:color w:val="auto"/>
          <w:sz w:val="22"/>
          <w:szCs w:val="22"/>
        </w:rPr>
        <w:t>labklājības ministre</w:t>
      </w:r>
      <w:r w:rsidR="00E93E3A" w:rsidRPr="00E33D95">
        <w:rPr>
          <w:rFonts w:ascii="Times New Roman" w:hAnsi="Times New Roman"/>
          <w:color w:val="auto"/>
          <w:sz w:val="22"/>
          <w:szCs w:val="22"/>
        </w:rPr>
        <w:tab/>
      </w:r>
      <w:r>
        <w:rPr>
          <w:rFonts w:ascii="Times New Roman" w:hAnsi="Times New Roman"/>
          <w:color w:val="auto"/>
          <w:sz w:val="22"/>
          <w:szCs w:val="22"/>
        </w:rPr>
        <w:t xml:space="preserve">I. </w:t>
      </w:r>
      <w:proofErr w:type="spellStart"/>
      <w:r>
        <w:rPr>
          <w:rFonts w:ascii="Times New Roman" w:hAnsi="Times New Roman"/>
          <w:color w:val="auto"/>
          <w:sz w:val="22"/>
          <w:szCs w:val="22"/>
        </w:rPr>
        <w:t>Viņķele</w:t>
      </w:r>
      <w:proofErr w:type="spellEnd"/>
    </w:p>
    <w:p w:rsidR="00A369A7" w:rsidRPr="000C743B" w:rsidRDefault="00A369A7" w:rsidP="00E93E3A">
      <w:pPr>
        <w:pStyle w:val="Header"/>
        <w:spacing w:before="120" w:after="120" w:line="276" w:lineRule="auto"/>
        <w:rPr>
          <w:sz w:val="26"/>
          <w:szCs w:val="26"/>
          <w:lang w:val="lv-LV"/>
        </w:rPr>
      </w:pPr>
      <w:bookmarkStart w:id="0" w:name="_GoBack"/>
      <w:bookmarkEnd w:id="0"/>
    </w:p>
    <w:p w:rsidR="00E93E3A" w:rsidRPr="00E33D95" w:rsidRDefault="00E93E3A" w:rsidP="00E93E3A">
      <w:pPr>
        <w:pStyle w:val="Header"/>
        <w:spacing w:line="276" w:lineRule="auto"/>
        <w:rPr>
          <w:sz w:val="16"/>
          <w:szCs w:val="16"/>
          <w:lang w:val="lv-LV"/>
        </w:rPr>
      </w:pPr>
      <w:r w:rsidRPr="00E33D95">
        <w:rPr>
          <w:sz w:val="16"/>
          <w:szCs w:val="16"/>
          <w:lang w:val="lv-LV"/>
        </w:rPr>
        <w:t>30.01.2012. 10:33</w:t>
      </w:r>
    </w:p>
    <w:p w:rsidR="00E93E3A" w:rsidRPr="00E33D95" w:rsidRDefault="00E93E3A" w:rsidP="00E93E3A">
      <w:pPr>
        <w:pStyle w:val="Header"/>
        <w:spacing w:line="276" w:lineRule="auto"/>
        <w:rPr>
          <w:color w:val="000000"/>
          <w:sz w:val="16"/>
          <w:szCs w:val="16"/>
          <w:lang w:eastAsia="lv-LV"/>
        </w:rPr>
      </w:pPr>
      <w:proofErr w:type="spellStart"/>
      <w:r w:rsidRPr="00E33D95">
        <w:rPr>
          <w:color w:val="000000"/>
          <w:sz w:val="16"/>
          <w:szCs w:val="16"/>
          <w:lang w:eastAsia="lv-LV"/>
        </w:rPr>
        <w:t>O.Daugavietis</w:t>
      </w:r>
      <w:proofErr w:type="spellEnd"/>
    </w:p>
    <w:p w:rsidR="00E93E3A" w:rsidRPr="00E33D95" w:rsidRDefault="00E93E3A" w:rsidP="00E93E3A">
      <w:pPr>
        <w:pStyle w:val="Header"/>
        <w:spacing w:line="276" w:lineRule="auto"/>
        <w:rPr>
          <w:color w:val="000000"/>
          <w:sz w:val="16"/>
          <w:szCs w:val="16"/>
          <w:lang w:eastAsia="lv-LV"/>
        </w:rPr>
      </w:pPr>
      <w:r w:rsidRPr="00E33D95">
        <w:rPr>
          <w:color w:val="000000"/>
          <w:sz w:val="16"/>
          <w:szCs w:val="16"/>
          <w:lang w:eastAsia="lv-LV"/>
        </w:rPr>
        <w:t>67095549,</w:t>
      </w:r>
    </w:p>
    <w:p w:rsidR="00E93E3A" w:rsidRPr="00E33D95" w:rsidRDefault="00E93E3A" w:rsidP="00E93E3A">
      <w:pPr>
        <w:pStyle w:val="Header"/>
        <w:spacing w:line="276" w:lineRule="auto"/>
        <w:rPr>
          <w:sz w:val="16"/>
          <w:szCs w:val="16"/>
          <w:lang w:val="lv-LV"/>
        </w:rPr>
      </w:pPr>
      <w:r w:rsidRPr="00E33D95">
        <w:rPr>
          <w:color w:val="000000"/>
          <w:sz w:val="16"/>
          <w:szCs w:val="16"/>
          <w:lang w:eastAsia="lv-LV"/>
        </w:rPr>
        <w:t>Ojars.Daugavietis@fm.gov.lv</w:t>
      </w:r>
    </w:p>
    <w:p w:rsidR="00E93E3A" w:rsidRDefault="00E93E3A"/>
    <w:sectPr w:rsidR="00E93E3A" w:rsidSect="00C7502A">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A7" w:rsidRDefault="00A369A7" w:rsidP="00A93D58">
      <w:r>
        <w:separator/>
      </w:r>
    </w:p>
  </w:endnote>
  <w:endnote w:type="continuationSeparator" w:id="0">
    <w:p w:rsidR="00A369A7" w:rsidRDefault="00A369A7" w:rsidP="00A9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A7" w:rsidRPr="00E33D95" w:rsidRDefault="00A369A7" w:rsidP="005745EF">
    <w:pPr>
      <w:pStyle w:val="Footer"/>
      <w:rPr>
        <w:sz w:val="16"/>
        <w:szCs w:val="16"/>
      </w:rPr>
    </w:pPr>
    <w:r w:rsidRPr="00E33D95">
      <w:rPr>
        <w:sz w:val="16"/>
        <w:szCs w:val="16"/>
      </w:rPr>
      <w:t xml:space="preserve">FMzinop8_010312; </w:t>
    </w:r>
    <w:r w:rsidRPr="00E33D95">
      <w:rPr>
        <w:rFonts w:eastAsia="EUAlbertina-Bold-Identity-H"/>
        <w:color w:val="000000" w:themeColor="text1"/>
        <w:sz w:val="16"/>
        <w:szCs w:val="16"/>
        <w:lang w:eastAsia="lv-LV"/>
      </w:rPr>
      <w:t>Informācija par aktivitātēm, kurās neatbilstību apjoms pret aktivitātē veiktajiem maksājumiem uz 31.12.2011 pārsniedz EK noteikto 2% būtiskuma līmeni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A7" w:rsidRDefault="00A369A7" w:rsidP="00A93D58">
      <w:r>
        <w:separator/>
      </w:r>
    </w:p>
  </w:footnote>
  <w:footnote w:type="continuationSeparator" w:id="0">
    <w:p w:rsidR="00A369A7" w:rsidRDefault="00A369A7" w:rsidP="00A93D58">
      <w:r>
        <w:continuationSeparator/>
      </w:r>
    </w:p>
  </w:footnote>
  <w:footnote w:id="1">
    <w:p w:rsidR="00A369A7" w:rsidRDefault="00A369A7" w:rsidP="002270AF">
      <w:pPr>
        <w:pStyle w:val="FootnoteText"/>
        <w:rPr>
          <w:sz w:val="16"/>
          <w:szCs w:val="16"/>
        </w:rPr>
      </w:pPr>
      <w:r w:rsidRPr="00E33D95">
        <w:rPr>
          <w:rStyle w:val="FootnoteReference"/>
          <w:sz w:val="16"/>
          <w:szCs w:val="16"/>
        </w:rPr>
        <w:footnoteRef/>
      </w:r>
      <w:r w:rsidRPr="00E33D95">
        <w:rPr>
          <w:sz w:val="16"/>
          <w:szCs w:val="16"/>
        </w:rPr>
        <w:t xml:space="preserve"> Gandrīz pusi no šīs summas - 20 046,00 LVL veido neatbilstošās izmaksas Skrunda novada pašvaldības īstenotā projektā Nr.3DP/3.1.4.4.0/09/APIA/VRAA/020, kurā uz savstarpējās vienošanās pamata starp līgumslēdzējiem tika panākta vienošanās izbeigt vienošanos, finansējuma saņēmējam atmaksājot saņemto avansa maksājumu, jo finansējuma saņēmējs konstatēja, ka tas nevar nodrošināt finansējumu, kā arī segt projekta sadārdzinājuma izmaksas.</w:t>
      </w:r>
    </w:p>
    <w:p w:rsidR="00A369A7" w:rsidRPr="00E33D95" w:rsidRDefault="00A369A7" w:rsidP="002270AF">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6518B"/>
    <w:multiLevelType w:val="multilevel"/>
    <w:tmpl w:val="0AAE01CA"/>
    <w:lvl w:ilvl="0">
      <w:start w:val="1"/>
      <w:numFmt w:val="decimal"/>
      <w:pStyle w:val="1lmenis"/>
      <w:lvlText w:val="%1."/>
      <w:lvlJc w:val="left"/>
      <w:pPr>
        <w:ind w:left="786"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73"/>
    <w:rsid w:val="00097B3A"/>
    <w:rsid w:val="00203B19"/>
    <w:rsid w:val="002270AF"/>
    <w:rsid w:val="00392C90"/>
    <w:rsid w:val="004674CB"/>
    <w:rsid w:val="0049789E"/>
    <w:rsid w:val="005745EF"/>
    <w:rsid w:val="006430C5"/>
    <w:rsid w:val="00661306"/>
    <w:rsid w:val="006B2E3B"/>
    <w:rsid w:val="006B4FCC"/>
    <w:rsid w:val="0078732D"/>
    <w:rsid w:val="007E6807"/>
    <w:rsid w:val="00814D12"/>
    <w:rsid w:val="008F519D"/>
    <w:rsid w:val="00A122C5"/>
    <w:rsid w:val="00A369A7"/>
    <w:rsid w:val="00A93D58"/>
    <w:rsid w:val="00AF0873"/>
    <w:rsid w:val="00B73300"/>
    <w:rsid w:val="00BF5F52"/>
    <w:rsid w:val="00C7502A"/>
    <w:rsid w:val="00E33D95"/>
    <w:rsid w:val="00E93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3"/>
    <w:pPr>
      <w:jc w:val="both"/>
    </w:pPr>
    <w:rPr>
      <w:rFonts w:eastAsia="Times New Roman" w:cs="Times New Roman"/>
      <w:szCs w:val="20"/>
    </w:rPr>
  </w:style>
  <w:style w:type="paragraph" w:styleId="Heading1">
    <w:name w:val="heading 1"/>
    <w:basedOn w:val="Normal"/>
    <w:next w:val="Normal"/>
    <w:link w:val="Heading1Char"/>
    <w:uiPriority w:val="9"/>
    <w:qFormat/>
    <w:rsid w:val="00AF0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873"/>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lmenis">
    <w:name w:val="1.līmenis"/>
    <w:basedOn w:val="Heading1"/>
    <w:link w:val="1lmenisChar"/>
    <w:qFormat/>
    <w:rsid w:val="00AF0873"/>
    <w:pPr>
      <w:keepLines w:val="0"/>
      <w:numPr>
        <w:numId w:val="1"/>
      </w:numPr>
      <w:spacing w:before="240" w:after="60"/>
    </w:pPr>
    <w:rPr>
      <w:rFonts w:ascii="Cambria" w:eastAsia="Times New Roman" w:hAnsi="Cambria" w:cs="Times New Roman"/>
      <w:color w:val="auto"/>
      <w:kern w:val="32"/>
      <w:sz w:val="36"/>
      <w:szCs w:val="30"/>
      <w:lang w:val="x-none" w:eastAsia="x-none"/>
    </w:rPr>
  </w:style>
  <w:style w:type="character" w:customStyle="1" w:styleId="1lmenisChar">
    <w:name w:val="1.līmenis Char"/>
    <w:link w:val="1lmenis"/>
    <w:rsid w:val="00AF0873"/>
    <w:rPr>
      <w:rFonts w:ascii="Cambria" w:eastAsia="Times New Roman" w:hAnsi="Cambria" w:cs="Times New Roman"/>
      <w:b/>
      <w:bCs/>
      <w:kern w:val="32"/>
      <w:sz w:val="36"/>
      <w:szCs w:val="30"/>
      <w:lang w:val="x-none" w:eastAsia="x-none"/>
    </w:rPr>
  </w:style>
  <w:style w:type="character" w:customStyle="1" w:styleId="Heading1Char">
    <w:name w:val="Heading 1 Char"/>
    <w:basedOn w:val="DefaultParagraphFont"/>
    <w:link w:val="Heading1"/>
    <w:uiPriority w:val="9"/>
    <w:rsid w:val="00AF08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E93E3A"/>
    <w:pPr>
      <w:tabs>
        <w:tab w:val="center" w:pos="4153"/>
        <w:tab w:val="right" w:pos="8306"/>
      </w:tabs>
      <w:jc w:val="left"/>
    </w:pPr>
    <w:rPr>
      <w:szCs w:val="24"/>
      <w:lang w:val="en-US"/>
    </w:rPr>
  </w:style>
  <w:style w:type="character" w:customStyle="1" w:styleId="HeaderChar">
    <w:name w:val="Header Char"/>
    <w:basedOn w:val="DefaultParagraphFont"/>
    <w:link w:val="Header"/>
    <w:uiPriority w:val="99"/>
    <w:rsid w:val="00E93E3A"/>
    <w:rPr>
      <w:rFonts w:eastAsia="Times New Roman" w:cs="Times New Roman"/>
      <w:szCs w:val="24"/>
      <w:lang w:val="en-US"/>
    </w:rPr>
  </w:style>
  <w:style w:type="paragraph" w:styleId="NormalWeb">
    <w:name w:val="Normal (Web)"/>
    <w:basedOn w:val="Normal"/>
    <w:uiPriority w:val="99"/>
    <w:rsid w:val="00E93E3A"/>
    <w:pPr>
      <w:spacing w:before="100" w:beforeAutospacing="1" w:after="100" w:afterAutospacing="1"/>
      <w:jc w:val="left"/>
    </w:pPr>
    <w:rPr>
      <w:rFonts w:ascii="Helvetica" w:hAnsi="Helvetica"/>
      <w:color w:val="000000"/>
      <w:sz w:val="20"/>
      <w:lang w:eastAsia="lv-LV"/>
    </w:rPr>
  </w:style>
  <w:style w:type="paragraph" w:styleId="Footer">
    <w:name w:val="footer"/>
    <w:basedOn w:val="Normal"/>
    <w:link w:val="FooterChar"/>
    <w:uiPriority w:val="99"/>
    <w:unhideWhenUsed/>
    <w:rsid w:val="00A93D58"/>
    <w:pPr>
      <w:tabs>
        <w:tab w:val="center" w:pos="4153"/>
        <w:tab w:val="right" w:pos="8306"/>
      </w:tabs>
    </w:pPr>
  </w:style>
  <w:style w:type="character" w:customStyle="1" w:styleId="FooterChar">
    <w:name w:val="Footer Char"/>
    <w:basedOn w:val="DefaultParagraphFont"/>
    <w:link w:val="Footer"/>
    <w:uiPriority w:val="99"/>
    <w:rsid w:val="00A93D58"/>
    <w:rPr>
      <w:rFonts w:eastAsia="Times New Roman" w:cs="Times New Roman"/>
      <w:szCs w:val="20"/>
    </w:rPr>
  </w:style>
  <w:style w:type="paragraph" w:styleId="BalloonText">
    <w:name w:val="Balloon Text"/>
    <w:basedOn w:val="Normal"/>
    <w:link w:val="BalloonTextChar"/>
    <w:uiPriority w:val="99"/>
    <w:semiHidden/>
    <w:unhideWhenUsed/>
    <w:rsid w:val="00A93D58"/>
    <w:rPr>
      <w:rFonts w:ascii="Tahoma" w:hAnsi="Tahoma" w:cs="Tahoma"/>
      <w:sz w:val="16"/>
      <w:szCs w:val="16"/>
    </w:rPr>
  </w:style>
  <w:style w:type="character" w:customStyle="1" w:styleId="BalloonTextChar">
    <w:name w:val="Balloon Text Char"/>
    <w:basedOn w:val="DefaultParagraphFont"/>
    <w:link w:val="BalloonText"/>
    <w:uiPriority w:val="99"/>
    <w:semiHidden/>
    <w:rsid w:val="00A93D58"/>
    <w:rPr>
      <w:rFonts w:ascii="Tahoma" w:eastAsia="Times New Roman" w:hAnsi="Tahoma" w:cs="Tahoma"/>
      <w:sz w:val="16"/>
      <w:szCs w:val="16"/>
    </w:rPr>
  </w:style>
  <w:style w:type="paragraph" w:styleId="FootnoteText">
    <w:name w:val="footnote text"/>
    <w:basedOn w:val="Normal"/>
    <w:link w:val="FootnoteTextChar"/>
    <w:uiPriority w:val="99"/>
    <w:unhideWhenUsed/>
    <w:rsid w:val="002270AF"/>
    <w:rPr>
      <w:sz w:val="20"/>
    </w:rPr>
  </w:style>
  <w:style w:type="character" w:customStyle="1" w:styleId="FootnoteTextChar">
    <w:name w:val="Footnote Text Char"/>
    <w:basedOn w:val="DefaultParagraphFont"/>
    <w:link w:val="FootnoteText"/>
    <w:uiPriority w:val="99"/>
    <w:rsid w:val="002270AF"/>
    <w:rPr>
      <w:rFonts w:eastAsia="Times New Roman" w:cs="Times New Roman"/>
      <w:sz w:val="20"/>
      <w:szCs w:val="20"/>
    </w:rPr>
  </w:style>
  <w:style w:type="character" w:styleId="FootnoteReference">
    <w:name w:val="footnote reference"/>
    <w:basedOn w:val="DefaultParagraphFont"/>
    <w:uiPriority w:val="99"/>
    <w:semiHidden/>
    <w:unhideWhenUsed/>
    <w:rsid w:val="002270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3"/>
    <w:pPr>
      <w:jc w:val="both"/>
    </w:pPr>
    <w:rPr>
      <w:rFonts w:eastAsia="Times New Roman" w:cs="Times New Roman"/>
      <w:szCs w:val="20"/>
    </w:rPr>
  </w:style>
  <w:style w:type="paragraph" w:styleId="Heading1">
    <w:name w:val="heading 1"/>
    <w:basedOn w:val="Normal"/>
    <w:next w:val="Normal"/>
    <w:link w:val="Heading1Char"/>
    <w:uiPriority w:val="9"/>
    <w:qFormat/>
    <w:rsid w:val="00AF0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873"/>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lmenis">
    <w:name w:val="1.līmenis"/>
    <w:basedOn w:val="Heading1"/>
    <w:link w:val="1lmenisChar"/>
    <w:qFormat/>
    <w:rsid w:val="00AF0873"/>
    <w:pPr>
      <w:keepLines w:val="0"/>
      <w:numPr>
        <w:numId w:val="1"/>
      </w:numPr>
      <w:spacing w:before="240" w:after="60"/>
    </w:pPr>
    <w:rPr>
      <w:rFonts w:ascii="Cambria" w:eastAsia="Times New Roman" w:hAnsi="Cambria" w:cs="Times New Roman"/>
      <w:color w:val="auto"/>
      <w:kern w:val="32"/>
      <w:sz w:val="36"/>
      <w:szCs w:val="30"/>
      <w:lang w:val="x-none" w:eastAsia="x-none"/>
    </w:rPr>
  </w:style>
  <w:style w:type="character" w:customStyle="1" w:styleId="1lmenisChar">
    <w:name w:val="1.līmenis Char"/>
    <w:link w:val="1lmenis"/>
    <w:rsid w:val="00AF0873"/>
    <w:rPr>
      <w:rFonts w:ascii="Cambria" w:eastAsia="Times New Roman" w:hAnsi="Cambria" w:cs="Times New Roman"/>
      <w:b/>
      <w:bCs/>
      <w:kern w:val="32"/>
      <w:sz w:val="36"/>
      <w:szCs w:val="30"/>
      <w:lang w:val="x-none" w:eastAsia="x-none"/>
    </w:rPr>
  </w:style>
  <w:style w:type="character" w:customStyle="1" w:styleId="Heading1Char">
    <w:name w:val="Heading 1 Char"/>
    <w:basedOn w:val="DefaultParagraphFont"/>
    <w:link w:val="Heading1"/>
    <w:uiPriority w:val="9"/>
    <w:rsid w:val="00AF08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E93E3A"/>
    <w:pPr>
      <w:tabs>
        <w:tab w:val="center" w:pos="4153"/>
        <w:tab w:val="right" w:pos="8306"/>
      </w:tabs>
      <w:jc w:val="left"/>
    </w:pPr>
    <w:rPr>
      <w:szCs w:val="24"/>
      <w:lang w:val="en-US"/>
    </w:rPr>
  </w:style>
  <w:style w:type="character" w:customStyle="1" w:styleId="HeaderChar">
    <w:name w:val="Header Char"/>
    <w:basedOn w:val="DefaultParagraphFont"/>
    <w:link w:val="Header"/>
    <w:uiPriority w:val="99"/>
    <w:rsid w:val="00E93E3A"/>
    <w:rPr>
      <w:rFonts w:eastAsia="Times New Roman" w:cs="Times New Roman"/>
      <w:szCs w:val="24"/>
      <w:lang w:val="en-US"/>
    </w:rPr>
  </w:style>
  <w:style w:type="paragraph" w:styleId="NormalWeb">
    <w:name w:val="Normal (Web)"/>
    <w:basedOn w:val="Normal"/>
    <w:uiPriority w:val="99"/>
    <w:rsid w:val="00E93E3A"/>
    <w:pPr>
      <w:spacing w:before="100" w:beforeAutospacing="1" w:after="100" w:afterAutospacing="1"/>
      <w:jc w:val="left"/>
    </w:pPr>
    <w:rPr>
      <w:rFonts w:ascii="Helvetica" w:hAnsi="Helvetica"/>
      <w:color w:val="000000"/>
      <w:sz w:val="20"/>
      <w:lang w:eastAsia="lv-LV"/>
    </w:rPr>
  </w:style>
  <w:style w:type="paragraph" w:styleId="Footer">
    <w:name w:val="footer"/>
    <w:basedOn w:val="Normal"/>
    <w:link w:val="FooterChar"/>
    <w:uiPriority w:val="99"/>
    <w:unhideWhenUsed/>
    <w:rsid w:val="00A93D58"/>
    <w:pPr>
      <w:tabs>
        <w:tab w:val="center" w:pos="4153"/>
        <w:tab w:val="right" w:pos="8306"/>
      </w:tabs>
    </w:pPr>
  </w:style>
  <w:style w:type="character" w:customStyle="1" w:styleId="FooterChar">
    <w:name w:val="Footer Char"/>
    <w:basedOn w:val="DefaultParagraphFont"/>
    <w:link w:val="Footer"/>
    <w:uiPriority w:val="99"/>
    <w:rsid w:val="00A93D58"/>
    <w:rPr>
      <w:rFonts w:eastAsia="Times New Roman" w:cs="Times New Roman"/>
      <w:szCs w:val="20"/>
    </w:rPr>
  </w:style>
  <w:style w:type="paragraph" w:styleId="BalloonText">
    <w:name w:val="Balloon Text"/>
    <w:basedOn w:val="Normal"/>
    <w:link w:val="BalloonTextChar"/>
    <w:uiPriority w:val="99"/>
    <w:semiHidden/>
    <w:unhideWhenUsed/>
    <w:rsid w:val="00A93D58"/>
    <w:rPr>
      <w:rFonts w:ascii="Tahoma" w:hAnsi="Tahoma" w:cs="Tahoma"/>
      <w:sz w:val="16"/>
      <w:szCs w:val="16"/>
    </w:rPr>
  </w:style>
  <w:style w:type="character" w:customStyle="1" w:styleId="BalloonTextChar">
    <w:name w:val="Balloon Text Char"/>
    <w:basedOn w:val="DefaultParagraphFont"/>
    <w:link w:val="BalloonText"/>
    <w:uiPriority w:val="99"/>
    <w:semiHidden/>
    <w:rsid w:val="00A93D58"/>
    <w:rPr>
      <w:rFonts w:ascii="Tahoma" w:eastAsia="Times New Roman" w:hAnsi="Tahoma" w:cs="Tahoma"/>
      <w:sz w:val="16"/>
      <w:szCs w:val="16"/>
    </w:rPr>
  </w:style>
  <w:style w:type="paragraph" w:styleId="FootnoteText">
    <w:name w:val="footnote text"/>
    <w:basedOn w:val="Normal"/>
    <w:link w:val="FootnoteTextChar"/>
    <w:uiPriority w:val="99"/>
    <w:unhideWhenUsed/>
    <w:rsid w:val="002270AF"/>
    <w:rPr>
      <w:sz w:val="20"/>
    </w:rPr>
  </w:style>
  <w:style w:type="character" w:customStyle="1" w:styleId="FootnoteTextChar">
    <w:name w:val="Footnote Text Char"/>
    <w:basedOn w:val="DefaultParagraphFont"/>
    <w:link w:val="FootnoteText"/>
    <w:uiPriority w:val="99"/>
    <w:rsid w:val="002270AF"/>
    <w:rPr>
      <w:rFonts w:eastAsia="Times New Roman" w:cs="Times New Roman"/>
      <w:sz w:val="20"/>
      <w:szCs w:val="20"/>
    </w:rPr>
  </w:style>
  <w:style w:type="character" w:styleId="FootnoteReference">
    <w:name w:val="footnote reference"/>
    <w:basedOn w:val="DefaultParagraphFont"/>
    <w:uiPriority w:val="99"/>
    <w:semiHidden/>
    <w:unhideWhenUsed/>
    <w:rsid w:val="00227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34216">
      <w:bodyDiv w:val="1"/>
      <w:marLeft w:val="0"/>
      <w:marRight w:val="0"/>
      <w:marTop w:val="0"/>
      <w:marBottom w:val="0"/>
      <w:divBdr>
        <w:top w:val="none" w:sz="0" w:space="0" w:color="auto"/>
        <w:left w:val="none" w:sz="0" w:space="0" w:color="auto"/>
        <w:bottom w:val="none" w:sz="0" w:space="0" w:color="auto"/>
        <w:right w:val="none" w:sz="0" w:space="0" w:color="auto"/>
      </w:divBdr>
    </w:div>
    <w:div w:id="1143617086">
      <w:bodyDiv w:val="1"/>
      <w:marLeft w:val="0"/>
      <w:marRight w:val="0"/>
      <w:marTop w:val="0"/>
      <w:marBottom w:val="0"/>
      <w:divBdr>
        <w:top w:val="none" w:sz="0" w:space="0" w:color="auto"/>
        <w:left w:val="none" w:sz="0" w:space="0" w:color="auto"/>
        <w:bottom w:val="none" w:sz="0" w:space="0" w:color="auto"/>
        <w:right w:val="none" w:sz="0" w:space="0" w:color="auto"/>
      </w:divBdr>
    </w:div>
    <w:div w:id="1305938325">
      <w:bodyDiv w:val="1"/>
      <w:marLeft w:val="0"/>
      <w:marRight w:val="0"/>
      <w:marTop w:val="0"/>
      <w:marBottom w:val="0"/>
      <w:divBdr>
        <w:top w:val="none" w:sz="0" w:space="0" w:color="auto"/>
        <w:left w:val="none" w:sz="0" w:space="0" w:color="auto"/>
        <w:bottom w:val="none" w:sz="0" w:space="0" w:color="auto"/>
        <w:right w:val="none" w:sz="0" w:space="0" w:color="auto"/>
      </w:divBdr>
    </w:div>
    <w:div w:id="18119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D510-918B-49B4-9737-5D374840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1767</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Informatīvā ziņojuma 8.pielikums</vt:lpstr>
    </vt:vector>
  </TitlesOfParts>
  <Company>Finanšu ministrija</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8.pielikums</dc:title>
  <dc:subject>Informācija par aktivitātēm, kurās neatbilstību apjoms pret aktivitātē veiktajiem maksājumiem uz 31.12.2011 pārsniedz EK noteikto 2% būtiskuma līmeni</dc:subject>
  <dc:creator>Ojārs Daugavietis</dc:creator>
  <dc:description>Ojārs Daugavietis
LR Finanšu ministrijas
Eiropas Savienības fondu uzraudzības departamenta
Ieviešanas sistēmas nodaļas
vecākais referents
Tālr.: 67 095 549; fakss 67095697
E-pasts: Ojars.Daugavietis@fm.gov.lv </dc:description>
  <cp:lastModifiedBy>Lelde Torntone</cp:lastModifiedBy>
  <cp:revision>21</cp:revision>
  <cp:lastPrinted>2012-02-29T13:53:00Z</cp:lastPrinted>
  <dcterms:created xsi:type="dcterms:W3CDTF">2012-01-30T17:31:00Z</dcterms:created>
  <dcterms:modified xsi:type="dcterms:W3CDTF">2012-03-01T10:11:00Z</dcterms:modified>
</cp:coreProperties>
</file>