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90" w:rsidRPr="00C95A39" w:rsidRDefault="00DA6C90" w:rsidP="00DA6C90">
      <w:pPr>
        <w:pStyle w:val="naislab"/>
        <w:spacing w:before="0" w:after="0"/>
        <w:jc w:val="center"/>
        <w:outlineLvl w:val="0"/>
        <w:rPr>
          <w:b/>
          <w:sz w:val="28"/>
          <w:szCs w:val="28"/>
        </w:rPr>
      </w:pPr>
      <w:r w:rsidRPr="00C95A39">
        <w:rPr>
          <w:b/>
          <w:sz w:val="28"/>
          <w:szCs w:val="28"/>
        </w:rPr>
        <w:t>Ministru kabineta noteikumu projekta</w:t>
      </w:r>
      <w:proofErr w:type="gramStart"/>
      <w:r w:rsidRPr="00C95A39">
        <w:rPr>
          <w:b/>
          <w:sz w:val="28"/>
          <w:szCs w:val="28"/>
        </w:rPr>
        <w:t xml:space="preserve"> ,,</w:t>
      </w:r>
      <w:proofErr w:type="gramEnd"/>
      <w:r w:rsidRPr="00C95A39">
        <w:rPr>
          <w:b/>
          <w:sz w:val="28"/>
          <w:szCs w:val="28"/>
        </w:rPr>
        <w:t>Licenču un sertifikātu reģistra noteikumi”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4315"/>
        <w:gridCol w:w="4860"/>
      </w:tblGrid>
      <w:tr w:rsidR="00DA6C90" w:rsidRPr="00C95A39" w:rsidTr="00DA6C90">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DA6C90" w:rsidRPr="00C95A39" w:rsidRDefault="00DA6C90">
            <w:pPr>
              <w:pStyle w:val="naisnod"/>
              <w:spacing w:before="0" w:after="0"/>
              <w:rPr>
                <w:sz w:val="28"/>
                <w:szCs w:val="28"/>
              </w:rPr>
            </w:pPr>
            <w:r w:rsidRPr="00C95A39">
              <w:rPr>
                <w:sz w:val="28"/>
                <w:szCs w:val="28"/>
              </w:rPr>
              <w:t>I. Tiesību akta projekta izstrādes nepieciešamība</w:t>
            </w:r>
          </w:p>
        </w:tc>
      </w:tr>
      <w:tr w:rsidR="00DA6C90" w:rsidRPr="00C95A39" w:rsidTr="00DA6C90">
        <w:trPr>
          <w:trHeight w:val="630"/>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1.</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ind w:hanging="10"/>
              <w:rPr>
                <w:sz w:val="28"/>
                <w:szCs w:val="28"/>
              </w:rPr>
            </w:pPr>
            <w:r w:rsidRPr="00C95A39">
              <w:rPr>
                <w:sz w:val="28"/>
                <w:szCs w:val="28"/>
              </w:rPr>
              <w:t>Pamatojums</w:t>
            </w:r>
          </w:p>
        </w:tc>
        <w:tc>
          <w:tcPr>
            <w:tcW w:w="4860" w:type="dxa"/>
            <w:tcBorders>
              <w:top w:val="single" w:sz="4" w:space="0" w:color="auto"/>
              <w:left w:val="single" w:sz="4" w:space="0" w:color="auto"/>
              <w:bottom w:val="single" w:sz="4" w:space="0" w:color="auto"/>
              <w:right w:val="single" w:sz="4" w:space="0" w:color="auto"/>
            </w:tcBorders>
            <w:hideMark/>
          </w:tcPr>
          <w:p w:rsidR="000948A2" w:rsidRDefault="000948A2" w:rsidP="00DA6C90">
            <w:pPr>
              <w:jc w:val="both"/>
              <w:rPr>
                <w:sz w:val="28"/>
                <w:szCs w:val="28"/>
              </w:rPr>
            </w:pPr>
            <w:r>
              <w:rPr>
                <w:sz w:val="28"/>
                <w:szCs w:val="28"/>
              </w:rPr>
              <w:t xml:space="preserve">Apsardzes darbības likuma </w:t>
            </w:r>
            <w:r w:rsidR="00DA6C90" w:rsidRPr="00C95A39">
              <w:rPr>
                <w:sz w:val="28"/>
                <w:szCs w:val="28"/>
              </w:rPr>
              <w:t>4</w:t>
            </w:r>
            <w:r w:rsidR="00DA6C90" w:rsidRPr="00C95A39">
              <w:rPr>
                <w:sz w:val="28"/>
                <w:szCs w:val="28"/>
                <w:vertAlign w:val="superscript"/>
              </w:rPr>
              <w:t>1</w:t>
            </w:r>
            <w:r w:rsidR="00DA6C90" w:rsidRPr="00C95A39">
              <w:rPr>
                <w:sz w:val="28"/>
                <w:szCs w:val="28"/>
              </w:rPr>
              <w:t>. panta otrā daļa</w:t>
            </w:r>
            <w:r>
              <w:rPr>
                <w:sz w:val="28"/>
                <w:szCs w:val="28"/>
              </w:rPr>
              <w:t xml:space="preserve"> </w:t>
            </w:r>
          </w:p>
          <w:p w:rsidR="00DA6C90" w:rsidRPr="00C95A39" w:rsidRDefault="00DA6C90" w:rsidP="00DA6C90">
            <w:pPr>
              <w:jc w:val="both"/>
              <w:rPr>
                <w:sz w:val="28"/>
                <w:szCs w:val="28"/>
              </w:rPr>
            </w:pPr>
            <w:r w:rsidRPr="00C95A39">
              <w:rPr>
                <w:sz w:val="28"/>
                <w:szCs w:val="28"/>
              </w:rPr>
              <w:t>Civilām vajadzībām paredzētu sprāgstvielu aprites likuma 10.panta sestā daļa un 26.panta otrā daļa</w:t>
            </w:r>
          </w:p>
          <w:p w:rsidR="00DA6C90" w:rsidRPr="00C95A39" w:rsidRDefault="00DA6C90" w:rsidP="00DA6C90">
            <w:pPr>
              <w:jc w:val="both"/>
              <w:rPr>
                <w:sz w:val="28"/>
                <w:szCs w:val="28"/>
              </w:rPr>
            </w:pPr>
            <w:r w:rsidRPr="00C95A39">
              <w:rPr>
                <w:sz w:val="28"/>
                <w:szCs w:val="28"/>
              </w:rPr>
              <w:t>Detektīvdarbības likuma 15.panta otrā daļa</w:t>
            </w:r>
          </w:p>
          <w:p w:rsidR="00DA6C90" w:rsidRPr="00C95A39" w:rsidRDefault="00DA6C90" w:rsidP="00DA6C90">
            <w:pPr>
              <w:jc w:val="both"/>
              <w:rPr>
                <w:sz w:val="28"/>
                <w:szCs w:val="28"/>
              </w:rPr>
            </w:pPr>
            <w:r w:rsidRPr="00C95A39">
              <w:rPr>
                <w:sz w:val="28"/>
                <w:szCs w:val="28"/>
              </w:rPr>
              <w:t xml:space="preserve">Ieroču un speciālo līdzekļu aprites likuma </w:t>
            </w:r>
          </w:p>
          <w:p w:rsidR="00DA6C90" w:rsidRPr="00C95A39" w:rsidRDefault="00DA6C90" w:rsidP="00DA6C90">
            <w:pPr>
              <w:jc w:val="both"/>
              <w:rPr>
                <w:sz w:val="28"/>
                <w:szCs w:val="28"/>
              </w:rPr>
            </w:pPr>
            <w:r w:rsidRPr="00C95A39">
              <w:rPr>
                <w:sz w:val="28"/>
                <w:szCs w:val="28"/>
              </w:rPr>
              <w:t>41. panta sestā daļa</w:t>
            </w:r>
          </w:p>
          <w:p w:rsidR="00DA6C90" w:rsidRPr="00C95A39" w:rsidRDefault="00DA6C90" w:rsidP="00DA6C90">
            <w:pPr>
              <w:jc w:val="both"/>
              <w:rPr>
                <w:sz w:val="28"/>
                <w:szCs w:val="28"/>
              </w:rPr>
            </w:pPr>
            <w:r w:rsidRPr="00C95A39">
              <w:rPr>
                <w:sz w:val="28"/>
                <w:szCs w:val="28"/>
              </w:rPr>
              <w:t>Pirotehnisko izstrādājumu aprites likuma</w:t>
            </w:r>
          </w:p>
          <w:p w:rsidR="00DA6C90" w:rsidRPr="00C95A39" w:rsidRDefault="00DA6C90" w:rsidP="00DA6C90">
            <w:pPr>
              <w:jc w:val="both"/>
              <w:rPr>
                <w:sz w:val="28"/>
                <w:szCs w:val="28"/>
              </w:rPr>
            </w:pPr>
            <w:r w:rsidRPr="00C95A39">
              <w:rPr>
                <w:sz w:val="28"/>
                <w:szCs w:val="28"/>
              </w:rPr>
              <w:t>6.panta sestā daļa un 19.panta astotā daļa</w:t>
            </w:r>
          </w:p>
          <w:p w:rsidR="00DA6C90" w:rsidRPr="00C95A39" w:rsidRDefault="00DA6C90" w:rsidP="00DA6C90">
            <w:pPr>
              <w:pStyle w:val="naiskr"/>
              <w:spacing w:before="0" w:after="0"/>
              <w:ind w:hanging="5"/>
              <w:jc w:val="both"/>
              <w:rPr>
                <w:sz w:val="28"/>
                <w:szCs w:val="28"/>
              </w:rPr>
            </w:pPr>
          </w:p>
        </w:tc>
      </w:tr>
      <w:tr w:rsidR="00DA6C90" w:rsidRPr="00C95A39" w:rsidTr="00DA6C90">
        <w:trPr>
          <w:trHeight w:val="472"/>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2.</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tabs>
                <w:tab w:val="left" w:pos="170"/>
              </w:tabs>
              <w:spacing w:before="0" w:after="0"/>
              <w:rPr>
                <w:sz w:val="28"/>
                <w:szCs w:val="28"/>
              </w:rPr>
            </w:pPr>
            <w:r w:rsidRPr="00C95A39">
              <w:rPr>
                <w:sz w:val="28"/>
                <w:szCs w:val="28"/>
              </w:rPr>
              <w:t>Pašreizējā situācija un problēmas</w:t>
            </w:r>
          </w:p>
        </w:tc>
        <w:tc>
          <w:tcPr>
            <w:tcW w:w="4860" w:type="dxa"/>
            <w:tcBorders>
              <w:top w:val="single" w:sz="4" w:space="0" w:color="auto"/>
              <w:left w:val="single" w:sz="4" w:space="0" w:color="auto"/>
              <w:bottom w:val="single" w:sz="4" w:space="0" w:color="auto"/>
              <w:right w:val="single" w:sz="4" w:space="0" w:color="auto"/>
            </w:tcBorders>
            <w:hideMark/>
          </w:tcPr>
          <w:p w:rsidR="002C1C8C" w:rsidRPr="00C95A39" w:rsidRDefault="00DA6C90" w:rsidP="002C1C8C">
            <w:pPr>
              <w:jc w:val="both"/>
              <w:rPr>
                <w:sz w:val="28"/>
                <w:szCs w:val="28"/>
              </w:rPr>
            </w:pPr>
            <w:r w:rsidRPr="00C95A39">
              <w:rPr>
                <w:sz w:val="28"/>
                <w:szCs w:val="28"/>
              </w:rPr>
              <w:t>Apsardzes darbības likuma 4</w:t>
            </w:r>
            <w:r w:rsidRPr="00C95A39">
              <w:rPr>
                <w:sz w:val="28"/>
                <w:szCs w:val="28"/>
                <w:vertAlign w:val="superscript"/>
              </w:rPr>
              <w:t>1</w:t>
            </w:r>
            <w:r w:rsidR="002C1C8C" w:rsidRPr="00C95A39">
              <w:rPr>
                <w:sz w:val="28"/>
                <w:szCs w:val="28"/>
              </w:rPr>
              <w:t>.panta otrajā daļā</w:t>
            </w:r>
            <w:r w:rsidRPr="00C95A39">
              <w:rPr>
                <w:sz w:val="28"/>
                <w:szCs w:val="28"/>
              </w:rPr>
              <w:t>, Civilām vajadzībām paredzētu sprāgstvielu aprites likuma</w:t>
            </w:r>
            <w:r w:rsidR="002C1C8C" w:rsidRPr="00C95A39">
              <w:rPr>
                <w:sz w:val="28"/>
                <w:szCs w:val="28"/>
              </w:rPr>
              <w:t xml:space="preserve"> 10.panta sestajā daļā</w:t>
            </w:r>
            <w:r w:rsidRPr="00C95A39">
              <w:rPr>
                <w:sz w:val="28"/>
                <w:szCs w:val="28"/>
              </w:rPr>
              <w:t xml:space="preserve"> un 26.panta otrajā daļā, Detektīvdarbības likuma 15.panta otrajā daļā, Ieroču un speciālo līdzekļu aprites likuma </w:t>
            </w:r>
            <w:r w:rsidR="002C1C8C" w:rsidRPr="00C95A39">
              <w:rPr>
                <w:sz w:val="28"/>
                <w:szCs w:val="28"/>
              </w:rPr>
              <w:t xml:space="preserve">41. panta sestajā daļā un </w:t>
            </w:r>
            <w:r w:rsidRPr="00C95A39">
              <w:rPr>
                <w:sz w:val="28"/>
                <w:szCs w:val="28"/>
              </w:rPr>
              <w:t>Pirotehnisko izstrādājumu aprites likuma</w:t>
            </w:r>
            <w:r w:rsidR="002C1C8C" w:rsidRPr="00C95A39">
              <w:rPr>
                <w:sz w:val="28"/>
                <w:szCs w:val="28"/>
              </w:rPr>
              <w:t xml:space="preserve"> 6.panta sestajā daļā</w:t>
            </w:r>
            <w:r w:rsidRPr="00C95A39">
              <w:rPr>
                <w:sz w:val="28"/>
                <w:szCs w:val="28"/>
              </w:rPr>
              <w:t xml:space="preserve"> un 19.panta astot</w:t>
            </w:r>
            <w:r w:rsidR="002C1C8C" w:rsidRPr="00C95A39">
              <w:rPr>
                <w:sz w:val="28"/>
                <w:szCs w:val="28"/>
              </w:rPr>
              <w:t>ajā daļā ir ietverts deleģējums Ministru kabinetam noteikt Licenču un sertifikātu reģistrā (turpmāk – reģistrs) reģistrējamo ziņu apjomu, šo ziņu iekļaušanas, izmantošanas un dzēšanas kārtību, kā arī institūcijas, kurām piešķirama piekļuve reģistrā iekļautajām ziņām.</w:t>
            </w:r>
          </w:p>
          <w:p w:rsidR="002C1C8C" w:rsidRPr="00C95A39" w:rsidRDefault="002C1C8C" w:rsidP="002C1C8C">
            <w:pPr>
              <w:jc w:val="both"/>
              <w:rPr>
                <w:sz w:val="28"/>
                <w:szCs w:val="28"/>
              </w:rPr>
            </w:pPr>
            <w:r w:rsidRPr="00C95A39">
              <w:rPr>
                <w:sz w:val="28"/>
                <w:szCs w:val="28"/>
              </w:rPr>
              <w:t xml:space="preserve">Šobrīd nav vienotas informācijas uzskaites sistēmas, kuru tiešsaistes režīmā varētu izmantot valsts institūcijas, lai iegūtu un pārbaudītu informāciju par dažāda veida </w:t>
            </w:r>
            <w:r w:rsidR="006E1CC1" w:rsidRPr="00C95A39">
              <w:rPr>
                <w:sz w:val="28"/>
                <w:szCs w:val="28"/>
              </w:rPr>
              <w:t>licencēm, apliecībām un sertifikātiem.</w:t>
            </w:r>
            <w:r w:rsidR="00143600" w:rsidRPr="00C95A39">
              <w:rPr>
                <w:sz w:val="28"/>
                <w:szCs w:val="28"/>
              </w:rPr>
              <w:t xml:space="preserve"> Reģistra pārzinis ir Iekšlietu ministrijas Informācijas centrs.</w:t>
            </w:r>
          </w:p>
          <w:p w:rsidR="00DA6C90" w:rsidRPr="00C95A39" w:rsidRDefault="006E1CC1" w:rsidP="006E1CC1">
            <w:pPr>
              <w:jc w:val="both"/>
              <w:rPr>
                <w:sz w:val="28"/>
                <w:szCs w:val="28"/>
              </w:rPr>
            </w:pPr>
            <w:r w:rsidRPr="00C95A39">
              <w:rPr>
                <w:sz w:val="28"/>
                <w:szCs w:val="28"/>
              </w:rPr>
              <w:t>Ņemot vērā minēto nepieciešams izstrādāt Ministru kabineta noteikumu projektu</w:t>
            </w:r>
            <w:proofErr w:type="gramStart"/>
            <w:r w:rsidRPr="00C95A39">
              <w:rPr>
                <w:sz w:val="28"/>
                <w:szCs w:val="28"/>
              </w:rPr>
              <w:t xml:space="preserve"> ,,</w:t>
            </w:r>
            <w:proofErr w:type="gramEnd"/>
            <w:r w:rsidRPr="00C95A39">
              <w:rPr>
                <w:sz w:val="28"/>
                <w:szCs w:val="28"/>
              </w:rPr>
              <w:t>Licenču un sertifikātu reģistra noteikumi” (turpmāk – Projekts).</w:t>
            </w:r>
          </w:p>
        </w:tc>
      </w:tr>
      <w:tr w:rsidR="00DA6C90" w:rsidRPr="00C95A39" w:rsidTr="00DA6C90">
        <w:trPr>
          <w:trHeight w:val="1071"/>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3.</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Saistītie politikas ietekmes novērtējumi un pētījumi</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6E1CC1">
            <w:pPr>
              <w:pStyle w:val="FootnoteText"/>
              <w:rPr>
                <w:sz w:val="28"/>
                <w:szCs w:val="28"/>
              </w:rPr>
            </w:pPr>
            <w:r w:rsidRPr="00C95A39">
              <w:rPr>
                <w:sz w:val="28"/>
                <w:szCs w:val="28"/>
              </w:rPr>
              <w:t>Projekts šo jomu neskar</w:t>
            </w:r>
          </w:p>
        </w:tc>
      </w:tr>
      <w:tr w:rsidR="00DA6C90" w:rsidRPr="00C95A39" w:rsidTr="00DA6C90">
        <w:trPr>
          <w:trHeight w:val="384"/>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lastRenderedPageBreak/>
              <w:t>4.</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Tiesiskā regulējuma mērķis un būtība</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6E1CC1" w:rsidP="006E1CC1">
            <w:pPr>
              <w:pStyle w:val="naiskr"/>
              <w:spacing w:before="0" w:after="0"/>
              <w:jc w:val="both"/>
              <w:rPr>
                <w:sz w:val="28"/>
                <w:szCs w:val="28"/>
              </w:rPr>
            </w:pPr>
            <w:r w:rsidRPr="00C95A39">
              <w:rPr>
                <w:iCs/>
                <w:sz w:val="28"/>
                <w:szCs w:val="28"/>
              </w:rPr>
              <w:t xml:space="preserve">Projekts </w:t>
            </w:r>
            <w:r w:rsidR="00143600" w:rsidRPr="00C95A39">
              <w:rPr>
                <w:iCs/>
                <w:sz w:val="28"/>
                <w:szCs w:val="28"/>
              </w:rPr>
              <w:t>paredz noteikt</w:t>
            </w:r>
            <w:r w:rsidRPr="00C95A39">
              <w:rPr>
                <w:iCs/>
                <w:sz w:val="28"/>
                <w:szCs w:val="28"/>
              </w:rPr>
              <w:t xml:space="preserve"> reģistrā</w:t>
            </w:r>
            <w:r w:rsidRPr="00C95A39">
              <w:rPr>
                <w:sz w:val="28"/>
                <w:szCs w:val="28"/>
              </w:rPr>
              <w:t xml:space="preserve"> reģistrējamo ziņu apjomu, šo ziņu iekļaušanas, izmantošanas un dzēšanas kārtību, kā arī institūcijas, kurām piešķirama piekļuve reģistrā iekļautajām ziņām.</w:t>
            </w:r>
          </w:p>
          <w:p w:rsidR="006E1CC1" w:rsidRPr="00C95A39" w:rsidRDefault="006E1CC1" w:rsidP="006E1CC1">
            <w:pPr>
              <w:jc w:val="both"/>
              <w:rPr>
                <w:sz w:val="28"/>
                <w:szCs w:val="28"/>
              </w:rPr>
            </w:pPr>
            <w:r w:rsidRPr="00C95A39">
              <w:rPr>
                <w:sz w:val="28"/>
                <w:szCs w:val="28"/>
              </w:rPr>
              <w:t>Projektā paredzēts, ka reģistrā iekļauj ziņas par:</w:t>
            </w:r>
          </w:p>
          <w:p w:rsidR="006E1CC1" w:rsidRPr="00C95A39" w:rsidRDefault="006E1CC1" w:rsidP="006E1CC1">
            <w:pPr>
              <w:jc w:val="both"/>
              <w:rPr>
                <w:sz w:val="28"/>
                <w:szCs w:val="28"/>
              </w:rPr>
            </w:pPr>
            <w:r w:rsidRPr="00C95A39">
              <w:rPr>
                <w:sz w:val="28"/>
                <w:szCs w:val="28"/>
              </w:rPr>
              <w:t>1. apsardzes darbības veikšanai izsniegtajām speciālajām atļaujām (licencēm), iekšējās drošības dienesta reģistrācijas apliecībām un apsardzes sertifikātiem, kā arī apsardzes komersantiem, iekšējās drošības dienestiem un to dalībniekiem, darbiniekiem un pārvaldes (pārstāvības) amatpersonām, kurām Apsardzes darbības likumā ir paredzēti ierobežojumi;</w:t>
            </w:r>
          </w:p>
          <w:p w:rsidR="006E1CC1" w:rsidRPr="00C95A39" w:rsidRDefault="006E1CC1" w:rsidP="006E1CC1">
            <w:pPr>
              <w:jc w:val="both"/>
              <w:rPr>
                <w:sz w:val="28"/>
                <w:szCs w:val="28"/>
              </w:rPr>
            </w:pPr>
            <w:proofErr w:type="gramStart"/>
            <w:r w:rsidRPr="00C95A39">
              <w:rPr>
                <w:sz w:val="28"/>
                <w:szCs w:val="28"/>
              </w:rPr>
              <w:t>2. speciālajām atļaujām</w:t>
            </w:r>
            <w:proofErr w:type="gramEnd"/>
            <w:r w:rsidRPr="00C95A39">
              <w:rPr>
                <w:sz w:val="28"/>
                <w:szCs w:val="28"/>
              </w:rPr>
              <w:t xml:space="preserve"> (licencēm) ieroču, munīcijas un speciālo līdzekļu komerciālajai apritei, komercsabiedrībām un individuālajiem komersantiem, kas tās saņēmuši, personām, kas ir tiesīgas pārstāvēt komercsabiedrību, tās dalībniekiem, kā arī darbiniekiem, kuriem Ieroču un speciālo līdzekļu aprites likumā ir </w:t>
            </w:r>
            <w:r w:rsidR="00C050D7" w:rsidRPr="00C95A39">
              <w:rPr>
                <w:sz w:val="28"/>
                <w:szCs w:val="28"/>
              </w:rPr>
              <w:t xml:space="preserve">paredzēti </w:t>
            </w:r>
            <w:r w:rsidRPr="00C95A39">
              <w:rPr>
                <w:sz w:val="28"/>
                <w:szCs w:val="28"/>
              </w:rPr>
              <w:t>ierobežojumi;</w:t>
            </w:r>
          </w:p>
          <w:p w:rsidR="006E1CC1" w:rsidRPr="00C95A39" w:rsidRDefault="000948A2" w:rsidP="006E1CC1">
            <w:pPr>
              <w:jc w:val="both"/>
              <w:rPr>
                <w:sz w:val="28"/>
                <w:szCs w:val="28"/>
              </w:rPr>
            </w:pPr>
            <w:proofErr w:type="gramStart"/>
            <w:r>
              <w:rPr>
                <w:sz w:val="28"/>
                <w:szCs w:val="28"/>
              </w:rPr>
              <w:t>3.</w:t>
            </w:r>
            <w:r w:rsidR="006E1CC1" w:rsidRPr="00C95A39">
              <w:rPr>
                <w:sz w:val="28"/>
                <w:szCs w:val="28"/>
              </w:rPr>
              <w:t>izsniegtajām speciālām atļaujām</w:t>
            </w:r>
            <w:proofErr w:type="gramEnd"/>
            <w:r w:rsidR="006E1CC1" w:rsidRPr="00C95A39">
              <w:rPr>
                <w:sz w:val="28"/>
                <w:szCs w:val="28"/>
              </w:rPr>
              <w:t xml:space="preserve"> (licencēm) komercdarbībai ar sprāgstvielām un spridzināšanas ietaisēm, licencēto komersantu vadītājiem un personām, kuras ieņem amatus komersantu pārvaldes institūcijās, kā arī komersanta darbiniekiem uz kuriem attiecas Civilām vajadzībām paredzētu sprāgstvielu aprites likuma noteikti ierobežojumi, spridzinātāja sertifikātiem un spridzināšanas darbu vadītāja sertifikātiem;</w:t>
            </w:r>
          </w:p>
          <w:p w:rsidR="006E1CC1" w:rsidRPr="00C95A39" w:rsidRDefault="006E1CC1" w:rsidP="006E1CC1">
            <w:pPr>
              <w:jc w:val="both"/>
              <w:rPr>
                <w:sz w:val="28"/>
                <w:szCs w:val="28"/>
              </w:rPr>
            </w:pPr>
            <w:proofErr w:type="gramStart"/>
            <w:r w:rsidRPr="00C95A39">
              <w:rPr>
                <w:sz w:val="28"/>
                <w:szCs w:val="28"/>
              </w:rPr>
              <w:t>4. izsniegtajām speciālajām atļaujām</w:t>
            </w:r>
            <w:proofErr w:type="gramEnd"/>
            <w:r w:rsidRPr="00C95A39">
              <w:rPr>
                <w:sz w:val="28"/>
                <w:szCs w:val="28"/>
              </w:rPr>
              <w:t xml:space="preserve"> (licencēm) komercdarbībai ar uguņošanas ierīcēm un skatuves pirotehniskajiem izstrādājumiem, individuālajiem komersantiem un personām, kuras ieņem </w:t>
            </w:r>
            <w:r w:rsidRPr="00C95A39">
              <w:rPr>
                <w:sz w:val="28"/>
                <w:szCs w:val="28"/>
              </w:rPr>
              <w:lastRenderedPageBreak/>
              <w:t>amatus komersanta pārvaldes institūcijās, ka arī komersanta darbiniekiem uz kuriem attiecas Pirotehnisko izstrādājumu aprites likuma noteikti ierobežojumi un pirotehniķu sertifikātiem;</w:t>
            </w:r>
          </w:p>
          <w:p w:rsidR="006E1CC1" w:rsidRPr="00C95A39" w:rsidRDefault="006E1CC1" w:rsidP="006E1CC1">
            <w:pPr>
              <w:jc w:val="both"/>
              <w:rPr>
                <w:sz w:val="28"/>
                <w:szCs w:val="28"/>
              </w:rPr>
            </w:pPr>
            <w:proofErr w:type="gramStart"/>
            <w:r w:rsidRPr="00C95A39">
              <w:rPr>
                <w:sz w:val="28"/>
                <w:szCs w:val="28"/>
              </w:rPr>
              <w:t>5. izsniegtajām speciālajām atļaujām</w:t>
            </w:r>
            <w:proofErr w:type="gramEnd"/>
            <w:r w:rsidRPr="00C95A39">
              <w:rPr>
                <w:sz w:val="28"/>
                <w:szCs w:val="28"/>
              </w:rPr>
              <w:t xml:space="preserve"> (licencēm) detektīvdarbības veikšanai un sertifikātiem detektīvdarbības veikšanai.</w:t>
            </w:r>
          </w:p>
          <w:p w:rsidR="006E1CC1" w:rsidRPr="00C95A39" w:rsidRDefault="006E1CC1" w:rsidP="006E1CC1">
            <w:pPr>
              <w:pStyle w:val="NormalWeb"/>
              <w:ind w:firstLine="360"/>
              <w:jc w:val="both"/>
              <w:rPr>
                <w:sz w:val="28"/>
                <w:szCs w:val="28"/>
              </w:rPr>
            </w:pPr>
            <w:r w:rsidRPr="00C95A39">
              <w:rPr>
                <w:sz w:val="28"/>
                <w:szCs w:val="28"/>
              </w:rPr>
              <w:t>Reģistrā iekļautām ziņām ir tiesīgas piekļūt un tās izmantot normatīvajos aktos noteikto funkciju veikša</w:t>
            </w:r>
            <w:r w:rsidR="00143600" w:rsidRPr="00C95A39">
              <w:rPr>
                <w:sz w:val="28"/>
                <w:szCs w:val="28"/>
              </w:rPr>
              <w:t xml:space="preserve">nai šādu institūciju </w:t>
            </w:r>
            <w:r w:rsidRPr="00C95A39">
              <w:rPr>
                <w:sz w:val="28"/>
                <w:szCs w:val="28"/>
              </w:rPr>
              <w:t>amatpersonas u</w:t>
            </w:r>
            <w:r w:rsidR="00D13A5A">
              <w:rPr>
                <w:sz w:val="28"/>
                <w:szCs w:val="28"/>
              </w:rPr>
              <w:t xml:space="preserve">n darbinieki: Valsts policija, </w:t>
            </w:r>
            <w:r w:rsidR="00D13A5A" w:rsidRPr="00934F54">
              <w:rPr>
                <w:sz w:val="28"/>
                <w:szCs w:val="28"/>
              </w:rPr>
              <w:t>v</w:t>
            </w:r>
            <w:r w:rsidRPr="00934F54">
              <w:rPr>
                <w:sz w:val="28"/>
                <w:szCs w:val="28"/>
              </w:rPr>
              <w:t>alsts drošības</w:t>
            </w:r>
            <w:r w:rsidR="00D13A5A" w:rsidRPr="00934F54">
              <w:rPr>
                <w:sz w:val="28"/>
                <w:szCs w:val="28"/>
              </w:rPr>
              <w:t xml:space="preserve"> iestādes</w:t>
            </w:r>
            <w:r w:rsidRPr="00C95A39">
              <w:rPr>
                <w:sz w:val="28"/>
                <w:szCs w:val="28"/>
              </w:rPr>
              <w:t>, Korupcijas novēršanas un apkarošanas birojs, Valsts robežsardze, tiesa, Valsts ieņēmumu dienests, Valsts darba inspekcija, Konkurences padome (visām reģistrā iekļautajām ziņām) pašvaldības (atsevišķām reģistrā iekļautajām ziņām).</w:t>
            </w:r>
          </w:p>
          <w:p w:rsidR="006E1CC1" w:rsidRPr="00C95A39" w:rsidRDefault="00143600" w:rsidP="00E32ED7">
            <w:pPr>
              <w:pStyle w:val="NormalWeb"/>
              <w:ind w:firstLine="360"/>
              <w:jc w:val="both"/>
              <w:rPr>
                <w:sz w:val="28"/>
                <w:szCs w:val="28"/>
              </w:rPr>
            </w:pPr>
            <w:r w:rsidRPr="00C95A39">
              <w:rPr>
                <w:sz w:val="28"/>
                <w:szCs w:val="28"/>
              </w:rPr>
              <w:t xml:space="preserve">Ņemot vērā, ka praksē parasti tiek izstrādāts viens normatīvais akts, kas regulē vienas informācijas sistēmas (apakšsistēmas) darbību un kurā vienkopus ir iekļauta visa informācija, kas attiecas uz </w:t>
            </w:r>
            <w:r w:rsidRPr="0027184E">
              <w:rPr>
                <w:sz w:val="28"/>
                <w:szCs w:val="28"/>
              </w:rPr>
              <w:t>šo sistēmu (apakšsistēmu), Projektā ir iekļautas normas, kas šobrīd ir paredzētas Ministru kabineta 2011.gada 19.aprīļa noteikumos Nr</w:t>
            </w:r>
            <w:r w:rsidRPr="00C95A39">
              <w:rPr>
                <w:sz w:val="28"/>
                <w:szCs w:val="28"/>
              </w:rPr>
              <w:t>.298</w:t>
            </w:r>
            <w:proofErr w:type="gramStart"/>
            <w:r w:rsidRPr="00C95A39">
              <w:rPr>
                <w:sz w:val="28"/>
                <w:szCs w:val="28"/>
              </w:rPr>
              <w:t xml:space="preserve"> ,,</w:t>
            </w:r>
            <w:proofErr w:type="gramEnd"/>
            <w:r w:rsidRPr="00C95A39">
              <w:rPr>
                <w:sz w:val="28"/>
                <w:szCs w:val="28"/>
              </w:rPr>
              <w:t>Kārtība, kādā reģistrējamas ziņas par speciālajām atļaujām (licencēm) detektīvdarbības veikšanai un sertifikātiem detektī</w:t>
            </w:r>
            <w:r w:rsidR="00E32ED7">
              <w:rPr>
                <w:sz w:val="28"/>
                <w:szCs w:val="28"/>
              </w:rPr>
              <w:t>vdarbības veikšanai” un Projekts</w:t>
            </w:r>
            <w:r w:rsidRPr="00C95A39">
              <w:rPr>
                <w:sz w:val="28"/>
                <w:szCs w:val="28"/>
              </w:rPr>
              <w:t xml:space="preserve"> paredz atzīt par spēku zaudējušiem minētos noteikumu</w:t>
            </w:r>
            <w:r w:rsidR="00C62447">
              <w:rPr>
                <w:sz w:val="28"/>
                <w:szCs w:val="28"/>
              </w:rPr>
              <w:t>s</w:t>
            </w:r>
            <w:r w:rsidRPr="00C95A39">
              <w:rPr>
                <w:sz w:val="28"/>
                <w:szCs w:val="28"/>
              </w:rPr>
              <w:t>.</w:t>
            </w:r>
          </w:p>
        </w:tc>
      </w:tr>
      <w:tr w:rsidR="00DA6C90" w:rsidRPr="00C95A39" w:rsidTr="00DA6C90">
        <w:trPr>
          <w:trHeight w:val="476"/>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lastRenderedPageBreak/>
              <w:t>5.</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Projekta izstrādē iesaistītās institūcijas</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143600">
            <w:pPr>
              <w:pStyle w:val="naiskr"/>
              <w:spacing w:before="0" w:after="0"/>
              <w:rPr>
                <w:sz w:val="28"/>
                <w:szCs w:val="28"/>
              </w:rPr>
            </w:pPr>
            <w:r w:rsidRPr="00C95A39">
              <w:rPr>
                <w:iCs/>
                <w:sz w:val="28"/>
                <w:szCs w:val="28"/>
              </w:rPr>
              <w:t>Iekšlietu ministrija, Valsts policija, Iekšlietu ministrijas Informācijas centrs</w:t>
            </w:r>
          </w:p>
        </w:tc>
      </w:tr>
      <w:tr w:rsidR="00DA6C90" w:rsidRPr="00C95A39" w:rsidTr="00661990">
        <w:trPr>
          <w:trHeight w:val="839"/>
        </w:trPr>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6.</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i/>
                <w:sz w:val="28"/>
                <w:szCs w:val="28"/>
                <w:highlight w:val="yellow"/>
              </w:rPr>
            </w:pPr>
            <w:r w:rsidRPr="00C95A39">
              <w:rPr>
                <w:sz w:val="28"/>
                <w:szCs w:val="28"/>
              </w:rPr>
              <w:t>Iemesli, kādēļ netika nodrošināta sabiedrības līdzdalība</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EC1CD5" w:rsidP="00EC1CD5">
            <w:pPr>
              <w:pStyle w:val="FootnoteText"/>
              <w:jc w:val="both"/>
              <w:rPr>
                <w:sz w:val="28"/>
                <w:szCs w:val="28"/>
              </w:rPr>
            </w:pPr>
            <w:r w:rsidRPr="00C95A39">
              <w:rPr>
                <w:sz w:val="28"/>
                <w:szCs w:val="28"/>
              </w:rPr>
              <w:t>Projekta izstrādes gaitā sabiedrības līdzdalība netika nodrošināta, jo reģistrs tiks izmantots valsts institūciju vajadzībām un neietekmēs iestāžu, organizāciju un komersantu, kā arī fizisko personu tiesības, pienākumus un komercdarbības veikšanas organizā</w:t>
            </w:r>
            <w:r w:rsidR="00661990">
              <w:rPr>
                <w:sz w:val="28"/>
                <w:szCs w:val="28"/>
              </w:rPr>
              <w:t xml:space="preserve">ciju. </w:t>
            </w:r>
          </w:p>
        </w:tc>
      </w:tr>
      <w:tr w:rsidR="00DA6C90" w:rsidRPr="00C95A39" w:rsidTr="00DA6C90">
        <w:tc>
          <w:tcPr>
            <w:tcW w:w="550"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7.</w:t>
            </w:r>
          </w:p>
        </w:tc>
        <w:tc>
          <w:tcPr>
            <w:tcW w:w="4315"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rPr>
                <w:sz w:val="28"/>
                <w:szCs w:val="28"/>
              </w:rPr>
            </w:pPr>
            <w:r w:rsidRPr="00C95A39">
              <w:rPr>
                <w:sz w:val="28"/>
                <w:szCs w:val="28"/>
              </w:rPr>
              <w:t>Cita informācija</w:t>
            </w:r>
          </w:p>
        </w:tc>
        <w:tc>
          <w:tcPr>
            <w:tcW w:w="4860" w:type="dxa"/>
            <w:tcBorders>
              <w:top w:val="single" w:sz="4" w:space="0" w:color="auto"/>
              <w:left w:val="single" w:sz="4" w:space="0" w:color="auto"/>
              <w:bottom w:val="single" w:sz="4" w:space="0" w:color="auto"/>
              <w:right w:val="single" w:sz="4" w:space="0" w:color="auto"/>
            </w:tcBorders>
            <w:hideMark/>
          </w:tcPr>
          <w:p w:rsidR="00DA6C90" w:rsidRPr="00C95A39" w:rsidRDefault="00EC1CD5">
            <w:pPr>
              <w:pStyle w:val="naiskr"/>
              <w:spacing w:before="0" w:after="0"/>
              <w:rPr>
                <w:sz w:val="28"/>
                <w:szCs w:val="28"/>
              </w:rPr>
            </w:pPr>
            <w:r w:rsidRPr="00C95A39">
              <w:rPr>
                <w:sz w:val="28"/>
                <w:szCs w:val="28"/>
              </w:rPr>
              <w:t>Nav</w:t>
            </w:r>
          </w:p>
        </w:tc>
      </w:tr>
    </w:tbl>
    <w:p w:rsidR="00DA6C90" w:rsidRPr="00C95A39" w:rsidRDefault="00DA6C90" w:rsidP="00DA6C90">
      <w:pPr>
        <w:pStyle w:val="naisf"/>
        <w:spacing w:before="0" w:after="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8"/>
        <w:gridCol w:w="4257"/>
        <w:gridCol w:w="4815"/>
      </w:tblGrid>
      <w:tr w:rsidR="00DA6C90" w:rsidRPr="00C95A39" w:rsidTr="00EC1CD5">
        <w:tc>
          <w:tcPr>
            <w:tcW w:w="9640" w:type="dxa"/>
            <w:gridSpan w:val="3"/>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rPr>
                <w:sz w:val="28"/>
                <w:szCs w:val="28"/>
              </w:rPr>
            </w:pPr>
            <w:r w:rsidRPr="00C95A39">
              <w:rPr>
                <w:sz w:val="28"/>
                <w:szCs w:val="28"/>
              </w:rPr>
              <w:t>VII. Tiesību akta projekta izpildes nodrošināšana un tās ietekme uz institūcijām</w:t>
            </w:r>
          </w:p>
        </w:tc>
      </w:tr>
      <w:tr w:rsidR="00DA6C90" w:rsidRPr="00C95A39" w:rsidTr="00EC1CD5">
        <w:trPr>
          <w:trHeight w:val="427"/>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jc w:val="left"/>
              <w:rPr>
                <w:b w:val="0"/>
                <w:sz w:val="28"/>
                <w:szCs w:val="28"/>
              </w:rPr>
            </w:pPr>
            <w:r w:rsidRPr="00C95A39">
              <w:rPr>
                <w:b w:val="0"/>
                <w:sz w:val="28"/>
                <w:szCs w:val="28"/>
              </w:rPr>
              <w:t>1.</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f"/>
              <w:spacing w:before="0" w:after="0"/>
              <w:ind w:left="57" w:right="57" w:firstLine="0"/>
              <w:jc w:val="left"/>
              <w:rPr>
                <w:sz w:val="28"/>
                <w:szCs w:val="28"/>
              </w:rPr>
            </w:pPr>
            <w:r w:rsidRPr="00C95A39">
              <w:rPr>
                <w:sz w:val="28"/>
                <w:szCs w:val="28"/>
              </w:rPr>
              <w:t xml:space="preserve">Projekta izpildē iesaistītās institūcijas </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rsidP="00D92CAA">
            <w:pPr>
              <w:pStyle w:val="naisnod"/>
              <w:spacing w:before="0" w:after="0"/>
              <w:ind w:right="57"/>
              <w:jc w:val="left"/>
              <w:rPr>
                <w:b w:val="0"/>
                <w:sz w:val="28"/>
                <w:szCs w:val="28"/>
              </w:rPr>
            </w:pPr>
            <w:r w:rsidRPr="00C95A39">
              <w:rPr>
                <w:b w:val="0"/>
                <w:iCs/>
                <w:sz w:val="28"/>
                <w:szCs w:val="28"/>
              </w:rPr>
              <w:t>Valsts policija, Iekšlietu ministrijas Informācijas centrs</w:t>
            </w:r>
          </w:p>
        </w:tc>
      </w:tr>
      <w:tr w:rsidR="00DA6C90" w:rsidRPr="00C95A39" w:rsidTr="00EC1CD5">
        <w:trPr>
          <w:trHeight w:val="463"/>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jc w:val="left"/>
              <w:rPr>
                <w:b w:val="0"/>
                <w:sz w:val="28"/>
                <w:szCs w:val="28"/>
              </w:rPr>
            </w:pPr>
            <w:r w:rsidRPr="00C95A39">
              <w:rPr>
                <w:b w:val="0"/>
                <w:sz w:val="28"/>
                <w:szCs w:val="28"/>
              </w:rPr>
              <w:t>2.</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f"/>
              <w:spacing w:before="0" w:after="0"/>
              <w:ind w:left="57" w:right="57" w:firstLine="0"/>
              <w:jc w:val="left"/>
              <w:rPr>
                <w:sz w:val="28"/>
                <w:szCs w:val="28"/>
              </w:rPr>
            </w:pPr>
            <w:r w:rsidRPr="00C95A39">
              <w:rPr>
                <w:sz w:val="28"/>
                <w:szCs w:val="28"/>
              </w:rPr>
              <w:t xml:space="preserve">Projekta izpildes ietekme uz pārvaldes funkcijām </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pPr>
              <w:pStyle w:val="naisnod"/>
              <w:spacing w:before="0" w:after="0"/>
              <w:ind w:left="57" w:right="57"/>
              <w:jc w:val="left"/>
              <w:rPr>
                <w:b w:val="0"/>
                <w:sz w:val="28"/>
                <w:szCs w:val="28"/>
              </w:rPr>
            </w:pPr>
            <w:r w:rsidRPr="00C95A39">
              <w:rPr>
                <w:b w:val="0"/>
                <w:iCs/>
                <w:sz w:val="28"/>
                <w:szCs w:val="28"/>
              </w:rPr>
              <w:t>Projekts šo jomu neskar</w:t>
            </w:r>
          </w:p>
        </w:tc>
      </w:tr>
      <w:tr w:rsidR="00DA6C90" w:rsidRPr="00C95A39" w:rsidTr="00EC1CD5">
        <w:trPr>
          <w:trHeight w:val="725"/>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jc w:val="left"/>
              <w:rPr>
                <w:b w:val="0"/>
                <w:sz w:val="28"/>
                <w:szCs w:val="28"/>
              </w:rPr>
            </w:pPr>
            <w:r w:rsidRPr="00C95A39">
              <w:rPr>
                <w:b w:val="0"/>
                <w:sz w:val="28"/>
                <w:szCs w:val="28"/>
              </w:rPr>
              <w:t>3.</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f"/>
              <w:spacing w:before="0" w:after="0"/>
              <w:ind w:left="57" w:right="57" w:firstLine="0"/>
              <w:jc w:val="left"/>
              <w:rPr>
                <w:sz w:val="28"/>
                <w:szCs w:val="28"/>
              </w:rPr>
            </w:pPr>
            <w:r w:rsidRPr="00C95A39">
              <w:rPr>
                <w:sz w:val="28"/>
                <w:szCs w:val="28"/>
              </w:rPr>
              <w:t>Projekta izpildes ietekme uz pārvaldes institucionālo struktūru.</w:t>
            </w:r>
          </w:p>
          <w:p w:rsidR="00DA6C90" w:rsidRPr="00C95A39" w:rsidRDefault="00DA6C90">
            <w:pPr>
              <w:pStyle w:val="naisf"/>
              <w:spacing w:before="0" w:after="0"/>
              <w:ind w:left="57" w:right="57" w:firstLine="0"/>
              <w:jc w:val="left"/>
              <w:rPr>
                <w:sz w:val="28"/>
                <w:szCs w:val="28"/>
              </w:rPr>
            </w:pPr>
            <w:r w:rsidRPr="00C95A39">
              <w:rPr>
                <w:sz w:val="28"/>
                <w:szCs w:val="28"/>
              </w:rPr>
              <w:t>Jaunu institūciju izveide</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pPr>
              <w:pStyle w:val="naisnod"/>
              <w:spacing w:before="0" w:after="0"/>
              <w:ind w:left="57" w:right="57"/>
              <w:jc w:val="left"/>
              <w:rPr>
                <w:b w:val="0"/>
                <w:sz w:val="28"/>
                <w:szCs w:val="28"/>
              </w:rPr>
            </w:pPr>
            <w:r w:rsidRPr="00C95A39">
              <w:rPr>
                <w:b w:val="0"/>
                <w:iCs/>
                <w:sz w:val="28"/>
                <w:szCs w:val="28"/>
              </w:rPr>
              <w:t>Projekts šo jomu neskar</w:t>
            </w:r>
          </w:p>
        </w:tc>
      </w:tr>
      <w:tr w:rsidR="00DA6C90" w:rsidRPr="00C95A39" w:rsidTr="00EC1CD5">
        <w:trPr>
          <w:trHeight w:val="780"/>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jc w:val="left"/>
              <w:rPr>
                <w:b w:val="0"/>
                <w:sz w:val="28"/>
                <w:szCs w:val="28"/>
              </w:rPr>
            </w:pPr>
            <w:r w:rsidRPr="00C95A39">
              <w:rPr>
                <w:b w:val="0"/>
                <w:sz w:val="28"/>
                <w:szCs w:val="28"/>
              </w:rPr>
              <w:t>4.</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f"/>
              <w:spacing w:before="0" w:after="0"/>
              <w:ind w:left="57" w:right="57" w:firstLine="0"/>
              <w:jc w:val="left"/>
              <w:rPr>
                <w:sz w:val="28"/>
                <w:szCs w:val="28"/>
              </w:rPr>
            </w:pPr>
            <w:r w:rsidRPr="00C95A39">
              <w:rPr>
                <w:sz w:val="28"/>
                <w:szCs w:val="28"/>
              </w:rPr>
              <w:t>Projekta izpildes ietekme uz pārvaldes institucionālo struktūru.</w:t>
            </w:r>
          </w:p>
          <w:p w:rsidR="00DA6C90" w:rsidRPr="00C95A39" w:rsidRDefault="00DA6C90">
            <w:pPr>
              <w:pStyle w:val="naisf"/>
              <w:spacing w:before="0" w:after="0"/>
              <w:ind w:left="57" w:right="57" w:firstLine="0"/>
              <w:jc w:val="left"/>
              <w:rPr>
                <w:sz w:val="28"/>
                <w:szCs w:val="28"/>
              </w:rPr>
            </w:pPr>
            <w:r w:rsidRPr="00C95A39">
              <w:rPr>
                <w:sz w:val="28"/>
                <w:szCs w:val="28"/>
              </w:rPr>
              <w:t>Esošu institūciju likvidācija</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pPr>
              <w:pStyle w:val="naisnod"/>
              <w:spacing w:before="0" w:after="0"/>
              <w:ind w:left="57" w:right="57"/>
              <w:jc w:val="left"/>
              <w:rPr>
                <w:b w:val="0"/>
                <w:sz w:val="28"/>
                <w:szCs w:val="28"/>
              </w:rPr>
            </w:pPr>
            <w:r w:rsidRPr="00C95A39">
              <w:rPr>
                <w:b w:val="0"/>
                <w:iCs/>
                <w:sz w:val="28"/>
                <w:szCs w:val="28"/>
              </w:rPr>
              <w:t>Projekts šo jomu neskar</w:t>
            </w:r>
          </w:p>
        </w:tc>
      </w:tr>
      <w:tr w:rsidR="00DA6C90" w:rsidRPr="00C95A39" w:rsidTr="00EC1CD5">
        <w:trPr>
          <w:trHeight w:val="703"/>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nod"/>
              <w:spacing w:before="0" w:after="0"/>
              <w:ind w:left="57" w:right="57"/>
              <w:jc w:val="left"/>
              <w:rPr>
                <w:b w:val="0"/>
                <w:sz w:val="28"/>
                <w:szCs w:val="28"/>
              </w:rPr>
            </w:pPr>
            <w:r w:rsidRPr="00C95A39">
              <w:rPr>
                <w:b w:val="0"/>
                <w:sz w:val="28"/>
                <w:szCs w:val="28"/>
              </w:rPr>
              <w:t>5.</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f"/>
              <w:spacing w:before="0" w:after="0"/>
              <w:ind w:left="57" w:right="57" w:firstLine="0"/>
              <w:jc w:val="left"/>
              <w:rPr>
                <w:sz w:val="28"/>
                <w:szCs w:val="28"/>
              </w:rPr>
            </w:pPr>
            <w:r w:rsidRPr="00C95A39">
              <w:rPr>
                <w:sz w:val="28"/>
                <w:szCs w:val="28"/>
              </w:rPr>
              <w:t>Projekta izpildes ietekme uz pārvaldes institucionālo struktūru.</w:t>
            </w:r>
          </w:p>
          <w:p w:rsidR="00DA6C90" w:rsidRPr="00C95A39" w:rsidRDefault="00DA6C90">
            <w:pPr>
              <w:pStyle w:val="naisf"/>
              <w:spacing w:before="0" w:after="0"/>
              <w:ind w:left="57" w:right="57" w:firstLine="0"/>
              <w:jc w:val="left"/>
              <w:rPr>
                <w:sz w:val="28"/>
                <w:szCs w:val="28"/>
              </w:rPr>
            </w:pPr>
            <w:r w:rsidRPr="00C95A39">
              <w:rPr>
                <w:sz w:val="28"/>
                <w:szCs w:val="28"/>
              </w:rPr>
              <w:t>Esošu institūciju reorganizācija</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pPr>
              <w:pStyle w:val="naisnod"/>
              <w:spacing w:before="0" w:after="0"/>
              <w:ind w:left="57" w:right="57"/>
              <w:jc w:val="left"/>
              <w:rPr>
                <w:b w:val="0"/>
                <w:sz w:val="28"/>
                <w:szCs w:val="28"/>
              </w:rPr>
            </w:pPr>
            <w:r w:rsidRPr="00C95A39">
              <w:rPr>
                <w:b w:val="0"/>
                <w:iCs/>
                <w:sz w:val="28"/>
                <w:szCs w:val="28"/>
              </w:rPr>
              <w:t>Projekts šo jomu neskar</w:t>
            </w:r>
          </w:p>
        </w:tc>
      </w:tr>
      <w:tr w:rsidR="00DA6C90" w:rsidRPr="00C95A39" w:rsidTr="00EC1CD5">
        <w:trPr>
          <w:trHeight w:val="476"/>
        </w:trPr>
        <w:tc>
          <w:tcPr>
            <w:tcW w:w="568"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ind w:left="57" w:right="57"/>
              <w:rPr>
                <w:sz w:val="28"/>
                <w:szCs w:val="28"/>
              </w:rPr>
            </w:pPr>
            <w:r w:rsidRPr="00C95A39">
              <w:rPr>
                <w:sz w:val="28"/>
                <w:szCs w:val="28"/>
              </w:rPr>
              <w:t>6.</w:t>
            </w:r>
          </w:p>
        </w:tc>
        <w:tc>
          <w:tcPr>
            <w:tcW w:w="4257" w:type="dxa"/>
            <w:tcBorders>
              <w:top w:val="single" w:sz="4" w:space="0" w:color="auto"/>
              <w:left w:val="single" w:sz="4" w:space="0" w:color="auto"/>
              <w:bottom w:val="single" w:sz="4" w:space="0" w:color="auto"/>
              <w:right w:val="single" w:sz="4" w:space="0" w:color="auto"/>
            </w:tcBorders>
            <w:hideMark/>
          </w:tcPr>
          <w:p w:rsidR="00DA6C90" w:rsidRPr="00C95A39" w:rsidRDefault="00DA6C90">
            <w:pPr>
              <w:pStyle w:val="naiskr"/>
              <w:spacing w:before="0" w:after="0"/>
              <w:ind w:left="57" w:right="57"/>
              <w:rPr>
                <w:sz w:val="28"/>
                <w:szCs w:val="28"/>
              </w:rPr>
            </w:pPr>
            <w:r w:rsidRPr="00C95A39">
              <w:rPr>
                <w:sz w:val="28"/>
                <w:szCs w:val="28"/>
              </w:rPr>
              <w:t>Cita informācija</w:t>
            </w:r>
          </w:p>
        </w:tc>
        <w:tc>
          <w:tcPr>
            <w:tcW w:w="4815" w:type="dxa"/>
            <w:tcBorders>
              <w:top w:val="single" w:sz="4" w:space="0" w:color="auto"/>
              <w:left w:val="single" w:sz="4" w:space="0" w:color="auto"/>
              <w:bottom w:val="single" w:sz="4" w:space="0" w:color="auto"/>
              <w:right w:val="single" w:sz="4" w:space="0" w:color="auto"/>
            </w:tcBorders>
            <w:hideMark/>
          </w:tcPr>
          <w:p w:rsidR="00DA6C90" w:rsidRPr="00C95A39" w:rsidRDefault="00D92CAA">
            <w:pPr>
              <w:pStyle w:val="naiskr"/>
              <w:spacing w:before="0" w:after="0"/>
              <w:ind w:left="57" w:right="57"/>
              <w:rPr>
                <w:sz w:val="28"/>
                <w:szCs w:val="28"/>
              </w:rPr>
            </w:pPr>
            <w:r w:rsidRPr="00C95A39">
              <w:rPr>
                <w:sz w:val="28"/>
                <w:szCs w:val="28"/>
              </w:rPr>
              <w:t>Nav</w:t>
            </w:r>
          </w:p>
        </w:tc>
      </w:tr>
    </w:tbl>
    <w:p w:rsidR="00D92CAA" w:rsidRPr="00C95A39" w:rsidRDefault="00D92CAA" w:rsidP="00D92CAA">
      <w:pPr>
        <w:pStyle w:val="naisf"/>
        <w:tabs>
          <w:tab w:val="left" w:pos="5760"/>
        </w:tabs>
        <w:spacing w:before="0" w:after="0"/>
        <w:ind w:firstLine="0"/>
        <w:rPr>
          <w:sz w:val="28"/>
          <w:szCs w:val="28"/>
        </w:rPr>
      </w:pPr>
    </w:p>
    <w:p w:rsidR="00D92CAA" w:rsidRPr="00C95A39" w:rsidRDefault="00D92CAA" w:rsidP="00D92CAA">
      <w:pPr>
        <w:pStyle w:val="naisf"/>
        <w:tabs>
          <w:tab w:val="left" w:pos="5760"/>
        </w:tabs>
        <w:spacing w:before="0" w:after="0"/>
        <w:ind w:firstLine="0"/>
        <w:rPr>
          <w:sz w:val="28"/>
          <w:szCs w:val="28"/>
        </w:rPr>
      </w:pPr>
    </w:p>
    <w:p w:rsidR="00DA6C90" w:rsidRPr="00C95A39" w:rsidRDefault="00D92CAA" w:rsidP="00D92CAA">
      <w:pPr>
        <w:pStyle w:val="naisf"/>
        <w:tabs>
          <w:tab w:val="left" w:pos="5760"/>
        </w:tabs>
        <w:spacing w:before="0" w:after="0"/>
        <w:ind w:firstLine="0"/>
        <w:rPr>
          <w:sz w:val="28"/>
          <w:szCs w:val="28"/>
        </w:rPr>
      </w:pPr>
      <w:r w:rsidRPr="00C95A39">
        <w:rPr>
          <w:sz w:val="28"/>
          <w:szCs w:val="28"/>
        </w:rPr>
        <w:t>Anotācijas II, III, IV, V, un VI sadaļa – projekts šīs jomas neskar.</w:t>
      </w:r>
    </w:p>
    <w:p w:rsidR="00DA6C90" w:rsidRPr="00C95A39" w:rsidRDefault="00DA6C90" w:rsidP="00DA6C90">
      <w:pPr>
        <w:pStyle w:val="naisf"/>
        <w:tabs>
          <w:tab w:val="left" w:pos="6804"/>
        </w:tabs>
        <w:spacing w:before="0" w:after="0"/>
        <w:ind w:firstLine="720"/>
        <w:rPr>
          <w:sz w:val="28"/>
          <w:szCs w:val="28"/>
        </w:rPr>
      </w:pPr>
    </w:p>
    <w:p w:rsidR="00980442" w:rsidRDefault="00980442" w:rsidP="00980442">
      <w:pPr>
        <w:pStyle w:val="naisf"/>
        <w:tabs>
          <w:tab w:val="left" w:pos="6521"/>
        </w:tabs>
        <w:spacing w:before="0" w:after="0"/>
        <w:ind w:firstLine="0"/>
        <w:rPr>
          <w:sz w:val="28"/>
          <w:szCs w:val="28"/>
        </w:rPr>
      </w:pPr>
    </w:p>
    <w:p w:rsidR="00980442" w:rsidRDefault="00980442" w:rsidP="00980442">
      <w:pPr>
        <w:pStyle w:val="naisf"/>
        <w:tabs>
          <w:tab w:val="left" w:pos="6521"/>
        </w:tabs>
        <w:spacing w:before="0" w:after="0"/>
        <w:ind w:firstLine="0"/>
        <w:rPr>
          <w:sz w:val="28"/>
          <w:szCs w:val="28"/>
          <w:lang w:eastAsia="en-US"/>
        </w:rPr>
      </w:pPr>
      <w:r>
        <w:rPr>
          <w:sz w:val="28"/>
          <w:szCs w:val="28"/>
          <w:lang w:eastAsia="en-US"/>
        </w:rPr>
        <w:t>Iekšlietu ministrs</w:t>
      </w:r>
      <w:r>
        <w:rPr>
          <w:sz w:val="28"/>
          <w:szCs w:val="28"/>
          <w:lang w:eastAsia="en-US"/>
        </w:rPr>
        <w:tab/>
        <w:t>R.Kozlovskis</w:t>
      </w:r>
    </w:p>
    <w:p w:rsidR="00D92CAA" w:rsidRPr="00C95A39" w:rsidRDefault="00D92CAA" w:rsidP="00D92CAA">
      <w:pPr>
        <w:jc w:val="both"/>
        <w:rPr>
          <w:sz w:val="28"/>
          <w:szCs w:val="28"/>
        </w:rPr>
      </w:pPr>
    </w:p>
    <w:p w:rsidR="00D92CAA" w:rsidRPr="00C95A39" w:rsidRDefault="00D92CAA" w:rsidP="00D92CAA">
      <w:pPr>
        <w:jc w:val="both"/>
        <w:rPr>
          <w:sz w:val="28"/>
          <w:szCs w:val="28"/>
        </w:rPr>
      </w:pPr>
    </w:p>
    <w:p w:rsidR="00D92CAA" w:rsidRPr="00C95A39" w:rsidRDefault="009700EC" w:rsidP="00D92CAA">
      <w:pPr>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92CAA" w:rsidRPr="00C95A39">
        <w:rPr>
          <w:sz w:val="28"/>
          <w:szCs w:val="28"/>
        </w:rPr>
        <w:t>I.Pētersone</w:t>
      </w:r>
      <w:r>
        <w:rPr>
          <w:sz w:val="28"/>
          <w:szCs w:val="28"/>
        </w:rPr>
        <w:t>-Godmane</w:t>
      </w:r>
    </w:p>
    <w:p w:rsidR="00E71020" w:rsidRPr="00C95A39" w:rsidRDefault="00E71020">
      <w:pPr>
        <w:rPr>
          <w:sz w:val="28"/>
          <w:szCs w:val="28"/>
        </w:rPr>
      </w:pPr>
    </w:p>
    <w:p w:rsidR="00D92CAA" w:rsidRPr="00C95A39" w:rsidRDefault="00D92CAA">
      <w:pPr>
        <w:rPr>
          <w:sz w:val="28"/>
          <w:szCs w:val="28"/>
        </w:rPr>
      </w:pPr>
    </w:p>
    <w:p w:rsidR="00D92CAA" w:rsidRPr="00C95A39" w:rsidRDefault="00D92CAA">
      <w:pPr>
        <w:rPr>
          <w:sz w:val="28"/>
          <w:szCs w:val="28"/>
        </w:rPr>
      </w:pPr>
    </w:p>
    <w:p w:rsidR="00D92CAA" w:rsidRPr="00C95A39" w:rsidRDefault="00D92CAA">
      <w:pPr>
        <w:rPr>
          <w:sz w:val="28"/>
          <w:szCs w:val="28"/>
        </w:rPr>
      </w:pPr>
    </w:p>
    <w:p w:rsidR="00D92CAA" w:rsidRPr="00C95A39" w:rsidRDefault="00D92CAA">
      <w:pPr>
        <w:rPr>
          <w:sz w:val="28"/>
          <w:szCs w:val="28"/>
        </w:rPr>
      </w:pPr>
    </w:p>
    <w:p w:rsidR="00D92CAA" w:rsidRPr="00C95A39" w:rsidRDefault="000948A2">
      <w:pPr>
        <w:rPr>
          <w:sz w:val="20"/>
          <w:szCs w:val="20"/>
        </w:rPr>
      </w:pPr>
      <w:r>
        <w:rPr>
          <w:sz w:val="20"/>
          <w:szCs w:val="20"/>
        </w:rPr>
        <w:t>12.01.2012</w:t>
      </w:r>
      <w:r w:rsidR="00D92CAA" w:rsidRPr="00C95A39">
        <w:rPr>
          <w:sz w:val="20"/>
          <w:szCs w:val="20"/>
        </w:rPr>
        <w:t xml:space="preserve">. </w:t>
      </w:r>
      <w:r w:rsidR="0058747B">
        <w:rPr>
          <w:sz w:val="20"/>
          <w:szCs w:val="20"/>
        </w:rPr>
        <w:t>15.00</w:t>
      </w:r>
    </w:p>
    <w:p w:rsidR="00D92CAA" w:rsidRPr="00C95A39" w:rsidRDefault="0058747B">
      <w:pPr>
        <w:rPr>
          <w:sz w:val="20"/>
          <w:szCs w:val="20"/>
        </w:rPr>
      </w:pPr>
      <w:r>
        <w:rPr>
          <w:sz w:val="20"/>
          <w:szCs w:val="20"/>
        </w:rPr>
        <w:t>692</w:t>
      </w:r>
    </w:p>
    <w:p w:rsidR="00D92CAA" w:rsidRPr="00C95A39" w:rsidRDefault="00D92CAA">
      <w:pPr>
        <w:rPr>
          <w:sz w:val="20"/>
          <w:szCs w:val="20"/>
        </w:rPr>
      </w:pPr>
      <w:r w:rsidRPr="00C95A39">
        <w:rPr>
          <w:sz w:val="20"/>
          <w:szCs w:val="20"/>
        </w:rPr>
        <w:t>K.Sproģis</w:t>
      </w:r>
      <w:bookmarkStart w:id="0" w:name="_GoBack"/>
      <w:bookmarkEnd w:id="0"/>
    </w:p>
    <w:p w:rsidR="00D92CAA" w:rsidRDefault="00D92CAA">
      <w:pPr>
        <w:rPr>
          <w:sz w:val="20"/>
          <w:szCs w:val="20"/>
        </w:rPr>
      </w:pPr>
      <w:r w:rsidRPr="00C95A39">
        <w:rPr>
          <w:sz w:val="20"/>
          <w:szCs w:val="20"/>
        </w:rPr>
        <w:t xml:space="preserve">67219478, </w:t>
      </w:r>
      <w:hyperlink r:id="rId8" w:history="1">
        <w:r w:rsidR="00836257" w:rsidRPr="0083340A">
          <w:rPr>
            <w:rStyle w:val="Hyperlink"/>
            <w:sz w:val="20"/>
            <w:szCs w:val="20"/>
          </w:rPr>
          <w:t>kristaps.sprogis@iem.gov.lv</w:t>
        </w:r>
      </w:hyperlink>
    </w:p>
    <w:p w:rsidR="00836257" w:rsidRPr="00C95A39" w:rsidRDefault="00836257">
      <w:pPr>
        <w:rPr>
          <w:sz w:val="20"/>
          <w:szCs w:val="20"/>
        </w:rPr>
      </w:pPr>
    </w:p>
    <w:sectPr w:rsidR="00836257" w:rsidRPr="00C95A39" w:rsidSect="007B79C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9A" w:rsidRDefault="00A8639A" w:rsidP="007B79C4">
      <w:r>
        <w:separator/>
      </w:r>
    </w:p>
  </w:endnote>
  <w:endnote w:type="continuationSeparator" w:id="0">
    <w:p w:rsidR="00A8639A" w:rsidRDefault="00A8639A" w:rsidP="007B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F6" w:rsidRPr="007B79C4" w:rsidRDefault="009307F6" w:rsidP="009307F6">
    <w:pPr>
      <w:pStyle w:val="naislab"/>
      <w:spacing w:before="0" w:after="0"/>
      <w:jc w:val="both"/>
      <w:outlineLvl w:val="0"/>
      <w:rPr>
        <w:sz w:val="20"/>
        <w:szCs w:val="20"/>
      </w:rPr>
    </w:pPr>
    <w:r w:rsidRPr="007B79C4">
      <w:rPr>
        <w:sz w:val="20"/>
        <w:szCs w:val="20"/>
      </w:rPr>
      <w:t>IEMAnot_</w:t>
    </w:r>
    <w:r>
      <w:rPr>
        <w:sz w:val="20"/>
        <w:szCs w:val="20"/>
      </w:rPr>
      <w:t>120112_registrs</w:t>
    </w:r>
    <w:r w:rsidRPr="007B79C4">
      <w:rPr>
        <w:sz w:val="20"/>
        <w:szCs w:val="20"/>
      </w:rPr>
      <w:t>; Ministru kabineta noteikumu projekta</w:t>
    </w:r>
    <w:proofErr w:type="gramStart"/>
    <w:r w:rsidRPr="007B79C4">
      <w:rPr>
        <w:sz w:val="20"/>
        <w:szCs w:val="20"/>
      </w:rPr>
      <w:t xml:space="preserve"> ,,</w:t>
    </w:r>
    <w:proofErr w:type="gramEnd"/>
    <w:r w:rsidRPr="007B79C4">
      <w:rPr>
        <w:sz w:val="20"/>
        <w:szCs w:val="20"/>
      </w:rPr>
      <w:t>Licenču un sertifikātu reģistra noteikumi” sākotnējās ietekmes novērtējuma ziņojums (anotācija)</w:t>
    </w:r>
  </w:p>
  <w:p w:rsidR="007B79C4" w:rsidRPr="009307F6" w:rsidRDefault="007B79C4" w:rsidP="00930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C4" w:rsidRPr="007B79C4" w:rsidRDefault="007B79C4" w:rsidP="007B79C4">
    <w:pPr>
      <w:pStyle w:val="naislab"/>
      <w:spacing w:before="0" w:after="0"/>
      <w:jc w:val="both"/>
      <w:outlineLvl w:val="0"/>
      <w:rPr>
        <w:sz w:val="20"/>
        <w:szCs w:val="20"/>
      </w:rPr>
    </w:pPr>
    <w:r w:rsidRPr="007B79C4">
      <w:rPr>
        <w:sz w:val="20"/>
        <w:szCs w:val="20"/>
      </w:rPr>
      <w:t>IEMAnot_</w:t>
    </w:r>
    <w:r w:rsidR="009307F6">
      <w:rPr>
        <w:sz w:val="20"/>
        <w:szCs w:val="20"/>
      </w:rPr>
      <w:t>120112</w:t>
    </w:r>
    <w:r w:rsidR="00432A6C">
      <w:rPr>
        <w:sz w:val="20"/>
        <w:szCs w:val="20"/>
      </w:rPr>
      <w:t>_registrs</w:t>
    </w:r>
    <w:r w:rsidRPr="007B79C4">
      <w:rPr>
        <w:sz w:val="20"/>
        <w:szCs w:val="20"/>
      </w:rPr>
      <w:t>; Ministru kabineta noteikumu projekta</w:t>
    </w:r>
    <w:proofErr w:type="gramStart"/>
    <w:r w:rsidRPr="007B79C4">
      <w:rPr>
        <w:sz w:val="20"/>
        <w:szCs w:val="20"/>
      </w:rPr>
      <w:t xml:space="preserve"> ,,</w:t>
    </w:r>
    <w:proofErr w:type="gramEnd"/>
    <w:r w:rsidRPr="007B79C4">
      <w:rPr>
        <w:sz w:val="20"/>
        <w:szCs w:val="20"/>
      </w:rPr>
      <w:t>Licenču un sertifikātu reģistra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9A" w:rsidRDefault="00A8639A" w:rsidP="007B79C4">
      <w:r>
        <w:separator/>
      </w:r>
    </w:p>
  </w:footnote>
  <w:footnote w:type="continuationSeparator" w:id="0">
    <w:p w:rsidR="00A8639A" w:rsidRDefault="00A8639A" w:rsidP="007B7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7810"/>
      <w:docPartObj>
        <w:docPartGallery w:val="Page Numbers (Top of Page)"/>
        <w:docPartUnique/>
      </w:docPartObj>
    </w:sdtPr>
    <w:sdtEndPr>
      <w:rPr>
        <w:noProof/>
      </w:rPr>
    </w:sdtEndPr>
    <w:sdtContent>
      <w:p w:rsidR="007B79C4" w:rsidRDefault="007B79C4">
        <w:pPr>
          <w:pStyle w:val="Header"/>
          <w:jc w:val="center"/>
        </w:pPr>
        <w:r>
          <w:fldChar w:fldCharType="begin"/>
        </w:r>
        <w:r>
          <w:instrText xml:space="preserve"> PAGE   \* MERGEFORMAT </w:instrText>
        </w:r>
        <w:r>
          <w:fldChar w:fldCharType="separate"/>
        </w:r>
        <w:r w:rsidR="0058747B">
          <w:rPr>
            <w:noProof/>
          </w:rPr>
          <w:t>4</w:t>
        </w:r>
        <w:r>
          <w:rPr>
            <w:noProof/>
          </w:rPr>
          <w:fldChar w:fldCharType="end"/>
        </w:r>
      </w:p>
    </w:sdtContent>
  </w:sdt>
  <w:p w:rsidR="007B79C4" w:rsidRDefault="007B7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71DD"/>
    <w:multiLevelType w:val="hybridMultilevel"/>
    <w:tmpl w:val="2DA449A2"/>
    <w:lvl w:ilvl="0" w:tplc="694A9B44">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
    <w:nsid w:val="39F83090"/>
    <w:multiLevelType w:val="hybridMultilevel"/>
    <w:tmpl w:val="743ED0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90"/>
    <w:rsid w:val="000948A2"/>
    <w:rsid w:val="000B530A"/>
    <w:rsid w:val="00143600"/>
    <w:rsid w:val="001969CE"/>
    <w:rsid w:val="0027184E"/>
    <w:rsid w:val="002C1C8C"/>
    <w:rsid w:val="0034484D"/>
    <w:rsid w:val="003B3A85"/>
    <w:rsid w:val="00432A6C"/>
    <w:rsid w:val="0045219E"/>
    <w:rsid w:val="00534E46"/>
    <w:rsid w:val="005803A7"/>
    <w:rsid w:val="0058747B"/>
    <w:rsid w:val="00661990"/>
    <w:rsid w:val="006C51F3"/>
    <w:rsid w:val="006E1CC1"/>
    <w:rsid w:val="007472E5"/>
    <w:rsid w:val="007B79C4"/>
    <w:rsid w:val="00836257"/>
    <w:rsid w:val="008847E5"/>
    <w:rsid w:val="008B22F7"/>
    <w:rsid w:val="008C5F95"/>
    <w:rsid w:val="008E67E6"/>
    <w:rsid w:val="008F34E2"/>
    <w:rsid w:val="009307F6"/>
    <w:rsid w:val="00934F54"/>
    <w:rsid w:val="009700EC"/>
    <w:rsid w:val="00980442"/>
    <w:rsid w:val="00A8639A"/>
    <w:rsid w:val="00AF37C3"/>
    <w:rsid w:val="00B47E83"/>
    <w:rsid w:val="00C050D7"/>
    <w:rsid w:val="00C62447"/>
    <w:rsid w:val="00C95A39"/>
    <w:rsid w:val="00CC237B"/>
    <w:rsid w:val="00CD0059"/>
    <w:rsid w:val="00D13A5A"/>
    <w:rsid w:val="00D8212A"/>
    <w:rsid w:val="00D92CAA"/>
    <w:rsid w:val="00DA6C90"/>
    <w:rsid w:val="00E32ED7"/>
    <w:rsid w:val="00E71020"/>
    <w:rsid w:val="00EC1CD5"/>
    <w:rsid w:val="00EE1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A6C90"/>
    <w:rPr>
      <w:sz w:val="20"/>
      <w:szCs w:val="20"/>
    </w:rPr>
  </w:style>
  <w:style w:type="character" w:customStyle="1" w:styleId="FootnoteTextChar">
    <w:name w:val="Footnote Text Char"/>
    <w:basedOn w:val="DefaultParagraphFont"/>
    <w:link w:val="FootnoteText"/>
    <w:rsid w:val="00DA6C90"/>
    <w:rPr>
      <w:rFonts w:ascii="Times New Roman" w:eastAsia="Times New Roman" w:hAnsi="Times New Roman" w:cs="Times New Roman"/>
      <w:sz w:val="20"/>
      <w:szCs w:val="20"/>
      <w:lang w:eastAsia="lv-LV"/>
    </w:rPr>
  </w:style>
  <w:style w:type="paragraph" w:customStyle="1" w:styleId="naisf">
    <w:name w:val="naisf"/>
    <w:basedOn w:val="Normal"/>
    <w:rsid w:val="00DA6C90"/>
    <w:pPr>
      <w:spacing w:before="75" w:after="75"/>
      <w:ind w:firstLine="375"/>
      <w:jc w:val="both"/>
    </w:pPr>
  </w:style>
  <w:style w:type="paragraph" w:customStyle="1" w:styleId="naisnod">
    <w:name w:val="naisnod"/>
    <w:basedOn w:val="Normal"/>
    <w:rsid w:val="00DA6C90"/>
    <w:pPr>
      <w:spacing w:before="150" w:after="150"/>
      <w:jc w:val="center"/>
    </w:pPr>
    <w:rPr>
      <w:b/>
      <w:bCs/>
    </w:rPr>
  </w:style>
  <w:style w:type="paragraph" w:customStyle="1" w:styleId="naislab">
    <w:name w:val="naislab"/>
    <w:basedOn w:val="Normal"/>
    <w:rsid w:val="00DA6C90"/>
    <w:pPr>
      <w:spacing w:before="75" w:after="75"/>
      <w:jc w:val="right"/>
    </w:pPr>
  </w:style>
  <w:style w:type="paragraph" w:customStyle="1" w:styleId="naiskr">
    <w:name w:val="naiskr"/>
    <w:basedOn w:val="Normal"/>
    <w:rsid w:val="00DA6C90"/>
    <w:pPr>
      <w:spacing w:before="75" w:after="75"/>
    </w:pPr>
  </w:style>
  <w:style w:type="paragraph" w:styleId="NormalWeb">
    <w:name w:val="Normal (Web)"/>
    <w:basedOn w:val="Normal"/>
    <w:unhideWhenUsed/>
    <w:rsid w:val="006E1CC1"/>
    <w:pPr>
      <w:spacing w:before="75" w:after="75"/>
    </w:pPr>
  </w:style>
  <w:style w:type="character" w:styleId="Hyperlink">
    <w:name w:val="Hyperlink"/>
    <w:basedOn w:val="DefaultParagraphFont"/>
    <w:rsid w:val="00EC1CD5"/>
    <w:rPr>
      <w:color w:val="0000FF"/>
      <w:u w:val="single"/>
    </w:rPr>
  </w:style>
  <w:style w:type="paragraph" w:styleId="Header">
    <w:name w:val="header"/>
    <w:basedOn w:val="Normal"/>
    <w:link w:val="HeaderChar"/>
    <w:uiPriority w:val="99"/>
    <w:unhideWhenUsed/>
    <w:rsid w:val="007B79C4"/>
    <w:pPr>
      <w:tabs>
        <w:tab w:val="center" w:pos="4153"/>
        <w:tab w:val="right" w:pos="8306"/>
      </w:tabs>
    </w:pPr>
  </w:style>
  <w:style w:type="character" w:customStyle="1" w:styleId="HeaderChar">
    <w:name w:val="Header Char"/>
    <w:basedOn w:val="DefaultParagraphFont"/>
    <w:link w:val="Header"/>
    <w:uiPriority w:val="99"/>
    <w:rsid w:val="007B79C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B79C4"/>
    <w:pPr>
      <w:tabs>
        <w:tab w:val="center" w:pos="4153"/>
        <w:tab w:val="right" w:pos="8306"/>
      </w:tabs>
    </w:pPr>
  </w:style>
  <w:style w:type="character" w:customStyle="1" w:styleId="FooterChar">
    <w:name w:val="Footer Char"/>
    <w:basedOn w:val="DefaultParagraphFont"/>
    <w:link w:val="Footer"/>
    <w:uiPriority w:val="99"/>
    <w:rsid w:val="007B79C4"/>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A6C90"/>
    <w:rPr>
      <w:sz w:val="20"/>
      <w:szCs w:val="20"/>
    </w:rPr>
  </w:style>
  <w:style w:type="character" w:customStyle="1" w:styleId="FootnoteTextChar">
    <w:name w:val="Footnote Text Char"/>
    <w:basedOn w:val="DefaultParagraphFont"/>
    <w:link w:val="FootnoteText"/>
    <w:rsid w:val="00DA6C90"/>
    <w:rPr>
      <w:rFonts w:ascii="Times New Roman" w:eastAsia="Times New Roman" w:hAnsi="Times New Roman" w:cs="Times New Roman"/>
      <w:sz w:val="20"/>
      <w:szCs w:val="20"/>
      <w:lang w:eastAsia="lv-LV"/>
    </w:rPr>
  </w:style>
  <w:style w:type="paragraph" w:customStyle="1" w:styleId="naisf">
    <w:name w:val="naisf"/>
    <w:basedOn w:val="Normal"/>
    <w:rsid w:val="00DA6C90"/>
    <w:pPr>
      <w:spacing w:before="75" w:after="75"/>
      <w:ind w:firstLine="375"/>
      <w:jc w:val="both"/>
    </w:pPr>
  </w:style>
  <w:style w:type="paragraph" w:customStyle="1" w:styleId="naisnod">
    <w:name w:val="naisnod"/>
    <w:basedOn w:val="Normal"/>
    <w:rsid w:val="00DA6C90"/>
    <w:pPr>
      <w:spacing w:before="150" w:after="150"/>
      <w:jc w:val="center"/>
    </w:pPr>
    <w:rPr>
      <w:b/>
      <w:bCs/>
    </w:rPr>
  </w:style>
  <w:style w:type="paragraph" w:customStyle="1" w:styleId="naislab">
    <w:name w:val="naislab"/>
    <w:basedOn w:val="Normal"/>
    <w:rsid w:val="00DA6C90"/>
    <w:pPr>
      <w:spacing w:before="75" w:after="75"/>
      <w:jc w:val="right"/>
    </w:pPr>
  </w:style>
  <w:style w:type="paragraph" w:customStyle="1" w:styleId="naiskr">
    <w:name w:val="naiskr"/>
    <w:basedOn w:val="Normal"/>
    <w:rsid w:val="00DA6C90"/>
    <w:pPr>
      <w:spacing w:before="75" w:after="75"/>
    </w:pPr>
  </w:style>
  <w:style w:type="paragraph" w:styleId="NormalWeb">
    <w:name w:val="Normal (Web)"/>
    <w:basedOn w:val="Normal"/>
    <w:unhideWhenUsed/>
    <w:rsid w:val="006E1CC1"/>
    <w:pPr>
      <w:spacing w:before="75" w:after="75"/>
    </w:pPr>
  </w:style>
  <w:style w:type="character" w:styleId="Hyperlink">
    <w:name w:val="Hyperlink"/>
    <w:basedOn w:val="DefaultParagraphFont"/>
    <w:rsid w:val="00EC1CD5"/>
    <w:rPr>
      <w:color w:val="0000FF"/>
      <w:u w:val="single"/>
    </w:rPr>
  </w:style>
  <w:style w:type="paragraph" w:styleId="Header">
    <w:name w:val="header"/>
    <w:basedOn w:val="Normal"/>
    <w:link w:val="HeaderChar"/>
    <w:uiPriority w:val="99"/>
    <w:unhideWhenUsed/>
    <w:rsid w:val="007B79C4"/>
    <w:pPr>
      <w:tabs>
        <w:tab w:val="center" w:pos="4153"/>
        <w:tab w:val="right" w:pos="8306"/>
      </w:tabs>
    </w:pPr>
  </w:style>
  <w:style w:type="character" w:customStyle="1" w:styleId="HeaderChar">
    <w:name w:val="Header Char"/>
    <w:basedOn w:val="DefaultParagraphFont"/>
    <w:link w:val="Header"/>
    <w:uiPriority w:val="99"/>
    <w:rsid w:val="007B79C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B79C4"/>
    <w:pPr>
      <w:tabs>
        <w:tab w:val="center" w:pos="4153"/>
        <w:tab w:val="right" w:pos="8306"/>
      </w:tabs>
    </w:pPr>
  </w:style>
  <w:style w:type="character" w:customStyle="1" w:styleId="FooterChar">
    <w:name w:val="Footer Char"/>
    <w:basedOn w:val="DefaultParagraphFont"/>
    <w:link w:val="Footer"/>
    <w:uiPriority w:val="99"/>
    <w:rsid w:val="007B79C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sprogis@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3789</Words>
  <Characters>2160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Ministru kabineta noteikumu projekta ,,Licenču un sertifikātu reģistra noteikumi” sākotnējās ietekmes novērtējuma ziņojums (anotācija)</vt:lpstr>
    </vt:vector>
  </TitlesOfParts>
  <Company>Iekšlietu ministrija</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,,Licenču un sertifikātu reģistra noteikumi” sākotnējās ietekmes novērtējuma ziņojums (anotācija)</dc:title>
  <dc:subject>Anotācija</dc:subject>
  <dc:creator>Kristaps Sproģis</dc:creator>
  <dc:description>kristaps.sprogis@iem.gov.lv
67219478</dc:description>
  <cp:lastModifiedBy>Gunta Kurme</cp:lastModifiedBy>
  <cp:revision>27</cp:revision>
  <dcterms:created xsi:type="dcterms:W3CDTF">2011-08-09T10:03:00Z</dcterms:created>
  <dcterms:modified xsi:type="dcterms:W3CDTF">2012-01-13T14:30:00Z</dcterms:modified>
</cp:coreProperties>
</file>