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49" w:rsidRPr="000A697E" w:rsidRDefault="00146408" w:rsidP="00874798">
      <w:pPr>
        <w:ind w:left="720"/>
        <w:jc w:val="center"/>
        <w:rPr>
          <w:b/>
          <w:sz w:val="28"/>
          <w:szCs w:val="28"/>
        </w:rPr>
      </w:pPr>
      <w:bookmarkStart w:id="0" w:name="_GoBack"/>
      <w:bookmarkEnd w:id="0"/>
      <w:r w:rsidRPr="000A697E">
        <w:rPr>
          <w:b/>
          <w:sz w:val="28"/>
          <w:szCs w:val="28"/>
        </w:rPr>
        <w:t xml:space="preserve">Ministru kabineta </w:t>
      </w:r>
      <w:r w:rsidR="00D4284B" w:rsidRPr="000A697E">
        <w:rPr>
          <w:b/>
          <w:sz w:val="28"/>
          <w:szCs w:val="28"/>
        </w:rPr>
        <w:t>noteikumu</w:t>
      </w:r>
      <w:r w:rsidRPr="000A697E">
        <w:rPr>
          <w:b/>
          <w:sz w:val="28"/>
          <w:szCs w:val="28"/>
        </w:rPr>
        <w:t xml:space="preserve"> projekta „</w:t>
      </w:r>
      <w:r w:rsidR="00D4284B" w:rsidRPr="000A697E">
        <w:rPr>
          <w:b/>
          <w:sz w:val="28"/>
          <w:szCs w:val="28"/>
        </w:rPr>
        <w:t>Noteikumi par nederīgo dokumentu reģistru</w:t>
      </w:r>
      <w:r w:rsidRPr="000A697E">
        <w:rPr>
          <w:b/>
          <w:sz w:val="28"/>
          <w:szCs w:val="28"/>
        </w:rPr>
        <w:t>”</w:t>
      </w:r>
      <w:r w:rsidR="00852042" w:rsidRPr="000A697E">
        <w:rPr>
          <w:b/>
          <w:sz w:val="28"/>
          <w:szCs w:val="28"/>
        </w:rPr>
        <w:t xml:space="preserve"> sākotnējā</w:t>
      </w:r>
      <w:r w:rsidR="002D3306" w:rsidRPr="000A697E">
        <w:rPr>
          <w:b/>
          <w:sz w:val="28"/>
          <w:szCs w:val="28"/>
        </w:rPr>
        <w:t>s</w:t>
      </w:r>
      <w:r w:rsidR="00852042" w:rsidRPr="000A697E">
        <w:rPr>
          <w:b/>
          <w:sz w:val="28"/>
          <w:szCs w:val="28"/>
        </w:rPr>
        <w:t xml:space="preserve"> ietekmes novērtējuma ziņojums (anotācija)</w:t>
      </w:r>
    </w:p>
    <w:p w:rsidR="00C331D1" w:rsidRPr="000A697E" w:rsidRDefault="00C331D1" w:rsidP="00874798">
      <w:pPr>
        <w:ind w:left="720"/>
        <w:jc w:val="center"/>
        <w:rPr>
          <w:b/>
          <w:sz w:val="28"/>
          <w:szCs w:val="28"/>
        </w:rPr>
      </w:pPr>
    </w:p>
    <w:tbl>
      <w:tblPr>
        <w:tblStyle w:val="TableGrid"/>
        <w:tblW w:w="0" w:type="auto"/>
        <w:tblInd w:w="108" w:type="dxa"/>
        <w:tblLook w:val="04A0" w:firstRow="1" w:lastRow="0" w:firstColumn="1" w:lastColumn="0" w:noHBand="0" w:noVBand="1"/>
      </w:tblPr>
      <w:tblGrid>
        <w:gridCol w:w="480"/>
        <w:gridCol w:w="2985"/>
        <w:gridCol w:w="5466"/>
      </w:tblGrid>
      <w:tr w:rsidR="00C331D1" w:rsidRPr="000A697E" w:rsidTr="00F36C69">
        <w:tc>
          <w:tcPr>
            <w:tcW w:w="8931" w:type="dxa"/>
            <w:gridSpan w:val="3"/>
          </w:tcPr>
          <w:p w:rsidR="00C331D1" w:rsidRPr="000A697E" w:rsidRDefault="00C331D1" w:rsidP="00874798">
            <w:pPr>
              <w:jc w:val="center"/>
              <w:rPr>
                <w:b/>
                <w:sz w:val="28"/>
                <w:szCs w:val="28"/>
              </w:rPr>
            </w:pPr>
            <w:r w:rsidRPr="000A697E">
              <w:rPr>
                <w:sz w:val="28"/>
                <w:szCs w:val="28"/>
              </w:rPr>
              <w:t> I. Tiesību akta projekta izstrādes nepieciešamība</w:t>
            </w:r>
          </w:p>
        </w:tc>
      </w:tr>
      <w:tr w:rsidR="00C331D1" w:rsidRPr="000A697E" w:rsidTr="00F36C69">
        <w:tc>
          <w:tcPr>
            <w:tcW w:w="480" w:type="dxa"/>
          </w:tcPr>
          <w:p w:rsidR="00C331D1" w:rsidRPr="000A697E" w:rsidRDefault="00F36C69" w:rsidP="00874798">
            <w:pPr>
              <w:jc w:val="center"/>
              <w:rPr>
                <w:sz w:val="28"/>
                <w:szCs w:val="28"/>
              </w:rPr>
            </w:pPr>
            <w:r w:rsidRPr="000A697E">
              <w:rPr>
                <w:sz w:val="28"/>
                <w:szCs w:val="28"/>
              </w:rPr>
              <w:t>1.</w:t>
            </w:r>
          </w:p>
        </w:tc>
        <w:tc>
          <w:tcPr>
            <w:tcW w:w="2985" w:type="dxa"/>
          </w:tcPr>
          <w:p w:rsidR="00C331D1" w:rsidRPr="000A697E" w:rsidRDefault="00C331D1" w:rsidP="00874798">
            <w:pPr>
              <w:rPr>
                <w:sz w:val="28"/>
                <w:szCs w:val="28"/>
              </w:rPr>
            </w:pPr>
            <w:r w:rsidRPr="000A697E">
              <w:rPr>
                <w:sz w:val="28"/>
                <w:szCs w:val="28"/>
              </w:rPr>
              <w:t>Pamatojums</w:t>
            </w:r>
          </w:p>
        </w:tc>
        <w:tc>
          <w:tcPr>
            <w:tcW w:w="5466" w:type="dxa"/>
          </w:tcPr>
          <w:p w:rsidR="00C331D1" w:rsidRPr="000A697E" w:rsidRDefault="00C331D1" w:rsidP="00874798">
            <w:pPr>
              <w:rPr>
                <w:sz w:val="28"/>
                <w:szCs w:val="28"/>
              </w:rPr>
            </w:pPr>
            <w:r w:rsidRPr="000A697E">
              <w:rPr>
                <w:sz w:val="28"/>
                <w:szCs w:val="28"/>
              </w:rPr>
              <w:t xml:space="preserve">Personu apliecinošu dokumentu likuma 16.panta otro daļa, </w:t>
            </w:r>
            <w:r w:rsidRPr="000A697E">
              <w:rPr>
                <w:sz w:val="28"/>
                <w:szCs w:val="28"/>
              </w:rPr>
              <w:br/>
              <w:t xml:space="preserve">Jūrlietu pārvaldes un jūras drošības likuma 27.panta piektā daļa,  </w:t>
            </w:r>
            <w:r w:rsidRPr="000A697E">
              <w:rPr>
                <w:sz w:val="28"/>
                <w:szCs w:val="28"/>
              </w:rPr>
              <w:br/>
              <w:t>Ceļu satiksmes likuma 30.</w:t>
            </w:r>
            <w:r w:rsidR="001A5C7D">
              <w:rPr>
                <w:sz w:val="28"/>
                <w:szCs w:val="28"/>
              </w:rPr>
              <w:t xml:space="preserve"> </w:t>
            </w:r>
            <w:r w:rsidRPr="000A697E">
              <w:rPr>
                <w:sz w:val="28"/>
                <w:szCs w:val="28"/>
              </w:rPr>
              <w:t>panta trešo daļa.</w:t>
            </w:r>
          </w:p>
        </w:tc>
      </w:tr>
      <w:tr w:rsidR="00C331D1" w:rsidRPr="000A697E" w:rsidTr="00F36C69">
        <w:tc>
          <w:tcPr>
            <w:tcW w:w="480" w:type="dxa"/>
          </w:tcPr>
          <w:p w:rsidR="00C331D1" w:rsidRPr="000A697E" w:rsidRDefault="00F36C69" w:rsidP="00874798">
            <w:pPr>
              <w:jc w:val="center"/>
              <w:rPr>
                <w:sz w:val="28"/>
                <w:szCs w:val="28"/>
              </w:rPr>
            </w:pPr>
            <w:r w:rsidRPr="000A697E">
              <w:rPr>
                <w:sz w:val="28"/>
                <w:szCs w:val="28"/>
              </w:rPr>
              <w:t>2.</w:t>
            </w:r>
          </w:p>
        </w:tc>
        <w:tc>
          <w:tcPr>
            <w:tcW w:w="2985" w:type="dxa"/>
          </w:tcPr>
          <w:p w:rsidR="00C331D1" w:rsidRPr="000A697E" w:rsidRDefault="00C331D1" w:rsidP="00874798">
            <w:pPr>
              <w:pStyle w:val="naiskr"/>
              <w:tabs>
                <w:tab w:val="left" w:pos="0"/>
              </w:tabs>
              <w:spacing w:before="0" w:after="0"/>
              <w:rPr>
                <w:sz w:val="28"/>
                <w:szCs w:val="28"/>
              </w:rPr>
            </w:pPr>
            <w:r w:rsidRPr="000A697E">
              <w:rPr>
                <w:sz w:val="28"/>
                <w:szCs w:val="28"/>
              </w:rPr>
              <w:t>Pašreizējā situācija un problēmas</w:t>
            </w:r>
          </w:p>
        </w:tc>
        <w:tc>
          <w:tcPr>
            <w:tcW w:w="5466" w:type="dxa"/>
          </w:tcPr>
          <w:p w:rsidR="00C331D1" w:rsidRPr="000A697E" w:rsidRDefault="00C331D1" w:rsidP="00874798">
            <w:pPr>
              <w:pStyle w:val="naiskr"/>
              <w:spacing w:before="0" w:after="0"/>
              <w:jc w:val="both"/>
              <w:rPr>
                <w:sz w:val="28"/>
                <w:szCs w:val="28"/>
              </w:rPr>
            </w:pPr>
            <w:r w:rsidRPr="000A697E">
              <w:rPr>
                <w:sz w:val="28"/>
                <w:szCs w:val="28"/>
              </w:rPr>
              <w:t>2012.</w:t>
            </w:r>
            <w:r w:rsidR="001A5C7D">
              <w:rPr>
                <w:sz w:val="28"/>
                <w:szCs w:val="28"/>
              </w:rPr>
              <w:t xml:space="preserve"> </w:t>
            </w:r>
            <w:r w:rsidRPr="000A697E">
              <w:rPr>
                <w:sz w:val="28"/>
                <w:szCs w:val="28"/>
              </w:rPr>
              <w:t>gada 12.janvārī Saeimā tika pieņemts jauns Personu apliecinošu dokumentu likums, līdz ar ko spēku zaudēja iepriekšējais tāda paša nosaukuma likums. Sakarā ar jauna likuma pieņemšanu, kurā ir iekļauts deleģējums izdot Ministru kabineta noteikumus par Nederīgo dokumentu reģistru, ir nepieciešams izdot jaunus Ministru kabineta noteikumus.</w:t>
            </w:r>
          </w:p>
          <w:p w:rsidR="00C331D1" w:rsidRPr="000A697E" w:rsidRDefault="00C331D1" w:rsidP="00874798">
            <w:pPr>
              <w:pStyle w:val="naiskr"/>
              <w:spacing w:before="0" w:after="0"/>
              <w:jc w:val="both"/>
              <w:rPr>
                <w:sz w:val="28"/>
                <w:szCs w:val="28"/>
              </w:rPr>
            </w:pPr>
            <w:r w:rsidRPr="000A697E">
              <w:rPr>
                <w:sz w:val="28"/>
                <w:szCs w:val="28"/>
              </w:rPr>
              <w:t xml:space="preserve">Ministru kabineta noteikumu projekts </w:t>
            </w:r>
            <w:r w:rsidR="00E90984" w:rsidRPr="000A697E">
              <w:rPr>
                <w:sz w:val="28"/>
                <w:szCs w:val="28"/>
              </w:rPr>
              <w:t xml:space="preserve">(turpmāk – noteikumu projekts) </w:t>
            </w:r>
            <w:r w:rsidRPr="000A697E">
              <w:rPr>
                <w:sz w:val="28"/>
                <w:szCs w:val="28"/>
              </w:rPr>
              <w:t>aizstās Ministru kabineta 2005.gada 22.novembra noteikumus Nr.</w:t>
            </w:r>
            <w:r w:rsidR="001A5C7D">
              <w:rPr>
                <w:sz w:val="28"/>
                <w:szCs w:val="28"/>
              </w:rPr>
              <w:t xml:space="preserve"> </w:t>
            </w:r>
            <w:r w:rsidRPr="000A697E">
              <w:rPr>
                <w:sz w:val="28"/>
                <w:szCs w:val="28"/>
              </w:rPr>
              <w:t>878 „Noteikumi par nederīgo dokumentu reģistru”.</w:t>
            </w:r>
          </w:p>
        </w:tc>
      </w:tr>
      <w:tr w:rsidR="00C331D1" w:rsidRPr="000A697E" w:rsidTr="00F36C69">
        <w:tc>
          <w:tcPr>
            <w:tcW w:w="480" w:type="dxa"/>
          </w:tcPr>
          <w:p w:rsidR="00C331D1" w:rsidRPr="000A697E" w:rsidRDefault="00F36C69" w:rsidP="00874798">
            <w:pPr>
              <w:jc w:val="center"/>
              <w:rPr>
                <w:sz w:val="28"/>
                <w:szCs w:val="28"/>
              </w:rPr>
            </w:pPr>
            <w:r w:rsidRPr="000A697E">
              <w:rPr>
                <w:sz w:val="28"/>
                <w:szCs w:val="28"/>
              </w:rPr>
              <w:t>3.</w:t>
            </w:r>
          </w:p>
        </w:tc>
        <w:tc>
          <w:tcPr>
            <w:tcW w:w="2985" w:type="dxa"/>
          </w:tcPr>
          <w:p w:rsidR="00C331D1" w:rsidRPr="000A697E" w:rsidRDefault="00C331D1" w:rsidP="00874798">
            <w:pPr>
              <w:pStyle w:val="naiskr"/>
              <w:spacing w:before="0" w:after="0"/>
              <w:ind w:left="-21"/>
              <w:rPr>
                <w:sz w:val="28"/>
                <w:szCs w:val="28"/>
              </w:rPr>
            </w:pPr>
            <w:r w:rsidRPr="000A697E">
              <w:rPr>
                <w:sz w:val="28"/>
                <w:szCs w:val="28"/>
              </w:rPr>
              <w:t>Saistītie politikas ietekmes novērtējumi un pētījumi</w:t>
            </w:r>
          </w:p>
        </w:tc>
        <w:tc>
          <w:tcPr>
            <w:tcW w:w="5466" w:type="dxa"/>
          </w:tcPr>
          <w:p w:rsidR="00C331D1" w:rsidRPr="000A697E" w:rsidRDefault="00194E6A" w:rsidP="00874798">
            <w:pPr>
              <w:pStyle w:val="naiskr"/>
              <w:spacing w:before="0" w:after="0"/>
              <w:jc w:val="both"/>
              <w:rPr>
                <w:sz w:val="28"/>
                <w:szCs w:val="28"/>
              </w:rPr>
            </w:pPr>
            <w:r w:rsidRPr="000A697E">
              <w:rPr>
                <w:iCs/>
                <w:sz w:val="28"/>
                <w:szCs w:val="28"/>
              </w:rPr>
              <w:t xml:space="preserve"> Noteikumu p</w:t>
            </w:r>
            <w:r w:rsidR="00C331D1" w:rsidRPr="000A697E">
              <w:rPr>
                <w:iCs/>
                <w:sz w:val="28"/>
                <w:szCs w:val="28"/>
              </w:rPr>
              <w:t>rojekts šo jomu neskar.</w:t>
            </w:r>
          </w:p>
          <w:p w:rsidR="00C331D1" w:rsidRPr="000A697E" w:rsidRDefault="00C331D1" w:rsidP="00874798">
            <w:pPr>
              <w:pStyle w:val="FootnoteText"/>
              <w:rPr>
                <w:sz w:val="28"/>
                <w:szCs w:val="28"/>
              </w:rPr>
            </w:pPr>
          </w:p>
        </w:tc>
      </w:tr>
      <w:tr w:rsidR="00C331D1" w:rsidRPr="000A697E" w:rsidTr="00F36C69">
        <w:tc>
          <w:tcPr>
            <w:tcW w:w="480" w:type="dxa"/>
          </w:tcPr>
          <w:p w:rsidR="00C331D1" w:rsidRPr="000A697E" w:rsidRDefault="00F36C69" w:rsidP="00874798">
            <w:pPr>
              <w:jc w:val="center"/>
              <w:rPr>
                <w:sz w:val="28"/>
                <w:szCs w:val="28"/>
              </w:rPr>
            </w:pPr>
            <w:r w:rsidRPr="000A697E">
              <w:rPr>
                <w:sz w:val="28"/>
                <w:szCs w:val="28"/>
              </w:rPr>
              <w:t>4.</w:t>
            </w:r>
          </w:p>
        </w:tc>
        <w:tc>
          <w:tcPr>
            <w:tcW w:w="2985" w:type="dxa"/>
          </w:tcPr>
          <w:p w:rsidR="00C331D1" w:rsidRPr="000A697E" w:rsidRDefault="00C331D1" w:rsidP="00874798">
            <w:pPr>
              <w:pStyle w:val="naiskr"/>
              <w:spacing w:before="0" w:after="0"/>
              <w:rPr>
                <w:sz w:val="28"/>
                <w:szCs w:val="28"/>
              </w:rPr>
            </w:pPr>
            <w:r w:rsidRPr="000A697E">
              <w:rPr>
                <w:sz w:val="28"/>
                <w:szCs w:val="28"/>
              </w:rPr>
              <w:t>Tiesiskā regulējuma mērķis un būtība</w:t>
            </w:r>
          </w:p>
          <w:p w:rsidR="00C331D1" w:rsidRPr="000A697E" w:rsidRDefault="00C331D1" w:rsidP="00874798">
            <w:pPr>
              <w:pStyle w:val="naiskr"/>
              <w:spacing w:before="0" w:after="0"/>
              <w:rPr>
                <w:sz w:val="28"/>
                <w:szCs w:val="28"/>
              </w:rPr>
            </w:pPr>
          </w:p>
        </w:tc>
        <w:tc>
          <w:tcPr>
            <w:tcW w:w="5466" w:type="dxa"/>
          </w:tcPr>
          <w:p w:rsidR="00C331D1" w:rsidRPr="000A697E" w:rsidRDefault="00E71CB6" w:rsidP="00874798">
            <w:pPr>
              <w:pStyle w:val="NormalWeb"/>
              <w:spacing w:before="0" w:after="0"/>
              <w:jc w:val="both"/>
              <w:rPr>
                <w:sz w:val="28"/>
                <w:szCs w:val="28"/>
                <w:lang w:val="lv-LV"/>
              </w:rPr>
            </w:pPr>
            <w:r w:rsidRPr="000A697E">
              <w:rPr>
                <w:sz w:val="28"/>
                <w:szCs w:val="28"/>
                <w:lang w:val="lv-LV"/>
              </w:rPr>
              <w:t>Noteikumu p</w:t>
            </w:r>
            <w:r w:rsidR="00C331D1" w:rsidRPr="000A697E">
              <w:rPr>
                <w:sz w:val="28"/>
                <w:szCs w:val="28"/>
                <w:lang w:val="lv-LV"/>
              </w:rPr>
              <w:t>rojekta mērķis ir noteikt Nederīgo dokumenta reģistra darbību:</w:t>
            </w:r>
          </w:p>
          <w:p w:rsidR="00C331D1" w:rsidRPr="000A697E" w:rsidRDefault="00C331D1" w:rsidP="00874798">
            <w:pPr>
              <w:pStyle w:val="NormalWeb"/>
              <w:numPr>
                <w:ilvl w:val="0"/>
                <w:numId w:val="18"/>
              </w:numPr>
              <w:spacing w:before="0" w:after="0"/>
              <w:jc w:val="both"/>
              <w:rPr>
                <w:sz w:val="28"/>
                <w:szCs w:val="28"/>
                <w:lang w:val="lv-LV"/>
              </w:rPr>
            </w:pPr>
            <w:r w:rsidRPr="000A697E">
              <w:rPr>
                <w:sz w:val="28"/>
                <w:szCs w:val="28"/>
                <w:lang w:val="lv-LV"/>
              </w:rPr>
              <w:t xml:space="preserve">gadījumus, kad ziņas par lietošanai nederīgiem personu apliecinošiem dokumentiem, pagaidu dokumentiem, jūrnieku grāmatiņām, transportlīdzekļu vadītāju apliecībām un šo dokumentu neaizpildītām veidlapām iekļaujamas valsts informācijas sistēmā “Nederīgo dokumentu reģistrs”, </w:t>
            </w:r>
          </w:p>
          <w:p w:rsidR="00C331D1" w:rsidRPr="000A697E" w:rsidRDefault="00C331D1" w:rsidP="00874798">
            <w:pPr>
              <w:pStyle w:val="NormalWeb"/>
              <w:numPr>
                <w:ilvl w:val="0"/>
                <w:numId w:val="18"/>
              </w:numPr>
              <w:spacing w:before="0" w:after="0"/>
              <w:jc w:val="both"/>
              <w:rPr>
                <w:sz w:val="28"/>
                <w:szCs w:val="28"/>
                <w:lang w:val="lv-LV"/>
              </w:rPr>
            </w:pPr>
            <w:r w:rsidRPr="000A697E">
              <w:rPr>
                <w:sz w:val="28"/>
                <w:szCs w:val="28"/>
                <w:lang w:val="lv-LV"/>
              </w:rPr>
              <w:t xml:space="preserve">iekļaujamo ziņu apjomu, </w:t>
            </w:r>
          </w:p>
          <w:p w:rsidR="00C331D1" w:rsidRPr="000A697E" w:rsidRDefault="00C331D1" w:rsidP="00874798">
            <w:pPr>
              <w:pStyle w:val="NormalWeb"/>
              <w:numPr>
                <w:ilvl w:val="0"/>
                <w:numId w:val="18"/>
              </w:numPr>
              <w:spacing w:before="0" w:after="0"/>
              <w:jc w:val="both"/>
              <w:rPr>
                <w:sz w:val="28"/>
                <w:szCs w:val="28"/>
                <w:lang w:val="lv-LV"/>
              </w:rPr>
            </w:pPr>
            <w:r w:rsidRPr="000A697E">
              <w:rPr>
                <w:sz w:val="28"/>
                <w:szCs w:val="28"/>
                <w:lang w:val="lv-LV"/>
              </w:rPr>
              <w:t xml:space="preserve">ziņu iekļaušanas kārtību un glabāšanas termiņus, </w:t>
            </w:r>
          </w:p>
          <w:p w:rsidR="00C331D1" w:rsidRPr="000A697E" w:rsidRDefault="00C331D1" w:rsidP="00874798">
            <w:pPr>
              <w:pStyle w:val="NormalWeb"/>
              <w:numPr>
                <w:ilvl w:val="0"/>
                <w:numId w:val="18"/>
              </w:numPr>
              <w:spacing w:before="0" w:after="0"/>
              <w:jc w:val="both"/>
              <w:rPr>
                <w:sz w:val="28"/>
                <w:szCs w:val="28"/>
                <w:lang w:val="lv-LV"/>
              </w:rPr>
            </w:pPr>
            <w:r w:rsidRPr="000A697E">
              <w:rPr>
                <w:sz w:val="28"/>
                <w:szCs w:val="28"/>
                <w:lang w:val="lv-LV"/>
              </w:rPr>
              <w:t>institūcijas, kurām piešķirama piekļuve reģistrā iekļautajām ziņām,</w:t>
            </w:r>
          </w:p>
          <w:p w:rsidR="00C331D1" w:rsidRPr="000A697E" w:rsidRDefault="00C331D1" w:rsidP="00874798">
            <w:pPr>
              <w:pStyle w:val="NormalWeb"/>
              <w:numPr>
                <w:ilvl w:val="0"/>
                <w:numId w:val="18"/>
              </w:numPr>
              <w:spacing w:before="0" w:after="0"/>
              <w:jc w:val="both"/>
              <w:rPr>
                <w:sz w:val="28"/>
                <w:szCs w:val="28"/>
                <w:lang w:val="lv-LV"/>
              </w:rPr>
            </w:pPr>
            <w:r w:rsidRPr="000A697E">
              <w:rPr>
                <w:sz w:val="28"/>
                <w:szCs w:val="28"/>
                <w:lang w:val="lv-LV"/>
              </w:rPr>
              <w:t xml:space="preserve">privātpersonām pieejamo ziņu apjomu. </w:t>
            </w:r>
          </w:p>
          <w:p w:rsidR="007227B6" w:rsidRPr="000A697E" w:rsidRDefault="00E90984" w:rsidP="00E90984">
            <w:pPr>
              <w:pStyle w:val="NormalWeb"/>
              <w:spacing w:before="0" w:after="0"/>
              <w:jc w:val="both"/>
              <w:rPr>
                <w:sz w:val="28"/>
                <w:szCs w:val="28"/>
                <w:lang w:val="lv-LV"/>
              </w:rPr>
            </w:pPr>
            <w:r w:rsidRPr="000A697E">
              <w:rPr>
                <w:sz w:val="28"/>
                <w:szCs w:val="28"/>
                <w:lang w:val="lv-LV"/>
              </w:rPr>
              <w:lastRenderedPageBreak/>
              <w:t>Noteikumu projektā</w:t>
            </w:r>
            <w:r w:rsidR="007227B6" w:rsidRPr="000A697E">
              <w:rPr>
                <w:sz w:val="28"/>
                <w:szCs w:val="28"/>
                <w:lang w:val="lv-LV"/>
              </w:rPr>
              <w:t>, salīdzinājumā ar Ministru kabineta 2005.</w:t>
            </w:r>
            <w:r w:rsidR="001A5C7D">
              <w:rPr>
                <w:sz w:val="28"/>
                <w:szCs w:val="28"/>
                <w:lang w:val="lv-LV"/>
              </w:rPr>
              <w:t xml:space="preserve"> </w:t>
            </w:r>
            <w:r w:rsidR="007227B6" w:rsidRPr="000A697E">
              <w:rPr>
                <w:sz w:val="28"/>
                <w:szCs w:val="28"/>
                <w:lang w:val="lv-LV"/>
              </w:rPr>
              <w:t>gada 22.</w:t>
            </w:r>
            <w:r w:rsidR="001A5C7D">
              <w:rPr>
                <w:sz w:val="28"/>
                <w:szCs w:val="28"/>
                <w:lang w:val="lv-LV"/>
              </w:rPr>
              <w:t xml:space="preserve"> </w:t>
            </w:r>
            <w:r w:rsidR="007227B6" w:rsidRPr="000A697E">
              <w:rPr>
                <w:sz w:val="28"/>
                <w:szCs w:val="28"/>
                <w:lang w:val="lv-LV"/>
              </w:rPr>
              <w:t>novembra noteikumu Nr.</w:t>
            </w:r>
            <w:r w:rsidR="001A5C7D">
              <w:rPr>
                <w:sz w:val="28"/>
                <w:szCs w:val="28"/>
                <w:lang w:val="lv-LV"/>
              </w:rPr>
              <w:t xml:space="preserve"> </w:t>
            </w:r>
            <w:r w:rsidR="007227B6" w:rsidRPr="000A697E">
              <w:rPr>
                <w:sz w:val="28"/>
                <w:szCs w:val="28"/>
                <w:lang w:val="lv-LV"/>
              </w:rPr>
              <w:t>878 „Noteikumi par nederīgo dokumentu reģistru” redakciju:</w:t>
            </w:r>
          </w:p>
          <w:p w:rsidR="007227B6" w:rsidRPr="000A697E" w:rsidRDefault="007227B6" w:rsidP="009C6336">
            <w:pPr>
              <w:pStyle w:val="NormalWeb"/>
              <w:numPr>
                <w:ilvl w:val="0"/>
                <w:numId w:val="19"/>
              </w:numPr>
              <w:spacing w:before="0" w:after="0"/>
              <w:jc w:val="both"/>
              <w:rPr>
                <w:sz w:val="28"/>
                <w:szCs w:val="28"/>
                <w:lang w:val="lv-LV"/>
              </w:rPr>
            </w:pPr>
            <w:r w:rsidRPr="000A697E">
              <w:rPr>
                <w:sz w:val="28"/>
                <w:szCs w:val="28"/>
                <w:lang w:val="lv-LV"/>
              </w:rPr>
              <w:t>ir paredz</w:t>
            </w:r>
            <w:r w:rsidR="00084F2C" w:rsidRPr="000A697E">
              <w:rPr>
                <w:sz w:val="28"/>
                <w:szCs w:val="28"/>
                <w:lang w:val="lv-LV"/>
              </w:rPr>
              <w:t>ēta jaunu</w:t>
            </w:r>
            <w:r w:rsidRPr="000A697E">
              <w:rPr>
                <w:sz w:val="28"/>
                <w:szCs w:val="28"/>
                <w:lang w:val="lv-LV"/>
              </w:rPr>
              <w:t xml:space="preserve"> dokument</w:t>
            </w:r>
            <w:r w:rsidR="00084F2C" w:rsidRPr="000A697E">
              <w:rPr>
                <w:sz w:val="28"/>
                <w:szCs w:val="28"/>
                <w:lang w:val="lv-LV"/>
              </w:rPr>
              <w:t>u</w:t>
            </w:r>
            <w:r w:rsidRPr="000A697E">
              <w:rPr>
                <w:sz w:val="28"/>
                <w:szCs w:val="28"/>
                <w:lang w:val="lv-LV"/>
              </w:rPr>
              <w:t xml:space="preserve"> veid</w:t>
            </w:r>
            <w:r w:rsidR="00084F2C" w:rsidRPr="000A697E">
              <w:rPr>
                <w:sz w:val="28"/>
                <w:szCs w:val="28"/>
                <w:lang w:val="lv-LV"/>
              </w:rPr>
              <w:t>u</w:t>
            </w:r>
            <w:r w:rsidRPr="000A697E">
              <w:rPr>
                <w:sz w:val="28"/>
                <w:szCs w:val="28"/>
                <w:lang w:val="lv-LV"/>
              </w:rPr>
              <w:t xml:space="preserve"> ievade Nederīgo dokumentu reģistrā – </w:t>
            </w:r>
            <w:r w:rsidR="00084F2C" w:rsidRPr="000A697E">
              <w:rPr>
                <w:sz w:val="28"/>
                <w:szCs w:val="28"/>
                <w:lang w:val="lv-LV"/>
              </w:rPr>
              <w:t xml:space="preserve">personas apliecība un </w:t>
            </w:r>
            <w:r w:rsidRPr="000A697E">
              <w:rPr>
                <w:sz w:val="28"/>
                <w:szCs w:val="28"/>
                <w:lang w:val="lv-LV"/>
              </w:rPr>
              <w:t>pagaidu dokuments</w:t>
            </w:r>
            <w:r w:rsidR="009C6336" w:rsidRPr="000A697E">
              <w:rPr>
                <w:sz w:val="28"/>
                <w:szCs w:val="28"/>
                <w:lang w:val="lv-LV"/>
              </w:rPr>
              <w:t>;</w:t>
            </w:r>
          </w:p>
          <w:p w:rsidR="00F11D4E" w:rsidRPr="000A697E" w:rsidRDefault="007227B6" w:rsidP="008275B1">
            <w:pPr>
              <w:pStyle w:val="NormalWeb"/>
              <w:numPr>
                <w:ilvl w:val="0"/>
                <w:numId w:val="19"/>
              </w:numPr>
              <w:spacing w:before="0" w:after="0"/>
              <w:jc w:val="both"/>
              <w:rPr>
                <w:sz w:val="28"/>
                <w:szCs w:val="28"/>
                <w:lang w:val="lv-LV"/>
              </w:rPr>
            </w:pPr>
            <w:r w:rsidRPr="000A697E">
              <w:rPr>
                <w:sz w:val="28"/>
                <w:szCs w:val="28"/>
                <w:lang w:val="lv-LV"/>
              </w:rPr>
              <w:t xml:space="preserve">vairs nav paredzēts iekļaut Nederīgo dokumentu reģistrā ziņas par ārvalstīs zudušiem </w:t>
            </w:r>
            <w:r w:rsidR="00426E14">
              <w:rPr>
                <w:sz w:val="28"/>
                <w:szCs w:val="28"/>
                <w:lang w:val="lv-LV"/>
              </w:rPr>
              <w:t xml:space="preserve">ārvalstu izsniegtajiem </w:t>
            </w:r>
            <w:r w:rsidRPr="000A697E">
              <w:rPr>
                <w:sz w:val="28"/>
                <w:szCs w:val="28"/>
                <w:lang w:val="lv-LV"/>
              </w:rPr>
              <w:t>personu apliecinošiem dokumentiem, jūrnieku grāmatiņām un transportlīdzekļu vadītāju apliecībām</w:t>
            </w:r>
            <w:r w:rsidR="00F11D4E" w:rsidRPr="000A697E">
              <w:rPr>
                <w:sz w:val="28"/>
                <w:szCs w:val="28"/>
                <w:lang w:val="lv-LV"/>
              </w:rPr>
              <w:t>;</w:t>
            </w:r>
          </w:p>
          <w:p w:rsidR="00A14402" w:rsidRPr="000A697E" w:rsidRDefault="00A14402" w:rsidP="00A14402">
            <w:pPr>
              <w:pStyle w:val="NormalWeb"/>
              <w:spacing w:before="0" w:after="0"/>
              <w:jc w:val="both"/>
              <w:rPr>
                <w:sz w:val="28"/>
                <w:szCs w:val="28"/>
                <w:lang w:val="lv-LV"/>
              </w:rPr>
            </w:pPr>
            <w:r w:rsidRPr="000A697E">
              <w:rPr>
                <w:sz w:val="28"/>
                <w:szCs w:val="28"/>
                <w:lang w:val="lv-LV"/>
              </w:rPr>
              <w:t>Noteikumu projektā datu glabāšanas termiņi ir noteikti pamatojoties uz normatīvajiem aktiem, kas nosaka, attiecīgo dokumentu izsniegšanas termiņus:</w:t>
            </w:r>
          </w:p>
          <w:p w:rsidR="00A14402" w:rsidRPr="000A697E" w:rsidRDefault="00A14402" w:rsidP="00A14402">
            <w:pPr>
              <w:pStyle w:val="NormalWeb"/>
              <w:numPr>
                <w:ilvl w:val="0"/>
                <w:numId w:val="21"/>
              </w:numPr>
              <w:spacing w:before="0" w:after="0"/>
              <w:jc w:val="both"/>
              <w:rPr>
                <w:sz w:val="28"/>
                <w:szCs w:val="28"/>
                <w:lang w:val="lv-LV"/>
              </w:rPr>
            </w:pPr>
            <w:r w:rsidRPr="000A697E">
              <w:rPr>
                <w:sz w:val="28"/>
                <w:szCs w:val="28"/>
                <w:lang w:val="lv-LV"/>
              </w:rPr>
              <w:t>attiecīgajos tiesību aktos ir noteikts, ka personu apliecinošu dokumenti, pagaidu dokumenti, transportlīdzekļu vadītāju apliecības un jūrnieku grāmatiņas tiek izsniegti uz laiku līdz 10 gadiem.</w:t>
            </w:r>
          </w:p>
          <w:p w:rsidR="00A14402" w:rsidRPr="000A697E" w:rsidRDefault="00A14402" w:rsidP="00A14402">
            <w:pPr>
              <w:pStyle w:val="NormalWeb"/>
              <w:numPr>
                <w:ilvl w:val="0"/>
                <w:numId w:val="21"/>
              </w:numPr>
              <w:spacing w:before="0" w:after="0"/>
              <w:jc w:val="both"/>
              <w:rPr>
                <w:sz w:val="28"/>
                <w:szCs w:val="28"/>
                <w:lang w:val="lv-LV"/>
              </w:rPr>
            </w:pPr>
            <w:r w:rsidRPr="000A697E">
              <w:rPr>
                <w:sz w:val="28"/>
                <w:szCs w:val="28"/>
                <w:lang w:val="lv-LV"/>
              </w:rPr>
              <w:t>Ministru kabineta 21.02.2012. noteikumu Nr.134 „Personu apliecinošu dokumentu noteikumi” 61.</w:t>
            </w:r>
            <w:r w:rsidR="001A5C7D">
              <w:rPr>
                <w:sz w:val="28"/>
                <w:szCs w:val="28"/>
                <w:lang w:val="lv-LV"/>
              </w:rPr>
              <w:t xml:space="preserve"> </w:t>
            </w:r>
            <w:r w:rsidRPr="000A697E">
              <w:rPr>
                <w:sz w:val="28"/>
                <w:szCs w:val="28"/>
                <w:lang w:val="lv-LV"/>
              </w:rPr>
              <w:t>punktā ir norādīti dokumenti, kuriem derīguma termiņš ir 50 gadu.</w:t>
            </w:r>
          </w:p>
          <w:p w:rsidR="008222A8" w:rsidRDefault="008222A8" w:rsidP="008222A8">
            <w:pPr>
              <w:pStyle w:val="NormalWeb"/>
              <w:spacing w:before="0" w:after="0"/>
              <w:jc w:val="both"/>
              <w:rPr>
                <w:sz w:val="28"/>
                <w:szCs w:val="28"/>
                <w:lang w:val="lv-LV"/>
              </w:rPr>
            </w:pPr>
            <w:r w:rsidRPr="000A697E">
              <w:rPr>
                <w:sz w:val="28"/>
                <w:szCs w:val="28"/>
                <w:lang w:val="lv-LV"/>
              </w:rPr>
              <w:t xml:space="preserve">Tā kā neaizpildītās dokumentu veidlapās dokumenta derīguma termiņš nav norādīts, tās ir nepieciešams glabāt līdz to </w:t>
            </w:r>
            <w:r w:rsidR="009B1824">
              <w:rPr>
                <w:sz w:val="28"/>
                <w:szCs w:val="28"/>
                <w:lang w:val="lv-LV"/>
              </w:rPr>
              <w:t>meklēšanas izbeigša</w:t>
            </w:r>
            <w:r w:rsidR="001A14E2">
              <w:rPr>
                <w:sz w:val="28"/>
                <w:szCs w:val="28"/>
                <w:lang w:val="lv-LV"/>
              </w:rPr>
              <w:t>na</w:t>
            </w:r>
            <w:r w:rsidR="009B1824">
              <w:rPr>
                <w:sz w:val="28"/>
                <w:szCs w:val="28"/>
                <w:lang w:val="lv-LV"/>
              </w:rPr>
              <w:t>i</w:t>
            </w:r>
            <w:r w:rsidRPr="000A697E">
              <w:rPr>
                <w:sz w:val="28"/>
                <w:szCs w:val="28"/>
                <w:lang w:val="lv-LV"/>
              </w:rPr>
              <w:t>.</w:t>
            </w:r>
          </w:p>
          <w:p w:rsidR="00B95F45" w:rsidRDefault="00B95F45" w:rsidP="008222A8">
            <w:pPr>
              <w:pStyle w:val="NormalWeb"/>
              <w:spacing w:before="0" w:after="0"/>
              <w:jc w:val="both"/>
              <w:rPr>
                <w:sz w:val="28"/>
                <w:szCs w:val="28"/>
                <w:lang w:val="lv-LV"/>
              </w:rPr>
            </w:pPr>
            <w:r>
              <w:rPr>
                <w:sz w:val="28"/>
                <w:szCs w:val="28"/>
                <w:lang w:val="lv-LV"/>
              </w:rPr>
              <w:t>Noteikumu projekts paredz, ka Nederīgo dokumentu reģistrā tiek iekļauta arī informācija par dokumenta turētāju. Iekļaujamie personas dati atbilst šādos tiesību aktos noteiktajam ziņu apjomam, kas tiek iekļauti attiecīgajā dokumentā:</w:t>
            </w:r>
          </w:p>
          <w:p w:rsidR="00B95F45" w:rsidRPr="00B95F45" w:rsidRDefault="00B95F45" w:rsidP="00B95F45">
            <w:pPr>
              <w:pStyle w:val="NormalWeb"/>
              <w:numPr>
                <w:ilvl w:val="0"/>
                <w:numId w:val="22"/>
              </w:numPr>
              <w:spacing w:before="0" w:after="0"/>
              <w:jc w:val="both"/>
              <w:rPr>
                <w:sz w:val="28"/>
                <w:szCs w:val="28"/>
                <w:lang w:val="lv-LV"/>
              </w:rPr>
            </w:pPr>
            <w:r w:rsidRPr="00B95F45">
              <w:rPr>
                <w:sz w:val="28"/>
                <w:szCs w:val="28"/>
                <w:lang w:val="lv-LV"/>
              </w:rPr>
              <w:t>Ministru kabineta 21.02.2012.  noteikumi Nr. 134 „Personu apliecinošu dokumentu noteikumi”</w:t>
            </w:r>
          </w:p>
          <w:p w:rsidR="00B95F45" w:rsidRPr="00B95F45" w:rsidRDefault="00B95F45" w:rsidP="00B95F45">
            <w:pPr>
              <w:pStyle w:val="NormalWeb"/>
              <w:numPr>
                <w:ilvl w:val="0"/>
                <w:numId w:val="22"/>
              </w:numPr>
              <w:spacing w:before="0" w:after="0"/>
              <w:jc w:val="both"/>
              <w:rPr>
                <w:sz w:val="28"/>
                <w:szCs w:val="28"/>
                <w:lang w:val="lv-LV"/>
              </w:rPr>
            </w:pPr>
            <w:r w:rsidRPr="00B95F45">
              <w:rPr>
                <w:sz w:val="28"/>
                <w:szCs w:val="28"/>
                <w:lang w:val="lv-LV"/>
              </w:rPr>
              <w:t>Ministru kabineta 02.02.2010. noteikumi Nr.</w:t>
            </w:r>
            <w:r w:rsidR="001A5C7D">
              <w:rPr>
                <w:sz w:val="28"/>
                <w:szCs w:val="28"/>
                <w:lang w:val="lv-LV"/>
              </w:rPr>
              <w:t xml:space="preserve"> </w:t>
            </w:r>
            <w:r w:rsidRPr="00B95F45">
              <w:rPr>
                <w:sz w:val="28"/>
                <w:szCs w:val="28"/>
                <w:lang w:val="lv-LV"/>
              </w:rPr>
              <w:t xml:space="preserve">103 „Transportlīdzekļu vadītāja tiesību iegūšanas un </w:t>
            </w:r>
            <w:r w:rsidRPr="00B95F45">
              <w:rPr>
                <w:sz w:val="28"/>
                <w:szCs w:val="28"/>
                <w:lang w:val="lv-LV"/>
              </w:rPr>
              <w:lastRenderedPageBreak/>
              <w:t>atjaunošanas kārtība un vadītāja apliecības izsniegšanas, apmaiņas un atjaunošanas kārtība”</w:t>
            </w:r>
          </w:p>
          <w:p w:rsidR="00B95F45" w:rsidRDefault="00B95F45" w:rsidP="00B95F45">
            <w:pPr>
              <w:pStyle w:val="NormalWeb"/>
              <w:numPr>
                <w:ilvl w:val="0"/>
                <w:numId w:val="22"/>
              </w:numPr>
              <w:spacing w:before="0" w:after="0"/>
              <w:jc w:val="both"/>
              <w:rPr>
                <w:sz w:val="28"/>
                <w:szCs w:val="28"/>
                <w:lang w:val="lv-LV"/>
              </w:rPr>
            </w:pPr>
            <w:r w:rsidRPr="00B95F45">
              <w:rPr>
                <w:sz w:val="28"/>
                <w:szCs w:val="28"/>
                <w:lang w:val="lv-LV"/>
              </w:rPr>
              <w:t>Ministru kabineta 20.12.2005. noteikumi Nr.</w:t>
            </w:r>
            <w:r w:rsidR="001A5C7D">
              <w:rPr>
                <w:sz w:val="28"/>
                <w:szCs w:val="28"/>
                <w:lang w:val="lv-LV"/>
              </w:rPr>
              <w:t xml:space="preserve"> </w:t>
            </w:r>
            <w:r w:rsidRPr="00B95F45">
              <w:rPr>
                <w:sz w:val="28"/>
                <w:szCs w:val="28"/>
                <w:lang w:val="lv-LV"/>
              </w:rPr>
              <w:t>992 „Noteikumi par jūrnieka grāmatiņu.</w:t>
            </w:r>
          </w:p>
          <w:p w:rsidR="00FE4743" w:rsidRDefault="00FE4743" w:rsidP="00FE4743">
            <w:pPr>
              <w:pStyle w:val="NormalWeb"/>
              <w:spacing w:before="0" w:after="0"/>
              <w:jc w:val="both"/>
              <w:rPr>
                <w:sz w:val="28"/>
                <w:szCs w:val="28"/>
                <w:lang w:val="lv-LV"/>
              </w:rPr>
            </w:pPr>
            <w:r>
              <w:rPr>
                <w:sz w:val="28"/>
                <w:szCs w:val="28"/>
                <w:lang w:val="lv-LV"/>
              </w:rPr>
              <w:t>Papildus noteikumu projekts paredz, ka Nederīgo dokumentu reģistrā iekļauj ziņas par ziņu sniedzēju</w:t>
            </w:r>
            <w:r w:rsidR="00102852">
              <w:rPr>
                <w:sz w:val="28"/>
                <w:szCs w:val="28"/>
                <w:lang w:val="lv-LV"/>
              </w:rPr>
              <w:t xml:space="preserve"> privātpersonu</w:t>
            </w:r>
            <w:r>
              <w:rPr>
                <w:sz w:val="28"/>
                <w:szCs w:val="28"/>
                <w:lang w:val="lv-LV"/>
              </w:rPr>
              <w:t xml:space="preserve">, kas nav dokumenta turētājs. Par ziņu sniedzēju iekļauj tādu datu apjomu, kas ļauj identificēt </w:t>
            </w:r>
            <w:r w:rsidR="00D51D90">
              <w:rPr>
                <w:sz w:val="28"/>
                <w:szCs w:val="28"/>
                <w:lang w:val="lv-LV"/>
              </w:rPr>
              <w:t>privāt</w:t>
            </w:r>
            <w:r>
              <w:rPr>
                <w:sz w:val="28"/>
                <w:szCs w:val="28"/>
                <w:lang w:val="lv-LV"/>
              </w:rPr>
              <w:t>personu, kas sniedza ziņas par notikumu ar dokumentu.</w:t>
            </w:r>
          </w:p>
          <w:p w:rsidR="007E37FD" w:rsidRDefault="007E37FD" w:rsidP="00FE4743">
            <w:pPr>
              <w:pStyle w:val="NormalWeb"/>
              <w:spacing w:before="0" w:after="0"/>
              <w:jc w:val="both"/>
              <w:rPr>
                <w:sz w:val="28"/>
                <w:szCs w:val="28"/>
                <w:lang w:val="lv-LV"/>
              </w:rPr>
            </w:pPr>
            <w:r>
              <w:rPr>
                <w:sz w:val="28"/>
                <w:szCs w:val="28"/>
                <w:lang w:val="lv-LV"/>
              </w:rPr>
              <w:t>Noteikumu projekta 27.</w:t>
            </w:r>
            <w:r w:rsidR="001A5C7D">
              <w:rPr>
                <w:sz w:val="28"/>
                <w:szCs w:val="28"/>
                <w:lang w:val="lv-LV"/>
              </w:rPr>
              <w:t xml:space="preserve"> </w:t>
            </w:r>
            <w:r>
              <w:rPr>
                <w:sz w:val="28"/>
                <w:szCs w:val="28"/>
                <w:lang w:val="lv-LV"/>
              </w:rPr>
              <w:t xml:space="preserve">punkts attiecas uz jaunu lietotāja tiesību piešķiršanu pēc šo noteikumu spēkā stāšanās. Lietotāji, kam šobrīd jau ir piekļuve Nederīgo dokumentu reģistram, lietotāju tiesības ir saņēmuši pamatojoties uz </w:t>
            </w:r>
            <w:r w:rsidRPr="000A697E">
              <w:rPr>
                <w:sz w:val="28"/>
                <w:szCs w:val="28"/>
                <w:lang w:val="lv-LV"/>
              </w:rPr>
              <w:t>Ministru kabineta 20</w:t>
            </w:r>
            <w:r>
              <w:rPr>
                <w:sz w:val="28"/>
                <w:szCs w:val="28"/>
                <w:lang w:val="lv-LV"/>
              </w:rPr>
              <w:t>05.</w:t>
            </w:r>
            <w:r w:rsidR="001A5C7D">
              <w:rPr>
                <w:sz w:val="28"/>
                <w:szCs w:val="28"/>
                <w:lang w:val="lv-LV"/>
              </w:rPr>
              <w:t xml:space="preserve"> </w:t>
            </w:r>
            <w:r>
              <w:rPr>
                <w:sz w:val="28"/>
                <w:szCs w:val="28"/>
                <w:lang w:val="lv-LV"/>
              </w:rPr>
              <w:t>gada 22.novembra noteikumiem</w:t>
            </w:r>
            <w:r w:rsidRPr="000A697E">
              <w:rPr>
                <w:sz w:val="28"/>
                <w:szCs w:val="28"/>
                <w:lang w:val="lv-LV"/>
              </w:rPr>
              <w:t xml:space="preserve"> Nr.878 „Noteikumi par nederīgo dokumentu reģistru”</w:t>
            </w:r>
            <w:r w:rsidR="00FE3618">
              <w:rPr>
                <w:sz w:val="28"/>
                <w:szCs w:val="28"/>
                <w:lang w:val="lv-LV"/>
              </w:rPr>
              <w:t>.</w:t>
            </w:r>
          </w:p>
          <w:p w:rsidR="00BE124B" w:rsidRPr="000A697E" w:rsidRDefault="00BE124B" w:rsidP="00FE4743">
            <w:pPr>
              <w:pStyle w:val="NormalWeb"/>
              <w:spacing w:before="0" w:after="0"/>
              <w:jc w:val="both"/>
              <w:rPr>
                <w:sz w:val="28"/>
                <w:szCs w:val="28"/>
                <w:lang w:val="lv-LV"/>
              </w:rPr>
            </w:pPr>
            <w:r>
              <w:rPr>
                <w:sz w:val="28"/>
                <w:szCs w:val="28"/>
                <w:lang w:val="lv-LV"/>
              </w:rPr>
              <w:t>Lietotāju loks noteikumu projektā nav mainīts.</w:t>
            </w:r>
          </w:p>
        </w:tc>
      </w:tr>
      <w:tr w:rsidR="00C331D1" w:rsidRPr="000A697E" w:rsidTr="00F36C69">
        <w:tc>
          <w:tcPr>
            <w:tcW w:w="480" w:type="dxa"/>
          </w:tcPr>
          <w:p w:rsidR="00C331D1" w:rsidRPr="000A697E" w:rsidRDefault="00F36C69" w:rsidP="00874798">
            <w:pPr>
              <w:jc w:val="center"/>
              <w:rPr>
                <w:sz w:val="28"/>
                <w:szCs w:val="28"/>
              </w:rPr>
            </w:pPr>
            <w:r w:rsidRPr="000A697E">
              <w:rPr>
                <w:sz w:val="28"/>
                <w:szCs w:val="28"/>
              </w:rPr>
              <w:lastRenderedPageBreak/>
              <w:t>5.</w:t>
            </w:r>
          </w:p>
        </w:tc>
        <w:tc>
          <w:tcPr>
            <w:tcW w:w="2985" w:type="dxa"/>
          </w:tcPr>
          <w:p w:rsidR="00C331D1" w:rsidRPr="000A697E" w:rsidRDefault="00C331D1" w:rsidP="00874798">
            <w:pPr>
              <w:pStyle w:val="naiskr"/>
              <w:spacing w:before="0" w:after="0"/>
              <w:rPr>
                <w:sz w:val="28"/>
                <w:szCs w:val="28"/>
              </w:rPr>
            </w:pPr>
            <w:r w:rsidRPr="000A697E">
              <w:rPr>
                <w:sz w:val="28"/>
                <w:szCs w:val="28"/>
              </w:rPr>
              <w:t xml:space="preserve">Projekta izstrādē iesaistītās institūcijas </w:t>
            </w:r>
          </w:p>
        </w:tc>
        <w:tc>
          <w:tcPr>
            <w:tcW w:w="5466" w:type="dxa"/>
          </w:tcPr>
          <w:p w:rsidR="00C331D1" w:rsidRPr="000A697E" w:rsidRDefault="00C331D1" w:rsidP="00874798">
            <w:pPr>
              <w:pStyle w:val="naiskr"/>
              <w:spacing w:before="0" w:after="0"/>
              <w:jc w:val="both"/>
              <w:rPr>
                <w:sz w:val="28"/>
                <w:szCs w:val="28"/>
              </w:rPr>
            </w:pPr>
            <w:r w:rsidRPr="000A697E">
              <w:rPr>
                <w:sz w:val="28"/>
                <w:szCs w:val="28"/>
              </w:rPr>
              <w:t xml:space="preserve"> Iekšlietu ministrijas Informācijas centrs.</w:t>
            </w:r>
          </w:p>
        </w:tc>
      </w:tr>
      <w:tr w:rsidR="00C331D1" w:rsidRPr="000A697E" w:rsidTr="00F36C69">
        <w:tc>
          <w:tcPr>
            <w:tcW w:w="480" w:type="dxa"/>
          </w:tcPr>
          <w:p w:rsidR="00C331D1" w:rsidRPr="000A697E" w:rsidRDefault="00F36C69" w:rsidP="00874798">
            <w:pPr>
              <w:jc w:val="center"/>
              <w:rPr>
                <w:sz w:val="28"/>
                <w:szCs w:val="28"/>
              </w:rPr>
            </w:pPr>
            <w:r w:rsidRPr="000A697E">
              <w:rPr>
                <w:sz w:val="28"/>
                <w:szCs w:val="28"/>
              </w:rPr>
              <w:t>6.</w:t>
            </w:r>
          </w:p>
        </w:tc>
        <w:tc>
          <w:tcPr>
            <w:tcW w:w="2985" w:type="dxa"/>
          </w:tcPr>
          <w:p w:rsidR="00C331D1" w:rsidRPr="000A697E" w:rsidRDefault="00C331D1" w:rsidP="00874798">
            <w:pPr>
              <w:pStyle w:val="naiskr"/>
              <w:spacing w:before="0" w:after="0"/>
              <w:rPr>
                <w:i/>
                <w:sz w:val="28"/>
                <w:szCs w:val="28"/>
              </w:rPr>
            </w:pPr>
            <w:r w:rsidRPr="000A697E">
              <w:rPr>
                <w:sz w:val="28"/>
                <w:szCs w:val="28"/>
              </w:rPr>
              <w:t>Iemesli, kādēļ netika nodrošināta sabiedrības līdzdalība</w:t>
            </w:r>
          </w:p>
        </w:tc>
        <w:tc>
          <w:tcPr>
            <w:tcW w:w="5466" w:type="dxa"/>
          </w:tcPr>
          <w:p w:rsidR="00C331D1" w:rsidRPr="000A697E" w:rsidRDefault="00C331D1" w:rsidP="00874798">
            <w:pPr>
              <w:pStyle w:val="naiskr"/>
              <w:spacing w:before="0" w:after="0"/>
              <w:jc w:val="both"/>
              <w:rPr>
                <w:iCs/>
                <w:sz w:val="28"/>
                <w:szCs w:val="28"/>
              </w:rPr>
            </w:pPr>
            <w:r w:rsidRPr="000A697E">
              <w:rPr>
                <w:iCs/>
                <w:sz w:val="28"/>
                <w:szCs w:val="28"/>
              </w:rPr>
              <w:t xml:space="preserve">Sabiedrība sniedza viedokli par sagatavoto tiesību akta projektu.  </w:t>
            </w:r>
          </w:p>
        </w:tc>
      </w:tr>
      <w:tr w:rsidR="00C331D1" w:rsidRPr="000A697E" w:rsidTr="00F36C69">
        <w:tc>
          <w:tcPr>
            <w:tcW w:w="480" w:type="dxa"/>
          </w:tcPr>
          <w:p w:rsidR="00C331D1" w:rsidRPr="000A697E" w:rsidRDefault="00F36C69" w:rsidP="00874798">
            <w:pPr>
              <w:jc w:val="center"/>
              <w:rPr>
                <w:sz w:val="28"/>
                <w:szCs w:val="28"/>
              </w:rPr>
            </w:pPr>
            <w:r w:rsidRPr="000A697E">
              <w:rPr>
                <w:sz w:val="28"/>
                <w:szCs w:val="28"/>
              </w:rPr>
              <w:t>7.</w:t>
            </w:r>
          </w:p>
        </w:tc>
        <w:tc>
          <w:tcPr>
            <w:tcW w:w="2985" w:type="dxa"/>
          </w:tcPr>
          <w:p w:rsidR="00C331D1" w:rsidRPr="000A697E" w:rsidRDefault="00C331D1" w:rsidP="00874798">
            <w:pPr>
              <w:pStyle w:val="naiskr"/>
              <w:spacing w:before="0" w:after="0"/>
              <w:ind w:left="-21"/>
              <w:rPr>
                <w:sz w:val="28"/>
                <w:szCs w:val="28"/>
              </w:rPr>
            </w:pPr>
            <w:r w:rsidRPr="000A697E">
              <w:rPr>
                <w:sz w:val="28"/>
                <w:szCs w:val="28"/>
              </w:rPr>
              <w:t>Cita informācija</w:t>
            </w:r>
          </w:p>
        </w:tc>
        <w:tc>
          <w:tcPr>
            <w:tcW w:w="5466" w:type="dxa"/>
          </w:tcPr>
          <w:p w:rsidR="00C331D1" w:rsidRPr="000A697E" w:rsidRDefault="00C331D1" w:rsidP="00874798">
            <w:pPr>
              <w:pStyle w:val="naiskr"/>
              <w:spacing w:before="0" w:after="0"/>
              <w:rPr>
                <w:sz w:val="28"/>
                <w:szCs w:val="28"/>
              </w:rPr>
            </w:pPr>
            <w:r w:rsidRPr="000A697E">
              <w:rPr>
                <w:sz w:val="28"/>
                <w:szCs w:val="28"/>
              </w:rPr>
              <w:t xml:space="preserve"> Nav</w:t>
            </w:r>
          </w:p>
        </w:tc>
      </w:tr>
    </w:tbl>
    <w:p w:rsidR="00F36C69" w:rsidRPr="000A697E" w:rsidRDefault="00F36C69" w:rsidP="00874798">
      <w:pPr>
        <w:ind w:left="720"/>
        <w:jc w:val="center"/>
        <w:rPr>
          <w:b/>
          <w:sz w:val="28"/>
          <w:szCs w:val="28"/>
        </w:rPr>
      </w:pPr>
    </w:p>
    <w:tbl>
      <w:tblPr>
        <w:tblStyle w:val="TableGrid"/>
        <w:tblW w:w="0" w:type="auto"/>
        <w:tblInd w:w="108" w:type="dxa"/>
        <w:tblLook w:val="04A0" w:firstRow="1" w:lastRow="0" w:firstColumn="1" w:lastColumn="0" w:noHBand="0" w:noVBand="1"/>
      </w:tblPr>
      <w:tblGrid>
        <w:gridCol w:w="480"/>
        <w:gridCol w:w="2985"/>
        <w:gridCol w:w="5466"/>
      </w:tblGrid>
      <w:tr w:rsidR="00C26A32" w:rsidRPr="000A697E" w:rsidTr="00F36C69">
        <w:tc>
          <w:tcPr>
            <w:tcW w:w="8931" w:type="dxa"/>
            <w:gridSpan w:val="3"/>
          </w:tcPr>
          <w:p w:rsidR="00C26A32" w:rsidRPr="000A697E" w:rsidRDefault="00C26A32" w:rsidP="00874798">
            <w:pPr>
              <w:jc w:val="center"/>
              <w:rPr>
                <w:b/>
                <w:sz w:val="28"/>
                <w:szCs w:val="28"/>
              </w:rPr>
            </w:pPr>
            <w:r w:rsidRPr="000A697E">
              <w:rPr>
                <w:sz w:val="28"/>
                <w:szCs w:val="28"/>
              </w:rPr>
              <w:t>VI. Sabiedrības līdzdalība un šīs līdzdalības rezultāti</w:t>
            </w:r>
          </w:p>
        </w:tc>
      </w:tr>
      <w:tr w:rsidR="00C26A32" w:rsidRPr="000A697E" w:rsidTr="00F36C69">
        <w:tc>
          <w:tcPr>
            <w:tcW w:w="480" w:type="dxa"/>
          </w:tcPr>
          <w:p w:rsidR="00C26A32" w:rsidRPr="000A697E" w:rsidRDefault="00F36C69" w:rsidP="00874798">
            <w:pPr>
              <w:jc w:val="center"/>
              <w:rPr>
                <w:sz w:val="28"/>
                <w:szCs w:val="28"/>
              </w:rPr>
            </w:pPr>
            <w:r w:rsidRPr="000A697E">
              <w:rPr>
                <w:sz w:val="28"/>
                <w:szCs w:val="28"/>
              </w:rPr>
              <w:t>1.</w:t>
            </w:r>
          </w:p>
        </w:tc>
        <w:tc>
          <w:tcPr>
            <w:tcW w:w="2985" w:type="dxa"/>
          </w:tcPr>
          <w:p w:rsidR="00C26A32" w:rsidRPr="000A697E" w:rsidRDefault="00C26A32" w:rsidP="00874798">
            <w:pPr>
              <w:pStyle w:val="naiskr"/>
              <w:tabs>
                <w:tab w:val="left" w:pos="-21"/>
              </w:tabs>
              <w:spacing w:before="0" w:after="0"/>
              <w:ind w:left="57" w:right="57"/>
              <w:rPr>
                <w:sz w:val="28"/>
                <w:szCs w:val="28"/>
              </w:rPr>
            </w:pPr>
            <w:r w:rsidRPr="000A697E">
              <w:rPr>
                <w:sz w:val="28"/>
                <w:szCs w:val="28"/>
              </w:rPr>
              <w:t>Sabiedrības informēšana par projekta izstrādes uzsākšanu</w:t>
            </w:r>
          </w:p>
        </w:tc>
        <w:tc>
          <w:tcPr>
            <w:tcW w:w="5466" w:type="dxa"/>
          </w:tcPr>
          <w:p w:rsidR="00C26A32" w:rsidRPr="000A697E" w:rsidRDefault="008C18E6" w:rsidP="00874798">
            <w:pPr>
              <w:pStyle w:val="NoSpacing"/>
              <w:ind w:firstLine="0"/>
              <w:jc w:val="both"/>
              <w:rPr>
                <w:sz w:val="28"/>
                <w:szCs w:val="28"/>
              </w:rPr>
            </w:pPr>
            <w:r w:rsidRPr="000A697E">
              <w:rPr>
                <w:rFonts w:eastAsiaTheme="minorHAnsi" w:cstheme="minorBidi"/>
                <w:sz w:val="28"/>
                <w:szCs w:val="28"/>
                <w:lang w:eastAsia="en-US"/>
              </w:rPr>
              <w:t>Tika sagatavotas un nosūtītas e-vēstules lielākajiem Nederīgo dokumentu reģistra lietotājiem ārpus valsts iestādēm, lai noskaidrotu, vai līdzšinējā reģistra darbība un tajā ietvertā informācija</w:t>
            </w:r>
            <w:r w:rsidR="00047BC2" w:rsidRPr="000A697E">
              <w:rPr>
                <w:rFonts w:eastAsiaTheme="minorHAnsi" w:cstheme="minorBidi"/>
                <w:sz w:val="28"/>
                <w:szCs w:val="28"/>
                <w:lang w:eastAsia="en-US"/>
              </w:rPr>
              <w:t xml:space="preserve"> atbilst lietotājiem nepieciešamajām ziņām.</w:t>
            </w:r>
            <w:r w:rsidRPr="000A697E">
              <w:rPr>
                <w:rFonts w:eastAsiaTheme="minorHAnsi" w:cstheme="minorBidi"/>
                <w:sz w:val="28"/>
                <w:szCs w:val="28"/>
                <w:lang w:eastAsia="en-US"/>
              </w:rPr>
              <w:t xml:space="preserve"> </w:t>
            </w:r>
          </w:p>
        </w:tc>
      </w:tr>
      <w:tr w:rsidR="00C26A32" w:rsidRPr="000A697E" w:rsidTr="00F36C69">
        <w:tc>
          <w:tcPr>
            <w:tcW w:w="480" w:type="dxa"/>
          </w:tcPr>
          <w:p w:rsidR="00C26A32" w:rsidRPr="000A697E" w:rsidRDefault="00F36C69" w:rsidP="00874798">
            <w:pPr>
              <w:jc w:val="center"/>
              <w:rPr>
                <w:sz w:val="28"/>
                <w:szCs w:val="28"/>
              </w:rPr>
            </w:pPr>
            <w:r w:rsidRPr="000A697E">
              <w:rPr>
                <w:sz w:val="28"/>
                <w:szCs w:val="28"/>
              </w:rPr>
              <w:t>2.</w:t>
            </w:r>
          </w:p>
        </w:tc>
        <w:tc>
          <w:tcPr>
            <w:tcW w:w="2985" w:type="dxa"/>
          </w:tcPr>
          <w:p w:rsidR="00C26A32" w:rsidRPr="000A697E" w:rsidRDefault="00047BC2" w:rsidP="00874798">
            <w:pPr>
              <w:pStyle w:val="naiskr"/>
              <w:spacing w:before="0" w:after="0"/>
              <w:ind w:right="57"/>
              <w:rPr>
                <w:sz w:val="28"/>
                <w:szCs w:val="28"/>
              </w:rPr>
            </w:pPr>
            <w:r w:rsidRPr="000A697E">
              <w:rPr>
                <w:sz w:val="28"/>
                <w:szCs w:val="28"/>
              </w:rPr>
              <w:t>Sabiedrības līdzdalības rezultāti</w:t>
            </w:r>
          </w:p>
        </w:tc>
        <w:tc>
          <w:tcPr>
            <w:tcW w:w="5466" w:type="dxa"/>
          </w:tcPr>
          <w:p w:rsidR="00C26A32" w:rsidRPr="000A697E" w:rsidRDefault="00047BC2" w:rsidP="00874798">
            <w:pPr>
              <w:pStyle w:val="NoSpacing"/>
              <w:ind w:firstLine="0"/>
              <w:jc w:val="both"/>
              <w:rPr>
                <w:sz w:val="28"/>
                <w:szCs w:val="28"/>
              </w:rPr>
            </w:pPr>
            <w:r w:rsidRPr="000A697E">
              <w:rPr>
                <w:sz w:val="28"/>
                <w:szCs w:val="28"/>
              </w:rPr>
              <w:t>Tika saņemti atzinumi no Latvijas Komercbanku asociācijas, Latvijas Zvērinātu notāru padomes, SIA „Tele2” un SIA „Latvijas Mobilais telefons”.</w:t>
            </w:r>
          </w:p>
          <w:p w:rsidR="00047BC2" w:rsidRPr="000A697E" w:rsidRDefault="00047BC2" w:rsidP="00874798">
            <w:pPr>
              <w:pStyle w:val="NoSpacing"/>
              <w:ind w:firstLine="0"/>
              <w:jc w:val="both"/>
              <w:rPr>
                <w:sz w:val="28"/>
                <w:szCs w:val="28"/>
              </w:rPr>
            </w:pPr>
            <w:r w:rsidRPr="000A697E">
              <w:rPr>
                <w:sz w:val="28"/>
                <w:szCs w:val="28"/>
              </w:rPr>
              <w:t>Atzinumos kopumā tika pausts viedoklis, ka visa līdz šim Nederīgo dokumentu reģistrā iekļautā informācija ir nepieciešama lietotāju ekonomisko interešu aizsardzībai.</w:t>
            </w:r>
          </w:p>
        </w:tc>
      </w:tr>
      <w:tr w:rsidR="00C26A32" w:rsidRPr="000A697E" w:rsidTr="00F36C69">
        <w:tc>
          <w:tcPr>
            <w:tcW w:w="480" w:type="dxa"/>
          </w:tcPr>
          <w:p w:rsidR="00C26A32" w:rsidRPr="000A697E" w:rsidRDefault="00F36C69" w:rsidP="00874798">
            <w:pPr>
              <w:jc w:val="center"/>
              <w:rPr>
                <w:sz w:val="28"/>
                <w:szCs w:val="28"/>
              </w:rPr>
            </w:pPr>
            <w:r w:rsidRPr="000A697E">
              <w:rPr>
                <w:sz w:val="28"/>
                <w:szCs w:val="28"/>
              </w:rPr>
              <w:lastRenderedPageBreak/>
              <w:t>3.</w:t>
            </w:r>
          </w:p>
        </w:tc>
        <w:tc>
          <w:tcPr>
            <w:tcW w:w="2985" w:type="dxa"/>
          </w:tcPr>
          <w:p w:rsidR="00C26A32" w:rsidRPr="000A697E" w:rsidRDefault="00047BC2" w:rsidP="00874798">
            <w:pPr>
              <w:pStyle w:val="naiskr"/>
              <w:spacing w:before="0" w:after="0"/>
              <w:ind w:right="57"/>
              <w:rPr>
                <w:sz w:val="28"/>
                <w:szCs w:val="28"/>
              </w:rPr>
            </w:pPr>
            <w:r w:rsidRPr="000A697E">
              <w:rPr>
                <w:sz w:val="28"/>
                <w:szCs w:val="28"/>
              </w:rPr>
              <w:t>Cita informācija</w:t>
            </w:r>
          </w:p>
        </w:tc>
        <w:tc>
          <w:tcPr>
            <w:tcW w:w="5466" w:type="dxa"/>
          </w:tcPr>
          <w:p w:rsidR="00C26A32" w:rsidRPr="000A697E" w:rsidRDefault="00047BC2" w:rsidP="00874798">
            <w:pPr>
              <w:pStyle w:val="NoSpacing"/>
              <w:ind w:firstLine="0"/>
              <w:jc w:val="both"/>
              <w:rPr>
                <w:sz w:val="28"/>
                <w:szCs w:val="28"/>
              </w:rPr>
            </w:pPr>
            <w:r w:rsidRPr="000A697E">
              <w:rPr>
                <w:sz w:val="28"/>
                <w:szCs w:val="28"/>
              </w:rPr>
              <w:t>Nav.</w:t>
            </w:r>
          </w:p>
        </w:tc>
      </w:tr>
    </w:tbl>
    <w:p w:rsidR="00B21B0C" w:rsidRPr="000A697E" w:rsidRDefault="00B21B0C" w:rsidP="00874798">
      <w:pPr>
        <w:ind w:left="720"/>
        <w:jc w:val="center"/>
        <w:rPr>
          <w:b/>
          <w:sz w:val="28"/>
          <w:szCs w:val="28"/>
        </w:rPr>
      </w:pPr>
    </w:p>
    <w:tbl>
      <w:tblPr>
        <w:tblStyle w:val="TableGrid"/>
        <w:tblW w:w="0" w:type="auto"/>
        <w:tblInd w:w="108" w:type="dxa"/>
        <w:tblLook w:val="04A0" w:firstRow="1" w:lastRow="0" w:firstColumn="1" w:lastColumn="0" w:noHBand="0" w:noVBand="1"/>
      </w:tblPr>
      <w:tblGrid>
        <w:gridCol w:w="480"/>
        <w:gridCol w:w="2985"/>
        <w:gridCol w:w="5466"/>
      </w:tblGrid>
      <w:tr w:rsidR="00C331D1" w:rsidRPr="000A697E" w:rsidTr="00F36C69">
        <w:tc>
          <w:tcPr>
            <w:tcW w:w="8931" w:type="dxa"/>
            <w:gridSpan w:val="3"/>
          </w:tcPr>
          <w:p w:rsidR="00C331D1" w:rsidRPr="000A697E" w:rsidRDefault="00C331D1" w:rsidP="00874798">
            <w:pPr>
              <w:jc w:val="center"/>
              <w:rPr>
                <w:b/>
                <w:sz w:val="28"/>
                <w:szCs w:val="28"/>
              </w:rPr>
            </w:pPr>
            <w:r w:rsidRPr="000A697E">
              <w:rPr>
                <w:sz w:val="28"/>
                <w:szCs w:val="28"/>
              </w:rPr>
              <w:t>VII. Tiesību akta projekta izpildes nodrošināšana un tās ietekme uz institūcijā</w:t>
            </w:r>
          </w:p>
        </w:tc>
      </w:tr>
      <w:tr w:rsidR="00C331D1" w:rsidRPr="000A697E" w:rsidTr="00F36C69">
        <w:tc>
          <w:tcPr>
            <w:tcW w:w="480" w:type="dxa"/>
          </w:tcPr>
          <w:p w:rsidR="00C331D1" w:rsidRPr="000A697E" w:rsidRDefault="00F36C69" w:rsidP="00874798">
            <w:pPr>
              <w:jc w:val="center"/>
              <w:rPr>
                <w:sz w:val="28"/>
                <w:szCs w:val="28"/>
              </w:rPr>
            </w:pPr>
            <w:r w:rsidRPr="000A697E">
              <w:rPr>
                <w:sz w:val="28"/>
                <w:szCs w:val="28"/>
              </w:rPr>
              <w:t>1.</w:t>
            </w:r>
          </w:p>
        </w:tc>
        <w:tc>
          <w:tcPr>
            <w:tcW w:w="2985" w:type="dxa"/>
          </w:tcPr>
          <w:p w:rsidR="00C331D1" w:rsidRPr="000A697E" w:rsidRDefault="00C331D1" w:rsidP="00ED3ED2">
            <w:pPr>
              <w:pStyle w:val="naisf"/>
              <w:spacing w:before="0" w:after="0"/>
              <w:ind w:firstLine="0"/>
              <w:jc w:val="left"/>
              <w:rPr>
                <w:sz w:val="28"/>
                <w:szCs w:val="28"/>
              </w:rPr>
            </w:pPr>
            <w:r w:rsidRPr="000A697E">
              <w:rPr>
                <w:sz w:val="28"/>
                <w:szCs w:val="28"/>
              </w:rPr>
              <w:t xml:space="preserve">Projekta izpildē iesaistītās institūcijas </w:t>
            </w:r>
          </w:p>
        </w:tc>
        <w:tc>
          <w:tcPr>
            <w:tcW w:w="5466" w:type="dxa"/>
          </w:tcPr>
          <w:p w:rsidR="00C331D1" w:rsidRPr="000A697E" w:rsidRDefault="00C331D1" w:rsidP="00874798">
            <w:pPr>
              <w:rPr>
                <w:bCs/>
                <w:iCs/>
                <w:sz w:val="28"/>
                <w:szCs w:val="28"/>
              </w:rPr>
            </w:pPr>
            <w:r w:rsidRPr="000A697E">
              <w:rPr>
                <w:i/>
                <w:iCs/>
                <w:sz w:val="28"/>
                <w:szCs w:val="28"/>
              </w:rPr>
              <w:t xml:space="preserve"> </w:t>
            </w:r>
            <w:r w:rsidRPr="000A697E">
              <w:rPr>
                <w:bCs/>
                <w:iCs/>
                <w:sz w:val="28"/>
                <w:szCs w:val="28"/>
              </w:rPr>
              <w:t xml:space="preserve">Iekšlietu ministrijas Informācijas centrs, </w:t>
            </w:r>
          </w:p>
          <w:p w:rsidR="00C331D1" w:rsidRPr="000A697E" w:rsidRDefault="00C331D1" w:rsidP="00874798">
            <w:pPr>
              <w:rPr>
                <w:bCs/>
                <w:iCs/>
                <w:sz w:val="28"/>
                <w:szCs w:val="28"/>
              </w:rPr>
            </w:pPr>
            <w:r w:rsidRPr="000A697E">
              <w:rPr>
                <w:bCs/>
                <w:iCs/>
                <w:sz w:val="28"/>
                <w:szCs w:val="28"/>
              </w:rPr>
              <w:t xml:space="preserve">Valsts policija, </w:t>
            </w:r>
          </w:p>
          <w:p w:rsidR="00C331D1" w:rsidRPr="000A697E" w:rsidRDefault="00C331D1" w:rsidP="00874798">
            <w:pPr>
              <w:rPr>
                <w:bCs/>
                <w:iCs/>
                <w:sz w:val="28"/>
                <w:szCs w:val="28"/>
              </w:rPr>
            </w:pPr>
            <w:r w:rsidRPr="000A697E">
              <w:rPr>
                <w:bCs/>
                <w:iCs/>
                <w:sz w:val="28"/>
                <w:szCs w:val="28"/>
              </w:rPr>
              <w:t xml:space="preserve">Valsts robežsardze, </w:t>
            </w:r>
          </w:p>
          <w:p w:rsidR="00C331D1" w:rsidRPr="000A697E" w:rsidRDefault="00C331D1" w:rsidP="00874798">
            <w:pPr>
              <w:rPr>
                <w:bCs/>
                <w:iCs/>
                <w:sz w:val="28"/>
                <w:szCs w:val="28"/>
              </w:rPr>
            </w:pPr>
            <w:r w:rsidRPr="000A697E">
              <w:rPr>
                <w:bCs/>
                <w:iCs/>
                <w:sz w:val="28"/>
                <w:szCs w:val="28"/>
              </w:rPr>
              <w:t xml:space="preserve">Pilsonības un migrācijas lietu pārvalde, </w:t>
            </w:r>
          </w:p>
          <w:p w:rsidR="00C331D1" w:rsidRPr="000A697E" w:rsidRDefault="00C331D1" w:rsidP="00874798">
            <w:pPr>
              <w:rPr>
                <w:bCs/>
                <w:iCs/>
                <w:sz w:val="28"/>
                <w:szCs w:val="28"/>
              </w:rPr>
            </w:pPr>
            <w:r w:rsidRPr="000A697E">
              <w:rPr>
                <w:bCs/>
                <w:iCs/>
                <w:sz w:val="28"/>
                <w:szCs w:val="28"/>
              </w:rPr>
              <w:t xml:space="preserve">Ārlietu ministrijas Konsulārais departaments, </w:t>
            </w:r>
          </w:p>
          <w:p w:rsidR="00C331D1" w:rsidRPr="000A697E" w:rsidRDefault="00C331D1" w:rsidP="00874798">
            <w:pPr>
              <w:rPr>
                <w:bCs/>
                <w:iCs/>
                <w:sz w:val="28"/>
                <w:szCs w:val="28"/>
              </w:rPr>
            </w:pPr>
            <w:r w:rsidRPr="000A697E">
              <w:rPr>
                <w:bCs/>
                <w:iCs/>
                <w:sz w:val="28"/>
                <w:szCs w:val="28"/>
              </w:rPr>
              <w:t xml:space="preserve">Latvijas Republikas diplomātiskās un konsulārās pārstāvniecības ārvalstīs, </w:t>
            </w:r>
          </w:p>
          <w:p w:rsidR="00C331D1" w:rsidRPr="000A697E" w:rsidRDefault="00C331D1" w:rsidP="00874798">
            <w:pPr>
              <w:rPr>
                <w:bCs/>
                <w:iCs/>
                <w:sz w:val="28"/>
                <w:szCs w:val="28"/>
              </w:rPr>
            </w:pPr>
            <w:r w:rsidRPr="000A697E">
              <w:rPr>
                <w:bCs/>
                <w:iCs/>
                <w:sz w:val="28"/>
                <w:szCs w:val="28"/>
              </w:rPr>
              <w:t xml:space="preserve">Valsts protokols, </w:t>
            </w:r>
          </w:p>
          <w:p w:rsidR="00C331D1" w:rsidRPr="000A697E" w:rsidRDefault="00C331D1" w:rsidP="00874798">
            <w:pPr>
              <w:rPr>
                <w:bCs/>
                <w:iCs/>
                <w:sz w:val="28"/>
                <w:szCs w:val="28"/>
              </w:rPr>
            </w:pPr>
            <w:r w:rsidRPr="000A697E">
              <w:rPr>
                <w:bCs/>
                <w:iCs/>
                <w:sz w:val="28"/>
                <w:szCs w:val="28"/>
              </w:rPr>
              <w:t>valsts akciju sabiedrība “Ceļu satiksmes drošības direkcija”,</w:t>
            </w:r>
            <w:r w:rsidRPr="000A697E">
              <w:rPr>
                <w:bCs/>
                <w:iCs/>
                <w:sz w:val="28"/>
                <w:szCs w:val="28"/>
              </w:rPr>
              <w:br/>
              <w:t xml:space="preserve">valsts akciju sabiedrības “Latvijas Jūras administrācija” Jūrnieku reģistrs , </w:t>
            </w:r>
          </w:p>
          <w:p w:rsidR="00C331D1" w:rsidRPr="000A697E" w:rsidRDefault="00C331D1" w:rsidP="00874798">
            <w:pPr>
              <w:rPr>
                <w:bCs/>
                <w:iCs/>
                <w:sz w:val="28"/>
                <w:szCs w:val="28"/>
              </w:rPr>
            </w:pPr>
            <w:r w:rsidRPr="000A697E">
              <w:rPr>
                <w:bCs/>
                <w:iCs/>
                <w:sz w:val="28"/>
                <w:szCs w:val="28"/>
              </w:rPr>
              <w:t>dzimtsarakstu nodaļas.</w:t>
            </w:r>
          </w:p>
        </w:tc>
      </w:tr>
      <w:tr w:rsidR="00C26A32" w:rsidRPr="000A697E" w:rsidTr="00F36C69">
        <w:tc>
          <w:tcPr>
            <w:tcW w:w="480" w:type="dxa"/>
          </w:tcPr>
          <w:p w:rsidR="00C26A32" w:rsidRPr="000A697E" w:rsidRDefault="00F36C69" w:rsidP="00874798">
            <w:pPr>
              <w:jc w:val="center"/>
              <w:rPr>
                <w:sz w:val="28"/>
                <w:szCs w:val="28"/>
              </w:rPr>
            </w:pPr>
            <w:r w:rsidRPr="000A697E">
              <w:rPr>
                <w:sz w:val="28"/>
                <w:szCs w:val="28"/>
              </w:rPr>
              <w:t>2.</w:t>
            </w:r>
          </w:p>
        </w:tc>
        <w:tc>
          <w:tcPr>
            <w:tcW w:w="2985" w:type="dxa"/>
          </w:tcPr>
          <w:p w:rsidR="00C26A32" w:rsidRPr="000A697E" w:rsidRDefault="00C26A32" w:rsidP="00ED3ED2">
            <w:pPr>
              <w:pStyle w:val="naisf"/>
              <w:spacing w:before="0" w:after="0"/>
              <w:ind w:firstLine="0"/>
              <w:jc w:val="left"/>
              <w:rPr>
                <w:sz w:val="28"/>
                <w:szCs w:val="28"/>
              </w:rPr>
            </w:pPr>
            <w:r w:rsidRPr="000A697E">
              <w:rPr>
                <w:sz w:val="28"/>
                <w:szCs w:val="28"/>
              </w:rPr>
              <w:t xml:space="preserve">Projekta izpildes ietekme uz pārvaldes funkcijām </w:t>
            </w:r>
          </w:p>
        </w:tc>
        <w:tc>
          <w:tcPr>
            <w:tcW w:w="5466" w:type="dxa"/>
          </w:tcPr>
          <w:p w:rsidR="00C26A32" w:rsidRPr="000A697E" w:rsidRDefault="00C26A32" w:rsidP="00874798">
            <w:pPr>
              <w:pStyle w:val="naisnod"/>
              <w:spacing w:before="0" w:after="0"/>
              <w:jc w:val="left"/>
              <w:rPr>
                <w:b w:val="0"/>
                <w:iCs/>
                <w:sz w:val="28"/>
                <w:szCs w:val="28"/>
              </w:rPr>
            </w:pPr>
            <w:r w:rsidRPr="000A697E">
              <w:rPr>
                <w:b w:val="0"/>
                <w:iCs/>
                <w:sz w:val="28"/>
                <w:szCs w:val="28"/>
              </w:rPr>
              <w:t>Projekts paredz ziņu ievadi par nederīgiem personu apliecinošiem dokumentiem, pagaidu dokumentiem, transportlīdzekļu vadītāju apliecībām, jūrnieku grāmatiņām un šo dokumentu neaizpildītām veidlapām ievadi valsts informācijas sistēmā „Nederīgo dokumentu reģistrs”.</w:t>
            </w:r>
          </w:p>
          <w:p w:rsidR="00C26A32" w:rsidRPr="000A697E" w:rsidRDefault="00C26A32" w:rsidP="00874798">
            <w:pPr>
              <w:pStyle w:val="naisnod"/>
              <w:spacing w:before="0" w:after="0"/>
              <w:jc w:val="left"/>
              <w:rPr>
                <w:b w:val="0"/>
                <w:iCs/>
                <w:sz w:val="28"/>
                <w:szCs w:val="28"/>
              </w:rPr>
            </w:pPr>
            <w:r w:rsidRPr="000A697E">
              <w:rPr>
                <w:b w:val="0"/>
                <w:iCs/>
                <w:sz w:val="28"/>
                <w:szCs w:val="28"/>
              </w:rPr>
              <w:t>Projekts paredz ievadīto datu sniegšanu kompetentām iestādēm un sabiedrībai, kā arī ievadīto datu glabāšanas termiņus.</w:t>
            </w:r>
          </w:p>
          <w:p w:rsidR="00424319" w:rsidRPr="000A697E" w:rsidRDefault="00424319" w:rsidP="00424319">
            <w:pPr>
              <w:pStyle w:val="naisnod"/>
              <w:spacing w:before="0" w:after="0"/>
              <w:jc w:val="left"/>
              <w:rPr>
                <w:b w:val="0"/>
                <w:sz w:val="28"/>
                <w:szCs w:val="28"/>
              </w:rPr>
            </w:pPr>
            <w:r w:rsidRPr="000A697E">
              <w:rPr>
                <w:b w:val="0"/>
                <w:sz w:val="28"/>
                <w:szCs w:val="28"/>
              </w:rPr>
              <w:t>Noteikumu projekts paredz noteikumu projektā norādīto iestāžu, kas ievada informāciju, tiesību paplašināšanos, jo ir dotas tiesības ievadīt reģistrā ziņas par jauniem dokumentu veidiem – personas apliecībām un pagaidu dokumentiem.</w:t>
            </w:r>
          </w:p>
          <w:p w:rsidR="008E3F7A" w:rsidRPr="000A697E" w:rsidRDefault="00424319" w:rsidP="00424319">
            <w:pPr>
              <w:pStyle w:val="naisnod"/>
              <w:spacing w:before="0" w:after="0"/>
              <w:jc w:val="left"/>
              <w:rPr>
                <w:b w:val="0"/>
                <w:sz w:val="28"/>
                <w:szCs w:val="28"/>
              </w:rPr>
            </w:pPr>
            <w:r w:rsidRPr="000A697E">
              <w:rPr>
                <w:b w:val="0"/>
                <w:sz w:val="28"/>
                <w:szCs w:val="28"/>
              </w:rPr>
              <w:t>Vienlaikus, noteikumu projekts sašaurina līdz šim spēkā esošos Ārlietu ministrijas Konsulārā departamenta, kā arī Latvijas pārstāvniecību ārvalstīs uzdevumus, jo noteikumu projekts vairs neparedzēs ziņu par ārvalstu izsniegto dokumentu, ar kuriem notikumi notikuši citās valstīs, iekļaušanu reģistrā.</w:t>
            </w:r>
          </w:p>
          <w:p w:rsidR="00424319" w:rsidRPr="000A697E" w:rsidRDefault="008E3F7A" w:rsidP="008E3F7A">
            <w:pPr>
              <w:pStyle w:val="naisnod"/>
              <w:spacing w:before="0" w:after="0"/>
              <w:jc w:val="left"/>
              <w:rPr>
                <w:b w:val="0"/>
                <w:sz w:val="28"/>
                <w:szCs w:val="28"/>
              </w:rPr>
            </w:pPr>
            <w:r w:rsidRPr="000A697E">
              <w:rPr>
                <w:b w:val="0"/>
                <w:sz w:val="28"/>
                <w:szCs w:val="28"/>
              </w:rPr>
              <w:t>Noteikumu projektā ir precizēta rīcība, gadījumos, ja reģistra lietotājs konstatē dokumentu, kuram reģistrā ir statuss „nav noteikts”</w:t>
            </w:r>
            <w:r w:rsidR="00424319" w:rsidRPr="000A697E">
              <w:rPr>
                <w:b w:val="0"/>
                <w:sz w:val="28"/>
                <w:szCs w:val="28"/>
              </w:rPr>
              <w:t xml:space="preserve"> </w:t>
            </w:r>
          </w:p>
        </w:tc>
      </w:tr>
      <w:tr w:rsidR="00C26A32" w:rsidRPr="000A697E" w:rsidTr="00F36C69">
        <w:tc>
          <w:tcPr>
            <w:tcW w:w="480" w:type="dxa"/>
          </w:tcPr>
          <w:p w:rsidR="00C26A32" w:rsidRPr="000A697E" w:rsidRDefault="00F36C69" w:rsidP="00874798">
            <w:pPr>
              <w:jc w:val="center"/>
              <w:rPr>
                <w:sz w:val="28"/>
                <w:szCs w:val="28"/>
              </w:rPr>
            </w:pPr>
            <w:r w:rsidRPr="000A697E">
              <w:rPr>
                <w:sz w:val="28"/>
                <w:szCs w:val="28"/>
              </w:rPr>
              <w:t>3.</w:t>
            </w:r>
          </w:p>
        </w:tc>
        <w:tc>
          <w:tcPr>
            <w:tcW w:w="2985" w:type="dxa"/>
          </w:tcPr>
          <w:p w:rsidR="00C26A32" w:rsidRPr="000A697E" w:rsidRDefault="00C26A32" w:rsidP="00ED3ED2">
            <w:pPr>
              <w:pStyle w:val="naisf"/>
              <w:spacing w:before="0" w:after="0"/>
              <w:ind w:left="-21" w:firstLine="0"/>
              <w:jc w:val="left"/>
              <w:rPr>
                <w:sz w:val="28"/>
                <w:szCs w:val="28"/>
              </w:rPr>
            </w:pPr>
            <w:r w:rsidRPr="000A697E">
              <w:rPr>
                <w:sz w:val="28"/>
                <w:szCs w:val="28"/>
              </w:rPr>
              <w:t xml:space="preserve">Projekta izpildes </w:t>
            </w:r>
            <w:r w:rsidRPr="000A697E">
              <w:rPr>
                <w:sz w:val="28"/>
                <w:szCs w:val="28"/>
              </w:rPr>
              <w:lastRenderedPageBreak/>
              <w:t>ietekme uz pārvaldes institucionālo struktūru.</w:t>
            </w:r>
          </w:p>
          <w:p w:rsidR="00C26A32" w:rsidRPr="000A697E" w:rsidRDefault="00C26A32" w:rsidP="00ED3ED2">
            <w:pPr>
              <w:pStyle w:val="naisf"/>
              <w:spacing w:before="0" w:after="0"/>
              <w:ind w:left="-21" w:firstLine="0"/>
              <w:jc w:val="left"/>
              <w:rPr>
                <w:sz w:val="28"/>
                <w:szCs w:val="28"/>
              </w:rPr>
            </w:pPr>
            <w:r w:rsidRPr="000A697E">
              <w:rPr>
                <w:sz w:val="28"/>
                <w:szCs w:val="28"/>
              </w:rPr>
              <w:t>Jaunu institūciju izveide.</w:t>
            </w:r>
          </w:p>
        </w:tc>
        <w:tc>
          <w:tcPr>
            <w:tcW w:w="5466" w:type="dxa"/>
          </w:tcPr>
          <w:p w:rsidR="00C26A32" w:rsidRPr="000A697E" w:rsidRDefault="00C26A32" w:rsidP="00874798">
            <w:pPr>
              <w:pStyle w:val="naisnod"/>
              <w:spacing w:before="0" w:after="0"/>
              <w:jc w:val="left"/>
              <w:rPr>
                <w:b w:val="0"/>
                <w:sz w:val="28"/>
                <w:szCs w:val="28"/>
              </w:rPr>
            </w:pPr>
            <w:r w:rsidRPr="000A697E">
              <w:rPr>
                <w:b w:val="0"/>
                <w:iCs/>
                <w:sz w:val="28"/>
                <w:szCs w:val="28"/>
              </w:rPr>
              <w:lastRenderedPageBreak/>
              <w:t>Projekts šo jomu neskar</w:t>
            </w:r>
            <w:r w:rsidRPr="000A697E">
              <w:rPr>
                <w:b w:val="0"/>
                <w:sz w:val="28"/>
                <w:szCs w:val="28"/>
              </w:rPr>
              <w:t>.</w:t>
            </w:r>
          </w:p>
        </w:tc>
      </w:tr>
      <w:tr w:rsidR="00C26A32" w:rsidRPr="000A697E" w:rsidTr="00F36C69">
        <w:tc>
          <w:tcPr>
            <w:tcW w:w="480" w:type="dxa"/>
          </w:tcPr>
          <w:p w:rsidR="00C26A32" w:rsidRPr="000A697E" w:rsidRDefault="00F36C69" w:rsidP="00874798">
            <w:pPr>
              <w:jc w:val="center"/>
              <w:rPr>
                <w:sz w:val="28"/>
                <w:szCs w:val="28"/>
              </w:rPr>
            </w:pPr>
            <w:r w:rsidRPr="000A697E">
              <w:rPr>
                <w:sz w:val="28"/>
                <w:szCs w:val="28"/>
              </w:rPr>
              <w:lastRenderedPageBreak/>
              <w:t>4.</w:t>
            </w:r>
          </w:p>
        </w:tc>
        <w:tc>
          <w:tcPr>
            <w:tcW w:w="2985" w:type="dxa"/>
          </w:tcPr>
          <w:p w:rsidR="00C26A32" w:rsidRPr="000A697E" w:rsidRDefault="00C26A32" w:rsidP="00ED3ED2">
            <w:pPr>
              <w:pStyle w:val="naisf"/>
              <w:spacing w:before="0" w:after="0"/>
              <w:ind w:firstLine="0"/>
              <w:jc w:val="left"/>
              <w:rPr>
                <w:sz w:val="28"/>
                <w:szCs w:val="28"/>
              </w:rPr>
            </w:pPr>
            <w:r w:rsidRPr="000A697E">
              <w:rPr>
                <w:sz w:val="28"/>
                <w:szCs w:val="28"/>
              </w:rPr>
              <w:t>Projekta izpildes ietekme uz pārvaldes institucionālo struktūru.</w:t>
            </w:r>
          </w:p>
          <w:p w:rsidR="00C26A32" w:rsidRPr="000A697E" w:rsidRDefault="00C26A32" w:rsidP="00ED3ED2">
            <w:pPr>
              <w:pStyle w:val="naisf"/>
              <w:spacing w:before="0" w:after="0"/>
              <w:ind w:firstLine="0"/>
              <w:jc w:val="left"/>
              <w:rPr>
                <w:sz w:val="28"/>
                <w:szCs w:val="28"/>
              </w:rPr>
            </w:pPr>
            <w:r w:rsidRPr="000A697E">
              <w:rPr>
                <w:sz w:val="28"/>
                <w:szCs w:val="28"/>
              </w:rPr>
              <w:t>Esošu institūciju likvidācija.</w:t>
            </w:r>
          </w:p>
        </w:tc>
        <w:tc>
          <w:tcPr>
            <w:tcW w:w="5466" w:type="dxa"/>
          </w:tcPr>
          <w:p w:rsidR="00C26A32" w:rsidRPr="000A697E" w:rsidRDefault="00C26A32" w:rsidP="00874798">
            <w:pPr>
              <w:pStyle w:val="naisnod"/>
              <w:spacing w:before="0" w:after="0"/>
              <w:jc w:val="left"/>
              <w:rPr>
                <w:b w:val="0"/>
                <w:sz w:val="28"/>
                <w:szCs w:val="28"/>
              </w:rPr>
            </w:pPr>
            <w:r w:rsidRPr="000A697E">
              <w:rPr>
                <w:b w:val="0"/>
                <w:iCs/>
                <w:sz w:val="28"/>
                <w:szCs w:val="28"/>
              </w:rPr>
              <w:t>Projekts šo jomu neskar</w:t>
            </w:r>
            <w:r w:rsidRPr="000A697E">
              <w:rPr>
                <w:b w:val="0"/>
                <w:sz w:val="28"/>
                <w:szCs w:val="28"/>
              </w:rPr>
              <w:t>.</w:t>
            </w:r>
          </w:p>
        </w:tc>
      </w:tr>
      <w:tr w:rsidR="00C26A32" w:rsidRPr="000A697E" w:rsidTr="00F36C69">
        <w:tc>
          <w:tcPr>
            <w:tcW w:w="480" w:type="dxa"/>
          </w:tcPr>
          <w:p w:rsidR="00C26A32" w:rsidRPr="000A697E" w:rsidRDefault="00F36C69" w:rsidP="00874798">
            <w:pPr>
              <w:jc w:val="center"/>
              <w:rPr>
                <w:sz w:val="28"/>
                <w:szCs w:val="28"/>
              </w:rPr>
            </w:pPr>
            <w:r w:rsidRPr="000A697E">
              <w:rPr>
                <w:sz w:val="28"/>
                <w:szCs w:val="28"/>
              </w:rPr>
              <w:t>5.</w:t>
            </w:r>
          </w:p>
        </w:tc>
        <w:tc>
          <w:tcPr>
            <w:tcW w:w="2985" w:type="dxa"/>
          </w:tcPr>
          <w:p w:rsidR="00C26A32" w:rsidRPr="000A697E" w:rsidRDefault="00C26A32" w:rsidP="00ED3ED2">
            <w:pPr>
              <w:pStyle w:val="naisf"/>
              <w:spacing w:before="0" w:after="0"/>
              <w:ind w:left="-21" w:firstLine="0"/>
              <w:jc w:val="left"/>
              <w:rPr>
                <w:sz w:val="28"/>
                <w:szCs w:val="28"/>
              </w:rPr>
            </w:pPr>
            <w:r w:rsidRPr="000A697E">
              <w:rPr>
                <w:sz w:val="28"/>
                <w:szCs w:val="28"/>
              </w:rPr>
              <w:t>Projekta izpildes ietekme uz pārvaldes institucionālo struktūru.</w:t>
            </w:r>
          </w:p>
          <w:p w:rsidR="00C26A32" w:rsidRPr="000A697E" w:rsidRDefault="00C26A32" w:rsidP="00ED3ED2">
            <w:pPr>
              <w:pStyle w:val="naisf"/>
              <w:spacing w:before="0" w:after="0"/>
              <w:ind w:left="-21" w:firstLine="0"/>
              <w:jc w:val="left"/>
              <w:rPr>
                <w:sz w:val="28"/>
                <w:szCs w:val="28"/>
              </w:rPr>
            </w:pPr>
            <w:r w:rsidRPr="000A697E">
              <w:rPr>
                <w:sz w:val="28"/>
                <w:szCs w:val="28"/>
              </w:rPr>
              <w:t>Esošu institūciju reorganizācija.</w:t>
            </w:r>
          </w:p>
        </w:tc>
        <w:tc>
          <w:tcPr>
            <w:tcW w:w="5466" w:type="dxa"/>
          </w:tcPr>
          <w:p w:rsidR="00C26A32" w:rsidRPr="000A697E" w:rsidRDefault="00C26A32" w:rsidP="00874798">
            <w:pPr>
              <w:pStyle w:val="naisnod"/>
              <w:spacing w:before="0" w:after="0"/>
              <w:jc w:val="left"/>
              <w:rPr>
                <w:b w:val="0"/>
                <w:sz w:val="28"/>
                <w:szCs w:val="28"/>
              </w:rPr>
            </w:pPr>
            <w:r w:rsidRPr="000A697E">
              <w:rPr>
                <w:b w:val="0"/>
                <w:iCs/>
                <w:sz w:val="28"/>
                <w:szCs w:val="28"/>
              </w:rPr>
              <w:t>Projekts šo jomu neskar</w:t>
            </w:r>
            <w:r w:rsidRPr="000A697E">
              <w:rPr>
                <w:b w:val="0"/>
                <w:sz w:val="28"/>
                <w:szCs w:val="28"/>
              </w:rPr>
              <w:t>.</w:t>
            </w:r>
          </w:p>
        </w:tc>
      </w:tr>
      <w:tr w:rsidR="00C26A32" w:rsidRPr="000A697E" w:rsidTr="00F36C69">
        <w:tc>
          <w:tcPr>
            <w:tcW w:w="480" w:type="dxa"/>
          </w:tcPr>
          <w:p w:rsidR="00C26A32" w:rsidRPr="000A697E" w:rsidRDefault="00F36C69" w:rsidP="00874798">
            <w:pPr>
              <w:jc w:val="center"/>
              <w:rPr>
                <w:sz w:val="28"/>
                <w:szCs w:val="28"/>
              </w:rPr>
            </w:pPr>
            <w:r w:rsidRPr="000A697E">
              <w:rPr>
                <w:sz w:val="28"/>
                <w:szCs w:val="28"/>
              </w:rPr>
              <w:t>6.</w:t>
            </w:r>
          </w:p>
        </w:tc>
        <w:tc>
          <w:tcPr>
            <w:tcW w:w="2985" w:type="dxa"/>
          </w:tcPr>
          <w:p w:rsidR="00C26A32" w:rsidRPr="000A697E" w:rsidRDefault="00C26A32" w:rsidP="00874798">
            <w:pPr>
              <w:pStyle w:val="naiskr"/>
              <w:spacing w:before="0" w:after="0"/>
              <w:ind w:left="170"/>
              <w:rPr>
                <w:sz w:val="28"/>
                <w:szCs w:val="28"/>
              </w:rPr>
            </w:pPr>
            <w:r w:rsidRPr="000A697E">
              <w:rPr>
                <w:sz w:val="28"/>
                <w:szCs w:val="28"/>
              </w:rPr>
              <w:t>Cita informācija.</w:t>
            </w:r>
          </w:p>
        </w:tc>
        <w:tc>
          <w:tcPr>
            <w:tcW w:w="5466" w:type="dxa"/>
          </w:tcPr>
          <w:p w:rsidR="00C26A32" w:rsidRPr="000A697E" w:rsidRDefault="00C26A32" w:rsidP="00874798">
            <w:pPr>
              <w:pStyle w:val="naiskr"/>
              <w:spacing w:before="0" w:after="0"/>
              <w:rPr>
                <w:sz w:val="28"/>
                <w:szCs w:val="28"/>
              </w:rPr>
            </w:pPr>
            <w:r w:rsidRPr="000A697E">
              <w:rPr>
                <w:sz w:val="28"/>
                <w:szCs w:val="28"/>
              </w:rPr>
              <w:t>Nav</w:t>
            </w:r>
          </w:p>
        </w:tc>
      </w:tr>
    </w:tbl>
    <w:p w:rsidR="004C1C2E" w:rsidRPr="000A697E" w:rsidRDefault="004C1C2E" w:rsidP="004C1C2E">
      <w:pPr>
        <w:ind w:left="720"/>
        <w:jc w:val="center"/>
        <w:rPr>
          <w:b/>
          <w:sz w:val="28"/>
          <w:szCs w:val="28"/>
        </w:rPr>
      </w:pPr>
    </w:p>
    <w:p w:rsidR="004C1C2E" w:rsidRPr="000A697E" w:rsidRDefault="004C1C2E" w:rsidP="004C1C2E">
      <w:pPr>
        <w:ind w:left="720"/>
        <w:jc w:val="both"/>
        <w:rPr>
          <w:b/>
          <w:sz w:val="28"/>
          <w:szCs w:val="28"/>
        </w:rPr>
      </w:pPr>
      <w:r w:rsidRPr="000A697E">
        <w:rPr>
          <w:sz w:val="28"/>
          <w:szCs w:val="28"/>
        </w:rPr>
        <w:t>Anotācijas  II, III, IV un V sadaļa – projekts šīs jomas neskar.</w:t>
      </w:r>
    </w:p>
    <w:p w:rsidR="004A5684" w:rsidRPr="000A697E" w:rsidRDefault="004A5684" w:rsidP="00874798">
      <w:pPr>
        <w:rPr>
          <w:vanish/>
        </w:rPr>
      </w:pPr>
    </w:p>
    <w:p w:rsidR="00874798" w:rsidRPr="000A697E" w:rsidRDefault="00874798" w:rsidP="00874798">
      <w:pPr>
        <w:pStyle w:val="NormalWeb"/>
        <w:tabs>
          <w:tab w:val="left" w:pos="7371"/>
        </w:tabs>
        <w:spacing w:before="0" w:after="0"/>
        <w:ind w:right="-51"/>
        <w:rPr>
          <w:sz w:val="28"/>
          <w:szCs w:val="28"/>
          <w:lang w:val="lv-LV"/>
        </w:rPr>
      </w:pPr>
    </w:p>
    <w:p w:rsidR="00E911BF" w:rsidRPr="000A697E" w:rsidRDefault="00F5567A" w:rsidP="00874798">
      <w:pPr>
        <w:pStyle w:val="NormalWeb"/>
        <w:tabs>
          <w:tab w:val="left" w:pos="7371"/>
        </w:tabs>
        <w:spacing w:before="0" w:after="0"/>
        <w:ind w:right="-51"/>
        <w:rPr>
          <w:sz w:val="28"/>
          <w:szCs w:val="28"/>
          <w:lang w:val="lv-LV"/>
        </w:rPr>
      </w:pPr>
      <w:r w:rsidRPr="000A697E">
        <w:rPr>
          <w:sz w:val="28"/>
          <w:szCs w:val="28"/>
          <w:lang w:val="lv-LV"/>
        </w:rPr>
        <w:t>Iekšlietu ministrs</w:t>
      </w:r>
      <w:r w:rsidRPr="000A697E">
        <w:rPr>
          <w:sz w:val="28"/>
          <w:szCs w:val="28"/>
          <w:lang w:val="lv-LV"/>
        </w:rPr>
        <w:tab/>
        <w:t>R.Kozlovskis</w:t>
      </w:r>
    </w:p>
    <w:p w:rsidR="00874798" w:rsidRPr="000A697E" w:rsidRDefault="00874798" w:rsidP="00874798">
      <w:pPr>
        <w:pStyle w:val="NormalWeb"/>
        <w:spacing w:before="0" w:after="0"/>
        <w:ind w:right="-51"/>
        <w:jc w:val="center"/>
        <w:rPr>
          <w:sz w:val="28"/>
          <w:szCs w:val="28"/>
          <w:lang w:val="lv-LV"/>
        </w:rPr>
      </w:pPr>
    </w:p>
    <w:p w:rsidR="00C70A2C" w:rsidRDefault="00C70A2C" w:rsidP="00874798">
      <w:pPr>
        <w:pStyle w:val="NormalWeb"/>
        <w:spacing w:before="0" w:after="0"/>
        <w:ind w:right="-51"/>
        <w:jc w:val="center"/>
        <w:rPr>
          <w:sz w:val="28"/>
          <w:szCs w:val="28"/>
          <w:lang w:val="lv-LV"/>
        </w:rPr>
      </w:pPr>
    </w:p>
    <w:p w:rsidR="00A04F91" w:rsidRPr="000A697E" w:rsidRDefault="00E911BF" w:rsidP="00874798">
      <w:pPr>
        <w:pStyle w:val="NormalWeb"/>
        <w:spacing w:before="0" w:after="0"/>
        <w:ind w:right="-51"/>
        <w:jc w:val="center"/>
        <w:rPr>
          <w:sz w:val="28"/>
          <w:szCs w:val="28"/>
          <w:lang w:val="lv-LV"/>
        </w:rPr>
      </w:pPr>
      <w:r w:rsidRPr="000A697E">
        <w:rPr>
          <w:sz w:val="28"/>
          <w:szCs w:val="28"/>
          <w:lang w:val="lv-LV"/>
        </w:rPr>
        <w:t>Vīza: valsts sekretāre</w:t>
      </w:r>
      <w:r w:rsidR="00804028">
        <w:rPr>
          <w:sz w:val="28"/>
          <w:szCs w:val="28"/>
          <w:lang w:val="lv-LV"/>
        </w:rPr>
        <w:t>s pienākumu izpildītāja</w:t>
      </w:r>
      <w:r w:rsidRPr="000A697E">
        <w:rPr>
          <w:sz w:val="28"/>
          <w:szCs w:val="28"/>
          <w:lang w:val="lv-LV"/>
        </w:rPr>
        <w:t xml:space="preserve"> __________________ I.</w:t>
      </w:r>
      <w:r w:rsidR="00B26149">
        <w:rPr>
          <w:sz w:val="28"/>
          <w:szCs w:val="28"/>
          <w:lang w:val="lv-LV"/>
        </w:rPr>
        <w:t>Aire</w:t>
      </w:r>
    </w:p>
    <w:p w:rsidR="00D5574D" w:rsidRPr="000A697E" w:rsidRDefault="00D5574D" w:rsidP="007004FC">
      <w:pPr>
        <w:jc w:val="both"/>
        <w:rPr>
          <w:sz w:val="20"/>
          <w:szCs w:val="20"/>
        </w:rPr>
      </w:pPr>
    </w:p>
    <w:p w:rsidR="00C70A2C" w:rsidRDefault="00C70A2C" w:rsidP="003435ED">
      <w:pPr>
        <w:jc w:val="both"/>
        <w:rPr>
          <w:sz w:val="20"/>
          <w:szCs w:val="20"/>
        </w:rPr>
      </w:pPr>
    </w:p>
    <w:p w:rsidR="00191015" w:rsidRPr="000A697E" w:rsidRDefault="002F7B8B" w:rsidP="003435ED">
      <w:pPr>
        <w:jc w:val="both"/>
        <w:rPr>
          <w:sz w:val="20"/>
          <w:szCs w:val="20"/>
        </w:rPr>
      </w:pPr>
      <w:r>
        <w:rPr>
          <w:sz w:val="20"/>
          <w:szCs w:val="20"/>
        </w:rPr>
        <w:t>30</w:t>
      </w:r>
      <w:r w:rsidR="002A3C8C" w:rsidRPr="000A697E">
        <w:rPr>
          <w:sz w:val="20"/>
          <w:szCs w:val="20"/>
        </w:rPr>
        <w:t>.</w:t>
      </w:r>
      <w:r w:rsidR="00D83672" w:rsidRPr="000A697E">
        <w:rPr>
          <w:sz w:val="20"/>
          <w:szCs w:val="20"/>
        </w:rPr>
        <w:t>0</w:t>
      </w:r>
      <w:r w:rsidR="004C1C2E">
        <w:rPr>
          <w:sz w:val="20"/>
          <w:szCs w:val="20"/>
        </w:rPr>
        <w:t>8</w:t>
      </w:r>
      <w:r w:rsidR="00853569" w:rsidRPr="000A697E">
        <w:rPr>
          <w:sz w:val="20"/>
          <w:szCs w:val="20"/>
        </w:rPr>
        <w:t>.201</w:t>
      </w:r>
      <w:r w:rsidR="00D83672" w:rsidRPr="000A697E">
        <w:rPr>
          <w:sz w:val="20"/>
          <w:szCs w:val="20"/>
        </w:rPr>
        <w:t>2</w:t>
      </w:r>
      <w:r w:rsidR="00853569" w:rsidRPr="000A697E">
        <w:rPr>
          <w:sz w:val="20"/>
          <w:szCs w:val="20"/>
        </w:rPr>
        <w:t>.</w:t>
      </w:r>
      <w:r w:rsidR="00CF0EC1" w:rsidRPr="000A697E">
        <w:rPr>
          <w:sz w:val="20"/>
          <w:szCs w:val="20"/>
        </w:rPr>
        <w:t xml:space="preserve"> </w:t>
      </w:r>
      <w:r>
        <w:rPr>
          <w:sz w:val="20"/>
          <w:szCs w:val="20"/>
        </w:rPr>
        <w:t>09</w:t>
      </w:r>
      <w:r w:rsidR="00A85E91" w:rsidRPr="000A697E">
        <w:rPr>
          <w:sz w:val="20"/>
          <w:szCs w:val="20"/>
        </w:rPr>
        <w:t>:</w:t>
      </w:r>
      <w:r w:rsidR="00B27CC5">
        <w:rPr>
          <w:sz w:val="20"/>
          <w:szCs w:val="20"/>
        </w:rPr>
        <w:t>37</w:t>
      </w:r>
    </w:p>
    <w:p w:rsidR="00B26EE1" w:rsidRDefault="00804028" w:rsidP="00B26EE1">
      <w:pPr>
        <w:jc w:val="both"/>
        <w:rPr>
          <w:sz w:val="20"/>
          <w:szCs w:val="20"/>
        </w:rPr>
      </w:pPr>
      <w:r>
        <w:rPr>
          <w:sz w:val="20"/>
          <w:szCs w:val="20"/>
        </w:rPr>
        <w:t>871</w:t>
      </w:r>
    </w:p>
    <w:p w:rsidR="00191015" w:rsidRDefault="00191015" w:rsidP="00B26EE1">
      <w:pPr>
        <w:jc w:val="both"/>
        <w:rPr>
          <w:sz w:val="20"/>
          <w:szCs w:val="20"/>
        </w:rPr>
      </w:pPr>
      <w:r>
        <w:rPr>
          <w:sz w:val="20"/>
          <w:szCs w:val="20"/>
        </w:rPr>
        <w:t>Iekšlietu ministrijas Informācijas centra</w:t>
      </w:r>
    </w:p>
    <w:p w:rsidR="00191015" w:rsidRDefault="00191015" w:rsidP="00B26EE1">
      <w:pPr>
        <w:jc w:val="both"/>
        <w:rPr>
          <w:sz w:val="20"/>
          <w:szCs w:val="20"/>
        </w:rPr>
      </w:pPr>
      <w:r>
        <w:rPr>
          <w:sz w:val="20"/>
          <w:szCs w:val="20"/>
        </w:rPr>
        <w:t>Meklējamo objektu uzskaites nodaļas</w:t>
      </w:r>
    </w:p>
    <w:p w:rsidR="00191015" w:rsidRPr="000A697E" w:rsidRDefault="00191015" w:rsidP="00B26EE1">
      <w:pPr>
        <w:jc w:val="both"/>
        <w:rPr>
          <w:sz w:val="20"/>
          <w:szCs w:val="20"/>
        </w:rPr>
      </w:pPr>
      <w:r>
        <w:rPr>
          <w:sz w:val="20"/>
          <w:szCs w:val="20"/>
        </w:rPr>
        <w:t>priekšnieka v.</w:t>
      </w:r>
      <w:r w:rsidR="001A5C7D">
        <w:rPr>
          <w:sz w:val="20"/>
          <w:szCs w:val="20"/>
        </w:rPr>
        <w:t xml:space="preserve"> </w:t>
      </w:r>
      <w:r>
        <w:rPr>
          <w:sz w:val="20"/>
          <w:szCs w:val="20"/>
        </w:rPr>
        <w:t>i.</w:t>
      </w:r>
    </w:p>
    <w:p w:rsidR="00B26EE1" w:rsidRPr="000A697E" w:rsidRDefault="00DB148A" w:rsidP="00B26EE1">
      <w:pPr>
        <w:jc w:val="both"/>
        <w:rPr>
          <w:sz w:val="20"/>
          <w:szCs w:val="20"/>
        </w:rPr>
      </w:pPr>
      <w:r w:rsidRPr="000A697E">
        <w:rPr>
          <w:sz w:val="20"/>
          <w:szCs w:val="20"/>
        </w:rPr>
        <w:t>B.Kovaļova</w:t>
      </w:r>
    </w:p>
    <w:p w:rsidR="00191015" w:rsidRDefault="003435ED" w:rsidP="00B26EE1">
      <w:pPr>
        <w:jc w:val="both"/>
        <w:rPr>
          <w:sz w:val="20"/>
          <w:szCs w:val="20"/>
        </w:rPr>
      </w:pPr>
      <w:r w:rsidRPr="000A697E">
        <w:rPr>
          <w:sz w:val="20"/>
          <w:szCs w:val="20"/>
        </w:rPr>
        <w:t>67208</w:t>
      </w:r>
      <w:r w:rsidR="00DB148A" w:rsidRPr="000A697E">
        <w:rPr>
          <w:sz w:val="20"/>
          <w:szCs w:val="20"/>
        </w:rPr>
        <w:t>597</w:t>
      </w:r>
      <w:r w:rsidR="00B26EE1" w:rsidRPr="000A697E">
        <w:rPr>
          <w:sz w:val="20"/>
          <w:szCs w:val="20"/>
        </w:rPr>
        <w:t xml:space="preserve">, </w:t>
      </w:r>
    </w:p>
    <w:p w:rsidR="003435ED" w:rsidRPr="000A697E" w:rsidRDefault="005F5514" w:rsidP="00B26EE1">
      <w:pPr>
        <w:jc w:val="both"/>
        <w:rPr>
          <w:sz w:val="20"/>
          <w:szCs w:val="20"/>
        </w:rPr>
      </w:pPr>
      <w:r w:rsidRPr="000A697E">
        <w:rPr>
          <w:sz w:val="20"/>
          <w:szCs w:val="20"/>
        </w:rPr>
        <w:t>B</w:t>
      </w:r>
      <w:r w:rsidR="00DB148A" w:rsidRPr="000A697E">
        <w:rPr>
          <w:sz w:val="20"/>
          <w:szCs w:val="20"/>
        </w:rPr>
        <w:t>aiba</w:t>
      </w:r>
      <w:r w:rsidR="008E241B" w:rsidRPr="000A697E">
        <w:rPr>
          <w:sz w:val="20"/>
          <w:szCs w:val="20"/>
        </w:rPr>
        <w:t>.</w:t>
      </w:r>
      <w:r w:rsidRPr="000A697E">
        <w:rPr>
          <w:sz w:val="20"/>
          <w:szCs w:val="20"/>
        </w:rPr>
        <w:t>K</w:t>
      </w:r>
      <w:r w:rsidR="00DB148A" w:rsidRPr="000A697E">
        <w:rPr>
          <w:sz w:val="20"/>
          <w:szCs w:val="20"/>
        </w:rPr>
        <w:t>ovalova</w:t>
      </w:r>
      <w:r w:rsidR="003435ED" w:rsidRPr="000A697E">
        <w:rPr>
          <w:sz w:val="20"/>
          <w:szCs w:val="20"/>
        </w:rPr>
        <w:t>@ic.iem.gov.lv</w:t>
      </w:r>
    </w:p>
    <w:sectPr w:rsidR="003435ED" w:rsidRPr="000A697E" w:rsidSect="00653380">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242" w:rsidRDefault="00A20242">
      <w:r>
        <w:separator/>
      </w:r>
    </w:p>
  </w:endnote>
  <w:endnote w:type="continuationSeparator" w:id="0">
    <w:p w:rsidR="00A20242" w:rsidRDefault="00A2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0" w:rsidRPr="000A4D67" w:rsidRDefault="00EA18C5" w:rsidP="000A4D67">
    <w:pPr>
      <w:jc w:val="both"/>
      <w:rPr>
        <w:sz w:val="20"/>
      </w:rPr>
    </w:pPr>
    <w:r>
      <w:rPr>
        <w:sz w:val="20"/>
      </w:rPr>
      <w:t>IEMAnot_30</w:t>
    </w:r>
    <w:r w:rsidR="000A4D67">
      <w:rPr>
        <w:sz w:val="20"/>
      </w:rPr>
      <w:t>0</w:t>
    </w:r>
    <w:r w:rsidR="004C1C2E">
      <w:rPr>
        <w:sz w:val="20"/>
      </w:rPr>
      <w:t>8</w:t>
    </w:r>
    <w:r w:rsidR="000A4D67">
      <w:rPr>
        <w:sz w:val="20"/>
      </w:rPr>
      <w:t>12</w:t>
    </w:r>
    <w:r w:rsidR="000A4D67" w:rsidRPr="00FB5B12">
      <w:rPr>
        <w:sz w:val="20"/>
      </w:rPr>
      <w:t>_</w:t>
    </w:r>
    <w:r w:rsidR="000A4D67">
      <w:rPr>
        <w:sz w:val="20"/>
      </w:rPr>
      <w:t>NDR.</w:t>
    </w:r>
    <w:r w:rsidR="001C4828">
      <w:rPr>
        <w:sz w:val="20"/>
      </w:rPr>
      <w:t>66</w:t>
    </w:r>
    <w:r w:rsidR="008D29FB">
      <w:rPr>
        <w:sz w:val="20"/>
      </w:rPr>
      <w:t>5.</w:t>
    </w:r>
    <w:r w:rsidR="000A4D67" w:rsidRPr="00FB5B12">
      <w:rPr>
        <w:sz w:val="20"/>
      </w:rPr>
      <w:t xml:space="preserve">doc; </w:t>
    </w:r>
    <w:r w:rsidR="000A4D67" w:rsidRPr="00DB148A">
      <w:rPr>
        <w:sz w:val="20"/>
      </w:rPr>
      <w:t xml:space="preserve">Ministru kabineta </w:t>
    </w:r>
    <w:r w:rsidR="000A4D67">
      <w:rPr>
        <w:sz w:val="20"/>
      </w:rPr>
      <w:t>noteikumu</w:t>
    </w:r>
    <w:r w:rsidR="000A4D67" w:rsidRPr="00DB148A">
      <w:rPr>
        <w:sz w:val="20"/>
      </w:rPr>
      <w:t xml:space="preserve"> projekta „</w:t>
    </w:r>
    <w:r w:rsidR="000A4D67">
      <w:rPr>
        <w:sz w:val="20"/>
      </w:rPr>
      <w:t>Noteikumi par nederīgo dokumentu reģistru</w:t>
    </w:r>
    <w:r w:rsidR="000A4D67" w:rsidRPr="00DB148A">
      <w:rPr>
        <w:sz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31" w:rsidRDefault="00DB148A">
    <w:pPr>
      <w:jc w:val="both"/>
      <w:rPr>
        <w:sz w:val="20"/>
      </w:rPr>
    </w:pPr>
    <w:r>
      <w:rPr>
        <w:sz w:val="20"/>
      </w:rPr>
      <w:t>IEMAnot</w:t>
    </w:r>
    <w:r w:rsidR="00EA18C5">
      <w:rPr>
        <w:sz w:val="20"/>
      </w:rPr>
      <w:t>_30</w:t>
    </w:r>
    <w:r w:rsidR="00D83672">
      <w:rPr>
        <w:sz w:val="20"/>
      </w:rPr>
      <w:t>0</w:t>
    </w:r>
    <w:r w:rsidR="004C1C2E">
      <w:rPr>
        <w:sz w:val="20"/>
      </w:rPr>
      <w:t>8</w:t>
    </w:r>
    <w:r w:rsidR="00B26EE1">
      <w:rPr>
        <w:sz w:val="20"/>
      </w:rPr>
      <w:t>1</w:t>
    </w:r>
    <w:r w:rsidR="00D83672">
      <w:rPr>
        <w:sz w:val="20"/>
      </w:rPr>
      <w:t>2</w:t>
    </w:r>
    <w:r w:rsidR="00B26EE1" w:rsidRPr="00FB5B12">
      <w:rPr>
        <w:sz w:val="20"/>
      </w:rPr>
      <w:t>_</w:t>
    </w:r>
    <w:r w:rsidR="00293348">
      <w:rPr>
        <w:sz w:val="20"/>
      </w:rPr>
      <w:t>NDR</w:t>
    </w:r>
    <w:r w:rsidR="001C4828">
      <w:rPr>
        <w:sz w:val="20"/>
      </w:rPr>
      <w:t>.66</w:t>
    </w:r>
    <w:r w:rsidR="008D29FB">
      <w:rPr>
        <w:sz w:val="20"/>
      </w:rPr>
      <w:t>5</w:t>
    </w:r>
    <w:r w:rsidR="00293348">
      <w:rPr>
        <w:sz w:val="20"/>
      </w:rPr>
      <w:t>.</w:t>
    </w:r>
    <w:r w:rsidR="00B26EE1" w:rsidRPr="00FB5B12">
      <w:rPr>
        <w:sz w:val="20"/>
      </w:rPr>
      <w:t xml:space="preserve">doc; </w:t>
    </w:r>
    <w:r w:rsidRPr="00DB148A">
      <w:rPr>
        <w:sz w:val="20"/>
      </w:rPr>
      <w:t xml:space="preserve">Ministru kabineta </w:t>
    </w:r>
    <w:r w:rsidR="00293348">
      <w:rPr>
        <w:sz w:val="20"/>
      </w:rPr>
      <w:t>noteikumu</w:t>
    </w:r>
    <w:r w:rsidRPr="00DB148A">
      <w:rPr>
        <w:sz w:val="20"/>
      </w:rPr>
      <w:t xml:space="preserve"> projekta „</w:t>
    </w:r>
    <w:r w:rsidR="00293348">
      <w:rPr>
        <w:sz w:val="20"/>
      </w:rPr>
      <w:t>Noteikumi par nederīgo dokumentu reģistru</w:t>
    </w:r>
    <w:r w:rsidRPr="00DB148A">
      <w:rPr>
        <w:sz w:val="20"/>
      </w:rPr>
      <w:t>” sākotnējās ietekmes novērtējuma ziņojums (anotācija)</w:t>
    </w:r>
  </w:p>
  <w:p w:rsidR="00405A00" w:rsidRDefault="00405A00" w:rsidP="00DB148A">
    <w:pPr>
      <w:pStyle w:val="naisnod"/>
      <w:spacing w:before="0" w:after="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242" w:rsidRDefault="00A20242">
      <w:r>
        <w:separator/>
      </w:r>
    </w:p>
  </w:footnote>
  <w:footnote w:type="continuationSeparator" w:id="0">
    <w:p w:rsidR="00A20242" w:rsidRDefault="00A20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0" w:rsidRDefault="004B7B44" w:rsidP="00190F88">
    <w:pPr>
      <w:pStyle w:val="Header"/>
      <w:framePr w:wrap="around" w:vAnchor="text" w:hAnchor="margin" w:xAlign="center" w:y="1"/>
      <w:rPr>
        <w:rStyle w:val="PageNumber"/>
      </w:rPr>
    </w:pPr>
    <w:r>
      <w:rPr>
        <w:rStyle w:val="PageNumber"/>
      </w:rPr>
      <w:fldChar w:fldCharType="begin"/>
    </w:r>
    <w:r w:rsidR="00405A00">
      <w:rPr>
        <w:rStyle w:val="PageNumber"/>
      </w:rPr>
      <w:instrText xml:space="preserve">PAGE  </w:instrText>
    </w:r>
    <w:r>
      <w:rPr>
        <w:rStyle w:val="PageNumber"/>
      </w:rPr>
      <w:fldChar w:fldCharType="end"/>
    </w:r>
  </w:p>
  <w:p w:rsidR="00405A00" w:rsidRDefault="00405A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0" w:rsidRPr="00DB073B" w:rsidRDefault="004B7B44"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00405A00" w:rsidRPr="00DB073B">
      <w:rPr>
        <w:rStyle w:val="PageNumber"/>
        <w:sz w:val="20"/>
        <w:szCs w:val="20"/>
      </w:rPr>
      <w:instrText xml:space="preserve">PAGE  </w:instrText>
    </w:r>
    <w:r w:rsidRPr="00DB073B">
      <w:rPr>
        <w:rStyle w:val="PageNumber"/>
        <w:sz w:val="20"/>
        <w:szCs w:val="20"/>
      </w:rPr>
      <w:fldChar w:fldCharType="separate"/>
    </w:r>
    <w:r w:rsidR="00CB6FCF">
      <w:rPr>
        <w:rStyle w:val="PageNumber"/>
        <w:noProof/>
        <w:sz w:val="20"/>
        <w:szCs w:val="20"/>
      </w:rPr>
      <w:t>5</w:t>
    </w:r>
    <w:r w:rsidRPr="00DB073B">
      <w:rPr>
        <w:rStyle w:val="PageNumber"/>
        <w:sz w:val="20"/>
        <w:szCs w:val="20"/>
      </w:rPr>
      <w:fldChar w:fldCharType="end"/>
    </w:r>
  </w:p>
  <w:p w:rsidR="00405A00" w:rsidRDefault="00405A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5366F9"/>
    <w:multiLevelType w:val="hybridMultilevel"/>
    <w:tmpl w:val="64AE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34B664CF"/>
    <w:multiLevelType w:val="hybridMultilevel"/>
    <w:tmpl w:val="DE922EF4"/>
    <w:lvl w:ilvl="0" w:tplc="56EAEAC4">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7EE6D48"/>
    <w:multiLevelType w:val="hybridMultilevel"/>
    <w:tmpl w:val="75244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83639E0"/>
    <w:multiLevelType w:val="hybridMultilevel"/>
    <w:tmpl w:val="ED1840B6"/>
    <w:lvl w:ilvl="0" w:tplc="04AEF59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543147"/>
    <w:multiLevelType w:val="hybridMultilevel"/>
    <w:tmpl w:val="546AFF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4B040AEB"/>
    <w:multiLevelType w:val="hybridMultilevel"/>
    <w:tmpl w:val="216A30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5A033CC"/>
    <w:multiLevelType w:val="hybridMultilevel"/>
    <w:tmpl w:val="947E0F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8">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5E71DCC"/>
    <w:multiLevelType w:val="hybridMultilevel"/>
    <w:tmpl w:val="E23CD204"/>
    <w:lvl w:ilvl="0" w:tplc="7D06D6E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1">
    <w:nsid w:val="775B2621"/>
    <w:multiLevelType w:val="hybridMultilevel"/>
    <w:tmpl w:val="13BC72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4"/>
  </w:num>
  <w:num w:numId="4">
    <w:abstractNumId w:val="2"/>
  </w:num>
  <w:num w:numId="5">
    <w:abstractNumId w:val="0"/>
  </w:num>
  <w:num w:numId="6">
    <w:abstractNumId w:val="14"/>
  </w:num>
  <w:num w:numId="7">
    <w:abstractNumId w:val="19"/>
  </w:num>
  <w:num w:numId="8">
    <w:abstractNumId w:val="10"/>
  </w:num>
  <w:num w:numId="9">
    <w:abstractNumId w:val="3"/>
  </w:num>
  <w:num w:numId="10">
    <w:abstractNumId w:val="11"/>
  </w:num>
  <w:num w:numId="11">
    <w:abstractNumId w:val="12"/>
  </w:num>
  <w:num w:numId="12">
    <w:abstractNumId w:val="16"/>
  </w:num>
  <w:num w:numId="13">
    <w:abstractNumId w:val="17"/>
  </w:num>
  <w:num w:numId="14">
    <w:abstractNumId w:val="6"/>
  </w:num>
  <w:num w:numId="15">
    <w:abstractNumId w:val="20"/>
  </w:num>
  <w:num w:numId="16">
    <w:abstractNumId w:val="1"/>
  </w:num>
  <w:num w:numId="17">
    <w:abstractNumId w:val="8"/>
  </w:num>
  <w:num w:numId="18">
    <w:abstractNumId w:val="21"/>
  </w:num>
  <w:num w:numId="19">
    <w:abstractNumId w:val="13"/>
  </w:num>
  <w:num w:numId="20">
    <w:abstractNumId w:val="9"/>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5649"/>
    <w:rsid w:val="00010D33"/>
    <w:rsid w:val="00011D24"/>
    <w:rsid w:val="00013FF4"/>
    <w:rsid w:val="000168FA"/>
    <w:rsid w:val="00020FE1"/>
    <w:rsid w:val="00022E13"/>
    <w:rsid w:val="00031786"/>
    <w:rsid w:val="00032372"/>
    <w:rsid w:val="00032388"/>
    <w:rsid w:val="00035CE2"/>
    <w:rsid w:val="00046653"/>
    <w:rsid w:val="0004683D"/>
    <w:rsid w:val="00047BC2"/>
    <w:rsid w:val="000519AE"/>
    <w:rsid w:val="0005553B"/>
    <w:rsid w:val="000604D2"/>
    <w:rsid w:val="000664C6"/>
    <w:rsid w:val="00066714"/>
    <w:rsid w:val="00075872"/>
    <w:rsid w:val="000816D9"/>
    <w:rsid w:val="00084F2C"/>
    <w:rsid w:val="00084F98"/>
    <w:rsid w:val="0008511D"/>
    <w:rsid w:val="0009005E"/>
    <w:rsid w:val="000A4D67"/>
    <w:rsid w:val="000A6451"/>
    <w:rsid w:val="000A697E"/>
    <w:rsid w:val="000A69F7"/>
    <w:rsid w:val="000A7BE1"/>
    <w:rsid w:val="000B064E"/>
    <w:rsid w:val="000B69CF"/>
    <w:rsid w:val="000C0154"/>
    <w:rsid w:val="000C43D4"/>
    <w:rsid w:val="000C532C"/>
    <w:rsid w:val="000C5864"/>
    <w:rsid w:val="000C790C"/>
    <w:rsid w:val="000E4F6E"/>
    <w:rsid w:val="000F061D"/>
    <w:rsid w:val="000F07BC"/>
    <w:rsid w:val="000F3F5F"/>
    <w:rsid w:val="000F5008"/>
    <w:rsid w:val="00101F1E"/>
    <w:rsid w:val="00102505"/>
    <w:rsid w:val="00102852"/>
    <w:rsid w:val="0010394E"/>
    <w:rsid w:val="00105625"/>
    <w:rsid w:val="001101E8"/>
    <w:rsid w:val="00110632"/>
    <w:rsid w:val="00111FAA"/>
    <w:rsid w:val="0012304C"/>
    <w:rsid w:val="00124F12"/>
    <w:rsid w:val="00127040"/>
    <w:rsid w:val="00134E8B"/>
    <w:rsid w:val="0013658F"/>
    <w:rsid w:val="00140C6E"/>
    <w:rsid w:val="001419EA"/>
    <w:rsid w:val="00142092"/>
    <w:rsid w:val="00143009"/>
    <w:rsid w:val="00144E3A"/>
    <w:rsid w:val="00146408"/>
    <w:rsid w:val="0015060C"/>
    <w:rsid w:val="001574BE"/>
    <w:rsid w:val="0016018A"/>
    <w:rsid w:val="001602F9"/>
    <w:rsid w:val="00161F0E"/>
    <w:rsid w:val="00170E2A"/>
    <w:rsid w:val="001751FE"/>
    <w:rsid w:val="00177080"/>
    <w:rsid w:val="00180798"/>
    <w:rsid w:val="0018097D"/>
    <w:rsid w:val="00180E4D"/>
    <w:rsid w:val="001812B1"/>
    <w:rsid w:val="0018202B"/>
    <w:rsid w:val="00183CC2"/>
    <w:rsid w:val="00186D0E"/>
    <w:rsid w:val="00186F1F"/>
    <w:rsid w:val="001900E4"/>
    <w:rsid w:val="00190C3E"/>
    <w:rsid w:val="00190F88"/>
    <w:rsid w:val="00191015"/>
    <w:rsid w:val="00194E6A"/>
    <w:rsid w:val="001A14E2"/>
    <w:rsid w:val="001A4066"/>
    <w:rsid w:val="001A42EC"/>
    <w:rsid w:val="001A5C7D"/>
    <w:rsid w:val="001A6AE4"/>
    <w:rsid w:val="001B01FD"/>
    <w:rsid w:val="001B1DE9"/>
    <w:rsid w:val="001B4A71"/>
    <w:rsid w:val="001B64B7"/>
    <w:rsid w:val="001C4656"/>
    <w:rsid w:val="001C4828"/>
    <w:rsid w:val="001C5C0C"/>
    <w:rsid w:val="001D0872"/>
    <w:rsid w:val="001D1BDF"/>
    <w:rsid w:val="001D5B54"/>
    <w:rsid w:val="001D5EF0"/>
    <w:rsid w:val="001E1DBF"/>
    <w:rsid w:val="001E4639"/>
    <w:rsid w:val="001E4A7D"/>
    <w:rsid w:val="001E5FDA"/>
    <w:rsid w:val="001E6DFA"/>
    <w:rsid w:val="001E70B8"/>
    <w:rsid w:val="001F24B3"/>
    <w:rsid w:val="001F2790"/>
    <w:rsid w:val="001F433B"/>
    <w:rsid w:val="001F43A8"/>
    <w:rsid w:val="001F4E8D"/>
    <w:rsid w:val="001F5CD6"/>
    <w:rsid w:val="00203871"/>
    <w:rsid w:val="00205EA7"/>
    <w:rsid w:val="00207216"/>
    <w:rsid w:val="0020771D"/>
    <w:rsid w:val="00210D52"/>
    <w:rsid w:val="0021263D"/>
    <w:rsid w:val="00213DE8"/>
    <w:rsid w:val="00213F0C"/>
    <w:rsid w:val="00214323"/>
    <w:rsid w:val="0021592D"/>
    <w:rsid w:val="00220A6C"/>
    <w:rsid w:val="00222D76"/>
    <w:rsid w:val="002236C0"/>
    <w:rsid w:val="00223EB1"/>
    <w:rsid w:val="00231344"/>
    <w:rsid w:val="00232B43"/>
    <w:rsid w:val="0023436E"/>
    <w:rsid w:val="002347C0"/>
    <w:rsid w:val="00237D70"/>
    <w:rsid w:val="00240C3B"/>
    <w:rsid w:val="00240FAB"/>
    <w:rsid w:val="00241A6C"/>
    <w:rsid w:val="00242D2B"/>
    <w:rsid w:val="00247AE8"/>
    <w:rsid w:val="002518E0"/>
    <w:rsid w:val="002535F7"/>
    <w:rsid w:val="00254E05"/>
    <w:rsid w:val="00255CED"/>
    <w:rsid w:val="00262E2B"/>
    <w:rsid w:val="00264D95"/>
    <w:rsid w:val="00270429"/>
    <w:rsid w:val="002723E9"/>
    <w:rsid w:val="00277929"/>
    <w:rsid w:val="00280607"/>
    <w:rsid w:val="00283409"/>
    <w:rsid w:val="00283B82"/>
    <w:rsid w:val="002846E9"/>
    <w:rsid w:val="00284C34"/>
    <w:rsid w:val="0028607C"/>
    <w:rsid w:val="0029066C"/>
    <w:rsid w:val="00293348"/>
    <w:rsid w:val="0029440D"/>
    <w:rsid w:val="00296B78"/>
    <w:rsid w:val="002A3C8C"/>
    <w:rsid w:val="002A4E00"/>
    <w:rsid w:val="002B4DCE"/>
    <w:rsid w:val="002B50DB"/>
    <w:rsid w:val="002B51A0"/>
    <w:rsid w:val="002C12AB"/>
    <w:rsid w:val="002C7CAC"/>
    <w:rsid w:val="002D27E1"/>
    <w:rsid w:val="002D3306"/>
    <w:rsid w:val="002D4830"/>
    <w:rsid w:val="002D48AA"/>
    <w:rsid w:val="002D7BAA"/>
    <w:rsid w:val="002D7F54"/>
    <w:rsid w:val="002E05EB"/>
    <w:rsid w:val="002E3FF4"/>
    <w:rsid w:val="002F04E8"/>
    <w:rsid w:val="002F0831"/>
    <w:rsid w:val="002F12E1"/>
    <w:rsid w:val="002F3696"/>
    <w:rsid w:val="002F47D4"/>
    <w:rsid w:val="002F78C8"/>
    <w:rsid w:val="002F7B8B"/>
    <w:rsid w:val="00301CF3"/>
    <w:rsid w:val="00302333"/>
    <w:rsid w:val="00302EBE"/>
    <w:rsid w:val="0031208E"/>
    <w:rsid w:val="00313A10"/>
    <w:rsid w:val="00316679"/>
    <w:rsid w:val="00326B3B"/>
    <w:rsid w:val="00326FF1"/>
    <w:rsid w:val="0032715C"/>
    <w:rsid w:val="0033056A"/>
    <w:rsid w:val="00337CA5"/>
    <w:rsid w:val="00342A3E"/>
    <w:rsid w:val="003435ED"/>
    <w:rsid w:val="00344E5B"/>
    <w:rsid w:val="0034595B"/>
    <w:rsid w:val="0034769C"/>
    <w:rsid w:val="00362478"/>
    <w:rsid w:val="00367364"/>
    <w:rsid w:val="003720A1"/>
    <w:rsid w:val="00374B98"/>
    <w:rsid w:val="00375B25"/>
    <w:rsid w:val="00376F05"/>
    <w:rsid w:val="0038158A"/>
    <w:rsid w:val="00384DC3"/>
    <w:rsid w:val="00390B0E"/>
    <w:rsid w:val="00396542"/>
    <w:rsid w:val="0039685B"/>
    <w:rsid w:val="003A0445"/>
    <w:rsid w:val="003A416E"/>
    <w:rsid w:val="003A786D"/>
    <w:rsid w:val="003A7F0C"/>
    <w:rsid w:val="003A7F79"/>
    <w:rsid w:val="003B6404"/>
    <w:rsid w:val="003C2819"/>
    <w:rsid w:val="003C477F"/>
    <w:rsid w:val="003C4881"/>
    <w:rsid w:val="003D0AC3"/>
    <w:rsid w:val="003D100D"/>
    <w:rsid w:val="003D21FF"/>
    <w:rsid w:val="003D32F3"/>
    <w:rsid w:val="003E05B0"/>
    <w:rsid w:val="003E6968"/>
    <w:rsid w:val="003E6B92"/>
    <w:rsid w:val="003E7D9E"/>
    <w:rsid w:val="003F0112"/>
    <w:rsid w:val="003F071A"/>
    <w:rsid w:val="003F1467"/>
    <w:rsid w:val="003F160B"/>
    <w:rsid w:val="00400032"/>
    <w:rsid w:val="00400B5B"/>
    <w:rsid w:val="00401B8B"/>
    <w:rsid w:val="00403915"/>
    <w:rsid w:val="00405A00"/>
    <w:rsid w:val="00420870"/>
    <w:rsid w:val="00424319"/>
    <w:rsid w:val="00426E14"/>
    <w:rsid w:val="00436B0C"/>
    <w:rsid w:val="00441254"/>
    <w:rsid w:val="00441483"/>
    <w:rsid w:val="00441BCB"/>
    <w:rsid w:val="0045176A"/>
    <w:rsid w:val="004533D8"/>
    <w:rsid w:val="00456332"/>
    <w:rsid w:val="0046200B"/>
    <w:rsid w:val="004634B6"/>
    <w:rsid w:val="004660B6"/>
    <w:rsid w:val="00474FAD"/>
    <w:rsid w:val="004800F9"/>
    <w:rsid w:val="00480DE0"/>
    <w:rsid w:val="00484384"/>
    <w:rsid w:val="004912C5"/>
    <w:rsid w:val="0049134A"/>
    <w:rsid w:val="00496F67"/>
    <w:rsid w:val="004A1F96"/>
    <w:rsid w:val="004A4157"/>
    <w:rsid w:val="004A5684"/>
    <w:rsid w:val="004A58CB"/>
    <w:rsid w:val="004A72EE"/>
    <w:rsid w:val="004B1795"/>
    <w:rsid w:val="004B3EEA"/>
    <w:rsid w:val="004B56DD"/>
    <w:rsid w:val="004B5D26"/>
    <w:rsid w:val="004B7B44"/>
    <w:rsid w:val="004C1AFD"/>
    <w:rsid w:val="004C1C2E"/>
    <w:rsid w:val="004C4A2A"/>
    <w:rsid w:val="004C558B"/>
    <w:rsid w:val="004D1872"/>
    <w:rsid w:val="004D28AB"/>
    <w:rsid w:val="004D7F84"/>
    <w:rsid w:val="004F1F88"/>
    <w:rsid w:val="004F2378"/>
    <w:rsid w:val="004F5F1B"/>
    <w:rsid w:val="004F6927"/>
    <w:rsid w:val="004F698F"/>
    <w:rsid w:val="00501C88"/>
    <w:rsid w:val="00502374"/>
    <w:rsid w:val="00502521"/>
    <w:rsid w:val="00516072"/>
    <w:rsid w:val="00525BA2"/>
    <w:rsid w:val="0052605B"/>
    <w:rsid w:val="005332AB"/>
    <w:rsid w:val="005332EC"/>
    <w:rsid w:val="005334FD"/>
    <w:rsid w:val="00534418"/>
    <w:rsid w:val="005353AB"/>
    <w:rsid w:val="00536DB5"/>
    <w:rsid w:val="00541629"/>
    <w:rsid w:val="005443E1"/>
    <w:rsid w:val="00544815"/>
    <w:rsid w:val="00544B38"/>
    <w:rsid w:val="00552B77"/>
    <w:rsid w:val="005560BC"/>
    <w:rsid w:val="005573BE"/>
    <w:rsid w:val="00572700"/>
    <w:rsid w:val="005770BB"/>
    <w:rsid w:val="00580468"/>
    <w:rsid w:val="005833DC"/>
    <w:rsid w:val="005834DF"/>
    <w:rsid w:val="00585E88"/>
    <w:rsid w:val="00585EAA"/>
    <w:rsid w:val="0058603B"/>
    <w:rsid w:val="0059431B"/>
    <w:rsid w:val="0059700F"/>
    <w:rsid w:val="005A39CC"/>
    <w:rsid w:val="005A7EAE"/>
    <w:rsid w:val="005B35D6"/>
    <w:rsid w:val="005B4730"/>
    <w:rsid w:val="005B55F9"/>
    <w:rsid w:val="005C1BF2"/>
    <w:rsid w:val="005C1D76"/>
    <w:rsid w:val="005C4155"/>
    <w:rsid w:val="005C7DE0"/>
    <w:rsid w:val="005D5A02"/>
    <w:rsid w:val="005E05D7"/>
    <w:rsid w:val="005E34BD"/>
    <w:rsid w:val="005E41E7"/>
    <w:rsid w:val="005E450F"/>
    <w:rsid w:val="005E4C34"/>
    <w:rsid w:val="005E5681"/>
    <w:rsid w:val="005E64B5"/>
    <w:rsid w:val="005E7E6C"/>
    <w:rsid w:val="005F5514"/>
    <w:rsid w:val="005F5650"/>
    <w:rsid w:val="0060137A"/>
    <w:rsid w:val="00603F64"/>
    <w:rsid w:val="00604BC6"/>
    <w:rsid w:val="00605189"/>
    <w:rsid w:val="00606DBF"/>
    <w:rsid w:val="00611472"/>
    <w:rsid w:val="006137E8"/>
    <w:rsid w:val="00620A63"/>
    <w:rsid w:val="0062298A"/>
    <w:rsid w:val="006235F5"/>
    <w:rsid w:val="00626514"/>
    <w:rsid w:val="00626589"/>
    <w:rsid w:val="0062702C"/>
    <w:rsid w:val="00632596"/>
    <w:rsid w:val="006339A0"/>
    <w:rsid w:val="0063441A"/>
    <w:rsid w:val="006413A8"/>
    <w:rsid w:val="006416CE"/>
    <w:rsid w:val="00642E56"/>
    <w:rsid w:val="00651E00"/>
    <w:rsid w:val="0065261E"/>
    <w:rsid w:val="00652ABD"/>
    <w:rsid w:val="00653380"/>
    <w:rsid w:val="006627C7"/>
    <w:rsid w:val="00663306"/>
    <w:rsid w:val="00664443"/>
    <w:rsid w:val="00665186"/>
    <w:rsid w:val="006653A0"/>
    <w:rsid w:val="00671C8D"/>
    <w:rsid w:val="00674145"/>
    <w:rsid w:val="00674572"/>
    <w:rsid w:val="00677D42"/>
    <w:rsid w:val="00677D68"/>
    <w:rsid w:val="006830BD"/>
    <w:rsid w:val="00687544"/>
    <w:rsid w:val="00687763"/>
    <w:rsid w:val="0069221D"/>
    <w:rsid w:val="00692B0D"/>
    <w:rsid w:val="00693E0E"/>
    <w:rsid w:val="006A05A9"/>
    <w:rsid w:val="006A1AE3"/>
    <w:rsid w:val="006A33B4"/>
    <w:rsid w:val="006A3B47"/>
    <w:rsid w:val="006A7BF3"/>
    <w:rsid w:val="006B1D02"/>
    <w:rsid w:val="006B2F21"/>
    <w:rsid w:val="006C30E1"/>
    <w:rsid w:val="006C4697"/>
    <w:rsid w:val="006D48F1"/>
    <w:rsid w:val="006D4B9B"/>
    <w:rsid w:val="006D6106"/>
    <w:rsid w:val="006E0A01"/>
    <w:rsid w:val="006E0EE6"/>
    <w:rsid w:val="006E197D"/>
    <w:rsid w:val="006E7593"/>
    <w:rsid w:val="006F0E4E"/>
    <w:rsid w:val="006F1A74"/>
    <w:rsid w:val="006F1AB0"/>
    <w:rsid w:val="006F45BE"/>
    <w:rsid w:val="006F7D19"/>
    <w:rsid w:val="007004B6"/>
    <w:rsid w:val="007004FC"/>
    <w:rsid w:val="00701281"/>
    <w:rsid w:val="00702AE0"/>
    <w:rsid w:val="007034FC"/>
    <w:rsid w:val="00706670"/>
    <w:rsid w:val="007227B6"/>
    <w:rsid w:val="0072417C"/>
    <w:rsid w:val="0072458C"/>
    <w:rsid w:val="0073323E"/>
    <w:rsid w:val="00734450"/>
    <w:rsid w:val="00736351"/>
    <w:rsid w:val="00745F67"/>
    <w:rsid w:val="00752D9D"/>
    <w:rsid w:val="00753CAF"/>
    <w:rsid w:val="00754784"/>
    <w:rsid w:val="00757C6E"/>
    <w:rsid w:val="00762BDA"/>
    <w:rsid w:val="00771F64"/>
    <w:rsid w:val="00773835"/>
    <w:rsid w:val="00776A27"/>
    <w:rsid w:val="00776EDD"/>
    <w:rsid w:val="007805FD"/>
    <w:rsid w:val="00784422"/>
    <w:rsid w:val="00787080"/>
    <w:rsid w:val="007870A9"/>
    <w:rsid w:val="00797C23"/>
    <w:rsid w:val="007A7C7A"/>
    <w:rsid w:val="007B3B54"/>
    <w:rsid w:val="007B3FA0"/>
    <w:rsid w:val="007B5DE8"/>
    <w:rsid w:val="007B6240"/>
    <w:rsid w:val="007B7B3D"/>
    <w:rsid w:val="007C1A9B"/>
    <w:rsid w:val="007C2BCC"/>
    <w:rsid w:val="007C2FC5"/>
    <w:rsid w:val="007C4EF0"/>
    <w:rsid w:val="007C5650"/>
    <w:rsid w:val="007C6063"/>
    <w:rsid w:val="007D1478"/>
    <w:rsid w:val="007E2664"/>
    <w:rsid w:val="007E37FD"/>
    <w:rsid w:val="007E3ABF"/>
    <w:rsid w:val="007E5BFA"/>
    <w:rsid w:val="007E6689"/>
    <w:rsid w:val="007E731C"/>
    <w:rsid w:val="007F0A03"/>
    <w:rsid w:val="007F0BCE"/>
    <w:rsid w:val="007F1070"/>
    <w:rsid w:val="007F36E7"/>
    <w:rsid w:val="008033E7"/>
    <w:rsid w:val="00804028"/>
    <w:rsid w:val="00810040"/>
    <w:rsid w:val="00817E9B"/>
    <w:rsid w:val="0082023A"/>
    <w:rsid w:val="00821767"/>
    <w:rsid w:val="00821A7A"/>
    <w:rsid w:val="00821A86"/>
    <w:rsid w:val="008222A8"/>
    <w:rsid w:val="008253F8"/>
    <w:rsid w:val="00825CAB"/>
    <w:rsid w:val="008275B1"/>
    <w:rsid w:val="00832A2B"/>
    <w:rsid w:val="00836A74"/>
    <w:rsid w:val="00837A3C"/>
    <w:rsid w:val="0084596A"/>
    <w:rsid w:val="00846863"/>
    <w:rsid w:val="00846994"/>
    <w:rsid w:val="00847347"/>
    <w:rsid w:val="00850451"/>
    <w:rsid w:val="00852042"/>
    <w:rsid w:val="008534C9"/>
    <w:rsid w:val="00853569"/>
    <w:rsid w:val="00854138"/>
    <w:rsid w:val="008546B1"/>
    <w:rsid w:val="0085599D"/>
    <w:rsid w:val="00855E32"/>
    <w:rsid w:val="0086054E"/>
    <w:rsid w:val="00862DC9"/>
    <w:rsid w:val="0086421B"/>
    <w:rsid w:val="00864FDF"/>
    <w:rsid w:val="008671BF"/>
    <w:rsid w:val="00867DFC"/>
    <w:rsid w:val="00874798"/>
    <w:rsid w:val="0087510C"/>
    <w:rsid w:val="008810AF"/>
    <w:rsid w:val="0088113F"/>
    <w:rsid w:val="0089032C"/>
    <w:rsid w:val="0089738E"/>
    <w:rsid w:val="00897F7A"/>
    <w:rsid w:val="008A3FA4"/>
    <w:rsid w:val="008B1FCF"/>
    <w:rsid w:val="008B4783"/>
    <w:rsid w:val="008B5FDB"/>
    <w:rsid w:val="008B6CB2"/>
    <w:rsid w:val="008C18E6"/>
    <w:rsid w:val="008C5649"/>
    <w:rsid w:val="008C6917"/>
    <w:rsid w:val="008C6FD1"/>
    <w:rsid w:val="008C7D38"/>
    <w:rsid w:val="008D1BDC"/>
    <w:rsid w:val="008D29FB"/>
    <w:rsid w:val="008E0FF3"/>
    <w:rsid w:val="008E241B"/>
    <w:rsid w:val="008E3F7A"/>
    <w:rsid w:val="008E44A2"/>
    <w:rsid w:val="008E697D"/>
    <w:rsid w:val="008E7625"/>
    <w:rsid w:val="008F314B"/>
    <w:rsid w:val="008F411C"/>
    <w:rsid w:val="00900133"/>
    <w:rsid w:val="0090187F"/>
    <w:rsid w:val="00903263"/>
    <w:rsid w:val="0090553B"/>
    <w:rsid w:val="00906772"/>
    <w:rsid w:val="00906A21"/>
    <w:rsid w:val="009079C3"/>
    <w:rsid w:val="00910462"/>
    <w:rsid w:val="00915AB1"/>
    <w:rsid w:val="00917428"/>
    <w:rsid w:val="00917532"/>
    <w:rsid w:val="0092061E"/>
    <w:rsid w:val="009235BA"/>
    <w:rsid w:val="00924CE2"/>
    <w:rsid w:val="00925B9F"/>
    <w:rsid w:val="00931AED"/>
    <w:rsid w:val="00931EB1"/>
    <w:rsid w:val="009463C7"/>
    <w:rsid w:val="00946F7E"/>
    <w:rsid w:val="009476A3"/>
    <w:rsid w:val="00947C76"/>
    <w:rsid w:val="00951DD0"/>
    <w:rsid w:val="0095334F"/>
    <w:rsid w:val="00962E68"/>
    <w:rsid w:val="0096365B"/>
    <w:rsid w:val="0096368F"/>
    <w:rsid w:val="00965897"/>
    <w:rsid w:val="0096765C"/>
    <w:rsid w:val="00970663"/>
    <w:rsid w:val="009727E4"/>
    <w:rsid w:val="00973414"/>
    <w:rsid w:val="00975071"/>
    <w:rsid w:val="00985FFF"/>
    <w:rsid w:val="00992790"/>
    <w:rsid w:val="009934C5"/>
    <w:rsid w:val="00994449"/>
    <w:rsid w:val="00994C0F"/>
    <w:rsid w:val="009A477E"/>
    <w:rsid w:val="009A4D13"/>
    <w:rsid w:val="009A6955"/>
    <w:rsid w:val="009A7452"/>
    <w:rsid w:val="009B0805"/>
    <w:rsid w:val="009B16FB"/>
    <w:rsid w:val="009B1824"/>
    <w:rsid w:val="009B22D7"/>
    <w:rsid w:val="009B3DD4"/>
    <w:rsid w:val="009B72ED"/>
    <w:rsid w:val="009C1D91"/>
    <w:rsid w:val="009C6336"/>
    <w:rsid w:val="009C6DEB"/>
    <w:rsid w:val="009C77E2"/>
    <w:rsid w:val="009D6504"/>
    <w:rsid w:val="009E661A"/>
    <w:rsid w:val="009F0DEF"/>
    <w:rsid w:val="009F2D4E"/>
    <w:rsid w:val="009F3488"/>
    <w:rsid w:val="009F7780"/>
    <w:rsid w:val="00A034C7"/>
    <w:rsid w:val="00A04F91"/>
    <w:rsid w:val="00A05CAD"/>
    <w:rsid w:val="00A06781"/>
    <w:rsid w:val="00A06DE9"/>
    <w:rsid w:val="00A073B5"/>
    <w:rsid w:val="00A07604"/>
    <w:rsid w:val="00A12E65"/>
    <w:rsid w:val="00A14402"/>
    <w:rsid w:val="00A1509C"/>
    <w:rsid w:val="00A20242"/>
    <w:rsid w:val="00A25C60"/>
    <w:rsid w:val="00A32676"/>
    <w:rsid w:val="00A34260"/>
    <w:rsid w:val="00A372AF"/>
    <w:rsid w:val="00A44650"/>
    <w:rsid w:val="00A467AA"/>
    <w:rsid w:val="00A5257C"/>
    <w:rsid w:val="00A70A2C"/>
    <w:rsid w:val="00A70CFD"/>
    <w:rsid w:val="00A72A0B"/>
    <w:rsid w:val="00A75D96"/>
    <w:rsid w:val="00A81E42"/>
    <w:rsid w:val="00A84439"/>
    <w:rsid w:val="00A849E9"/>
    <w:rsid w:val="00A85E91"/>
    <w:rsid w:val="00A864FE"/>
    <w:rsid w:val="00A86F41"/>
    <w:rsid w:val="00A87D04"/>
    <w:rsid w:val="00A94EA5"/>
    <w:rsid w:val="00A950C5"/>
    <w:rsid w:val="00AA1D25"/>
    <w:rsid w:val="00AA41D2"/>
    <w:rsid w:val="00AA68FC"/>
    <w:rsid w:val="00AB1537"/>
    <w:rsid w:val="00AB2131"/>
    <w:rsid w:val="00AB2B1A"/>
    <w:rsid w:val="00AB397F"/>
    <w:rsid w:val="00AB5832"/>
    <w:rsid w:val="00AB6BBE"/>
    <w:rsid w:val="00AC4379"/>
    <w:rsid w:val="00AC51F2"/>
    <w:rsid w:val="00AC5B87"/>
    <w:rsid w:val="00AD36E3"/>
    <w:rsid w:val="00AE5066"/>
    <w:rsid w:val="00AE5E24"/>
    <w:rsid w:val="00AE61B7"/>
    <w:rsid w:val="00AE6CBA"/>
    <w:rsid w:val="00AE79AD"/>
    <w:rsid w:val="00AF35E4"/>
    <w:rsid w:val="00AF57EE"/>
    <w:rsid w:val="00AF5CDE"/>
    <w:rsid w:val="00B0408F"/>
    <w:rsid w:val="00B05E83"/>
    <w:rsid w:val="00B1095C"/>
    <w:rsid w:val="00B1186D"/>
    <w:rsid w:val="00B11A57"/>
    <w:rsid w:val="00B12333"/>
    <w:rsid w:val="00B2119F"/>
    <w:rsid w:val="00B21B0C"/>
    <w:rsid w:val="00B23C0F"/>
    <w:rsid w:val="00B25597"/>
    <w:rsid w:val="00B26149"/>
    <w:rsid w:val="00B267B9"/>
    <w:rsid w:val="00B26EE1"/>
    <w:rsid w:val="00B27CC5"/>
    <w:rsid w:val="00B33E09"/>
    <w:rsid w:val="00B34FF9"/>
    <w:rsid w:val="00B37D9D"/>
    <w:rsid w:val="00B43807"/>
    <w:rsid w:val="00B50708"/>
    <w:rsid w:val="00B50C68"/>
    <w:rsid w:val="00B51293"/>
    <w:rsid w:val="00B52B1E"/>
    <w:rsid w:val="00B55481"/>
    <w:rsid w:val="00B56C32"/>
    <w:rsid w:val="00B57ACF"/>
    <w:rsid w:val="00B61FC0"/>
    <w:rsid w:val="00B64BB1"/>
    <w:rsid w:val="00B73166"/>
    <w:rsid w:val="00B76923"/>
    <w:rsid w:val="00B82F06"/>
    <w:rsid w:val="00B8426C"/>
    <w:rsid w:val="00B86833"/>
    <w:rsid w:val="00B90AA9"/>
    <w:rsid w:val="00B91B8D"/>
    <w:rsid w:val="00B94D10"/>
    <w:rsid w:val="00B94E90"/>
    <w:rsid w:val="00B95F45"/>
    <w:rsid w:val="00B97DD4"/>
    <w:rsid w:val="00BA5C37"/>
    <w:rsid w:val="00BB0A82"/>
    <w:rsid w:val="00BB7C94"/>
    <w:rsid w:val="00BC0A9D"/>
    <w:rsid w:val="00BC4750"/>
    <w:rsid w:val="00BD0ADC"/>
    <w:rsid w:val="00BD5D0E"/>
    <w:rsid w:val="00BE0558"/>
    <w:rsid w:val="00BE124B"/>
    <w:rsid w:val="00BE1EDE"/>
    <w:rsid w:val="00BE4EBD"/>
    <w:rsid w:val="00BE5F1C"/>
    <w:rsid w:val="00BF2DCB"/>
    <w:rsid w:val="00BF5BC2"/>
    <w:rsid w:val="00C1133D"/>
    <w:rsid w:val="00C11EAA"/>
    <w:rsid w:val="00C1323C"/>
    <w:rsid w:val="00C13B13"/>
    <w:rsid w:val="00C17875"/>
    <w:rsid w:val="00C17A7C"/>
    <w:rsid w:val="00C247FB"/>
    <w:rsid w:val="00C26A32"/>
    <w:rsid w:val="00C27A08"/>
    <w:rsid w:val="00C31312"/>
    <w:rsid w:val="00C31BB5"/>
    <w:rsid w:val="00C32552"/>
    <w:rsid w:val="00C326C6"/>
    <w:rsid w:val="00C331D1"/>
    <w:rsid w:val="00C35295"/>
    <w:rsid w:val="00C36ADD"/>
    <w:rsid w:val="00C36E74"/>
    <w:rsid w:val="00C40595"/>
    <w:rsid w:val="00C41558"/>
    <w:rsid w:val="00C41621"/>
    <w:rsid w:val="00C449FA"/>
    <w:rsid w:val="00C50021"/>
    <w:rsid w:val="00C5102C"/>
    <w:rsid w:val="00C51A68"/>
    <w:rsid w:val="00C5384F"/>
    <w:rsid w:val="00C56964"/>
    <w:rsid w:val="00C656D5"/>
    <w:rsid w:val="00C67103"/>
    <w:rsid w:val="00C70A2C"/>
    <w:rsid w:val="00C71BB9"/>
    <w:rsid w:val="00C722C4"/>
    <w:rsid w:val="00C77EDE"/>
    <w:rsid w:val="00C824C9"/>
    <w:rsid w:val="00C847E1"/>
    <w:rsid w:val="00C85258"/>
    <w:rsid w:val="00C87895"/>
    <w:rsid w:val="00C90FD7"/>
    <w:rsid w:val="00C94C28"/>
    <w:rsid w:val="00C95FDE"/>
    <w:rsid w:val="00CA6449"/>
    <w:rsid w:val="00CA7958"/>
    <w:rsid w:val="00CB0247"/>
    <w:rsid w:val="00CB1DE5"/>
    <w:rsid w:val="00CB3440"/>
    <w:rsid w:val="00CB6FCF"/>
    <w:rsid w:val="00CB704D"/>
    <w:rsid w:val="00CC1692"/>
    <w:rsid w:val="00CC2506"/>
    <w:rsid w:val="00CC3311"/>
    <w:rsid w:val="00CC6DE5"/>
    <w:rsid w:val="00CC7D8A"/>
    <w:rsid w:val="00CC7F46"/>
    <w:rsid w:val="00CD138B"/>
    <w:rsid w:val="00CD228F"/>
    <w:rsid w:val="00CD3A6A"/>
    <w:rsid w:val="00CD3E31"/>
    <w:rsid w:val="00CD3EE7"/>
    <w:rsid w:val="00CD4C75"/>
    <w:rsid w:val="00CD70CF"/>
    <w:rsid w:val="00CD74A3"/>
    <w:rsid w:val="00CE0527"/>
    <w:rsid w:val="00CE4632"/>
    <w:rsid w:val="00CE5A86"/>
    <w:rsid w:val="00CE5B23"/>
    <w:rsid w:val="00CF0EC1"/>
    <w:rsid w:val="00CF70AD"/>
    <w:rsid w:val="00CF7729"/>
    <w:rsid w:val="00D03EB1"/>
    <w:rsid w:val="00D05735"/>
    <w:rsid w:val="00D05E03"/>
    <w:rsid w:val="00D07662"/>
    <w:rsid w:val="00D107FA"/>
    <w:rsid w:val="00D12275"/>
    <w:rsid w:val="00D12766"/>
    <w:rsid w:val="00D1589A"/>
    <w:rsid w:val="00D17B2D"/>
    <w:rsid w:val="00D20FF4"/>
    <w:rsid w:val="00D22B30"/>
    <w:rsid w:val="00D22C86"/>
    <w:rsid w:val="00D2496B"/>
    <w:rsid w:val="00D24D2C"/>
    <w:rsid w:val="00D34F0F"/>
    <w:rsid w:val="00D35881"/>
    <w:rsid w:val="00D36126"/>
    <w:rsid w:val="00D4284B"/>
    <w:rsid w:val="00D438D9"/>
    <w:rsid w:val="00D46ED6"/>
    <w:rsid w:val="00D50406"/>
    <w:rsid w:val="00D50C77"/>
    <w:rsid w:val="00D51D90"/>
    <w:rsid w:val="00D53F22"/>
    <w:rsid w:val="00D5574D"/>
    <w:rsid w:val="00D609DC"/>
    <w:rsid w:val="00D643D6"/>
    <w:rsid w:val="00D65380"/>
    <w:rsid w:val="00D65734"/>
    <w:rsid w:val="00D67D03"/>
    <w:rsid w:val="00D73D2D"/>
    <w:rsid w:val="00D74B1C"/>
    <w:rsid w:val="00D8099B"/>
    <w:rsid w:val="00D80DDA"/>
    <w:rsid w:val="00D817E2"/>
    <w:rsid w:val="00D83672"/>
    <w:rsid w:val="00D96D24"/>
    <w:rsid w:val="00DA0857"/>
    <w:rsid w:val="00DA2804"/>
    <w:rsid w:val="00DA4C69"/>
    <w:rsid w:val="00DA7DA5"/>
    <w:rsid w:val="00DB073B"/>
    <w:rsid w:val="00DB0FEB"/>
    <w:rsid w:val="00DB148A"/>
    <w:rsid w:val="00DB5883"/>
    <w:rsid w:val="00DB78F0"/>
    <w:rsid w:val="00DC1EFC"/>
    <w:rsid w:val="00DC2E43"/>
    <w:rsid w:val="00DC2E74"/>
    <w:rsid w:val="00DC68E8"/>
    <w:rsid w:val="00DC6EBB"/>
    <w:rsid w:val="00DD095C"/>
    <w:rsid w:val="00DD0D3A"/>
    <w:rsid w:val="00DD1330"/>
    <w:rsid w:val="00DD40F4"/>
    <w:rsid w:val="00DE0B83"/>
    <w:rsid w:val="00DE1A81"/>
    <w:rsid w:val="00DE4E10"/>
    <w:rsid w:val="00DF2906"/>
    <w:rsid w:val="00DF2D41"/>
    <w:rsid w:val="00E02ABF"/>
    <w:rsid w:val="00E03548"/>
    <w:rsid w:val="00E06967"/>
    <w:rsid w:val="00E14601"/>
    <w:rsid w:val="00E14995"/>
    <w:rsid w:val="00E179CD"/>
    <w:rsid w:val="00E2200C"/>
    <w:rsid w:val="00E23E8D"/>
    <w:rsid w:val="00E2534B"/>
    <w:rsid w:val="00E2611C"/>
    <w:rsid w:val="00E27F25"/>
    <w:rsid w:val="00E3223C"/>
    <w:rsid w:val="00E32DFB"/>
    <w:rsid w:val="00E37F98"/>
    <w:rsid w:val="00E40E12"/>
    <w:rsid w:val="00E43C82"/>
    <w:rsid w:val="00E46559"/>
    <w:rsid w:val="00E54BDD"/>
    <w:rsid w:val="00E5789A"/>
    <w:rsid w:val="00E6347C"/>
    <w:rsid w:val="00E66587"/>
    <w:rsid w:val="00E6670C"/>
    <w:rsid w:val="00E6777A"/>
    <w:rsid w:val="00E71CB6"/>
    <w:rsid w:val="00E72318"/>
    <w:rsid w:val="00E7614B"/>
    <w:rsid w:val="00E776E8"/>
    <w:rsid w:val="00E8181E"/>
    <w:rsid w:val="00E85FD1"/>
    <w:rsid w:val="00E90984"/>
    <w:rsid w:val="00E911BF"/>
    <w:rsid w:val="00E92C1F"/>
    <w:rsid w:val="00E93532"/>
    <w:rsid w:val="00E95D4B"/>
    <w:rsid w:val="00EA18C5"/>
    <w:rsid w:val="00EA2272"/>
    <w:rsid w:val="00EA5385"/>
    <w:rsid w:val="00EB199F"/>
    <w:rsid w:val="00EC23F7"/>
    <w:rsid w:val="00EC4BD8"/>
    <w:rsid w:val="00EC63EB"/>
    <w:rsid w:val="00ED3ED2"/>
    <w:rsid w:val="00ED412F"/>
    <w:rsid w:val="00ED4355"/>
    <w:rsid w:val="00ED51F3"/>
    <w:rsid w:val="00EE29FF"/>
    <w:rsid w:val="00EF17A8"/>
    <w:rsid w:val="00EF2797"/>
    <w:rsid w:val="00EF36B2"/>
    <w:rsid w:val="00EF7C08"/>
    <w:rsid w:val="00F11B8E"/>
    <w:rsid w:val="00F11D4E"/>
    <w:rsid w:val="00F13FDB"/>
    <w:rsid w:val="00F15C88"/>
    <w:rsid w:val="00F201EC"/>
    <w:rsid w:val="00F208A9"/>
    <w:rsid w:val="00F2552E"/>
    <w:rsid w:val="00F262DC"/>
    <w:rsid w:val="00F279F7"/>
    <w:rsid w:val="00F36C69"/>
    <w:rsid w:val="00F37823"/>
    <w:rsid w:val="00F421B4"/>
    <w:rsid w:val="00F47A0B"/>
    <w:rsid w:val="00F5471E"/>
    <w:rsid w:val="00F5567A"/>
    <w:rsid w:val="00F61EDF"/>
    <w:rsid w:val="00F63318"/>
    <w:rsid w:val="00F7214A"/>
    <w:rsid w:val="00F7454F"/>
    <w:rsid w:val="00F753AB"/>
    <w:rsid w:val="00F77988"/>
    <w:rsid w:val="00F77F48"/>
    <w:rsid w:val="00F85B0E"/>
    <w:rsid w:val="00F901B5"/>
    <w:rsid w:val="00FA596E"/>
    <w:rsid w:val="00FB30F1"/>
    <w:rsid w:val="00FB53E7"/>
    <w:rsid w:val="00FB5B12"/>
    <w:rsid w:val="00FC2D66"/>
    <w:rsid w:val="00FC6EEB"/>
    <w:rsid w:val="00FC7A73"/>
    <w:rsid w:val="00FD0D8B"/>
    <w:rsid w:val="00FD44F0"/>
    <w:rsid w:val="00FE3618"/>
    <w:rsid w:val="00FE3EC1"/>
    <w:rsid w:val="00FE47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basedOn w:val="Normal"/>
    <w:rsid w:val="00E911BF"/>
    <w:pPr>
      <w:spacing w:before="100" w:after="100"/>
    </w:pPr>
    <w:rPr>
      <w:szCs w:val="20"/>
      <w:lang w:val="en-US"/>
    </w:rPr>
  </w:style>
  <w:style w:type="character" w:customStyle="1" w:styleId="iil-resultnotpaid1">
    <w:name w:val="iil-resultnotpaid1"/>
    <w:rsid w:val="006C4697"/>
    <w:rPr>
      <w:rFonts w:ascii="Arial" w:hAnsi="Arial" w:cs="Arial" w:hint="default"/>
      <w:color w:val="0F1478"/>
      <w:sz w:val="15"/>
      <w:szCs w:val="15"/>
    </w:rPr>
  </w:style>
  <w:style w:type="paragraph" w:styleId="BodyText">
    <w:name w:val="Body Text"/>
    <w:basedOn w:val="Normal"/>
    <w:link w:val="BodyTextChar"/>
    <w:rsid w:val="00474FAD"/>
    <w:pPr>
      <w:jc w:val="both"/>
    </w:pPr>
    <w:rPr>
      <w:bCs/>
      <w:szCs w:val="20"/>
      <w:lang w:eastAsia="en-US"/>
    </w:rPr>
  </w:style>
  <w:style w:type="character" w:customStyle="1" w:styleId="BodyTextChar">
    <w:name w:val="Body Text Char"/>
    <w:link w:val="BodyText"/>
    <w:rsid w:val="00474FAD"/>
    <w:rPr>
      <w:bCs/>
      <w:sz w:val="24"/>
      <w:lang w:val="lv-LV"/>
    </w:rPr>
  </w:style>
  <w:style w:type="paragraph" w:styleId="EndnoteText">
    <w:name w:val="endnote text"/>
    <w:basedOn w:val="Normal"/>
    <w:link w:val="EndnoteTextChar"/>
    <w:rsid w:val="00A467AA"/>
    <w:rPr>
      <w:sz w:val="20"/>
      <w:szCs w:val="20"/>
    </w:rPr>
  </w:style>
  <w:style w:type="character" w:customStyle="1" w:styleId="EndnoteTextChar">
    <w:name w:val="Endnote Text Char"/>
    <w:link w:val="EndnoteText"/>
    <w:rsid w:val="00A467AA"/>
    <w:rPr>
      <w:lang w:val="lv-LV" w:eastAsia="lv-LV"/>
    </w:rPr>
  </w:style>
  <w:style w:type="character" w:styleId="EndnoteReference">
    <w:name w:val="endnote reference"/>
    <w:rsid w:val="00A467AA"/>
    <w:rPr>
      <w:vertAlign w:val="superscript"/>
    </w:rPr>
  </w:style>
  <w:style w:type="paragraph" w:styleId="NoSpacing">
    <w:name w:val="No Spacing"/>
    <w:uiPriority w:val="99"/>
    <w:qFormat/>
    <w:rsid w:val="0012304C"/>
    <w:pPr>
      <w:ind w:firstLine="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8937">
      <w:bodyDiv w:val="1"/>
      <w:marLeft w:val="45"/>
      <w:marRight w:val="45"/>
      <w:marTop w:val="90"/>
      <w:marBottom w:val="90"/>
      <w:divBdr>
        <w:top w:val="none" w:sz="0" w:space="0" w:color="auto"/>
        <w:left w:val="none" w:sz="0" w:space="0" w:color="auto"/>
        <w:bottom w:val="none" w:sz="0" w:space="0" w:color="auto"/>
        <w:right w:val="none" w:sz="0" w:space="0" w:color="auto"/>
      </w:divBdr>
      <w:divsChild>
        <w:div w:id="1645818870">
          <w:marLeft w:val="0"/>
          <w:marRight w:val="0"/>
          <w:marTop w:val="0"/>
          <w:marBottom w:val="567"/>
          <w:divBdr>
            <w:top w:val="none" w:sz="0" w:space="0" w:color="auto"/>
            <w:left w:val="none" w:sz="0" w:space="0" w:color="auto"/>
            <w:bottom w:val="none" w:sz="0" w:space="0" w:color="auto"/>
            <w:right w:val="none" w:sz="0" w:space="0" w:color="auto"/>
          </w:divBdr>
        </w:div>
      </w:divsChild>
    </w:div>
    <w:div w:id="914516679">
      <w:bodyDiv w:val="1"/>
      <w:marLeft w:val="45"/>
      <w:marRight w:val="45"/>
      <w:marTop w:val="90"/>
      <w:marBottom w:val="90"/>
      <w:divBdr>
        <w:top w:val="none" w:sz="0" w:space="0" w:color="auto"/>
        <w:left w:val="none" w:sz="0" w:space="0" w:color="auto"/>
        <w:bottom w:val="none" w:sz="0" w:space="0" w:color="auto"/>
        <w:right w:val="none" w:sz="0" w:space="0" w:color="auto"/>
      </w:divBdr>
      <w:divsChild>
        <w:div w:id="1703552407">
          <w:marLeft w:val="0"/>
          <w:marRight w:val="0"/>
          <w:marTop w:val="0"/>
          <w:marBottom w:val="567"/>
          <w:divBdr>
            <w:top w:val="none" w:sz="0" w:space="0" w:color="auto"/>
            <w:left w:val="none" w:sz="0" w:space="0" w:color="auto"/>
            <w:bottom w:val="none" w:sz="0" w:space="0" w:color="auto"/>
            <w:right w:val="none" w:sz="0" w:space="0" w:color="auto"/>
          </w:divBdr>
        </w:div>
      </w:divsChild>
    </w:div>
    <w:div w:id="931088644">
      <w:bodyDiv w:val="1"/>
      <w:marLeft w:val="45"/>
      <w:marRight w:val="45"/>
      <w:marTop w:val="90"/>
      <w:marBottom w:val="90"/>
      <w:divBdr>
        <w:top w:val="none" w:sz="0" w:space="0" w:color="auto"/>
        <w:left w:val="none" w:sz="0" w:space="0" w:color="auto"/>
        <w:bottom w:val="none" w:sz="0" w:space="0" w:color="auto"/>
        <w:right w:val="none" w:sz="0" w:space="0" w:color="auto"/>
      </w:divBdr>
      <w:divsChild>
        <w:div w:id="1781752887">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AAC29-2B01-468A-A6E5-59C1BCE0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871</Words>
  <Characters>6416</Characters>
  <Application>Microsoft Office Word</Application>
  <DocSecurity>0</DocSecurity>
  <Lines>251</Lines>
  <Paragraphs>99</Paragraphs>
  <ScaleCrop>false</ScaleCrop>
  <HeadingPairs>
    <vt:vector size="2" baseType="variant">
      <vt:variant>
        <vt:lpstr>Title</vt:lpstr>
      </vt:variant>
      <vt:variant>
        <vt:i4>1</vt:i4>
      </vt:variant>
    </vt:vector>
  </HeadingPairs>
  <TitlesOfParts>
    <vt:vector size="1" baseType="lpstr">
      <vt:lpstr>Ministru kabineta noteikumu projekta "Noteikumi par nederīgo dokumentu reģistru" sākotnējās ietekmes novērtējuma ziņojums (anotācija)</vt:lpstr>
    </vt:vector>
  </TitlesOfParts>
  <Company>Valsts kanceleja, Politikas koordinācijas departaments</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nederīgo dokumentu reģistru" sākotnējās ietekmes novērtējuma ziņojums (anotācija)</dc:title>
  <dc:subject/>
  <dc:creator>Baiba Kovaļova</dc:creator>
  <cp:keywords/>
  <dc:description>67208597, Baiba.Kovalova@ic.iem.gov.lv</dc:description>
  <cp:lastModifiedBy>Biruta Pedane</cp:lastModifiedBy>
  <cp:revision>23</cp:revision>
  <cp:lastPrinted>2011-02-02T08:28:00Z</cp:lastPrinted>
  <dcterms:created xsi:type="dcterms:W3CDTF">2012-08-20T08:40:00Z</dcterms:created>
  <dcterms:modified xsi:type="dcterms:W3CDTF">2012-09-04T05:44:00Z</dcterms:modified>
</cp:coreProperties>
</file>