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5F7" w:rsidRDefault="007665F7" w:rsidP="007665F7">
      <w:pPr>
        <w:jc w:val="right"/>
        <w:rPr>
          <w:sz w:val="28"/>
          <w:szCs w:val="28"/>
        </w:rPr>
      </w:pPr>
      <w:r>
        <w:rPr>
          <w:sz w:val="28"/>
          <w:szCs w:val="28"/>
        </w:rPr>
        <w:t>Likumprojekts</w:t>
      </w:r>
    </w:p>
    <w:p w:rsidR="007665F7" w:rsidRDefault="007665F7" w:rsidP="007665F7">
      <w:pPr>
        <w:pStyle w:val="Heading3"/>
        <w:spacing w:before="150" w:after="150"/>
        <w:jc w:val="center"/>
      </w:pPr>
    </w:p>
    <w:p w:rsidR="007665F7" w:rsidRDefault="007665F7" w:rsidP="007665F7">
      <w:pPr>
        <w:pStyle w:val="Heading3"/>
        <w:spacing w:before="150" w:after="150"/>
        <w:jc w:val="center"/>
        <w:rPr>
          <w:rStyle w:val="Strong"/>
          <w:b/>
          <w:sz w:val="28"/>
          <w:szCs w:val="28"/>
        </w:rPr>
      </w:pPr>
      <w:r>
        <w:rPr>
          <w:rStyle w:val="Strong"/>
          <w:b/>
          <w:sz w:val="28"/>
          <w:szCs w:val="28"/>
        </w:rPr>
        <w:t>Grozījumi Detektīvdarbības likumā</w:t>
      </w:r>
    </w:p>
    <w:p w:rsidR="007665F7" w:rsidRDefault="007665F7" w:rsidP="007665F7">
      <w:pPr>
        <w:pStyle w:val="naisf"/>
      </w:pPr>
    </w:p>
    <w:p w:rsidR="007665F7" w:rsidRDefault="007665F7" w:rsidP="007665F7">
      <w:pPr>
        <w:pStyle w:val="naisf"/>
        <w:ind w:firstLine="720"/>
        <w:rPr>
          <w:sz w:val="28"/>
          <w:szCs w:val="28"/>
        </w:rPr>
      </w:pPr>
      <w:r>
        <w:rPr>
          <w:sz w:val="28"/>
          <w:szCs w:val="28"/>
        </w:rPr>
        <w:t>Izdarīt Detektīvdarbības likumā (Latvijas Republikas Saeimas un Ministru Kabineta Ziņotājs, 2001, 16.nr; Latvijas Vēstnesis, 2004, 62.nr.; 2010, 76.nr.) šādus grozījumus:</w:t>
      </w:r>
    </w:p>
    <w:p w:rsidR="007665F7" w:rsidRDefault="007665F7" w:rsidP="007665F7">
      <w:pPr>
        <w:pStyle w:val="naisf"/>
        <w:numPr>
          <w:ilvl w:val="0"/>
          <w:numId w:val="1"/>
        </w:numPr>
        <w:rPr>
          <w:sz w:val="28"/>
          <w:szCs w:val="28"/>
        </w:rPr>
      </w:pPr>
      <w:r>
        <w:rPr>
          <w:sz w:val="28"/>
          <w:szCs w:val="28"/>
        </w:rPr>
        <w:t>Izteikt 4.pantu šādā redakcijā:</w:t>
      </w:r>
    </w:p>
    <w:p w:rsidR="007665F7" w:rsidRDefault="007665F7" w:rsidP="007665F7">
      <w:pPr>
        <w:jc w:val="both"/>
        <w:rPr>
          <w:sz w:val="28"/>
          <w:szCs w:val="28"/>
          <w:lang w:eastAsia="lv-LV"/>
        </w:rPr>
      </w:pPr>
      <w:r>
        <w:rPr>
          <w:sz w:val="28"/>
          <w:szCs w:val="28"/>
        </w:rPr>
        <w:t>,,</w:t>
      </w:r>
      <w:r>
        <w:rPr>
          <w:b/>
          <w:sz w:val="28"/>
          <w:szCs w:val="28"/>
        </w:rPr>
        <w:t>4.pants.</w:t>
      </w:r>
      <w:r>
        <w:rPr>
          <w:sz w:val="28"/>
          <w:szCs w:val="28"/>
        </w:rPr>
        <w:t xml:space="preserve"> (1) </w:t>
      </w:r>
      <w:r w:rsidR="00047144">
        <w:rPr>
          <w:sz w:val="28"/>
          <w:szCs w:val="28"/>
          <w:lang w:eastAsia="lv-LV"/>
        </w:rPr>
        <w:t>Licenci ir tiesīgs</w:t>
      </w:r>
      <w:r>
        <w:rPr>
          <w:sz w:val="28"/>
          <w:szCs w:val="28"/>
          <w:lang w:eastAsia="lv-LV"/>
        </w:rPr>
        <w:t xml:space="preserve"> saņemt un detektīv</w:t>
      </w:r>
      <w:r w:rsidR="00047144">
        <w:rPr>
          <w:sz w:val="28"/>
          <w:szCs w:val="28"/>
          <w:lang w:eastAsia="lv-LV"/>
        </w:rPr>
        <w:t>darbību veikt individuālais komersants, personālsabiedrība vai kapitālsabiedrība</w:t>
      </w:r>
      <w:r>
        <w:rPr>
          <w:sz w:val="28"/>
          <w:szCs w:val="28"/>
          <w:lang w:eastAsia="lv-LV"/>
        </w:rPr>
        <w:t>, kurā</w:t>
      </w:r>
      <w:r w:rsidR="00EA14CD">
        <w:rPr>
          <w:sz w:val="28"/>
          <w:szCs w:val="28"/>
          <w:lang w:eastAsia="lv-LV"/>
        </w:rPr>
        <w:t xml:space="preserve"> </w:t>
      </w:r>
      <w:r w:rsidR="00821796">
        <w:rPr>
          <w:sz w:val="28"/>
          <w:szCs w:val="28"/>
          <w:lang w:eastAsia="lv-LV"/>
        </w:rPr>
        <w:t xml:space="preserve">attiecīgi </w:t>
      </w:r>
      <w:r w:rsidR="00047144">
        <w:rPr>
          <w:sz w:val="28"/>
          <w:szCs w:val="28"/>
          <w:lang w:eastAsia="lv-LV"/>
        </w:rPr>
        <w:t xml:space="preserve">individuālais komersants vai ikviens personālsabiedrības </w:t>
      </w:r>
      <w:r w:rsidR="0024363A">
        <w:rPr>
          <w:sz w:val="28"/>
          <w:szCs w:val="28"/>
          <w:lang w:eastAsia="lv-LV"/>
        </w:rPr>
        <w:t>bi</w:t>
      </w:r>
      <w:r w:rsidR="0071699A">
        <w:rPr>
          <w:sz w:val="28"/>
          <w:szCs w:val="28"/>
          <w:lang w:eastAsia="lv-LV"/>
        </w:rPr>
        <w:t xml:space="preserve">edrs, kapitālsabiedrības valdes </w:t>
      </w:r>
      <w:r w:rsidR="0024363A">
        <w:rPr>
          <w:sz w:val="28"/>
          <w:szCs w:val="28"/>
          <w:lang w:eastAsia="lv-LV"/>
        </w:rPr>
        <w:t>loceklis</w:t>
      </w:r>
      <w:r w:rsidR="00047144">
        <w:rPr>
          <w:sz w:val="28"/>
          <w:szCs w:val="28"/>
          <w:lang w:eastAsia="lv-LV"/>
        </w:rPr>
        <w:t xml:space="preserve"> (turpmāk – </w:t>
      </w:r>
      <w:r w:rsidR="0024363A">
        <w:rPr>
          <w:sz w:val="28"/>
          <w:szCs w:val="28"/>
          <w:lang w:eastAsia="lv-LV"/>
        </w:rPr>
        <w:t>vadītājs)</w:t>
      </w:r>
      <w:r>
        <w:rPr>
          <w:sz w:val="28"/>
          <w:szCs w:val="28"/>
          <w:lang w:eastAsia="lv-LV"/>
        </w:rPr>
        <w:t>, ir Eiropas Savienības dalībvalsts vai Eiropas Ekonomikas zonas valsts pilsonis vai Latvijas nepilsonis.</w:t>
      </w:r>
    </w:p>
    <w:p w:rsidR="007665F7" w:rsidRDefault="00047144" w:rsidP="007665F7">
      <w:pPr>
        <w:jc w:val="both"/>
        <w:rPr>
          <w:sz w:val="28"/>
          <w:szCs w:val="28"/>
          <w:lang w:eastAsia="lv-LV"/>
        </w:rPr>
      </w:pPr>
      <w:r>
        <w:rPr>
          <w:sz w:val="28"/>
          <w:szCs w:val="28"/>
          <w:lang w:eastAsia="lv-LV"/>
        </w:rPr>
        <w:tab/>
        <w:t>(2) Licenci nav tiesīgs</w:t>
      </w:r>
      <w:r w:rsidR="007665F7">
        <w:rPr>
          <w:sz w:val="28"/>
          <w:szCs w:val="28"/>
          <w:lang w:eastAsia="lv-LV"/>
        </w:rPr>
        <w:t xml:space="preserve"> saņemt un detektīv</w:t>
      </w:r>
      <w:r>
        <w:rPr>
          <w:sz w:val="28"/>
          <w:szCs w:val="28"/>
          <w:lang w:eastAsia="lv-LV"/>
        </w:rPr>
        <w:t>darbību veikt individuālais komersants, personālsabiedrība vai kapitālsabiedrība</w:t>
      </w:r>
      <w:r w:rsidR="007665F7">
        <w:rPr>
          <w:sz w:val="28"/>
          <w:szCs w:val="28"/>
          <w:lang w:eastAsia="lv-LV"/>
        </w:rPr>
        <w:t>, ja uz tās vadītāju attiecas šā likuma 6.panta otrajā daļā minētie ierobežojumi.</w:t>
      </w:r>
    </w:p>
    <w:p w:rsidR="007665F7" w:rsidRDefault="007665F7" w:rsidP="007665F7">
      <w:pPr>
        <w:ind w:firstLine="720"/>
        <w:jc w:val="both"/>
        <w:rPr>
          <w:rFonts w:ascii="Verdana" w:hAnsi="Verdana"/>
          <w:sz w:val="18"/>
          <w:szCs w:val="18"/>
          <w:lang w:eastAsia="lv-LV"/>
        </w:rPr>
      </w:pPr>
      <w:r>
        <w:rPr>
          <w:sz w:val="28"/>
          <w:szCs w:val="28"/>
        </w:rPr>
        <w:t>(3) Licenci atkārtoti izsniegt aizliegts, ja tā anulēta šā likuma 7.panta pirmās daļas 1.punktā minēto iemeslu dēļ.</w:t>
      </w:r>
    </w:p>
    <w:p w:rsidR="007665F7" w:rsidRDefault="007665F7" w:rsidP="007665F7">
      <w:pPr>
        <w:ind w:left="360"/>
        <w:jc w:val="both"/>
        <w:rPr>
          <w:rFonts w:ascii="Verdana" w:hAnsi="Verdana"/>
          <w:sz w:val="18"/>
          <w:szCs w:val="18"/>
          <w:lang w:eastAsia="lv-LV"/>
        </w:rPr>
      </w:pPr>
    </w:p>
    <w:p w:rsidR="007665F7" w:rsidRDefault="007665F7" w:rsidP="007665F7">
      <w:pPr>
        <w:numPr>
          <w:ilvl w:val="0"/>
          <w:numId w:val="1"/>
        </w:numPr>
        <w:ind w:firstLine="0"/>
        <w:jc w:val="both"/>
        <w:rPr>
          <w:sz w:val="28"/>
          <w:szCs w:val="28"/>
        </w:rPr>
      </w:pPr>
      <w:r>
        <w:rPr>
          <w:sz w:val="28"/>
          <w:szCs w:val="28"/>
        </w:rPr>
        <w:t>Izslēgt 5.pantu.</w:t>
      </w:r>
    </w:p>
    <w:p w:rsidR="007665F7" w:rsidRDefault="007665F7" w:rsidP="007665F7">
      <w:pPr>
        <w:ind w:left="1080"/>
        <w:jc w:val="both"/>
        <w:rPr>
          <w:sz w:val="28"/>
          <w:szCs w:val="28"/>
        </w:rPr>
      </w:pPr>
    </w:p>
    <w:p w:rsidR="007665F7" w:rsidRDefault="007665F7" w:rsidP="007665F7">
      <w:pPr>
        <w:numPr>
          <w:ilvl w:val="0"/>
          <w:numId w:val="1"/>
        </w:numPr>
        <w:ind w:firstLine="0"/>
        <w:jc w:val="both"/>
        <w:rPr>
          <w:sz w:val="28"/>
          <w:szCs w:val="28"/>
        </w:rPr>
      </w:pPr>
      <w:r>
        <w:rPr>
          <w:sz w:val="28"/>
          <w:szCs w:val="28"/>
        </w:rPr>
        <w:t>Izteikt 6.pantu šādā redakcijā:</w:t>
      </w:r>
    </w:p>
    <w:p w:rsidR="007665F7" w:rsidRDefault="007665F7" w:rsidP="007665F7">
      <w:pPr>
        <w:jc w:val="both"/>
        <w:rPr>
          <w:color w:val="000000"/>
          <w:sz w:val="28"/>
          <w:szCs w:val="28"/>
        </w:rPr>
      </w:pPr>
      <w:r>
        <w:rPr>
          <w:sz w:val="28"/>
          <w:szCs w:val="28"/>
        </w:rPr>
        <w:t>,,</w:t>
      </w:r>
      <w:r>
        <w:rPr>
          <w:b/>
          <w:bCs/>
          <w:sz w:val="28"/>
          <w:szCs w:val="28"/>
        </w:rPr>
        <w:t xml:space="preserve">6.pants. </w:t>
      </w:r>
      <w:r>
        <w:rPr>
          <w:bCs/>
          <w:sz w:val="28"/>
          <w:szCs w:val="28"/>
        </w:rPr>
        <w:t>(1)</w:t>
      </w:r>
      <w:r>
        <w:rPr>
          <w:b/>
          <w:bCs/>
          <w:sz w:val="28"/>
          <w:szCs w:val="28"/>
        </w:rPr>
        <w:t xml:space="preserve"> </w:t>
      </w:r>
      <w:r>
        <w:rPr>
          <w:sz w:val="28"/>
          <w:szCs w:val="28"/>
        </w:rPr>
        <w:t xml:space="preserve">Sertifikātu ir tiesīgs saņemt un detektīvdarbību veikt Eiropas Savienības dalībvalsts pilsonis vai Eiropas Ekonomikas zonas valsts pilsonis </w:t>
      </w:r>
      <w:r>
        <w:rPr>
          <w:color w:val="000000"/>
          <w:sz w:val="28"/>
          <w:szCs w:val="28"/>
        </w:rPr>
        <w:t xml:space="preserve">vai Latvijas nepilsonis, </w:t>
      </w:r>
      <w:r>
        <w:rPr>
          <w:sz w:val="28"/>
          <w:szCs w:val="28"/>
        </w:rPr>
        <w:t xml:space="preserve">kuram ir augstākā izglītība tiesību zinātnēs vai kuram darba pieredze </w:t>
      </w:r>
      <w:r w:rsidRPr="00CF67C1">
        <w:rPr>
          <w:sz w:val="28"/>
          <w:szCs w:val="28"/>
        </w:rPr>
        <w:t>tiesībaizsardzības iestādē</w:t>
      </w:r>
      <w:r>
        <w:rPr>
          <w:sz w:val="28"/>
          <w:szCs w:val="28"/>
        </w:rPr>
        <w:t xml:space="preserve"> ir ne mazāka par pieciem gadiem</w:t>
      </w:r>
      <w:r>
        <w:rPr>
          <w:color w:val="000000"/>
          <w:sz w:val="28"/>
          <w:szCs w:val="28"/>
        </w:rPr>
        <w:t>.</w:t>
      </w:r>
    </w:p>
    <w:p w:rsidR="007665F7" w:rsidRDefault="007665F7" w:rsidP="007665F7">
      <w:pPr>
        <w:jc w:val="both"/>
        <w:rPr>
          <w:color w:val="000000"/>
          <w:sz w:val="28"/>
          <w:szCs w:val="28"/>
        </w:rPr>
      </w:pPr>
      <w:r>
        <w:rPr>
          <w:color w:val="000000"/>
          <w:sz w:val="28"/>
          <w:szCs w:val="28"/>
        </w:rPr>
        <w:tab/>
        <w:t xml:space="preserve">(2)  </w:t>
      </w:r>
      <w:r>
        <w:rPr>
          <w:sz w:val="28"/>
          <w:szCs w:val="28"/>
        </w:rPr>
        <w:t xml:space="preserve">Sertifikātu nav tiesīgs saņemt un detektīvdarbību veikt Eiropas Savienības dalībvalsts pilsonis vai Eiropas Ekonomikas zonas valsts pilsonis </w:t>
      </w:r>
      <w:r>
        <w:rPr>
          <w:color w:val="000000"/>
          <w:sz w:val="28"/>
          <w:szCs w:val="28"/>
        </w:rPr>
        <w:t>vai Latvijas nepilsonis:</w:t>
      </w:r>
    </w:p>
    <w:p w:rsidR="007665F7" w:rsidRDefault="007665F7" w:rsidP="007665F7">
      <w:pPr>
        <w:numPr>
          <w:ilvl w:val="0"/>
          <w:numId w:val="3"/>
        </w:numPr>
        <w:jc w:val="both"/>
        <w:rPr>
          <w:rFonts w:ascii="Verdana" w:hAnsi="Verdana"/>
          <w:sz w:val="18"/>
          <w:szCs w:val="18"/>
          <w:lang w:eastAsia="lv-LV"/>
        </w:rPr>
      </w:pPr>
      <w:r>
        <w:rPr>
          <w:sz w:val="28"/>
          <w:szCs w:val="28"/>
        </w:rPr>
        <w:t>kurš ir tiesas, prokuratūras, Valsts policijas, Finanšu policijas, Militārās policijas, pašvaldības policijas, ostas policijas, Ieslodzījuma vietu pārvaldes, Korupcijas novēršanas un apkarošanas biroja, muitas iestādes, Valsts robežsardzes vai valsts drošības iestādes (turpmāk - tiesībaizsardzības iestāde),</w:t>
      </w:r>
      <w:r>
        <w:rPr>
          <w:color w:val="000000"/>
          <w:sz w:val="28"/>
          <w:szCs w:val="28"/>
        </w:rPr>
        <w:t xml:space="preserve"> </w:t>
      </w:r>
      <w:r w:rsidR="0024363A">
        <w:rPr>
          <w:sz w:val="28"/>
          <w:szCs w:val="28"/>
        </w:rPr>
        <w:t>amatpersona vai darbinieks</w:t>
      </w:r>
      <w:r>
        <w:rPr>
          <w:sz w:val="28"/>
          <w:szCs w:val="28"/>
        </w:rPr>
        <w:t>;</w:t>
      </w:r>
    </w:p>
    <w:p w:rsidR="007665F7" w:rsidRDefault="007665F7" w:rsidP="007665F7">
      <w:pPr>
        <w:numPr>
          <w:ilvl w:val="0"/>
          <w:numId w:val="3"/>
        </w:numPr>
        <w:jc w:val="both"/>
        <w:rPr>
          <w:sz w:val="28"/>
          <w:szCs w:val="28"/>
          <w:lang w:eastAsia="lv-LV"/>
        </w:rPr>
      </w:pPr>
      <w:r>
        <w:rPr>
          <w:sz w:val="28"/>
          <w:szCs w:val="28"/>
        </w:rPr>
        <w:t>kurš ir sodīts par tīšu noziedzīgu nodarījumu vai par alkoholisko dzērienu, narkotisko vai citu apreibinošo vielu iespaidā izdarītu noziedzīgu nodarījumu, — pirms sodāmības dzēšanas vai noņemšanas;</w:t>
      </w:r>
    </w:p>
    <w:p w:rsidR="007665F7" w:rsidRDefault="007665F7" w:rsidP="007665F7">
      <w:pPr>
        <w:numPr>
          <w:ilvl w:val="0"/>
          <w:numId w:val="3"/>
        </w:numPr>
        <w:jc w:val="both"/>
        <w:rPr>
          <w:sz w:val="28"/>
          <w:szCs w:val="28"/>
          <w:lang w:eastAsia="lv-LV"/>
        </w:rPr>
      </w:pPr>
      <w:r>
        <w:rPr>
          <w:sz w:val="28"/>
          <w:szCs w:val="28"/>
        </w:rPr>
        <w:t>kurš ir notiesāts par šīs daļas 2.punktā paredzētā noziedzīgā nodarījuma izdarīšanu, atbrīvojot no soda vai soda izciešanas, — agrāk par gadu pēc nolēmuma par atbrīvošanu no soda vai soda izciešanas spēkā stāšanās;</w:t>
      </w:r>
    </w:p>
    <w:p w:rsidR="007665F7" w:rsidRDefault="007665F7" w:rsidP="007665F7">
      <w:pPr>
        <w:numPr>
          <w:ilvl w:val="0"/>
          <w:numId w:val="3"/>
        </w:numPr>
        <w:jc w:val="both"/>
        <w:rPr>
          <w:sz w:val="28"/>
          <w:szCs w:val="28"/>
          <w:lang w:eastAsia="lv-LV"/>
        </w:rPr>
      </w:pPr>
      <w:r>
        <w:rPr>
          <w:sz w:val="28"/>
          <w:szCs w:val="28"/>
        </w:rPr>
        <w:t xml:space="preserve">kurš ir atbrīvots no kriminālatbildības par šīs daļas 2.punktā paredzētā noziedzīgā nodarījuma izdarīšanu, — agrāk par gadu pēc lēmuma spēkā stāšanās; </w:t>
      </w:r>
    </w:p>
    <w:p w:rsidR="007665F7" w:rsidRDefault="007665F7" w:rsidP="007665F7">
      <w:pPr>
        <w:numPr>
          <w:ilvl w:val="0"/>
          <w:numId w:val="3"/>
        </w:numPr>
        <w:jc w:val="both"/>
        <w:rPr>
          <w:sz w:val="28"/>
          <w:szCs w:val="28"/>
          <w:lang w:eastAsia="lv-LV"/>
        </w:rPr>
      </w:pPr>
      <w:r>
        <w:rPr>
          <w:sz w:val="28"/>
          <w:szCs w:val="28"/>
        </w:rPr>
        <w:lastRenderedPageBreak/>
        <w:t xml:space="preserve">kurš ir nosacīti atbrīvots no kriminālatbildības par šīs daļas 2.punktā paredzētā noziedzīgā nodarījuma izdarīšanu, — pirms pārbaudes laika beigām; </w:t>
      </w:r>
    </w:p>
    <w:p w:rsidR="007665F7" w:rsidRDefault="00CF3CC8" w:rsidP="007665F7">
      <w:pPr>
        <w:numPr>
          <w:ilvl w:val="0"/>
          <w:numId w:val="3"/>
        </w:numPr>
        <w:jc w:val="both"/>
        <w:rPr>
          <w:sz w:val="28"/>
          <w:szCs w:val="28"/>
          <w:lang w:eastAsia="lv-LV"/>
        </w:rPr>
      </w:pPr>
      <w:r>
        <w:rPr>
          <w:sz w:val="28"/>
          <w:szCs w:val="28"/>
        </w:rPr>
        <w:t xml:space="preserve">pret kuru uzsākta kriminālvajāšana </w:t>
      </w:r>
      <w:r w:rsidR="007665F7">
        <w:rPr>
          <w:sz w:val="28"/>
          <w:szCs w:val="28"/>
        </w:rPr>
        <w:t xml:space="preserve">par šīs daļas 2.punktā paredzētā noziedzīgā nodarījuma izdarīšanu; </w:t>
      </w:r>
    </w:p>
    <w:p w:rsidR="007665F7" w:rsidRPr="0024306F" w:rsidRDefault="0024306F" w:rsidP="007665F7">
      <w:pPr>
        <w:numPr>
          <w:ilvl w:val="0"/>
          <w:numId w:val="3"/>
        </w:numPr>
        <w:jc w:val="both"/>
        <w:rPr>
          <w:sz w:val="28"/>
          <w:szCs w:val="28"/>
          <w:lang w:eastAsia="lv-LV"/>
        </w:rPr>
      </w:pPr>
      <w:r w:rsidRPr="0024306F">
        <w:rPr>
          <w:sz w:val="28"/>
          <w:szCs w:val="28"/>
        </w:rPr>
        <w:t>kurš ir administratīvi sodīts par alkoholisko dzērienu, narkotisko, psihotropo, toksisko vai citu apreibinošo vielu ietekmē izdarītiem pārkāpumiem, par atteikšanos no medicīniskās pārbaudes alkohola koncentrācijas noteikšanai, no narkotisko vai citu apreibinošo vielu ietekmes pārbaudes, par sīko huligānismu vai par ļaunprātīgu nepakļaušanos policijas darbinieka, robežsarga vai zemessarga, kā arī karavīra likumīgajam rīkojumam vai prasībai, — ja nav pagājis gads p</w:t>
      </w:r>
      <w:r>
        <w:rPr>
          <w:sz w:val="28"/>
          <w:szCs w:val="28"/>
        </w:rPr>
        <w:t>ēc administratīvā soda izpildes</w:t>
      </w:r>
      <w:r w:rsidR="007665F7" w:rsidRPr="0024306F">
        <w:rPr>
          <w:sz w:val="28"/>
          <w:szCs w:val="28"/>
        </w:rPr>
        <w:t>;</w:t>
      </w:r>
    </w:p>
    <w:p w:rsidR="007665F7" w:rsidRDefault="007665F7" w:rsidP="007665F7">
      <w:pPr>
        <w:numPr>
          <w:ilvl w:val="0"/>
          <w:numId w:val="3"/>
        </w:numPr>
        <w:jc w:val="both"/>
        <w:rPr>
          <w:sz w:val="28"/>
          <w:szCs w:val="28"/>
          <w:lang w:eastAsia="lv-LV"/>
        </w:rPr>
      </w:pPr>
      <w:r>
        <w:rPr>
          <w:sz w:val="28"/>
          <w:szCs w:val="28"/>
        </w:rPr>
        <w:t xml:space="preserve">kuram ir konstatēta psihiska slimība vai atkarība no alkohola, narkotiskām, psihotropām vai toksiskām vielām; </w:t>
      </w:r>
    </w:p>
    <w:p w:rsidR="007665F7" w:rsidRDefault="007665F7" w:rsidP="007665F7">
      <w:pPr>
        <w:numPr>
          <w:ilvl w:val="0"/>
          <w:numId w:val="3"/>
        </w:numPr>
        <w:tabs>
          <w:tab w:val="left" w:pos="851"/>
        </w:tabs>
        <w:jc w:val="both"/>
        <w:rPr>
          <w:sz w:val="28"/>
          <w:szCs w:val="28"/>
          <w:lang w:eastAsia="lv-LV"/>
        </w:rPr>
      </w:pPr>
      <w:r>
        <w:rPr>
          <w:color w:val="000000"/>
          <w:sz w:val="28"/>
          <w:szCs w:val="28"/>
        </w:rPr>
        <w:t>kurš ir atbrīvots (atlaists) no darba vai dienesta tiesībaizsardzības iestādē sakarā ar disciplināro pārkāpumu, ja pēc atbrīvošanas (atlaišanas) no darba vai dienesta nav pagājuši trīs gadi;</w:t>
      </w:r>
    </w:p>
    <w:p w:rsidR="007665F7" w:rsidRDefault="007665F7" w:rsidP="007665F7">
      <w:pPr>
        <w:numPr>
          <w:ilvl w:val="0"/>
          <w:numId w:val="3"/>
        </w:numPr>
        <w:tabs>
          <w:tab w:val="left" w:pos="851"/>
        </w:tabs>
        <w:jc w:val="both"/>
        <w:rPr>
          <w:sz w:val="28"/>
          <w:szCs w:val="28"/>
          <w:lang w:eastAsia="lv-LV"/>
        </w:rPr>
      </w:pPr>
      <w:r>
        <w:rPr>
          <w:sz w:val="28"/>
          <w:szCs w:val="28"/>
          <w:lang w:eastAsia="lv-LV"/>
        </w:rPr>
        <w:t>par kuru Valsts policijas vai valsts drošības iestāžu rīcībā ir ziņas, kas dod pamatu uzskatīt, ka personas darbība ir vērsta pret valsts, sabiedrības vai personas likumīgajām interesēm.</w:t>
      </w:r>
    </w:p>
    <w:p w:rsidR="007665F7" w:rsidRDefault="007665F7" w:rsidP="007665F7">
      <w:pPr>
        <w:ind w:left="360"/>
        <w:jc w:val="both"/>
        <w:rPr>
          <w:sz w:val="28"/>
          <w:szCs w:val="28"/>
        </w:rPr>
      </w:pPr>
    </w:p>
    <w:p w:rsidR="007665F7" w:rsidRDefault="007665F7" w:rsidP="007665F7">
      <w:pPr>
        <w:numPr>
          <w:ilvl w:val="0"/>
          <w:numId w:val="1"/>
        </w:numPr>
        <w:jc w:val="both"/>
        <w:rPr>
          <w:sz w:val="28"/>
          <w:szCs w:val="28"/>
        </w:rPr>
      </w:pPr>
      <w:r>
        <w:rPr>
          <w:sz w:val="28"/>
          <w:szCs w:val="28"/>
        </w:rPr>
        <w:t>Izteikt 7.pantu šādā redakcijā:</w:t>
      </w:r>
    </w:p>
    <w:p w:rsidR="007665F7" w:rsidRDefault="007665F7" w:rsidP="007665F7">
      <w:pPr>
        <w:tabs>
          <w:tab w:val="left" w:pos="1560"/>
        </w:tabs>
        <w:jc w:val="both"/>
        <w:rPr>
          <w:sz w:val="28"/>
          <w:szCs w:val="28"/>
        </w:rPr>
      </w:pPr>
      <w:r>
        <w:rPr>
          <w:sz w:val="28"/>
          <w:szCs w:val="28"/>
        </w:rPr>
        <w:t>,,</w:t>
      </w:r>
      <w:r>
        <w:rPr>
          <w:b/>
          <w:sz w:val="28"/>
          <w:szCs w:val="28"/>
        </w:rPr>
        <w:t>7.pants.</w:t>
      </w:r>
      <w:r>
        <w:rPr>
          <w:sz w:val="28"/>
          <w:szCs w:val="28"/>
        </w:rPr>
        <w:t xml:space="preserve"> (1) Licenci </w:t>
      </w:r>
      <w:proofErr w:type="spellStart"/>
      <w:r>
        <w:rPr>
          <w:sz w:val="28"/>
          <w:szCs w:val="28"/>
        </w:rPr>
        <w:t>detektīvsabiedrībai</w:t>
      </w:r>
      <w:proofErr w:type="spellEnd"/>
      <w:r>
        <w:rPr>
          <w:sz w:val="28"/>
          <w:szCs w:val="28"/>
        </w:rPr>
        <w:t xml:space="preserve"> anulē, ja: </w:t>
      </w:r>
    </w:p>
    <w:p w:rsidR="007665F7" w:rsidRDefault="007665F7" w:rsidP="007665F7">
      <w:pPr>
        <w:tabs>
          <w:tab w:val="left" w:pos="1560"/>
        </w:tabs>
        <w:ind w:left="720"/>
        <w:jc w:val="both"/>
        <w:rPr>
          <w:sz w:val="28"/>
          <w:szCs w:val="28"/>
        </w:rPr>
      </w:pPr>
      <w:r>
        <w:rPr>
          <w:sz w:val="28"/>
          <w:szCs w:val="28"/>
        </w:rPr>
        <w:t xml:space="preserve">1) tā tīši nepilda likumu vai citu normatīvo aktu prasības; </w:t>
      </w:r>
    </w:p>
    <w:p w:rsidR="007665F7" w:rsidRDefault="007665F7" w:rsidP="007665F7">
      <w:pPr>
        <w:tabs>
          <w:tab w:val="left" w:pos="1560"/>
        </w:tabs>
        <w:ind w:left="720"/>
        <w:jc w:val="both"/>
        <w:rPr>
          <w:sz w:val="28"/>
          <w:szCs w:val="28"/>
        </w:rPr>
      </w:pPr>
      <w:r>
        <w:rPr>
          <w:sz w:val="28"/>
          <w:szCs w:val="28"/>
        </w:rPr>
        <w:t xml:space="preserve">2) tā apzināti sniegusi nepatiesas ziņas, lai saņemtu licenci; </w:t>
      </w:r>
    </w:p>
    <w:p w:rsidR="007665F7" w:rsidRDefault="007665F7" w:rsidP="007665F7">
      <w:pPr>
        <w:tabs>
          <w:tab w:val="left" w:pos="1560"/>
        </w:tabs>
        <w:ind w:left="720"/>
        <w:jc w:val="both"/>
        <w:rPr>
          <w:sz w:val="28"/>
          <w:szCs w:val="28"/>
        </w:rPr>
      </w:pPr>
      <w:r>
        <w:rPr>
          <w:sz w:val="28"/>
          <w:szCs w:val="28"/>
        </w:rPr>
        <w:t xml:space="preserve">3) tā sistemātiski nepilda nodokļu saistības; </w:t>
      </w:r>
    </w:p>
    <w:p w:rsidR="007665F7" w:rsidRDefault="007665F7" w:rsidP="007665F7">
      <w:pPr>
        <w:tabs>
          <w:tab w:val="left" w:pos="1560"/>
        </w:tabs>
        <w:ind w:left="720"/>
        <w:jc w:val="both"/>
        <w:rPr>
          <w:sz w:val="28"/>
          <w:szCs w:val="28"/>
        </w:rPr>
      </w:pPr>
      <w:r>
        <w:rPr>
          <w:sz w:val="28"/>
          <w:szCs w:val="28"/>
        </w:rPr>
        <w:t>4) to nosaka citi likumi vai tiesas nolēmumi;</w:t>
      </w:r>
    </w:p>
    <w:p w:rsidR="007665F7" w:rsidRDefault="007665F7" w:rsidP="007665F7">
      <w:pPr>
        <w:tabs>
          <w:tab w:val="left" w:pos="1560"/>
        </w:tabs>
        <w:ind w:left="720"/>
        <w:jc w:val="both"/>
        <w:rPr>
          <w:sz w:val="28"/>
          <w:szCs w:val="28"/>
          <w:lang w:eastAsia="lv-LV"/>
        </w:rPr>
      </w:pPr>
      <w:r>
        <w:rPr>
          <w:sz w:val="28"/>
          <w:szCs w:val="28"/>
        </w:rPr>
        <w:t>5) konstatēts, ka tā neatbilst šā likuma 4.</w:t>
      </w:r>
      <w:r>
        <w:rPr>
          <w:sz w:val="28"/>
          <w:szCs w:val="28"/>
          <w:lang w:eastAsia="lv-LV"/>
        </w:rPr>
        <w:t>pantā noteiktajām prasībām.</w:t>
      </w:r>
    </w:p>
    <w:p w:rsidR="007665F7" w:rsidRDefault="007665F7" w:rsidP="007665F7">
      <w:pPr>
        <w:tabs>
          <w:tab w:val="left" w:pos="1560"/>
        </w:tabs>
        <w:ind w:firstLine="720"/>
        <w:jc w:val="both"/>
        <w:rPr>
          <w:sz w:val="28"/>
          <w:szCs w:val="28"/>
        </w:rPr>
      </w:pPr>
      <w:r>
        <w:rPr>
          <w:sz w:val="28"/>
          <w:szCs w:val="28"/>
          <w:lang w:eastAsia="lv-LV"/>
        </w:rPr>
        <w:t xml:space="preserve">(2) </w:t>
      </w:r>
      <w:proofErr w:type="spellStart"/>
      <w:r>
        <w:rPr>
          <w:sz w:val="28"/>
          <w:szCs w:val="28"/>
        </w:rPr>
        <w:t>Detektīvsabiedrībai</w:t>
      </w:r>
      <w:proofErr w:type="spellEnd"/>
      <w:r>
        <w:rPr>
          <w:sz w:val="28"/>
          <w:szCs w:val="28"/>
        </w:rPr>
        <w:t xml:space="preserve"> licenci var anulēt, ja tā ir veikusi šā likuma 12.pantā minētās darbības.</w:t>
      </w:r>
    </w:p>
    <w:p w:rsidR="007665F7" w:rsidRDefault="005A4534" w:rsidP="005A4534">
      <w:pPr>
        <w:ind w:firstLine="720"/>
        <w:jc w:val="both"/>
        <w:rPr>
          <w:sz w:val="28"/>
          <w:szCs w:val="28"/>
          <w:lang w:eastAsia="lv-LV"/>
        </w:rPr>
      </w:pPr>
      <w:r>
        <w:rPr>
          <w:sz w:val="28"/>
          <w:szCs w:val="28"/>
          <w:lang w:eastAsia="lv-LV"/>
        </w:rPr>
        <w:t xml:space="preserve">(3) Licences darbību aptur, ja </w:t>
      </w:r>
      <w:proofErr w:type="spellStart"/>
      <w:r w:rsidR="007665F7">
        <w:rPr>
          <w:sz w:val="28"/>
          <w:szCs w:val="28"/>
          <w:lang w:eastAsia="lv-LV"/>
        </w:rPr>
        <w:t>detektīvsabiedrības</w:t>
      </w:r>
      <w:proofErr w:type="spellEnd"/>
      <w:r w:rsidR="007665F7">
        <w:rPr>
          <w:sz w:val="28"/>
          <w:szCs w:val="28"/>
          <w:lang w:eastAsia="lv-LV"/>
        </w:rPr>
        <w:t xml:space="preserve"> vadītājs saukts pie kriminālatbildības par tīša noziedzīga nodarījuma vai par alkoholisko dzērienu, narkotisko vai citu apreibinošo vielu iespaidā izdarīta n</w:t>
      </w:r>
      <w:r>
        <w:rPr>
          <w:sz w:val="28"/>
          <w:szCs w:val="28"/>
          <w:lang w:eastAsia="lv-LV"/>
        </w:rPr>
        <w:t xml:space="preserve">oziedzīga nodarījuma </w:t>
      </w:r>
      <w:r w:rsidR="007326E3">
        <w:rPr>
          <w:sz w:val="28"/>
          <w:szCs w:val="28"/>
          <w:lang w:eastAsia="lv-LV"/>
        </w:rPr>
        <w:t>izdarīšanu - uz la</w:t>
      </w:r>
      <w:r w:rsidR="00B500CC">
        <w:rPr>
          <w:sz w:val="28"/>
          <w:szCs w:val="28"/>
          <w:lang w:eastAsia="lv-LV"/>
        </w:rPr>
        <w:t>i</w:t>
      </w:r>
      <w:r w:rsidR="007326E3">
        <w:rPr>
          <w:sz w:val="28"/>
          <w:szCs w:val="28"/>
          <w:lang w:eastAsia="lv-LV"/>
        </w:rPr>
        <w:t>ku, līdz stājies spēkā tiesas nolēmums vai prokurora priekšraksts par sodu vai pret viņu izbeigts kriminālprocess.</w:t>
      </w:r>
    </w:p>
    <w:p w:rsidR="007665F7" w:rsidRDefault="007665F7" w:rsidP="007665F7">
      <w:pPr>
        <w:jc w:val="both"/>
        <w:rPr>
          <w:sz w:val="28"/>
          <w:szCs w:val="28"/>
        </w:rPr>
      </w:pPr>
    </w:p>
    <w:p w:rsidR="007665F7" w:rsidRDefault="007665F7" w:rsidP="007665F7">
      <w:pPr>
        <w:numPr>
          <w:ilvl w:val="0"/>
          <w:numId w:val="4"/>
        </w:numPr>
        <w:jc w:val="both"/>
        <w:rPr>
          <w:b/>
          <w:sz w:val="28"/>
          <w:szCs w:val="28"/>
        </w:rPr>
      </w:pPr>
      <w:r>
        <w:rPr>
          <w:bCs/>
          <w:sz w:val="28"/>
          <w:szCs w:val="28"/>
        </w:rPr>
        <w:t>Izteikt 8.</w:t>
      </w:r>
      <w:r>
        <w:rPr>
          <w:sz w:val="28"/>
          <w:szCs w:val="28"/>
          <w:lang w:eastAsia="lv-LV"/>
        </w:rPr>
        <w:t>pantu šādā redakcijā:</w:t>
      </w:r>
    </w:p>
    <w:p w:rsidR="007665F7" w:rsidRDefault="007665F7" w:rsidP="007665F7">
      <w:pPr>
        <w:jc w:val="both"/>
        <w:rPr>
          <w:sz w:val="28"/>
          <w:szCs w:val="28"/>
        </w:rPr>
      </w:pPr>
      <w:r>
        <w:rPr>
          <w:sz w:val="28"/>
          <w:szCs w:val="28"/>
        </w:rPr>
        <w:t xml:space="preserve">,, </w:t>
      </w:r>
      <w:r>
        <w:rPr>
          <w:b/>
          <w:sz w:val="28"/>
          <w:szCs w:val="28"/>
        </w:rPr>
        <w:t>8.pants.</w:t>
      </w:r>
      <w:r>
        <w:rPr>
          <w:sz w:val="28"/>
          <w:szCs w:val="28"/>
        </w:rPr>
        <w:t xml:space="preserve"> (1) Sertifikātu detektīvam anulē, ja: </w:t>
      </w:r>
    </w:p>
    <w:p w:rsidR="007665F7" w:rsidRDefault="007665F7" w:rsidP="007665F7">
      <w:pPr>
        <w:ind w:firstLine="720"/>
        <w:jc w:val="both"/>
        <w:rPr>
          <w:sz w:val="28"/>
          <w:szCs w:val="28"/>
        </w:rPr>
      </w:pPr>
      <w:r>
        <w:rPr>
          <w:sz w:val="28"/>
          <w:szCs w:val="28"/>
        </w:rPr>
        <w:t xml:space="preserve">1) viņš tīši nepilda likumu vai citu normatīvo aktu prasības; </w:t>
      </w:r>
    </w:p>
    <w:p w:rsidR="007665F7" w:rsidRDefault="007665F7" w:rsidP="007665F7">
      <w:pPr>
        <w:ind w:firstLine="720"/>
        <w:jc w:val="both"/>
        <w:rPr>
          <w:sz w:val="28"/>
          <w:szCs w:val="28"/>
        </w:rPr>
      </w:pPr>
      <w:r>
        <w:rPr>
          <w:sz w:val="28"/>
          <w:szCs w:val="28"/>
        </w:rPr>
        <w:t xml:space="preserve">2) viņš apzināti sniedzis nepatiesas ziņas, lai saņemtu sertifikātu; </w:t>
      </w:r>
    </w:p>
    <w:p w:rsidR="007665F7" w:rsidRDefault="007665F7" w:rsidP="007665F7">
      <w:pPr>
        <w:ind w:firstLine="720"/>
        <w:jc w:val="both"/>
        <w:rPr>
          <w:sz w:val="28"/>
          <w:szCs w:val="28"/>
        </w:rPr>
      </w:pPr>
      <w:r>
        <w:rPr>
          <w:sz w:val="28"/>
          <w:szCs w:val="28"/>
        </w:rPr>
        <w:t xml:space="preserve">3) viņš sistemātiski nepilda nodokļu saistības; </w:t>
      </w:r>
    </w:p>
    <w:p w:rsidR="007665F7" w:rsidRDefault="007665F7" w:rsidP="007665F7">
      <w:pPr>
        <w:ind w:firstLine="720"/>
        <w:jc w:val="both"/>
        <w:rPr>
          <w:sz w:val="28"/>
          <w:szCs w:val="28"/>
        </w:rPr>
      </w:pPr>
      <w:r>
        <w:rPr>
          <w:sz w:val="28"/>
          <w:szCs w:val="28"/>
        </w:rPr>
        <w:t>4) to nosaka citi likumi vai tiesas nolēmumi;</w:t>
      </w:r>
    </w:p>
    <w:p w:rsidR="007665F7" w:rsidRDefault="007665F7" w:rsidP="007665F7">
      <w:pPr>
        <w:ind w:firstLine="720"/>
        <w:jc w:val="both"/>
        <w:rPr>
          <w:sz w:val="28"/>
          <w:szCs w:val="28"/>
        </w:rPr>
      </w:pPr>
      <w:r>
        <w:rPr>
          <w:sz w:val="28"/>
          <w:szCs w:val="28"/>
        </w:rPr>
        <w:t xml:space="preserve">5)  </w:t>
      </w:r>
      <w:r>
        <w:rPr>
          <w:sz w:val="28"/>
          <w:szCs w:val="28"/>
          <w:lang w:eastAsia="lv-LV"/>
        </w:rPr>
        <w:t>konstatēts, ka viņš neatbilst šā likuma 6.pantā noteiktajām prasībām.</w:t>
      </w:r>
    </w:p>
    <w:p w:rsidR="007665F7" w:rsidRDefault="007665F7" w:rsidP="007665F7">
      <w:pPr>
        <w:ind w:firstLine="720"/>
        <w:jc w:val="both"/>
        <w:rPr>
          <w:sz w:val="28"/>
          <w:szCs w:val="28"/>
        </w:rPr>
      </w:pPr>
      <w:r>
        <w:rPr>
          <w:sz w:val="28"/>
          <w:szCs w:val="28"/>
        </w:rPr>
        <w:lastRenderedPageBreak/>
        <w:t xml:space="preserve">(2) Detektīvam sertifikātu var anulēt, ja viņš ir veicis šā likuma 12.pantā minētās darbības. </w:t>
      </w:r>
    </w:p>
    <w:p w:rsidR="007326E3" w:rsidRDefault="007665F7" w:rsidP="007326E3">
      <w:pPr>
        <w:ind w:firstLine="720"/>
        <w:jc w:val="both"/>
        <w:rPr>
          <w:sz w:val="28"/>
          <w:szCs w:val="28"/>
          <w:lang w:eastAsia="lv-LV"/>
        </w:rPr>
      </w:pPr>
      <w:r>
        <w:rPr>
          <w:sz w:val="28"/>
          <w:szCs w:val="28"/>
        </w:rPr>
        <w:t>(3</w:t>
      </w:r>
      <w:r w:rsidR="0024363A">
        <w:rPr>
          <w:sz w:val="28"/>
          <w:szCs w:val="28"/>
        </w:rPr>
        <w:t xml:space="preserve">) Sertifikāta darbību aptur, ja </w:t>
      </w:r>
      <w:r>
        <w:rPr>
          <w:sz w:val="28"/>
          <w:szCs w:val="28"/>
        </w:rPr>
        <w:t xml:space="preserve">detektīvs saukts pie </w:t>
      </w:r>
      <w:r>
        <w:rPr>
          <w:sz w:val="28"/>
          <w:szCs w:val="28"/>
          <w:lang w:eastAsia="lv-LV"/>
        </w:rPr>
        <w:t>kriminālatbildības par tīša noziedzīga nodarījuma vai par alkoholisko dzērienu, narkotisko vai citu apreibinošo vielu iespaidā izdarīta n</w:t>
      </w:r>
      <w:r w:rsidR="007326E3">
        <w:rPr>
          <w:sz w:val="28"/>
          <w:szCs w:val="28"/>
          <w:lang w:eastAsia="lv-LV"/>
        </w:rPr>
        <w:t>oziedzīga nodarījuma izdarīšanu</w:t>
      </w:r>
      <w:r w:rsidR="00A216C2">
        <w:rPr>
          <w:sz w:val="28"/>
          <w:szCs w:val="28"/>
          <w:lang w:eastAsia="lv-LV"/>
        </w:rPr>
        <w:t xml:space="preserve"> </w:t>
      </w:r>
      <w:r w:rsidR="007326E3">
        <w:rPr>
          <w:sz w:val="28"/>
          <w:szCs w:val="28"/>
          <w:lang w:eastAsia="lv-LV"/>
        </w:rPr>
        <w:t>- uz la</w:t>
      </w:r>
      <w:r w:rsidR="00B500CC">
        <w:rPr>
          <w:sz w:val="28"/>
          <w:szCs w:val="28"/>
          <w:lang w:eastAsia="lv-LV"/>
        </w:rPr>
        <w:t>i</w:t>
      </w:r>
      <w:r w:rsidR="007326E3">
        <w:rPr>
          <w:sz w:val="28"/>
          <w:szCs w:val="28"/>
          <w:lang w:eastAsia="lv-LV"/>
        </w:rPr>
        <w:t>ku, līdz stājies spēkā tiesas nolēmums vai prokurora priekšraksts par sodu vai pret viņu izbeigts kriminālprocess.</w:t>
      </w:r>
    </w:p>
    <w:p w:rsidR="007665F7" w:rsidRDefault="007665F7" w:rsidP="00777E5B">
      <w:pPr>
        <w:jc w:val="both"/>
        <w:rPr>
          <w:b/>
          <w:sz w:val="28"/>
          <w:szCs w:val="28"/>
        </w:rPr>
      </w:pPr>
      <w:r>
        <w:rPr>
          <w:sz w:val="28"/>
          <w:szCs w:val="28"/>
          <w:lang w:eastAsia="lv-LV"/>
        </w:rPr>
        <w:t xml:space="preserve">  </w:t>
      </w:r>
    </w:p>
    <w:p w:rsidR="00192E3D" w:rsidRDefault="00192E3D" w:rsidP="00DC17FD">
      <w:pPr>
        <w:pStyle w:val="ListParagraph"/>
        <w:numPr>
          <w:ilvl w:val="0"/>
          <w:numId w:val="4"/>
        </w:numPr>
        <w:ind w:left="0" w:firstLine="710"/>
        <w:jc w:val="both"/>
        <w:rPr>
          <w:sz w:val="28"/>
          <w:szCs w:val="28"/>
          <w:lang w:eastAsia="lv-LV"/>
        </w:rPr>
      </w:pPr>
      <w:r>
        <w:rPr>
          <w:sz w:val="28"/>
          <w:szCs w:val="28"/>
          <w:lang w:eastAsia="lv-LV"/>
        </w:rPr>
        <w:t>12.pantā:</w:t>
      </w:r>
    </w:p>
    <w:p w:rsidR="003F4C79" w:rsidRDefault="00192E3D" w:rsidP="00192E3D">
      <w:pPr>
        <w:pStyle w:val="ListParagraph"/>
        <w:numPr>
          <w:ilvl w:val="1"/>
          <w:numId w:val="5"/>
        </w:numPr>
        <w:ind w:left="0" w:firstLine="710"/>
        <w:jc w:val="both"/>
        <w:rPr>
          <w:sz w:val="28"/>
          <w:szCs w:val="28"/>
          <w:lang w:eastAsia="lv-LV"/>
        </w:rPr>
      </w:pPr>
      <w:r>
        <w:rPr>
          <w:sz w:val="28"/>
          <w:szCs w:val="28"/>
          <w:lang w:eastAsia="lv-LV"/>
        </w:rPr>
        <w:t>papildināt</w:t>
      </w:r>
      <w:r w:rsidR="00CF67C1">
        <w:rPr>
          <w:sz w:val="28"/>
          <w:szCs w:val="28"/>
          <w:lang w:eastAsia="lv-LV"/>
        </w:rPr>
        <w:t xml:space="preserve"> 2.punktu pēc vārda ,,sertifikātu</w:t>
      </w:r>
      <w:r>
        <w:rPr>
          <w:sz w:val="28"/>
          <w:szCs w:val="28"/>
          <w:lang w:eastAsia="lv-LV"/>
        </w:rPr>
        <w:t>” ar vārdiem ,,vai licenci”;</w:t>
      </w:r>
    </w:p>
    <w:p w:rsidR="00192E3D" w:rsidRDefault="00192E3D" w:rsidP="00192E3D">
      <w:pPr>
        <w:pStyle w:val="ListParagraph"/>
        <w:numPr>
          <w:ilvl w:val="1"/>
          <w:numId w:val="5"/>
        </w:numPr>
        <w:jc w:val="both"/>
        <w:rPr>
          <w:sz w:val="28"/>
          <w:szCs w:val="28"/>
          <w:lang w:eastAsia="lv-LV"/>
        </w:rPr>
      </w:pPr>
      <w:r>
        <w:rPr>
          <w:sz w:val="28"/>
          <w:szCs w:val="28"/>
          <w:lang w:eastAsia="lv-LV"/>
        </w:rPr>
        <w:t>papildināt ar 5.punktu šādā redakcijā:</w:t>
      </w:r>
    </w:p>
    <w:p w:rsidR="00192E3D" w:rsidRPr="00192E3D" w:rsidRDefault="00192E3D" w:rsidP="00192E3D">
      <w:pPr>
        <w:jc w:val="both"/>
        <w:rPr>
          <w:sz w:val="28"/>
          <w:szCs w:val="28"/>
          <w:lang w:eastAsia="lv-LV"/>
        </w:rPr>
      </w:pPr>
      <w:r>
        <w:rPr>
          <w:sz w:val="28"/>
          <w:szCs w:val="28"/>
          <w:lang w:eastAsia="lv-LV"/>
        </w:rPr>
        <w:t>,, 5) veikt detektīvdarbību laikā, kad licences vai sertifikāta darbība ir apturēta.”.</w:t>
      </w:r>
    </w:p>
    <w:p w:rsidR="00DC17FD" w:rsidRDefault="00DC17FD" w:rsidP="00DC17FD">
      <w:pPr>
        <w:ind w:left="710"/>
        <w:rPr>
          <w:sz w:val="28"/>
          <w:szCs w:val="28"/>
          <w:lang w:eastAsia="lv-LV"/>
        </w:rPr>
      </w:pPr>
    </w:p>
    <w:p w:rsidR="003F4C79" w:rsidRDefault="003F4C79" w:rsidP="007665F7">
      <w:pPr>
        <w:numPr>
          <w:ilvl w:val="0"/>
          <w:numId w:val="4"/>
        </w:numPr>
        <w:rPr>
          <w:sz w:val="28"/>
          <w:szCs w:val="28"/>
          <w:lang w:eastAsia="lv-LV"/>
        </w:rPr>
      </w:pPr>
      <w:r>
        <w:rPr>
          <w:sz w:val="28"/>
          <w:szCs w:val="28"/>
          <w:lang w:eastAsia="lv-LV"/>
        </w:rPr>
        <w:t>Papildināt likumu ar 12.</w:t>
      </w:r>
      <w:r>
        <w:rPr>
          <w:sz w:val="28"/>
          <w:szCs w:val="28"/>
          <w:vertAlign w:val="superscript"/>
          <w:lang w:eastAsia="lv-LV"/>
        </w:rPr>
        <w:t>1</w:t>
      </w:r>
      <w:r>
        <w:rPr>
          <w:sz w:val="28"/>
          <w:szCs w:val="28"/>
          <w:lang w:eastAsia="lv-LV"/>
        </w:rPr>
        <w:t xml:space="preserve"> pantu šādā redakcijā:</w:t>
      </w:r>
    </w:p>
    <w:p w:rsidR="003F4C79" w:rsidRDefault="003F4C79" w:rsidP="00DC17FD">
      <w:pPr>
        <w:jc w:val="both"/>
        <w:rPr>
          <w:sz w:val="28"/>
          <w:szCs w:val="28"/>
          <w:lang w:eastAsia="lv-LV"/>
        </w:rPr>
      </w:pPr>
      <w:r>
        <w:rPr>
          <w:sz w:val="28"/>
          <w:szCs w:val="28"/>
          <w:lang w:eastAsia="lv-LV"/>
        </w:rPr>
        <w:t xml:space="preserve">,, </w:t>
      </w:r>
      <w:r w:rsidRPr="00DC17FD">
        <w:rPr>
          <w:b/>
          <w:sz w:val="28"/>
          <w:szCs w:val="28"/>
          <w:lang w:eastAsia="lv-LV"/>
        </w:rPr>
        <w:t>12.</w:t>
      </w:r>
      <w:r w:rsidRPr="00DC17FD">
        <w:rPr>
          <w:b/>
          <w:sz w:val="28"/>
          <w:szCs w:val="28"/>
          <w:vertAlign w:val="superscript"/>
          <w:lang w:eastAsia="lv-LV"/>
        </w:rPr>
        <w:t>1</w:t>
      </w:r>
      <w:r w:rsidR="00DC17FD" w:rsidRPr="00DC17FD">
        <w:rPr>
          <w:b/>
          <w:sz w:val="28"/>
          <w:szCs w:val="28"/>
          <w:lang w:eastAsia="lv-LV"/>
        </w:rPr>
        <w:t xml:space="preserve"> pants.</w:t>
      </w:r>
      <w:r w:rsidR="00DC17FD">
        <w:rPr>
          <w:sz w:val="28"/>
          <w:szCs w:val="28"/>
          <w:lang w:eastAsia="lv-LV"/>
        </w:rPr>
        <w:t xml:space="preserve">  Detektīvsabiedrībai aizliegts uzdot pildīt detektīva pienākumus personai, kas nav saņēmusi sertifikātu</w:t>
      </w:r>
      <w:r w:rsidR="00192E3D">
        <w:rPr>
          <w:sz w:val="28"/>
          <w:szCs w:val="28"/>
          <w:lang w:eastAsia="lv-LV"/>
        </w:rPr>
        <w:t xml:space="preserve"> vai kurai sertifikāta darbība apturēta vai anulēta</w:t>
      </w:r>
      <w:r w:rsidR="00DC17FD">
        <w:rPr>
          <w:sz w:val="28"/>
          <w:szCs w:val="28"/>
          <w:lang w:eastAsia="lv-LV"/>
        </w:rPr>
        <w:t>.”.</w:t>
      </w:r>
    </w:p>
    <w:p w:rsidR="00DC17FD" w:rsidRDefault="00DC17FD" w:rsidP="00DC17FD">
      <w:pPr>
        <w:jc w:val="both"/>
        <w:rPr>
          <w:sz w:val="28"/>
          <w:szCs w:val="28"/>
          <w:lang w:eastAsia="lv-LV"/>
        </w:rPr>
      </w:pPr>
    </w:p>
    <w:p w:rsidR="007665F7" w:rsidRDefault="007665F7" w:rsidP="007665F7">
      <w:pPr>
        <w:numPr>
          <w:ilvl w:val="0"/>
          <w:numId w:val="4"/>
        </w:numPr>
        <w:rPr>
          <w:sz w:val="28"/>
          <w:szCs w:val="28"/>
          <w:lang w:eastAsia="lv-LV"/>
        </w:rPr>
      </w:pPr>
      <w:r>
        <w:rPr>
          <w:sz w:val="28"/>
          <w:szCs w:val="28"/>
          <w:lang w:eastAsia="lv-LV"/>
        </w:rPr>
        <w:t>Papildināt Pārejas noteikumus ar 6.punktu šādā redakcijā:</w:t>
      </w:r>
    </w:p>
    <w:p w:rsidR="007665F7" w:rsidRDefault="007665F7" w:rsidP="007665F7">
      <w:pPr>
        <w:jc w:val="both"/>
        <w:rPr>
          <w:color w:val="000000"/>
          <w:sz w:val="28"/>
          <w:szCs w:val="28"/>
          <w:lang w:eastAsia="lv-LV"/>
        </w:rPr>
      </w:pPr>
      <w:r>
        <w:rPr>
          <w:color w:val="000000"/>
          <w:sz w:val="28"/>
          <w:szCs w:val="28"/>
          <w:lang w:eastAsia="lv-LV"/>
        </w:rPr>
        <w:t>,, 6. Licences un sertifikāti, kas izs</w:t>
      </w:r>
      <w:r w:rsidR="00D2249A">
        <w:rPr>
          <w:color w:val="000000"/>
          <w:sz w:val="28"/>
          <w:szCs w:val="28"/>
          <w:lang w:eastAsia="lv-LV"/>
        </w:rPr>
        <w:t>niegti līdz 2012.gada 1.jūlijam</w:t>
      </w:r>
      <w:r>
        <w:rPr>
          <w:color w:val="000000"/>
          <w:sz w:val="28"/>
          <w:szCs w:val="28"/>
          <w:lang w:eastAsia="lv-LV"/>
        </w:rPr>
        <w:t xml:space="preserve"> un neatbilst šajā likumā noteiktajām prasībām un izsniegšanas nosacījumiem, ir</w:t>
      </w:r>
      <w:r w:rsidR="00D2249A">
        <w:rPr>
          <w:color w:val="000000"/>
          <w:sz w:val="28"/>
          <w:szCs w:val="28"/>
          <w:lang w:eastAsia="lv-LV"/>
        </w:rPr>
        <w:t xml:space="preserve"> derīgi līdz 2012.gada 1.</w:t>
      </w:r>
      <w:r w:rsidR="006118DC">
        <w:rPr>
          <w:color w:val="000000"/>
          <w:sz w:val="28"/>
          <w:szCs w:val="28"/>
          <w:lang w:eastAsia="lv-LV"/>
        </w:rPr>
        <w:t>oktobrim</w:t>
      </w:r>
      <w:r>
        <w:rPr>
          <w:color w:val="000000"/>
          <w:sz w:val="28"/>
          <w:szCs w:val="28"/>
          <w:lang w:eastAsia="lv-LV"/>
        </w:rPr>
        <w:t>.</w:t>
      </w:r>
    </w:p>
    <w:p w:rsidR="007665F7" w:rsidRDefault="007665F7" w:rsidP="007665F7">
      <w:pPr>
        <w:ind w:left="360"/>
        <w:jc w:val="both"/>
        <w:rPr>
          <w:sz w:val="28"/>
          <w:szCs w:val="28"/>
          <w:lang w:eastAsia="lv-LV"/>
        </w:rPr>
      </w:pPr>
    </w:p>
    <w:p w:rsidR="007665F7" w:rsidRDefault="007665F7" w:rsidP="007665F7">
      <w:pPr>
        <w:jc w:val="both"/>
        <w:rPr>
          <w:sz w:val="28"/>
          <w:szCs w:val="28"/>
          <w:lang w:eastAsia="lv-LV"/>
        </w:rPr>
      </w:pPr>
      <w:r>
        <w:rPr>
          <w:sz w:val="28"/>
          <w:szCs w:val="28"/>
          <w:lang w:eastAsia="lv-LV"/>
        </w:rPr>
        <w:t>L</w:t>
      </w:r>
      <w:r w:rsidR="00D2249A">
        <w:rPr>
          <w:sz w:val="28"/>
          <w:szCs w:val="28"/>
          <w:lang w:eastAsia="lv-LV"/>
        </w:rPr>
        <w:t>ikums stājas spēkā 2012.gada 1.jūlijā</w:t>
      </w:r>
      <w:r>
        <w:rPr>
          <w:sz w:val="28"/>
          <w:szCs w:val="28"/>
          <w:lang w:eastAsia="lv-LV"/>
        </w:rPr>
        <w:t>.</w:t>
      </w:r>
    </w:p>
    <w:p w:rsidR="007665F7" w:rsidRDefault="007665F7" w:rsidP="007665F7">
      <w:pPr>
        <w:pStyle w:val="naisf"/>
        <w:rPr>
          <w:sz w:val="28"/>
          <w:szCs w:val="28"/>
        </w:rPr>
      </w:pPr>
    </w:p>
    <w:p w:rsidR="007665F7" w:rsidRDefault="007665F7" w:rsidP="007665F7">
      <w:pPr>
        <w:ind w:firstLine="720"/>
        <w:jc w:val="both"/>
        <w:rPr>
          <w:sz w:val="28"/>
          <w:szCs w:val="28"/>
        </w:rPr>
      </w:pPr>
      <w:r>
        <w:rPr>
          <w:sz w:val="28"/>
          <w:szCs w:val="28"/>
        </w:rPr>
        <w:t xml:space="preserve">Iekšlietu ministra pienākumu izpildītājs </w:t>
      </w:r>
      <w:r>
        <w:rPr>
          <w:sz w:val="28"/>
          <w:szCs w:val="28"/>
        </w:rPr>
        <w:tab/>
      </w:r>
      <w:r>
        <w:rPr>
          <w:sz w:val="28"/>
          <w:szCs w:val="28"/>
        </w:rPr>
        <w:tab/>
      </w:r>
      <w:r>
        <w:rPr>
          <w:sz w:val="28"/>
          <w:szCs w:val="28"/>
        </w:rPr>
        <w:tab/>
      </w:r>
      <w:r>
        <w:rPr>
          <w:sz w:val="28"/>
          <w:szCs w:val="28"/>
        </w:rPr>
        <w:tab/>
      </w:r>
      <w:r>
        <w:rPr>
          <w:sz w:val="28"/>
          <w:szCs w:val="28"/>
        </w:rPr>
        <w:tab/>
      </w:r>
      <w:r>
        <w:rPr>
          <w:sz w:val="28"/>
          <w:szCs w:val="28"/>
        </w:rPr>
        <w:tab/>
        <w:t>tieslietu ministrs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A.Štokenbergs</w:t>
      </w:r>
    </w:p>
    <w:p w:rsidR="007665F7" w:rsidRDefault="007665F7" w:rsidP="007665F7">
      <w:pPr>
        <w:jc w:val="both"/>
        <w:rPr>
          <w:sz w:val="28"/>
          <w:szCs w:val="28"/>
        </w:rPr>
      </w:pPr>
    </w:p>
    <w:p w:rsidR="007665F7" w:rsidRDefault="007665F7" w:rsidP="007665F7">
      <w:pPr>
        <w:jc w:val="both"/>
        <w:rPr>
          <w:sz w:val="28"/>
          <w:szCs w:val="28"/>
        </w:rPr>
      </w:pPr>
    </w:p>
    <w:p w:rsidR="007665F7" w:rsidRDefault="00737F55" w:rsidP="007665F7">
      <w:pPr>
        <w:pStyle w:val="naisf"/>
        <w:ind w:firstLine="720"/>
        <w:rPr>
          <w:color w:val="000000"/>
          <w:sz w:val="28"/>
          <w:szCs w:val="28"/>
        </w:rPr>
      </w:pPr>
      <w:r>
        <w:rPr>
          <w:color w:val="000000"/>
          <w:sz w:val="28"/>
          <w:szCs w:val="28"/>
        </w:rPr>
        <w:t>Vīza: valsts sekretāre</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7665F7">
        <w:rPr>
          <w:color w:val="000000"/>
          <w:sz w:val="28"/>
          <w:szCs w:val="28"/>
        </w:rPr>
        <w:t>I.Pētersone</w:t>
      </w:r>
      <w:r>
        <w:rPr>
          <w:color w:val="000000"/>
          <w:sz w:val="28"/>
          <w:szCs w:val="28"/>
        </w:rPr>
        <w:t>-Godmane</w:t>
      </w:r>
    </w:p>
    <w:p w:rsidR="007665F7" w:rsidRDefault="007665F7" w:rsidP="007665F7">
      <w:pPr>
        <w:jc w:val="both"/>
        <w:rPr>
          <w:sz w:val="28"/>
          <w:szCs w:val="28"/>
        </w:rPr>
      </w:pPr>
    </w:p>
    <w:p w:rsidR="007665F7" w:rsidRDefault="007665F7" w:rsidP="007665F7">
      <w:pPr>
        <w:jc w:val="both"/>
        <w:rPr>
          <w:sz w:val="28"/>
          <w:szCs w:val="28"/>
        </w:rPr>
      </w:pPr>
    </w:p>
    <w:p w:rsidR="007665F7" w:rsidRDefault="007665F7" w:rsidP="007665F7">
      <w:pPr>
        <w:jc w:val="both"/>
        <w:rPr>
          <w:sz w:val="28"/>
          <w:szCs w:val="28"/>
        </w:rPr>
      </w:pPr>
    </w:p>
    <w:p w:rsidR="007665F7" w:rsidRDefault="007665F7" w:rsidP="007665F7">
      <w:pPr>
        <w:jc w:val="both"/>
        <w:rPr>
          <w:sz w:val="20"/>
        </w:rPr>
      </w:pPr>
    </w:p>
    <w:p w:rsidR="007665F7" w:rsidRDefault="007665F7" w:rsidP="007665F7">
      <w:pPr>
        <w:jc w:val="both"/>
        <w:rPr>
          <w:sz w:val="20"/>
        </w:rPr>
      </w:pPr>
    </w:p>
    <w:p w:rsidR="007665F7" w:rsidRDefault="001B507A" w:rsidP="007665F7">
      <w:pPr>
        <w:jc w:val="both"/>
        <w:rPr>
          <w:sz w:val="20"/>
        </w:rPr>
      </w:pPr>
      <w:r>
        <w:rPr>
          <w:sz w:val="20"/>
        </w:rPr>
        <w:t>27</w:t>
      </w:r>
      <w:bookmarkStart w:id="0" w:name="_GoBack"/>
      <w:bookmarkEnd w:id="0"/>
      <w:r w:rsidR="00B90471">
        <w:rPr>
          <w:sz w:val="20"/>
        </w:rPr>
        <w:t>.09.2011 15:14</w:t>
      </w:r>
    </w:p>
    <w:p w:rsidR="007665F7" w:rsidRDefault="001B507A" w:rsidP="007665F7">
      <w:pPr>
        <w:jc w:val="both"/>
        <w:rPr>
          <w:sz w:val="20"/>
        </w:rPr>
      </w:pPr>
      <w:r>
        <w:rPr>
          <w:sz w:val="20"/>
        </w:rPr>
        <w:t>804</w:t>
      </w:r>
    </w:p>
    <w:p w:rsidR="007665F7" w:rsidRDefault="007665F7" w:rsidP="007665F7">
      <w:pPr>
        <w:rPr>
          <w:sz w:val="20"/>
        </w:rPr>
      </w:pPr>
      <w:r>
        <w:rPr>
          <w:sz w:val="20"/>
        </w:rPr>
        <w:t>Inese Sproģe</w:t>
      </w:r>
    </w:p>
    <w:p w:rsidR="007665F7" w:rsidRDefault="007665F7" w:rsidP="007665F7">
      <w:pPr>
        <w:rPr>
          <w:sz w:val="20"/>
        </w:rPr>
      </w:pPr>
      <w:r>
        <w:rPr>
          <w:sz w:val="20"/>
        </w:rPr>
        <w:t xml:space="preserve">t. 67219534, e-pasts- </w:t>
      </w:r>
      <w:hyperlink r:id="rId8" w:history="1">
        <w:r>
          <w:rPr>
            <w:rStyle w:val="Hyperlink"/>
            <w:sz w:val="20"/>
          </w:rPr>
          <w:t>Inese.sproge@iem.gov.lv</w:t>
        </w:r>
      </w:hyperlink>
    </w:p>
    <w:p w:rsidR="007665F7" w:rsidRDefault="007665F7" w:rsidP="007665F7">
      <w:pPr>
        <w:rPr>
          <w:sz w:val="20"/>
        </w:rPr>
      </w:pPr>
    </w:p>
    <w:p w:rsidR="00AE0BE5" w:rsidRDefault="00AE0BE5"/>
    <w:sectPr w:rsidR="00AE0BE5" w:rsidSect="006D3B47">
      <w:headerReference w:type="default" r:id="rId9"/>
      <w:footerReference w:type="default" r:id="rId10"/>
      <w:foot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D3D" w:rsidRDefault="009D7D3D" w:rsidP="00EE3292">
      <w:r>
        <w:separator/>
      </w:r>
    </w:p>
  </w:endnote>
  <w:endnote w:type="continuationSeparator" w:id="0">
    <w:p w:rsidR="009D7D3D" w:rsidRDefault="009D7D3D" w:rsidP="00EE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92" w:rsidRPr="00EE3292" w:rsidRDefault="001B507A">
    <w:pPr>
      <w:pStyle w:val="Footer"/>
      <w:rPr>
        <w:sz w:val="20"/>
        <w:szCs w:val="20"/>
      </w:rPr>
    </w:pPr>
    <w:r>
      <w:rPr>
        <w:sz w:val="20"/>
        <w:szCs w:val="20"/>
      </w:rPr>
      <w:t>IEMLik_27</w:t>
    </w:r>
    <w:r w:rsidR="0052278E">
      <w:rPr>
        <w:sz w:val="20"/>
        <w:szCs w:val="20"/>
      </w:rPr>
      <w:t>09</w:t>
    </w:r>
    <w:r w:rsidR="00EE3292" w:rsidRPr="00EE3292">
      <w:rPr>
        <w:sz w:val="20"/>
        <w:szCs w:val="20"/>
      </w:rPr>
      <w:t>11; Likumprojekts ,,Grozījumi Detektīvdarbības likumā”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78E" w:rsidRPr="0052278E" w:rsidRDefault="001B507A">
    <w:pPr>
      <w:pStyle w:val="Footer"/>
      <w:rPr>
        <w:sz w:val="20"/>
        <w:szCs w:val="20"/>
      </w:rPr>
    </w:pPr>
    <w:r>
      <w:rPr>
        <w:sz w:val="20"/>
        <w:szCs w:val="20"/>
      </w:rPr>
      <w:t>IEMLik_27</w:t>
    </w:r>
    <w:r w:rsidR="0052278E">
      <w:rPr>
        <w:sz w:val="20"/>
        <w:szCs w:val="20"/>
      </w:rPr>
      <w:t>09</w:t>
    </w:r>
    <w:r w:rsidR="0052278E" w:rsidRPr="00EE3292">
      <w:rPr>
        <w:sz w:val="20"/>
        <w:szCs w:val="20"/>
      </w:rPr>
      <w:t>11; Likumprojekts ,,Grozījumi Detektīvdarbības likumā”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D3D" w:rsidRDefault="009D7D3D" w:rsidP="00EE3292">
      <w:r>
        <w:separator/>
      </w:r>
    </w:p>
  </w:footnote>
  <w:footnote w:type="continuationSeparator" w:id="0">
    <w:p w:rsidR="009D7D3D" w:rsidRDefault="009D7D3D" w:rsidP="00EE3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553977"/>
      <w:docPartObj>
        <w:docPartGallery w:val="Page Numbers (Top of Page)"/>
        <w:docPartUnique/>
      </w:docPartObj>
    </w:sdtPr>
    <w:sdtEndPr>
      <w:rPr>
        <w:noProof/>
      </w:rPr>
    </w:sdtEndPr>
    <w:sdtContent>
      <w:p w:rsidR="006D3B47" w:rsidRDefault="006D3B47">
        <w:pPr>
          <w:pStyle w:val="Header"/>
          <w:jc w:val="center"/>
        </w:pPr>
        <w:r>
          <w:fldChar w:fldCharType="begin"/>
        </w:r>
        <w:r>
          <w:instrText xml:space="preserve"> PAGE   \* MERGEFORMAT </w:instrText>
        </w:r>
        <w:r>
          <w:fldChar w:fldCharType="separate"/>
        </w:r>
        <w:r w:rsidR="001B507A">
          <w:rPr>
            <w:noProof/>
          </w:rPr>
          <w:t>3</w:t>
        </w:r>
        <w:r>
          <w:rPr>
            <w:noProof/>
          </w:rPr>
          <w:fldChar w:fldCharType="end"/>
        </w:r>
      </w:p>
    </w:sdtContent>
  </w:sdt>
  <w:p w:rsidR="006D3B47" w:rsidRDefault="006D3B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61E35E9"/>
    <w:multiLevelType w:val="hybridMultilevel"/>
    <w:tmpl w:val="1ADE24E2"/>
    <w:lvl w:ilvl="0" w:tplc="D84A1F52">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
    <w:nsid w:val="2FD12BD1"/>
    <w:multiLevelType w:val="multilevel"/>
    <w:tmpl w:val="68064B2A"/>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
    <w:nsid w:val="494E01BE"/>
    <w:multiLevelType w:val="hybridMultilevel"/>
    <w:tmpl w:val="0A2E0848"/>
    <w:lvl w:ilvl="0" w:tplc="28DE3FB6">
      <w:start w:val="1"/>
      <w:numFmt w:val="decimal"/>
      <w:lvlText w:val="%1)"/>
      <w:lvlJc w:val="left"/>
      <w:pPr>
        <w:tabs>
          <w:tab w:val="num" w:pos="786"/>
        </w:tabs>
        <w:ind w:left="786" w:hanging="360"/>
      </w:pPr>
      <w:rPr>
        <w:rFonts w:ascii="Times New Roman" w:hAnsi="Times New Roman" w:cs="Times New Roman" w:hint="default"/>
        <w:sz w:val="28"/>
        <w:szCs w:val="28"/>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EA312CE"/>
    <w:multiLevelType w:val="hybridMultilevel"/>
    <w:tmpl w:val="FDE254CC"/>
    <w:lvl w:ilvl="0" w:tplc="980EC45C">
      <w:start w:val="5"/>
      <w:numFmt w:val="decimal"/>
      <w:lvlText w:val="%1."/>
      <w:lvlJc w:val="left"/>
      <w:pPr>
        <w:ind w:left="1070" w:hanging="360"/>
      </w:pPr>
      <w:rPr>
        <w:b w:val="0"/>
      </w:r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5F7"/>
    <w:rsid w:val="00041003"/>
    <w:rsid w:val="00047144"/>
    <w:rsid w:val="0017208A"/>
    <w:rsid w:val="00192E3D"/>
    <w:rsid w:val="001B507A"/>
    <w:rsid w:val="00223727"/>
    <w:rsid w:val="00231776"/>
    <w:rsid w:val="0024306F"/>
    <w:rsid w:val="0024363A"/>
    <w:rsid w:val="00297562"/>
    <w:rsid w:val="003458BD"/>
    <w:rsid w:val="003565B3"/>
    <w:rsid w:val="003F4C79"/>
    <w:rsid w:val="0052278E"/>
    <w:rsid w:val="005A4534"/>
    <w:rsid w:val="006118DC"/>
    <w:rsid w:val="00644FFE"/>
    <w:rsid w:val="00682526"/>
    <w:rsid w:val="006D3B47"/>
    <w:rsid w:val="006E4E3E"/>
    <w:rsid w:val="006E66F2"/>
    <w:rsid w:val="0071699A"/>
    <w:rsid w:val="007326E3"/>
    <w:rsid w:val="00737F55"/>
    <w:rsid w:val="007665F7"/>
    <w:rsid w:val="007740D6"/>
    <w:rsid w:val="00777E5B"/>
    <w:rsid w:val="00821796"/>
    <w:rsid w:val="008C04BF"/>
    <w:rsid w:val="008D76BB"/>
    <w:rsid w:val="00942B47"/>
    <w:rsid w:val="009C02B5"/>
    <w:rsid w:val="009D7D3D"/>
    <w:rsid w:val="00A216C2"/>
    <w:rsid w:val="00A47F25"/>
    <w:rsid w:val="00A9421B"/>
    <w:rsid w:val="00AE0BE5"/>
    <w:rsid w:val="00B109A0"/>
    <w:rsid w:val="00B500CC"/>
    <w:rsid w:val="00B90471"/>
    <w:rsid w:val="00CD0AA1"/>
    <w:rsid w:val="00CF3CC8"/>
    <w:rsid w:val="00CF67C1"/>
    <w:rsid w:val="00D2249A"/>
    <w:rsid w:val="00DA1DD6"/>
    <w:rsid w:val="00DC17FD"/>
    <w:rsid w:val="00DE2243"/>
    <w:rsid w:val="00E17245"/>
    <w:rsid w:val="00EA14CD"/>
    <w:rsid w:val="00EE3292"/>
    <w:rsid w:val="00F66F40"/>
    <w:rsid w:val="00FF01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5F7"/>
    <w:pPr>
      <w:suppressAutoHyphens/>
      <w:spacing w:after="0" w:line="240" w:lineRule="auto"/>
    </w:pPr>
    <w:rPr>
      <w:rFonts w:ascii="Times New Roman" w:eastAsia="Times New Roman" w:hAnsi="Times New Roman" w:cs="Times New Roman"/>
      <w:sz w:val="24"/>
      <w:szCs w:val="24"/>
      <w:lang w:eastAsia="ar-SA"/>
    </w:rPr>
  </w:style>
  <w:style w:type="paragraph" w:styleId="Heading3">
    <w:name w:val="heading 3"/>
    <w:basedOn w:val="Normal"/>
    <w:next w:val="BodyText"/>
    <w:link w:val="Heading3Char"/>
    <w:semiHidden/>
    <w:unhideWhenUsed/>
    <w:qFormat/>
    <w:rsid w:val="007665F7"/>
    <w:pPr>
      <w:tabs>
        <w:tab w:val="num" w:pos="720"/>
      </w:tabs>
      <w:spacing w:before="280" w:after="280"/>
      <w:ind w:left="720" w:hanging="720"/>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665F7"/>
    <w:rPr>
      <w:rFonts w:ascii="Times New Roman" w:eastAsia="Times New Roman" w:hAnsi="Times New Roman" w:cs="Times New Roman"/>
      <w:b/>
      <w:bCs/>
      <w:sz w:val="27"/>
      <w:szCs w:val="27"/>
      <w:lang w:eastAsia="ar-SA"/>
    </w:rPr>
  </w:style>
  <w:style w:type="character" w:styleId="Hyperlink">
    <w:name w:val="Hyperlink"/>
    <w:semiHidden/>
    <w:unhideWhenUsed/>
    <w:rsid w:val="007665F7"/>
    <w:rPr>
      <w:color w:val="0000FF"/>
      <w:u w:val="single"/>
    </w:rPr>
  </w:style>
  <w:style w:type="paragraph" w:customStyle="1" w:styleId="naisf">
    <w:name w:val="naisf"/>
    <w:basedOn w:val="Normal"/>
    <w:rsid w:val="007665F7"/>
    <w:pPr>
      <w:spacing w:before="75" w:after="75"/>
      <w:ind w:firstLine="375"/>
      <w:jc w:val="both"/>
    </w:pPr>
  </w:style>
  <w:style w:type="character" w:styleId="Strong">
    <w:name w:val="Strong"/>
    <w:basedOn w:val="DefaultParagraphFont"/>
    <w:qFormat/>
    <w:rsid w:val="007665F7"/>
    <w:rPr>
      <w:b/>
      <w:bCs/>
    </w:rPr>
  </w:style>
  <w:style w:type="paragraph" w:styleId="BodyText">
    <w:name w:val="Body Text"/>
    <w:basedOn w:val="Normal"/>
    <w:link w:val="BodyTextChar"/>
    <w:uiPriority w:val="99"/>
    <w:semiHidden/>
    <w:unhideWhenUsed/>
    <w:rsid w:val="007665F7"/>
    <w:pPr>
      <w:spacing w:after="120"/>
    </w:pPr>
  </w:style>
  <w:style w:type="character" w:customStyle="1" w:styleId="BodyTextChar">
    <w:name w:val="Body Text Char"/>
    <w:basedOn w:val="DefaultParagraphFont"/>
    <w:link w:val="BodyText"/>
    <w:uiPriority w:val="99"/>
    <w:semiHidden/>
    <w:rsid w:val="007665F7"/>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C17FD"/>
    <w:pPr>
      <w:ind w:left="720"/>
      <w:contextualSpacing/>
    </w:pPr>
  </w:style>
  <w:style w:type="paragraph" w:styleId="Header">
    <w:name w:val="header"/>
    <w:basedOn w:val="Normal"/>
    <w:link w:val="HeaderChar"/>
    <w:uiPriority w:val="99"/>
    <w:unhideWhenUsed/>
    <w:rsid w:val="00EE3292"/>
    <w:pPr>
      <w:tabs>
        <w:tab w:val="center" w:pos="4153"/>
        <w:tab w:val="right" w:pos="8306"/>
      </w:tabs>
    </w:pPr>
  </w:style>
  <w:style w:type="character" w:customStyle="1" w:styleId="HeaderChar">
    <w:name w:val="Header Char"/>
    <w:basedOn w:val="DefaultParagraphFont"/>
    <w:link w:val="Header"/>
    <w:uiPriority w:val="99"/>
    <w:rsid w:val="00EE3292"/>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EE3292"/>
    <w:pPr>
      <w:tabs>
        <w:tab w:val="center" w:pos="4153"/>
        <w:tab w:val="right" w:pos="8306"/>
      </w:tabs>
    </w:pPr>
  </w:style>
  <w:style w:type="character" w:customStyle="1" w:styleId="FooterChar">
    <w:name w:val="Footer Char"/>
    <w:basedOn w:val="DefaultParagraphFont"/>
    <w:link w:val="Footer"/>
    <w:uiPriority w:val="99"/>
    <w:rsid w:val="00EE3292"/>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5F7"/>
    <w:pPr>
      <w:suppressAutoHyphens/>
      <w:spacing w:after="0" w:line="240" w:lineRule="auto"/>
    </w:pPr>
    <w:rPr>
      <w:rFonts w:ascii="Times New Roman" w:eastAsia="Times New Roman" w:hAnsi="Times New Roman" w:cs="Times New Roman"/>
      <w:sz w:val="24"/>
      <w:szCs w:val="24"/>
      <w:lang w:eastAsia="ar-SA"/>
    </w:rPr>
  </w:style>
  <w:style w:type="paragraph" w:styleId="Heading3">
    <w:name w:val="heading 3"/>
    <w:basedOn w:val="Normal"/>
    <w:next w:val="BodyText"/>
    <w:link w:val="Heading3Char"/>
    <w:semiHidden/>
    <w:unhideWhenUsed/>
    <w:qFormat/>
    <w:rsid w:val="007665F7"/>
    <w:pPr>
      <w:tabs>
        <w:tab w:val="num" w:pos="720"/>
      </w:tabs>
      <w:spacing w:before="280" w:after="280"/>
      <w:ind w:left="720" w:hanging="720"/>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665F7"/>
    <w:rPr>
      <w:rFonts w:ascii="Times New Roman" w:eastAsia="Times New Roman" w:hAnsi="Times New Roman" w:cs="Times New Roman"/>
      <w:b/>
      <w:bCs/>
      <w:sz w:val="27"/>
      <w:szCs w:val="27"/>
      <w:lang w:eastAsia="ar-SA"/>
    </w:rPr>
  </w:style>
  <w:style w:type="character" w:styleId="Hyperlink">
    <w:name w:val="Hyperlink"/>
    <w:semiHidden/>
    <w:unhideWhenUsed/>
    <w:rsid w:val="007665F7"/>
    <w:rPr>
      <w:color w:val="0000FF"/>
      <w:u w:val="single"/>
    </w:rPr>
  </w:style>
  <w:style w:type="paragraph" w:customStyle="1" w:styleId="naisf">
    <w:name w:val="naisf"/>
    <w:basedOn w:val="Normal"/>
    <w:rsid w:val="007665F7"/>
    <w:pPr>
      <w:spacing w:before="75" w:after="75"/>
      <w:ind w:firstLine="375"/>
      <w:jc w:val="both"/>
    </w:pPr>
  </w:style>
  <w:style w:type="character" w:styleId="Strong">
    <w:name w:val="Strong"/>
    <w:basedOn w:val="DefaultParagraphFont"/>
    <w:qFormat/>
    <w:rsid w:val="007665F7"/>
    <w:rPr>
      <w:b/>
      <w:bCs/>
    </w:rPr>
  </w:style>
  <w:style w:type="paragraph" w:styleId="BodyText">
    <w:name w:val="Body Text"/>
    <w:basedOn w:val="Normal"/>
    <w:link w:val="BodyTextChar"/>
    <w:uiPriority w:val="99"/>
    <w:semiHidden/>
    <w:unhideWhenUsed/>
    <w:rsid w:val="007665F7"/>
    <w:pPr>
      <w:spacing w:after="120"/>
    </w:pPr>
  </w:style>
  <w:style w:type="character" w:customStyle="1" w:styleId="BodyTextChar">
    <w:name w:val="Body Text Char"/>
    <w:basedOn w:val="DefaultParagraphFont"/>
    <w:link w:val="BodyText"/>
    <w:uiPriority w:val="99"/>
    <w:semiHidden/>
    <w:rsid w:val="007665F7"/>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DC17FD"/>
    <w:pPr>
      <w:ind w:left="720"/>
      <w:contextualSpacing/>
    </w:pPr>
  </w:style>
  <w:style w:type="paragraph" w:styleId="Header">
    <w:name w:val="header"/>
    <w:basedOn w:val="Normal"/>
    <w:link w:val="HeaderChar"/>
    <w:uiPriority w:val="99"/>
    <w:unhideWhenUsed/>
    <w:rsid w:val="00EE3292"/>
    <w:pPr>
      <w:tabs>
        <w:tab w:val="center" w:pos="4153"/>
        <w:tab w:val="right" w:pos="8306"/>
      </w:tabs>
    </w:pPr>
  </w:style>
  <w:style w:type="character" w:customStyle="1" w:styleId="HeaderChar">
    <w:name w:val="Header Char"/>
    <w:basedOn w:val="DefaultParagraphFont"/>
    <w:link w:val="Header"/>
    <w:uiPriority w:val="99"/>
    <w:rsid w:val="00EE3292"/>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EE3292"/>
    <w:pPr>
      <w:tabs>
        <w:tab w:val="center" w:pos="4153"/>
        <w:tab w:val="right" w:pos="8306"/>
      </w:tabs>
    </w:pPr>
  </w:style>
  <w:style w:type="character" w:customStyle="1" w:styleId="FooterChar">
    <w:name w:val="Footer Char"/>
    <w:basedOn w:val="DefaultParagraphFont"/>
    <w:link w:val="Footer"/>
    <w:uiPriority w:val="99"/>
    <w:rsid w:val="00EE329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51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sproge@iem.gov.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3</Pages>
  <Words>3998</Words>
  <Characters>2279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Rinča</dc:creator>
  <cp:lastModifiedBy>Inese Rinča</cp:lastModifiedBy>
  <cp:revision>35</cp:revision>
  <dcterms:created xsi:type="dcterms:W3CDTF">2011-08-30T07:09:00Z</dcterms:created>
  <dcterms:modified xsi:type="dcterms:W3CDTF">2011-09-26T11:35:00Z</dcterms:modified>
</cp:coreProperties>
</file>