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A4" w:rsidRPr="00E77253" w:rsidRDefault="009B10A4" w:rsidP="008E2032">
      <w:pPr>
        <w:spacing w:after="0" w:line="240" w:lineRule="auto"/>
        <w:ind w:firstLine="567"/>
        <w:jc w:val="right"/>
        <w:rPr>
          <w:rFonts w:ascii="Times New Roman" w:hAnsi="Times New Roman"/>
          <w:sz w:val="24"/>
          <w:szCs w:val="32"/>
        </w:rPr>
      </w:pPr>
    </w:p>
    <w:p w:rsidR="009B10A4" w:rsidRPr="00E77253" w:rsidRDefault="009B10A4" w:rsidP="008E2032">
      <w:pPr>
        <w:spacing w:after="0" w:line="240" w:lineRule="auto"/>
        <w:ind w:firstLine="567"/>
        <w:jc w:val="right"/>
        <w:rPr>
          <w:rFonts w:ascii="Times New Roman" w:hAnsi="Times New Roman"/>
          <w:sz w:val="24"/>
          <w:szCs w:val="32"/>
        </w:rPr>
      </w:pPr>
    </w:p>
    <w:p w:rsidR="009B10A4" w:rsidRPr="00E77253" w:rsidRDefault="009B10A4" w:rsidP="008E2032">
      <w:pPr>
        <w:spacing w:after="0" w:line="240" w:lineRule="auto"/>
        <w:ind w:firstLine="567"/>
        <w:jc w:val="right"/>
        <w:rPr>
          <w:rFonts w:ascii="Times New Roman" w:hAnsi="Times New Roman"/>
          <w:sz w:val="24"/>
          <w:szCs w:val="32"/>
        </w:rPr>
      </w:pPr>
    </w:p>
    <w:p w:rsidR="009B10A4" w:rsidRPr="00E77253" w:rsidRDefault="009B10A4" w:rsidP="008E2032">
      <w:pPr>
        <w:spacing w:after="0" w:line="240" w:lineRule="auto"/>
        <w:ind w:firstLine="567"/>
        <w:jc w:val="right"/>
        <w:rPr>
          <w:rFonts w:ascii="Times New Roman" w:hAnsi="Times New Roman"/>
          <w:sz w:val="24"/>
          <w:szCs w:val="32"/>
        </w:rPr>
      </w:pPr>
    </w:p>
    <w:p w:rsidR="009B10A4" w:rsidRPr="00E77253" w:rsidRDefault="009B10A4" w:rsidP="00C930F2">
      <w:pPr>
        <w:spacing w:after="0" w:line="240" w:lineRule="auto"/>
        <w:ind w:firstLine="567"/>
        <w:jc w:val="center"/>
        <w:rPr>
          <w:rFonts w:ascii="Times New Roman" w:hAnsi="Times New Roman"/>
          <w:b/>
          <w:sz w:val="12"/>
          <w:szCs w:val="12"/>
        </w:rPr>
      </w:pPr>
    </w:p>
    <w:p w:rsidR="009B10A4" w:rsidRPr="00E77253" w:rsidRDefault="009B10A4" w:rsidP="00C930F2">
      <w:pPr>
        <w:spacing w:after="0" w:line="240" w:lineRule="auto"/>
        <w:ind w:firstLine="567"/>
        <w:jc w:val="center"/>
        <w:rPr>
          <w:rFonts w:ascii="Times New Roman" w:hAnsi="Times New Roman"/>
          <w:b/>
          <w:sz w:val="12"/>
          <w:szCs w:val="12"/>
        </w:rPr>
      </w:pPr>
    </w:p>
    <w:p w:rsidR="009B10A4" w:rsidRPr="00E77253" w:rsidRDefault="009B10A4" w:rsidP="00C930F2">
      <w:pPr>
        <w:spacing w:after="0" w:line="240" w:lineRule="auto"/>
        <w:ind w:firstLine="567"/>
        <w:jc w:val="center"/>
        <w:rPr>
          <w:rFonts w:ascii="Times New Roman" w:hAnsi="Times New Roman"/>
          <w:b/>
          <w:sz w:val="12"/>
          <w:szCs w:val="12"/>
        </w:rPr>
      </w:pPr>
    </w:p>
    <w:p w:rsidR="009B10A4" w:rsidRPr="004A4736" w:rsidRDefault="009B10A4" w:rsidP="001B5096">
      <w:pPr>
        <w:spacing w:after="0" w:line="240" w:lineRule="auto"/>
        <w:jc w:val="center"/>
        <w:rPr>
          <w:rFonts w:ascii="Times New Roman" w:hAnsi="Times New Roman"/>
          <w:b/>
          <w:sz w:val="26"/>
          <w:szCs w:val="26"/>
        </w:rPr>
      </w:pPr>
      <w:r w:rsidRPr="004A4736">
        <w:rPr>
          <w:rFonts w:ascii="Times New Roman" w:hAnsi="Times New Roman"/>
          <w:b/>
          <w:sz w:val="26"/>
          <w:szCs w:val="26"/>
        </w:rPr>
        <w:t>Ziņojums</w:t>
      </w:r>
    </w:p>
    <w:p w:rsidR="009B10A4" w:rsidRPr="004A4736" w:rsidRDefault="009B10A4" w:rsidP="001B5096">
      <w:pPr>
        <w:spacing w:after="0" w:line="240" w:lineRule="auto"/>
        <w:jc w:val="center"/>
        <w:rPr>
          <w:rFonts w:ascii="Times New Roman" w:hAnsi="Times New Roman"/>
          <w:b/>
          <w:sz w:val="26"/>
          <w:szCs w:val="26"/>
        </w:rPr>
      </w:pPr>
      <w:r w:rsidRPr="004A4736">
        <w:rPr>
          <w:rFonts w:ascii="Times New Roman" w:hAnsi="Times New Roman"/>
          <w:b/>
          <w:sz w:val="26"/>
          <w:szCs w:val="26"/>
        </w:rPr>
        <w:t xml:space="preserve">par Imigrācijas likuma 23.panta pirmās daļas 3., 28., 29. un 30.punktā </w:t>
      </w:r>
    </w:p>
    <w:p w:rsidR="009B10A4" w:rsidRPr="004A4736" w:rsidRDefault="009B10A4" w:rsidP="001B5096">
      <w:pPr>
        <w:spacing w:after="0" w:line="240" w:lineRule="auto"/>
        <w:jc w:val="center"/>
        <w:rPr>
          <w:rFonts w:ascii="Times New Roman" w:hAnsi="Times New Roman"/>
          <w:b/>
          <w:sz w:val="26"/>
          <w:szCs w:val="26"/>
        </w:rPr>
      </w:pPr>
      <w:r w:rsidRPr="004A4736">
        <w:rPr>
          <w:rFonts w:ascii="Times New Roman" w:hAnsi="Times New Roman"/>
          <w:b/>
          <w:sz w:val="26"/>
          <w:szCs w:val="26"/>
        </w:rPr>
        <w:t>paredzēto noteikumu īstenošanas gaitu un rezultātiem</w:t>
      </w:r>
    </w:p>
    <w:p w:rsidR="009B10A4" w:rsidRPr="004A4736" w:rsidRDefault="009B10A4" w:rsidP="00C930F2">
      <w:pPr>
        <w:spacing w:after="0" w:line="240" w:lineRule="auto"/>
        <w:ind w:firstLine="567"/>
        <w:jc w:val="both"/>
        <w:rPr>
          <w:rFonts w:ascii="Times New Roman" w:hAnsi="Times New Roman"/>
          <w:b/>
          <w:sz w:val="32"/>
          <w:szCs w:val="32"/>
        </w:rPr>
      </w:pPr>
    </w:p>
    <w:p w:rsidR="009B10A4" w:rsidRPr="004A4736" w:rsidRDefault="009B10A4" w:rsidP="008D5F0E">
      <w:pPr>
        <w:spacing w:after="120" w:line="240" w:lineRule="auto"/>
        <w:rPr>
          <w:rFonts w:ascii="Times New Roman" w:hAnsi="Times New Roman"/>
          <w:b/>
          <w:sz w:val="26"/>
          <w:szCs w:val="26"/>
        </w:rPr>
      </w:pPr>
    </w:p>
    <w:p w:rsidR="009B10A4" w:rsidRPr="004A4736" w:rsidRDefault="009B10A4" w:rsidP="008D5F0E">
      <w:pPr>
        <w:spacing w:after="120" w:line="240" w:lineRule="auto"/>
        <w:rPr>
          <w:rFonts w:ascii="Times New Roman" w:hAnsi="Times New Roman"/>
          <w:b/>
          <w:sz w:val="28"/>
          <w:szCs w:val="26"/>
        </w:rPr>
      </w:pPr>
      <w:r w:rsidRPr="004A4736">
        <w:rPr>
          <w:rFonts w:ascii="Times New Roman" w:hAnsi="Times New Roman"/>
          <w:b/>
          <w:sz w:val="28"/>
          <w:szCs w:val="26"/>
        </w:rPr>
        <w:t>Ievads</w:t>
      </w:r>
    </w:p>
    <w:p w:rsidR="009B10A4" w:rsidRPr="004A4736" w:rsidRDefault="009B10A4" w:rsidP="0006249E">
      <w:pPr>
        <w:spacing w:after="0" w:line="240" w:lineRule="auto"/>
        <w:ind w:firstLine="426"/>
        <w:jc w:val="both"/>
        <w:rPr>
          <w:rFonts w:ascii="Times New Roman" w:hAnsi="Times New Roman"/>
          <w:sz w:val="26"/>
          <w:szCs w:val="26"/>
        </w:rPr>
      </w:pPr>
      <w:r w:rsidRPr="004A4736">
        <w:rPr>
          <w:rFonts w:ascii="Times New Roman" w:hAnsi="Times New Roman"/>
          <w:sz w:val="26"/>
          <w:szCs w:val="26"/>
        </w:rPr>
        <w:t>Ziņojums ietver 11 nodaļas, kā arī secinājumus un tālākās rīcības aprakstu. Ziņojumā aplūkota termiņuzturēšanās atļauju (turpmāk – TUA) piešķiršanas dinamika, ar termiņuzturēšanās atļaujām saistīto ārvalstu investīciju loma kopējā ārvalstu investīciju ieplūdē, kā arī ārvalstu investoru sadalījums pēc valstiskās piederības. Detalizēti analizēts katrs no TUA saņemšanas veidiem – investīcijas nekustamajos īpašumos, finanšu investīcijas kredītiestādē un ieguldījumi kapitālsabiedrību pamatkapitālā. Ziņojumā sniegts attiecīgo Imigrācijas likuma normu ietekmes izvērtējums uz tautsaimniecības reālo sektoru, finanšu sektoru, valsts budžetu un sabiedrības attīstību.</w:t>
      </w:r>
    </w:p>
    <w:p w:rsidR="009B10A4" w:rsidRPr="004A4736" w:rsidRDefault="009B10A4" w:rsidP="0006249E">
      <w:pPr>
        <w:spacing w:after="0" w:line="240" w:lineRule="auto"/>
        <w:ind w:firstLine="426"/>
        <w:jc w:val="both"/>
        <w:rPr>
          <w:rFonts w:ascii="Times New Roman" w:hAnsi="Times New Roman"/>
          <w:sz w:val="26"/>
          <w:szCs w:val="26"/>
        </w:rPr>
      </w:pPr>
      <w:r w:rsidRPr="004A4736">
        <w:rPr>
          <w:rFonts w:ascii="Times New Roman" w:hAnsi="Times New Roman"/>
          <w:sz w:val="26"/>
          <w:szCs w:val="26"/>
        </w:rPr>
        <w:t>Ziņojuma sagatavošanā izmantoti Latvijas Republikas Centrālās statistikas pārvaldes, Latvijas Bankas maksājumu bilances, Finanšu un kapitāla tirgus komisijas, Pilsonības un migrācijas lietu pārvaldes, Valsts ieņēmumu dienesta, Valsts zemes dienesta un LURSOFT datu bāzes dati, kā arī pašvaldību, Latvijas nekustamo īpašumu darījumu asociācijas un SIA „Latio” sniegtā informācija.</w:t>
      </w:r>
    </w:p>
    <w:p w:rsidR="00327CF1" w:rsidRPr="00327CF1" w:rsidRDefault="009B10A4" w:rsidP="00327CF1">
      <w:pPr>
        <w:pStyle w:val="PlainText"/>
        <w:jc w:val="both"/>
        <w:rPr>
          <w:rFonts w:ascii="Times New Roman" w:hAnsi="Times New Roman"/>
          <w:sz w:val="26"/>
          <w:szCs w:val="26"/>
        </w:rPr>
      </w:pPr>
      <w:r w:rsidRPr="004A4736">
        <w:rPr>
          <w:rFonts w:ascii="Times New Roman" w:hAnsi="Times New Roman"/>
          <w:sz w:val="26"/>
          <w:szCs w:val="26"/>
        </w:rPr>
        <w:t xml:space="preserve">Ziņojumam ir </w:t>
      </w:r>
      <w:r w:rsidR="00327CF1">
        <w:rPr>
          <w:rFonts w:ascii="Times New Roman" w:hAnsi="Times New Roman"/>
          <w:sz w:val="26"/>
          <w:szCs w:val="26"/>
        </w:rPr>
        <w:t>septiņ</w:t>
      </w:r>
      <w:r w:rsidR="00383758">
        <w:rPr>
          <w:rFonts w:ascii="Times New Roman" w:hAnsi="Times New Roman"/>
          <w:sz w:val="26"/>
          <w:szCs w:val="26"/>
        </w:rPr>
        <w:t>i</w:t>
      </w:r>
      <w:r w:rsidRPr="004A4736">
        <w:rPr>
          <w:rFonts w:ascii="Times New Roman" w:hAnsi="Times New Roman"/>
          <w:sz w:val="26"/>
          <w:szCs w:val="26"/>
        </w:rPr>
        <w:t xml:space="preserve"> pielikumi </w:t>
      </w:r>
      <w:r w:rsidRPr="004A4736">
        <w:rPr>
          <w:rFonts w:ascii="Times New Roman" w:hAnsi="Times New Roman"/>
          <w:color w:val="000000"/>
          <w:sz w:val="26"/>
          <w:szCs w:val="26"/>
        </w:rPr>
        <w:t xml:space="preserve">– 1) Kopsavilkums par investoriem un viņu ģimenes locekļiem izsniegtajām TUA un veiktajām investīcijām; </w:t>
      </w:r>
      <w:r w:rsidR="00383758">
        <w:rPr>
          <w:rFonts w:ascii="Times New Roman" w:hAnsi="Times New Roman"/>
          <w:color w:val="000000"/>
          <w:sz w:val="26"/>
          <w:szCs w:val="26"/>
        </w:rPr>
        <w:t xml:space="preserve">2) </w:t>
      </w:r>
      <w:r w:rsidR="00981BEB" w:rsidRPr="00981BEB">
        <w:rPr>
          <w:rFonts w:ascii="Times New Roman" w:hAnsi="Times New Roman"/>
          <w:color w:val="000000"/>
          <w:sz w:val="26"/>
          <w:szCs w:val="26"/>
        </w:rPr>
        <w:t xml:space="preserve">Kopsavilkums par investoru </w:t>
      </w:r>
      <w:r w:rsidR="00981BEB">
        <w:rPr>
          <w:rFonts w:ascii="Times New Roman" w:hAnsi="Times New Roman"/>
          <w:color w:val="000000"/>
          <w:sz w:val="26"/>
          <w:szCs w:val="26"/>
        </w:rPr>
        <w:t>u</w:t>
      </w:r>
      <w:r w:rsidR="00981BEB" w:rsidRPr="00981BEB">
        <w:rPr>
          <w:rFonts w:ascii="Times New Roman" w:hAnsi="Times New Roman"/>
          <w:color w:val="000000"/>
          <w:sz w:val="26"/>
          <w:szCs w:val="26"/>
        </w:rPr>
        <w:t>n viņu ģimenes locekļiem pieprasītajām TUA un veiktajām investīcijām</w:t>
      </w:r>
      <w:r w:rsidR="00981BEB">
        <w:rPr>
          <w:rFonts w:ascii="Times New Roman" w:hAnsi="Times New Roman"/>
          <w:color w:val="000000"/>
          <w:sz w:val="26"/>
          <w:szCs w:val="26"/>
        </w:rPr>
        <w:t xml:space="preserve"> </w:t>
      </w:r>
      <w:r w:rsidR="00981BEB" w:rsidRPr="00981BEB">
        <w:rPr>
          <w:rFonts w:ascii="Times New Roman" w:hAnsi="Times New Roman"/>
          <w:color w:val="000000"/>
          <w:sz w:val="26"/>
          <w:szCs w:val="26"/>
        </w:rPr>
        <w:t>sadalījumā pa gadiem un investīciju veida</w:t>
      </w:r>
      <w:r w:rsidR="00981BEB">
        <w:rPr>
          <w:rFonts w:ascii="Times New Roman" w:hAnsi="Times New Roman"/>
          <w:color w:val="000000"/>
          <w:sz w:val="26"/>
          <w:szCs w:val="26"/>
        </w:rPr>
        <w:t>; 3</w:t>
      </w:r>
      <w:r w:rsidRPr="004A4736">
        <w:rPr>
          <w:rFonts w:ascii="Times New Roman" w:hAnsi="Times New Roman"/>
          <w:color w:val="000000"/>
          <w:sz w:val="26"/>
          <w:szCs w:val="26"/>
        </w:rPr>
        <w:t xml:space="preserve">) Informācija par investoru un viņu ģimenes locekļu pilsonības valstīm; </w:t>
      </w:r>
      <w:r w:rsidR="00981BEB">
        <w:rPr>
          <w:rFonts w:ascii="Times New Roman" w:hAnsi="Times New Roman"/>
          <w:color w:val="000000"/>
          <w:sz w:val="26"/>
          <w:szCs w:val="26"/>
        </w:rPr>
        <w:t>4</w:t>
      </w:r>
      <w:r w:rsidRPr="004A4736">
        <w:rPr>
          <w:rFonts w:ascii="Times New Roman" w:hAnsi="Times New Roman"/>
          <w:color w:val="000000"/>
          <w:sz w:val="26"/>
          <w:szCs w:val="26"/>
        </w:rPr>
        <w:t xml:space="preserve">) Pilsonības un migrācijas lietu pārvaldē saņemtais investoru un viņu ģimenes locekļu pieteikumu skaits pa mēnešiem; </w:t>
      </w:r>
      <w:r w:rsidR="00981BEB">
        <w:rPr>
          <w:rFonts w:ascii="Times New Roman" w:hAnsi="Times New Roman"/>
          <w:color w:val="000000"/>
          <w:sz w:val="26"/>
          <w:szCs w:val="26"/>
        </w:rPr>
        <w:t>5</w:t>
      </w:r>
      <w:r w:rsidRPr="004A4736">
        <w:rPr>
          <w:rFonts w:ascii="Times New Roman" w:hAnsi="Times New Roman"/>
          <w:color w:val="000000"/>
          <w:sz w:val="26"/>
          <w:szCs w:val="26"/>
        </w:rPr>
        <w:t>) Valsts zemes dienesta informācija „</w:t>
      </w:r>
      <w:r w:rsidRPr="004A4736">
        <w:rPr>
          <w:rFonts w:ascii="Times New Roman" w:hAnsi="Times New Roman"/>
          <w:i/>
          <w:color w:val="000000"/>
          <w:sz w:val="26"/>
          <w:szCs w:val="26"/>
        </w:rPr>
        <w:t>Valsts zemes dienesta viedoklis par Imigrācijas likuma 23.panta pirmās daļas 29.punktā noteiktās iespējas saņemt termiņuzturēšanās atļaujas ietekmi uz kopējo valsts un attiecīgo pašvaldību nekustamā īpašuma tirgu”</w:t>
      </w:r>
      <w:r w:rsidRPr="004A4736">
        <w:rPr>
          <w:rFonts w:ascii="Times New Roman" w:hAnsi="Times New Roman"/>
          <w:color w:val="000000"/>
          <w:sz w:val="26"/>
          <w:szCs w:val="26"/>
        </w:rPr>
        <w:t xml:space="preserve">; </w:t>
      </w:r>
      <w:r w:rsidR="00981BEB">
        <w:rPr>
          <w:rFonts w:ascii="Times New Roman" w:hAnsi="Times New Roman"/>
          <w:color w:val="000000"/>
          <w:sz w:val="26"/>
          <w:szCs w:val="26"/>
        </w:rPr>
        <w:t>6</w:t>
      </w:r>
      <w:r w:rsidRPr="004A4736">
        <w:rPr>
          <w:rFonts w:ascii="Times New Roman" w:hAnsi="Times New Roman"/>
          <w:color w:val="000000"/>
          <w:sz w:val="26"/>
          <w:szCs w:val="26"/>
        </w:rPr>
        <w:t>) Pašvaldību vērtējums par TUA pieteicēju ietekmi uz pašvaldību saistībā ar nekustamā īpašumu darījumiem</w:t>
      </w:r>
      <w:r w:rsidR="00327CF1">
        <w:rPr>
          <w:rFonts w:ascii="Times New Roman" w:hAnsi="Times New Roman"/>
          <w:color w:val="000000"/>
          <w:sz w:val="26"/>
          <w:szCs w:val="26"/>
        </w:rPr>
        <w:t xml:space="preserve">; 7) </w:t>
      </w:r>
      <w:r w:rsidR="00327CF1">
        <w:rPr>
          <w:rFonts w:ascii="Times New Roman" w:hAnsi="Times New Roman"/>
          <w:sz w:val="26"/>
          <w:szCs w:val="26"/>
        </w:rPr>
        <w:t>SIA „</w:t>
      </w:r>
      <w:r w:rsidR="00327CF1" w:rsidRPr="00327CF1">
        <w:rPr>
          <w:rFonts w:ascii="Times New Roman" w:hAnsi="Times New Roman"/>
          <w:sz w:val="26"/>
          <w:szCs w:val="26"/>
        </w:rPr>
        <w:t>Latio” viedoklis par</w:t>
      </w:r>
      <w:r w:rsidR="00327CF1">
        <w:rPr>
          <w:rFonts w:ascii="Times New Roman" w:hAnsi="Times New Roman"/>
          <w:sz w:val="26"/>
          <w:szCs w:val="26"/>
        </w:rPr>
        <w:t xml:space="preserve"> </w:t>
      </w:r>
      <w:r w:rsidR="00327CF1" w:rsidRPr="00327CF1">
        <w:rPr>
          <w:rFonts w:ascii="Times New Roman" w:hAnsi="Times New Roman"/>
          <w:sz w:val="26"/>
          <w:szCs w:val="26"/>
        </w:rPr>
        <w:t>Imigrācijas likuma 23.panta pirmās daļas 29.punktā</w:t>
      </w:r>
      <w:r w:rsidR="00327CF1">
        <w:rPr>
          <w:rFonts w:ascii="Times New Roman" w:hAnsi="Times New Roman"/>
          <w:sz w:val="26"/>
          <w:szCs w:val="26"/>
        </w:rPr>
        <w:t xml:space="preserve"> </w:t>
      </w:r>
      <w:r w:rsidR="00327CF1" w:rsidRPr="00327CF1">
        <w:rPr>
          <w:rFonts w:ascii="Times New Roman" w:hAnsi="Times New Roman"/>
          <w:sz w:val="26"/>
          <w:szCs w:val="26"/>
        </w:rPr>
        <w:t>noteiktās iespējas saņemt termiņuzturēšanās atļaujas ietekmi uz kopējo valsts un attiecīgo pašvaldību nekustamā īpašuma tirgu</w:t>
      </w:r>
      <w:r w:rsidR="00327CF1">
        <w:rPr>
          <w:rFonts w:ascii="Times New Roman" w:hAnsi="Times New Roman"/>
          <w:sz w:val="26"/>
          <w:szCs w:val="26"/>
        </w:rPr>
        <w:t>.</w:t>
      </w:r>
    </w:p>
    <w:p w:rsidR="009B10A4" w:rsidRPr="00327CF1" w:rsidRDefault="009B10A4" w:rsidP="00981BEB">
      <w:pPr>
        <w:spacing w:after="0" w:line="240" w:lineRule="auto"/>
        <w:jc w:val="both"/>
        <w:rPr>
          <w:rFonts w:ascii="Times New Roman" w:hAnsi="Times New Roman"/>
          <w:color w:val="000000"/>
          <w:sz w:val="28"/>
          <w:szCs w:val="28"/>
        </w:rPr>
      </w:pPr>
    </w:p>
    <w:p w:rsidR="009B10A4" w:rsidRPr="004A4736" w:rsidRDefault="009B10A4">
      <w:pPr>
        <w:rPr>
          <w:rFonts w:ascii="Times New Roman" w:hAnsi="Times New Roman"/>
          <w:sz w:val="26"/>
          <w:szCs w:val="26"/>
        </w:rPr>
      </w:pPr>
      <w:r w:rsidRPr="004A4736">
        <w:rPr>
          <w:rFonts w:ascii="Times New Roman" w:hAnsi="Times New Roman"/>
          <w:sz w:val="26"/>
          <w:szCs w:val="26"/>
        </w:rPr>
        <w:br w:type="page"/>
      </w:r>
    </w:p>
    <w:p w:rsidR="009B10A4" w:rsidRPr="004A4736" w:rsidRDefault="009B10A4" w:rsidP="008D5F0E">
      <w:pPr>
        <w:spacing w:after="0" w:line="240" w:lineRule="auto"/>
        <w:ind w:firstLine="426"/>
        <w:jc w:val="both"/>
        <w:rPr>
          <w:rFonts w:ascii="Times New Roman" w:hAnsi="Times New Roman"/>
          <w:sz w:val="26"/>
          <w:szCs w:val="26"/>
        </w:rPr>
      </w:pPr>
    </w:p>
    <w:p w:rsidR="009B10A4" w:rsidRPr="004A4736" w:rsidRDefault="009B10A4" w:rsidP="008D5F0E">
      <w:pPr>
        <w:spacing w:after="0" w:line="240" w:lineRule="auto"/>
        <w:ind w:firstLine="426"/>
        <w:jc w:val="both"/>
        <w:rPr>
          <w:rFonts w:ascii="Times New Roman" w:hAnsi="Times New Roman"/>
          <w:sz w:val="26"/>
          <w:szCs w:val="26"/>
        </w:rPr>
      </w:pPr>
    </w:p>
    <w:p w:rsidR="009B10A4" w:rsidRPr="004A4736" w:rsidRDefault="009B10A4" w:rsidP="0069064B">
      <w:pPr>
        <w:rPr>
          <w:rFonts w:ascii="Times New Roman" w:hAnsi="Times New Roman"/>
          <w:b/>
          <w:sz w:val="26"/>
          <w:szCs w:val="26"/>
        </w:rPr>
      </w:pPr>
    </w:p>
    <w:p w:rsidR="009B10A4" w:rsidRPr="004A4736" w:rsidRDefault="009B10A4" w:rsidP="0069064B">
      <w:pPr>
        <w:spacing w:after="0" w:line="240" w:lineRule="auto"/>
        <w:jc w:val="center"/>
        <w:rPr>
          <w:rFonts w:ascii="Times New Roman" w:hAnsi="Times New Roman"/>
          <w:b/>
          <w:bCs/>
          <w:sz w:val="28"/>
          <w:szCs w:val="28"/>
        </w:rPr>
      </w:pPr>
      <w:r w:rsidRPr="004A4736">
        <w:rPr>
          <w:rFonts w:ascii="Times New Roman" w:hAnsi="Times New Roman"/>
          <w:b/>
          <w:bCs/>
          <w:sz w:val="28"/>
          <w:szCs w:val="28"/>
        </w:rPr>
        <w:t>Saturs</w:t>
      </w:r>
    </w:p>
    <w:p w:rsidR="009B10A4" w:rsidRPr="004A4736" w:rsidRDefault="009B10A4" w:rsidP="0069064B">
      <w:pPr>
        <w:jc w:val="center"/>
        <w:rPr>
          <w:rFonts w:ascii="Times New Roman" w:hAnsi="Times New Roman"/>
          <w:sz w:val="26"/>
          <w:szCs w:val="26"/>
        </w:rPr>
      </w:pPr>
    </w:p>
    <w:p w:rsidR="00B54B9F" w:rsidRPr="00B54B9F" w:rsidRDefault="00D65FEB">
      <w:pPr>
        <w:pStyle w:val="TOC1"/>
        <w:rPr>
          <w:rFonts w:eastAsiaTheme="minorEastAsia"/>
          <w:b w:val="0"/>
          <w:sz w:val="28"/>
          <w:lang w:eastAsia="lv-LV"/>
        </w:rPr>
      </w:pPr>
      <w:r w:rsidRPr="00B54B9F">
        <w:rPr>
          <w:rFonts w:eastAsia="SimSun"/>
          <w:b w:val="0"/>
          <w:noProof w:val="0"/>
          <w:sz w:val="28"/>
        </w:rPr>
        <w:fldChar w:fldCharType="begin"/>
      </w:r>
      <w:r w:rsidR="009B10A4" w:rsidRPr="00B54B9F">
        <w:rPr>
          <w:rFonts w:eastAsia="SimSun"/>
          <w:b w:val="0"/>
          <w:noProof w:val="0"/>
          <w:sz w:val="28"/>
        </w:rPr>
        <w:instrText xml:space="preserve"> TOC \o "1-1" \h \z \u </w:instrText>
      </w:r>
      <w:r w:rsidRPr="00B54B9F">
        <w:rPr>
          <w:rFonts w:eastAsia="SimSun"/>
          <w:b w:val="0"/>
          <w:noProof w:val="0"/>
          <w:sz w:val="28"/>
        </w:rPr>
        <w:fldChar w:fldCharType="separate"/>
      </w:r>
      <w:hyperlink w:anchor="_Toc366612103" w:history="1">
        <w:r w:rsidR="00B54B9F" w:rsidRPr="00B54B9F">
          <w:rPr>
            <w:rStyle w:val="Hyperlink"/>
            <w:b w:val="0"/>
            <w:sz w:val="28"/>
          </w:rPr>
          <w:t>Saīsinājumi</w:t>
        </w:r>
        <w:r w:rsidR="00B54B9F" w:rsidRPr="00B54B9F">
          <w:rPr>
            <w:b w:val="0"/>
            <w:webHidden/>
            <w:sz w:val="28"/>
          </w:rPr>
          <w:tab/>
        </w:r>
        <w:r w:rsidR="00B54B9F" w:rsidRPr="00B54B9F">
          <w:rPr>
            <w:b w:val="0"/>
            <w:webHidden/>
            <w:sz w:val="28"/>
          </w:rPr>
          <w:fldChar w:fldCharType="begin"/>
        </w:r>
        <w:r w:rsidR="00B54B9F" w:rsidRPr="00B54B9F">
          <w:rPr>
            <w:b w:val="0"/>
            <w:webHidden/>
            <w:sz w:val="28"/>
          </w:rPr>
          <w:instrText xml:space="preserve"> PAGEREF _Toc366612103 \h </w:instrText>
        </w:r>
        <w:r w:rsidR="00B54B9F" w:rsidRPr="00B54B9F">
          <w:rPr>
            <w:b w:val="0"/>
            <w:webHidden/>
            <w:sz w:val="28"/>
          </w:rPr>
        </w:r>
        <w:r w:rsidR="00B54B9F" w:rsidRPr="00B54B9F">
          <w:rPr>
            <w:b w:val="0"/>
            <w:webHidden/>
            <w:sz w:val="28"/>
          </w:rPr>
          <w:fldChar w:fldCharType="separate"/>
        </w:r>
        <w:r w:rsidR="00B54B9F" w:rsidRPr="00B54B9F">
          <w:rPr>
            <w:b w:val="0"/>
            <w:webHidden/>
            <w:sz w:val="28"/>
          </w:rPr>
          <w:t>2</w:t>
        </w:r>
        <w:r w:rsidR="00B54B9F" w:rsidRPr="00B54B9F">
          <w:rPr>
            <w:b w:val="0"/>
            <w:webHidden/>
            <w:sz w:val="28"/>
          </w:rPr>
          <w:fldChar w:fldCharType="end"/>
        </w:r>
      </w:hyperlink>
    </w:p>
    <w:p w:rsidR="00B54B9F" w:rsidRPr="00B54B9F" w:rsidRDefault="00B54B9F">
      <w:pPr>
        <w:pStyle w:val="TOC1"/>
        <w:rPr>
          <w:rFonts w:eastAsiaTheme="minorEastAsia"/>
          <w:b w:val="0"/>
          <w:sz w:val="28"/>
          <w:lang w:eastAsia="lv-LV"/>
        </w:rPr>
      </w:pPr>
      <w:hyperlink w:anchor="_Toc366612104" w:history="1">
        <w:r w:rsidRPr="00B54B9F">
          <w:rPr>
            <w:rStyle w:val="Hyperlink"/>
            <w:b w:val="0"/>
            <w:sz w:val="28"/>
          </w:rPr>
          <w:t>1. Termiņuzturēšanās atļauju piešķiršanas dinamika 2004.-2012.gadā un vispārīga informācija par investoriem izsniegtajām un anulētajām uzturēšanās atļaujām</w:t>
        </w:r>
        <w:r w:rsidRPr="00B54B9F">
          <w:rPr>
            <w:b w:val="0"/>
            <w:webHidden/>
            <w:sz w:val="28"/>
          </w:rPr>
          <w:tab/>
        </w:r>
        <w:r w:rsidRPr="00B54B9F">
          <w:rPr>
            <w:b w:val="0"/>
            <w:webHidden/>
            <w:sz w:val="28"/>
          </w:rPr>
          <w:fldChar w:fldCharType="begin"/>
        </w:r>
        <w:r w:rsidRPr="00B54B9F">
          <w:rPr>
            <w:b w:val="0"/>
            <w:webHidden/>
            <w:sz w:val="28"/>
          </w:rPr>
          <w:instrText xml:space="preserve"> PAGEREF _Toc366612104 \h </w:instrText>
        </w:r>
        <w:r w:rsidRPr="00B54B9F">
          <w:rPr>
            <w:b w:val="0"/>
            <w:webHidden/>
            <w:sz w:val="28"/>
          </w:rPr>
        </w:r>
        <w:r w:rsidRPr="00B54B9F">
          <w:rPr>
            <w:b w:val="0"/>
            <w:webHidden/>
            <w:sz w:val="28"/>
          </w:rPr>
          <w:fldChar w:fldCharType="separate"/>
        </w:r>
        <w:r w:rsidRPr="00B54B9F">
          <w:rPr>
            <w:b w:val="0"/>
            <w:webHidden/>
            <w:sz w:val="28"/>
          </w:rPr>
          <w:t>3</w:t>
        </w:r>
        <w:r w:rsidRPr="00B54B9F">
          <w:rPr>
            <w:b w:val="0"/>
            <w:webHidden/>
            <w:sz w:val="28"/>
          </w:rPr>
          <w:fldChar w:fldCharType="end"/>
        </w:r>
      </w:hyperlink>
    </w:p>
    <w:p w:rsidR="00B54B9F" w:rsidRPr="00B54B9F" w:rsidRDefault="00B54B9F">
      <w:pPr>
        <w:pStyle w:val="TOC1"/>
        <w:rPr>
          <w:rFonts w:eastAsiaTheme="minorEastAsia"/>
          <w:b w:val="0"/>
          <w:sz w:val="28"/>
          <w:lang w:eastAsia="lv-LV"/>
        </w:rPr>
      </w:pPr>
      <w:hyperlink w:anchor="_Toc366612105" w:history="1">
        <w:r w:rsidRPr="00B54B9F">
          <w:rPr>
            <w:rStyle w:val="Hyperlink"/>
            <w:b w:val="0"/>
            <w:sz w:val="28"/>
          </w:rPr>
          <w:t>2. Ārvalstu investīcijas saistībā ar termiņuzturēšanās atļaujām</w:t>
        </w:r>
        <w:r w:rsidRPr="00B54B9F">
          <w:rPr>
            <w:b w:val="0"/>
            <w:webHidden/>
            <w:sz w:val="28"/>
          </w:rPr>
          <w:tab/>
        </w:r>
        <w:r w:rsidRPr="00B54B9F">
          <w:rPr>
            <w:b w:val="0"/>
            <w:webHidden/>
            <w:sz w:val="28"/>
          </w:rPr>
          <w:fldChar w:fldCharType="begin"/>
        </w:r>
        <w:r w:rsidRPr="00B54B9F">
          <w:rPr>
            <w:b w:val="0"/>
            <w:webHidden/>
            <w:sz w:val="28"/>
          </w:rPr>
          <w:instrText xml:space="preserve"> PAGEREF _Toc366612105 \h </w:instrText>
        </w:r>
        <w:r w:rsidRPr="00B54B9F">
          <w:rPr>
            <w:b w:val="0"/>
            <w:webHidden/>
            <w:sz w:val="28"/>
          </w:rPr>
        </w:r>
        <w:r w:rsidRPr="00B54B9F">
          <w:rPr>
            <w:b w:val="0"/>
            <w:webHidden/>
            <w:sz w:val="28"/>
          </w:rPr>
          <w:fldChar w:fldCharType="separate"/>
        </w:r>
        <w:r w:rsidRPr="00B54B9F">
          <w:rPr>
            <w:b w:val="0"/>
            <w:webHidden/>
            <w:sz w:val="28"/>
          </w:rPr>
          <w:t>4</w:t>
        </w:r>
        <w:r w:rsidRPr="00B54B9F">
          <w:rPr>
            <w:b w:val="0"/>
            <w:webHidden/>
            <w:sz w:val="28"/>
          </w:rPr>
          <w:fldChar w:fldCharType="end"/>
        </w:r>
      </w:hyperlink>
    </w:p>
    <w:p w:rsidR="00B54B9F" w:rsidRPr="00B54B9F" w:rsidRDefault="00B54B9F">
      <w:pPr>
        <w:pStyle w:val="TOC1"/>
        <w:rPr>
          <w:rFonts w:eastAsiaTheme="minorEastAsia"/>
          <w:b w:val="0"/>
          <w:sz w:val="28"/>
          <w:lang w:eastAsia="lv-LV"/>
        </w:rPr>
      </w:pPr>
      <w:hyperlink w:anchor="_Toc366612106" w:history="1">
        <w:r w:rsidRPr="00B54B9F">
          <w:rPr>
            <w:rStyle w:val="Hyperlink"/>
            <w:b w:val="0"/>
            <w:sz w:val="28"/>
          </w:rPr>
          <w:t>3. Ārvalstu investoru valstiskā piederība</w:t>
        </w:r>
        <w:r w:rsidRPr="00B54B9F">
          <w:rPr>
            <w:b w:val="0"/>
            <w:webHidden/>
            <w:sz w:val="28"/>
          </w:rPr>
          <w:tab/>
        </w:r>
        <w:r w:rsidRPr="00B54B9F">
          <w:rPr>
            <w:b w:val="0"/>
            <w:webHidden/>
            <w:sz w:val="28"/>
          </w:rPr>
          <w:fldChar w:fldCharType="begin"/>
        </w:r>
        <w:r w:rsidRPr="00B54B9F">
          <w:rPr>
            <w:b w:val="0"/>
            <w:webHidden/>
            <w:sz w:val="28"/>
          </w:rPr>
          <w:instrText xml:space="preserve"> PAGEREF _Toc366612106 \h </w:instrText>
        </w:r>
        <w:r w:rsidRPr="00B54B9F">
          <w:rPr>
            <w:b w:val="0"/>
            <w:webHidden/>
            <w:sz w:val="28"/>
          </w:rPr>
        </w:r>
        <w:r w:rsidRPr="00B54B9F">
          <w:rPr>
            <w:b w:val="0"/>
            <w:webHidden/>
            <w:sz w:val="28"/>
          </w:rPr>
          <w:fldChar w:fldCharType="separate"/>
        </w:r>
        <w:r w:rsidRPr="00B54B9F">
          <w:rPr>
            <w:b w:val="0"/>
            <w:webHidden/>
            <w:sz w:val="28"/>
          </w:rPr>
          <w:t>6</w:t>
        </w:r>
        <w:r w:rsidRPr="00B54B9F">
          <w:rPr>
            <w:b w:val="0"/>
            <w:webHidden/>
            <w:sz w:val="28"/>
          </w:rPr>
          <w:fldChar w:fldCharType="end"/>
        </w:r>
      </w:hyperlink>
    </w:p>
    <w:p w:rsidR="00B54B9F" w:rsidRPr="00B54B9F" w:rsidRDefault="00B54B9F">
      <w:pPr>
        <w:pStyle w:val="TOC1"/>
        <w:rPr>
          <w:rFonts w:eastAsiaTheme="minorEastAsia"/>
          <w:b w:val="0"/>
          <w:sz w:val="28"/>
          <w:lang w:eastAsia="lv-LV"/>
        </w:rPr>
      </w:pPr>
      <w:hyperlink w:anchor="_Toc366612107" w:history="1">
        <w:r w:rsidRPr="00B54B9F">
          <w:rPr>
            <w:rStyle w:val="Hyperlink"/>
            <w:b w:val="0"/>
            <w:sz w:val="28"/>
          </w:rPr>
          <w:t>4. Investīcijas nekustamajos īpašumos</w:t>
        </w:r>
        <w:r w:rsidRPr="00B54B9F">
          <w:rPr>
            <w:b w:val="0"/>
            <w:webHidden/>
            <w:sz w:val="28"/>
          </w:rPr>
          <w:tab/>
        </w:r>
        <w:r w:rsidRPr="00B54B9F">
          <w:rPr>
            <w:b w:val="0"/>
            <w:webHidden/>
            <w:sz w:val="28"/>
          </w:rPr>
          <w:fldChar w:fldCharType="begin"/>
        </w:r>
        <w:r w:rsidRPr="00B54B9F">
          <w:rPr>
            <w:b w:val="0"/>
            <w:webHidden/>
            <w:sz w:val="28"/>
          </w:rPr>
          <w:instrText xml:space="preserve"> PAGEREF _Toc366612107 \h </w:instrText>
        </w:r>
        <w:r w:rsidRPr="00B54B9F">
          <w:rPr>
            <w:b w:val="0"/>
            <w:webHidden/>
            <w:sz w:val="28"/>
          </w:rPr>
        </w:r>
        <w:r w:rsidRPr="00B54B9F">
          <w:rPr>
            <w:b w:val="0"/>
            <w:webHidden/>
            <w:sz w:val="28"/>
          </w:rPr>
          <w:fldChar w:fldCharType="separate"/>
        </w:r>
        <w:r w:rsidRPr="00B54B9F">
          <w:rPr>
            <w:b w:val="0"/>
            <w:webHidden/>
            <w:sz w:val="28"/>
          </w:rPr>
          <w:t>7</w:t>
        </w:r>
        <w:r w:rsidRPr="00B54B9F">
          <w:rPr>
            <w:b w:val="0"/>
            <w:webHidden/>
            <w:sz w:val="28"/>
          </w:rPr>
          <w:fldChar w:fldCharType="end"/>
        </w:r>
      </w:hyperlink>
    </w:p>
    <w:p w:rsidR="00B54B9F" w:rsidRPr="00B54B9F" w:rsidRDefault="00B54B9F">
      <w:pPr>
        <w:pStyle w:val="TOC1"/>
        <w:rPr>
          <w:rFonts w:eastAsiaTheme="minorEastAsia"/>
          <w:b w:val="0"/>
          <w:sz w:val="28"/>
          <w:lang w:eastAsia="lv-LV"/>
        </w:rPr>
      </w:pPr>
      <w:hyperlink w:anchor="_Toc366612108" w:history="1">
        <w:r w:rsidRPr="00B54B9F">
          <w:rPr>
            <w:rStyle w:val="Hyperlink"/>
            <w:b w:val="0"/>
            <w:sz w:val="28"/>
          </w:rPr>
          <w:t>5. Finanšu investīcijas kredītiestādē</w:t>
        </w:r>
        <w:r w:rsidRPr="00B54B9F">
          <w:rPr>
            <w:b w:val="0"/>
            <w:webHidden/>
            <w:sz w:val="28"/>
          </w:rPr>
          <w:tab/>
        </w:r>
        <w:r w:rsidRPr="00B54B9F">
          <w:rPr>
            <w:b w:val="0"/>
            <w:webHidden/>
            <w:sz w:val="28"/>
          </w:rPr>
          <w:fldChar w:fldCharType="begin"/>
        </w:r>
        <w:r w:rsidRPr="00B54B9F">
          <w:rPr>
            <w:b w:val="0"/>
            <w:webHidden/>
            <w:sz w:val="28"/>
          </w:rPr>
          <w:instrText xml:space="preserve"> PAGEREF _Toc366612108 \h </w:instrText>
        </w:r>
        <w:r w:rsidRPr="00B54B9F">
          <w:rPr>
            <w:b w:val="0"/>
            <w:webHidden/>
            <w:sz w:val="28"/>
          </w:rPr>
        </w:r>
        <w:r w:rsidRPr="00B54B9F">
          <w:rPr>
            <w:b w:val="0"/>
            <w:webHidden/>
            <w:sz w:val="28"/>
          </w:rPr>
          <w:fldChar w:fldCharType="separate"/>
        </w:r>
        <w:r w:rsidRPr="00B54B9F">
          <w:rPr>
            <w:b w:val="0"/>
            <w:webHidden/>
            <w:sz w:val="28"/>
          </w:rPr>
          <w:t>13</w:t>
        </w:r>
        <w:r w:rsidRPr="00B54B9F">
          <w:rPr>
            <w:b w:val="0"/>
            <w:webHidden/>
            <w:sz w:val="28"/>
          </w:rPr>
          <w:fldChar w:fldCharType="end"/>
        </w:r>
      </w:hyperlink>
    </w:p>
    <w:p w:rsidR="00B54B9F" w:rsidRPr="00B54B9F" w:rsidRDefault="00B54B9F">
      <w:pPr>
        <w:pStyle w:val="TOC1"/>
        <w:rPr>
          <w:rFonts w:eastAsiaTheme="minorEastAsia"/>
          <w:b w:val="0"/>
          <w:sz w:val="28"/>
          <w:lang w:eastAsia="lv-LV"/>
        </w:rPr>
      </w:pPr>
      <w:hyperlink w:anchor="_Toc366612109" w:history="1">
        <w:r w:rsidRPr="00B54B9F">
          <w:rPr>
            <w:rStyle w:val="Hyperlink"/>
            <w:b w:val="0"/>
            <w:sz w:val="28"/>
          </w:rPr>
          <w:t>6. Ieguldījumi kapitālsabiedrību pamatkapitālā un valdes locekļi</w:t>
        </w:r>
        <w:r w:rsidRPr="00B54B9F">
          <w:rPr>
            <w:b w:val="0"/>
            <w:webHidden/>
            <w:sz w:val="28"/>
          </w:rPr>
          <w:tab/>
        </w:r>
        <w:r w:rsidRPr="00B54B9F">
          <w:rPr>
            <w:b w:val="0"/>
            <w:webHidden/>
            <w:sz w:val="28"/>
          </w:rPr>
          <w:fldChar w:fldCharType="begin"/>
        </w:r>
        <w:r w:rsidRPr="00B54B9F">
          <w:rPr>
            <w:b w:val="0"/>
            <w:webHidden/>
            <w:sz w:val="28"/>
          </w:rPr>
          <w:instrText xml:space="preserve"> PAGEREF _Toc366612109 \h </w:instrText>
        </w:r>
        <w:r w:rsidRPr="00B54B9F">
          <w:rPr>
            <w:b w:val="0"/>
            <w:webHidden/>
            <w:sz w:val="28"/>
          </w:rPr>
        </w:r>
        <w:r w:rsidRPr="00B54B9F">
          <w:rPr>
            <w:b w:val="0"/>
            <w:webHidden/>
            <w:sz w:val="28"/>
          </w:rPr>
          <w:fldChar w:fldCharType="separate"/>
        </w:r>
        <w:r w:rsidRPr="00B54B9F">
          <w:rPr>
            <w:b w:val="0"/>
            <w:webHidden/>
            <w:sz w:val="28"/>
          </w:rPr>
          <w:t>14</w:t>
        </w:r>
        <w:r w:rsidRPr="00B54B9F">
          <w:rPr>
            <w:b w:val="0"/>
            <w:webHidden/>
            <w:sz w:val="28"/>
          </w:rPr>
          <w:fldChar w:fldCharType="end"/>
        </w:r>
      </w:hyperlink>
    </w:p>
    <w:p w:rsidR="00B54B9F" w:rsidRPr="00B54B9F" w:rsidRDefault="00B54B9F">
      <w:pPr>
        <w:pStyle w:val="TOC1"/>
        <w:rPr>
          <w:rFonts w:eastAsiaTheme="minorEastAsia"/>
          <w:b w:val="0"/>
          <w:sz w:val="28"/>
          <w:lang w:eastAsia="lv-LV"/>
        </w:rPr>
      </w:pPr>
      <w:hyperlink w:anchor="_Toc366612110" w:history="1">
        <w:r w:rsidRPr="00B54B9F">
          <w:rPr>
            <w:rStyle w:val="Hyperlink"/>
            <w:b w:val="0"/>
            <w:sz w:val="28"/>
          </w:rPr>
          <w:t>7. Ietekme uz tautsaimniecības reālo sektoru</w:t>
        </w:r>
        <w:r w:rsidRPr="00B54B9F">
          <w:rPr>
            <w:b w:val="0"/>
            <w:webHidden/>
            <w:sz w:val="28"/>
          </w:rPr>
          <w:tab/>
        </w:r>
        <w:r w:rsidRPr="00B54B9F">
          <w:rPr>
            <w:b w:val="0"/>
            <w:webHidden/>
            <w:sz w:val="28"/>
          </w:rPr>
          <w:fldChar w:fldCharType="begin"/>
        </w:r>
        <w:r w:rsidRPr="00B54B9F">
          <w:rPr>
            <w:b w:val="0"/>
            <w:webHidden/>
            <w:sz w:val="28"/>
          </w:rPr>
          <w:instrText xml:space="preserve"> PAGEREF _Toc366612110 \h </w:instrText>
        </w:r>
        <w:r w:rsidRPr="00B54B9F">
          <w:rPr>
            <w:b w:val="0"/>
            <w:webHidden/>
            <w:sz w:val="28"/>
          </w:rPr>
        </w:r>
        <w:r w:rsidRPr="00B54B9F">
          <w:rPr>
            <w:b w:val="0"/>
            <w:webHidden/>
            <w:sz w:val="28"/>
          </w:rPr>
          <w:fldChar w:fldCharType="separate"/>
        </w:r>
        <w:r w:rsidRPr="00B54B9F">
          <w:rPr>
            <w:b w:val="0"/>
            <w:webHidden/>
            <w:sz w:val="28"/>
          </w:rPr>
          <w:t>18</w:t>
        </w:r>
        <w:r w:rsidRPr="00B54B9F">
          <w:rPr>
            <w:b w:val="0"/>
            <w:webHidden/>
            <w:sz w:val="28"/>
          </w:rPr>
          <w:fldChar w:fldCharType="end"/>
        </w:r>
      </w:hyperlink>
    </w:p>
    <w:p w:rsidR="00B54B9F" w:rsidRPr="00B54B9F" w:rsidRDefault="00B54B9F">
      <w:pPr>
        <w:pStyle w:val="TOC1"/>
        <w:rPr>
          <w:rFonts w:eastAsiaTheme="minorEastAsia"/>
          <w:b w:val="0"/>
          <w:sz w:val="28"/>
          <w:lang w:eastAsia="lv-LV"/>
        </w:rPr>
      </w:pPr>
      <w:hyperlink w:anchor="_Toc366612111" w:history="1">
        <w:r w:rsidRPr="00B54B9F">
          <w:rPr>
            <w:rStyle w:val="Hyperlink"/>
            <w:b w:val="0"/>
            <w:sz w:val="28"/>
          </w:rPr>
          <w:t>8. Ietekme uz finanšu sektoru</w:t>
        </w:r>
        <w:r w:rsidRPr="00B54B9F">
          <w:rPr>
            <w:b w:val="0"/>
            <w:webHidden/>
            <w:sz w:val="28"/>
          </w:rPr>
          <w:tab/>
        </w:r>
        <w:r w:rsidRPr="00B54B9F">
          <w:rPr>
            <w:b w:val="0"/>
            <w:webHidden/>
            <w:sz w:val="28"/>
          </w:rPr>
          <w:fldChar w:fldCharType="begin"/>
        </w:r>
        <w:r w:rsidRPr="00B54B9F">
          <w:rPr>
            <w:b w:val="0"/>
            <w:webHidden/>
            <w:sz w:val="28"/>
          </w:rPr>
          <w:instrText xml:space="preserve"> PAGEREF _Toc366612111 \h </w:instrText>
        </w:r>
        <w:r w:rsidRPr="00B54B9F">
          <w:rPr>
            <w:b w:val="0"/>
            <w:webHidden/>
            <w:sz w:val="28"/>
          </w:rPr>
        </w:r>
        <w:r w:rsidRPr="00B54B9F">
          <w:rPr>
            <w:b w:val="0"/>
            <w:webHidden/>
            <w:sz w:val="28"/>
          </w:rPr>
          <w:fldChar w:fldCharType="separate"/>
        </w:r>
        <w:r w:rsidRPr="00B54B9F">
          <w:rPr>
            <w:b w:val="0"/>
            <w:webHidden/>
            <w:sz w:val="28"/>
          </w:rPr>
          <w:t>19</w:t>
        </w:r>
        <w:r w:rsidRPr="00B54B9F">
          <w:rPr>
            <w:b w:val="0"/>
            <w:webHidden/>
            <w:sz w:val="28"/>
          </w:rPr>
          <w:fldChar w:fldCharType="end"/>
        </w:r>
      </w:hyperlink>
    </w:p>
    <w:p w:rsidR="00B54B9F" w:rsidRPr="00B54B9F" w:rsidRDefault="00B54B9F">
      <w:pPr>
        <w:pStyle w:val="TOC1"/>
        <w:rPr>
          <w:rFonts w:eastAsiaTheme="minorEastAsia"/>
          <w:b w:val="0"/>
          <w:sz w:val="28"/>
          <w:lang w:eastAsia="lv-LV"/>
        </w:rPr>
      </w:pPr>
      <w:hyperlink w:anchor="_Toc366612112" w:history="1">
        <w:r w:rsidRPr="00B54B9F">
          <w:rPr>
            <w:rStyle w:val="Hyperlink"/>
            <w:b w:val="0"/>
            <w:sz w:val="28"/>
          </w:rPr>
          <w:t>9. Ietekme uz valsts un pašvaldību budžetiem</w:t>
        </w:r>
        <w:r w:rsidRPr="00B54B9F">
          <w:rPr>
            <w:b w:val="0"/>
            <w:webHidden/>
            <w:sz w:val="28"/>
          </w:rPr>
          <w:tab/>
        </w:r>
        <w:r w:rsidRPr="00B54B9F">
          <w:rPr>
            <w:b w:val="0"/>
            <w:webHidden/>
            <w:sz w:val="28"/>
          </w:rPr>
          <w:fldChar w:fldCharType="begin"/>
        </w:r>
        <w:r w:rsidRPr="00B54B9F">
          <w:rPr>
            <w:b w:val="0"/>
            <w:webHidden/>
            <w:sz w:val="28"/>
          </w:rPr>
          <w:instrText xml:space="preserve"> PAGEREF _Toc366612112 \h </w:instrText>
        </w:r>
        <w:r w:rsidRPr="00B54B9F">
          <w:rPr>
            <w:b w:val="0"/>
            <w:webHidden/>
            <w:sz w:val="28"/>
          </w:rPr>
        </w:r>
        <w:r w:rsidRPr="00B54B9F">
          <w:rPr>
            <w:b w:val="0"/>
            <w:webHidden/>
            <w:sz w:val="28"/>
          </w:rPr>
          <w:fldChar w:fldCharType="separate"/>
        </w:r>
        <w:r w:rsidRPr="00B54B9F">
          <w:rPr>
            <w:b w:val="0"/>
            <w:webHidden/>
            <w:sz w:val="28"/>
          </w:rPr>
          <w:t>20</w:t>
        </w:r>
        <w:r w:rsidRPr="00B54B9F">
          <w:rPr>
            <w:b w:val="0"/>
            <w:webHidden/>
            <w:sz w:val="28"/>
          </w:rPr>
          <w:fldChar w:fldCharType="end"/>
        </w:r>
      </w:hyperlink>
    </w:p>
    <w:p w:rsidR="00B54B9F" w:rsidRPr="00B54B9F" w:rsidRDefault="00B54B9F">
      <w:pPr>
        <w:pStyle w:val="TOC1"/>
        <w:rPr>
          <w:rFonts w:eastAsiaTheme="minorEastAsia"/>
          <w:b w:val="0"/>
          <w:sz w:val="28"/>
          <w:lang w:eastAsia="lv-LV"/>
        </w:rPr>
      </w:pPr>
      <w:hyperlink w:anchor="_Toc366612113" w:history="1">
        <w:r w:rsidRPr="00B54B9F">
          <w:rPr>
            <w:rStyle w:val="Hyperlink"/>
            <w:b w:val="0"/>
            <w:sz w:val="28"/>
          </w:rPr>
          <w:t>10. Ietekme uz sabiedrību</w:t>
        </w:r>
        <w:r w:rsidRPr="00B54B9F">
          <w:rPr>
            <w:b w:val="0"/>
            <w:webHidden/>
            <w:sz w:val="28"/>
          </w:rPr>
          <w:tab/>
        </w:r>
        <w:r w:rsidRPr="00B54B9F">
          <w:rPr>
            <w:b w:val="0"/>
            <w:webHidden/>
            <w:sz w:val="28"/>
          </w:rPr>
          <w:fldChar w:fldCharType="begin"/>
        </w:r>
        <w:r w:rsidRPr="00B54B9F">
          <w:rPr>
            <w:b w:val="0"/>
            <w:webHidden/>
            <w:sz w:val="28"/>
          </w:rPr>
          <w:instrText xml:space="preserve"> PAGEREF _Toc366612113 \h </w:instrText>
        </w:r>
        <w:r w:rsidRPr="00B54B9F">
          <w:rPr>
            <w:b w:val="0"/>
            <w:webHidden/>
            <w:sz w:val="28"/>
          </w:rPr>
        </w:r>
        <w:r w:rsidRPr="00B54B9F">
          <w:rPr>
            <w:b w:val="0"/>
            <w:webHidden/>
            <w:sz w:val="28"/>
          </w:rPr>
          <w:fldChar w:fldCharType="separate"/>
        </w:r>
        <w:r w:rsidRPr="00B54B9F">
          <w:rPr>
            <w:b w:val="0"/>
            <w:webHidden/>
            <w:sz w:val="28"/>
          </w:rPr>
          <w:t>22</w:t>
        </w:r>
        <w:r w:rsidRPr="00B54B9F">
          <w:rPr>
            <w:b w:val="0"/>
            <w:webHidden/>
            <w:sz w:val="28"/>
          </w:rPr>
          <w:fldChar w:fldCharType="end"/>
        </w:r>
      </w:hyperlink>
    </w:p>
    <w:p w:rsidR="00B54B9F" w:rsidRPr="00B54B9F" w:rsidRDefault="00B54B9F">
      <w:pPr>
        <w:pStyle w:val="TOC1"/>
        <w:rPr>
          <w:rFonts w:eastAsiaTheme="minorEastAsia"/>
          <w:b w:val="0"/>
          <w:sz w:val="28"/>
          <w:lang w:eastAsia="lv-LV"/>
        </w:rPr>
      </w:pPr>
      <w:hyperlink w:anchor="_Toc366612114" w:history="1">
        <w:r w:rsidRPr="00B54B9F">
          <w:rPr>
            <w:rStyle w:val="Hyperlink"/>
            <w:b w:val="0"/>
            <w:sz w:val="28"/>
          </w:rPr>
          <w:t>11. Investora portrets</w:t>
        </w:r>
        <w:r w:rsidRPr="00B54B9F">
          <w:rPr>
            <w:b w:val="0"/>
            <w:webHidden/>
            <w:sz w:val="28"/>
          </w:rPr>
          <w:tab/>
        </w:r>
        <w:r w:rsidRPr="00B54B9F">
          <w:rPr>
            <w:b w:val="0"/>
            <w:webHidden/>
            <w:sz w:val="28"/>
          </w:rPr>
          <w:fldChar w:fldCharType="begin"/>
        </w:r>
        <w:r w:rsidRPr="00B54B9F">
          <w:rPr>
            <w:b w:val="0"/>
            <w:webHidden/>
            <w:sz w:val="28"/>
          </w:rPr>
          <w:instrText xml:space="preserve"> PAGEREF _Toc366612114 \h </w:instrText>
        </w:r>
        <w:r w:rsidRPr="00B54B9F">
          <w:rPr>
            <w:b w:val="0"/>
            <w:webHidden/>
            <w:sz w:val="28"/>
          </w:rPr>
        </w:r>
        <w:r w:rsidRPr="00B54B9F">
          <w:rPr>
            <w:b w:val="0"/>
            <w:webHidden/>
            <w:sz w:val="28"/>
          </w:rPr>
          <w:fldChar w:fldCharType="separate"/>
        </w:r>
        <w:r w:rsidRPr="00B54B9F">
          <w:rPr>
            <w:b w:val="0"/>
            <w:webHidden/>
            <w:sz w:val="28"/>
          </w:rPr>
          <w:t>22</w:t>
        </w:r>
        <w:r w:rsidRPr="00B54B9F">
          <w:rPr>
            <w:b w:val="0"/>
            <w:webHidden/>
            <w:sz w:val="28"/>
          </w:rPr>
          <w:fldChar w:fldCharType="end"/>
        </w:r>
      </w:hyperlink>
    </w:p>
    <w:p w:rsidR="00B54B9F" w:rsidRPr="00B54B9F" w:rsidRDefault="00B54B9F">
      <w:pPr>
        <w:pStyle w:val="TOC1"/>
        <w:rPr>
          <w:rFonts w:eastAsiaTheme="minorEastAsia"/>
          <w:b w:val="0"/>
          <w:sz w:val="28"/>
          <w:lang w:eastAsia="lv-LV"/>
        </w:rPr>
      </w:pPr>
      <w:hyperlink w:anchor="_Toc366612115" w:history="1">
        <w:r w:rsidRPr="00B54B9F">
          <w:rPr>
            <w:rStyle w:val="Hyperlink"/>
            <w:b w:val="0"/>
            <w:sz w:val="28"/>
          </w:rPr>
          <w:t>Secinājumi</w:t>
        </w:r>
        <w:r w:rsidRPr="00B54B9F">
          <w:rPr>
            <w:b w:val="0"/>
            <w:webHidden/>
            <w:sz w:val="28"/>
          </w:rPr>
          <w:tab/>
        </w:r>
        <w:r w:rsidRPr="00B54B9F">
          <w:rPr>
            <w:b w:val="0"/>
            <w:webHidden/>
            <w:sz w:val="28"/>
          </w:rPr>
          <w:fldChar w:fldCharType="begin"/>
        </w:r>
        <w:r w:rsidRPr="00B54B9F">
          <w:rPr>
            <w:b w:val="0"/>
            <w:webHidden/>
            <w:sz w:val="28"/>
          </w:rPr>
          <w:instrText xml:space="preserve"> PAGEREF _Toc366612115 \h </w:instrText>
        </w:r>
        <w:r w:rsidRPr="00B54B9F">
          <w:rPr>
            <w:b w:val="0"/>
            <w:webHidden/>
            <w:sz w:val="28"/>
          </w:rPr>
        </w:r>
        <w:r w:rsidRPr="00B54B9F">
          <w:rPr>
            <w:b w:val="0"/>
            <w:webHidden/>
            <w:sz w:val="28"/>
          </w:rPr>
          <w:fldChar w:fldCharType="separate"/>
        </w:r>
        <w:r w:rsidRPr="00B54B9F">
          <w:rPr>
            <w:b w:val="0"/>
            <w:webHidden/>
            <w:sz w:val="28"/>
          </w:rPr>
          <w:t>26</w:t>
        </w:r>
        <w:r w:rsidRPr="00B54B9F">
          <w:rPr>
            <w:b w:val="0"/>
            <w:webHidden/>
            <w:sz w:val="28"/>
          </w:rPr>
          <w:fldChar w:fldCharType="end"/>
        </w:r>
      </w:hyperlink>
    </w:p>
    <w:p w:rsidR="009B10A4" w:rsidRPr="004A4736" w:rsidRDefault="00D65FEB" w:rsidP="0069064B">
      <w:pPr>
        <w:pStyle w:val="Heading1"/>
        <w:tabs>
          <w:tab w:val="right" w:leader="dot" w:pos="8789"/>
          <w:tab w:val="right" w:leader="dot" w:pos="8931"/>
          <w:tab w:val="right" w:leader="dot" w:pos="9072"/>
          <w:tab w:val="right" w:leader="dot" w:pos="9356"/>
        </w:tabs>
        <w:spacing w:before="120" w:after="120"/>
        <w:ind w:left="1134"/>
        <w:rPr>
          <w:rFonts w:ascii="Times New Roman" w:hAnsi="Times New Roman"/>
          <w:b w:val="0"/>
          <w:color w:val="auto"/>
          <w:sz w:val="26"/>
          <w:szCs w:val="26"/>
        </w:rPr>
      </w:pPr>
      <w:r w:rsidRPr="00B54B9F">
        <w:rPr>
          <w:rFonts w:ascii="Times New Roman" w:hAnsi="Times New Roman"/>
          <w:b w:val="0"/>
        </w:rPr>
        <w:fldChar w:fldCharType="end"/>
      </w:r>
    </w:p>
    <w:p w:rsidR="009B10A4" w:rsidRPr="004A4736" w:rsidRDefault="009B10A4" w:rsidP="00D50EA1"/>
    <w:p w:rsidR="009B10A4" w:rsidRPr="004A4736" w:rsidRDefault="009B10A4" w:rsidP="00D50EA1">
      <w:bookmarkStart w:id="0" w:name="_Toc216077028"/>
      <w:bookmarkStart w:id="1" w:name="_Toc216077732"/>
      <w:bookmarkStart w:id="2" w:name="_Toc216077836"/>
      <w:bookmarkStart w:id="3" w:name="_Toc216077916"/>
      <w:bookmarkStart w:id="4" w:name="_Toc216078658"/>
      <w:bookmarkStart w:id="5" w:name="_Toc216079262"/>
      <w:bookmarkStart w:id="6" w:name="_Toc216079505"/>
      <w:bookmarkStart w:id="7" w:name="_Toc216079573"/>
      <w:bookmarkStart w:id="8" w:name="_Toc216079635"/>
      <w:bookmarkStart w:id="9" w:name="_Toc216079691"/>
      <w:bookmarkStart w:id="10" w:name="_Toc216079747"/>
      <w:bookmarkStart w:id="11" w:name="_Toc216079803"/>
      <w:bookmarkStart w:id="12" w:name="_Toc216080160"/>
      <w:bookmarkStart w:id="13" w:name="_Toc216083814"/>
    </w:p>
    <w:p w:rsidR="009B10A4" w:rsidRPr="004A4736" w:rsidRDefault="009B10A4" w:rsidP="0099042C">
      <w:pPr>
        <w:pStyle w:val="Heading1"/>
        <w:spacing w:before="0" w:line="240" w:lineRule="auto"/>
        <w:jc w:val="center"/>
        <w:rPr>
          <w:rFonts w:ascii="Times New Roman" w:hAnsi="Times New Roman"/>
          <w:color w:val="auto"/>
        </w:rPr>
      </w:pPr>
      <w:bookmarkStart w:id="14" w:name="_Toc366612103"/>
      <w:r w:rsidRPr="004A4736">
        <w:rPr>
          <w:rFonts w:ascii="Times New Roman" w:hAnsi="Times New Roman"/>
          <w:color w:val="auto"/>
        </w:rPr>
        <w:t>Saīsinājumi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9B10A4" w:rsidRPr="004A4736" w:rsidRDefault="009B10A4" w:rsidP="0069064B">
      <w:pPr>
        <w:spacing w:after="40" w:line="240" w:lineRule="auto"/>
        <w:jc w:val="center"/>
        <w:rPr>
          <w:rFonts w:ascii="Times New Roman" w:hAnsi="Times New Roman"/>
          <w:sz w:val="26"/>
          <w:szCs w:val="26"/>
        </w:rPr>
      </w:pPr>
    </w:p>
    <w:tbl>
      <w:tblPr>
        <w:tblW w:w="0" w:type="auto"/>
        <w:tblLayout w:type="fixed"/>
        <w:tblCellMar>
          <w:left w:w="107" w:type="dxa"/>
          <w:right w:w="107" w:type="dxa"/>
        </w:tblCellMar>
        <w:tblLook w:val="0000" w:firstRow="0" w:lastRow="0" w:firstColumn="0" w:lastColumn="0" w:noHBand="0" w:noVBand="0"/>
      </w:tblPr>
      <w:tblGrid>
        <w:gridCol w:w="1468"/>
        <w:gridCol w:w="7599"/>
      </w:tblGrid>
      <w:tr w:rsidR="009B10A4" w:rsidRPr="004A4736" w:rsidTr="0069064B">
        <w:tc>
          <w:tcPr>
            <w:tcW w:w="1468"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ĀTI</w:t>
            </w:r>
          </w:p>
        </w:tc>
        <w:tc>
          <w:tcPr>
            <w:tcW w:w="7599"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Ārvalstu tiešās investīcijas</w:t>
            </w:r>
          </w:p>
        </w:tc>
      </w:tr>
      <w:tr w:rsidR="009B10A4" w:rsidRPr="004A4736" w:rsidTr="0069064B">
        <w:tc>
          <w:tcPr>
            <w:tcW w:w="1468"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FKTK</w:t>
            </w:r>
          </w:p>
        </w:tc>
        <w:tc>
          <w:tcPr>
            <w:tcW w:w="7599"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Finanšu un kapitāla tirgus komisija</w:t>
            </w:r>
          </w:p>
        </w:tc>
      </w:tr>
      <w:tr w:rsidR="009B10A4" w:rsidRPr="004A4736" w:rsidTr="0069064B">
        <w:tc>
          <w:tcPr>
            <w:tcW w:w="1468"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IKP</w:t>
            </w:r>
          </w:p>
        </w:tc>
        <w:tc>
          <w:tcPr>
            <w:tcW w:w="7599"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Iekšzemes kopprodukts</w:t>
            </w:r>
          </w:p>
        </w:tc>
      </w:tr>
      <w:tr w:rsidR="009B10A4" w:rsidRPr="004A4736" w:rsidTr="0069064B">
        <w:tc>
          <w:tcPr>
            <w:tcW w:w="1468"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6"/>
                <w:szCs w:val="26"/>
              </w:rPr>
              <w:t>LANĪDA</w:t>
            </w:r>
          </w:p>
        </w:tc>
        <w:tc>
          <w:tcPr>
            <w:tcW w:w="7599" w:type="dxa"/>
          </w:tcPr>
          <w:p w:rsidR="009B10A4" w:rsidRPr="004A4736" w:rsidRDefault="009B10A4" w:rsidP="001D6BA7">
            <w:pPr>
              <w:spacing w:after="40" w:line="240" w:lineRule="auto"/>
              <w:rPr>
                <w:rFonts w:ascii="Times New Roman" w:hAnsi="Times New Roman"/>
                <w:sz w:val="24"/>
                <w:szCs w:val="24"/>
              </w:rPr>
            </w:pPr>
            <w:r w:rsidRPr="004A4736">
              <w:rPr>
                <w:rFonts w:ascii="Times New Roman" w:hAnsi="Times New Roman"/>
                <w:sz w:val="26"/>
                <w:szCs w:val="26"/>
              </w:rPr>
              <w:t xml:space="preserve">Latvijas nekustamo īpašumu darījumu asociācija </w:t>
            </w:r>
          </w:p>
        </w:tc>
      </w:tr>
      <w:tr w:rsidR="009B10A4" w:rsidRPr="004A4736" w:rsidTr="0069064B">
        <w:tc>
          <w:tcPr>
            <w:tcW w:w="1468"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PMLP</w:t>
            </w:r>
          </w:p>
        </w:tc>
        <w:tc>
          <w:tcPr>
            <w:tcW w:w="7599"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Pilsonības migrācijas lietu pārvalde</w:t>
            </w:r>
          </w:p>
        </w:tc>
      </w:tr>
      <w:tr w:rsidR="009B10A4" w:rsidRPr="004A4736" w:rsidTr="0069064B">
        <w:tc>
          <w:tcPr>
            <w:tcW w:w="1468"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TUA</w:t>
            </w:r>
          </w:p>
        </w:tc>
        <w:tc>
          <w:tcPr>
            <w:tcW w:w="7599"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Termiņuzturēšanās atļauja</w:t>
            </w:r>
          </w:p>
        </w:tc>
      </w:tr>
      <w:tr w:rsidR="009B10A4" w:rsidRPr="004A4736" w:rsidTr="0069064B">
        <w:tc>
          <w:tcPr>
            <w:tcW w:w="1468"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USD</w:t>
            </w:r>
          </w:p>
        </w:tc>
        <w:tc>
          <w:tcPr>
            <w:tcW w:w="7599"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ASV dolārs</w:t>
            </w:r>
          </w:p>
        </w:tc>
      </w:tr>
      <w:tr w:rsidR="009B10A4" w:rsidRPr="004A4736" w:rsidTr="0069064B">
        <w:tc>
          <w:tcPr>
            <w:tcW w:w="1468"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VID</w:t>
            </w:r>
          </w:p>
        </w:tc>
        <w:tc>
          <w:tcPr>
            <w:tcW w:w="7599" w:type="dxa"/>
          </w:tcPr>
          <w:p w:rsidR="009B10A4" w:rsidRPr="004A4736" w:rsidRDefault="009B10A4" w:rsidP="0069064B">
            <w:pPr>
              <w:spacing w:after="40" w:line="240" w:lineRule="auto"/>
              <w:rPr>
                <w:rFonts w:ascii="Times New Roman" w:hAnsi="Times New Roman"/>
                <w:sz w:val="24"/>
                <w:szCs w:val="24"/>
              </w:rPr>
            </w:pPr>
            <w:r w:rsidRPr="004A4736">
              <w:rPr>
                <w:rFonts w:ascii="Times New Roman" w:hAnsi="Times New Roman"/>
                <w:sz w:val="24"/>
                <w:szCs w:val="24"/>
              </w:rPr>
              <w:t>Valsts ieņēmumu dienests</w:t>
            </w:r>
          </w:p>
        </w:tc>
      </w:tr>
      <w:tr w:rsidR="009B10A4" w:rsidRPr="004A4736" w:rsidTr="0069064B">
        <w:tc>
          <w:tcPr>
            <w:tcW w:w="1468" w:type="dxa"/>
          </w:tcPr>
          <w:p w:rsidR="009B10A4" w:rsidRPr="004A4736" w:rsidRDefault="009B10A4" w:rsidP="0069064B">
            <w:pPr>
              <w:spacing w:after="40" w:line="240" w:lineRule="auto"/>
              <w:rPr>
                <w:rFonts w:ascii="Times New Roman" w:hAnsi="Times New Roman"/>
                <w:sz w:val="24"/>
                <w:szCs w:val="24"/>
              </w:rPr>
            </w:pPr>
          </w:p>
        </w:tc>
        <w:tc>
          <w:tcPr>
            <w:tcW w:w="7599" w:type="dxa"/>
          </w:tcPr>
          <w:p w:rsidR="009B10A4" w:rsidRPr="004A4736" w:rsidRDefault="009B10A4" w:rsidP="0069064B">
            <w:pPr>
              <w:spacing w:after="40" w:line="240" w:lineRule="auto"/>
              <w:rPr>
                <w:rFonts w:ascii="Times New Roman" w:hAnsi="Times New Roman"/>
                <w:sz w:val="24"/>
                <w:szCs w:val="24"/>
              </w:rPr>
            </w:pPr>
          </w:p>
        </w:tc>
      </w:tr>
    </w:tbl>
    <w:p w:rsidR="009B10A4" w:rsidRPr="004A4736" w:rsidRDefault="009B10A4">
      <w:pPr>
        <w:rPr>
          <w:rFonts w:ascii="Times New Roman" w:hAnsi="Times New Roman"/>
          <w:b/>
          <w:sz w:val="32"/>
          <w:szCs w:val="32"/>
        </w:rPr>
      </w:pPr>
    </w:p>
    <w:p w:rsidR="009B10A4" w:rsidRPr="004A4736" w:rsidRDefault="009B10A4">
      <w:pPr>
        <w:rPr>
          <w:rFonts w:ascii="Times New Roman" w:eastAsia="SimSun" w:hAnsi="Times New Roman"/>
          <w:b/>
          <w:bCs/>
          <w:sz w:val="28"/>
          <w:szCs w:val="28"/>
        </w:rPr>
      </w:pPr>
      <w:bookmarkStart w:id="15" w:name="_Toc340050952"/>
      <w:r w:rsidRPr="004A4736">
        <w:rPr>
          <w:rFonts w:ascii="Times New Roman" w:hAnsi="Times New Roman"/>
        </w:rPr>
        <w:br w:type="page"/>
      </w:r>
    </w:p>
    <w:p w:rsidR="009B10A4" w:rsidRPr="004A4736" w:rsidRDefault="009B10A4" w:rsidP="008E0DC2">
      <w:pPr>
        <w:pStyle w:val="Heading1"/>
        <w:spacing w:before="0" w:line="240" w:lineRule="auto"/>
        <w:rPr>
          <w:rFonts w:ascii="Times New Roman" w:hAnsi="Times New Roman"/>
          <w:color w:val="auto"/>
        </w:rPr>
      </w:pPr>
    </w:p>
    <w:p w:rsidR="009B10A4" w:rsidRPr="004A4736" w:rsidRDefault="009B10A4" w:rsidP="00A01F5E">
      <w:pPr>
        <w:pStyle w:val="Heading1"/>
        <w:spacing w:before="0" w:after="120" w:line="240" w:lineRule="auto"/>
        <w:jc w:val="both"/>
        <w:rPr>
          <w:rFonts w:ascii="Times New Roman" w:hAnsi="Times New Roman"/>
          <w:color w:val="auto"/>
        </w:rPr>
      </w:pPr>
      <w:bookmarkStart w:id="16" w:name="_Toc366612104"/>
      <w:r w:rsidRPr="004A4736">
        <w:rPr>
          <w:rFonts w:ascii="Times New Roman" w:hAnsi="Times New Roman"/>
          <w:color w:val="auto"/>
        </w:rPr>
        <w:t>1. Termiņuzturēšanās atļauju piešķiršanas dinamika 2004.-2012.gad</w:t>
      </w:r>
      <w:bookmarkEnd w:id="15"/>
      <w:r w:rsidRPr="004A4736">
        <w:rPr>
          <w:rFonts w:ascii="Times New Roman" w:hAnsi="Times New Roman"/>
          <w:color w:val="auto"/>
        </w:rPr>
        <w:t>ā</w:t>
      </w:r>
      <w:r w:rsidR="00A01F5E">
        <w:rPr>
          <w:rFonts w:ascii="Times New Roman" w:hAnsi="Times New Roman"/>
          <w:color w:val="auto"/>
        </w:rPr>
        <w:t xml:space="preserve"> un vispārīga informācija par investoriem izsniegtajām un anulētajām uzturēšanās atļaujām</w:t>
      </w:r>
      <w:bookmarkEnd w:id="16"/>
    </w:p>
    <w:p w:rsidR="009B10A4" w:rsidRPr="004A4736" w:rsidRDefault="009B10A4" w:rsidP="007C20CA">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No 2004.gada līdz 2007.gadam pirmreizēji ieceļojušo ārzemnieku skaits Latvijā ir pakāpeniski palielinājies, augstāko līmeni sasniedzot 2007.gadā (4831 ārzemnieks). Ieceļotāju skaita pieaugumu šajos gados lielā mērā ietekmēja strauji augošais pieprasījums pēc darbaspēka un viesstrādnieku uzaicināšana no ārvalstīm. </w:t>
      </w:r>
    </w:p>
    <w:p w:rsidR="009B10A4" w:rsidRPr="004A4736" w:rsidRDefault="009B10A4" w:rsidP="007C20CA">
      <w:pPr>
        <w:spacing w:after="60" w:line="240" w:lineRule="auto"/>
        <w:jc w:val="right"/>
        <w:rPr>
          <w:rFonts w:ascii="Times New Roman" w:hAnsi="Times New Roman"/>
          <w:sz w:val="26"/>
          <w:szCs w:val="26"/>
        </w:rPr>
      </w:pPr>
    </w:p>
    <w:p w:rsidR="009B10A4" w:rsidRPr="004A4736" w:rsidRDefault="009B10A4" w:rsidP="007C20CA">
      <w:pPr>
        <w:spacing w:after="60" w:line="240" w:lineRule="auto"/>
        <w:jc w:val="right"/>
        <w:rPr>
          <w:rFonts w:ascii="Times New Roman" w:hAnsi="Times New Roman"/>
          <w:sz w:val="26"/>
          <w:szCs w:val="26"/>
        </w:rPr>
      </w:pPr>
    </w:p>
    <w:p w:rsidR="009B10A4" w:rsidRPr="004A4736" w:rsidRDefault="009B10A4" w:rsidP="007C20CA">
      <w:pPr>
        <w:spacing w:after="60" w:line="240" w:lineRule="auto"/>
        <w:jc w:val="right"/>
        <w:rPr>
          <w:rFonts w:ascii="Times New Roman" w:hAnsi="Times New Roman"/>
          <w:sz w:val="26"/>
          <w:szCs w:val="26"/>
        </w:rPr>
      </w:pPr>
      <w:r w:rsidRPr="004A4736">
        <w:rPr>
          <w:rFonts w:ascii="Times New Roman" w:hAnsi="Times New Roman"/>
          <w:sz w:val="26"/>
          <w:szCs w:val="26"/>
        </w:rPr>
        <w:t>1.attēls</w:t>
      </w:r>
    </w:p>
    <w:tbl>
      <w:tblPr>
        <w:tblW w:w="5322" w:type="pct"/>
        <w:tblLayout w:type="fixed"/>
        <w:tblLook w:val="00A0" w:firstRow="1" w:lastRow="0" w:firstColumn="1" w:lastColumn="0" w:noHBand="0" w:noVBand="0"/>
      </w:tblPr>
      <w:tblGrid>
        <w:gridCol w:w="5104"/>
        <w:gridCol w:w="5083"/>
      </w:tblGrid>
      <w:tr w:rsidR="009B10A4" w:rsidRPr="004A4736" w:rsidTr="000322BB">
        <w:tc>
          <w:tcPr>
            <w:tcW w:w="2505" w:type="pct"/>
          </w:tcPr>
          <w:p w:rsidR="009B10A4" w:rsidRPr="004A4736" w:rsidRDefault="009B10A4" w:rsidP="002109DC">
            <w:pPr>
              <w:spacing w:after="0" w:line="240" w:lineRule="auto"/>
              <w:ind w:left="142" w:right="202"/>
              <w:jc w:val="center"/>
              <w:rPr>
                <w:rFonts w:ascii="Times New Roman" w:hAnsi="Times New Roman"/>
                <w:b/>
                <w:szCs w:val="26"/>
              </w:rPr>
            </w:pPr>
            <w:r w:rsidRPr="004A4736">
              <w:rPr>
                <w:rFonts w:ascii="Times New Roman" w:hAnsi="Times New Roman"/>
                <w:b/>
                <w:szCs w:val="26"/>
              </w:rPr>
              <w:t xml:space="preserve">Pirmreizējo termiņuzturēšanās atļauju skaits </w:t>
            </w:r>
          </w:p>
        </w:tc>
        <w:tc>
          <w:tcPr>
            <w:tcW w:w="2495" w:type="pct"/>
          </w:tcPr>
          <w:p w:rsidR="009B10A4" w:rsidRPr="004A4736" w:rsidRDefault="009B10A4" w:rsidP="002109DC">
            <w:pPr>
              <w:spacing w:after="0" w:line="240" w:lineRule="auto"/>
              <w:ind w:left="142" w:right="202"/>
              <w:jc w:val="center"/>
              <w:rPr>
                <w:rFonts w:ascii="Times New Roman" w:hAnsi="Times New Roman"/>
                <w:b/>
                <w:szCs w:val="26"/>
              </w:rPr>
            </w:pPr>
            <w:r w:rsidRPr="004A4736">
              <w:rPr>
                <w:rFonts w:ascii="Times New Roman" w:hAnsi="Times New Roman"/>
                <w:b/>
                <w:szCs w:val="26"/>
              </w:rPr>
              <w:t>Pirmreizēji izsniegto termiņuzturēšanās atļauju sadalījums pa atļauju pieprasīšanas iemesliem</w:t>
            </w:r>
          </w:p>
        </w:tc>
      </w:tr>
      <w:tr w:rsidR="009B10A4" w:rsidRPr="004A4736" w:rsidTr="000322BB">
        <w:tc>
          <w:tcPr>
            <w:tcW w:w="2505" w:type="pct"/>
          </w:tcPr>
          <w:p w:rsidR="009B10A4" w:rsidRPr="004A4736" w:rsidRDefault="006A1D3B" w:rsidP="002109DC">
            <w:pPr>
              <w:spacing w:after="0" w:line="240" w:lineRule="auto"/>
              <w:ind w:left="142" w:right="202"/>
              <w:jc w:val="center"/>
              <w:rPr>
                <w:rFonts w:ascii="Times New Roman" w:hAnsi="Times New Roman"/>
                <w:b/>
                <w:szCs w:val="26"/>
              </w:rPr>
            </w:pPr>
            <w:r w:rsidRPr="004A4736">
              <w:rPr>
                <w:rFonts w:ascii="Times New Roman" w:hAnsi="Times New Roman"/>
                <w:b/>
                <w:noProof/>
                <w:szCs w:val="26"/>
                <w:lang w:eastAsia="lv-LV"/>
              </w:rPr>
              <w:drawing>
                <wp:inline distT="0" distB="0" distL="0" distR="0">
                  <wp:extent cx="2838450" cy="2219325"/>
                  <wp:effectExtent l="0" t="0" r="0"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495" w:type="pct"/>
          </w:tcPr>
          <w:p w:rsidR="009B10A4" w:rsidRPr="004A4736" w:rsidRDefault="006A1D3B" w:rsidP="002109DC">
            <w:pPr>
              <w:spacing w:after="0" w:line="240" w:lineRule="auto"/>
              <w:ind w:left="142" w:right="202"/>
              <w:jc w:val="center"/>
              <w:rPr>
                <w:rFonts w:ascii="Times New Roman" w:hAnsi="Times New Roman"/>
                <w:b/>
                <w:szCs w:val="26"/>
              </w:rPr>
            </w:pPr>
            <w:r w:rsidRPr="004A4736">
              <w:rPr>
                <w:rFonts w:ascii="Times New Roman" w:hAnsi="Times New Roman"/>
                <w:noProof/>
                <w:sz w:val="26"/>
                <w:szCs w:val="26"/>
                <w:lang w:eastAsia="lv-LV"/>
              </w:rPr>
              <w:drawing>
                <wp:inline distT="0" distB="0" distL="0" distR="0">
                  <wp:extent cx="3067050" cy="1933575"/>
                  <wp:effectExtent l="0" t="0" r="0" b="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B10A4" w:rsidRPr="004A4736" w:rsidTr="000322BB">
        <w:tc>
          <w:tcPr>
            <w:tcW w:w="2505" w:type="pct"/>
          </w:tcPr>
          <w:p w:rsidR="009B10A4" w:rsidRPr="004A4736" w:rsidRDefault="009B10A4" w:rsidP="00C47BDF">
            <w:pPr>
              <w:spacing w:after="0" w:line="240" w:lineRule="auto"/>
              <w:ind w:left="142" w:right="202"/>
              <w:rPr>
                <w:rFonts w:ascii="Times New Roman" w:hAnsi="Times New Roman"/>
                <w:i/>
                <w:szCs w:val="26"/>
              </w:rPr>
            </w:pPr>
            <w:r w:rsidRPr="004A4736">
              <w:rPr>
                <w:rFonts w:ascii="Times New Roman" w:hAnsi="Times New Roman"/>
                <w:i/>
                <w:szCs w:val="26"/>
              </w:rPr>
              <w:t xml:space="preserve">Avots: PMLP </w:t>
            </w:r>
          </w:p>
        </w:tc>
        <w:tc>
          <w:tcPr>
            <w:tcW w:w="2495" w:type="pct"/>
          </w:tcPr>
          <w:p w:rsidR="009B10A4" w:rsidRPr="004A4736" w:rsidRDefault="009B10A4" w:rsidP="00C47BDF">
            <w:pPr>
              <w:spacing w:after="0" w:line="240" w:lineRule="auto"/>
              <w:ind w:left="142" w:right="202"/>
              <w:rPr>
                <w:rFonts w:ascii="Times New Roman" w:hAnsi="Times New Roman"/>
                <w:i/>
                <w:szCs w:val="26"/>
              </w:rPr>
            </w:pPr>
            <w:r w:rsidRPr="004A4736">
              <w:rPr>
                <w:rFonts w:ascii="Times New Roman" w:hAnsi="Times New Roman"/>
                <w:i/>
                <w:szCs w:val="26"/>
              </w:rPr>
              <w:t>Avots: PMLP</w:t>
            </w:r>
          </w:p>
        </w:tc>
      </w:tr>
    </w:tbl>
    <w:p w:rsidR="009B10A4" w:rsidRPr="004A4736" w:rsidRDefault="009B10A4" w:rsidP="007C20CA">
      <w:pPr>
        <w:spacing w:after="0" w:line="240" w:lineRule="auto"/>
        <w:ind w:firstLine="426"/>
        <w:jc w:val="both"/>
        <w:rPr>
          <w:rFonts w:ascii="Times New Roman" w:hAnsi="Times New Roman"/>
          <w:szCs w:val="26"/>
        </w:rPr>
      </w:pPr>
    </w:p>
    <w:p w:rsidR="009B10A4" w:rsidRPr="004A4736" w:rsidRDefault="009B10A4" w:rsidP="007C20CA">
      <w:pPr>
        <w:spacing w:after="0" w:line="240" w:lineRule="auto"/>
        <w:ind w:firstLine="426"/>
        <w:jc w:val="both"/>
        <w:rPr>
          <w:rFonts w:ascii="Times New Roman" w:hAnsi="Times New Roman"/>
          <w:sz w:val="26"/>
          <w:szCs w:val="26"/>
        </w:rPr>
      </w:pPr>
      <w:r w:rsidRPr="004A4736">
        <w:rPr>
          <w:rFonts w:ascii="Times New Roman" w:hAnsi="Times New Roman"/>
          <w:sz w:val="26"/>
          <w:szCs w:val="26"/>
        </w:rPr>
        <w:t>Ekonomiskās krīzes laikā pirmreizēji izsniegto termiņuzturēšanās atļauju (TUA) skaits strauji samazinājās. 2009.gadā un 2010.gadā izsniegto TUA skaits bija uz pusi mazāks nekā 2007.gadā.</w:t>
      </w:r>
    </w:p>
    <w:p w:rsidR="009B10A4" w:rsidRPr="004A4736" w:rsidRDefault="009B10A4" w:rsidP="00CC340E">
      <w:pPr>
        <w:spacing w:after="0" w:line="240" w:lineRule="auto"/>
        <w:ind w:firstLine="426"/>
        <w:jc w:val="both"/>
        <w:rPr>
          <w:rFonts w:ascii="Times New Roman" w:hAnsi="Times New Roman"/>
          <w:sz w:val="26"/>
          <w:szCs w:val="26"/>
        </w:rPr>
      </w:pPr>
      <w:r w:rsidRPr="004A4736">
        <w:rPr>
          <w:rFonts w:ascii="Times New Roman" w:hAnsi="Times New Roman"/>
          <w:sz w:val="26"/>
          <w:szCs w:val="26"/>
        </w:rPr>
        <w:t>2011.gadā pirmreizēji izsniegto TUA skaits palielinājās, sasniedzot 4 824 atļaujas. Pirmreizēji izsniegto TUA palielinājums lielā mērā saistīts ar 2010.gada 1.jūlijā Imigrācijas likumā ieviestajiem grozījumiem (turpmāk – attiecīgās Imigrācijas likuma normas), kas paredzēja TUA izsniegšanu gadījumos, kad ārzemnieks veic investīcijas Latvijas tautsaimniecībā.</w:t>
      </w:r>
      <w:bookmarkStart w:id="17" w:name="_Toc340050953"/>
      <w:r w:rsidRPr="004A4736">
        <w:rPr>
          <w:rFonts w:ascii="Times New Roman" w:hAnsi="Times New Roman"/>
          <w:sz w:val="26"/>
          <w:szCs w:val="26"/>
        </w:rPr>
        <w:t xml:space="preserve"> No 2011.gadā izsniegtajām 4 824 TUA vairāk nekā 30% bija saistītas ar minētajiem Imigrācijas likumā ieviestajiem grozījumiem. 201</w:t>
      </w:r>
      <w:r w:rsidR="00ED5400" w:rsidRPr="004A4736">
        <w:rPr>
          <w:rFonts w:ascii="Times New Roman" w:hAnsi="Times New Roman"/>
          <w:sz w:val="26"/>
          <w:szCs w:val="26"/>
        </w:rPr>
        <w:t>3</w:t>
      </w:r>
      <w:r w:rsidRPr="004A4736">
        <w:rPr>
          <w:rFonts w:ascii="Times New Roman" w:hAnsi="Times New Roman"/>
          <w:sz w:val="26"/>
          <w:szCs w:val="26"/>
        </w:rPr>
        <w:t xml:space="preserve">.gadā šī tendence turpinājās, ārvalstu investoriem un viņu ģimenes locekļiem izsniegto pirmreizējo uzturēšanās atļauju skaitam sasniedzot 40% no visa kopējā termiņuzturēšanās atļauju skaita. </w:t>
      </w:r>
    </w:p>
    <w:p w:rsidR="00A01F5E" w:rsidRDefault="009B10A4" w:rsidP="00A01F5E">
      <w:pPr>
        <w:pStyle w:val="ListParagraph"/>
        <w:spacing w:after="0" w:line="240" w:lineRule="auto"/>
        <w:ind w:left="0" w:firstLine="426"/>
        <w:jc w:val="both"/>
        <w:rPr>
          <w:rFonts w:ascii="Times New Roman" w:hAnsi="Times New Roman"/>
          <w:sz w:val="26"/>
          <w:szCs w:val="26"/>
        </w:rPr>
      </w:pPr>
      <w:r w:rsidRPr="004A4736">
        <w:rPr>
          <w:rFonts w:ascii="Times New Roman" w:hAnsi="Times New Roman"/>
          <w:sz w:val="26"/>
          <w:szCs w:val="26"/>
        </w:rPr>
        <w:t xml:space="preserve">No 2010.gada 1.jūlija līdz 2013.gada 30.jūnijam investīciju programmas ietvaros PMLP ir saņēmusi 6 883 personu, tajā skaitā, 2 893 investoru un 3 990 viņu ģimenes locekļu pieprasījumus TUA saņemšanai. Šajā laika posmā izsniegtas 6 749 uzturēšanās atļaujas. No visiem pieņemtajiem lēmumiem 97,9% ir bijuši pozitīvi lēmumi. </w:t>
      </w:r>
    </w:p>
    <w:p w:rsidR="009B10A4" w:rsidRDefault="009B10A4" w:rsidP="00A01F5E">
      <w:pPr>
        <w:pStyle w:val="ListParagraph"/>
        <w:spacing w:after="0" w:line="240" w:lineRule="auto"/>
        <w:ind w:left="0" w:firstLine="426"/>
        <w:jc w:val="both"/>
        <w:rPr>
          <w:rFonts w:ascii="Times New Roman" w:hAnsi="Times New Roman"/>
          <w:sz w:val="26"/>
          <w:szCs w:val="26"/>
        </w:rPr>
      </w:pPr>
      <w:r w:rsidRPr="004A4736">
        <w:rPr>
          <w:rFonts w:ascii="Times New Roman" w:hAnsi="Times New Roman"/>
          <w:sz w:val="26"/>
          <w:szCs w:val="26"/>
        </w:rPr>
        <w:t>No 2010.gada 1.jūlija anulēta 201 TUA.</w:t>
      </w:r>
      <w:r w:rsidR="008B04FD">
        <w:rPr>
          <w:rFonts w:ascii="Times New Roman" w:hAnsi="Times New Roman"/>
          <w:sz w:val="26"/>
          <w:szCs w:val="26"/>
        </w:rPr>
        <w:t xml:space="preserve"> Visvairāk TUA anulētas nekustamā īpašuma īpašniekiem – 129 atļaujas.</w:t>
      </w:r>
      <w:r w:rsidRPr="004A4736">
        <w:rPr>
          <w:rFonts w:ascii="Times New Roman" w:hAnsi="Times New Roman"/>
          <w:sz w:val="26"/>
          <w:szCs w:val="26"/>
        </w:rPr>
        <w:t xml:space="preserve"> </w:t>
      </w:r>
      <w:r w:rsidR="008B04FD">
        <w:rPr>
          <w:rFonts w:ascii="Times New Roman" w:hAnsi="Times New Roman"/>
          <w:sz w:val="26"/>
          <w:szCs w:val="26"/>
        </w:rPr>
        <w:t>A</w:t>
      </w:r>
      <w:r w:rsidRPr="004A4736">
        <w:rPr>
          <w:rFonts w:ascii="Times New Roman" w:hAnsi="Times New Roman"/>
          <w:sz w:val="26"/>
          <w:szCs w:val="26"/>
        </w:rPr>
        <w:t>nulēšanas iemesli – nekustamā īpašuma pārdošana</w:t>
      </w:r>
      <w:r w:rsidR="008B04FD">
        <w:rPr>
          <w:rFonts w:ascii="Times New Roman" w:hAnsi="Times New Roman"/>
          <w:sz w:val="26"/>
          <w:szCs w:val="26"/>
        </w:rPr>
        <w:t xml:space="preserve"> (62 TUA)</w:t>
      </w:r>
      <w:r w:rsidRPr="004A4736">
        <w:rPr>
          <w:rFonts w:ascii="Times New Roman" w:hAnsi="Times New Roman"/>
          <w:sz w:val="26"/>
          <w:szCs w:val="26"/>
        </w:rPr>
        <w:t xml:space="preserve">, </w:t>
      </w:r>
      <w:r w:rsidR="008B04FD">
        <w:rPr>
          <w:rFonts w:ascii="Times New Roman" w:hAnsi="Times New Roman"/>
          <w:sz w:val="26"/>
          <w:szCs w:val="26"/>
        </w:rPr>
        <w:t>izceļo no Latvijas vai TUA nav reģistrēta likumā noteiktajā termiņā (</w:t>
      </w:r>
      <w:r w:rsidR="008B04FD">
        <w:rPr>
          <w:rFonts w:ascii="Times New Roman" w:hAnsi="Times New Roman"/>
          <w:sz w:val="26"/>
          <w:szCs w:val="26"/>
        </w:rPr>
        <w:t>38</w:t>
      </w:r>
      <w:r w:rsidR="008B04FD">
        <w:rPr>
          <w:rFonts w:ascii="Times New Roman" w:hAnsi="Times New Roman"/>
          <w:sz w:val="26"/>
          <w:szCs w:val="26"/>
        </w:rPr>
        <w:t>),</w:t>
      </w:r>
      <w:r w:rsidR="008B04FD">
        <w:rPr>
          <w:rFonts w:ascii="Times New Roman" w:hAnsi="Times New Roman"/>
          <w:sz w:val="26"/>
          <w:szCs w:val="26"/>
        </w:rPr>
        <w:t xml:space="preserve"> persona pieprasa TUA sakarā ar citu iemeslu (25), īpašumam ir nepietiekama kadastrālā vērtība (4). Ieguldītājiem kapitālsabiedrības pamatkapitālā anulētas 48 TUA. Iemesli – persona pieprasa TUA sakarā ar citu iemeslu (36), </w:t>
      </w:r>
      <w:r w:rsidR="00A01F5E">
        <w:rPr>
          <w:rFonts w:ascii="Times New Roman" w:hAnsi="Times New Roman"/>
          <w:sz w:val="26"/>
          <w:szCs w:val="26"/>
        </w:rPr>
        <w:t>persona nav reģistrējusi TUA vai izceļo no Latvijas</w:t>
      </w:r>
      <w:r w:rsidR="00A01F5E">
        <w:rPr>
          <w:rFonts w:ascii="Times New Roman" w:hAnsi="Times New Roman"/>
          <w:sz w:val="26"/>
          <w:szCs w:val="26"/>
        </w:rPr>
        <w:t xml:space="preserve"> (6</w:t>
      </w:r>
      <w:r w:rsidR="00A01F5E">
        <w:rPr>
          <w:rFonts w:ascii="Times New Roman" w:hAnsi="Times New Roman"/>
          <w:sz w:val="26"/>
          <w:szCs w:val="26"/>
        </w:rPr>
        <w:t>),</w:t>
      </w:r>
      <w:r w:rsidR="00A01F5E">
        <w:rPr>
          <w:rFonts w:ascii="Times New Roman" w:hAnsi="Times New Roman"/>
          <w:sz w:val="26"/>
          <w:szCs w:val="26"/>
        </w:rPr>
        <w:t xml:space="preserve"> </w:t>
      </w:r>
      <w:r w:rsidR="008B04FD">
        <w:rPr>
          <w:rFonts w:ascii="Times New Roman" w:hAnsi="Times New Roman"/>
          <w:sz w:val="26"/>
          <w:szCs w:val="26"/>
        </w:rPr>
        <w:t>vairs nepastāv apstākļi TUA saņemšanai, piemēram, uzņēmuma akcijas ir atsavinātas (5), nav nomaksāti nodok</w:t>
      </w:r>
      <w:r w:rsidR="00A01F5E">
        <w:rPr>
          <w:rFonts w:ascii="Times New Roman" w:hAnsi="Times New Roman"/>
          <w:sz w:val="26"/>
          <w:szCs w:val="26"/>
        </w:rPr>
        <w:t xml:space="preserve">ļi (1). Ieguldītājiem kredītiestādes subordinētajā kapitālā anulētas 24 TUA. Iemesli – persona </w:t>
      </w:r>
      <w:r w:rsidR="00A01F5E">
        <w:rPr>
          <w:rFonts w:ascii="Times New Roman" w:hAnsi="Times New Roman"/>
          <w:sz w:val="26"/>
          <w:szCs w:val="26"/>
        </w:rPr>
        <w:t>izceļo no Latvijas vai TUA nav reģistrēta likumā noteiktajā termiņā</w:t>
      </w:r>
      <w:r w:rsidR="00A01F5E">
        <w:rPr>
          <w:rFonts w:ascii="Times New Roman" w:hAnsi="Times New Roman"/>
          <w:sz w:val="26"/>
          <w:szCs w:val="26"/>
        </w:rPr>
        <w:t xml:space="preserve"> (16), persona pieprasa TUA sakarā ar citu iemeslu (8).</w:t>
      </w:r>
    </w:p>
    <w:p w:rsidR="00A01F5E" w:rsidRPr="004A4736" w:rsidRDefault="00A01F5E" w:rsidP="00A01F5E">
      <w:pPr>
        <w:pStyle w:val="ListParagraph"/>
        <w:spacing w:after="0" w:line="240" w:lineRule="auto"/>
        <w:ind w:left="0" w:firstLine="426"/>
        <w:jc w:val="both"/>
        <w:rPr>
          <w:rFonts w:ascii="Times New Roman" w:hAnsi="Times New Roman"/>
          <w:sz w:val="26"/>
          <w:szCs w:val="26"/>
        </w:rPr>
      </w:pPr>
      <w:r>
        <w:rPr>
          <w:rFonts w:ascii="Times New Roman" w:hAnsi="Times New Roman"/>
          <w:sz w:val="26"/>
          <w:szCs w:val="26"/>
        </w:rPr>
        <w:t xml:space="preserve">Iepriekš minētā informācija liecina, ka viens no biežākajiem TUA anulēšanas iemesliem ir TUA savlaicīga nereģistrēšana. Imigrācijas likums nosaka pienākumu TUA reģistrēt reizi gadā. Veicot reģistrāciju, PMLP veic padziļinātu pārbaudi, lai pārliecinātos, ka joprojām ir ievēroti visi Imigrācijas likumā paredzētie nosacījumi TUA saņemšanai, piemēram, vai ārzemniekam joprojām pieder nekustamais īpašums, vai ir veikta nodokļu nomaksa, kā arī, reģistrējot TUA, tiek veikta pārbaude par to, vai ārzemnieks samaksājis visus par viņa izdarītajiem administratīvajiem pārkāpumiem uzliktos naudas sodus. Naudas soda nenomaksāšanas gadījumā </w:t>
      </w:r>
      <w:r w:rsidR="00B54B9F">
        <w:rPr>
          <w:rFonts w:ascii="Times New Roman" w:hAnsi="Times New Roman"/>
          <w:sz w:val="26"/>
          <w:szCs w:val="26"/>
        </w:rPr>
        <w:t xml:space="preserve">vai konstatējot citu Imigrācijas likumā noteikto nosacījumu neievērošanu, TUA pie reģistrācijas netiek izsniegta. </w:t>
      </w:r>
    </w:p>
    <w:p w:rsidR="009B10A4" w:rsidRPr="004A4736" w:rsidRDefault="009B10A4" w:rsidP="00CC340E">
      <w:pPr>
        <w:spacing w:after="0" w:line="240" w:lineRule="auto"/>
        <w:ind w:firstLine="426"/>
        <w:jc w:val="both"/>
        <w:rPr>
          <w:rFonts w:ascii="Times New Roman" w:hAnsi="Times New Roman"/>
          <w:sz w:val="26"/>
          <w:szCs w:val="26"/>
        </w:rPr>
      </w:pPr>
    </w:p>
    <w:p w:rsidR="009B10A4" w:rsidRPr="004A4736" w:rsidRDefault="009B10A4" w:rsidP="007E51FA">
      <w:pPr>
        <w:pStyle w:val="Heading1"/>
        <w:spacing w:before="0" w:after="120" w:line="240" w:lineRule="auto"/>
        <w:rPr>
          <w:rFonts w:ascii="Times New Roman" w:hAnsi="Times New Roman"/>
          <w:color w:val="auto"/>
        </w:rPr>
      </w:pPr>
      <w:bookmarkStart w:id="18" w:name="_Toc366612105"/>
      <w:r w:rsidRPr="004A4736">
        <w:rPr>
          <w:rFonts w:ascii="Times New Roman" w:hAnsi="Times New Roman"/>
          <w:color w:val="auto"/>
        </w:rPr>
        <w:t>2. Ārvalstu investīcijas saistībā ar termiņuzturēšanās atļaujām</w:t>
      </w:r>
      <w:bookmarkEnd w:id="18"/>
    </w:p>
    <w:p w:rsidR="009B10A4" w:rsidRPr="004A4736" w:rsidRDefault="009B10A4" w:rsidP="00E45FC7">
      <w:pPr>
        <w:spacing w:after="0" w:line="240" w:lineRule="auto"/>
        <w:ind w:firstLine="426"/>
        <w:jc w:val="both"/>
        <w:rPr>
          <w:rFonts w:ascii="Times New Roman" w:hAnsi="Times New Roman"/>
          <w:sz w:val="26"/>
          <w:szCs w:val="26"/>
        </w:rPr>
      </w:pPr>
      <w:r w:rsidRPr="004A4736">
        <w:rPr>
          <w:rFonts w:ascii="Times New Roman" w:hAnsi="Times New Roman"/>
          <w:sz w:val="26"/>
          <w:szCs w:val="26"/>
        </w:rPr>
        <w:t>Imigrācijas likuma normas ļauj ārvalstniekiem iegūt TUA Latvijā pret noteiktiem ieguldījumiem Latvijas tautsaimniecībā – investīcijām nekustamajā īpašumā, uzņēmējdarbībā (kapitālsabiedrības pamatkapitālā) vai arī Latvijā reģistrētas kredītiestādes</w:t>
      </w:r>
      <w:r w:rsidRPr="004A4736">
        <w:rPr>
          <w:rFonts w:ascii="Times New Roman" w:hAnsi="Times New Roman"/>
        </w:rPr>
        <w:t xml:space="preserve"> </w:t>
      </w:r>
      <w:r w:rsidRPr="004A4736">
        <w:rPr>
          <w:rFonts w:ascii="Times New Roman" w:hAnsi="Times New Roman"/>
          <w:sz w:val="26"/>
          <w:szCs w:val="26"/>
        </w:rPr>
        <w:t>subordinētajā kapitālā.</w:t>
      </w:r>
    </w:p>
    <w:p w:rsidR="009B10A4" w:rsidRPr="004A4736" w:rsidRDefault="009B10A4" w:rsidP="00E22DF6">
      <w:pPr>
        <w:spacing w:after="0" w:line="240" w:lineRule="auto"/>
        <w:ind w:firstLine="426"/>
        <w:jc w:val="both"/>
        <w:rPr>
          <w:rFonts w:ascii="Times New Roman" w:hAnsi="Times New Roman"/>
          <w:color w:val="000000"/>
          <w:sz w:val="26"/>
          <w:szCs w:val="26"/>
        </w:rPr>
      </w:pPr>
      <w:r w:rsidRPr="004A4736">
        <w:rPr>
          <w:rFonts w:ascii="Times New Roman" w:hAnsi="Times New Roman"/>
          <w:sz w:val="26"/>
          <w:szCs w:val="26"/>
        </w:rPr>
        <w:t xml:space="preserve">Attiecīgās Imigrācijas likuma normas ir aktivizējušas ārvalstu investīciju plūsmas uz Latviju. No kopumā TUA ietvaros ieguldītajiem līdzekļiem 80% jeb 335,2 milj. latu ir saistīti ar darījumiem Latvijas nekustamā īpašuma tirgū. Pēc kopējā apjoma otrie lielākie ieguldījumi, kas uzrādīti TUA saņemšanai, ir ieguldījumi kredītiestāžu subordinētajā kapitālā (15% jeb 63,7 milj. latu no visiem ieguldījumiem). Savukārt attiecinātie </w:t>
      </w:r>
      <w:r w:rsidRPr="004A4736">
        <w:rPr>
          <w:rFonts w:ascii="Times New Roman" w:hAnsi="Times New Roman"/>
          <w:color w:val="000000"/>
          <w:sz w:val="26"/>
          <w:szCs w:val="26"/>
        </w:rPr>
        <w:t>ieguldījumi kapitālsabiedrību pamatkapitālā 2013.gada 1.pusgadā ir pieauguši un gandrīz sasniedz 2012.gada kopējos apjomus</w:t>
      </w:r>
      <w:r w:rsidRPr="004A4736">
        <w:rPr>
          <w:rStyle w:val="CommentReference"/>
          <w:szCs w:val="16"/>
        </w:rPr>
        <w:t xml:space="preserve"> </w:t>
      </w:r>
      <w:r w:rsidRPr="004A4736">
        <w:rPr>
          <w:rFonts w:ascii="Times New Roman" w:hAnsi="Times New Roman"/>
          <w:color w:val="000000"/>
          <w:sz w:val="26"/>
          <w:szCs w:val="26"/>
        </w:rPr>
        <w:t>veidojot 5% (jeb 20,2 milj. latu) no kopējām veiktajām investīcijām attiecīgajā periodā, vienlaikus ievērojami pieaugot arī pieteikto TUA skaitam.</w:t>
      </w:r>
    </w:p>
    <w:p w:rsidR="009B10A4" w:rsidRPr="004A4736" w:rsidRDefault="009B10A4" w:rsidP="00190A3C">
      <w:pPr>
        <w:spacing w:after="0" w:line="240" w:lineRule="auto"/>
        <w:ind w:firstLine="567"/>
        <w:jc w:val="right"/>
        <w:rPr>
          <w:rFonts w:ascii="Times New Roman" w:hAnsi="Times New Roman"/>
          <w:sz w:val="26"/>
          <w:szCs w:val="26"/>
        </w:rPr>
      </w:pPr>
    </w:p>
    <w:p w:rsidR="009B10A4" w:rsidRPr="004A4736" w:rsidRDefault="009B10A4" w:rsidP="00190A3C">
      <w:pPr>
        <w:spacing w:after="0" w:line="240" w:lineRule="auto"/>
        <w:ind w:firstLine="567"/>
        <w:jc w:val="right"/>
        <w:rPr>
          <w:rFonts w:ascii="Times New Roman" w:hAnsi="Times New Roman"/>
          <w:sz w:val="26"/>
          <w:szCs w:val="26"/>
        </w:rPr>
      </w:pPr>
      <w:r w:rsidRPr="004A4736">
        <w:rPr>
          <w:rFonts w:ascii="Times New Roman" w:hAnsi="Times New Roman"/>
          <w:sz w:val="26"/>
          <w:szCs w:val="26"/>
        </w:rPr>
        <w:t>1.tabula</w:t>
      </w:r>
    </w:p>
    <w:p w:rsidR="009B10A4" w:rsidRPr="004A4736" w:rsidRDefault="009B10A4" w:rsidP="00D36975">
      <w:pPr>
        <w:spacing w:after="0" w:line="240" w:lineRule="auto"/>
        <w:jc w:val="center"/>
        <w:rPr>
          <w:rFonts w:ascii="Times New Roman" w:hAnsi="Times New Roman"/>
          <w:b/>
          <w:sz w:val="24"/>
          <w:szCs w:val="24"/>
        </w:rPr>
      </w:pPr>
      <w:r w:rsidRPr="004A4736">
        <w:rPr>
          <w:rFonts w:ascii="Times New Roman" w:hAnsi="Times New Roman"/>
          <w:b/>
          <w:sz w:val="24"/>
          <w:szCs w:val="24"/>
        </w:rPr>
        <w:t>Kopējais investīciju apjoms Imigrācijas likuma normu izmaiņu rezultātā (tūkst. latu)</w:t>
      </w:r>
    </w:p>
    <w:p w:rsidR="009B10A4" w:rsidRPr="004A4736" w:rsidRDefault="009B10A4" w:rsidP="00794BCF">
      <w:pPr>
        <w:spacing w:after="0" w:line="240" w:lineRule="auto"/>
        <w:ind w:firstLine="567"/>
        <w:jc w:val="both"/>
        <w:rPr>
          <w:rFonts w:ascii="Times New Roman" w:hAnsi="Times New Roman"/>
          <w:sz w:val="8"/>
          <w:szCs w:val="8"/>
        </w:rPr>
      </w:pPr>
    </w:p>
    <w:tbl>
      <w:tblPr>
        <w:tblW w:w="4678" w:type="pct"/>
        <w:jc w:val="center"/>
        <w:tblLayout w:type="fixed"/>
        <w:tblLook w:val="00A0" w:firstRow="1" w:lastRow="0" w:firstColumn="1" w:lastColumn="0" w:noHBand="0" w:noVBand="0"/>
      </w:tblPr>
      <w:tblGrid>
        <w:gridCol w:w="2017"/>
        <w:gridCol w:w="1345"/>
        <w:gridCol w:w="7"/>
        <w:gridCol w:w="1470"/>
        <w:gridCol w:w="1356"/>
        <w:gridCol w:w="11"/>
        <w:gridCol w:w="1333"/>
        <w:gridCol w:w="11"/>
        <w:gridCol w:w="1381"/>
        <w:gridCol w:w="11"/>
        <w:gridCol w:w="13"/>
      </w:tblGrid>
      <w:tr w:rsidR="009B10A4" w:rsidRPr="004A4736" w:rsidTr="00A43091">
        <w:trPr>
          <w:gridAfter w:val="2"/>
          <w:wAfter w:w="13" w:type="pct"/>
          <w:trHeight w:val="300"/>
          <w:jc w:val="center"/>
        </w:trPr>
        <w:tc>
          <w:tcPr>
            <w:tcW w:w="1126" w:type="pct"/>
            <w:tcBorders>
              <w:top w:val="single" w:sz="4" w:space="0" w:color="auto"/>
              <w:bottom w:val="single" w:sz="4" w:space="0" w:color="auto"/>
              <w:right w:val="single" w:sz="4" w:space="0" w:color="auto"/>
            </w:tcBorders>
            <w:shd w:val="clear" w:color="auto" w:fill="D9D9D9"/>
            <w:noWrap/>
            <w:vAlign w:val="bottom"/>
          </w:tcPr>
          <w:p w:rsidR="009B10A4" w:rsidRPr="004A4736" w:rsidRDefault="009B10A4" w:rsidP="00AB768D">
            <w:pPr>
              <w:spacing w:after="0" w:line="240" w:lineRule="auto"/>
              <w:jc w:val="center"/>
              <w:rPr>
                <w:rFonts w:ascii="Times New Roman" w:hAnsi="Times New Roman"/>
                <w:sz w:val="20"/>
              </w:rPr>
            </w:pPr>
          </w:p>
        </w:tc>
        <w:tc>
          <w:tcPr>
            <w:tcW w:w="751" w:type="pct"/>
            <w:tcBorders>
              <w:top w:val="single" w:sz="4" w:space="0" w:color="auto"/>
              <w:left w:val="single" w:sz="4" w:space="0" w:color="auto"/>
              <w:bottom w:val="single" w:sz="4" w:space="0" w:color="auto"/>
            </w:tcBorders>
            <w:shd w:val="clear" w:color="auto" w:fill="D9D9D9"/>
            <w:noWrap/>
            <w:vAlign w:val="bottom"/>
          </w:tcPr>
          <w:p w:rsidR="009B10A4" w:rsidRPr="004A4736" w:rsidRDefault="009B10A4" w:rsidP="009A4F54">
            <w:pPr>
              <w:spacing w:after="0" w:line="240" w:lineRule="auto"/>
              <w:jc w:val="center"/>
              <w:rPr>
                <w:rFonts w:ascii="Times New Roman" w:hAnsi="Times New Roman"/>
                <w:b/>
                <w:sz w:val="20"/>
              </w:rPr>
            </w:pPr>
            <w:r w:rsidRPr="004A4736">
              <w:rPr>
                <w:rFonts w:ascii="Times New Roman" w:hAnsi="Times New Roman"/>
                <w:b/>
                <w:sz w:val="20"/>
              </w:rPr>
              <w:t>01.07.2010.-31.12.2010.</w:t>
            </w:r>
          </w:p>
        </w:tc>
        <w:tc>
          <w:tcPr>
            <w:tcW w:w="825" w:type="pct"/>
            <w:gridSpan w:val="2"/>
            <w:tcBorders>
              <w:top w:val="single" w:sz="4" w:space="0" w:color="auto"/>
              <w:bottom w:val="single" w:sz="4" w:space="0" w:color="auto"/>
            </w:tcBorders>
            <w:shd w:val="clear" w:color="auto" w:fill="D9D9D9"/>
            <w:noWrap/>
            <w:vAlign w:val="bottom"/>
          </w:tcPr>
          <w:p w:rsidR="009B10A4" w:rsidRPr="004A4736" w:rsidRDefault="009B10A4" w:rsidP="00AB768D">
            <w:pPr>
              <w:spacing w:after="0" w:line="240" w:lineRule="auto"/>
              <w:jc w:val="center"/>
              <w:rPr>
                <w:rFonts w:ascii="Times New Roman" w:hAnsi="Times New Roman"/>
                <w:b/>
                <w:sz w:val="20"/>
              </w:rPr>
            </w:pPr>
            <w:r w:rsidRPr="004A4736">
              <w:rPr>
                <w:rFonts w:ascii="Times New Roman" w:hAnsi="Times New Roman"/>
                <w:b/>
                <w:sz w:val="20"/>
              </w:rPr>
              <w:t>2011</w:t>
            </w:r>
          </w:p>
        </w:tc>
        <w:tc>
          <w:tcPr>
            <w:tcW w:w="757" w:type="pct"/>
            <w:tcBorders>
              <w:top w:val="single" w:sz="4" w:space="0" w:color="auto"/>
              <w:bottom w:val="single" w:sz="4" w:space="0" w:color="auto"/>
            </w:tcBorders>
            <w:shd w:val="clear" w:color="auto" w:fill="D9D9D9"/>
          </w:tcPr>
          <w:p w:rsidR="009B10A4" w:rsidRPr="004A4736" w:rsidRDefault="009B10A4" w:rsidP="00AB768D">
            <w:pPr>
              <w:spacing w:after="0" w:line="240" w:lineRule="auto"/>
              <w:jc w:val="center"/>
              <w:rPr>
                <w:rFonts w:ascii="Times New Roman" w:hAnsi="Times New Roman"/>
                <w:b/>
                <w:sz w:val="20"/>
              </w:rPr>
            </w:pPr>
          </w:p>
          <w:p w:rsidR="009B10A4" w:rsidRPr="004A4736" w:rsidRDefault="009B10A4" w:rsidP="00AB768D">
            <w:pPr>
              <w:spacing w:after="0" w:line="240" w:lineRule="auto"/>
              <w:jc w:val="center"/>
              <w:rPr>
                <w:rFonts w:ascii="Times New Roman" w:hAnsi="Times New Roman"/>
                <w:b/>
                <w:sz w:val="20"/>
              </w:rPr>
            </w:pPr>
            <w:r w:rsidRPr="004A4736">
              <w:rPr>
                <w:rFonts w:ascii="Times New Roman" w:hAnsi="Times New Roman"/>
                <w:b/>
                <w:sz w:val="20"/>
              </w:rPr>
              <w:t>2012</w:t>
            </w:r>
          </w:p>
        </w:tc>
        <w:tc>
          <w:tcPr>
            <w:tcW w:w="750" w:type="pct"/>
            <w:gridSpan w:val="2"/>
            <w:tcBorders>
              <w:top w:val="single" w:sz="4" w:space="0" w:color="auto"/>
              <w:bottom w:val="single" w:sz="4" w:space="0" w:color="auto"/>
            </w:tcBorders>
            <w:shd w:val="clear" w:color="auto" w:fill="D9D9D9"/>
          </w:tcPr>
          <w:p w:rsidR="009B10A4" w:rsidRPr="004A4736" w:rsidRDefault="009B10A4" w:rsidP="009A4F54">
            <w:pPr>
              <w:spacing w:after="0" w:line="240" w:lineRule="auto"/>
              <w:rPr>
                <w:rFonts w:ascii="Times New Roman" w:hAnsi="Times New Roman"/>
                <w:b/>
                <w:sz w:val="20"/>
              </w:rPr>
            </w:pPr>
            <w:r w:rsidRPr="004A4736">
              <w:rPr>
                <w:rFonts w:ascii="Times New Roman" w:hAnsi="Times New Roman"/>
                <w:b/>
                <w:sz w:val="20"/>
              </w:rPr>
              <w:t xml:space="preserve">01.01.2013- </w:t>
            </w:r>
            <w:r w:rsidR="00EF5E94" w:rsidRPr="004A4736">
              <w:rPr>
                <w:rFonts w:ascii="Times New Roman" w:hAnsi="Times New Roman"/>
                <w:b/>
                <w:sz w:val="20"/>
              </w:rPr>
              <w:t>30.06.2013.</w:t>
            </w:r>
          </w:p>
        </w:tc>
        <w:tc>
          <w:tcPr>
            <w:tcW w:w="777" w:type="pct"/>
            <w:gridSpan w:val="2"/>
            <w:tcBorders>
              <w:top w:val="single" w:sz="4" w:space="0" w:color="auto"/>
              <w:bottom w:val="single" w:sz="4" w:space="0" w:color="auto"/>
            </w:tcBorders>
            <w:shd w:val="clear" w:color="auto" w:fill="D9D9D9"/>
            <w:noWrap/>
            <w:vAlign w:val="bottom"/>
          </w:tcPr>
          <w:p w:rsidR="009B10A4" w:rsidRPr="004A4736" w:rsidRDefault="009B10A4" w:rsidP="00AB768D">
            <w:pPr>
              <w:spacing w:after="0" w:line="240" w:lineRule="auto"/>
              <w:jc w:val="center"/>
              <w:rPr>
                <w:rFonts w:ascii="Times New Roman" w:hAnsi="Times New Roman"/>
                <w:b/>
                <w:sz w:val="20"/>
              </w:rPr>
            </w:pPr>
            <w:r w:rsidRPr="004A4736">
              <w:rPr>
                <w:rFonts w:ascii="Times New Roman" w:hAnsi="Times New Roman"/>
                <w:b/>
                <w:sz w:val="20"/>
              </w:rPr>
              <w:t>Kopā</w:t>
            </w:r>
          </w:p>
        </w:tc>
      </w:tr>
      <w:tr w:rsidR="009B10A4" w:rsidRPr="004A4736" w:rsidTr="00A43091">
        <w:trPr>
          <w:trHeight w:val="300"/>
          <w:jc w:val="center"/>
        </w:trPr>
        <w:tc>
          <w:tcPr>
            <w:tcW w:w="1126" w:type="pct"/>
            <w:tcBorders>
              <w:bottom w:val="single" w:sz="4" w:space="0" w:color="auto"/>
              <w:right w:val="single" w:sz="4" w:space="0" w:color="auto"/>
            </w:tcBorders>
            <w:noWrap/>
            <w:vAlign w:val="bottom"/>
          </w:tcPr>
          <w:p w:rsidR="009B10A4" w:rsidRPr="004A4736" w:rsidRDefault="009B10A4" w:rsidP="00287D48">
            <w:pPr>
              <w:spacing w:before="60" w:after="60" w:line="240" w:lineRule="auto"/>
              <w:jc w:val="both"/>
              <w:rPr>
                <w:rFonts w:ascii="Times New Roman" w:hAnsi="Times New Roman"/>
              </w:rPr>
            </w:pPr>
            <w:r w:rsidRPr="004A4736">
              <w:rPr>
                <w:rFonts w:ascii="Times New Roman" w:hAnsi="Times New Roman"/>
              </w:rPr>
              <w:t>Nekustamie īpašumi</w:t>
            </w:r>
          </w:p>
        </w:tc>
        <w:tc>
          <w:tcPr>
            <w:tcW w:w="755" w:type="pct"/>
            <w:gridSpan w:val="2"/>
            <w:tcBorders>
              <w:left w:val="single" w:sz="4" w:space="0" w:color="auto"/>
              <w:bottom w:val="single" w:sz="4" w:space="0" w:color="auto"/>
            </w:tcBorders>
            <w:noWrap/>
          </w:tcPr>
          <w:p w:rsidR="009B10A4" w:rsidRPr="004A4736" w:rsidRDefault="009B10A4" w:rsidP="00287D48">
            <w:pPr>
              <w:spacing w:before="60" w:after="60" w:line="240" w:lineRule="auto"/>
              <w:jc w:val="right"/>
              <w:rPr>
                <w:rFonts w:ascii="Times New Roman" w:hAnsi="Times New Roman"/>
              </w:rPr>
            </w:pPr>
            <w:r w:rsidRPr="004A4736">
              <w:rPr>
                <w:rFonts w:ascii="Times New Roman" w:hAnsi="Times New Roman"/>
              </w:rPr>
              <w:t>11 115,736</w:t>
            </w:r>
          </w:p>
        </w:tc>
        <w:tc>
          <w:tcPr>
            <w:tcW w:w="821" w:type="pct"/>
            <w:tcBorders>
              <w:bottom w:val="single" w:sz="4" w:space="0" w:color="auto"/>
            </w:tcBorders>
            <w:noWrap/>
          </w:tcPr>
          <w:p w:rsidR="009B10A4" w:rsidRPr="004A4736" w:rsidRDefault="009B10A4" w:rsidP="00287D48">
            <w:pPr>
              <w:spacing w:before="60" w:after="60" w:line="240" w:lineRule="auto"/>
              <w:jc w:val="right"/>
              <w:rPr>
                <w:rFonts w:ascii="Times New Roman" w:hAnsi="Times New Roman"/>
              </w:rPr>
            </w:pPr>
            <w:r w:rsidRPr="004A4736">
              <w:rPr>
                <w:rFonts w:ascii="Times New Roman" w:hAnsi="Times New Roman"/>
              </w:rPr>
              <w:t>97 212,845</w:t>
            </w:r>
          </w:p>
        </w:tc>
        <w:tc>
          <w:tcPr>
            <w:tcW w:w="763" w:type="pct"/>
            <w:gridSpan w:val="2"/>
            <w:tcBorders>
              <w:bottom w:val="single" w:sz="4" w:space="0" w:color="auto"/>
            </w:tcBorders>
          </w:tcPr>
          <w:p w:rsidR="009B10A4" w:rsidRPr="004A4736" w:rsidRDefault="009B10A4" w:rsidP="00287D48">
            <w:pPr>
              <w:spacing w:before="60" w:after="60" w:line="240" w:lineRule="auto"/>
              <w:jc w:val="right"/>
              <w:rPr>
                <w:rFonts w:ascii="Times New Roman" w:hAnsi="Times New Roman"/>
              </w:rPr>
            </w:pPr>
            <w:r w:rsidRPr="004A4736">
              <w:rPr>
                <w:rFonts w:ascii="Times New Roman" w:hAnsi="Times New Roman"/>
              </w:rPr>
              <w:t>145 854,626</w:t>
            </w:r>
          </w:p>
        </w:tc>
        <w:tc>
          <w:tcPr>
            <w:tcW w:w="750" w:type="pct"/>
            <w:gridSpan w:val="2"/>
            <w:tcBorders>
              <w:bottom w:val="single" w:sz="4" w:space="0" w:color="auto"/>
            </w:tcBorders>
          </w:tcPr>
          <w:p w:rsidR="009B10A4" w:rsidRPr="004A4736" w:rsidRDefault="009B10A4" w:rsidP="00287D48">
            <w:pPr>
              <w:spacing w:before="60" w:after="60" w:line="240" w:lineRule="auto"/>
              <w:jc w:val="right"/>
              <w:rPr>
                <w:rFonts w:ascii="Times New Roman" w:hAnsi="Times New Roman"/>
              </w:rPr>
            </w:pPr>
            <w:r w:rsidRPr="004A4736">
              <w:rPr>
                <w:rFonts w:ascii="Times New Roman" w:hAnsi="Times New Roman"/>
              </w:rPr>
              <w:t>81 041,964</w:t>
            </w:r>
          </w:p>
        </w:tc>
        <w:tc>
          <w:tcPr>
            <w:tcW w:w="784" w:type="pct"/>
            <w:gridSpan w:val="3"/>
            <w:tcBorders>
              <w:bottom w:val="single" w:sz="4" w:space="0" w:color="auto"/>
            </w:tcBorders>
            <w:noWrap/>
          </w:tcPr>
          <w:p w:rsidR="009B10A4" w:rsidRPr="004A4736" w:rsidRDefault="009B10A4" w:rsidP="00287D48">
            <w:pPr>
              <w:tabs>
                <w:tab w:val="decimal" w:pos="497"/>
              </w:tabs>
              <w:spacing w:before="60" w:after="60" w:line="240" w:lineRule="auto"/>
              <w:jc w:val="center"/>
              <w:rPr>
                <w:rFonts w:ascii="Times New Roman" w:hAnsi="Times New Roman"/>
                <w:b/>
              </w:rPr>
            </w:pPr>
            <w:r w:rsidRPr="004A4736">
              <w:rPr>
                <w:rFonts w:ascii="Times New Roman" w:hAnsi="Times New Roman"/>
                <w:b/>
              </w:rPr>
              <w:t>335 225,170</w:t>
            </w:r>
          </w:p>
        </w:tc>
      </w:tr>
      <w:tr w:rsidR="009B10A4" w:rsidRPr="004A4736" w:rsidTr="00A43091">
        <w:trPr>
          <w:trHeight w:val="300"/>
          <w:jc w:val="center"/>
        </w:trPr>
        <w:tc>
          <w:tcPr>
            <w:tcW w:w="1126" w:type="pct"/>
            <w:tcBorders>
              <w:top w:val="single" w:sz="4" w:space="0" w:color="auto"/>
              <w:bottom w:val="single" w:sz="4" w:space="0" w:color="auto"/>
              <w:right w:val="single" w:sz="4" w:space="0" w:color="auto"/>
            </w:tcBorders>
            <w:noWrap/>
            <w:vAlign w:val="bottom"/>
          </w:tcPr>
          <w:p w:rsidR="009B10A4" w:rsidRPr="004A4736" w:rsidRDefault="009B10A4" w:rsidP="00287D48">
            <w:pPr>
              <w:spacing w:before="60" w:after="60" w:line="240" w:lineRule="auto"/>
              <w:jc w:val="both"/>
              <w:rPr>
                <w:rFonts w:ascii="Times New Roman" w:hAnsi="Times New Roman"/>
              </w:rPr>
            </w:pPr>
            <w:r w:rsidRPr="004A4736">
              <w:rPr>
                <w:rFonts w:ascii="Times New Roman" w:hAnsi="Times New Roman"/>
              </w:rPr>
              <w:t>Kredītiestādes</w:t>
            </w:r>
          </w:p>
        </w:tc>
        <w:tc>
          <w:tcPr>
            <w:tcW w:w="755" w:type="pct"/>
            <w:gridSpan w:val="2"/>
            <w:tcBorders>
              <w:top w:val="single" w:sz="4" w:space="0" w:color="auto"/>
              <w:left w:val="single" w:sz="4" w:space="0" w:color="auto"/>
              <w:bottom w:val="single" w:sz="4" w:space="0" w:color="auto"/>
            </w:tcBorders>
            <w:noWrap/>
          </w:tcPr>
          <w:p w:rsidR="009B10A4" w:rsidRPr="004A4736" w:rsidRDefault="009B10A4" w:rsidP="00287D48">
            <w:pPr>
              <w:spacing w:before="60" w:after="60" w:line="240" w:lineRule="auto"/>
              <w:jc w:val="right"/>
              <w:rPr>
                <w:rFonts w:ascii="Times New Roman" w:hAnsi="Times New Roman"/>
              </w:rPr>
            </w:pPr>
            <w:r w:rsidRPr="004A4736">
              <w:rPr>
                <w:rFonts w:ascii="Times New Roman" w:hAnsi="Times New Roman"/>
              </w:rPr>
              <w:t>8 632,592</w:t>
            </w:r>
          </w:p>
        </w:tc>
        <w:tc>
          <w:tcPr>
            <w:tcW w:w="821" w:type="pct"/>
            <w:tcBorders>
              <w:top w:val="single" w:sz="4" w:space="0" w:color="auto"/>
              <w:bottom w:val="single" w:sz="4" w:space="0" w:color="auto"/>
            </w:tcBorders>
            <w:noWrap/>
          </w:tcPr>
          <w:p w:rsidR="009B10A4" w:rsidRPr="004A4736" w:rsidRDefault="009B10A4" w:rsidP="00287D48">
            <w:pPr>
              <w:spacing w:before="60" w:after="60" w:line="240" w:lineRule="auto"/>
              <w:jc w:val="right"/>
              <w:rPr>
                <w:rFonts w:ascii="Times New Roman" w:hAnsi="Times New Roman"/>
              </w:rPr>
            </w:pPr>
            <w:r w:rsidRPr="004A4736">
              <w:rPr>
                <w:rFonts w:ascii="Times New Roman" w:hAnsi="Times New Roman"/>
              </w:rPr>
              <w:t>24 853,950</w:t>
            </w:r>
          </w:p>
        </w:tc>
        <w:tc>
          <w:tcPr>
            <w:tcW w:w="763" w:type="pct"/>
            <w:gridSpan w:val="2"/>
            <w:tcBorders>
              <w:top w:val="single" w:sz="4" w:space="0" w:color="auto"/>
              <w:bottom w:val="single" w:sz="4" w:space="0" w:color="auto"/>
            </w:tcBorders>
          </w:tcPr>
          <w:p w:rsidR="009B10A4" w:rsidRPr="004A4736" w:rsidRDefault="009B10A4" w:rsidP="00287D48">
            <w:pPr>
              <w:spacing w:before="60" w:after="60" w:line="240" w:lineRule="auto"/>
              <w:jc w:val="right"/>
              <w:rPr>
                <w:rFonts w:ascii="Times New Roman" w:hAnsi="Times New Roman"/>
              </w:rPr>
            </w:pPr>
            <w:r w:rsidRPr="004A4736">
              <w:rPr>
                <w:rFonts w:ascii="Times New Roman" w:hAnsi="Times New Roman"/>
              </w:rPr>
              <w:t>19 800,819</w:t>
            </w:r>
          </w:p>
        </w:tc>
        <w:tc>
          <w:tcPr>
            <w:tcW w:w="750" w:type="pct"/>
            <w:gridSpan w:val="2"/>
            <w:tcBorders>
              <w:top w:val="single" w:sz="4" w:space="0" w:color="auto"/>
              <w:bottom w:val="single" w:sz="4" w:space="0" w:color="auto"/>
            </w:tcBorders>
          </w:tcPr>
          <w:p w:rsidR="009B10A4" w:rsidRPr="004A4736" w:rsidRDefault="009B10A4" w:rsidP="00287D48">
            <w:pPr>
              <w:spacing w:before="60" w:after="60" w:line="240" w:lineRule="auto"/>
              <w:jc w:val="right"/>
              <w:rPr>
                <w:rFonts w:ascii="Times New Roman" w:hAnsi="Times New Roman"/>
              </w:rPr>
            </w:pPr>
            <w:r w:rsidRPr="004A4736">
              <w:rPr>
                <w:rFonts w:ascii="Times New Roman" w:hAnsi="Times New Roman"/>
              </w:rPr>
              <w:t>10 446,552</w:t>
            </w:r>
          </w:p>
        </w:tc>
        <w:tc>
          <w:tcPr>
            <w:tcW w:w="784" w:type="pct"/>
            <w:gridSpan w:val="3"/>
            <w:tcBorders>
              <w:top w:val="single" w:sz="4" w:space="0" w:color="auto"/>
              <w:bottom w:val="single" w:sz="4" w:space="0" w:color="auto"/>
            </w:tcBorders>
            <w:noWrap/>
          </w:tcPr>
          <w:p w:rsidR="009B10A4" w:rsidRPr="004A4736" w:rsidRDefault="009B10A4" w:rsidP="00287D48">
            <w:pPr>
              <w:tabs>
                <w:tab w:val="decimal" w:pos="497"/>
              </w:tabs>
              <w:spacing w:before="60" w:after="60" w:line="240" w:lineRule="auto"/>
              <w:jc w:val="center"/>
              <w:rPr>
                <w:rFonts w:ascii="Times New Roman" w:hAnsi="Times New Roman"/>
                <w:b/>
              </w:rPr>
            </w:pPr>
            <w:r w:rsidRPr="004A4736">
              <w:rPr>
                <w:rFonts w:ascii="Times New Roman" w:hAnsi="Times New Roman"/>
                <w:b/>
              </w:rPr>
              <w:t>63 733,914</w:t>
            </w:r>
          </w:p>
        </w:tc>
      </w:tr>
      <w:tr w:rsidR="009B10A4" w:rsidRPr="004A4736" w:rsidTr="00A43091">
        <w:trPr>
          <w:gridAfter w:val="1"/>
          <w:wAfter w:w="7" w:type="pct"/>
          <w:trHeight w:val="300"/>
          <w:jc w:val="center"/>
        </w:trPr>
        <w:tc>
          <w:tcPr>
            <w:tcW w:w="1126" w:type="pct"/>
            <w:tcBorders>
              <w:top w:val="single" w:sz="4" w:space="0" w:color="auto"/>
              <w:right w:val="single" w:sz="4" w:space="0" w:color="auto"/>
            </w:tcBorders>
            <w:noWrap/>
            <w:vAlign w:val="bottom"/>
          </w:tcPr>
          <w:p w:rsidR="009B10A4" w:rsidRPr="004A4736" w:rsidRDefault="009B10A4" w:rsidP="008D6909">
            <w:pPr>
              <w:spacing w:before="60" w:after="60" w:line="240" w:lineRule="auto"/>
              <w:jc w:val="both"/>
              <w:rPr>
                <w:rFonts w:ascii="Times New Roman" w:hAnsi="Times New Roman"/>
              </w:rPr>
            </w:pPr>
            <w:r w:rsidRPr="004A4736">
              <w:rPr>
                <w:rFonts w:ascii="Times New Roman" w:hAnsi="Times New Roman"/>
              </w:rPr>
              <w:t>Kapitālsabiedrības</w:t>
            </w:r>
          </w:p>
        </w:tc>
        <w:tc>
          <w:tcPr>
            <w:tcW w:w="755" w:type="pct"/>
            <w:gridSpan w:val="2"/>
            <w:tcBorders>
              <w:top w:val="single" w:sz="4" w:space="0" w:color="auto"/>
              <w:left w:val="single" w:sz="4" w:space="0" w:color="auto"/>
            </w:tcBorders>
            <w:noWrap/>
          </w:tcPr>
          <w:p w:rsidR="009B10A4" w:rsidRPr="004A4736" w:rsidRDefault="009B10A4" w:rsidP="00C03D39">
            <w:pPr>
              <w:spacing w:before="60" w:after="60" w:line="240" w:lineRule="auto"/>
              <w:jc w:val="right"/>
              <w:rPr>
                <w:rFonts w:ascii="Times New Roman" w:hAnsi="Times New Roman"/>
              </w:rPr>
            </w:pPr>
            <w:r w:rsidRPr="004A4736">
              <w:rPr>
                <w:rFonts w:ascii="Times New Roman" w:hAnsi="Times New Roman"/>
              </w:rPr>
              <w:t>214,150</w:t>
            </w:r>
          </w:p>
        </w:tc>
        <w:tc>
          <w:tcPr>
            <w:tcW w:w="821" w:type="pct"/>
            <w:tcBorders>
              <w:top w:val="single" w:sz="4" w:space="0" w:color="auto"/>
            </w:tcBorders>
            <w:noWrap/>
          </w:tcPr>
          <w:p w:rsidR="009B10A4" w:rsidRPr="004A4736" w:rsidRDefault="009B10A4" w:rsidP="00C03D39">
            <w:pPr>
              <w:spacing w:before="60" w:after="60" w:line="240" w:lineRule="auto"/>
              <w:jc w:val="right"/>
              <w:rPr>
                <w:rFonts w:ascii="Times New Roman" w:hAnsi="Times New Roman"/>
              </w:rPr>
            </w:pPr>
            <w:r w:rsidRPr="004A4736">
              <w:rPr>
                <w:rFonts w:ascii="Times New Roman" w:hAnsi="Times New Roman"/>
              </w:rPr>
              <w:t>2 534,130</w:t>
            </w:r>
          </w:p>
        </w:tc>
        <w:tc>
          <w:tcPr>
            <w:tcW w:w="763" w:type="pct"/>
            <w:gridSpan w:val="2"/>
            <w:tcBorders>
              <w:top w:val="single" w:sz="4" w:space="0" w:color="auto"/>
            </w:tcBorders>
          </w:tcPr>
          <w:p w:rsidR="009B10A4" w:rsidRPr="004A4736" w:rsidRDefault="009B10A4" w:rsidP="00C03D39">
            <w:pPr>
              <w:spacing w:before="60" w:after="60" w:line="240" w:lineRule="auto"/>
              <w:jc w:val="right"/>
              <w:rPr>
                <w:rFonts w:ascii="Times New Roman" w:hAnsi="Times New Roman"/>
              </w:rPr>
            </w:pPr>
            <w:r w:rsidRPr="004A4736">
              <w:rPr>
                <w:rFonts w:ascii="Times New Roman" w:hAnsi="Times New Roman"/>
              </w:rPr>
              <w:t>9 371,962</w:t>
            </w:r>
          </w:p>
        </w:tc>
        <w:tc>
          <w:tcPr>
            <w:tcW w:w="750" w:type="pct"/>
            <w:gridSpan w:val="2"/>
            <w:tcBorders>
              <w:top w:val="single" w:sz="4" w:space="0" w:color="auto"/>
            </w:tcBorders>
          </w:tcPr>
          <w:p w:rsidR="009B10A4" w:rsidRPr="004A4736" w:rsidRDefault="009B10A4" w:rsidP="00C03D39">
            <w:pPr>
              <w:spacing w:before="60" w:after="60" w:line="240" w:lineRule="auto"/>
              <w:jc w:val="right"/>
              <w:rPr>
                <w:rFonts w:ascii="Times New Roman" w:hAnsi="Times New Roman"/>
              </w:rPr>
            </w:pPr>
            <w:r w:rsidRPr="004A4736">
              <w:rPr>
                <w:rFonts w:ascii="Times New Roman" w:hAnsi="Times New Roman"/>
              </w:rPr>
              <w:t>8 083,005</w:t>
            </w:r>
          </w:p>
        </w:tc>
        <w:tc>
          <w:tcPr>
            <w:tcW w:w="777" w:type="pct"/>
            <w:gridSpan w:val="2"/>
            <w:tcBorders>
              <w:top w:val="single" w:sz="4" w:space="0" w:color="auto"/>
            </w:tcBorders>
            <w:noWrap/>
          </w:tcPr>
          <w:p w:rsidR="009B10A4" w:rsidRPr="004A4736" w:rsidRDefault="009B10A4" w:rsidP="006D0371">
            <w:pPr>
              <w:tabs>
                <w:tab w:val="decimal" w:pos="497"/>
              </w:tabs>
              <w:spacing w:before="60" w:after="60" w:line="240" w:lineRule="auto"/>
              <w:jc w:val="center"/>
              <w:rPr>
                <w:rFonts w:ascii="Times New Roman" w:hAnsi="Times New Roman"/>
                <w:b/>
              </w:rPr>
            </w:pPr>
            <w:r w:rsidRPr="004A4736">
              <w:rPr>
                <w:rFonts w:ascii="Times New Roman" w:hAnsi="Times New Roman"/>
                <w:b/>
              </w:rPr>
              <w:t>20 203,247</w:t>
            </w:r>
          </w:p>
        </w:tc>
      </w:tr>
      <w:tr w:rsidR="009B10A4" w:rsidRPr="004A4736" w:rsidTr="00A43091">
        <w:trPr>
          <w:trHeight w:val="300"/>
          <w:jc w:val="center"/>
        </w:trPr>
        <w:tc>
          <w:tcPr>
            <w:tcW w:w="1126" w:type="pct"/>
            <w:tcBorders>
              <w:top w:val="single" w:sz="4" w:space="0" w:color="auto"/>
              <w:bottom w:val="single" w:sz="4" w:space="0" w:color="auto"/>
              <w:right w:val="single" w:sz="4" w:space="0" w:color="auto"/>
            </w:tcBorders>
            <w:noWrap/>
            <w:vAlign w:val="bottom"/>
          </w:tcPr>
          <w:p w:rsidR="009B10A4" w:rsidRPr="004A4736" w:rsidRDefault="009B10A4" w:rsidP="008D6909">
            <w:pPr>
              <w:spacing w:before="60" w:after="60" w:line="240" w:lineRule="auto"/>
              <w:jc w:val="both"/>
              <w:rPr>
                <w:rFonts w:ascii="Times New Roman" w:hAnsi="Times New Roman"/>
                <w:b/>
              </w:rPr>
            </w:pPr>
            <w:r w:rsidRPr="004A4736">
              <w:rPr>
                <w:rFonts w:ascii="Times New Roman" w:hAnsi="Times New Roman"/>
                <w:b/>
              </w:rPr>
              <w:t>Kopā</w:t>
            </w:r>
          </w:p>
        </w:tc>
        <w:tc>
          <w:tcPr>
            <w:tcW w:w="755" w:type="pct"/>
            <w:gridSpan w:val="2"/>
            <w:tcBorders>
              <w:top w:val="single" w:sz="4" w:space="0" w:color="auto"/>
              <w:left w:val="single" w:sz="4" w:space="0" w:color="auto"/>
              <w:bottom w:val="single" w:sz="4" w:space="0" w:color="auto"/>
            </w:tcBorders>
            <w:noWrap/>
          </w:tcPr>
          <w:p w:rsidR="009B10A4" w:rsidRPr="004A4736" w:rsidRDefault="009B10A4" w:rsidP="006D0371">
            <w:pPr>
              <w:tabs>
                <w:tab w:val="decimal" w:pos="497"/>
              </w:tabs>
              <w:spacing w:before="60" w:after="60" w:line="240" w:lineRule="auto"/>
              <w:jc w:val="center"/>
              <w:rPr>
                <w:rFonts w:ascii="Times New Roman" w:hAnsi="Times New Roman"/>
                <w:b/>
              </w:rPr>
            </w:pPr>
            <w:r w:rsidRPr="004A4736">
              <w:rPr>
                <w:rFonts w:ascii="Times New Roman" w:hAnsi="Times New Roman"/>
                <w:b/>
              </w:rPr>
              <w:t>19 962,478</w:t>
            </w:r>
          </w:p>
        </w:tc>
        <w:tc>
          <w:tcPr>
            <w:tcW w:w="821" w:type="pct"/>
            <w:tcBorders>
              <w:top w:val="single" w:sz="4" w:space="0" w:color="auto"/>
              <w:bottom w:val="single" w:sz="4" w:space="0" w:color="auto"/>
            </w:tcBorders>
            <w:noWrap/>
          </w:tcPr>
          <w:p w:rsidR="009B10A4" w:rsidRPr="004A4736" w:rsidRDefault="009B10A4" w:rsidP="006D0371">
            <w:pPr>
              <w:tabs>
                <w:tab w:val="decimal" w:pos="497"/>
              </w:tabs>
              <w:spacing w:before="60" w:after="60" w:line="240" w:lineRule="auto"/>
              <w:jc w:val="center"/>
              <w:rPr>
                <w:rFonts w:ascii="Times New Roman" w:hAnsi="Times New Roman"/>
                <w:b/>
              </w:rPr>
            </w:pPr>
            <w:r w:rsidRPr="004A4736">
              <w:rPr>
                <w:rFonts w:ascii="Times New Roman" w:hAnsi="Times New Roman"/>
                <w:b/>
              </w:rPr>
              <w:t>124 600,925</w:t>
            </w:r>
          </w:p>
        </w:tc>
        <w:tc>
          <w:tcPr>
            <w:tcW w:w="763" w:type="pct"/>
            <w:gridSpan w:val="2"/>
            <w:tcBorders>
              <w:top w:val="single" w:sz="4" w:space="0" w:color="auto"/>
              <w:bottom w:val="single" w:sz="4" w:space="0" w:color="auto"/>
            </w:tcBorders>
          </w:tcPr>
          <w:p w:rsidR="009B10A4" w:rsidRPr="004A4736" w:rsidRDefault="009B10A4" w:rsidP="006D0371">
            <w:pPr>
              <w:tabs>
                <w:tab w:val="decimal" w:pos="497"/>
              </w:tabs>
              <w:spacing w:before="60" w:after="60" w:line="240" w:lineRule="auto"/>
              <w:jc w:val="center"/>
              <w:rPr>
                <w:rFonts w:ascii="Times New Roman" w:hAnsi="Times New Roman"/>
                <w:b/>
              </w:rPr>
            </w:pPr>
            <w:r w:rsidRPr="004A4736">
              <w:rPr>
                <w:rFonts w:ascii="Times New Roman" w:hAnsi="Times New Roman"/>
                <w:b/>
              </w:rPr>
              <w:t>175 027,407</w:t>
            </w:r>
          </w:p>
        </w:tc>
        <w:tc>
          <w:tcPr>
            <w:tcW w:w="750" w:type="pct"/>
            <w:gridSpan w:val="2"/>
            <w:tcBorders>
              <w:top w:val="single" w:sz="4" w:space="0" w:color="auto"/>
              <w:bottom w:val="single" w:sz="4" w:space="0" w:color="auto"/>
            </w:tcBorders>
          </w:tcPr>
          <w:p w:rsidR="009B10A4" w:rsidRPr="004A4736" w:rsidRDefault="009B10A4" w:rsidP="006D0371">
            <w:pPr>
              <w:tabs>
                <w:tab w:val="decimal" w:pos="497"/>
              </w:tabs>
              <w:spacing w:before="60" w:after="60" w:line="240" w:lineRule="auto"/>
              <w:jc w:val="center"/>
              <w:rPr>
                <w:rFonts w:ascii="Times New Roman" w:hAnsi="Times New Roman"/>
                <w:b/>
              </w:rPr>
            </w:pPr>
            <w:r w:rsidRPr="004A4736">
              <w:rPr>
                <w:rFonts w:ascii="Times New Roman" w:hAnsi="Times New Roman"/>
                <w:b/>
              </w:rPr>
              <w:t>99 571,521</w:t>
            </w:r>
          </w:p>
        </w:tc>
        <w:tc>
          <w:tcPr>
            <w:tcW w:w="784" w:type="pct"/>
            <w:gridSpan w:val="3"/>
            <w:tcBorders>
              <w:top w:val="single" w:sz="4" w:space="0" w:color="auto"/>
              <w:bottom w:val="single" w:sz="4" w:space="0" w:color="auto"/>
            </w:tcBorders>
            <w:noWrap/>
          </w:tcPr>
          <w:p w:rsidR="009B10A4" w:rsidRPr="004A4736" w:rsidRDefault="009B10A4" w:rsidP="006D0371">
            <w:pPr>
              <w:tabs>
                <w:tab w:val="decimal" w:pos="497"/>
              </w:tabs>
              <w:spacing w:before="60" w:after="60" w:line="240" w:lineRule="auto"/>
              <w:jc w:val="center"/>
              <w:rPr>
                <w:rFonts w:ascii="Times New Roman" w:hAnsi="Times New Roman"/>
                <w:b/>
              </w:rPr>
            </w:pPr>
            <w:r w:rsidRPr="004A4736">
              <w:rPr>
                <w:rFonts w:ascii="Times New Roman" w:hAnsi="Times New Roman"/>
                <w:b/>
              </w:rPr>
              <w:t>419 162,331</w:t>
            </w:r>
          </w:p>
        </w:tc>
      </w:tr>
    </w:tbl>
    <w:p w:rsidR="009B10A4" w:rsidRPr="004A4736" w:rsidRDefault="009B10A4" w:rsidP="00D36975">
      <w:pPr>
        <w:spacing w:after="0" w:line="240" w:lineRule="auto"/>
        <w:jc w:val="both"/>
        <w:rPr>
          <w:rFonts w:ascii="Times New Roman" w:hAnsi="Times New Roman"/>
        </w:rPr>
      </w:pPr>
    </w:p>
    <w:p w:rsidR="009B10A4" w:rsidRPr="004A4736" w:rsidRDefault="009B10A4" w:rsidP="00D36975">
      <w:pPr>
        <w:spacing w:after="0" w:line="240" w:lineRule="auto"/>
        <w:jc w:val="both"/>
        <w:rPr>
          <w:rFonts w:ascii="Times New Roman" w:hAnsi="Times New Roman"/>
          <w:i/>
        </w:rPr>
      </w:pPr>
      <w:r w:rsidRPr="004A4736">
        <w:rPr>
          <w:rFonts w:ascii="Times New Roman" w:hAnsi="Times New Roman"/>
          <w:i/>
        </w:rPr>
        <w:t>Avots: PMLP</w:t>
      </w:r>
    </w:p>
    <w:p w:rsidR="009B10A4" w:rsidRPr="004A4736" w:rsidRDefault="009B10A4" w:rsidP="00D36975">
      <w:pPr>
        <w:spacing w:after="0" w:line="240" w:lineRule="auto"/>
        <w:jc w:val="both"/>
        <w:rPr>
          <w:rFonts w:ascii="Times New Roman" w:hAnsi="Times New Roman"/>
          <w:sz w:val="16"/>
          <w:szCs w:val="16"/>
        </w:rPr>
      </w:pPr>
    </w:p>
    <w:p w:rsidR="009B10A4" w:rsidRPr="004A4736" w:rsidRDefault="009B10A4" w:rsidP="008D6909">
      <w:pPr>
        <w:spacing w:after="0" w:line="240" w:lineRule="auto"/>
        <w:ind w:firstLine="567"/>
        <w:jc w:val="right"/>
        <w:rPr>
          <w:rFonts w:ascii="Times New Roman" w:hAnsi="Times New Roman"/>
          <w:sz w:val="24"/>
        </w:rPr>
      </w:pPr>
    </w:p>
    <w:p w:rsidR="00B54B9F" w:rsidRDefault="00B54B9F" w:rsidP="00FF6626">
      <w:pPr>
        <w:spacing w:after="0" w:line="240" w:lineRule="auto"/>
        <w:ind w:firstLine="567"/>
        <w:jc w:val="right"/>
        <w:rPr>
          <w:rFonts w:ascii="Times New Roman" w:hAnsi="Times New Roman"/>
          <w:sz w:val="26"/>
          <w:szCs w:val="26"/>
        </w:rPr>
      </w:pPr>
    </w:p>
    <w:p w:rsidR="009B10A4" w:rsidRPr="004A4736" w:rsidRDefault="009B10A4" w:rsidP="00FF6626">
      <w:pPr>
        <w:spacing w:after="0" w:line="240" w:lineRule="auto"/>
        <w:ind w:firstLine="567"/>
        <w:jc w:val="right"/>
        <w:rPr>
          <w:rFonts w:ascii="Times New Roman" w:hAnsi="Times New Roman"/>
          <w:sz w:val="26"/>
          <w:szCs w:val="26"/>
        </w:rPr>
      </w:pPr>
      <w:r w:rsidRPr="004A4736">
        <w:rPr>
          <w:rFonts w:ascii="Times New Roman" w:hAnsi="Times New Roman"/>
          <w:sz w:val="26"/>
          <w:szCs w:val="26"/>
        </w:rPr>
        <w:t>2.tabula</w:t>
      </w:r>
    </w:p>
    <w:p w:rsidR="009B10A4" w:rsidRPr="004A4736" w:rsidRDefault="009B10A4" w:rsidP="00FF6626">
      <w:pPr>
        <w:jc w:val="center"/>
        <w:rPr>
          <w:rFonts w:ascii="Times New Roman" w:hAnsi="Times New Roman"/>
          <w:sz w:val="8"/>
          <w:szCs w:val="8"/>
        </w:rPr>
      </w:pPr>
      <w:r w:rsidRPr="004A4736">
        <w:rPr>
          <w:rFonts w:ascii="Times New Roman" w:hAnsi="Times New Roman"/>
          <w:b/>
          <w:sz w:val="24"/>
          <w:szCs w:val="24"/>
        </w:rPr>
        <w:t>Imigrācijas likuma normu izmaiņu rezultātā pieteikto TUA skaits investoriem un viņa ģimenes locekļiem</w:t>
      </w:r>
    </w:p>
    <w:tbl>
      <w:tblPr>
        <w:tblW w:w="4678" w:type="pct"/>
        <w:jc w:val="center"/>
        <w:tblLayout w:type="fixed"/>
        <w:tblLook w:val="00A0" w:firstRow="1" w:lastRow="0" w:firstColumn="1" w:lastColumn="0" w:noHBand="0" w:noVBand="0"/>
      </w:tblPr>
      <w:tblGrid>
        <w:gridCol w:w="2017"/>
        <w:gridCol w:w="1345"/>
        <w:gridCol w:w="7"/>
        <w:gridCol w:w="1470"/>
        <w:gridCol w:w="1356"/>
        <w:gridCol w:w="11"/>
        <w:gridCol w:w="1333"/>
        <w:gridCol w:w="11"/>
        <w:gridCol w:w="1381"/>
        <w:gridCol w:w="11"/>
        <w:gridCol w:w="13"/>
      </w:tblGrid>
      <w:tr w:rsidR="009B10A4" w:rsidRPr="004A4736" w:rsidTr="00A43091">
        <w:trPr>
          <w:gridAfter w:val="2"/>
          <w:wAfter w:w="13" w:type="pct"/>
          <w:trHeight w:val="300"/>
          <w:jc w:val="center"/>
        </w:trPr>
        <w:tc>
          <w:tcPr>
            <w:tcW w:w="1126" w:type="pct"/>
            <w:tcBorders>
              <w:top w:val="single" w:sz="4" w:space="0" w:color="auto"/>
              <w:bottom w:val="single" w:sz="4" w:space="0" w:color="auto"/>
              <w:right w:val="single" w:sz="4" w:space="0" w:color="auto"/>
            </w:tcBorders>
            <w:shd w:val="clear" w:color="auto" w:fill="D9D9D9"/>
            <w:noWrap/>
            <w:vAlign w:val="bottom"/>
          </w:tcPr>
          <w:p w:rsidR="009B10A4" w:rsidRPr="004A4736" w:rsidRDefault="009B10A4" w:rsidP="006D0371">
            <w:pPr>
              <w:spacing w:after="0" w:line="240" w:lineRule="auto"/>
              <w:jc w:val="center"/>
              <w:rPr>
                <w:rFonts w:ascii="Times New Roman" w:hAnsi="Times New Roman"/>
                <w:sz w:val="20"/>
              </w:rPr>
            </w:pPr>
          </w:p>
        </w:tc>
        <w:tc>
          <w:tcPr>
            <w:tcW w:w="751" w:type="pct"/>
            <w:tcBorders>
              <w:top w:val="single" w:sz="4" w:space="0" w:color="auto"/>
              <w:left w:val="single" w:sz="4" w:space="0" w:color="auto"/>
              <w:bottom w:val="single" w:sz="4" w:space="0" w:color="auto"/>
            </w:tcBorders>
            <w:shd w:val="clear" w:color="auto" w:fill="D9D9D9"/>
            <w:noWrap/>
            <w:vAlign w:val="bottom"/>
          </w:tcPr>
          <w:p w:rsidR="009B10A4" w:rsidRPr="004A4736" w:rsidRDefault="009B10A4" w:rsidP="00A43091">
            <w:pPr>
              <w:spacing w:after="0" w:line="240" w:lineRule="auto"/>
              <w:jc w:val="center"/>
              <w:rPr>
                <w:rFonts w:ascii="Times New Roman" w:hAnsi="Times New Roman"/>
                <w:b/>
                <w:sz w:val="20"/>
              </w:rPr>
            </w:pPr>
            <w:r w:rsidRPr="004A4736">
              <w:rPr>
                <w:rFonts w:ascii="Times New Roman" w:hAnsi="Times New Roman"/>
                <w:b/>
                <w:sz w:val="20"/>
              </w:rPr>
              <w:t>01.07.2010.-31.12.2010.</w:t>
            </w:r>
          </w:p>
        </w:tc>
        <w:tc>
          <w:tcPr>
            <w:tcW w:w="825" w:type="pct"/>
            <w:gridSpan w:val="2"/>
            <w:tcBorders>
              <w:top w:val="single" w:sz="4" w:space="0" w:color="auto"/>
              <w:bottom w:val="single" w:sz="4" w:space="0" w:color="auto"/>
            </w:tcBorders>
            <w:shd w:val="clear" w:color="auto" w:fill="D9D9D9"/>
            <w:noWrap/>
            <w:vAlign w:val="bottom"/>
          </w:tcPr>
          <w:p w:rsidR="009B10A4" w:rsidRPr="004A4736" w:rsidRDefault="009B10A4" w:rsidP="00A43091">
            <w:pPr>
              <w:spacing w:after="0" w:line="240" w:lineRule="auto"/>
              <w:jc w:val="center"/>
              <w:rPr>
                <w:rFonts w:ascii="Times New Roman" w:hAnsi="Times New Roman"/>
                <w:b/>
                <w:sz w:val="20"/>
              </w:rPr>
            </w:pPr>
            <w:r w:rsidRPr="004A4736">
              <w:rPr>
                <w:rFonts w:ascii="Times New Roman" w:hAnsi="Times New Roman"/>
                <w:b/>
                <w:sz w:val="20"/>
              </w:rPr>
              <w:t>2011</w:t>
            </w:r>
          </w:p>
        </w:tc>
        <w:tc>
          <w:tcPr>
            <w:tcW w:w="757" w:type="pct"/>
            <w:tcBorders>
              <w:top w:val="single" w:sz="4" w:space="0" w:color="auto"/>
              <w:bottom w:val="single" w:sz="4" w:space="0" w:color="auto"/>
            </w:tcBorders>
            <w:shd w:val="clear" w:color="auto" w:fill="D9D9D9"/>
          </w:tcPr>
          <w:p w:rsidR="009B10A4" w:rsidRPr="004A4736" w:rsidRDefault="009B10A4" w:rsidP="00A43091">
            <w:pPr>
              <w:spacing w:after="0" w:line="240" w:lineRule="auto"/>
              <w:jc w:val="center"/>
              <w:rPr>
                <w:rFonts w:ascii="Times New Roman" w:hAnsi="Times New Roman"/>
                <w:b/>
                <w:sz w:val="20"/>
              </w:rPr>
            </w:pPr>
          </w:p>
          <w:p w:rsidR="009B10A4" w:rsidRPr="004A4736" w:rsidRDefault="009B10A4" w:rsidP="00A43091">
            <w:pPr>
              <w:spacing w:after="0" w:line="240" w:lineRule="auto"/>
              <w:jc w:val="center"/>
              <w:rPr>
                <w:rFonts w:ascii="Times New Roman" w:hAnsi="Times New Roman"/>
                <w:b/>
                <w:sz w:val="20"/>
              </w:rPr>
            </w:pPr>
            <w:r w:rsidRPr="004A4736">
              <w:rPr>
                <w:rFonts w:ascii="Times New Roman" w:hAnsi="Times New Roman"/>
                <w:b/>
                <w:sz w:val="20"/>
              </w:rPr>
              <w:t>2012</w:t>
            </w:r>
          </w:p>
        </w:tc>
        <w:tc>
          <w:tcPr>
            <w:tcW w:w="750" w:type="pct"/>
            <w:gridSpan w:val="2"/>
            <w:tcBorders>
              <w:top w:val="single" w:sz="4" w:space="0" w:color="auto"/>
              <w:bottom w:val="single" w:sz="4" w:space="0" w:color="auto"/>
            </w:tcBorders>
            <w:shd w:val="clear" w:color="auto" w:fill="D9D9D9"/>
          </w:tcPr>
          <w:p w:rsidR="009B10A4" w:rsidRPr="004A4736" w:rsidRDefault="009B10A4" w:rsidP="00A43091">
            <w:pPr>
              <w:spacing w:after="0" w:line="240" w:lineRule="auto"/>
              <w:jc w:val="center"/>
              <w:rPr>
                <w:rFonts w:ascii="Times New Roman" w:hAnsi="Times New Roman"/>
                <w:b/>
                <w:sz w:val="20"/>
              </w:rPr>
            </w:pPr>
            <w:r w:rsidRPr="004A4736">
              <w:rPr>
                <w:rFonts w:ascii="Times New Roman" w:hAnsi="Times New Roman"/>
                <w:b/>
                <w:sz w:val="20"/>
              </w:rPr>
              <w:t xml:space="preserve">01.01.2013- </w:t>
            </w:r>
            <w:r w:rsidR="00EF5E94" w:rsidRPr="004A4736">
              <w:rPr>
                <w:rFonts w:ascii="Times New Roman" w:hAnsi="Times New Roman"/>
                <w:b/>
                <w:sz w:val="20"/>
              </w:rPr>
              <w:t>30.06.2013.</w:t>
            </w:r>
            <w:r w:rsidRPr="004A4736">
              <w:rPr>
                <w:rFonts w:ascii="Times New Roman" w:hAnsi="Times New Roman"/>
                <w:b/>
                <w:sz w:val="20"/>
              </w:rPr>
              <w:t>.</w:t>
            </w:r>
          </w:p>
        </w:tc>
        <w:tc>
          <w:tcPr>
            <w:tcW w:w="777" w:type="pct"/>
            <w:gridSpan w:val="2"/>
            <w:tcBorders>
              <w:top w:val="single" w:sz="4" w:space="0" w:color="auto"/>
              <w:bottom w:val="single" w:sz="4" w:space="0" w:color="auto"/>
            </w:tcBorders>
            <w:shd w:val="clear" w:color="auto" w:fill="D9D9D9"/>
            <w:noWrap/>
            <w:vAlign w:val="bottom"/>
          </w:tcPr>
          <w:p w:rsidR="009B10A4" w:rsidRPr="004A4736" w:rsidRDefault="009B10A4" w:rsidP="00A43091">
            <w:pPr>
              <w:spacing w:after="0" w:line="240" w:lineRule="auto"/>
              <w:jc w:val="center"/>
              <w:rPr>
                <w:rFonts w:ascii="Times New Roman" w:hAnsi="Times New Roman"/>
                <w:b/>
                <w:sz w:val="20"/>
              </w:rPr>
            </w:pPr>
            <w:r w:rsidRPr="004A4736">
              <w:rPr>
                <w:rFonts w:ascii="Times New Roman" w:hAnsi="Times New Roman"/>
                <w:b/>
                <w:sz w:val="20"/>
              </w:rPr>
              <w:t>Kopā</w:t>
            </w:r>
          </w:p>
        </w:tc>
      </w:tr>
      <w:tr w:rsidR="009B10A4" w:rsidRPr="004A4736" w:rsidTr="00A43091">
        <w:trPr>
          <w:trHeight w:val="300"/>
          <w:jc w:val="center"/>
        </w:trPr>
        <w:tc>
          <w:tcPr>
            <w:tcW w:w="1126" w:type="pct"/>
            <w:tcBorders>
              <w:bottom w:val="single" w:sz="4" w:space="0" w:color="auto"/>
              <w:right w:val="single" w:sz="4" w:space="0" w:color="auto"/>
            </w:tcBorders>
            <w:noWrap/>
            <w:vAlign w:val="bottom"/>
          </w:tcPr>
          <w:p w:rsidR="009B10A4" w:rsidRPr="004A4736" w:rsidRDefault="009B10A4" w:rsidP="00287D48">
            <w:pPr>
              <w:spacing w:before="60" w:after="60" w:line="240" w:lineRule="auto"/>
              <w:jc w:val="both"/>
              <w:rPr>
                <w:rFonts w:ascii="Times New Roman" w:hAnsi="Times New Roman"/>
              </w:rPr>
            </w:pPr>
            <w:r w:rsidRPr="004A4736">
              <w:rPr>
                <w:rFonts w:ascii="Times New Roman" w:hAnsi="Times New Roman"/>
              </w:rPr>
              <w:t>Nekustamie īpašumi</w:t>
            </w:r>
          </w:p>
        </w:tc>
        <w:tc>
          <w:tcPr>
            <w:tcW w:w="755" w:type="pct"/>
            <w:gridSpan w:val="2"/>
            <w:tcBorders>
              <w:left w:val="single" w:sz="4" w:space="0" w:color="auto"/>
              <w:bottom w:val="single" w:sz="4" w:space="0" w:color="auto"/>
            </w:tcBorders>
            <w:noWrap/>
          </w:tcPr>
          <w:p w:rsidR="009B10A4" w:rsidRPr="004A4736" w:rsidRDefault="009B10A4" w:rsidP="00A43091">
            <w:pPr>
              <w:spacing w:before="60" w:after="60" w:line="240" w:lineRule="auto"/>
              <w:jc w:val="center"/>
              <w:rPr>
                <w:rFonts w:ascii="Times New Roman" w:hAnsi="Times New Roman"/>
              </w:rPr>
            </w:pPr>
            <w:r w:rsidRPr="004A4736">
              <w:rPr>
                <w:rFonts w:ascii="Times New Roman" w:hAnsi="Times New Roman"/>
              </w:rPr>
              <w:t>172</w:t>
            </w:r>
          </w:p>
        </w:tc>
        <w:tc>
          <w:tcPr>
            <w:tcW w:w="821" w:type="pct"/>
            <w:tcBorders>
              <w:bottom w:val="single" w:sz="4" w:space="0" w:color="auto"/>
            </w:tcBorders>
            <w:noWrap/>
          </w:tcPr>
          <w:p w:rsidR="009B10A4" w:rsidRPr="004A4736" w:rsidRDefault="009B10A4" w:rsidP="00A43091">
            <w:pPr>
              <w:spacing w:before="60" w:after="60" w:line="240" w:lineRule="auto"/>
              <w:jc w:val="center"/>
              <w:rPr>
                <w:rFonts w:ascii="Times New Roman" w:hAnsi="Times New Roman"/>
              </w:rPr>
            </w:pPr>
            <w:r w:rsidRPr="004A4736">
              <w:rPr>
                <w:rFonts w:ascii="Times New Roman" w:hAnsi="Times New Roman"/>
              </w:rPr>
              <w:t>1 560</w:t>
            </w:r>
          </w:p>
        </w:tc>
        <w:tc>
          <w:tcPr>
            <w:tcW w:w="763" w:type="pct"/>
            <w:gridSpan w:val="2"/>
            <w:tcBorders>
              <w:bottom w:val="single" w:sz="4" w:space="0" w:color="auto"/>
            </w:tcBorders>
          </w:tcPr>
          <w:p w:rsidR="009B10A4" w:rsidRPr="004A4736" w:rsidRDefault="009B10A4" w:rsidP="00A43091">
            <w:pPr>
              <w:spacing w:before="60" w:after="60" w:line="240" w:lineRule="auto"/>
              <w:jc w:val="center"/>
              <w:rPr>
                <w:rFonts w:ascii="Times New Roman" w:hAnsi="Times New Roman"/>
              </w:rPr>
            </w:pPr>
            <w:r w:rsidRPr="004A4736">
              <w:rPr>
                <w:rFonts w:ascii="Times New Roman" w:hAnsi="Times New Roman"/>
              </w:rPr>
              <w:t>2 440</w:t>
            </w:r>
          </w:p>
        </w:tc>
        <w:tc>
          <w:tcPr>
            <w:tcW w:w="750" w:type="pct"/>
            <w:gridSpan w:val="2"/>
            <w:tcBorders>
              <w:bottom w:val="single" w:sz="4" w:space="0" w:color="auto"/>
            </w:tcBorders>
          </w:tcPr>
          <w:p w:rsidR="009B10A4" w:rsidRPr="004A4736" w:rsidRDefault="009B10A4" w:rsidP="00A43091">
            <w:pPr>
              <w:spacing w:before="60" w:after="60" w:line="240" w:lineRule="auto"/>
              <w:jc w:val="center"/>
              <w:rPr>
                <w:rFonts w:ascii="Times New Roman" w:hAnsi="Times New Roman"/>
              </w:rPr>
            </w:pPr>
            <w:r w:rsidRPr="004A4736">
              <w:rPr>
                <w:rFonts w:ascii="Times New Roman" w:hAnsi="Times New Roman"/>
              </w:rPr>
              <w:t>1 386</w:t>
            </w:r>
          </w:p>
        </w:tc>
        <w:tc>
          <w:tcPr>
            <w:tcW w:w="784" w:type="pct"/>
            <w:gridSpan w:val="3"/>
            <w:tcBorders>
              <w:bottom w:val="single" w:sz="4" w:space="0" w:color="auto"/>
            </w:tcBorders>
            <w:noWrap/>
          </w:tcPr>
          <w:p w:rsidR="009B10A4" w:rsidRPr="004A4736" w:rsidRDefault="009B10A4" w:rsidP="00A43091">
            <w:pPr>
              <w:tabs>
                <w:tab w:val="decimal" w:pos="497"/>
              </w:tabs>
              <w:spacing w:before="60" w:after="60" w:line="240" w:lineRule="auto"/>
              <w:jc w:val="center"/>
              <w:rPr>
                <w:rFonts w:ascii="Times New Roman" w:hAnsi="Times New Roman"/>
                <w:b/>
              </w:rPr>
            </w:pPr>
            <w:r w:rsidRPr="004A4736">
              <w:rPr>
                <w:rFonts w:ascii="Times New Roman" w:hAnsi="Times New Roman"/>
                <w:b/>
              </w:rPr>
              <w:t>5 558</w:t>
            </w:r>
          </w:p>
        </w:tc>
      </w:tr>
      <w:tr w:rsidR="009B10A4" w:rsidRPr="004A4736" w:rsidTr="00A43091">
        <w:trPr>
          <w:trHeight w:val="300"/>
          <w:jc w:val="center"/>
        </w:trPr>
        <w:tc>
          <w:tcPr>
            <w:tcW w:w="1126" w:type="pct"/>
            <w:tcBorders>
              <w:top w:val="single" w:sz="4" w:space="0" w:color="auto"/>
              <w:bottom w:val="single" w:sz="4" w:space="0" w:color="auto"/>
              <w:right w:val="single" w:sz="4" w:space="0" w:color="auto"/>
            </w:tcBorders>
            <w:noWrap/>
            <w:vAlign w:val="bottom"/>
          </w:tcPr>
          <w:p w:rsidR="009B10A4" w:rsidRPr="004A4736" w:rsidRDefault="009B10A4" w:rsidP="00287D48">
            <w:pPr>
              <w:spacing w:before="60" w:after="60" w:line="240" w:lineRule="auto"/>
              <w:jc w:val="both"/>
              <w:rPr>
                <w:rFonts w:ascii="Times New Roman" w:hAnsi="Times New Roman"/>
              </w:rPr>
            </w:pPr>
            <w:r w:rsidRPr="004A4736">
              <w:rPr>
                <w:rFonts w:ascii="Times New Roman" w:hAnsi="Times New Roman"/>
              </w:rPr>
              <w:t>Kredītiestādes</w:t>
            </w:r>
          </w:p>
        </w:tc>
        <w:tc>
          <w:tcPr>
            <w:tcW w:w="755" w:type="pct"/>
            <w:gridSpan w:val="2"/>
            <w:tcBorders>
              <w:top w:val="single" w:sz="4" w:space="0" w:color="auto"/>
              <w:left w:val="single" w:sz="4" w:space="0" w:color="auto"/>
              <w:bottom w:val="single" w:sz="4" w:space="0" w:color="auto"/>
            </w:tcBorders>
            <w:noWrap/>
          </w:tcPr>
          <w:p w:rsidR="009B10A4" w:rsidRPr="004A4736" w:rsidRDefault="009B10A4" w:rsidP="00A43091">
            <w:pPr>
              <w:spacing w:before="60" w:after="60" w:line="240" w:lineRule="auto"/>
              <w:jc w:val="center"/>
              <w:rPr>
                <w:rFonts w:ascii="Times New Roman" w:hAnsi="Times New Roman"/>
              </w:rPr>
            </w:pPr>
            <w:r w:rsidRPr="004A4736">
              <w:rPr>
                <w:rFonts w:ascii="Times New Roman" w:hAnsi="Times New Roman"/>
              </w:rPr>
              <w:t>103</w:t>
            </w:r>
          </w:p>
        </w:tc>
        <w:tc>
          <w:tcPr>
            <w:tcW w:w="821" w:type="pct"/>
            <w:tcBorders>
              <w:top w:val="single" w:sz="4" w:space="0" w:color="auto"/>
              <w:bottom w:val="single" w:sz="4" w:space="0" w:color="auto"/>
            </w:tcBorders>
            <w:noWrap/>
          </w:tcPr>
          <w:p w:rsidR="009B10A4" w:rsidRPr="004A4736" w:rsidRDefault="009B10A4" w:rsidP="00A43091">
            <w:pPr>
              <w:spacing w:before="60" w:after="60" w:line="240" w:lineRule="auto"/>
              <w:jc w:val="center"/>
              <w:rPr>
                <w:rFonts w:ascii="Times New Roman" w:hAnsi="Times New Roman"/>
              </w:rPr>
            </w:pPr>
            <w:r w:rsidRPr="004A4736">
              <w:rPr>
                <w:rFonts w:ascii="Times New Roman" w:hAnsi="Times New Roman"/>
              </w:rPr>
              <w:t>299</w:t>
            </w:r>
          </w:p>
        </w:tc>
        <w:tc>
          <w:tcPr>
            <w:tcW w:w="763" w:type="pct"/>
            <w:gridSpan w:val="2"/>
            <w:tcBorders>
              <w:top w:val="single" w:sz="4" w:space="0" w:color="auto"/>
              <w:bottom w:val="single" w:sz="4" w:space="0" w:color="auto"/>
            </w:tcBorders>
          </w:tcPr>
          <w:p w:rsidR="009B10A4" w:rsidRPr="004A4736" w:rsidRDefault="009B10A4" w:rsidP="00A43091">
            <w:pPr>
              <w:spacing w:before="60" w:after="60" w:line="240" w:lineRule="auto"/>
              <w:jc w:val="center"/>
              <w:rPr>
                <w:rFonts w:ascii="Times New Roman" w:hAnsi="Times New Roman"/>
              </w:rPr>
            </w:pPr>
            <w:r w:rsidRPr="004A4736">
              <w:rPr>
                <w:rFonts w:ascii="Times New Roman" w:hAnsi="Times New Roman"/>
              </w:rPr>
              <w:t>209</w:t>
            </w:r>
          </w:p>
        </w:tc>
        <w:tc>
          <w:tcPr>
            <w:tcW w:w="750" w:type="pct"/>
            <w:gridSpan w:val="2"/>
            <w:tcBorders>
              <w:top w:val="single" w:sz="4" w:space="0" w:color="auto"/>
              <w:bottom w:val="single" w:sz="4" w:space="0" w:color="auto"/>
            </w:tcBorders>
          </w:tcPr>
          <w:p w:rsidR="009B10A4" w:rsidRPr="004A4736" w:rsidRDefault="009B10A4" w:rsidP="00A43091">
            <w:pPr>
              <w:spacing w:before="60" w:after="60" w:line="240" w:lineRule="auto"/>
              <w:jc w:val="center"/>
              <w:rPr>
                <w:rFonts w:ascii="Times New Roman" w:hAnsi="Times New Roman"/>
              </w:rPr>
            </w:pPr>
            <w:r w:rsidRPr="004A4736">
              <w:rPr>
                <w:rFonts w:ascii="Times New Roman" w:hAnsi="Times New Roman"/>
              </w:rPr>
              <w:t>114</w:t>
            </w:r>
          </w:p>
        </w:tc>
        <w:tc>
          <w:tcPr>
            <w:tcW w:w="784" w:type="pct"/>
            <w:gridSpan w:val="3"/>
            <w:tcBorders>
              <w:top w:val="single" w:sz="4" w:space="0" w:color="auto"/>
              <w:bottom w:val="single" w:sz="4" w:space="0" w:color="auto"/>
            </w:tcBorders>
            <w:noWrap/>
          </w:tcPr>
          <w:p w:rsidR="009B10A4" w:rsidRPr="004A4736" w:rsidRDefault="009B10A4" w:rsidP="00A43091">
            <w:pPr>
              <w:tabs>
                <w:tab w:val="decimal" w:pos="497"/>
              </w:tabs>
              <w:spacing w:before="60" w:after="60" w:line="240" w:lineRule="auto"/>
              <w:jc w:val="center"/>
              <w:rPr>
                <w:rFonts w:ascii="Times New Roman" w:hAnsi="Times New Roman"/>
              </w:rPr>
            </w:pPr>
            <w:r w:rsidRPr="004A4736">
              <w:rPr>
                <w:rFonts w:ascii="Times New Roman" w:hAnsi="Times New Roman"/>
              </w:rPr>
              <w:t>725</w:t>
            </w:r>
          </w:p>
        </w:tc>
      </w:tr>
      <w:tr w:rsidR="009B10A4" w:rsidRPr="004A4736" w:rsidTr="00A43091">
        <w:trPr>
          <w:gridAfter w:val="1"/>
          <w:wAfter w:w="7" w:type="pct"/>
          <w:trHeight w:val="300"/>
          <w:jc w:val="center"/>
        </w:trPr>
        <w:tc>
          <w:tcPr>
            <w:tcW w:w="1126" w:type="pct"/>
            <w:tcBorders>
              <w:top w:val="single" w:sz="4" w:space="0" w:color="auto"/>
              <w:right w:val="single" w:sz="4" w:space="0" w:color="auto"/>
            </w:tcBorders>
            <w:noWrap/>
            <w:vAlign w:val="bottom"/>
          </w:tcPr>
          <w:p w:rsidR="009B10A4" w:rsidRPr="004A4736" w:rsidRDefault="009B10A4" w:rsidP="006D0371">
            <w:pPr>
              <w:spacing w:before="60" w:after="60" w:line="240" w:lineRule="auto"/>
              <w:jc w:val="both"/>
              <w:rPr>
                <w:rFonts w:ascii="Times New Roman" w:hAnsi="Times New Roman"/>
              </w:rPr>
            </w:pPr>
            <w:r w:rsidRPr="004A4736">
              <w:rPr>
                <w:rFonts w:ascii="Times New Roman" w:hAnsi="Times New Roman"/>
              </w:rPr>
              <w:t>Kapitālsabiedrības</w:t>
            </w:r>
          </w:p>
        </w:tc>
        <w:tc>
          <w:tcPr>
            <w:tcW w:w="755" w:type="pct"/>
            <w:gridSpan w:val="2"/>
            <w:tcBorders>
              <w:top w:val="single" w:sz="4" w:space="0" w:color="auto"/>
              <w:left w:val="single" w:sz="4" w:space="0" w:color="auto"/>
            </w:tcBorders>
            <w:noWrap/>
          </w:tcPr>
          <w:p w:rsidR="009B10A4" w:rsidRPr="004A4736" w:rsidRDefault="009B10A4" w:rsidP="00A43091">
            <w:pPr>
              <w:spacing w:before="60" w:after="60" w:line="240" w:lineRule="auto"/>
              <w:jc w:val="center"/>
              <w:rPr>
                <w:rFonts w:ascii="Times New Roman" w:hAnsi="Times New Roman"/>
              </w:rPr>
            </w:pPr>
            <w:r w:rsidRPr="004A4736">
              <w:rPr>
                <w:rFonts w:ascii="Times New Roman" w:hAnsi="Times New Roman"/>
              </w:rPr>
              <w:t>14</w:t>
            </w:r>
          </w:p>
        </w:tc>
        <w:tc>
          <w:tcPr>
            <w:tcW w:w="821" w:type="pct"/>
            <w:tcBorders>
              <w:top w:val="single" w:sz="4" w:space="0" w:color="auto"/>
            </w:tcBorders>
            <w:noWrap/>
          </w:tcPr>
          <w:p w:rsidR="009B10A4" w:rsidRPr="004A4736" w:rsidRDefault="009B10A4" w:rsidP="00A43091">
            <w:pPr>
              <w:spacing w:before="60" w:after="60" w:line="240" w:lineRule="auto"/>
              <w:jc w:val="center"/>
              <w:rPr>
                <w:rFonts w:ascii="Times New Roman" w:hAnsi="Times New Roman"/>
              </w:rPr>
            </w:pPr>
            <w:r w:rsidRPr="004A4736">
              <w:rPr>
                <w:rFonts w:ascii="Times New Roman" w:hAnsi="Times New Roman"/>
              </w:rPr>
              <w:t>117</w:t>
            </w:r>
          </w:p>
        </w:tc>
        <w:tc>
          <w:tcPr>
            <w:tcW w:w="763" w:type="pct"/>
            <w:gridSpan w:val="2"/>
            <w:tcBorders>
              <w:top w:val="single" w:sz="4" w:space="0" w:color="auto"/>
            </w:tcBorders>
          </w:tcPr>
          <w:p w:rsidR="009B10A4" w:rsidRPr="004A4736" w:rsidRDefault="009B10A4" w:rsidP="00A43091">
            <w:pPr>
              <w:spacing w:before="60" w:after="60" w:line="240" w:lineRule="auto"/>
              <w:jc w:val="center"/>
              <w:rPr>
                <w:rFonts w:ascii="Times New Roman" w:hAnsi="Times New Roman"/>
              </w:rPr>
            </w:pPr>
            <w:r w:rsidRPr="004A4736">
              <w:rPr>
                <w:rFonts w:ascii="Times New Roman" w:hAnsi="Times New Roman"/>
              </w:rPr>
              <w:t>269</w:t>
            </w:r>
          </w:p>
        </w:tc>
        <w:tc>
          <w:tcPr>
            <w:tcW w:w="750" w:type="pct"/>
            <w:gridSpan w:val="2"/>
            <w:tcBorders>
              <w:top w:val="single" w:sz="4" w:space="0" w:color="auto"/>
            </w:tcBorders>
          </w:tcPr>
          <w:p w:rsidR="009B10A4" w:rsidRPr="004A4736" w:rsidRDefault="009B10A4" w:rsidP="00A43091">
            <w:pPr>
              <w:spacing w:before="60" w:after="60" w:line="240" w:lineRule="auto"/>
              <w:jc w:val="center"/>
              <w:rPr>
                <w:rFonts w:ascii="Times New Roman" w:hAnsi="Times New Roman"/>
              </w:rPr>
            </w:pPr>
            <w:r w:rsidRPr="004A4736">
              <w:rPr>
                <w:rFonts w:ascii="Times New Roman" w:hAnsi="Times New Roman"/>
              </w:rPr>
              <w:t>200</w:t>
            </w:r>
          </w:p>
        </w:tc>
        <w:tc>
          <w:tcPr>
            <w:tcW w:w="777" w:type="pct"/>
            <w:gridSpan w:val="2"/>
            <w:tcBorders>
              <w:top w:val="single" w:sz="4" w:space="0" w:color="auto"/>
            </w:tcBorders>
            <w:noWrap/>
          </w:tcPr>
          <w:p w:rsidR="009B10A4" w:rsidRPr="004A4736" w:rsidRDefault="009B10A4" w:rsidP="00A43091">
            <w:pPr>
              <w:tabs>
                <w:tab w:val="decimal" w:pos="497"/>
              </w:tabs>
              <w:spacing w:before="60" w:after="60" w:line="240" w:lineRule="auto"/>
              <w:jc w:val="center"/>
              <w:rPr>
                <w:rFonts w:ascii="Times New Roman" w:hAnsi="Times New Roman"/>
                <w:b/>
              </w:rPr>
            </w:pPr>
            <w:r w:rsidRPr="004A4736">
              <w:rPr>
                <w:rFonts w:ascii="Times New Roman" w:hAnsi="Times New Roman"/>
                <w:b/>
              </w:rPr>
              <w:t>600</w:t>
            </w:r>
          </w:p>
        </w:tc>
      </w:tr>
      <w:tr w:rsidR="009B10A4" w:rsidRPr="004A4736" w:rsidTr="00A43091">
        <w:trPr>
          <w:trHeight w:val="300"/>
          <w:jc w:val="center"/>
        </w:trPr>
        <w:tc>
          <w:tcPr>
            <w:tcW w:w="1126" w:type="pct"/>
            <w:tcBorders>
              <w:top w:val="single" w:sz="4" w:space="0" w:color="auto"/>
              <w:bottom w:val="single" w:sz="4" w:space="0" w:color="auto"/>
              <w:right w:val="single" w:sz="4" w:space="0" w:color="auto"/>
            </w:tcBorders>
            <w:noWrap/>
            <w:vAlign w:val="bottom"/>
          </w:tcPr>
          <w:p w:rsidR="009B10A4" w:rsidRPr="004A4736" w:rsidRDefault="009B10A4" w:rsidP="006D0371">
            <w:pPr>
              <w:spacing w:before="60" w:after="60" w:line="240" w:lineRule="auto"/>
              <w:jc w:val="both"/>
              <w:rPr>
                <w:rFonts w:ascii="Times New Roman" w:hAnsi="Times New Roman"/>
                <w:b/>
              </w:rPr>
            </w:pPr>
            <w:r w:rsidRPr="004A4736">
              <w:rPr>
                <w:rFonts w:ascii="Times New Roman" w:hAnsi="Times New Roman"/>
                <w:b/>
              </w:rPr>
              <w:t>Kopā</w:t>
            </w:r>
          </w:p>
        </w:tc>
        <w:tc>
          <w:tcPr>
            <w:tcW w:w="755" w:type="pct"/>
            <w:gridSpan w:val="2"/>
            <w:tcBorders>
              <w:top w:val="single" w:sz="4" w:space="0" w:color="auto"/>
              <w:left w:val="single" w:sz="4" w:space="0" w:color="auto"/>
              <w:bottom w:val="single" w:sz="4" w:space="0" w:color="auto"/>
            </w:tcBorders>
            <w:noWrap/>
          </w:tcPr>
          <w:p w:rsidR="009B10A4" w:rsidRPr="004A4736" w:rsidRDefault="009B10A4" w:rsidP="00A43091">
            <w:pPr>
              <w:tabs>
                <w:tab w:val="decimal" w:pos="497"/>
              </w:tabs>
              <w:spacing w:before="60" w:after="60" w:line="240" w:lineRule="auto"/>
              <w:jc w:val="center"/>
              <w:rPr>
                <w:rFonts w:ascii="Times New Roman" w:hAnsi="Times New Roman"/>
                <w:b/>
              </w:rPr>
            </w:pPr>
            <w:r w:rsidRPr="004A4736">
              <w:rPr>
                <w:rFonts w:ascii="Times New Roman" w:hAnsi="Times New Roman"/>
                <w:b/>
              </w:rPr>
              <w:t>289</w:t>
            </w:r>
          </w:p>
        </w:tc>
        <w:tc>
          <w:tcPr>
            <w:tcW w:w="821" w:type="pct"/>
            <w:tcBorders>
              <w:top w:val="single" w:sz="4" w:space="0" w:color="auto"/>
              <w:bottom w:val="single" w:sz="4" w:space="0" w:color="auto"/>
            </w:tcBorders>
            <w:noWrap/>
          </w:tcPr>
          <w:p w:rsidR="009B10A4" w:rsidRPr="004A4736" w:rsidRDefault="009B10A4" w:rsidP="00A43091">
            <w:pPr>
              <w:tabs>
                <w:tab w:val="decimal" w:pos="497"/>
              </w:tabs>
              <w:spacing w:before="60" w:after="60" w:line="240" w:lineRule="auto"/>
              <w:jc w:val="center"/>
              <w:rPr>
                <w:rFonts w:ascii="Times New Roman" w:hAnsi="Times New Roman"/>
                <w:b/>
              </w:rPr>
            </w:pPr>
            <w:r w:rsidRPr="004A4736">
              <w:rPr>
                <w:rFonts w:ascii="Times New Roman" w:hAnsi="Times New Roman"/>
                <w:b/>
              </w:rPr>
              <w:t>1 976</w:t>
            </w:r>
          </w:p>
        </w:tc>
        <w:tc>
          <w:tcPr>
            <w:tcW w:w="763" w:type="pct"/>
            <w:gridSpan w:val="2"/>
            <w:tcBorders>
              <w:top w:val="single" w:sz="4" w:space="0" w:color="auto"/>
              <w:bottom w:val="single" w:sz="4" w:space="0" w:color="auto"/>
            </w:tcBorders>
          </w:tcPr>
          <w:p w:rsidR="009B10A4" w:rsidRPr="004A4736" w:rsidRDefault="009B10A4" w:rsidP="00A43091">
            <w:pPr>
              <w:tabs>
                <w:tab w:val="decimal" w:pos="497"/>
              </w:tabs>
              <w:spacing w:before="60" w:after="60" w:line="240" w:lineRule="auto"/>
              <w:jc w:val="center"/>
              <w:rPr>
                <w:rFonts w:ascii="Times New Roman" w:hAnsi="Times New Roman"/>
                <w:b/>
              </w:rPr>
            </w:pPr>
            <w:r w:rsidRPr="004A4736">
              <w:rPr>
                <w:rFonts w:ascii="Times New Roman" w:hAnsi="Times New Roman"/>
                <w:b/>
              </w:rPr>
              <w:t>2 918</w:t>
            </w:r>
          </w:p>
        </w:tc>
        <w:tc>
          <w:tcPr>
            <w:tcW w:w="750" w:type="pct"/>
            <w:gridSpan w:val="2"/>
            <w:tcBorders>
              <w:top w:val="single" w:sz="4" w:space="0" w:color="auto"/>
              <w:bottom w:val="single" w:sz="4" w:space="0" w:color="auto"/>
            </w:tcBorders>
          </w:tcPr>
          <w:p w:rsidR="009B10A4" w:rsidRPr="004A4736" w:rsidRDefault="009B10A4" w:rsidP="00A43091">
            <w:pPr>
              <w:tabs>
                <w:tab w:val="decimal" w:pos="497"/>
              </w:tabs>
              <w:spacing w:before="60" w:after="60" w:line="240" w:lineRule="auto"/>
              <w:jc w:val="center"/>
              <w:rPr>
                <w:rFonts w:ascii="Times New Roman" w:hAnsi="Times New Roman"/>
                <w:b/>
              </w:rPr>
            </w:pPr>
            <w:r w:rsidRPr="004A4736">
              <w:rPr>
                <w:rFonts w:ascii="Times New Roman" w:hAnsi="Times New Roman"/>
                <w:b/>
              </w:rPr>
              <w:t>1 700</w:t>
            </w:r>
          </w:p>
        </w:tc>
        <w:tc>
          <w:tcPr>
            <w:tcW w:w="784" w:type="pct"/>
            <w:gridSpan w:val="3"/>
            <w:tcBorders>
              <w:top w:val="single" w:sz="4" w:space="0" w:color="auto"/>
              <w:bottom w:val="single" w:sz="4" w:space="0" w:color="auto"/>
            </w:tcBorders>
            <w:noWrap/>
          </w:tcPr>
          <w:p w:rsidR="009B10A4" w:rsidRPr="004A4736" w:rsidRDefault="009B10A4" w:rsidP="00A43091">
            <w:pPr>
              <w:tabs>
                <w:tab w:val="decimal" w:pos="497"/>
              </w:tabs>
              <w:spacing w:before="60" w:after="60" w:line="240" w:lineRule="auto"/>
              <w:jc w:val="center"/>
              <w:rPr>
                <w:rFonts w:ascii="Times New Roman" w:hAnsi="Times New Roman"/>
                <w:b/>
              </w:rPr>
            </w:pPr>
            <w:r w:rsidRPr="004A4736">
              <w:rPr>
                <w:rFonts w:ascii="Times New Roman" w:hAnsi="Times New Roman"/>
                <w:b/>
              </w:rPr>
              <w:t>6 883</w:t>
            </w:r>
          </w:p>
        </w:tc>
      </w:tr>
    </w:tbl>
    <w:p w:rsidR="009B10A4" w:rsidRPr="004A4736" w:rsidRDefault="009B10A4" w:rsidP="00FF6626">
      <w:pPr>
        <w:spacing w:after="0" w:line="240" w:lineRule="auto"/>
        <w:jc w:val="both"/>
        <w:rPr>
          <w:rFonts w:ascii="Times New Roman" w:hAnsi="Times New Roman"/>
          <w:sz w:val="16"/>
          <w:szCs w:val="16"/>
        </w:rPr>
      </w:pPr>
    </w:p>
    <w:p w:rsidR="009B10A4" w:rsidRPr="004A4736" w:rsidRDefault="009B10A4" w:rsidP="00FF6626">
      <w:pPr>
        <w:spacing w:after="0" w:line="240" w:lineRule="auto"/>
        <w:jc w:val="both"/>
        <w:rPr>
          <w:rFonts w:ascii="Times New Roman" w:hAnsi="Times New Roman"/>
          <w:i/>
        </w:rPr>
      </w:pPr>
      <w:r w:rsidRPr="004A4736">
        <w:rPr>
          <w:rFonts w:ascii="Times New Roman" w:hAnsi="Times New Roman"/>
          <w:i/>
        </w:rPr>
        <w:t>Avots: PMLP</w:t>
      </w:r>
    </w:p>
    <w:p w:rsidR="009B10A4" w:rsidRPr="004A4736" w:rsidRDefault="009B10A4" w:rsidP="008D6909">
      <w:pPr>
        <w:spacing w:after="0" w:line="240" w:lineRule="auto"/>
        <w:ind w:firstLine="567"/>
        <w:jc w:val="right"/>
        <w:rPr>
          <w:rFonts w:ascii="Times New Roman" w:hAnsi="Times New Roman"/>
          <w:sz w:val="24"/>
        </w:rPr>
      </w:pPr>
    </w:p>
    <w:p w:rsidR="009B10A4" w:rsidRPr="004A4736" w:rsidRDefault="009B10A4" w:rsidP="006B6031">
      <w:pPr>
        <w:spacing w:after="0" w:line="240" w:lineRule="auto"/>
        <w:ind w:firstLine="426"/>
        <w:jc w:val="both"/>
        <w:rPr>
          <w:rFonts w:ascii="Times New Roman" w:hAnsi="Times New Roman"/>
          <w:sz w:val="26"/>
          <w:szCs w:val="26"/>
        </w:rPr>
      </w:pPr>
      <w:r w:rsidRPr="004A4736">
        <w:rPr>
          <w:rFonts w:ascii="Times New Roman" w:hAnsi="Times New Roman"/>
          <w:sz w:val="26"/>
          <w:szCs w:val="26"/>
        </w:rPr>
        <w:t>Kā liecina maksājumu bilances statistika globālā finanšu krīze negatīvi ietekmēja ārvalstu kapitāla ieplūdi Latvijas ekonomikā, samazinot ārvalstu tiešo investīciju (ĀTI) plūsmu intensitāti. Vienlaikus jāatzīmē, ka ĀTI plūsmas pat recesijas gados saglabājās pozitīvas – ārvalstu kapitāla ieplūde ĀTI veidā pārsniedza tā aizplūdi), kas zināmā mērā liecināja par ārvalstu investoru uzticību valsts īstenotajai ekonomikas stabilizācijas politikai.</w:t>
      </w:r>
    </w:p>
    <w:p w:rsidR="006C1135" w:rsidRPr="004A4736" w:rsidRDefault="009B10A4" w:rsidP="006C1135">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Atjaunojoties ekonomikas izaugsmei, ĀTI plūsmas strauji palielinājās. Ienākošo ĀTI apjoms 2010.gadā bija 4 reizes lielāks nekā 2009.gadā, savukārt 2011.gadā ĀTI plūsmas gandrīz 4 reizes pārsniedza 2010.gada rādītāju un sasniedza 5,5% no IKP. Arī 2012.gadā saglabājās samērā augsts ienākošo ĀTI līmenis. </w:t>
      </w:r>
    </w:p>
    <w:p w:rsidR="006D57C1" w:rsidRPr="004A4736" w:rsidRDefault="006D57C1" w:rsidP="006C1135">
      <w:pPr>
        <w:spacing w:after="0" w:line="240" w:lineRule="auto"/>
        <w:ind w:firstLine="426"/>
        <w:jc w:val="both"/>
        <w:rPr>
          <w:rFonts w:ascii="Times New Roman" w:hAnsi="Times New Roman"/>
          <w:sz w:val="26"/>
          <w:szCs w:val="26"/>
        </w:rPr>
      </w:pPr>
    </w:p>
    <w:p w:rsidR="006C1135" w:rsidRPr="004A4736" w:rsidRDefault="006C1135" w:rsidP="006C1135">
      <w:pPr>
        <w:spacing w:after="60" w:line="240" w:lineRule="auto"/>
        <w:jc w:val="right"/>
        <w:rPr>
          <w:rFonts w:ascii="Times New Roman" w:hAnsi="Times New Roman"/>
          <w:sz w:val="26"/>
          <w:szCs w:val="26"/>
        </w:rPr>
      </w:pPr>
      <w:r w:rsidRPr="004A4736">
        <w:rPr>
          <w:rFonts w:ascii="Times New Roman" w:hAnsi="Times New Roman"/>
          <w:sz w:val="26"/>
          <w:szCs w:val="26"/>
        </w:rPr>
        <w:t>2.attēls</w:t>
      </w:r>
    </w:p>
    <w:p w:rsidR="006D57C1" w:rsidRPr="004A4736" w:rsidRDefault="006D57C1" w:rsidP="006C1135">
      <w:pPr>
        <w:spacing w:after="60" w:line="240" w:lineRule="auto"/>
        <w:jc w:val="right"/>
        <w:rPr>
          <w:rFonts w:ascii="Times New Roman" w:hAnsi="Times New Roman"/>
          <w:sz w:val="26"/>
          <w:szCs w:val="26"/>
        </w:rPr>
      </w:pPr>
    </w:p>
    <w:p w:rsidR="006D57C1" w:rsidRPr="004A4736" w:rsidRDefault="006D57C1" w:rsidP="006C1135">
      <w:pPr>
        <w:spacing w:after="60" w:line="240" w:lineRule="auto"/>
        <w:jc w:val="right"/>
        <w:rPr>
          <w:rFonts w:ascii="Times New Roman" w:hAnsi="Times New Roman"/>
          <w:sz w:val="26"/>
          <w:szCs w:val="26"/>
        </w:rPr>
      </w:pPr>
      <w:r w:rsidRPr="004A4736">
        <w:rPr>
          <w:noProof/>
          <w:lang w:eastAsia="lv-LV"/>
        </w:rPr>
        <w:drawing>
          <wp:inline distT="0" distB="0" distL="0" distR="0">
            <wp:extent cx="6219825" cy="274376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7086" cy="2746971"/>
                    </a:xfrm>
                    <a:prstGeom prst="rect">
                      <a:avLst/>
                    </a:prstGeom>
                    <a:noFill/>
                    <a:ln>
                      <a:noFill/>
                    </a:ln>
                  </pic:spPr>
                </pic:pic>
              </a:graphicData>
            </a:graphic>
          </wp:inline>
        </w:drawing>
      </w:r>
    </w:p>
    <w:p w:rsidR="009B10A4" w:rsidRPr="004A4736" w:rsidRDefault="009B10A4" w:rsidP="003C065A">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Nerezidentu ieguldījumi, kas saistīti ar TUA saņemšanu, no 2010.gada 1.jūlija līdz 2013.gada 1.jūlijam bija 419,2 milj. latu. Nozaru griezumā jūtama ietekme uz kopējām ĀTI plūsmām saistībā ar TUA saņemšanu ir novērojama tikai nekustamo īpašumu darījumu nozarē, bet pārējās nozarēs šī ietekme ir nenozīmīga. </w:t>
      </w:r>
    </w:p>
    <w:p w:rsidR="009B10A4" w:rsidRPr="004A4736" w:rsidRDefault="009B10A4" w:rsidP="008E155E">
      <w:pPr>
        <w:pStyle w:val="Heading1"/>
        <w:spacing w:before="0" w:line="240" w:lineRule="auto"/>
        <w:rPr>
          <w:rFonts w:ascii="Times New Roman" w:hAnsi="Times New Roman"/>
          <w:color w:val="auto"/>
        </w:rPr>
      </w:pPr>
    </w:p>
    <w:p w:rsidR="009B10A4" w:rsidRPr="004A4736" w:rsidRDefault="009B10A4" w:rsidP="007E51FA">
      <w:pPr>
        <w:pStyle w:val="Heading1"/>
        <w:spacing w:before="0" w:after="120" w:line="240" w:lineRule="auto"/>
        <w:rPr>
          <w:rFonts w:ascii="Times New Roman" w:hAnsi="Times New Roman"/>
          <w:color w:val="auto"/>
        </w:rPr>
      </w:pPr>
      <w:bookmarkStart w:id="19" w:name="_Toc366612106"/>
      <w:r w:rsidRPr="004A4736">
        <w:rPr>
          <w:rFonts w:ascii="Times New Roman" w:hAnsi="Times New Roman"/>
          <w:color w:val="auto"/>
        </w:rPr>
        <w:t>3. Ārvalstu investoru valstiskā piederība</w:t>
      </w:r>
      <w:bookmarkEnd w:id="19"/>
    </w:p>
    <w:p w:rsidR="009B10A4" w:rsidRPr="004A4736" w:rsidRDefault="009B10A4" w:rsidP="005617D1">
      <w:pPr>
        <w:pStyle w:val="NormalWeb"/>
        <w:spacing w:after="0" w:afterAutospacing="0"/>
        <w:ind w:firstLine="540"/>
        <w:jc w:val="both"/>
        <w:rPr>
          <w:sz w:val="26"/>
          <w:szCs w:val="26"/>
        </w:rPr>
      </w:pPr>
      <w:r w:rsidRPr="004A4736">
        <w:rPr>
          <w:sz w:val="26"/>
          <w:szCs w:val="26"/>
        </w:rPr>
        <w:t>Kopumā TUA ir pieprasījuši 35 valstu pilsoņi. Ņemot vērā Latvijas ģeogrāfisko izvietojumu, vēsturi un ar daudzām trešajām valstīm salīdzinoši augsto dzīves līmeni, attie</w:t>
      </w:r>
      <w:r w:rsidR="00037B97" w:rsidRPr="004A4736">
        <w:rPr>
          <w:sz w:val="26"/>
          <w:szCs w:val="26"/>
        </w:rPr>
        <w:t>cīgās Imigrācijas likuma normas galvenokārt</w:t>
      </w:r>
      <w:r w:rsidRPr="004A4736">
        <w:rPr>
          <w:sz w:val="26"/>
          <w:szCs w:val="26"/>
        </w:rPr>
        <w:t xml:space="preserve"> ir piesaistījušas investorus no bijušajām Padomju Savienības republikām. Gandrīz 95% no visām TUA ir pieprasījuši šo valstu investori. Ārpus bijušās Padomju Savienības teritorijas lielākā investoru interese ir no Ķīnas (243 TUA pieprasījumu), Izraēlas (30 TUA pieprasījumu) un ASV (28 TUA pieprasījumu). Jāatzīmē, ka 2013.gada pirmajā pusgadā no Ķīnas valsts piederīgo puses ir izrādīta ievērojama interese un TUA pieteiktas 107 personas, šajā periodā ierindojot Ķīnu aktīvāko trīs valstu vidū aiz Krievijas un Uzbekistānas. Konstatēts, ka šajā virzienā gan Latvijā, gan Ķīnā esošās aģentūras veic mērķtiecīgus pasākumus Ķīnas pilsoņu ieceļošanai Latvijā. Vienlaikus jāatzīmē, ka, investējot atsevišķos Latvijas reģionos (piem., Cēsis, Jelgavas novads), ilgtermiņā Ķīnas pilsoņu masveida ieceļošana un uzturēšanās var radīt imigrācijas, etnisko konfliktu un darba tirgus nevienlīdzības riskus.</w:t>
      </w:r>
    </w:p>
    <w:p w:rsidR="009B10A4" w:rsidRPr="004A4736" w:rsidRDefault="009B10A4" w:rsidP="00B2026D">
      <w:pPr>
        <w:spacing w:after="0" w:line="240" w:lineRule="auto"/>
        <w:ind w:firstLine="426"/>
        <w:jc w:val="both"/>
        <w:rPr>
          <w:rFonts w:ascii="Times New Roman" w:hAnsi="Times New Roman"/>
          <w:sz w:val="26"/>
          <w:szCs w:val="26"/>
        </w:rPr>
      </w:pPr>
    </w:p>
    <w:p w:rsidR="009B10A4" w:rsidRPr="004A4736" w:rsidRDefault="009B10A4" w:rsidP="005617D1">
      <w:pPr>
        <w:pStyle w:val="NormalWeb"/>
        <w:spacing w:before="0" w:beforeAutospacing="0" w:after="0" w:afterAutospacing="0"/>
        <w:ind w:firstLine="540"/>
        <w:jc w:val="both"/>
        <w:rPr>
          <w:sz w:val="26"/>
          <w:szCs w:val="26"/>
        </w:rPr>
      </w:pPr>
      <w:r w:rsidRPr="004A4736">
        <w:rPr>
          <w:sz w:val="26"/>
          <w:szCs w:val="26"/>
        </w:rPr>
        <w:t>No paaugstināta terorisma riska valstu</w:t>
      </w:r>
      <w:r w:rsidRPr="004A4736">
        <w:rPr>
          <w:rStyle w:val="FootnoteReference"/>
          <w:sz w:val="26"/>
          <w:szCs w:val="26"/>
        </w:rPr>
        <w:footnoteReference w:id="1"/>
      </w:r>
      <w:r w:rsidRPr="004A4736">
        <w:rPr>
          <w:sz w:val="26"/>
          <w:szCs w:val="26"/>
        </w:rPr>
        <w:t xml:space="preserve"> pilsoņiem saņemtais pieteikumu skaits (kopā 61 investoru un viņu ģimenes locekļu pieteikums) ir procentuāli neliels. </w:t>
      </w:r>
    </w:p>
    <w:p w:rsidR="009B10A4" w:rsidRPr="004A4736" w:rsidRDefault="009B10A4" w:rsidP="005617D1">
      <w:pPr>
        <w:pStyle w:val="NormalWeb"/>
        <w:spacing w:before="0" w:beforeAutospacing="0" w:after="0" w:afterAutospacing="0"/>
        <w:ind w:firstLine="540"/>
        <w:jc w:val="both"/>
        <w:rPr>
          <w:sz w:val="26"/>
          <w:szCs w:val="26"/>
        </w:rPr>
      </w:pPr>
      <w:r w:rsidRPr="004A4736">
        <w:rPr>
          <w:sz w:val="26"/>
          <w:szCs w:val="26"/>
        </w:rPr>
        <w:t>Pārskata periodā ievērojamus naudas līdzekļus, atbilstoši Imigrācijas likuma 23.panta pirmās daļas 28., 29. un 30.punktam, ir investējušas Krievijas Federācijas esošās vai bijušās valsts pārvaldes un uzņēmumu amatpersonas un to ģimenes locekļi, kā arī nestrādājošas personas (pensionāri, mājsaimnieces, studenti), kas joprojām rada aizdomas par viņu kā invest</w:t>
      </w:r>
      <w:r w:rsidR="00B17281">
        <w:rPr>
          <w:sz w:val="26"/>
          <w:szCs w:val="26"/>
        </w:rPr>
        <w:t xml:space="preserve">oru kapitāla izcelsmes likumību, tomēr līdz šim </w:t>
      </w:r>
      <w:r w:rsidRPr="004A4736">
        <w:rPr>
          <w:sz w:val="26"/>
          <w:szCs w:val="26"/>
        </w:rPr>
        <w:t>Noziedzīgi iegūtu līdzekļu legalizācijas novēršanas dienest</w:t>
      </w:r>
      <w:r w:rsidR="00B17281">
        <w:rPr>
          <w:sz w:val="26"/>
          <w:szCs w:val="26"/>
        </w:rPr>
        <w:t>s nav identificējis</w:t>
      </w:r>
      <w:r w:rsidR="0096547B">
        <w:rPr>
          <w:sz w:val="26"/>
          <w:szCs w:val="26"/>
        </w:rPr>
        <w:t xml:space="preserve"> saskaņā ar Imigrācijas likuma nosacījumiem veiktas</w:t>
      </w:r>
      <w:r w:rsidR="00B17281">
        <w:rPr>
          <w:sz w:val="26"/>
          <w:szCs w:val="26"/>
        </w:rPr>
        <w:t xml:space="preserve"> investīcijas, kuru izcelsmes </w:t>
      </w:r>
      <w:r w:rsidR="0096547B">
        <w:rPr>
          <w:sz w:val="26"/>
          <w:szCs w:val="26"/>
        </w:rPr>
        <w:t xml:space="preserve">kapitāls </w:t>
      </w:r>
      <w:r w:rsidR="00B17281">
        <w:rPr>
          <w:sz w:val="26"/>
          <w:szCs w:val="26"/>
        </w:rPr>
        <w:t>būtu kvalificējams kā</w:t>
      </w:r>
      <w:r w:rsidR="0096547B">
        <w:rPr>
          <w:sz w:val="26"/>
          <w:szCs w:val="26"/>
        </w:rPr>
        <w:t xml:space="preserve"> noziedzīgi iegūts</w:t>
      </w:r>
      <w:r w:rsidR="00B17281">
        <w:rPr>
          <w:sz w:val="26"/>
          <w:szCs w:val="26"/>
        </w:rPr>
        <w:t>.</w:t>
      </w:r>
    </w:p>
    <w:p w:rsidR="009B10A4" w:rsidRPr="004A4736" w:rsidRDefault="00923D72" w:rsidP="005617D1">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Ziņojuma </w:t>
      </w:r>
      <w:r w:rsidR="009B10A4" w:rsidRPr="004A4736">
        <w:rPr>
          <w:rFonts w:ascii="Times New Roman" w:hAnsi="Times New Roman"/>
          <w:sz w:val="26"/>
          <w:szCs w:val="26"/>
        </w:rPr>
        <w:t>1., 2.</w:t>
      </w:r>
      <w:r w:rsidR="00661329">
        <w:rPr>
          <w:rFonts w:ascii="Times New Roman" w:hAnsi="Times New Roman"/>
          <w:sz w:val="26"/>
          <w:szCs w:val="26"/>
        </w:rPr>
        <w:t>,</w:t>
      </w:r>
      <w:r w:rsidR="009B10A4" w:rsidRPr="004A4736">
        <w:rPr>
          <w:rFonts w:ascii="Times New Roman" w:hAnsi="Times New Roman"/>
          <w:sz w:val="26"/>
          <w:szCs w:val="26"/>
        </w:rPr>
        <w:t xml:space="preserve"> 3.</w:t>
      </w:r>
      <w:r w:rsidR="0096547B">
        <w:rPr>
          <w:rFonts w:ascii="Times New Roman" w:hAnsi="Times New Roman"/>
          <w:sz w:val="26"/>
          <w:szCs w:val="26"/>
        </w:rPr>
        <w:t xml:space="preserve"> u</w:t>
      </w:r>
      <w:r w:rsidR="00661329">
        <w:rPr>
          <w:rFonts w:ascii="Times New Roman" w:hAnsi="Times New Roman"/>
          <w:sz w:val="26"/>
          <w:szCs w:val="26"/>
        </w:rPr>
        <w:t>n 4.</w:t>
      </w:r>
      <w:r w:rsidR="009B10A4" w:rsidRPr="004A4736">
        <w:rPr>
          <w:rFonts w:ascii="Times New Roman" w:hAnsi="Times New Roman"/>
          <w:sz w:val="26"/>
          <w:szCs w:val="26"/>
        </w:rPr>
        <w:t>pielikumā ir sniegta detalizētāka informācija par investoru un viņu ģimenes locekļu iesniegto pieteikumu skaitu, izsniegtajām un anulētajām termiņuzturēšanās atļaujām un personu pilsonības valstīm.</w:t>
      </w:r>
    </w:p>
    <w:p w:rsidR="00B54B9F" w:rsidRDefault="00B54B9F" w:rsidP="009F6E47">
      <w:pPr>
        <w:spacing w:after="60" w:line="240" w:lineRule="auto"/>
        <w:jc w:val="right"/>
        <w:rPr>
          <w:rFonts w:ascii="Times New Roman" w:hAnsi="Times New Roman"/>
          <w:sz w:val="26"/>
          <w:szCs w:val="26"/>
        </w:rPr>
      </w:pPr>
    </w:p>
    <w:p w:rsidR="00B54B9F" w:rsidRDefault="00B54B9F" w:rsidP="009F6E47">
      <w:pPr>
        <w:spacing w:after="60" w:line="240" w:lineRule="auto"/>
        <w:jc w:val="right"/>
        <w:rPr>
          <w:rFonts w:ascii="Times New Roman" w:hAnsi="Times New Roman"/>
          <w:sz w:val="26"/>
          <w:szCs w:val="26"/>
        </w:rPr>
      </w:pPr>
    </w:p>
    <w:p w:rsidR="00B54B9F" w:rsidRDefault="00B54B9F" w:rsidP="009F6E47">
      <w:pPr>
        <w:spacing w:after="60" w:line="240" w:lineRule="auto"/>
        <w:jc w:val="right"/>
        <w:rPr>
          <w:rFonts w:ascii="Times New Roman" w:hAnsi="Times New Roman"/>
          <w:sz w:val="26"/>
          <w:szCs w:val="26"/>
        </w:rPr>
      </w:pPr>
    </w:p>
    <w:p w:rsidR="00B54B9F" w:rsidRDefault="00B54B9F" w:rsidP="009F6E47">
      <w:pPr>
        <w:spacing w:after="60" w:line="240" w:lineRule="auto"/>
        <w:jc w:val="right"/>
        <w:rPr>
          <w:rFonts w:ascii="Times New Roman" w:hAnsi="Times New Roman"/>
          <w:sz w:val="26"/>
          <w:szCs w:val="26"/>
        </w:rPr>
      </w:pPr>
    </w:p>
    <w:p w:rsidR="00B54B9F" w:rsidRDefault="00B54B9F" w:rsidP="009F6E47">
      <w:pPr>
        <w:spacing w:after="60" w:line="240" w:lineRule="auto"/>
        <w:jc w:val="right"/>
        <w:rPr>
          <w:rFonts w:ascii="Times New Roman" w:hAnsi="Times New Roman"/>
          <w:sz w:val="26"/>
          <w:szCs w:val="26"/>
        </w:rPr>
      </w:pPr>
    </w:p>
    <w:p w:rsidR="00B54B9F" w:rsidRDefault="00B54B9F" w:rsidP="009F6E47">
      <w:pPr>
        <w:spacing w:after="60" w:line="240" w:lineRule="auto"/>
        <w:jc w:val="right"/>
        <w:rPr>
          <w:rFonts w:ascii="Times New Roman" w:hAnsi="Times New Roman"/>
          <w:sz w:val="26"/>
          <w:szCs w:val="26"/>
        </w:rPr>
      </w:pPr>
    </w:p>
    <w:p w:rsidR="00B54B9F" w:rsidRDefault="00B54B9F" w:rsidP="009F6E47">
      <w:pPr>
        <w:spacing w:after="60" w:line="240" w:lineRule="auto"/>
        <w:jc w:val="right"/>
        <w:rPr>
          <w:rFonts w:ascii="Times New Roman" w:hAnsi="Times New Roman"/>
          <w:sz w:val="26"/>
          <w:szCs w:val="26"/>
        </w:rPr>
      </w:pPr>
    </w:p>
    <w:p w:rsidR="00B54B9F" w:rsidRDefault="00B54B9F" w:rsidP="009F6E47">
      <w:pPr>
        <w:spacing w:after="60" w:line="240" w:lineRule="auto"/>
        <w:jc w:val="right"/>
        <w:rPr>
          <w:rFonts w:ascii="Times New Roman" w:hAnsi="Times New Roman"/>
          <w:sz w:val="26"/>
          <w:szCs w:val="26"/>
        </w:rPr>
      </w:pPr>
    </w:p>
    <w:p w:rsidR="00B54B9F" w:rsidRDefault="00B54B9F" w:rsidP="009F6E47">
      <w:pPr>
        <w:spacing w:after="60" w:line="240" w:lineRule="auto"/>
        <w:jc w:val="right"/>
        <w:rPr>
          <w:rFonts w:ascii="Times New Roman" w:hAnsi="Times New Roman"/>
          <w:sz w:val="26"/>
          <w:szCs w:val="26"/>
        </w:rPr>
      </w:pPr>
    </w:p>
    <w:p w:rsidR="00B54B9F" w:rsidRDefault="00B54B9F" w:rsidP="009F6E47">
      <w:pPr>
        <w:spacing w:after="60" w:line="240" w:lineRule="auto"/>
        <w:jc w:val="right"/>
        <w:rPr>
          <w:rFonts w:ascii="Times New Roman" w:hAnsi="Times New Roman"/>
          <w:sz w:val="26"/>
          <w:szCs w:val="26"/>
        </w:rPr>
      </w:pPr>
    </w:p>
    <w:p w:rsidR="00B54B9F" w:rsidRDefault="00B54B9F" w:rsidP="009F6E47">
      <w:pPr>
        <w:spacing w:after="60" w:line="240" w:lineRule="auto"/>
        <w:jc w:val="right"/>
        <w:rPr>
          <w:rFonts w:ascii="Times New Roman" w:hAnsi="Times New Roman"/>
          <w:sz w:val="26"/>
          <w:szCs w:val="26"/>
        </w:rPr>
      </w:pPr>
    </w:p>
    <w:p w:rsidR="00B54B9F" w:rsidRDefault="00B54B9F" w:rsidP="009F6E47">
      <w:pPr>
        <w:spacing w:after="60" w:line="240" w:lineRule="auto"/>
        <w:jc w:val="right"/>
        <w:rPr>
          <w:rFonts w:ascii="Times New Roman" w:hAnsi="Times New Roman"/>
          <w:sz w:val="26"/>
          <w:szCs w:val="26"/>
        </w:rPr>
      </w:pPr>
    </w:p>
    <w:p w:rsidR="009F6E47" w:rsidRPr="004A4736" w:rsidRDefault="009F6E47" w:rsidP="009F6E47">
      <w:pPr>
        <w:spacing w:after="60" w:line="240" w:lineRule="auto"/>
        <w:jc w:val="right"/>
        <w:rPr>
          <w:rFonts w:ascii="Times New Roman" w:hAnsi="Times New Roman"/>
          <w:sz w:val="26"/>
          <w:szCs w:val="26"/>
        </w:rPr>
      </w:pPr>
      <w:r w:rsidRPr="004A4736">
        <w:rPr>
          <w:rFonts w:ascii="Times New Roman" w:hAnsi="Times New Roman"/>
          <w:sz w:val="26"/>
          <w:szCs w:val="26"/>
        </w:rPr>
        <w:t>3.attēls</w:t>
      </w:r>
    </w:p>
    <w:p w:rsidR="00EF5E94" w:rsidRPr="004A4736" w:rsidRDefault="00EF5E94" w:rsidP="009F6E47">
      <w:pPr>
        <w:spacing w:after="60" w:line="240" w:lineRule="auto"/>
        <w:jc w:val="right"/>
        <w:rPr>
          <w:rFonts w:ascii="Times New Roman" w:hAnsi="Times New Roman"/>
          <w:sz w:val="26"/>
          <w:szCs w:val="26"/>
        </w:rPr>
      </w:pPr>
      <w:r w:rsidRPr="004A4736">
        <w:rPr>
          <w:noProof/>
          <w:lang w:eastAsia="lv-LV"/>
        </w:rPr>
        <w:drawing>
          <wp:inline distT="0" distB="0" distL="0" distR="0">
            <wp:extent cx="6090061" cy="293084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2896" cy="2932207"/>
                    </a:xfrm>
                    <a:prstGeom prst="rect">
                      <a:avLst/>
                    </a:prstGeom>
                    <a:noFill/>
                    <a:ln>
                      <a:noFill/>
                    </a:ln>
                  </pic:spPr>
                </pic:pic>
              </a:graphicData>
            </a:graphic>
          </wp:inline>
        </w:drawing>
      </w:r>
    </w:p>
    <w:tbl>
      <w:tblPr>
        <w:tblW w:w="4911" w:type="pct"/>
        <w:tblLayout w:type="fixed"/>
        <w:tblLook w:val="00A0" w:firstRow="1" w:lastRow="0" w:firstColumn="1" w:lastColumn="0" w:noHBand="0" w:noVBand="0"/>
      </w:tblPr>
      <w:tblGrid>
        <w:gridCol w:w="4362"/>
        <w:gridCol w:w="5039"/>
      </w:tblGrid>
      <w:tr w:rsidR="00407B4A" w:rsidRPr="004A4736" w:rsidTr="00407B4A">
        <w:tc>
          <w:tcPr>
            <w:tcW w:w="2320" w:type="pct"/>
          </w:tcPr>
          <w:p w:rsidR="00407B4A" w:rsidRPr="004A4736" w:rsidRDefault="00407B4A" w:rsidP="00407B4A">
            <w:pPr>
              <w:spacing w:after="0" w:line="240" w:lineRule="auto"/>
              <w:jc w:val="both"/>
              <w:rPr>
                <w:rFonts w:ascii="Times New Roman" w:hAnsi="Times New Roman"/>
                <w:i/>
                <w:noProof/>
                <w:lang w:eastAsia="zh-CN"/>
              </w:rPr>
            </w:pPr>
            <w:r w:rsidRPr="004A4736">
              <w:rPr>
                <w:rFonts w:ascii="Times New Roman" w:hAnsi="Times New Roman"/>
                <w:i/>
                <w:noProof/>
                <w:lang w:eastAsia="zh-CN"/>
              </w:rPr>
              <w:t>Avots: PMLP</w:t>
            </w:r>
          </w:p>
        </w:tc>
        <w:tc>
          <w:tcPr>
            <w:tcW w:w="2680" w:type="pct"/>
          </w:tcPr>
          <w:p w:rsidR="00407B4A" w:rsidRPr="004A4736" w:rsidRDefault="00407B4A" w:rsidP="00407B4A">
            <w:pPr>
              <w:spacing w:after="0" w:line="240" w:lineRule="auto"/>
              <w:jc w:val="both"/>
              <w:rPr>
                <w:rFonts w:ascii="Times New Roman" w:hAnsi="Times New Roman"/>
                <w:i/>
                <w:noProof/>
                <w:sz w:val="20"/>
                <w:szCs w:val="20"/>
                <w:lang w:eastAsia="zh-CN"/>
              </w:rPr>
            </w:pPr>
            <w:r w:rsidRPr="004A4736">
              <w:rPr>
                <w:rFonts w:ascii="Times New Roman" w:hAnsi="Times New Roman"/>
                <w:i/>
                <w:noProof/>
                <w:sz w:val="20"/>
                <w:szCs w:val="20"/>
                <w:lang w:eastAsia="zh-CN"/>
              </w:rPr>
              <w:t>Avots: Krievijas federācijas Centrālā banka (</w:t>
            </w:r>
            <w:hyperlink r:id="rId12" w:history="1">
              <w:r w:rsidRPr="004A4736">
                <w:rPr>
                  <w:rStyle w:val="Hyperlink"/>
                  <w:rFonts w:ascii="Times New Roman" w:hAnsi="Times New Roman"/>
                  <w:i/>
                  <w:noProof/>
                  <w:sz w:val="20"/>
                  <w:szCs w:val="20"/>
                  <w:lang w:eastAsia="zh-CN"/>
                </w:rPr>
                <w:t>http://www.cbr.ru/statistics/print.aspx?file=credit_statistics/inv_out-country.htm&amp;pid=svs&amp;sid=ITM_43221</w:t>
              </w:r>
            </w:hyperlink>
            <w:r w:rsidRPr="004A4736">
              <w:rPr>
                <w:rFonts w:ascii="Times New Roman" w:hAnsi="Times New Roman"/>
                <w:i/>
                <w:noProof/>
                <w:sz w:val="20"/>
                <w:szCs w:val="20"/>
                <w:lang w:eastAsia="zh-CN"/>
              </w:rPr>
              <w:t>)</w:t>
            </w:r>
          </w:p>
        </w:tc>
      </w:tr>
    </w:tbl>
    <w:p w:rsidR="006D57C1" w:rsidRPr="004A4736" w:rsidRDefault="006D57C1" w:rsidP="009F6E47">
      <w:pPr>
        <w:spacing w:after="60" w:line="240" w:lineRule="auto"/>
        <w:jc w:val="right"/>
        <w:rPr>
          <w:rFonts w:ascii="Times New Roman" w:hAnsi="Times New Roman"/>
          <w:sz w:val="26"/>
          <w:szCs w:val="26"/>
        </w:rPr>
      </w:pPr>
    </w:p>
    <w:p w:rsidR="009B10A4" w:rsidRPr="004A4736" w:rsidRDefault="00923D72" w:rsidP="008E155E">
      <w:pPr>
        <w:spacing w:after="0" w:line="240" w:lineRule="auto"/>
        <w:ind w:firstLine="426"/>
        <w:jc w:val="both"/>
        <w:rPr>
          <w:rFonts w:ascii="Times New Roman" w:hAnsi="Times New Roman"/>
          <w:sz w:val="26"/>
          <w:szCs w:val="26"/>
        </w:rPr>
      </w:pPr>
      <w:r w:rsidRPr="004A4736">
        <w:rPr>
          <w:rFonts w:ascii="Times New Roman" w:hAnsi="Times New Roman"/>
          <w:sz w:val="26"/>
          <w:szCs w:val="26"/>
        </w:rPr>
        <w:t>Vairākās</w:t>
      </w:r>
      <w:r w:rsidR="009B10A4" w:rsidRPr="004A4736">
        <w:rPr>
          <w:rFonts w:ascii="Times New Roman" w:hAnsi="Times New Roman"/>
          <w:sz w:val="26"/>
          <w:szCs w:val="26"/>
        </w:rPr>
        <w:t xml:space="preserve"> Eiropas Savienības valst</w:t>
      </w:r>
      <w:r w:rsidRPr="004A4736">
        <w:rPr>
          <w:rFonts w:ascii="Times New Roman" w:hAnsi="Times New Roman"/>
          <w:sz w:val="26"/>
          <w:szCs w:val="26"/>
        </w:rPr>
        <w:t>īs</w:t>
      </w:r>
      <w:r w:rsidR="009B10A4" w:rsidRPr="004A4736">
        <w:rPr>
          <w:rFonts w:ascii="Times New Roman" w:hAnsi="Times New Roman"/>
          <w:sz w:val="26"/>
          <w:szCs w:val="26"/>
        </w:rPr>
        <w:t xml:space="preserve"> darbojas līdzīgas biznesa investoru imigrācijas programmas, </w:t>
      </w:r>
      <w:r w:rsidR="00164DB5" w:rsidRPr="004A4736">
        <w:rPr>
          <w:rFonts w:ascii="Times New Roman" w:hAnsi="Times New Roman"/>
          <w:sz w:val="26"/>
          <w:szCs w:val="26"/>
        </w:rPr>
        <w:t>k</w:t>
      </w:r>
      <w:r w:rsidR="009B10A4" w:rsidRPr="004A4736">
        <w:rPr>
          <w:rFonts w:ascii="Times New Roman" w:hAnsi="Times New Roman"/>
          <w:sz w:val="26"/>
          <w:szCs w:val="26"/>
        </w:rPr>
        <w:t xml:space="preserve">as ir vērā ņemams finanšu piesaistes instruments. Vienlaikus jāatzīmē, ka par šīm investīcijām Latvija konkurē ar citām ES valstīm (piemēram, Ungāriju, Čehiju, Bulgāriju) un it īpaši sava reģiona valstīm. </w:t>
      </w:r>
    </w:p>
    <w:p w:rsidR="009B10A4" w:rsidRPr="004A4736" w:rsidRDefault="009B10A4" w:rsidP="00BB0B7D">
      <w:pPr>
        <w:spacing w:after="0" w:line="240" w:lineRule="auto"/>
        <w:ind w:firstLine="426"/>
        <w:jc w:val="both"/>
        <w:rPr>
          <w:rFonts w:ascii="Times New Roman" w:hAnsi="Times New Roman"/>
          <w:sz w:val="26"/>
          <w:szCs w:val="26"/>
        </w:rPr>
      </w:pPr>
      <w:r w:rsidRPr="004A4736">
        <w:rPr>
          <w:rFonts w:ascii="Times New Roman" w:hAnsi="Times New Roman"/>
          <w:sz w:val="26"/>
          <w:szCs w:val="26"/>
        </w:rPr>
        <w:t>Jaunās Imigrācijas likuma normas ir pozitīvi ietekmējušas investīciju pieplūdi Latvijā un Latvijas piedāvājums TUA saņemšanai ir daudz pievilcīgāks nekā kaimiņvalstīm</w:t>
      </w:r>
      <w:r w:rsidRPr="004A4736">
        <w:rPr>
          <w:rStyle w:val="FootnoteReference"/>
          <w:rFonts w:ascii="Times New Roman" w:hAnsi="Times New Roman"/>
          <w:sz w:val="26"/>
          <w:szCs w:val="26"/>
        </w:rPr>
        <w:footnoteReference w:id="2"/>
      </w:r>
      <w:r w:rsidRPr="004A4736">
        <w:rPr>
          <w:rFonts w:ascii="Times New Roman" w:hAnsi="Times New Roman"/>
          <w:sz w:val="26"/>
          <w:szCs w:val="26"/>
        </w:rPr>
        <w:t>. Par to liecina arī statistikas dati. 2012.gadā, salīdzinot ar 2009.gadu, Krievijas Federācijas tiešās investīcijas Latvijā ir pieaugušas vairāk nekā 4 reizes, kamēr Lietuvā un Igaunijā to dinamika ir bijusi ievērojami mērenāka. Tomēr jāatzīmē, ka ar TUA saņemšanu saistītā ārvalstu kapitāla piesaiste viennozīmīgi neatspoguļojas kopējā ĀTI statistikā, jo pēc, Latvijas bankas sniegtās informācijas, nerezidentu veiktie darījumi var tikt īstenoti dažādos veidos, piemēram, caur bankas noguldījumu kontiem, kas kopējā ĀTI statistikā netiek uzskaitīti.</w:t>
      </w:r>
    </w:p>
    <w:p w:rsidR="009B10A4" w:rsidRPr="004A4736" w:rsidRDefault="009B10A4" w:rsidP="00B879BD">
      <w:pPr>
        <w:spacing w:after="0" w:line="240" w:lineRule="auto"/>
        <w:ind w:firstLine="426"/>
        <w:jc w:val="both"/>
        <w:rPr>
          <w:rFonts w:ascii="Times New Roman" w:hAnsi="Times New Roman"/>
          <w:sz w:val="26"/>
          <w:szCs w:val="26"/>
        </w:rPr>
      </w:pPr>
    </w:p>
    <w:p w:rsidR="009B10A4" w:rsidRPr="004A4736" w:rsidRDefault="009B10A4" w:rsidP="009807D3">
      <w:pPr>
        <w:autoSpaceDE w:val="0"/>
        <w:autoSpaceDN w:val="0"/>
        <w:adjustRightInd w:val="0"/>
        <w:spacing w:after="0" w:line="240" w:lineRule="auto"/>
        <w:rPr>
          <w:rFonts w:ascii="Times New Roman" w:hAnsi="Times New Roman"/>
          <w:sz w:val="26"/>
          <w:szCs w:val="26"/>
        </w:rPr>
      </w:pPr>
    </w:p>
    <w:p w:rsidR="009B10A4" w:rsidRPr="004A4736" w:rsidRDefault="009B10A4" w:rsidP="007E51FA">
      <w:pPr>
        <w:pStyle w:val="Heading1"/>
        <w:spacing w:before="0" w:after="120" w:line="240" w:lineRule="auto"/>
        <w:rPr>
          <w:rFonts w:ascii="Times New Roman" w:hAnsi="Times New Roman"/>
          <w:color w:val="auto"/>
        </w:rPr>
      </w:pPr>
      <w:bookmarkStart w:id="20" w:name="_Toc366612107"/>
      <w:bookmarkEnd w:id="17"/>
      <w:r w:rsidRPr="004A4736">
        <w:rPr>
          <w:rFonts w:ascii="Times New Roman" w:hAnsi="Times New Roman"/>
          <w:color w:val="auto"/>
        </w:rPr>
        <w:t>4. Investīcijas nekustamajos īpašumos</w:t>
      </w:r>
      <w:bookmarkEnd w:id="20"/>
    </w:p>
    <w:p w:rsidR="009B10A4" w:rsidRPr="004A4736" w:rsidRDefault="009B10A4" w:rsidP="00A419D2">
      <w:pPr>
        <w:spacing w:after="0" w:line="240" w:lineRule="auto"/>
        <w:ind w:firstLine="426"/>
        <w:jc w:val="both"/>
        <w:rPr>
          <w:rFonts w:ascii="Times New Roman" w:hAnsi="Times New Roman"/>
          <w:sz w:val="26"/>
          <w:szCs w:val="26"/>
        </w:rPr>
      </w:pPr>
      <w:r w:rsidRPr="004A4736">
        <w:rPr>
          <w:rFonts w:ascii="Times New Roman" w:hAnsi="Times New Roman"/>
          <w:sz w:val="26"/>
          <w:szCs w:val="26"/>
        </w:rPr>
        <w:t>Latvijā TUA var iegūt trešo valstu pilsoņi, kuri Rīgā, Rīgas plānošanas reģionā vai republikas pilsētās iegādājušies vienu vai vairākus nekustamos īpašumus vismaz 100 000 latu vērtībā vai citur Latvijā – 50 000 latu vērtībā.</w:t>
      </w:r>
    </w:p>
    <w:p w:rsidR="009B10A4" w:rsidRPr="004A4736" w:rsidRDefault="009B10A4" w:rsidP="00A419D2">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Attiecīgās Imigrācijas likuma normas ietvaros, kopš 2010.gada 1.jūlija TUA pieteikumos ir attiecināti darījumi Latvijas nekustamā īpašuma tirgū 335,2 milj. latu apmērā. </w:t>
      </w:r>
    </w:p>
    <w:p w:rsidR="009B10A4" w:rsidRPr="004A4736" w:rsidRDefault="009B10A4" w:rsidP="00A419D2">
      <w:pPr>
        <w:spacing w:after="0" w:line="240" w:lineRule="auto"/>
        <w:ind w:firstLine="426"/>
        <w:jc w:val="both"/>
        <w:rPr>
          <w:rFonts w:ascii="Times New Roman" w:hAnsi="Times New Roman"/>
          <w:sz w:val="26"/>
          <w:szCs w:val="26"/>
        </w:rPr>
      </w:pPr>
    </w:p>
    <w:p w:rsidR="00164DB5" w:rsidRPr="004A4736" w:rsidRDefault="00164DB5" w:rsidP="00164DB5">
      <w:pPr>
        <w:spacing w:after="60" w:line="240" w:lineRule="auto"/>
        <w:jc w:val="right"/>
        <w:rPr>
          <w:rFonts w:ascii="Times New Roman" w:hAnsi="Times New Roman"/>
          <w:sz w:val="26"/>
          <w:szCs w:val="26"/>
        </w:rPr>
      </w:pPr>
      <w:r w:rsidRPr="004A4736">
        <w:rPr>
          <w:rFonts w:ascii="Times New Roman" w:hAnsi="Times New Roman"/>
          <w:sz w:val="26"/>
          <w:szCs w:val="26"/>
        </w:rPr>
        <w:t>4.attēls</w:t>
      </w:r>
    </w:p>
    <w:p w:rsidR="00EF5E94" w:rsidRPr="004A4736" w:rsidRDefault="00EF5E94" w:rsidP="00164DB5">
      <w:pPr>
        <w:spacing w:after="60" w:line="240" w:lineRule="auto"/>
        <w:jc w:val="right"/>
        <w:rPr>
          <w:rFonts w:ascii="Times New Roman" w:hAnsi="Times New Roman"/>
          <w:sz w:val="26"/>
          <w:szCs w:val="26"/>
        </w:rPr>
      </w:pPr>
      <w:r w:rsidRPr="004A4736">
        <w:rPr>
          <w:noProof/>
          <w:lang w:eastAsia="lv-LV"/>
        </w:rPr>
        <w:drawing>
          <wp:inline distT="0" distB="0" distL="0" distR="0">
            <wp:extent cx="6372225" cy="300689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8569" cy="3009887"/>
                    </a:xfrm>
                    <a:prstGeom prst="rect">
                      <a:avLst/>
                    </a:prstGeom>
                    <a:noFill/>
                    <a:ln>
                      <a:noFill/>
                    </a:ln>
                  </pic:spPr>
                </pic:pic>
              </a:graphicData>
            </a:graphic>
          </wp:inline>
        </w:drawing>
      </w:r>
    </w:p>
    <w:p w:rsidR="009B10A4" w:rsidRPr="004A4736" w:rsidRDefault="009B10A4" w:rsidP="00527891">
      <w:pPr>
        <w:spacing w:after="0" w:line="240" w:lineRule="auto"/>
        <w:ind w:firstLine="426"/>
        <w:jc w:val="both"/>
        <w:rPr>
          <w:rFonts w:ascii="Times New Roman" w:hAnsi="Times New Roman"/>
          <w:sz w:val="26"/>
          <w:szCs w:val="26"/>
        </w:rPr>
      </w:pPr>
      <w:r w:rsidRPr="004A4736">
        <w:rPr>
          <w:rFonts w:ascii="Times New Roman" w:hAnsi="Times New Roman"/>
          <w:sz w:val="26"/>
          <w:szCs w:val="26"/>
        </w:rPr>
        <w:t>Ārvalstnieki dod priekšroku investīcijām nekustamajā īpašumā vairāku iemeslu dēļ:</w:t>
      </w:r>
    </w:p>
    <w:p w:rsidR="009B10A4" w:rsidRPr="004A4736" w:rsidRDefault="009B10A4" w:rsidP="00527891">
      <w:pPr>
        <w:pStyle w:val="ListParagraph"/>
        <w:numPr>
          <w:ilvl w:val="0"/>
          <w:numId w:val="35"/>
        </w:numPr>
        <w:spacing w:after="0" w:line="240" w:lineRule="auto"/>
        <w:jc w:val="both"/>
        <w:rPr>
          <w:rFonts w:ascii="Times New Roman" w:hAnsi="Times New Roman"/>
          <w:sz w:val="26"/>
          <w:szCs w:val="26"/>
        </w:rPr>
      </w:pPr>
      <w:r w:rsidRPr="004A4736">
        <w:rPr>
          <w:rFonts w:ascii="Times New Roman" w:hAnsi="Times New Roman"/>
          <w:sz w:val="26"/>
          <w:szCs w:val="26"/>
        </w:rPr>
        <w:t>investīcijas nekustamajā īpašumā tiek uzskatītas par vienu no drošākajiem investīciju veidiem;</w:t>
      </w:r>
    </w:p>
    <w:p w:rsidR="009B10A4" w:rsidRPr="004A4736" w:rsidRDefault="009B10A4" w:rsidP="00527891">
      <w:pPr>
        <w:pStyle w:val="ListParagraph"/>
        <w:numPr>
          <w:ilvl w:val="0"/>
          <w:numId w:val="35"/>
        </w:numPr>
        <w:spacing w:after="0" w:line="240" w:lineRule="auto"/>
        <w:jc w:val="both"/>
        <w:rPr>
          <w:rFonts w:ascii="Times New Roman" w:hAnsi="Times New Roman"/>
          <w:sz w:val="26"/>
          <w:szCs w:val="26"/>
        </w:rPr>
      </w:pPr>
      <w:r w:rsidRPr="004A4736">
        <w:rPr>
          <w:rFonts w:ascii="Times New Roman" w:hAnsi="Times New Roman"/>
          <w:sz w:val="26"/>
          <w:szCs w:val="26"/>
        </w:rPr>
        <w:t xml:space="preserve">iespēja diferencēt savu aktīvu saglabāšanu; </w:t>
      </w:r>
    </w:p>
    <w:p w:rsidR="009B10A4" w:rsidRPr="004A4736" w:rsidRDefault="009B10A4" w:rsidP="00527891">
      <w:pPr>
        <w:pStyle w:val="ListParagraph"/>
        <w:numPr>
          <w:ilvl w:val="0"/>
          <w:numId w:val="35"/>
        </w:numPr>
        <w:spacing w:after="0" w:line="240" w:lineRule="auto"/>
        <w:jc w:val="both"/>
        <w:rPr>
          <w:rFonts w:ascii="Times New Roman" w:hAnsi="Times New Roman"/>
          <w:sz w:val="26"/>
          <w:szCs w:val="26"/>
        </w:rPr>
      </w:pPr>
      <w:r w:rsidRPr="004A4736">
        <w:rPr>
          <w:rFonts w:ascii="Times New Roman" w:hAnsi="Times New Roman"/>
          <w:sz w:val="26"/>
          <w:szCs w:val="26"/>
        </w:rPr>
        <w:t>ir nepieciešams mazāks investīciju apjoms un lielāka likviditāte salīdzinājumā ar investīcijām banku subordinētajā kapitālā;</w:t>
      </w:r>
    </w:p>
    <w:p w:rsidR="009B10A4" w:rsidRPr="004A4736" w:rsidRDefault="009B10A4" w:rsidP="00527891">
      <w:pPr>
        <w:pStyle w:val="ListParagraph"/>
        <w:numPr>
          <w:ilvl w:val="0"/>
          <w:numId w:val="35"/>
        </w:numPr>
        <w:spacing w:after="0" w:line="240" w:lineRule="auto"/>
        <w:jc w:val="both"/>
        <w:rPr>
          <w:rFonts w:ascii="Times New Roman" w:hAnsi="Times New Roman"/>
          <w:sz w:val="26"/>
          <w:szCs w:val="26"/>
        </w:rPr>
      </w:pPr>
      <w:r w:rsidRPr="004A4736">
        <w:rPr>
          <w:rFonts w:ascii="Times New Roman" w:hAnsi="Times New Roman"/>
          <w:sz w:val="26"/>
          <w:szCs w:val="26"/>
        </w:rPr>
        <w:t>TUA saņemšanas un reģistrācijas process ir vienkāršāks nekā, piemēram, veicot investīcijas kapitālsabiedrības pamatkapitālā, jo nav nepieciešams nodrošināt uzņēmuma sekmīgu darbību; vienīgais priekšnosacījums TUA saglabāšanai ir savlaicīga nekustamā īpašuma nodokļa samaksa.</w:t>
      </w:r>
    </w:p>
    <w:p w:rsidR="009B10A4" w:rsidRPr="004A4736" w:rsidRDefault="009B10A4" w:rsidP="00ED0CFD">
      <w:pPr>
        <w:pStyle w:val="ListParagraph"/>
        <w:spacing w:after="0" w:line="240" w:lineRule="auto"/>
        <w:ind w:left="360"/>
        <w:jc w:val="both"/>
        <w:rPr>
          <w:rFonts w:ascii="Times New Roman" w:hAnsi="Times New Roman"/>
          <w:sz w:val="26"/>
          <w:szCs w:val="26"/>
        </w:rPr>
      </w:pPr>
    </w:p>
    <w:p w:rsidR="009B10A4" w:rsidRPr="004A4736" w:rsidRDefault="009B10A4" w:rsidP="00B95FF1">
      <w:pPr>
        <w:spacing w:after="0" w:line="240" w:lineRule="auto"/>
        <w:ind w:firstLine="426"/>
        <w:jc w:val="both"/>
        <w:rPr>
          <w:rFonts w:ascii="Times New Roman" w:hAnsi="Times New Roman"/>
          <w:sz w:val="26"/>
          <w:szCs w:val="26"/>
        </w:rPr>
      </w:pPr>
      <w:r w:rsidRPr="004A4736">
        <w:rPr>
          <w:rFonts w:ascii="Times New Roman" w:hAnsi="Times New Roman"/>
          <w:sz w:val="26"/>
          <w:szCs w:val="26"/>
        </w:rPr>
        <w:t>Ar TUA saņemšanu saistītā ārvalstu kapitāla piesaiste nekustamo īpašumu nozarē viennozīmīgi neatspoguļojas kopējā ĀTI nekustamā īpašuma nozares (L.68) statistikā, jo saskaņā ar Latvijas Bankas sniegto informāciju, nerezidentu veiktie darījumi ar nekustamo īpašumu var tikt īstenoti dažādos veidos, piemēram, caur bankas noguldījumu kontiem, kas kopējā ĀTI statistikā netiek uzskaitīts. Līdz ar to darījumus ar nekustamo īpašumu saistībā ar TUA pieprasīšanu nav attiecināms tiešā veidā uz kopējām ĀTI plūsmām.</w:t>
      </w:r>
    </w:p>
    <w:p w:rsidR="009B10A4" w:rsidRPr="004A4736" w:rsidRDefault="009B10A4" w:rsidP="00EC2FD7">
      <w:pPr>
        <w:spacing w:after="60" w:line="240" w:lineRule="auto"/>
        <w:jc w:val="right"/>
        <w:rPr>
          <w:rFonts w:ascii="Times New Roman" w:hAnsi="Times New Roman"/>
          <w:sz w:val="26"/>
          <w:szCs w:val="26"/>
        </w:rPr>
      </w:pPr>
    </w:p>
    <w:p w:rsidR="00B54B9F" w:rsidRDefault="00B54B9F" w:rsidP="00EC2FD7">
      <w:pPr>
        <w:spacing w:after="60" w:line="240" w:lineRule="auto"/>
        <w:jc w:val="right"/>
        <w:rPr>
          <w:rFonts w:ascii="Times New Roman" w:hAnsi="Times New Roman"/>
          <w:sz w:val="26"/>
          <w:szCs w:val="26"/>
        </w:rPr>
      </w:pPr>
    </w:p>
    <w:p w:rsidR="00B54B9F" w:rsidRDefault="00B54B9F" w:rsidP="00EC2FD7">
      <w:pPr>
        <w:spacing w:after="60" w:line="240" w:lineRule="auto"/>
        <w:jc w:val="right"/>
        <w:rPr>
          <w:rFonts w:ascii="Times New Roman" w:hAnsi="Times New Roman"/>
          <w:sz w:val="26"/>
          <w:szCs w:val="26"/>
        </w:rPr>
      </w:pPr>
    </w:p>
    <w:p w:rsidR="00B54B9F" w:rsidRDefault="00B54B9F" w:rsidP="00EC2FD7">
      <w:pPr>
        <w:spacing w:after="60" w:line="240" w:lineRule="auto"/>
        <w:jc w:val="right"/>
        <w:rPr>
          <w:rFonts w:ascii="Times New Roman" w:hAnsi="Times New Roman"/>
          <w:sz w:val="26"/>
          <w:szCs w:val="26"/>
        </w:rPr>
      </w:pPr>
    </w:p>
    <w:p w:rsidR="00B54B9F" w:rsidRDefault="00B54B9F" w:rsidP="00EC2FD7">
      <w:pPr>
        <w:spacing w:after="60" w:line="240" w:lineRule="auto"/>
        <w:jc w:val="right"/>
        <w:rPr>
          <w:rFonts w:ascii="Times New Roman" w:hAnsi="Times New Roman"/>
          <w:sz w:val="26"/>
          <w:szCs w:val="26"/>
        </w:rPr>
      </w:pPr>
    </w:p>
    <w:p w:rsidR="00B54B9F" w:rsidRDefault="00B54B9F" w:rsidP="00EC2FD7">
      <w:pPr>
        <w:spacing w:after="60" w:line="240" w:lineRule="auto"/>
        <w:jc w:val="right"/>
        <w:rPr>
          <w:rFonts w:ascii="Times New Roman" w:hAnsi="Times New Roman"/>
          <w:sz w:val="26"/>
          <w:szCs w:val="26"/>
        </w:rPr>
      </w:pPr>
    </w:p>
    <w:p w:rsidR="00B54B9F" w:rsidRDefault="00B54B9F" w:rsidP="00EC2FD7">
      <w:pPr>
        <w:spacing w:after="60" w:line="240" w:lineRule="auto"/>
        <w:jc w:val="right"/>
        <w:rPr>
          <w:rFonts w:ascii="Times New Roman" w:hAnsi="Times New Roman"/>
          <w:sz w:val="26"/>
          <w:szCs w:val="26"/>
        </w:rPr>
      </w:pPr>
    </w:p>
    <w:p w:rsidR="00B54B9F" w:rsidRDefault="00B54B9F" w:rsidP="00EC2FD7">
      <w:pPr>
        <w:spacing w:after="60" w:line="240" w:lineRule="auto"/>
        <w:jc w:val="right"/>
        <w:rPr>
          <w:rFonts w:ascii="Times New Roman" w:hAnsi="Times New Roman"/>
          <w:sz w:val="26"/>
          <w:szCs w:val="26"/>
        </w:rPr>
      </w:pPr>
    </w:p>
    <w:p w:rsidR="00B54B9F" w:rsidRDefault="00B54B9F" w:rsidP="00EC2FD7">
      <w:pPr>
        <w:spacing w:after="60" w:line="240" w:lineRule="auto"/>
        <w:jc w:val="right"/>
        <w:rPr>
          <w:rFonts w:ascii="Times New Roman" w:hAnsi="Times New Roman"/>
          <w:sz w:val="26"/>
          <w:szCs w:val="26"/>
        </w:rPr>
      </w:pPr>
    </w:p>
    <w:p w:rsidR="009B10A4" w:rsidRPr="004A4736" w:rsidRDefault="009B10A4" w:rsidP="00EC2FD7">
      <w:pPr>
        <w:spacing w:after="60" w:line="240" w:lineRule="auto"/>
        <w:jc w:val="right"/>
        <w:rPr>
          <w:rFonts w:ascii="Times New Roman" w:hAnsi="Times New Roman"/>
          <w:sz w:val="26"/>
          <w:szCs w:val="26"/>
        </w:rPr>
      </w:pPr>
      <w:r w:rsidRPr="004A4736">
        <w:rPr>
          <w:rFonts w:ascii="Times New Roman" w:hAnsi="Times New Roman"/>
          <w:sz w:val="26"/>
          <w:szCs w:val="26"/>
        </w:rPr>
        <w:t>5.attēls</w:t>
      </w:r>
    </w:p>
    <w:p w:rsidR="003C1626" w:rsidRPr="004A4736" w:rsidRDefault="003C1626" w:rsidP="00EC2FD7">
      <w:pPr>
        <w:spacing w:after="60" w:line="240" w:lineRule="auto"/>
        <w:jc w:val="right"/>
        <w:rPr>
          <w:rFonts w:ascii="Times New Roman" w:hAnsi="Times New Roman"/>
          <w:sz w:val="26"/>
          <w:szCs w:val="26"/>
        </w:rPr>
      </w:pPr>
      <w:r w:rsidRPr="004A4736">
        <w:rPr>
          <w:noProof/>
          <w:lang w:eastAsia="lv-LV"/>
        </w:rPr>
        <w:drawing>
          <wp:inline distT="0" distB="0" distL="0" distR="0">
            <wp:extent cx="5940425" cy="210390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103901"/>
                    </a:xfrm>
                    <a:prstGeom prst="rect">
                      <a:avLst/>
                    </a:prstGeom>
                    <a:noFill/>
                    <a:ln>
                      <a:noFill/>
                    </a:ln>
                  </pic:spPr>
                </pic:pic>
              </a:graphicData>
            </a:graphic>
          </wp:inline>
        </w:drawing>
      </w:r>
    </w:p>
    <w:p w:rsidR="003C1626" w:rsidRPr="004A4736" w:rsidRDefault="003C1626" w:rsidP="00BA6166">
      <w:pPr>
        <w:spacing w:after="0" w:line="240" w:lineRule="auto"/>
        <w:ind w:firstLine="425"/>
        <w:jc w:val="both"/>
        <w:rPr>
          <w:rFonts w:ascii="Times New Roman" w:hAnsi="Times New Roman"/>
          <w:sz w:val="26"/>
          <w:szCs w:val="26"/>
        </w:rPr>
      </w:pPr>
    </w:p>
    <w:p w:rsidR="009B10A4" w:rsidRPr="004A4736" w:rsidRDefault="009B10A4" w:rsidP="00BA6166">
      <w:pPr>
        <w:spacing w:after="0" w:line="240" w:lineRule="auto"/>
        <w:ind w:firstLine="425"/>
        <w:jc w:val="both"/>
        <w:rPr>
          <w:rFonts w:ascii="Times New Roman" w:hAnsi="Times New Roman"/>
          <w:sz w:val="26"/>
          <w:szCs w:val="26"/>
        </w:rPr>
      </w:pPr>
      <w:r w:rsidRPr="004A4736">
        <w:rPr>
          <w:rFonts w:ascii="Times New Roman" w:hAnsi="Times New Roman"/>
          <w:sz w:val="26"/>
          <w:szCs w:val="26"/>
        </w:rPr>
        <w:t>Vērtējot ienākošās ĀTI plūsmas nekustamo īpašumu nozarē, redzams, ka tās pēc ekonomiskās krīzes perioda pakāpeniski palielinās, savukārt 2012.gadā jūtams to samazinājums. Tai pat laikā</w:t>
      </w:r>
      <w:r w:rsidR="00AB5457" w:rsidRPr="004A4736">
        <w:rPr>
          <w:rFonts w:ascii="Times New Roman" w:hAnsi="Times New Roman"/>
          <w:sz w:val="26"/>
          <w:szCs w:val="26"/>
        </w:rPr>
        <w:t>,</w:t>
      </w:r>
      <w:r w:rsidRPr="004A4736">
        <w:rPr>
          <w:rFonts w:ascii="Times New Roman" w:hAnsi="Times New Roman"/>
          <w:sz w:val="26"/>
          <w:szCs w:val="26"/>
        </w:rPr>
        <w:t xml:space="preserve"> sākot ar 2010.gada jūliju, kad saistībā ar TUA pieprasīšanu tika uzrādīti darījumi par nekustamā īpašuma iegādi, uz TUA pieteikumiem attiecināmie darījumi strauji pieaug, it īpaši pēdējos gados – 2013.gada 1.ceturksnī vien tika attiecināti darījumi 35,5 milj. latu apmērā, kas ir vienāds ar 37% no kopējām ienākošajām ĀTI Latvijā šajā periodā. Pamatojoties uz pirkuma darījumu analīzi saistībā ar TUA 2013.gadā, redzams, ka aptuveni 50% nekustamo īpašumu ir iegādāti iepriekšējos gados, bet termiņuzturēšanās atļauja pieprasīta 2013.gadā</w:t>
      </w:r>
      <w:r w:rsidRPr="004A4736">
        <w:rPr>
          <w:rStyle w:val="FootnoteReference"/>
          <w:rFonts w:ascii="Times New Roman" w:hAnsi="Times New Roman"/>
          <w:sz w:val="26"/>
          <w:szCs w:val="26"/>
        </w:rPr>
        <w:footnoteReference w:id="3"/>
      </w:r>
      <w:r w:rsidRPr="004A4736">
        <w:rPr>
          <w:rFonts w:ascii="Times New Roman" w:hAnsi="Times New Roman"/>
          <w:sz w:val="26"/>
          <w:szCs w:val="26"/>
        </w:rPr>
        <w:t>.</w:t>
      </w:r>
    </w:p>
    <w:p w:rsidR="009B10A4" w:rsidRPr="004A4736" w:rsidRDefault="009B10A4" w:rsidP="00BA6166">
      <w:pPr>
        <w:spacing w:after="0" w:line="240" w:lineRule="auto"/>
        <w:ind w:firstLine="425"/>
        <w:jc w:val="both"/>
        <w:rPr>
          <w:rFonts w:ascii="Times New Roman" w:hAnsi="Times New Roman"/>
          <w:sz w:val="26"/>
          <w:szCs w:val="26"/>
        </w:rPr>
      </w:pPr>
      <w:r w:rsidRPr="004A4736">
        <w:rPr>
          <w:rFonts w:ascii="Times New Roman" w:hAnsi="Times New Roman"/>
          <w:sz w:val="26"/>
          <w:szCs w:val="26"/>
        </w:rPr>
        <w:t>Jāatzīmē, ka aizvien vairāk valstu piedāvā iespēju piešķirt TUA trešo valstu pilsoņiem, kas iegādājas nekustamo īpašumu. Galvenokārt šis jautājums ir aktuāls valstīs, kurās straujās izaugsmes gadu laikā izveidojās nekustamā īpašuma burbulis (piemēram, Bulgārija, Spānija</w:t>
      </w:r>
      <w:r w:rsidRPr="004A4736">
        <w:rPr>
          <w:rStyle w:val="FootnoteReference"/>
          <w:rFonts w:ascii="Times New Roman" w:hAnsi="Times New Roman"/>
          <w:sz w:val="26"/>
          <w:szCs w:val="26"/>
        </w:rPr>
        <w:footnoteReference w:id="4"/>
      </w:r>
      <w:r w:rsidRPr="004A4736">
        <w:rPr>
          <w:rFonts w:ascii="Times New Roman" w:hAnsi="Times New Roman"/>
          <w:sz w:val="26"/>
          <w:szCs w:val="26"/>
        </w:rPr>
        <w:t>). Tādējādi šīs valstis cenšas mazināt ekonomikas krīzes izraisīto sastingumu nekustamo īpašumu tirgū.</w:t>
      </w:r>
    </w:p>
    <w:p w:rsidR="009B10A4" w:rsidRPr="004A4736" w:rsidRDefault="009B10A4" w:rsidP="00BA6166">
      <w:pPr>
        <w:spacing w:after="0" w:line="240" w:lineRule="auto"/>
        <w:ind w:firstLine="425"/>
        <w:jc w:val="both"/>
        <w:rPr>
          <w:rFonts w:ascii="Times New Roman" w:hAnsi="Times New Roman"/>
          <w:sz w:val="26"/>
          <w:szCs w:val="26"/>
        </w:rPr>
      </w:pPr>
      <w:r w:rsidRPr="004A4736">
        <w:rPr>
          <w:rFonts w:ascii="Times New Roman" w:hAnsi="Times New Roman"/>
          <w:sz w:val="26"/>
          <w:szCs w:val="26"/>
        </w:rPr>
        <w:t>No katra nerezidenta iegādāt</w:t>
      </w:r>
      <w:r w:rsidR="00AB5457" w:rsidRPr="004A4736">
        <w:rPr>
          <w:rFonts w:ascii="Times New Roman" w:hAnsi="Times New Roman"/>
          <w:sz w:val="26"/>
          <w:szCs w:val="26"/>
        </w:rPr>
        <w:t>ā</w:t>
      </w:r>
      <w:r w:rsidRPr="004A4736">
        <w:rPr>
          <w:rFonts w:ascii="Times New Roman" w:hAnsi="Times New Roman"/>
          <w:sz w:val="26"/>
          <w:szCs w:val="26"/>
        </w:rPr>
        <w:t xml:space="preserve"> nekustamā īpašuma TUA saņemšanai, Latvijas tautsaimniecība tiešā veidā iegūst aptuveni 100 tūkst. latu. Papildus aptuveni 25 tūkst. latu ieguvums ir saistīts ar nodokļu un nodevu maksām, nekustamā īpašuma brokeru, juristu, apdrošinātāju un citu starpnieku pakalpojumu apmaksu, kā arī ikgadējus ieņēmumus aptuveni 8-10 tūkst. latu apmērā, kas saistīti ar nodokļu un nodevu maksām, nekustamā īpašuma apsaimniekošanu, apdrošinātāju pakalpojumu apmaksu un citu īpašuma uzturēšanai nepieciešamo pakalpojumu apmaksu, piemēram, remontiem un celtniecību.</w:t>
      </w:r>
    </w:p>
    <w:p w:rsidR="009B10A4" w:rsidRPr="004A4736" w:rsidRDefault="009B10A4" w:rsidP="00BA6166">
      <w:pPr>
        <w:spacing w:after="0" w:line="240" w:lineRule="auto"/>
        <w:ind w:firstLine="425"/>
        <w:jc w:val="both"/>
        <w:rPr>
          <w:rFonts w:ascii="Times New Roman" w:hAnsi="Times New Roman"/>
          <w:sz w:val="26"/>
          <w:szCs w:val="26"/>
        </w:rPr>
      </w:pPr>
      <w:r w:rsidRPr="004A4736">
        <w:rPr>
          <w:rFonts w:ascii="Times New Roman" w:hAnsi="Times New Roman"/>
          <w:sz w:val="26"/>
          <w:szCs w:val="26"/>
        </w:rPr>
        <w:t>Vismaz 48% no nerezidentu iegādātajiem īpašumiem tiek nopirkti no to attīstītājiem vai Latvijā reģistrētām kapitālsabiedrībām, kopumā vismaz 16</w:t>
      </w:r>
      <w:r w:rsidR="00C03B2F">
        <w:rPr>
          <w:rFonts w:ascii="Times New Roman" w:hAnsi="Times New Roman"/>
          <w:sz w:val="26"/>
          <w:szCs w:val="26"/>
        </w:rPr>
        <w:t>7</w:t>
      </w:r>
      <w:r w:rsidRPr="004A4736">
        <w:rPr>
          <w:rFonts w:ascii="Times New Roman" w:hAnsi="Times New Roman"/>
          <w:sz w:val="26"/>
          <w:szCs w:val="26"/>
        </w:rPr>
        <w:t xml:space="preserve"> milj. latu apjomā. Indikatīvi pievienotās vērtības nodoklis no šiem darījumiem tiek nomaksāts līdz pat 36 milj. latu. Latvijas juridiskajām un fiziskajām personām pārdodot nerezidentiem nekustamos īpašumus, rodas iespēja sakārtot savas kredītsaistības, tādējādi uzlabojot kredītiestādēm savas bilances un atbrīvojot līdzekļus tālākai tautsaimniecības kreditēšanai</w:t>
      </w:r>
      <w:r w:rsidRPr="004A4736">
        <w:rPr>
          <w:rStyle w:val="FootnoteReference"/>
          <w:rFonts w:ascii="Times New Roman" w:hAnsi="Times New Roman"/>
          <w:sz w:val="26"/>
          <w:szCs w:val="26"/>
        </w:rPr>
        <w:footnoteReference w:id="5"/>
      </w:r>
      <w:r w:rsidRPr="004A4736">
        <w:rPr>
          <w:rFonts w:ascii="Times New Roman" w:hAnsi="Times New Roman"/>
          <w:sz w:val="26"/>
          <w:szCs w:val="26"/>
        </w:rPr>
        <w:t>.</w:t>
      </w:r>
    </w:p>
    <w:p w:rsidR="009B10A4" w:rsidRPr="004A4736" w:rsidRDefault="009B10A4" w:rsidP="00BA6166">
      <w:pPr>
        <w:spacing w:after="0" w:line="240" w:lineRule="auto"/>
        <w:ind w:firstLine="425"/>
        <w:jc w:val="both"/>
        <w:rPr>
          <w:rFonts w:ascii="Times New Roman" w:hAnsi="Times New Roman"/>
          <w:sz w:val="26"/>
          <w:szCs w:val="26"/>
        </w:rPr>
      </w:pPr>
      <w:r w:rsidRPr="004A4736">
        <w:rPr>
          <w:rFonts w:ascii="Times New Roman" w:hAnsi="Times New Roman"/>
          <w:sz w:val="26"/>
          <w:szCs w:val="26"/>
        </w:rPr>
        <w:t>Kā liecina nekustamā īpašuma tirgus dati</w:t>
      </w:r>
      <w:r w:rsidRPr="004A4736">
        <w:rPr>
          <w:rStyle w:val="FootnoteReference"/>
          <w:rFonts w:ascii="Times New Roman" w:hAnsi="Times New Roman"/>
          <w:sz w:val="26"/>
          <w:szCs w:val="26"/>
        </w:rPr>
        <w:footnoteReference w:id="6"/>
      </w:r>
      <w:r w:rsidRPr="004A4736">
        <w:rPr>
          <w:rFonts w:ascii="Times New Roman" w:hAnsi="Times New Roman"/>
          <w:sz w:val="26"/>
          <w:szCs w:val="26"/>
        </w:rPr>
        <w:t xml:space="preserve">, tad attiecīgās Imigrācijas likuma normas daļēji ir aktivizējušas tirgu. Kopš 2011.gada ir pieaudzis gan ārvalstnieku veikto darījumu skaits, gan veikto darījumu kopējā vērtība. </w:t>
      </w:r>
    </w:p>
    <w:p w:rsidR="009B10A4" w:rsidRPr="004A4736" w:rsidRDefault="009B10A4" w:rsidP="00156194">
      <w:pPr>
        <w:spacing w:after="0" w:line="240" w:lineRule="auto"/>
        <w:ind w:firstLine="425"/>
        <w:jc w:val="both"/>
        <w:rPr>
          <w:rFonts w:ascii="Times New Roman" w:hAnsi="Times New Roman"/>
          <w:sz w:val="26"/>
          <w:szCs w:val="26"/>
        </w:rPr>
      </w:pPr>
      <w:r w:rsidRPr="004A4736">
        <w:rPr>
          <w:rFonts w:ascii="Times New Roman" w:hAnsi="Times New Roman"/>
          <w:sz w:val="26"/>
          <w:szCs w:val="26"/>
        </w:rPr>
        <w:t>Salīdzinot ar iepriekšējiem gadiem, pieaug arī kopējais darījumu ar dzīvokļiem īpatsvars. Darījumi ar dzīvokļiem sastāda gandrīz 50% no visa naudas apjoma nekustamā īpašuma tirgū. Vienlaikus, raugoties uz cenu dinamiku nekustamā īpašuma tirgu Rīgā un Jūrmalā, vērojams cenu pieaugums jaunos projektos</w:t>
      </w:r>
      <w:r w:rsidR="00AB5457" w:rsidRPr="004A4736">
        <w:rPr>
          <w:rFonts w:ascii="Times New Roman" w:hAnsi="Times New Roman"/>
          <w:sz w:val="26"/>
          <w:szCs w:val="26"/>
        </w:rPr>
        <w:t>.</w:t>
      </w:r>
      <w:r w:rsidRPr="004A4736">
        <w:rPr>
          <w:rFonts w:ascii="Times New Roman" w:hAnsi="Times New Roman"/>
          <w:sz w:val="26"/>
          <w:szCs w:val="26"/>
        </w:rPr>
        <w:t xml:space="preserve"> </w:t>
      </w:r>
      <w:r w:rsidR="00AB5457" w:rsidRPr="004A4736">
        <w:rPr>
          <w:rFonts w:ascii="Times New Roman" w:hAnsi="Times New Roman"/>
          <w:sz w:val="26"/>
          <w:szCs w:val="26"/>
        </w:rPr>
        <w:t>P</w:t>
      </w:r>
      <w:r w:rsidRPr="004A4736">
        <w:rPr>
          <w:rFonts w:ascii="Times New Roman" w:hAnsi="Times New Roman"/>
          <w:sz w:val="26"/>
          <w:szCs w:val="26"/>
        </w:rPr>
        <w:t>ārējās Latvijas pilsētās, kā arī Rīgas mikrorajonos (sērijveida dzīvokļu tirgū cenas kopš ekonomikas krīzes dziļākās bedres faktiski nav augušas) tās praktiski nav mainījušās, taču darījumu skaits pieaug visās pilsētās</w:t>
      </w:r>
      <w:r w:rsidRPr="004A4736">
        <w:rPr>
          <w:rStyle w:val="FootnoteReference"/>
          <w:rFonts w:ascii="Times New Roman" w:hAnsi="Times New Roman"/>
          <w:sz w:val="26"/>
          <w:szCs w:val="26"/>
        </w:rPr>
        <w:footnoteReference w:id="7"/>
      </w:r>
      <w:r w:rsidRPr="004A4736">
        <w:rPr>
          <w:rFonts w:ascii="Times New Roman" w:hAnsi="Times New Roman"/>
          <w:sz w:val="26"/>
          <w:szCs w:val="26"/>
        </w:rPr>
        <w:t>. Pirkuma darījumi ar jaunajiem dzīvokļiem Rīgā ik mēnesi veido aptuveni 10% no visiem dzīvokļu darījumiem</w:t>
      </w:r>
      <w:r w:rsidRPr="004A4736">
        <w:rPr>
          <w:rStyle w:val="FootnoteReference"/>
          <w:rFonts w:ascii="Times New Roman" w:hAnsi="Times New Roman"/>
          <w:sz w:val="26"/>
          <w:szCs w:val="26"/>
        </w:rPr>
        <w:footnoteReference w:id="8"/>
      </w:r>
      <w:r w:rsidRPr="004A4736">
        <w:rPr>
          <w:rFonts w:ascii="Times New Roman" w:hAnsi="Times New Roman"/>
          <w:sz w:val="26"/>
          <w:szCs w:val="26"/>
        </w:rPr>
        <w:t>.</w:t>
      </w:r>
    </w:p>
    <w:p w:rsidR="009B10A4" w:rsidRPr="004A4736" w:rsidRDefault="009B10A4" w:rsidP="00F07561">
      <w:pPr>
        <w:spacing w:after="0" w:line="240" w:lineRule="auto"/>
        <w:ind w:firstLine="425"/>
        <w:jc w:val="both"/>
        <w:rPr>
          <w:rFonts w:ascii="Times New Roman" w:hAnsi="Times New Roman"/>
          <w:sz w:val="26"/>
          <w:szCs w:val="26"/>
        </w:rPr>
      </w:pPr>
    </w:p>
    <w:p w:rsidR="00CD7040" w:rsidRPr="004A4736" w:rsidRDefault="006D57C1" w:rsidP="006D57C1">
      <w:pPr>
        <w:spacing w:after="60" w:line="240" w:lineRule="auto"/>
        <w:jc w:val="right"/>
        <w:rPr>
          <w:rFonts w:ascii="Times New Roman" w:hAnsi="Times New Roman"/>
          <w:sz w:val="26"/>
          <w:szCs w:val="26"/>
        </w:rPr>
      </w:pPr>
      <w:r w:rsidRPr="004A4736">
        <w:rPr>
          <w:rFonts w:ascii="Times New Roman" w:hAnsi="Times New Roman"/>
          <w:sz w:val="26"/>
          <w:szCs w:val="26"/>
        </w:rPr>
        <w:t>6.attēls</w:t>
      </w:r>
    </w:p>
    <w:tbl>
      <w:tblPr>
        <w:tblStyle w:val="TableGrid"/>
        <w:tblpPr w:leftFromText="180" w:rightFromText="180" w:vertAnchor="text" w:tblpX="-601" w:tblpY="1"/>
        <w:tblOverlap w:val="never"/>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26"/>
        <w:gridCol w:w="4820"/>
        <w:gridCol w:w="850"/>
      </w:tblGrid>
      <w:tr w:rsidR="006D57C1" w:rsidRPr="004A4736" w:rsidTr="00CD7040">
        <w:trPr>
          <w:gridAfter w:val="1"/>
          <w:wAfter w:w="850" w:type="dxa"/>
        </w:trPr>
        <w:tc>
          <w:tcPr>
            <w:tcW w:w="5211" w:type="dxa"/>
          </w:tcPr>
          <w:p w:rsidR="006D57C1" w:rsidRPr="004A4736" w:rsidRDefault="006D57C1" w:rsidP="00CD7040">
            <w:pPr>
              <w:spacing w:after="0" w:line="240" w:lineRule="auto"/>
              <w:ind w:left="142" w:right="202"/>
              <w:jc w:val="center"/>
              <w:rPr>
                <w:rFonts w:ascii="Times New Roman" w:hAnsi="Times New Roman"/>
                <w:b/>
                <w:sz w:val="22"/>
                <w:szCs w:val="22"/>
              </w:rPr>
            </w:pPr>
            <w:r w:rsidRPr="004A4736">
              <w:rPr>
                <w:rFonts w:ascii="Times New Roman" w:hAnsi="Times New Roman"/>
                <w:b/>
                <w:sz w:val="22"/>
                <w:szCs w:val="22"/>
              </w:rPr>
              <w:t>Ārvalstnieku veiktie darījumi pret visiem zemesgrāmatā reģistrētajiem darījumiem</w:t>
            </w:r>
          </w:p>
        </w:tc>
        <w:tc>
          <w:tcPr>
            <w:tcW w:w="5246" w:type="dxa"/>
            <w:gridSpan w:val="2"/>
          </w:tcPr>
          <w:p w:rsidR="006D57C1" w:rsidRPr="004A4736" w:rsidRDefault="006D57C1" w:rsidP="00CD7040">
            <w:pPr>
              <w:spacing w:after="0" w:line="240" w:lineRule="auto"/>
              <w:ind w:left="601" w:right="35"/>
              <w:jc w:val="center"/>
              <w:rPr>
                <w:rFonts w:ascii="Times New Roman" w:hAnsi="Times New Roman"/>
                <w:b/>
                <w:sz w:val="22"/>
                <w:szCs w:val="22"/>
                <w:lang w:eastAsia="lv-LV"/>
              </w:rPr>
            </w:pPr>
            <w:r w:rsidRPr="004A4736">
              <w:rPr>
                <w:rFonts w:ascii="Times New Roman" w:hAnsi="Times New Roman"/>
                <w:b/>
                <w:sz w:val="22"/>
                <w:szCs w:val="22"/>
              </w:rPr>
              <w:t>Cenu dinamika dzīvokļiem Rīgā (t.sk. jaunajos projektos), Ls/m2</w:t>
            </w:r>
          </w:p>
        </w:tc>
      </w:tr>
      <w:tr w:rsidR="006D57C1" w:rsidRPr="004A4736" w:rsidTr="00CD7040">
        <w:tc>
          <w:tcPr>
            <w:tcW w:w="5637" w:type="dxa"/>
            <w:gridSpan w:val="2"/>
          </w:tcPr>
          <w:p w:rsidR="006D57C1" w:rsidRPr="004A4736" w:rsidRDefault="006D57C1" w:rsidP="00407B4A">
            <w:pPr>
              <w:jc w:val="both"/>
              <w:rPr>
                <w:rFonts w:ascii="Times New Roman" w:hAnsi="Times New Roman"/>
                <w:sz w:val="26"/>
                <w:szCs w:val="26"/>
              </w:rPr>
            </w:pPr>
            <w:r w:rsidRPr="004A4736">
              <w:rPr>
                <w:noProof/>
                <w:lang w:eastAsia="lv-LV"/>
              </w:rPr>
              <w:drawing>
                <wp:inline distT="0" distB="0" distL="0" distR="0">
                  <wp:extent cx="3581400" cy="25812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670" w:type="dxa"/>
            <w:gridSpan w:val="2"/>
          </w:tcPr>
          <w:p w:rsidR="006D57C1" w:rsidRPr="004A4736" w:rsidRDefault="006D57C1" w:rsidP="00407B4A">
            <w:pPr>
              <w:jc w:val="both"/>
              <w:rPr>
                <w:rFonts w:ascii="Times New Roman" w:hAnsi="Times New Roman"/>
                <w:sz w:val="26"/>
                <w:szCs w:val="26"/>
              </w:rPr>
            </w:pPr>
            <w:r w:rsidRPr="004A4736">
              <w:rPr>
                <w:noProof/>
                <w:lang w:eastAsia="lv-LV"/>
              </w:rPr>
              <w:drawing>
                <wp:inline distT="0" distB="0" distL="0" distR="0">
                  <wp:extent cx="2905125" cy="23622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6D57C1" w:rsidRPr="004A4736" w:rsidTr="00CD7040">
        <w:trPr>
          <w:gridAfter w:val="1"/>
          <w:wAfter w:w="850" w:type="dxa"/>
        </w:trPr>
        <w:tc>
          <w:tcPr>
            <w:tcW w:w="5211" w:type="dxa"/>
          </w:tcPr>
          <w:p w:rsidR="006D57C1" w:rsidRPr="004A4736" w:rsidRDefault="006D57C1" w:rsidP="00CD7040">
            <w:pPr>
              <w:ind w:left="284"/>
              <w:jc w:val="both"/>
              <w:rPr>
                <w:rFonts w:ascii="Times New Roman" w:hAnsi="Times New Roman"/>
                <w:i/>
                <w:sz w:val="22"/>
                <w:szCs w:val="22"/>
              </w:rPr>
            </w:pPr>
            <w:r w:rsidRPr="004A4736">
              <w:rPr>
                <w:rFonts w:ascii="Times New Roman" w:hAnsi="Times New Roman"/>
                <w:i/>
                <w:sz w:val="22"/>
                <w:szCs w:val="22"/>
              </w:rPr>
              <w:t>Avots:  Zemesgrāmata, Latio</w:t>
            </w:r>
          </w:p>
        </w:tc>
        <w:tc>
          <w:tcPr>
            <w:tcW w:w="5246" w:type="dxa"/>
            <w:gridSpan w:val="2"/>
          </w:tcPr>
          <w:p w:rsidR="006D57C1" w:rsidRPr="004A4736" w:rsidRDefault="006D57C1" w:rsidP="00CD7040">
            <w:pPr>
              <w:ind w:left="601"/>
              <w:jc w:val="both"/>
              <w:rPr>
                <w:rFonts w:ascii="Times New Roman" w:hAnsi="Times New Roman"/>
                <w:i/>
                <w:sz w:val="22"/>
                <w:szCs w:val="22"/>
              </w:rPr>
            </w:pPr>
            <w:r w:rsidRPr="004A4736">
              <w:rPr>
                <w:rFonts w:ascii="Times New Roman" w:hAnsi="Times New Roman"/>
                <w:i/>
                <w:sz w:val="22"/>
                <w:szCs w:val="22"/>
              </w:rPr>
              <w:t>Avots: Latio</w:t>
            </w:r>
          </w:p>
        </w:tc>
      </w:tr>
    </w:tbl>
    <w:p w:rsidR="006D57C1" w:rsidRPr="004A4736" w:rsidRDefault="006D57C1" w:rsidP="006D57C1">
      <w:pPr>
        <w:spacing w:after="0" w:line="240" w:lineRule="auto"/>
        <w:ind w:firstLine="425"/>
        <w:jc w:val="both"/>
        <w:rPr>
          <w:rFonts w:ascii="Times New Roman" w:hAnsi="Times New Roman"/>
          <w:sz w:val="26"/>
          <w:szCs w:val="26"/>
        </w:rPr>
      </w:pPr>
    </w:p>
    <w:p w:rsidR="009B10A4" w:rsidRPr="004A4736" w:rsidRDefault="009B10A4" w:rsidP="0046344D">
      <w:pPr>
        <w:spacing w:after="0" w:line="240" w:lineRule="auto"/>
        <w:ind w:firstLine="425"/>
        <w:jc w:val="both"/>
        <w:rPr>
          <w:rFonts w:ascii="Times New Roman" w:hAnsi="Times New Roman"/>
          <w:sz w:val="26"/>
          <w:szCs w:val="26"/>
        </w:rPr>
      </w:pPr>
      <w:r w:rsidRPr="004A4736">
        <w:rPr>
          <w:rFonts w:ascii="Times New Roman" w:hAnsi="Times New Roman"/>
          <w:sz w:val="26"/>
          <w:szCs w:val="26"/>
        </w:rPr>
        <w:t xml:space="preserve">Dzīvokļu tirgus aktivitāti dzīvokļu segmentā Rīgas centrā nosaka ārvalstnieku naudas klātbūtne, kā arī tas, ka pieaugot ekonomikai, ienākumi straujāk pieaug turīgākās mājsaimniecībās, kuras izrāda interesi par Rīgas centru. </w:t>
      </w:r>
    </w:p>
    <w:p w:rsidR="009B10A4" w:rsidRPr="004A4736" w:rsidRDefault="009B10A4" w:rsidP="0046344D">
      <w:pPr>
        <w:spacing w:after="0" w:line="240" w:lineRule="auto"/>
        <w:ind w:firstLine="425"/>
        <w:jc w:val="both"/>
        <w:rPr>
          <w:rFonts w:ascii="Times New Roman" w:hAnsi="Times New Roman"/>
          <w:sz w:val="26"/>
          <w:szCs w:val="26"/>
        </w:rPr>
      </w:pPr>
      <w:r w:rsidRPr="004A4736">
        <w:rPr>
          <w:rFonts w:ascii="Times New Roman" w:hAnsi="Times New Roman"/>
          <w:sz w:val="26"/>
          <w:szCs w:val="26"/>
        </w:rPr>
        <w:t xml:space="preserve">Jūrmalas centrā galvenie dzīvokļu pircēji ir ārvalstnieki, kas pērk dzīvokļus, galvenokārt, jaunajos dzīvokļu projektos (izvērstu analīzi skatīt </w:t>
      </w:r>
      <w:r w:rsidR="00661329">
        <w:rPr>
          <w:rFonts w:ascii="Times New Roman" w:hAnsi="Times New Roman"/>
          <w:sz w:val="26"/>
          <w:szCs w:val="26"/>
        </w:rPr>
        <w:t>7</w:t>
      </w:r>
      <w:r w:rsidRPr="004A4736">
        <w:rPr>
          <w:rFonts w:ascii="Times New Roman" w:hAnsi="Times New Roman"/>
          <w:sz w:val="26"/>
          <w:szCs w:val="26"/>
        </w:rPr>
        <w:t>.pielikumā).</w:t>
      </w:r>
    </w:p>
    <w:p w:rsidR="009B10A4" w:rsidRPr="004A4736" w:rsidRDefault="009B10A4" w:rsidP="0046344D">
      <w:pPr>
        <w:spacing w:after="0" w:line="240" w:lineRule="auto"/>
        <w:ind w:firstLine="426"/>
        <w:jc w:val="both"/>
        <w:rPr>
          <w:rFonts w:ascii="Times New Roman" w:hAnsi="Times New Roman"/>
          <w:color w:val="C00000"/>
          <w:sz w:val="26"/>
          <w:szCs w:val="26"/>
        </w:rPr>
      </w:pPr>
      <w:r w:rsidRPr="004A4736">
        <w:rPr>
          <w:rFonts w:ascii="Times New Roman" w:hAnsi="Times New Roman"/>
          <w:color w:val="000000"/>
          <w:sz w:val="26"/>
          <w:szCs w:val="26"/>
        </w:rPr>
        <w:t>Jauno projektu attīstītāji jau pašlaik rēķinās ar ārvalstnieku interesi par nekustamo īpašumu iegādi un līdz ar to tirgū tiek veidots atbilstošs piedāvājums</w:t>
      </w:r>
      <w:r w:rsidRPr="004A4736">
        <w:rPr>
          <w:rStyle w:val="FootnoteReference"/>
          <w:rFonts w:ascii="Times New Roman" w:hAnsi="Times New Roman"/>
          <w:color w:val="000000"/>
          <w:sz w:val="26"/>
          <w:szCs w:val="26"/>
        </w:rPr>
        <w:footnoteReference w:id="9"/>
      </w:r>
      <w:r w:rsidRPr="004A4736">
        <w:rPr>
          <w:rFonts w:ascii="Times New Roman" w:hAnsi="Times New Roman"/>
          <w:color w:val="000000"/>
          <w:sz w:val="26"/>
          <w:szCs w:val="26"/>
        </w:rPr>
        <w:t>.</w:t>
      </w:r>
    </w:p>
    <w:p w:rsidR="009B10A4" w:rsidRPr="004A4736" w:rsidRDefault="009B10A4" w:rsidP="00503CBA">
      <w:pPr>
        <w:spacing w:after="0" w:line="240" w:lineRule="auto"/>
        <w:ind w:firstLine="426"/>
        <w:jc w:val="both"/>
        <w:rPr>
          <w:rFonts w:ascii="Times New Roman" w:hAnsi="Times New Roman"/>
          <w:sz w:val="26"/>
          <w:szCs w:val="26"/>
        </w:rPr>
      </w:pPr>
      <w:r w:rsidRPr="004A4736">
        <w:rPr>
          <w:rFonts w:ascii="Times New Roman" w:hAnsi="Times New Roman"/>
          <w:sz w:val="26"/>
          <w:szCs w:val="26"/>
        </w:rPr>
        <w:t>Analizējot ārzemnieku iegādāto nekustamo īpašumu atrašanās vietu, jāsecina, ka saglabājas arī iepriekšējos gados novērotā tendence, ka galvenokārt īpašums atrodas Rīgā, Jūrmalā un tajā Rīgas plānošanas reģiona teritorijā, kas izvietota tuvāk Rīgai un Jūrmalai, kamēr pārējos plānošanas reģionos un attālākajā Rīgas plānošanas reģiona teritorijā nekustamo īpašumu iegāde nav bijusi tik intensīva. Vismazāk īpašumu iegādāts Latgales un Kurzemes plānošanas reģionos. Viena nekustamā īpašuma iegādes darījuma vidējā vērtība Rīgā, Jūrmalā un atsevišķos Rīgas plānošanas reģiona novados būtiski pārsniedz Imigrācijas likumā noteikto minimālo darījuma vērtību, kamēr pārējās administratīvajās teritorijās ir tuvāka minimālajai darījuma vērtībai (izņemot atsevišķus gadījumus)</w:t>
      </w:r>
      <w:r w:rsidRPr="004A4736">
        <w:rPr>
          <w:rStyle w:val="FootnoteReference"/>
          <w:rFonts w:ascii="Times New Roman" w:hAnsi="Times New Roman"/>
          <w:sz w:val="26"/>
          <w:szCs w:val="26"/>
        </w:rPr>
        <w:footnoteReference w:id="10"/>
      </w:r>
      <w:r w:rsidRPr="004A4736">
        <w:rPr>
          <w:rFonts w:ascii="Times New Roman" w:hAnsi="Times New Roman"/>
          <w:sz w:val="26"/>
          <w:szCs w:val="26"/>
        </w:rPr>
        <w:t xml:space="preserve">. Iespējams, veicot grozījumus Imigrācijas likumā, būtu jāapsver iespēja mainīt nekustamā īpašuma iegādes darījuma summas. </w:t>
      </w:r>
    </w:p>
    <w:p w:rsidR="009B10A4" w:rsidRPr="004A4736" w:rsidRDefault="009B10A4" w:rsidP="00503CBA">
      <w:pPr>
        <w:spacing w:after="0" w:line="240" w:lineRule="auto"/>
        <w:ind w:firstLine="426"/>
        <w:jc w:val="both"/>
        <w:rPr>
          <w:rFonts w:ascii="Times New Roman" w:hAnsi="Times New Roman"/>
          <w:sz w:val="26"/>
          <w:szCs w:val="26"/>
        </w:rPr>
      </w:pPr>
    </w:p>
    <w:p w:rsidR="009B10A4" w:rsidRPr="004A4736" w:rsidRDefault="009B10A4" w:rsidP="00DF7C20">
      <w:pPr>
        <w:keepNext/>
        <w:spacing w:after="0" w:line="240" w:lineRule="auto"/>
        <w:ind w:firstLine="426"/>
        <w:jc w:val="right"/>
        <w:rPr>
          <w:rFonts w:ascii="Times New Roman" w:hAnsi="Times New Roman"/>
          <w:sz w:val="26"/>
          <w:szCs w:val="26"/>
        </w:rPr>
      </w:pPr>
      <w:r w:rsidRPr="004A4736">
        <w:rPr>
          <w:rFonts w:ascii="Times New Roman" w:hAnsi="Times New Roman"/>
          <w:sz w:val="26"/>
          <w:szCs w:val="26"/>
        </w:rPr>
        <w:t>3.tabula</w:t>
      </w:r>
    </w:p>
    <w:p w:rsidR="009B10A4" w:rsidRPr="004A4736" w:rsidRDefault="009B10A4" w:rsidP="00DF7C20">
      <w:pPr>
        <w:keepNext/>
        <w:tabs>
          <w:tab w:val="left" w:pos="6804"/>
        </w:tabs>
        <w:spacing w:after="120" w:line="240" w:lineRule="auto"/>
        <w:ind w:firstLine="720"/>
        <w:jc w:val="center"/>
        <w:rPr>
          <w:rFonts w:ascii="Times New Roman" w:hAnsi="Times New Roman"/>
          <w:b/>
          <w:sz w:val="26"/>
          <w:szCs w:val="26"/>
        </w:rPr>
      </w:pPr>
      <w:r w:rsidRPr="004A4736">
        <w:rPr>
          <w:rFonts w:ascii="Times New Roman" w:hAnsi="Times New Roman"/>
          <w:b/>
          <w:sz w:val="26"/>
          <w:szCs w:val="26"/>
        </w:rPr>
        <w:t>01.07.2010.-30.06.2013. TUA pieteicēju iegādāto nekustamo īpašumu atrašanās vieta un vērtība</w:t>
      </w:r>
    </w:p>
    <w:tbl>
      <w:tblPr>
        <w:tblW w:w="9015" w:type="dxa"/>
        <w:tblInd w:w="93" w:type="dxa"/>
        <w:tblLook w:val="0000" w:firstRow="0" w:lastRow="0" w:firstColumn="0" w:lastColumn="0" w:noHBand="0" w:noVBand="0"/>
      </w:tblPr>
      <w:tblGrid>
        <w:gridCol w:w="2631"/>
        <w:gridCol w:w="1888"/>
        <w:gridCol w:w="2054"/>
        <w:gridCol w:w="2442"/>
      </w:tblGrid>
      <w:tr w:rsidR="009B10A4" w:rsidRPr="004A4736" w:rsidTr="009C2D0C">
        <w:trPr>
          <w:trHeight w:val="227"/>
        </w:trPr>
        <w:tc>
          <w:tcPr>
            <w:tcW w:w="2631" w:type="dxa"/>
            <w:tcBorders>
              <w:top w:val="single" w:sz="4" w:space="0" w:color="auto"/>
              <w:left w:val="single" w:sz="4" w:space="0" w:color="auto"/>
              <w:bottom w:val="single" w:sz="4" w:space="0" w:color="auto"/>
              <w:right w:val="single" w:sz="4" w:space="0" w:color="auto"/>
            </w:tcBorders>
            <w:noWrap/>
            <w:vAlign w:val="bottom"/>
          </w:tcPr>
          <w:p w:rsidR="009B10A4" w:rsidRPr="004A4736" w:rsidRDefault="009B10A4" w:rsidP="00DF7C20">
            <w:pPr>
              <w:keepNext/>
              <w:spacing w:after="0" w:line="240" w:lineRule="auto"/>
              <w:rPr>
                <w:rFonts w:ascii="Times New Roman" w:hAnsi="Times New Roman"/>
                <w:color w:val="000000"/>
                <w:sz w:val="24"/>
                <w:szCs w:val="24"/>
              </w:rPr>
            </w:pPr>
            <w:r w:rsidRPr="004A4736">
              <w:rPr>
                <w:rFonts w:ascii="Times New Roman" w:hAnsi="Times New Roman"/>
                <w:color w:val="000000"/>
                <w:sz w:val="24"/>
                <w:szCs w:val="24"/>
              </w:rPr>
              <w:t> </w:t>
            </w:r>
          </w:p>
        </w:tc>
        <w:tc>
          <w:tcPr>
            <w:tcW w:w="1888" w:type="dxa"/>
            <w:tcBorders>
              <w:top w:val="single" w:sz="4" w:space="0" w:color="auto"/>
              <w:left w:val="nil"/>
              <w:bottom w:val="single" w:sz="4" w:space="0" w:color="auto"/>
              <w:right w:val="single" w:sz="4" w:space="0" w:color="auto"/>
            </w:tcBorders>
            <w:vAlign w:val="bottom"/>
          </w:tcPr>
          <w:p w:rsidR="009B10A4" w:rsidRPr="004A4736" w:rsidRDefault="009B10A4" w:rsidP="00DF7C20">
            <w:pPr>
              <w:keepNext/>
              <w:spacing w:after="0" w:line="240" w:lineRule="auto"/>
              <w:jc w:val="center"/>
              <w:rPr>
                <w:rFonts w:ascii="Times New Roman" w:hAnsi="Times New Roman"/>
                <w:b/>
                <w:color w:val="000000"/>
                <w:sz w:val="24"/>
                <w:szCs w:val="24"/>
              </w:rPr>
            </w:pPr>
            <w:r w:rsidRPr="004A4736">
              <w:rPr>
                <w:rFonts w:ascii="Times New Roman" w:hAnsi="Times New Roman"/>
                <w:b/>
                <w:color w:val="000000"/>
                <w:sz w:val="24"/>
                <w:szCs w:val="24"/>
              </w:rPr>
              <w:t>Pieteikumu skaits</w:t>
            </w:r>
          </w:p>
        </w:tc>
        <w:tc>
          <w:tcPr>
            <w:tcW w:w="2054" w:type="dxa"/>
            <w:tcBorders>
              <w:top w:val="single" w:sz="4" w:space="0" w:color="auto"/>
              <w:left w:val="nil"/>
              <w:bottom w:val="single" w:sz="4" w:space="0" w:color="auto"/>
              <w:right w:val="single" w:sz="4" w:space="0" w:color="auto"/>
            </w:tcBorders>
            <w:vAlign w:val="bottom"/>
          </w:tcPr>
          <w:p w:rsidR="009B10A4" w:rsidRPr="004A4736" w:rsidRDefault="009B10A4" w:rsidP="00DF7C20">
            <w:pPr>
              <w:keepNext/>
              <w:spacing w:after="0" w:line="240" w:lineRule="auto"/>
              <w:jc w:val="center"/>
              <w:rPr>
                <w:rFonts w:ascii="Times New Roman" w:hAnsi="Times New Roman"/>
                <w:b/>
                <w:color w:val="000000"/>
                <w:sz w:val="24"/>
                <w:szCs w:val="24"/>
              </w:rPr>
            </w:pPr>
            <w:r w:rsidRPr="004A4736">
              <w:rPr>
                <w:rFonts w:ascii="Times New Roman" w:hAnsi="Times New Roman"/>
                <w:b/>
                <w:color w:val="000000"/>
                <w:sz w:val="24"/>
                <w:szCs w:val="24"/>
              </w:rPr>
              <w:t>Īpašumu kopējā vērtība, latos</w:t>
            </w:r>
          </w:p>
        </w:tc>
        <w:tc>
          <w:tcPr>
            <w:tcW w:w="2442" w:type="dxa"/>
            <w:tcBorders>
              <w:top w:val="single" w:sz="4" w:space="0" w:color="auto"/>
              <w:left w:val="nil"/>
              <w:bottom w:val="single" w:sz="4" w:space="0" w:color="auto"/>
              <w:right w:val="single" w:sz="4" w:space="0" w:color="auto"/>
            </w:tcBorders>
            <w:vAlign w:val="bottom"/>
          </w:tcPr>
          <w:p w:rsidR="009B10A4" w:rsidRPr="004A4736" w:rsidRDefault="009B10A4" w:rsidP="00DF7C20">
            <w:pPr>
              <w:keepNext/>
              <w:spacing w:after="0" w:line="240" w:lineRule="auto"/>
              <w:jc w:val="center"/>
              <w:rPr>
                <w:rFonts w:ascii="Times New Roman" w:hAnsi="Times New Roman"/>
                <w:b/>
                <w:color w:val="000000"/>
                <w:sz w:val="24"/>
                <w:szCs w:val="24"/>
              </w:rPr>
            </w:pPr>
            <w:r w:rsidRPr="004A4736">
              <w:rPr>
                <w:rFonts w:ascii="Times New Roman" w:hAnsi="Times New Roman"/>
                <w:b/>
                <w:color w:val="000000"/>
                <w:sz w:val="24"/>
                <w:szCs w:val="24"/>
              </w:rPr>
              <w:t>Viena darījuma vidējā vērtība, latos</w:t>
            </w:r>
          </w:p>
        </w:tc>
      </w:tr>
      <w:tr w:rsidR="009B10A4" w:rsidRPr="004A4736" w:rsidTr="009C2D0C">
        <w:trPr>
          <w:trHeight w:val="227"/>
        </w:trPr>
        <w:tc>
          <w:tcPr>
            <w:tcW w:w="2631" w:type="dxa"/>
            <w:tcBorders>
              <w:top w:val="single" w:sz="4" w:space="0" w:color="auto"/>
              <w:left w:val="single" w:sz="4" w:space="0" w:color="auto"/>
              <w:bottom w:val="single" w:sz="4" w:space="0" w:color="auto"/>
              <w:right w:val="single" w:sz="4" w:space="0" w:color="auto"/>
            </w:tcBorders>
            <w:shd w:val="clear" w:color="auto" w:fill="B3B3B3"/>
            <w:noWrap/>
            <w:vAlign w:val="bottom"/>
          </w:tcPr>
          <w:p w:rsidR="009B10A4" w:rsidRPr="004A4736" w:rsidRDefault="009B10A4" w:rsidP="00A2080E">
            <w:pPr>
              <w:spacing w:after="0" w:line="240" w:lineRule="auto"/>
              <w:rPr>
                <w:rFonts w:ascii="Times New Roman" w:hAnsi="Times New Roman"/>
                <w:b/>
                <w:bCs/>
                <w:color w:val="000000"/>
                <w:sz w:val="24"/>
                <w:szCs w:val="24"/>
              </w:rPr>
            </w:pPr>
            <w:r w:rsidRPr="004A4736">
              <w:rPr>
                <w:rFonts w:ascii="Times New Roman" w:hAnsi="Times New Roman"/>
                <w:b/>
                <w:bCs/>
                <w:color w:val="000000"/>
                <w:sz w:val="24"/>
                <w:szCs w:val="24"/>
              </w:rPr>
              <w:t>PAVISAM KOPĀ</w:t>
            </w:r>
          </w:p>
        </w:tc>
        <w:tc>
          <w:tcPr>
            <w:tcW w:w="1888" w:type="dxa"/>
            <w:tcBorders>
              <w:top w:val="single" w:sz="4" w:space="0" w:color="auto"/>
              <w:left w:val="nil"/>
              <w:bottom w:val="single" w:sz="4" w:space="0" w:color="auto"/>
              <w:right w:val="single" w:sz="4" w:space="0" w:color="auto"/>
            </w:tcBorders>
            <w:shd w:val="clear" w:color="auto" w:fill="B3B3B3"/>
            <w:noWrap/>
            <w:vAlign w:val="bottom"/>
          </w:tcPr>
          <w:p w:rsidR="009B10A4" w:rsidRPr="004A4736" w:rsidRDefault="009B10A4" w:rsidP="00A2080E">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2 327 </w:t>
            </w:r>
          </w:p>
        </w:tc>
        <w:tc>
          <w:tcPr>
            <w:tcW w:w="2054" w:type="dxa"/>
            <w:tcBorders>
              <w:top w:val="single" w:sz="4" w:space="0" w:color="auto"/>
              <w:left w:val="nil"/>
              <w:bottom w:val="single" w:sz="4" w:space="0" w:color="auto"/>
              <w:right w:val="single" w:sz="4" w:space="0" w:color="auto"/>
            </w:tcBorders>
            <w:shd w:val="clear" w:color="auto" w:fill="B3B3B3"/>
            <w:noWrap/>
            <w:vAlign w:val="bottom"/>
          </w:tcPr>
          <w:p w:rsidR="009B10A4" w:rsidRPr="004A4736" w:rsidRDefault="009B10A4" w:rsidP="00A2080E">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335 225 170 </w:t>
            </w:r>
          </w:p>
        </w:tc>
        <w:tc>
          <w:tcPr>
            <w:tcW w:w="2442" w:type="dxa"/>
            <w:tcBorders>
              <w:top w:val="single" w:sz="4" w:space="0" w:color="auto"/>
              <w:left w:val="nil"/>
              <w:bottom w:val="single" w:sz="4" w:space="0" w:color="auto"/>
              <w:right w:val="single" w:sz="4" w:space="0" w:color="auto"/>
            </w:tcBorders>
            <w:shd w:val="clear" w:color="auto" w:fill="B3B3B3"/>
            <w:noWrap/>
            <w:vAlign w:val="bottom"/>
          </w:tcPr>
          <w:p w:rsidR="009B10A4" w:rsidRPr="004A4736" w:rsidRDefault="009B10A4" w:rsidP="00A2080E">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144 059 </w:t>
            </w:r>
          </w:p>
        </w:tc>
      </w:tr>
      <w:tr w:rsidR="009B10A4" w:rsidRPr="004A4736" w:rsidTr="009C2D0C">
        <w:trPr>
          <w:trHeight w:val="227"/>
        </w:trPr>
        <w:tc>
          <w:tcPr>
            <w:tcW w:w="2631"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9B10A4" w:rsidRPr="004A4736" w:rsidRDefault="009B10A4" w:rsidP="00207A55">
            <w:pPr>
              <w:spacing w:after="0" w:line="240" w:lineRule="auto"/>
              <w:rPr>
                <w:rFonts w:ascii="Times New Roman" w:hAnsi="Times New Roman"/>
                <w:b/>
                <w:bCs/>
                <w:color w:val="000000"/>
                <w:sz w:val="24"/>
                <w:szCs w:val="24"/>
              </w:rPr>
            </w:pPr>
            <w:r w:rsidRPr="004A4736">
              <w:rPr>
                <w:rFonts w:ascii="Times New Roman" w:hAnsi="Times New Roman"/>
                <w:b/>
                <w:bCs/>
                <w:color w:val="000000"/>
                <w:sz w:val="24"/>
                <w:szCs w:val="24"/>
              </w:rPr>
              <w:t>Republikas pilsētas</w:t>
            </w:r>
          </w:p>
        </w:tc>
        <w:tc>
          <w:tcPr>
            <w:tcW w:w="1888" w:type="dxa"/>
            <w:tcBorders>
              <w:top w:val="single" w:sz="4" w:space="0" w:color="auto"/>
              <w:left w:val="nil"/>
              <w:bottom w:val="single" w:sz="4" w:space="0" w:color="auto"/>
              <w:right w:val="single" w:sz="4" w:space="0" w:color="auto"/>
            </w:tcBorders>
            <w:shd w:val="clear" w:color="auto" w:fill="E0E0E0"/>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1 867 </w:t>
            </w:r>
          </w:p>
        </w:tc>
        <w:tc>
          <w:tcPr>
            <w:tcW w:w="2054" w:type="dxa"/>
            <w:tcBorders>
              <w:top w:val="single" w:sz="4" w:space="0" w:color="auto"/>
              <w:left w:val="nil"/>
              <w:bottom w:val="single" w:sz="4" w:space="0" w:color="auto"/>
              <w:right w:val="single" w:sz="4" w:space="0" w:color="auto"/>
            </w:tcBorders>
            <w:shd w:val="clear" w:color="auto" w:fill="E0E0E0"/>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287 296 049 </w:t>
            </w:r>
          </w:p>
        </w:tc>
        <w:tc>
          <w:tcPr>
            <w:tcW w:w="2442" w:type="dxa"/>
            <w:tcBorders>
              <w:top w:val="single" w:sz="4" w:space="0" w:color="auto"/>
              <w:left w:val="nil"/>
              <w:bottom w:val="single" w:sz="4" w:space="0" w:color="auto"/>
              <w:right w:val="single" w:sz="4" w:space="0" w:color="auto"/>
            </w:tcBorders>
            <w:shd w:val="clear" w:color="auto" w:fill="E0E0E0"/>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153 881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Rīga</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1 114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149 422 876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134 132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Jūrmala</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739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136 394 309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184 566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Daugavpils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220 991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110 496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Liepāja</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325 661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108 554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Rēzekne</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340 840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113 613 </w:t>
            </w:r>
          </w:p>
        </w:tc>
      </w:tr>
      <w:tr w:rsidR="009B10A4" w:rsidRPr="004A4736" w:rsidTr="009C2D0C">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Ventspils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6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591 372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98 562 </w:t>
            </w:r>
          </w:p>
        </w:tc>
      </w:tr>
      <w:tr w:rsidR="009B10A4" w:rsidRPr="004A4736" w:rsidTr="009C2D0C">
        <w:trPr>
          <w:trHeight w:val="227"/>
        </w:trPr>
        <w:tc>
          <w:tcPr>
            <w:tcW w:w="263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rPr>
                <w:rFonts w:ascii="Times New Roman" w:hAnsi="Times New Roman"/>
                <w:b/>
                <w:bCs/>
                <w:color w:val="000000"/>
                <w:sz w:val="24"/>
                <w:szCs w:val="24"/>
              </w:rPr>
            </w:pPr>
            <w:r w:rsidRPr="004A4736">
              <w:rPr>
                <w:rFonts w:ascii="Times New Roman" w:hAnsi="Times New Roman"/>
                <w:b/>
                <w:bCs/>
                <w:color w:val="000000"/>
                <w:sz w:val="24"/>
                <w:szCs w:val="24"/>
              </w:rPr>
              <w:t>Kurzemes plānošanas reģions</w:t>
            </w:r>
          </w:p>
        </w:tc>
        <w:tc>
          <w:tcPr>
            <w:tcW w:w="1888"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25 </w:t>
            </w:r>
          </w:p>
        </w:tc>
        <w:tc>
          <w:tcPr>
            <w:tcW w:w="2054"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1 597 357 </w:t>
            </w:r>
          </w:p>
        </w:tc>
        <w:tc>
          <w:tcPr>
            <w:tcW w:w="2442"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63 894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Grobiņas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105 631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52 816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Kuldīgas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52 500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52 500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shd w:val="clear" w:color="auto" w:fill="FFFFFF"/>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Mērsraga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131 423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65 712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Nīcas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289 554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96 518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Pāvilostas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58 000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58 000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Rojas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345 600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69 120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Saldus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99 000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99 000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Talsu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9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462 149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51 350 </w:t>
            </w:r>
          </w:p>
        </w:tc>
      </w:tr>
      <w:tr w:rsidR="009B10A4" w:rsidRPr="004A4736" w:rsidTr="009C2D0C">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Ventspils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53 500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53 500 </w:t>
            </w:r>
          </w:p>
        </w:tc>
      </w:tr>
      <w:tr w:rsidR="009B10A4" w:rsidRPr="004A4736" w:rsidTr="009C2D0C">
        <w:trPr>
          <w:trHeight w:val="227"/>
        </w:trPr>
        <w:tc>
          <w:tcPr>
            <w:tcW w:w="263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rPr>
                <w:rFonts w:ascii="Times New Roman" w:hAnsi="Times New Roman"/>
                <w:b/>
                <w:bCs/>
                <w:color w:val="000000"/>
                <w:sz w:val="24"/>
                <w:szCs w:val="24"/>
              </w:rPr>
            </w:pPr>
            <w:r w:rsidRPr="004A4736">
              <w:rPr>
                <w:rFonts w:ascii="Times New Roman" w:hAnsi="Times New Roman"/>
                <w:b/>
                <w:bCs/>
                <w:color w:val="000000"/>
                <w:sz w:val="24"/>
                <w:szCs w:val="24"/>
              </w:rPr>
              <w:t>Latgales plānošanas reģions</w:t>
            </w:r>
          </w:p>
        </w:tc>
        <w:tc>
          <w:tcPr>
            <w:tcW w:w="1888"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8 </w:t>
            </w:r>
          </w:p>
        </w:tc>
        <w:tc>
          <w:tcPr>
            <w:tcW w:w="2054"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441 344 </w:t>
            </w:r>
          </w:p>
        </w:tc>
        <w:tc>
          <w:tcPr>
            <w:tcW w:w="2442"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55 168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Līvānu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158 330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52 777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Ludzas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66 104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66 104 </w:t>
            </w:r>
          </w:p>
        </w:tc>
      </w:tr>
      <w:tr w:rsidR="009B10A4" w:rsidRPr="004A4736" w:rsidTr="009C2D0C">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Rēzeknes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216 910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54 228 </w:t>
            </w:r>
          </w:p>
        </w:tc>
      </w:tr>
      <w:tr w:rsidR="009B10A4" w:rsidRPr="004A4736" w:rsidTr="0096547B">
        <w:trPr>
          <w:trHeight w:val="227"/>
        </w:trPr>
        <w:tc>
          <w:tcPr>
            <w:tcW w:w="263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rPr>
                <w:rFonts w:ascii="Times New Roman" w:hAnsi="Times New Roman"/>
                <w:b/>
                <w:bCs/>
                <w:color w:val="000000"/>
                <w:sz w:val="24"/>
                <w:szCs w:val="24"/>
              </w:rPr>
            </w:pPr>
            <w:r w:rsidRPr="004A4736">
              <w:rPr>
                <w:rFonts w:ascii="Times New Roman" w:hAnsi="Times New Roman"/>
                <w:b/>
                <w:bCs/>
                <w:color w:val="000000"/>
                <w:sz w:val="24"/>
                <w:szCs w:val="24"/>
              </w:rPr>
              <w:t>Rīgas plānošanas reģions</w:t>
            </w:r>
          </w:p>
        </w:tc>
        <w:tc>
          <w:tcPr>
            <w:tcW w:w="1888"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250 </w:t>
            </w:r>
          </w:p>
        </w:tc>
        <w:tc>
          <w:tcPr>
            <w:tcW w:w="2054"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34 676 200 </w:t>
            </w:r>
          </w:p>
        </w:tc>
        <w:tc>
          <w:tcPr>
            <w:tcW w:w="2442"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138 705 </w:t>
            </w:r>
          </w:p>
        </w:tc>
      </w:tr>
      <w:tr w:rsidR="009B10A4" w:rsidRPr="004A4736" w:rsidTr="0096547B">
        <w:trPr>
          <w:trHeight w:val="227"/>
        </w:trPr>
        <w:tc>
          <w:tcPr>
            <w:tcW w:w="2631" w:type="dxa"/>
            <w:tcBorders>
              <w:top w:val="single" w:sz="4" w:space="0" w:color="auto"/>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Ādažu novads</w:t>
            </w:r>
          </w:p>
        </w:tc>
        <w:tc>
          <w:tcPr>
            <w:tcW w:w="1888" w:type="dxa"/>
            <w:tcBorders>
              <w:top w:val="single" w:sz="4" w:space="0" w:color="auto"/>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16 </w:t>
            </w:r>
          </w:p>
        </w:tc>
        <w:tc>
          <w:tcPr>
            <w:tcW w:w="2054" w:type="dxa"/>
            <w:tcBorders>
              <w:top w:val="single" w:sz="4" w:space="0" w:color="auto"/>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2 260 016 </w:t>
            </w:r>
          </w:p>
        </w:tc>
        <w:tc>
          <w:tcPr>
            <w:tcW w:w="2442" w:type="dxa"/>
            <w:tcBorders>
              <w:top w:val="single" w:sz="4" w:space="0" w:color="auto"/>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141 251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Babītes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70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10 190 159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145 574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Carnikavas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15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1 993 699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132 913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 xml:space="preserve">Engures novads </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370 283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123 428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Garkalnes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38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6 247 096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164 397 </w:t>
            </w:r>
          </w:p>
        </w:tc>
      </w:tr>
      <w:tr w:rsidR="009B10A4" w:rsidRPr="004A4736" w:rsidTr="00B54B9F">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Ikšķiles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486 645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121 661 </w:t>
            </w:r>
          </w:p>
        </w:tc>
      </w:tr>
      <w:tr w:rsidR="009B10A4" w:rsidRPr="004A4736" w:rsidTr="00B54B9F">
        <w:trPr>
          <w:trHeight w:val="227"/>
        </w:trPr>
        <w:tc>
          <w:tcPr>
            <w:tcW w:w="2631" w:type="dxa"/>
            <w:tcBorders>
              <w:top w:val="single" w:sz="4" w:space="0" w:color="auto"/>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Inčukalna novads</w:t>
            </w:r>
          </w:p>
        </w:tc>
        <w:tc>
          <w:tcPr>
            <w:tcW w:w="1888" w:type="dxa"/>
            <w:tcBorders>
              <w:top w:val="single" w:sz="4" w:space="0" w:color="auto"/>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 </w:t>
            </w:r>
          </w:p>
        </w:tc>
        <w:tc>
          <w:tcPr>
            <w:tcW w:w="2054" w:type="dxa"/>
            <w:tcBorders>
              <w:top w:val="single" w:sz="4" w:space="0" w:color="auto"/>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303 820 </w:t>
            </w:r>
          </w:p>
        </w:tc>
        <w:tc>
          <w:tcPr>
            <w:tcW w:w="2442" w:type="dxa"/>
            <w:tcBorders>
              <w:top w:val="single" w:sz="4" w:space="0" w:color="auto"/>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101 273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Ķekavas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6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660 051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110 009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Limbažu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325 598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108 533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Mārupes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40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4 870 482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121 762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Ogres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204 998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102 499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Olaines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105 420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105 420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Salaspils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219 717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109 859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Saulkrastu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39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5 408 792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138 687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Siguldas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481 419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160 473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Stopiņu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428 005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107 001 </w:t>
            </w:r>
          </w:p>
        </w:tc>
      </w:tr>
      <w:tr w:rsidR="009B10A4" w:rsidRPr="004A4736" w:rsidTr="009C2D0C">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Tukuma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120 000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120 000 </w:t>
            </w:r>
          </w:p>
        </w:tc>
      </w:tr>
      <w:tr w:rsidR="009B10A4" w:rsidRPr="004A4736" w:rsidTr="009C2D0C">
        <w:trPr>
          <w:trHeight w:val="227"/>
        </w:trPr>
        <w:tc>
          <w:tcPr>
            <w:tcW w:w="263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rPr>
                <w:rFonts w:ascii="Times New Roman" w:hAnsi="Times New Roman"/>
                <w:b/>
                <w:bCs/>
                <w:color w:val="000000"/>
                <w:sz w:val="24"/>
                <w:szCs w:val="24"/>
              </w:rPr>
            </w:pPr>
            <w:r w:rsidRPr="004A4736">
              <w:rPr>
                <w:rFonts w:ascii="Times New Roman" w:hAnsi="Times New Roman"/>
                <w:b/>
                <w:bCs/>
                <w:color w:val="000000"/>
                <w:sz w:val="24"/>
                <w:szCs w:val="24"/>
              </w:rPr>
              <w:t>Vidzemes plānošanas reģions</w:t>
            </w:r>
          </w:p>
        </w:tc>
        <w:tc>
          <w:tcPr>
            <w:tcW w:w="1888"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80 </w:t>
            </w:r>
          </w:p>
        </w:tc>
        <w:tc>
          <w:tcPr>
            <w:tcW w:w="2054"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5 295 768 </w:t>
            </w:r>
          </w:p>
        </w:tc>
        <w:tc>
          <w:tcPr>
            <w:tcW w:w="2442"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66 197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Amatas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26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2 369 361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91 129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Cēsu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42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2 273 762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54 137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Gulbenes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104 000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52 000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Madonas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8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443 232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55 404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Priekuļu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52 000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52 000 </w:t>
            </w:r>
          </w:p>
        </w:tc>
      </w:tr>
      <w:tr w:rsidR="009B10A4" w:rsidRPr="004A4736" w:rsidTr="009C2D0C">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Rūjienas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53 413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53 413 </w:t>
            </w:r>
          </w:p>
        </w:tc>
      </w:tr>
      <w:tr w:rsidR="009B10A4" w:rsidRPr="004A4736" w:rsidTr="009C2D0C">
        <w:trPr>
          <w:trHeight w:val="227"/>
        </w:trPr>
        <w:tc>
          <w:tcPr>
            <w:tcW w:w="263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rPr>
                <w:rFonts w:ascii="Times New Roman" w:hAnsi="Times New Roman"/>
                <w:b/>
                <w:bCs/>
                <w:color w:val="000000"/>
                <w:sz w:val="24"/>
                <w:szCs w:val="24"/>
              </w:rPr>
            </w:pPr>
            <w:r w:rsidRPr="004A4736">
              <w:rPr>
                <w:rFonts w:ascii="Times New Roman" w:hAnsi="Times New Roman"/>
                <w:b/>
                <w:bCs/>
                <w:color w:val="000000"/>
                <w:sz w:val="24"/>
                <w:szCs w:val="24"/>
              </w:rPr>
              <w:t>Zemgales plānošanas reģions</w:t>
            </w:r>
          </w:p>
        </w:tc>
        <w:tc>
          <w:tcPr>
            <w:tcW w:w="1888"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97 </w:t>
            </w:r>
          </w:p>
        </w:tc>
        <w:tc>
          <w:tcPr>
            <w:tcW w:w="2054"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5 918 452 </w:t>
            </w:r>
          </w:p>
        </w:tc>
        <w:tc>
          <w:tcPr>
            <w:tcW w:w="2442" w:type="dxa"/>
            <w:tcBorders>
              <w:top w:val="single" w:sz="4" w:space="0" w:color="auto"/>
              <w:left w:val="nil"/>
              <w:bottom w:val="single" w:sz="4" w:space="0" w:color="auto"/>
              <w:right w:val="single" w:sz="4" w:space="0" w:color="auto"/>
            </w:tcBorders>
            <w:shd w:val="clear" w:color="auto" w:fill="D9D9D9"/>
            <w:noWrap/>
            <w:vAlign w:val="bottom"/>
          </w:tcPr>
          <w:p w:rsidR="009B10A4" w:rsidRPr="004A4736" w:rsidRDefault="009B10A4" w:rsidP="00207A55">
            <w:pPr>
              <w:spacing w:after="0" w:line="240" w:lineRule="auto"/>
              <w:jc w:val="right"/>
              <w:rPr>
                <w:rFonts w:ascii="Times New Roman" w:hAnsi="Times New Roman"/>
                <w:b/>
                <w:bCs/>
                <w:color w:val="000000"/>
                <w:sz w:val="24"/>
                <w:szCs w:val="24"/>
              </w:rPr>
            </w:pPr>
            <w:r w:rsidRPr="004A4736">
              <w:rPr>
                <w:rFonts w:ascii="Times New Roman" w:hAnsi="Times New Roman"/>
                <w:b/>
                <w:bCs/>
                <w:color w:val="000000"/>
                <w:sz w:val="24"/>
                <w:szCs w:val="24"/>
              </w:rPr>
              <w:t xml:space="preserve">       61 015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Aizkraukles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141 364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70 682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Bauskas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251 089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62 772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Dobeles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69 001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69 001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Iecavas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12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714 761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59 563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Jelgavas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203 656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40 731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Kokneses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437 844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218 922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Ozolnieku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66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3 845 723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58 269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Pļaviņu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100 000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50 000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Rundāles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52 007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52 007 </w:t>
            </w:r>
          </w:p>
        </w:tc>
      </w:tr>
      <w:tr w:rsidR="009B10A4" w:rsidRPr="004A4736" w:rsidTr="00207A55">
        <w:trPr>
          <w:trHeight w:val="227"/>
        </w:trPr>
        <w:tc>
          <w:tcPr>
            <w:tcW w:w="2631" w:type="dxa"/>
            <w:tcBorders>
              <w:top w:val="nil"/>
              <w:left w:val="single" w:sz="4" w:space="0" w:color="auto"/>
              <w:bottom w:val="single" w:sz="4" w:space="0" w:color="auto"/>
              <w:right w:val="single" w:sz="4" w:space="0" w:color="auto"/>
            </w:tcBorders>
            <w:noWrap/>
            <w:vAlign w:val="bottom"/>
          </w:tcPr>
          <w:p w:rsidR="009B10A4" w:rsidRPr="004A4736" w:rsidRDefault="009B10A4" w:rsidP="00207A55">
            <w:pPr>
              <w:spacing w:after="0" w:line="240" w:lineRule="auto"/>
              <w:rPr>
                <w:rFonts w:ascii="Times New Roman" w:hAnsi="Times New Roman"/>
                <w:color w:val="000000"/>
                <w:sz w:val="24"/>
                <w:szCs w:val="24"/>
              </w:rPr>
            </w:pPr>
            <w:r w:rsidRPr="004A4736">
              <w:rPr>
                <w:rFonts w:ascii="Times New Roman" w:hAnsi="Times New Roman"/>
                <w:color w:val="000000"/>
                <w:sz w:val="24"/>
                <w:szCs w:val="24"/>
              </w:rPr>
              <w:t>Vecumnieku novads</w:t>
            </w:r>
          </w:p>
        </w:tc>
        <w:tc>
          <w:tcPr>
            <w:tcW w:w="1888"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2 </w:t>
            </w:r>
          </w:p>
        </w:tc>
        <w:tc>
          <w:tcPr>
            <w:tcW w:w="2054"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103 007 </w:t>
            </w:r>
          </w:p>
        </w:tc>
        <w:tc>
          <w:tcPr>
            <w:tcW w:w="2442" w:type="dxa"/>
            <w:tcBorders>
              <w:top w:val="nil"/>
              <w:left w:val="nil"/>
              <w:bottom w:val="single" w:sz="4" w:space="0" w:color="auto"/>
              <w:right w:val="single" w:sz="4" w:space="0" w:color="auto"/>
            </w:tcBorders>
            <w:noWrap/>
            <w:vAlign w:val="bottom"/>
          </w:tcPr>
          <w:p w:rsidR="009B10A4" w:rsidRPr="004A4736" w:rsidRDefault="009B10A4" w:rsidP="00207A55">
            <w:pPr>
              <w:spacing w:after="0" w:line="240" w:lineRule="auto"/>
              <w:jc w:val="right"/>
              <w:rPr>
                <w:rFonts w:ascii="Times New Roman" w:hAnsi="Times New Roman"/>
                <w:color w:val="000000"/>
                <w:sz w:val="24"/>
                <w:szCs w:val="24"/>
              </w:rPr>
            </w:pPr>
            <w:r w:rsidRPr="004A4736">
              <w:rPr>
                <w:rFonts w:ascii="Times New Roman" w:hAnsi="Times New Roman"/>
                <w:color w:val="000000"/>
                <w:sz w:val="24"/>
                <w:szCs w:val="24"/>
              </w:rPr>
              <w:t xml:space="preserve">       51 504 </w:t>
            </w:r>
          </w:p>
        </w:tc>
      </w:tr>
    </w:tbl>
    <w:p w:rsidR="009B10A4" w:rsidRPr="004A4736" w:rsidRDefault="009B10A4" w:rsidP="006200AC">
      <w:pPr>
        <w:spacing w:before="120" w:after="0" w:line="240" w:lineRule="auto"/>
        <w:rPr>
          <w:rFonts w:ascii="Times New Roman" w:hAnsi="Times New Roman"/>
          <w:i/>
        </w:rPr>
      </w:pPr>
      <w:r w:rsidRPr="004A4736">
        <w:rPr>
          <w:rFonts w:ascii="Times New Roman" w:hAnsi="Times New Roman"/>
          <w:i/>
        </w:rPr>
        <w:t>Avots: PMLP</w:t>
      </w:r>
    </w:p>
    <w:p w:rsidR="009B10A4" w:rsidRPr="004A4736" w:rsidRDefault="009B10A4" w:rsidP="00857D67">
      <w:pPr>
        <w:spacing w:after="0" w:line="240" w:lineRule="auto"/>
        <w:ind w:firstLine="426"/>
        <w:jc w:val="both"/>
        <w:rPr>
          <w:rFonts w:ascii="Times New Roman" w:hAnsi="Times New Roman"/>
          <w:color w:val="C00000"/>
          <w:sz w:val="26"/>
          <w:szCs w:val="26"/>
        </w:rPr>
      </w:pPr>
    </w:p>
    <w:p w:rsidR="009B10A4" w:rsidRPr="004A4736" w:rsidRDefault="009B10A4" w:rsidP="00857D67">
      <w:pPr>
        <w:spacing w:after="0" w:line="240" w:lineRule="auto"/>
        <w:ind w:firstLine="426"/>
        <w:jc w:val="both"/>
        <w:rPr>
          <w:rFonts w:ascii="Times New Roman" w:hAnsi="Times New Roman"/>
          <w:color w:val="000000"/>
          <w:sz w:val="26"/>
          <w:szCs w:val="26"/>
        </w:rPr>
      </w:pPr>
      <w:r w:rsidRPr="004A4736">
        <w:rPr>
          <w:rFonts w:ascii="Times New Roman" w:hAnsi="Times New Roman"/>
          <w:color w:val="000000"/>
          <w:sz w:val="26"/>
          <w:szCs w:val="26"/>
        </w:rPr>
        <w:t xml:space="preserve">Ņemot vērā datus par ārvalstnieku veikto darījumu skaitu un šo darījumu kopējo vērtību, var secināt, ka ne visos gadījumos ārvalstnieki, kas iegādājušies nekustamo īpašumu Latvijā ir vērsušies ar lūgumu piešķirt TUA. </w:t>
      </w:r>
    </w:p>
    <w:p w:rsidR="009B3ED9" w:rsidRPr="004A4736" w:rsidRDefault="009B3ED9" w:rsidP="00857D67">
      <w:pPr>
        <w:spacing w:after="0" w:line="240" w:lineRule="auto"/>
        <w:ind w:firstLine="426"/>
        <w:jc w:val="both"/>
        <w:rPr>
          <w:rFonts w:ascii="Times New Roman" w:hAnsi="Times New Roman"/>
          <w:color w:val="000000"/>
          <w:sz w:val="26"/>
          <w:szCs w:val="26"/>
        </w:rPr>
      </w:pPr>
    </w:p>
    <w:p w:rsidR="009B10A4" w:rsidRDefault="004E559B" w:rsidP="00503CBA">
      <w:pPr>
        <w:spacing w:after="0" w:line="240" w:lineRule="auto"/>
        <w:ind w:firstLine="426"/>
        <w:jc w:val="both"/>
        <w:rPr>
          <w:rFonts w:ascii="Times New Roman" w:hAnsi="Times New Roman"/>
          <w:sz w:val="26"/>
          <w:szCs w:val="26"/>
        </w:rPr>
      </w:pPr>
      <w:r w:rsidRPr="004A4736">
        <w:rPr>
          <w:rFonts w:ascii="Times New Roman" w:hAnsi="Times New Roman"/>
          <w:color w:val="000000"/>
          <w:sz w:val="26"/>
          <w:szCs w:val="26"/>
        </w:rPr>
        <w:t>Vienlaikus jāatzīmē, ka ir novērojama arī netieša TUA saņēmēju ietekme uz tautsaimniecību viņiem un viņu ģimenes locekļiem iesaistoties uzņēmējdarbībā Latvijā.</w:t>
      </w:r>
      <w:r w:rsidR="00327CF1">
        <w:rPr>
          <w:rFonts w:ascii="Times New Roman" w:hAnsi="Times New Roman"/>
          <w:color w:val="000000"/>
          <w:sz w:val="26"/>
          <w:szCs w:val="26"/>
        </w:rPr>
        <w:t xml:space="preserve"> </w:t>
      </w:r>
      <w:r w:rsidR="009B10A4" w:rsidRPr="004A4736">
        <w:rPr>
          <w:rFonts w:ascii="Times New Roman" w:hAnsi="Times New Roman"/>
          <w:sz w:val="26"/>
          <w:szCs w:val="26"/>
        </w:rPr>
        <w:t>Daļa no nerezidentiem (vai to ģimenes locekļi), kas saņēmuši TUA iegādājoties nekustamo īpašumu Latvijā ir saistīti ar saimniecisko darbību. Šādi nerezidenti ieņem kādu amatu vai tiem pieder kapitāla daļas 301 Latvijā reģistrētā kapitālsabiedrībā. Saskaņā ar LURSOFT datiem kopumā šajās kapitālsabiedrībās 2012.gadā tika nodarbināti gandrīz 1 800 darbinieku un kopējais kapitālsabiedrību apgrozījums sasniedza aptuveni 94 milj. latu.</w:t>
      </w:r>
    </w:p>
    <w:p w:rsidR="00B54B9F" w:rsidRDefault="00B54B9F" w:rsidP="00503CBA">
      <w:pPr>
        <w:spacing w:after="0" w:line="240" w:lineRule="auto"/>
        <w:ind w:firstLine="426"/>
        <w:jc w:val="both"/>
        <w:rPr>
          <w:rFonts w:ascii="Times New Roman" w:hAnsi="Times New Roman"/>
          <w:sz w:val="26"/>
          <w:szCs w:val="26"/>
        </w:rPr>
      </w:pPr>
    </w:p>
    <w:p w:rsidR="00B54B9F" w:rsidRPr="004A4736" w:rsidRDefault="00B54B9F" w:rsidP="00503CBA">
      <w:pPr>
        <w:spacing w:after="0" w:line="240" w:lineRule="auto"/>
        <w:ind w:firstLine="426"/>
        <w:jc w:val="both"/>
        <w:rPr>
          <w:rFonts w:ascii="Times New Roman" w:hAnsi="Times New Roman"/>
          <w:sz w:val="26"/>
          <w:szCs w:val="26"/>
        </w:rPr>
      </w:pPr>
    </w:p>
    <w:p w:rsidR="009B10A4" w:rsidRPr="004A4736" w:rsidRDefault="009B10A4" w:rsidP="00503CBA">
      <w:pPr>
        <w:spacing w:after="0" w:line="240" w:lineRule="auto"/>
        <w:ind w:firstLine="426"/>
        <w:jc w:val="both"/>
        <w:rPr>
          <w:rFonts w:ascii="Times New Roman" w:hAnsi="Times New Roman"/>
          <w:sz w:val="26"/>
          <w:szCs w:val="26"/>
        </w:rPr>
      </w:pPr>
    </w:p>
    <w:p w:rsidR="009B10A4" w:rsidRPr="004A4736" w:rsidRDefault="009B10A4" w:rsidP="00503CBA">
      <w:pPr>
        <w:spacing w:after="60" w:line="240" w:lineRule="auto"/>
        <w:jc w:val="right"/>
        <w:rPr>
          <w:rFonts w:ascii="Times New Roman" w:hAnsi="Times New Roman"/>
          <w:sz w:val="26"/>
          <w:szCs w:val="26"/>
        </w:rPr>
      </w:pPr>
      <w:r w:rsidRPr="004A4736">
        <w:rPr>
          <w:rFonts w:ascii="Times New Roman" w:hAnsi="Times New Roman"/>
          <w:sz w:val="26"/>
          <w:szCs w:val="26"/>
        </w:rPr>
        <w:t>7.attēls</w:t>
      </w:r>
    </w:p>
    <w:p w:rsidR="00B82ACB" w:rsidRPr="004A4736" w:rsidRDefault="00B82ACB" w:rsidP="00503CBA">
      <w:pPr>
        <w:spacing w:after="60" w:line="240" w:lineRule="auto"/>
        <w:jc w:val="right"/>
        <w:rPr>
          <w:rFonts w:ascii="Times New Roman" w:hAnsi="Times New Roman"/>
          <w:sz w:val="26"/>
          <w:szCs w:val="26"/>
        </w:rPr>
      </w:pPr>
      <w:r w:rsidRPr="004A4736">
        <w:rPr>
          <w:noProof/>
          <w:lang w:eastAsia="lv-LV"/>
        </w:rPr>
        <w:drawing>
          <wp:inline distT="0" distB="0" distL="0" distR="0">
            <wp:extent cx="5940425" cy="3417648"/>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417648"/>
                    </a:xfrm>
                    <a:prstGeom prst="rect">
                      <a:avLst/>
                    </a:prstGeom>
                    <a:noFill/>
                    <a:ln>
                      <a:noFill/>
                    </a:ln>
                  </pic:spPr>
                </pic:pic>
              </a:graphicData>
            </a:graphic>
          </wp:inline>
        </w:drawing>
      </w:r>
    </w:p>
    <w:p w:rsidR="009B10A4" w:rsidRPr="004A4736" w:rsidRDefault="009B10A4" w:rsidP="00503CBA">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No kapitālsabiedrībām, kurām ir norādīts darbības veids (49% no visām kapitālsabiedrībām) gandrīz puse sniedz komercpakalpojumus (no tiem 33% ir saistīti ar darījumiem ar nekustamajiem īpašumiem). Savukārt 6% kapitālsabiedrībām pamatdarbības veids ir apstrādes rūpniecība. Lielākās no tām darbojās tādās apakšnozarēs kā medikamentu ražošana, pārtikas produktu ražošana, koksnes un tās izstrādājumu ražošana, papīra un papīra izstrādājumu ražošana, kā arī citās apakšnozarēs. </w:t>
      </w:r>
    </w:p>
    <w:p w:rsidR="009B10A4" w:rsidRPr="004A4736" w:rsidRDefault="009B10A4" w:rsidP="000C7631">
      <w:pPr>
        <w:spacing w:after="0" w:line="240" w:lineRule="auto"/>
        <w:ind w:firstLine="426"/>
        <w:jc w:val="both"/>
        <w:rPr>
          <w:rFonts w:ascii="Times New Roman" w:hAnsi="Times New Roman"/>
          <w:sz w:val="26"/>
          <w:szCs w:val="26"/>
        </w:rPr>
      </w:pPr>
    </w:p>
    <w:p w:rsidR="009B10A4" w:rsidRPr="004A4736" w:rsidRDefault="009B10A4" w:rsidP="004273C3">
      <w:pPr>
        <w:pStyle w:val="Heading1"/>
        <w:spacing w:before="0" w:line="240" w:lineRule="auto"/>
        <w:rPr>
          <w:rFonts w:ascii="Times New Roman" w:hAnsi="Times New Roman"/>
          <w:color w:val="auto"/>
        </w:rPr>
      </w:pPr>
    </w:p>
    <w:p w:rsidR="009B10A4" w:rsidRPr="004A4736" w:rsidRDefault="009B10A4" w:rsidP="002C1C1E">
      <w:pPr>
        <w:pStyle w:val="Heading1"/>
        <w:spacing w:before="0" w:after="120" w:line="240" w:lineRule="auto"/>
        <w:rPr>
          <w:rFonts w:ascii="Times New Roman" w:hAnsi="Times New Roman"/>
          <w:color w:val="auto"/>
        </w:rPr>
      </w:pPr>
      <w:bookmarkStart w:id="21" w:name="_Toc366612108"/>
      <w:r w:rsidRPr="004A4736">
        <w:rPr>
          <w:rFonts w:ascii="Times New Roman" w:hAnsi="Times New Roman"/>
          <w:color w:val="auto"/>
        </w:rPr>
        <w:t>5. Finanšu investīcijas kredītiestādē</w:t>
      </w:r>
      <w:bookmarkEnd w:id="21"/>
    </w:p>
    <w:p w:rsidR="009B10A4" w:rsidRPr="004A4736" w:rsidRDefault="009B10A4" w:rsidP="00BF1B2D">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Imigrācijas likuma 23.panta pirmās daļas 30.punkts paredz piešķirt TUA trešo valstu pilsoņiem, kuri ieguldījuši vismaz 200 tūkstošus latu Latvijas kredītiestādes subordinētajā kapitālā. </w:t>
      </w:r>
    </w:p>
    <w:p w:rsidR="009B10A4" w:rsidRPr="004A4736" w:rsidRDefault="009B10A4" w:rsidP="00476F2D">
      <w:pPr>
        <w:spacing w:after="0" w:line="240" w:lineRule="auto"/>
        <w:ind w:firstLine="426"/>
        <w:jc w:val="both"/>
        <w:rPr>
          <w:rFonts w:ascii="Times New Roman" w:hAnsi="Times New Roman"/>
          <w:sz w:val="26"/>
          <w:szCs w:val="26"/>
        </w:rPr>
      </w:pPr>
      <w:r w:rsidRPr="004A4736">
        <w:rPr>
          <w:rFonts w:ascii="Times New Roman" w:hAnsi="Times New Roman"/>
          <w:sz w:val="26"/>
          <w:szCs w:val="26"/>
        </w:rPr>
        <w:t>Attiecīgās Imigrācijas likuma normas ietvaros kopš 2010.gada 1.jūlija Latvijas kredītiestāžu subordinētajā kapitālā veikti 282 ieguldījumi 63,7 milj. latu apmērā.</w:t>
      </w:r>
    </w:p>
    <w:p w:rsidR="009B10A4" w:rsidRPr="004A4736" w:rsidRDefault="009B10A4" w:rsidP="00E00A37">
      <w:pPr>
        <w:spacing w:after="0" w:line="240" w:lineRule="auto"/>
        <w:ind w:firstLine="426"/>
        <w:jc w:val="both"/>
        <w:rPr>
          <w:rFonts w:ascii="Times New Roman" w:hAnsi="Times New Roman"/>
          <w:sz w:val="26"/>
          <w:szCs w:val="26"/>
        </w:rPr>
      </w:pPr>
      <w:r w:rsidRPr="004A4736">
        <w:rPr>
          <w:rFonts w:ascii="Times New Roman" w:hAnsi="Times New Roman"/>
          <w:sz w:val="26"/>
          <w:szCs w:val="26"/>
        </w:rPr>
        <w:t>Investīcijām kredītiestādes subordinētajā kapitālā ir divas svarīgas priekšrocības:</w:t>
      </w:r>
    </w:p>
    <w:p w:rsidR="009B10A4" w:rsidRPr="004A4736" w:rsidRDefault="009B10A4" w:rsidP="00E00A37">
      <w:pPr>
        <w:pStyle w:val="ListParagraph"/>
        <w:numPr>
          <w:ilvl w:val="0"/>
          <w:numId w:val="37"/>
        </w:numPr>
        <w:spacing w:after="0" w:line="240" w:lineRule="auto"/>
        <w:ind w:left="993" w:hanging="284"/>
        <w:jc w:val="both"/>
        <w:rPr>
          <w:rFonts w:ascii="Times New Roman" w:hAnsi="Times New Roman"/>
          <w:sz w:val="26"/>
          <w:szCs w:val="26"/>
        </w:rPr>
      </w:pPr>
      <w:r w:rsidRPr="004A4736">
        <w:rPr>
          <w:rFonts w:ascii="Times New Roman" w:hAnsi="Times New Roman"/>
          <w:sz w:val="26"/>
          <w:szCs w:val="26"/>
        </w:rPr>
        <w:t>ļoti ātrs un salīdzinoši vienkāršs variants TUA saņemšanai;</w:t>
      </w:r>
    </w:p>
    <w:p w:rsidR="009B10A4" w:rsidRPr="004A4736" w:rsidRDefault="009B10A4" w:rsidP="00E00A37">
      <w:pPr>
        <w:pStyle w:val="ListParagraph"/>
        <w:numPr>
          <w:ilvl w:val="0"/>
          <w:numId w:val="37"/>
        </w:numPr>
        <w:spacing w:after="0" w:line="240" w:lineRule="auto"/>
        <w:ind w:left="993" w:hanging="284"/>
        <w:jc w:val="both"/>
        <w:rPr>
          <w:rFonts w:ascii="Times New Roman" w:hAnsi="Times New Roman"/>
          <w:sz w:val="26"/>
          <w:szCs w:val="26"/>
        </w:rPr>
      </w:pPr>
      <w:r w:rsidRPr="004A4736">
        <w:rPr>
          <w:rFonts w:ascii="Times New Roman" w:hAnsi="Times New Roman"/>
          <w:sz w:val="26"/>
          <w:szCs w:val="26"/>
        </w:rPr>
        <w:t>augstas procentu likmes – tas nozīmē, ka investors bez TUA saņem regulāru un stabilu atdevi no saviem ieguldījumiem.</w:t>
      </w:r>
    </w:p>
    <w:p w:rsidR="009B10A4" w:rsidRPr="004A4736" w:rsidRDefault="009B10A4" w:rsidP="00976247">
      <w:pPr>
        <w:spacing w:after="0" w:line="240" w:lineRule="auto"/>
        <w:jc w:val="both"/>
        <w:rPr>
          <w:rFonts w:ascii="Times New Roman" w:hAnsi="Times New Roman"/>
          <w:sz w:val="26"/>
          <w:szCs w:val="26"/>
        </w:rPr>
      </w:pPr>
    </w:p>
    <w:p w:rsidR="009B10A4" w:rsidRPr="004A4736" w:rsidRDefault="009B10A4" w:rsidP="00976247">
      <w:pPr>
        <w:spacing w:after="0" w:line="240" w:lineRule="auto"/>
        <w:jc w:val="both"/>
        <w:rPr>
          <w:rFonts w:ascii="Times New Roman" w:hAnsi="Times New Roman"/>
          <w:sz w:val="26"/>
          <w:szCs w:val="26"/>
        </w:rPr>
      </w:pPr>
    </w:p>
    <w:p w:rsidR="00661329" w:rsidRDefault="00661329" w:rsidP="00503CBA">
      <w:pPr>
        <w:spacing w:after="60" w:line="240" w:lineRule="auto"/>
        <w:jc w:val="right"/>
        <w:rPr>
          <w:rFonts w:ascii="Times New Roman" w:hAnsi="Times New Roman"/>
          <w:sz w:val="26"/>
          <w:szCs w:val="26"/>
        </w:rPr>
      </w:pPr>
    </w:p>
    <w:p w:rsidR="00B54B9F" w:rsidRDefault="00B54B9F" w:rsidP="00503CBA">
      <w:pPr>
        <w:spacing w:after="60" w:line="240" w:lineRule="auto"/>
        <w:jc w:val="right"/>
        <w:rPr>
          <w:rFonts w:ascii="Times New Roman" w:hAnsi="Times New Roman"/>
          <w:sz w:val="26"/>
          <w:szCs w:val="26"/>
        </w:rPr>
      </w:pPr>
    </w:p>
    <w:p w:rsidR="00B54B9F" w:rsidRDefault="00B54B9F" w:rsidP="00503CBA">
      <w:pPr>
        <w:spacing w:after="60" w:line="240" w:lineRule="auto"/>
        <w:jc w:val="right"/>
        <w:rPr>
          <w:rFonts w:ascii="Times New Roman" w:hAnsi="Times New Roman"/>
          <w:sz w:val="26"/>
          <w:szCs w:val="26"/>
        </w:rPr>
      </w:pPr>
    </w:p>
    <w:p w:rsidR="00B54B9F" w:rsidRDefault="00B54B9F" w:rsidP="00503CBA">
      <w:pPr>
        <w:spacing w:after="60" w:line="240" w:lineRule="auto"/>
        <w:jc w:val="right"/>
        <w:rPr>
          <w:rFonts w:ascii="Times New Roman" w:hAnsi="Times New Roman"/>
          <w:sz w:val="26"/>
          <w:szCs w:val="26"/>
        </w:rPr>
      </w:pPr>
    </w:p>
    <w:p w:rsidR="00B54B9F" w:rsidRDefault="00B54B9F" w:rsidP="00503CBA">
      <w:pPr>
        <w:spacing w:after="60" w:line="240" w:lineRule="auto"/>
        <w:jc w:val="right"/>
        <w:rPr>
          <w:rFonts w:ascii="Times New Roman" w:hAnsi="Times New Roman"/>
          <w:sz w:val="26"/>
          <w:szCs w:val="26"/>
        </w:rPr>
      </w:pPr>
    </w:p>
    <w:p w:rsidR="00B54B9F" w:rsidRDefault="00B54B9F" w:rsidP="00503CBA">
      <w:pPr>
        <w:spacing w:after="60" w:line="240" w:lineRule="auto"/>
        <w:jc w:val="right"/>
        <w:rPr>
          <w:rFonts w:ascii="Times New Roman" w:hAnsi="Times New Roman"/>
          <w:sz w:val="26"/>
          <w:szCs w:val="26"/>
        </w:rPr>
      </w:pPr>
    </w:p>
    <w:p w:rsidR="009B10A4" w:rsidRPr="004A4736" w:rsidRDefault="009B10A4" w:rsidP="00503CBA">
      <w:pPr>
        <w:spacing w:after="60" w:line="240" w:lineRule="auto"/>
        <w:jc w:val="right"/>
        <w:rPr>
          <w:rFonts w:ascii="Times New Roman" w:hAnsi="Times New Roman"/>
          <w:sz w:val="26"/>
          <w:szCs w:val="26"/>
        </w:rPr>
      </w:pPr>
      <w:r w:rsidRPr="004A4736">
        <w:rPr>
          <w:rFonts w:ascii="Times New Roman" w:hAnsi="Times New Roman"/>
          <w:sz w:val="26"/>
          <w:szCs w:val="26"/>
        </w:rPr>
        <w:t>8.attēls</w:t>
      </w:r>
    </w:p>
    <w:p w:rsidR="00F10387" w:rsidRPr="004A4736" w:rsidRDefault="00F10387" w:rsidP="00F10387">
      <w:pPr>
        <w:spacing w:after="60" w:line="240" w:lineRule="auto"/>
        <w:ind w:hanging="567"/>
        <w:jc w:val="both"/>
        <w:rPr>
          <w:rFonts w:ascii="Times New Roman" w:hAnsi="Times New Roman"/>
          <w:sz w:val="26"/>
          <w:szCs w:val="26"/>
        </w:rPr>
      </w:pPr>
      <w:r w:rsidRPr="004A4736">
        <w:rPr>
          <w:noProof/>
          <w:lang w:eastAsia="lv-LV"/>
        </w:rPr>
        <w:drawing>
          <wp:inline distT="0" distB="0" distL="0" distR="0">
            <wp:extent cx="7113848" cy="2819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8889" cy="2821398"/>
                    </a:xfrm>
                    <a:prstGeom prst="rect">
                      <a:avLst/>
                    </a:prstGeom>
                    <a:noFill/>
                    <a:ln>
                      <a:noFill/>
                    </a:ln>
                  </pic:spPr>
                </pic:pic>
              </a:graphicData>
            </a:graphic>
          </wp:inline>
        </w:drawing>
      </w:r>
    </w:p>
    <w:p w:rsidR="005E0E9F" w:rsidRPr="004A4736" w:rsidRDefault="005E0E9F" w:rsidP="00503CBA">
      <w:pPr>
        <w:spacing w:after="60" w:line="240" w:lineRule="auto"/>
        <w:jc w:val="right"/>
        <w:rPr>
          <w:rFonts w:ascii="Times New Roman" w:hAnsi="Times New Roman"/>
          <w:sz w:val="26"/>
          <w:szCs w:val="26"/>
        </w:rPr>
      </w:pPr>
    </w:p>
    <w:p w:rsidR="009B10A4" w:rsidRPr="004A4736" w:rsidRDefault="009B10A4" w:rsidP="00503CBA">
      <w:pPr>
        <w:spacing w:after="0" w:line="240" w:lineRule="auto"/>
        <w:ind w:firstLine="426"/>
        <w:jc w:val="both"/>
        <w:rPr>
          <w:rFonts w:ascii="Times New Roman" w:hAnsi="Times New Roman"/>
          <w:sz w:val="26"/>
          <w:szCs w:val="26"/>
        </w:rPr>
      </w:pPr>
      <w:r w:rsidRPr="004A4736">
        <w:rPr>
          <w:rFonts w:ascii="Times New Roman" w:hAnsi="Times New Roman"/>
          <w:sz w:val="26"/>
          <w:szCs w:val="26"/>
        </w:rPr>
        <w:t>Bez ieguldījumiem kredītiestāžu subordinētajā kapitālā, arī daļa no šiem nerezidentiem, kas saņēmuši TUA Latvijā, ir iesaistījušies saimnieciskajā darbībā – tie ieņem kādu amatu vai tiem pieder kapitāla daļas 19 Latvijā reģistrētās kapitālsabiedrībās.</w:t>
      </w:r>
    </w:p>
    <w:p w:rsidR="009B10A4" w:rsidRPr="004A4736" w:rsidRDefault="009B10A4" w:rsidP="00503CBA">
      <w:pPr>
        <w:spacing w:after="0" w:line="240" w:lineRule="auto"/>
        <w:ind w:firstLine="426"/>
        <w:jc w:val="both"/>
        <w:rPr>
          <w:rFonts w:ascii="Times New Roman" w:hAnsi="Times New Roman"/>
          <w:sz w:val="26"/>
          <w:szCs w:val="26"/>
        </w:rPr>
      </w:pPr>
    </w:p>
    <w:p w:rsidR="009B10A4" w:rsidRPr="004A4736" w:rsidRDefault="009B10A4" w:rsidP="00DF7C20">
      <w:pPr>
        <w:keepNext/>
        <w:spacing w:after="60" w:line="240" w:lineRule="auto"/>
        <w:jc w:val="right"/>
        <w:rPr>
          <w:rFonts w:ascii="Times New Roman" w:hAnsi="Times New Roman"/>
          <w:sz w:val="26"/>
          <w:szCs w:val="26"/>
        </w:rPr>
      </w:pPr>
      <w:r w:rsidRPr="004A4736">
        <w:rPr>
          <w:rFonts w:ascii="Times New Roman" w:hAnsi="Times New Roman"/>
          <w:sz w:val="26"/>
          <w:szCs w:val="26"/>
        </w:rPr>
        <w:t>9.attēls</w:t>
      </w:r>
    </w:p>
    <w:p w:rsidR="0053192B" w:rsidRPr="004A4736" w:rsidRDefault="0053192B" w:rsidP="00DF7C20">
      <w:pPr>
        <w:keepNext/>
        <w:spacing w:after="60" w:line="240" w:lineRule="auto"/>
        <w:jc w:val="right"/>
        <w:rPr>
          <w:rFonts w:ascii="Times New Roman" w:hAnsi="Times New Roman"/>
          <w:sz w:val="26"/>
          <w:szCs w:val="26"/>
        </w:rPr>
      </w:pPr>
      <w:r w:rsidRPr="004A4736">
        <w:rPr>
          <w:noProof/>
          <w:lang w:eastAsia="lv-LV"/>
        </w:rPr>
        <w:drawing>
          <wp:inline distT="0" distB="0" distL="0" distR="0">
            <wp:extent cx="5940425" cy="26655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665575"/>
                    </a:xfrm>
                    <a:prstGeom prst="rect">
                      <a:avLst/>
                    </a:prstGeom>
                    <a:noFill/>
                    <a:ln>
                      <a:noFill/>
                    </a:ln>
                  </pic:spPr>
                </pic:pic>
              </a:graphicData>
            </a:graphic>
          </wp:inline>
        </w:drawing>
      </w:r>
    </w:p>
    <w:p w:rsidR="009B10A4" w:rsidRPr="004A4736" w:rsidRDefault="009B10A4" w:rsidP="00503CBA">
      <w:pPr>
        <w:spacing w:after="0" w:line="240" w:lineRule="auto"/>
        <w:ind w:firstLine="426"/>
        <w:jc w:val="both"/>
        <w:rPr>
          <w:rFonts w:ascii="Times New Roman" w:hAnsi="Times New Roman"/>
          <w:sz w:val="26"/>
          <w:szCs w:val="26"/>
        </w:rPr>
      </w:pPr>
      <w:r w:rsidRPr="004A4736">
        <w:rPr>
          <w:rFonts w:ascii="Times New Roman" w:hAnsi="Times New Roman"/>
          <w:sz w:val="26"/>
          <w:szCs w:val="26"/>
        </w:rPr>
        <w:t>Desmit kapitālsabiedrību apgrozījums 2012.gadā bija vairāk nekā 500 tūkst. lati un tajās tika nodarbināti 17 darbinieki. Lielāko daļu no visa apgrozījuma un darba vietām veidoja tirdzniecības un izmitināšanas, kā arī operācijas ar nekustamo īpašumu nozares kapitālsabiedrības.</w:t>
      </w:r>
    </w:p>
    <w:p w:rsidR="009B10A4" w:rsidRPr="004A4736" w:rsidRDefault="009B10A4" w:rsidP="00955EF5"/>
    <w:p w:rsidR="009B10A4" w:rsidRPr="004A4736" w:rsidRDefault="009B10A4" w:rsidP="00717B89">
      <w:pPr>
        <w:pStyle w:val="Heading1"/>
        <w:spacing w:before="0" w:after="120" w:line="240" w:lineRule="auto"/>
        <w:rPr>
          <w:rFonts w:ascii="Times New Roman" w:hAnsi="Times New Roman"/>
          <w:color w:val="auto"/>
        </w:rPr>
      </w:pPr>
      <w:bookmarkStart w:id="22" w:name="_Toc366612109"/>
      <w:r w:rsidRPr="004A4736">
        <w:rPr>
          <w:rFonts w:ascii="Times New Roman" w:hAnsi="Times New Roman"/>
          <w:color w:val="auto"/>
        </w:rPr>
        <w:t>6. Ieguldījumi kapitālsabiedrību pamatkapitālā un valdes locekļi</w:t>
      </w:r>
      <w:bookmarkEnd w:id="22"/>
    </w:p>
    <w:p w:rsidR="009B10A4" w:rsidRPr="004A4736" w:rsidRDefault="009B10A4" w:rsidP="00596DA2">
      <w:pPr>
        <w:spacing w:after="0" w:line="240" w:lineRule="auto"/>
        <w:ind w:firstLine="426"/>
        <w:jc w:val="both"/>
        <w:rPr>
          <w:rFonts w:ascii="Times New Roman" w:hAnsi="Times New Roman"/>
          <w:sz w:val="26"/>
          <w:szCs w:val="26"/>
        </w:rPr>
      </w:pPr>
      <w:r w:rsidRPr="004A4736">
        <w:rPr>
          <w:rFonts w:ascii="Times New Roman" w:hAnsi="Times New Roman"/>
          <w:sz w:val="26"/>
          <w:szCs w:val="26"/>
        </w:rPr>
        <w:t>Pretēji Imigrācijas likuma normām par nekustamā īpašuma iegādi un ieguldījumiem kredītiestāžu subordinētajā kapitālā, ieguldījumi kapitālsabiedrību pamatkapitālā vai amatu ieņemšana tajās TUA saņemšanai tiek izmantoti salīdzinoši retāk. Attiecīgās Imigrācijas likuma normas ietvaros kopš 2010.gada 1.jūlija kapitālsabiedrību pamatkapitālā veikti ieguldījumi 20,2 milj. latu apmērā 192 Latvijā reģistrētās kapitālsabiedrībās.</w:t>
      </w:r>
    </w:p>
    <w:p w:rsidR="009B10A4" w:rsidRPr="004A4736" w:rsidRDefault="009B10A4" w:rsidP="004273C3">
      <w:pPr>
        <w:spacing w:after="60" w:line="240" w:lineRule="auto"/>
        <w:jc w:val="right"/>
        <w:rPr>
          <w:rFonts w:ascii="Times New Roman" w:hAnsi="Times New Roman"/>
          <w:sz w:val="26"/>
          <w:szCs w:val="26"/>
        </w:rPr>
      </w:pPr>
    </w:p>
    <w:p w:rsidR="009B10A4" w:rsidRPr="004A4736" w:rsidRDefault="009B10A4" w:rsidP="004273C3">
      <w:pPr>
        <w:spacing w:after="60" w:line="240" w:lineRule="auto"/>
        <w:jc w:val="right"/>
        <w:rPr>
          <w:rFonts w:ascii="Times New Roman" w:hAnsi="Times New Roman"/>
          <w:sz w:val="26"/>
          <w:szCs w:val="26"/>
        </w:rPr>
      </w:pPr>
      <w:r w:rsidRPr="004A4736">
        <w:rPr>
          <w:rFonts w:ascii="Times New Roman" w:hAnsi="Times New Roman"/>
          <w:sz w:val="26"/>
          <w:szCs w:val="26"/>
        </w:rPr>
        <w:t>10.attēls</w:t>
      </w:r>
    </w:p>
    <w:p w:rsidR="000B39A7" w:rsidRPr="004A4736" w:rsidRDefault="000B39A7" w:rsidP="004273C3">
      <w:pPr>
        <w:spacing w:after="60" w:line="240" w:lineRule="auto"/>
        <w:jc w:val="right"/>
        <w:rPr>
          <w:rFonts w:ascii="Times New Roman" w:hAnsi="Times New Roman"/>
          <w:sz w:val="26"/>
          <w:szCs w:val="26"/>
        </w:rPr>
      </w:pPr>
      <w:r w:rsidRPr="004A4736">
        <w:rPr>
          <w:noProof/>
          <w:lang w:eastAsia="lv-LV"/>
        </w:rPr>
        <w:drawing>
          <wp:inline distT="0" distB="0" distL="0" distR="0">
            <wp:extent cx="5940425" cy="263606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2636064"/>
                    </a:xfrm>
                    <a:prstGeom prst="rect">
                      <a:avLst/>
                    </a:prstGeom>
                    <a:noFill/>
                    <a:ln>
                      <a:noFill/>
                    </a:ln>
                  </pic:spPr>
                </pic:pic>
              </a:graphicData>
            </a:graphic>
          </wp:inline>
        </w:drawing>
      </w:r>
    </w:p>
    <w:p w:rsidR="009B10A4" w:rsidRPr="004A4736" w:rsidRDefault="009B10A4" w:rsidP="00C95D05">
      <w:pPr>
        <w:spacing w:after="0" w:line="240" w:lineRule="auto"/>
        <w:ind w:firstLine="426"/>
        <w:jc w:val="both"/>
        <w:rPr>
          <w:rFonts w:ascii="Times New Roman" w:hAnsi="Times New Roman"/>
          <w:sz w:val="26"/>
          <w:szCs w:val="26"/>
        </w:rPr>
      </w:pPr>
      <w:bookmarkStart w:id="23" w:name="_Toc340050958"/>
      <w:r w:rsidRPr="004A4736">
        <w:rPr>
          <w:rFonts w:ascii="Times New Roman" w:hAnsi="Times New Roman"/>
          <w:sz w:val="26"/>
          <w:szCs w:val="26"/>
        </w:rPr>
        <w:t>Piesaistītās ārvalstu investīcijas kapitālsabiedrībās, kuras tika attiecinātas, lai saņemtu TUA, kopš 2010.gada jūlija veido tikai 0,3% (līdz 2012.gada 1.oktobrim – 1,3%) no ienākošām ĀTI Latvijas tautsaimniecībā (neieskaitot investīcijas nekustamā īpašumā un finanšu starpniecībā). Tāpēc TUA izsniegšanu pret ieguldījumiem kapitālsabiedrību pamatkapitālā pašlaik var vērtēt tikai kā vienu no stimuliem, kas var sniegt tiešu ieguldījumu ārvalstu investīciju piesaistei reālajā sektorā.</w:t>
      </w:r>
    </w:p>
    <w:p w:rsidR="009B10A4" w:rsidRPr="004A4736" w:rsidRDefault="009B10A4" w:rsidP="008A2CBD">
      <w:pPr>
        <w:spacing w:after="0" w:line="240" w:lineRule="auto"/>
        <w:ind w:firstLine="426"/>
        <w:jc w:val="both"/>
        <w:rPr>
          <w:rFonts w:ascii="Times New Roman" w:hAnsi="Times New Roman"/>
          <w:sz w:val="8"/>
          <w:szCs w:val="8"/>
        </w:rPr>
      </w:pPr>
    </w:p>
    <w:p w:rsidR="009B10A4" w:rsidRPr="004A4736" w:rsidRDefault="009B10A4" w:rsidP="008A2CBD">
      <w:pPr>
        <w:spacing w:after="0" w:line="240" w:lineRule="auto"/>
        <w:ind w:firstLine="426"/>
        <w:jc w:val="both"/>
        <w:rPr>
          <w:rFonts w:ascii="Times New Roman" w:hAnsi="Times New Roman"/>
          <w:sz w:val="26"/>
          <w:szCs w:val="26"/>
        </w:rPr>
      </w:pPr>
      <w:r w:rsidRPr="004A4736">
        <w:rPr>
          <w:rFonts w:ascii="Times New Roman" w:hAnsi="Times New Roman"/>
          <w:sz w:val="26"/>
          <w:szCs w:val="26"/>
        </w:rPr>
        <w:t>Attiecīgā Imigrācijas likuma norma paredz, ka ārzemnieks ir tiesīgs pieprasīt TUA uz laiku, ja viņš veicis ieguldījumu esošas kapitālsabiedrības pamatkapitālā vai veicis ieguldījumu jaundibinātas kapitālsabiedrības pamatkapitālā. Nerezidentiem ir vairāki ieguldījumu varianti – veikt ieguldījumus 100 tūkstošu latu apmērā vai arī ieguldīt 25 tūkstošus latu ar nosacījumu, ka kapitālsabiedrībā nodarbina ne vairāk kā 50 darbiniekus, gada apgrozījums vai gada bilance nepārsniedz 7 miljonus latu un kura saimnieciskā gada laikā kopā valsts budžetā un pašvaldības budžetā nodokļos samaksā ne mazāk kā 20 tūkst. latu.</w:t>
      </w:r>
    </w:p>
    <w:p w:rsidR="009B10A4" w:rsidRPr="004A4736" w:rsidRDefault="009B10A4" w:rsidP="008A2CBD">
      <w:pPr>
        <w:spacing w:after="0" w:line="240" w:lineRule="auto"/>
        <w:ind w:firstLine="426"/>
        <w:jc w:val="both"/>
        <w:rPr>
          <w:rFonts w:ascii="Times New Roman" w:hAnsi="Times New Roman"/>
          <w:sz w:val="26"/>
          <w:szCs w:val="26"/>
        </w:rPr>
      </w:pPr>
      <w:r w:rsidRPr="004A4736">
        <w:rPr>
          <w:rFonts w:ascii="Times New Roman" w:hAnsi="Times New Roman"/>
          <w:sz w:val="26"/>
          <w:szCs w:val="26"/>
        </w:rPr>
        <w:t>Sarežģītāki nosacījumi TUA saņemšanai lielā mērā arī ir noteikuši investoru izvēli par labu citiem TUA iegūšanas veidiem – nekustamā īpašuma iegādei un ieguldījumiem kredītiestādēs.</w:t>
      </w:r>
    </w:p>
    <w:p w:rsidR="009B10A4" w:rsidRPr="004A4736" w:rsidRDefault="009B10A4" w:rsidP="008A2CBD">
      <w:pPr>
        <w:spacing w:after="0" w:line="240" w:lineRule="auto"/>
        <w:ind w:firstLine="426"/>
        <w:jc w:val="both"/>
        <w:rPr>
          <w:rFonts w:ascii="Times New Roman" w:hAnsi="Times New Roman"/>
          <w:sz w:val="8"/>
          <w:szCs w:val="8"/>
        </w:rPr>
      </w:pPr>
    </w:p>
    <w:p w:rsidR="009B10A4" w:rsidRPr="004A4736" w:rsidRDefault="009B10A4" w:rsidP="00DB2CCE">
      <w:pPr>
        <w:spacing w:after="60" w:line="240" w:lineRule="auto"/>
        <w:ind w:firstLine="540"/>
        <w:jc w:val="both"/>
        <w:rPr>
          <w:rFonts w:ascii="Times New Roman" w:hAnsi="Times New Roman"/>
          <w:sz w:val="26"/>
          <w:szCs w:val="26"/>
        </w:rPr>
      </w:pPr>
      <w:r w:rsidRPr="004A4736">
        <w:rPr>
          <w:rFonts w:ascii="Times New Roman" w:hAnsi="Times New Roman"/>
          <w:sz w:val="26"/>
          <w:szCs w:val="26"/>
        </w:rPr>
        <w:t>Kā liecina statistikas dati, tad gandrīz puse no ārvalstu investoriem, kas ir veikuši ieguldījumu kapitālsabiedrībās, to ir darījuši tuvu minimālajai pieļaujamai ieguldījumu summai, vienlaikus 18% (līdz 2012.gada 1.oktobrim – 33%) no ārvalstu investoriem ir veikuši ieguldījumus kapitālsabiedrību pamatkapitālā vairāk nekā 100 tūkst. latu apmērā. Vienlaikus jānorāda, ka nereti izvēle par labu 100 tūkstošu latu ieguldījumam tiek izdarīta tādēļ, ka Imigrācijas likums tā pašreizējā redakcijā neuzliek investoram pienākumu veikt jebkādu nodokļu samaksu noteiktā apmērā, kā tas noteikts, ieguldot summu 25 tūkstošu latu apmērā. Turpmāk, veicot grozījumus Imigrācijas likumā, būtu nepieciešams attiecīgo normu papildināt ar nosacījumu par to, ka arī šādam ieguldījumam jāveicina tautsaimniecības attīstība, nosakot minimālās prasības uzņēmējdarbības veikšanai.</w:t>
      </w:r>
    </w:p>
    <w:p w:rsidR="009B10A4" w:rsidRPr="004A4736" w:rsidRDefault="009B10A4" w:rsidP="004D4D6F">
      <w:pPr>
        <w:spacing w:after="60" w:line="240" w:lineRule="auto"/>
        <w:jc w:val="right"/>
        <w:rPr>
          <w:rFonts w:ascii="Times New Roman" w:hAnsi="Times New Roman"/>
          <w:sz w:val="26"/>
          <w:szCs w:val="26"/>
        </w:rPr>
      </w:pPr>
      <w:r w:rsidRPr="004A4736">
        <w:rPr>
          <w:rFonts w:ascii="Times New Roman" w:hAnsi="Times New Roman"/>
          <w:sz w:val="26"/>
          <w:szCs w:val="26"/>
        </w:rPr>
        <w:t>11.attēls</w:t>
      </w:r>
    </w:p>
    <w:p w:rsidR="0054310E" w:rsidRPr="004A4736" w:rsidRDefault="0054310E" w:rsidP="004D4D6F">
      <w:pPr>
        <w:spacing w:after="60" w:line="240" w:lineRule="auto"/>
        <w:jc w:val="right"/>
        <w:rPr>
          <w:rFonts w:ascii="Times New Roman" w:hAnsi="Times New Roman"/>
          <w:sz w:val="26"/>
          <w:szCs w:val="26"/>
        </w:rPr>
      </w:pPr>
      <w:r w:rsidRPr="004A4736">
        <w:rPr>
          <w:noProof/>
          <w:lang w:eastAsia="lv-LV"/>
        </w:rPr>
        <w:drawing>
          <wp:inline distT="0" distB="0" distL="0" distR="0">
            <wp:extent cx="6175602" cy="265215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8567" cy="2653432"/>
                    </a:xfrm>
                    <a:prstGeom prst="rect">
                      <a:avLst/>
                    </a:prstGeom>
                    <a:noFill/>
                    <a:ln>
                      <a:noFill/>
                    </a:ln>
                  </pic:spPr>
                </pic:pic>
              </a:graphicData>
            </a:graphic>
          </wp:inline>
        </w:drawing>
      </w:r>
    </w:p>
    <w:p w:rsidR="009B10A4" w:rsidRPr="004A4736" w:rsidRDefault="009B10A4" w:rsidP="006D77D7">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Kopumā līdz 2013.gada 1.jūlijam TUA pieteikumos ir attiecināti ieguldījumi 192 Latvijā reģistrētās kapitālsabiedrībās (darījumu/pieteicēju skaits – 285). Sadalījumā pa tautsaimniecības nozarēm 32% no visiem ieguldījumu darījumiem ir veikti komercpakalpojumu nozarē, ieguldot 6,9 milj. latus. No visiem ieguldījumiem šajā nozarē 59% ir veikti operācijās ar nekustamo īpašumu un finanšu starpniecības nozarēs (28 kapitālsabiedrībās). Otra lielākā investoru izvēlētā nozare ir </w:t>
      </w:r>
      <w:proofErr w:type="spellStart"/>
      <w:r w:rsidRPr="004A4736">
        <w:rPr>
          <w:rFonts w:ascii="Times New Roman" w:hAnsi="Times New Roman"/>
          <w:sz w:val="26"/>
          <w:szCs w:val="26"/>
        </w:rPr>
        <w:t>vairum-</w:t>
      </w:r>
      <w:proofErr w:type="spellEnd"/>
      <w:r w:rsidRPr="004A4736">
        <w:rPr>
          <w:rFonts w:ascii="Times New Roman" w:hAnsi="Times New Roman"/>
          <w:sz w:val="26"/>
          <w:szCs w:val="26"/>
        </w:rPr>
        <w:t xml:space="preserve"> un mazumtirdzniecība, restorāni un izmitināšanas pakalpojumi. Šajā nozarē ir veikti 23% no visiem ieguldījumu darījumiem 42 kapitālsabiedrībās. Apstrādes rūpniecībā ieguldījumi veikti 7% darījumu 14 kapitālsabiedrībās. Savukārt 32% gadījumu kapitālsabiedrības, kuru pamatkapitālā veikti ieguldījumi, darbības kods nav norādīts. </w:t>
      </w:r>
    </w:p>
    <w:p w:rsidR="009B10A4" w:rsidRPr="004A4736" w:rsidRDefault="009B10A4" w:rsidP="00251F64">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Daļa no nerezidentiem, kas veikuši ieguldījumu kapitālsabiedrībās vai arī viņu ģimenes locekļi, kas saņēmuši TUA Latvijā bez darbības uzņēmumā, ir iesaistījušies saimnieciskajā darbībā – tie ieņem kādu amatu vai tiem pieder kapitāla daļas 85 Latvijā reģistrētās kapitālsabiedrībās. Saskaņā ar LURSOFT datiem, nerezidenti, kas saņēmuši TUA par ieguldījumiem kapitālsabiedrībās (192 kapitālsabiedrības), darbojas vēl 85 kapitālsabiedrībās, kurās 2012.gadā tika nodarbināti 165 darbinieku un kopējais kapitālsabiedrību apgrozījums pērn bija gandrīz 6,7 milj. latu. </w:t>
      </w:r>
    </w:p>
    <w:p w:rsidR="009B10A4" w:rsidRPr="004A4736" w:rsidRDefault="009B10A4" w:rsidP="00251F64">
      <w:pPr>
        <w:spacing w:after="0" w:line="240" w:lineRule="auto"/>
        <w:ind w:firstLine="426"/>
        <w:jc w:val="both"/>
        <w:rPr>
          <w:rFonts w:ascii="Times New Roman" w:hAnsi="Times New Roman"/>
          <w:sz w:val="26"/>
          <w:szCs w:val="26"/>
        </w:rPr>
      </w:pPr>
    </w:p>
    <w:p w:rsidR="009B10A4" w:rsidRPr="004A4736" w:rsidRDefault="009B10A4" w:rsidP="00251F64">
      <w:pPr>
        <w:spacing w:after="0" w:line="240" w:lineRule="auto"/>
        <w:ind w:firstLine="426"/>
        <w:jc w:val="both"/>
        <w:rPr>
          <w:rFonts w:ascii="Times New Roman" w:hAnsi="Times New Roman"/>
          <w:sz w:val="26"/>
          <w:szCs w:val="26"/>
        </w:rPr>
      </w:pPr>
    </w:p>
    <w:p w:rsidR="009B10A4" w:rsidRPr="004A4736" w:rsidRDefault="009B10A4" w:rsidP="004648C7">
      <w:pPr>
        <w:keepNext/>
        <w:spacing w:after="60" w:line="240" w:lineRule="auto"/>
        <w:jc w:val="right"/>
        <w:rPr>
          <w:rFonts w:ascii="Times New Roman" w:hAnsi="Times New Roman"/>
          <w:sz w:val="26"/>
          <w:szCs w:val="26"/>
        </w:rPr>
      </w:pPr>
      <w:r w:rsidRPr="004A4736">
        <w:rPr>
          <w:rFonts w:ascii="Times New Roman" w:hAnsi="Times New Roman"/>
          <w:sz w:val="26"/>
          <w:szCs w:val="26"/>
        </w:rPr>
        <w:t>12.attēls</w:t>
      </w:r>
    </w:p>
    <w:p w:rsidR="004648C7" w:rsidRPr="004A4736" w:rsidRDefault="004648C7" w:rsidP="004648C7">
      <w:pPr>
        <w:keepNext/>
        <w:spacing w:after="60" w:line="240" w:lineRule="auto"/>
        <w:jc w:val="right"/>
        <w:rPr>
          <w:rFonts w:ascii="Times New Roman" w:hAnsi="Times New Roman"/>
          <w:sz w:val="26"/>
          <w:szCs w:val="26"/>
        </w:rPr>
      </w:pPr>
      <w:r w:rsidRPr="004A4736">
        <w:rPr>
          <w:noProof/>
          <w:lang w:eastAsia="lv-LV"/>
        </w:rPr>
        <w:drawing>
          <wp:inline distT="0" distB="0" distL="0" distR="0">
            <wp:extent cx="5940425" cy="296069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960693"/>
                    </a:xfrm>
                    <a:prstGeom prst="rect">
                      <a:avLst/>
                    </a:prstGeom>
                    <a:noFill/>
                    <a:ln>
                      <a:noFill/>
                    </a:ln>
                  </pic:spPr>
                </pic:pic>
              </a:graphicData>
            </a:graphic>
          </wp:inline>
        </w:drawing>
      </w:r>
    </w:p>
    <w:tbl>
      <w:tblPr>
        <w:tblpPr w:leftFromText="180" w:rightFromText="180" w:vertAnchor="text" w:tblpXSpec="center" w:tblpY="1"/>
        <w:tblOverlap w:val="never"/>
        <w:tblW w:w="0" w:type="auto"/>
        <w:tblLook w:val="00A0" w:firstRow="1" w:lastRow="0" w:firstColumn="1" w:lastColumn="0" w:noHBand="0" w:noVBand="0"/>
      </w:tblPr>
      <w:tblGrid>
        <w:gridCol w:w="222"/>
      </w:tblGrid>
      <w:tr w:rsidR="009B10A4" w:rsidRPr="004A4736" w:rsidTr="009921F8">
        <w:tc>
          <w:tcPr>
            <w:tcW w:w="0" w:type="auto"/>
          </w:tcPr>
          <w:p w:rsidR="009B10A4" w:rsidRPr="004A4736" w:rsidRDefault="009B10A4" w:rsidP="004648C7">
            <w:pPr>
              <w:keepNext/>
              <w:spacing w:after="0" w:line="240" w:lineRule="auto"/>
              <w:ind w:left="142" w:right="202"/>
              <w:jc w:val="center"/>
              <w:rPr>
                <w:rFonts w:ascii="Times New Roman" w:hAnsi="Times New Roman"/>
                <w:sz w:val="8"/>
                <w:szCs w:val="26"/>
              </w:rPr>
            </w:pPr>
          </w:p>
        </w:tc>
      </w:tr>
      <w:tr w:rsidR="009B10A4" w:rsidRPr="004A4736" w:rsidTr="009921F8">
        <w:tc>
          <w:tcPr>
            <w:tcW w:w="0" w:type="auto"/>
          </w:tcPr>
          <w:p w:rsidR="009B10A4" w:rsidRPr="004A4736" w:rsidRDefault="009B10A4" w:rsidP="004648C7">
            <w:pPr>
              <w:keepNext/>
              <w:spacing w:after="0" w:line="240" w:lineRule="auto"/>
              <w:jc w:val="both"/>
              <w:rPr>
                <w:rFonts w:ascii="Times New Roman" w:hAnsi="Times New Roman"/>
                <w:sz w:val="26"/>
                <w:szCs w:val="26"/>
              </w:rPr>
            </w:pPr>
          </w:p>
        </w:tc>
      </w:tr>
      <w:tr w:rsidR="009B10A4" w:rsidRPr="004A4736" w:rsidTr="009921F8">
        <w:tc>
          <w:tcPr>
            <w:tcW w:w="0" w:type="auto"/>
          </w:tcPr>
          <w:p w:rsidR="009B10A4" w:rsidRPr="004A4736" w:rsidRDefault="009B10A4" w:rsidP="004648C7">
            <w:pPr>
              <w:keepNext/>
              <w:spacing w:after="0" w:line="240" w:lineRule="auto"/>
              <w:jc w:val="both"/>
              <w:rPr>
                <w:rFonts w:ascii="Times New Roman" w:hAnsi="Times New Roman"/>
                <w:i/>
              </w:rPr>
            </w:pPr>
          </w:p>
        </w:tc>
      </w:tr>
    </w:tbl>
    <w:p w:rsidR="004648C7" w:rsidRPr="004A4736" w:rsidRDefault="004648C7" w:rsidP="004648C7">
      <w:pPr>
        <w:keepNext/>
        <w:spacing w:after="0" w:line="240" w:lineRule="auto"/>
        <w:ind w:firstLine="426"/>
        <w:jc w:val="both"/>
        <w:rPr>
          <w:rFonts w:ascii="Times New Roman" w:hAnsi="Times New Roman"/>
          <w:sz w:val="26"/>
          <w:szCs w:val="26"/>
        </w:rPr>
      </w:pPr>
    </w:p>
    <w:p w:rsidR="009B10A4" w:rsidRPr="004A4736" w:rsidRDefault="009B10A4" w:rsidP="00DE1CF8">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No šīm kapitālsabiedrībām vairums darbojas pakalpojumu sfērā – vairumtirdzniecībā, restorānu biznesā, izmitināšanas pakalpojumos, finanšu starpniecībā, operācijās ar nekustamo īpašumu, profesionālos un tehniskajos pakalpojumos (juridiskie pakalpojumi, grāmatvedība). </w:t>
      </w:r>
    </w:p>
    <w:p w:rsidR="009B10A4" w:rsidRPr="004A4736" w:rsidRDefault="009B10A4" w:rsidP="00B63741">
      <w:pPr>
        <w:pStyle w:val="Heading1"/>
        <w:spacing w:before="0" w:line="240" w:lineRule="auto"/>
        <w:rPr>
          <w:rFonts w:ascii="Times New Roman" w:hAnsi="Times New Roman"/>
          <w:color w:val="auto"/>
        </w:rPr>
      </w:pPr>
    </w:p>
    <w:p w:rsidR="009B10A4" w:rsidRPr="004A4736" w:rsidRDefault="009B10A4" w:rsidP="00C51735">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Imigrācijas likuma </w:t>
      </w:r>
      <w:r w:rsidRPr="004A4736">
        <w:rPr>
          <w:rFonts w:ascii="Times New Roman" w:hAnsi="Times New Roman"/>
          <w:b/>
          <w:sz w:val="26"/>
          <w:szCs w:val="26"/>
          <w:u w:val="single"/>
        </w:rPr>
        <w:t>23.panta pirmās daļas 3.punktā</w:t>
      </w:r>
      <w:r w:rsidRPr="004A4736">
        <w:rPr>
          <w:rFonts w:ascii="Times New Roman" w:hAnsi="Times New Roman"/>
          <w:sz w:val="26"/>
          <w:szCs w:val="26"/>
        </w:rPr>
        <w:t xml:space="preserve"> noteikts, ka ārzemnieks var pieprasīt termiņuzturēšanās atļauju uz pilnvaru termiņu, bet ne ilgāk kā uz pieciem gadiem, ja viņš ir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 ja komercsabiedrība vai ārzemju komersanta filiāle ir ierakstīta komercreģistrā ne mazāk kā vienu gadu pirms uzturēšanās atļaujas pieprasīšanas, tā veic aktīvu saimniecisku darbību un tās darbība dod ekonomisku labumu Latvijas Republikai. Attiecībā uz sabiedrības ar ierobežotu atbildību komercreģistrā reģistrētu amatpersonu šo nosacījumu piemēro, ja sabiedrības ar ierobežotu atbildību pamatkapitāls ir ne mazāks par 2000 latu. </w:t>
      </w:r>
    </w:p>
    <w:p w:rsidR="009B10A4" w:rsidRPr="004A4736" w:rsidRDefault="009B10A4" w:rsidP="00C51735">
      <w:pPr>
        <w:spacing w:after="0" w:line="240" w:lineRule="auto"/>
        <w:ind w:firstLine="426"/>
        <w:jc w:val="both"/>
        <w:rPr>
          <w:rFonts w:ascii="Times New Roman" w:hAnsi="Times New Roman"/>
          <w:sz w:val="26"/>
          <w:szCs w:val="26"/>
        </w:rPr>
      </w:pPr>
      <w:r w:rsidRPr="004A4736">
        <w:rPr>
          <w:rFonts w:ascii="Times New Roman" w:hAnsi="Times New Roman"/>
          <w:sz w:val="26"/>
          <w:szCs w:val="26"/>
        </w:rPr>
        <w:t>2013.gada 1.jūlijā Latvijas Republikā uzturējās 254 personas ar derīgām TUA , kas izsniegtas personām kā komercreģistrā reģistrētām amatpersonām. Komercreģistrā reģistrēto amatpersonu pilsonības valstis – Krievijas Federācija – 138, Baltkrievija – 26, Ukraina – 16, ASV – 14, Uzbekistāna – 11, Turcija – 7, Izraēla – 5, Gruzija, Armēnija, Kazahstāna – 4, Pakistāna, Dienvidkoreja, Kanāda – 3, Azerbaidžāna, Horvātija, Indija, Ķīna, Singapūra – 2, Austrālija, Ēģipte, Dienvidāfrika, Itālija, Moldova, Meksika, Taizeme, Urugvaja – 1.</w:t>
      </w:r>
    </w:p>
    <w:p w:rsidR="009B10A4" w:rsidRPr="004A4736" w:rsidRDefault="009B10A4" w:rsidP="00990183">
      <w:pPr>
        <w:spacing w:after="0" w:line="240" w:lineRule="auto"/>
        <w:ind w:firstLine="425"/>
        <w:jc w:val="both"/>
        <w:rPr>
          <w:rFonts w:ascii="Times New Roman" w:hAnsi="Times New Roman"/>
          <w:sz w:val="26"/>
          <w:szCs w:val="26"/>
        </w:rPr>
      </w:pPr>
      <w:r w:rsidRPr="004A4736">
        <w:rPr>
          <w:rFonts w:ascii="Times New Roman" w:hAnsi="Times New Roman"/>
          <w:sz w:val="26"/>
          <w:szCs w:val="26"/>
        </w:rPr>
        <w:t xml:space="preserve">No kapitālsabiedrībām, kurās valdes locekļi ieņem amatus un kurām ir norādīts darbības veids (88% no visām kapitālsabiedrībām), 24% kapitālsabiedrībām pamatdarbības veids ir </w:t>
      </w:r>
      <w:proofErr w:type="spellStart"/>
      <w:r w:rsidRPr="004A4736">
        <w:rPr>
          <w:rFonts w:ascii="Times New Roman" w:hAnsi="Times New Roman"/>
          <w:sz w:val="26"/>
          <w:szCs w:val="26"/>
        </w:rPr>
        <w:t>vairum-</w:t>
      </w:r>
      <w:proofErr w:type="spellEnd"/>
      <w:r w:rsidRPr="004A4736">
        <w:rPr>
          <w:rFonts w:ascii="Times New Roman" w:hAnsi="Times New Roman"/>
          <w:sz w:val="26"/>
          <w:szCs w:val="26"/>
        </w:rPr>
        <w:t xml:space="preserve"> un mazumtirdzniecība, restorāni un izmitināšanas pakalpojumi, bet citus komercpakalpojumus (no tiem 32% ir saistīti ar darījumiem ar nekustamajiem īpašumiem) sniedz 38% kapitālsabiedrību, apstrādes rūpniecībā darbojas  9% (tai skaitā pārtikas un koksnes izstrādājumu ražošanā). Kopumā valdes locekļi ieņem amatus 288 reģistrētās kapitālsabiedrībās, kuru kopējais apgrozījums 2012.gadā bija 1 480 milj. latu un tika nodarbināti 7 035 darbinieki. Savukārt minētie valdes locekļi ir veikuši investīcijas 160 citās Latvijā reģistrētās komercsabiedrībās – 29% saistīti ar </w:t>
      </w:r>
      <w:proofErr w:type="spellStart"/>
      <w:r w:rsidRPr="004A4736">
        <w:rPr>
          <w:rFonts w:ascii="Times New Roman" w:hAnsi="Times New Roman"/>
          <w:sz w:val="26"/>
          <w:szCs w:val="26"/>
        </w:rPr>
        <w:t>vairum-</w:t>
      </w:r>
      <w:proofErr w:type="spellEnd"/>
      <w:r w:rsidRPr="004A4736">
        <w:rPr>
          <w:rFonts w:ascii="Times New Roman" w:hAnsi="Times New Roman"/>
          <w:sz w:val="26"/>
          <w:szCs w:val="26"/>
        </w:rPr>
        <w:t xml:space="preserve"> un mazumtirdzniecību, restorānu un izmitināšanas pakalpojumiem, bet 36% – ar citiem komercpakalpojumiem (no tiem 26% ir saistīti ar darījumiem ar nekustamajiem īpašumiem). </w:t>
      </w:r>
    </w:p>
    <w:p w:rsidR="009B10A4" w:rsidRPr="004A4736" w:rsidRDefault="009B10A4" w:rsidP="00990183">
      <w:pPr>
        <w:spacing w:after="0" w:line="240" w:lineRule="auto"/>
        <w:ind w:firstLine="425"/>
        <w:jc w:val="both"/>
      </w:pPr>
      <w:r w:rsidRPr="004A4736">
        <w:rPr>
          <w:rFonts w:ascii="Times New Roman" w:hAnsi="Times New Roman"/>
          <w:sz w:val="26"/>
          <w:szCs w:val="26"/>
        </w:rPr>
        <w:t>Jāatzīmē, ka vislielāko īpatsvaru saistībā ar citām komercsabiedrībām uzrāda tieši valdes locekļu statusā esošie TUA pieteicēji. Atsevišķos gadījumos valdes locekļi, kas kopumā ir aktīvākie TUA pieteicēji pēc iesaistes citās kapitālsabiedrībās, ir saistīti vēl ar vismaz 4 līdz pat 8 citām kapitālsabiedrībām, ieņemot tajās amatus, un līdz par 5 kapitālsabiedrībām</w:t>
      </w:r>
      <w:r w:rsidR="0016622D" w:rsidRPr="004A4736">
        <w:rPr>
          <w:rFonts w:ascii="Times New Roman" w:hAnsi="Times New Roman"/>
          <w:sz w:val="26"/>
          <w:szCs w:val="26"/>
        </w:rPr>
        <w:t>,</w:t>
      </w:r>
      <w:r w:rsidRPr="004A4736">
        <w:rPr>
          <w:rFonts w:ascii="Times New Roman" w:hAnsi="Times New Roman"/>
          <w:sz w:val="26"/>
          <w:szCs w:val="26"/>
        </w:rPr>
        <w:t xml:space="preserve"> veicot </w:t>
      </w:r>
      <w:r w:rsidR="0016622D" w:rsidRPr="004A4736">
        <w:rPr>
          <w:rFonts w:ascii="Times New Roman" w:hAnsi="Times New Roman"/>
          <w:sz w:val="26"/>
          <w:szCs w:val="26"/>
        </w:rPr>
        <w:t xml:space="preserve">tajās </w:t>
      </w:r>
      <w:r w:rsidRPr="004A4736">
        <w:rPr>
          <w:rFonts w:ascii="Times New Roman" w:hAnsi="Times New Roman"/>
          <w:sz w:val="26"/>
          <w:szCs w:val="26"/>
        </w:rPr>
        <w:t>investīcijas.</w:t>
      </w:r>
    </w:p>
    <w:p w:rsidR="009B10A4" w:rsidRPr="004A4736" w:rsidRDefault="009B10A4" w:rsidP="00B63741">
      <w:pPr>
        <w:pStyle w:val="Heading1"/>
        <w:spacing w:before="0" w:line="240" w:lineRule="auto"/>
        <w:rPr>
          <w:rFonts w:ascii="Times New Roman" w:hAnsi="Times New Roman"/>
          <w:color w:val="auto"/>
        </w:rPr>
      </w:pPr>
    </w:p>
    <w:p w:rsidR="009B10A4" w:rsidRPr="004A4736" w:rsidRDefault="009B10A4" w:rsidP="00C84CA0">
      <w:pPr>
        <w:pStyle w:val="Heading1"/>
        <w:spacing w:before="0" w:after="120" w:line="240" w:lineRule="auto"/>
        <w:rPr>
          <w:rFonts w:ascii="Times New Roman" w:hAnsi="Times New Roman"/>
          <w:color w:val="auto"/>
        </w:rPr>
      </w:pPr>
      <w:bookmarkStart w:id="24" w:name="_Toc366612110"/>
      <w:r w:rsidRPr="004A4736">
        <w:rPr>
          <w:rFonts w:ascii="Times New Roman" w:hAnsi="Times New Roman"/>
          <w:color w:val="auto"/>
        </w:rPr>
        <w:t>7. Ietekme uz tautsaimniecības reālo sektoru</w:t>
      </w:r>
      <w:bookmarkEnd w:id="23"/>
      <w:bookmarkEnd w:id="24"/>
    </w:p>
    <w:p w:rsidR="009B10A4" w:rsidRPr="004A4736" w:rsidRDefault="009B10A4" w:rsidP="007D4E39">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Ienākušie naudas līdzekļi ir veicinājuši ekonomisko aktivitāšu palielināšanos un brīvās naudas līdzekļu daudzumu Latvijā. Pozitīvu ietekmi no attiecīgajām Imigrācijas likuma normām ir izjutušas atsevišķas nozares – galvenokārt, finanšu un nekustamā īpašuma tirgus, kam Latvijā ienākošie finanšu līdzekļi ir ļāvuši mazināt krīzes izraisītās sekas. </w:t>
      </w:r>
    </w:p>
    <w:p w:rsidR="009B10A4" w:rsidRPr="004A4736" w:rsidRDefault="009B10A4" w:rsidP="007D4E39">
      <w:pPr>
        <w:spacing w:after="0" w:line="240" w:lineRule="auto"/>
        <w:ind w:firstLine="426"/>
        <w:jc w:val="both"/>
        <w:rPr>
          <w:rFonts w:ascii="Times New Roman" w:hAnsi="Times New Roman"/>
          <w:sz w:val="26"/>
          <w:szCs w:val="26"/>
        </w:rPr>
      </w:pPr>
      <w:r w:rsidRPr="004A4736">
        <w:rPr>
          <w:rFonts w:ascii="Times New Roman" w:hAnsi="Times New Roman"/>
          <w:sz w:val="26"/>
          <w:szCs w:val="26"/>
        </w:rPr>
        <w:t>Tiešo ieguvumu no investoriem izjūt arī tādas nozares kā tūrisms, viesnīcas, juridiskie pakalpojumi, apdrošināšana, namu apsaimniekošana, interjera un dizaina pakalpojumu sniedzēji un ražotāji, pārtika un ēdināšana, veselības aprūpe.</w:t>
      </w:r>
    </w:p>
    <w:p w:rsidR="009B10A4" w:rsidRPr="004A4736" w:rsidRDefault="009B10A4" w:rsidP="001B272C">
      <w:pPr>
        <w:spacing w:after="60" w:line="240" w:lineRule="auto"/>
        <w:ind w:firstLine="426"/>
        <w:jc w:val="both"/>
        <w:rPr>
          <w:rFonts w:ascii="Times New Roman" w:hAnsi="Times New Roman"/>
          <w:sz w:val="26"/>
          <w:szCs w:val="26"/>
        </w:rPr>
      </w:pPr>
      <w:r w:rsidRPr="004A4736">
        <w:rPr>
          <w:rFonts w:ascii="Times New Roman" w:hAnsi="Times New Roman"/>
          <w:sz w:val="26"/>
          <w:szCs w:val="26"/>
        </w:rPr>
        <w:t>Nerezidentu saimnieciskās darbības paplašināšanos īsumā var aprakstīt sekojoši – lielākā daļa nerezidentu, kurus piesaista iespēja saņemt TUA, atver savus kontus Latvijas komercbankās vai arī iegādājas nekustamo īpašumu. Ņemot vērā, ka likumā noteiktie ieguldījumu ir pietiekami augsti, to var atļauties turīgas personas, kam visticamāk pieder privātais bizness (skatīt arī 11.nodaļu).</w:t>
      </w:r>
    </w:p>
    <w:p w:rsidR="009B10A4" w:rsidRPr="004A4736" w:rsidRDefault="009B10A4" w:rsidP="005477F7">
      <w:pPr>
        <w:spacing w:after="60" w:line="240" w:lineRule="auto"/>
        <w:jc w:val="right"/>
        <w:rPr>
          <w:rFonts w:ascii="Times New Roman" w:hAnsi="Times New Roman"/>
          <w:sz w:val="26"/>
          <w:szCs w:val="26"/>
        </w:rPr>
      </w:pPr>
    </w:p>
    <w:p w:rsidR="009B10A4" w:rsidRPr="004A4736" w:rsidRDefault="009B10A4" w:rsidP="001B699C">
      <w:pPr>
        <w:keepNext/>
        <w:spacing w:after="60" w:line="240" w:lineRule="auto"/>
        <w:jc w:val="right"/>
        <w:rPr>
          <w:rFonts w:ascii="Times New Roman" w:hAnsi="Times New Roman"/>
          <w:sz w:val="26"/>
          <w:szCs w:val="26"/>
        </w:rPr>
      </w:pPr>
      <w:r w:rsidRPr="004A4736">
        <w:rPr>
          <w:rFonts w:ascii="Times New Roman" w:hAnsi="Times New Roman"/>
          <w:sz w:val="26"/>
          <w:szCs w:val="26"/>
        </w:rPr>
        <w:t>13.attēls</w:t>
      </w:r>
    </w:p>
    <w:p w:rsidR="009B10A4" w:rsidRPr="004A4736" w:rsidRDefault="009B10A4" w:rsidP="001B699C">
      <w:pPr>
        <w:keepNext/>
        <w:spacing w:after="60" w:line="240" w:lineRule="auto"/>
        <w:jc w:val="center"/>
        <w:rPr>
          <w:rFonts w:ascii="Times New Roman" w:hAnsi="Times New Roman"/>
          <w:b/>
          <w:sz w:val="24"/>
          <w:szCs w:val="26"/>
        </w:rPr>
      </w:pPr>
      <w:r w:rsidRPr="004A4736">
        <w:rPr>
          <w:rFonts w:ascii="Times New Roman" w:hAnsi="Times New Roman"/>
          <w:b/>
          <w:sz w:val="24"/>
          <w:szCs w:val="26"/>
        </w:rPr>
        <w:t>Ārvalstu nerezidentu saimnieciskās darbības paplašināšanās</w:t>
      </w:r>
    </w:p>
    <w:p w:rsidR="009B10A4" w:rsidRPr="004A4736" w:rsidRDefault="009B10A4" w:rsidP="001B699C">
      <w:pPr>
        <w:keepNext/>
        <w:spacing w:after="60" w:line="240" w:lineRule="auto"/>
        <w:jc w:val="center"/>
        <w:rPr>
          <w:rFonts w:ascii="Times New Roman" w:hAnsi="Times New Roman"/>
          <w:sz w:val="8"/>
          <w:szCs w:val="8"/>
        </w:rPr>
      </w:pPr>
    </w:p>
    <w:p w:rsidR="009B10A4" w:rsidRPr="004A4736" w:rsidRDefault="00B17281" w:rsidP="001B699C">
      <w:pPr>
        <w:keepNext/>
        <w:spacing w:after="0" w:line="240" w:lineRule="auto"/>
        <w:jc w:val="both"/>
        <w:rPr>
          <w:rFonts w:ascii="Times New Roman" w:hAnsi="Times New Roman"/>
          <w:sz w:val="26"/>
          <w:szCs w:val="26"/>
        </w:rPr>
      </w:pPr>
      <w:r>
        <w:rPr>
          <w:noProof/>
          <w:lang w:eastAsia="zh-CN"/>
        </w:rPr>
      </w:r>
      <w:r>
        <w:rPr>
          <w:noProof/>
          <w:lang w:eastAsia="zh-CN"/>
        </w:rPr>
        <w:pict>
          <v:group id="Group 3" o:spid="_x0000_s1026" style="width:444.25pt;height:165.5pt;mso-position-horizontal-relative:char;mso-position-vertical-relative:line" coordsize="56419,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">
            <v:shapetype id="_x0000_t32" coordsize="21600,21600" o:spt="32" o:oned="t" path="m,l21600,21600e" filled="f">
              <v:path arrowok="t" fillok="f" o:connecttype="none"/>
              <o:lock v:ext="edit" shapetype="t"/>
            </v:shapetype>
            <v:shape id="Straight Arrow Connector 7" o:spid="_x0000_s1027" type="#_x0000_t32" style="position:absolute;top:20097;width:564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Ug8IAAADbAAAADwAAAGRycy9kb3ducmV2LnhtbESPT4vCMBTE78J+h/CEvWlaD4t0TUVd&#10;BMHD4h/2/Gxem2LzUppY67ffCILHYWZ+wyyWg21ET52vHStIpwkI4sLpmisF59N2MgfhA7LGxjEp&#10;eJCHZf4xWmCm3Z0P1B9DJSKEfYYKTAhtJqUvDFn0U9cSR690ncUQZVdJ3eE9wm0jZ0nyJS3WHBcM&#10;trQxVFyPNxspl98i/Pzd+s3Vy8O8XO8fqdkr9TkeVt8gAg3hHX61d1rBLIXnl/gD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0Ug8IAAADbAAAADwAAAAAAAAAAAAAA&#10;AAChAgAAZHJzL2Rvd25yZXYueG1sUEsFBgAAAAAEAAQA+QAAAJADAAAAAA==&#10;" strokecolor="#4579b8" strokeweight="3pt">
              <v:stroke endarrow="open"/>
            </v:shape>
            <v:line id="Straight Connector 10" o:spid="_x0000_s1028" style="position:absolute;visibility:visible" from="13335,18859" to="13335,2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R4MUAAADbAAAADwAAAGRycy9kb3ducmV2LnhtbESPQWvCQBSE7wX/w/KE3pqNEtSm2YgU&#10;WkoJQqL0/Jp9JsHs25DdavrvuwXB4zAz3zDZdjK9uNDoOssKFlEMgri2uuNGwfHw9rQB4Tyyxt4y&#10;KfglB9t89pBhqu2VS7pUvhEBwi5FBa33Qyqlq1sy6CI7EAfvZEeDPsixkXrEa4CbXi7jeCUNdhwW&#10;WhzotaX6XP0YBd+DKc/vz5/FUS/WyXqfFF+rvlbqcT7tXkB4mvw9fGt/aAXLBP6/h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MR4MUAAADbAAAADwAAAAAAAAAA&#10;AAAAAAChAgAAZHJzL2Rvd25yZXYueG1sUEsFBgAAAAAEAAQA+QAAAJMDAAAAAA==&#10;" strokecolor="#4579b8" strokeweight="3pt"/>
            <v:line id="Straight Connector 12" o:spid="_x0000_s1029" style="position:absolute;visibility:visible" from="28575,18859" to="28575,2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0e8IAAADbAAAADwAAAGRycy9kb3ducmV2LnhtbESPW4vCMBSE3wX/QziCb5oqXqtRZGFF&#10;RBa84POxObbF5qQ0Ueu/N4Kwj8PMfMPMl7UpxIMql1tW0OtGIIgTq3NOFZyOv50JCOeRNRaWScGL&#10;HCwXzcYcY22fvKfHwaciQNjFqCDzvoyldElGBl3XlsTBu9rKoA+ySqWu8BngppD9KBpJgzmHhQxL&#10;+skouR3uRsGlNPvberrdnXRvPBj/DXbnUZEo1W7VqxkIT7X/D3/bG62gP4TPl/AD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0e8IAAADbAAAADwAAAAAAAAAAAAAA&#10;AAChAgAAZHJzL2Rvd25yZXYueG1sUEsFBgAAAAAEAAQA+QAAAJADAAAAAA==&#10;" strokecolor="#4579b8" strokeweight="3pt"/>
            <v:line id="Straight Connector 17" o:spid="_x0000_s1030" style="position:absolute;visibility:visible" from="43815,19050" to="43815,2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qDMIAAADbAAAADwAAAGRycy9kb3ducmV2LnhtbESP3YrCMBSE7wXfIRzBO00VqW7XKCIo&#10;IiL4w16fbY5tsTkpTdT69kYQvBxm5htmOm9MKe5Uu8KygkE/AkGcWl1wpuB8WvUmIJxH1lhaJgVP&#10;cjCftVtTTLR98IHuR5+JAGGXoILc+yqR0qU5GXR9WxEH72Jrgz7IOpO6xkeAm1IOoyiWBgsOCzlW&#10;tMwpvR5vRsF/ZQ7X9c92d9aD8Wi8H+3+4jJVqttpFr8gPDX+G/60N1rBMIb3l/A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0qDMIAAADbAAAADwAAAAAAAAAAAAAA&#10;AAChAgAAZHJzL2Rvd25yZXYueG1sUEsFBgAAAAAEAAQA+QAAAJADAAAAAA==&#10;" strokecolor="#4579b8" strokeweight="3pt"/>
            <v:shapetype id="_x0000_t202" coordsize="21600,21600" o:spt="202" path="m,l,21600r21600,l21600,xe">
              <v:stroke joinstyle="miter"/>
              <v:path gradientshapeok="t" o:connecttype="rect"/>
            </v:shapetype>
            <v:shape id="Text Box 18" o:spid="_x0000_s1031" type="#_x0000_t202" style="position:absolute;width:10795;height:179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5+sUA&#10;AADbAAAADwAAAGRycy9kb3ducmV2LnhtbESPQWvCQBSE74L/YXlCL2I2CtqSZpW2UAyCYFNpr4/s&#10;axLMvg3ZrUn7611B8DjMzDdMuhlMI87UudqygnkUgyAurK65VHD8fJ89gXAeWWNjmRT8kYPNejxK&#10;MdG25w86574UAcIuQQWV920ipSsqMugi2xIH78d2Bn2QXSl1h32Am0Yu4nglDdYcFips6a2i4pT/&#10;GgU7Wzb7fzrk29fsa778PtU8PeRKPUyGl2cQngZ/D9/amVaweITrl/AD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Hn6xQAAANsAAAAPAAAAAAAAAAAAAAAAAJgCAABkcnMv&#10;ZG93bnJldi54bWxQSwUGAAAAAAQABAD1AAAAigMAAAAA&#10;" fillcolor="#c6d9f1" strokeweight=".5pt">
              <v:shadow on="t" color="black" opacity="26213f" origin="-.5,-.5" offset=".74836mm,.74836mm"/>
              <v:textbox>
                <w:txbxContent>
                  <w:p w:rsidR="00B17281" w:rsidRDefault="00B17281" w:rsidP="00AC58BD">
                    <w:pPr>
                      <w:spacing w:after="0" w:line="240" w:lineRule="auto"/>
                      <w:jc w:val="center"/>
                      <w:rPr>
                        <w:rFonts w:ascii="Times New Roman" w:hAnsi="Times New Roman"/>
                      </w:rPr>
                    </w:pPr>
                    <w:r>
                      <w:rPr>
                        <w:rFonts w:ascii="Times New Roman" w:hAnsi="Times New Roman"/>
                      </w:rPr>
                      <w:t>Privātpersonu piesaiste</w:t>
                    </w:r>
                  </w:p>
                  <w:p w:rsidR="00B17281" w:rsidRDefault="00B17281" w:rsidP="00AC58BD">
                    <w:pPr>
                      <w:spacing w:after="0" w:line="240" w:lineRule="auto"/>
                      <w:jc w:val="center"/>
                      <w:rPr>
                        <w:rFonts w:ascii="Times New Roman" w:hAnsi="Times New Roman"/>
                      </w:rPr>
                    </w:pPr>
                  </w:p>
                  <w:p w:rsidR="00B17281" w:rsidRPr="00AC58BD" w:rsidRDefault="00B17281" w:rsidP="00AC58BD">
                    <w:pPr>
                      <w:spacing w:after="0" w:line="240" w:lineRule="auto"/>
                      <w:jc w:val="center"/>
                      <w:rPr>
                        <w:rFonts w:ascii="Times New Roman" w:hAnsi="Times New Roman"/>
                      </w:rPr>
                    </w:pPr>
                    <w:r w:rsidRPr="00AC58BD">
                      <w:rPr>
                        <w:rFonts w:ascii="Times New Roman" w:hAnsi="Times New Roman"/>
                      </w:rPr>
                      <w:t>(banku sektors)</w:t>
                    </w:r>
                  </w:p>
                </w:txbxContent>
              </v:textbox>
            </v:shape>
            <v:shape id="Text Box 20" o:spid="_x0000_s1032" type="#_x0000_t202" style="position:absolute;left:15525;top:1809;width:10795;height:161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tiMEA&#10;AADbAAAADwAAAGRycy9kb3ducmV2LnhtbERPTYvCMBC9C/sfwix4kTWtsCLVKLuCKAuC1kWvQzO2&#10;pc2kNFGrv94cBI+P9z1bdKYWV2pdaVlBPIxAEGdWl5wr+D+sviYgnEfWWFsmBXdysJh/9GaYaHvj&#10;PV1Tn4sQwi5BBYX3TSKlywoy6Ia2IQ7c2bYGfYBtLnWLtxBuajmKorE0WHJoKLChZUFZlV6Mgj+b&#10;19sH7dL17+YYf5+qkge7VKn+Z/czBeGp82/xy73RCkZhbPgSf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X7YjBAAAA2wAAAA8AAAAAAAAAAAAAAAAAmAIAAGRycy9kb3du&#10;cmV2LnhtbFBLBQYAAAAABAAEAPUAAACGAwAAAAA=&#10;" fillcolor="#c6d9f1" strokeweight=".5pt">
              <v:shadow on="t" color="black" opacity="26213f" origin="-.5,-.5" offset=".74836mm,.74836mm"/>
              <v:textbox>
                <w:txbxContent>
                  <w:p w:rsidR="00B17281" w:rsidRDefault="00B17281" w:rsidP="00AC58BD">
                    <w:pPr>
                      <w:spacing w:after="0" w:line="240" w:lineRule="auto"/>
                      <w:jc w:val="center"/>
                      <w:rPr>
                        <w:rFonts w:ascii="Times New Roman" w:hAnsi="Times New Roman"/>
                      </w:rPr>
                    </w:pPr>
                    <w:r w:rsidRPr="00AC58BD">
                      <w:rPr>
                        <w:rFonts w:ascii="Times New Roman" w:hAnsi="Times New Roman"/>
                      </w:rPr>
                      <w:t>Privātā biznesa administrēšana</w:t>
                    </w:r>
                  </w:p>
                  <w:p w:rsidR="00B17281" w:rsidRPr="00AC58BD" w:rsidRDefault="00B17281" w:rsidP="00AC58BD">
                    <w:pPr>
                      <w:spacing w:after="0" w:line="240" w:lineRule="auto"/>
                      <w:jc w:val="center"/>
                      <w:rPr>
                        <w:rFonts w:ascii="Times New Roman" w:hAnsi="Times New Roman"/>
                      </w:rPr>
                    </w:pPr>
                  </w:p>
                  <w:p w:rsidR="00B17281" w:rsidRPr="00AC58BD" w:rsidRDefault="00B17281" w:rsidP="00AC58BD">
                    <w:pPr>
                      <w:spacing w:after="0" w:line="240" w:lineRule="auto"/>
                      <w:jc w:val="center"/>
                      <w:rPr>
                        <w:rFonts w:ascii="Times New Roman" w:hAnsi="Times New Roman"/>
                      </w:rPr>
                    </w:pPr>
                    <w:r w:rsidRPr="00AC58BD">
                      <w:rPr>
                        <w:rFonts w:ascii="Times New Roman" w:hAnsi="Times New Roman"/>
                      </w:rPr>
                      <w:t xml:space="preserve">(izmantojot </w:t>
                    </w:r>
                    <w:proofErr w:type="spellStart"/>
                    <w:r w:rsidRPr="00AC58BD">
                      <w:rPr>
                        <w:rFonts w:ascii="Times New Roman" w:hAnsi="Times New Roman"/>
                      </w:rPr>
                      <w:t>ār-pakalpojumus</w:t>
                    </w:r>
                    <w:proofErr w:type="spellEnd"/>
                    <w:r w:rsidRPr="00AC58BD">
                      <w:rPr>
                        <w:rFonts w:ascii="Times New Roman" w:hAnsi="Times New Roman"/>
                      </w:rPr>
                      <w:t xml:space="preserve"> –  juridiskie pakalpojumi, grāmatvedība u.c.)</w:t>
                    </w:r>
                  </w:p>
                </w:txbxContent>
              </v:textbox>
            </v:shape>
            <v:shape id="Text Box 24" o:spid="_x0000_s1033" type="#_x0000_t202" style="position:absolute;left:30670;top:3714;width:10795;height:143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IE8UA&#10;AADbAAAADwAAAGRycy9kb3ducmV2LnhtbESPQWvCQBSE74L/YXlCL2I2CkqbZpW2UAyCYFNpr4/s&#10;axLMvg3ZrUn7611B8DjMzDdMuhlMI87UudqygnkUgyAurK65VHD8fJ89gnAeWWNjmRT8kYPNejxK&#10;MdG25w86574UAcIuQQWV920ipSsqMugi2xIH78d2Bn2QXSl1h32Am0Yu4nglDdYcFips6a2i4pT/&#10;GgU7Wzb7fzrk29fsa778PtU8PeRKPUyGl2cQngZ/D9/amVaweILrl/AD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0gTxQAAANsAAAAPAAAAAAAAAAAAAAAAAJgCAABkcnMv&#10;ZG93bnJldi54bWxQSwUGAAAAAAQABAD1AAAAigMAAAAA&#10;" fillcolor="#c6d9f1" strokeweight=".5pt">
              <v:shadow on="t" color="black" opacity="26213f" origin="-.5,-.5" offset=".74836mm,.74836mm"/>
              <v:textbox>
                <w:txbxContent>
                  <w:p w:rsidR="00B17281" w:rsidRDefault="00B17281" w:rsidP="00AC58BD">
                    <w:pPr>
                      <w:spacing w:after="0" w:line="240" w:lineRule="auto"/>
                      <w:jc w:val="center"/>
                      <w:rPr>
                        <w:rFonts w:ascii="Times New Roman" w:hAnsi="Times New Roman"/>
                      </w:rPr>
                    </w:pPr>
                    <w:r>
                      <w:rPr>
                        <w:rFonts w:ascii="Times New Roman" w:hAnsi="Times New Roman"/>
                      </w:rPr>
                      <w:t>Pakalpojumu sniegšana</w:t>
                    </w:r>
                  </w:p>
                  <w:p w:rsidR="00B17281" w:rsidRPr="00AC58BD" w:rsidRDefault="00B17281" w:rsidP="00AC58BD">
                    <w:pPr>
                      <w:spacing w:after="0" w:line="240" w:lineRule="auto"/>
                      <w:jc w:val="center"/>
                      <w:rPr>
                        <w:rFonts w:ascii="Times New Roman" w:hAnsi="Times New Roman"/>
                      </w:rPr>
                    </w:pPr>
                    <w:r w:rsidRPr="00AC58BD">
                      <w:rPr>
                        <w:rFonts w:ascii="Times New Roman" w:hAnsi="Times New Roman"/>
                      </w:rPr>
                      <w:t xml:space="preserve">(tirdzniecība, </w:t>
                    </w:r>
                    <w:r>
                      <w:rPr>
                        <w:rFonts w:ascii="Times New Roman" w:hAnsi="Times New Roman"/>
                      </w:rPr>
                      <w:t xml:space="preserve">loģistika, </w:t>
                    </w:r>
                    <w:r w:rsidRPr="00AC58BD">
                      <w:rPr>
                        <w:rFonts w:ascii="Times New Roman" w:hAnsi="Times New Roman"/>
                      </w:rPr>
                      <w:t>…)</w:t>
                    </w:r>
                  </w:p>
                </w:txbxContent>
              </v:textbox>
            </v:shape>
            <v:shape id="Text Box 25" o:spid="_x0000_s1034" type="#_x0000_t202" style="position:absolute;left:45624;top:5429;width:10795;height:125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3U8IA&#10;AADbAAAADwAAAGRycy9kb3ducmV2LnhtbERPTWvCQBC9C/0PyxS8SN3EopTUVVpBDIKgaWmvQ3aa&#10;BLOzIbsmqb/ePQgeH+97uR5MLTpqXWVZQTyNQBDnVldcKPj+2r68gXAeWWNtmRT8k4P16mm0xETb&#10;nk/UZb4QIYRdggpK75tESpeXZNBNbUMcuD/bGvQBtoXULfYh3NRyFkULabDi0FBiQ5uS8nN2MQr2&#10;tqgPVzpmu8/0J57/niueHDOlxs/DxzsIT4N/iO/uVCt4DevDl/A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HdTwgAAANsAAAAPAAAAAAAAAAAAAAAAAJgCAABkcnMvZG93&#10;bnJldi54bWxQSwUGAAAAAAQABAD1AAAAhwMAAAAA&#10;" fillcolor="#c6d9f1" strokeweight=".5pt">
              <v:shadow on="t" color="black" opacity="26213f" origin="-.5,-.5" offset=".74836mm,.74836mm"/>
              <v:textbox>
                <w:txbxContent>
                  <w:p w:rsidR="00B17281" w:rsidRPr="00AC58BD" w:rsidRDefault="00B17281" w:rsidP="00AC58BD">
                    <w:pPr>
                      <w:spacing w:after="0" w:line="240" w:lineRule="auto"/>
                      <w:jc w:val="center"/>
                      <w:rPr>
                        <w:rFonts w:ascii="Times New Roman" w:hAnsi="Times New Roman"/>
                      </w:rPr>
                    </w:pPr>
                    <w:r w:rsidRPr="00AC58BD">
                      <w:rPr>
                        <w:rFonts w:ascii="Times New Roman" w:hAnsi="Times New Roman"/>
                      </w:rPr>
                      <w:t>Ražošana</w:t>
                    </w:r>
                  </w:p>
                </w:txbxContent>
              </v:textbox>
            </v:shape>
            <v:group id="Group 26" o:spid="_x0000_s1035" style="position:absolute;left:12192;top:9525;width:32766;height:3238" coordsize="3276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36" type="#_x0000_t13" style="position:absolute;width:2476;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7zPMQA&#10;AADbAAAADwAAAGRycy9kb3ducmV2LnhtbESPT4vCMBTE74LfITzB25qqyyLVKCoo7kHwH+jx0Tyb&#10;avNSmqx2v71ZWPA4zMxvmMmssaV4UO0Lxwr6vQQEceZ0wbmC03H1MQLhA7LG0jEp+CUPs2m7NcFU&#10;uyfv6XEIuYgQ9ikqMCFUqZQ+M2TR91xFHL2rqy2GKOtc6hqfEW5LOUiSL2mx4LhgsKKloex++LEK&#10;bot7uTP+8u1uu/NVr0+b7XL+qVS308zHIAI14R3+b2+0guEA/r7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u8zzEAAAA2wAAAA8AAAAAAAAAAAAAAAAAmAIAAGRycy9k&#10;b3ducmV2LnhtbFBLBQYAAAAABAAEAPUAAACJAwAAAAA=&#10;" adj="10800" fillcolor="#b8cce4" strokecolor="#243f60" strokeweight=".5pt"/>
              <v:shape id="Right Arrow 28" o:spid="_x0000_s1037" type="#_x0000_t13" style="position:absolute;left:15240;width:2476;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Wp8QA&#10;AADbAAAADwAAAGRycy9kb3ducmV2LnhtbESPT4vCMBTE74LfITzB25qqyyLVKCoo7kHwH+jx0Tyb&#10;avNSmqx2v71ZWPA4zMxvmMmssaV4UO0Lxwr6vQQEceZ0wbmC03H1MQLhA7LG0jEp+CUPs2m7NcFU&#10;uyfv6XEIuYgQ9ikqMCFUqZQ+M2TR91xFHL2rqy2GKOtc6hqfEW5LOUiSL2mx4LhgsKKloex++LEK&#10;bot7uTP+8u1uu/NVr0+b7XL+qVS308zHIAI14R3+b2+0guEQ/r7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iVqfEAAAA2wAAAA8AAAAAAAAAAAAAAAAAmAIAAGRycy9k&#10;b3ducmV2LnhtbFBLBQYAAAAABAAEAPUAAACJAwAAAAA=&#10;" adj="10800" fillcolor="#b8cce4" strokecolor="#243f60" strokeweight=".5pt"/>
              <v:shape id="Right Arrow 29" o:spid="_x0000_s1038" type="#_x0000_t13" style="position:absolute;left:30289;width:2477;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O08UA&#10;AADbAAAADwAAAGRycy9kb3ducmV2LnhtbESPT2sCMRTE7wW/Q3hCbzVrlVJWo6hQsYeCXRf0+Ng8&#10;N/snL8sm1e23bwqFHoeZ+Q2zXA+2FTfqfeVYwXSSgCAunK64VJCf3p5eQfiArLF1TAq+ycN6NXpY&#10;YqrdnT/ploVSRAj7FBWYELpUSl8YsugnriOO3tX1FkOUfSl1j/cIt618TpIXabHiuGCwo52hosm+&#10;rIJ627RH4y/vrj6er3qfHz52m7lSj+NhswARaAj/4b/2QSuYze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87TxQAAANsAAAAPAAAAAAAAAAAAAAAAAJgCAABkcnMv&#10;ZG93bnJldi54bWxQSwUGAAAAAAQABAD1AAAAigMAAAAA&#10;" adj="10800" fillcolor="#b8cce4" strokecolor="#243f60" strokeweight=".5pt"/>
            </v:group>
            <v:shape id="Text Box 30" o:spid="_x0000_s1039" type="#_x0000_t202" style="position:absolute;top:20097;width:10795;height:2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TcUA&#10;AADbAAAADwAAAGRycy9kb3ducmV2LnhtbESPQWsCMRSE7wX/Q3hCL6Vma7Utq1GKUNjDXtRS6O2x&#10;ed0sbl7WJK7bf28EweMwM98wy/VgW9GTD41jBS+TDARx5XTDtYLv/dfzB4gQkTW2jknBPwVYr0YP&#10;S8y1O/OW+l2sRYJwyFGBibHLpQyVIYth4jri5P05bzEm6WupPZ4T3LZymmVv0mLDacFgRxtD1WF3&#10;sgr6n2Kmt72J/mlTFllxKI/vv6VSj+PhcwEi0hDv4Vu70Ape53D9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9dNxQAAANsAAAAPAAAAAAAAAAAAAAAAAJgCAABkcnMv&#10;ZG93bnJldi54bWxQSwUGAAAAAAQABAD1AAAAigMAAAAA&#10;" filled="f" stroked="f" strokeweight=".5pt">
              <v:textbox>
                <w:txbxContent>
                  <w:p w:rsidR="00B17281" w:rsidRPr="00612134" w:rsidRDefault="00B17281" w:rsidP="00906871">
                    <w:pPr>
                      <w:rPr>
                        <w:rFonts w:ascii="Times New Roman" w:hAnsi="Times New Roman"/>
                        <w:i/>
                      </w:rPr>
                    </w:pPr>
                    <w:r w:rsidRPr="00612134">
                      <w:rPr>
                        <w:rFonts w:ascii="Times New Roman" w:hAnsi="Times New Roman"/>
                        <w:i/>
                      </w:rPr>
                      <w:t>laiks</w:t>
                    </w:r>
                  </w:p>
                </w:txbxContent>
              </v:textbox>
            </v:shape>
            <w10:wrap type="none"/>
            <w10:anchorlock/>
          </v:group>
        </w:pict>
      </w:r>
    </w:p>
    <w:p w:rsidR="009B10A4" w:rsidRPr="004A4736" w:rsidRDefault="009B10A4" w:rsidP="001B699C">
      <w:pPr>
        <w:keepNext/>
        <w:spacing w:after="0" w:line="240" w:lineRule="auto"/>
        <w:jc w:val="both"/>
        <w:rPr>
          <w:rFonts w:ascii="Times New Roman" w:hAnsi="Times New Roman"/>
          <w:sz w:val="16"/>
          <w:szCs w:val="26"/>
        </w:rPr>
      </w:pPr>
    </w:p>
    <w:p w:rsidR="009B10A4" w:rsidRPr="004A4736" w:rsidRDefault="009B10A4" w:rsidP="008B78AB">
      <w:pPr>
        <w:spacing w:after="0" w:line="240" w:lineRule="auto"/>
        <w:ind w:firstLine="426"/>
        <w:jc w:val="both"/>
        <w:rPr>
          <w:rFonts w:ascii="Times New Roman" w:hAnsi="Times New Roman"/>
          <w:sz w:val="26"/>
          <w:szCs w:val="26"/>
        </w:rPr>
      </w:pPr>
      <w:r w:rsidRPr="004A4736">
        <w:rPr>
          <w:rFonts w:ascii="Times New Roman" w:hAnsi="Times New Roman"/>
          <w:sz w:val="26"/>
          <w:szCs w:val="26"/>
        </w:rPr>
        <w:t>Ar laiku pastāv iespēja, ka investors var izvēlēties pārvaldīt savu biznesu ārzemēs, izmantojot jau Latvijā sniegtos pakalpojumus, piemēram, juridiskos, grāmatvedības, apdrošināšanas u.c. pakalpojumus. Nākamie soļi ir reālās uzņēmējdarbības uzsākšana – pakalpojumu sniegšana, piemēram, loģistika, vairumtirdzniecība vai arī ražotņu atvēršana. Šādai shēmai no investora viedokļa ir svarīgi priekšnosacījumi – skaidrs tiesiskais regulējums, droša un uzņēmējdarbībai draudzīga vide u.c. faktori.</w:t>
      </w:r>
    </w:p>
    <w:p w:rsidR="009B10A4" w:rsidRPr="004A4736" w:rsidRDefault="009B10A4" w:rsidP="008B78AB">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Attiecīgās Imigrācijas likuma normas ir spēkā tikai trīs gadus, bet jau pašreiz redzams, ka investori vai viņa ģimenes locekļi, kas saņēmuši TUA, iesaistās saimnieciskajā darbībā. </w:t>
      </w:r>
    </w:p>
    <w:p w:rsidR="009B10A4" w:rsidRPr="004A4736" w:rsidRDefault="009B10A4" w:rsidP="001B272C">
      <w:pPr>
        <w:spacing w:after="0" w:line="240" w:lineRule="auto"/>
        <w:ind w:firstLine="426"/>
        <w:jc w:val="both"/>
        <w:rPr>
          <w:rFonts w:ascii="Times New Roman" w:hAnsi="Times New Roman"/>
        </w:rPr>
      </w:pPr>
    </w:p>
    <w:p w:rsidR="009B10A4" w:rsidRPr="004A4736" w:rsidRDefault="009B10A4" w:rsidP="001B272C">
      <w:pPr>
        <w:spacing w:after="0" w:line="240" w:lineRule="auto"/>
        <w:ind w:firstLine="426"/>
        <w:jc w:val="both"/>
        <w:rPr>
          <w:rFonts w:ascii="Times New Roman" w:hAnsi="Times New Roman"/>
        </w:rPr>
      </w:pPr>
    </w:p>
    <w:p w:rsidR="009B10A4" w:rsidRPr="004A4736" w:rsidRDefault="009B10A4" w:rsidP="00C84CA0">
      <w:pPr>
        <w:pStyle w:val="Heading1"/>
        <w:spacing w:before="0" w:after="120" w:line="240" w:lineRule="auto"/>
        <w:rPr>
          <w:rFonts w:ascii="Times New Roman" w:hAnsi="Times New Roman"/>
          <w:color w:val="auto"/>
        </w:rPr>
      </w:pPr>
      <w:bookmarkStart w:id="25" w:name="_Toc366612111"/>
      <w:r w:rsidRPr="004A4736">
        <w:rPr>
          <w:rFonts w:ascii="Times New Roman" w:hAnsi="Times New Roman"/>
          <w:color w:val="auto"/>
        </w:rPr>
        <w:t>8. Ietekme uz finanšu sektoru</w:t>
      </w:r>
      <w:bookmarkEnd w:id="25"/>
    </w:p>
    <w:p w:rsidR="009B10A4" w:rsidRPr="004A4736" w:rsidRDefault="009B10A4" w:rsidP="005E0663">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Vērtējot finanšu sektora ieguvumus no attiecīgajām Imigrācijas likuma normām, jāmin, ka kredītiestādēs kā obligātie starpnieki TUA saņemšanas procesā (gan pieņemot subordinēto aizdevumu, gan apkalpojot nekustamā īpašuma darījuma kontu), iegūst gan jaunus klientus, gan vērā ņemamu aktīvu pieplūdumu. </w:t>
      </w:r>
    </w:p>
    <w:p w:rsidR="009B10A4" w:rsidRPr="004A4736" w:rsidRDefault="009B10A4" w:rsidP="005E0663">
      <w:pPr>
        <w:spacing w:after="0" w:line="240" w:lineRule="auto"/>
        <w:ind w:firstLine="426"/>
        <w:jc w:val="both"/>
        <w:rPr>
          <w:rFonts w:ascii="Times New Roman" w:hAnsi="Times New Roman"/>
          <w:sz w:val="26"/>
          <w:szCs w:val="26"/>
        </w:rPr>
      </w:pPr>
      <w:r w:rsidRPr="004A4736">
        <w:rPr>
          <w:rFonts w:ascii="Times New Roman" w:hAnsi="Times New Roman"/>
          <w:sz w:val="26"/>
          <w:szCs w:val="26"/>
        </w:rPr>
        <w:t>Attiecīgās Imigrācijas likuma izmaiņas deva iespēju attīstīt un tirgū aktīvi piedāvāt iepriekš maz pieprasīto pakalpojumu – subordinēto aizdevumu, kā rezultātā, kredītiestādēm sniedzot iespēju paplašināt potenciālo klientu loku.</w:t>
      </w:r>
    </w:p>
    <w:p w:rsidR="009B10A4" w:rsidRPr="004A4736" w:rsidRDefault="009B10A4" w:rsidP="005E0663">
      <w:pPr>
        <w:spacing w:after="0" w:line="240" w:lineRule="auto"/>
        <w:ind w:firstLine="426"/>
        <w:jc w:val="both"/>
        <w:rPr>
          <w:rFonts w:ascii="Times New Roman" w:hAnsi="Times New Roman"/>
          <w:sz w:val="26"/>
          <w:szCs w:val="26"/>
        </w:rPr>
      </w:pPr>
      <w:r w:rsidRPr="004A4736">
        <w:rPr>
          <w:rFonts w:ascii="Times New Roman" w:hAnsi="Times New Roman"/>
          <w:sz w:val="26"/>
          <w:szCs w:val="26"/>
        </w:rPr>
        <w:t>Piesaistītos līdzekļus kredītiestādes atgriež apgrozījumā, izsniedzot kredītus, t.i. attīsta kreditēšanas sfēru un ļauj naudai strādāt tautsaimniecības interesēs.</w:t>
      </w:r>
    </w:p>
    <w:p w:rsidR="009B10A4" w:rsidRPr="004A4736" w:rsidRDefault="009B10A4" w:rsidP="005E0663">
      <w:pPr>
        <w:spacing w:after="0" w:line="240" w:lineRule="auto"/>
        <w:ind w:firstLine="426"/>
        <w:jc w:val="both"/>
        <w:rPr>
          <w:rFonts w:ascii="Times New Roman" w:hAnsi="Times New Roman"/>
          <w:sz w:val="26"/>
          <w:szCs w:val="26"/>
        </w:rPr>
      </w:pPr>
      <w:r w:rsidRPr="004A4736">
        <w:rPr>
          <w:rFonts w:ascii="Times New Roman" w:hAnsi="Times New Roman"/>
          <w:sz w:val="26"/>
          <w:szCs w:val="26"/>
        </w:rPr>
        <w:t>Palielinoties piesaistītajam kapitālam, parādās iespēja refinansēt daļu no sliktajiem un kavētajiem kredītiem – tas nozīmē, ka to īpatsvaram parādās tendence samazināties, kā arī uzlabojas kredītiestāžu kapitāla pietiekamības rādītāji.</w:t>
      </w:r>
    </w:p>
    <w:p w:rsidR="009B10A4" w:rsidRPr="004A4736" w:rsidRDefault="009B10A4" w:rsidP="003472BA">
      <w:pPr>
        <w:spacing w:after="0" w:line="240" w:lineRule="auto"/>
        <w:ind w:firstLine="426"/>
        <w:jc w:val="both"/>
        <w:rPr>
          <w:rFonts w:ascii="Times New Roman" w:hAnsi="Times New Roman"/>
          <w:sz w:val="26"/>
          <w:szCs w:val="26"/>
        </w:rPr>
      </w:pPr>
      <w:r w:rsidRPr="004A4736">
        <w:rPr>
          <w:rFonts w:ascii="Times New Roman" w:hAnsi="Times New Roman"/>
          <w:sz w:val="26"/>
          <w:szCs w:val="26"/>
        </w:rPr>
        <w:t>Subordinētais kapitāls (pakārtotās saistības) tiek izmantotas tikai otrā līmeņa kapitālā (</w:t>
      </w:r>
      <w:proofErr w:type="spellStart"/>
      <w:r w:rsidRPr="004A4736">
        <w:rPr>
          <w:rFonts w:ascii="Times New Roman" w:hAnsi="Times New Roman"/>
          <w:i/>
          <w:sz w:val="26"/>
          <w:szCs w:val="26"/>
        </w:rPr>
        <w:t>Tier</w:t>
      </w:r>
      <w:proofErr w:type="spellEnd"/>
      <w:r w:rsidRPr="004A4736">
        <w:rPr>
          <w:rFonts w:ascii="Times New Roman" w:hAnsi="Times New Roman"/>
          <w:i/>
          <w:sz w:val="26"/>
          <w:szCs w:val="26"/>
        </w:rPr>
        <w:t xml:space="preserve"> 2 </w:t>
      </w:r>
      <w:proofErr w:type="spellStart"/>
      <w:r w:rsidRPr="004A4736">
        <w:rPr>
          <w:rFonts w:ascii="Times New Roman" w:hAnsi="Times New Roman"/>
          <w:i/>
          <w:sz w:val="26"/>
          <w:szCs w:val="26"/>
        </w:rPr>
        <w:t>Capital</w:t>
      </w:r>
      <w:proofErr w:type="spellEnd"/>
      <w:r w:rsidRPr="004A4736">
        <w:rPr>
          <w:rFonts w:ascii="Times New Roman" w:hAnsi="Times New Roman"/>
          <w:sz w:val="26"/>
          <w:szCs w:val="26"/>
        </w:rPr>
        <w:t xml:space="preserve">) un tiek ņemts vērā kredītiestādes kapitāla pietiekamības aprēķinā. Tādējādi tas tiek izmantots attiecīgās bankas un visas banku sistēmas risku mazināšanai (pieaug kapitāla pietiekamība) un attiecīgi palielinās iespēja bankām izsniegt kredītus. Banku kreditēšanas politika saglabājas – tās izsniedz kredītus, izvērtējot aizņēmējam piemītošos riskus un kredīta atmaksas nodrošinājumu. </w:t>
      </w:r>
    </w:p>
    <w:p w:rsidR="009B10A4" w:rsidRPr="004A4736" w:rsidRDefault="009B10A4" w:rsidP="003472BA">
      <w:pPr>
        <w:spacing w:after="0" w:line="240" w:lineRule="auto"/>
        <w:ind w:firstLine="426"/>
        <w:jc w:val="both"/>
        <w:rPr>
          <w:rFonts w:ascii="Times New Roman" w:hAnsi="Times New Roman"/>
          <w:sz w:val="26"/>
          <w:szCs w:val="26"/>
        </w:rPr>
      </w:pPr>
      <w:r w:rsidRPr="004A4736">
        <w:rPr>
          <w:rFonts w:ascii="Times New Roman" w:hAnsi="Times New Roman"/>
          <w:sz w:val="26"/>
          <w:szCs w:val="26"/>
        </w:rPr>
        <w:t>Imigrācijas likuma normas ir pozitīvi ietekmējušas kredītiestāžu kapitāla bāzi, sevišķi, jāuzsver, ka tās palīdzējušas piesaistīt kapitālu apstākļos, kad kapitāls praktiski nav pieejams tiešo investīciju veidā. Atsevišķām kredītiestādēm piesaistīto pakārtoto saistību apjoms pieaudzis līdz pat 70%</w:t>
      </w:r>
      <w:r w:rsidRPr="004A4736">
        <w:rPr>
          <w:rStyle w:val="FootnoteReference"/>
          <w:rFonts w:ascii="Times New Roman" w:hAnsi="Times New Roman"/>
          <w:sz w:val="26"/>
          <w:szCs w:val="26"/>
        </w:rPr>
        <w:footnoteReference w:id="11"/>
      </w:r>
      <w:r w:rsidRPr="004A4736">
        <w:rPr>
          <w:rFonts w:ascii="Times New Roman" w:hAnsi="Times New Roman"/>
          <w:sz w:val="26"/>
          <w:szCs w:val="26"/>
        </w:rPr>
        <w:t xml:space="preserve">.   </w:t>
      </w:r>
    </w:p>
    <w:p w:rsidR="005436B6" w:rsidRDefault="005436B6" w:rsidP="00AA72B9">
      <w:pPr>
        <w:spacing w:after="60" w:line="240" w:lineRule="auto"/>
        <w:jc w:val="right"/>
        <w:rPr>
          <w:rFonts w:ascii="Times New Roman" w:hAnsi="Times New Roman"/>
          <w:sz w:val="26"/>
          <w:szCs w:val="26"/>
        </w:rPr>
      </w:pPr>
    </w:p>
    <w:p w:rsidR="005436B6" w:rsidRDefault="005436B6" w:rsidP="00AA72B9">
      <w:pPr>
        <w:spacing w:after="60" w:line="240" w:lineRule="auto"/>
        <w:jc w:val="right"/>
        <w:rPr>
          <w:rFonts w:ascii="Times New Roman" w:hAnsi="Times New Roman"/>
          <w:sz w:val="26"/>
          <w:szCs w:val="26"/>
        </w:rPr>
      </w:pPr>
    </w:p>
    <w:p w:rsidR="005436B6" w:rsidRDefault="005436B6" w:rsidP="00AA72B9">
      <w:pPr>
        <w:spacing w:after="60" w:line="240" w:lineRule="auto"/>
        <w:jc w:val="right"/>
        <w:rPr>
          <w:rFonts w:ascii="Times New Roman" w:hAnsi="Times New Roman"/>
          <w:sz w:val="26"/>
          <w:szCs w:val="26"/>
        </w:rPr>
      </w:pPr>
    </w:p>
    <w:p w:rsidR="005436B6" w:rsidRDefault="005436B6" w:rsidP="00AA72B9">
      <w:pPr>
        <w:spacing w:after="60" w:line="240" w:lineRule="auto"/>
        <w:jc w:val="right"/>
        <w:rPr>
          <w:rFonts w:ascii="Times New Roman" w:hAnsi="Times New Roman"/>
          <w:sz w:val="26"/>
          <w:szCs w:val="26"/>
        </w:rPr>
      </w:pPr>
    </w:p>
    <w:p w:rsidR="005436B6" w:rsidRDefault="005436B6" w:rsidP="00AA72B9">
      <w:pPr>
        <w:spacing w:after="60" w:line="240" w:lineRule="auto"/>
        <w:jc w:val="right"/>
        <w:rPr>
          <w:rFonts w:ascii="Times New Roman" w:hAnsi="Times New Roman"/>
          <w:sz w:val="26"/>
          <w:szCs w:val="26"/>
        </w:rPr>
      </w:pPr>
    </w:p>
    <w:p w:rsidR="005436B6" w:rsidRDefault="005436B6" w:rsidP="00AA72B9">
      <w:pPr>
        <w:spacing w:after="60" w:line="240" w:lineRule="auto"/>
        <w:jc w:val="right"/>
        <w:rPr>
          <w:rFonts w:ascii="Times New Roman" w:hAnsi="Times New Roman"/>
          <w:sz w:val="26"/>
          <w:szCs w:val="26"/>
        </w:rPr>
      </w:pPr>
    </w:p>
    <w:p w:rsidR="005436B6" w:rsidRDefault="005436B6" w:rsidP="00AA72B9">
      <w:pPr>
        <w:spacing w:after="60" w:line="240" w:lineRule="auto"/>
        <w:jc w:val="right"/>
        <w:rPr>
          <w:rFonts w:ascii="Times New Roman" w:hAnsi="Times New Roman"/>
          <w:sz w:val="26"/>
          <w:szCs w:val="26"/>
        </w:rPr>
      </w:pPr>
    </w:p>
    <w:p w:rsidR="005436B6" w:rsidRDefault="005436B6" w:rsidP="00AA72B9">
      <w:pPr>
        <w:spacing w:after="60" w:line="240" w:lineRule="auto"/>
        <w:jc w:val="right"/>
        <w:rPr>
          <w:rFonts w:ascii="Times New Roman" w:hAnsi="Times New Roman"/>
          <w:sz w:val="26"/>
          <w:szCs w:val="26"/>
        </w:rPr>
      </w:pPr>
    </w:p>
    <w:p w:rsidR="005436B6" w:rsidRDefault="005436B6" w:rsidP="00AA72B9">
      <w:pPr>
        <w:spacing w:after="60" w:line="240" w:lineRule="auto"/>
        <w:jc w:val="right"/>
        <w:rPr>
          <w:rFonts w:ascii="Times New Roman" w:hAnsi="Times New Roman"/>
          <w:sz w:val="26"/>
          <w:szCs w:val="26"/>
        </w:rPr>
      </w:pPr>
    </w:p>
    <w:p w:rsidR="005436B6" w:rsidRDefault="005436B6" w:rsidP="00AA72B9">
      <w:pPr>
        <w:spacing w:after="60" w:line="240" w:lineRule="auto"/>
        <w:jc w:val="right"/>
        <w:rPr>
          <w:rFonts w:ascii="Times New Roman" w:hAnsi="Times New Roman"/>
          <w:sz w:val="26"/>
          <w:szCs w:val="26"/>
        </w:rPr>
      </w:pPr>
    </w:p>
    <w:p w:rsidR="005436B6" w:rsidRDefault="005436B6" w:rsidP="00AA72B9">
      <w:pPr>
        <w:spacing w:after="60" w:line="240" w:lineRule="auto"/>
        <w:jc w:val="right"/>
        <w:rPr>
          <w:rFonts w:ascii="Times New Roman" w:hAnsi="Times New Roman"/>
          <w:sz w:val="26"/>
          <w:szCs w:val="26"/>
        </w:rPr>
      </w:pPr>
    </w:p>
    <w:p w:rsidR="00327CF1" w:rsidRDefault="009B10A4" w:rsidP="00AA72B9">
      <w:pPr>
        <w:spacing w:after="60" w:line="240" w:lineRule="auto"/>
        <w:jc w:val="right"/>
        <w:rPr>
          <w:rFonts w:ascii="Times New Roman" w:hAnsi="Times New Roman"/>
          <w:sz w:val="26"/>
          <w:szCs w:val="26"/>
        </w:rPr>
      </w:pPr>
      <w:r w:rsidRPr="004A4736">
        <w:rPr>
          <w:rFonts w:ascii="Times New Roman" w:hAnsi="Times New Roman"/>
          <w:sz w:val="26"/>
          <w:szCs w:val="26"/>
        </w:rPr>
        <w:t>14.attēls</w:t>
      </w:r>
    </w:p>
    <w:p w:rsidR="005436B6" w:rsidRDefault="005436B6" w:rsidP="00AA72B9">
      <w:pPr>
        <w:spacing w:after="60" w:line="240" w:lineRule="auto"/>
        <w:jc w:val="right"/>
        <w:rPr>
          <w:rFonts w:ascii="Times New Roman" w:hAnsi="Times New Roman"/>
          <w:sz w:val="26"/>
          <w:szCs w:val="26"/>
        </w:rPr>
      </w:pPr>
    </w:p>
    <w:p w:rsidR="009B10A4" w:rsidRPr="004A4736" w:rsidRDefault="009B1072" w:rsidP="00327CF1">
      <w:pPr>
        <w:tabs>
          <w:tab w:val="left" w:pos="8640"/>
        </w:tabs>
        <w:rPr>
          <w:rFonts w:ascii="Times New Roman" w:hAnsi="Times New Roman"/>
          <w:sz w:val="26"/>
          <w:szCs w:val="26"/>
        </w:rPr>
      </w:pPr>
      <w:r w:rsidRPr="004A4736">
        <w:rPr>
          <w:noProof/>
          <w:lang w:eastAsia="lv-LV"/>
        </w:rPr>
        <w:drawing>
          <wp:inline distT="0" distB="0" distL="0" distR="0">
            <wp:extent cx="6155255" cy="256789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9657" cy="2569731"/>
                    </a:xfrm>
                    <a:prstGeom prst="rect">
                      <a:avLst/>
                    </a:prstGeom>
                    <a:noFill/>
                    <a:ln>
                      <a:noFill/>
                    </a:ln>
                  </pic:spPr>
                </pic:pic>
              </a:graphicData>
            </a:graphic>
          </wp:inline>
        </w:drawing>
      </w:r>
    </w:p>
    <w:p w:rsidR="009B10A4" w:rsidRPr="004A4736" w:rsidRDefault="009B10A4" w:rsidP="00A15623">
      <w:pPr>
        <w:spacing w:after="0" w:line="240" w:lineRule="auto"/>
        <w:ind w:firstLine="426"/>
        <w:jc w:val="both"/>
        <w:rPr>
          <w:rFonts w:ascii="Times New Roman" w:hAnsi="Times New Roman"/>
          <w:sz w:val="26"/>
          <w:szCs w:val="26"/>
        </w:rPr>
      </w:pPr>
      <w:r w:rsidRPr="004A4736">
        <w:rPr>
          <w:rFonts w:ascii="Times New Roman" w:hAnsi="Times New Roman"/>
          <w:sz w:val="26"/>
          <w:szCs w:val="26"/>
        </w:rPr>
        <w:t>Attiecībā uz kredītiestāžu izsniegto hipotekāro kredītu amortizāciju (samazinājumu), jānorāda, ka attiecīgās Imigrācijas likuma normas būtiski ietekmē gan kredītu plānotās (pielīgtās) atmaksas, gan atmaksas ar tiesvedības procesu starpniecību. Šajā kontekstā ir precīzi grūti noteikt ārvalstniekiem, kā arī tieši attiecīgo Imigrācijas likuma normu ietvaros pārdoto īpašumu proporciju, tomēr šo likumu normu ietekme ir nenoliedzama, jo atsevišķām kredītiestādēm laikā no 2010.-2013.gadam rezidentiem izsniegtie hipotekārie kredīti ir samazinājušies par 25%</w:t>
      </w:r>
      <w:r w:rsidRPr="004A4736">
        <w:rPr>
          <w:rStyle w:val="FootnoteReference"/>
          <w:rFonts w:ascii="Times New Roman" w:hAnsi="Times New Roman"/>
          <w:sz w:val="26"/>
          <w:szCs w:val="26"/>
        </w:rPr>
        <w:footnoteReference w:id="12"/>
      </w:r>
      <w:r w:rsidRPr="004A4736">
        <w:rPr>
          <w:rFonts w:ascii="Times New Roman" w:hAnsi="Times New Roman"/>
          <w:sz w:val="26"/>
          <w:szCs w:val="26"/>
        </w:rPr>
        <w:t>. Nekustamo īpašumu attīstītāju skaits, kuriem tā ir pamatdarbība, Latvijas tirgū ir salīdzinoši nedaudz, bet, pateicoties arī attiecīgajām Imigrācijas likuma normām, turpina ieguldīt attīstības projektos. Savukārt, komersantiem, kuri savu darbību pārtrauca un to pārvaldītus pabeidz (īsteno), atmaksājot līdzekļus bankām, tiek dota iespēja samazināt to saistības un arī aktivizējusi nekustamā īpašuma tirgu.</w:t>
      </w:r>
    </w:p>
    <w:p w:rsidR="009B10A4" w:rsidRPr="004A4736" w:rsidRDefault="009B10A4" w:rsidP="00426FF6">
      <w:pPr>
        <w:spacing w:after="0" w:line="240" w:lineRule="auto"/>
        <w:ind w:firstLine="426"/>
        <w:jc w:val="both"/>
        <w:rPr>
          <w:rFonts w:ascii="Times New Roman" w:hAnsi="Times New Roman"/>
          <w:sz w:val="26"/>
          <w:szCs w:val="26"/>
        </w:rPr>
      </w:pPr>
      <w:r w:rsidRPr="004A4736">
        <w:rPr>
          <w:rFonts w:ascii="Times New Roman" w:hAnsi="Times New Roman"/>
          <w:sz w:val="26"/>
          <w:szCs w:val="26"/>
        </w:rPr>
        <w:t>Kopumā vērtējot, šobrīd kapitāla finansējums bankām ir pieejams ļoti ierobežotā apjomā, kas saistīts ar kapitāla atdeves samazināšanos no ieguldījumiem finanšu sektorā, tāpēc kredītiestādēm ir ļoti būtiski saglabāt attiecīgās Imigrācijas likuma normas un nesamazināt iespējas to ietvaros piesaistīt kapitālu kredītiestādēm. Minētais attiecināms arī uz minimālo investīciju summu, kas veicamas Latvijā reģistrētas kredītiestādes</w:t>
      </w:r>
      <w:r w:rsidRPr="004A4736">
        <w:rPr>
          <w:rFonts w:ascii="Times New Roman" w:hAnsi="Times New Roman"/>
        </w:rPr>
        <w:t xml:space="preserve"> </w:t>
      </w:r>
      <w:r w:rsidRPr="004A4736">
        <w:rPr>
          <w:rFonts w:ascii="Times New Roman" w:hAnsi="Times New Roman"/>
          <w:sz w:val="26"/>
          <w:szCs w:val="26"/>
        </w:rPr>
        <w:t>subordinētajā kapitālā</w:t>
      </w:r>
      <w:r w:rsidRPr="004A4736">
        <w:rPr>
          <w:rStyle w:val="FootnoteReference"/>
          <w:rFonts w:ascii="Times New Roman" w:hAnsi="Times New Roman"/>
          <w:sz w:val="26"/>
          <w:szCs w:val="26"/>
        </w:rPr>
        <w:footnoteReference w:id="13"/>
      </w:r>
      <w:r w:rsidRPr="004A4736">
        <w:rPr>
          <w:rFonts w:ascii="Times New Roman" w:hAnsi="Times New Roman"/>
          <w:sz w:val="26"/>
          <w:szCs w:val="26"/>
        </w:rPr>
        <w:t>.</w:t>
      </w:r>
    </w:p>
    <w:p w:rsidR="009B10A4" w:rsidRPr="004A4736" w:rsidRDefault="009B10A4" w:rsidP="005E0663">
      <w:pPr>
        <w:pStyle w:val="Heading1"/>
        <w:spacing w:before="0" w:line="240" w:lineRule="auto"/>
        <w:rPr>
          <w:rFonts w:ascii="Times New Roman" w:hAnsi="Times New Roman"/>
          <w:color w:val="auto"/>
          <w:sz w:val="22"/>
          <w:szCs w:val="24"/>
        </w:rPr>
      </w:pPr>
    </w:p>
    <w:p w:rsidR="009B10A4" w:rsidRPr="004A4736" w:rsidRDefault="009B10A4" w:rsidP="005E0663">
      <w:pPr>
        <w:spacing w:after="0" w:line="240" w:lineRule="auto"/>
        <w:rPr>
          <w:szCs w:val="24"/>
        </w:rPr>
      </w:pPr>
    </w:p>
    <w:p w:rsidR="009B10A4" w:rsidRPr="004A4736" w:rsidRDefault="009B10A4" w:rsidP="00E036FA">
      <w:pPr>
        <w:pStyle w:val="Heading1"/>
        <w:spacing w:before="0" w:line="240" w:lineRule="auto"/>
        <w:rPr>
          <w:rFonts w:ascii="Times New Roman" w:hAnsi="Times New Roman"/>
          <w:color w:val="auto"/>
        </w:rPr>
      </w:pPr>
      <w:bookmarkStart w:id="26" w:name="_Toc366612112"/>
      <w:r w:rsidRPr="004A4736">
        <w:rPr>
          <w:rFonts w:ascii="Times New Roman" w:hAnsi="Times New Roman"/>
          <w:color w:val="auto"/>
        </w:rPr>
        <w:t>9. Ietekme uz valsts un pašvaldību budžetiem</w:t>
      </w:r>
      <w:bookmarkEnd w:id="26"/>
    </w:p>
    <w:p w:rsidR="009B10A4" w:rsidRPr="004A4736" w:rsidRDefault="009B10A4" w:rsidP="00464DF0">
      <w:pPr>
        <w:spacing w:after="0" w:line="240" w:lineRule="auto"/>
        <w:jc w:val="both"/>
        <w:rPr>
          <w:rFonts w:ascii="Times New Roman" w:hAnsi="Times New Roman"/>
          <w:sz w:val="26"/>
          <w:szCs w:val="26"/>
        </w:rPr>
      </w:pPr>
    </w:p>
    <w:p w:rsidR="009B10A4" w:rsidRPr="004A4736" w:rsidRDefault="009B10A4" w:rsidP="006C3362">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Arī uz valsts budžetu ir vērtējama gan tiešā, gan pakārtotā ietekme. Tiešā ietekme ir saistīta ar visiem maksājumiem valsts budžetā, kas ir saistīta ar TUA saņemšanu. </w:t>
      </w:r>
    </w:p>
    <w:p w:rsidR="009B10A4" w:rsidRPr="004A4736" w:rsidRDefault="009B10A4" w:rsidP="006C3362">
      <w:pPr>
        <w:spacing w:after="0" w:line="240" w:lineRule="auto"/>
        <w:ind w:firstLine="426"/>
        <w:jc w:val="both"/>
        <w:rPr>
          <w:rFonts w:ascii="Times New Roman" w:hAnsi="Times New Roman"/>
          <w:sz w:val="26"/>
          <w:szCs w:val="26"/>
        </w:rPr>
      </w:pPr>
      <w:r w:rsidRPr="004A4736">
        <w:rPr>
          <w:rFonts w:ascii="Times New Roman" w:hAnsi="Times New Roman"/>
          <w:sz w:val="26"/>
          <w:szCs w:val="26"/>
        </w:rPr>
        <w:t>Iegādājoties nekustamo īpašumu no Latvijā reģistrētām juridiskām personām, kas nodarbojas ar jaunu nekustamo īpašumu attīstīšanu, veicot pirkumu, tiek maksāts pievienotās vērtības nodoklis. Valsts budžetā iemaksātā summa kopš 2010.gada 1.jūlija indikatīvi veido 36 milj. latu.</w:t>
      </w:r>
    </w:p>
    <w:p w:rsidR="009B10A4" w:rsidRPr="004A4736" w:rsidRDefault="009B10A4" w:rsidP="006C3362">
      <w:pPr>
        <w:spacing w:after="0" w:line="240" w:lineRule="auto"/>
        <w:ind w:firstLine="426"/>
        <w:jc w:val="both"/>
        <w:rPr>
          <w:rFonts w:ascii="Times New Roman" w:hAnsi="Times New Roman"/>
          <w:sz w:val="26"/>
          <w:szCs w:val="26"/>
        </w:rPr>
      </w:pPr>
      <w:r w:rsidRPr="004A4736">
        <w:rPr>
          <w:rFonts w:ascii="Times New Roman" w:hAnsi="Times New Roman"/>
          <w:sz w:val="26"/>
          <w:szCs w:val="26"/>
        </w:rPr>
        <w:t>Nodevas „Par vīzas vai uzturēšanās atļaujas pieprasīšanai nepieciešamo dokumentu izskatīšanu un ar to saistītajiem pakalpojumiem” un „Par īpašuma tiesību nostiprināšanu zemesgrāmatā” iekasētas 7,4 milj. latu apmērā.</w:t>
      </w:r>
    </w:p>
    <w:p w:rsidR="009B10A4" w:rsidRPr="004A4736" w:rsidRDefault="009B10A4" w:rsidP="006C3362">
      <w:pPr>
        <w:spacing w:after="0" w:line="240" w:lineRule="auto"/>
        <w:ind w:firstLine="426"/>
        <w:jc w:val="both"/>
        <w:rPr>
          <w:rFonts w:ascii="Times New Roman" w:hAnsi="Times New Roman"/>
          <w:sz w:val="26"/>
          <w:szCs w:val="26"/>
        </w:rPr>
      </w:pPr>
      <w:r w:rsidRPr="004A4736">
        <w:rPr>
          <w:rFonts w:ascii="Times New Roman" w:hAnsi="Times New Roman"/>
          <w:sz w:val="26"/>
          <w:szCs w:val="26"/>
        </w:rPr>
        <w:t>Turpretim pakārtotā ietekme uz valsts un pašvaldību budžetiem saistīta ar nerezidentu ikdienas tēriņiem, nekustamā īpašuma apsaimniekošanu vai veikto saimniecisko darbību.</w:t>
      </w:r>
    </w:p>
    <w:p w:rsidR="009B10A4" w:rsidRPr="004A4736" w:rsidRDefault="009B10A4" w:rsidP="0069064B">
      <w:pPr>
        <w:spacing w:after="0" w:line="240" w:lineRule="auto"/>
        <w:ind w:firstLine="426"/>
        <w:jc w:val="both"/>
        <w:rPr>
          <w:rFonts w:ascii="Times New Roman" w:hAnsi="Times New Roman"/>
          <w:sz w:val="26"/>
          <w:szCs w:val="26"/>
        </w:rPr>
      </w:pPr>
      <w:bookmarkStart w:id="27" w:name="_Toc340050961"/>
      <w:r w:rsidRPr="004A4736">
        <w:rPr>
          <w:rFonts w:ascii="Times New Roman" w:hAnsi="Times New Roman"/>
          <w:sz w:val="26"/>
          <w:szCs w:val="26"/>
        </w:rPr>
        <w:t>Saskaņā ar pašvaldību sniegto informāciju, izriet, ka nerezidenti – TUA pieteicēji nekustamā īpašuma nodokļa veidā ik gadu pašvaldību budžetos iemaksā konkrētu apjomu, kas, piemēram, 2013.gadā pārsniegts 400 tūkst. latu jeb nedaudz vairāk nekā 0,5% no kopumā valstī iekasētā nekustamā īpašuma nodokļa.</w:t>
      </w:r>
    </w:p>
    <w:p w:rsidR="009B10A4" w:rsidRPr="004A4736" w:rsidRDefault="009B10A4" w:rsidP="00A003DB">
      <w:pPr>
        <w:spacing w:after="0" w:line="240" w:lineRule="auto"/>
        <w:ind w:firstLine="426"/>
        <w:jc w:val="both"/>
        <w:rPr>
          <w:rFonts w:ascii="Times New Roman" w:hAnsi="Times New Roman"/>
          <w:sz w:val="26"/>
          <w:szCs w:val="26"/>
        </w:rPr>
      </w:pPr>
      <w:r w:rsidRPr="004A4736">
        <w:rPr>
          <w:rFonts w:ascii="Times New Roman" w:hAnsi="Times New Roman"/>
          <w:sz w:val="26"/>
          <w:szCs w:val="26"/>
        </w:rPr>
        <w:t>Valsts ieņēmumu dienesta dati par ar TUA pieteicējiem vai viņu ģimenes locekļiem saistīto kapitālsabiedrību – kurās ieņem amatu vai ir kapitāla daļu turētājs, nomaksātajiem nodokļiem saistībā ar veikto saimniecisko darbību apkopoti 5.tabulā. Redzams, ka šajās kapitālsabiedrībās 2013.gada 1.pusgadā tika nomaksāts iedzīvotāju ienākuma nodoklis 18,7 milj. latu apmērā un vei</w:t>
      </w:r>
      <w:r w:rsidR="00C752FF" w:rsidRPr="004A4736">
        <w:rPr>
          <w:rFonts w:ascii="Times New Roman" w:hAnsi="Times New Roman"/>
          <w:sz w:val="26"/>
          <w:szCs w:val="26"/>
        </w:rPr>
        <w:t>ktas</w:t>
      </w:r>
      <w:r w:rsidRPr="004A4736">
        <w:rPr>
          <w:rFonts w:ascii="Times New Roman" w:hAnsi="Times New Roman"/>
          <w:sz w:val="26"/>
          <w:szCs w:val="26"/>
        </w:rPr>
        <w:t xml:space="preserve"> sociālās apdrošināšanas iemaksas 23,9 milj. latu apmērā, kas veidoja caurmērā 3,7% no kopējā šo nodokļu ievākuma valstī. Jāatzīmē, ka valdes locekļi ir ekonomiski visaktīvākā TUA pieteicēju daļa, kas iesaistījusies vēl kādās citās kapitālsabiedrībās – ieņemot amatus vai ieguldot savus līdzekļus, tai skaitā iesaistoties pēc ekonomiskās darbības ievērojamās Latvijas kapitālsabiedrībās. Tā rezultātā, 5.tabulā uzrādītie rezultāti ir ļoti ietekmēti saistībā ar valdes locekļu iekļaušanu attiecināmo datu atlasē</w:t>
      </w:r>
      <w:r w:rsidR="00C752FF" w:rsidRPr="004A4736">
        <w:rPr>
          <w:rFonts w:ascii="Times New Roman" w:hAnsi="Times New Roman"/>
          <w:sz w:val="26"/>
          <w:szCs w:val="26"/>
        </w:rPr>
        <w:t>.</w:t>
      </w:r>
      <w:r w:rsidR="005436B6">
        <w:rPr>
          <w:rFonts w:ascii="Times New Roman" w:hAnsi="Times New Roman"/>
          <w:sz w:val="26"/>
          <w:szCs w:val="26"/>
        </w:rPr>
        <w:t xml:space="preserve"> </w:t>
      </w:r>
      <w:r w:rsidR="00C752FF" w:rsidRPr="004A4736">
        <w:rPr>
          <w:rFonts w:ascii="Times New Roman" w:hAnsi="Times New Roman"/>
          <w:sz w:val="26"/>
          <w:szCs w:val="26"/>
        </w:rPr>
        <w:t>P</w:t>
      </w:r>
      <w:r w:rsidRPr="004A4736">
        <w:rPr>
          <w:rFonts w:ascii="Times New Roman" w:hAnsi="Times New Roman"/>
          <w:sz w:val="26"/>
          <w:szCs w:val="26"/>
        </w:rPr>
        <w:t xml:space="preserve">iemēram, </w:t>
      </w:r>
      <w:r w:rsidR="00C752FF" w:rsidRPr="004A4736">
        <w:rPr>
          <w:rFonts w:ascii="Times New Roman" w:hAnsi="Times New Roman"/>
          <w:sz w:val="26"/>
          <w:szCs w:val="26"/>
        </w:rPr>
        <w:t xml:space="preserve">ar TUA pieteicējiem saistītās </w:t>
      </w:r>
      <w:r w:rsidRPr="004A4736">
        <w:rPr>
          <w:rFonts w:ascii="Times New Roman" w:hAnsi="Times New Roman"/>
          <w:sz w:val="26"/>
          <w:szCs w:val="26"/>
        </w:rPr>
        <w:t>uzņēmuma ienākuma nodokļa iemaksas valsts budžetā 2013.gada 1.pusgadā</w:t>
      </w:r>
      <w:r w:rsidR="00C752FF" w:rsidRPr="004A4736">
        <w:rPr>
          <w:rFonts w:ascii="Times New Roman" w:hAnsi="Times New Roman"/>
          <w:sz w:val="26"/>
          <w:szCs w:val="26"/>
        </w:rPr>
        <w:t xml:space="preserve"> bija 10,3 milj. latu,</w:t>
      </w:r>
      <w:r w:rsidRPr="004A4736">
        <w:rPr>
          <w:rFonts w:ascii="Times New Roman" w:hAnsi="Times New Roman"/>
          <w:sz w:val="26"/>
          <w:szCs w:val="26"/>
        </w:rPr>
        <w:t xml:space="preserve"> no </w:t>
      </w:r>
      <w:r w:rsidR="007B6529" w:rsidRPr="004A4736">
        <w:rPr>
          <w:rFonts w:ascii="Times New Roman" w:hAnsi="Times New Roman"/>
          <w:sz w:val="26"/>
          <w:szCs w:val="26"/>
        </w:rPr>
        <w:t xml:space="preserve">kurām 88% bija </w:t>
      </w:r>
      <w:r w:rsidRPr="004A4736">
        <w:rPr>
          <w:rFonts w:ascii="Times New Roman" w:hAnsi="Times New Roman"/>
          <w:sz w:val="26"/>
          <w:szCs w:val="26"/>
        </w:rPr>
        <w:t xml:space="preserve"> saistītas ar valdes locekļiem</w:t>
      </w:r>
      <w:r w:rsidR="007B6529" w:rsidRPr="004A4736">
        <w:rPr>
          <w:rFonts w:ascii="Times New Roman" w:hAnsi="Times New Roman"/>
          <w:sz w:val="26"/>
          <w:szCs w:val="26"/>
        </w:rPr>
        <w:t xml:space="preserve"> saistītajām kapitālsabiedrībām, </w:t>
      </w:r>
      <w:r w:rsidRPr="004A4736">
        <w:rPr>
          <w:rFonts w:ascii="Times New Roman" w:hAnsi="Times New Roman"/>
          <w:sz w:val="26"/>
          <w:szCs w:val="26"/>
        </w:rPr>
        <w:t>, iedzīvotāju ienākuma nodoklis – 75%, bet sociālās apdrošināšanas iemaksas – 91%. Tādējādi pārējo Imigrācijas likumā noteikto normu gadījumos pieteikto TUA to saņēmēju saistībā esošo kapitālsabiedrību nomaksāto nodokļu ietekme uz valsts budžetu nesasniedz pat 1%.</w:t>
      </w:r>
    </w:p>
    <w:p w:rsidR="009B10A4" w:rsidRPr="004A4736" w:rsidRDefault="009B10A4" w:rsidP="00A003DB">
      <w:pPr>
        <w:spacing w:after="0" w:line="240" w:lineRule="auto"/>
        <w:ind w:firstLine="426"/>
        <w:jc w:val="both"/>
        <w:rPr>
          <w:rFonts w:ascii="Times New Roman" w:hAnsi="Times New Roman"/>
          <w:sz w:val="26"/>
          <w:szCs w:val="26"/>
        </w:rPr>
      </w:pPr>
      <w:r w:rsidRPr="004A4736">
        <w:rPr>
          <w:rFonts w:ascii="Times New Roman" w:hAnsi="Times New Roman"/>
          <w:sz w:val="26"/>
          <w:szCs w:val="26"/>
        </w:rPr>
        <w:t xml:space="preserve">   </w:t>
      </w:r>
    </w:p>
    <w:p w:rsidR="009B10A4" w:rsidRPr="004A4736" w:rsidRDefault="009B10A4" w:rsidP="00304E31">
      <w:pPr>
        <w:spacing w:after="0" w:line="240" w:lineRule="auto"/>
        <w:jc w:val="right"/>
        <w:rPr>
          <w:rFonts w:ascii="Times New Roman" w:hAnsi="Times New Roman"/>
          <w:sz w:val="26"/>
          <w:szCs w:val="26"/>
        </w:rPr>
      </w:pPr>
      <w:r w:rsidRPr="004A4736">
        <w:rPr>
          <w:rFonts w:ascii="Times New Roman" w:hAnsi="Times New Roman"/>
          <w:sz w:val="26"/>
          <w:szCs w:val="26"/>
        </w:rPr>
        <w:t>5.tabula</w:t>
      </w:r>
    </w:p>
    <w:p w:rsidR="009B10A4" w:rsidRPr="004A4736" w:rsidRDefault="009B10A4" w:rsidP="00304E31">
      <w:pPr>
        <w:jc w:val="center"/>
        <w:rPr>
          <w:rFonts w:ascii="Times New Roman" w:hAnsi="Times New Roman"/>
          <w:b/>
          <w:sz w:val="26"/>
          <w:szCs w:val="26"/>
        </w:rPr>
      </w:pPr>
      <w:r w:rsidRPr="004A4736">
        <w:rPr>
          <w:rFonts w:ascii="Times New Roman" w:hAnsi="Times New Roman"/>
          <w:b/>
          <w:sz w:val="24"/>
          <w:szCs w:val="24"/>
        </w:rPr>
        <w:t>Ar TUA pieteicējiem un viņu ģimenes locekļiem saistīto kapitālsabiedrību nomaksātie</w:t>
      </w:r>
      <w:r w:rsidRPr="004A4736">
        <w:rPr>
          <w:rFonts w:ascii="Times New Roman" w:hAnsi="Times New Roman"/>
          <w:b/>
          <w:sz w:val="26"/>
          <w:szCs w:val="26"/>
        </w:rPr>
        <w:t xml:space="preserve"> nodokļi</w:t>
      </w:r>
    </w:p>
    <w:tbl>
      <w:tblPr>
        <w:tblW w:w="9766" w:type="dxa"/>
        <w:tblLayout w:type="fixed"/>
        <w:tblLook w:val="00A0" w:firstRow="1" w:lastRow="0" w:firstColumn="1" w:lastColumn="0" w:noHBand="0" w:noVBand="0"/>
      </w:tblPr>
      <w:tblGrid>
        <w:gridCol w:w="1794"/>
        <w:gridCol w:w="1096"/>
        <w:gridCol w:w="1096"/>
        <w:gridCol w:w="53"/>
        <w:gridCol w:w="857"/>
        <w:gridCol w:w="186"/>
        <w:gridCol w:w="1225"/>
        <w:gridCol w:w="971"/>
        <w:gridCol w:w="912"/>
        <w:gridCol w:w="738"/>
        <w:gridCol w:w="535"/>
        <w:gridCol w:w="303"/>
      </w:tblGrid>
      <w:tr w:rsidR="009B10A4" w:rsidRPr="004A4736" w:rsidTr="000D0903">
        <w:trPr>
          <w:trHeight w:val="315"/>
        </w:trPr>
        <w:tc>
          <w:tcPr>
            <w:tcW w:w="1794" w:type="dxa"/>
            <w:tcBorders>
              <w:top w:val="single" w:sz="8" w:space="0" w:color="auto"/>
              <w:left w:val="nil"/>
              <w:bottom w:val="single" w:sz="8" w:space="0" w:color="auto"/>
              <w:right w:val="nil"/>
            </w:tcBorders>
            <w:noWrap/>
            <w:vAlign w:val="center"/>
          </w:tcPr>
          <w:p w:rsidR="009B10A4" w:rsidRPr="004A4736" w:rsidRDefault="009B10A4" w:rsidP="00BB42CD">
            <w:pPr>
              <w:spacing w:after="0" w:line="240" w:lineRule="auto"/>
              <w:jc w:val="right"/>
              <w:rPr>
                <w:rFonts w:ascii="Times New Roman" w:hAnsi="Times New Roman"/>
                <w:lang w:eastAsia="zh-CN"/>
              </w:rPr>
            </w:pPr>
            <w:r w:rsidRPr="004A4736">
              <w:rPr>
                <w:rFonts w:ascii="Times New Roman" w:hAnsi="Times New Roman"/>
                <w:lang w:eastAsia="zh-CN"/>
              </w:rPr>
              <w:t> </w:t>
            </w:r>
          </w:p>
        </w:tc>
        <w:tc>
          <w:tcPr>
            <w:tcW w:w="4513" w:type="dxa"/>
            <w:gridSpan w:val="6"/>
            <w:tcBorders>
              <w:top w:val="single" w:sz="8" w:space="0" w:color="auto"/>
              <w:left w:val="nil"/>
              <w:bottom w:val="single" w:sz="8" w:space="0" w:color="auto"/>
              <w:right w:val="nil"/>
            </w:tcBorders>
            <w:noWrap/>
            <w:vAlign w:val="center"/>
          </w:tcPr>
          <w:p w:rsidR="009B10A4" w:rsidRPr="004A4736" w:rsidRDefault="009B10A4" w:rsidP="00BB42CD">
            <w:pPr>
              <w:spacing w:after="0" w:line="240" w:lineRule="auto"/>
              <w:jc w:val="center"/>
              <w:rPr>
                <w:rFonts w:ascii="Times New Roman" w:hAnsi="Times New Roman"/>
                <w:lang w:eastAsia="zh-CN"/>
              </w:rPr>
            </w:pPr>
            <w:r w:rsidRPr="004A4736">
              <w:rPr>
                <w:rFonts w:ascii="Times New Roman" w:hAnsi="Times New Roman"/>
                <w:szCs w:val="26"/>
                <w:lang w:eastAsia="zh-CN"/>
              </w:rPr>
              <w:t>Kapitālsabiedrību</w:t>
            </w:r>
            <w:r w:rsidRPr="004A4736">
              <w:rPr>
                <w:rFonts w:ascii="Times New Roman" w:hAnsi="Times New Roman"/>
                <w:b/>
                <w:bCs/>
                <w:lang w:eastAsia="zh-CN"/>
              </w:rPr>
              <w:t xml:space="preserve"> </w:t>
            </w:r>
            <w:r w:rsidRPr="004A4736">
              <w:rPr>
                <w:rFonts w:ascii="Times New Roman" w:hAnsi="Times New Roman"/>
                <w:lang w:eastAsia="zh-CN"/>
              </w:rPr>
              <w:t xml:space="preserve">nomaksātie nodokļi, </w:t>
            </w:r>
          </w:p>
          <w:p w:rsidR="009B10A4" w:rsidRPr="004A4736" w:rsidRDefault="009B10A4" w:rsidP="00BB42CD">
            <w:pPr>
              <w:spacing w:after="0" w:line="240" w:lineRule="auto"/>
              <w:jc w:val="center"/>
              <w:rPr>
                <w:rFonts w:ascii="Times New Roman" w:hAnsi="Times New Roman"/>
                <w:lang w:eastAsia="zh-CN"/>
              </w:rPr>
            </w:pPr>
            <w:r w:rsidRPr="004A4736">
              <w:rPr>
                <w:rFonts w:ascii="Times New Roman" w:hAnsi="Times New Roman"/>
                <w:lang w:eastAsia="zh-CN"/>
              </w:rPr>
              <w:t>tūkst. latu</w:t>
            </w:r>
          </w:p>
        </w:tc>
        <w:tc>
          <w:tcPr>
            <w:tcW w:w="3459" w:type="dxa"/>
            <w:gridSpan w:val="5"/>
            <w:tcBorders>
              <w:top w:val="single" w:sz="8" w:space="0" w:color="auto"/>
              <w:left w:val="nil"/>
              <w:bottom w:val="single" w:sz="8" w:space="0" w:color="auto"/>
              <w:right w:val="nil"/>
            </w:tcBorders>
            <w:noWrap/>
            <w:vAlign w:val="center"/>
          </w:tcPr>
          <w:p w:rsidR="009B10A4" w:rsidRPr="004A4736" w:rsidRDefault="009B10A4" w:rsidP="00BB42CD">
            <w:pPr>
              <w:spacing w:after="0" w:line="240" w:lineRule="auto"/>
              <w:jc w:val="center"/>
              <w:rPr>
                <w:rFonts w:ascii="Times New Roman" w:hAnsi="Times New Roman"/>
                <w:lang w:eastAsia="zh-CN"/>
              </w:rPr>
            </w:pPr>
            <w:r w:rsidRPr="004A4736">
              <w:rPr>
                <w:rFonts w:ascii="Times New Roman" w:hAnsi="Times New Roman"/>
                <w:lang w:eastAsia="zh-CN"/>
              </w:rPr>
              <w:t>% no kopējiem nodokļu ieņēmumiem valsts kopbudžetā</w:t>
            </w:r>
          </w:p>
        </w:tc>
      </w:tr>
      <w:tr w:rsidR="009B10A4" w:rsidRPr="004A4736" w:rsidTr="000D0903">
        <w:trPr>
          <w:trHeight w:val="315"/>
        </w:trPr>
        <w:tc>
          <w:tcPr>
            <w:tcW w:w="1794" w:type="dxa"/>
            <w:tcBorders>
              <w:top w:val="nil"/>
              <w:left w:val="nil"/>
              <w:bottom w:val="single" w:sz="8" w:space="0" w:color="auto"/>
              <w:right w:val="nil"/>
            </w:tcBorders>
            <w:shd w:val="clear" w:color="000000" w:fill="D9D9D9"/>
            <w:noWrap/>
            <w:vAlign w:val="center"/>
          </w:tcPr>
          <w:p w:rsidR="009B10A4" w:rsidRPr="004A4736" w:rsidRDefault="009B10A4" w:rsidP="00BB42CD">
            <w:pPr>
              <w:spacing w:after="0" w:line="240" w:lineRule="auto"/>
              <w:jc w:val="center"/>
              <w:rPr>
                <w:rFonts w:ascii="Times New Roman" w:hAnsi="Times New Roman"/>
                <w:b/>
                <w:bCs/>
                <w:lang w:eastAsia="zh-CN"/>
              </w:rPr>
            </w:pPr>
            <w:r w:rsidRPr="004A4736">
              <w:rPr>
                <w:rFonts w:ascii="Times New Roman" w:hAnsi="Times New Roman"/>
                <w:b/>
                <w:bCs/>
                <w:lang w:eastAsia="zh-CN"/>
              </w:rPr>
              <w:t> </w:t>
            </w:r>
          </w:p>
        </w:tc>
        <w:tc>
          <w:tcPr>
            <w:tcW w:w="1096" w:type="dxa"/>
            <w:tcBorders>
              <w:top w:val="nil"/>
              <w:left w:val="nil"/>
              <w:bottom w:val="single" w:sz="8" w:space="0" w:color="auto"/>
              <w:right w:val="nil"/>
            </w:tcBorders>
            <w:shd w:val="clear" w:color="000000" w:fill="D9D9D9"/>
            <w:noWrap/>
            <w:vAlign w:val="center"/>
          </w:tcPr>
          <w:p w:rsidR="009B10A4" w:rsidRPr="004A4736" w:rsidRDefault="009B10A4" w:rsidP="00BB42CD">
            <w:pPr>
              <w:spacing w:after="0" w:line="240" w:lineRule="auto"/>
              <w:jc w:val="center"/>
              <w:rPr>
                <w:rFonts w:ascii="Times New Roman" w:hAnsi="Times New Roman"/>
                <w:b/>
                <w:bCs/>
                <w:lang w:eastAsia="zh-CN"/>
              </w:rPr>
            </w:pPr>
            <w:r w:rsidRPr="004A4736">
              <w:rPr>
                <w:rFonts w:ascii="Times New Roman" w:hAnsi="Times New Roman"/>
                <w:b/>
                <w:bCs/>
                <w:lang w:val="en-US" w:eastAsia="zh-CN"/>
              </w:rPr>
              <w:t>2010</w:t>
            </w:r>
          </w:p>
        </w:tc>
        <w:tc>
          <w:tcPr>
            <w:tcW w:w="1096" w:type="dxa"/>
            <w:tcBorders>
              <w:top w:val="nil"/>
              <w:left w:val="nil"/>
              <w:bottom w:val="single" w:sz="8" w:space="0" w:color="auto"/>
              <w:right w:val="nil"/>
            </w:tcBorders>
            <w:shd w:val="clear" w:color="000000" w:fill="D9D9D9"/>
            <w:noWrap/>
            <w:vAlign w:val="center"/>
          </w:tcPr>
          <w:p w:rsidR="009B10A4" w:rsidRPr="004A4736" w:rsidRDefault="009B10A4" w:rsidP="00BB42CD">
            <w:pPr>
              <w:spacing w:after="0" w:line="240" w:lineRule="auto"/>
              <w:jc w:val="center"/>
              <w:rPr>
                <w:rFonts w:ascii="Times New Roman" w:hAnsi="Times New Roman"/>
                <w:b/>
                <w:bCs/>
                <w:lang w:eastAsia="zh-CN"/>
              </w:rPr>
            </w:pPr>
            <w:r w:rsidRPr="004A4736">
              <w:rPr>
                <w:rFonts w:ascii="Times New Roman" w:hAnsi="Times New Roman"/>
                <w:b/>
                <w:bCs/>
                <w:lang w:val="en-US" w:eastAsia="zh-CN"/>
              </w:rPr>
              <w:t>2011</w:t>
            </w:r>
          </w:p>
        </w:tc>
        <w:tc>
          <w:tcPr>
            <w:tcW w:w="1096" w:type="dxa"/>
            <w:gridSpan w:val="3"/>
            <w:tcBorders>
              <w:top w:val="nil"/>
              <w:left w:val="nil"/>
              <w:bottom w:val="single" w:sz="8" w:space="0" w:color="auto"/>
              <w:right w:val="nil"/>
            </w:tcBorders>
            <w:shd w:val="clear" w:color="000000" w:fill="D9D9D9"/>
            <w:noWrap/>
            <w:vAlign w:val="center"/>
          </w:tcPr>
          <w:p w:rsidR="009B10A4" w:rsidRPr="004A4736" w:rsidRDefault="009B10A4" w:rsidP="00BB42CD">
            <w:pPr>
              <w:spacing w:after="0" w:line="240" w:lineRule="auto"/>
              <w:jc w:val="center"/>
              <w:rPr>
                <w:rFonts w:ascii="Times New Roman" w:hAnsi="Times New Roman"/>
                <w:b/>
                <w:bCs/>
                <w:lang w:eastAsia="zh-CN"/>
              </w:rPr>
            </w:pPr>
            <w:r w:rsidRPr="004A4736">
              <w:rPr>
                <w:rFonts w:ascii="Times New Roman" w:hAnsi="Times New Roman"/>
                <w:b/>
                <w:bCs/>
                <w:lang w:val="en-US" w:eastAsia="zh-CN"/>
              </w:rPr>
              <w:t>2012</w:t>
            </w:r>
          </w:p>
        </w:tc>
        <w:tc>
          <w:tcPr>
            <w:tcW w:w="1225" w:type="dxa"/>
            <w:tcBorders>
              <w:top w:val="nil"/>
              <w:left w:val="nil"/>
              <w:bottom w:val="single" w:sz="8" w:space="0" w:color="auto"/>
              <w:right w:val="nil"/>
            </w:tcBorders>
            <w:shd w:val="clear" w:color="000000" w:fill="D9D9D9"/>
            <w:vAlign w:val="center"/>
          </w:tcPr>
          <w:p w:rsidR="009B10A4" w:rsidRPr="004A4736" w:rsidRDefault="009B10A4" w:rsidP="00BB42CD">
            <w:pPr>
              <w:spacing w:after="0" w:line="240" w:lineRule="auto"/>
              <w:jc w:val="center"/>
              <w:rPr>
                <w:rFonts w:ascii="Times New Roman" w:hAnsi="Times New Roman"/>
                <w:b/>
                <w:bCs/>
                <w:lang w:val="en-US" w:eastAsia="zh-CN"/>
              </w:rPr>
            </w:pPr>
            <w:r w:rsidRPr="004A4736">
              <w:rPr>
                <w:rFonts w:ascii="Times New Roman" w:hAnsi="Times New Roman"/>
                <w:b/>
                <w:bCs/>
                <w:lang w:val="en-US" w:eastAsia="zh-CN"/>
              </w:rPr>
              <w:t xml:space="preserve">2013 </w:t>
            </w:r>
          </w:p>
          <w:p w:rsidR="009B10A4" w:rsidRPr="004A4736" w:rsidRDefault="009B10A4" w:rsidP="00BB42CD">
            <w:pPr>
              <w:spacing w:after="0" w:line="240" w:lineRule="auto"/>
              <w:jc w:val="center"/>
              <w:rPr>
                <w:rFonts w:ascii="Times New Roman" w:hAnsi="Times New Roman"/>
                <w:b/>
                <w:bCs/>
                <w:lang w:eastAsia="zh-CN"/>
              </w:rPr>
            </w:pPr>
            <w:r w:rsidRPr="004A4736">
              <w:rPr>
                <w:rFonts w:ascii="Times New Roman" w:hAnsi="Times New Roman"/>
                <w:b/>
                <w:bCs/>
                <w:lang w:val="en-US" w:eastAsia="zh-CN"/>
              </w:rPr>
              <w:t>I-VI</w:t>
            </w:r>
          </w:p>
        </w:tc>
        <w:tc>
          <w:tcPr>
            <w:tcW w:w="971" w:type="dxa"/>
            <w:tcBorders>
              <w:top w:val="nil"/>
              <w:left w:val="nil"/>
              <w:bottom w:val="single" w:sz="8" w:space="0" w:color="auto"/>
              <w:right w:val="nil"/>
            </w:tcBorders>
            <w:shd w:val="clear" w:color="000000" w:fill="D9D9D9"/>
            <w:noWrap/>
            <w:vAlign w:val="center"/>
          </w:tcPr>
          <w:p w:rsidR="009B10A4" w:rsidRPr="004A4736" w:rsidRDefault="009B10A4" w:rsidP="00BB42CD">
            <w:pPr>
              <w:spacing w:after="0" w:line="240" w:lineRule="auto"/>
              <w:jc w:val="center"/>
              <w:rPr>
                <w:rFonts w:ascii="Times New Roman" w:hAnsi="Times New Roman"/>
                <w:b/>
                <w:bCs/>
                <w:lang w:eastAsia="zh-CN"/>
              </w:rPr>
            </w:pPr>
            <w:r w:rsidRPr="004A4736">
              <w:rPr>
                <w:rFonts w:ascii="Times New Roman" w:hAnsi="Times New Roman"/>
                <w:b/>
                <w:bCs/>
                <w:lang w:val="en-US" w:eastAsia="zh-CN"/>
              </w:rPr>
              <w:t>2010</w:t>
            </w:r>
          </w:p>
        </w:tc>
        <w:tc>
          <w:tcPr>
            <w:tcW w:w="912" w:type="dxa"/>
            <w:tcBorders>
              <w:top w:val="nil"/>
              <w:left w:val="nil"/>
              <w:bottom w:val="single" w:sz="8" w:space="0" w:color="auto"/>
              <w:right w:val="nil"/>
            </w:tcBorders>
            <w:shd w:val="clear" w:color="000000" w:fill="D9D9D9"/>
            <w:noWrap/>
            <w:vAlign w:val="center"/>
          </w:tcPr>
          <w:p w:rsidR="009B10A4" w:rsidRPr="004A4736" w:rsidRDefault="009B10A4" w:rsidP="00BB42CD">
            <w:pPr>
              <w:spacing w:after="0" w:line="240" w:lineRule="auto"/>
              <w:jc w:val="center"/>
              <w:rPr>
                <w:rFonts w:ascii="Times New Roman" w:hAnsi="Times New Roman"/>
                <w:b/>
                <w:bCs/>
                <w:lang w:eastAsia="zh-CN"/>
              </w:rPr>
            </w:pPr>
            <w:r w:rsidRPr="004A4736">
              <w:rPr>
                <w:rFonts w:ascii="Times New Roman" w:hAnsi="Times New Roman"/>
                <w:b/>
                <w:bCs/>
                <w:lang w:val="en-US" w:eastAsia="zh-CN"/>
              </w:rPr>
              <w:t>2011</w:t>
            </w:r>
          </w:p>
        </w:tc>
        <w:tc>
          <w:tcPr>
            <w:tcW w:w="738" w:type="dxa"/>
            <w:tcBorders>
              <w:top w:val="nil"/>
              <w:left w:val="nil"/>
              <w:bottom w:val="single" w:sz="8" w:space="0" w:color="auto"/>
              <w:right w:val="nil"/>
            </w:tcBorders>
            <w:shd w:val="clear" w:color="000000" w:fill="D9D9D9"/>
            <w:noWrap/>
            <w:vAlign w:val="center"/>
          </w:tcPr>
          <w:p w:rsidR="009B10A4" w:rsidRPr="004A4736" w:rsidRDefault="009B10A4" w:rsidP="00BB42CD">
            <w:pPr>
              <w:spacing w:after="0" w:line="240" w:lineRule="auto"/>
              <w:jc w:val="center"/>
              <w:rPr>
                <w:rFonts w:ascii="Times New Roman" w:hAnsi="Times New Roman"/>
                <w:b/>
                <w:bCs/>
                <w:lang w:eastAsia="zh-CN"/>
              </w:rPr>
            </w:pPr>
            <w:r w:rsidRPr="004A4736">
              <w:rPr>
                <w:rFonts w:ascii="Times New Roman" w:hAnsi="Times New Roman"/>
                <w:b/>
                <w:bCs/>
                <w:lang w:val="en-US" w:eastAsia="zh-CN"/>
              </w:rPr>
              <w:t>2012</w:t>
            </w:r>
          </w:p>
        </w:tc>
        <w:tc>
          <w:tcPr>
            <w:tcW w:w="838" w:type="dxa"/>
            <w:gridSpan w:val="2"/>
            <w:tcBorders>
              <w:top w:val="nil"/>
              <w:left w:val="nil"/>
              <w:bottom w:val="single" w:sz="8" w:space="0" w:color="auto"/>
              <w:right w:val="nil"/>
            </w:tcBorders>
            <w:shd w:val="clear" w:color="000000" w:fill="D9D9D9"/>
            <w:vAlign w:val="center"/>
          </w:tcPr>
          <w:p w:rsidR="009B10A4" w:rsidRPr="004A4736" w:rsidRDefault="009B10A4" w:rsidP="00BB42CD">
            <w:pPr>
              <w:spacing w:after="0" w:line="240" w:lineRule="auto"/>
              <w:jc w:val="center"/>
              <w:rPr>
                <w:rFonts w:ascii="Times New Roman" w:hAnsi="Times New Roman"/>
                <w:b/>
                <w:bCs/>
                <w:lang w:eastAsia="zh-CN"/>
              </w:rPr>
            </w:pPr>
            <w:r w:rsidRPr="004A4736">
              <w:rPr>
                <w:rFonts w:ascii="Times New Roman" w:hAnsi="Times New Roman"/>
                <w:b/>
                <w:bCs/>
                <w:lang w:val="en-US" w:eastAsia="zh-CN"/>
              </w:rPr>
              <w:t>2013 I-VI</w:t>
            </w:r>
          </w:p>
        </w:tc>
      </w:tr>
      <w:tr w:rsidR="009B10A4" w:rsidRPr="004A4736" w:rsidTr="007B6529">
        <w:trPr>
          <w:trHeight w:val="300"/>
        </w:trPr>
        <w:tc>
          <w:tcPr>
            <w:tcW w:w="1794"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rPr>
                <w:rFonts w:ascii="Times New Roman" w:hAnsi="Times New Roman"/>
                <w:lang w:eastAsia="zh-CN"/>
              </w:rPr>
            </w:pPr>
            <w:r w:rsidRPr="004A4736">
              <w:rPr>
                <w:rFonts w:ascii="Times New Roman" w:hAnsi="Times New Roman"/>
                <w:lang w:eastAsia="zh-CN"/>
              </w:rPr>
              <w:t>Uzņēmumu ienākuma nodoklis</w:t>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7 120,0</w:t>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11 427,4</w:t>
            </w:r>
          </w:p>
        </w:tc>
        <w:tc>
          <w:tcPr>
            <w:tcW w:w="1096" w:type="dxa"/>
            <w:gridSpan w:val="3"/>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23 443,8</w:t>
            </w:r>
          </w:p>
        </w:tc>
        <w:tc>
          <w:tcPr>
            <w:tcW w:w="1225"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10 336,9</w:t>
            </w:r>
          </w:p>
        </w:tc>
        <w:tc>
          <w:tcPr>
            <w:tcW w:w="971"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6,3</w:t>
            </w:r>
          </w:p>
        </w:tc>
        <w:tc>
          <w:tcPr>
            <w:tcW w:w="912"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5,8</w:t>
            </w:r>
          </w:p>
        </w:tc>
        <w:tc>
          <w:tcPr>
            <w:tcW w:w="738"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9,6</w:t>
            </w:r>
          </w:p>
        </w:tc>
        <w:tc>
          <w:tcPr>
            <w:tcW w:w="838" w:type="dxa"/>
            <w:gridSpan w:val="2"/>
            <w:tcBorders>
              <w:top w:val="nil"/>
              <w:left w:val="nil"/>
              <w:bottom w:val="nil"/>
              <w:right w:val="nil"/>
            </w:tcBorders>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7,8</w:t>
            </w:r>
          </w:p>
        </w:tc>
      </w:tr>
      <w:tr w:rsidR="009B10A4" w:rsidRPr="004A4736" w:rsidTr="007B6529">
        <w:trPr>
          <w:trHeight w:val="300"/>
        </w:trPr>
        <w:tc>
          <w:tcPr>
            <w:tcW w:w="1794"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rPr>
                <w:rFonts w:ascii="Times New Roman" w:hAnsi="Times New Roman"/>
                <w:lang w:eastAsia="zh-CN"/>
              </w:rPr>
            </w:pPr>
            <w:r w:rsidRPr="004A4736">
              <w:rPr>
                <w:rFonts w:ascii="Times New Roman" w:hAnsi="Times New Roman"/>
                <w:lang w:eastAsia="zh-CN"/>
              </w:rPr>
              <w:t>Iedzīvotāju ienākuma nodoklis</w:t>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24 634,1</w:t>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26 394,7</w:t>
            </w:r>
          </w:p>
        </w:tc>
        <w:tc>
          <w:tcPr>
            <w:tcW w:w="1096" w:type="dxa"/>
            <w:gridSpan w:val="3"/>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29 865,4</w:t>
            </w:r>
          </w:p>
        </w:tc>
        <w:tc>
          <w:tcPr>
            <w:tcW w:w="1225"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18 705,8</w:t>
            </w:r>
          </w:p>
        </w:tc>
        <w:tc>
          <w:tcPr>
            <w:tcW w:w="971"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3,2</w:t>
            </w:r>
          </w:p>
        </w:tc>
        <w:tc>
          <w:tcPr>
            <w:tcW w:w="912"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3,3</w:t>
            </w:r>
          </w:p>
        </w:tc>
        <w:tc>
          <w:tcPr>
            <w:tcW w:w="738"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3,4</w:t>
            </w:r>
          </w:p>
        </w:tc>
        <w:tc>
          <w:tcPr>
            <w:tcW w:w="838" w:type="dxa"/>
            <w:gridSpan w:val="2"/>
            <w:tcBorders>
              <w:top w:val="nil"/>
              <w:left w:val="nil"/>
              <w:bottom w:val="nil"/>
              <w:right w:val="nil"/>
            </w:tcBorders>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4,1</w:t>
            </w:r>
          </w:p>
        </w:tc>
      </w:tr>
      <w:tr w:rsidR="009B10A4" w:rsidRPr="004A4736" w:rsidTr="007B6529">
        <w:trPr>
          <w:trHeight w:val="300"/>
        </w:trPr>
        <w:tc>
          <w:tcPr>
            <w:tcW w:w="1794"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rPr>
                <w:rFonts w:ascii="Times New Roman" w:hAnsi="Times New Roman"/>
                <w:lang w:eastAsia="zh-CN"/>
              </w:rPr>
            </w:pPr>
            <w:r w:rsidRPr="004A4736">
              <w:rPr>
                <w:rFonts w:ascii="Times New Roman" w:hAnsi="Times New Roman"/>
                <w:lang w:eastAsia="zh-CN"/>
              </w:rPr>
              <w:t>Sociālās apdrošināšanas iemaksas</w:t>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35 609,3</w:t>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41 946,1</w:t>
            </w:r>
          </w:p>
        </w:tc>
        <w:tc>
          <w:tcPr>
            <w:tcW w:w="1096" w:type="dxa"/>
            <w:gridSpan w:val="3"/>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48 641,9</w:t>
            </w:r>
          </w:p>
        </w:tc>
        <w:tc>
          <w:tcPr>
            <w:tcW w:w="1225"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23 942,2</w:t>
            </w:r>
          </w:p>
        </w:tc>
        <w:tc>
          <w:tcPr>
            <w:tcW w:w="971"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3,1</w:t>
            </w:r>
          </w:p>
        </w:tc>
        <w:tc>
          <w:tcPr>
            <w:tcW w:w="912"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3,3</w:t>
            </w:r>
          </w:p>
        </w:tc>
        <w:tc>
          <w:tcPr>
            <w:tcW w:w="738"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3,5</w:t>
            </w:r>
          </w:p>
        </w:tc>
        <w:tc>
          <w:tcPr>
            <w:tcW w:w="838" w:type="dxa"/>
            <w:gridSpan w:val="2"/>
            <w:tcBorders>
              <w:top w:val="nil"/>
              <w:left w:val="nil"/>
              <w:bottom w:val="nil"/>
              <w:right w:val="nil"/>
            </w:tcBorders>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3,3</w:t>
            </w:r>
          </w:p>
        </w:tc>
      </w:tr>
      <w:tr w:rsidR="009B10A4" w:rsidRPr="004A4736" w:rsidTr="007B6529">
        <w:trPr>
          <w:trHeight w:val="300"/>
        </w:trPr>
        <w:tc>
          <w:tcPr>
            <w:tcW w:w="1794"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rPr>
                <w:rFonts w:ascii="Times New Roman" w:hAnsi="Times New Roman"/>
                <w:lang w:eastAsia="zh-CN"/>
              </w:rPr>
            </w:pPr>
            <w:r w:rsidRPr="004A4736">
              <w:rPr>
                <w:rFonts w:ascii="Times New Roman" w:hAnsi="Times New Roman"/>
                <w:lang w:eastAsia="zh-CN"/>
              </w:rPr>
              <w:t>Akcīzes nodoklis</w:t>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30 570,6</w:t>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32 876,7</w:t>
            </w:r>
          </w:p>
        </w:tc>
        <w:tc>
          <w:tcPr>
            <w:tcW w:w="1096" w:type="dxa"/>
            <w:gridSpan w:val="3"/>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29 457,9</w:t>
            </w:r>
          </w:p>
        </w:tc>
        <w:tc>
          <w:tcPr>
            <w:tcW w:w="1225"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14 175,6</w:t>
            </w:r>
          </w:p>
        </w:tc>
        <w:tc>
          <w:tcPr>
            <w:tcW w:w="971"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6,7</w:t>
            </w:r>
          </w:p>
        </w:tc>
        <w:tc>
          <w:tcPr>
            <w:tcW w:w="912"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6,8</w:t>
            </w:r>
          </w:p>
        </w:tc>
        <w:tc>
          <w:tcPr>
            <w:tcW w:w="738"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6,0</w:t>
            </w:r>
          </w:p>
        </w:tc>
        <w:tc>
          <w:tcPr>
            <w:tcW w:w="838" w:type="dxa"/>
            <w:gridSpan w:val="2"/>
            <w:tcBorders>
              <w:top w:val="nil"/>
              <w:left w:val="nil"/>
              <w:bottom w:val="nil"/>
              <w:right w:val="nil"/>
            </w:tcBorders>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5,7</w:t>
            </w:r>
          </w:p>
        </w:tc>
      </w:tr>
      <w:tr w:rsidR="009B10A4" w:rsidRPr="004A4736" w:rsidTr="007B6529">
        <w:trPr>
          <w:trHeight w:val="300"/>
        </w:trPr>
        <w:tc>
          <w:tcPr>
            <w:tcW w:w="1794"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rPr>
                <w:rFonts w:ascii="Times New Roman" w:hAnsi="Times New Roman"/>
                <w:lang w:eastAsia="zh-CN"/>
              </w:rPr>
            </w:pPr>
            <w:r w:rsidRPr="004A4736">
              <w:rPr>
                <w:rFonts w:ascii="Times New Roman" w:hAnsi="Times New Roman"/>
                <w:lang w:eastAsia="zh-CN"/>
              </w:rPr>
              <w:t>Transportlīdzekļa ekspluatācijas nodoklis</w:t>
            </w:r>
            <w:r w:rsidRPr="004A4736">
              <w:rPr>
                <w:rStyle w:val="FootnoteReference"/>
                <w:rFonts w:ascii="Times New Roman" w:hAnsi="Times New Roman"/>
                <w:lang w:eastAsia="zh-CN"/>
              </w:rPr>
              <w:footnoteReference w:id="14"/>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0,0</w:t>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179,3</w:t>
            </w:r>
          </w:p>
        </w:tc>
        <w:tc>
          <w:tcPr>
            <w:tcW w:w="1096" w:type="dxa"/>
            <w:gridSpan w:val="3"/>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194,2</w:t>
            </w:r>
          </w:p>
        </w:tc>
        <w:tc>
          <w:tcPr>
            <w:tcW w:w="1225"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67,8</w:t>
            </w:r>
          </w:p>
        </w:tc>
        <w:tc>
          <w:tcPr>
            <w:tcW w:w="971"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n/a</w:t>
            </w:r>
          </w:p>
        </w:tc>
        <w:tc>
          <w:tcPr>
            <w:tcW w:w="912"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0,3</w:t>
            </w:r>
          </w:p>
        </w:tc>
        <w:tc>
          <w:tcPr>
            <w:tcW w:w="738"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0,3</w:t>
            </w:r>
          </w:p>
        </w:tc>
        <w:tc>
          <w:tcPr>
            <w:tcW w:w="838" w:type="dxa"/>
            <w:gridSpan w:val="2"/>
            <w:tcBorders>
              <w:top w:val="nil"/>
              <w:left w:val="nil"/>
              <w:bottom w:val="nil"/>
              <w:right w:val="nil"/>
            </w:tcBorders>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0,2</w:t>
            </w:r>
          </w:p>
        </w:tc>
      </w:tr>
      <w:tr w:rsidR="009B10A4" w:rsidRPr="004A4736" w:rsidTr="007B6529">
        <w:trPr>
          <w:trHeight w:val="300"/>
        </w:trPr>
        <w:tc>
          <w:tcPr>
            <w:tcW w:w="1794"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rPr>
                <w:rFonts w:ascii="Times New Roman" w:hAnsi="Times New Roman"/>
                <w:lang w:eastAsia="zh-CN"/>
              </w:rPr>
            </w:pPr>
            <w:r w:rsidRPr="004A4736">
              <w:rPr>
                <w:rFonts w:ascii="Times New Roman" w:hAnsi="Times New Roman"/>
                <w:lang w:eastAsia="zh-CN"/>
              </w:rPr>
              <w:t>Dabas resursu nodoklis</w:t>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1 148,4</w:t>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588,6</w:t>
            </w:r>
          </w:p>
        </w:tc>
        <w:tc>
          <w:tcPr>
            <w:tcW w:w="1096" w:type="dxa"/>
            <w:gridSpan w:val="3"/>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748,3</w:t>
            </w:r>
          </w:p>
        </w:tc>
        <w:tc>
          <w:tcPr>
            <w:tcW w:w="1225"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550,5</w:t>
            </w:r>
          </w:p>
        </w:tc>
        <w:tc>
          <w:tcPr>
            <w:tcW w:w="971"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13,1</w:t>
            </w:r>
          </w:p>
        </w:tc>
        <w:tc>
          <w:tcPr>
            <w:tcW w:w="912"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5,7</w:t>
            </w:r>
          </w:p>
        </w:tc>
        <w:tc>
          <w:tcPr>
            <w:tcW w:w="738"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6,1</w:t>
            </w:r>
          </w:p>
        </w:tc>
        <w:tc>
          <w:tcPr>
            <w:tcW w:w="838" w:type="dxa"/>
            <w:gridSpan w:val="2"/>
            <w:tcBorders>
              <w:top w:val="nil"/>
              <w:left w:val="nil"/>
              <w:bottom w:val="nil"/>
              <w:right w:val="nil"/>
            </w:tcBorders>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8,2</w:t>
            </w:r>
          </w:p>
        </w:tc>
      </w:tr>
      <w:tr w:rsidR="009B10A4" w:rsidRPr="004A4736" w:rsidTr="007B6529">
        <w:trPr>
          <w:trHeight w:val="300"/>
        </w:trPr>
        <w:tc>
          <w:tcPr>
            <w:tcW w:w="1794"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rPr>
                <w:rFonts w:ascii="Times New Roman" w:hAnsi="Times New Roman"/>
                <w:lang w:eastAsia="zh-CN"/>
              </w:rPr>
            </w:pPr>
            <w:r w:rsidRPr="004A4736">
              <w:rPr>
                <w:rFonts w:ascii="Times New Roman" w:hAnsi="Times New Roman"/>
                <w:lang w:eastAsia="zh-CN"/>
              </w:rPr>
              <w:t>Muitas nodoklis</w:t>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895,3</w:t>
            </w:r>
          </w:p>
        </w:tc>
        <w:tc>
          <w:tcPr>
            <w:tcW w:w="1096"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1 347,4</w:t>
            </w:r>
          </w:p>
        </w:tc>
        <w:tc>
          <w:tcPr>
            <w:tcW w:w="1096" w:type="dxa"/>
            <w:gridSpan w:val="3"/>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1 128,8</w:t>
            </w:r>
          </w:p>
        </w:tc>
        <w:tc>
          <w:tcPr>
            <w:tcW w:w="1225"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520,1</w:t>
            </w:r>
          </w:p>
        </w:tc>
        <w:tc>
          <w:tcPr>
            <w:tcW w:w="971" w:type="dxa"/>
            <w:tcBorders>
              <w:top w:val="nil"/>
              <w:left w:val="nil"/>
              <w:bottom w:val="nil"/>
              <w:right w:val="nil"/>
            </w:tcBorders>
            <w:shd w:val="clear" w:color="000000" w:fill="FFFFFF"/>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5,2</w:t>
            </w:r>
          </w:p>
        </w:tc>
        <w:tc>
          <w:tcPr>
            <w:tcW w:w="912"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6,5</w:t>
            </w:r>
          </w:p>
        </w:tc>
        <w:tc>
          <w:tcPr>
            <w:tcW w:w="738" w:type="dxa"/>
            <w:tcBorders>
              <w:top w:val="nil"/>
              <w:left w:val="nil"/>
              <w:bottom w:val="nil"/>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5,0</w:t>
            </w:r>
          </w:p>
        </w:tc>
        <w:tc>
          <w:tcPr>
            <w:tcW w:w="838" w:type="dxa"/>
            <w:gridSpan w:val="2"/>
            <w:tcBorders>
              <w:top w:val="nil"/>
              <w:left w:val="nil"/>
              <w:bottom w:val="nil"/>
              <w:right w:val="nil"/>
            </w:tcBorders>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5,9</w:t>
            </w:r>
          </w:p>
        </w:tc>
      </w:tr>
      <w:tr w:rsidR="009B10A4" w:rsidRPr="004A4736" w:rsidTr="007B6529">
        <w:trPr>
          <w:trHeight w:val="315"/>
        </w:trPr>
        <w:tc>
          <w:tcPr>
            <w:tcW w:w="1794" w:type="dxa"/>
            <w:tcBorders>
              <w:top w:val="nil"/>
              <w:left w:val="nil"/>
              <w:bottom w:val="single" w:sz="8" w:space="0" w:color="auto"/>
              <w:right w:val="nil"/>
            </w:tcBorders>
            <w:noWrap/>
            <w:vAlign w:val="center"/>
          </w:tcPr>
          <w:p w:rsidR="009B10A4" w:rsidRPr="004A4736" w:rsidRDefault="009B10A4" w:rsidP="00B17FB5">
            <w:pPr>
              <w:spacing w:beforeLines="20" w:before="48" w:afterLines="20" w:after="48" w:line="240" w:lineRule="auto"/>
              <w:rPr>
                <w:rFonts w:ascii="Times New Roman" w:hAnsi="Times New Roman"/>
                <w:lang w:eastAsia="zh-CN"/>
              </w:rPr>
            </w:pPr>
            <w:r w:rsidRPr="004A4736">
              <w:rPr>
                <w:rFonts w:ascii="Times New Roman" w:hAnsi="Times New Roman"/>
                <w:lang w:eastAsia="zh-CN"/>
              </w:rPr>
              <w:t>Mikrouzņēmumu nodoklis</w:t>
            </w:r>
          </w:p>
        </w:tc>
        <w:tc>
          <w:tcPr>
            <w:tcW w:w="1096" w:type="dxa"/>
            <w:tcBorders>
              <w:top w:val="nil"/>
              <w:left w:val="nil"/>
              <w:bottom w:val="single" w:sz="8" w:space="0" w:color="auto"/>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0,0</w:t>
            </w:r>
          </w:p>
        </w:tc>
        <w:tc>
          <w:tcPr>
            <w:tcW w:w="1096" w:type="dxa"/>
            <w:tcBorders>
              <w:top w:val="nil"/>
              <w:left w:val="nil"/>
              <w:bottom w:val="single" w:sz="8" w:space="0" w:color="auto"/>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2,6</w:t>
            </w:r>
          </w:p>
        </w:tc>
        <w:tc>
          <w:tcPr>
            <w:tcW w:w="1096" w:type="dxa"/>
            <w:gridSpan w:val="3"/>
            <w:tcBorders>
              <w:top w:val="nil"/>
              <w:left w:val="nil"/>
              <w:bottom w:val="single" w:sz="8" w:space="0" w:color="auto"/>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9,9</w:t>
            </w:r>
          </w:p>
        </w:tc>
        <w:tc>
          <w:tcPr>
            <w:tcW w:w="1225" w:type="dxa"/>
            <w:tcBorders>
              <w:top w:val="nil"/>
              <w:left w:val="nil"/>
              <w:bottom w:val="single" w:sz="8" w:space="0" w:color="auto"/>
              <w:right w:val="nil"/>
            </w:tcBorders>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7,3</w:t>
            </w:r>
          </w:p>
        </w:tc>
        <w:tc>
          <w:tcPr>
            <w:tcW w:w="971" w:type="dxa"/>
            <w:tcBorders>
              <w:top w:val="nil"/>
              <w:left w:val="nil"/>
              <w:bottom w:val="single" w:sz="8" w:space="0" w:color="auto"/>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n/a</w:t>
            </w:r>
          </w:p>
        </w:tc>
        <w:tc>
          <w:tcPr>
            <w:tcW w:w="912" w:type="dxa"/>
            <w:tcBorders>
              <w:top w:val="nil"/>
              <w:left w:val="nil"/>
              <w:bottom w:val="single" w:sz="8" w:space="0" w:color="auto"/>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0,0</w:t>
            </w:r>
          </w:p>
        </w:tc>
        <w:tc>
          <w:tcPr>
            <w:tcW w:w="738" w:type="dxa"/>
            <w:tcBorders>
              <w:top w:val="nil"/>
              <w:left w:val="nil"/>
              <w:bottom w:val="single" w:sz="8" w:space="0" w:color="auto"/>
              <w:right w:val="nil"/>
            </w:tcBorders>
            <w:noWrap/>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0,1</w:t>
            </w:r>
          </w:p>
        </w:tc>
        <w:tc>
          <w:tcPr>
            <w:tcW w:w="838" w:type="dxa"/>
            <w:gridSpan w:val="2"/>
            <w:tcBorders>
              <w:top w:val="nil"/>
              <w:left w:val="nil"/>
              <w:bottom w:val="single" w:sz="8" w:space="0" w:color="auto"/>
              <w:right w:val="nil"/>
            </w:tcBorders>
            <w:vAlign w:val="center"/>
          </w:tcPr>
          <w:p w:rsidR="009B10A4" w:rsidRPr="004A4736" w:rsidRDefault="009B10A4" w:rsidP="00B17FB5">
            <w:pPr>
              <w:spacing w:beforeLines="20" w:before="48" w:afterLines="20" w:after="48" w:line="240" w:lineRule="auto"/>
              <w:jc w:val="center"/>
              <w:rPr>
                <w:rFonts w:ascii="Times New Roman" w:hAnsi="Times New Roman"/>
                <w:lang w:eastAsia="zh-CN"/>
              </w:rPr>
            </w:pPr>
            <w:r w:rsidRPr="004A4736">
              <w:rPr>
                <w:rFonts w:ascii="Times New Roman" w:hAnsi="Times New Roman"/>
                <w:lang w:eastAsia="zh-CN"/>
              </w:rPr>
              <w:t>0,1</w:t>
            </w:r>
          </w:p>
        </w:tc>
      </w:tr>
      <w:tr w:rsidR="009B10A4" w:rsidRPr="004A4736" w:rsidTr="000D0903">
        <w:tc>
          <w:tcPr>
            <w:tcW w:w="4039" w:type="dxa"/>
            <w:gridSpan w:val="4"/>
          </w:tcPr>
          <w:p w:rsidR="009B10A4" w:rsidRPr="004A4736" w:rsidRDefault="009B10A4" w:rsidP="00BB42CD">
            <w:pPr>
              <w:spacing w:after="0" w:line="240" w:lineRule="auto"/>
              <w:jc w:val="both"/>
              <w:rPr>
                <w:rFonts w:ascii="Times New Roman" w:hAnsi="Times New Roman"/>
                <w:i/>
                <w:sz w:val="10"/>
                <w:szCs w:val="26"/>
              </w:rPr>
            </w:pPr>
          </w:p>
          <w:p w:rsidR="009B10A4" w:rsidRPr="004A4736" w:rsidRDefault="009B10A4" w:rsidP="00BB42CD">
            <w:pPr>
              <w:spacing w:after="0" w:line="240" w:lineRule="auto"/>
              <w:jc w:val="both"/>
              <w:rPr>
                <w:rFonts w:ascii="Times New Roman" w:hAnsi="Times New Roman"/>
                <w:i/>
                <w:sz w:val="20"/>
                <w:szCs w:val="26"/>
              </w:rPr>
            </w:pPr>
            <w:r w:rsidRPr="004A4736">
              <w:rPr>
                <w:rFonts w:ascii="Times New Roman" w:hAnsi="Times New Roman"/>
                <w:i/>
                <w:sz w:val="20"/>
                <w:szCs w:val="26"/>
              </w:rPr>
              <w:t>Avots: VID</w:t>
            </w:r>
          </w:p>
        </w:tc>
        <w:tc>
          <w:tcPr>
            <w:tcW w:w="857" w:type="dxa"/>
          </w:tcPr>
          <w:p w:rsidR="009B10A4" w:rsidRPr="004A4736" w:rsidRDefault="009B10A4" w:rsidP="00BB42CD">
            <w:pPr>
              <w:spacing w:after="0" w:line="240" w:lineRule="auto"/>
              <w:jc w:val="both"/>
              <w:rPr>
                <w:rFonts w:ascii="Times New Roman" w:hAnsi="Times New Roman"/>
                <w:i/>
                <w:sz w:val="20"/>
                <w:szCs w:val="26"/>
              </w:rPr>
            </w:pPr>
          </w:p>
        </w:tc>
        <w:tc>
          <w:tcPr>
            <w:tcW w:w="4567" w:type="dxa"/>
            <w:gridSpan w:val="6"/>
          </w:tcPr>
          <w:p w:rsidR="009B10A4" w:rsidRPr="004A4736" w:rsidRDefault="009B10A4" w:rsidP="00BB42CD">
            <w:pPr>
              <w:spacing w:after="0" w:line="240" w:lineRule="auto"/>
              <w:jc w:val="both"/>
              <w:rPr>
                <w:rFonts w:ascii="Times New Roman" w:hAnsi="Times New Roman"/>
                <w:i/>
                <w:sz w:val="20"/>
                <w:szCs w:val="26"/>
              </w:rPr>
            </w:pPr>
          </w:p>
        </w:tc>
        <w:tc>
          <w:tcPr>
            <w:tcW w:w="303" w:type="dxa"/>
          </w:tcPr>
          <w:p w:rsidR="009B10A4" w:rsidRPr="004A4736" w:rsidRDefault="009B10A4" w:rsidP="00BB42CD">
            <w:pPr>
              <w:spacing w:after="0" w:line="240" w:lineRule="auto"/>
              <w:jc w:val="both"/>
              <w:rPr>
                <w:rFonts w:ascii="Times New Roman" w:hAnsi="Times New Roman"/>
                <w:i/>
                <w:sz w:val="20"/>
                <w:szCs w:val="26"/>
              </w:rPr>
            </w:pPr>
          </w:p>
        </w:tc>
      </w:tr>
    </w:tbl>
    <w:p w:rsidR="009B10A4" w:rsidRPr="004A4736" w:rsidRDefault="009B10A4" w:rsidP="00A003DB">
      <w:pPr>
        <w:spacing w:after="0" w:line="240" w:lineRule="auto"/>
        <w:ind w:firstLine="426"/>
        <w:jc w:val="both"/>
        <w:rPr>
          <w:rFonts w:ascii="Times New Roman" w:hAnsi="Times New Roman"/>
          <w:color w:val="C00000"/>
          <w:sz w:val="26"/>
          <w:szCs w:val="26"/>
        </w:rPr>
      </w:pPr>
    </w:p>
    <w:p w:rsidR="009B10A4" w:rsidRPr="004A4736" w:rsidRDefault="009B10A4" w:rsidP="00A003DB">
      <w:pPr>
        <w:spacing w:after="0" w:line="240" w:lineRule="auto"/>
        <w:ind w:firstLine="426"/>
        <w:jc w:val="both"/>
        <w:rPr>
          <w:rFonts w:ascii="Times New Roman" w:hAnsi="Times New Roman"/>
          <w:sz w:val="26"/>
          <w:szCs w:val="26"/>
        </w:rPr>
      </w:pPr>
      <w:r w:rsidRPr="004A4736">
        <w:rPr>
          <w:rFonts w:ascii="Times New Roman" w:hAnsi="Times New Roman"/>
          <w:sz w:val="26"/>
          <w:szCs w:val="26"/>
        </w:rPr>
        <w:t>Pieņemot, ka investors un viņa ģimenes locekļi uzturas Latvijā vidēji 2-4 mēnešus gadā un vidēji mēnesī uz katru ģimenes locekli tērē, piemēram, 1000 latus (pārtikai, izklaides pasākumiem u.c.), tad kopējie tēriņi gadā jau var pārsniegt 20 milj. latu, savukārt, ienākumi valsts budžetā patēriņa nodokļu veidā var sasniegt papildus 4 milj. latu</w:t>
      </w:r>
      <w:r w:rsidRPr="004A4736">
        <w:rPr>
          <w:rStyle w:val="FootnoteReference"/>
          <w:rFonts w:ascii="Times New Roman" w:hAnsi="Times New Roman"/>
          <w:sz w:val="26"/>
          <w:szCs w:val="26"/>
        </w:rPr>
        <w:footnoteReference w:id="15"/>
      </w:r>
      <w:r w:rsidRPr="004A4736">
        <w:rPr>
          <w:rFonts w:ascii="Times New Roman" w:hAnsi="Times New Roman"/>
          <w:sz w:val="26"/>
          <w:szCs w:val="26"/>
        </w:rPr>
        <w:t xml:space="preserve">.  </w:t>
      </w:r>
    </w:p>
    <w:p w:rsidR="009B10A4" w:rsidRPr="004A4736" w:rsidRDefault="009B10A4" w:rsidP="00A003DB">
      <w:pPr>
        <w:spacing w:after="0" w:line="240" w:lineRule="auto"/>
      </w:pPr>
    </w:p>
    <w:p w:rsidR="009B10A4" w:rsidRPr="004A4736" w:rsidRDefault="009B10A4" w:rsidP="00B172B1">
      <w:pPr>
        <w:pStyle w:val="Heading1"/>
        <w:spacing w:before="0" w:after="120" w:line="240" w:lineRule="auto"/>
        <w:rPr>
          <w:rFonts w:ascii="Times New Roman" w:hAnsi="Times New Roman"/>
          <w:color w:val="auto"/>
        </w:rPr>
      </w:pPr>
      <w:bookmarkStart w:id="28" w:name="_Toc366612113"/>
      <w:r w:rsidRPr="004A4736">
        <w:rPr>
          <w:rFonts w:ascii="Times New Roman" w:hAnsi="Times New Roman"/>
          <w:color w:val="auto"/>
        </w:rPr>
        <w:t>10. Ietekme uz sabiedrību</w:t>
      </w:r>
      <w:bookmarkEnd w:id="28"/>
    </w:p>
    <w:p w:rsidR="009B10A4" w:rsidRPr="004A4736" w:rsidRDefault="009B10A4" w:rsidP="00B172B1">
      <w:pPr>
        <w:spacing w:after="120" w:line="240" w:lineRule="auto"/>
        <w:ind w:firstLine="720"/>
        <w:jc w:val="both"/>
        <w:rPr>
          <w:rFonts w:ascii="Times New Roman" w:hAnsi="Times New Roman"/>
          <w:sz w:val="26"/>
          <w:szCs w:val="26"/>
        </w:rPr>
      </w:pPr>
      <w:r w:rsidRPr="004A4736">
        <w:rPr>
          <w:rFonts w:ascii="Times New Roman" w:hAnsi="Times New Roman"/>
          <w:sz w:val="26"/>
          <w:szCs w:val="26"/>
        </w:rPr>
        <w:t>Kultūras ministrija, analizējot statistikas datus par investoriem izsniegtajām uzturēšanās atļaujām un secinot, ka uz investīciju pamata izsniegto uzturēšanās atļauju skaits laika periodā no 2010.- 2013.gadam ir būtiski palielinājies, norāda, ka palielinās investoru skaits no valstīm ar izteikti atšķirīgu kultūru un tradīcijām, piemēram, Kazahstānas, Uzbekistānas, Ķīnas u.c. Ievērojot to, ka nav precīzu datu par to, cik no šiem cilvēkiem tiešām uzturas Latvijas teritorijā, nav iespējams sniegt pamatotu novērtējumu par attiecīgo normu ietekmi uz sabiedrību, bet tikai vispārēju informāciju par iedzīvotāju attieksmi pret kultūru dažādību.</w:t>
      </w:r>
    </w:p>
    <w:p w:rsidR="009B10A4" w:rsidRPr="004A4736" w:rsidRDefault="009B10A4" w:rsidP="000E2E64">
      <w:pPr>
        <w:spacing w:after="0" w:line="240" w:lineRule="auto"/>
        <w:ind w:firstLine="720"/>
        <w:jc w:val="both"/>
        <w:rPr>
          <w:rFonts w:ascii="Times New Roman" w:hAnsi="Times New Roman"/>
          <w:sz w:val="26"/>
          <w:szCs w:val="26"/>
        </w:rPr>
      </w:pPr>
      <w:r w:rsidRPr="004A4736">
        <w:rPr>
          <w:rFonts w:ascii="Times New Roman" w:hAnsi="Times New Roman"/>
          <w:sz w:val="26"/>
          <w:szCs w:val="26"/>
        </w:rPr>
        <w:t xml:space="preserve">2012.gadā veiktais </w:t>
      </w:r>
      <w:proofErr w:type="spellStart"/>
      <w:r w:rsidRPr="004A4736">
        <w:rPr>
          <w:rFonts w:ascii="Times New Roman" w:hAnsi="Times New Roman"/>
          <w:i/>
          <w:sz w:val="26"/>
          <w:szCs w:val="26"/>
        </w:rPr>
        <w:t>Eurobarometra</w:t>
      </w:r>
      <w:proofErr w:type="spellEnd"/>
      <w:r w:rsidRPr="004A4736">
        <w:rPr>
          <w:rFonts w:ascii="Times New Roman" w:hAnsi="Times New Roman"/>
          <w:sz w:val="26"/>
          <w:szCs w:val="26"/>
        </w:rPr>
        <w:t xml:space="preserve"> pētījums (</w:t>
      </w:r>
      <w:proofErr w:type="spellStart"/>
      <w:r w:rsidRPr="004A4736">
        <w:rPr>
          <w:rFonts w:ascii="Times New Roman" w:hAnsi="Times New Roman"/>
          <w:sz w:val="26"/>
          <w:szCs w:val="26"/>
        </w:rPr>
        <w:t>Special</w:t>
      </w:r>
      <w:proofErr w:type="spellEnd"/>
      <w:r w:rsidRPr="004A4736">
        <w:rPr>
          <w:rFonts w:ascii="Times New Roman" w:hAnsi="Times New Roman"/>
          <w:sz w:val="26"/>
          <w:szCs w:val="26"/>
        </w:rPr>
        <w:t xml:space="preserve"> </w:t>
      </w:r>
      <w:proofErr w:type="spellStart"/>
      <w:r w:rsidRPr="004A4736">
        <w:rPr>
          <w:rFonts w:ascii="Times New Roman" w:hAnsi="Times New Roman"/>
          <w:sz w:val="26"/>
          <w:szCs w:val="26"/>
        </w:rPr>
        <w:t>Eurobarometer</w:t>
      </w:r>
      <w:proofErr w:type="spellEnd"/>
      <w:r w:rsidRPr="004A4736">
        <w:rPr>
          <w:rFonts w:ascii="Times New Roman" w:hAnsi="Times New Roman"/>
          <w:sz w:val="26"/>
          <w:szCs w:val="26"/>
        </w:rPr>
        <w:t xml:space="preserve"> 391 „</w:t>
      </w:r>
      <w:proofErr w:type="spellStart"/>
      <w:r w:rsidRPr="004A4736">
        <w:rPr>
          <w:rFonts w:ascii="Times New Roman" w:hAnsi="Times New Roman"/>
          <w:sz w:val="26"/>
          <w:szCs w:val="26"/>
        </w:rPr>
        <w:t>Social</w:t>
      </w:r>
      <w:proofErr w:type="spellEnd"/>
      <w:r w:rsidRPr="004A4736">
        <w:rPr>
          <w:rFonts w:ascii="Times New Roman" w:hAnsi="Times New Roman"/>
          <w:sz w:val="26"/>
          <w:szCs w:val="26"/>
        </w:rPr>
        <w:t xml:space="preserve"> </w:t>
      </w:r>
      <w:proofErr w:type="spellStart"/>
      <w:r w:rsidRPr="004A4736">
        <w:rPr>
          <w:rFonts w:ascii="Times New Roman" w:hAnsi="Times New Roman"/>
          <w:sz w:val="26"/>
          <w:szCs w:val="26"/>
        </w:rPr>
        <w:t>Climate</w:t>
      </w:r>
      <w:proofErr w:type="spellEnd"/>
      <w:r w:rsidRPr="004A4736">
        <w:rPr>
          <w:rFonts w:ascii="Times New Roman" w:hAnsi="Times New Roman"/>
          <w:sz w:val="26"/>
          <w:szCs w:val="26"/>
        </w:rPr>
        <w:t>) liecina, ka 60% Latvijas iedzīvotāju uzskata, ka attiecības starp cilvēkiem ar atšķirīgu reliģiju vai kultūru ir diezgan labas, 25% uzskata, ka tās ir diezgan sliktas, tikai 6% uzskata, ka tās ir ļoti sliktas. Pētījuma dati atbilst arī intervijās un aptaujās iegūtajam viedoklim, ka ikdienas saziņas līmenī nav vērojama izteikta polaritāte.</w:t>
      </w:r>
    </w:p>
    <w:p w:rsidR="009B10A4" w:rsidRPr="004A4736" w:rsidRDefault="009B10A4" w:rsidP="000E2E64">
      <w:pPr>
        <w:spacing w:after="0" w:line="240" w:lineRule="auto"/>
        <w:ind w:firstLine="720"/>
        <w:jc w:val="both"/>
        <w:rPr>
          <w:rFonts w:ascii="Times New Roman" w:hAnsi="Times New Roman"/>
          <w:sz w:val="26"/>
          <w:szCs w:val="26"/>
        </w:rPr>
      </w:pPr>
      <w:r w:rsidRPr="004A4736">
        <w:rPr>
          <w:rFonts w:ascii="Times New Roman" w:hAnsi="Times New Roman"/>
          <w:sz w:val="26"/>
          <w:szCs w:val="26"/>
        </w:rPr>
        <w:t>Vienlaikus atkārtoti jāpievērš uzmanība tam, ka palielinoties imigrācijas intensitātei, it īpaši imigrācijas plūsmai no bijušajām Padomju Savienības teritorijām, potenciāli var tikt padziļinātas tādas problēmas, kā krievu valodas pašpietiekamība publiskajā telpā un paralēlas krievvalodīgas sabiedrības veidošanās un nostiprināšanās.</w:t>
      </w:r>
    </w:p>
    <w:p w:rsidR="009B10A4" w:rsidRPr="004A4736" w:rsidRDefault="009B10A4" w:rsidP="00D104F1">
      <w:pPr>
        <w:pStyle w:val="Heading1"/>
        <w:spacing w:before="0" w:after="120" w:line="240" w:lineRule="auto"/>
        <w:rPr>
          <w:rFonts w:ascii="Times New Roman" w:eastAsia="Times New Roman" w:hAnsi="Times New Roman"/>
          <w:b w:val="0"/>
          <w:bCs w:val="0"/>
          <w:color w:val="auto"/>
          <w:sz w:val="26"/>
          <w:szCs w:val="26"/>
          <w:lang w:eastAsia="en-US"/>
        </w:rPr>
      </w:pPr>
    </w:p>
    <w:p w:rsidR="009B10A4" w:rsidRPr="004A4736" w:rsidRDefault="009B10A4" w:rsidP="00D104F1">
      <w:pPr>
        <w:pStyle w:val="Heading1"/>
        <w:spacing w:before="0" w:after="120" w:line="240" w:lineRule="auto"/>
        <w:rPr>
          <w:rFonts w:ascii="Times New Roman" w:hAnsi="Times New Roman"/>
          <w:color w:val="auto"/>
        </w:rPr>
      </w:pPr>
      <w:bookmarkStart w:id="29" w:name="_Toc366612114"/>
      <w:r w:rsidRPr="004A4736">
        <w:rPr>
          <w:rFonts w:ascii="Times New Roman" w:hAnsi="Times New Roman"/>
          <w:color w:val="auto"/>
        </w:rPr>
        <w:t>11. Investora portrets</w:t>
      </w:r>
      <w:bookmarkEnd w:id="29"/>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ab/>
        <w:t>2013.gada pirmajā pusgadā PMLP veica investoru anketēšanu, lai iegūtu papildu informāciju par investoru izglītību, nodarbošanos, paredzamo uzturēšanās laiku Latvijā, plānotajām aktivitātēm uzņēmējdarbības jomā un citiem jautājumiem. Šajā laikposmā tika aptaujātas 200 personas jeb 7% no investīcijas veikušajiem ārzemniekiem, tajā skaitā, 180 personas, kuras iegādājušās nekustamo īpašumu, 12 personas, kuras veikušas ieguldījumu kapitālsabiedrības pamatkapitālā, un 8 personas, kuras veikušas ieguldījumu kredītiestādes subordinētajā kapitālā.</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ab/>
        <w:t xml:space="preserve">Aptaujas dalībnieku pilsonības valstis: Krievijas Federācija (161 persona), Ukraina (10), Baltkrievija (6), Uzbekistāna, Kazahstāna (4), Kirgizstāna (3), Azerbaidžāna, Ķīna (2), ASV, Gruzija, Izraēla, Kanāda, Serbija, Tadžikistāna (1). Divas personas savu pilsonību nebija norādījušas. </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6</w:t>
      </w:r>
      <w:r w:rsidR="00D04A6B" w:rsidRPr="004A4736">
        <w:rPr>
          <w:rFonts w:ascii="Times New Roman" w:hAnsi="Times New Roman"/>
          <w:sz w:val="26"/>
          <w:szCs w:val="26"/>
        </w:rPr>
        <w:t>4% aptaujāto ir vīrieši, 36% – s</w:t>
      </w:r>
      <w:r w:rsidRPr="004A4736">
        <w:rPr>
          <w:rFonts w:ascii="Times New Roman" w:hAnsi="Times New Roman"/>
          <w:sz w:val="26"/>
          <w:szCs w:val="26"/>
        </w:rPr>
        <w:t>ievietes.</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Sadalījumā pa vecuma grupām visvairāk investoru ir vecumā no 36-45 gadiem (37%), nākamā visbiežāk pārstāvētā vecuma grupa – 46-55 gadi (29%), vecumā pēc 56 gadiem ir 16%, vecuma grupā 26-35 gadi – 13%, bet vecumā līdz 25 gadiem – 4% respondentu.</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 xml:space="preserve">182 personām jeb 91% respondentu ir augstākā izglītība, 11 personām jeb 6% </w:t>
      </w:r>
      <w:r w:rsidR="00D82946" w:rsidRPr="004A4736">
        <w:rPr>
          <w:rFonts w:ascii="Times New Roman" w:hAnsi="Times New Roman"/>
          <w:sz w:val="26"/>
          <w:szCs w:val="26"/>
        </w:rPr>
        <w:t>– vidējā, bet 7 personām jeb 4% –</w:t>
      </w:r>
      <w:r w:rsidRPr="004A4736">
        <w:rPr>
          <w:rFonts w:ascii="Times New Roman" w:hAnsi="Times New Roman"/>
          <w:sz w:val="26"/>
          <w:szCs w:val="26"/>
        </w:rPr>
        <w:t xml:space="preserve"> vidējā profesionālā izglītība.</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104 respondenti (84%) savā izcelsmes valstī nodarbojas ar uzņēmējdarbību vai ir pašnodarbinātas personas, 53 personas jeb 29% strādā privātā uzņēmumā, kas nepieder viņiem pašiem, savukārt 13% jeb 23 personas studē, mācās, ir mājsaimnieces, pensionāri, darbojas mākslas, kultūras vai sporta jomā.</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Papildus savai dzimtajai valodai 160 personu pārvalda angļu valodu, 25 personas – vācu valodu, bet 56 personas – vēl citas svešvalodas. Uz jautājumu, vai respondents plāno apgūt arī latviešu valodu, 168 personas (84%) sniegušas apstiprinošu atbildi, lai gan tikai 35 no šīm 168 personām plāno Latvijā dzīvot pastāvīgi, bet pārējās – tikai pāris mēnešus vai nedēļas gadā. 4 personas, kuras Latvijā plāno dzīvot pastāvīgi, norādījušas, ka latviešu valodas apguve netiek plānota.</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 xml:space="preserve">Visvairāk aptaujāto uzturēšanās atļauju saņem kopā ar laulāto un bērniem (37% jeb 73 respondentu), 28% jeb 56 personas – kopā ar laulāto, bet 18% jeb 36 personas – tikai pašas, bez ģimenes. 4 respondenti norādījuši, ka viņu ģimenes locekļi TUA pieprasīs vēlāk. No respondentiem, kuri ieceļo kopā ar bērniem, 44 ģimenēs ir divi bērni, 39 ģimenēs viens bērns, 12 ģimenēs – trīs, divās – četri, bet vienā – seši bērni. </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Lai veiktu ar investīciju veikšanu un TUA saņemšanu saistītās procedūras, 181 respondents izmantojis juristu, advokātu vai nekustamā īpašuma aģentu palīdzību. 29 personas no šī skaita palīdzību izmantojušas tikai investīciju veikšanai, bet 39 – tikai TUA saņemšanai.</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Aptaujas anketā bija ietverts jautājums par to, cik ilgs ir personu plānotais uzturēšanās laiks Latvijā. 61% respondentu jeb 124 personas Latvijā plāno uzturēties pāris mēnešu gadā, 19% jeb 39 personas – pastāvīgi, 18% jeb 37 personas – pāris nedēļu gadā. 3 respondenti norādījuši, ka Latvijā ieradīsies tikai, lai reģistrētu TUA.</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 xml:space="preserve">Tā kā viens no aptaujas mērķiem bija iegūt informāciju par investīciju programmas ietekmi uz tautsaimniecību, aptaujā tika uzdots jautājums par mēnesī plānoto izdevumu apjomu katram investora ģimenes loceklim. Atbilžu varianti anketā netika piedāvāti, līdz ar to katram respondentam bija iespējams norādīt jebkuru summu. Visvairāk respondentu (67) norādījuši, ka mēnesī ģimenes loceklim tiks tērēta summa 500-1000 Ls, 39 tērēs summu no 1000-1500 Ls, 28 personas – summu līdz 500 Ls, 15 personas – summu no 1 500 līdz 2 000 Ls, 8 personas – summu 3500 Ls apjomā, 6 personas – summu 3 000 Ls apjomā, 4 personas – summu no 2500-3000 Ls, 3 personas – summu no 3 500-4 000 Ls, savukārt 3 personas – summu 10 000 Ls apmērā. Pārējās personas norādījušas summas 5 000 Ls, 14 000 Ls, 25 000 Ls, 35 000 Ls, 50 000 Ls un pat 70 000 Ls apjomā. </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 xml:space="preserve">Jautātas par cita veida biznesa aktivitātēm Latvijā, 83 personas atzinušas, ka viņām nav citu biznesa kontaktu Latvijā, 75 personām ir konts Latvijas kredītiestādē, 34 personas darbojas vienā vai vairākās Latvijas komercsabiedrībās, bet 34 respondentu mītnes zemju kompānijai ir biznesa saites ar kādu no Latvijas kompānijām. </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Uzdodot jautājumus par plānotajām aktivitātēm komercdarbības jomā, 53% jeb 106 respondenti norādījuši, ka gatavojas Latvijā uzsākt komercdarbību vai kļūt par pašnodarbinātām personām. No tām personām, kuras uzturēšanās atļaujas saņēmušas saskaņā ar nekustamā īpašuma iegādi vai ieguldījumu kredītiestādes subordinētajā kapitālā (t.i., investīcijas, kas nesaistās ar komercdarbību), uz šo jautājumu atbildes sniegušas 174 personas. 93 personas atzinušas, ka uzsāks komercdarbību, 65 – neplāno veikt nekādas aktivitātes, 11 personas apsver iespēju uzsākt komercdarbību, 3 – strādās universitātē, bet 2 – citos uzņēmumos.</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 xml:space="preserve">Personām, kuru ieguldījums saistīts ar kapitālsabiedrības pamatkapitāla palielināšanu vai jaunas kapitālsabiedrības izveidošanu, tika uzdots jautājums par to, kā šīs personas plāno attīstīt uzņēmuma darbību. 42 respondenti jeb 39% paplašinās biznesa kontaktus ar citām Latvijas un ārvalstu kompānijām, 24 respondenti jeb 22% ieguldīs papildu līdzekļus iekārtām un citam inventāram, 19 jeb 18% ieviesīs jaunas tehnoloģijas, savukārt 14 jeb 13% uzņēmumos nekādas būtiskas izmaiņas nav plānotas. </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 xml:space="preserve">Personām, kuras iegādājušās nekustamo īpašumu, tika lūgts sniegt atbildi uz jautājumu par to, kā viņas plāno izmantot iegādāto īpašumu. 103 respondenti jeb 56% turpinās uzturēties savā mītnes valstī, bet iegādātajā īpašumā dzīvos uzturēšanās laikā Latvijā, 69 respondenti jeb 38% pastāvīgi dzīvos iegādātajā īpašumā, bet 12 respondenti jeb 7% šo īpašumu izīrēs citām personām. Šīs atbildes gan atšķiras no tām, kas sniegtas uz jautājumu par plānoto uzturēšanās laiku Latvijā, kur tikai 39 respondenti bija atbildējuši, ka plāno pastāvīgi uzturēties Latvijā. </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No tām personām, kuras iegādājušās šobrīd neapdzīvojamu īpašumu, 45 (61%) norāda, ka tuvākajā nākotnē neplāno īpašuma attīstīšanu, 18 personas jeb 24% plāno celt dzīvojamo ēku, 10 personas jeb 14% plāno piemērot iegādāto īpašumu apdzīvošanai, bet viena persona – piemērot nekustamo īpašumu ražošanas vajadzībām.</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 xml:space="preserve">Nekustamā īpašuma pārveidošanā (ieskaitot jau šobrīd apdzīvošanai paredzēto īpašumu) paredzēts ieguldīt naudas līdzekļus – 56 personas jeb 33% respondentu paredz investēt 20 000-50 000 Ls, 55 personas (32%) – līdz 20 000 Ls. 29 respondenti (17%) – naudas līdzekļus 50 000 – 100 000 Ls apjomā, 28 respondenti (16%) – 100 000 – 500 000 Ls, bet 4 respondenti – vairāk kā 500 000 Ls. </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 xml:space="preserve">Lai apsaimniekotu iegādāto nekustamo īpašumu, 68 (jeb 38%) respondentu izmantos 1-3 pakalpojumu sniedzēju palīdzību, 58 (33%) neizmantos citu uzņēmēju sniegtos pakalpojumus, 40 (23%) plāno piesaistīt pakalpojumu sniedzējus, bet 11 respondenti jeb 6% ir noslēguši līgumus ar 4 vai vairāk pakalpojumu sniedzējiem. </w:t>
      </w:r>
    </w:p>
    <w:p w:rsidR="009B10A4" w:rsidRPr="004A4736" w:rsidRDefault="009B10A4" w:rsidP="00105D88">
      <w:pPr>
        <w:spacing w:after="0" w:line="240" w:lineRule="auto"/>
        <w:ind w:firstLine="425"/>
        <w:jc w:val="both"/>
        <w:rPr>
          <w:rFonts w:ascii="Times New Roman" w:hAnsi="Times New Roman"/>
          <w:sz w:val="26"/>
          <w:szCs w:val="26"/>
        </w:rPr>
      </w:pPr>
      <w:r w:rsidRPr="004A4736">
        <w:rPr>
          <w:rFonts w:ascii="Times New Roman" w:hAnsi="Times New Roman"/>
          <w:sz w:val="26"/>
          <w:szCs w:val="26"/>
        </w:rPr>
        <w:t xml:space="preserve">Apkopojot visas sniegtās atbildes, var konstatēt, ka vidējais investīciju veicējs Latvijā ir persona, kas iegādājusies nekustamo īpašumu, Krievijas Federācijas pilsonis, vīrietis, vecumā no 36-45 gadiem, ieguvis augstāko izglītību, pārvalda vismaz vienu svešvalodu (angļu) un plāno mācīties arī latviešu valodu, paredz uzturēties Latvijā pāris mēnešu gadā, saņems uzturēšanās atļauju kopā ar laulāto un diviem bērniem, mēnesī vienam ģimenes loceklim Latvijā iztērējot aptuveni 500-1 000 latu. Šī persona savā mītnes valstī nodarbojas ar komercdarbību, plāno uzsākt komercdarbību arī Latvijā. Lai saņemtu uzturēšanās atļauju, ir tikuši izmantoti starpnieku (juristu, advokātu) pakalpojumi, arī turpmāk nekustamā īpašuma apsaimniekošanai tiks izmantoti 1-3 pakalpojumu sniedzēju sniegtie pakalpojumi, nekustamā īpašuma attīstīšanā ieguldot aptuveni 20 000-50 000 latus. </w:t>
      </w:r>
    </w:p>
    <w:p w:rsidR="009B10A4" w:rsidRPr="004A4736" w:rsidRDefault="009B10A4">
      <w:pPr>
        <w:spacing w:after="0" w:line="240" w:lineRule="auto"/>
        <w:rPr>
          <w:rFonts w:ascii="Times New Roman" w:hAnsi="Times New Roman"/>
          <w:sz w:val="26"/>
          <w:szCs w:val="26"/>
        </w:rPr>
      </w:pPr>
      <w:r w:rsidRPr="004A4736">
        <w:rPr>
          <w:rFonts w:ascii="Times New Roman" w:hAnsi="Times New Roman"/>
          <w:b/>
          <w:bCs/>
          <w:sz w:val="26"/>
          <w:szCs w:val="26"/>
        </w:rPr>
        <w:br w:type="page"/>
      </w:r>
    </w:p>
    <w:p w:rsidR="009B10A4" w:rsidRPr="004A4736" w:rsidRDefault="009B10A4" w:rsidP="008E0DC2">
      <w:pPr>
        <w:pStyle w:val="Heading1"/>
        <w:spacing w:before="0" w:line="240" w:lineRule="auto"/>
        <w:rPr>
          <w:rFonts w:ascii="Times New Roman" w:hAnsi="Times New Roman"/>
          <w:color w:val="auto"/>
        </w:rPr>
      </w:pPr>
      <w:bookmarkStart w:id="30" w:name="_Toc366612115"/>
      <w:r w:rsidRPr="004A4736">
        <w:rPr>
          <w:rFonts w:ascii="Times New Roman" w:hAnsi="Times New Roman"/>
          <w:color w:val="auto"/>
        </w:rPr>
        <w:t>Secinājumi</w:t>
      </w:r>
      <w:bookmarkEnd w:id="27"/>
      <w:bookmarkEnd w:id="30"/>
    </w:p>
    <w:p w:rsidR="009B10A4" w:rsidRPr="004A4736" w:rsidRDefault="009B10A4" w:rsidP="008E0DC2">
      <w:pPr>
        <w:tabs>
          <w:tab w:val="right" w:pos="9071"/>
        </w:tabs>
        <w:spacing w:after="0" w:line="240" w:lineRule="auto"/>
        <w:jc w:val="both"/>
        <w:rPr>
          <w:rFonts w:ascii="Times New Roman" w:hAnsi="Times New Roman"/>
          <w:sz w:val="12"/>
          <w:szCs w:val="28"/>
        </w:rPr>
      </w:pPr>
    </w:p>
    <w:p w:rsidR="009B10A4" w:rsidRPr="004A4736" w:rsidRDefault="009B10A4" w:rsidP="00A87939">
      <w:pPr>
        <w:pStyle w:val="ListParagraph"/>
        <w:numPr>
          <w:ilvl w:val="0"/>
          <w:numId w:val="38"/>
        </w:numPr>
        <w:spacing w:after="0" w:line="240" w:lineRule="auto"/>
        <w:ind w:left="284" w:hanging="284"/>
        <w:jc w:val="both"/>
        <w:rPr>
          <w:rFonts w:ascii="Times New Roman" w:hAnsi="Times New Roman"/>
          <w:sz w:val="26"/>
          <w:szCs w:val="26"/>
        </w:rPr>
      </w:pPr>
      <w:r w:rsidRPr="004A4736">
        <w:rPr>
          <w:rFonts w:ascii="Times New Roman" w:hAnsi="Times New Roman"/>
          <w:sz w:val="26"/>
          <w:szCs w:val="26"/>
        </w:rPr>
        <w:t>No 2010.gada 1.jūlija līdz 2013.gada 30.jūnijam investīciju programmas ietvaros PMLP ir saņēmusi 6 883 personu, tajā skaitā, 2 893 investoru un 3 990 viņu ģimenes locekļu pieprasījumus TUA saņemšanai. Šajā laika posmā izsniegtas 6 749 uzturēšanās atļaujas, pozitīvu lēmumu pieņemot 97,9% gadījumu. No 2010.gada 1.jūlija anulēta 201 TUA.</w:t>
      </w:r>
    </w:p>
    <w:p w:rsidR="009B10A4" w:rsidRPr="004A4736" w:rsidRDefault="009B10A4" w:rsidP="00E261A6">
      <w:pPr>
        <w:pStyle w:val="ListParagraph"/>
        <w:numPr>
          <w:ilvl w:val="0"/>
          <w:numId w:val="38"/>
        </w:numPr>
        <w:spacing w:after="0" w:line="240" w:lineRule="auto"/>
        <w:ind w:left="284" w:hanging="284"/>
        <w:jc w:val="both"/>
        <w:rPr>
          <w:rFonts w:ascii="Times New Roman" w:hAnsi="Times New Roman"/>
          <w:sz w:val="26"/>
          <w:szCs w:val="26"/>
        </w:rPr>
      </w:pPr>
      <w:r w:rsidRPr="004A4736">
        <w:rPr>
          <w:rFonts w:ascii="Times New Roman" w:hAnsi="Times New Roman"/>
          <w:sz w:val="26"/>
          <w:szCs w:val="26"/>
        </w:rPr>
        <w:t>PMLP veiktā aptauja, kuras laikā veikta 200 respondentu anketēšana, liecina, ka vidējais investīciju veicējs Latvijā ir persona, kas iegādājusies nekustamo īpašumu, Krievijas Federācijas pilsonis, vīrietis, vecumā no 36-45 gadiem, ieguvis augstāko izglītību, pārvalda vismaz vienu svešvalodu (angļu) un plāno mācīties arī latviešu valodu, paredz uzturēties Latvijā pāris mēnešu gadā, saņems uzturēšanās atļauju kopā ar laulāto un diviem bērniem, mēnesī vienam ģimenes loceklim Latvijā iztērējot aptuveni 500-1 000 latu. Šī persona savā mītnes valstī nodarbojas ar komercdarbību, plāno uzsākt komercdarbību arī Latvijā. Lai saņemtu uzturēšanās atļauju, ir tikuši izmantoti starpnieku (juristu, advokātu) pakalpojumi, arī turpmāk nekustamā īpašuma apsaimniekošanai tiks izmantoti 1-3 pakalpojumu sniedzēju sniegtie pakalpojumi, nekustamā īpašuma attīstīšanā ieguldot aptuveni 20 000-50 000 latus.</w:t>
      </w:r>
    </w:p>
    <w:p w:rsidR="009B10A4" w:rsidRPr="004A4736" w:rsidRDefault="009B10A4" w:rsidP="00E261A6">
      <w:pPr>
        <w:pStyle w:val="ListParagraph"/>
        <w:numPr>
          <w:ilvl w:val="0"/>
          <w:numId w:val="38"/>
        </w:numPr>
        <w:spacing w:after="0" w:line="240" w:lineRule="auto"/>
        <w:ind w:left="284" w:hanging="284"/>
        <w:jc w:val="both"/>
        <w:rPr>
          <w:rFonts w:ascii="Times New Roman" w:hAnsi="Times New Roman"/>
          <w:sz w:val="26"/>
          <w:szCs w:val="26"/>
        </w:rPr>
      </w:pPr>
      <w:r w:rsidRPr="004A4736">
        <w:rPr>
          <w:rFonts w:ascii="Times New Roman" w:hAnsi="Times New Roman"/>
          <w:sz w:val="26"/>
          <w:szCs w:val="26"/>
        </w:rPr>
        <w:t xml:space="preserve">Nerezidentu ieguldījumi, kas saistīti ar TUA saņemšanu, no 2010.gada 1.jūlija līdz 2013.gada 1.jūlijam bija 419,2 milj. latu. </w:t>
      </w:r>
    </w:p>
    <w:p w:rsidR="009B10A4" w:rsidRPr="004A4736" w:rsidRDefault="009B10A4" w:rsidP="00A87939">
      <w:pPr>
        <w:pStyle w:val="ListParagraph"/>
        <w:numPr>
          <w:ilvl w:val="0"/>
          <w:numId w:val="38"/>
        </w:numPr>
        <w:spacing w:before="40" w:after="60" w:line="240" w:lineRule="auto"/>
        <w:ind w:left="284" w:hanging="284"/>
        <w:contextualSpacing w:val="0"/>
        <w:jc w:val="both"/>
        <w:rPr>
          <w:rFonts w:ascii="Times New Roman" w:hAnsi="Times New Roman"/>
          <w:sz w:val="26"/>
          <w:szCs w:val="26"/>
        </w:rPr>
      </w:pPr>
      <w:r w:rsidRPr="004A4736">
        <w:rPr>
          <w:rFonts w:ascii="Times New Roman" w:hAnsi="Times New Roman"/>
          <w:sz w:val="26"/>
          <w:szCs w:val="26"/>
        </w:rPr>
        <w:t xml:space="preserve">No ieguldītajiem līdzekļiem gandrīz 80% jeb 335,2 milj. latu ir saistīti ar darījumiem Latvijas nekustamā īpašuma tirgū. Pēc kopējā apjoma otrie lielākie ieguldījumi, kas uzrādīti TUA saņemšanai, ir ieguldījumi kredītiestādes subordinētajā kapitālā (63,7 milj. latu jeb 15% no visiem ieguldījumiem). Savukārt ieguldījumi kapitālsabiedrību pamatkapitālā veido 5% (jeb 20,2 milj. latu) no kopējām veiktajām investīcijām. </w:t>
      </w:r>
    </w:p>
    <w:p w:rsidR="009B10A4" w:rsidRPr="004A4736" w:rsidRDefault="009B10A4" w:rsidP="00A87939">
      <w:pPr>
        <w:pStyle w:val="ListParagraph"/>
        <w:numPr>
          <w:ilvl w:val="0"/>
          <w:numId w:val="38"/>
        </w:numPr>
        <w:spacing w:before="40" w:after="60" w:line="240" w:lineRule="auto"/>
        <w:ind w:left="284" w:hanging="284"/>
        <w:contextualSpacing w:val="0"/>
        <w:jc w:val="both"/>
        <w:rPr>
          <w:rFonts w:ascii="Times New Roman" w:hAnsi="Times New Roman"/>
          <w:sz w:val="26"/>
          <w:szCs w:val="26"/>
        </w:rPr>
      </w:pPr>
      <w:r w:rsidRPr="004A4736">
        <w:rPr>
          <w:rFonts w:ascii="Times New Roman" w:hAnsi="Times New Roman"/>
          <w:sz w:val="26"/>
          <w:szCs w:val="26"/>
        </w:rPr>
        <w:t>Saistībā ar attiecīgajām Imigrācijas likuma normām valsts budžets tiešā veidā no nodevām un pievienotās vērtības nodokļa veidā ir ieguvis vairāk nekā 40 milj. latu. Nekustamā īpašuma nodokļa veidā TUA pieteicēji ik gadu pašvaldību budžetos iemaksā konkrētu summu, kas, piemēram, 2013.gadā pārsniegts 400 tūkst. latu jeb nedaudz vairāk nekā 0,5% no kopumā valstī iekasētā nekustamā īpašuma nodokļa.. Savukārt kapitālsabiedrības, kuru darbība ir saistīta ar nerezidentu vai viņa ģimenes locekļiem, kas saņēmuši TUA gada laikā nodokļu veidā valsts budžetā 2012.gadā iemaksāja vairāk nekā 60 milj. latu gadā.</w:t>
      </w:r>
    </w:p>
    <w:p w:rsidR="009B10A4" w:rsidRPr="004A4736" w:rsidRDefault="009B10A4" w:rsidP="00E261A6">
      <w:pPr>
        <w:pStyle w:val="ListParagraph"/>
        <w:numPr>
          <w:ilvl w:val="0"/>
          <w:numId w:val="38"/>
        </w:numPr>
        <w:spacing w:after="0" w:line="240" w:lineRule="auto"/>
        <w:ind w:left="284" w:hanging="284"/>
        <w:jc w:val="both"/>
        <w:rPr>
          <w:rFonts w:ascii="Times New Roman" w:hAnsi="Times New Roman"/>
          <w:sz w:val="26"/>
          <w:szCs w:val="26"/>
        </w:rPr>
      </w:pPr>
      <w:r w:rsidRPr="004A4736">
        <w:rPr>
          <w:rFonts w:ascii="Times New Roman" w:hAnsi="Times New Roman"/>
          <w:sz w:val="26"/>
          <w:szCs w:val="26"/>
        </w:rPr>
        <w:t xml:space="preserve">Nozaru griezumā jūtama ietekme uz kopējām ĀTI plūsmām saistībā ar TUA saņemšanu ir novērojama tikai nekustamo īpašumu darījumu nozarē, bet pārējās nozarēs šī ietekme ir nenozīmīga. </w:t>
      </w:r>
    </w:p>
    <w:p w:rsidR="002C5E69" w:rsidRPr="004A4736" w:rsidRDefault="009B10A4" w:rsidP="002C5E69">
      <w:pPr>
        <w:pStyle w:val="ListParagraph"/>
        <w:numPr>
          <w:ilvl w:val="0"/>
          <w:numId w:val="38"/>
        </w:numPr>
        <w:spacing w:before="40" w:after="60" w:line="240" w:lineRule="auto"/>
        <w:ind w:left="284" w:hanging="284"/>
        <w:contextualSpacing w:val="0"/>
        <w:jc w:val="both"/>
        <w:rPr>
          <w:rFonts w:ascii="Times New Roman" w:hAnsi="Times New Roman"/>
          <w:sz w:val="26"/>
          <w:szCs w:val="26"/>
        </w:rPr>
      </w:pPr>
      <w:r w:rsidRPr="004A4736">
        <w:rPr>
          <w:rFonts w:ascii="Times New Roman" w:hAnsi="Times New Roman"/>
          <w:sz w:val="26"/>
          <w:szCs w:val="26"/>
        </w:rPr>
        <w:t>Ienākušie naudas līdzekļi ir veicinājuši ekonomisko aktivitāšu palielināšanos un brīvās naudas līdzekļu daudzumu Latvijā. Būtisku pozitīvu ietekmi no attiecīgajām Imigrācijas likuma normām ir izjutušas atsevišķas nozares – galvenokārt, finanšu un nekustamā īpašuma tirgus, kam Latvijā ienākošie finanšu līdzekļi ir ļāvuši mazināt krīzes izraisītās sekas un sastingumu nekustamo īpašumu tirgū.</w:t>
      </w:r>
    </w:p>
    <w:p w:rsidR="005436B6" w:rsidRDefault="000F0C1E" w:rsidP="005436B6">
      <w:pPr>
        <w:pStyle w:val="ListParagraph"/>
        <w:numPr>
          <w:ilvl w:val="0"/>
          <w:numId w:val="38"/>
        </w:numPr>
        <w:spacing w:before="40" w:after="60" w:line="240" w:lineRule="auto"/>
        <w:ind w:left="284" w:hanging="284"/>
        <w:contextualSpacing w:val="0"/>
        <w:jc w:val="both"/>
        <w:rPr>
          <w:rFonts w:ascii="Times New Roman" w:hAnsi="Times New Roman"/>
          <w:sz w:val="26"/>
          <w:szCs w:val="26"/>
        </w:rPr>
      </w:pPr>
      <w:r w:rsidRPr="004A4736">
        <w:rPr>
          <w:rFonts w:ascii="Times New Roman" w:hAnsi="Times New Roman"/>
          <w:sz w:val="26"/>
          <w:szCs w:val="26"/>
        </w:rPr>
        <w:t xml:space="preserve">Attiecīgās Imigrācijas likuma normas ir spēkā tikai trīs gadus, bet jau pašreiz redzams, ka investori vai viņa ģimenes locekļi, kas saņēmuši TUA, iesaistās saimnieciskajā darbībā. </w:t>
      </w:r>
    </w:p>
    <w:p w:rsidR="009B10A4" w:rsidRPr="005436B6" w:rsidRDefault="009B10A4" w:rsidP="005436B6">
      <w:pPr>
        <w:pStyle w:val="ListParagraph"/>
        <w:numPr>
          <w:ilvl w:val="0"/>
          <w:numId w:val="38"/>
        </w:numPr>
        <w:spacing w:before="40" w:after="60" w:line="240" w:lineRule="auto"/>
        <w:ind w:left="284" w:hanging="284"/>
        <w:contextualSpacing w:val="0"/>
        <w:jc w:val="both"/>
        <w:rPr>
          <w:rFonts w:ascii="Times New Roman" w:hAnsi="Times New Roman"/>
          <w:sz w:val="26"/>
          <w:szCs w:val="26"/>
        </w:rPr>
      </w:pPr>
      <w:r w:rsidRPr="005436B6">
        <w:rPr>
          <w:rFonts w:ascii="Times New Roman" w:hAnsi="Times New Roman"/>
          <w:sz w:val="26"/>
          <w:szCs w:val="26"/>
        </w:rPr>
        <w:t xml:space="preserve">Pēc recesijas pārvarēšanas ārvalstu investoriem un citiem pircējiem Latvija kļuvusi par pievilcīgu valsti nekustamā īpašuma iegādē. Mājokļu segmentā pircēji galvenokārt ir NVS valstu pilsoņi. Šī pircēju kategorija ietekmē jauno un ekskluzīvo mājokļu tirgu, galvenokārt darījuma apjoma ziņā. Attiecībā uz cenu ietekmi secināms, ka ar iepludināto finansējumu tiek saglabātas projekta attīstītāju pieprasītās cenas. Atsevišķās vietās vērojama arī cenu pieauguma tendence. </w:t>
      </w:r>
      <w:r w:rsidR="00DC62AB" w:rsidRPr="005436B6">
        <w:rPr>
          <w:rFonts w:ascii="Times New Roman" w:hAnsi="Times New Roman"/>
          <w:sz w:val="26"/>
          <w:szCs w:val="26"/>
        </w:rPr>
        <w:t>D</w:t>
      </w:r>
      <w:r w:rsidRPr="005436B6">
        <w:rPr>
          <w:rFonts w:ascii="Times New Roman" w:hAnsi="Times New Roman"/>
          <w:sz w:val="26"/>
          <w:szCs w:val="26"/>
        </w:rPr>
        <w:t xml:space="preserve">aļa jauno mājokļu projektu, kas šobrīd ir pabeigti, kuri tika apturēti recesijas laikā, vēl joprojām nebūtu pabeigti. </w:t>
      </w:r>
    </w:p>
    <w:p w:rsidR="009B10A4" w:rsidRPr="004A4736" w:rsidRDefault="009B10A4" w:rsidP="006C542E">
      <w:pPr>
        <w:pStyle w:val="ListParagraph"/>
        <w:numPr>
          <w:ilvl w:val="0"/>
          <w:numId w:val="38"/>
        </w:numPr>
        <w:spacing w:before="40" w:after="60" w:line="240" w:lineRule="auto"/>
        <w:ind w:left="426" w:hanging="426"/>
        <w:contextualSpacing w:val="0"/>
        <w:jc w:val="both"/>
        <w:rPr>
          <w:rFonts w:ascii="Times New Roman" w:hAnsi="Times New Roman"/>
          <w:sz w:val="26"/>
          <w:szCs w:val="26"/>
        </w:rPr>
      </w:pPr>
      <w:r w:rsidRPr="004A4736">
        <w:rPr>
          <w:rFonts w:ascii="Times New Roman" w:hAnsi="Times New Roman"/>
          <w:sz w:val="26"/>
          <w:szCs w:val="26"/>
        </w:rPr>
        <w:t xml:space="preserve">Nekustamā īpašuma iegāde, ja pircējs ir ārvalstnieks, ietekmē nekustamā īpašuma tirgu galvenokārt Rīgā un Jūrmalā – ekskluzīvās vietās un jaunajos projektos. Pārējā teritorijā un segmentos </w:t>
      </w:r>
      <w:r w:rsidR="00DC62AB" w:rsidRPr="004A4736">
        <w:rPr>
          <w:rFonts w:ascii="Times New Roman" w:hAnsi="Times New Roman"/>
          <w:sz w:val="26"/>
          <w:szCs w:val="26"/>
        </w:rPr>
        <w:t xml:space="preserve">ietekme uz nekustamo īpašumu tirgu ir minimāla un </w:t>
      </w:r>
      <w:r w:rsidRPr="004A4736">
        <w:rPr>
          <w:rFonts w:ascii="Times New Roman" w:hAnsi="Times New Roman"/>
          <w:sz w:val="26"/>
          <w:szCs w:val="26"/>
        </w:rPr>
        <w:t>tirgu neietekmē.</w:t>
      </w:r>
    </w:p>
    <w:p w:rsidR="009B10A4" w:rsidRPr="004A4736" w:rsidRDefault="009B10A4" w:rsidP="006C542E">
      <w:pPr>
        <w:pStyle w:val="ListParagraph"/>
        <w:numPr>
          <w:ilvl w:val="0"/>
          <w:numId w:val="38"/>
        </w:numPr>
        <w:spacing w:before="40" w:after="60" w:line="240" w:lineRule="auto"/>
        <w:ind w:left="426" w:hanging="426"/>
        <w:contextualSpacing w:val="0"/>
        <w:jc w:val="both"/>
        <w:rPr>
          <w:rFonts w:ascii="Times New Roman" w:hAnsi="Times New Roman"/>
          <w:sz w:val="26"/>
          <w:szCs w:val="26"/>
        </w:rPr>
      </w:pPr>
      <w:r w:rsidRPr="004A4736">
        <w:rPr>
          <w:rFonts w:ascii="Times New Roman" w:hAnsi="Times New Roman"/>
          <w:sz w:val="26"/>
          <w:szCs w:val="26"/>
        </w:rPr>
        <w:t xml:space="preserve">Par tirgus dalībniekiem no NVS valstīm viennozīmīgi nevar apgalvot, ka darījumi notiek tieši tāpēc, lai saņemtu TUA, jo liela NVS rezidentu veikto darījumu daļa notiek bez minēto atļauju pieprasīšanas – iespējams, darījumi notiktu arī bez atļaujas saņemšanas iespējas. TUA kā prioritāte nekustamā īpašuma iegādē varētu būt nekustamā īpašuma pircējiem no trešajām valstīm, kas nav NVS valstis. </w:t>
      </w:r>
    </w:p>
    <w:p w:rsidR="009B10A4" w:rsidRPr="004A4736" w:rsidRDefault="009B10A4" w:rsidP="006C542E">
      <w:pPr>
        <w:pStyle w:val="ListParagraph"/>
        <w:numPr>
          <w:ilvl w:val="0"/>
          <w:numId w:val="38"/>
        </w:numPr>
        <w:spacing w:before="40" w:after="60" w:line="240" w:lineRule="auto"/>
        <w:ind w:left="426" w:hanging="426"/>
        <w:contextualSpacing w:val="0"/>
        <w:jc w:val="both"/>
        <w:rPr>
          <w:rFonts w:ascii="Times New Roman" w:hAnsi="Times New Roman"/>
          <w:sz w:val="26"/>
          <w:szCs w:val="26"/>
        </w:rPr>
      </w:pPr>
      <w:r w:rsidRPr="004A4736">
        <w:rPr>
          <w:rFonts w:ascii="Times New Roman" w:hAnsi="Times New Roman"/>
          <w:sz w:val="26"/>
          <w:szCs w:val="26"/>
        </w:rPr>
        <w:t>Attiecībā par ietekmi uz kadastrālo vērtību – pašreiz veiktie darījumi kadastrālo vērtību neietekmē, jo ārvalstnieku darījumu ietekme ir tikai uz ekskluzīvo un jauno īpašumu segmentu Rīgā un Jūrmalā. Minētie darījumi netiek izmantoti sērijveida dzīvokļu un neekskluzīvo mājokļu kadastrālo vērtību bāzes izstrādē. Citos segmentos ārvalstnieku ietekme uz tirgu ir nebūtiska, līdz ar to nav ietekme uz kadastrālām vērtībām.</w:t>
      </w:r>
    </w:p>
    <w:p w:rsidR="009B10A4" w:rsidRPr="004A4736" w:rsidRDefault="009B10A4" w:rsidP="006C542E">
      <w:pPr>
        <w:pStyle w:val="ListParagraph"/>
        <w:numPr>
          <w:ilvl w:val="0"/>
          <w:numId w:val="38"/>
        </w:numPr>
        <w:spacing w:before="40" w:after="60" w:line="240" w:lineRule="auto"/>
        <w:ind w:left="426" w:hanging="426"/>
        <w:contextualSpacing w:val="0"/>
        <w:jc w:val="both"/>
        <w:rPr>
          <w:rFonts w:ascii="Times New Roman" w:hAnsi="Times New Roman"/>
          <w:sz w:val="26"/>
          <w:szCs w:val="26"/>
        </w:rPr>
      </w:pPr>
      <w:r w:rsidRPr="004A4736">
        <w:rPr>
          <w:rFonts w:ascii="Times New Roman" w:hAnsi="Times New Roman"/>
          <w:sz w:val="26"/>
          <w:szCs w:val="26"/>
        </w:rPr>
        <w:t>Kredītiestādes kā starpnieki TUA saņemšanas procesā iegūst gan jaunus klientus, gan vērā ņemamu aktīvu pieplūdumu. Attiecīgās Imigrācijas likuma normas ir devušas iespēju attīstīt iepriekš maz pieprasīto pakalpojumu – subordinēto aizdevumu. Piesaistītos līdzekļus kredītiestādēs atgriež apgrozījumā, izsniedzot kredītus, t.i. attīsta kreditēšanas sfēru un ļauj naudai strādāt tautsaimniecības interesēs.</w:t>
      </w:r>
    </w:p>
    <w:p w:rsidR="009B10A4" w:rsidRPr="004A4736" w:rsidRDefault="009B10A4" w:rsidP="006C542E">
      <w:pPr>
        <w:pStyle w:val="ListParagraph"/>
        <w:numPr>
          <w:ilvl w:val="0"/>
          <w:numId w:val="38"/>
        </w:numPr>
        <w:spacing w:before="40" w:after="60" w:line="240" w:lineRule="auto"/>
        <w:ind w:left="426" w:hanging="426"/>
        <w:contextualSpacing w:val="0"/>
        <w:jc w:val="both"/>
        <w:rPr>
          <w:rFonts w:ascii="Times New Roman" w:hAnsi="Times New Roman"/>
          <w:sz w:val="26"/>
          <w:szCs w:val="26"/>
        </w:rPr>
      </w:pPr>
      <w:r w:rsidRPr="004A4736">
        <w:rPr>
          <w:rFonts w:ascii="Times New Roman" w:hAnsi="Times New Roman"/>
          <w:sz w:val="26"/>
          <w:szCs w:val="26"/>
        </w:rPr>
        <w:t>Palielinoties piesaistītajam kapitālam, parādās iespēja refinansēt daļu no sliktajiem un kavētajiem kredītiem – tas nozīmē, ka to īpatsvaram parādās tendence samazināties, kā arī uzlabojas kredītiestāžu kapitāla pietiekamības rādītāji.</w:t>
      </w:r>
    </w:p>
    <w:p w:rsidR="009B10A4" w:rsidRPr="004A4736" w:rsidRDefault="009B10A4" w:rsidP="006C542E">
      <w:pPr>
        <w:pStyle w:val="ListParagraph"/>
        <w:numPr>
          <w:ilvl w:val="0"/>
          <w:numId w:val="38"/>
        </w:numPr>
        <w:spacing w:before="40" w:after="60" w:line="240" w:lineRule="auto"/>
        <w:ind w:left="426" w:hanging="426"/>
        <w:contextualSpacing w:val="0"/>
        <w:jc w:val="both"/>
        <w:rPr>
          <w:rFonts w:ascii="Times New Roman" w:hAnsi="Times New Roman"/>
          <w:sz w:val="26"/>
          <w:szCs w:val="26"/>
        </w:rPr>
      </w:pPr>
      <w:r w:rsidRPr="004A4736">
        <w:rPr>
          <w:rFonts w:ascii="Times New Roman" w:hAnsi="Times New Roman"/>
          <w:sz w:val="26"/>
          <w:szCs w:val="26"/>
        </w:rPr>
        <w:t>Kredītiestādēm un nekustamo īpašumu attīstītājiem attiecīgās Imigrācijas likuma normas ir izdevīgas un tie ir ieinteresēti, lai likuma priekšrocības izmantotu pēc iespējas vairāk investoru.</w:t>
      </w:r>
    </w:p>
    <w:p w:rsidR="009B10A4" w:rsidRPr="004A4736" w:rsidRDefault="009B10A4" w:rsidP="006C542E">
      <w:pPr>
        <w:pStyle w:val="ListParagraph"/>
        <w:numPr>
          <w:ilvl w:val="0"/>
          <w:numId w:val="38"/>
        </w:numPr>
        <w:spacing w:before="40" w:after="60" w:line="240" w:lineRule="auto"/>
        <w:ind w:left="426" w:hanging="426"/>
        <w:contextualSpacing w:val="0"/>
        <w:jc w:val="both"/>
        <w:rPr>
          <w:rFonts w:ascii="Times New Roman" w:hAnsi="Times New Roman"/>
          <w:sz w:val="26"/>
          <w:szCs w:val="26"/>
        </w:rPr>
      </w:pPr>
      <w:r w:rsidRPr="004A4736">
        <w:rPr>
          <w:rFonts w:ascii="Times New Roman" w:hAnsi="Times New Roman"/>
          <w:sz w:val="26"/>
          <w:szCs w:val="26"/>
        </w:rPr>
        <w:t>Attiecīgās Imigrācijas likuma normas pašreiz vājāk ietekmē ārvalstu investīciju piesaisti kapitālsabiedrību pamatkapitālā. Tāpēc TUA izsniegšanu pašlaik var vērtēt tikai kā vienu no stimuliem, kas var sniegt tiešu ieguldījumu ārvalstu investīciju piesaistei reālajā sektorā.</w:t>
      </w:r>
    </w:p>
    <w:p w:rsidR="009B10A4" w:rsidRPr="004A4736" w:rsidRDefault="009B10A4" w:rsidP="006C542E">
      <w:pPr>
        <w:pStyle w:val="ListParagraph"/>
        <w:numPr>
          <w:ilvl w:val="0"/>
          <w:numId w:val="38"/>
        </w:numPr>
        <w:spacing w:before="40" w:after="60" w:line="240" w:lineRule="auto"/>
        <w:ind w:left="426" w:hanging="426"/>
        <w:contextualSpacing w:val="0"/>
        <w:jc w:val="both"/>
        <w:rPr>
          <w:rFonts w:ascii="Times New Roman" w:hAnsi="Times New Roman"/>
          <w:sz w:val="26"/>
          <w:szCs w:val="26"/>
        </w:rPr>
      </w:pPr>
      <w:r w:rsidRPr="004A4736">
        <w:rPr>
          <w:rFonts w:ascii="Times New Roman" w:hAnsi="Times New Roman"/>
          <w:sz w:val="26"/>
          <w:szCs w:val="26"/>
        </w:rPr>
        <w:t>Nerezidenti, kas saņēmuši TUA Latvijā un iesaistījušies saimnieciskajā darbībā – ieņem kādu amatu kapitālsabiedrībā vai tiem pieder kapitāla daļas, daļu savu ieņēmumu pārved uz savu rezidējošo valsti.</w:t>
      </w:r>
    </w:p>
    <w:p w:rsidR="009B10A4" w:rsidRPr="004A4736" w:rsidRDefault="009B10A4" w:rsidP="006C542E">
      <w:pPr>
        <w:pStyle w:val="ListParagraph"/>
        <w:numPr>
          <w:ilvl w:val="0"/>
          <w:numId w:val="38"/>
        </w:numPr>
        <w:spacing w:before="40" w:after="60" w:line="240" w:lineRule="auto"/>
        <w:ind w:left="426" w:hanging="426"/>
        <w:contextualSpacing w:val="0"/>
        <w:jc w:val="both"/>
        <w:rPr>
          <w:rFonts w:ascii="Times New Roman" w:hAnsi="Times New Roman"/>
          <w:sz w:val="26"/>
          <w:szCs w:val="26"/>
        </w:rPr>
      </w:pPr>
      <w:r w:rsidRPr="004A4736">
        <w:rPr>
          <w:rFonts w:ascii="Times New Roman" w:hAnsi="Times New Roman"/>
          <w:sz w:val="26"/>
          <w:szCs w:val="26"/>
        </w:rPr>
        <w:t xml:space="preserve">Ņemot vērā, ka Latvijā ir skaidrs tiesiskais regulējums, droša un uzņēmējdarbībai draudzīga vide u.c. faktori, pastāv iespēja, ka ar laiku ārvalstu investori paplašinās savu saimniecisko darbību Latvijā. </w:t>
      </w:r>
    </w:p>
    <w:p w:rsidR="009B10A4" w:rsidRPr="004A4736" w:rsidRDefault="009B10A4" w:rsidP="006C542E">
      <w:pPr>
        <w:pStyle w:val="ListParagraph"/>
        <w:numPr>
          <w:ilvl w:val="0"/>
          <w:numId w:val="38"/>
        </w:numPr>
        <w:spacing w:before="40" w:after="60" w:line="240" w:lineRule="auto"/>
        <w:ind w:left="426" w:hanging="426"/>
        <w:contextualSpacing w:val="0"/>
        <w:jc w:val="both"/>
        <w:rPr>
          <w:rFonts w:ascii="Times New Roman" w:hAnsi="Times New Roman"/>
          <w:sz w:val="26"/>
          <w:szCs w:val="26"/>
        </w:rPr>
      </w:pPr>
      <w:r w:rsidRPr="004A4736">
        <w:rPr>
          <w:rFonts w:ascii="Times New Roman" w:hAnsi="Times New Roman"/>
          <w:sz w:val="26"/>
          <w:szCs w:val="26"/>
        </w:rPr>
        <w:t>Veicot grozījumus Imigrācijas likumā, lietderīgi būtu pārskatīt minimālās nekustamā īpašuma iegādes darījuma summas</w:t>
      </w:r>
      <w:r w:rsidR="005436B6">
        <w:rPr>
          <w:rFonts w:ascii="Times New Roman" w:hAnsi="Times New Roman"/>
          <w:sz w:val="26"/>
          <w:szCs w:val="26"/>
        </w:rPr>
        <w:t>.</w:t>
      </w:r>
      <w:r w:rsidRPr="004A4736">
        <w:rPr>
          <w:rFonts w:ascii="Times New Roman" w:hAnsi="Times New Roman"/>
          <w:sz w:val="26"/>
          <w:szCs w:val="26"/>
        </w:rPr>
        <w:t xml:space="preserve"> </w:t>
      </w:r>
    </w:p>
    <w:p w:rsidR="009B10A4" w:rsidRPr="004A4736" w:rsidRDefault="009B10A4" w:rsidP="006C542E">
      <w:pPr>
        <w:pStyle w:val="ListParagraph"/>
        <w:numPr>
          <w:ilvl w:val="0"/>
          <w:numId w:val="38"/>
        </w:numPr>
        <w:spacing w:before="40" w:after="60" w:line="240" w:lineRule="auto"/>
        <w:ind w:left="426" w:hanging="426"/>
        <w:contextualSpacing w:val="0"/>
        <w:jc w:val="both"/>
        <w:rPr>
          <w:rFonts w:ascii="Times New Roman" w:hAnsi="Times New Roman"/>
          <w:sz w:val="26"/>
          <w:szCs w:val="26"/>
        </w:rPr>
      </w:pPr>
      <w:r w:rsidRPr="004A4736">
        <w:rPr>
          <w:rFonts w:ascii="Times New Roman" w:hAnsi="Times New Roman"/>
          <w:sz w:val="26"/>
          <w:szCs w:val="26"/>
        </w:rPr>
        <w:t>Nepieciešams noteikt aktīvas saimnieciskās darbības kritērijus, kas apliecinātu, ka saskaņā ar Imigrācijas likuma 23.panta pirmās daļas 28.punkta b) apakšpunktu veiktais ieguldījums 100 000 latu apmērā dod ekonomisku labumu Latvijas Republikai.</w:t>
      </w:r>
    </w:p>
    <w:p w:rsidR="009B10A4" w:rsidRPr="004A4736" w:rsidRDefault="009B10A4" w:rsidP="006C542E">
      <w:pPr>
        <w:pStyle w:val="ListParagraph"/>
        <w:numPr>
          <w:ilvl w:val="0"/>
          <w:numId w:val="38"/>
        </w:numPr>
        <w:spacing w:before="40" w:after="60" w:line="240" w:lineRule="auto"/>
        <w:ind w:left="426" w:hanging="426"/>
        <w:contextualSpacing w:val="0"/>
        <w:jc w:val="both"/>
        <w:rPr>
          <w:rFonts w:ascii="Times New Roman" w:hAnsi="Times New Roman"/>
          <w:sz w:val="26"/>
          <w:szCs w:val="26"/>
        </w:rPr>
      </w:pPr>
      <w:r w:rsidRPr="004A4736">
        <w:rPr>
          <w:rFonts w:ascii="Times New Roman" w:hAnsi="Times New Roman"/>
          <w:sz w:val="26"/>
          <w:szCs w:val="26"/>
        </w:rPr>
        <w:t xml:space="preserve">Pirms grozījumu Imigrācijas likumā izstrādāšanas būtu lietderīgi iepazīties ar Kanādas investīciju un biznesa konsultāciju uzņēmuma </w:t>
      </w:r>
      <w:r w:rsidRPr="004A4736">
        <w:rPr>
          <w:rFonts w:ascii="Times New Roman" w:hAnsi="Times New Roman"/>
          <w:i/>
          <w:sz w:val="26"/>
          <w:szCs w:val="26"/>
        </w:rPr>
        <w:t>''</w:t>
      </w:r>
      <w:proofErr w:type="spellStart"/>
      <w:r w:rsidRPr="004A4736">
        <w:rPr>
          <w:rFonts w:ascii="Times New Roman" w:hAnsi="Times New Roman"/>
          <w:i/>
          <w:sz w:val="26"/>
          <w:szCs w:val="26"/>
        </w:rPr>
        <w:t>Raymond</w:t>
      </w:r>
      <w:proofErr w:type="spellEnd"/>
      <w:r w:rsidRPr="004A4736">
        <w:rPr>
          <w:rFonts w:ascii="Times New Roman" w:hAnsi="Times New Roman"/>
          <w:i/>
          <w:sz w:val="26"/>
          <w:szCs w:val="26"/>
        </w:rPr>
        <w:t xml:space="preserve"> </w:t>
      </w:r>
      <w:proofErr w:type="spellStart"/>
      <w:r w:rsidRPr="004A4736">
        <w:rPr>
          <w:rFonts w:ascii="Times New Roman" w:hAnsi="Times New Roman"/>
          <w:i/>
          <w:sz w:val="26"/>
          <w:szCs w:val="26"/>
        </w:rPr>
        <w:t>Chabot</w:t>
      </w:r>
      <w:proofErr w:type="spellEnd"/>
      <w:r w:rsidRPr="004A4736">
        <w:rPr>
          <w:rFonts w:ascii="Times New Roman" w:hAnsi="Times New Roman"/>
          <w:i/>
          <w:sz w:val="26"/>
          <w:szCs w:val="26"/>
        </w:rPr>
        <w:t xml:space="preserve"> </w:t>
      </w:r>
      <w:proofErr w:type="spellStart"/>
      <w:r w:rsidRPr="004A4736">
        <w:rPr>
          <w:rFonts w:ascii="Times New Roman" w:hAnsi="Times New Roman"/>
          <w:i/>
          <w:sz w:val="26"/>
          <w:szCs w:val="26"/>
        </w:rPr>
        <w:t>Grant</w:t>
      </w:r>
      <w:proofErr w:type="spellEnd"/>
      <w:r w:rsidRPr="004A4736">
        <w:rPr>
          <w:rFonts w:ascii="Times New Roman" w:hAnsi="Times New Roman"/>
          <w:i/>
          <w:sz w:val="26"/>
          <w:szCs w:val="26"/>
        </w:rPr>
        <w:t xml:space="preserve"> </w:t>
      </w:r>
      <w:proofErr w:type="spellStart"/>
      <w:r w:rsidRPr="004A4736">
        <w:rPr>
          <w:rFonts w:ascii="Times New Roman" w:hAnsi="Times New Roman"/>
          <w:i/>
          <w:sz w:val="26"/>
          <w:szCs w:val="26"/>
        </w:rPr>
        <w:t>Thornton</w:t>
      </w:r>
      <w:proofErr w:type="spellEnd"/>
      <w:r w:rsidRPr="004A4736">
        <w:rPr>
          <w:rFonts w:ascii="Times New Roman" w:hAnsi="Times New Roman"/>
          <w:i/>
          <w:sz w:val="26"/>
          <w:szCs w:val="26"/>
        </w:rPr>
        <w:t xml:space="preserve"> LLP''</w:t>
      </w:r>
      <w:r w:rsidRPr="004A4736">
        <w:rPr>
          <w:rFonts w:ascii="Times New Roman" w:hAnsi="Times New Roman"/>
          <w:sz w:val="26"/>
          <w:szCs w:val="26"/>
        </w:rPr>
        <w:t xml:space="preserve"> pētījumu par uzturēšanās atļauju programmu darbību Latvijā un citur pasaulē. Informatīvā ziņojuma izstrādes laikā pētījuma rezultāti vēl nebija pieejami.</w:t>
      </w:r>
    </w:p>
    <w:p w:rsidR="009B10A4" w:rsidRPr="004A4736" w:rsidRDefault="009B10A4" w:rsidP="00F1318C">
      <w:pPr>
        <w:pStyle w:val="ListParagraph"/>
        <w:spacing w:before="40" w:after="60" w:line="240" w:lineRule="auto"/>
        <w:contextualSpacing w:val="0"/>
        <w:jc w:val="both"/>
        <w:rPr>
          <w:rFonts w:ascii="Times New Roman" w:hAnsi="Times New Roman"/>
          <w:sz w:val="26"/>
          <w:szCs w:val="26"/>
        </w:rPr>
      </w:pPr>
    </w:p>
    <w:p w:rsidR="009B10A4" w:rsidRPr="004A4736" w:rsidRDefault="009B10A4" w:rsidP="00F1318C">
      <w:pPr>
        <w:pStyle w:val="ListParagraph"/>
        <w:spacing w:before="40" w:after="60" w:line="240" w:lineRule="auto"/>
        <w:contextualSpacing w:val="0"/>
        <w:jc w:val="both"/>
        <w:rPr>
          <w:rFonts w:ascii="Times New Roman" w:hAnsi="Times New Roman"/>
          <w:sz w:val="26"/>
          <w:szCs w:val="26"/>
        </w:rPr>
      </w:pPr>
    </w:p>
    <w:p w:rsidR="009B10A4" w:rsidRPr="004A4736" w:rsidRDefault="009B10A4" w:rsidP="009C2D0C">
      <w:pPr>
        <w:tabs>
          <w:tab w:val="left" w:pos="5123"/>
          <w:tab w:val="left" w:pos="6431"/>
        </w:tabs>
        <w:spacing w:after="0" w:line="240" w:lineRule="auto"/>
        <w:rPr>
          <w:rFonts w:ascii="Times New Roman" w:hAnsi="Times New Roman"/>
          <w:sz w:val="26"/>
          <w:szCs w:val="26"/>
        </w:rPr>
      </w:pPr>
      <w:r w:rsidRPr="004A4736">
        <w:rPr>
          <w:rFonts w:ascii="Times New Roman" w:hAnsi="Times New Roman"/>
          <w:sz w:val="26"/>
          <w:szCs w:val="26"/>
        </w:rPr>
        <w:t>Ministru prezidents</w:t>
      </w:r>
      <w:r w:rsidRPr="004A4736">
        <w:rPr>
          <w:rFonts w:ascii="Times New Roman" w:hAnsi="Times New Roman"/>
          <w:sz w:val="26"/>
          <w:szCs w:val="26"/>
        </w:rPr>
        <w:tab/>
      </w:r>
      <w:r w:rsidRPr="004A4736">
        <w:rPr>
          <w:rFonts w:ascii="Times New Roman" w:hAnsi="Times New Roman"/>
          <w:sz w:val="26"/>
          <w:szCs w:val="26"/>
        </w:rPr>
        <w:tab/>
        <w:t>V. Dombrovskis</w:t>
      </w:r>
    </w:p>
    <w:p w:rsidR="009B10A4" w:rsidRPr="004A4736" w:rsidRDefault="009B10A4" w:rsidP="009C2D0C">
      <w:pPr>
        <w:tabs>
          <w:tab w:val="left" w:pos="6758"/>
        </w:tabs>
        <w:spacing w:after="0" w:line="240" w:lineRule="auto"/>
        <w:rPr>
          <w:rFonts w:ascii="Times New Roman" w:hAnsi="Times New Roman"/>
          <w:sz w:val="26"/>
          <w:szCs w:val="26"/>
        </w:rPr>
      </w:pPr>
    </w:p>
    <w:p w:rsidR="009B10A4" w:rsidRPr="004A4736" w:rsidRDefault="009B10A4" w:rsidP="009C2D0C">
      <w:pPr>
        <w:tabs>
          <w:tab w:val="left" w:pos="6758"/>
        </w:tabs>
        <w:spacing w:after="0" w:line="240" w:lineRule="auto"/>
        <w:rPr>
          <w:rFonts w:ascii="Times New Roman" w:hAnsi="Times New Roman"/>
          <w:sz w:val="26"/>
          <w:szCs w:val="26"/>
        </w:rPr>
      </w:pPr>
    </w:p>
    <w:p w:rsidR="009B10A4" w:rsidRPr="004A4736" w:rsidRDefault="009B10A4" w:rsidP="009C2D0C">
      <w:pPr>
        <w:tabs>
          <w:tab w:val="left" w:pos="6758"/>
        </w:tabs>
        <w:spacing w:after="0" w:line="240" w:lineRule="auto"/>
        <w:rPr>
          <w:rFonts w:ascii="Times New Roman" w:hAnsi="Times New Roman"/>
          <w:sz w:val="26"/>
          <w:szCs w:val="26"/>
        </w:rPr>
      </w:pPr>
    </w:p>
    <w:p w:rsidR="009B10A4" w:rsidRPr="004A4736" w:rsidRDefault="009B10A4" w:rsidP="009C2D0C">
      <w:pPr>
        <w:tabs>
          <w:tab w:val="left" w:pos="6758"/>
        </w:tabs>
        <w:spacing w:after="0" w:line="240" w:lineRule="auto"/>
        <w:rPr>
          <w:rFonts w:ascii="Times New Roman" w:hAnsi="Times New Roman"/>
          <w:sz w:val="26"/>
          <w:szCs w:val="26"/>
        </w:rPr>
      </w:pPr>
      <w:r w:rsidRPr="004A4736">
        <w:rPr>
          <w:rFonts w:ascii="Times New Roman" w:hAnsi="Times New Roman"/>
          <w:sz w:val="26"/>
          <w:szCs w:val="26"/>
        </w:rPr>
        <w:t>Iesniedzējs:</w:t>
      </w:r>
    </w:p>
    <w:p w:rsidR="009B10A4" w:rsidRPr="004A4736" w:rsidRDefault="009B10A4" w:rsidP="009C2D0C">
      <w:pPr>
        <w:tabs>
          <w:tab w:val="left" w:pos="6431"/>
          <w:tab w:val="left" w:pos="6758"/>
        </w:tabs>
        <w:spacing w:after="0" w:line="240" w:lineRule="auto"/>
        <w:rPr>
          <w:rFonts w:ascii="Times New Roman" w:hAnsi="Times New Roman"/>
          <w:sz w:val="26"/>
          <w:szCs w:val="26"/>
        </w:rPr>
      </w:pPr>
      <w:r w:rsidRPr="004A4736">
        <w:rPr>
          <w:rFonts w:ascii="Times New Roman" w:hAnsi="Times New Roman"/>
          <w:sz w:val="26"/>
          <w:szCs w:val="26"/>
        </w:rPr>
        <w:t xml:space="preserve">Iekšlietu ministrs </w:t>
      </w:r>
      <w:r w:rsidRPr="004A4736">
        <w:rPr>
          <w:rFonts w:ascii="Times New Roman" w:hAnsi="Times New Roman"/>
          <w:sz w:val="26"/>
          <w:szCs w:val="26"/>
        </w:rPr>
        <w:tab/>
        <w:t>R. Kozlovskis</w:t>
      </w:r>
    </w:p>
    <w:p w:rsidR="009B10A4" w:rsidRPr="004A4736" w:rsidRDefault="009B10A4" w:rsidP="009C2D0C">
      <w:pPr>
        <w:tabs>
          <w:tab w:val="left" w:pos="6758"/>
        </w:tabs>
        <w:spacing w:after="0" w:line="240" w:lineRule="auto"/>
        <w:rPr>
          <w:rFonts w:ascii="Times New Roman" w:hAnsi="Times New Roman"/>
          <w:sz w:val="26"/>
          <w:szCs w:val="26"/>
        </w:rPr>
      </w:pPr>
    </w:p>
    <w:p w:rsidR="009B10A4" w:rsidRPr="004A4736" w:rsidRDefault="009B10A4" w:rsidP="009C2D0C">
      <w:pPr>
        <w:spacing w:after="0" w:line="240" w:lineRule="auto"/>
        <w:ind w:left="720" w:hanging="720"/>
        <w:rPr>
          <w:rFonts w:ascii="Times New Roman" w:hAnsi="Times New Roman"/>
          <w:sz w:val="26"/>
          <w:szCs w:val="26"/>
        </w:rPr>
      </w:pPr>
    </w:p>
    <w:p w:rsidR="009B10A4" w:rsidRPr="004A4736" w:rsidRDefault="009B10A4" w:rsidP="009C2D0C">
      <w:pPr>
        <w:spacing w:after="0" w:line="240" w:lineRule="auto"/>
        <w:ind w:left="720" w:hanging="720"/>
        <w:rPr>
          <w:rFonts w:ascii="Times New Roman" w:hAnsi="Times New Roman"/>
          <w:sz w:val="26"/>
          <w:szCs w:val="26"/>
        </w:rPr>
      </w:pPr>
      <w:r w:rsidRPr="004A4736">
        <w:rPr>
          <w:rFonts w:ascii="Times New Roman" w:hAnsi="Times New Roman"/>
          <w:sz w:val="26"/>
          <w:szCs w:val="26"/>
        </w:rPr>
        <w:t>Vīza:</w:t>
      </w:r>
    </w:p>
    <w:p w:rsidR="009B10A4" w:rsidRPr="004A4736" w:rsidRDefault="009B10A4" w:rsidP="009C2D0C">
      <w:pPr>
        <w:tabs>
          <w:tab w:val="left" w:pos="6431"/>
        </w:tabs>
        <w:spacing w:after="0" w:line="240" w:lineRule="auto"/>
        <w:ind w:left="720" w:hanging="720"/>
        <w:rPr>
          <w:rFonts w:ascii="Times New Roman" w:hAnsi="Times New Roman"/>
          <w:sz w:val="26"/>
          <w:szCs w:val="26"/>
        </w:rPr>
      </w:pPr>
      <w:r w:rsidRPr="004A4736">
        <w:rPr>
          <w:rFonts w:ascii="Times New Roman" w:hAnsi="Times New Roman"/>
          <w:sz w:val="26"/>
          <w:szCs w:val="26"/>
        </w:rPr>
        <w:t xml:space="preserve">Valsts </w:t>
      </w:r>
      <w:r w:rsidR="00B415A1">
        <w:rPr>
          <w:rFonts w:ascii="Times New Roman" w:hAnsi="Times New Roman"/>
          <w:sz w:val="26"/>
          <w:szCs w:val="26"/>
        </w:rPr>
        <w:t>sekretāre</w:t>
      </w:r>
      <w:r w:rsidRPr="004A4736">
        <w:rPr>
          <w:rFonts w:ascii="Times New Roman" w:hAnsi="Times New Roman"/>
          <w:sz w:val="26"/>
          <w:szCs w:val="26"/>
        </w:rPr>
        <w:tab/>
      </w:r>
      <w:r w:rsidRPr="004A4736">
        <w:rPr>
          <w:rFonts w:ascii="Times New Roman" w:hAnsi="Times New Roman"/>
          <w:sz w:val="26"/>
          <w:szCs w:val="26"/>
        </w:rPr>
        <w:tab/>
        <w:t>I.</w:t>
      </w:r>
      <w:r w:rsidR="00B415A1">
        <w:rPr>
          <w:rFonts w:ascii="Times New Roman" w:hAnsi="Times New Roman"/>
          <w:sz w:val="26"/>
          <w:szCs w:val="26"/>
        </w:rPr>
        <w:t xml:space="preserve"> Pētersone-Godmane</w:t>
      </w:r>
    </w:p>
    <w:p w:rsidR="009B10A4" w:rsidRPr="004A4736" w:rsidRDefault="009B10A4" w:rsidP="009C2D0C">
      <w:pPr>
        <w:spacing w:after="0" w:line="240" w:lineRule="auto"/>
        <w:ind w:right="-328" w:hanging="720"/>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9B10A4" w:rsidP="009C2D0C">
      <w:pPr>
        <w:spacing w:after="0" w:line="240" w:lineRule="auto"/>
        <w:ind w:right="-328"/>
        <w:jc w:val="both"/>
        <w:rPr>
          <w:rFonts w:ascii="Times New Roman" w:hAnsi="Times New Roman"/>
          <w:sz w:val="26"/>
          <w:szCs w:val="26"/>
        </w:rPr>
      </w:pPr>
    </w:p>
    <w:p w:rsidR="009B10A4" w:rsidRPr="004A4736" w:rsidRDefault="0037397C" w:rsidP="009C2D0C">
      <w:pPr>
        <w:spacing w:after="0" w:line="240" w:lineRule="auto"/>
        <w:ind w:right="-328"/>
        <w:jc w:val="both"/>
        <w:rPr>
          <w:rFonts w:ascii="Times New Roman" w:hAnsi="Times New Roman"/>
          <w:sz w:val="24"/>
          <w:szCs w:val="24"/>
        </w:rPr>
      </w:pPr>
      <w:r>
        <w:rPr>
          <w:rFonts w:ascii="Times New Roman" w:hAnsi="Times New Roman"/>
          <w:sz w:val="24"/>
          <w:szCs w:val="24"/>
        </w:rPr>
        <w:t>10</w:t>
      </w:r>
      <w:r w:rsidR="009B10A4" w:rsidRPr="004A4736">
        <w:rPr>
          <w:rFonts w:ascii="Times New Roman" w:hAnsi="Times New Roman"/>
          <w:sz w:val="24"/>
          <w:szCs w:val="24"/>
        </w:rPr>
        <w:t>.</w:t>
      </w:r>
      <w:r w:rsidR="004A4736">
        <w:rPr>
          <w:rFonts w:ascii="Times New Roman" w:hAnsi="Times New Roman"/>
          <w:sz w:val="24"/>
          <w:szCs w:val="24"/>
        </w:rPr>
        <w:t>09</w:t>
      </w:r>
      <w:r w:rsidR="009B10A4" w:rsidRPr="004A4736">
        <w:rPr>
          <w:rFonts w:ascii="Times New Roman" w:hAnsi="Times New Roman"/>
          <w:sz w:val="24"/>
          <w:szCs w:val="24"/>
        </w:rPr>
        <w:t>.2013</w:t>
      </w:r>
      <w:r w:rsidR="004A4736">
        <w:rPr>
          <w:rFonts w:ascii="Times New Roman" w:hAnsi="Times New Roman"/>
          <w:sz w:val="24"/>
          <w:szCs w:val="24"/>
        </w:rPr>
        <w:t>.</w:t>
      </w:r>
      <w:r w:rsidR="009B10A4" w:rsidRPr="004A4736">
        <w:rPr>
          <w:rFonts w:ascii="Times New Roman" w:hAnsi="Times New Roman"/>
          <w:sz w:val="24"/>
          <w:szCs w:val="24"/>
        </w:rPr>
        <w:t xml:space="preserve"> </w:t>
      </w:r>
      <w:r w:rsidR="00B54B9F">
        <w:rPr>
          <w:rFonts w:ascii="Times New Roman" w:hAnsi="Times New Roman"/>
          <w:sz w:val="24"/>
          <w:szCs w:val="24"/>
        </w:rPr>
        <w:t>21:3</w:t>
      </w:r>
      <w:r w:rsidR="009117BF">
        <w:rPr>
          <w:rFonts w:ascii="Times New Roman" w:hAnsi="Times New Roman"/>
          <w:sz w:val="24"/>
          <w:szCs w:val="24"/>
        </w:rPr>
        <w:t>5</w:t>
      </w:r>
      <w:bookmarkStart w:id="31" w:name="_GoBack"/>
      <w:bookmarkEnd w:id="31"/>
    </w:p>
    <w:p w:rsidR="009B10A4" w:rsidRPr="004A4736" w:rsidRDefault="004A4736" w:rsidP="009C2D0C">
      <w:pPr>
        <w:spacing w:after="0" w:line="240" w:lineRule="auto"/>
        <w:ind w:right="-328"/>
        <w:rPr>
          <w:rFonts w:ascii="Times New Roman" w:hAnsi="Times New Roman"/>
          <w:sz w:val="24"/>
          <w:szCs w:val="24"/>
        </w:rPr>
      </w:pPr>
      <w:r>
        <w:rPr>
          <w:rFonts w:ascii="Times New Roman" w:hAnsi="Times New Roman"/>
          <w:sz w:val="24"/>
          <w:szCs w:val="24"/>
        </w:rPr>
        <w:t>7</w:t>
      </w:r>
      <w:r w:rsidR="00B54B9F">
        <w:rPr>
          <w:rFonts w:ascii="Times New Roman" w:hAnsi="Times New Roman"/>
          <w:sz w:val="24"/>
          <w:szCs w:val="24"/>
        </w:rPr>
        <w:t>312</w:t>
      </w:r>
    </w:p>
    <w:p w:rsidR="009B10A4" w:rsidRPr="004A4736" w:rsidRDefault="009B10A4" w:rsidP="009C2D0C">
      <w:pPr>
        <w:spacing w:after="0" w:line="240" w:lineRule="auto"/>
        <w:ind w:right="-328"/>
        <w:rPr>
          <w:rFonts w:ascii="Times New Roman" w:hAnsi="Times New Roman"/>
          <w:sz w:val="24"/>
          <w:szCs w:val="24"/>
        </w:rPr>
      </w:pPr>
      <w:r w:rsidRPr="004A4736">
        <w:rPr>
          <w:rFonts w:ascii="Times New Roman" w:hAnsi="Times New Roman"/>
          <w:sz w:val="24"/>
          <w:szCs w:val="24"/>
        </w:rPr>
        <w:t>I. Briede, 67219546</w:t>
      </w:r>
    </w:p>
    <w:p w:rsidR="009B10A4" w:rsidRPr="009C2D0C" w:rsidRDefault="00B17281" w:rsidP="009C2D0C">
      <w:pPr>
        <w:spacing w:after="0" w:line="240" w:lineRule="auto"/>
        <w:ind w:right="-328"/>
        <w:rPr>
          <w:rFonts w:ascii="Times New Roman" w:hAnsi="Times New Roman"/>
          <w:sz w:val="24"/>
          <w:szCs w:val="24"/>
        </w:rPr>
      </w:pPr>
      <w:hyperlink r:id="rId24" w:history="1">
        <w:r w:rsidR="009B10A4" w:rsidRPr="004A4736">
          <w:rPr>
            <w:rFonts w:ascii="Times New Roman" w:hAnsi="Times New Roman"/>
            <w:sz w:val="24"/>
            <w:szCs w:val="24"/>
          </w:rPr>
          <w:t>ilze.briede@pmlp.gov.lv</w:t>
        </w:r>
      </w:hyperlink>
      <w:r w:rsidR="009B10A4">
        <w:rPr>
          <w:rFonts w:ascii="Times New Roman" w:hAnsi="Times New Roman"/>
          <w:sz w:val="24"/>
          <w:szCs w:val="24"/>
        </w:rPr>
        <w:t xml:space="preserve"> </w:t>
      </w:r>
      <w:r w:rsidR="009B10A4" w:rsidRPr="009C2D0C">
        <w:rPr>
          <w:rFonts w:ascii="Times New Roman" w:hAnsi="Times New Roman"/>
          <w:sz w:val="24"/>
          <w:szCs w:val="24"/>
        </w:rPr>
        <w:t xml:space="preserve"> </w:t>
      </w:r>
    </w:p>
    <w:p w:rsidR="009B10A4" w:rsidRPr="009C2D0C" w:rsidRDefault="009B10A4" w:rsidP="009C2D0C">
      <w:pPr>
        <w:pStyle w:val="ListParagraph"/>
        <w:spacing w:after="0" w:line="240" w:lineRule="auto"/>
        <w:ind w:left="0"/>
        <w:contextualSpacing w:val="0"/>
        <w:jc w:val="both"/>
        <w:rPr>
          <w:rFonts w:ascii="Times New Roman" w:hAnsi="Times New Roman"/>
          <w:sz w:val="24"/>
          <w:szCs w:val="24"/>
        </w:rPr>
      </w:pPr>
    </w:p>
    <w:p w:rsidR="009B10A4" w:rsidRPr="009C2D0C" w:rsidRDefault="009B10A4">
      <w:pPr>
        <w:rPr>
          <w:rFonts w:ascii="Times New Roman" w:hAnsi="Times New Roman"/>
          <w:sz w:val="24"/>
          <w:szCs w:val="24"/>
        </w:rPr>
      </w:pPr>
    </w:p>
    <w:sectPr w:rsidR="009B10A4" w:rsidRPr="009C2D0C" w:rsidSect="0006249E">
      <w:headerReference w:type="even" r:id="rId25"/>
      <w:headerReference w:type="default" r:id="rId26"/>
      <w:footerReference w:type="default" r:id="rId27"/>
      <w:footerReference w:type="first" r:id="rId28"/>
      <w:pgSz w:w="11906" w:h="16838"/>
      <w:pgMar w:top="1134" w:right="991" w:bottom="1560" w:left="1560" w:header="70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81" w:rsidRDefault="00B17281" w:rsidP="006F61F5">
      <w:pPr>
        <w:spacing w:after="0" w:line="240" w:lineRule="auto"/>
      </w:pPr>
      <w:r>
        <w:separator/>
      </w:r>
    </w:p>
  </w:endnote>
  <w:endnote w:type="continuationSeparator" w:id="0">
    <w:p w:rsidR="00B17281" w:rsidRDefault="00B17281" w:rsidP="006F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81" w:rsidRPr="00801226" w:rsidRDefault="00B17281" w:rsidP="00801226">
    <w:pPr>
      <w:spacing w:after="0" w:line="240" w:lineRule="auto"/>
      <w:jc w:val="both"/>
      <w:rPr>
        <w:rFonts w:ascii="Times New Roman" w:hAnsi="Times New Roman"/>
        <w:sz w:val="20"/>
        <w:szCs w:val="20"/>
      </w:rPr>
    </w:pPr>
    <w:r>
      <w:rPr>
        <w:rFonts w:ascii="Times New Roman" w:hAnsi="Times New Roman"/>
        <w:sz w:val="20"/>
        <w:szCs w:val="20"/>
      </w:rPr>
      <w:t xml:space="preserve">IEMZino_100913; Ziņojums par </w:t>
    </w:r>
    <w:r w:rsidRPr="00282BC6">
      <w:rPr>
        <w:rFonts w:ascii="Times New Roman" w:hAnsi="Times New Roman"/>
        <w:sz w:val="20"/>
        <w:szCs w:val="20"/>
      </w:rPr>
      <w:t xml:space="preserve">Imigrācijas likuma 23.panta pirmās daļas 3., 28., 29. un 30.punktā paredzēto noteikumu īstenošanas </w:t>
    </w:r>
    <w:r>
      <w:rPr>
        <w:rFonts w:ascii="Times New Roman" w:hAnsi="Times New Roman"/>
        <w:sz w:val="20"/>
        <w:szCs w:val="20"/>
      </w:rPr>
      <w:t>gaitu un rezultātiem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81" w:rsidRPr="004A4736" w:rsidRDefault="00B17281" w:rsidP="004A4736">
    <w:pPr>
      <w:spacing w:after="0" w:line="240" w:lineRule="auto"/>
      <w:jc w:val="both"/>
      <w:rPr>
        <w:rFonts w:ascii="Times New Roman" w:hAnsi="Times New Roman"/>
        <w:sz w:val="20"/>
        <w:szCs w:val="20"/>
      </w:rPr>
    </w:pPr>
    <w:r>
      <w:rPr>
        <w:rFonts w:ascii="Times New Roman" w:hAnsi="Times New Roman"/>
        <w:sz w:val="20"/>
        <w:szCs w:val="20"/>
      </w:rPr>
      <w:t xml:space="preserve">IEMZino_100913; Ziņojums par </w:t>
    </w:r>
    <w:r w:rsidRPr="00282BC6">
      <w:rPr>
        <w:rFonts w:ascii="Times New Roman" w:hAnsi="Times New Roman"/>
        <w:sz w:val="20"/>
        <w:szCs w:val="20"/>
      </w:rPr>
      <w:t xml:space="preserve">Imigrācijas likuma 23.panta pirmās daļas 3., 28., 29. un 30.punktā paredzēto noteikumu īstenošanas </w:t>
    </w:r>
    <w:r>
      <w:rPr>
        <w:rFonts w:ascii="Times New Roman" w:hAnsi="Times New Roman"/>
        <w:sz w:val="20"/>
        <w:szCs w:val="20"/>
      </w:rPr>
      <w:t>gaitu un rezultātiem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81" w:rsidRDefault="00B17281" w:rsidP="006F61F5">
      <w:pPr>
        <w:spacing w:after="0" w:line="240" w:lineRule="auto"/>
      </w:pPr>
      <w:r>
        <w:separator/>
      </w:r>
    </w:p>
  </w:footnote>
  <w:footnote w:type="continuationSeparator" w:id="0">
    <w:p w:rsidR="00B17281" w:rsidRDefault="00B17281" w:rsidP="006F61F5">
      <w:pPr>
        <w:spacing w:after="0" w:line="240" w:lineRule="auto"/>
      </w:pPr>
      <w:r>
        <w:continuationSeparator/>
      </w:r>
    </w:p>
  </w:footnote>
  <w:footnote w:id="1">
    <w:p w:rsidR="00B17281" w:rsidRPr="002A69E3" w:rsidRDefault="00B17281">
      <w:pPr>
        <w:pStyle w:val="FootnoteText"/>
        <w:rPr>
          <w:rFonts w:ascii="Times New Roman" w:hAnsi="Times New Roman"/>
        </w:rPr>
      </w:pPr>
      <w:r w:rsidRPr="002A69E3">
        <w:rPr>
          <w:rStyle w:val="FootnoteReference"/>
          <w:rFonts w:ascii="Times New Roman" w:hAnsi="Times New Roman"/>
        </w:rPr>
        <w:footnoteRef/>
      </w:r>
      <w:r w:rsidRPr="002A69E3">
        <w:rPr>
          <w:rFonts w:ascii="Times New Roman" w:hAnsi="Times New Roman"/>
        </w:rPr>
        <w:t xml:space="preserve"> Ministru kabineta 2010.gada 21.jūnija noteikumi Nr.554 „Noteikumi par valstīm, kuru pilsoņiem, izsniedzot vīzu vai uzturēšanās atļauju, veic papildu pārbaudi”</w:t>
      </w:r>
    </w:p>
  </w:footnote>
  <w:footnote w:id="2">
    <w:p w:rsidR="00B17281" w:rsidRPr="00393FDE" w:rsidRDefault="00B17281" w:rsidP="00393FDE">
      <w:pPr>
        <w:autoSpaceDE w:val="0"/>
        <w:autoSpaceDN w:val="0"/>
        <w:adjustRightInd w:val="0"/>
        <w:spacing w:after="0" w:line="240" w:lineRule="auto"/>
        <w:jc w:val="both"/>
        <w:rPr>
          <w:rFonts w:ascii="Times New Roman" w:hAnsi="Times New Roman"/>
          <w:bCs/>
          <w:sz w:val="24"/>
          <w:szCs w:val="28"/>
        </w:rPr>
      </w:pPr>
      <w:r w:rsidRPr="00393FDE">
        <w:rPr>
          <w:rStyle w:val="FootnoteReference"/>
          <w:rFonts w:ascii="Times New Roman" w:hAnsi="Times New Roman"/>
          <w:sz w:val="20"/>
        </w:rPr>
        <w:footnoteRef/>
      </w:r>
      <w:r w:rsidRPr="00393FDE">
        <w:rPr>
          <w:rFonts w:ascii="Times New Roman" w:hAnsi="Times New Roman"/>
          <w:sz w:val="20"/>
        </w:rPr>
        <w:t xml:space="preserve"> </w:t>
      </w:r>
      <w:hyperlink r:id="rId1" w:history="1">
        <w:r w:rsidRPr="00393FDE">
          <w:rPr>
            <w:rStyle w:val="Hyperlink"/>
            <w:rFonts w:ascii="Times New Roman" w:hAnsi="Times New Roman"/>
            <w:sz w:val="20"/>
            <w:szCs w:val="24"/>
          </w:rPr>
          <w:t>http://www.profi-forex.org/novosti-mira/novosti-evropy/entry1008079480</w:t>
        </w:r>
      </w:hyperlink>
    </w:p>
    <w:p w:rsidR="00B17281" w:rsidRDefault="00B17281" w:rsidP="00393FDE">
      <w:pPr>
        <w:autoSpaceDE w:val="0"/>
        <w:autoSpaceDN w:val="0"/>
        <w:adjustRightInd w:val="0"/>
        <w:spacing w:after="0" w:line="240" w:lineRule="auto"/>
        <w:jc w:val="both"/>
      </w:pPr>
    </w:p>
  </w:footnote>
  <w:footnote w:id="3">
    <w:p w:rsidR="00B17281" w:rsidRDefault="00B17281">
      <w:pPr>
        <w:pStyle w:val="FootnoteText"/>
      </w:pPr>
      <w:r w:rsidRPr="00A71448">
        <w:rPr>
          <w:rStyle w:val="FootnoteReference"/>
          <w:rFonts w:ascii="Times New Roman" w:hAnsi="Times New Roman"/>
        </w:rPr>
        <w:footnoteRef/>
      </w:r>
      <w:r w:rsidRPr="00A71448">
        <w:rPr>
          <w:rFonts w:ascii="Times New Roman" w:hAnsi="Times New Roman"/>
        </w:rPr>
        <w:t xml:space="preserve"> </w:t>
      </w:r>
      <w:r w:rsidRPr="002069CB">
        <w:rPr>
          <w:rFonts w:ascii="Times New Roman" w:hAnsi="Times New Roman"/>
        </w:rPr>
        <w:t>Valsts zemes dienesta vērtējums</w:t>
      </w:r>
    </w:p>
  </w:footnote>
  <w:footnote w:id="4">
    <w:p w:rsidR="00B17281" w:rsidRDefault="00B17281">
      <w:pPr>
        <w:pStyle w:val="FootnoteText"/>
      </w:pPr>
      <w:r w:rsidRPr="00026279">
        <w:rPr>
          <w:rStyle w:val="FootnoteReference"/>
          <w:rFonts w:ascii="Times New Roman" w:hAnsi="Times New Roman"/>
          <w:sz w:val="18"/>
        </w:rPr>
        <w:footnoteRef/>
      </w:r>
      <w:r w:rsidRPr="00026279">
        <w:rPr>
          <w:rFonts w:ascii="Times New Roman" w:hAnsi="Times New Roman"/>
          <w:sz w:val="18"/>
        </w:rPr>
        <w:t xml:space="preserve"> Avots: </w:t>
      </w:r>
      <w:hyperlink r:id="rId2" w:history="1">
        <w:r w:rsidRPr="00026279">
          <w:rPr>
            <w:rStyle w:val="Hyperlink"/>
            <w:rFonts w:ascii="Times New Roman" w:hAnsi="Times New Roman"/>
            <w:sz w:val="18"/>
          </w:rPr>
          <w:t>http://elpais.com/elpais/2012/11/19/inenglish/1353336904_703937.html</w:t>
        </w:r>
      </w:hyperlink>
    </w:p>
  </w:footnote>
  <w:footnote w:id="5">
    <w:p w:rsidR="00B17281" w:rsidRDefault="00B17281">
      <w:pPr>
        <w:pStyle w:val="FootnoteText"/>
      </w:pPr>
      <w:r w:rsidRPr="00156194">
        <w:rPr>
          <w:rStyle w:val="FootnoteReference"/>
          <w:rFonts w:ascii="Times New Roman" w:hAnsi="Times New Roman"/>
        </w:rPr>
        <w:footnoteRef/>
      </w:r>
      <w:r w:rsidRPr="00156194">
        <w:rPr>
          <w:rFonts w:ascii="Times New Roman" w:hAnsi="Times New Roman"/>
        </w:rPr>
        <w:t xml:space="preserve"> Ekonomikas ministrijas vērtējums </w:t>
      </w:r>
    </w:p>
  </w:footnote>
  <w:footnote w:id="6">
    <w:p w:rsidR="00B17281" w:rsidRPr="00AB5457" w:rsidRDefault="00B17281">
      <w:pPr>
        <w:pStyle w:val="FootnoteText"/>
        <w:rPr>
          <w:rFonts w:ascii="Times New Roman" w:hAnsi="Times New Roman"/>
          <w:sz w:val="26"/>
          <w:szCs w:val="26"/>
        </w:rPr>
      </w:pPr>
      <w:r w:rsidRPr="00AB5457">
        <w:rPr>
          <w:rStyle w:val="FootnoteReference"/>
          <w:rFonts w:ascii="Times New Roman" w:hAnsi="Times New Roman"/>
        </w:rPr>
        <w:footnoteRef/>
      </w:r>
      <w:r w:rsidRPr="00AB5457">
        <w:rPr>
          <w:rStyle w:val="FootnoteReference"/>
          <w:rFonts w:ascii="Times New Roman" w:hAnsi="Times New Roman"/>
          <w:sz w:val="26"/>
          <w:szCs w:val="26"/>
        </w:rPr>
        <w:t xml:space="preserve"> </w:t>
      </w:r>
      <w:r w:rsidRPr="00AB5457">
        <w:rPr>
          <w:rStyle w:val="FootnoteReference"/>
          <w:rFonts w:ascii="Times New Roman" w:hAnsi="Times New Roman"/>
          <w:sz w:val="28"/>
          <w:szCs w:val="28"/>
        </w:rPr>
        <w:t>Avots: Zemesgrāmata, Latio</w:t>
      </w:r>
    </w:p>
  </w:footnote>
  <w:footnote w:id="7">
    <w:p w:rsidR="00B17281" w:rsidRPr="00AB5457" w:rsidRDefault="00B17281">
      <w:pPr>
        <w:pStyle w:val="FootnoteText"/>
        <w:rPr>
          <w:rFonts w:ascii="Times New Roman" w:hAnsi="Times New Roman"/>
        </w:rPr>
      </w:pPr>
      <w:r w:rsidRPr="00AB5457">
        <w:rPr>
          <w:rStyle w:val="FootnoteReference"/>
          <w:rFonts w:ascii="Times New Roman" w:hAnsi="Times New Roman"/>
        </w:rPr>
        <w:footnoteRef/>
      </w:r>
      <w:r w:rsidRPr="00AB5457">
        <w:rPr>
          <w:rFonts w:ascii="Times New Roman" w:hAnsi="Times New Roman"/>
        </w:rPr>
        <w:t xml:space="preserve"> Valsts zemes dienesta vērtējums</w:t>
      </w:r>
    </w:p>
  </w:footnote>
  <w:footnote w:id="8">
    <w:p w:rsidR="00B17281" w:rsidRPr="00AB5457" w:rsidRDefault="00B17281">
      <w:pPr>
        <w:pStyle w:val="FootnoteText"/>
        <w:rPr>
          <w:rFonts w:ascii="Times New Roman" w:hAnsi="Times New Roman"/>
        </w:rPr>
      </w:pPr>
      <w:r w:rsidRPr="00AB5457">
        <w:rPr>
          <w:rStyle w:val="FootnoteReference"/>
          <w:rFonts w:ascii="Times New Roman" w:hAnsi="Times New Roman"/>
        </w:rPr>
        <w:footnoteRef/>
      </w:r>
      <w:r w:rsidRPr="00AB5457">
        <w:rPr>
          <w:rFonts w:ascii="Times New Roman" w:hAnsi="Times New Roman"/>
        </w:rPr>
        <w:t xml:space="preserve"> Latio 2013.gada jūlija „Mājokļu tirgus apskats”</w:t>
      </w:r>
    </w:p>
  </w:footnote>
  <w:footnote w:id="9">
    <w:p w:rsidR="00B17281" w:rsidRDefault="00B17281">
      <w:pPr>
        <w:pStyle w:val="FootnoteText"/>
      </w:pPr>
      <w:r w:rsidRPr="00AB5457">
        <w:rPr>
          <w:rStyle w:val="FootnoteReference"/>
          <w:rFonts w:ascii="Times New Roman" w:hAnsi="Times New Roman"/>
        </w:rPr>
        <w:footnoteRef/>
      </w:r>
      <w:r w:rsidRPr="00AB5457">
        <w:rPr>
          <w:rFonts w:ascii="Times New Roman" w:hAnsi="Times New Roman"/>
        </w:rPr>
        <w:t xml:space="preserve"> LANĪDA vērtējums</w:t>
      </w:r>
    </w:p>
  </w:footnote>
  <w:footnote w:id="10">
    <w:p w:rsidR="00B17281" w:rsidRDefault="00B17281">
      <w:pPr>
        <w:pStyle w:val="FootnoteText"/>
      </w:pPr>
      <w:r w:rsidRPr="00A71448">
        <w:rPr>
          <w:rStyle w:val="FootnoteReference"/>
          <w:rFonts w:ascii="Times New Roman" w:hAnsi="Times New Roman"/>
        </w:rPr>
        <w:footnoteRef/>
      </w:r>
      <w:r w:rsidRPr="00A71448">
        <w:rPr>
          <w:rFonts w:ascii="Times New Roman" w:hAnsi="Times New Roman"/>
        </w:rPr>
        <w:t xml:space="preserve"> LANĪDA vērtējums</w:t>
      </w:r>
    </w:p>
  </w:footnote>
  <w:footnote w:id="11">
    <w:p w:rsidR="00B17281" w:rsidRDefault="00B17281">
      <w:pPr>
        <w:pStyle w:val="FootnoteText"/>
      </w:pPr>
      <w:r w:rsidRPr="005263FF">
        <w:rPr>
          <w:rStyle w:val="FootnoteReference"/>
          <w:rFonts w:ascii="Times New Roman" w:hAnsi="Times New Roman"/>
        </w:rPr>
        <w:footnoteRef/>
      </w:r>
      <w:r w:rsidRPr="005263FF">
        <w:rPr>
          <w:rFonts w:ascii="Times New Roman" w:hAnsi="Times New Roman"/>
        </w:rPr>
        <w:t xml:space="preserve"> Latvijas Komercbanku asociācijas vērtējums</w:t>
      </w:r>
    </w:p>
  </w:footnote>
  <w:footnote w:id="12">
    <w:p w:rsidR="00B17281" w:rsidRDefault="00B17281" w:rsidP="00AA64DE">
      <w:pPr>
        <w:pStyle w:val="FootnoteText"/>
      </w:pPr>
      <w:r w:rsidRPr="00AA64DE">
        <w:rPr>
          <w:rStyle w:val="FootnoteReference"/>
          <w:rFonts w:ascii="Times New Roman" w:hAnsi="Times New Roman"/>
        </w:rPr>
        <w:footnoteRef/>
      </w:r>
      <w:r w:rsidRPr="00AA64DE">
        <w:rPr>
          <w:rFonts w:ascii="Times New Roman" w:hAnsi="Times New Roman"/>
        </w:rPr>
        <w:t xml:space="preserve"> Latvijas Komercbanku asociācijas vērtējums</w:t>
      </w:r>
    </w:p>
  </w:footnote>
  <w:footnote w:id="13">
    <w:p w:rsidR="00B17281" w:rsidRPr="00AA64DE" w:rsidRDefault="00B17281" w:rsidP="00AA64DE">
      <w:pPr>
        <w:pStyle w:val="FootnoteText"/>
        <w:rPr>
          <w:rFonts w:ascii="Times New Roman" w:hAnsi="Times New Roman"/>
        </w:rPr>
      </w:pPr>
      <w:r w:rsidRPr="00AA64DE">
        <w:rPr>
          <w:rStyle w:val="FootnoteReference"/>
          <w:rFonts w:ascii="Times New Roman" w:hAnsi="Times New Roman"/>
        </w:rPr>
        <w:footnoteRef/>
      </w:r>
      <w:r w:rsidRPr="00AA64DE">
        <w:rPr>
          <w:rFonts w:ascii="Times New Roman" w:hAnsi="Times New Roman"/>
        </w:rPr>
        <w:t xml:space="preserve"> Latvijas Komercbanku asociācijas vērtējums</w:t>
      </w:r>
    </w:p>
    <w:p w:rsidR="00B17281" w:rsidRDefault="00B17281" w:rsidP="00AA64DE">
      <w:pPr>
        <w:pStyle w:val="FootnoteText"/>
      </w:pPr>
    </w:p>
  </w:footnote>
  <w:footnote w:id="14">
    <w:p w:rsidR="00B17281" w:rsidRDefault="00B17281">
      <w:pPr>
        <w:pStyle w:val="FootnoteText"/>
      </w:pPr>
      <w:r w:rsidRPr="00E50C87">
        <w:rPr>
          <w:rStyle w:val="FootnoteReference"/>
          <w:rFonts w:ascii="Times New Roman" w:hAnsi="Times New Roman"/>
        </w:rPr>
        <w:footnoteRef/>
      </w:r>
      <w:r w:rsidRPr="00E50C87">
        <w:rPr>
          <w:rFonts w:ascii="Times New Roman" w:hAnsi="Times New Roman"/>
        </w:rPr>
        <w:t xml:space="preserve"> Transportlīdzekļa ekspluatācijas, </w:t>
      </w:r>
      <w:r w:rsidRPr="005263FF">
        <w:rPr>
          <w:rFonts w:ascii="Times New Roman" w:hAnsi="Times New Roman"/>
        </w:rPr>
        <w:t>vieglo automobiļu un motociklu nodoklis un uzņēmumu vieglo transportlīdzekļu nodoklis</w:t>
      </w:r>
      <w:r w:rsidRPr="00E50C87">
        <w:rPr>
          <w:rFonts w:ascii="Times New Roman" w:hAnsi="Times New Roman"/>
        </w:rPr>
        <w:t xml:space="preserve">         </w:t>
      </w:r>
    </w:p>
  </w:footnote>
  <w:footnote w:id="15">
    <w:p w:rsidR="00B17281" w:rsidRDefault="00B17281">
      <w:pPr>
        <w:pStyle w:val="FootnoteText"/>
      </w:pPr>
      <w:r w:rsidRPr="00E50C87">
        <w:rPr>
          <w:rStyle w:val="FootnoteReference"/>
          <w:rFonts w:ascii="Times New Roman" w:hAnsi="Times New Roman"/>
        </w:rPr>
        <w:footnoteRef/>
      </w:r>
      <w:r w:rsidRPr="00E50C87">
        <w:rPr>
          <w:rFonts w:ascii="Times New Roman" w:hAnsi="Times New Roman"/>
        </w:rPr>
        <w:t xml:space="preserve"> Ekonomikas ministrijas novērtējums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81" w:rsidRDefault="00B17281" w:rsidP="008757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281" w:rsidRDefault="00B17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725053"/>
      <w:docPartObj>
        <w:docPartGallery w:val="Page Numbers (Top of Page)"/>
        <w:docPartUnique/>
      </w:docPartObj>
    </w:sdtPr>
    <w:sdtEndPr>
      <w:rPr>
        <w:rFonts w:ascii="Times New Roman" w:eastAsia="PMingLiU-ExtB" w:hAnsi="Times New Roman"/>
        <w:noProof/>
        <w:sz w:val="24"/>
      </w:rPr>
    </w:sdtEndPr>
    <w:sdtContent>
      <w:p w:rsidR="00B17281" w:rsidRPr="002C5E69" w:rsidRDefault="00B17281">
        <w:pPr>
          <w:pStyle w:val="Header"/>
          <w:jc w:val="center"/>
          <w:rPr>
            <w:rFonts w:ascii="Times New Roman" w:eastAsia="PMingLiU-ExtB" w:hAnsi="Times New Roman"/>
            <w:sz w:val="24"/>
          </w:rPr>
        </w:pPr>
        <w:r w:rsidRPr="002C5E69">
          <w:rPr>
            <w:rFonts w:ascii="Times New Roman" w:eastAsia="PMingLiU-ExtB" w:hAnsi="Times New Roman"/>
            <w:sz w:val="24"/>
          </w:rPr>
          <w:fldChar w:fldCharType="begin"/>
        </w:r>
        <w:r w:rsidRPr="002C5E69">
          <w:rPr>
            <w:rFonts w:ascii="Times New Roman" w:eastAsia="PMingLiU-ExtB" w:hAnsi="Times New Roman"/>
            <w:sz w:val="24"/>
          </w:rPr>
          <w:instrText xml:space="preserve"> PAGE   \* MERGEFORMAT </w:instrText>
        </w:r>
        <w:r w:rsidRPr="002C5E69">
          <w:rPr>
            <w:rFonts w:ascii="Times New Roman" w:eastAsia="PMingLiU-ExtB" w:hAnsi="Times New Roman"/>
            <w:sz w:val="24"/>
          </w:rPr>
          <w:fldChar w:fldCharType="separate"/>
        </w:r>
        <w:r w:rsidR="009117BF">
          <w:rPr>
            <w:rFonts w:ascii="Times New Roman" w:eastAsia="PMingLiU-ExtB" w:hAnsi="Times New Roman"/>
            <w:noProof/>
            <w:sz w:val="24"/>
          </w:rPr>
          <w:t>28</w:t>
        </w:r>
        <w:r w:rsidRPr="002C5E69">
          <w:rPr>
            <w:rFonts w:ascii="Times New Roman" w:eastAsia="PMingLiU-ExtB" w:hAnsi="Times New Roman"/>
            <w:noProof/>
            <w:sz w:val="24"/>
          </w:rPr>
          <w:fldChar w:fldCharType="end"/>
        </w:r>
      </w:p>
    </w:sdtContent>
  </w:sdt>
  <w:p w:rsidR="00B17281" w:rsidRDefault="00B17281" w:rsidP="002C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5"/>
    <w:multiLevelType w:val="hybridMultilevel"/>
    <w:tmpl w:val="40BCE7F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0AF5637"/>
    <w:multiLevelType w:val="hybridMultilevel"/>
    <w:tmpl w:val="F4863E1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21B7C14"/>
    <w:multiLevelType w:val="hybridMultilevel"/>
    <w:tmpl w:val="B6E05796"/>
    <w:lvl w:ilvl="0" w:tplc="43884C7C">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2215BE2"/>
    <w:multiLevelType w:val="hybridMultilevel"/>
    <w:tmpl w:val="262E26B8"/>
    <w:lvl w:ilvl="0" w:tplc="1F24189A">
      <w:start w:val="1"/>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4434033"/>
    <w:multiLevelType w:val="hybridMultilevel"/>
    <w:tmpl w:val="47EA5BF4"/>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5D741F7"/>
    <w:multiLevelType w:val="hybridMultilevel"/>
    <w:tmpl w:val="2BA47A0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064379B9"/>
    <w:multiLevelType w:val="hybridMultilevel"/>
    <w:tmpl w:val="1B66685C"/>
    <w:lvl w:ilvl="0" w:tplc="43884C7C">
      <w:start w:val="1"/>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07631102"/>
    <w:multiLevelType w:val="hybridMultilevel"/>
    <w:tmpl w:val="4EA2F65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08414BAC"/>
    <w:multiLevelType w:val="hybridMultilevel"/>
    <w:tmpl w:val="46FA51F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14C03EA2"/>
    <w:multiLevelType w:val="hybridMultilevel"/>
    <w:tmpl w:val="B964BFE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161E2E17"/>
    <w:multiLevelType w:val="hybridMultilevel"/>
    <w:tmpl w:val="D4BE148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1D00473B"/>
    <w:multiLevelType w:val="hybridMultilevel"/>
    <w:tmpl w:val="F24CCE0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0092F61"/>
    <w:multiLevelType w:val="hybridMultilevel"/>
    <w:tmpl w:val="977617A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24E46D5A"/>
    <w:multiLevelType w:val="hybridMultilevel"/>
    <w:tmpl w:val="4250504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2FF468BF"/>
    <w:multiLevelType w:val="hybridMultilevel"/>
    <w:tmpl w:val="2D30F84E"/>
    <w:lvl w:ilvl="0" w:tplc="8FAA116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51591"/>
    <w:multiLevelType w:val="hybridMultilevel"/>
    <w:tmpl w:val="C144EF5A"/>
    <w:lvl w:ilvl="0" w:tplc="01383EC0">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20E71CD"/>
    <w:multiLevelType w:val="hybridMultilevel"/>
    <w:tmpl w:val="1E1C5E6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36297B87"/>
    <w:multiLevelType w:val="hybridMultilevel"/>
    <w:tmpl w:val="8C4A9E5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372E1FE2"/>
    <w:multiLevelType w:val="hybridMultilevel"/>
    <w:tmpl w:val="3116682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392863D0"/>
    <w:multiLevelType w:val="hybridMultilevel"/>
    <w:tmpl w:val="DF30E3B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9826951"/>
    <w:multiLevelType w:val="hybridMultilevel"/>
    <w:tmpl w:val="D166C932"/>
    <w:lvl w:ilvl="0" w:tplc="0409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A7C679B"/>
    <w:multiLevelType w:val="hybridMultilevel"/>
    <w:tmpl w:val="92A0908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3AA91EBA"/>
    <w:multiLevelType w:val="hybridMultilevel"/>
    <w:tmpl w:val="0810BFA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3A61E8"/>
    <w:multiLevelType w:val="hybridMultilevel"/>
    <w:tmpl w:val="10F626A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40FF26AF"/>
    <w:multiLevelType w:val="hybridMultilevel"/>
    <w:tmpl w:val="7592EFD2"/>
    <w:lvl w:ilvl="0" w:tplc="6D2E0CF6">
      <w:start w:val="1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421D11B4"/>
    <w:multiLevelType w:val="hybridMultilevel"/>
    <w:tmpl w:val="3C3424EC"/>
    <w:lvl w:ilvl="0" w:tplc="689EF41E">
      <w:start w:val="1"/>
      <w:numFmt w:val="bullet"/>
      <w:lvlText w:val=""/>
      <w:lvlJc w:val="left"/>
      <w:pPr>
        <w:ind w:left="720" w:hanging="360"/>
      </w:pPr>
      <w:rPr>
        <w:rFonts w:ascii="Wingdings" w:eastAsia="Times New Roman" w:hAnsi="Wingdings" w:hint="default"/>
        <w:color w:val="FF000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7EA3147"/>
    <w:multiLevelType w:val="hybridMultilevel"/>
    <w:tmpl w:val="99861D22"/>
    <w:lvl w:ilvl="0" w:tplc="AC4A2E68">
      <w:start w:val="1"/>
      <w:numFmt w:val="upperRoman"/>
      <w:lvlText w:val="%1."/>
      <w:lvlJc w:val="left"/>
      <w:pPr>
        <w:ind w:left="1080" w:hanging="72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4D075DA6"/>
    <w:multiLevelType w:val="hybridMultilevel"/>
    <w:tmpl w:val="9F98214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51666F61"/>
    <w:multiLevelType w:val="hybridMultilevel"/>
    <w:tmpl w:val="DC7AD46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517A7387"/>
    <w:multiLevelType w:val="hybridMultilevel"/>
    <w:tmpl w:val="40EE378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51FB5B03"/>
    <w:multiLevelType w:val="hybridMultilevel"/>
    <w:tmpl w:val="D0026EF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537E5141"/>
    <w:multiLevelType w:val="hybridMultilevel"/>
    <w:tmpl w:val="A6F0C0BE"/>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nsid w:val="54561BDE"/>
    <w:multiLevelType w:val="hybridMultilevel"/>
    <w:tmpl w:val="3CA0518E"/>
    <w:lvl w:ilvl="0" w:tplc="6248E6C8">
      <w:start w:val="1"/>
      <w:numFmt w:val="lowerLetter"/>
      <w:lvlText w:val="%1)"/>
      <w:lvlJc w:val="left"/>
      <w:pPr>
        <w:tabs>
          <w:tab w:val="num" w:pos="1460"/>
        </w:tabs>
        <w:ind w:left="1460" w:hanging="915"/>
      </w:pPr>
      <w:rPr>
        <w:rFonts w:cs="Times New Roman" w:hint="default"/>
      </w:rPr>
    </w:lvl>
    <w:lvl w:ilvl="1" w:tplc="04260019" w:tentative="1">
      <w:start w:val="1"/>
      <w:numFmt w:val="lowerLetter"/>
      <w:lvlText w:val="%2."/>
      <w:lvlJc w:val="left"/>
      <w:pPr>
        <w:tabs>
          <w:tab w:val="num" w:pos="1625"/>
        </w:tabs>
        <w:ind w:left="1625" w:hanging="360"/>
      </w:pPr>
      <w:rPr>
        <w:rFonts w:cs="Times New Roman"/>
      </w:rPr>
    </w:lvl>
    <w:lvl w:ilvl="2" w:tplc="0426001B" w:tentative="1">
      <w:start w:val="1"/>
      <w:numFmt w:val="lowerRoman"/>
      <w:lvlText w:val="%3."/>
      <w:lvlJc w:val="right"/>
      <w:pPr>
        <w:tabs>
          <w:tab w:val="num" w:pos="2345"/>
        </w:tabs>
        <w:ind w:left="2345" w:hanging="180"/>
      </w:pPr>
      <w:rPr>
        <w:rFonts w:cs="Times New Roman"/>
      </w:rPr>
    </w:lvl>
    <w:lvl w:ilvl="3" w:tplc="0426000F" w:tentative="1">
      <w:start w:val="1"/>
      <w:numFmt w:val="decimal"/>
      <w:lvlText w:val="%4."/>
      <w:lvlJc w:val="left"/>
      <w:pPr>
        <w:tabs>
          <w:tab w:val="num" w:pos="3065"/>
        </w:tabs>
        <w:ind w:left="3065" w:hanging="360"/>
      </w:pPr>
      <w:rPr>
        <w:rFonts w:cs="Times New Roman"/>
      </w:rPr>
    </w:lvl>
    <w:lvl w:ilvl="4" w:tplc="04260019" w:tentative="1">
      <w:start w:val="1"/>
      <w:numFmt w:val="lowerLetter"/>
      <w:lvlText w:val="%5."/>
      <w:lvlJc w:val="left"/>
      <w:pPr>
        <w:tabs>
          <w:tab w:val="num" w:pos="3785"/>
        </w:tabs>
        <w:ind w:left="3785" w:hanging="360"/>
      </w:pPr>
      <w:rPr>
        <w:rFonts w:cs="Times New Roman"/>
      </w:rPr>
    </w:lvl>
    <w:lvl w:ilvl="5" w:tplc="0426001B" w:tentative="1">
      <w:start w:val="1"/>
      <w:numFmt w:val="lowerRoman"/>
      <w:lvlText w:val="%6."/>
      <w:lvlJc w:val="right"/>
      <w:pPr>
        <w:tabs>
          <w:tab w:val="num" w:pos="4505"/>
        </w:tabs>
        <w:ind w:left="4505" w:hanging="180"/>
      </w:pPr>
      <w:rPr>
        <w:rFonts w:cs="Times New Roman"/>
      </w:rPr>
    </w:lvl>
    <w:lvl w:ilvl="6" w:tplc="0426000F" w:tentative="1">
      <w:start w:val="1"/>
      <w:numFmt w:val="decimal"/>
      <w:lvlText w:val="%7."/>
      <w:lvlJc w:val="left"/>
      <w:pPr>
        <w:tabs>
          <w:tab w:val="num" w:pos="5225"/>
        </w:tabs>
        <w:ind w:left="5225" w:hanging="360"/>
      </w:pPr>
      <w:rPr>
        <w:rFonts w:cs="Times New Roman"/>
      </w:rPr>
    </w:lvl>
    <w:lvl w:ilvl="7" w:tplc="04260019" w:tentative="1">
      <w:start w:val="1"/>
      <w:numFmt w:val="lowerLetter"/>
      <w:lvlText w:val="%8."/>
      <w:lvlJc w:val="left"/>
      <w:pPr>
        <w:tabs>
          <w:tab w:val="num" w:pos="5945"/>
        </w:tabs>
        <w:ind w:left="5945" w:hanging="360"/>
      </w:pPr>
      <w:rPr>
        <w:rFonts w:cs="Times New Roman"/>
      </w:rPr>
    </w:lvl>
    <w:lvl w:ilvl="8" w:tplc="0426001B" w:tentative="1">
      <w:start w:val="1"/>
      <w:numFmt w:val="lowerRoman"/>
      <w:lvlText w:val="%9."/>
      <w:lvlJc w:val="right"/>
      <w:pPr>
        <w:tabs>
          <w:tab w:val="num" w:pos="6665"/>
        </w:tabs>
        <w:ind w:left="6665" w:hanging="180"/>
      </w:pPr>
      <w:rPr>
        <w:rFonts w:cs="Times New Roman"/>
      </w:rPr>
    </w:lvl>
  </w:abstractNum>
  <w:abstractNum w:abstractNumId="33">
    <w:nsid w:val="56B077CE"/>
    <w:multiLevelType w:val="hybridMultilevel"/>
    <w:tmpl w:val="9814DD94"/>
    <w:lvl w:ilvl="0" w:tplc="8E421518">
      <w:start w:val="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B673822"/>
    <w:multiLevelType w:val="hybridMultilevel"/>
    <w:tmpl w:val="AD8430F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nsid w:val="5BB85D6E"/>
    <w:multiLevelType w:val="hybridMultilevel"/>
    <w:tmpl w:val="38EAC1E2"/>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E3861AB"/>
    <w:multiLevelType w:val="hybridMultilevel"/>
    <w:tmpl w:val="AF5870B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640F50E3"/>
    <w:multiLevelType w:val="hybridMultilevel"/>
    <w:tmpl w:val="F2309EA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nsid w:val="6B810E01"/>
    <w:multiLevelType w:val="hybridMultilevel"/>
    <w:tmpl w:val="757EC138"/>
    <w:lvl w:ilvl="0" w:tplc="64A21A1E">
      <w:start w:val="1"/>
      <w:numFmt w:val="upperRoman"/>
      <w:lvlText w:val="%1."/>
      <w:lvlJc w:val="left"/>
      <w:pPr>
        <w:ind w:left="1080" w:hanging="72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6BA56458"/>
    <w:multiLevelType w:val="hybridMultilevel"/>
    <w:tmpl w:val="004011C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0">
    <w:nsid w:val="73097B76"/>
    <w:multiLevelType w:val="hybridMultilevel"/>
    <w:tmpl w:val="6370397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1">
    <w:nsid w:val="769B7C16"/>
    <w:multiLevelType w:val="hybridMultilevel"/>
    <w:tmpl w:val="E8801E1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nsid w:val="7A2233B7"/>
    <w:multiLevelType w:val="hybridMultilevel"/>
    <w:tmpl w:val="E338A01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3">
    <w:nsid w:val="7A8D52EF"/>
    <w:multiLevelType w:val="hybridMultilevel"/>
    <w:tmpl w:val="E44CFD04"/>
    <w:lvl w:ilvl="0" w:tplc="689EF41E">
      <w:start w:val="1"/>
      <w:numFmt w:val="bullet"/>
      <w:lvlText w:val=""/>
      <w:lvlJc w:val="left"/>
      <w:pPr>
        <w:ind w:left="720" w:hanging="360"/>
      </w:pPr>
      <w:rPr>
        <w:rFonts w:ascii="Wingdings" w:eastAsia="Times New Roman" w:hAnsi="Wingdings" w:hint="default"/>
        <w:color w:val="FF000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D464635"/>
    <w:multiLevelType w:val="hybridMultilevel"/>
    <w:tmpl w:val="F21A5DF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5">
    <w:nsid w:val="7FFD5227"/>
    <w:multiLevelType w:val="hybridMultilevel"/>
    <w:tmpl w:val="EDEADD1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3"/>
  </w:num>
  <w:num w:numId="3">
    <w:abstractNumId w:val="22"/>
  </w:num>
  <w:num w:numId="4">
    <w:abstractNumId w:val="36"/>
  </w:num>
  <w:num w:numId="5">
    <w:abstractNumId w:val="20"/>
  </w:num>
  <w:num w:numId="6">
    <w:abstractNumId w:val="24"/>
  </w:num>
  <w:num w:numId="7">
    <w:abstractNumId w:val="31"/>
  </w:num>
  <w:num w:numId="8">
    <w:abstractNumId w:val="10"/>
  </w:num>
  <w:num w:numId="9">
    <w:abstractNumId w:val="29"/>
  </w:num>
  <w:num w:numId="10">
    <w:abstractNumId w:val="41"/>
  </w:num>
  <w:num w:numId="11">
    <w:abstractNumId w:val="12"/>
  </w:num>
  <w:num w:numId="12">
    <w:abstractNumId w:val="42"/>
  </w:num>
  <w:num w:numId="13">
    <w:abstractNumId w:val="34"/>
  </w:num>
  <w:num w:numId="14">
    <w:abstractNumId w:val="27"/>
  </w:num>
  <w:num w:numId="15">
    <w:abstractNumId w:val="9"/>
  </w:num>
  <w:num w:numId="16">
    <w:abstractNumId w:val="18"/>
  </w:num>
  <w:num w:numId="17">
    <w:abstractNumId w:val="44"/>
  </w:num>
  <w:num w:numId="18">
    <w:abstractNumId w:val="45"/>
  </w:num>
  <w:num w:numId="19">
    <w:abstractNumId w:val="23"/>
  </w:num>
  <w:num w:numId="20">
    <w:abstractNumId w:val="39"/>
  </w:num>
  <w:num w:numId="21">
    <w:abstractNumId w:val="1"/>
  </w:num>
  <w:num w:numId="22">
    <w:abstractNumId w:val="17"/>
  </w:num>
  <w:num w:numId="23">
    <w:abstractNumId w:val="40"/>
  </w:num>
  <w:num w:numId="24">
    <w:abstractNumId w:val="37"/>
  </w:num>
  <w:num w:numId="25">
    <w:abstractNumId w:val="30"/>
  </w:num>
  <w:num w:numId="26">
    <w:abstractNumId w:val="21"/>
  </w:num>
  <w:num w:numId="27">
    <w:abstractNumId w:val="8"/>
  </w:num>
  <w:num w:numId="28">
    <w:abstractNumId w:val="5"/>
  </w:num>
  <w:num w:numId="29">
    <w:abstractNumId w:val="0"/>
  </w:num>
  <w:num w:numId="30">
    <w:abstractNumId w:val="28"/>
  </w:num>
  <w:num w:numId="31">
    <w:abstractNumId w:val="13"/>
  </w:num>
  <w:num w:numId="32">
    <w:abstractNumId w:val="7"/>
  </w:num>
  <w:num w:numId="33">
    <w:abstractNumId w:val="16"/>
  </w:num>
  <w:num w:numId="34">
    <w:abstractNumId w:val="11"/>
  </w:num>
  <w:num w:numId="35">
    <w:abstractNumId w:val="4"/>
  </w:num>
  <w:num w:numId="36">
    <w:abstractNumId w:val="15"/>
  </w:num>
  <w:num w:numId="37">
    <w:abstractNumId w:val="35"/>
  </w:num>
  <w:num w:numId="38">
    <w:abstractNumId w:val="14"/>
  </w:num>
  <w:num w:numId="39">
    <w:abstractNumId w:val="2"/>
  </w:num>
  <w:num w:numId="40">
    <w:abstractNumId w:val="6"/>
  </w:num>
  <w:num w:numId="41">
    <w:abstractNumId w:val="3"/>
  </w:num>
  <w:num w:numId="42">
    <w:abstractNumId w:val="38"/>
  </w:num>
  <w:num w:numId="43">
    <w:abstractNumId w:val="25"/>
  </w:num>
  <w:num w:numId="44">
    <w:abstractNumId w:val="43"/>
  </w:num>
  <w:num w:numId="45">
    <w:abstractNumId w:val="2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930F2"/>
    <w:rsid w:val="000057C9"/>
    <w:rsid w:val="00010B65"/>
    <w:rsid w:val="0002039E"/>
    <w:rsid w:val="000215AD"/>
    <w:rsid w:val="00025418"/>
    <w:rsid w:val="00026279"/>
    <w:rsid w:val="000322BB"/>
    <w:rsid w:val="00032F75"/>
    <w:rsid w:val="00037578"/>
    <w:rsid w:val="00037B97"/>
    <w:rsid w:val="00040ADE"/>
    <w:rsid w:val="00040F6D"/>
    <w:rsid w:val="00042EAD"/>
    <w:rsid w:val="00045F6D"/>
    <w:rsid w:val="00046EA3"/>
    <w:rsid w:val="0004717D"/>
    <w:rsid w:val="00047D0D"/>
    <w:rsid w:val="000507AA"/>
    <w:rsid w:val="000536BF"/>
    <w:rsid w:val="00055B73"/>
    <w:rsid w:val="00061EC9"/>
    <w:rsid w:val="0006249E"/>
    <w:rsid w:val="00070243"/>
    <w:rsid w:val="00075B75"/>
    <w:rsid w:val="000779DD"/>
    <w:rsid w:val="00081271"/>
    <w:rsid w:val="00081C89"/>
    <w:rsid w:val="000907E4"/>
    <w:rsid w:val="00092FB9"/>
    <w:rsid w:val="000A21BC"/>
    <w:rsid w:val="000A22EE"/>
    <w:rsid w:val="000B39A7"/>
    <w:rsid w:val="000B5187"/>
    <w:rsid w:val="000B6A25"/>
    <w:rsid w:val="000B7A63"/>
    <w:rsid w:val="000C3627"/>
    <w:rsid w:val="000C6175"/>
    <w:rsid w:val="000C65C5"/>
    <w:rsid w:val="000C67A3"/>
    <w:rsid w:val="000C7631"/>
    <w:rsid w:val="000D0903"/>
    <w:rsid w:val="000D47B0"/>
    <w:rsid w:val="000D6924"/>
    <w:rsid w:val="000E050B"/>
    <w:rsid w:val="000E2E64"/>
    <w:rsid w:val="000E5618"/>
    <w:rsid w:val="000F0C1E"/>
    <w:rsid w:val="000F38A9"/>
    <w:rsid w:val="000F61C2"/>
    <w:rsid w:val="000F63A2"/>
    <w:rsid w:val="00103122"/>
    <w:rsid w:val="00103F08"/>
    <w:rsid w:val="0010537E"/>
    <w:rsid w:val="00105D88"/>
    <w:rsid w:val="00111341"/>
    <w:rsid w:val="0011630A"/>
    <w:rsid w:val="001229A9"/>
    <w:rsid w:val="00127F35"/>
    <w:rsid w:val="00132739"/>
    <w:rsid w:val="00132A86"/>
    <w:rsid w:val="001368D1"/>
    <w:rsid w:val="00150F7D"/>
    <w:rsid w:val="001523EF"/>
    <w:rsid w:val="00154F1A"/>
    <w:rsid w:val="00156194"/>
    <w:rsid w:val="001573E8"/>
    <w:rsid w:val="00160BA2"/>
    <w:rsid w:val="00164DB5"/>
    <w:rsid w:val="0016622D"/>
    <w:rsid w:val="0016775F"/>
    <w:rsid w:val="001701A5"/>
    <w:rsid w:val="00170C4C"/>
    <w:rsid w:val="001755DB"/>
    <w:rsid w:val="00183420"/>
    <w:rsid w:val="00190A3C"/>
    <w:rsid w:val="001943B5"/>
    <w:rsid w:val="001948C3"/>
    <w:rsid w:val="001A36A6"/>
    <w:rsid w:val="001A6832"/>
    <w:rsid w:val="001B272C"/>
    <w:rsid w:val="001B2C24"/>
    <w:rsid w:val="001B5096"/>
    <w:rsid w:val="001B699C"/>
    <w:rsid w:val="001C074B"/>
    <w:rsid w:val="001C57F3"/>
    <w:rsid w:val="001D5BF5"/>
    <w:rsid w:val="001D6BA7"/>
    <w:rsid w:val="001E26CB"/>
    <w:rsid w:val="001E35C7"/>
    <w:rsid w:val="001E76DB"/>
    <w:rsid w:val="001F5D1A"/>
    <w:rsid w:val="00201367"/>
    <w:rsid w:val="00204F06"/>
    <w:rsid w:val="002069CB"/>
    <w:rsid w:val="00207A55"/>
    <w:rsid w:val="002109DC"/>
    <w:rsid w:val="002121E5"/>
    <w:rsid w:val="00213E1F"/>
    <w:rsid w:val="00214350"/>
    <w:rsid w:val="002167E8"/>
    <w:rsid w:val="002234F9"/>
    <w:rsid w:val="0022438D"/>
    <w:rsid w:val="00227F6D"/>
    <w:rsid w:val="00231210"/>
    <w:rsid w:val="002433EB"/>
    <w:rsid w:val="00251F64"/>
    <w:rsid w:val="00253029"/>
    <w:rsid w:val="0025598A"/>
    <w:rsid w:val="00267B4E"/>
    <w:rsid w:val="002728DF"/>
    <w:rsid w:val="00282BC6"/>
    <w:rsid w:val="002855B2"/>
    <w:rsid w:val="00287D48"/>
    <w:rsid w:val="00290873"/>
    <w:rsid w:val="002912DF"/>
    <w:rsid w:val="002925AF"/>
    <w:rsid w:val="00294394"/>
    <w:rsid w:val="002A69E3"/>
    <w:rsid w:val="002A6BFA"/>
    <w:rsid w:val="002A7570"/>
    <w:rsid w:val="002B02E9"/>
    <w:rsid w:val="002C1C1E"/>
    <w:rsid w:val="002C26C7"/>
    <w:rsid w:val="002C4A2E"/>
    <w:rsid w:val="002C5E69"/>
    <w:rsid w:val="002D34F4"/>
    <w:rsid w:val="002D5EE0"/>
    <w:rsid w:val="002D7C13"/>
    <w:rsid w:val="002E255E"/>
    <w:rsid w:val="002E3B53"/>
    <w:rsid w:val="002E4200"/>
    <w:rsid w:val="002E5654"/>
    <w:rsid w:val="002F7A6F"/>
    <w:rsid w:val="00304E31"/>
    <w:rsid w:val="003058FB"/>
    <w:rsid w:val="003163A4"/>
    <w:rsid w:val="003279F5"/>
    <w:rsid w:val="00327CF1"/>
    <w:rsid w:val="00333018"/>
    <w:rsid w:val="0034404C"/>
    <w:rsid w:val="003472BA"/>
    <w:rsid w:val="00347B59"/>
    <w:rsid w:val="00353DBB"/>
    <w:rsid w:val="0035699B"/>
    <w:rsid w:val="003570FE"/>
    <w:rsid w:val="00363AB6"/>
    <w:rsid w:val="0036493D"/>
    <w:rsid w:val="00370620"/>
    <w:rsid w:val="00371DFA"/>
    <w:rsid w:val="00371FC0"/>
    <w:rsid w:val="0037397C"/>
    <w:rsid w:val="00374E9D"/>
    <w:rsid w:val="003766E4"/>
    <w:rsid w:val="003814C8"/>
    <w:rsid w:val="00383758"/>
    <w:rsid w:val="00393FDE"/>
    <w:rsid w:val="00397852"/>
    <w:rsid w:val="003A17E3"/>
    <w:rsid w:val="003A492F"/>
    <w:rsid w:val="003B6B6D"/>
    <w:rsid w:val="003B799C"/>
    <w:rsid w:val="003C065A"/>
    <w:rsid w:val="003C0D8D"/>
    <w:rsid w:val="003C1626"/>
    <w:rsid w:val="003C63B4"/>
    <w:rsid w:val="003D0F75"/>
    <w:rsid w:val="003D3F2D"/>
    <w:rsid w:val="003D552B"/>
    <w:rsid w:val="003D6945"/>
    <w:rsid w:val="003D72EE"/>
    <w:rsid w:val="003E06A7"/>
    <w:rsid w:val="003E2003"/>
    <w:rsid w:val="003E7BF3"/>
    <w:rsid w:val="003E7CDB"/>
    <w:rsid w:val="00405298"/>
    <w:rsid w:val="00407B4A"/>
    <w:rsid w:val="00410EFB"/>
    <w:rsid w:val="00415693"/>
    <w:rsid w:val="00415C11"/>
    <w:rsid w:val="00426FF6"/>
    <w:rsid w:val="004273C3"/>
    <w:rsid w:val="0043250F"/>
    <w:rsid w:val="004356DB"/>
    <w:rsid w:val="004358C6"/>
    <w:rsid w:val="0043710C"/>
    <w:rsid w:val="0043739D"/>
    <w:rsid w:val="00444EEC"/>
    <w:rsid w:val="004470FD"/>
    <w:rsid w:val="00447204"/>
    <w:rsid w:val="00450522"/>
    <w:rsid w:val="004548C1"/>
    <w:rsid w:val="004559A3"/>
    <w:rsid w:val="00455A51"/>
    <w:rsid w:val="00457DBB"/>
    <w:rsid w:val="0046344D"/>
    <w:rsid w:val="004648C7"/>
    <w:rsid w:val="00464DF0"/>
    <w:rsid w:val="004678B3"/>
    <w:rsid w:val="00467B8D"/>
    <w:rsid w:val="00471199"/>
    <w:rsid w:val="0047124B"/>
    <w:rsid w:val="0047512C"/>
    <w:rsid w:val="00476F2D"/>
    <w:rsid w:val="004801A0"/>
    <w:rsid w:val="00481DA6"/>
    <w:rsid w:val="00486810"/>
    <w:rsid w:val="0049015F"/>
    <w:rsid w:val="004943BC"/>
    <w:rsid w:val="0049467B"/>
    <w:rsid w:val="004955ED"/>
    <w:rsid w:val="00495B3B"/>
    <w:rsid w:val="004A4736"/>
    <w:rsid w:val="004A4CA6"/>
    <w:rsid w:val="004B459A"/>
    <w:rsid w:val="004B5A9B"/>
    <w:rsid w:val="004B7376"/>
    <w:rsid w:val="004C170B"/>
    <w:rsid w:val="004C2D65"/>
    <w:rsid w:val="004D187E"/>
    <w:rsid w:val="004D4D6F"/>
    <w:rsid w:val="004D72E4"/>
    <w:rsid w:val="004E0433"/>
    <w:rsid w:val="004E1B14"/>
    <w:rsid w:val="004E2A07"/>
    <w:rsid w:val="004E559B"/>
    <w:rsid w:val="004F00F1"/>
    <w:rsid w:val="004F27E1"/>
    <w:rsid w:val="004F710F"/>
    <w:rsid w:val="00501479"/>
    <w:rsid w:val="00503CBA"/>
    <w:rsid w:val="00510145"/>
    <w:rsid w:val="0051645C"/>
    <w:rsid w:val="00520880"/>
    <w:rsid w:val="0052634C"/>
    <w:rsid w:val="005263FF"/>
    <w:rsid w:val="0052678B"/>
    <w:rsid w:val="00527891"/>
    <w:rsid w:val="0052794E"/>
    <w:rsid w:val="0053192B"/>
    <w:rsid w:val="005324F5"/>
    <w:rsid w:val="00532544"/>
    <w:rsid w:val="0053544D"/>
    <w:rsid w:val="00536DDD"/>
    <w:rsid w:val="0054293E"/>
    <w:rsid w:val="0054310E"/>
    <w:rsid w:val="005432DE"/>
    <w:rsid w:val="005436B6"/>
    <w:rsid w:val="00546117"/>
    <w:rsid w:val="005477F7"/>
    <w:rsid w:val="00554929"/>
    <w:rsid w:val="00555ABD"/>
    <w:rsid w:val="00555FA3"/>
    <w:rsid w:val="00556C1A"/>
    <w:rsid w:val="00556C21"/>
    <w:rsid w:val="005617D1"/>
    <w:rsid w:val="00562A11"/>
    <w:rsid w:val="00563671"/>
    <w:rsid w:val="0056396C"/>
    <w:rsid w:val="0056406D"/>
    <w:rsid w:val="00566F2E"/>
    <w:rsid w:val="00570770"/>
    <w:rsid w:val="00573D96"/>
    <w:rsid w:val="005746F2"/>
    <w:rsid w:val="00574EA4"/>
    <w:rsid w:val="00577AF1"/>
    <w:rsid w:val="005913E2"/>
    <w:rsid w:val="00592C2D"/>
    <w:rsid w:val="005958E0"/>
    <w:rsid w:val="00596DA2"/>
    <w:rsid w:val="00597F55"/>
    <w:rsid w:val="005A24E0"/>
    <w:rsid w:val="005B1594"/>
    <w:rsid w:val="005B26F2"/>
    <w:rsid w:val="005B79DC"/>
    <w:rsid w:val="005C044F"/>
    <w:rsid w:val="005C2FC5"/>
    <w:rsid w:val="005C4289"/>
    <w:rsid w:val="005C7155"/>
    <w:rsid w:val="005D39EA"/>
    <w:rsid w:val="005D7266"/>
    <w:rsid w:val="005E0663"/>
    <w:rsid w:val="005E0E9F"/>
    <w:rsid w:val="005E5D5A"/>
    <w:rsid w:val="005E60B0"/>
    <w:rsid w:val="005F4F1E"/>
    <w:rsid w:val="006023C0"/>
    <w:rsid w:val="0060393B"/>
    <w:rsid w:val="00611371"/>
    <w:rsid w:val="0061183C"/>
    <w:rsid w:val="00612134"/>
    <w:rsid w:val="006200AC"/>
    <w:rsid w:val="006206ED"/>
    <w:rsid w:val="006233B2"/>
    <w:rsid w:val="00626448"/>
    <w:rsid w:val="00626B99"/>
    <w:rsid w:val="00632C01"/>
    <w:rsid w:val="00635E63"/>
    <w:rsid w:val="00636824"/>
    <w:rsid w:val="00637318"/>
    <w:rsid w:val="00637891"/>
    <w:rsid w:val="00640149"/>
    <w:rsid w:val="00644C96"/>
    <w:rsid w:val="00645311"/>
    <w:rsid w:val="006535D4"/>
    <w:rsid w:val="00654CFB"/>
    <w:rsid w:val="006574A6"/>
    <w:rsid w:val="00661329"/>
    <w:rsid w:val="0066490C"/>
    <w:rsid w:val="00671E03"/>
    <w:rsid w:val="0067703E"/>
    <w:rsid w:val="00680B6F"/>
    <w:rsid w:val="006863C8"/>
    <w:rsid w:val="0069064B"/>
    <w:rsid w:val="0069543A"/>
    <w:rsid w:val="006A1D3B"/>
    <w:rsid w:val="006A237E"/>
    <w:rsid w:val="006A4556"/>
    <w:rsid w:val="006A67A3"/>
    <w:rsid w:val="006B5DFF"/>
    <w:rsid w:val="006B6031"/>
    <w:rsid w:val="006C1135"/>
    <w:rsid w:val="006C2112"/>
    <w:rsid w:val="006C3362"/>
    <w:rsid w:val="006C4ED0"/>
    <w:rsid w:val="006C542E"/>
    <w:rsid w:val="006C67C2"/>
    <w:rsid w:val="006D0371"/>
    <w:rsid w:val="006D4980"/>
    <w:rsid w:val="006D57C1"/>
    <w:rsid w:val="006D77D7"/>
    <w:rsid w:val="006D79A4"/>
    <w:rsid w:val="006E059E"/>
    <w:rsid w:val="006F0EF4"/>
    <w:rsid w:val="006F1BF9"/>
    <w:rsid w:val="006F274B"/>
    <w:rsid w:val="006F5034"/>
    <w:rsid w:val="006F61F5"/>
    <w:rsid w:val="00714070"/>
    <w:rsid w:val="00717B89"/>
    <w:rsid w:val="00723005"/>
    <w:rsid w:val="00740ACF"/>
    <w:rsid w:val="00746EEA"/>
    <w:rsid w:val="00753BC3"/>
    <w:rsid w:val="00761AC0"/>
    <w:rsid w:val="00761BE2"/>
    <w:rsid w:val="007623FF"/>
    <w:rsid w:val="0076243A"/>
    <w:rsid w:val="007630A4"/>
    <w:rsid w:val="00763557"/>
    <w:rsid w:val="00763636"/>
    <w:rsid w:val="007644D1"/>
    <w:rsid w:val="00773002"/>
    <w:rsid w:val="00794BCF"/>
    <w:rsid w:val="0079559C"/>
    <w:rsid w:val="00797095"/>
    <w:rsid w:val="007974C0"/>
    <w:rsid w:val="007A20C9"/>
    <w:rsid w:val="007B3651"/>
    <w:rsid w:val="007B40E0"/>
    <w:rsid w:val="007B545F"/>
    <w:rsid w:val="007B6529"/>
    <w:rsid w:val="007C20CA"/>
    <w:rsid w:val="007C6D50"/>
    <w:rsid w:val="007D3321"/>
    <w:rsid w:val="007D423B"/>
    <w:rsid w:val="007D4E39"/>
    <w:rsid w:val="007D4E47"/>
    <w:rsid w:val="007D58E3"/>
    <w:rsid w:val="007D6DDF"/>
    <w:rsid w:val="007E51FA"/>
    <w:rsid w:val="007E6F03"/>
    <w:rsid w:val="007F0649"/>
    <w:rsid w:val="007F55E0"/>
    <w:rsid w:val="007F61A7"/>
    <w:rsid w:val="007F6468"/>
    <w:rsid w:val="00801226"/>
    <w:rsid w:val="00805BF4"/>
    <w:rsid w:val="008065DA"/>
    <w:rsid w:val="00810A85"/>
    <w:rsid w:val="00814B1E"/>
    <w:rsid w:val="0082306F"/>
    <w:rsid w:val="00824749"/>
    <w:rsid w:val="0083107C"/>
    <w:rsid w:val="00831601"/>
    <w:rsid w:val="00832172"/>
    <w:rsid w:val="00832DB0"/>
    <w:rsid w:val="008370A1"/>
    <w:rsid w:val="00840A99"/>
    <w:rsid w:val="00841169"/>
    <w:rsid w:val="00841596"/>
    <w:rsid w:val="0084269C"/>
    <w:rsid w:val="00846D5E"/>
    <w:rsid w:val="00855D26"/>
    <w:rsid w:val="008560DC"/>
    <w:rsid w:val="00857D67"/>
    <w:rsid w:val="00861ABE"/>
    <w:rsid w:val="008624D3"/>
    <w:rsid w:val="00862894"/>
    <w:rsid w:val="00865BB6"/>
    <w:rsid w:val="00872150"/>
    <w:rsid w:val="00874DED"/>
    <w:rsid w:val="008757FB"/>
    <w:rsid w:val="00876D81"/>
    <w:rsid w:val="008826E3"/>
    <w:rsid w:val="008857C3"/>
    <w:rsid w:val="00885959"/>
    <w:rsid w:val="00885A80"/>
    <w:rsid w:val="008877A2"/>
    <w:rsid w:val="008944C3"/>
    <w:rsid w:val="008977E1"/>
    <w:rsid w:val="00897E68"/>
    <w:rsid w:val="008A2CBD"/>
    <w:rsid w:val="008A3A97"/>
    <w:rsid w:val="008B04FD"/>
    <w:rsid w:val="008B78AB"/>
    <w:rsid w:val="008C5545"/>
    <w:rsid w:val="008C7B88"/>
    <w:rsid w:val="008D0948"/>
    <w:rsid w:val="008D2C07"/>
    <w:rsid w:val="008D3080"/>
    <w:rsid w:val="008D5F0E"/>
    <w:rsid w:val="008D6909"/>
    <w:rsid w:val="008E0DC2"/>
    <w:rsid w:val="008E155E"/>
    <w:rsid w:val="008E2032"/>
    <w:rsid w:val="008E6967"/>
    <w:rsid w:val="008F13C1"/>
    <w:rsid w:val="008F16B0"/>
    <w:rsid w:val="008F2F54"/>
    <w:rsid w:val="008F3C30"/>
    <w:rsid w:val="00903D52"/>
    <w:rsid w:val="00903F7D"/>
    <w:rsid w:val="00904D33"/>
    <w:rsid w:val="00906871"/>
    <w:rsid w:val="009116B6"/>
    <w:rsid w:val="009117BF"/>
    <w:rsid w:val="00913A00"/>
    <w:rsid w:val="00923D72"/>
    <w:rsid w:val="00925FC4"/>
    <w:rsid w:val="00940293"/>
    <w:rsid w:val="009412CC"/>
    <w:rsid w:val="0094269F"/>
    <w:rsid w:val="0094292B"/>
    <w:rsid w:val="00944F2C"/>
    <w:rsid w:val="009533E2"/>
    <w:rsid w:val="00955EF5"/>
    <w:rsid w:val="0096547B"/>
    <w:rsid w:val="0096550D"/>
    <w:rsid w:val="00970896"/>
    <w:rsid w:val="00976247"/>
    <w:rsid w:val="00980051"/>
    <w:rsid w:val="009807D3"/>
    <w:rsid w:val="00981BEB"/>
    <w:rsid w:val="00981D31"/>
    <w:rsid w:val="00990183"/>
    <w:rsid w:val="0099042C"/>
    <w:rsid w:val="009921F8"/>
    <w:rsid w:val="0099328F"/>
    <w:rsid w:val="009974B7"/>
    <w:rsid w:val="009A4531"/>
    <w:rsid w:val="009A4F54"/>
    <w:rsid w:val="009A5401"/>
    <w:rsid w:val="009B0428"/>
    <w:rsid w:val="009B1072"/>
    <w:rsid w:val="009B10A4"/>
    <w:rsid w:val="009B3ED9"/>
    <w:rsid w:val="009C2A27"/>
    <w:rsid w:val="009C2D0C"/>
    <w:rsid w:val="009C6019"/>
    <w:rsid w:val="009C698A"/>
    <w:rsid w:val="009C7476"/>
    <w:rsid w:val="009D1D88"/>
    <w:rsid w:val="009D29E6"/>
    <w:rsid w:val="009D37DC"/>
    <w:rsid w:val="009E2B27"/>
    <w:rsid w:val="009E7EBF"/>
    <w:rsid w:val="009E7EF9"/>
    <w:rsid w:val="009F6E47"/>
    <w:rsid w:val="00A003DB"/>
    <w:rsid w:val="00A01F5E"/>
    <w:rsid w:val="00A048FF"/>
    <w:rsid w:val="00A04D3E"/>
    <w:rsid w:val="00A132D6"/>
    <w:rsid w:val="00A13FCE"/>
    <w:rsid w:val="00A15623"/>
    <w:rsid w:val="00A179B0"/>
    <w:rsid w:val="00A2080E"/>
    <w:rsid w:val="00A21DCD"/>
    <w:rsid w:val="00A26929"/>
    <w:rsid w:val="00A340BC"/>
    <w:rsid w:val="00A3526A"/>
    <w:rsid w:val="00A37216"/>
    <w:rsid w:val="00A419D2"/>
    <w:rsid w:val="00A425F7"/>
    <w:rsid w:val="00A43091"/>
    <w:rsid w:val="00A47846"/>
    <w:rsid w:val="00A51E8B"/>
    <w:rsid w:val="00A535AF"/>
    <w:rsid w:val="00A57400"/>
    <w:rsid w:val="00A61AC1"/>
    <w:rsid w:val="00A63448"/>
    <w:rsid w:val="00A64CA0"/>
    <w:rsid w:val="00A64E91"/>
    <w:rsid w:val="00A71448"/>
    <w:rsid w:val="00A72ADD"/>
    <w:rsid w:val="00A72FD9"/>
    <w:rsid w:val="00A750EC"/>
    <w:rsid w:val="00A76E0C"/>
    <w:rsid w:val="00A82772"/>
    <w:rsid w:val="00A87939"/>
    <w:rsid w:val="00A90929"/>
    <w:rsid w:val="00AA2134"/>
    <w:rsid w:val="00AA34E5"/>
    <w:rsid w:val="00AA3BA2"/>
    <w:rsid w:val="00AA4947"/>
    <w:rsid w:val="00AA508F"/>
    <w:rsid w:val="00AA5B6B"/>
    <w:rsid w:val="00AA64DE"/>
    <w:rsid w:val="00AA6D9A"/>
    <w:rsid w:val="00AA72B9"/>
    <w:rsid w:val="00AA7FA4"/>
    <w:rsid w:val="00AB19C8"/>
    <w:rsid w:val="00AB5457"/>
    <w:rsid w:val="00AB610F"/>
    <w:rsid w:val="00AB768D"/>
    <w:rsid w:val="00AB7FE4"/>
    <w:rsid w:val="00AC240B"/>
    <w:rsid w:val="00AC38FD"/>
    <w:rsid w:val="00AC58BD"/>
    <w:rsid w:val="00AC5F7C"/>
    <w:rsid w:val="00AC7B6F"/>
    <w:rsid w:val="00AD0DD0"/>
    <w:rsid w:val="00AD500A"/>
    <w:rsid w:val="00AD705E"/>
    <w:rsid w:val="00AD7C0F"/>
    <w:rsid w:val="00AE1358"/>
    <w:rsid w:val="00AE3B5E"/>
    <w:rsid w:val="00AE54BD"/>
    <w:rsid w:val="00AE6190"/>
    <w:rsid w:val="00AF007D"/>
    <w:rsid w:val="00AF44FA"/>
    <w:rsid w:val="00AF633A"/>
    <w:rsid w:val="00B00D18"/>
    <w:rsid w:val="00B01584"/>
    <w:rsid w:val="00B026AA"/>
    <w:rsid w:val="00B056A8"/>
    <w:rsid w:val="00B11385"/>
    <w:rsid w:val="00B13CEE"/>
    <w:rsid w:val="00B158F7"/>
    <w:rsid w:val="00B17281"/>
    <w:rsid w:val="00B172B1"/>
    <w:rsid w:val="00B17FB5"/>
    <w:rsid w:val="00B2026D"/>
    <w:rsid w:val="00B20957"/>
    <w:rsid w:val="00B30425"/>
    <w:rsid w:val="00B32576"/>
    <w:rsid w:val="00B32DBD"/>
    <w:rsid w:val="00B35908"/>
    <w:rsid w:val="00B36E9B"/>
    <w:rsid w:val="00B415A1"/>
    <w:rsid w:val="00B503A6"/>
    <w:rsid w:val="00B52E10"/>
    <w:rsid w:val="00B52E7E"/>
    <w:rsid w:val="00B54B9F"/>
    <w:rsid w:val="00B55CA2"/>
    <w:rsid w:val="00B56904"/>
    <w:rsid w:val="00B63741"/>
    <w:rsid w:val="00B642EB"/>
    <w:rsid w:val="00B666A5"/>
    <w:rsid w:val="00B67552"/>
    <w:rsid w:val="00B72C29"/>
    <w:rsid w:val="00B82ACB"/>
    <w:rsid w:val="00B841C5"/>
    <w:rsid w:val="00B84DF5"/>
    <w:rsid w:val="00B879BD"/>
    <w:rsid w:val="00B9506A"/>
    <w:rsid w:val="00B95FF1"/>
    <w:rsid w:val="00B97212"/>
    <w:rsid w:val="00BA1211"/>
    <w:rsid w:val="00BA48FE"/>
    <w:rsid w:val="00BA6166"/>
    <w:rsid w:val="00BB0B7D"/>
    <w:rsid w:val="00BB42CD"/>
    <w:rsid w:val="00BB4FA1"/>
    <w:rsid w:val="00BC2821"/>
    <w:rsid w:val="00BD2D4B"/>
    <w:rsid w:val="00BD6955"/>
    <w:rsid w:val="00BD6F33"/>
    <w:rsid w:val="00BD7DC8"/>
    <w:rsid w:val="00BE3043"/>
    <w:rsid w:val="00BE3FE5"/>
    <w:rsid w:val="00BE43A4"/>
    <w:rsid w:val="00BE4FE6"/>
    <w:rsid w:val="00BE566D"/>
    <w:rsid w:val="00BE7C30"/>
    <w:rsid w:val="00BF1B2D"/>
    <w:rsid w:val="00BF36A5"/>
    <w:rsid w:val="00C03B2F"/>
    <w:rsid w:val="00C03D39"/>
    <w:rsid w:val="00C07783"/>
    <w:rsid w:val="00C1046E"/>
    <w:rsid w:val="00C130FF"/>
    <w:rsid w:val="00C14A03"/>
    <w:rsid w:val="00C16720"/>
    <w:rsid w:val="00C235E0"/>
    <w:rsid w:val="00C24118"/>
    <w:rsid w:val="00C26742"/>
    <w:rsid w:val="00C4202E"/>
    <w:rsid w:val="00C43021"/>
    <w:rsid w:val="00C4352B"/>
    <w:rsid w:val="00C44A56"/>
    <w:rsid w:val="00C4589C"/>
    <w:rsid w:val="00C45F38"/>
    <w:rsid w:val="00C4676E"/>
    <w:rsid w:val="00C4748F"/>
    <w:rsid w:val="00C47BDF"/>
    <w:rsid w:val="00C51735"/>
    <w:rsid w:val="00C52C63"/>
    <w:rsid w:val="00C54A7A"/>
    <w:rsid w:val="00C61413"/>
    <w:rsid w:val="00C64780"/>
    <w:rsid w:val="00C66AC2"/>
    <w:rsid w:val="00C73C0A"/>
    <w:rsid w:val="00C752FF"/>
    <w:rsid w:val="00C75FB8"/>
    <w:rsid w:val="00C77007"/>
    <w:rsid w:val="00C84BF1"/>
    <w:rsid w:val="00C84CA0"/>
    <w:rsid w:val="00C87558"/>
    <w:rsid w:val="00C930F2"/>
    <w:rsid w:val="00C95D05"/>
    <w:rsid w:val="00CB1D35"/>
    <w:rsid w:val="00CB3ADA"/>
    <w:rsid w:val="00CB651C"/>
    <w:rsid w:val="00CC340E"/>
    <w:rsid w:val="00CD7040"/>
    <w:rsid w:val="00CE0762"/>
    <w:rsid w:val="00CE3F40"/>
    <w:rsid w:val="00CE4038"/>
    <w:rsid w:val="00CE47F1"/>
    <w:rsid w:val="00CE7AB8"/>
    <w:rsid w:val="00CF4A4E"/>
    <w:rsid w:val="00CF7E96"/>
    <w:rsid w:val="00D00940"/>
    <w:rsid w:val="00D036CD"/>
    <w:rsid w:val="00D04A5B"/>
    <w:rsid w:val="00D04A6B"/>
    <w:rsid w:val="00D04C29"/>
    <w:rsid w:val="00D0664B"/>
    <w:rsid w:val="00D104F1"/>
    <w:rsid w:val="00D176D9"/>
    <w:rsid w:val="00D207EB"/>
    <w:rsid w:val="00D239A3"/>
    <w:rsid w:val="00D2561B"/>
    <w:rsid w:val="00D2565F"/>
    <w:rsid w:val="00D3207D"/>
    <w:rsid w:val="00D33358"/>
    <w:rsid w:val="00D36975"/>
    <w:rsid w:val="00D416F5"/>
    <w:rsid w:val="00D47C5A"/>
    <w:rsid w:val="00D50EA1"/>
    <w:rsid w:val="00D5130C"/>
    <w:rsid w:val="00D6271F"/>
    <w:rsid w:val="00D65689"/>
    <w:rsid w:val="00D65F81"/>
    <w:rsid w:val="00D65FEB"/>
    <w:rsid w:val="00D71367"/>
    <w:rsid w:val="00D735D1"/>
    <w:rsid w:val="00D80C77"/>
    <w:rsid w:val="00D81291"/>
    <w:rsid w:val="00D82946"/>
    <w:rsid w:val="00D83770"/>
    <w:rsid w:val="00D859A4"/>
    <w:rsid w:val="00D85B80"/>
    <w:rsid w:val="00D908E4"/>
    <w:rsid w:val="00D93FB8"/>
    <w:rsid w:val="00D94F1F"/>
    <w:rsid w:val="00D976AE"/>
    <w:rsid w:val="00DA090B"/>
    <w:rsid w:val="00DA7A72"/>
    <w:rsid w:val="00DB1439"/>
    <w:rsid w:val="00DB26A3"/>
    <w:rsid w:val="00DB2869"/>
    <w:rsid w:val="00DB2CCE"/>
    <w:rsid w:val="00DB36BC"/>
    <w:rsid w:val="00DB3844"/>
    <w:rsid w:val="00DB4113"/>
    <w:rsid w:val="00DC1D77"/>
    <w:rsid w:val="00DC32F4"/>
    <w:rsid w:val="00DC3ABD"/>
    <w:rsid w:val="00DC5306"/>
    <w:rsid w:val="00DC62AB"/>
    <w:rsid w:val="00DE0797"/>
    <w:rsid w:val="00DE1CF8"/>
    <w:rsid w:val="00DE243C"/>
    <w:rsid w:val="00DE29CA"/>
    <w:rsid w:val="00DE3ED6"/>
    <w:rsid w:val="00DE6867"/>
    <w:rsid w:val="00DE744A"/>
    <w:rsid w:val="00DF7151"/>
    <w:rsid w:val="00DF7C20"/>
    <w:rsid w:val="00E00A37"/>
    <w:rsid w:val="00E036FA"/>
    <w:rsid w:val="00E055B5"/>
    <w:rsid w:val="00E12086"/>
    <w:rsid w:val="00E148C3"/>
    <w:rsid w:val="00E1666A"/>
    <w:rsid w:val="00E1720C"/>
    <w:rsid w:val="00E17F29"/>
    <w:rsid w:val="00E200D4"/>
    <w:rsid w:val="00E20127"/>
    <w:rsid w:val="00E22DF6"/>
    <w:rsid w:val="00E23F4C"/>
    <w:rsid w:val="00E261A6"/>
    <w:rsid w:val="00E27280"/>
    <w:rsid w:val="00E3277E"/>
    <w:rsid w:val="00E343F6"/>
    <w:rsid w:val="00E3449A"/>
    <w:rsid w:val="00E371A8"/>
    <w:rsid w:val="00E42B2D"/>
    <w:rsid w:val="00E441A3"/>
    <w:rsid w:val="00E45D58"/>
    <w:rsid w:val="00E45FC7"/>
    <w:rsid w:val="00E45FEB"/>
    <w:rsid w:val="00E50C87"/>
    <w:rsid w:val="00E54331"/>
    <w:rsid w:val="00E6276E"/>
    <w:rsid w:val="00E72486"/>
    <w:rsid w:val="00E73624"/>
    <w:rsid w:val="00E77253"/>
    <w:rsid w:val="00E80E82"/>
    <w:rsid w:val="00E909AF"/>
    <w:rsid w:val="00E914C6"/>
    <w:rsid w:val="00EA21FF"/>
    <w:rsid w:val="00EA29EC"/>
    <w:rsid w:val="00EA49D6"/>
    <w:rsid w:val="00EB41F1"/>
    <w:rsid w:val="00EB4721"/>
    <w:rsid w:val="00EC0705"/>
    <w:rsid w:val="00EC2FD7"/>
    <w:rsid w:val="00EC41D2"/>
    <w:rsid w:val="00ED0CFD"/>
    <w:rsid w:val="00ED5400"/>
    <w:rsid w:val="00ED7C18"/>
    <w:rsid w:val="00EE1C7C"/>
    <w:rsid w:val="00EE3399"/>
    <w:rsid w:val="00EE6498"/>
    <w:rsid w:val="00EF113C"/>
    <w:rsid w:val="00EF5785"/>
    <w:rsid w:val="00EF5E94"/>
    <w:rsid w:val="00F022C4"/>
    <w:rsid w:val="00F02D60"/>
    <w:rsid w:val="00F0571F"/>
    <w:rsid w:val="00F07561"/>
    <w:rsid w:val="00F10387"/>
    <w:rsid w:val="00F1318C"/>
    <w:rsid w:val="00F16660"/>
    <w:rsid w:val="00F1684F"/>
    <w:rsid w:val="00F2380D"/>
    <w:rsid w:val="00F23CEE"/>
    <w:rsid w:val="00F35C04"/>
    <w:rsid w:val="00F41F8C"/>
    <w:rsid w:val="00F46F80"/>
    <w:rsid w:val="00F51217"/>
    <w:rsid w:val="00F52AD3"/>
    <w:rsid w:val="00F55215"/>
    <w:rsid w:val="00F5653E"/>
    <w:rsid w:val="00F6282E"/>
    <w:rsid w:val="00F64947"/>
    <w:rsid w:val="00F676A0"/>
    <w:rsid w:val="00F70039"/>
    <w:rsid w:val="00F742A7"/>
    <w:rsid w:val="00F75631"/>
    <w:rsid w:val="00F81014"/>
    <w:rsid w:val="00F81097"/>
    <w:rsid w:val="00F82C24"/>
    <w:rsid w:val="00F90940"/>
    <w:rsid w:val="00F95B44"/>
    <w:rsid w:val="00F973B0"/>
    <w:rsid w:val="00FA1AB3"/>
    <w:rsid w:val="00FA3A70"/>
    <w:rsid w:val="00FA5E70"/>
    <w:rsid w:val="00FA698D"/>
    <w:rsid w:val="00FC0AEF"/>
    <w:rsid w:val="00FC692C"/>
    <w:rsid w:val="00FE3C59"/>
    <w:rsid w:val="00FE535D"/>
    <w:rsid w:val="00FF195E"/>
    <w:rsid w:val="00FF2C21"/>
    <w:rsid w:val="00FF3FC0"/>
    <w:rsid w:val="00FF6626"/>
    <w:rsid w:val="00FF6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2"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Classic 4"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FB"/>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6F61F5"/>
    <w:pPr>
      <w:keepNext/>
      <w:keepLines/>
      <w:spacing w:before="480" w:after="0"/>
      <w:outlineLvl w:val="0"/>
    </w:pPr>
    <w:rPr>
      <w:rFonts w:ascii="Cambria" w:eastAsia="SimSun"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1F5"/>
    <w:rPr>
      <w:rFonts w:ascii="Cambria" w:eastAsia="SimSun" w:hAnsi="Cambria" w:cs="Times New Roman"/>
      <w:b/>
      <w:color w:val="365F91"/>
      <w:sz w:val="28"/>
    </w:rPr>
  </w:style>
  <w:style w:type="paragraph" w:styleId="BalloonText">
    <w:name w:val="Balloon Text"/>
    <w:basedOn w:val="Normal"/>
    <w:link w:val="BalloonTextChar"/>
    <w:uiPriority w:val="99"/>
    <w:semiHidden/>
    <w:rsid w:val="00577AF1"/>
    <w:pPr>
      <w:spacing w:after="0" w:line="240" w:lineRule="auto"/>
    </w:pPr>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577AF1"/>
    <w:rPr>
      <w:rFonts w:ascii="Tahoma" w:hAnsi="Tahoma" w:cs="Times New Roman"/>
      <w:sz w:val="16"/>
    </w:rPr>
  </w:style>
  <w:style w:type="paragraph" w:styleId="ListParagraph">
    <w:name w:val="List Paragraph"/>
    <w:basedOn w:val="Normal"/>
    <w:link w:val="ListParagraphChar"/>
    <w:uiPriority w:val="99"/>
    <w:qFormat/>
    <w:rsid w:val="00556C21"/>
    <w:pPr>
      <w:ind w:left="720"/>
      <w:contextualSpacing/>
    </w:pPr>
    <w:rPr>
      <w:szCs w:val="20"/>
    </w:rPr>
  </w:style>
  <w:style w:type="paragraph" w:styleId="TOC1">
    <w:name w:val="toc 1"/>
    <w:basedOn w:val="Normal"/>
    <w:next w:val="Normal"/>
    <w:autoRedefine/>
    <w:uiPriority w:val="39"/>
    <w:rsid w:val="006F61F5"/>
    <w:pPr>
      <w:tabs>
        <w:tab w:val="right" w:leader="dot" w:pos="9639"/>
      </w:tabs>
      <w:spacing w:before="60" w:after="40" w:line="240" w:lineRule="auto"/>
    </w:pPr>
    <w:rPr>
      <w:rFonts w:ascii="Times New Roman" w:hAnsi="Times New Roman"/>
      <w:b/>
      <w:noProof/>
      <w:szCs w:val="28"/>
    </w:rPr>
  </w:style>
  <w:style w:type="character" w:styleId="Hyperlink">
    <w:name w:val="Hyperlink"/>
    <w:basedOn w:val="DefaultParagraphFont"/>
    <w:uiPriority w:val="99"/>
    <w:rsid w:val="006F61F5"/>
    <w:rPr>
      <w:rFonts w:cs="Times New Roman"/>
      <w:color w:val="0000FF"/>
      <w:u w:val="single"/>
    </w:rPr>
  </w:style>
  <w:style w:type="paragraph" w:styleId="Header">
    <w:name w:val="header"/>
    <w:basedOn w:val="Normal"/>
    <w:link w:val="Head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HeaderChar">
    <w:name w:val="Header Char"/>
    <w:basedOn w:val="DefaultParagraphFont"/>
    <w:link w:val="Header"/>
    <w:uiPriority w:val="99"/>
    <w:locked/>
    <w:rsid w:val="006F61F5"/>
    <w:rPr>
      <w:rFonts w:cs="Times New Roman"/>
    </w:rPr>
  </w:style>
  <w:style w:type="paragraph" w:styleId="Footer">
    <w:name w:val="footer"/>
    <w:basedOn w:val="Normal"/>
    <w:link w:val="Foot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FooterChar">
    <w:name w:val="Footer Char"/>
    <w:basedOn w:val="DefaultParagraphFont"/>
    <w:link w:val="Footer"/>
    <w:uiPriority w:val="99"/>
    <w:locked/>
    <w:rsid w:val="006F61F5"/>
    <w:rPr>
      <w:rFonts w:cs="Times New Roman"/>
    </w:rPr>
  </w:style>
  <w:style w:type="paragraph" w:styleId="Subtitle">
    <w:name w:val="Subtitle"/>
    <w:basedOn w:val="Normal"/>
    <w:next w:val="Normal"/>
    <w:link w:val="SubtitleChar"/>
    <w:uiPriority w:val="99"/>
    <w:qFormat/>
    <w:rsid w:val="008E0DC2"/>
    <w:pPr>
      <w:keepNext/>
      <w:keepLines/>
      <w:widowControl w:val="0"/>
      <w:suppressAutoHyphens/>
      <w:spacing w:before="600" w:after="600" w:line="240" w:lineRule="auto"/>
      <w:ind w:right="4820"/>
    </w:pPr>
    <w:rPr>
      <w:rFonts w:ascii="Times New Roman" w:eastAsia="Calibri" w:hAnsi="Times New Roman"/>
      <w:b/>
      <w:sz w:val="20"/>
      <w:szCs w:val="20"/>
      <w:lang w:val="en-AU" w:eastAsia="lv-LV"/>
    </w:rPr>
  </w:style>
  <w:style w:type="character" w:customStyle="1" w:styleId="SubtitleChar">
    <w:name w:val="Subtitle Char"/>
    <w:basedOn w:val="DefaultParagraphFont"/>
    <w:link w:val="Subtitle"/>
    <w:uiPriority w:val="99"/>
    <w:locked/>
    <w:rsid w:val="008E0DC2"/>
    <w:rPr>
      <w:rFonts w:ascii="Times New Roman" w:hAnsi="Times New Roman" w:cs="Times New Roman"/>
      <w:b/>
      <w:sz w:val="20"/>
      <w:lang w:val="en-AU"/>
    </w:rPr>
  </w:style>
  <w:style w:type="paragraph" w:styleId="PlainText">
    <w:name w:val="Plain Text"/>
    <w:basedOn w:val="Normal"/>
    <w:link w:val="PlainTextChar"/>
    <w:rsid w:val="000F61C2"/>
    <w:pPr>
      <w:spacing w:after="0" w:line="240" w:lineRule="auto"/>
    </w:pPr>
    <w:rPr>
      <w:rFonts w:eastAsia="Calibri"/>
      <w:sz w:val="20"/>
      <w:szCs w:val="20"/>
      <w:lang w:eastAsia="lv-LV"/>
    </w:rPr>
  </w:style>
  <w:style w:type="character" w:customStyle="1" w:styleId="PlainTextChar">
    <w:name w:val="Plain Text Char"/>
    <w:basedOn w:val="DefaultParagraphFont"/>
    <w:link w:val="PlainText"/>
    <w:locked/>
    <w:rsid w:val="000F61C2"/>
    <w:rPr>
      <w:rFonts w:ascii="Calibri" w:hAnsi="Calibri" w:cs="Times New Roman"/>
    </w:rPr>
  </w:style>
  <w:style w:type="paragraph" w:customStyle="1" w:styleId="Vstulesdatumsunnumurs">
    <w:name w:val="Vçstules datums un numurs"/>
    <w:basedOn w:val="Normal"/>
    <w:next w:val="EnvelopeAddress"/>
    <w:uiPriority w:val="99"/>
    <w:rsid w:val="00AF633A"/>
    <w:pPr>
      <w:keepNext/>
      <w:keepLines/>
      <w:widowControl w:val="0"/>
      <w:suppressAutoHyphens/>
      <w:spacing w:before="60" w:after="60" w:line="240" w:lineRule="auto"/>
      <w:ind w:left="4820"/>
    </w:pPr>
    <w:rPr>
      <w:rFonts w:ascii="Times New Roman" w:eastAsia="Calibri" w:hAnsi="Times New Roman"/>
      <w:sz w:val="24"/>
      <w:szCs w:val="20"/>
    </w:rPr>
  </w:style>
  <w:style w:type="paragraph" w:styleId="EnvelopeAddress">
    <w:name w:val="envelope address"/>
    <w:basedOn w:val="Normal"/>
    <w:uiPriority w:val="99"/>
    <w:semiHidden/>
    <w:rsid w:val="00AF633A"/>
    <w:pPr>
      <w:framePr w:w="7920" w:h="1980" w:hRule="exact" w:hSpace="180" w:wrap="auto" w:hAnchor="page" w:xAlign="center" w:yAlign="bottom"/>
      <w:spacing w:after="0" w:line="240" w:lineRule="auto"/>
      <w:ind w:left="2880"/>
    </w:pPr>
    <w:rPr>
      <w:rFonts w:ascii="Cambria" w:eastAsia="SimSun" w:hAnsi="Cambria"/>
      <w:sz w:val="24"/>
      <w:szCs w:val="24"/>
    </w:rPr>
  </w:style>
  <w:style w:type="table" w:styleId="TableClassic4">
    <w:name w:val="Table Classic 4"/>
    <w:basedOn w:val="TableNormal"/>
    <w:uiPriority w:val="99"/>
    <w:rsid w:val="0047124B"/>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Grid">
    <w:name w:val="Table Grid"/>
    <w:basedOn w:val="TableNormal"/>
    <w:uiPriority w:val="99"/>
    <w:rsid w:val="0047124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63636"/>
    <w:rPr>
      <w:rFonts w:cs="Times New Roman"/>
      <w:color w:val="800080"/>
      <w:u w:val="single"/>
    </w:rPr>
  </w:style>
  <w:style w:type="paragraph" w:styleId="FootnoteText">
    <w:name w:val="footnote text"/>
    <w:basedOn w:val="Normal"/>
    <w:link w:val="FootnoteTextChar"/>
    <w:uiPriority w:val="99"/>
    <w:semiHidden/>
    <w:rsid w:val="00563671"/>
    <w:pPr>
      <w:spacing w:after="0" w:line="240" w:lineRule="auto"/>
    </w:pPr>
    <w:rPr>
      <w:rFonts w:eastAsia="Calibri"/>
      <w:sz w:val="20"/>
      <w:szCs w:val="20"/>
      <w:lang w:eastAsia="lv-LV"/>
    </w:rPr>
  </w:style>
  <w:style w:type="character" w:customStyle="1" w:styleId="FootnoteTextChar">
    <w:name w:val="Footnote Text Char"/>
    <w:basedOn w:val="DefaultParagraphFont"/>
    <w:link w:val="FootnoteText"/>
    <w:uiPriority w:val="99"/>
    <w:semiHidden/>
    <w:locked/>
    <w:rsid w:val="00563671"/>
    <w:rPr>
      <w:rFonts w:cs="Times New Roman"/>
      <w:sz w:val="20"/>
    </w:rPr>
  </w:style>
  <w:style w:type="character" w:styleId="FootnoteReference">
    <w:name w:val="footnote reference"/>
    <w:basedOn w:val="DefaultParagraphFont"/>
    <w:uiPriority w:val="99"/>
    <w:semiHidden/>
    <w:rsid w:val="00563671"/>
    <w:rPr>
      <w:rFonts w:cs="Times New Roman"/>
      <w:vertAlign w:val="superscript"/>
    </w:rPr>
  </w:style>
  <w:style w:type="paragraph" w:styleId="NormalWeb">
    <w:name w:val="Normal (Web)"/>
    <w:basedOn w:val="Normal"/>
    <w:uiPriority w:val="99"/>
    <w:rsid w:val="001229A9"/>
    <w:pPr>
      <w:spacing w:before="100" w:beforeAutospacing="1" w:after="100" w:afterAutospacing="1" w:line="240" w:lineRule="auto"/>
    </w:pPr>
    <w:rPr>
      <w:rFonts w:ascii="Times New Roman" w:eastAsia="Calibri" w:hAnsi="Times New Roman"/>
      <w:sz w:val="24"/>
      <w:szCs w:val="24"/>
      <w:lang w:eastAsia="lv-LV"/>
    </w:rPr>
  </w:style>
  <w:style w:type="character" w:styleId="CommentReference">
    <w:name w:val="annotation reference"/>
    <w:basedOn w:val="DefaultParagraphFont"/>
    <w:uiPriority w:val="99"/>
    <w:semiHidden/>
    <w:rsid w:val="00E45FEB"/>
    <w:rPr>
      <w:rFonts w:cs="Times New Roman"/>
      <w:sz w:val="16"/>
    </w:rPr>
  </w:style>
  <w:style w:type="paragraph" w:styleId="CommentText">
    <w:name w:val="annotation text"/>
    <w:basedOn w:val="Normal"/>
    <w:link w:val="CommentTextChar"/>
    <w:uiPriority w:val="99"/>
    <w:semiHidden/>
    <w:rsid w:val="00E45FEB"/>
    <w:pPr>
      <w:spacing w:line="240" w:lineRule="auto"/>
    </w:pPr>
    <w:rPr>
      <w:rFonts w:eastAsia="Calibri"/>
      <w:sz w:val="20"/>
      <w:szCs w:val="20"/>
      <w:lang w:eastAsia="lv-LV"/>
    </w:rPr>
  </w:style>
  <w:style w:type="character" w:customStyle="1" w:styleId="CommentTextChar">
    <w:name w:val="Comment Text Char"/>
    <w:basedOn w:val="DefaultParagraphFont"/>
    <w:link w:val="CommentText"/>
    <w:uiPriority w:val="99"/>
    <w:semiHidden/>
    <w:locked/>
    <w:rsid w:val="00E45FEB"/>
    <w:rPr>
      <w:rFonts w:cs="Times New Roman"/>
      <w:sz w:val="20"/>
    </w:rPr>
  </w:style>
  <w:style w:type="paragraph" w:styleId="CommentSubject">
    <w:name w:val="annotation subject"/>
    <w:basedOn w:val="CommentText"/>
    <w:next w:val="CommentText"/>
    <w:link w:val="CommentSubjectChar"/>
    <w:uiPriority w:val="99"/>
    <w:semiHidden/>
    <w:rsid w:val="00E45FEB"/>
    <w:rPr>
      <w:b/>
      <w:bCs/>
    </w:rPr>
  </w:style>
  <w:style w:type="character" w:customStyle="1" w:styleId="CommentSubjectChar">
    <w:name w:val="Comment Subject Char"/>
    <w:basedOn w:val="CommentTextChar"/>
    <w:link w:val="CommentSubject"/>
    <w:uiPriority w:val="99"/>
    <w:semiHidden/>
    <w:locked/>
    <w:rsid w:val="00E45FEB"/>
    <w:rPr>
      <w:rFonts w:cs="Times New Roman"/>
      <w:b/>
      <w:sz w:val="20"/>
    </w:rPr>
  </w:style>
  <w:style w:type="character" w:customStyle="1" w:styleId="st1">
    <w:name w:val="st1"/>
    <w:basedOn w:val="DefaultParagraphFont"/>
    <w:uiPriority w:val="99"/>
    <w:rsid w:val="001D6BA7"/>
    <w:rPr>
      <w:rFonts w:cs="Times New Roman"/>
    </w:rPr>
  </w:style>
  <w:style w:type="character" w:styleId="Emphasis">
    <w:name w:val="Emphasis"/>
    <w:basedOn w:val="DefaultParagraphFont"/>
    <w:uiPriority w:val="99"/>
    <w:qFormat/>
    <w:locked/>
    <w:rsid w:val="000C3627"/>
    <w:rPr>
      <w:rFonts w:cs="Times New Roman"/>
      <w:b/>
      <w:bCs/>
    </w:rPr>
  </w:style>
  <w:style w:type="character" w:customStyle="1" w:styleId="ListParagraphChar">
    <w:name w:val="List Paragraph Char"/>
    <w:link w:val="ListParagraph"/>
    <w:uiPriority w:val="99"/>
    <w:locked/>
    <w:rsid w:val="0047512C"/>
    <w:rPr>
      <w:rFonts w:eastAsia="Times New Roman"/>
      <w:sz w:val="22"/>
      <w:lang w:eastAsia="en-US"/>
    </w:rPr>
  </w:style>
  <w:style w:type="paragraph" w:customStyle="1" w:styleId="Default">
    <w:name w:val="Default"/>
    <w:uiPriority w:val="99"/>
    <w:rsid w:val="00F07561"/>
    <w:pPr>
      <w:autoSpaceDE w:val="0"/>
      <w:autoSpaceDN w:val="0"/>
      <w:adjustRightInd w:val="0"/>
    </w:pPr>
    <w:rPr>
      <w:rFonts w:ascii="Times New Roman" w:hAnsi="Times New Roman"/>
      <w:color w:val="000000"/>
      <w:sz w:val="24"/>
      <w:szCs w:val="24"/>
      <w:lang w:eastAsia="zh-CN"/>
    </w:rPr>
  </w:style>
  <w:style w:type="paragraph" w:customStyle="1" w:styleId="Char">
    <w:name w:val="Char"/>
    <w:basedOn w:val="Normal"/>
    <w:uiPriority w:val="99"/>
    <w:rsid w:val="00156194"/>
    <w:pPr>
      <w:spacing w:before="40" w:after="0" w:line="240" w:lineRule="auto"/>
    </w:pPr>
    <w:rPr>
      <w:rFonts w:ascii="Arial" w:hAnsi="Arial"/>
      <w:sz w:val="24"/>
      <w:szCs w:val="24"/>
      <w:lang w:val="pl-PL" w:eastAsia="pl-PL"/>
    </w:rPr>
  </w:style>
  <w:style w:type="character" w:styleId="PageNumber">
    <w:name w:val="page number"/>
    <w:basedOn w:val="DefaultParagraphFont"/>
    <w:uiPriority w:val="99"/>
    <w:rsid w:val="000624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Classic 4"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FB"/>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6F61F5"/>
    <w:pPr>
      <w:keepNext/>
      <w:keepLines/>
      <w:spacing w:before="480" w:after="0"/>
      <w:outlineLvl w:val="0"/>
    </w:pPr>
    <w:rPr>
      <w:rFonts w:ascii="Cambria" w:eastAsia="SimSun"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1F5"/>
    <w:rPr>
      <w:rFonts w:ascii="Cambria" w:eastAsia="SimSun" w:hAnsi="Cambria" w:cs="Times New Roman"/>
      <w:b/>
      <w:color w:val="365F91"/>
      <w:sz w:val="28"/>
    </w:rPr>
  </w:style>
  <w:style w:type="paragraph" w:styleId="BalloonText">
    <w:name w:val="Balloon Text"/>
    <w:basedOn w:val="Normal"/>
    <w:link w:val="BalloonTextChar"/>
    <w:uiPriority w:val="99"/>
    <w:semiHidden/>
    <w:rsid w:val="00577AF1"/>
    <w:pPr>
      <w:spacing w:after="0" w:line="240" w:lineRule="auto"/>
    </w:pPr>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577AF1"/>
    <w:rPr>
      <w:rFonts w:ascii="Tahoma" w:hAnsi="Tahoma" w:cs="Times New Roman"/>
      <w:sz w:val="16"/>
    </w:rPr>
  </w:style>
  <w:style w:type="paragraph" w:styleId="ListParagraph">
    <w:name w:val="List Paragraph"/>
    <w:basedOn w:val="Normal"/>
    <w:link w:val="ListParagraphChar"/>
    <w:uiPriority w:val="99"/>
    <w:qFormat/>
    <w:rsid w:val="00556C21"/>
    <w:pPr>
      <w:ind w:left="720"/>
      <w:contextualSpacing/>
    </w:pPr>
    <w:rPr>
      <w:szCs w:val="20"/>
    </w:rPr>
  </w:style>
  <w:style w:type="paragraph" w:styleId="TOC1">
    <w:name w:val="toc 1"/>
    <w:basedOn w:val="Normal"/>
    <w:next w:val="Normal"/>
    <w:autoRedefine/>
    <w:uiPriority w:val="99"/>
    <w:rsid w:val="006F61F5"/>
    <w:pPr>
      <w:tabs>
        <w:tab w:val="right" w:leader="dot" w:pos="9639"/>
      </w:tabs>
      <w:spacing w:before="60" w:after="40" w:line="240" w:lineRule="auto"/>
    </w:pPr>
    <w:rPr>
      <w:rFonts w:ascii="Times New Roman" w:hAnsi="Times New Roman"/>
      <w:b/>
      <w:noProof/>
      <w:szCs w:val="28"/>
    </w:rPr>
  </w:style>
  <w:style w:type="character" w:styleId="Hyperlink">
    <w:name w:val="Hyperlink"/>
    <w:basedOn w:val="DefaultParagraphFont"/>
    <w:uiPriority w:val="99"/>
    <w:rsid w:val="006F61F5"/>
    <w:rPr>
      <w:rFonts w:cs="Times New Roman"/>
      <w:color w:val="0000FF"/>
      <w:u w:val="single"/>
    </w:rPr>
  </w:style>
  <w:style w:type="paragraph" w:styleId="Header">
    <w:name w:val="header"/>
    <w:basedOn w:val="Normal"/>
    <w:link w:val="Head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HeaderChar">
    <w:name w:val="Header Char"/>
    <w:basedOn w:val="DefaultParagraphFont"/>
    <w:link w:val="Header"/>
    <w:uiPriority w:val="99"/>
    <w:locked/>
    <w:rsid w:val="006F61F5"/>
    <w:rPr>
      <w:rFonts w:cs="Times New Roman"/>
    </w:rPr>
  </w:style>
  <w:style w:type="paragraph" w:styleId="Footer">
    <w:name w:val="footer"/>
    <w:basedOn w:val="Normal"/>
    <w:link w:val="Foot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FooterChar">
    <w:name w:val="Footer Char"/>
    <w:basedOn w:val="DefaultParagraphFont"/>
    <w:link w:val="Footer"/>
    <w:uiPriority w:val="99"/>
    <w:locked/>
    <w:rsid w:val="006F61F5"/>
    <w:rPr>
      <w:rFonts w:cs="Times New Roman"/>
    </w:rPr>
  </w:style>
  <w:style w:type="paragraph" w:styleId="Subtitle">
    <w:name w:val="Subtitle"/>
    <w:basedOn w:val="Normal"/>
    <w:next w:val="Normal"/>
    <w:link w:val="SubtitleChar"/>
    <w:uiPriority w:val="99"/>
    <w:qFormat/>
    <w:rsid w:val="008E0DC2"/>
    <w:pPr>
      <w:keepNext/>
      <w:keepLines/>
      <w:widowControl w:val="0"/>
      <w:suppressAutoHyphens/>
      <w:spacing w:before="600" w:after="600" w:line="240" w:lineRule="auto"/>
      <w:ind w:right="4820"/>
    </w:pPr>
    <w:rPr>
      <w:rFonts w:ascii="Times New Roman" w:eastAsia="Calibri" w:hAnsi="Times New Roman"/>
      <w:b/>
      <w:sz w:val="20"/>
      <w:szCs w:val="20"/>
      <w:lang w:val="en-AU" w:eastAsia="lv-LV"/>
    </w:rPr>
  </w:style>
  <w:style w:type="character" w:customStyle="1" w:styleId="SubtitleChar">
    <w:name w:val="Subtitle Char"/>
    <w:basedOn w:val="DefaultParagraphFont"/>
    <w:link w:val="Subtitle"/>
    <w:uiPriority w:val="99"/>
    <w:locked/>
    <w:rsid w:val="008E0DC2"/>
    <w:rPr>
      <w:rFonts w:ascii="Times New Roman" w:hAnsi="Times New Roman" w:cs="Times New Roman"/>
      <w:b/>
      <w:sz w:val="20"/>
      <w:lang w:val="en-AU"/>
    </w:rPr>
  </w:style>
  <w:style w:type="paragraph" w:styleId="PlainText">
    <w:name w:val="Plain Text"/>
    <w:basedOn w:val="Normal"/>
    <w:link w:val="PlainTextChar"/>
    <w:uiPriority w:val="99"/>
    <w:rsid w:val="000F61C2"/>
    <w:pPr>
      <w:spacing w:after="0" w:line="240" w:lineRule="auto"/>
    </w:pPr>
    <w:rPr>
      <w:rFonts w:eastAsia="Calibri"/>
      <w:sz w:val="20"/>
      <w:szCs w:val="20"/>
      <w:lang w:eastAsia="lv-LV"/>
    </w:rPr>
  </w:style>
  <w:style w:type="character" w:customStyle="1" w:styleId="PlainTextChar">
    <w:name w:val="Plain Text Char"/>
    <w:basedOn w:val="DefaultParagraphFont"/>
    <w:link w:val="PlainText"/>
    <w:uiPriority w:val="99"/>
    <w:locked/>
    <w:rsid w:val="000F61C2"/>
    <w:rPr>
      <w:rFonts w:ascii="Calibri" w:hAnsi="Calibri" w:cs="Times New Roman"/>
    </w:rPr>
  </w:style>
  <w:style w:type="paragraph" w:customStyle="1" w:styleId="Vstulesdatumsunnumurs">
    <w:name w:val="Vçstules datums un numurs"/>
    <w:basedOn w:val="Normal"/>
    <w:next w:val="EnvelopeAddress"/>
    <w:uiPriority w:val="99"/>
    <w:rsid w:val="00AF633A"/>
    <w:pPr>
      <w:keepNext/>
      <w:keepLines/>
      <w:widowControl w:val="0"/>
      <w:suppressAutoHyphens/>
      <w:spacing w:before="60" w:after="60" w:line="240" w:lineRule="auto"/>
      <w:ind w:left="4820"/>
    </w:pPr>
    <w:rPr>
      <w:rFonts w:ascii="Times New Roman" w:eastAsia="Calibri" w:hAnsi="Times New Roman"/>
      <w:sz w:val="24"/>
      <w:szCs w:val="20"/>
    </w:rPr>
  </w:style>
  <w:style w:type="paragraph" w:styleId="EnvelopeAddress">
    <w:name w:val="envelope address"/>
    <w:basedOn w:val="Normal"/>
    <w:uiPriority w:val="99"/>
    <w:semiHidden/>
    <w:rsid w:val="00AF633A"/>
    <w:pPr>
      <w:framePr w:w="7920" w:h="1980" w:hRule="exact" w:hSpace="180" w:wrap="auto" w:hAnchor="page" w:xAlign="center" w:yAlign="bottom"/>
      <w:spacing w:after="0" w:line="240" w:lineRule="auto"/>
      <w:ind w:left="2880"/>
    </w:pPr>
    <w:rPr>
      <w:rFonts w:ascii="Cambria" w:eastAsia="SimSun" w:hAnsi="Cambria"/>
      <w:sz w:val="24"/>
      <w:szCs w:val="24"/>
    </w:rPr>
  </w:style>
  <w:style w:type="table" w:styleId="TableClassic4">
    <w:name w:val="Table Classic 4"/>
    <w:basedOn w:val="TableNormal"/>
    <w:uiPriority w:val="99"/>
    <w:rsid w:val="0047124B"/>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Grid">
    <w:name w:val="Table Grid"/>
    <w:basedOn w:val="TableNormal"/>
    <w:uiPriority w:val="99"/>
    <w:rsid w:val="0047124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63636"/>
    <w:rPr>
      <w:rFonts w:cs="Times New Roman"/>
      <w:color w:val="800080"/>
      <w:u w:val="single"/>
    </w:rPr>
  </w:style>
  <w:style w:type="paragraph" w:styleId="FootnoteText">
    <w:name w:val="footnote text"/>
    <w:basedOn w:val="Normal"/>
    <w:link w:val="FootnoteTextChar"/>
    <w:uiPriority w:val="99"/>
    <w:semiHidden/>
    <w:rsid w:val="00563671"/>
    <w:pPr>
      <w:spacing w:after="0" w:line="240" w:lineRule="auto"/>
    </w:pPr>
    <w:rPr>
      <w:rFonts w:eastAsia="Calibri"/>
      <w:sz w:val="20"/>
      <w:szCs w:val="20"/>
      <w:lang w:eastAsia="lv-LV"/>
    </w:rPr>
  </w:style>
  <w:style w:type="character" w:customStyle="1" w:styleId="FootnoteTextChar">
    <w:name w:val="Footnote Text Char"/>
    <w:basedOn w:val="DefaultParagraphFont"/>
    <w:link w:val="FootnoteText"/>
    <w:uiPriority w:val="99"/>
    <w:semiHidden/>
    <w:locked/>
    <w:rsid w:val="00563671"/>
    <w:rPr>
      <w:rFonts w:cs="Times New Roman"/>
      <w:sz w:val="20"/>
    </w:rPr>
  </w:style>
  <w:style w:type="character" w:styleId="FootnoteReference">
    <w:name w:val="footnote reference"/>
    <w:basedOn w:val="DefaultParagraphFont"/>
    <w:uiPriority w:val="99"/>
    <w:semiHidden/>
    <w:rsid w:val="00563671"/>
    <w:rPr>
      <w:rFonts w:cs="Times New Roman"/>
      <w:vertAlign w:val="superscript"/>
    </w:rPr>
  </w:style>
  <w:style w:type="paragraph" w:styleId="NormalWeb">
    <w:name w:val="Normal (Web)"/>
    <w:basedOn w:val="Normal"/>
    <w:uiPriority w:val="99"/>
    <w:rsid w:val="001229A9"/>
    <w:pPr>
      <w:spacing w:before="100" w:beforeAutospacing="1" w:after="100" w:afterAutospacing="1" w:line="240" w:lineRule="auto"/>
    </w:pPr>
    <w:rPr>
      <w:rFonts w:ascii="Times New Roman" w:eastAsia="Calibri" w:hAnsi="Times New Roman"/>
      <w:sz w:val="24"/>
      <w:szCs w:val="24"/>
      <w:lang w:eastAsia="lv-LV"/>
    </w:rPr>
  </w:style>
  <w:style w:type="character" w:styleId="CommentReference">
    <w:name w:val="annotation reference"/>
    <w:basedOn w:val="DefaultParagraphFont"/>
    <w:uiPriority w:val="99"/>
    <w:semiHidden/>
    <w:rsid w:val="00E45FEB"/>
    <w:rPr>
      <w:rFonts w:cs="Times New Roman"/>
      <w:sz w:val="16"/>
    </w:rPr>
  </w:style>
  <w:style w:type="paragraph" w:styleId="CommentText">
    <w:name w:val="annotation text"/>
    <w:basedOn w:val="Normal"/>
    <w:link w:val="CommentTextChar"/>
    <w:uiPriority w:val="99"/>
    <w:semiHidden/>
    <w:rsid w:val="00E45FEB"/>
    <w:pPr>
      <w:spacing w:line="240" w:lineRule="auto"/>
    </w:pPr>
    <w:rPr>
      <w:rFonts w:eastAsia="Calibri"/>
      <w:sz w:val="20"/>
      <w:szCs w:val="20"/>
      <w:lang w:eastAsia="lv-LV"/>
    </w:rPr>
  </w:style>
  <w:style w:type="character" w:customStyle="1" w:styleId="CommentTextChar">
    <w:name w:val="Comment Text Char"/>
    <w:basedOn w:val="DefaultParagraphFont"/>
    <w:link w:val="CommentText"/>
    <w:uiPriority w:val="99"/>
    <w:semiHidden/>
    <w:locked/>
    <w:rsid w:val="00E45FEB"/>
    <w:rPr>
      <w:rFonts w:cs="Times New Roman"/>
      <w:sz w:val="20"/>
    </w:rPr>
  </w:style>
  <w:style w:type="paragraph" w:styleId="CommentSubject">
    <w:name w:val="annotation subject"/>
    <w:basedOn w:val="CommentText"/>
    <w:next w:val="CommentText"/>
    <w:link w:val="CommentSubjectChar"/>
    <w:uiPriority w:val="99"/>
    <w:semiHidden/>
    <w:rsid w:val="00E45FEB"/>
    <w:rPr>
      <w:b/>
      <w:bCs/>
    </w:rPr>
  </w:style>
  <w:style w:type="character" w:customStyle="1" w:styleId="CommentSubjectChar">
    <w:name w:val="Comment Subject Char"/>
    <w:basedOn w:val="CommentTextChar"/>
    <w:link w:val="CommentSubject"/>
    <w:uiPriority w:val="99"/>
    <w:semiHidden/>
    <w:locked/>
    <w:rsid w:val="00E45FEB"/>
    <w:rPr>
      <w:rFonts w:cs="Times New Roman"/>
      <w:b/>
      <w:sz w:val="20"/>
    </w:rPr>
  </w:style>
  <w:style w:type="character" w:customStyle="1" w:styleId="st1">
    <w:name w:val="st1"/>
    <w:basedOn w:val="DefaultParagraphFont"/>
    <w:uiPriority w:val="99"/>
    <w:rsid w:val="001D6BA7"/>
    <w:rPr>
      <w:rFonts w:cs="Times New Roman"/>
    </w:rPr>
  </w:style>
  <w:style w:type="character" w:styleId="Emphasis">
    <w:name w:val="Emphasis"/>
    <w:basedOn w:val="DefaultParagraphFont"/>
    <w:uiPriority w:val="99"/>
    <w:qFormat/>
    <w:locked/>
    <w:rsid w:val="000C3627"/>
    <w:rPr>
      <w:rFonts w:cs="Times New Roman"/>
      <w:b/>
      <w:bCs/>
    </w:rPr>
  </w:style>
  <w:style w:type="character" w:customStyle="1" w:styleId="ListParagraphChar">
    <w:name w:val="List Paragraph Char"/>
    <w:link w:val="ListParagraph"/>
    <w:uiPriority w:val="99"/>
    <w:locked/>
    <w:rsid w:val="0047512C"/>
    <w:rPr>
      <w:rFonts w:eastAsia="Times New Roman"/>
      <w:sz w:val="22"/>
      <w:lang w:eastAsia="en-US"/>
    </w:rPr>
  </w:style>
  <w:style w:type="paragraph" w:customStyle="1" w:styleId="Default">
    <w:name w:val="Default"/>
    <w:uiPriority w:val="99"/>
    <w:rsid w:val="00F07561"/>
    <w:pPr>
      <w:autoSpaceDE w:val="0"/>
      <w:autoSpaceDN w:val="0"/>
      <w:adjustRightInd w:val="0"/>
    </w:pPr>
    <w:rPr>
      <w:rFonts w:ascii="Times New Roman" w:hAnsi="Times New Roman"/>
      <w:color w:val="000000"/>
      <w:sz w:val="24"/>
      <w:szCs w:val="24"/>
      <w:lang w:eastAsia="zh-CN"/>
    </w:rPr>
  </w:style>
  <w:style w:type="paragraph" w:customStyle="1" w:styleId="Char">
    <w:name w:val="Char"/>
    <w:basedOn w:val="Normal"/>
    <w:uiPriority w:val="99"/>
    <w:rsid w:val="00156194"/>
    <w:pPr>
      <w:spacing w:before="40" w:after="0" w:line="240" w:lineRule="auto"/>
    </w:pPr>
    <w:rPr>
      <w:rFonts w:ascii="Arial" w:hAnsi="Arial"/>
      <w:sz w:val="24"/>
      <w:szCs w:val="24"/>
      <w:lang w:val="pl-PL" w:eastAsia="pl-PL"/>
    </w:rPr>
  </w:style>
  <w:style w:type="character" w:styleId="PageNumber">
    <w:name w:val="page number"/>
    <w:basedOn w:val="DefaultParagraphFont"/>
    <w:uiPriority w:val="99"/>
    <w:rsid w:val="000624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55182">
      <w:marLeft w:val="0"/>
      <w:marRight w:val="0"/>
      <w:marTop w:val="0"/>
      <w:marBottom w:val="0"/>
      <w:divBdr>
        <w:top w:val="none" w:sz="0" w:space="0" w:color="auto"/>
        <w:left w:val="none" w:sz="0" w:space="0" w:color="auto"/>
        <w:bottom w:val="none" w:sz="0" w:space="0" w:color="auto"/>
        <w:right w:val="none" w:sz="0" w:space="0" w:color="auto"/>
      </w:divBdr>
    </w:div>
    <w:div w:id="1482455183">
      <w:marLeft w:val="0"/>
      <w:marRight w:val="0"/>
      <w:marTop w:val="0"/>
      <w:marBottom w:val="0"/>
      <w:divBdr>
        <w:top w:val="none" w:sz="0" w:space="0" w:color="auto"/>
        <w:left w:val="none" w:sz="0" w:space="0" w:color="auto"/>
        <w:bottom w:val="none" w:sz="0" w:space="0" w:color="auto"/>
        <w:right w:val="none" w:sz="0" w:space="0" w:color="auto"/>
      </w:divBdr>
    </w:div>
    <w:div w:id="1482455184">
      <w:marLeft w:val="0"/>
      <w:marRight w:val="0"/>
      <w:marTop w:val="0"/>
      <w:marBottom w:val="0"/>
      <w:divBdr>
        <w:top w:val="none" w:sz="0" w:space="0" w:color="auto"/>
        <w:left w:val="none" w:sz="0" w:space="0" w:color="auto"/>
        <w:bottom w:val="none" w:sz="0" w:space="0" w:color="auto"/>
        <w:right w:val="none" w:sz="0" w:space="0" w:color="auto"/>
      </w:divBdr>
    </w:div>
    <w:div w:id="1482455185">
      <w:marLeft w:val="0"/>
      <w:marRight w:val="0"/>
      <w:marTop w:val="0"/>
      <w:marBottom w:val="0"/>
      <w:divBdr>
        <w:top w:val="none" w:sz="0" w:space="0" w:color="auto"/>
        <w:left w:val="none" w:sz="0" w:space="0" w:color="auto"/>
        <w:bottom w:val="none" w:sz="0" w:space="0" w:color="auto"/>
        <w:right w:val="none" w:sz="0" w:space="0" w:color="auto"/>
      </w:divBdr>
    </w:div>
    <w:div w:id="1482455186">
      <w:marLeft w:val="0"/>
      <w:marRight w:val="0"/>
      <w:marTop w:val="0"/>
      <w:marBottom w:val="0"/>
      <w:divBdr>
        <w:top w:val="none" w:sz="0" w:space="0" w:color="auto"/>
        <w:left w:val="none" w:sz="0" w:space="0" w:color="auto"/>
        <w:bottom w:val="none" w:sz="0" w:space="0" w:color="auto"/>
        <w:right w:val="none" w:sz="0" w:space="0" w:color="auto"/>
      </w:divBdr>
    </w:div>
    <w:div w:id="1482455187">
      <w:marLeft w:val="0"/>
      <w:marRight w:val="0"/>
      <w:marTop w:val="0"/>
      <w:marBottom w:val="0"/>
      <w:divBdr>
        <w:top w:val="none" w:sz="0" w:space="0" w:color="auto"/>
        <w:left w:val="none" w:sz="0" w:space="0" w:color="auto"/>
        <w:bottom w:val="none" w:sz="0" w:space="0" w:color="auto"/>
        <w:right w:val="none" w:sz="0" w:space="0" w:color="auto"/>
      </w:divBdr>
    </w:div>
    <w:div w:id="1482455188">
      <w:marLeft w:val="0"/>
      <w:marRight w:val="0"/>
      <w:marTop w:val="0"/>
      <w:marBottom w:val="0"/>
      <w:divBdr>
        <w:top w:val="none" w:sz="0" w:space="0" w:color="auto"/>
        <w:left w:val="none" w:sz="0" w:space="0" w:color="auto"/>
        <w:bottom w:val="none" w:sz="0" w:space="0" w:color="auto"/>
        <w:right w:val="none" w:sz="0" w:space="0" w:color="auto"/>
      </w:divBdr>
    </w:div>
    <w:div w:id="1482455189">
      <w:marLeft w:val="0"/>
      <w:marRight w:val="0"/>
      <w:marTop w:val="0"/>
      <w:marBottom w:val="0"/>
      <w:divBdr>
        <w:top w:val="none" w:sz="0" w:space="0" w:color="auto"/>
        <w:left w:val="none" w:sz="0" w:space="0" w:color="auto"/>
        <w:bottom w:val="none" w:sz="0" w:space="0" w:color="auto"/>
        <w:right w:val="none" w:sz="0" w:space="0" w:color="auto"/>
      </w:divBdr>
    </w:div>
    <w:div w:id="1482455190">
      <w:marLeft w:val="0"/>
      <w:marRight w:val="0"/>
      <w:marTop w:val="0"/>
      <w:marBottom w:val="0"/>
      <w:divBdr>
        <w:top w:val="none" w:sz="0" w:space="0" w:color="auto"/>
        <w:left w:val="none" w:sz="0" w:space="0" w:color="auto"/>
        <w:bottom w:val="none" w:sz="0" w:space="0" w:color="auto"/>
        <w:right w:val="none" w:sz="0" w:space="0" w:color="auto"/>
      </w:divBdr>
    </w:div>
    <w:div w:id="1482455191">
      <w:marLeft w:val="0"/>
      <w:marRight w:val="0"/>
      <w:marTop w:val="0"/>
      <w:marBottom w:val="0"/>
      <w:divBdr>
        <w:top w:val="none" w:sz="0" w:space="0" w:color="auto"/>
        <w:left w:val="none" w:sz="0" w:space="0" w:color="auto"/>
        <w:bottom w:val="none" w:sz="0" w:space="0" w:color="auto"/>
        <w:right w:val="none" w:sz="0" w:space="0" w:color="auto"/>
      </w:divBdr>
    </w:div>
    <w:div w:id="1482455192">
      <w:marLeft w:val="0"/>
      <w:marRight w:val="0"/>
      <w:marTop w:val="0"/>
      <w:marBottom w:val="0"/>
      <w:divBdr>
        <w:top w:val="none" w:sz="0" w:space="0" w:color="auto"/>
        <w:left w:val="none" w:sz="0" w:space="0" w:color="auto"/>
        <w:bottom w:val="none" w:sz="0" w:space="0" w:color="auto"/>
        <w:right w:val="none" w:sz="0" w:space="0" w:color="auto"/>
      </w:divBdr>
    </w:div>
    <w:div w:id="1482455193">
      <w:marLeft w:val="0"/>
      <w:marRight w:val="0"/>
      <w:marTop w:val="0"/>
      <w:marBottom w:val="0"/>
      <w:divBdr>
        <w:top w:val="none" w:sz="0" w:space="0" w:color="auto"/>
        <w:left w:val="none" w:sz="0" w:space="0" w:color="auto"/>
        <w:bottom w:val="none" w:sz="0" w:space="0" w:color="auto"/>
        <w:right w:val="none" w:sz="0" w:space="0" w:color="auto"/>
      </w:divBdr>
    </w:div>
    <w:div w:id="1482455194">
      <w:marLeft w:val="0"/>
      <w:marRight w:val="0"/>
      <w:marTop w:val="0"/>
      <w:marBottom w:val="0"/>
      <w:divBdr>
        <w:top w:val="none" w:sz="0" w:space="0" w:color="auto"/>
        <w:left w:val="none" w:sz="0" w:space="0" w:color="auto"/>
        <w:bottom w:val="none" w:sz="0" w:space="0" w:color="auto"/>
        <w:right w:val="none" w:sz="0" w:space="0" w:color="auto"/>
      </w:divBdr>
    </w:div>
    <w:div w:id="1482455195">
      <w:marLeft w:val="0"/>
      <w:marRight w:val="0"/>
      <w:marTop w:val="0"/>
      <w:marBottom w:val="0"/>
      <w:divBdr>
        <w:top w:val="none" w:sz="0" w:space="0" w:color="auto"/>
        <w:left w:val="none" w:sz="0" w:space="0" w:color="auto"/>
        <w:bottom w:val="none" w:sz="0" w:space="0" w:color="auto"/>
        <w:right w:val="none" w:sz="0" w:space="0" w:color="auto"/>
      </w:divBdr>
    </w:div>
    <w:div w:id="1482455196">
      <w:marLeft w:val="0"/>
      <w:marRight w:val="0"/>
      <w:marTop w:val="0"/>
      <w:marBottom w:val="0"/>
      <w:divBdr>
        <w:top w:val="none" w:sz="0" w:space="0" w:color="auto"/>
        <w:left w:val="none" w:sz="0" w:space="0" w:color="auto"/>
        <w:bottom w:val="none" w:sz="0" w:space="0" w:color="auto"/>
        <w:right w:val="none" w:sz="0" w:space="0" w:color="auto"/>
      </w:divBdr>
    </w:div>
    <w:div w:id="1482455197">
      <w:marLeft w:val="0"/>
      <w:marRight w:val="0"/>
      <w:marTop w:val="0"/>
      <w:marBottom w:val="0"/>
      <w:divBdr>
        <w:top w:val="none" w:sz="0" w:space="0" w:color="auto"/>
        <w:left w:val="none" w:sz="0" w:space="0" w:color="auto"/>
        <w:bottom w:val="none" w:sz="0" w:space="0" w:color="auto"/>
        <w:right w:val="none" w:sz="0" w:space="0" w:color="auto"/>
      </w:divBdr>
    </w:div>
    <w:div w:id="1482455198">
      <w:marLeft w:val="0"/>
      <w:marRight w:val="0"/>
      <w:marTop w:val="0"/>
      <w:marBottom w:val="0"/>
      <w:divBdr>
        <w:top w:val="none" w:sz="0" w:space="0" w:color="auto"/>
        <w:left w:val="none" w:sz="0" w:space="0" w:color="auto"/>
        <w:bottom w:val="none" w:sz="0" w:space="0" w:color="auto"/>
        <w:right w:val="none" w:sz="0" w:space="0" w:color="auto"/>
      </w:divBdr>
    </w:div>
    <w:div w:id="1482455199">
      <w:marLeft w:val="0"/>
      <w:marRight w:val="0"/>
      <w:marTop w:val="0"/>
      <w:marBottom w:val="0"/>
      <w:divBdr>
        <w:top w:val="none" w:sz="0" w:space="0" w:color="auto"/>
        <w:left w:val="none" w:sz="0" w:space="0" w:color="auto"/>
        <w:bottom w:val="none" w:sz="0" w:space="0" w:color="auto"/>
        <w:right w:val="none" w:sz="0" w:space="0" w:color="auto"/>
      </w:divBdr>
    </w:div>
    <w:div w:id="1482455200">
      <w:marLeft w:val="0"/>
      <w:marRight w:val="0"/>
      <w:marTop w:val="0"/>
      <w:marBottom w:val="0"/>
      <w:divBdr>
        <w:top w:val="none" w:sz="0" w:space="0" w:color="auto"/>
        <w:left w:val="none" w:sz="0" w:space="0" w:color="auto"/>
        <w:bottom w:val="none" w:sz="0" w:space="0" w:color="auto"/>
        <w:right w:val="none" w:sz="0" w:space="0" w:color="auto"/>
      </w:divBdr>
    </w:div>
    <w:div w:id="1482455201">
      <w:marLeft w:val="0"/>
      <w:marRight w:val="0"/>
      <w:marTop w:val="0"/>
      <w:marBottom w:val="0"/>
      <w:divBdr>
        <w:top w:val="none" w:sz="0" w:space="0" w:color="auto"/>
        <w:left w:val="none" w:sz="0" w:space="0" w:color="auto"/>
        <w:bottom w:val="none" w:sz="0" w:space="0" w:color="auto"/>
        <w:right w:val="none" w:sz="0" w:space="0" w:color="auto"/>
      </w:divBdr>
    </w:div>
    <w:div w:id="1482455202">
      <w:marLeft w:val="0"/>
      <w:marRight w:val="0"/>
      <w:marTop w:val="0"/>
      <w:marBottom w:val="0"/>
      <w:divBdr>
        <w:top w:val="none" w:sz="0" w:space="0" w:color="auto"/>
        <w:left w:val="none" w:sz="0" w:space="0" w:color="auto"/>
        <w:bottom w:val="none" w:sz="0" w:space="0" w:color="auto"/>
        <w:right w:val="none" w:sz="0" w:space="0" w:color="auto"/>
      </w:divBdr>
    </w:div>
    <w:div w:id="148245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www.cbr.ru/statistics/print.aspx?file=credit_statistics/inv_out-country.htm&amp;pid=svs&amp;sid=ITM_43221" TargetMode="External"/><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mailto:ilze.briede@pmlp.gov.lv"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11.emf"/><Relationship Id="rId28"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lpais.com/elpais/2012/11/19/inenglish/1353336904_703937.html" TargetMode="External"/><Relationship Id="rId1" Type="http://schemas.openxmlformats.org/officeDocument/2006/relationships/hyperlink" Target="http://www.profi-forex.org/novosti-mira/novosti-evropy/entry100807948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KruzeA\AppData\Local\Microsoft\Windows\Temporary%20Internet%20Files\Content.Outlook\AID2I0AP\!Arvalstnieku%20darijumi.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ruzeA\AppData\Local\Microsoft\Windows\Temporary%20Internet%20Files\Content.Outlook\AID2I0AP\Dzivoklu%20cenu%20dinamik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48453608247467"/>
          <c:y val="7.2727272727272724E-2"/>
          <c:w val="0.85051546391752553"/>
          <c:h val="0.73636363636363722"/>
        </c:manualLayout>
      </c:layout>
      <c:barChart>
        <c:barDir val="col"/>
        <c:grouping val="clustered"/>
        <c:varyColors val="0"/>
        <c:ser>
          <c:idx val="2"/>
          <c:order val="0"/>
          <c:tx>
            <c:strRef>
              <c:f>Sheet1!$A$12</c:f>
              <c:strCache>
                <c:ptCount val="1"/>
                <c:pt idx="0">
                  <c:v>Skaits</c:v>
                </c:pt>
              </c:strCache>
            </c:strRef>
          </c:tx>
          <c:spPr>
            <a:solidFill>
              <a:srgbClr val="0070C0"/>
            </a:solidFill>
            <a:ln>
              <a:solidFill>
                <a:sysClr val="windowText" lastClr="000000"/>
              </a:solidFill>
            </a:ln>
          </c:spPr>
          <c:invertIfNegative val="0"/>
          <c:dLbls>
            <c:dLbl>
              <c:idx val="0"/>
              <c:layout>
                <c:manualLayout>
                  <c:x val="5.3795924279496634E-3"/>
                  <c:y val="-9.2795076751769501E-3"/>
                </c:manualLayout>
              </c:layout>
              <c:dLblPos val="outEnd"/>
              <c:showLegendKey val="0"/>
              <c:showVal val="1"/>
              <c:showCatName val="0"/>
              <c:showSerName val="0"/>
              <c:showPercent val="0"/>
              <c:showBubbleSize val="0"/>
            </c:dLbl>
            <c:dLbl>
              <c:idx val="3"/>
              <c:layout>
                <c:manualLayout>
                  <c:x val="-1.247853204835056E-2"/>
                  <c:y val="-4.5162799252366347E-2"/>
                </c:manualLayout>
              </c:layout>
              <c:dLblPos val="outEnd"/>
              <c:showLegendKey val="0"/>
              <c:showVal val="1"/>
              <c:showCatName val="0"/>
              <c:showSerName val="0"/>
              <c:showPercent val="0"/>
              <c:showBubbleSize val="0"/>
            </c:dLbl>
            <c:dLbl>
              <c:idx val="4"/>
              <c:layout>
                <c:manualLayout>
                  <c:x val="1.0778150791781869E-2"/>
                  <c:y val="-2.306127217052422E-2"/>
                </c:manualLayout>
              </c:layout>
              <c:dLblPos val="outEnd"/>
              <c:showLegendKey val="0"/>
              <c:showVal val="1"/>
              <c:showCatName val="0"/>
              <c:showSerName val="0"/>
              <c:showPercent val="0"/>
              <c:showBubbleSize val="0"/>
            </c:dLbl>
            <c:dLbl>
              <c:idx val="5"/>
              <c:layout>
                <c:manualLayout>
                  <c:x val="3.1073450717099176E-3"/>
                  <c:y val="-4.7608267716535424E-2"/>
                </c:manualLayout>
              </c:layout>
              <c:dLblPos val="outEnd"/>
              <c:showLegendKey val="0"/>
              <c:showVal val="1"/>
              <c:showCatName val="0"/>
              <c:showSerName val="0"/>
              <c:showPercent val="0"/>
              <c:showBubbleSize val="0"/>
            </c:dLbl>
            <c:dLbl>
              <c:idx val="6"/>
              <c:layout>
                <c:manualLayout>
                  <c:x val="1.0900456877411121E-2"/>
                  <c:y val="-8.1806798297940048E-2"/>
                </c:manualLayout>
              </c:layout>
              <c:dLblPos val="outEnd"/>
              <c:showLegendKey val="0"/>
              <c:showVal val="1"/>
              <c:showCatName val="0"/>
              <c:showSerName val="0"/>
              <c:showPercent val="0"/>
              <c:showBubbleSize val="0"/>
            </c:dLbl>
            <c:spPr>
              <a:noFill/>
              <a:ln w="20900">
                <a:noFill/>
              </a:ln>
            </c:spPr>
            <c:txPr>
              <a:bodyPr/>
              <a:lstStyle/>
              <a:p>
                <a:pPr>
                  <a:defRPr sz="708" b="0"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numRef>
              <c:f>Sheet1!$B$11:$J$11</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Sheet1!$B$12:$J$12</c:f>
              <c:numCache>
                <c:formatCode>General</c:formatCode>
                <c:ptCount val="9"/>
                <c:pt idx="0">
                  <c:v>2061</c:v>
                </c:pt>
                <c:pt idx="1">
                  <c:v>2396</c:v>
                </c:pt>
                <c:pt idx="2">
                  <c:v>2928</c:v>
                </c:pt>
                <c:pt idx="3">
                  <c:v>4831</c:v>
                </c:pt>
                <c:pt idx="4">
                  <c:v>4609</c:v>
                </c:pt>
                <c:pt idx="5">
                  <c:v>2388</c:v>
                </c:pt>
                <c:pt idx="6">
                  <c:v>2495</c:v>
                </c:pt>
                <c:pt idx="7">
                  <c:v>4824</c:v>
                </c:pt>
                <c:pt idx="8">
                  <c:v>6365</c:v>
                </c:pt>
              </c:numCache>
            </c:numRef>
          </c:val>
        </c:ser>
        <c:dLbls>
          <c:showLegendKey val="0"/>
          <c:showVal val="1"/>
          <c:showCatName val="0"/>
          <c:showSerName val="0"/>
          <c:showPercent val="0"/>
          <c:showBubbleSize val="0"/>
        </c:dLbls>
        <c:gapWidth val="200"/>
        <c:axId val="32124288"/>
        <c:axId val="80555008"/>
      </c:barChart>
      <c:catAx>
        <c:axId val="32124288"/>
        <c:scaling>
          <c:orientation val="minMax"/>
        </c:scaling>
        <c:delete val="0"/>
        <c:axPos val="b"/>
        <c:numFmt formatCode="General" sourceLinked="1"/>
        <c:majorTickMark val="out"/>
        <c:minorTickMark val="none"/>
        <c:tickLblPos val="nextTo"/>
        <c:txPr>
          <a:bodyPr rot="0" vert="horz"/>
          <a:lstStyle/>
          <a:p>
            <a:pPr>
              <a:defRPr sz="473" b="0" i="0" u="none" strike="noStrike" baseline="0">
                <a:solidFill>
                  <a:srgbClr val="000000"/>
                </a:solidFill>
                <a:latin typeface="Arial"/>
                <a:ea typeface="Arial"/>
                <a:cs typeface="Arial"/>
              </a:defRPr>
            </a:pPr>
            <a:endParaRPr lang="lv-LV"/>
          </a:p>
        </c:txPr>
        <c:crossAx val="80555008"/>
        <c:crosses val="autoZero"/>
        <c:auto val="1"/>
        <c:lblAlgn val="ctr"/>
        <c:lblOffset val="100"/>
        <c:noMultiLvlLbl val="0"/>
      </c:catAx>
      <c:valAx>
        <c:axId val="80555008"/>
        <c:scaling>
          <c:orientation val="minMax"/>
        </c:scaling>
        <c:delete val="0"/>
        <c:axPos val="l"/>
        <c:numFmt formatCode="General" sourceLinked="1"/>
        <c:majorTickMark val="out"/>
        <c:minorTickMark val="none"/>
        <c:tickLblPos val="nextTo"/>
        <c:txPr>
          <a:bodyPr rot="0" vert="horz"/>
          <a:lstStyle/>
          <a:p>
            <a:pPr>
              <a:defRPr sz="708" b="0" i="0" u="none" strike="noStrike" baseline="0">
                <a:solidFill>
                  <a:srgbClr val="000000"/>
                </a:solidFill>
                <a:latin typeface="Arial"/>
                <a:ea typeface="Arial"/>
                <a:cs typeface="Arial"/>
              </a:defRPr>
            </a:pPr>
            <a:endParaRPr lang="lv-LV"/>
          </a:p>
        </c:txPr>
        <c:crossAx val="32124288"/>
        <c:crosses val="autoZero"/>
        <c:crossBetween val="between"/>
      </c:valAx>
      <c:spPr>
        <a:noFill/>
        <a:ln w="20900">
          <a:noFill/>
        </a:ln>
      </c:spPr>
    </c:plotArea>
    <c:plotVisOnly val="1"/>
    <c:dispBlanksAs val="gap"/>
    <c:showDLblsOverMax val="0"/>
  </c:chart>
  <c:spPr>
    <a:noFill/>
    <a:ln>
      <a:noFill/>
    </a:ln>
  </c:spPr>
  <c:txPr>
    <a:bodyPr/>
    <a:lstStyle/>
    <a:p>
      <a:pPr>
        <a:defRPr sz="942" b="1" i="0" u="none" strike="noStrike" baseline="0">
          <a:solidFill>
            <a:srgbClr val="000000"/>
          </a:solidFill>
          <a:latin typeface="Arial"/>
          <a:ea typeface="Arial"/>
          <a:cs typeface="Arial"/>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244319460067531"/>
          <c:y val="5.6259519284227365E-2"/>
          <c:w val="0.5647524752475247"/>
          <c:h val="0.85068040500852771"/>
        </c:manualLayout>
      </c:layout>
      <c:barChart>
        <c:barDir val="col"/>
        <c:grouping val="stacked"/>
        <c:varyColors val="0"/>
        <c:ser>
          <c:idx val="1"/>
          <c:order val="0"/>
          <c:tx>
            <c:strRef>
              <c:f>Sheet1!$B$10</c:f>
              <c:strCache>
                <c:ptCount val="1"/>
                <c:pt idx="0">
                  <c:v>Ģimene</c:v>
                </c:pt>
              </c:strCache>
            </c:strRef>
          </c:tx>
          <c:spPr>
            <a:solidFill>
              <a:srgbClr val="EEECE1">
                <a:lumMod val="75000"/>
              </a:srgbClr>
            </a:solidFill>
            <a:ln w="5815">
              <a:solidFill>
                <a:srgbClr val="000000"/>
              </a:solidFill>
              <a:prstDash val="solid"/>
            </a:ln>
          </c:spPr>
          <c:invertIfNegative val="0"/>
          <c:cat>
            <c:numRef>
              <c:f>Sheet1!$A$11:$A$16</c:f>
              <c:numCache>
                <c:formatCode>General</c:formatCode>
                <c:ptCount val="6"/>
                <c:pt idx="0">
                  <c:v>2007</c:v>
                </c:pt>
                <c:pt idx="1">
                  <c:v>2008</c:v>
                </c:pt>
                <c:pt idx="2">
                  <c:v>2009</c:v>
                </c:pt>
                <c:pt idx="3">
                  <c:v>2010</c:v>
                </c:pt>
                <c:pt idx="4">
                  <c:v>2011</c:v>
                </c:pt>
                <c:pt idx="5">
                  <c:v>2012</c:v>
                </c:pt>
              </c:numCache>
            </c:numRef>
          </c:cat>
          <c:val>
            <c:numRef>
              <c:f>Sheet1!$B$11:$B$16</c:f>
              <c:numCache>
                <c:formatCode>General</c:formatCode>
                <c:ptCount val="6"/>
                <c:pt idx="0">
                  <c:v>981</c:v>
                </c:pt>
                <c:pt idx="1">
                  <c:v>907</c:v>
                </c:pt>
                <c:pt idx="2">
                  <c:v>586</c:v>
                </c:pt>
                <c:pt idx="3">
                  <c:v>574</c:v>
                </c:pt>
                <c:pt idx="4">
                  <c:v>669</c:v>
                </c:pt>
                <c:pt idx="5">
                  <c:v>736</c:v>
                </c:pt>
              </c:numCache>
            </c:numRef>
          </c:val>
        </c:ser>
        <c:ser>
          <c:idx val="0"/>
          <c:order val="1"/>
          <c:tx>
            <c:strRef>
              <c:f>Sheet1!$C$10</c:f>
              <c:strCache>
                <c:ptCount val="1"/>
                <c:pt idx="0">
                  <c:v>Darbs</c:v>
                </c:pt>
              </c:strCache>
            </c:strRef>
          </c:tx>
          <c:spPr>
            <a:solidFill>
              <a:sysClr val="window" lastClr="FFFFFF"/>
            </a:solidFill>
            <a:ln w="5815">
              <a:solidFill>
                <a:sysClr val="windowText" lastClr="000000"/>
              </a:solidFill>
            </a:ln>
          </c:spPr>
          <c:invertIfNegative val="0"/>
          <c:cat>
            <c:numRef>
              <c:f>Sheet1!$A$11:$A$16</c:f>
              <c:numCache>
                <c:formatCode>General</c:formatCode>
                <c:ptCount val="6"/>
                <c:pt idx="0">
                  <c:v>2007</c:v>
                </c:pt>
                <c:pt idx="1">
                  <c:v>2008</c:v>
                </c:pt>
                <c:pt idx="2">
                  <c:v>2009</c:v>
                </c:pt>
                <c:pt idx="3">
                  <c:v>2010</c:v>
                </c:pt>
                <c:pt idx="4">
                  <c:v>2011</c:v>
                </c:pt>
                <c:pt idx="5">
                  <c:v>2012</c:v>
                </c:pt>
              </c:numCache>
            </c:numRef>
          </c:cat>
          <c:val>
            <c:numRef>
              <c:f>Sheet1!$C$11:$C$16</c:f>
              <c:numCache>
                <c:formatCode>General</c:formatCode>
                <c:ptCount val="6"/>
                <c:pt idx="0">
                  <c:v>3048</c:v>
                </c:pt>
                <c:pt idx="1">
                  <c:v>2836</c:v>
                </c:pt>
                <c:pt idx="2">
                  <c:v>908</c:v>
                </c:pt>
                <c:pt idx="3">
                  <c:v>854</c:v>
                </c:pt>
                <c:pt idx="4">
                  <c:v>1231</c:v>
                </c:pt>
                <c:pt idx="5">
                  <c:v>1383</c:v>
                </c:pt>
              </c:numCache>
            </c:numRef>
          </c:val>
        </c:ser>
        <c:ser>
          <c:idx val="2"/>
          <c:order val="2"/>
          <c:tx>
            <c:strRef>
              <c:f>Sheet1!$D$10</c:f>
              <c:strCache>
                <c:ptCount val="1"/>
                <c:pt idx="0">
                  <c:v>Studijas</c:v>
                </c:pt>
              </c:strCache>
            </c:strRef>
          </c:tx>
          <c:spPr>
            <a:solidFill>
              <a:sysClr val="window" lastClr="FFFFFF">
                <a:lumMod val="65000"/>
              </a:sysClr>
            </a:solidFill>
            <a:ln w="5815">
              <a:solidFill>
                <a:sysClr val="windowText" lastClr="000000"/>
              </a:solidFill>
            </a:ln>
          </c:spPr>
          <c:invertIfNegative val="0"/>
          <c:cat>
            <c:numRef>
              <c:f>Sheet1!$A$11:$A$16</c:f>
              <c:numCache>
                <c:formatCode>General</c:formatCode>
                <c:ptCount val="6"/>
                <c:pt idx="0">
                  <c:v>2007</c:v>
                </c:pt>
                <c:pt idx="1">
                  <c:v>2008</c:v>
                </c:pt>
                <c:pt idx="2">
                  <c:v>2009</c:v>
                </c:pt>
                <c:pt idx="3">
                  <c:v>2010</c:v>
                </c:pt>
                <c:pt idx="4">
                  <c:v>2011</c:v>
                </c:pt>
                <c:pt idx="5">
                  <c:v>2012</c:v>
                </c:pt>
              </c:numCache>
            </c:numRef>
          </c:cat>
          <c:val>
            <c:numRef>
              <c:f>Sheet1!$D$11:$D$16</c:f>
              <c:numCache>
                <c:formatCode>General</c:formatCode>
                <c:ptCount val="6"/>
                <c:pt idx="0">
                  <c:v>460</c:v>
                </c:pt>
                <c:pt idx="1">
                  <c:v>529</c:v>
                </c:pt>
                <c:pt idx="2">
                  <c:v>472</c:v>
                </c:pt>
                <c:pt idx="3">
                  <c:v>534</c:v>
                </c:pt>
                <c:pt idx="4">
                  <c:v>771</c:v>
                </c:pt>
                <c:pt idx="5">
                  <c:v>1156</c:v>
                </c:pt>
              </c:numCache>
            </c:numRef>
          </c:val>
        </c:ser>
        <c:ser>
          <c:idx val="4"/>
          <c:order val="3"/>
          <c:tx>
            <c:strRef>
              <c:f>Sheet1!$E$10</c:f>
              <c:strCache>
                <c:ptCount val="1"/>
                <c:pt idx="0">
                  <c:v>Investīcijas</c:v>
                </c:pt>
              </c:strCache>
            </c:strRef>
          </c:tx>
          <c:spPr>
            <a:solidFill>
              <a:sysClr val="window" lastClr="FFFFFF">
                <a:lumMod val="85000"/>
              </a:sysClr>
            </a:solidFill>
            <a:ln w="5815">
              <a:solidFill>
                <a:sysClr val="windowText" lastClr="000000"/>
              </a:solidFill>
            </a:ln>
          </c:spPr>
          <c:invertIfNegative val="0"/>
          <c:cat>
            <c:numRef>
              <c:f>Sheet1!$A$11:$A$16</c:f>
              <c:numCache>
                <c:formatCode>General</c:formatCode>
                <c:ptCount val="6"/>
                <c:pt idx="0">
                  <c:v>2007</c:v>
                </c:pt>
                <c:pt idx="1">
                  <c:v>2008</c:v>
                </c:pt>
                <c:pt idx="2">
                  <c:v>2009</c:v>
                </c:pt>
                <c:pt idx="3">
                  <c:v>2010</c:v>
                </c:pt>
                <c:pt idx="4">
                  <c:v>2011</c:v>
                </c:pt>
                <c:pt idx="5">
                  <c:v>2012</c:v>
                </c:pt>
              </c:numCache>
            </c:numRef>
          </c:cat>
          <c:val>
            <c:numRef>
              <c:f>Sheet1!$E$11:$E$16</c:f>
              <c:numCache>
                <c:formatCode>General</c:formatCode>
                <c:ptCount val="6"/>
                <c:pt idx="0">
                  <c:v>0</c:v>
                </c:pt>
                <c:pt idx="1">
                  <c:v>0</c:v>
                </c:pt>
                <c:pt idx="2">
                  <c:v>0</c:v>
                </c:pt>
                <c:pt idx="3">
                  <c:v>48</c:v>
                </c:pt>
                <c:pt idx="4">
                  <c:v>1674</c:v>
                </c:pt>
                <c:pt idx="5">
                  <c:v>2573</c:v>
                </c:pt>
              </c:numCache>
            </c:numRef>
          </c:val>
        </c:ser>
        <c:ser>
          <c:idx val="3"/>
          <c:order val="4"/>
          <c:tx>
            <c:strRef>
              <c:f>Sheet1!$F$10</c:f>
              <c:strCache>
                <c:ptCount val="1"/>
                <c:pt idx="0">
                  <c:v>Cits iemesls</c:v>
                </c:pt>
              </c:strCache>
            </c:strRef>
          </c:tx>
          <c:spPr>
            <a:solidFill>
              <a:srgbClr val="0070C0"/>
            </a:solidFill>
            <a:ln w="5815">
              <a:solidFill>
                <a:sysClr val="windowText" lastClr="000000"/>
              </a:solidFill>
            </a:ln>
          </c:spPr>
          <c:invertIfNegative val="0"/>
          <c:cat>
            <c:numRef>
              <c:f>Sheet1!$A$11:$A$16</c:f>
              <c:numCache>
                <c:formatCode>General</c:formatCode>
                <c:ptCount val="6"/>
                <c:pt idx="0">
                  <c:v>2007</c:v>
                </c:pt>
                <c:pt idx="1">
                  <c:v>2008</c:v>
                </c:pt>
                <c:pt idx="2">
                  <c:v>2009</c:v>
                </c:pt>
                <c:pt idx="3">
                  <c:v>2010</c:v>
                </c:pt>
                <c:pt idx="4">
                  <c:v>2011</c:v>
                </c:pt>
                <c:pt idx="5">
                  <c:v>2012</c:v>
                </c:pt>
              </c:numCache>
            </c:numRef>
          </c:cat>
          <c:val>
            <c:numRef>
              <c:f>Sheet1!$F$11:$F$16</c:f>
              <c:numCache>
                <c:formatCode>General</c:formatCode>
                <c:ptCount val="6"/>
                <c:pt idx="0">
                  <c:v>342</c:v>
                </c:pt>
                <c:pt idx="1">
                  <c:v>337</c:v>
                </c:pt>
                <c:pt idx="2">
                  <c:v>342</c:v>
                </c:pt>
                <c:pt idx="3">
                  <c:v>485</c:v>
                </c:pt>
                <c:pt idx="4">
                  <c:v>479</c:v>
                </c:pt>
                <c:pt idx="5">
                  <c:v>517</c:v>
                </c:pt>
              </c:numCache>
            </c:numRef>
          </c:val>
        </c:ser>
        <c:dLbls>
          <c:showLegendKey val="0"/>
          <c:showVal val="0"/>
          <c:showCatName val="0"/>
          <c:showSerName val="0"/>
          <c:showPercent val="0"/>
          <c:showBubbleSize val="0"/>
        </c:dLbls>
        <c:gapWidth val="20"/>
        <c:overlap val="100"/>
        <c:axId val="33406976"/>
        <c:axId val="33408512"/>
      </c:barChart>
      <c:catAx>
        <c:axId val="33406976"/>
        <c:scaling>
          <c:orientation val="minMax"/>
        </c:scaling>
        <c:delete val="0"/>
        <c:axPos val="b"/>
        <c:numFmt formatCode="General" sourceLinked="1"/>
        <c:majorTickMark val="none"/>
        <c:minorTickMark val="none"/>
        <c:tickLblPos val="low"/>
        <c:spPr>
          <a:ln w="5815">
            <a:solidFill>
              <a:srgbClr val="000000"/>
            </a:solidFill>
            <a:prstDash val="solid"/>
          </a:ln>
        </c:spPr>
        <c:txPr>
          <a:bodyPr rot="0" vert="horz"/>
          <a:lstStyle/>
          <a:p>
            <a:pPr>
              <a:defRPr lang="lv-LV" sz="641" b="0" i="0" u="none" strike="noStrike" baseline="0">
                <a:solidFill>
                  <a:srgbClr val="000000"/>
                </a:solidFill>
                <a:latin typeface="Arial" pitchFamily="34" charset="0"/>
                <a:ea typeface="Times New Roman"/>
                <a:cs typeface="Arial" pitchFamily="34" charset="0"/>
              </a:defRPr>
            </a:pPr>
            <a:endParaRPr lang="lv-LV"/>
          </a:p>
        </c:txPr>
        <c:crossAx val="33408512"/>
        <c:crosses val="autoZero"/>
        <c:auto val="1"/>
        <c:lblAlgn val="ctr"/>
        <c:lblOffset val="0"/>
        <c:noMultiLvlLbl val="1"/>
      </c:catAx>
      <c:valAx>
        <c:axId val="33408512"/>
        <c:scaling>
          <c:orientation val="minMax"/>
        </c:scaling>
        <c:delete val="0"/>
        <c:axPos val="l"/>
        <c:numFmt formatCode="#,##0" sourceLinked="0"/>
        <c:majorTickMark val="out"/>
        <c:minorTickMark val="none"/>
        <c:tickLblPos val="nextTo"/>
        <c:spPr>
          <a:ln w="5815">
            <a:solidFill>
              <a:srgbClr val="000000"/>
            </a:solidFill>
          </a:ln>
        </c:spPr>
        <c:txPr>
          <a:bodyPr rot="0" vert="horz"/>
          <a:lstStyle/>
          <a:p>
            <a:pPr>
              <a:defRPr lang="lv-LV" sz="732" b="0" i="0" u="none" strike="noStrike" baseline="0">
                <a:solidFill>
                  <a:srgbClr val="000000"/>
                </a:solidFill>
                <a:latin typeface="Arial" pitchFamily="34" charset="0"/>
                <a:ea typeface="Times New Roman"/>
                <a:cs typeface="Arial" pitchFamily="34" charset="0"/>
              </a:defRPr>
            </a:pPr>
            <a:endParaRPr lang="lv-LV"/>
          </a:p>
        </c:txPr>
        <c:crossAx val="33406976"/>
        <c:crosses val="autoZero"/>
        <c:crossBetween val="between"/>
      </c:valAx>
      <c:spPr>
        <a:noFill/>
        <a:ln w="24410">
          <a:noFill/>
        </a:ln>
      </c:spPr>
    </c:plotArea>
    <c:legend>
      <c:legendPos val="r"/>
      <c:layout>
        <c:manualLayout>
          <c:xMode val="edge"/>
          <c:yMode val="edge"/>
          <c:x val="0.73437512618614975"/>
          <c:y val="0.14367807650986633"/>
          <c:w val="0.22812485362406618"/>
          <c:h val="0.77011518637890475"/>
        </c:manualLayout>
      </c:layout>
      <c:overlay val="0"/>
      <c:txPr>
        <a:bodyPr/>
        <a:lstStyle/>
        <a:p>
          <a:pPr>
            <a:defRPr b="0"/>
          </a:pPr>
          <a:endParaRPr lang="lv-LV"/>
        </a:p>
      </c:txPr>
    </c:legend>
    <c:plotVisOnly val="1"/>
    <c:dispBlanksAs val="gap"/>
    <c:showDLblsOverMax val="0"/>
  </c:chart>
  <c:spPr>
    <a:noFill/>
    <a:ln>
      <a:noFill/>
    </a:ln>
  </c:spPr>
  <c:txPr>
    <a:bodyPr/>
    <a:lstStyle/>
    <a:p>
      <a:pPr>
        <a:defRPr sz="730" b="1" i="0" u="none" strike="noStrike" baseline="0">
          <a:solidFill>
            <a:srgbClr val="000000"/>
          </a:solidFill>
          <a:latin typeface="Arial"/>
          <a:ea typeface="Arial"/>
          <a:cs typeface="Arial"/>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62378823516663"/>
          <c:y val="0.17636739851962968"/>
          <c:w val="0.66443587463884257"/>
          <c:h val="0.56163022918224559"/>
        </c:manualLayout>
      </c:layout>
      <c:barChart>
        <c:barDir val="col"/>
        <c:grouping val="clustered"/>
        <c:varyColors val="0"/>
        <c:ser>
          <c:idx val="2"/>
          <c:order val="2"/>
          <c:tx>
            <c:strRef>
              <c:f>'[!Arvalstnieku darijumi.xls]Latvija (visi )'!$C$35</c:f>
              <c:strCache>
                <c:ptCount val="1"/>
                <c:pt idx="0">
                  <c:v>ārvalstnieku veikto darījumu kopējā summa</c:v>
                </c:pt>
              </c:strCache>
            </c:strRef>
          </c:tx>
          <c:spPr>
            <a:solidFill>
              <a:srgbClr val="C00000"/>
            </a:solidFill>
          </c:spPr>
          <c:invertIfNegative val="0"/>
          <c:cat>
            <c:strRef>
              <c:f>'[!Arvalstnieku darijumi.xls]Latvija (visi )'!$D$31:$H$31</c:f>
              <c:strCache>
                <c:ptCount val="5"/>
                <c:pt idx="0">
                  <c:v>2009</c:v>
                </c:pt>
                <c:pt idx="1">
                  <c:v>2010</c:v>
                </c:pt>
                <c:pt idx="2">
                  <c:v>2011</c:v>
                </c:pt>
                <c:pt idx="3">
                  <c:v>2012</c:v>
                </c:pt>
                <c:pt idx="4">
                  <c:v>2013I</c:v>
                </c:pt>
              </c:strCache>
            </c:strRef>
          </c:cat>
          <c:val>
            <c:numRef>
              <c:f>'[!Arvalstnieku darijumi.xls]Latvija (visi )'!$D$35:$H$35</c:f>
              <c:numCache>
                <c:formatCode>General</c:formatCode>
                <c:ptCount val="5"/>
                <c:pt idx="0" formatCode="#,##0">
                  <c:v>31079857.16</c:v>
                </c:pt>
                <c:pt idx="1">
                  <c:v>46037293.490000002</c:v>
                </c:pt>
                <c:pt idx="2" formatCode="#,##0">
                  <c:v>136033764.50999999</c:v>
                </c:pt>
                <c:pt idx="3" formatCode="#,##0">
                  <c:v>147616110.54999983</c:v>
                </c:pt>
                <c:pt idx="4" formatCode="#,##0">
                  <c:v>120710522.75</c:v>
                </c:pt>
              </c:numCache>
            </c:numRef>
          </c:val>
        </c:ser>
        <c:ser>
          <c:idx val="3"/>
          <c:order val="3"/>
          <c:tx>
            <c:strRef>
              <c:f>'[!Arvalstnieku darijumi.xls]Latvija (visi )'!$C$36</c:f>
              <c:strCache>
                <c:ptCount val="1"/>
                <c:pt idx="0">
                  <c:v>Visu Latvijā veikto darījumu kopējā summa</c:v>
                </c:pt>
              </c:strCache>
            </c:strRef>
          </c:tx>
          <c:spPr>
            <a:solidFill>
              <a:schemeClr val="accent1">
                <a:lumMod val="75000"/>
              </a:schemeClr>
            </a:solidFill>
          </c:spPr>
          <c:invertIfNegative val="0"/>
          <c:cat>
            <c:strRef>
              <c:f>'[!Arvalstnieku darijumi.xls]Latvija (visi )'!$D$31:$H$31</c:f>
              <c:strCache>
                <c:ptCount val="5"/>
                <c:pt idx="0">
                  <c:v>2009</c:v>
                </c:pt>
                <c:pt idx="1">
                  <c:v>2010</c:v>
                </c:pt>
                <c:pt idx="2">
                  <c:v>2011</c:v>
                </c:pt>
                <c:pt idx="3">
                  <c:v>2012</c:v>
                </c:pt>
                <c:pt idx="4">
                  <c:v>2013I</c:v>
                </c:pt>
              </c:strCache>
            </c:strRef>
          </c:cat>
          <c:val>
            <c:numRef>
              <c:f>'[!Arvalstnieku darijumi.xls]Latvija (visi )'!$D$36:$H$36</c:f>
              <c:numCache>
                <c:formatCode>#,##0</c:formatCode>
                <c:ptCount val="5"/>
                <c:pt idx="0">
                  <c:v>570422041.69000041</c:v>
                </c:pt>
                <c:pt idx="1">
                  <c:v>515085159.81999999</c:v>
                </c:pt>
                <c:pt idx="2">
                  <c:v>720304066.19999981</c:v>
                </c:pt>
                <c:pt idx="3">
                  <c:v>815430956.87999988</c:v>
                </c:pt>
                <c:pt idx="4">
                  <c:v>481171156.72000074</c:v>
                </c:pt>
              </c:numCache>
            </c:numRef>
          </c:val>
        </c:ser>
        <c:dLbls>
          <c:showLegendKey val="0"/>
          <c:showVal val="0"/>
          <c:showCatName val="0"/>
          <c:showSerName val="0"/>
          <c:showPercent val="0"/>
          <c:showBubbleSize val="0"/>
        </c:dLbls>
        <c:gapWidth val="75"/>
        <c:axId val="33837824"/>
        <c:axId val="33839360"/>
      </c:barChart>
      <c:lineChart>
        <c:grouping val="stacked"/>
        <c:varyColors val="0"/>
        <c:ser>
          <c:idx val="0"/>
          <c:order val="0"/>
          <c:tx>
            <c:strRef>
              <c:f>'[!Arvalstnieku darijumi.xls]Latvija (visi )'!$C$32</c:f>
              <c:strCache>
                <c:ptCount val="1"/>
                <c:pt idx="0">
                  <c:v>ārvalstnieku veikto darījumu skaits</c:v>
                </c:pt>
              </c:strCache>
            </c:strRef>
          </c:tx>
          <c:spPr>
            <a:ln w="63500" cmpd="sng">
              <a:solidFill>
                <a:schemeClr val="accent6">
                  <a:lumMod val="75000"/>
                </a:schemeClr>
              </a:solidFill>
            </a:ln>
          </c:spPr>
          <c:marker>
            <c:symbol val="none"/>
          </c:marker>
          <c:dLbls>
            <c:spPr>
              <a:noFill/>
              <a:ln w="25400">
                <a:noFill/>
              </a:ln>
            </c:spPr>
            <c:dLblPos val="t"/>
            <c:showLegendKey val="0"/>
            <c:showVal val="1"/>
            <c:showCatName val="0"/>
            <c:showSerName val="0"/>
            <c:showPercent val="0"/>
            <c:showBubbleSize val="0"/>
            <c:showLeaderLines val="0"/>
          </c:dLbls>
          <c:cat>
            <c:strRef>
              <c:f>'[!Arvalstnieku darijumi.xls]Latvija (visi )'!$D$15:$H$15</c:f>
              <c:strCache>
                <c:ptCount val="5"/>
                <c:pt idx="0">
                  <c:v>2009.</c:v>
                </c:pt>
                <c:pt idx="1">
                  <c:v>2010.</c:v>
                </c:pt>
                <c:pt idx="2">
                  <c:v>2011.</c:v>
                </c:pt>
                <c:pt idx="3">
                  <c:v>2012.</c:v>
                </c:pt>
                <c:pt idx="4">
                  <c:v>2013.I-VI</c:v>
                </c:pt>
              </c:strCache>
            </c:strRef>
          </c:cat>
          <c:val>
            <c:numRef>
              <c:f>'[!Arvalstnieku darijumi.xls]Latvija (visi )'!$D$32:$H$32</c:f>
              <c:numCache>
                <c:formatCode>General</c:formatCode>
                <c:ptCount val="5"/>
                <c:pt idx="0">
                  <c:v>927</c:v>
                </c:pt>
                <c:pt idx="1">
                  <c:v>1353</c:v>
                </c:pt>
                <c:pt idx="2">
                  <c:v>2263</c:v>
                </c:pt>
                <c:pt idx="3">
                  <c:v>2735</c:v>
                </c:pt>
                <c:pt idx="4">
                  <c:v>1754</c:v>
                </c:pt>
              </c:numCache>
            </c:numRef>
          </c:val>
          <c:smooth val="0"/>
        </c:ser>
        <c:ser>
          <c:idx val="1"/>
          <c:order val="1"/>
          <c:tx>
            <c:strRef>
              <c:f>'[!Arvalstnieku darijumi.xls]Latvija (visi )'!$C$33</c:f>
              <c:strCache>
                <c:ptCount val="1"/>
                <c:pt idx="0">
                  <c:v>Visu Latvijā veikto darījumu skaits</c:v>
                </c:pt>
              </c:strCache>
            </c:strRef>
          </c:tx>
          <c:spPr>
            <a:ln w="63500" cmpd="sng">
              <a:solidFill>
                <a:srgbClr val="9BBB59">
                  <a:lumMod val="75000"/>
                </a:srgbClr>
              </a:solidFill>
            </a:ln>
          </c:spPr>
          <c:marker>
            <c:symbol val="none"/>
          </c:marker>
          <c:dLbls>
            <c:spPr>
              <a:noFill/>
              <a:ln w="25400">
                <a:noFill/>
              </a:ln>
            </c:spPr>
            <c:dLblPos val="t"/>
            <c:showLegendKey val="0"/>
            <c:showVal val="1"/>
            <c:showCatName val="0"/>
            <c:showSerName val="0"/>
            <c:showPercent val="0"/>
            <c:showBubbleSize val="0"/>
            <c:showLeaderLines val="0"/>
          </c:dLbls>
          <c:cat>
            <c:strRef>
              <c:f>'[!Arvalstnieku darijumi.xls]Latvija (visi )'!$D$15:$H$15</c:f>
              <c:strCache>
                <c:ptCount val="5"/>
                <c:pt idx="0">
                  <c:v>2009.</c:v>
                </c:pt>
                <c:pt idx="1">
                  <c:v>2010.</c:v>
                </c:pt>
                <c:pt idx="2">
                  <c:v>2011.</c:v>
                </c:pt>
                <c:pt idx="3">
                  <c:v>2012.</c:v>
                </c:pt>
                <c:pt idx="4">
                  <c:v>2013.I-VI</c:v>
                </c:pt>
              </c:strCache>
            </c:strRef>
          </c:cat>
          <c:val>
            <c:numRef>
              <c:f>'[!Arvalstnieku darijumi.xls]Latvija (visi )'!$D$33:$H$33</c:f>
              <c:numCache>
                <c:formatCode>General</c:formatCode>
                <c:ptCount val="5"/>
                <c:pt idx="0">
                  <c:v>28014</c:v>
                </c:pt>
                <c:pt idx="1">
                  <c:v>31064</c:v>
                </c:pt>
                <c:pt idx="2">
                  <c:v>36135</c:v>
                </c:pt>
                <c:pt idx="3">
                  <c:v>39225</c:v>
                </c:pt>
                <c:pt idx="4">
                  <c:v>20656</c:v>
                </c:pt>
              </c:numCache>
            </c:numRef>
          </c:val>
          <c:smooth val="0"/>
        </c:ser>
        <c:dLbls>
          <c:showLegendKey val="0"/>
          <c:showVal val="0"/>
          <c:showCatName val="0"/>
          <c:showSerName val="0"/>
          <c:showPercent val="0"/>
          <c:showBubbleSize val="0"/>
        </c:dLbls>
        <c:marker val="1"/>
        <c:smooth val="0"/>
        <c:axId val="33834496"/>
        <c:axId val="33836032"/>
      </c:lineChart>
      <c:catAx>
        <c:axId val="33834496"/>
        <c:scaling>
          <c:orientation val="minMax"/>
        </c:scaling>
        <c:delete val="0"/>
        <c:axPos val="b"/>
        <c:numFmt formatCode="General" sourceLinked="1"/>
        <c:majorTickMark val="none"/>
        <c:minorTickMark val="none"/>
        <c:tickLblPos val="nextTo"/>
        <c:txPr>
          <a:bodyPr rot="0" vert="horz"/>
          <a:lstStyle/>
          <a:p>
            <a:pPr>
              <a:defRPr/>
            </a:pPr>
            <a:endParaRPr lang="lv-LV"/>
          </a:p>
        </c:txPr>
        <c:crossAx val="33836032"/>
        <c:crosses val="autoZero"/>
        <c:auto val="1"/>
        <c:lblAlgn val="ctr"/>
        <c:lblOffset val="100"/>
        <c:noMultiLvlLbl val="0"/>
      </c:catAx>
      <c:valAx>
        <c:axId val="33836032"/>
        <c:scaling>
          <c:orientation val="minMax"/>
          <c:max val="45000"/>
          <c:min val="0"/>
        </c:scaling>
        <c:delete val="0"/>
        <c:axPos val="l"/>
        <c:majorGridlines/>
        <c:numFmt formatCode="General" sourceLinked="1"/>
        <c:majorTickMark val="none"/>
        <c:minorTickMark val="none"/>
        <c:tickLblPos val="nextTo"/>
        <c:spPr>
          <a:ln w="9525">
            <a:noFill/>
          </a:ln>
        </c:spPr>
        <c:txPr>
          <a:bodyPr rot="0" vert="horz"/>
          <a:lstStyle/>
          <a:p>
            <a:pPr>
              <a:defRPr/>
            </a:pPr>
            <a:endParaRPr lang="lv-LV"/>
          </a:p>
        </c:txPr>
        <c:crossAx val="33834496"/>
        <c:crosses val="autoZero"/>
        <c:crossBetween val="between"/>
      </c:valAx>
      <c:catAx>
        <c:axId val="33837824"/>
        <c:scaling>
          <c:orientation val="minMax"/>
        </c:scaling>
        <c:delete val="1"/>
        <c:axPos val="b"/>
        <c:majorTickMark val="out"/>
        <c:minorTickMark val="none"/>
        <c:tickLblPos val="none"/>
        <c:crossAx val="33839360"/>
        <c:crosses val="autoZero"/>
        <c:auto val="1"/>
        <c:lblAlgn val="ctr"/>
        <c:lblOffset val="100"/>
        <c:noMultiLvlLbl val="0"/>
      </c:catAx>
      <c:valAx>
        <c:axId val="33839360"/>
        <c:scaling>
          <c:orientation val="minMax"/>
          <c:max val="1000000000"/>
        </c:scaling>
        <c:delete val="0"/>
        <c:axPos val="r"/>
        <c:numFmt formatCode="#,##0" sourceLinked="0"/>
        <c:majorTickMark val="out"/>
        <c:minorTickMark val="none"/>
        <c:tickLblPos val="nextTo"/>
        <c:txPr>
          <a:bodyPr rot="0" vert="horz"/>
          <a:lstStyle/>
          <a:p>
            <a:pPr>
              <a:defRPr/>
            </a:pPr>
            <a:endParaRPr lang="lv-LV"/>
          </a:p>
        </c:txPr>
        <c:crossAx val="33837824"/>
        <c:crosses val="max"/>
        <c:crossBetween val="between"/>
      </c:valAx>
    </c:plotArea>
    <c:legend>
      <c:legendPos val="b"/>
      <c:layout>
        <c:manualLayout>
          <c:xMode val="edge"/>
          <c:yMode val="edge"/>
          <c:x val="6.2858379404702042E-2"/>
          <c:y val="0.82968504307532165"/>
          <c:w val="0.8789908974144206"/>
          <c:h val="0.14336013029817821"/>
        </c:manualLayout>
      </c:layout>
      <c:overlay val="0"/>
    </c:legend>
    <c:plotVisOnly val="1"/>
    <c:dispBlanksAs val="zero"/>
    <c:showDLblsOverMax val="0"/>
  </c:chart>
  <c:spPr>
    <a:ln>
      <a:noFill/>
    </a:ln>
  </c:spPr>
  <c:txPr>
    <a:bodyPr/>
    <a:lstStyle/>
    <a:p>
      <a:pPr>
        <a:defRPr sz="700" b="0" i="0" u="none" strike="noStrike" baseline="0">
          <a:solidFill>
            <a:srgbClr val="000000"/>
          </a:solidFill>
          <a:latin typeface="Arial" panose="020B0604020202020204" pitchFamily="34" charset="0"/>
          <a:ea typeface="Calibri"/>
          <a:cs typeface="Arial" panose="020B0604020202020204" pitchFamily="34"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241379310345"/>
          <c:y val="0.12786885245901639"/>
          <c:w val="0.84913793103448343"/>
          <c:h val="0.56065573770491861"/>
        </c:manualLayout>
      </c:layout>
      <c:lineChart>
        <c:grouping val="standard"/>
        <c:varyColors val="0"/>
        <c:ser>
          <c:idx val="0"/>
          <c:order val="0"/>
          <c:tx>
            <c:strRef>
              <c:f>'[Dzivoklu cenu dinamika.xls]dziv.cena JP'!$B$1</c:f>
              <c:strCache>
                <c:ptCount val="1"/>
                <c:pt idx="0">
                  <c:v>sērijveida mikrorajonos</c:v>
                </c:pt>
              </c:strCache>
            </c:strRef>
          </c:tx>
          <c:spPr>
            <a:ln w="38100">
              <a:solidFill>
                <a:srgbClr val="000080"/>
              </a:solidFill>
              <a:prstDash val="solid"/>
            </a:ln>
          </c:spPr>
          <c:marker>
            <c:symbol val="none"/>
          </c:marker>
          <c:cat>
            <c:strRef>
              <c:f>'[Dzivoklu cenu dinamika.xls]dziv.cena JP'!$A$14:$A$47</c:f>
              <c:strCache>
                <c:ptCount val="34"/>
                <c:pt idx="0">
                  <c:v>2005-I</c:v>
                </c:pt>
                <c:pt idx="1">
                  <c:v>2005-II</c:v>
                </c:pt>
                <c:pt idx="2">
                  <c:v>2005-III</c:v>
                </c:pt>
                <c:pt idx="3">
                  <c:v>2005-IV</c:v>
                </c:pt>
                <c:pt idx="4">
                  <c:v>2006-I</c:v>
                </c:pt>
                <c:pt idx="5">
                  <c:v>2006-II</c:v>
                </c:pt>
                <c:pt idx="6">
                  <c:v>2006-III</c:v>
                </c:pt>
                <c:pt idx="7">
                  <c:v>2006-IV</c:v>
                </c:pt>
                <c:pt idx="8">
                  <c:v>2007-I</c:v>
                </c:pt>
                <c:pt idx="9">
                  <c:v>2007-II</c:v>
                </c:pt>
                <c:pt idx="10">
                  <c:v>2007-III</c:v>
                </c:pt>
                <c:pt idx="11">
                  <c:v>2007-IV</c:v>
                </c:pt>
                <c:pt idx="12">
                  <c:v>2008-I</c:v>
                </c:pt>
                <c:pt idx="13">
                  <c:v>2008-II</c:v>
                </c:pt>
                <c:pt idx="14">
                  <c:v>2008-III</c:v>
                </c:pt>
                <c:pt idx="15">
                  <c:v>2008-IV</c:v>
                </c:pt>
                <c:pt idx="16">
                  <c:v>2009-I</c:v>
                </c:pt>
                <c:pt idx="17">
                  <c:v>2009-II</c:v>
                </c:pt>
                <c:pt idx="18">
                  <c:v>2009-III</c:v>
                </c:pt>
                <c:pt idx="19">
                  <c:v>2009-IV</c:v>
                </c:pt>
                <c:pt idx="20">
                  <c:v>2010-I</c:v>
                </c:pt>
                <c:pt idx="21">
                  <c:v>2010-II</c:v>
                </c:pt>
                <c:pt idx="22">
                  <c:v>2010-III</c:v>
                </c:pt>
                <c:pt idx="23">
                  <c:v>2010-IV</c:v>
                </c:pt>
                <c:pt idx="24">
                  <c:v>2011-I</c:v>
                </c:pt>
                <c:pt idx="25">
                  <c:v>2011-II</c:v>
                </c:pt>
                <c:pt idx="26">
                  <c:v>2011-III</c:v>
                </c:pt>
                <c:pt idx="27">
                  <c:v>2011-IV</c:v>
                </c:pt>
                <c:pt idx="28">
                  <c:v>2012-I</c:v>
                </c:pt>
                <c:pt idx="29">
                  <c:v>2012-II</c:v>
                </c:pt>
                <c:pt idx="30">
                  <c:v>2012-III</c:v>
                </c:pt>
                <c:pt idx="31">
                  <c:v>2012-IV</c:v>
                </c:pt>
                <c:pt idx="32">
                  <c:v>2013-I</c:v>
                </c:pt>
                <c:pt idx="33">
                  <c:v>2013-II</c:v>
                </c:pt>
              </c:strCache>
            </c:strRef>
          </c:cat>
          <c:val>
            <c:numRef>
              <c:f>'[Dzivoklu cenu dinamika.xls]dziv.cena JP'!$B$14:$B$47</c:f>
              <c:numCache>
                <c:formatCode>General</c:formatCode>
                <c:ptCount val="34"/>
                <c:pt idx="0">
                  <c:v>464</c:v>
                </c:pt>
                <c:pt idx="1">
                  <c:v>544</c:v>
                </c:pt>
                <c:pt idx="2">
                  <c:v>565</c:v>
                </c:pt>
                <c:pt idx="3">
                  <c:v>602</c:v>
                </c:pt>
                <c:pt idx="4">
                  <c:v>692</c:v>
                </c:pt>
                <c:pt idx="5">
                  <c:v>758</c:v>
                </c:pt>
                <c:pt idx="6">
                  <c:v>861</c:v>
                </c:pt>
                <c:pt idx="7">
                  <c:v>987</c:v>
                </c:pt>
                <c:pt idx="8">
                  <c:v>1113</c:v>
                </c:pt>
                <c:pt idx="9">
                  <c:v>1209</c:v>
                </c:pt>
                <c:pt idx="10">
                  <c:v>1114</c:v>
                </c:pt>
                <c:pt idx="11">
                  <c:v>1048</c:v>
                </c:pt>
                <c:pt idx="12">
                  <c:v>966</c:v>
                </c:pt>
                <c:pt idx="13">
                  <c:v>886</c:v>
                </c:pt>
                <c:pt idx="14">
                  <c:v>817</c:v>
                </c:pt>
                <c:pt idx="15">
                  <c:v>715</c:v>
                </c:pt>
                <c:pt idx="16">
                  <c:v>576</c:v>
                </c:pt>
                <c:pt idx="17">
                  <c:v>391</c:v>
                </c:pt>
                <c:pt idx="18">
                  <c:v>343</c:v>
                </c:pt>
                <c:pt idx="19">
                  <c:v>350</c:v>
                </c:pt>
                <c:pt idx="20">
                  <c:v>370</c:v>
                </c:pt>
                <c:pt idx="21">
                  <c:v>390</c:v>
                </c:pt>
                <c:pt idx="22">
                  <c:v>405</c:v>
                </c:pt>
                <c:pt idx="23" formatCode="0">
                  <c:v>405</c:v>
                </c:pt>
                <c:pt idx="24">
                  <c:v>405</c:v>
                </c:pt>
                <c:pt idx="25">
                  <c:v>405</c:v>
                </c:pt>
                <c:pt idx="26">
                  <c:v>405</c:v>
                </c:pt>
                <c:pt idx="27">
                  <c:v>400</c:v>
                </c:pt>
                <c:pt idx="28" formatCode="0">
                  <c:v>407.62399999999963</c:v>
                </c:pt>
                <c:pt idx="29" formatCode="0">
                  <c:v>411.13799999999969</c:v>
                </c:pt>
                <c:pt idx="30" formatCode="0">
                  <c:v>411</c:v>
                </c:pt>
                <c:pt idx="31" formatCode="0">
                  <c:v>411</c:v>
                </c:pt>
                <c:pt idx="32" formatCode="0">
                  <c:v>414.65199999999999</c:v>
                </c:pt>
                <c:pt idx="33" formatCode="0">
                  <c:v>419.57159999999953</c:v>
                </c:pt>
              </c:numCache>
            </c:numRef>
          </c:val>
          <c:smooth val="0"/>
        </c:ser>
        <c:ser>
          <c:idx val="1"/>
          <c:order val="1"/>
          <c:tx>
            <c:strRef>
              <c:f>'[Dzivoklu cenu dinamika.xls]dziv.cena JP'!$C$1</c:f>
              <c:strCache>
                <c:ptCount val="1"/>
                <c:pt idx="0">
                  <c:v>JP mikrorajonos</c:v>
                </c:pt>
              </c:strCache>
            </c:strRef>
          </c:tx>
          <c:spPr>
            <a:ln w="38100">
              <a:solidFill>
                <a:srgbClr val="FF9900"/>
              </a:solidFill>
              <a:prstDash val="solid"/>
            </a:ln>
          </c:spPr>
          <c:marker>
            <c:symbol val="none"/>
          </c:marker>
          <c:cat>
            <c:strRef>
              <c:f>'[Dzivoklu cenu dinamika.xls]dziv.cena JP'!$A$14:$A$47</c:f>
              <c:strCache>
                <c:ptCount val="34"/>
                <c:pt idx="0">
                  <c:v>2005-I</c:v>
                </c:pt>
                <c:pt idx="1">
                  <c:v>2005-II</c:v>
                </c:pt>
                <c:pt idx="2">
                  <c:v>2005-III</c:v>
                </c:pt>
                <c:pt idx="3">
                  <c:v>2005-IV</c:v>
                </c:pt>
                <c:pt idx="4">
                  <c:v>2006-I</c:v>
                </c:pt>
                <c:pt idx="5">
                  <c:v>2006-II</c:v>
                </c:pt>
                <c:pt idx="6">
                  <c:v>2006-III</c:v>
                </c:pt>
                <c:pt idx="7">
                  <c:v>2006-IV</c:v>
                </c:pt>
                <c:pt idx="8">
                  <c:v>2007-I</c:v>
                </c:pt>
                <c:pt idx="9">
                  <c:v>2007-II</c:v>
                </c:pt>
                <c:pt idx="10">
                  <c:v>2007-III</c:v>
                </c:pt>
                <c:pt idx="11">
                  <c:v>2007-IV</c:v>
                </c:pt>
                <c:pt idx="12">
                  <c:v>2008-I</c:v>
                </c:pt>
                <c:pt idx="13">
                  <c:v>2008-II</c:v>
                </c:pt>
                <c:pt idx="14">
                  <c:v>2008-III</c:v>
                </c:pt>
                <c:pt idx="15">
                  <c:v>2008-IV</c:v>
                </c:pt>
                <c:pt idx="16">
                  <c:v>2009-I</c:v>
                </c:pt>
                <c:pt idx="17">
                  <c:v>2009-II</c:v>
                </c:pt>
                <c:pt idx="18">
                  <c:v>2009-III</c:v>
                </c:pt>
                <c:pt idx="19">
                  <c:v>2009-IV</c:v>
                </c:pt>
                <c:pt idx="20">
                  <c:v>2010-I</c:v>
                </c:pt>
                <c:pt idx="21">
                  <c:v>2010-II</c:v>
                </c:pt>
                <c:pt idx="22">
                  <c:v>2010-III</c:v>
                </c:pt>
                <c:pt idx="23">
                  <c:v>2010-IV</c:v>
                </c:pt>
                <c:pt idx="24">
                  <c:v>2011-I</c:v>
                </c:pt>
                <c:pt idx="25">
                  <c:v>2011-II</c:v>
                </c:pt>
                <c:pt idx="26">
                  <c:v>2011-III</c:v>
                </c:pt>
                <c:pt idx="27">
                  <c:v>2011-IV</c:v>
                </c:pt>
                <c:pt idx="28">
                  <c:v>2012-I</c:v>
                </c:pt>
                <c:pt idx="29">
                  <c:v>2012-II</c:v>
                </c:pt>
                <c:pt idx="30">
                  <c:v>2012-III</c:v>
                </c:pt>
                <c:pt idx="31">
                  <c:v>2012-IV</c:v>
                </c:pt>
                <c:pt idx="32">
                  <c:v>2013-I</c:v>
                </c:pt>
                <c:pt idx="33">
                  <c:v>2013-II</c:v>
                </c:pt>
              </c:strCache>
            </c:strRef>
          </c:cat>
          <c:val>
            <c:numRef>
              <c:f>'[Dzivoklu cenu dinamika.xls]dziv.cena JP'!$C$14:$C$47</c:f>
              <c:numCache>
                <c:formatCode>0</c:formatCode>
                <c:ptCount val="34"/>
                <c:pt idx="0">
                  <c:v>846.4</c:v>
                </c:pt>
                <c:pt idx="1">
                  <c:v>991.875</c:v>
                </c:pt>
                <c:pt idx="2">
                  <c:v>1084.45</c:v>
                </c:pt>
                <c:pt idx="3">
                  <c:v>1269.5999999999999</c:v>
                </c:pt>
                <c:pt idx="4">
                  <c:v>1355.5625</c:v>
                </c:pt>
                <c:pt idx="5">
                  <c:v>1481.2</c:v>
                </c:pt>
                <c:pt idx="6">
                  <c:v>1587</c:v>
                </c:pt>
                <c:pt idx="7">
                  <c:v>1692.8</c:v>
                </c:pt>
                <c:pt idx="8">
                  <c:v>1864.7249999999999</c:v>
                </c:pt>
                <c:pt idx="9">
                  <c:v>1983.75</c:v>
                </c:pt>
                <c:pt idx="10">
                  <c:v>2010.2</c:v>
                </c:pt>
                <c:pt idx="11">
                  <c:v>1891.175</c:v>
                </c:pt>
                <c:pt idx="12">
                  <c:v>1798.6</c:v>
                </c:pt>
                <c:pt idx="13">
                  <c:v>1666.35</c:v>
                </c:pt>
                <c:pt idx="14">
                  <c:v>1454.75</c:v>
                </c:pt>
                <c:pt idx="15">
                  <c:v>1256.375</c:v>
                </c:pt>
                <c:pt idx="16">
                  <c:v>991.875</c:v>
                </c:pt>
                <c:pt idx="17">
                  <c:v>759.92</c:v>
                </c:pt>
                <c:pt idx="18">
                  <c:v>617.43499999999949</c:v>
                </c:pt>
                <c:pt idx="19">
                  <c:v>617.43499999999949</c:v>
                </c:pt>
                <c:pt idx="20">
                  <c:v>664.93</c:v>
                </c:pt>
                <c:pt idx="21">
                  <c:v>712.42499999999939</c:v>
                </c:pt>
                <c:pt idx="22">
                  <c:v>759.92</c:v>
                </c:pt>
                <c:pt idx="23">
                  <c:v>759.92</c:v>
                </c:pt>
                <c:pt idx="24">
                  <c:v>759.92</c:v>
                </c:pt>
                <c:pt idx="25">
                  <c:v>807.41499999999996</c:v>
                </c:pt>
                <c:pt idx="26">
                  <c:v>814.2</c:v>
                </c:pt>
                <c:pt idx="27">
                  <c:v>815</c:v>
                </c:pt>
                <c:pt idx="28">
                  <c:v>815.24799999999948</c:v>
                </c:pt>
                <c:pt idx="29">
                  <c:v>822.27599999999995</c:v>
                </c:pt>
                <c:pt idx="30">
                  <c:v>825</c:v>
                </c:pt>
                <c:pt idx="31">
                  <c:v>866.25</c:v>
                </c:pt>
                <c:pt idx="32">
                  <c:v>909.42319999999938</c:v>
                </c:pt>
                <c:pt idx="33">
                  <c:v>927.69600000000003</c:v>
                </c:pt>
              </c:numCache>
            </c:numRef>
          </c:val>
          <c:smooth val="0"/>
        </c:ser>
        <c:ser>
          <c:idx val="2"/>
          <c:order val="2"/>
          <c:tx>
            <c:strRef>
              <c:f>'[Dzivoklu cenu dinamika.xls]dziv.cena JP'!$D$1</c:f>
              <c:strCache>
                <c:ptCount val="1"/>
                <c:pt idx="0">
                  <c:v>JP Rīgas centrā</c:v>
                </c:pt>
              </c:strCache>
            </c:strRef>
          </c:tx>
          <c:spPr>
            <a:ln w="38100">
              <a:solidFill>
                <a:srgbClr val="008080"/>
              </a:solidFill>
              <a:prstDash val="solid"/>
            </a:ln>
          </c:spPr>
          <c:marker>
            <c:symbol val="none"/>
          </c:marker>
          <c:cat>
            <c:strRef>
              <c:f>'[Dzivoklu cenu dinamika.xls]dziv.cena JP'!$A$14:$A$47</c:f>
              <c:strCache>
                <c:ptCount val="34"/>
                <c:pt idx="0">
                  <c:v>2005-I</c:v>
                </c:pt>
                <c:pt idx="1">
                  <c:v>2005-II</c:v>
                </c:pt>
                <c:pt idx="2">
                  <c:v>2005-III</c:v>
                </c:pt>
                <c:pt idx="3">
                  <c:v>2005-IV</c:v>
                </c:pt>
                <c:pt idx="4">
                  <c:v>2006-I</c:v>
                </c:pt>
                <c:pt idx="5">
                  <c:v>2006-II</c:v>
                </c:pt>
                <c:pt idx="6">
                  <c:v>2006-III</c:v>
                </c:pt>
                <c:pt idx="7">
                  <c:v>2006-IV</c:v>
                </c:pt>
                <c:pt idx="8">
                  <c:v>2007-I</c:v>
                </c:pt>
                <c:pt idx="9">
                  <c:v>2007-II</c:v>
                </c:pt>
                <c:pt idx="10">
                  <c:v>2007-III</c:v>
                </c:pt>
                <c:pt idx="11">
                  <c:v>2007-IV</c:v>
                </c:pt>
                <c:pt idx="12">
                  <c:v>2008-I</c:v>
                </c:pt>
                <c:pt idx="13">
                  <c:v>2008-II</c:v>
                </c:pt>
                <c:pt idx="14">
                  <c:v>2008-III</c:v>
                </c:pt>
                <c:pt idx="15">
                  <c:v>2008-IV</c:v>
                </c:pt>
                <c:pt idx="16">
                  <c:v>2009-I</c:v>
                </c:pt>
                <c:pt idx="17">
                  <c:v>2009-II</c:v>
                </c:pt>
                <c:pt idx="18">
                  <c:v>2009-III</c:v>
                </c:pt>
                <c:pt idx="19">
                  <c:v>2009-IV</c:v>
                </c:pt>
                <c:pt idx="20">
                  <c:v>2010-I</c:v>
                </c:pt>
                <c:pt idx="21">
                  <c:v>2010-II</c:v>
                </c:pt>
                <c:pt idx="22">
                  <c:v>2010-III</c:v>
                </c:pt>
                <c:pt idx="23">
                  <c:v>2010-IV</c:v>
                </c:pt>
                <c:pt idx="24">
                  <c:v>2011-I</c:v>
                </c:pt>
                <c:pt idx="25">
                  <c:v>2011-II</c:v>
                </c:pt>
                <c:pt idx="26">
                  <c:v>2011-III</c:v>
                </c:pt>
                <c:pt idx="27">
                  <c:v>2011-IV</c:v>
                </c:pt>
                <c:pt idx="28">
                  <c:v>2012-I</c:v>
                </c:pt>
                <c:pt idx="29">
                  <c:v>2012-II</c:v>
                </c:pt>
                <c:pt idx="30">
                  <c:v>2012-III</c:v>
                </c:pt>
                <c:pt idx="31">
                  <c:v>2012-IV</c:v>
                </c:pt>
                <c:pt idx="32">
                  <c:v>2013-I</c:v>
                </c:pt>
                <c:pt idx="33">
                  <c:v>2013-II</c:v>
                </c:pt>
              </c:strCache>
            </c:strRef>
          </c:cat>
          <c:val>
            <c:numRef>
              <c:f>'[Dzivoklu cenu dinamika.xls]dziv.cena JP'!$D$14:$D$47</c:f>
              <c:numCache>
                <c:formatCode>0</c:formatCode>
                <c:ptCount val="34"/>
                <c:pt idx="0">
                  <c:v>1248</c:v>
                </c:pt>
                <c:pt idx="1">
                  <c:v>1320</c:v>
                </c:pt>
                <c:pt idx="2">
                  <c:v>1476</c:v>
                </c:pt>
                <c:pt idx="3">
                  <c:v>1620</c:v>
                </c:pt>
                <c:pt idx="4">
                  <c:v>1776</c:v>
                </c:pt>
                <c:pt idx="5">
                  <c:v>1920</c:v>
                </c:pt>
                <c:pt idx="6">
                  <c:v>2064</c:v>
                </c:pt>
                <c:pt idx="7">
                  <c:v>2280</c:v>
                </c:pt>
                <c:pt idx="8">
                  <c:v>2520</c:v>
                </c:pt>
                <c:pt idx="9">
                  <c:v>2580</c:v>
                </c:pt>
                <c:pt idx="10">
                  <c:v>2580</c:v>
                </c:pt>
                <c:pt idx="11">
                  <c:v>2400</c:v>
                </c:pt>
                <c:pt idx="12">
                  <c:v>2160</c:v>
                </c:pt>
                <c:pt idx="13">
                  <c:v>1992</c:v>
                </c:pt>
                <c:pt idx="14">
                  <c:v>1824</c:v>
                </c:pt>
                <c:pt idx="15">
                  <c:v>1680</c:v>
                </c:pt>
                <c:pt idx="16">
                  <c:v>1525.2</c:v>
                </c:pt>
                <c:pt idx="17">
                  <c:v>1291.5</c:v>
                </c:pt>
                <c:pt idx="18">
                  <c:v>1205.4000000000001</c:v>
                </c:pt>
                <c:pt idx="19">
                  <c:v>1168.5</c:v>
                </c:pt>
                <c:pt idx="20">
                  <c:v>1205.4000000000001</c:v>
                </c:pt>
                <c:pt idx="21">
                  <c:v>1266.9000000000001</c:v>
                </c:pt>
                <c:pt idx="22">
                  <c:v>1266.9000000000001</c:v>
                </c:pt>
                <c:pt idx="23">
                  <c:v>1266.9000000000001</c:v>
                </c:pt>
                <c:pt idx="24">
                  <c:v>1291.5</c:v>
                </c:pt>
                <c:pt idx="25">
                  <c:v>1291.5</c:v>
                </c:pt>
                <c:pt idx="26">
                  <c:v>1381.29</c:v>
                </c:pt>
                <c:pt idx="27">
                  <c:v>1381.29</c:v>
                </c:pt>
                <c:pt idx="28">
                  <c:v>1423.1699999999998</c:v>
                </c:pt>
                <c:pt idx="29">
                  <c:v>1511.02</c:v>
                </c:pt>
                <c:pt idx="30">
                  <c:v>1550</c:v>
                </c:pt>
                <c:pt idx="31">
                  <c:v>1600</c:v>
                </c:pt>
                <c:pt idx="32">
                  <c:v>1686.72</c:v>
                </c:pt>
                <c:pt idx="33">
                  <c:v>1721.86</c:v>
                </c:pt>
              </c:numCache>
            </c:numRef>
          </c:val>
          <c:smooth val="0"/>
        </c:ser>
        <c:ser>
          <c:idx val="3"/>
          <c:order val="3"/>
          <c:tx>
            <c:strRef>
              <c:f>'[Dzivoklu cenu dinamika.xls]dziv.cena JP'!$E$1</c:f>
              <c:strCache>
                <c:ptCount val="1"/>
                <c:pt idx="0">
                  <c:v>JP Vecrīgas tuvumā</c:v>
                </c:pt>
              </c:strCache>
            </c:strRef>
          </c:tx>
          <c:spPr>
            <a:ln w="38100">
              <a:solidFill>
                <a:srgbClr val="800000"/>
              </a:solidFill>
              <a:prstDash val="solid"/>
            </a:ln>
          </c:spPr>
          <c:marker>
            <c:symbol val="none"/>
          </c:marker>
          <c:cat>
            <c:strRef>
              <c:f>'[Dzivoklu cenu dinamika.xls]dziv.cena JP'!$A$14:$A$47</c:f>
              <c:strCache>
                <c:ptCount val="34"/>
                <c:pt idx="0">
                  <c:v>2005-I</c:v>
                </c:pt>
                <c:pt idx="1">
                  <c:v>2005-II</c:v>
                </c:pt>
                <c:pt idx="2">
                  <c:v>2005-III</c:v>
                </c:pt>
                <c:pt idx="3">
                  <c:v>2005-IV</c:v>
                </c:pt>
                <c:pt idx="4">
                  <c:v>2006-I</c:v>
                </c:pt>
                <c:pt idx="5">
                  <c:v>2006-II</c:v>
                </c:pt>
                <c:pt idx="6">
                  <c:v>2006-III</c:v>
                </c:pt>
                <c:pt idx="7">
                  <c:v>2006-IV</c:v>
                </c:pt>
                <c:pt idx="8">
                  <c:v>2007-I</c:v>
                </c:pt>
                <c:pt idx="9">
                  <c:v>2007-II</c:v>
                </c:pt>
                <c:pt idx="10">
                  <c:v>2007-III</c:v>
                </c:pt>
                <c:pt idx="11">
                  <c:v>2007-IV</c:v>
                </c:pt>
                <c:pt idx="12">
                  <c:v>2008-I</c:v>
                </c:pt>
                <c:pt idx="13">
                  <c:v>2008-II</c:v>
                </c:pt>
                <c:pt idx="14">
                  <c:v>2008-III</c:v>
                </c:pt>
                <c:pt idx="15">
                  <c:v>2008-IV</c:v>
                </c:pt>
                <c:pt idx="16">
                  <c:v>2009-I</c:v>
                </c:pt>
                <c:pt idx="17">
                  <c:v>2009-II</c:v>
                </c:pt>
                <c:pt idx="18">
                  <c:v>2009-III</c:v>
                </c:pt>
                <c:pt idx="19">
                  <c:v>2009-IV</c:v>
                </c:pt>
                <c:pt idx="20">
                  <c:v>2010-I</c:v>
                </c:pt>
                <c:pt idx="21">
                  <c:v>2010-II</c:v>
                </c:pt>
                <c:pt idx="22">
                  <c:v>2010-III</c:v>
                </c:pt>
                <c:pt idx="23">
                  <c:v>2010-IV</c:v>
                </c:pt>
                <c:pt idx="24">
                  <c:v>2011-I</c:v>
                </c:pt>
                <c:pt idx="25">
                  <c:v>2011-II</c:v>
                </c:pt>
                <c:pt idx="26">
                  <c:v>2011-III</c:v>
                </c:pt>
                <c:pt idx="27">
                  <c:v>2011-IV</c:v>
                </c:pt>
                <c:pt idx="28">
                  <c:v>2012-I</c:v>
                </c:pt>
                <c:pt idx="29">
                  <c:v>2012-II</c:v>
                </c:pt>
                <c:pt idx="30">
                  <c:v>2012-III</c:v>
                </c:pt>
                <c:pt idx="31">
                  <c:v>2012-IV</c:v>
                </c:pt>
                <c:pt idx="32">
                  <c:v>2013-I</c:v>
                </c:pt>
                <c:pt idx="33">
                  <c:v>2013-II</c:v>
                </c:pt>
              </c:strCache>
            </c:strRef>
          </c:cat>
          <c:val>
            <c:numRef>
              <c:f>'[Dzivoklu cenu dinamika.xls]dziv.cena JP'!$E$14:$E$47</c:f>
              <c:numCache>
                <c:formatCode>General</c:formatCode>
                <c:ptCount val="34"/>
                <c:pt idx="2" formatCode="0">
                  <c:v>2250</c:v>
                </c:pt>
                <c:pt idx="3" formatCode="0">
                  <c:v>2337.5</c:v>
                </c:pt>
                <c:pt idx="4" formatCode="0">
                  <c:v>2500</c:v>
                </c:pt>
                <c:pt idx="5" formatCode="0">
                  <c:v>2625</c:v>
                </c:pt>
                <c:pt idx="6" formatCode="0">
                  <c:v>2775</c:v>
                </c:pt>
                <c:pt idx="7" formatCode="0">
                  <c:v>2875</c:v>
                </c:pt>
                <c:pt idx="8" formatCode="0">
                  <c:v>3000</c:v>
                </c:pt>
                <c:pt idx="9" formatCode="0">
                  <c:v>3125</c:v>
                </c:pt>
                <c:pt idx="10" formatCode="0">
                  <c:v>3062.5</c:v>
                </c:pt>
                <c:pt idx="11" formatCode="0">
                  <c:v>2750</c:v>
                </c:pt>
                <c:pt idx="12" formatCode="0">
                  <c:v>2525</c:v>
                </c:pt>
                <c:pt idx="13" formatCode="0">
                  <c:v>2275</c:v>
                </c:pt>
                <c:pt idx="14" formatCode="0">
                  <c:v>2100</c:v>
                </c:pt>
                <c:pt idx="15" formatCode="0">
                  <c:v>1937.5</c:v>
                </c:pt>
                <c:pt idx="16" formatCode="0">
                  <c:v>1800</c:v>
                </c:pt>
                <c:pt idx="17" formatCode="0">
                  <c:v>1732</c:v>
                </c:pt>
                <c:pt idx="18" formatCode="0">
                  <c:v>1625</c:v>
                </c:pt>
                <c:pt idx="19" formatCode="0">
                  <c:v>1645</c:v>
                </c:pt>
                <c:pt idx="20" formatCode="0">
                  <c:v>1698</c:v>
                </c:pt>
                <c:pt idx="21" formatCode="0">
                  <c:v>1723</c:v>
                </c:pt>
                <c:pt idx="22" formatCode="0">
                  <c:v>1821</c:v>
                </c:pt>
                <c:pt idx="23" formatCode="0">
                  <c:v>1889</c:v>
                </c:pt>
                <c:pt idx="24" formatCode="0">
                  <c:v>1923</c:v>
                </c:pt>
                <c:pt idx="25" formatCode="0">
                  <c:v>2100</c:v>
                </c:pt>
                <c:pt idx="26" formatCode="0">
                  <c:v>2235</c:v>
                </c:pt>
                <c:pt idx="27" formatCode="0">
                  <c:v>2400</c:v>
                </c:pt>
                <c:pt idx="28" formatCode="0">
                  <c:v>2480.1812</c:v>
                </c:pt>
                <c:pt idx="29" formatCode="0">
                  <c:v>2593.3320000000012</c:v>
                </c:pt>
                <c:pt idx="30" formatCode="0">
                  <c:v>2700</c:v>
                </c:pt>
                <c:pt idx="31" formatCode="0">
                  <c:v>2750</c:v>
                </c:pt>
                <c:pt idx="32" formatCode="0">
                  <c:v>2881.48</c:v>
                </c:pt>
                <c:pt idx="33" formatCode="0">
                  <c:v>2916.62</c:v>
                </c:pt>
              </c:numCache>
            </c:numRef>
          </c:val>
          <c:smooth val="0"/>
        </c:ser>
        <c:dLbls>
          <c:showLegendKey val="0"/>
          <c:showVal val="0"/>
          <c:showCatName val="0"/>
          <c:showSerName val="0"/>
          <c:showPercent val="0"/>
          <c:showBubbleSize val="0"/>
        </c:dLbls>
        <c:marker val="1"/>
        <c:smooth val="0"/>
        <c:axId val="33874304"/>
        <c:axId val="33875840"/>
      </c:lineChart>
      <c:catAx>
        <c:axId val="33874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700" b="0" i="0" u="none" strike="noStrike" baseline="0">
                <a:solidFill>
                  <a:srgbClr val="000000"/>
                </a:solidFill>
                <a:latin typeface="Arial"/>
                <a:ea typeface="Arial"/>
                <a:cs typeface="Arial"/>
              </a:defRPr>
            </a:pPr>
            <a:endParaRPr lang="lv-LV"/>
          </a:p>
        </c:txPr>
        <c:crossAx val="33875840"/>
        <c:crosses val="autoZero"/>
        <c:auto val="1"/>
        <c:lblAlgn val="ctr"/>
        <c:lblOffset val="100"/>
        <c:tickLblSkip val="2"/>
        <c:tickMarkSkip val="1"/>
        <c:noMultiLvlLbl val="0"/>
      </c:catAx>
      <c:valAx>
        <c:axId val="33875840"/>
        <c:scaling>
          <c:orientation val="minMax"/>
        </c:scaling>
        <c:delete val="0"/>
        <c:axPos val="l"/>
        <c:majorGridlines>
          <c:spPr>
            <a:ln w="3175">
              <a:solidFill>
                <a:srgbClr val="000000"/>
              </a:solidFill>
              <a:prstDash val="solid"/>
            </a:ln>
          </c:spPr>
        </c:majorGridlines>
        <c:title>
          <c:tx>
            <c:rich>
              <a:bodyPr/>
              <a:lstStyle/>
              <a:p>
                <a:pPr>
                  <a:defRPr sz="700" b="0" i="0" u="none" strike="noStrike" baseline="0">
                    <a:solidFill>
                      <a:srgbClr val="000000"/>
                    </a:solidFill>
                    <a:latin typeface="Arial"/>
                    <a:ea typeface="Arial"/>
                    <a:cs typeface="Arial"/>
                  </a:defRPr>
                </a:pPr>
                <a:r>
                  <a:rPr lang="lv-LV" sz="700"/>
                  <a:t>Ls/kv.m</a:t>
                </a:r>
              </a:p>
            </c:rich>
          </c:tx>
          <c:layout>
            <c:manualLayout>
              <c:xMode val="edge"/>
              <c:yMode val="edge"/>
              <c:x val="1.0776128393786858E-2"/>
              <c:y val="0.6016395732791477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lv-LV"/>
          </a:p>
        </c:txPr>
        <c:crossAx val="33874304"/>
        <c:crosses val="autoZero"/>
        <c:crossBetween val="between"/>
      </c:valAx>
      <c:spPr>
        <a:solidFill>
          <a:srgbClr val="FFFFFF"/>
        </a:solidFill>
        <a:ln w="3175">
          <a:solidFill>
            <a:srgbClr val="000000"/>
          </a:solidFill>
          <a:prstDash val="solid"/>
        </a:ln>
      </c:spPr>
    </c:plotArea>
    <c:legend>
      <c:legendPos val="r"/>
      <c:layout>
        <c:manualLayout>
          <c:xMode val="edge"/>
          <c:yMode val="edge"/>
          <c:x val="0"/>
          <c:y val="0.87213126465700663"/>
          <c:w val="0.99454455885321957"/>
          <c:h val="0.11803289381726688"/>
        </c:manualLayout>
      </c:layout>
      <c:overlay val="0"/>
      <c:spPr>
        <a:solidFill>
          <a:srgbClr val="FFFFFF"/>
        </a:solidFill>
        <a:ln w="25400">
          <a:noFill/>
        </a:ln>
      </c:spPr>
      <c:txPr>
        <a:bodyPr/>
        <a:lstStyle/>
        <a:p>
          <a:pPr>
            <a:defRPr sz="775" b="0" i="0" u="none" strike="noStrike" baseline="0">
              <a:solidFill>
                <a:srgbClr val="000000"/>
              </a:solidFill>
              <a:latin typeface="Arial"/>
              <a:ea typeface="Arial"/>
              <a:cs typeface="Arial"/>
            </a:defRPr>
          </a:pPr>
          <a:endParaRPr lang="lv-LV"/>
        </a:p>
      </c:txPr>
    </c:legend>
    <c:plotVisOnly val="1"/>
    <c:dispBlanksAs val="gap"/>
    <c:showDLblsOverMax val="0"/>
  </c:chart>
  <c:spPr>
    <a:solidFill>
      <a:srgbClr val="FFFFFF"/>
    </a:solidFill>
    <a:ln w="9525">
      <a:noFill/>
    </a:ln>
  </c:spPr>
  <c:txPr>
    <a:bodyPr/>
    <a:lstStyle/>
    <a:p>
      <a:pPr>
        <a:defRPr sz="925" b="1" i="0" u="none" strike="noStrike" baseline="0">
          <a:solidFill>
            <a:srgbClr val="000000"/>
          </a:solidFill>
          <a:latin typeface="Arial"/>
          <a:ea typeface="Arial"/>
          <a:cs typeface="Arial"/>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28</Pages>
  <Words>7312</Words>
  <Characters>51547</Characters>
  <Application>Microsoft Office Word</Application>
  <DocSecurity>0</DocSecurity>
  <Lines>1431</Lines>
  <Paragraphs>717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Informatīvais ziņojums par Imigrācijas likuma 23.panta pirmās daļas 3., 28., 29. un 30.punktā paredzēto noteikumu īstenošanas gaitu un rezultātiem</vt:lpstr>
      <vt:lpstr/>
      <vt:lpstr>Saīsinājumi</vt:lpstr>
      <vt:lpstr/>
      <vt:lpstr>1. Termiņuzturēšanās atļauju piešķiršanas dinamika 2004.-2012.gadā un vispārīga </vt:lpstr>
      <vt:lpstr>2. Ārvalstu investīcijas saistībā ar termiņuzturēšanās atļaujām</vt:lpstr>
      <vt:lpstr/>
      <vt:lpstr>3. Ārvalstu investoru valstiskā piederība</vt:lpstr>
      <vt:lpstr>4. Investīcijas nekustamajos īpašumos</vt:lpstr>
      <vt:lpstr/>
      <vt:lpstr>5. Finanšu investīcijas kredītiestādē</vt:lpstr>
      <vt:lpstr>6. Ieguldījumi kapitālsabiedrību pamatkapitālā un valdes locekļi</vt:lpstr>
      <vt:lpstr/>
      <vt:lpstr/>
      <vt:lpstr>7. Ietekme uz tautsaimniecības reālo sektoru</vt:lpstr>
      <vt:lpstr>8. Ietekme uz finanšu sektoru</vt:lpstr>
      <vt:lpstr/>
      <vt:lpstr>9. Ietekme uz valsts un pašvaldību budžetiem</vt:lpstr>
      <vt:lpstr>10. Ietekme uz sabiedrību</vt:lpstr>
      <vt:lpstr/>
      <vt:lpstr>11. Investora portrets</vt:lpstr>
      <vt:lpstr>Secinājumi</vt:lpstr>
    </vt:vector>
  </TitlesOfParts>
  <Manager>Iekšlietu ministrija</Manager>
  <Company>PMLP</Company>
  <LinksUpToDate>false</LinksUpToDate>
  <CharactersWithSpaces>58142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Imigrācijas likuma 23.panta pirmās daļas 3., 28., 29. un 30.punktā paredzēto noteikumu īstenošanas gaitu un rezultātiem</dc:title>
  <dc:subject>Informatīvais ziņojums</dc:subject>
  <dc:creator>Ilze Briede</dc:creator>
  <dc:description>ilze.briede@pmlp.gov.lv tālr. 67219564; fakss 67829825</dc:description>
  <cp:lastModifiedBy>Dell</cp:lastModifiedBy>
  <cp:revision>2</cp:revision>
  <cp:lastPrinted>2013-08-21T11:15:00Z</cp:lastPrinted>
  <dcterms:created xsi:type="dcterms:W3CDTF">2013-09-10T18:35:00Z</dcterms:created>
  <dcterms:modified xsi:type="dcterms:W3CDTF">2013-09-10T18:35:00Z</dcterms:modified>
</cp:coreProperties>
</file>