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4" w:rsidRPr="00D00D75" w:rsidRDefault="00617BC4" w:rsidP="00617BC4">
      <w:pPr>
        <w:ind w:hanging="15"/>
        <w:jc w:val="center"/>
        <w:rPr>
          <w:iCs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D00D75">
        <w:rPr>
          <w:b/>
          <w:sz w:val="28"/>
          <w:szCs w:val="28"/>
        </w:rPr>
        <w:t>Ministru kabineta noteikumu projekta „</w:t>
      </w:r>
      <w:r w:rsidR="009F47CB" w:rsidRPr="00D00D75">
        <w:rPr>
          <w:b/>
          <w:sz w:val="28"/>
          <w:szCs w:val="28"/>
        </w:rPr>
        <w:t>Grozījum</w:t>
      </w:r>
      <w:r w:rsidR="00215AF2" w:rsidRPr="00D00D75">
        <w:rPr>
          <w:b/>
          <w:sz w:val="28"/>
          <w:szCs w:val="28"/>
        </w:rPr>
        <w:t>i</w:t>
      </w:r>
      <w:r w:rsidR="009F47CB" w:rsidRPr="00D00D75">
        <w:rPr>
          <w:b/>
          <w:sz w:val="28"/>
          <w:szCs w:val="28"/>
        </w:rPr>
        <w:t xml:space="preserve"> Ministru kabineta 2006.gada 4.aprīļa noteikumos Nr.253 </w:t>
      </w:r>
      <w:r w:rsidRPr="00D00D75">
        <w:rPr>
          <w:b/>
          <w:sz w:val="28"/>
          <w:szCs w:val="28"/>
        </w:rPr>
        <w:t>„</w:t>
      </w:r>
      <w:hyperlink r:id="rId9" w:tgtFrame="_blank" w:tooltip="Kārtība, kādā organizējama ilgstoši slimojošu izglītojamo izglītošanās ārpus izglītības iestādes /Spēkā esošs/" w:history="1">
        <w:r w:rsidR="009F47CB" w:rsidRPr="00D00D75">
          <w:rPr>
            <w:b/>
            <w:sz w:val="28"/>
            <w:szCs w:val="28"/>
          </w:rPr>
          <w:t>Kārtība, kādā organizējama ilgstoši slimojošu izglītojamo izglītošanās ārpus izglītības iestādes</w:t>
        </w:r>
      </w:hyperlink>
      <w:bookmarkEnd w:id="0"/>
      <w:bookmarkEnd w:id="1"/>
      <w:r w:rsidRPr="00D00D75">
        <w:rPr>
          <w:sz w:val="28"/>
          <w:szCs w:val="28"/>
        </w:rPr>
        <w:t>””</w:t>
      </w:r>
      <w:r w:rsidRPr="00D00D75">
        <w:rPr>
          <w:b/>
          <w:sz w:val="28"/>
          <w:szCs w:val="28"/>
        </w:rPr>
        <w:t xml:space="preserve"> sākotnējās ietekmes novērtējuma ziņojums (anotācija)</w:t>
      </w:r>
    </w:p>
    <w:bookmarkEnd w:id="2"/>
    <w:bookmarkEnd w:id="3"/>
    <w:p w:rsidR="00781A2F" w:rsidRPr="00D00D75" w:rsidRDefault="00781A2F" w:rsidP="00781A2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140"/>
        <w:gridCol w:w="4860"/>
      </w:tblGrid>
      <w:tr w:rsidR="00781A2F" w:rsidRPr="00D00D75" w:rsidTr="001773E6">
        <w:tc>
          <w:tcPr>
            <w:tcW w:w="9431" w:type="dxa"/>
            <w:gridSpan w:val="3"/>
            <w:vAlign w:val="center"/>
          </w:tcPr>
          <w:p w:rsidR="00781A2F" w:rsidRPr="00D00D75" w:rsidRDefault="00781A2F" w:rsidP="00BF1DD3">
            <w:pPr>
              <w:pStyle w:val="naisnod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781A2F" w:rsidRPr="00D00D75" w:rsidTr="001773E6">
        <w:trPr>
          <w:trHeight w:val="630"/>
        </w:trPr>
        <w:tc>
          <w:tcPr>
            <w:tcW w:w="431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781A2F" w:rsidRPr="00D00D75" w:rsidRDefault="00781A2F" w:rsidP="00BF1DD3">
            <w:pPr>
              <w:pStyle w:val="naiskr"/>
              <w:spacing w:before="0" w:after="0"/>
              <w:ind w:hanging="1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266884" w:rsidRPr="00D00D75" w:rsidRDefault="00A71E54" w:rsidP="00B73A70">
            <w:pPr>
              <w:pStyle w:val="naiskr"/>
              <w:spacing w:before="0" w:after="0"/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Ministru kabineta noteikumu projekta „Grozījumi Ministru kabineta 2006.gada 4.aprīļa noteikumos Nr.253 „</w:t>
            </w:r>
            <w:hyperlink r:id="rId10" w:tgtFrame="_blank" w:tooltip="Kārtība, kādā organizējama ilgstoši slimojošu izglītojamo izglītošanās ārpus izglītības iestādes /Spēkā esošs/" w:history="1">
              <w:r w:rsidRPr="00D00D75">
                <w:rPr>
                  <w:rStyle w:val="Hyperlink"/>
                  <w:color w:val="auto"/>
                  <w:sz w:val="28"/>
                  <w:szCs w:val="28"/>
                  <w:u w:val="none"/>
                </w:rPr>
                <w:t>Kārtība, kādā organizējama ilgstoši slimojošu izglītojamo izglītošanās ārpus izglītības iestādes</w:t>
              </w:r>
            </w:hyperlink>
            <w:r w:rsidRPr="00D00D75">
              <w:rPr>
                <w:sz w:val="28"/>
                <w:szCs w:val="28"/>
              </w:rPr>
              <w:t xml:space="preserve">”” (turpmāk – projekts) izstrāde notika, pamatojoties uz </w:t>
            </w:r>
            <w:r w:rsidR="00180B1E" w:rsidRPr="00D00D75">
              <w:rPr>
                <w:sz w:val="28"/>
                <w:szCs w:val="28"/>
              </w:rPr>
              <w:t>2012.gada 5.jūnija Ministru prezidenta V.Dombrovska rezolūcij</w:t>
            </w:r>
            <w:r w:rsidR="00266884" w:rsidRPr="00D00D75">
              <w:rPr>
                <w:sz w:val="28"/>
                <w:szCs w:val="28"/>
              </w:rPr>
              <w:t>ā</w:t>
            </w:r>
            <w:r w:rsidR="00180B1E" w:rsidRPr="00D00D75">
              <w:rPr>
                <w:sz w:val="28"/>
                <w:szCs w:val="28"/>
              </w:rPr>
              <w:t xml:space="preserve"> Nr.18/SAN-104820 dot</w:t>
            </w:r>
            <w:r w:rsidRPr="00D00D75">
              <w:rPr>
                <w:sz w:val="28"/>
                <w:szCs w:val="28"/>
              </w:rPr>
              <w:t>o</w:t>
            </w:r>
            <w:r w:rsidR="00180B1E" w:rsidRPr="00D00D75">
              <w:rPr>
                <w:sz w:val="28"/>
                <w:szCs w:val="28"/>
              </w:rPr>
              <w:t xml:space="preserve"> uzdevum</w:t>
            </w:r>
            <w:r w:rsidRPr="00D00D75">
              <w:rPr>
                <w:sz w:val="28"/>
                <w:szCs w:val="28"/>
              </w:rPr>
              <w:t>u</w:t>
            </w:r>
            <w:r w:rsidR="00180B1E" w:rsidRPr="00D00D75">
              <w:rPr>
                <w:sz w:val="28"/>
                <w:szCs w:val="28"/>
              </w:rPr>
              <w:t xml:space="preserve"> izvērtēt Valsts kancelejas Juridisk</w:t>
            </w:r>
            <w:r w:rsidR="00E04402" w:rsidRPr="00D00D75">
              <w:rPr>
                <w:sz w:val="28"/>
                <w:szCs w:val="28"/>
              </w:rPr>
              <w:t xml:space="preserve">ā </w:t>
            </w:r>
            <w:r w:rsidR="00180B1E" w:rsidRPr="00D00D75">
              <w:rPr>
                <w:sz w:val="28"/>
                <w:szCs w:val="28"/>
              </w:rPr>
              <w:t>departament</w:t>
            </w:r>
            <w:r w:rsidR="00E04402" w:rsidRPr="00D00D75">
              <w:rPr>
                <w:sz w:val="28"/>
                <w:szCs w:val="28"/>
              </w:rPr>
              <w:t>a</w:t>
            </w:r>
            <w:r w:rsidR="00180B1E" w:rsidRPr="00D00D75">
              <w:rPr>
                <w:sz w:val="28"/>
                <w:szCs w:val="28"/>
              </w:rPr>
              <w:t xml:space="preserve"> </w:t>
            </w:r>
            <w:r w:rsidR="00927BD8" w:rsidRPr="00D00D75">
              <w:rPr>
                <w:sz w:val="28"/>
                <w:szCs w:val="28"/>
              </w:rPr>
              <w:t>2012.gada 31.maij</w:t>
            </w:r>
            <w:r w:rsidR="00862C8A" w:rsidRPr="00D00D75">
              <w:rPr>
                <w:sz w:val="28"/>
                <w:szCs w:val="28"/>
              </w:rPr>
              <w:t>a</w:t>
            </w:r>
            <w:r w:rsidR="00927BD8" w:rsidRPr="00D00D75">
              <w:rPr>
                <w:sz w:val="28"/>
                <w:szCs w:val="28"/>
              </w:rPr>
              <w:t xml:space="preserve"> </w:t>
            </w:r>
            <w:r w:rsidR="00180B1E" w:rsidRPr="00D00D75">
              <w:rPr>
                <w:sz w:val="28"/>
                <w:szCs w:val="28"/>
              </w:rPr>
              <w:t xml:space="preserve">vēstuli Nr.313-4/3, kurā </w:t>
            </w:r>
            <w:r w:rsidR="00A7111A" w:rsidRPr="00D00D75">
              <w:rPr>
                <w:sz w:val="28"/>
                <w:szCs w:val="28"/>
              </w:rPr>
              <w:t>tika</w:t>
            </w:r>
            <w:r w:rsidR="00180B1E" w:rsidRPr="00D00D75">
              <w:rPr>
                <w:sz w:val="28"/>
                <w:szCs w:val="28"/>
              </w:rPr>
              <w:t xml:space="preserve"> lūgts </w:t>
            </w:r>
            <w:r w:rsidR="007A3EB6" w:rsidRPr="00D00D75">
              <w:rPr>
                <w:sz w:val="28"/>
                <w:szCs w:val="28"/>
              </w:rPr>
              <w:t xml:space="preserve">izvērtēt </w:t>
            </w:r>
            <w:r w:rsidR="00180B1E" w:rsidRPr="00D00D75">
              <w:rPr>
                <w:sz w:val="28"/>
                <w:szCs w:val="28"/>
              </w:rPr>
              <w:t xml:space="preserve">iespēju veikt grozījumus Ministru kabineta 2006.gada 4.aprīļa noteikumos Nr.253 „Kārtība, kādā organizējams ilgstoši slimojošu izglītojamo izglītošanās ārpus izglītības iestādes” </w:t>
            </w:r>
            <w:r w:rsidR="00266884" w:rsidRPr="00D00D75">
              <w:rPr>
                <w:sz w:val="28"/>
                <w:szCs w:val="28"/>
              </w:rPr>
              <w:t>(turpmāk – MK noteikumi)</w:t>
            </w:r>
            <w:r w:rsidR="00EF34B0" w:rsidRPr="00D00D75">
              <w:rPr>
                <w:sz w:val="28"/>
                <w:szCs w:val="28"/>
              </w:rPr>
              <w:t xml:space="preserve">. </w:t>
            </w:r>
            <w:r w:rsidR="00862C8A" w:rsidRPr="00D00D75">
              <w:rPr>
                <w:sz w:val="28"/>
                <w:szCs w:val="28"/>
              </w:rPr>
              <w:t>Minētajā vēstul</w:t>
            </w:r>
            <w:r w:rsidR="00FC2C22">
              <w:rPr>
                <w:sz w:val="28"/>
                <w:szCs w:val="28"/>
              </w:rPr>
              <w:t>ē</w:t>
            </w:r>
            <w:r w:rsidR="00862C8A" w:rsidRPr="00D00D75">
              <w:rPr>
                <w:sz w:val="28"/>
                <w:szCs w:val="28"/>
              </w:rPr>
              <w:t xml:space="preserve"> </w:t>
            </w:r>
            <w:r w:rsidR="00EF34B0" w:rsidRPr="00D00D75">
              <w:rPr>
                <w:sz w:val="28"/>
                <w:szCs w:val="28"/>
              </w:rPr>
              <w:t>Valsts kancelejas Juridiskais departaments norādīja, ka būtu mazināms administratīvais slogs</w:t>
            </w:r>
            <w:r w:rsidR="00862C8A" w:rsidRPr="00D00D75">
              <w:rPr>
                <w:sz w:val="28"/>
                <w:szCs w:val="28"/>
              </w:rPr>
              <w:t xml:space="preserve"> izglītības nodrošināšanā </w:t>
            </w:r>
            <w:r w:rsidR="00180B1E" w:rsidRPr="00D00D75">
              <w:rPr>
                <w:sz w:val="28"/>
                <w:szCs w:val="28"/>
              </w:rPr>
              <w:t>izglītojam</w:t>
            </w:r>
            <w:r w:rsidR="00547659" w:rsidRPr="00D00D75">
              <w:rPr>
                <w:sz w:val="28"/>
                <w:szCs w:val="28"/>
              </w:rPr>
              <w:t>aj</w:t>
            </w:r>
            <w:r w:rsidR="00180B1E" w:rsidRPr="00D00D75">
              <w:rPr>
                <w:sz w:val="28"/>
                <w:szCs w:val="28"/>
              </w:rPr>
              <w:t>iem ar smagiem garīgās attīstības traucējumiem vai vairākiem smagiem garīgās attīstības traucējumiem.</w:t>
            </w:r>
            <w:r w:rsidR="007A3EB6" w:rsidRPr="00D00D75">
              <w:rPr>
                <w:sz w:val="28"/>
                <w:szCs w:val="28"/>
              </w:rPr>
              <w:t xml:space="preserve"> </w:t>
            </w:r>
          </w:p>
          <w:p w:rsidR="00831A2E" w:rsidRDefault="00180B1E" w:rsidP="00FC2C22">
            <w:pPr>
              <w:pStyle w:val="naiskr"/>
              <w:spacing w:before="0" w:after="0"/>
              <w:jc w:val="both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D00D75">
              <w:rPr>
                <w:sz w:val="28"/>
                <w:szCs w:val="28"/>
              </w:rPr>
              <w:t>Izglītības un zinātnes ministrija</w:t>
            </w:r>
            <w:r w:rsidR="0032330E" w:rsidRPr="00D00D75">
              <w:rPr>
                <w:sz w:val="28"/>
                <w:szCs w:val="28"/>
              </w:rPr>
              <w:t xml:space="preserve"> (turpmāk – ministrija)</w:t>
            </w:r>
            <w:r w:rsidRPr="00D00D75">
              <w:rPr>
                <w:sz w:val="28"/>
                <w:szCs w:val="28"/>
              </w:rPr>
              <w:t xml:space="preserve"> </w:t>
            </w:r>
            <w:r w:rsidR="00E04402" w:rsidRPr="00D00D75">
              <w:rPr>
                <w:sz w:val="28"/>
                <w:szCs w:val="28"/>
              </w:rPr>
              <w:t xml:space="preserve">ar 2012.gada 26.jūnija </w:t>
            </w:r>
            <w:r w:rsidR="00266884" w:rsidRPr="00D00D75">
              <w:rPr>
                <w:sz w:val="28"/>
                <w:szCs w:val="28"/>
              </w:rPr>
              <w:t>vēstul</w:t>
            </w:r>
            <w:r w:rsidR="00E04402" w:rsidRPr="00D00D75">
              <w:rPr>
                <w:sz w:val="28"/>
                <w:szCs w:val="28"/>
              </w:rPr>
              <w:t>i</w:t>
            </w:r>
            <w:r w:rsidR="00266884" w:rsidRPr="00D00D75">
              <w:rPr>
                <w:sz w:val="28"/>
                <w:szCs w:val="28"/>
              </w:rPr>
              <w:t xml:space="preserve"> Nr.</w:t>
            </w:r>
            <w:r w:rsidR="00A9483C" w:rsidRPr="00D00D75">
              <w:rPr>
                <w:sz w:val="28"/>
                <w:szCs w:val="28"/>
              </w:rPr>
              <w:t>01-05/2797 „Par ilgstoši slimojošo izglītojamo izglītošanu dzīvesvietā”</w:t>
            </w:r>
            <w:r w:rsidRPr="00D00D75">
              <w:rPr>
                <w:sz w:val="28"/>
                <w:szCs w:val="28"/>
              </w:rPr>
              <w:t xml:space="preserve"> </w:t>
            </w:r>
            <w:r w:rsidR="00E04402" w:rsidRPr="00D00D75">
              <w:rPr>
                <w:sz w:val="28"/>
                <w:szCs w:val="28"/>
              </w:rPr>
              <w:t>informē</w:t>
            </w:r>
            <w:r w:rsidR="00EF34B0" w:rsidRPr="00D00D75">
              <w:rPr>
                <w:sz w:val="28"/>
                <w:szCs w:val="28"/>
              </w:rPr>
              <w:t>ja</w:t>
            </w:r>
            <w:r w:rsidR="00E04402" w:rsidRPr="00D00D75">
              <w:rPr>
                <w:sz w:val="28"/>
                <w:szCs w:val="28"/>
              </w:rPr>
              <w:t xml:space="preserve"> </w:t>
            </w:r>
            <w:r w:rsidRPr="00D00D75">
              <w:rPr>
                <w:sz w:val="28"/>
                <w:szCs w:val="28"/>
              </w:rPr>
              <w:t>Ministru prezidentu V.</w:t>
            </w:r>
            <w:r w:rsidR="007C2584" w:rsidRPr="00D00D75">
              <w:rPr>
                <w:sz w:val="28"/>
                <w:szCs w:val="28"/>
              </w:rPr>
              <w:t>D</w:t>
            </w:r>
            <w:r w:rsidRPr="00D00D75">
              <w:rPr>
                <w:sz w:val="28"/>
                <w:szCs w:val="28"/>
              </w:rPr>
              <w:t>ombrovski</w:t>
            </w:r>
            <w:r w:rsidR="007C2584" w:rsidRPr="00D00D75">
              <w:rPr>
                <w:sz w:val="28"/>
                <w:szCs w:val="28"/>
              </w:rPr>
              <w:t xml:space="preserve">, ka atbalsta Valsts kancelejas Juridiskā departamenta izteikto priekšlikumu par grozījumu nepieciešamību </w:t>
            </w:r>
            <w:r w:rsidR="00BE00B1" w:rsidRPr="00D00D75">
              <w:rPr>
                <w:sz w:val="28"/>
                <w:szCs w:val="28"/>
              </w:rPr>
              <w:t xml:space="preserve">MK </w:t>
            </w:r>
            <w:r w:rsidR="007C2584" w:rsidRPr="00D00D75">
              <w:rPr>
                <w:sz w:val="28"/>
                <w:szCs w:val="28"/>
              </w:rPr>
              <w:t>noteikumos</w:t>
            </w:r>
            <w:r w:rsidR="007A3EB6" w:rsidRPr="00D00D75">
              <w:rPr>
                <w:sz w:val="28"/>
                <w:szCs w:val="28"/>
              </w:rPr>
              <w:t xml:space="preserve">, kā arī </w:t>
            </w:r>
            <w:r w:rsidR="007C2584" w:rsidRPr="00D00D75">
              <w:rPr>
                <w:sz w:val="28"/>
                <w:szCs w:val="28"/>
              </w:rPr>
              <w:t xml:space="preserve">vērsa uzmanību, ka </w:t>
            </w:r>
            <w:r w:rsidR="00FC2C22" w:rsidRPr="00FC2C22">
              <w:rPr>
                <w:sz w:val="28"/>
                <w:szCs w:val="28"/>
              </w:rPr>
              <w:t>ministrija</w:t>
            </w:r>
            <w:r w:rsidR="00862C8A" w:rsidRPr="00D00D75">
              <w:rPr>
                <w:sz w:val="28"/>
                <w:szCs w:val="28"/>
              </w:rPr>
              <w:t xml:space="preserve"> </w:t>
            </w:r>
            <w:r w:rsidR="007C2584" w:rsidRPr="00D00D75">
              <w:rPr>
                <w:sz w:val="28"/>
                <w:szCs w:val="28"/>
              </w:rPr>
              <w:t>grozījum</w:t>
            </w:r>
            <w:r w:rsidR="00862C8A" w:rsidRPr="00D00D75">
              <w:rPr>
                <w:sz w:val="28"/>
                <w:szCs w:val="28"/>
              </w:rPr>
              <w:t>us</w:t>
            </w:r>
            <w:r w:rsidR="007C2584" w:rsidRPr="00D00D75">
              <w:rPr>
                <w:sz w:val="28"/>
                <w:szCs w:val="28"/>
              </w:rPr>
              <w:t xml:space="preserve"> </w:t>
            </w:r>
            <w:r w:rsidR="00F15FEE" w:rsidRPr="00D00D75">
              <w:rPr>
                <w:sz w:val="28"/>
                <w:szCs w:val="28"/>
              </w:rPr>
              <w:t>MK not</w:t>
            </w:r>
            <w:r w:rsidR="007C2584" w:rsidRPr="00D00D75">
              <w:rPr>
                <w:sz w:val="28"/>
                <w:szCs w:val="28"/>
              </w:rPr>
              <w:t>eikumos virzī</w:t>
            </w:r>
            <w:r w:rsidR="00862C8A" w:rsidRPr="00D00D75">
              <w:rPr>
                <w:sz w:val="28"/>
                <w:szCs w:val="28"/>
              </w:rPr>
              <w:t>s</w:t>
            </w:r>
            <w:r w:rsidR="00BE00B1" w:rsidRPr="00D00D75">
              <w:rPr>
                <w:sz w:val="28"/>
                <w:szCs w:val="28"/>
              </w:rPr>
              <w:t xml:space="preserve">, kad </w:t>
            </w:r>
            <w:r w:rsidR="00EF34B0" w:rsidRPr="00D00D75">
              <w:rPr>
                <w:sz w:val="28"/>
                <w:szCs w:val="28"/>
              </w:rPr>
              <w:t>tiks</w:t>
            </w:r>
            <w:r w:rsidR="007C2584" w:rsidRPr="00D00D75">
              <w:rPr>
                <w:sz w:val="28"/>
                <w:szCs w:val="28"/>
              </w:rPr>
              <w:t xml:space="preserve"> </w:t>
            </w:r>
            <w:r w:rsidR="007A3EB6" w:rsidRPr="00D00D75">
              <w:rPr>
                <w:sz w:val="28"/>
                <w:szCs w:val="28"/>
              </w:rPr>
              <w:t>pieņem</w:t>
            </w:r>
            <w:r w:rsidR="00EF34B0" w:rsidRPr="00D00D75">
              <w:rPr>
                <w:sz w:val="28"/>
                <w:szCs w:val="28"/>
              </w:rPr>
              <w:t>ti</w:t>
            </w:r>
            <w:r w:rsidR="007A3EB6" w:rsidRPr="00D00D75">
              <w:rPr>
                <w:sz w:val="28"/>
                <w:szCs w:val="28"/>
              </w:rPr>
              <w:t xml:space="preserve"> </w:t>
            </w:r>
            <w:r w:rsidR="007C2584" w:rsidRPr="00D00D75">
              <w:rPr>
                <w:sz w:val="28"/>
                <w:szCs w:val="28"/>
              </w:rPr>
              <w:lastRenderedPageBreak/>
              <w:t>Ministru kabineta noteikum</w:t>
            </w:r>
            <w:r w:rsidR="00FC2C22">
              <w:rPr>
                <w:sz w:val="28"/>
                <w:szCs w:val="28"/>
              </w:rPr>
              <w:t>i</w:t>
            </w:r>
            <w:r w:rsidR="007C2584" w:rsidRPr="00D00D75">
              <w:rPr>
                <w:sz w:val="28"/>
                <w:szCs w:val="28"/>
              </w:rPr>
              <w:t xml:space="preserve"> „Noteikumi par pedagoģiski medicīniskajām komisijām</w:t>
            </w:r>
            <w:r w:rsidR="008C07D2" w:rsidRPr="00D00D75">
              <w:rPr>
                <w:sz w:val="28"/>
                <w:szCs w:val="28"/>
              </w:rPr>
              <w:t xml:space="preserve">”, jo grozījumi </w:t>
            </w:r>
            <w:r w:rsidR="00A9483C" w:rsidRPr="00D00D75">
              <w:rPr>
                <w:sz w:val="28"/>
                <w:szCs w:val="28"/>
              </w:rPr>
              <w:t xml:space="preserve">MK noteikumos </w:t>
            </w:r>
            <w:r w:rsidR="007A3EB6" w:rsidRPr="00D00D75">
              <w:rPr>
                <w:sz w:val="28"/>
                <w:szCs w:val="28"/>
              </w:rPr>
              <w:t>skar valsts un pašvaldību pedagoģiski medicīniskās komisijas kompetenci un darbību.</w:t>
            </w:r>
            <w:r w:rsidR="00A9483C" w:rsidRPr="00D00D75">
              <w:rPr>
                <w:sz w:val="28"/>
                <w:szCs w:val="28"/>
              </w:rPr>
              <w:t xml:space="preserve"> </w:t>
            </w:r>
            <w:r w:rsidR="00EF34B0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Ministru kabineta noteikumi Nr.709 „Noteikumi par Valsts pedagoģiski medicīniskās komisijas un pašvaldību pedagoģiski medicīniskajām komisijām” tika pieņemti </w:t>
            </w:r>
            <w:r w:rsidR="007A3EB6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2012.gada 16.oktobrī </w:t>
            </w:r>
            <w:r w:rsidR="00FF688C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(</w:t>
            </w:r>
            <w:r w:rsidR="0032330E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stājas </w:t>
            </w:r>
            <w:r w:rsidR="00A71E54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spēkā 2012.gada 19.okt</w:t>
            </w:r>
            <w:r w:rsidR="0032330E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obrī)</w:t>
            </w:r>
            <w:r w:rsidR="00A71E54" w:rsidRPr="00D00D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F72221" w:rsidRPr="00D00D75" w:rsidRDefault="00F72221" w:rsidP="00FC2C22">
            <w:pPr>
              <w:pStyle w:val="naiskr"/>
              <w:spacing w:before="0" w:after="0"/>
              <w:jc w:val="both"/>
              <w:rPr>
                <w:szCs w:val="28"/>
              </w:rPr>
            </w:pPr>
          </w:p>
        </w:tc>
      </w:tr>
      <w:tr w:rsidR="00781A2F" w:rsidRPr="00D00D75" w:rsidTr="0091367C">
        <w:trPr>
          <w:trHeight w:val="1833"/>
        </w:trPr>
        <w:tc>
          <w:tcPr>
            <w:tcW w:w="431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40" w:type="dxa"/>
          </w:tcPr>
          <w:p w:rsidR="00781A2F" w:rsidRPr="00D00D75" w:rsidRDefault="00781A2F" w:rsidP="00BF1DD3">
            <w:pPr>
              <w:pStyle w:val="naiskr"/>
              <w:tabs>
                <w:tab w:val="left" w:pos="170"/>
              </w:tabs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4860" w:type="dxa"/>
          </w:tcPr>
          <w:p w:rsidR="007A3EB6" w:rsidRPr="00D00D75" w:rsidRDefault="007A3EB6" w:rsidP="00B73A70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M</w:t>
            </w:r>
            <w:r w:rsidR="00F75D5C" w:rsidRPr="00D00D75">
              <w:rPr>
                <w:sz w:val="28"/>
                <w:szCs w:val="28"/>
              </w:rPr>
              <w:t xml:space="preserve">K </w:t>
            </w:r>
            <w:r w:rsidR="007870BD" w:rsidRPr="00D00D75">
              <w:rPr>
                <w:sz w:val="28"/>
                <w:szCs w:val="28"/>
              </w:rPr>
              <w:t>noteikumu 8.punkts nosaka, ka mācības</w:t>
            </w:r>
            <w:r w:rsidRPr="00D00D75">
              <w:rPr>
                <w:sz w:val="28"/>
                <w:szCs w:val="28"/>
              </w:rPr>
              <w:t xml:space="preserve"> mājās organizē uz laiku ne</w:t>
            </w:r>
            <w:r w:rsidR="00547659" w:rsidRPr="00D00D75">
              <w:rPr>
                <w:sz w:val="28"/>
                <w:szCs w:val="28"/>
              </w:rPr>
              <w:t xml:space="preserve"> </w:t>
            </w:r>
            <w:r w:rsidRPr="00D00D75">
              <w:rPr>
                <w:sz w:val="28"/>
                <w:szCs w:val="28"/>
              </w:rPr>
              <w:t xml:space="preserve">ilgāku par sešiem mēnešiem. Ja minēto termiņu nepieciešams pagarināt, veic atkārtotu izglītojamā veselības stāvokļa pārbaudi. Valsts </w:t>
            </w:r>
            <w:r w:rsidR="005F4603" w:rsidRPr="00D00D75">
              <w:rPr>
                <w:sz w:val="28"/>
                <w:szCs w:val="28"/>
              </w:rPr>
              <w:t xml:space="preserve">vai pašvaldības pedagoģiski medicīniskā komisija iesaka vecākiem (aizbildņiem) izglītojamā veselības stāvoklim atbilstošu izglītības programmu. </w:t>
            </w:r>
          </w:p>
          <w:p w:rsidR="00367C78" w:rsidRPr="00D00D75" w:rsidRDefault="000B66D5" w:rsidP="00B73A70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S</w:t>
            </w:r>
            <w:r w:rsidR="005F4603" w:rsidRPr="00D00D75">
              <w:rPr>
                <w:sz w:val="28"/>
                <w:szCs w:val="28"/>
              </w:rPr>
              <w:t xml:space="preserve">askaņā ar </w:t>
            </w:r>
            <w:r w:rsidR="00A9483C" w:rsidRPr="00D00D75">
              <w:rPr>
                <w:sz w:val="28"/>
                <w:szCs w:val="28"/>
              </w:rPr>
              <w:t>MK noteikumu</w:t>
            </w:r>
            <w:r w:rsidR="005F4603" w:rsidRPr="00D00D75">
              <w:rPr>
                <w:sz w:val="28"/>
                <w:szCs w:val="28"/>
              </w:rPr>
              <w:t xml:space="preserve"> 8.</w:t>
            </w:r>
            <w:r w:rsidR="00A9483C" w:rsidRPr="00D00D75">
              <w:rPr>
                <w:sz w:val="28"/>
                <w:szCs w:val="28"/>
              </w:rPr>
              <w:t>p</w:t>
            </w:r>
            <w:r w:rsidR="005F4603" w:rsidRPr="00D00D75">
              <w:rPr>
                <w:sz w:val="28"/>
                <w:szCs w:val="28"/>
              </w:rPr>
              <w:t xml:space="preserve">unktu </w:t>
            </w:r>
            <w:r w:rsidRPr="00D00D75">
              <w:rPr>
                <w:sz w:val="28"/>
                <w:szCs w:val="28"/>
              </w:rPr>
              <w:t xml:space="preserve">pedagoģiski medicīniskā komisija </w:t>
            </w:r>
            <w:r w:rsidR="005F4603" w:rsidRPr="00D00D75">
              <w:rPr>
                <w:sz w:val="28"/>
                <w:szCs w:val="28"/>
              </w:rPr>
              <w:t>arī izglītojam</w:t>
            </w:r>
            <w:r w:rsidR="00547659" w:rsidRPr="00D00D75">
              <w:rPr>
                <w:sz w:val="28"/>
                <w:szCs w:val="28"/>
              </w:rPr>
              <w:t>aj</w:t>
            </w:r>
            <w:r w:rsidR="005F4603" w:rsidRPr="00D00D75">
              <w:rPr>
                <w:sz w:val="28"/>
                <w:szCs w:val="28"/>
              </w:rPr>
              <w:t>iem ar smagiem garīgās attīstības traucējumiem vai vairākiem smagiem garīgās attīstības traucējumiem mācības organizēt mājās var ieteikt ne ilgāk par sešiem mēnešiem.</w:t>
            </w:r>
            <w:r w:rsidR="006C081A" w:rsidRPr="00D00D75">
              <w:rPr>
                <w:sz w:val="28"/>
                <w:szCs w:val="28"/>
              </w:rPr>
              <w:t xml:space="preserve"> </w:t>
            </w:r>
            <w:r w:rsidR="00B73A70" w:rsidRPr="00D00D75">
              <w:rPr>
                <w:sz w:val="28"/>
                <w:szCs w:val="28"/>
              </w:rPr>
              <w:t xml:space="preserve">Tādējādi </w:t>
            </w:r>
            <w:r w:rsidR="007870BD" w:rsidRPr="00D00D75">
              <w:rPr>
                <w:sz w:val="28"/>
                <w:szCs w:val="28"/>
              </w:rPr>
              <w:t>pēc sešiem mēnešiem izglītojamaj</w:t>
            </w:r>
            <w:r w:rsidR="008C317D" w:rsidRPr="00D00D75">
              <w:rPr>
                <w:sz w:val="28"/>
                <w:szCs w:val="28"/>
              </w:rPr>
              <w:t>iem</w:t>
            </w:r>
            <w:r w:rsidR="007870BD" w:rsidRPr="00D00D75">
              <w:rPr>
                <w:sz w:val="28"/>
                <w:szCs w:val="28"/>
              </w:rPr>
              <w:t>, kuriem ir smagi garīgās attīstības traucējumi vai vairāki smagi attīstības traucējumi ar</w:t>
            </w:r>
            <w:r w:rsidR="00E95609" w:rsidRPr="00D00D75">
              <w:rPr>
                <w:sz w:val="28"/>
                <w:szCs w:val="28"/>
              </w:rPr>
              <w:t>ī</w:t>
            </w:r>
            <w:r w:rsidR="007870BD" w:rsidRPr="00D00D75">
              <w:rPr>
                <w:sz w:val="28"/>
                <w:szCs w:val="28"/>
              </w:rPr>
              <w:t xml:space="preserve"> tiek veikta atkārtota veselības izpēte</w:t>
            </w:r>
            <w:r w:rsidR="00D73918" w:rsidRPr="00D00D75">
              <w:rPr>
                <w:sz w:val="28"/>
                <w:szCs w:val="28"/>
              </w:rPr>
              <w:t xml:space="preserve">, kas nozīmē, ka tiek gatavoti atkal visi nepieciešamie dokumenti – ģimenes ārsta izziņa, bērnu psihiatra izziņa, </w:t>
            </w:r>
            <w:r w:rsidR="000A763D" w:rsidRPr="00D00D75">
              <w:rPr>
                <w:sz w:val="28"/>
                <w:szCs w:val="28"/>
              </w:rPr>
              <w:t xml:space="preserve">izglītojamā </w:t>
            </w:r>
            <w:r w:rsidR="00D73918" w:rsidRPr="00D00D75">
              <w:rPr>
                <w:sz w:val="28"/>
                <w:szCs w:val="28"/>
              </w:rPr>
              <w:t>psiholoģiskā izpēte, izglītības iestādes informācija par izglītojamo</w:t>
            </w:r>
            <w:r w:rsidRPr="00D00D75">
              <w:rPr>
                <w:sz w:val="28"/>
                <w:szCs w:val="28"/>
              </w:rPr>
              <w:t>. P</w:t>
            </w:r>
            <w:r w:rsidR="00D73918" w:rsidRPr="00D00D75">
              <w:rPr>
                <w:sz w:val="28"/>
                <w:szCs w:val="28"/>
              </w:rPr>
              <w:t xml:space="preserve">iemēram, </w:t>
            </w:r>
            <w:r w:rsidRPr="00D00D75">
              <w:rPr>
                <w:sz w:val="28"/>
                <w:szCs w:val="28"/>
              </w:rPr>
              <w:t>2012.</w:t>
            </w:r>
            <w:r w:rsidR="00862C8A" w:rsidRPr="00D00D75">
              <w:rPr>
                <w:sz w:val="28"/>
                <w:szCs w:val="28"/>
              </w:rPr>
              <w:t>g</w:t>
            </w:r>
            <w:r w:rsidRPr="00D00D75">
              <w:rPr>
                <w:sz w:val="28"/>
                <w:szCs w:val="28"/>
              </w:rPr>
              <w:t xml:space="preserve">ada </w:t>
            </w:r>
            <w:r w:rsidR="00D73918" w:rsidRPr="00D00D75">
              <w:rPr>
                <w:sz w:val="28"/>
                <w:szCs w:val="28"/>
              </w:rPr>
              <w:t>februār</w:t>
            </w:r>
            <w:r w:rsidRPr="00D00D75">
              <w:rPr>
                <w:sz w:val="28"/>
                <w:szCs w:val="28"/>
              </w:rPr>
              <w:t>ī</w:t>
            </w:r>
            <w:r w:rsidR="00D73918" w:rsidRPr="00D00D75">
              <w:rPr>
                <w:sz w:val="28"/>
                <w:szCs w:val="28"/>
              </w:rPr>
              <w:t xml:space="preserve"> atkārtotai izglītojamo izvērtēšanai Pierīgas pedagoģiski medicīniskā komisija, lai noformētu atkārtotu mācību organizēšanu mājās VSAC „Rīga”</w:t>
            </w:r>
            <w:r w:rsidR="000A763D" w:rsidRPr="00D00D75">
              <w:rPr>
                <w:sz w:val="28"/>
                <w:szCs w:val="28"/>
              </w:rPr>
              <w:t xml:space="preserve"> </w:t>
            </w:r>
            <w:r w:rsidR="00D73918" w:rsidRPr="00D00D75">
              <w:rPr>
                <w:sz w:val="28"/>
                <w:szCs w:val="28"/>
              </w:rPr>
              <w:t xml:space="preserve">filiālei „Baldone” bija jāsagatavo nepieciešamie dokumenti par </w:t>
            </w:r>
            <w:r w:rsidR="00D73918" w:rsidRPr="00D00D75">
              <w:rPr>
                <w:sz w:val="28"/>
                <w:szCs w:val="28"/>
              </w:rPr>
              <w:lastRenderedPageBreak/>
              <w:t>98 izglītojamiem.</w:t>
            </w:r>
            <w:r w:rsidR="007870BD" w:rsidRPr="00D00D75">
              <w:rPr>
                <w:sz w:val="28"/>
                <w:szCs w:val="28"/>
              </w:rPr>
              <w:t xml:space="preserve"> Bieži šie izglītojamie ir grūti pārvietojami un transportējami</w:t>
            </w:r>
            <w:r w:rsidR="00B73A70" w:rsidRPr="00D00D75">
              <w:rPr>
                <w:sz w:val="28"/>
                <w:szCs w:val="28"/>
              </w:rPr>
              <w:t>, j</w:t>
            </w:r>
            <w:r w:rsidR="007870BD" w:rsidRPr="00D00D75">
              <w:rPr>
                <w:sz w:val="28"/>
                <w:szCs w:val="28"/>
              </w:rPr>
              <w:t xml:space="preserve">ebkuras pārmaiņas viņiem rada papildus spriedzi, </w:t>
            </w:r>
            <w:r w:rsidR="00B73A70" w:rsidRPr="00D00D75">
              <w:rPr>
                <w:sz w:val="28"/>
                <w:szCs w:val="28"/>
              </w:rPr>
              <w:t xml:space="preserve">kas </w:t>
            </w:r>
            <w:r w:rsidR="007870BD" w:rsidRPr="00D00D75">
              <w:rPr>
                <w:sz w:val="28"/>
                <w:szCs w:val="28"/>
              </w:rPr>
              <w:t>var atstāt ietekmi uz izglītojamā veselību.</w:t>
            </w:r>
            <w:r w:rsidR="003334A2" w:rsidRPr="00D00D75">
              <w:rPr>
                <w:sz w:val="28"/>
                <w:szCs w:val="28"/>
              </w:rPr>
              <w:t xml:space="preserve"> </w:t>
            </w:r>
          </w:p>
          <w:p w:rsidR="00CF3160" w:rsidRDefault="00540DA6" w:rsidP="00FC2C22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Saskaņā ar MK noteikumu 9.punktu par izglītojamo mācību organizēšanu</w:t>
            </w:r>
            <w:r w:rsidR="00FC2C22">
              <w:rPr>
                <w:sz w:val="28"/>
                <w:szCs w:val="28"/>
              </w:rPr>
              <w:t xml:space="preserve"> mājās</w:t>
            </w:r>
            <w:r w:rsidRPr="00D00D75">
              <w:rPr>
                <w:sz w:val="28"/>
                <w:szCs w:val="28"/>
              </w:rPr>
              <w:t xml:space="preserve"> lem</w:t>
            </w:r>
            <w:r w:rsidR="00615E39" w:rsidRPr="00D00D75">
              <w:rPr>
                <w:sz w:val="28"/>
                <w:szCs w:val="28"/>
              </w:rPr>
              <w:t>j</w:t>
            </w:r>
            <w:r w:rsidRPr="00D00D75">
              <w:rPr>
                <w:sz w:val="28"/>
                <w:szCs w:val="28"/>
              </w:rPr>
              <w:t xml:space="preserve"> Valsts vai pašvaldību pedagoģiski medicīniskā komisija. 2012.gada 16.oktobrī tika pieņemti</w:t>
            </w:r>
            <w:proofErr w:type="gramStart"/>
            <w:r w:rsidRPr="00D00D75">
              <w:rPr>
                <w:sz w:val="28"/>
                <w:szCs w:val="28"/>
              </w:rPr>
              <w:t xml:space="preserve">  </w:t>
            </w:r>
            <w:proofErr w:type="gramEnd"/>
            <w:r w:rsidRPr="00D00D75">
              <w:rPr>
                <w:sz w:val="28"/>
                <w:szCs w:val="28"/>
              </w:rPr>
              <w:t>Ministru kabineta noteikumi Nr.709 „Noteikumi par pedagoģiski medicīniskajām komisijām”, kur noteikts, ka šo funkciju veic tikai pašvaldību pedagoģiski medicīniskā komisija.</w:t>
            </w:r>
          </w:p>
          <w:p w:rsidR="00F72221" w:rsidRPr="00D00D75" w:rsidRDefault="00F72221" w:rsidP="00FC2C22">
            <w:pPr>
              <w:jc w:val="both"/>
              <w:rPr>
                <w:szCs w:val="28"/>
              </w:rPr>
            </w:pPr>
          </w:p>
        </w:tc>
      </w:tr>
      <w:tr w:rsidR="00781A2F" w:rsidRPr="00D00D75" w:rsidTr="001773E6">
        <w:trPr>
          <w:trHeight w:val="625"/>
        </w:trPr>
        <w:tc>
          <w:tcPr>
            <w:tcW w:w="431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40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4860" w:type="dxa"/>
          </w:tcPr>
          <w:p w:rsidR="00781A2F" w:rsidRPr="00D00D75" w:rsidRDefault="00E95609" w:rsidP="00B73A70">
            <w:pPr>
              <w:pStyle w:val="FootnoteText"/>
              <w:tabs>
                <w:tab w:val="left" w:pos="3478"/>
              </w:tabs>
              <w:rPr>
                <w:sz w:val="28"/>
                <w:szCs w:val="28"/>
              </w:rPr>
            </w:pPr>
            <w:r w:rsidRPr="00D00D75">
              <w:rPr>
                <w:sz w:val="28"/>
                <w:szCs w:val="28"/>
              </w:rPr>
              <w:t>Projekts šo jomu neskar.</w:t>
            </w:r>
          </w:p>
        </w:tc>
      </w:tr>
      <w:tr w:rsidR="00781A2F" w:rsidRPr="00D00D75" w:rsidTr="001773E6">
        <w:trPr>
          <w:trHeight w:val="384"/>
        </w:trPr>
        <w:tc>
          <w:tcPr>
            <w:tcW w:w="431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4860" w:type="dxa"/>
          </w:tcPr>
          <w:p w:rsidR="00367C78" w:rsidRPr="00D00D75" w:rsidRDefault="00F54592" w:rsidP="00E73C73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</w:t>
            </w:r>
            <w:r w:rsidR="00367C78" w:rsidRPr="00D00D75">
              <w:rPr>
                <w:sz w:val="28"/>
                <w:szCs w:val="28"/>
              </w:rPr>
              <w:t>rojekta 1.punkts paredz izglītojam</w:t>
            </w:r>
            <w:r w:rsidR="00FC2C22">
              <w:rPr>
                <w:sz w:val="28"/>
                <w:szCs w:val="28"/>
              </w:rPr>
              <w:t>aj</w:t>
            </w:r>
            <w:r w:rsidR="00615E39" w:rsidRPr="00D00D75">
              <w:rPr>
                <w:sz w:val="28"/>
                <w:szCs w:val="28"/>
              </w:rPr>
              <w:t>i</w:t>
            </w:r>
            <w:r w:rsidR="00367C78" w:rsidRPr="00D00D75">
              <w:rPr>
                <w:sz w:val="28"/>
                <w:szCs w:val="28"/>
              </w:rPr>
              <w:t>em, izņemot ar smagiem garīgās attīstības traucējumiem vai vairākiem smagiem attīstības traucējumiem, mācības organizēt uz laiku, ne ilgāku par sešiem mēnešiem. Ja</w:t>
            </w:r>
            <w:r w:rsidRPr="00D00D75">
              <w:rPr>
                <w:sz w:val="28"/>
                <w:szCs w:val="28"/>
              </w:rPr>
              <w:t xml:space="preserve"> </w:t>
            </w:r>
            <w:r w:rsidR="00367C78" w:rsidRPr="00D00D75">
              <w:rPr>
                <w:sz w:val="28"/>
                <w:szCs w:val="28"/>
              </w:rPr>
              <w:t xml:space="preserve">minēto termiņu nepieciešams pagarināt, veic atkārtotu izglītojamā veselības stāvokļa pārbaudi. </w:t>
            </w:r>
          </w:p>
          <w:p w:rsidR="00315EFF" w:rsidRDefault="00367C78" w:rsidP="00E73C73">
            <w:pPr>
              <w:jc w:val="both"/>
              <w:rPr>
                <w:color w:val="000000"/>
                <w:szCs w:val="28"/>
              </w:rPr>
            </w:pPr>
            <w:r w:rsidRPr="00D00D75">
              <w:rPr>
                <w:sz w:val="28"/>
                <w:szCs w:val="28"/>
              </w:rPr>
              <w:t>Projekta 2.punkts</w:t>
            </w:r>
            <w:proofErr w:type="gramStart"/>
            <w:r w:rsidRPr="00D00D75">
              <w:rPr>
                <w:sz w:val="28"/>
                <w:szCs w:val="28"/>
              </w:rPr>
              <w:t xml:space="preserve">  </w:t>
            </w:r>
            <w:proofErr w:type="gramEnd"/>
            <w:r w:rsidRPr="00D00D75">
              <w:rPr>
                <w:sz w:val="28"/>
                <w:szCs w:val="28"/>
              </w:rPr>
              <w:t>paredz papildināt MK noteikumus  ar jaunu 8.</w:t>
            </w:r>
            <w:r w:rsidRPr="00D00D75">
              <w:rPr>
                <w:sz w:val="28"/>
                <w:szCs w:val="28"/>
                <w:vertAlign w:val="superscript"/>
              </w:rPr>
              <w:t>1</w:t>
            </w:r>
            <w:r w:rsidRPr="00D00D75">
              <w:rPr>
                <w:sz w:val="28"/>
                <w:szCs w:val="28"/>
              </w:rPr>
              <w:t xml:space="preserve"> punktu,  kurā tiek noteikts, ka izglītojamajam ar smagiem garīgās attīstības traucējumiem vai vairākiem smagiem attīstības traucējumiem, ņemot vērā izglītojamā veselības stāvokli, mācības mājās organizē  pastāvīgi. </w:t>
            </w:r>
            <w:r w:rsidR="00713A0E" w:rsidRPr="00D00D75">
              <w:rPr>
                <w:sz w:val="28"/>
                <w:szCs w:val="28"/>
              </w:rPr>
              <w:t>Tādējādi</w:t>
            </w:r>
            <w:r w:rsidR="005C5DB7" w:rsidRPr="00D00D75">
              <w:rPr>
                <w:sz w:val="28"/>
                <w:szCs w:val="28"/>
              </w:rPr>
              <w:t>,</w:t>
            </w:r>
            <w:r w:rsidR="00713A0E" w:rsidRPr="00D00D75">
              <w:rPr>
                <w:sz w:val="28"/>
                <w:szCs w:val="28"/>
              </w:rPr>
              <w:t xml:space="preserve"> nodrošinot izglītojamiem ar smagiem </w:t>
            </w:r>
            <w:r w:rsidR="00221311" w:rsidRPr="00D00D75">
              <w:rPr>
                <w:sz w:val="28"/>
                <w:szCs w:val="28"/>
              </w:rPr>
              <w:t xml:space="preserve">garīgās attīstības traucējumiem </w:t>
            </w:r>
            <w:r w:rsidR="005C5DB7" w:rsidRPr="00D00D75">
              <w:rPr>
                <w:sz w:val="28"/>
                <w:szCs w:val="28"/>
              </w:rPr>
              <w:t xml:space="preserve">vienreizēju veselības stāvokļa </w:t>
            </w:r>
            <w:r w:rsidR="00FB0E32" w:rsidRPr="00D00D75">
              <w:rPr>
                <w:sz w:val="28"/>
                <w:szCs w:val="28"/>
              </w:rPr>
              <w:t xml:space="preserve">pārbaudi </w:t>
            </w:r>
            <w:r w:rsidR="005C5DB7" w:rsidRPr="00D00D75">
              <w:rPr>
                <w:sz w:val="28"/>
                <w:szCs w:val="28"/>
              </w:rPr>
              <w:t>(ģimenes ārsta izziņa, bērnu psihiatra izziņa, izglītojamā psiholoģiskā izpēte, izglītības iestādes informācija par izglītojamo), neveicot atkārtotu veselības stāvokļa izpēti ik pēc sešiem mēnešiem.</w:t>
            </w:r>
            <w:r w:rsidR="00315EFF">
              <w:rPr>
                <w:color w:val="000000"/>
                <w:sz w:val="28"/>
                <w:szCs w:val="28"/>
              </w:rPr>
              <w:t xml:space="preserve"> </w:t>
            </w:r>
          </w:p>
          <w:p w:rsidR="00367C78" w:rsidRPr="00D00D75" w:rsidRDefault="00315EFF" w:rsidP="00E73C7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67C78" w:rsidRPr="00D00D75">
              <w:rPr>
                <w:sz w:val="28"/>
                <w:szCs w:val="28"/>
              </w:rPr>
              <w:t xml:space="preserve">rojekta 3.punkts paredz svītrot MK </w:t>
            </w:r>
            <w:r w:rsidR="00367C78" w:rsidRPr="00D00D75">
              <w:rPr>
                <w:sz w:val="28"/>
                <w:szCs w:val="28"/>
              </w:rPr>
              <w:lastRenderedPageBreak/>
              <w:t>noteikumu</w:t>
            </w:r>
            <w:r w:rsidR="00DB4A6D" w:rsidRPr="00D00D75">
              <w:rPr>
                <w:sz w:val="28"/>
                <w:szCs w:val="28"/>
              </w:rPr>
              <w:t xml:space="preserve"> 9.punktā vār</w:t>
            </w:r>
            <w:r w:rsidR="00FC2C22">
              <w:rPr>
                <w:sz w:val="28"/>
                <w:szCs w:val="28"/>
              </w:rPr>
              <w:t>d</w:t>
            </w:r>
            <w:r w:rsidR="00DB4A6D" w:rsidRPr="00D00D75">
              <w:rPr>
                <w:sz w:val="28"/>
                <w:szCs w:val="28"/>
              </w:rPr>
              <w:t>us „valsts vai”</w:t>
            </w:r>
            <w:r w:rsidR="005C5DB7" w:rsidRPr="00D00D75">
              <w:rPr>
                <w:sz w:val="28"/>
                <w:szCs w:val="28"/>
              </w:rPr>
              <w:t>, tādējādi</w:t>
            </w:r>
            <w:proofErr w:type="gramStart"/>
            <w:r w:rsidR="005C5DB7" w:rsidRPr="00D00D75">
              <w:rPr>
                <w:sz w:val="28"/>
                <w:szCs w:val="28"/>
              </w:rPr>
              <w:t xml:space="preserve"> </w:t>
            </w:r>
            <w:r w:rsidR="00840087" w:rsidRPr="00D00D75">
              <w:rPr>
                <w:sz w:val="28"/>
                <w:szCs w:val="28"/>
              </w:rPr>
              <w:t xml:space="preserve"> </w:t>
            </w:r>
            <w:proofErr w:type="gramEnd"/>
            <w:r w:rsidR="00840087" w:rsidRPr="00D00D75">
              <w:rPr>
                <w:sz w:val="28"/>
                <w:szCs w:val="28"/>
              </w:rPr>
              <w:t xml:space="preserve">MK noteikumu 9.punkts </w:t>
            </w:r>
            <w:r w:rsidR="005C5DB7" w:rsidRPr="00D00D75">
              <w:rPr>
                <w:sz w:val="28"/>
                <w:szCs w:val="28"/>
              </w:rPr>
              <w:t xml:space="preserve">nav pretrunā </w:t>
            </w:r>
            <w:r w:rsidR="00840087" w:rsidRPr="00D00D75">
              <w:rPr>
                <w:sz w:val="28"/>
                <w:szCs w:val="28"/>
              </w:rPr>
              <w:t>ar</w:t>
            </w:r>
            <w:r w:rsidR="005C5DB7" w:rsidRPr="00D00D75">
              <w:rPr>
                <w:sz w:val="28"/>
                <w:szCs w:val="28"/>
              </w:rPr>
              <w:t xml:space="preserve"> Ministru kabineta 2012.gada 16.oktobra noteikumiem Nr.709 „Noteikumi par pedagoģiski medicīniskajām komisijām”</w:t>
            </w:r>
            <w:r w:rsidR="004756BD" w:rsidRPr="00D00D75">
              <w:rPr>
                <w:sz w:val="28"/>
                <w:szCs w:val="28"/>
              </w:rPr>
              <w:t>.</w:t>
            </w:r>
          </w:p>
          <w:p w:rsidR="00131610" w:rsidRPr="00D00D75" w:rsidRDefault="00BF1DD3" w:rsidP="00DB4A6D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 </w:t>
            </w:r>
          </w:p>
        </w:tc>
      </w:tr>
      <w:tr w:rsidR="00781A2F" w:rsidRPr="00D00D75" w:rsidTr="001773E6">
        <w:trPr>
          <w:trHeight w:val="476"/>
        </w:trPr>
        <w:tc>
          <w:tcPr>
            <w:tcW w:w="431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11074B" w:rsidRPr="00D00D75" w:rsidRDefault="0011074B" w:rsidP="00D00D75">
            <w:pPr>
              <w:pStyle w:val="naiskr"/>
              <w:spacing w:before="0" w:after="0"/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Valsts izglītības satura centrs</w:t>
            </w:r>
            <w:r w:rsidR="00E73C73" w:rsidRPr="00D00D75">
              <w:rPr>
                <w:sz w:val="28"/>
                <w:szCs w:val="28"/>
              </w:rPr>
              <w:t>,</w:t>
            </w:r>
          </w:p>
          <w:p w:rsidR="00781A2F" w:rsidRPr="00D00D75" w:rsidRDefault="006C4504" w:rsidP="00D00D75">
            <w:pPr>
              <w:pStyle w:val="naiskr"/>
              <w:spacing w:before="0" w:after="0"/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Valsts pedagoģiski medicīniskā komisija</w:t>
            </w:r>
            <w:r w:rsidR="0011074B" w:rsidRPr="00D00D75">
              <w:rPr>
                <w:sz w:val="28"/>
                <w:szCs w:val="28"/>
              </w:rPr>
              <w:t xml:space="preserve"> un pašvaldību pedagoģiski medicīniskās komisijas</w:t>
            </w:r>
            <w:r w:rsidR="00831A2E" w:rsidRPr="00D00D75">
              <w:rPr>
                <w:sz w:val="28"/>
                <w:szCs w:val="28"/>
              </w:rPr>
              <w:t>.</w:t>
            </w:r>
          </w:p>
          <w:p w:rsidR="00F54592" w:rsidRPr="00D00D75" w:rsidRDefault="00F54592" w:rsidP="00B73A70">
            <w:pPr>
              <w:pStyle w:val="naiskr"/>
              <w:spacing w:before="0" w:after="0"/>
              <w:rPr>
                <w:szCs w:val="28"/>
              </w:rPr>
            </w:pPr>
          </w:p>
        </w:tc>
      </w:tr>
      <w:tr w:rsidR="00781A2F" w:rsidRPr="00D00D75" w:rsidTr="001773E6">
        <w:trPr>
          <w:trHeight w:val="889"/>
        </w:trPr>
        <w:tc>
          <w:tcPr>
            <w:tcW w:w="431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781A2F" w:rsidRPr="00D00D75" w:rsidRDefault="00781A2F" w:rsidP="00BF1DD3">
            <w:pPr>
              <w:pStyle w:val="naiskr"/>
              <w:spacing w:before="0" w:after="0"/>
              <w:rPr>
                <w:i/>
                <w:szCs w:val="28"/>
                <w:highlight w:val="yellow"/>
              </w:rPr>
            </w:pPr>
            <w:r w:rsidRPr="00D00D7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4860" w:type="dxa"/>
          </w:tcPr>
          <w:p w:rsidR="00B54507" w:rsidRPr="00D00D75" w:rsidRDefault="00B54507" w:rsidP="007D2051">
            <w:pPr>
              <w:pStyle w:val="naiskr"/>
              <w:spacing w:before="0" w:after="0"/>
              <w:ind w:left="57" w:right="57" w:firstLine="37"/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2012.gada 11.jūnijā ministrijā tika organizēta sanāksme/diskusija par izglītības nodrošināšanu bērniem ar smagiem garīgās attīstības traucējumiem, kurā ministrija informēja, ka tiks veikti grozījumi M</w:t>
            </w:r>
            <w:r w:rsidR="0011074B" w:rsidRPr="00D00D75">
              <w:rPr>
                <w:sz w:val="28"/>
                <w:szCs w:val="28"/>
              </w:rPr>
              <w:t>K</w:t>
            </w:r>
            <w:r w:rsidRPr="00D00D75">
              <w:rPr>
                <w:sz w:val="28"/>
                <w:szCs w:val="28"/>
              </w:rPr>
              <w:t xml:space="preserve"> noteikumos. Sanāksmē/diskusijā piedalījās Labklājības ministrija</w:t>
            </w:r>
            <w:r w:rsidR="00547659" w:rsidRPr="00D00D75">
              <w:rPr>
                <w:sz w:val="28"/>
                <w:szCs w:val="28"/>
              </w:rPr>
              <w:t>s</w:t>
            </w:r>
            <w:r w:rsidRPr="00D00D75">
              <w:rPr>
                <w:sz w:val="28"/>
                <w:szCs w:val="28"/>
              </w:rPr>
              <w:t>, Valsts bērnu tiesību aizsardzības inspekcija</w:t>
            </w:r>
            <w:r w:rsidR="00547659" w:rsidRPr="00D00D75">
              <w:rPr>
                <w:sz w:val="28"/>
                <w:szCs w:val="28"/>
              </w:rPr>
              <w:t>s</w:t>
            </w:r>
            <w:r w:rsidRPr="00D00D75">
              <w:rPr>
                <w:sz w:val="28"/>
                <w:szCs w:val="28"/>
              </w:rPr>
              <w:t>, Valsts izglītības satura centr</w:t>
            </w:r>
            <w:r w:rsidR="00547659" w:rsidRPr="00D00D75">
              <w:rPr>
                <w:sz w:val="28"/>
                <w:szCs w:val="28"/>
              </w:rPr>
              <w:t>a</w:t>
            </w:r>
            <w:r w:rsidRPr="00D00D75">
              <w:rPr>
                <w:sz w:val="28"/>
                <w:szCs w:val="28"/>
              </w:rPr>
              <w:t xml:space="preserve"> un Izglītības kvalitātes valsts dienesta pārstāvji.</w:t>
            </w:r>
            <w:r w:rsidR="007D2051" w:rsidRPr="00D00D75">
              <w:rPr>
                <w:sz w:val="28"/>
                <w:szCs w:val="28"/>
              </w:rPr>
              <w:t xml:space="preserve"> Minētās institūcijas </w:t>
            </w:r>
            <w:r w:rsidR="00E73C73" w:rsidRPr="00D00D75">
              <w:rPr>
                <w:sz w:val="28"/>
                <w:szCs w:val="28"/>
              </w:rPr>
              <w:t xml:space="preserve">konceptuāli </w:t>
            </w:r>
            <w:r w:rsidR="007D2051" w:rsidRPr="00D00D75">
              <w:rPr>
                <w:sz w:val="28"/>
                <w:szCs w:val="28"/>
              </w:rPr>
              <w:t xml:space="preserve">atbalstīja grozījumu veikšanas nepieciešamību MK noteikumos. </w:t>
            </w:r>
          </w:p>
          <w:p w:rsidR="00781A2F" w:rsidRDefault="00B54507" w:rsidP="00D00D75">
            <w:pPr>
              <w:pStyle w:val="naiskr"/>
              <w:spacing w:before="0" w:after="0"/>
              <w:ind w:left="57" w:right="57" w:firstLine="37"/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Sabiedrības informēšanas pasākumi – informācija sniegta novadu un republikas pilsētu izglītības speciālistu seminārā (26.10.2012.), Valsts pedagoģiski medicīniskā komisijas un</w:t>
            </w:r>
            <w:proofErr w:type="gramStart"/>
            <w:r w:rsidRPr="00D00D75">
              <w:rPr>
                <w:sz w:val="28"/>
                <w:szCs w:val="28"/>
              </w:rPr>
              <w:t xml:space="preserve">   </w:t>
            </w:r>
            <w:proofErr w:type="gramEnd"/>
            <w:r w:rsidRPr="00D00D75">
              <w:rPr>
                <w:sz w:val="28"/>
                <w:szCs w:val="28"/>
              </w:rPr>
              <w:t>pašvaldību pedagoģiski medicīniskās komisij</w:t>
            </w:r>
            <w:r w:rsidR="00E73C73" w:rsidRPr="00D00D75">
              <w:rPr>
                <w:sz w:val="28"/>
                <w:szCs w:val="28"/>
              </w:rPr>
              <w:t>u</w:t>
            </w:r>
            <w:r w:rsidRPr="00D00D75">
              <w:rPr>
                <w:sz w:val="28"/>
                <w:szCs w:val="28"/>
              </w:rPr>
              <w:t xml:space="preserve"> darba semināros.</w:t>
            </w:r>
          </w:p>
          <w:p w:rsidR="00F72221" w:rsidRPr="00D00D75" w:rsidRDefault="00F72221" w:rsidP="00D00D75">
            <w:pPr>
              <w:pStyle w:val="naiskr"/>
              <w:spacing w:before="0" w:after="0"/>
              <w:ind w:left="57" w:right="57" w:firstLine="37"/>
              <w:jc w:val="both"/>
              <w:rPr>
                <w:szCs w:val="28"/>
              </w:rPr>
            </w:pPr>
          </w:p>
        </w:tc>
      </w:tr>
      <w:tr w:rsidR="00831A2E" w:rsidRPr="00D00D75" w:rsidTr="001773E6">
        <w:tc>
          <w:tcPr>
            <w:tcW w:w="431" w:type="dxa"/>
          </w:tcPr>
          <w:p w:rsidR="00831A2E" w:rsidRPr="00D00D75" w:rsidRDefault="00831A2E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831A2E" w:rsidRPr="00D00D75" w:rsidRDefault="00831A2E" w:rsidP="00BF1DD3">
            <w:pPr>
              <w:pStyle w:val="naiskr"/>
              <w:spacing w:before="0" w:after="0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B73A70" w:rsidRPr="00D00D75" w:rsidRDefault="00831A2E" w:rsidP="00840087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Projekts šo jomu neskar. </w:t>
            </w:r>
          </w:p>
        </w:tc>
      </w:tr>
    </w:tbl>
    <w:p w:rsidR="00B52A84" w:rsidRPr="00D00D75" w:rsidRDefault="00B52A84" w:rsidP="00781A2F">
      <w:pPr>
        <w:rPr>
          <w:i/>
          <w:sz w:val="28"/>
          <w:szCs w:val="28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4677"/>
      </w:tblGrid>
      <w:tr w:rsidR="00E95609" w:rsidRPr="00D00D75" w:rsidTr="001773E6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09" w:rsidRPr="00D00D75" w:rsidRDefault="00E95609" w:rsidP="00BF1DD3">
            <w:pPr>
              <w:jc w:val="center"/>
              <w:rPr>
                <w:szCs w:val="28"/>
              </w:rPr>
            </w:pPr>
            <w:r w:rsidRPr="00D00D75">
              <w:rPr>
                <w:b/>
                <w:sz w:val="28"/>
                <w:szCs w:val="28"/>
              </w:rPr>
              <w:t>II Tiesību akta projekta ietekme uz sabiedrību</w:t>
            </w:r>
          </w:p>
        </w:tc>
      </w:tr>
      <w:tr w:rsidR="00E95609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09" w:rsidRPr="00D00D75" w:rsidRDefault="00E95609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09" w:rsidRPr="00D00D75" w:rsidRDefault="00E95609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09" w:rsidRDefault="00846239" w:rsidP="00E73C73">
            <w:pPr>
              <w:tabs>
                <w:tab w:val="left" w:pos="522"/>
              </w:tabs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Projekts</w:t>
            </w:r>
            <w:r w:rsidR="00076794" w:rsidRPr="00D00D75">
              <w:rPr>
                <w:sz w:val="28"/>
                <w:szCs w:val="28"/>
              </w:rPr>
              <w:t xml:space="preserve"> a</w:t>
            </w:r>
            <w:r w:rsidR="00E95609" w:rsidRPr="00D00D75">
              <w:rPr>
                <w:sz w:val="28"/>
                <w:szCs w:val="28"/>
              </w:rPr>
              <w:t xml:space="preserve">ttiecas uz </w:t>
            </w:r>
            <w:r w:rsidR="009D250A" w:rsidRPr="00D00D75">
              <w:rPr>
                <w:sz w:val="28"/>
                <w:szCs w:val="28"/>
              </w:rPr>
              <w:t xml:space="preserve">vecākiem un </w:t>
            </w:r>
            <w:r w:rsidR="00E95609" w:rsidRPr="00D00D75">
              <w:rPr>
                <w:sz w:val="28"/>
                <w:szCs w:val="28"/>
              </w:rPr>
              <w:t>izglītojam</w:t>
            </w:r>
            <w:r w:rsidR="00B73A70" w:rsidRPr="00D00D75">
              <w:rPr>
                <w:sz w:val="28"/>
                <w:szCs w:val="28"/>
              </w:rPr>
              <w:t>aj</w:t>
            </w:r>
            <w:r w:rsidR="00E95609" w:rsidRPr="00D00D75">
              <w:rPr>
                <w:sz w:val="28"/>
                <w:szCs w:val="28"/>
              </w:rPr>
              <w:t xml:space="preserve">iem </w:t>
            </w:r>
            <w:r w:rsidR="00076794" w:rsidRPr="00D00D75">
              <w:rPr>
                <w:sz w:val="28"/>
                <w:szCs w:val="28"/>
              </w:rPr>
              <w:t xml:space="preserve">ar smagiem garīgās attīstības traucējumiem vai vairākiem smagiem attīstības traucējumiem, kuru mācības tiek organizētas mājās. </w:t>
            </w:r>
            <w:r w:rsidR="00B73A70" w:rsidRPr="00D00D75">
              <w:rPr>
                <w:sz w:val="28"/>
                <w:szCs w:val="28"/>
              </w:rPr>
              <w:t xml:space="preserve">Saskaņā ar </w:t>
            </w:r>
            <w:r w:rsidR="00076794" w:rsidRPr="00D00D75">
              <w:rPr>
                <w:sz w:val="28"/>
                <w:szCs w:val="28"/>
              </w:rPr>
              <w:t xml:space="preserve">Valsts pedagoģiski </w:t>
            </w:r>
            <w:r w:rsidR="00076794" w:rsidRPr="00D00D75">
              <w:rPr>
                <w:sz w:val="28"/>
                <w:szCs w:val="28"/>
              </w:rPr>
              <w:lastRenderedPageBreak/>
              <w:t xml:space="preserve">medicīniskās komisijas datiem </w:t>
            </w:r>
            <w:r w:rsidR="00215AF2" w:rsidRPr="00D00D75">
              <w:rPr>
                <w:sz w:val="28"/>
                <w:szCs w:val="28"/>
              </w:rPr>
              <w:t>2011</w:t>
            </w:r>
            <w:r w:rsidR="00B73A70" w:rsidRPr="00D00D75">
              <w:rPr>
                <w:sz w:val="28"/>
                <w:szCs w:val="28"/>
              </w:rPr>
              <w:t>.</w:t>
            </w:r>
            <w:r w:rsidR="00215AF2" w:rsidRPr="00D00D75">
              <w:rPr>
                <w:sz w:val="28"/>
                <w:szCs w:val="28"/>
              </w:rPr>
              <w:t xml:space="preserve">/2012.mācību gadā tie ir aptuveni </w:t>
            </w:r>
            <w:r w:rsidR="00076794" w:rsidRPr="00D00D75">
              <w:rPr>
                <w:sz w:val="28"/>
                <w:szCs w:val="28"/>
              </w:rPr>
              <w:t>291 izglītojami</w:t>
            </w:r>
            <w:r w:rsidR="00215AF2" w:rsidRPr="00D00D75">
              <w:rPr>
                <w:sz w:val="28"/>
                <w:szCs w:val="28"/>
              </w:rPr>
              <w:t>e.</w:t>
            </w:r>
            <w:proofErr w:type="gramStart"/>
            <w:r w:rsidR="00215AF2" w:rsidRPr="00D00D75">
              <w:rPr>
                <w:sz w:val="28"/>
                <w:szCs w:val="28"/>
              </w:rPr>
              <w:t xml:space="preserve"> </w:t>
            </w:r>
            <w:r w:rsidR="00076794" w:rsidRPr="00D00D75">
              <w:rPr>
                <w:sz w:val="28"/>
                <w:szCs w:val="28"/>
              </w:rPr>
              <w:t xml:space="preserve"> </w:t>
            </w:r>
            <w:proofErr w:type="gramEnd"/>
          </w:p>
          <w:p w:rsidR="00F72221" w:rsidRPr="00D00D75" w:rsidRDefault="00F72221" w:rsidP="00E73C73">
            <w:pPr>
              <w:tabs>
                <w:tab w:val="left" w:pos="522"/>
              </w:tabs>
              <w:jc w:val="both"/>
              <w:rPr>
                <w:szCs w:val="28"/>
              </w:rPr>
            </w:pPr>
          </w:p>
        </w:tc>
      </w:tr>
      <w:tr w:rsidR="00E95609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09" w:rsidRPr="00D00D75" w:rsidRDefault="00E95609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609" w:rsidRPr="00D00D75" w:rsidRDefault="00E95609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Citas sabiedrības grupas (bez mērķgrupas), kuras tiesiskais regulējuma arī ietekmē vai varētu ietekmēt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09" w:rsidRPr="00D00D75" w:rsidRDefault="00E95609" w:rsidP="00BF1DD3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Projekts šo jomu neskar. </w:t>
            </w:r>
          </w:p>
        </w:tc>
      </w:tr>
      <w:tr w:rsidR="00085A5D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5D" w:rsidRPr="00D00D75" w:rsidRDefault="00085A5D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A5D" w:rsidRPr="00D00D75" w:rsidRDefault="00085A5D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5D" w:rsidRPr="00D00D75" w:rsidRDefault="00085A5D" w:rsidP="00BF1DD3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Projekts šo jomu neskar. </w:t>
            </w:r>
          </w:p>
        </w:tc>
      </w:tr>
      <w:tr w:rsidR="003334A2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iCs/>
                <w:szCs w:val="28"/>
              </w:rPr>
            </w:pPr>
            <w:r w:rsidRPr="00D00D75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2" w:rsidRPr="00D00D75" w:rsidRDefault="003334A2" w:rsidP="00A7111A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Projekts šo jomu neskar. </w:t>
            </w:r>
          </w:p>
        </w:tc>
      </w:tr>
      <w:tr w:rsidR="003334A2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2" w:rsidRDefault="00F40678" w:rsidP="003D2A4D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Tiks samazināta administratīvā procedūra, jo neparedz veikt ik pēc sešiem mēnešiem izglītojamajiem ar smagiem garīgās attīstības traucējumiem vai vairākiem smagiem attīstības traucējumiem atkārtot</w:t>
            </w:r>
            <w:r w:rsidR="003D2A4D" w:rsidRPr="00D00D75">
              <w:rPr>
                <w:sz w:val="28"/>
                <w:szCs w:val="28"/>
              </w:rPr>
              <w:t>u</w:t>
            </w:r>
            <w:r w:rsidRPr="00D00D75">
              <w:rPr>
                <w:sz w:val="28"/>
                <w:szCs w:val="28"/>
              </w:rPr>
              <w:t xml:space="preserve"> veselības pārbaud</w:t>
            </w:r>
            <w:r w:rsidR="003D2A4D" w:rsidRPr="00D00D75">
              <w:rPr>
                <w:sz w:val="28"/>
                <w:szCs w:val="28"/>
              </w:rPr>
              <w:t>i</w:t>
            </w:r>
            <w:r w:rsidRPr="00D00D75">
              <w:rPr>
                <w:sz w:val="28"/>
                <w:szCs w:val="28"/>
              </w:rPr>
              <w:t>, lai nodrošinātu mācības mājās.</w:t>
            </w:r>
          </w:p>
          <w:p w:rsidR="00F72221" w:rsidRPr="00D00D75" w:rsidRDefault="00F72221" w:rsidP="003D2A4D">
            <w:pPr>
              <w:jc w:val="both"/>
              <w:rPr>
                <w:szCs w:val="28"/>
              </w:rPr>
            </w:pPr>
          </w:p>
        </w:tc>
      </w:tr>
      <w:tr w:rsidR="003334A2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Projekts šo jomu neskar.</w:t>
            </w:r>
          </w:p>
        </w:tc>
      </w:tr>
      <w:tr w:rsidR="003334A2" w:rsidRPr="00D00D75" w:rsidTr="001773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2" w:rsidRPr="00D00D75" w:rsidRDefault="003334A2" w:rsidP="00BF1DD3">
            <w:pPr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Cita informācija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2" w:rsidRPr="00D00D75" w:rsidRDefault="003334A2" w:rsidP="00A7111A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Projekts šo jomu neskar.</w:t>
            </w:r>
          </w:p>
        </w:tc>
      </w:tr>
    </w:tbl>
    <w:p w:rsidR="00E95609" w:rsidRPr="00D00D75" w:rsidRDefault="00E95609" w:rsidP="00781A2F">
      <w:pPr>
        <w:rPr>
          <w:sz w:val="28"/>
          <w:szCs w:val="28"/>
        </w:rPr>
      </w:pPr>
    </w:p>
    <w:p w:rsidR="00E95609" w:rsidRPr="00D00D75" w:rsidRDefault="00085A5D" w:rsidP="00781A2F">
      <w:pPr>
        <w:rPr>
          <w:sz w:val="28"/>
          <w:szCs w:val="28"/>
        </w:rPr>
      </w:pPr>
      <w:r w:rsidRPr="00D00D75">
        <w:rPr>
          <w:sz w:val="28"/>
          <w:szCs w:val="28"/>
        </w:rPr>
        <w:t>Anotācijas III</w:t>
      </w:r>
      <w:r w:rsidR="00B54507" w:rsidRPr="00D00D75">
        <w:rPr>
          <w:sz w:val="28"/>
          <w:szCs w:val="28"/>
        </w:rPr>
        <w:t xml:space="preserve">, </w:t>
      </w:r>
      <w:r w:rsidR="0011074B" w:rsidRPr="00D00D75">
        <w:rPr>
          <w:sz w:val="28"/>
          <w:szCs w:val="28"/>
        </w:rPr>
        <w:t>IV,</w:t>
      </w:r>
      <w:r w:rsidRPr="00D00D75">
        <w:rPr>
          <w:sz w:val="28"/>
          <w:szCs w:val="28"/>
        </w:rPr>
        <w:t xml:space="preserve"> </w:t>
      </w:r>
      <w:r w:rsidR="00B54507" w:rsidRPr="00D00D75">
        <w:rPr>
          <w:sz w:val="28"/>
          <w:szCs w:val="28"/>
        </w:rPr>
        <w:t>V, VI sadaļas –</w:t>
      </w:r>
      <w:r w:rsidR="006001C3" w:rsidRPr="00D00D75">
        <w:rPr>
          <w:sz w:val="28"/>
          <w:szCs w:val="28"/>
        </w:rPr>
        <w:t xml:space="preserve"> </w:t>
      </w:r>
      <w:r w:rsidRPr="00D00D75">
        <w:rPr>
          <w:sz w:val="28"/>
          <w:szCs w:val="28"/>
        </w:rPr>
        <w:t>projekts šo jomu neskar.</w:t>
      </w:r>
    </w:p>
    <w:p w:rsidR="00085A5D" w:rsidRPr="00D00D75" w:rsidRDefault="00085A5D" w:rsidP="00781A2F">
      <w:pPr>
        <w:rPr>
          <w:i/>
          <w:sz w:val="28"/>
          <w:szCs w:val="28"/>
        </w:rPr>
      </w:pP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4819"/>
      </w:tblGrid>
      <w:tr w:rsidR="00781A2F" w:rsidRPr="00D00D75" w:rsidTr="00B54507"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781A2F" w:rsidRPr="00D00D75" w:rsidRDefault="00781A2F" w:rsidP="00BF1DD3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781A2F" w:rsidRPr="00D00D75" w:rsidTr="00B54507">
        <w:trPr>
          <w:trHeight w:val="427"/>
        </w:trPr>
        <w:tc>
          <w:tcPr>
            <w:tcW w:w="426" w:type="dxa"/>
          </w:tcPr>
          <w:p w:rsidR="00781A2F" w:rsidRPr="00D00D75" w:rsidRDefault="00781A2F" w:rsidP="00BF1DD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81A2F" w:rsidRPr="00D00D75" w:rsidRDefault="00781A2F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4819" w:type="dxa"/>
          </w:tcPr>
          <w:p w:rsidR="00781A2F" w:rsidRPr="00D00D75" w:rsidRDefault="00CD5BF6" w:rsidP="001310E8">
            <w:pPr>
              <w:pStyle w:val="naisnod"/>
              <w:spacing w:before="0" w:after="0"/>
              <w:ind w:right="57"/>
              <w:jc w:val="both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Valsts pedagoģiski medicīniskā komisija,</w:t>
            </w:r>
            <w:proofErr w:type="gramStart"/>
            <w:r w:rsidRPr="00D00D75">
              <w:rPr>
                <w:b w:val="0"/>
                <w:sz w:val="28"/>
                <w:szCs w:val="28"/>
              </w:rPr>
              <w:t xml:space="preserve">  </w:t>
            </w:r>
            <w:proofErr w:type="gramEnd"/>
            <w:r w:rsidRPr="00D00D75">
              <w:rPr>
                <w:b w:val="0"/>
                <w:sz w:val="28"/>
                <w:szCs w:val="28"/>
              </w:rPr>
              <w:t>pašvaldību pedagoģiski medicīniskās komisijas</w:t>
            </w:r>
            <w:r w:rsidR="00B73A70" w:rsidRPr="00D00D75">
              <w:rPr>
                <w:b w:val="0"/>
                <w:sz w:val="28"/>
                <w:szCs w:val="28"/>
              </w:rPr>
              <w:t>.</w:t>
            </w:r>
          </w:p>
        </w:tc>
      </w:tr>
      <w:tr w:rsidR="00085A5D" w:rsidRPr="00D00D75" w:rsidTr="00B54507">
        <w:trPr>
          <w:trHeight w:val="463"/>
        </w:trPr>
        <w:tc>
          <w:tcPr>
            <w:tcW w:w="426" w:type="dxa"/>
          </w:tcPr>
          <w:p w:rsidR="00085A5D" w:rsidRPr="00D00D75" w:rsidRDefault="00085A5D" w:rsidP="00BF1DD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85A5D" w:rsidRPr="00D00D75" w:rsidRDefault="00085A5D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4819" w:type="dxa"/>
          </w:tcPr>
          <w:p w:rsidR="00085A5D" w:rsidRPr="00D00D75" w:rsidRDefault="00831A2E" w:rsidP="001310E8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Projekts šo jomu neskar.</w:t>
            </w:r>
          </w:p>
        </w:tc>
      </w:tr>
      <w:tr w:rsidR="00085A5D" w:rsidRPr="00D00D75" w:rsidTr="00B54507">
        <w:trPr>
          <w:trHeight w:val="725"/>
        </w:trPr>
        <w:tc>
          <w:tcPr>
            <w:tcW w:w="426" w:type="dxa"/>
          </w:tcPr>
          <w:p w:rsidR="00085A5D" w:rsidRPr="00D00D75" w:rsidRDefault="00085A5D" w:rsidP="00BF1DD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85A5D" w:rsidRPr="00D00D75" w:rsidRDefault="00085A5D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Projekta izpildes ietekme uz pārvaldes institucionālo struktūru.</w:t>
            </w:r>
          </w:p>
          <w:p w:rsidR="00085A5D" w:rsidRPr="00D00D75" w:rsidRDefault="00085A5D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819" w:type="dxa"/>
          </w:tcPr>
          <w:p w:rsidR="00085A5D" w:rsidRPr="00D00D75" w:rsidRDefault="00085A5D" w:rsidP="001310E8">
            <w:pPr>
              <w:pStyle w:val="naisnod"/>
              <w:spacing w:before="0" w:after="0"/>
              <w:ind w:right="57"/>
              <w:jc w:val="both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Normatīvā akta izpilde tiks nodrošināta esošo institūciju ietvaros.</w:t>
            </w:r>
          </w:p>
        </w:tc>
      </w:tr>
      <w:tr w:rsidR="006001C3" w:rsidRPr="00D00D75" w:rsidTr="00B54507">
        <w:trPr>
          <w:trHeight w:val="780"/>
        </w:trPr>
        <w:tc>
          <w:tcPr>
            <w:tcW w:w="426" w:type="dxa"/>
          </w:tcPr>
          <w:p w:rsidR="006001C3" w:rsidRPr="00D00D75" w:rsidRDefault="006001C3" w:rsidP="00BF1DD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001C3" w:rsidRPr="00D00D75" w:rsidRDefault="006001C3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Projekta izpildes ietekme uz pārvaldes institucionālo struktūru.</w:t>
            </w:r>
          </w:p>
          <w:p w:rsidR="006001C3" w:rsidRPr="00D00D75" w:rsidRDefault="006001C3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819" w:type="dxa"/>
          </w:tcPr>
          <w:p w:rsidR="006001C3" w:rsidRPr="00D00D75" w:rsidRDefault="006001C3" w:rsidP="001310E8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Projekts šo jomu neskar. </w:t>
            </w:r>
          </w:p>
        </w:tc>
      </w:tr>
      <w:tr w:rsidR="006001C3" w:rsidRPr="00D00D75" w:rsidTr="00B54507">
        <w:trPr>
          <w:trHeight w:val="703"/>
        </w:trPr>
        <w:tc>
          <w:tcPr>
            <w:tcW w:w="426" w:type="dxa"/>
          </w:tcPr>
          <w:p w:rsidR="006001C3" w:rsidRPr="00D00D75" w:rsidRDefault="006001C3" w:rsidP="00BF1DD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001C3" w:rsidRPr="00D00D75" w:rsidRDefault="006001C3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Projekta izpildes ietekme uz pārvaldes institucionālo struktūru.</w:t>
            </w:r>
          </w:p>
          <w:p w:rsidR="006001C3" w:rsidRPr="00D00D75" w:rsidRDefault="006001C3" w:rsidP="00BF1DD3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lastRenderedPageBreak/>
              <w:t>Esošu institūciju reorganizācija</w:t>
            </w:r>
          </w:p>
        </w:tc>
        <w:tc>
          <w:tcPr>
            <w:tcW w:w="4819" w:type="dxa"/>
          </w:tcPr>
          <w:p w:rsidR="006001C3" w:rsidRDefault="006001C3" w:rsidP="001310E8">
            <w:pPr>
              <w:pStyle w:val="naisnod"/>
              <w:spacing w:before="0" w:after="0"/>
              <w:ind w:right="57"/>
              <w:jc w:val="both"/>
              <w:rPr>
                <w:b w:val="0"/>
                <w:szCs w:val="28"/>
              </w:rPr>
            </w:pPr>
            <w:r w:rsidRPr="00D00D75">
              <w:rPr>
                <w:b w:val="0"/>
                <w:sz w:val="28"/>
                <w:szCs w:val="28"/>
              </w:rPr>
              <w:lastRenderedPageBreak/>
              <w:t xml:space="preserve">Jaunas valsts institūcijas netiks radītas un esošo institūciju funkcijas netiks </w:t>
            </w:r>
            <w:r w:rsidRPr="00D00D75">
              <w:rPr>
                <w:b w:val="0"/>
                <w:sz w:val="28"/>
                <w:szCs w:val="28"/>
              </w:rPr>
              <w:lastRenderedPageBreak/>
              <w:t>paplašinātas.</w:t>
            </w:r>
          </w:p>
          <w:p w:rsidR="00F72221" w:rsidRPr="00D00D75" w:rsidRDefault="00F72221" w:rsidP="001310E8">
            <w:pPr>
              <w:pStyle w:val="naisnod"/>
              <w:spacing w:before="0" w:after="0"/>
              <w:ind w:right="57"/>
              <w:jc w:val="both"/>
              <w:rPr>
                <w:b w:val="0"/>
                <w:szCs w:val="28"/>
              </w:rPr>
            </w:pPr>
          </w:p>
        </w:tc>
      </w:tr>
      <w:tr w:rsidR="006001C3" w:rsidRPr="00D00D75" w:rsidTr="00B54507">
        <w:trPr>
          <w:trHeight w:val="476"/>
        </w:trPr>
        <w:tc>
          <w:tcPr>
            <w:tcW w:w="426" w:type="dxa"/>
          </w:tcPr>
          <w:p w:rsidR="006001C3" w:rsidRPr="00D00D75" w:rsidRDefault="006001C3" w:rsidP="00BF1DD3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6001C3" w:rsidRPr="00D00D75" w:rsidRDefault="006001C3" w:rsidP="00BF1DD3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>Cita informācija</w:t>
            </w:r>
          </w:p>
        </w:tc>
        <w:tc>
          <w:tcPr>
            <w:tcW w:w="4819" w:type="dxa"/>
          </w:tcPr>
          <w:p w:rsidR="006001C3" w:rsidRPr="00D00D75" w:rsidRDefault="006001C3" w:rsidP="001310E8">
            <w:pPr>
              <w:jc w:val="both"/>
              <w:rPr>
                <w:szCs w:val="28"/>
              </w:rPr>
            </w:pPr>
            <w:r w:rsidRPr="00D00D75">
              <w:rPr>
                <w:sz w:val="28"/>
                <w:szCs w:val="28"/>
              </w:rPr>
              <w:t xml:space="preserve">Projekts šo jomu neskar. </w:t>
            </w:r>
          </w:p>
        </w:tc>
      </w:tr>
    </w:tbl>
    <w:p w:rsidR="006A38E0" w:rsidRPr="00D00D75" w:rsidRDefault="006A38E0" w:rsidP="00781A2F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781A2F" w:rsidRPr="00D00D75" w:rsidRDefault="00781A2F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8A1E40" w:rsidRDefault="008A1E40" w:rsidP="008A1E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Labklājības ministre, </w:t>
      </w:r>
    </w:p>
    <w:p w:rsidR="008A1E40" w:rsidRDefault="008A1E40" w:rsidP="008A1E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8A1E40" w:rsidRDefault="008A1E40" w:rsidP="008A1E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 w:rsidRPr="00CC7329" w:rsidDel="00DC17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8A1E40" w:rsidRDefault="008A1E40" w:rsidP="008A1E40">
      <w:pPr>
        <w:ind w:firstLine="720"/>
        <w:rPr>
          <w:sz w:val="28"/>
          <w:szCs w:val="28"/>
        </w:rPr>
      </w:pPr>
    </w:p>
    <w:p w:rsidR="008A1E40" w:rsidRDefault="008A1E40" w:rsidP="008A1E40">
      <w:pPr>
        <w:ind w:firstLine="720"/>
        <w:rPr>
          <w:sz w:val="28"/>
          <w:szCs w:val="28"/>
        </w:rPr>
      </w:pPr>
    </w:p>
    <w:p w:rsidR="008A1E40" w:rsidRDefault="008A1E40" w:rsidP="008A1E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8A1E40" w:rsidRDefault="008A1E40" w:rsidP="008A1E40">
      <w:pPr>
        <w:ind w:left="426" w:firstLine="294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Valsts sekretāra vietniece – </w:t>
      </w:r>
    </w:p>
    <w:p w:rsidR="008A1E40" w:rsidRDefault="008A1E40" w:rsidP="008A1E40">
      <w:pPr>
        <w:ind w:left="426" w:firstLine="294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Struktūrfondu un starptautisko</w:t>
      </w:r>
    </w:p>
    <w:p w:rsidR="008A1E40" w:rsidRDefault="008A1E40" w:rsidP="008A1E40">
      <w:pPr>
        <w:ind w:left="426" w:firstLine="294"/>
        <w:rPr>
          <w:sz w:val="28"/>
          <w:szCs w:val="28"/>
        </w:rPr>
      </w:pPr>
      <w:r>
        <w:rPr>
          <w:bCs/>
          <w:kern w:val="2"/>
          <w:sz w:val="28"/>
          <w:szCs w:val="28"/>
        </w:rPr>
        <w:t>finanšu instrumentu departamenta direktore</w:t>
      </w:r>
      <w:r>
        <w:rPr>
          <w:sz w:val="28"/>
          <w:szCs w:val="28"/>
        </w:rPr>
        <w:t>,</w:t>
      </w:r>
    </w:p>
    <w:p w:rsidR="008A1E40" w:rsidRDefault="008A1E40" w:rsidP="008A1E40">
      <w:pPr>
        <w:ind w:left="426" w:firstLine="294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valsts sekretāra pienākumu izpildītāja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L.Sīka</w:t>
      </w:r>
    </w:p>
    <w:p w:rsidR="008A1E40" w:rsidRDefault="008A1E40" w:rsidP="008A1E40">
      <w:pPr>
        <w:ind w:left="426"/>
      </w:pPr>
    </w:p>
    <w:p w:rsidR="006001C3" w:rsidRPr="00FB5708" w:rsidRDefault="006001C3" w:rsidP="00781A2F">
      <w:pPr>
        <w:contextualSpacing/>
      </w:pPr>
      <w:bookmarkStart w:id="5" w:name="str06"/>
      <w:bookmarkEnd w:id="5"/>
    </w:p>
    <w:p w:rsidR="00781A2F" w:rsidRPr="00FB5708" w:rsidRDefault="008A1E40" w:rsidP="00862C8A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04.03</w:t>
      </w:r>
      <w:r w:rsidR="00431DA0" w:rsidRPr="00FB5708">
        <w:rPr>
          <w:sz w:val="20"/>
          <w:szCs w:val="20"/>
        </w:rPr>
        <w:t>.201</w:t>
      </w:r>
      <w:r w:rsidR="00574979">
        <w:rPr>
          <w:sz w:val="20"/>
          <w:szCs w:val="20"/>
        </w:rPr>
        <w:t>3</w:t>
      </w:r>
    </w:p>
    <w:p w:rsidR="008A1E40" w:rsidRDefault="008A1E40" w:rsidP="00862C8A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959</w:t>
      </w:r>
      <w:bookmarkStart w:id="6" w:name="OLE_LINK5"/>
      <w:bookmarkStart w:id="7" w:name="OLE_LINK6"/>
    </w:p>
    <w:p w:rsidR="00781A2F" w:rsidRPr="00FB5708" w:rsidRDefault="0015043E" w:rsidP="00862C8A">
      <w:pPr>
        <w:ind w:left="709"/>
        <w:contextualSpacing/>
        <w:rPr>
          <w:sz w:val="20"/>
          <w:szCs w:val="20"/>
        </w:rPr>
      </w:pPr>
      <w:proofErr w:type="spellStart"/>
      <w:r w:rsidRPr="00FB5708">
        <w:rPr>
          <w:sz w:val="20"/>
          <w:szCs w:val="20"/>
        </w:rPr>
        <w:t>Dz.Mergupe-Kutraite</w:t>
      </w:r>
      <w:proofErr w:type="spellEnd"/>
    </w:p>
    <w:p w:rsidR="00781A2F" w:rsidRPr="002F5107" w:rsidRDefault="00781A2F" w:rsidP="00862C8A">
      <w:pPr>
        <w:ind w:left="709"/>
        <w:contextualSpacing/>
        <w:rPr>
          <w:sz w:val="20"/>
          <w:szCs w:val="20"/>
        </w:rPr>
      </w:pPr>
      <w:r w:rsidRPr="00FB5708">
        <w:rPr>
          <w:sz w:val="20"/>
          <w:szCs w:val="20"/>
        </w:rPr>
        <w:t>67047</w:t>
      </w:r>
      <w:r w:rsidR="0015043E" w:rsidRPr="00FB5708">
        <w:rPr>
          <w:sz w:val="20"/>
          <w:szCs w:val="20"/>
        </w:rPr>
        <w:t>817</w:t>
      </w:r>
      <w:r w:rsidRPr="00FB5708">
        <w:rPr>
          <w:sz w:val="20"/>
          <w:szCs w:val="20"/>
        </w:rPr>
        <w:t xml:space="preserve">, </w:t>
      </w:r>
      <w:r w:rsidR="0015043E" w:rsidRPr="00FB5708">
        <w:rPr>
          <w:sz w:val="20"/>
          <w:szCs w:val="20"/>
        </w:rPr>
        <w:t>dzintra.mergupe</w:t>
      </w:r>
      <w:r w:rsidR="0015043E">
        <w:rPr>
          <w:sz w:val="20"/>
          <w:szCs w:val="20"/>
        </w:rPr>
        <w:t>@izm.gov.lv</w:t>
      </w:r>
      <w:bookmarkEnd w:id="6"/>
      <w:bookmarkEnd w:id="7"/>
    </w:p>
    <w:sectPr w:rsidR="00781A2F" w:rsidRPr="002F5107" w:rsidSect="001A29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2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09" w:rsidRDefault="00077E09" w:rsidP="00781A2F">
      <w:r>
        <w:separator/>
      </w:r>
    </w:p>
  </w:endnote>
  <w:endnote w:type="continuationSeparator" w:id="0">
    <w:p w:rsidR="00077E09" w:rsidRDefault="00077E09" w:rsidP="007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40" w:rsidRDefault="008A1E40" w:rsidP="008A1E40">
    <w:pPr>
      <w:pStyle w:val="Footer"/>
      <w:jc w:val="both"/>
    </w:pPr>
    <w:r>
      <w:rPr>
        <w:sz w:val="20"/>
        <w:szCs w:val="20"/>
      </w:rPr>
      <w:t>IZMAnot_040313_</w:t>
    </w:r>
    <w:r w:rsidRPr="00436DE0">
      <w:rPr>
        <w:sz w:val="20"/>
        <w:szCs w:val="20"/>
      </w:rPr>
      <w:t>ilg</w:t>
    </w:r>
    <w:r>
      <w:rPr>
        <w:sz w:val="20"/>
        <w:szCs w:val="20"/>
      </w:rPr>
      <w:t>st</w:t>
    </w:r>
    <w:r w:rsidRPr="00436DE0">
      <w:rPr>
        <w:sz w:val="20"/>
        <w:szCs w:val="20"/>
      </w:rPr>
      <w:t xml:space="preserve">; </w:t>
    </w:r>
    <w:r w:rsidRPr="00E676EF">
      <w:rPr>
        <w:sz w:val="20"/>
        <w:szCs w:val="20"/>
      </w:rPr>
      <w:t xml:space="preserve">Ministru kabineta </w:t>
    </w:r>
    <w:r>
      <w:rPr>
        <w:sz w:val="20"/>
        <w:szCs w:val="20"/>
      </w:rPr>
      <w:t xml:space="preserve">noteikumu projekta „Grozījumi Ministru kabineta </w:t>
    </w:r>
    <w:r w:rsidRPr="00E676EF">
      <w:rPr>
        <w:sz w:val="20"/>
        <w:szCs w:val="20"/>
      </w:rPr>
      <w:t xml:space="preserve">2006.gada 4.aprīļa noteikumos Nr.253 </w:t>
    </w:r>
    <w:r>
      <w:rPr>
        <w:sz w:val="20"/>
        <w:szCs w:val="20"/>
      </w:rPr>
      <w:t>„</w:t>
    </w:r>
    <w:hyperlink r:id="rId1" w:tgtFrame="_blank" w:tooltip="Kārtība, kādā organizējama ilgstoši slimojošu izglītojamo izglītošanās ārpus izglītības iestādes /Spēkā esošs/" w:history="1">
      <w:r w:rsidRPr="00E676EF">
        <w:rPr>
          <w:sz w:val="20"/>
          <w:szCs w:val="20"/>
        </w:rPr>
        <w:t>Kārtība, kādā organizējama ilgstoši slimojošu izglītojamo izglītošanās ārpus izglītības iestādes</w:t>
      </w:r>
    </w:hyperlink>
    <w:r w:rsidRPr="00E676EF">
      <w:rPr>
        <w:sz w:val="20"/>
        <w:szCs w:val="20"/>
      </w:rPr>
      <w:t>”</w:t>
    </w:r>
    <w:r>
      <w:rPr>
        <w:sz w:val="20"/>
        <w:szCs w:val="20"/>
      </w:rPr>
      <w:t xml:space="preserve">” </w:t>
    </w:r>
    <w:r w:rsidRPr="00727AD8">
      <w:rPr>
        <w:sz w:val="20"/>
        <w:szCs w:val="20"/>
      </w:rPr>
      <w:t>sākotnējās ietekmes novērtējuma ziņojums (anotācija)</w:t>
    </w:r>
  </w:p>
  <w:p w:rsidR="005C5DB7" w:rsidRPr="00441123" w:rsidRDefault="005C5DB7" w:rsidP="00441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B7" w:rsidRDefault="005C5DB7" w:rsidP="00441123">
    <w:pPr>
      <w:pStyle w:val="Footer"/>
      <w:jc w:val="both"/>
    </w:pPr>
    <w:r>
      <w:rPr>
        <w:sz w:val="20"/>
        <w:szCs w:val="20"/>
      </w:rPr>
      <w:t>IZMAnot_</w:t>
    </w:r>
    <w:r w:rsidR="008A1E40">
      <w:rPr>
        <w:sz w:val="20"/>
        <w:szCs w:val="20"/>
      </w:rPr>
      <w:t>0403</w:t>
    </w:r>
    <w:r>
      <w:rPr>
        <w:sz w:val="20"/>
        <w:szCs w:val="20"/>
      </w:rPr>
      <w:t>13_</w:t>
    </w:r>
    <w:r w:rsidRPr="00436DE0">
      <w:rPr>
        <w:sz w:val="20"/>
        <w:szCs w:val="20"/>
      </w:rPr>
      <w:t>ilg</w:t>
    </w:r>
    <w:r>
      <w:rPr>
        <w:sz w:val="20"/>
        <w:szCs w:val="20"/>
      </w:rPr>
      <w:t>st</w:t>
    </w:r>
    <w:r w:rsidRPr="00436DE0">
      <w:rPr>
        <w:sz w:val="20"/>
        <w:szCs w:val="20"/>
      </w:rPr>
      <w:t xml:space="preserve">; </w:t>
    </w:r>
    <w:r w:rsidRPr="00E676EF">
      <w:rPr>
        <w:sz w:val="20"/>
        <w:szCs w:val="20"/>
      </w:rPr>
      <w:t xml:space="preserve">Ministru kabineta </w:t>
    </w:r>
    <w:r>
      <w:rPr>
        <w:sz w:val="20"/>
        <w:szCs w:val="20"/>
      </w:rPr>
      <w:t xml:space="preserve">noteikumu projekta „Grozījumi Ministru kabineta </w:t>
    </w:r>
    <w:r w:rsidRPr="00E676EF">
      <w:rPr>
        <w:sz w:val="20"/>
        <w:szCs w:val="20"/>
      </w:rPr>
      <w:t xml:space="preserve">2006.gada 4.aprīļa noteikumos Nr.253 </w:t>
    </w:r>
    <w:r>
      <w:rPr>
        <w:sz w:val="20"/>
        <w:szCs w:val="20"/>
      </w:rPr>
      <w:t>„</w:t>
    </w:r>
    <w:hyperlink r:id="rId1" w:tgtFrame="_blank" w:tooltip="Kārtība, kādā organizējama ilgstoši slimojošu izglītojamo izglītošanās ārpus izglītības iestādes /Spēkā esošs/" w:history="1">
      <w:r w:rsidRPr="00E676EF">
        <w:rPr>
          <w:sz w:val="20"/>
          <w:szCs w:val="20"/>
        </w:rPr>
        <w:t>Kārtība, kādā organizējama ilgstoši slimojošu izglītojamo izglītošanās ārpus izglītības iestādes</w:t>
      </w:r>
    </w:hyperlink>
    <w:r w:rsidRPr="00E676EF">
      <w:rPr>
        <w:sz w:val="20"/>
        <w:szCs w:val="20"/>
      </w:rPr>
      <w:t>”</w:t>
    </w:r>
    <w:r>
      <w:rPr>
        <w:sz w:val="20"/>
        <w:szCs w:val="20"/>
      </w:rPr>
      <w:t xml:space="preserve">” </w:t>
    </w:r>
    <w:r w:rsidRPr="00727AD8">
      <w:rPr>
        <w:sz w:val="20"/>
        <w:szCs w:val="20"/>
      </w:rPr>
      <w:t>sākotnējās ietekmes novērtējuma ziņojums (anotācija)</w:t>
    </w:r>
  </w:p>
  <w:p w:rsidR="005C5DB7" w:rsidRPr="001310E8" w:rsidRDefault="005C5DB7" w:rsidP="00131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09" w:rsidRDefault="00077E09" w:rsidP="00781A2F">
      <w:r>
        <w:separator/>
      </w:r>
    </w:p>
  </w:footnote>
  <w:footnote w:type="continuationSeparator" w:id="0">
    <w:p w:rsidR="00077E09" w:rsidRDefault="00077E09" w:rsidP="0078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736"/>
      <w:docPartObj>
        <w:docPartGallery w:val="Page Numbers (Top of Page)"/>
      </w:docPartObj>
    </w:sdtPr>
    <w:sdtEndPr/>
    <w:sdtContent>
      <w:p w:rsidR="005C5DB7" w:rsidRDefault="00077E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B7" w:rsidRDefault="005C5DB7">
    <w:pPr>
      <w:pStyle w:val="Header"/>
      <w:jc w:val="center"/>
    </w:pPr>
  </w:p>
  <w:p w:rsidR="005C5DB7" w:rsidRDefault="005C5DB7" w:rsidP="0091367C">
    <w:pPr>
      <w:pStyle w:val="Header"/>
      <w:tabs>
        <w:tab w:val="clear" w:pos="4153"/>
        <w:tab w:val="clear" w:pos="8306"/>
        <w:tab w:val="left" w:pos="56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EB6"/>
    <w:multiLevelType w:val="hybridMultilevel"/>
    <w:tmpl w:val="6F06A2A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CDD"/>
    <w:multiLevelType w:val="hybridMultilevel"/>
    <w:tmpl w:val="3C7E19EE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37405CEA"/>
    <w:multiLevelType w:val="hybridMultilevel"/>
    <w:tmpl w:val="75862396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3DD1FA2"/>
    <w:multiLevelType w:val="hybridMultilevel"/>
    <w:tmpl w:val="934A0EA2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A2F"/>
    <w:rsid w:val="00004D92"/>
    <w:rsid w:val="000132C4"/>
    <w:rsid w:val="00020D7B"/>
    <w:rsid w:val="000513FD"/>
    <w:rsid w:val="00051D98"/>
    <w:rsid w:val="0005477D"/>
    <w:rsid w:val="000713CE"/>
    <w:rsid w:val="00076794"/>
    <w:rsid w:val="00077E09"/>
    <w:rsid w:val="00085A5D"/>
    <w:rsid w:val="00086ADA"/>
    <w:rsid w:val="000A763D"/>
    <w:rsid w:val="000B227F"/>
    <w:rsid w:val="000B66D5"/>
    <w:rsid w:val="000B6C32"/>
    <w:rsid w:val="000D5AD9"/>
    <w:rsid w:val="000E53AF"/>
    <w:rsid w:val="00104C34"/>
    <w:rsid w:val="0011074B"/>
    <w:rsid w:val="0011331E"/>
    <w:rsid w:val="00123055"/>
    <w:rsid w:val="0012669B"/>
    <w:rsid w:val="001310E8"/>
    <w:rsid w:val="00131610"/>
    <w:rsid w:val="001436A6"/>
    <w:rsid w:val="00145670"/>
    <w:rsid w:val="0015043E"/>
    <w:rsid w:val="00170B7F"/>
    <w:rsid w:val="001773E6"/>
    <w:rsid w:val="001775DA"/>
    <w:rsid w:val="00180B1E"/>
    <w:rsid w:val="001A2023"/>
    <w:rsid w:val="001A299D"/>
    <w:rsid w:val="001A3075"/>
    <w:rsid w:val="001B3546"/>
    <w:rsid w:val="001D07B7"/>
    <w:rsid w:val="001E27DF"/>
    <w:rsid w:val="001F43C1"/>
    <w:rsid w:val="001F5E10"/>
    <w:rsid w:val="00211D06"/>
    <w:rsid w:val="00213603"/>
    <w:rsid w:val="00215AF2"/>
    <w:rsid w:val="00221311"/>
    <w:rsid w:val="002316BF"/>
    <w:rsid w:val="00246D38"/>
    <w:rsid w:val="0026620F"/>
    <w:rsid w:val="00266884"/>
    <w:rsid w:val="00286EF4"/>
    <w:rsid w:val="0028702F"/>
    <w:rsid w:val="0029225C"/>
    <w:rsid w:val="002A4710"/>
    <w:rsid w:val="002B613F"/>
    <w:rsid w:val="002C2B10"/>
    <w:rsid w:val="002F599D"/>
    <w:rsid w:val="00300738"/>
    <w:rsid w:val="003053E5"/>
    <w:rsid w:val="00310763"/>
    <w:rsid w:val="00313715"/>
    <w:rsid w:val="00315EFF"/>
    <w:rsid w:val="0032330E"/>
    <w:rsid w:val="003334A2"/>
    <w:rsid w:val="00337935"/>
    <w:rsid w:val="00347FBE"/>
    <w:rsid w:val="00351565"/>
    <w:rsid w:val="00353586"/>
    <w:rsid w:val="003626E7"/>
    <w:rsid w:val="00363D5D"/>
    <w:rsid w:val="00367C78"/>
    <w:rsid w:val="00371321"/>
    <w:rsid w:val="0038042B"/>
    <w:rsid w:val="003835CB"/>
    <w:rsid w:val="00383AAA"/>
    <w:rsid w:val="003872F4"/>
    <w:rsid w:val="00390642"/>
    <w:rsid w:val="0039218B"/>
    <w:rsid w:val="003A6B31"/>
    <w:rsid w:val="003B355F"/>
    <w:rsid w:val="003B7045"/>
    <w:rsid w:val="003C196F"/>
    <w:rsid w:val="003D2A4D"/>
    <w:rsid w:val="003D4E98"/>
    <w:rsid w:val="003D75CA"/>
    <w:rsid w:val="003E4268"/>
    <w:rsid w:val="003E6DF3"/>
    <w:rsid w:val="003E77D4"/>
    <w:rsid w:val="00405845"/>
    <w:rsid w:val="004062E6"/>
    <w:rsid w:val="004100C8"/>
    <w:rsid w:val="00413385"/>
    <w:rsid w:val="0041575C"/>
    <w:rsid w:val="00421A51"/>
    <w:rsid w:val="004251A9"/>
    <w:rsid w:val="004310AD"/>
    <w:rsid w:val="00431DA0"/>
    <w:rsid w:val="004374E6"/>
    <w:rsid w:val="004379BA"/>
    <w:rsid w:val="00441123"/>
    <w:rsid w:val="00441189"/>
    <w:rsid w:val="004603D3"/>
    <w:rsid w:val="00462B27"/>
    <w:rsid w:val="004756BD"/>
    <w:rsid w:val="00487D4A"/>
    <w:rsid w:val="00494E16"/>
    <w:rsid w:val="004A0A9A"/>
    <w:rsid w:val="004A6F99"/>
    <w:rsid w:val="004B0E9C"/>
    <w:rsid w:val="004C6E2C"/>
    <w:rsid w:val="004D36A5"/>
    <w:rsid w:val="004D5387"/>
    <w:rsid w:val="004D70F5"/>
    <w:rsid w:val="004E13B0"/>
    <w:rsid w:val="004F6C1A"/>
    <w:rsid w:val="00540DA6"/>
    <w:rsid w:val="00547659"/>
    <w:rsid w:val="00553826"/>
    <w:rsid w:val="00556ABD"/>
    <w:rsid w:val="00574979"/>
    <w:rsid w:val="00581B8D"/>
    <w:rsid w:val="005C5DB7"/>
    <w:rsid w:val="005D04CB"/>
    <w:rsid w:val="005D6C27"/>
    <w:rsid w:val="005E2C90"/>
    <w:rsid w:val="005F4603"/>
    <w:rsid w:val="005F66D4"/>
    <w:rsid w:val="006001C3"/>
    <w:rsid w:val="00610307"/>
    <w:rsid w:val="0061078F"/>
    <w:rsid w:val="00615E39"/>
    <w:rsid w:val="00617BC4"/>
    <w:rsid w:val="006263F0"/>
    <w:rsid w:val="00637480"/>
    <w:rsid w:val="00654E51"/>
    <w:rsid w:val="0066102E"/>
    <w:rsid w:val="00663882"/>
    <w:rsid w:val="00683E34"/>
    <w:rsid w:val="006A2567"/>
    <w:rsid w:val="006A38E0"/>
    <w:rsid w:val="006A7CD1"/>
    <w:rsid w:val="006A7F8F"/>
    <w:rsid w:val="006C081A"/>
    <w:rsid w:val="006C4504"/>
    <w:rsid w:val="006D0B43"/>
    <w:rsid w:val="006E2E8E"/>
    <w:rsid w:val="006E4A07"/>
    <w:rsid w:val="006E67FC"/>
    <w:rsid w:val="006F12D7"/>
    <w:rsid w:val="00713A0E"/>
    <w:rsid w:val="0071542A"/>
    <w:rsid w:val="007444DE"/>
    <w:rsid w:val="0075335E"/>
    <w:rsid w:val="007701D7"/>
    <w:rsid w:val="00774A0F"/>
    <w:rsid w:val="00781A2F"/>
    <w:rsid w:val="007870BD"/>
    <w:rsid w:val="007A3EB6"/>
    <w:rsid w:val="007A4BF7"/>
    <w:rsid w:val="007A5AAE"/>
    <w:rsid w:val="007A7439"/>
    <w:rsid w:val="007C2584"/>
    <w:rsid w:val="007C33A6"/>
    <w:rsid w:val="007C73A0"/>
    <w:rsid w:val="007D1CFE"/>
    <w:rsid w:val="007D2051"/>
    <w:rsid w:val="007E3625"/>
    <w:rsid w:val="007F321A"/>
    <w:rsid w:val="00806029"/>
    <w:rsid w:val="00811AAB"/>
    <w:rsid w:val="00816D09"/>
    <w:rsid w:val="008236F5"/>
    <w:rsid w:val="00831A2E"/>
    <w:rsid w:val="0083313D"/>
    <w:rsid w:val="00840087"/>
    <w:rsid w:val="00846239"/>
    <w:rsid w:val="00850627"/>
    <w:rsid w:val="00852C38"/>
    <w:rsid w:val="0085627C"/>
    <w:rsid w:val="00862C8A"/>
    <w:rsid w:val="00870551"/>
    <w:rsid w:val="0087480E"/>
    <w:rsid w:val="00875578"/>
    <w:rsid w:val="008A1E40"/>
    <w:rsid w:val="008B1F5D"/>
    <w:rsid w:val="008B4DCB"/>
    <w:rsid w:val="008C07D2"/>
    <w:rsid w:val="008C317D"/>
    <w:rsid w:val="008D29E4"/>
    <w:rsid w:val="008F023D"/>
    <w:rsid w:val="00903075"/>
    <w:rsid w:val="0091367C"/>
    <w:rsid w:val="00916B76"/>
    <w:rsid w:val="00927BD8"/>
    <w:rsid w:val="00934616"/>
    <w:rsid w:val="00935759"/>
    <w:rsid w:val="009514A5"/>
    <w:rsid w:val="00972016"/>
    <w:rsid w:val="0099156B"/>
    <w:rsid w:val="0099562A"/>
    <w:rsid w:val="009A3F94"/>
    <w:rsid w:val="009D250A"/>
    <w:rsid w:val="009D7FD1"/>
    <w:rsid w:val="009F2AD7"/>
    <w:rsid w:val="009F47CB"/>
    <w:rsid w:val="009F7BF8"/>
    <w:rsid w:val="00A16A9C"/>
    <w:rsid w:val="00A24570"/>
    <w:rsid w:val="00A25176"/>
    <w:rsid w:val="00A30A19"/>
    <w:rsid w:val="00A46A10"/>
    <w:rsid w:val="00A56C09"/>
    <w:rsid w:val="00A65D1E"/>
    <w:rsid w:val="00A7111A"/>
    <w:rsid w:val="00A71E54"/>
    <w:rsid w:val="00A75B77"/>
    <w:rsid w:val="00A9483C"/>
    <w:rsid w:val="00AA1A2D"/>
    <w:rsid w:val="00AA44A0"/>
    <w:rsid w:val="00AA4591"/>
    <w:rsid w:val="00AC731C"/>
    <w:rsid w:val="00AD23EA"/>
    <w:rsid w:val="00AD384E"/>
    <w:rsid w:val="00AF34DF"/>
    <w:rsid w:val="00B0105D"/>
    <w:rsid w:val="00B062BB"/>
    <w:rsid w:val="00B10189"/>
    <w:rsid w:val="00B1069C"/>
    <w:rsid w:val="00B15F09"/>
    <w:rsid w:val="00B31C34"/>
    <w:rsid w:val="00B47579"/>
    <w:rsid w:val="00B52A84"/>
    <w:rsid w:val="00B54507"/>
    <w:rsid w:val="00B63981"/>
    <w:rsid w:val="00B64AA0"/>
    <w:rsid w:val="00B73065"/>
    <w:rsid w:val="00B73A70"/>
    <w:rsid w:val="00B81836"/>
    <w:rsid w:val="00B96ED6"/>
    <w:rsid w:val="00BA1AED"/>
    <w:rsid w:val="00BA3567"/>
    <w:rsid w:val="00BA3D69"/>
    <w:rsid w:val="00BB348B"/>
    <w:rsid w:val="00BD5791"/>
    <w:rsid w:val="00BE00B1"/>
    <w:rsid w:val="00BE319F"/>
    <w:rsid w:val="00BF1DD3"/>
    <w:rsid w:val="00C13714"/>
    <w:rsid w:val="00C472E1"/>
    <w:rsid w:val="00C81C03"/>
    <w:rsid w:val="00CA3AD6"/>
    <w:rsid w:val="00CA62DF"/>
    <w:rsid w:val="00CD5BF6"/>
    <w:rsid w:val="00CF3160"/>
    <w:rsid w:val="00D00D75"/>
    <w:rsid w:val="00D04E1C"/>
    <w:rsid w:val="00D4718C"/>
    <w:rsid w:val="00D55B72"/>
    <w:rsid w:val="00D73918"/>
    <w:rsid w:val="00D9060E"/>
    <w:rsid w:val="00D93236"/>
    <w:rsid w:val="00D950D3"/>
    <w:rsid w:val="00D97D4A"/>
    <w:rsid w:val="00D97D68"/>
    <w:rsid w:val="00DA1504"/>
    <w:rsid w:val="00DB4A6D"/>
    <w:rsid w:val="00DE411D"/>
    <w:rsid w:val="00DF1B37"/>
    <w:rsid w:val="00DF3572"/>
    <w:rsid w:val="00E00080"/>
    <w:rsid w:val="00E04402"/>
    <w:rsid w:val="00E063F8"/>
    <w:rsid w:val="00E06A6A"/>
    <w:rsid w:val="00E249EA"/>
    <w:rsid w:val="00E4682D"/>
    <w:rsid w:val="00E73C73"/>
    <w:rsid w:val="00E87E95"/>
    <w:rsid w:val="00E90D2C"/>
    <w:rsid w:val="00E95609"/>
    <w:rsid w:val="00E958AB"/>
    <w:rsid w:val="00EA2ACA"/>
    <w:rsid w:val="00EB0101"/>
    <w:rsid w:val="00EE5597"/>
    <w:rsid w:val="00EE5CE8"/>
    <w:rsid w:val="00EF34B0"/>
    <w:rsid w:val="00EF428E"/>
    <w:rsid w:val="00EF6ED6"/>
    <w:rsid w:val="00F055D3"/>
    <w:rsid w:val="00F07E1F"/>
    <w:rsid w:val="00F15F29"/>
    <w:rsid w:val="00F15FEE"/>
    <w:rsid w:val="00F200A8"/>
    <w:rsid w:val="00F23BF9"/>
    <w:rsid w:val="00F26178"/>
    <w:rsid w:val="00F262AC"/>
    <w:rsid w:val="00F31284"/>
    <w:rsid w:val="00F40678"/>
    <w:rsid w:val="00F409D8"/>
    <w:rsid w:val="00F513B6"/>
    <w:rsid w:val="00F54592"/>
    <w:rsid w:val="00F54C65"/>
    <w:rsid w:val="00F61E85"/>
    <w:rsid w:val="00F62876"/>
    <w:rsid w:val="00F70FF6"/>
    <w:rsid w:val="00F72221"/>
    <w:rsid w:val="00F739BD"/>
    <w:rsid w:val="00F75D5C"/>
    <w:rsid w:val="00F812E4"/>
    <w:rsid w:val="00F869C8"/>
    <w:rsid w:val="00FA7381"/>
    <w:rsid w:val="00FB0E32"/>
    <w:rsid w:val="00FB5708"/>
    <w:rsid w:val="00FC2C22"/>
    <w:rsid w:val="00FC3806"/>
    <w:rsid w:val="00FC58C4"/>
    <w:rsid w:val="00FC6B78"/>
    <w:rsid w:val="00FD56CD"/>
    <w:rsid w:val="00FE081A"/>
    <w:rsid w:val="00FE6F8B"/>
    <w:rsid w:val="00FF1599"/>
    <w:rsid w:val="00FF3654"/>
    <w:rsid w:val="00FF54AD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81A2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81A2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781A2F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781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A2F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81A2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81A2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81A2F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781A2F"/>
    <w:pPr>
      <w:spacing w:after="200" w:line="276" w:lineRule="auto"/>
      <w:ind w:firstLine="72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2F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character" w:customStyle="1" w:styleId="WW8Num1z2">
    <w:name w:val="WW8Num1z2"/>
    <w:rsid w:val="00E95609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semiHidden/>
    <w:unhideWhenUsed/>
    <w:rsid w:val="00A71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0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/doc.php?id=1323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3235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3235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32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BB3F-CC50-4940-9B48-EA70E05B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5577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4.aprīļa noteikumos Nr.253 "Kārtība, kādā organizējama ilgstoši slimojošu izglītojamo izglītošanās ārpus izglītības iestādes"</vt:lpstr>
    </vt:vector>
  </TitlesOfParts>
  <Manager>Evija Papule</Manager>
  <Company> 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4.aprīļa noteikumos Nr.253 "Kārtība, kādā organizējama ilgstoši slimojošu izglītojamo izglītošanās ārpus izglītības iestādes"</dc:title>
  <dc:subject>Anotācija</dc:subject>
  <dc:creator>Dzintra Mergupe-Kutraite</dc:creator>
  <cp:keywords/>
  <dc:description>Dz.Mergupe-Kutraite
67047817, dzintra.mergupe@izm.gov.lv</dc:description>
  <cp:lastModifiedBy>Marika Pudāne</cp:lastModifiedBy>
  <cp:revision>3</cp:revision>
  <cp:lastPrinted>2013-03-05T10:35:00Z</cp:lastPrinted>
  <dcterms:created xsi:type="dcterms:W3CDTF">2013-03-04T14:59:00Z</dcterms:created>
  <dcterms:modified xsi:type="dcterms:W3CDTF">2013-03-05T10:35:00Z</dcterms:modified>
</cp:coreProperties>
</file>