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66" w:rsidRPr="00327875" w:rsidRDefault="00355A66" w:rsidP="00A06125">
      <w:pPr>
        <w:pStyle w:val="tv20787921"/>
        <w:spacing w:after="0" w:line="240" w:lineRule="auto"/>
        <w:ind w:left="7200" w:firstLine="720"/>
        <w:rPr>
          <w:rFonts w:ascii="Times New Roman" w:hAnsi="Times New Roman"/>
          <w:b w:val="0"/>
          <w:bCs w:val="0"/>
          <w:i/>
          <w:sz w:val="24"/>
          <w:szCs w:val="24"/>
        </w:rPr>
      </w:pPr>
      <w:r w:rsidRPr="00327875">
        <w:rPr>
          <w:rFonts w:ascii="Times New Roman" w:hAnsi="Times New Roman"/>
          <w:b w:val="0"/>
          <w:bCs w:val="0"/>
          <w:i/>
          <w:sz w:val="24"/>
          <w:szCs w:val="24"/>
        </w:rPr>
        <w:t>Projekts</w:t>
      </w:r>
    </w:p>
    <w:p w:rsidR="00355A66" w:rsidRPr="00327875" w:rsidRDefault="00355A66" w:rsidP="00A06125">
      <w:pPr>
        <w:pStyle w:val="tv20787921"/>
        <w:spacing w:after="0" w:line="240" w:lineRule="auto"/>
        <w:rPr>
          <w:rFonts w:ascii="Times New Roman" w:hAnsi="Times New Roman"/>
          <w:bCs w:val="0"/>
          <w:sz w:val="24"/>
          <w:szCs w:val="24"/>
        </w:rPr>
      </w:pPr>
    </w:p>
    <w:p w:rsidR="003302BA" w:rsidRPr="00327875" w:rsidRDefault="003302BA" w:rsidP="00A06125">
      <w:pPr>
        <w:pStyle w:val="tv20787921"/>
        <w:spacing w:after="0" w:line="240" w:lineRule="auto"/>
        <w:rPr>
          <w:rFonts w:ascii="Times New Roman" w:hAnsi="Times New Roman"/>
          <w:bCs w:val="0"/>
          <w:sz w:val="24"/>
          <w:szCs w:val="24"/>
        </w:rPr>
      </w:pPr>
      <w:r w:rsidRPr="00327875">
        <w:rPr>
          <w:rFonts w:ascii="Times New Roman" w:hAnsi="Times New Roman"/>
          <w:bCs w:val="0"/>
          <w:sz w:val="24"/>
          <w:szCs w:val="24"/>
        </w:rPr>
        <w:t>Ministru kabineta noteikumu projekta</w:t>
      </w:r>
      <w:r w:rsidR="00606C2B" w:rsidRPr="00327875">
        <w:rPr>
          <w:rFonts w:ascii="Times New Roman" w:hAnsi="Times New Roman"/>
          <w:bCs w:val="0"/>
          <w:sz w:val="24"/>
          <w:szCs w:val="24"/>
        </w:rPr>
        <w:t xml:space="preserve"> </w:t>
      </w:r>
      <w:r w:rsidR="005C4FDD" w:rsidRPr="00327875">
        <w:rPr>
          <w:rFonts w:ascii="Times New Roman" w:hAnsi="Times New Roman"/>
          <w:sz w:val="24"/>
          <w:szCs w:val="24"/>
        </w:rPr>
        <w:t>„Grozījumi Ministru kabineta</w:t>
      </w:r>
      <w:r w:rsidR="004D1B48" w:rsidRPr="00327875">
        <w:rPr>
          <w:rFonts w:ascii="Times New Roman" w:hAnsi="Times New Roman"/>
          <w:sz w:val="24"/>
          <w:szCs w:val="24"/>
        </w:rPr>
        <w:t xml:space="preserve"> </w:t>
      </w:r>
      <w:r w:rsidR="00102BD9" w:rsidRPr="00327875">
        <w:rPr>
          <w:rFonts w:ascii="Times New Roman" w:hAnsi="Times New Roman"/>
          <w:sz w:val="24"/>
          <w:szCs w:val="24"/>
        </w:rPr>
        <w:t>2013</w:t>
      </w:r>
      <w:r w:rsidR="000B73CE" w:rsidRPr="00327875">
        <w:rPr>
          <w:rFonts w:ascii="Times New Roman" w:hAnsi="Times New Roman"/>
          <w:sz w:val="24"/>
          <w:szCs w:val="24"/>
        </w:rPr>
        <w:t>.gad</w:t>
      </w:r>
      <w:r w:rsidR="00102BD9" w:rsidRPr="00327875">
        <w:rPr>
          <w:rFonts w:ascii="Times New Roman" w:hAnsi="Times New Roman"/>
          <w:sz w:val="24"/>
          <w:szCs w:val="24"/>
        </w:rPr>
        <w:t>a 3.janvāra noteikumos Nr.14</w:t>
      </w:r>
      <w:r w:rsidR="00606C2B" w:rsidRPr="00327875">
        <w:rPr>
          <w:rFonts w:ascii="Times New Roman" w:hAnsi="Times New Roman"/>
          <w:sz w:val="24"/>
          <w:szCs w:val="24"/>
        </w:rPr>
        <w:t xml:space="preserve"> </w:t>
      </w:r>
      <w:r w:rsidRPr="00327875">
        <w:rPr>
          <w:rFonts w:ascii="Times New Roman" w:hAnsi="Times New Roman"/>
          <w:bCs w:val="0"/>
          <w:sz w:val="24"/>
          <w:szCs w:val="24"/>
        </w:rPr>
        <w:t>„Not</w:t>
      </w:r>
      <w:r w:rsidR="00BE77C1" w:rsidRPr="00327875">
        <w:rPr>
          <w:rFonts w:ascii="Times New Roman" w:hAnsi="Times New Roman"/>
          <w:bCs w:val="0"/>
          <w:sz w:val="24"/>
          <w:szCs w:val="24"/>
        </w:rPr>
        <w:t>eikumi par darbības pro</w:t>
      </w:r>
      <w:r w:rsidR="00102BD9" w:rsidRPr="00327875">
        <w:rPr>
          <w:rFonts w:ascii="Times New Roman" w:hAnsi="Times New Roman"/>
          <w:bCs w:val="0"/>
          <w:sz w:val="24"/>
          <w:szCs w:val="24"/>
        </w:rPr>
        <w:t>grammas „Uzņēmējdarbība un inovācijas”</w:t>
      </w:r>
      <w:r w:rsidR="00606C2B" w:rsidRPr="00327875">
        <w:rPr>
          <w:rFonts w:ascii="Times New Roman" w:hAnsi="Times New Roman"/>
          <w:bCs w:val="0"/>
          <w:sz w:val="24"/>
          <w:szCs w:val="24"/>
        </w:rPr>
        <w:t xml:space="preserve"> </w:t>
      </w:r>
      <w:r w:rsidR="00102BD9" w:rsidRPr="00327875">
        <w:rPr>
          <w:rFonts w:ascii="Times New Roman" w:hAnsi="Times New Roman"/>
          <w:bCs w:val="0"/>
          <w:sz w:val="24"/>
          <w:szCs w:val="24"/>
        </w:rPr>
        <w:t xml:space="preserve">papildinājuma </w:t>
      </w:r>
      <w:r w:rsidR="00C4231A" w:rsidRPr="00327875">
        <w:rPr>
          <w:rFonts w:ascii="Times New Roman" w:hAnsi="Times New Roman"/>
          <w:bCs w:val="0"/>
          <w:sz w:val="24"/>
          <w:szCs w:val="24"/>
        </w:rPr>
        <w:t>2.</w:t>
      </w:r>
      <w:r w:rsidR="00102BD9" w:rsidRPr="00327875">
        <w:rPr>
          <w:rFonts w:ascii="Times New Roman" w:hAnsi="Times New Roman"/>
          <w:bCs w:val="0"/>
          <w:sz w:val="24"/>
          <w:szCs w:val="24"/>
        </w:rPr>
        <w:t>1.1.1.</w:t>
      </w:r>
      <w:r w:rsidR="00C4231A" w:rsidRPr="00327875">
        <w:rPr>
          <w:rFonts w:ascii="Times New Roman" w:hAnsi="Times New Roman"/>
          <w:bCs w:val="0"/>
          <w:sz w:val="24"/>
          <w:szCs w:val="24"/>
        </w:rPr>
        <w:t>aktivitātes</w:t>
      </w:r>
      <w:r w:rsidR="00606C2B" w:rsidRPr="00327875">
        <w:rPr>
          <w:rFonts w:ascii="Times New Roman" w:hAnsi="Times New Roman"/>
          <w:bCs w:val="0"/>
          <w:sz w:val="24"/>
          <w:szCs w:val="24"/>
        </w:rPr>
        <w:t xml:space="preserve"> </w:t>
      </w:r>
      <w:r w:rsidR="000B73CE" w:rsidRPr="00327875">
        <w:rPr>
          <w:rFonts w:ascii="Times New Roman" w:hAnsi="Times New Roman"/>
          <w:bCs w:val="0"/>
          <w:sz w:val="24"/>
          <w:szCs w:val="24"/>
        </w:rPr>
        <w:t>„</w:t>
      </w:r>
      <w:r w:rsidR="00102BD9" w:rsidRPr="00327875">
        <w:rPr>
          <w:rFonts w:ascii="Times New Roman" w:hAnsi="Times New Roman"/>
          <w:bCs w:val="0"/>
          <w:sz w:val="24"/>
          <w:szCs w:val="24"/>
        </w:rPr>
        <w:t>Atbalsts zinātnei un pētniecībai</w:t>
      </w:r>
      <w:r w:rsidR="005C4FDD" w:rsidRPr="00327875">
        <w:rPr>
          <w:rFonts w:ascii="Times New Roman" w:hAnsi="Times New Roman"/>
          <w:bCs w:val="0"/>
          <w:sz w:val="24"/>
          <w:szCs w:val="24"/>
        </w:rPr>
        <w:t>”</w:t>
      </w:r>
      <w:r w:rsidR="00606C2B" w:rsidRPr="00327875">
        <w:rPr>
          <w:rFonts w:ascii="Times New Roman" w:hAnsi="Times New Roman"/>
          <w:bCs w:val="0"/>
          <w:sz w:val="24"/>
          <w:szCs w:val="24"/>
        </w:rPr>
        <w:t xml:space="preserve"> </w:t>
      </w:r>
      <w:r w:rsidR="00C4231A" w:rsidRPr="00327875">
        <w:rPr>
          <w:rFonts w:ascii="Times New Roman" w:hAnsi="Times New Roman"/>
          <w:bCs w:val="0"/>
          <w:sz w:val="24"/>
          <w:szCs w:val="24"/>
        </w:rPr>
        <w:t>otro</w:t>
      </w:r>
      <w:r w:rsidR="009D2EB5" w:rsidRPr="00327875">
        <w:rPr>
          <w:rFonts w:ascii="Times New Roman" w:hAnsi="Times New Roman"/>
          <w:bCs w:val="0"/>
          <w:sz w:val="24"/>
          <w:szCs w:val="24"/>
        </w:rPr>
        <w:t xml:space="preserve"> un trešo</w:t>
      </w:r>
      <w:r w:rsidR="00C4231A" w:rsidRPr="00327875">
        <w:rPr>
          <w:rFonts w:ascii="Times New Roman" w:hAnsi="Times New Roman"/>
          <w:bCs w:val="0"/>
          <w:sz w:val="24"/>
          <w:szCs w:val="24"/>
        </w:rPr>
        <w:t xml:space="preserve"> projektu iesniegumu atlases kārtu</w:t>
      </w:r>
      <w:r w:rsidR="000B73CE" w:rsidRPr="00327875">
        <w:rPr>
          <w:rFonts w:ascii="Times New Roman" w:hAnsi="Times New Roman"/>
          <w:bCs w:val="0"/>
          <w:sz w:val="24"/>
          <w:szCs w:val="24"/>
        </w:rPr>
        <w:t>”</w:t>
      </w:r>
      <w:r w:rsidR="00445269" w:rsidRPr="00327875">
        <w:rPr>
          <w:rFonts w:ascii="Times New Roman" w:hAnsi="Times New Roman"/>
          <w:bCs w:val="0"/>
          <w:sz w:val="24"/>
          <w:szCs w:val="24"/>
        </w:rPr>
        <w:t>”</w:t>
      </w:r>
      <w:r w:rsidR="00606C2B" w:rsidRPr="00327875">
        <w:rPr>
          <w:rFonts w:ascii="Times New Roman" w:hAnsi="Times New Roman"/>
          <w:bCs w:val="0"/>
          <w:sz w:val="24"/>
          <w:szCs w:val="24"/>
        </w:rPr>
        <w:t xml:space="preserve"> </w:t>
      </w:r>
      <w:r w:rsidR="0079607B" w:rsidRPr="00327875">
        <w:rPr>
          <w:rFonts w:ascii="Times New Roman" w:hAnsi="Times New Roman"/>
          <w:sz w:val="24"/>
          <w:szCs w:val="24"/>
        </w:rPr>
        <w:t xml:space="preserve">sākotnējās ietekmes novērtējuma </w:t>
      </w:r>
      <w:r w:rsidRPr="00327875">
        <w:rPr>
          <w:rFonts w:ascii="Times New Roman" w:hAnsi="Times New Roman"/>
          <w:sz w:val="24"/>
          <w:szCs w:val="24"/>
        </w:rPr>
        <w:t>ziņojums (anotācija)</w:t>
      </w:r>
    </w:p>
    <w:p w:rsidR="003302BA" w:rsidRPr="00327875" w:rsidRDefault="003302BA" w:rsidP="00A06125">
      <w:pPr>
        <w:pStyle w:val="tv20787921"/>
        <w:spacing w:after="0" w:line="240" w:lineRule="auto"/>
        <w:rPr>
          <w:rFonts w:ascii="Times New Roman" w:hAnsi="Times New Roman"/>
          <w:bCs w:val="0"/>
          <w:sz w:val="24"/>
          <w:szCs w:val="24"/>
        </w:rPr>
      </w:pPr>
    </w:p>
    <w:tbl>
      <w:tblPr>
        <w:tblpPr w:leftFromText="180" w:rightFromText="180" w:bottomFromText="20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9"/>
        <w:gridCol w:w="1916"/>
        <w:gridCol w:w="6662"/>
      </w:tblGrid>
      <w:tr w:rsidR="00E5438C" w:rsidRPr="00327875" w:rsidTr="00E5438C">
        <w:tc>
          <w:tcPr>
            <w:tcW w:w="9077" w:type="dxa"/>
            <w:gridSpan w:val="3"/>
            <w:tcBorders>
              <w:top w:val="single" w:sz="4" w:space="0" w:color="auto"/>
              <w:left w:val="single" w:sz="4" w:space="0" w:color="auto"/>
              <w:bottom w:val="single" w:sz="4" w:space="0" w:color="auto"/>
              <w:right w:val="single" w:sz="4" w:space="0" w:color="auto"/>
            </w:tcBorders>
            <w:vAlign w:val="center"/>
            <w:hideMark/>
          </w:tcPr>
          <w:p w:rsidR="00E5438C" w:rsidRPr="00327875" w:rsidRDefault="00E5438C" w:rsidP="00A06125">
            <w:pPr>
              <w:pStyle w:val="naisnod"/>
              <w:spacing w:before="0" w:after="0"/>
            </w:pPr>
            <w:r w:rsidRPr="00327875">
              <w:t>I. Tiesību akta projekta izstrādes nepieciešamība</w:t>
            </w:r>
          </w:p>
        </w:tc>
      </w:tr>
      <w:tr w:rsidR="00E5438C" w:rsidRPr="00327875" w:rsidTr="00832F6B">
        <w:trPr>
          <w:trHeight w:val="630"/>
        </w:trPr>
        <w:tc>
          <w:tcPr>
            <w:tcW w:w="499" w:type="dxa"/>
            <w:tcBorders>
              <w:top w:val="single" w:sz="4" w:space="0" w:color="auto"/>
              <w:left w:val="single" w:sz="4" w:space="0" w:color="auto"/>
              <w:bottom w:val="single" w:sz="4" w:space="0" w:color="auto"/>
              <w:right w:val="single" w:sz="4" w:space="0" w:color="auto"/>
            </w:tcBorders>
            <w:hideMark/>
          </w:tcPr>
          <w:p w:rsidR="00E5438C" w:rsidRPr="00327875" w:rsidRDefault="00E5438C" w:rsidP="00A06125">
            <w:pPr>
              <w:pStyle w:val="naiskr"/>
              <w:spacing w:before="0" w:after="0"/>
              <w:jc w:val="center"/>
            </w:pPr>
            <w:r w:rsidRPr="00327875">
              <w:t>1.</w:t>
            </w:r>
          </w:p>
        </w:tc>
        <w:tc>
          <w:tcPr>
            <w:tcW w:w="1916" w:type="dxa"/>
            <w:tcBorders>
              <w:top w:val="single" w:sz="4" w:space="0" w:color="auto"/>
              <w:left w:val="single" w:sz="4" w:space="0" w:color="auto"/>
              <w:bottom w:val="single" w:sz="4" w:space="0" w:color="auto"/>
              <w:right w:val="single" w:sz="4" w:space="0" w:color="auto"/>
            </w:tcBorders>
            <w:hideMark/>
          </w:tcPr>
          <w:p w:rsidR="00E5438C" w:rsidRPr="00327875" w:rsidRDefault="00E5438C" w:rsidP="00A06125">
            <w:pPr>
              <w:pStyle w:val="naiskr"/>
              <w:spacing w:before="0" w:after="0"/>
              <w:ind w:hanging="10"/>
            </w:pPr>
            <w:r w:rsidRPr="00327875">
              <w:t>Pamatojums</w:t>
            </w:r>
          </w:p>
        </w:tc>
        <w:tc>
          <w:tcPr>
            <w:tcW w:w="6662" w:type="dxa"/>
            <w:tcBorders>
              <w:top w:val="single" w:sz="4" w:space="0" w:color="auto"/>
              <w:left w:val="single" w:sz="4" w:space="0" w:color="auto"/>
              <w:bottom w:val="single" w:sz="4" w:space="0" w:color="auto"/>
              <w:right w:val="single" w:sz="4" w:space="0" w:color="auto"/>
            </w:tcBorders>
          </w:tcPr>
          <w:p w:rsidR="00E5438C" w:rsidRPr="00327875" w:rsidRDefault="003302BA" w:rsidP="00A06125">
            <w:pPr>
              <w:pStyle w:val="tv20787921"/>
              <w:spacing w:before="6" w:after="0" w:line="240" w:lineRule="auto"/>
              <w:ind w:left="170" w:right="141"/>
              <w:jc w:val="both"/>
              <w:rPr>
                <w:rFonts w:ascii="Times New Roman" w:hAnsi="Times New Roman"/>
                <w:b w:val="0"/>
                <w:sz w:val="24"/>
                <w:szCs w:val="24"/>
              </w:rPr>
            </w:pPr>
            <w:r w:rsidRPr="00327875">
              <w:rPr>
                <w:rFonts w:ascii="Times New Roman" w:hAnsi="Times New Roman"/>
                <w:b w:val="0"/>
                <w:bCs w:val="0"/>
                <w:sz w:val="24"/>
                <w:szCs w:val="24"/>
              </w:rPr>
              <w:t>Ministru kabineta noteikumu projekts</w:t>
            </w:r>
            <w:r w:rsidR="00ED764C" w:rsidRPr="00327875">
              <w:rPr>
                <w:rFonts w:ascii="Times New Roman" w:hAnsi="Times New Roman"/>
                <w:sz w:val="24"/>
                <w:szCs w:val="24"/>
              </w:rPr>
              <w:t xml:space="preserve"> </w:t>
            </w:r>
            <w:r w:rsidRPr="00327875">
              <w:rPr>
                <w:rFonts w:ascii="Times New Roman" w:hAnsi="Times New Roman"/>
                <w:b w:val="0"/>
                <w:sz w:val="24"/>
                <w:szCs w:val="24"/>
              </w:rPr>
              <w:t xml:space="preserve">„Grozījumi Ministru kabineta </w:t>
            </w:r>
            <w:r w:rsidR="00102BD9" w:rsidRPr="00327875">
              <w:rPr>
                <w:rFonts w:ascii="Times New Roman" w:hAnsi="Times New Roman"/>
                <w:b w:val="0"/>
                <w:sz w:val="24"/>
                <w:szCs w:val="24"/>
              </w:rPr>
              <w:t>2013.gada 3.janvāra</w:t>
            </w:r>
            <w:r w:rsidR="00BE77C1" w:rsidRPr="00327875">
              <w:rPr>
                <w:rFonts w:ascii="Times New Roman" w:hAnsi="Times New Roman"/>
                <w:b w:val="0"/>
                <w:sz w:val="24"/>
                <w:szCs w:val="24"/>
              </w:rPr>
              <w:t xml:space="preserve"> noteikumos Nr.</w:t>
            </w:r>
            <w:r w:rsidR="00102BD9" w:rsidRPr="00327875">
              <w:rPr>
                <w:rFonts w:ascii="Times New Roman" w:hAnsi="Times New Roman"/>
                <w:b w:val="0"/>
                <w:sz w:val="24"/>
                <w:szCs w:val="24"/>
              </w:rPr>
              <w:t>1</w:t>
            </w:r>
            <w:r w:rsidR="00C4231A" w:rsidRPr="00327875">
              <w:rPr>
                <w:rFonts w:ascii="Times New Roman" w:hAnsi="Times New Roman"/>
                <w:b w:val="0"/>
                <w:sz w:val="24"/>
                <w:szCs w:val="24"/>
              </w:rPr>
              <w:t>4</w:t>
            </w:r>
            <w:r w:rsidR="00BE77C1" w:rsidRPr="00327875">
              <w:rPr>
                <w:rFonts w:ascii="Times New Roman" w:hAnsi="Times New Roman"/>
                <w:b w:val="0"/>
                <w:sz w:val="24"/>
                <w:szCs w:val="24"/>
              </w:rPr>
              <w:t xml:space="preserve"> </w:t>
            </w:r>
            <w:r w:rsidRPr="00327875">
              <w:rPr>
                <w:rFonts w:ascii="Times New Roman" w:hAnsi="Times New Roman"/>
                <w:b w:val="0"/>
                <w:sz w:val="24"/>
                <w:szCs w:val="24"/>
              </w:rPr>
              <w:t xml:space="preserve">„Noteikumi par darbības </w:t>
            </w:r>
            <w:r w:rsidR="00BE77C1" w:rsidRPr="00327875">
              <w:rPr>
                <w:rFonts w:ascii="Times New Roman" w:hAnsi="Times New Roman"/>
                <w:b w:val="0"/>
                <w:sz w:val="24"/>
                <w:szCs w:val="24"/>
              </w:rPr>
              <w:t>programmas „</w:t>
            </w:r>
            <w:r w:rsidR="00102BD9" w:rsidRPr="00327875">
              <w:rPr>
                <w:rFonts w:ascii="Times New Roman" w:hAnsi="Times New Roman"/>
                <w:b w:val="0"/>
                <w:sz w:val="24"/>
                <w:szCs w:val="24"/>
              </w:rPr>
              <w:t>Uzņēmējdarbība un inovācijas” papildinājuma 2.1.1.1.</w:t>
            </w:r>
            <w:r w:rsidR="00C4231A" w:rsidRPr="00327875">
              <w:rPr>
                <w:rFonts w:ascii="Times New Roman" w:hAnsi="Times New Roman"/>
                <w:b w:val="0"/>
                <w:sz w:val="24"/>
                <w:szCs w:val="24"/>
              </w:rPr>
              <w:t>aktivitātes</w:t>
            </w:r>
            <w:r w:rsidR="00BE77C1" w:rsidRPr="00327875">
              <w:rPr>
                <w:rFonts w:ascii="Times New Roman" w:hAnsi="Times New Roman"/>
                <w:b w:val="0"/>
                <w:sz w:val="24"/>
                <w:szCs w:val="24"/>
              </w:rPr>
              <w:t xml:space="preserve"> „</w:t>
            </w:r>
            <w:r w:rsidR="00102BD9" w:rsidRPr="00327875">
              <w:rPr>
                <w:rFonts w:ascii="Times New Roman" w:hAnsi="Times New Roman"/>
                <w:b w:val="0"/>
                <w:sz w:val="24"/>
                <w:szCs w:val="24"/>
              </w:rPr>
              <w:t>Atbalsts zinātnei un pētniecībai</w:t>
            </w:r>
            <w:r w:rsidRPr="00327875">
              <w:rPr>
                <w:rFonts w:ascii="Times New Roman" w:hAnsi="Times New Roman"/>
                <w:b w:val="0"/>
                <w:sz w:val="24"/>
                <w:szCs w:val="24"/>
              </w:rPr>
              <w:t>”</w:t>
            </w:r>
            <w:r w:rsidR="00C4231A" w:rsidRPr="00327875">
              <w:rPr>
                <w:rFonts w:ascii="Times New Roman" w:hAnsi="Times New Roman"/>
                <w:b w:val="0"/>
                <w:sz w:val="24"/>
                <w:szCs w:val="24"/>
              </w:rPr>
              <w:t xml:space="preserve"> otro</w:t>
            </w:r>
            <w:r w:rsidR="009D2EB5" w:rsidRPr="00327875">
              <w:rPr>
                <w:rFonts w:ascii="Times New Roman" w:hAnsi="Times New Roman"/>
                <w:b w:val="0"/>
                <w:sz w:val="24"/>
                <w:szCs w:val="24"/>
              </w:rPr>
              <w:t xml:space="preserve"> un  trešo</w:t>
            </w:r>
            <w:r w:rsidR="00C4231A" w:rsidRPr="00327875">
              <w:rPr>
                <w:rFonts w:ascii="Times New Roman" w:hAnsi="Times New Roman"/>
                <w:b w:val="0"/>
                <w:sz w:val="24"/>
                <w:szCs w:val="24"/>
              </w:rPr>
              <w:t xml:space="preserve"> projektu iesniegumu atlases kārtu</w:t>
            </w:r>
            <w:r w:rsidR="00ED764C" w:rsidRPr="00327875">
              <w:rPr>
                <w:rFonts w:ascii="Times New Roman" w:hAnsi="Times New Roman"/>
                <w:b w:val="0"/>
                <w:sz w:val="24"/>
                <w:szCs w:val="24"/>
              </w:rPr>
              <w:t>”</w:t>
            </w:r>
            <w:r w:rsidR="00DC5D1F" w:rsidRPr="00327875">
              <w:rPr>
                <w:rFonts w:ascii="Times New Roman" w:hAnsi="Times New Roman"/>
                <w:b w:val="0"/>
                <w:sz w:val="24"/>
                <w:szCs w:val="24"/>
              </w:rPr>
              <w:t>”</w:t>
            </w:r>
            <w:r w:rsidRPr="00327875">
              <w:rPr>
                <w:rFonts w:ascii="Times New Roman" w:hAnsi="Times New Roman"/>
                <w:b w:val="0"/>
                <w:sz w:val="24"/>
                <w:szCs w:val="24"/>
              </w:rPr>
              <w:t xml:space="preserve"> </w:t>
            </w:r>
            <w:r w:rsidR="00E5438C" w:rsidRPr="00327875">
              <w:rPr>
                <w:rFonts w:ascii="Times New Roman" w:hAnsi="Times New Roman"/>
                <w:b w:val="0"/>
                <w:sz w:val="24"/>
                <w:szCs w:val="24"/>
              </w:rPr>
              <w:t xml:space="preserve">(turpmāk – </w:t>
            </w:r>
            <w:r w:rsidR="00897CC6" w:rsidRPr="00327875">
              <w:rPr>
                <w:rFonts w:ascii="Times New Roman" w:hAnsi="Times New Roman"/>
                <w:b w:val="0"/>
                <w:sz w:val="24"/>
                <w:szCs w:val="24"/>
              </w:rPr>
              <w:t xml:space="preserve">noteikumu </w:t>
            </w:r>
            <w:r w:rsidR="00E5438C" w:rsidRPr="00327875">
              <w:rPr>
                <w:rFonts w:ascii="Times New Roman" w:hAnsi="Times New Roman"/>
                <w:b w:val="0"/>
                <w:sz w:val="24"/>
                <w:szCs w:val="24"/>
              </w:rPr>
              <w:t>projekts) ir sagatavots saskaņā ar:</w:t>
            </w:r>
          </w:p>
          <w:p w:rsidR="00F14DAE" w:rsidRPr="00327875" w:rsidRDefault="00F14DAE" w:rsidP="00A06125">
            <w:pPr>
              <w:pStyle w:val="tv20787921"/>
              <w:spacing w:before="6" w:after="0" w:line="240" w:lineRule="auto"/>
              <w:ind w:left="170" w:right="141"/>
              <w:jc w:val="both"/>
              <w:rPr>
                <w:rFonts w:ascii="Times New Roman" w:hAnsi="Times New Roman"/>
                <w:b w:val="0"/>
                <w:bCs w:val="0"/>
                <w:sz w:val="24"/>
                <w:szCs w:val="24"/>
              </w:rPr>
            </w:pPr>
            <w:r w:rsidRPr="00327875">
              <w:rPr>
                <w:rFonts w:ascii="Times New Roman" w:hAnsi="Times New Roman"/>
                <w:b w:val="0"/>
                <w:sz w:val="24"/>
                <w:szCs w:val="24"/>
              </w:rPr>
              <w:t>1)</w:t>
            </w:r>
            <w:r w:rsidR="00104ECF" w:rsidRPr="00327875">
              <w:rPr>
                <w:rFonts w:ascii="Times New Roman" w:hAnsi="Times New Roman"/>
                <w:b w:val="0"/>
                <w:sz w:val="24"/>
                <w:szCs w:val="24"/>
              </w:rPr>
              <w:t> </w:t>
            </w:r>
            <w:r w:rsidRPr="00327875">
              <w:rPr>
                <w:rFonts w:ascii="Times New Roman" w:hAnsi="Times New Roman"/>
                <w:b w:val="0"/>
                <w:sz w:val="24"/>
                <w:szCs w:val="24"/>
              </w:rPr>
              <w:t>Eiropas Savienības struktūrfondu un Kohēzijas fonda va</w:t>
            </w:r>
            <w:r w:rsidR="00C264FF">
              <w:rPr>
                <w:rFonts w:ascii="Times New Roman" w:hAnsi="Times New Roman"/>
                <w:b w:val="0"/>
                <w:sz w:val="24"/>
                <w:szCs w:val="24"/>
              </w:rPr>
              <w:t>dības likuma 18.panta 10.punktu;</w:t>
            </w:r>
          </w:p>
          <w:p w:rsidR="00BF0F9A" w:rsidRPr="00327875" w:rsidRDefault="00F14DAE" w:rsidP="00A06125">
            <w:pPr>
              <w:autoSpaceDE w:val="0"/>
              <w:autoSpaceDN w:val="0"/>
              <w:adjustRightInd w:val="0"/>
              <w:spacing w:before="6" w:after="0" w:line="240" w:lineRule="auto"/>
              <w:ind w:left="170" w:right="141"/>
              <w:jc w:val="both"/>
              <w:rPr>
                <w:rFonts w:ascii="Times New Roman" w:eastAsia="Calibri" w:hAnsi="Times New Roman" w:cs="Times New Roman"/>
                <w:sz w:val="24"/>
                <w:szCs w:val="24"/>
              </w:rPr>
            </w:pPr>
            <w:r w:rsidRPr="00327875">
              <w:rPr>
                <w:rFonts w:ascii="Times New Roman" w:eastAsia="Calibri" w:hAnsi="Times New Roman" w:cs="Times New Roman"/>
                <w:sz w:val="24"/>
                <w:szCs w:val="24"/>
              </w:rPr>
              <w:t>2</w:t>
            </w:r>
            <w:r w:rsidR="00BF0F9A" w:rsidRPr="00327875">
              <w:rPr>
                <w:rFonts w:ascii="Times New Roman" w:eastAsia="Calibri" w:hAnsi="Times New Roman" w:cs="Times New Roman"/>
                <w:sz w:val="24"/>
                <w:szCs w:val="24"/>
              </w:rPr>
              <w:t>)</w:t>
            </w:r>
            <w:r w:rsidR="00104ECF" w:rsidRPr="00327875">
              <w:rPr>
                <w:rFonts w:ascii="Times New Roman" w:eastAsia="Calibri" w:hAnsi="Times New Roman" w:cs="Times New Roman"/>
                <w:sz w:val="24"/>
                <w:szCs w:val="24"/>
              </w:rPr>
              <w:t> </w:t>
            </w:r>
            <w:proofErr w:type="spellStart"/>
            <w:r w:rsidR="00BF0F9A" w:rsidRPr="00327875">
              <w:rPr>
                <w:rFonts w:ascii="Times New Roman" w:eastAsia="Calibri" w:hAnsi="Times New Roman" w:cs="Times New Roman"/>
                <w:i/>
                <w:sz w:val="24"/>
                <w:szCs w:val="24"/>
              </w:rPr>
              <w:t>Euro</w:t>
            </w:r>
            <w:proofErr w:type="spellEnd"/>
            <w:r w:rsidR="00BF0F9A" w:rsidRPr="00327875">
              <w:rPr>
                <w:rFonts w:ascii="Times New Roman" w:eastAsia="Calibri" w:hAnsi="Times New Roman" w:cs="Times New Roman"/>
                <w:sz w:val="24"/>
                <w:szCs w:val="24"/>
              </w:rPr>
              <w:t xml:space="preserve"> ieviešanas kārtības likuma </w:t>
            </w:r>
            <w:r w:rsidR="00F1286A" w:rsidRPr="00327875">
              <w:rPr>
                <w:rFonts w:ascii="Times New Roman" w:eastAsia="Calibri" w:hAnsi="Times New Roman" w:cs="Times New Roman"/>
                <w:sz w:val="24"/>
                <w:szCs w:val="24"/>
              </w:rPr>
              <w:t>30.panta pirmo</w:t>
            </w:r>
            <w:r w:rsidR="00D021D0" w:rsidRPr="00327875">
              <w:rPr>
                <w:rFonts w:ascii="Times New Roman" w:eastAsia="Calibri" w:hAnsi="Times New Roman" w:cs="Times New Roman"/>
                <w:sz w:val="24"/>
                <w:szCs w:val="24"/>
              </w:rPr>
              <w:t xml:space="preserve"> </w:t>
            </w:r>
            <w:r w:rsidR="00F1286A" w:rsidRPr="00327875">
              <w:rPr>
                <w:rFonts w:ascii="Times New Roman" w:eastAsia="Calibri" w:hAnsi="Times New Roman" w:cs="Times New Roman"/>
                <w:sz w:val="24"/>
                <w:szCs w:val="24"/>
              </w:rPr>
              <w:t>daļu</w:t>
            </w:r>
            <w:r w:rsidR="00BF0F9A" w:rsidRPr="00327875">
              <w:rPr>
                <w:rFonts w:ascii="Times New Roman" w:eastAsia="Calibri" w:hAnsi="Times New Roman" w:cs="Times New Roman"/>
                <w:sz w:val="24"/>
                <w:szCs w:val="24"/>
              </w:rPr>
              <w:t>;</w:t>
            </w:r>
          </w:p>
          <w:p w:rsidR="00BF0F9A" w:rsidRPr="00327875" w:rsidRDefault="00F14DAE" w:rsidP="00A06125">
            <w:pPr>
              <w:autoSpaceDE w:val="0"/>
              <w:autoSpaceDN w:val="0"/>
              <w:adjustRightInd w:val="0"/>
              <w:spacing w:before="6" w:after="0" w:line="240" w:lineRule="auto"/>
              <w:ind w:left="170" w:right="141"/>
              <w:jc w:val="both"/>
              <w:rPr>
                <w:rFonts w:ascii="Times New Roman" w:eastAsia="Calibri" w:hAnsi="Times New Roman" w:cs="Times New Roman"/>
                <w:sz w:val="24"/>
                <w:szCs w:val="24"/>
              </w:rPr>
            </w:pPr>
            <w:r w:rsidRPr="00327875">
              <w:rPr>
                <w:rFonts w:ascii="Times New Roman" w:eastAsia="Calibri" w:hAnsi="Times New Roman" w:cs="Times New Roman"/>
                <w:sz w:val="24"/>
                <w:szCs w:val="24"/>
              </w:rPr>
              <w:t>3</w:t>
            </w:r>
            <w:r w:rsidR="00BF0F9A" w:rsidRPr="00327875">
              <w:rPr>
                <w:rFonts w:ascii="Times New Roman" w:eastAsia="Calibri" w:hAnsi="Times New Roman" w:cs="Times New Roman"/>
                <w:sz w:val="24"/>
                <w:szCs w:val="24"/>
              </w:rPr>
              <w:t>)</w:t>
            </w:r>
            <w:r w:rsidR="00104ECF" w:rsidRPr="00327875">
              <w:rPr>
                <w:rFonts w:ascii="Times New Roman" w:eastAsia="Calibri" w:hAnsi="Times New Roman" w:cs="Times New Roman"/>
                <w:sz w:val="24"/>
                <w:szCs w:val="24"/>
              </w:rPr>
              <w:t> </w:t>
            </w:r>
            <w:r w:rsidR="00BF0F9A" w:rsidRPr="00327875">
              <w:rPr>
                <w:rFonts w:ascii="Times New Roman" w:eastAsia="Calibri" w:hAnsi="Times New Roman" w:cs="Times New Roman"/>
                <w:sz w:val="24"/>
                <w:szCs w:val="24"/>
              </w:rPr>
              <w:t>Ministru kabineta 2012.gada 27.jūnija rīkojuma Nr.282 „Par Koncepciju par normatīvo aktu sakārtošanu sai</w:t>
            </w:r>
            <w:r w:rsidR="006A6EC3" w:rsidRPr="00327875">
              <w:rPr>
                <w:rFonts w:ascii="Times New Roman" w:eastAsia="Calibri" w:hAnsi="Times New Roman" w:cs="Times New Roman"/>
                <w:sz w:val="24"/>
                <w:szCs w:val="24"/>
              </w:rPr>
              <w:t>stībā ar eiro ievešanu Latvijā”</w:t>
            </w:r>
            <w:r w:rsidR="0093789C" w:rsidRPr="00327875">
              <w:rPr>
                <w:rFonts w:ascii="Times New Roman" w:eastAsia="Calibri" w:hAnsi="Times New Roman" w:cs="Times New Roman"/>
                <w:sz w:val="24"/>
                <w:szCs w:val="24"/>
              </w:rPr>
              <w:t xml:space="preserve"> 7.1.apakšpunktu</w:t>
            </w:r>
            <w:r w:rsidR="00BF0F9A" w:rsidRPr="00327875">
              <w:rPr>
                <w:rFonts w:ascii="Times New Roman" w:eastAsia="Calibri" w:hAnsi="Times New Roman" w:cs="Times New Roman"/>
                <w:sz w:val="24"/>
                <w:szCs w:val="24"/>
              </w:rPr>
              <w:t>;</w:t>
            </w:r>
          </w:p>
          <w:p w:rsidR="00EC664A" w:rsidRPr="00327875" w:rsidRDefault="00F14DAE" w:rsidP="00A06125">
            <w:pPr>
              <w:autoSpaceDE w:val="0"/>
              <w:autoSpaceDN w:val="0"/>
              <w:adjustRightInd w:val="0"/>
              <w:spacing w:before="6" w:after="0" w:line="240" w:lineRule="auto"/>
              <w:ind w:left="170" w:right="141"/>
              <w:jc w:val="both"/>
              <w:rPr>
                <w:rFonts w:ascii="Times New Roman" w:eastAsia="Calibri" w:hAnsi="Times New Roman" w:cs="Times New Roman"/>
                <w:sz w:val="24"/>
                <w:szCs w:val="24"/>
              </w:rPr>
            </w:pPr>
            <w:r w:rsidRPr="00327875">
              <w:rPr>
                <w:rFonts w:ascii="Times New Roman" w:eastAsia="Calibri" w:hAnsi="Times New Roman" w:cs="Times New Roman"/>
                <w:sz w:val="24"/>
                <w:szCs w:val="24"/>
              </w:rPr>
              <w:t>4</w:t>
            </w:r>
            <w:r w:rsidR="00EB7649" w:rsidRPr="00327875">
              <w:rPr>
                <w:rFonts w:ascii="Times New Roman" w:eastAsia="Calibri" w:hAnsi="Times New Roman" w:cs="Times New Roman"/>
                <w:sz w:val="24"/>
                <w:szCs w:val="24"/>
              </w:rPr>
              <w:t>) Latvijas N</w:t>
            </w:r>
            <w:r w:rsidR="00BF0F9A" w:rsidRPr="00327875">
              <w:rPr>
                <w:rFonts w:ascii="Times New Roman" w:eastAsia="Calibri" w:hAnsi="Times New Roman" w:cs="Times New Roman"/>
                <w:sz w:val="24"/>
                <w:szCs w:val="24"/>
              </w:rPr>
              <w:t xml:space="preserve">acionālā </w:t>
            </w:r>
            <w:proofErr w:type="spellStart"/>
            <w:r w:rsidR="00BF0F9A" w:rsidRPr="00327875">
              <w:rPr>
                <w:rFonts w:ascii="Times New Roman" w:eastAsia="Calibri" w:hAnsi="Times New Roman" w:cs="Times New Roman"/>
                <w:i/>
                <w:sz w:val="24"/>
                <w:szCs w:val="24"/>
              </w:rPr>
              <w:t>euro</w:t>
            </w:r>
            <w:proofErr w:type="spellEnd"/>
            <w:r w:rsidR="00BF602E" w:rsidRPr="00327875">
              <w:rPr>
                <w:rFonts w:ascii="Times New Roman" w:eastAsia="Calibri" w:hAnsi="Times New Roman" w:cs="Times New Roman"/>
                <w:sz w:val="24"/>
                <w:szCs w:val="24"/>
              </w:rPr>
              <w:t xml:space="preserve"> ieviešanas plāna</w:t>
            </w:r>
            <w:r w:rsidR="00BF0F9A" w:rsidRPr="00327875">
              <w:rPr>
                <w:rFonts w:ascii="Times New Roman" w:eastAsia="Calibri" w:hAnsi="Times New Roman" w:cs="Times New Roman"/>
                <w:sz w:val="24"/>
                <w:szCs w:val="24"/>
              </w:rPr>
              <w:t xml:space="preserve"> (apstiprināts ar Ministru kabineta 2013.gada 4.aprīļa rīkojumu Nr.136)</w:t>
            </w:r>
            <w:r w:rsidR="00BF602E" w:rsidRPr="00327875">
              <w:rPr>
                <w:rFonts w:ascii="Times New Roman" w:eastAsia="Calibri" w:hAnsi="Times New Roman" w:cs="Times New Roman"/>
                <w:sz w:val="24"/>
                <w:szCs w:val="24"/>
              </w:rPr>
              <w:t xml:space="preserve"> 1.pielikuma J2.2.2.apakšpunktu</w:t>
            </w:r>
            <w:r w:rsidR="00897CC6" w:rsidRPr="00327875">
              <w:rPr>
                <w:rFonts w:ascii="Times New Roman" w:eastAsia="Calibri" w:hAnsi="Times New Roman" w:cs="Times New Roman"/>
                <w:sz w:val="24"/>
                <w:szCs w:val="24"/>
              </w:rPr>
              <w:t>.</w:t>
            </w:r>
            <w:r w:rsidR="00B142B1" w:rsidRPr="00327875">
              <w:rPr>
                <w:rFonts w:ascii="Times New Roman" w:eastAsia="Calibri" w:hAnsi="Times New Roman" w:cs="Times New Roman"/>
                <w:sz w:val="24"/>
                <w:szCs w:val="24"/>
              </w:rPr>
              <w:t xml:space="preserve"> </w:t>
            </w:r>
          </w:p>
        </w:tc>
      </w:tr>
      <w:tr w:rsidR="00E5438C" w:rsidRPr="00327875" w:rsidTr="00F11EEF">
        <w:trPr>
          <w:trHeight w:val="416"/>
        </w:trPr>
        <w:tc>
          <w:tcPr>
            <w:tcW w:w="499" w:type="dxa"/>
            <w:tcBorders>
              <w:top w:val="single" w:sz="4" w:space="0" w:color="auto"/>
              <w:left w:val="single" w:sz="4" w:space="0" w:color="auto"/>
              <w:bottom w:val="single" w:sz="4" w:space="0" w:color="auto"/>
              <w:right w:val="single" w:sz="4" w:space="0" w:color="auto"/>
            </w:tcBorders>
            <w:hideMark/>
          </w:tcPr>
          <w:p w:rsidR="00E5438C" w:rsidRPr="00327875" w:rsidRDefault="00E5438C" w:rsidP="00A06125">
            <w:pPr>
              <w:pStyle w:val="naiskr"/>
              <w:spacing w:before="0" w:after="0"/>
              <w:jc w:val="center"/>
            </w:pPr>
            <w:r w:rsidRPr="00327875">
              <w:t>2.</w:t>
            </w:r>
          </w:p>
        </w:tc>
        <w:tc>
          <w:tcPr>
            <w:tcW w:w="1916" w:type="dxa"/>
            <w:tcBorders>
              <w:top w:val="single" w:sz="4" w:space="0" w:color="auto"/>
              <w:left w:val="single" w:sz="4" w:space="0" w:color="auto"/>
              <w:bottom w:val="single" w:sz="4" w:space="0" w:color="auto"/>
              <w:right w:val="single" w:sz="4" w:space="0" w:color="auto"/>
            </w:tcBorders>
            <w:hideMark/>
          </w:tcPr>
          <w:p w:rsidR="00E5438C" w:rsidRPr="00327875" w:rsidRDefault="00E5438C" w:rsidP="00A06125">
            <w:pPr>
              <w:pStyle w:val="naiskr"/>
              <w:tabs>
                <w:tab w:val="left" w:pos="170"/>
              </w:tabs>
              <w:spacing w:before="0" w:after="0"/>
            </w:pPr>
            <w:r w:rsidRPr="00327875">
              <w:t>Pašreizējā situācija un problēmas</w:t>
            </w:r>
          </w:p>
        </w:tc>
        <w:tc>
          <w:tcPr>
            <w:tcW w:w="6662" w:type="dxa"/>
            <w:tcBorders>
              <w:top w:val="single" w:sz="4" w:space="0" w:color="auto"/>
              <w:left w:val="single" w:sz="4" w:space="0" w:color="auto"/>
              <w:bottom w:val="single" w:sz="4" w:space="0" w:color="auto"/>
              <w:right w:val="single" w:sz="4" w:space="0" w:color="auto"/>
            </w:tcBorders>
            <w:hideMark/>
          </w:tcPr>
          <w:p w:rsidR="00D963A6" w:rsidRPr="00327875" w:rsidRDefault="00D963A6" w:rsidP="00A06125">
            <w:pPr>
              <w:spacing w:before="6" w:after="0" w:line="240" w:lineRule="auto"/>
              <w:ind w:left="170" w:right="141"/>
              <w:jc w:val="both"/>
              <w:rPr>
                <w:rFonts w:ascii="Times New Roman" w:hAnsi="Times New Roman" w:cs="Times New Roman"/>
                <w:sz w:val="24"/>
                <w:szCs w:val="24"/>
              </w:rPr>
            </w:pPr>
            <w:r w:rsidRPr="00327875">
              <w:rPr>
                <w:rFonts w:ascii="Times New Roman" w:hAnsi="Times New Roman" w:cs="Times New Roman"/>
                <w:sz w:val="24"/>
                <w:szCs w:val="24"/>
              </w:rPr>
              <w:t xml:space="preserve">2.1.1.1.aktivitātes „Atbalsts zinātnei un pētniecībai” (turpmāk – 2.1.1.1.aktivitāte) otrās projektu iesniegumu </w:t>
            </w:r>
            <w:r w:rsidRPr="00327875">
              <w:rPr>
                <w:rFonts w:ascii="Times New Roman" w:hAnsi="Times New Roman" w:cs="Times New Roman"/>
                <w:i/>
                <w:sz w:val="24"/>
                <w:szCs w:val="24"/>
              </w:rPr>
              <w:t>a</w:t>
            </w:r>
            <w:r w:rsidRPr="00327875">
              <w:rPr>
                <w:rFonts w:ascii="Times New Roman" w:hAnsi="Times New Roman" w:cs="Times New Roman"/>
                <w:sz w:val="24"/>
                <w:szCs w:val="24"/>
              </w:rPr>
              <w:t>tlases kārtas ietvaros:</w:t>
            </w:r>
          </w:p>
          <w:p w:rsidR="00D963A6" w:rsidRPr="00327875" w:rsidRDefault="00D963A6" w:rsidP="00A06125">
            <w:pPr>
              <w:spacing w:before="6" w:after="0" w:line="240" w:lineRule="auto"/>
              <w:ind w:left="170" w:right="141"/>
              <w:jc w:val="both"/>
              <w:rPr>
                <w:rFonts w:ascii="Times New Roman" w:hAnsi="Times New Roman" w:cs="Times New Roman"/>
                <w:sz w:val="24"/>
                <w:szCs w:val="24"/>
              </w:rPr>
            </w:pPr>
            <w:r w:rsidRPr="00327875">
              <w:rPr>
                <w:rFonts w:ascii="Times New Roman" w:hAnsi="Times New Roman" w:cs="Times New Roman"/>
                <w:sz w:val="24"/>
                <w:szCs w:val="24"/>
              </w:rPr>
              <w:t>- kopumā iesniegti 35 projektu iesniegumi;</w:t>
            </w:r>
          </w:p>
          <w:p w:rsidR="00D963A6" w:rsidRPr="00327875" w:rsidRDefault="00D963A6" w:rsidP="00A06125">
            <w:pPr>
              <w:spacing w:before="6" w:after="0" w:line="240" w:lineRule="auto"/>
              <w:ind w:left="170" w:right="141"/>
              <w:jc w:val="both"/>
              <w:rPr>
                <w:rFonts w:ascii="Times New Roman" w:hAnsi="Times New Roman" w:cs="Times New Roman"/>
                <w:sz w:val="24"/>
                <w:szCs w:val="24"/>
              </w:rPr>
            </w:pPr>
            <w:r w:rsidRPr="00327875">
              <w:rPr>
                <w:rFonts w:ascii="Times New Roman" w:hAnsi="Times New Roman" w:cs="Times New Roman"/>
                <w:sz w:val="24"/>
                <w:szCs w:val="24"/>
              </w:rPr>
              <w:t>- apstiprināti 28 projektu iesniegumi;</w:t>
            </w:r>
          </w:p>
          <w:p w:rsidR="00D963A6" w:rsidRPr="00327875" w:rsidRDefault="00D963A6" w:rsidP="00A06125">
            <w:pPr>
              <w:spacing w:before="6" w:after="0" w:line="240" w:lineRule="auto"/>
              <w:ind w:left="170" w:right="141"/>
              <w:jc w:val="both"/>
              <w:rPr>
                <w:rFonts w:ascii="Times New Roman" w:hAnsi="Times New Roman" w:cs="Times New Roman"/>
                <w:sz w:val="24"/>
                <w:szCs w:val="24"/>
              </w:rPr>
            </w:pPr>
            <w:r w:rsidRPr="00327875">
              <w:rPr>
                <w:rFonts w:ascii="Times New Roman" w:hAnsi="Times New Roman" w:cs="Times New Roman"/>
                <w:sz w:val="24"/>
                <w:szCs w:val="24"/>
              </w:rPr>
              <w:t xml:space="preserve">– trīs apstiprinātie projekta iesniegumi ir atsaukti. Kopējās apstiprinātajos projektu iesniegumos pieprasītās attiecināmās izmaksas ir 6 839 182 LVL, tai skaitā ERAF finansējums LVL 4 635 957. Līdz 2013.gada 27.decembri ir noslēgti 17 līgumi un vienošanās par 2.1.1.1.aktivitātes otrās projektu iesnieguma atlases kārtas projektu īstenošanu kopsummā par 4 648 023 LVL, tai skaitā ERAF finansējums ir 3 105 062 LVL. </w:t>
            </w:r>
          </w:p>
          <w:p w:rsidR="00414FC4" w:rsidRPr="00327875" w:rsidRDefault="008566ED" w:rsidP="00A06125">
            <w:pPr>
              <w:spacing w:before="6" w:after="0" w:line="240" w:lineRule="auto"/>
              <w:ind w:left="170" w:right="141"/>
              <w:jc w:val="both"/>
              <w:rPr>
                <w:rFonts w:ascii="Times New Roman" w:hAnsi="Times New Roman" w:cs="Times New Roman"/>
                <w:sz w:val="24"/>
                <w:szCs w:val="24"/>
              </w:rPr>
            </w:pPr>
            <w:r w:rsidRPr="00327875">
              <w:rPr>
                <w:rFonts w:ascii="Times New Roman" w:hAnsi="Times New Roman" w:cs="Times New Roman"/>
                <w:sz w:val="24"/>
                <w:szCs w:val="24"/>
              </w:rPr>
              <w:t>1. </w:t>
            </w:r>
            <w:r w:rsidR="002E37CD" w:rsidRPr="00327875">
              <w:rPr>
                <w:rFonts w:ascii="Times New Roman" w:hAnsi="Times New Roman" w:cs="Times New Roman"/>
                <w:sz w:val="24"/>
                <w:szCs w:val="24"/>
              </w:rPr>
              <w:t xml:space="preserve">Saskaņā ar Ministru kabineta 2013.gada 3.janvāra noteikumu Nr.14 „Noteikumi par darbības programmas „Uzņēmējdarbība un inovācijas” papildinājuma 2.1.1.1.aktivitātes „Atbalsts zinātnei un pētniecībai” otro un trešo projektu iesniegumu atlases kārtu” (turpmāk – noteikumi Nr.14) 67.punktu projekta iesniedzējs pirms vienošanās vai līguma par projekta īstenošanu noslēgšanas sadarbības iestādē iesniedz kredītiestādes pirmā pieprasījuma līguma izpildes garantijas vēstuli divu procentu vērtībā no pieprasītā publiskā finansējuma. Garantijas vēstulē noteikts, ka projekta iesniedzējam 12 mēnešu laikā, aktivitātes trešajā kārtā – sešu mēnešu laikā no dienas, kad tiks noslēgta vienošanās vai līgums par projekta īstenošanu ar sadarbības iestādi, sadarbības iestādē ir jāiesniedz starpposma maksājuma pieprasījums vismaz par 35 % no pieprasītā publiskā finansējuma apmēra (turpmāk – </w:t>
            </w:r>
            <w:r w:rsidR="002E37CD" w:rsidRPr="00327875">
              <w:rPr>
                <w:rFonts w:ascii="Times New Roman" w:hAnsi="Times New Roman" w:cs="Times New Roman"/>
                <w:sz w:val="24"/>
                <w:szCs w:val="24"/>
              </w:rPr>
              <w:lastRenderedPageBreak/>
              <w:t>garantijas vēstule)</w:t>
            </w:r>
            <w:r w:rsidR="00353D3F" w:rsidRPr="00327875">
              <w:rPr>
                <w:rFonts w:ascii="Times New Roman" w:hAnsi="Times New Roman" w:cs="Times New Roman"/>
                <w:sz w:val="24"/>
                <w:szCs w:val="24"/>
              </w:rPr>
              <w:t>. Minētā norma</w:t>
            </w:r>
            <w:r w:rsidR="0079209A" w:rsidRPr="00327875">
              <w:rPr>
                <w:rFonts w:ascii="Times New Roman" w:hAnsi="Times New Roman" w:cs="Times New Roman"/>
                <w:sz w:val="24"/>
                <w:szCs w:val="24"/>
              </w:rPr>
              <w:t xml:space="preserve"> </w:t>
            </w:r>
            <w:r w:rsidR="006F7D4F" w:rsidRPr="00327875">
              <w:rPr>
                <w:rFonts w:ascii="Times New Roman" w:hAnsi="Times New Roman" w:cs="Times New Roman"/>
                <w:sz w:val="24"/>
                <w:szCs w:val="24"/>
              </w:rPr>
              <w:t>rada</w:t>
            </w:r>
            <w:r w:rsidR="00414FC4" w:rsidRPr="00327875">
              <w:rPr>
                <w:rFonts w:ascii="Times New Roman" w:hAnsi="Times New Roman" w:cs="Times New Roman"/>
                <w:sz w:val="24"/>
                <w:szCs w:val="24"/>
              </w:rPr>
              <w:t xml:space="preserve"> šādas problēmas:</w:t>
            </w:r>
          </w:p>
          <w:p w:rsidR="002E37CD" w:rsidRPr="00327875" w:rsidRDefault="00414FC4" w:rsidP="00A06125">
            <w:pPr>
              <w:spacing w:before="6" w:after="0" w:line="240" w:lineRule="auto"/>
              <w:ind w:left="170" w:right="141"/>
              <w:jc w:val="both"/>
              <w:rPr>
                <w:rFonts w:ascii="Times New Roman" w:hAnsi="Times New Roman" w:cs="Times New Roman"/>
                <w:sz w:val="24"/>
                <w:szCs w:val="24"/>
              </w:rPr>
            </w:pPr>
            <w:r w:rsidRPr="00327875">
              <w:rPr>
                <w:rFonts w:ascii="Times New Roman" w:hAnsi="Times New Roman" w:cs="Times New Roman"/>
                <w:sz w:val="24"/>
                <w:szCs w:val="24"/>
              </w:rPr>
              <w:t>– </w:t>
            </w:r>
            <w:r w:rsidR="006F7D4F" w:rsidRPr="00327875">
              <w:rPr>
                <w:rFonts w:ascii="Times New Roman" w:hAnsi="Times New Roman" w:cs="Times New Roman"/>
                <w:sz w:val="24"/>
                <w:szCs w:val="24"/>
              </w:rPr>
              <w:t>papildu slogu institūciju budžetiem</w:t>
            </w:r>
            <w:r w:rsidR="00CA132B" w:rsidRPr="00327875">
              <w:rPr>
                <w:rFonts w:ascii="Times New Roman" w:hAnsi="Times New Roman" w:cs="Times New Roman"/>
                <w:sz w:val="24"/>
                <w:szCs w:val="24"/>
              </w:rPr>
              <w:t>, ”iesaldējot”</w:t>
            </w:r>
            <w:r w:rsidR="00353D3F" w:rsidRPr="00327875">
              <w:rPr>
                <w:rFonts w:ascii="Times New Roman" w:hAnsi="Times New Roman" w:cs="Times New Roman"/>
                <w:sz w:val="24"/>
                <w:szCs w:val="24"/>
              </w:rPr>
              <w:t xml:space="preserve"> institūciju </w:t>
            </w:r>
            <w:r w:rsidR="00CA132B" w:rsidRPr="00327875">
              <w:rPr>
                <w:rFonts w:ascii="Times New Roman" w:hAnsi="Times New Roman" w:cs="Times New Roman"/>
                <w:sz w:val="24"/>
                <w:szCs w:val="24"/>
              </w:rPr>
              <w:t xml:space="preserve">finanšu resursus. Īpaši </w:t>
            </w:r>
            <w:r w:rsidR="009F11B0" w:rsidRPr="00327875">
              <w:rPr>
                <w:rFonts w:ascii="Times New Roman" w:hAnsi="Times New Roman" w:cs="Times New Roman"/>
                <w:sz w:val="24"/>
                <w:szCs w:val="24"/>
              </w:rPr>
              <w:t xml:space="preserve">augsts </w:t>
            </w:r>
            <w:r w:rsidR="00170CF6" w:rsidRPr="00327875">
              <w:rPr>
                <w:rFonts w:ascii="Times New Roman" w:hAnsi="Times New Roman" w:cs="Times New Roman"/>
                <w:sz w:val="24"/>
                <w:szCs w:val="24"/>
              </w:rPr>
              <w:t>papildu finanšu slogs</w:t>
            </w:r>
            <w:r w:rsidR="009F11B0" w:rsidRPr="00327875">
              <w:rPr>
                <w:rFonts w:ascii="Times New Roman" w:hAnsi="Times New Roman" w:cs="Times New Roman"/>
                <w:sz w:val="24"/>
                <w:szCs w:val="24"/>
              </w:rPr>
              <w:t xml:space="preserve"> var veidoties konkurētspējīgāk</w:t>
            </w:r>
            <w:r w:rsidR="00A671EB" w:rsidRPr="00327875">
              <w:rPr>
                <w:rFonts w:ascii="Times New Roman" w:hAnsi="Times New Roman" w:cs="Times New Roman"/>
                <w:sz w:val="24"/>
                <w:szCs w:val="24"/>
              </w:rPr>
              <w:t>aj</w:t>
            </w:r>
            <w:r w:rsidR="009F11B0" w:rsidRPr="00327875">
              <w:rPr>
                <w:rFonts w:ascii="Times New Roman" w:hAnsi="Times New Roman" w:cs="Times New Roman"/>
                <w:sz w:val="24"/>
                <w:szCs w:val="24"/>
              </w:rPr>
              <w:t>ām</w:t>
            </w:r>
            <w:r w:rsidR="00E11C69" w:rsidRPr="00327875">
              <w:rPr>
                <w:rFonts w:ascii="Times New Roman" w:hAnsi="Times New Roman" w:cs="Times New Roman"/>
                <w:sz w:val="24"/>
                <w:szCs w:val="24"/>
              </w:rPr>
              <w:t xml:space="preserve"> </w:t>
            </w:r>
            <w:r w:rsidR="00A671EB" w:rsidRPr="00327875">
              <w:rPr>
                <w:rFonts w:ascii="Times New Roman" w:hAnsi="Times New Roman" w:cs="Times New Roman"/>
                <w:sz w:val="24"/>
                <w:szCs w:val="24"/>
              </w:rPr>
              <w:t xml:space="preserve">valsts </w:t>
            </w:r>
            <w:r w:rsidR="009F11B0" w:rsidRPr="00327875">
              <w:rPr>
                <w:rFonts w:ascii="Times New Roman" w:hAnsi="Times New Roman" w:cs="Times New Roman"/>
                <w:sz w:val="24"/>
                <w:szCs w:val="24"/>
              </w:rPr>
              <w:t>zinātniskajām institūcijām, kas</w:t>
            </w:r>
            <w:r w:rsidR="0049580F" w:rsidRPr="00327875">
              <w:rPr>
                <w:rFonts w:ascii="Times New Roman" w:hAnsi="Times New Roman" w:cs="Times New Roman"/>
                <w:sz w:val="24"/>
                <w:szCs w:val="24"/>
              </w:rPr>
              <w:t xml:space="preserve"> </w:t>
            </w:r>
            <w:r w:rsidR="00050A16" w:rsidRPr="00327875">
              <w:rPr>
                <w:rFonts w:ascii="Times New Roman" w:hAnsi="Times New Roman" w:cs="Times New Roman"/>
                <w:sz w:val="24"/>
                <w:szCs w:val="24"/>
              </w:rPr>
              <w:t>plāno iesaistīties</w:t>
            </w:r>
            <w:r w:rsidR="0049580F" w:rsidRPr="00327875">
              <w:rPr>
                <w:rFonts w:ascii="Times New Roman" w:hAnsi="Times New Roman" w:cs="Times New Roman"/>
                <w:sz w:val="24"/>
                <w:szCs w:val="24"/>
              </w:rPr>
              <w:t xml:space="preserve"> otrās </w:t>
            </w:r>
            <w:r w:rsidR="00050A16" w:rsidRPr="00327875">
              <w:rPr>
                <w:rFonts w:ascii="Times New Roman" w:hAnsi="Times New Roman" w:cs="Times New Roman"/>
                <w:sz w:val="24"/>
                <w:szCs w:val="24"/>
              </w:rPr>
              <w:t xml:space="preserve">un trešās </w:t>
            </w:r>
            <w:r w:rsidR="0049580F" w:rsidRPr="00327875">
              <w:rPr>
                <w:rFonts w:ascii="Times New Roman" w:hAnsi="Times New Roman" w:cs="Times New Roman"/>
                <w:sz w:val="24"/>
                <w:szCs w:val="24"/>
              </w:rPr>
              <w:t xml:space="preserve">kārtas </w:t>
            </w:r>
            <w:r w:rsidR="00DF5B18" w:rsidRPr="00327875">
              <w:rPr>
                <w:rFonts w:ascii="Times New Roman" w:hAnsi="Times New Roman" w:cs="Times New Roman"/>
                <w:sz w:val="24"/>
                <w:szCs w:val="24"/>
              </w:rPr>
              <w:t xml:space="preserve">projektu </w:t>
            </w:r>
            <w:r w:rsidR="0049580F" w:rsidRPr="00327875">
              <w:rPr>
                <w:rFonts w:ascii="Times New Roman" w:hAnsi="Times New Roman" w:cs="Times New Roman"/>
                <w:sz w:val="24"/>
                <w:szCs w:val="24"/>
              </w:rPr>
              <w:t>īstenošanā</w:t>
            </w:r>
            <w:r w:rsidR="00A5046C" w:rsidRPr="00327875">
              <w:rPr>
                <w:rFonts w:ascii="Times New Roman" w:hAnsi="Times New Roman" w:cs="Times New Roman"/>
                <w:sz w:val="24"/>
                <w:szCs w:val="24"/>
              </w:rPr>
              <w:t>.</w:t>
            </w:r>
            <w:r w:rsidR="00E11C69" w:rsidRPr="00327875">
              <w:rPr>
                <w:rFonts w:ascii="Times New Roman" w:hAnsi="Times New Roman" w:cs="Times New Roman"/>
                <w:sz w:val="24"/>
                <w:szCs w:val="24"/>
              </w:rPr>
              <w:t xml:space="preserve"> </w:t>
            </w:r>
            <w:r w:rsidR="00335057" w:rsidRPr="00327875">
              <w:rPr>
                <w:rFonts w:ascii="Times New Roman" w:hAnsi="Times New Roman" w:cs="Times New Roman"/>
                <w:sz w:val="24"/>
                <w:szCs w:val="24"/>
              </w:rPr>
              <w:t xml:space="preserve">Piemēram, </w:t>
            </w:r>
            <w:r w:rsidR="00343FCE" w:rsidRPr="00327875">
              <w:rPr>
                <w:rFonts w:ascii="Times New Roman" w:hAnsi="Times New Roman" w:cs="Times New Roman"/>
                <w:sz w:val="24"/>
                <w:szCs w:val="24"/>
              </w:rPr>
              <w:t xml:space="preserve">lai </w:t>
            </w:r>
            <w:r w:rsidR="00772783" w:rsidRPr="00327875">
              <w:rPr>
                <w:rFonts w:ascii="Times New Roman" w:hAnsi="Times New Roman" w:cs="Times New Roman"/>
                <w:sz w:val="24"/>
                <w:szCs w:val="24"/>
              </w:rPr>
              <w:t>noslēgtu līgumu par</w:t>
            </w:r>
            <w:r w:rsidR="00343FCE" w:rsidRPr="00327875">
              <w:rPr>
                <w:rFonts w:ascii="Times New Roman" w:hAnsi="Times New Roman" w:cs="Times New Roman"/>
                <w:sz w:val="24"/>
                <w:szCs w:val="24"/>
              </w:rPr>
              <w:t xml:space="preserve"> </w:t>
            </w:r>
            <w:r w:rsidR="00335057" w:rsidRPr="00327875">
              <w:rPr>
                <w:rFonts w:ascii="Times New Roman" w:hAnsi="Times New Roman" w:cs="Times New Roman"/>
                <w:sz w:val="24"/>
                <w:szCs w:val="24"/>
              </w:rPr>
              <w:t>v</w:t>
            </w:r>
            <w:r w:rsidR="002D1919" w:rsidRPr="00327875">
              <w:rPr>
                <w:rFonts w:ascii="Times New Roman" w:hAnsi="Times New Roman" w:cs="Times New Roman"/>
                <w:sz w:val="24"/>
                <w:szCs w:val="24"/>
              </w:rPr>
              <w:t>iena projekta</w:t>
            </w:r>
            <w:r w:rsidR="009F11B0" w:rsidRPr="00327875">
              <w:rPr>
                <w:rFonts w:ascii="Times New Roman" w:hAnsi="Times New Roman" w:cs="Times New Roman"/>
                <w:sz w:val="24"/>
                <w:szCs w:val="24"/>
              </w:rPr>
              <w:t xml:space="preserve"> </w:t>
            </w:r>
            <w:r w:rsidR="00772783" w:rsidRPr="00327875">
              <w:rPr>
                <w:rFonts w:ascii="Times New Roman" w:hAnsi="Times New Roman" w:cs="Times New Roman"/>
                <w:sz w:val="24"/>
                <w:szCs w:val="24"/>
              </w:rPr>
              <w:t xml:space="preserve">īstenošanu, </w:t>
            </w:r>
            <w:r w:rsidR="006F3980" w:rsidRPr="00327875">
              <w:rPr>
                <w:rFonts w:ascii="Times New Roman" w:hAnsi="Times New Roman" w:cs="Times New Roman"/>
                <w:sz w:val="24"/>
                <w:szCs w:val="24"/>
              </w:rPr>
              <w:t xml:space="preserve">valsts </w:t>
            </w:r>
            <w:r w:rsidR="00772783" w:rsidRPr="00327875">
              <w:rPr>
                <w:rFonts w:ascii="Times New Roman" w:hAnsi="Times New Roman" w:cs="Times New Roman"/>
                <w:sz w:val="24"/>
                <w:szCs w:val="24"/>
              </w:rPr>
              <w:t xml:space="preserve">zinātniskajai institūcijai </w:t>
            </w:r>
            <w:r w:rsidR="006F3980" w:rsidRPr="00327875">
              <w:rPr>
                <w:rFonts w:ascii="Times New Roman" w:hAnsi="Times New Roman" w:cs="Times New Roman"/>
                <w:sz w:val="24"/>
                <w:szCs w:val="24"/>
              </w:rPr>
              <w:t>ir nepieciešami</w:t>
            </w:r>
            <w:r w:rsidR="00343FCE" w:rsidRPr="00327875">
              <w:rPr>
                <w:rFonts w:ascii="Times New Roman" w:hAnsi="Times New Roman" w:cs="Times New Roman"/>
                <w:sz w:val="24"/>
                <w:szCs w:val="24"/>
              </w:rPr>
              <w:t xml:space="preserve"> </w:t>
            </w:r>
            <w:r w:rsidR="00B367CC" w:rsidRPr="00327875">
              <w:rPr>
                <w:rFonts w:ascii="Times New Roman" w:hAnsi="Times New Roman" w:cs="Times New Roman"/>
                <w:sz w:val="24"/>
                <w:szCs w:val="24"/>
              </w:rPr>
              <w:t xml:space="preserve">papildu </w:t>
            </w:r>
            <w:r w:rsidR="006F3980" w:rsidRPr="00327875">
              <w:rPr>
                <w:rFonts w:ascii="Times New Roman" w:hAnsi="Times New Roman" w:cs="Times New Roman"/>
                <w:sz w:val="24"/>
                <w:szCs w:val="24"/>
              </w:rPr>
              <w:t>finanšu resursi</w:t>
            </w:r>
            <w:r w:rsidR="00235C32" w:rsidRPr="00327875">
              <w:rPr>
                <w:rFonts w:ascii="Times New Roman" w:hAnsi="Times New Roman" w:cs="Times New Roman"/>
                <w:sz w:val="24"/>
                <w:szCs w:val="24"/>
              </w:rPr>
              <w:t xml:space="preserve"> </w:t>
            </w:r>
            <w:r w:rsidR="00032367" w:rsidRPr="00327875">
              <w:rPr>
                <w:rFonts w:ascii="Times New Roman" w:hAnsi="Times New Roman" w:cs="Times New Roman"/>
                <w:sz w:val="24"/>
                <w:szCs w:val="24"/>
              </w:rPr>
              <w:t>2</w:t>
            </w:r>
            <w:r w:rsidR="00235C32" w:rsidRPr="00327875">
              <w:rPr>
                <w:rFonts w:ascii="Times New Roman" w:hAnsi="Times New Roman" w:cs="Times New Roman"/>
                <w:sz w:val="24"/>
                <w:szCs w:val="24"/>
              </w:rPr>
              <w:t xml:space="preserve">% </w:t>
            </w:r>
            <w:r w:rsidR="005B32B8" w:rsidRPr="00327875">
              <w:rPr>
                <w:rFonts w:ascii="Times New Roman" w:hAnsi="Times New Roman" w:cs="Times New Roman"/>
                <w:sz w:val="24"/>
                <w:szCs w:val="24"/>
              </w:rPr>
              <w:t xml:space="preserve">apmērā </w:t>
            </w:r>
            <w:r w:rsidR="00235C32" w:rsidRPr="00327875">
              <w:rPr>
                <w:rFonts w:ascii="Times New Roman" w:hAnsi="Times New Roman" w:cs="Times New Roman"/>
                <w:sz w:val="24"/>
                <w:szCs w:val="24"/>
              </w:rPr>
              <w:t xml:space="preserve">no </w:t>
            </w:r>
            <w:r w:rsidR="006F3980" w:rsidRPr="00327875">
              <w:rPr>
                <w:rFonts w:ascii="Times New Roman" w:hAnsi="Times New Roman" w:cs="Times New Roman"/>
                <w:sz w:val="24"/>
                <w:szCs w:val="24"/>
              </w:rPr>
              <w:t xml:space="preserve">projekta </w:t>
            </w:r>
            <w:r w:rsidR="00DF5B18" w:rsidRPr="00327875">
              <w:rPr>
                <w:rFonts w:ascii="Times New Roman" w:hAnsi="Times New Roman" w:cs="Times New Roman"/>
                <w:sz w:val="24"/>
                <w:szCs w:val="24"/>
              </w:rPr>
              <w:t xml:space="preserve">ERAF </w:t>
            </w:r>
            <w:r w:rsidR="003F102B" w:rsidRPr="00327875">
              <w:rPr>
                <w:rFonts w:ascii="Times New Roman" w:hAnsi="Times New Roman" w:cs="Times New Roman"/>
                <w:sz w:val="24"/>
                <w:szCs w:val="24"/>
              </w:rPr>
              <w:t>finansējuma</w:t>
            </w:r>
            <w:r w:rsidR="009E33BB" w:rsidRPr="00327875">
              <w:rPr>
                <w:rFonts w:ascii="Times New Roman" w:hAnsi="Times New Roman" w:cs="Times New Roman"/>
                <w:sz w:val="24"/>
                <w:szCs w:val="24"/>
              </w:rPr>
              <w:t xml:space="preserve"> (līdz </w:t>
            </w:r>
            <w:r w:rsidR="00646704" w:rsidRPr="00327875">
              <w:rPr>
                <w:rFonts w:ascii="Times New Roman" w:hAnsi="Times New Roman" w:cs="Times New Roman"/>
                <w:sz w:val="24"/>
                <w:szCs w:val="24"/>
              </w:rPr>
              <w:t>~</w:t>
            </w:r>
            <w:r w:rsidR="00032367" w:rsidRPr="00327875">
              <w:rPr>
                <w:rFonts w:ascii="Times New Roman" w:hAnsi="Times New Roman" w:cs="Times New Roman"/>
                <w:sz w:val="24"/>
                <w:szCs w:val="24"/>
              </w:rPr>
              <w:t xml:space="preserve"> 11,4 tūkstošiem </w:t>
            </w:r>
            <w:proofErr w:type="spellStart"/>
            <w:r w:rsidR="005B32B8" w:rsidRPr="00327875">
              <w:rPr>
                <w:rFonts w:ascii="Times New Roman" w:hAnsi="Times New Roman" w:cs="Times New Roman"/>
                <w:i/>
                <w:sz w:val="24"/>
                <w:szCs w:val="24"/>
              </w:rPr>
              <w:t>euro</w:t>
            </w:r>
            <w:proofErr w:type="spellEnd"/>
            <w:r w:rsidR="005B32B8" w:rsidRPr="00327875">
              <w:rPr>
                <w:rFonts w:ascii="Times New Roman" w:hAnsi="Times New Roman" w:cs="Times New Roman"/>
                <w:sz w:val="24"/>
                <w:szCs w:val="24"/>
              </w:rPr>
              <w:t>)</w:t>
            </w:r>
            <w:r w:rsidR="00C264FF">
              <w:rPr>
                <w:rFonts w:ascii="Times New Roman" w:hAnsi="Times New Roman" w:cs="Times New Roman"/>
                <w:sz w:val="24"/>
                <w:szCs w:val="24"/>
              </w:rPr>
              <w:t>;</w:t>
            </w:r>
          </w:p>
          <w:p w:rsidR="009E1A8D" w:rsidRPr="00327875" w:rsidRDefault="00414FC4" w:rsidP="00A06125">
            <w:pPr>
              <w:spacing w:before="6" w:after="0" w:line="240" w:lineRule="auto"/>
              <w:ind w:left="170" w:right="141"/>
              <w:jc w:val="both"/>
              <w:rPr>
                <w:rFonts w:ascii="Times New Roman" w:hAnsi="Times New Roman" w:cs="Times New Roman"/>
                <w:sz w:val="24"/>
                <w:szCs w:val="24"/>
              </w:rPr>
            </w:pPr>
            <w:r w:rsidRPr="00327875">
              <w:rPr>
                <w:rFonts w:ascii="Times New Roman" w:hAnsi="Times New Roman" w:cs="Times New Roman"/>
                <w:sz w:val="24"/>
                <w:szCs w:val="24"/>
              </w:rPr>
              <w:t>– </w:t>
            </w:r>
            <w:r w:rsidR="005C6A95" w:rsidRPr="00327875">
              <w:rPr>
                <w:rFonts w:ascii="Times New Roman" w:hAnsi="Times New Roman" w:cs="Times New Roman"/>
                <w:sz w:val="24"/>
                <w:szCs w:val="24"/>
              </w:rPr>
              <w:t xml:space="preserve">struktūrfondu apguves </w:t>
            </w:r>
            <w:r w:rsidR="00572833" w:rsidRPr="00327875">
              <w:rPr>
                <w:rFonts w:ascii="Times New Roman" w:hAnsi="Times New Roman" w:cs="Times New Roman"/>
                <w:sz w:val="24"/>
                <w:szCs w:val="24"/>
              </w:rPr>
              <w:t>risku</w:t>
            </w:r>
            <w:r w:rsidRPr="00327875">
              <w:rPr>
                <w:rFonts w:ascii="Times New Roman" w:hAnsi="Times New Roman" w:cs="Times New Roman"/>
                <w:sz w:val="24"/>
                <w:szCs w:val="24"/>
              </w:rPr>
              <w:t>, jo</w:t>
            </w:r>
            <w:r w:rsidR="00572833" w:rsidRPr="00327875">
              <w:rPr>
                <w:rFonts w:ascii="Times New Roman" w:hAnsi="Times New Roman" w:cs="Times New Roman"/>
                <w:sz w:val="24"/>
                <w:szCs w:val="24"/>
              </w:rPr>
              <w:t xml:space="preserve"> </w:t>
            </w:r>
            <w:r w:rsidR="00334584" w:rsidRPr="00327875">
              <w:rPr>
                <w:rFonts w:ascii="Times New Roman" w:hAnsi="Times New Roman" w:cs="Times New Roman"/>
                <w:sz w:val="24"/>
                <w:szCs w:val="24"/>
              </w:rPr>
              <w:t xml:space="preserve">ne visām valsts zinātniskajām institūcijām – publiskām aģentūrām, atvasinātām publiskām personām - ir norēķinu konti </w:t>
            </w:r>
            <w:proofErr w:type="spellStart"/>
            <w:r w:rsidR="00334584" w:rsidRPr="00327875">
              <w:rPr>
                <w:rFonts w:ascii="Times New Roman" w:hAnsi="Times New Roman" w:cs="Times New Roman"/>
                <w:sz w:val="24"/>
                <w:szCs w:val="24"/>
              </w:rPr>
              <w:t>komerciestādēs</w:t>
            </w:r>
            <w:proofErr w:type="spellEnd"/>
            <w:r w:rsidR="00334584" w:rsidRPr="00327875">
              <w:rPr>
                <w:rFonts w:ascii="Times New Roman" w:hAnsi="Times New Roman" w:cs="Times New Roman"/>
                <w:sz w:val="24"/>
                <w:szCs w:val="24"/>
              </w:rPr>
              <w:t xml:space="preserve"> (bankās)</w:t>
            </w:r>
            <w:r w:rsidR="00ED0C24" w:rsidRPr="00327875">
              <w:rPr>
                <w:rFonts w:ascii="Times New Roman" w:hAnsi="Times New Roman" w:cs="Times New Roman"/>
                <w:sz w:val="24"/>
                <w:szCs w:val="24"/>
              </w:rPr>
              <w:t xml:space="preserve">. Valsts dibināto zinātnisko institūciju norēķiniem tiek izmantoti Valsts kases konti. Savukārt Valsts kase atbilstoši Ministru kabineta 2004.gada 3.augusta noteikumiem Nr.677 „Valsts kases nolikums” ir Finanšu ministrijas pakļautībā esoša tiešās pārvaldes iestāde, kas nav tiesīga izsniegt noteikumos Nr.14 minētās garantijas. </w:t>
            </w:r>
            <w:r w:rsidR="00A04F28" w:rsidRPr="00327875">
              <w:rPr>
                <w:rFonts w:ascii="Times New Roman" w:hAnsi="Times New Roman" w:cs="Times New Roman"/>
                <w:sz w:val="24"/>
                <w:szCs w:val="24"/>
              </w:rPr>
              <w:t xml:space="preserve">Vēršam uzmanību, ka </w:t>
            </w:r>
            <w:r w:rsidR="00663F42" w:rsidRPr="00327875">
              <w:rPr>
                <w:rFonts w:ascii="Times New Roman" w:hAnsi="Times New Roman" w:cs="Times New Roman"/>
                <w:sz w:val="24"/>
                <w:szCs w:val="24"/>
              </w:rPr>
              <w:t xml:space="preserve">saskaņā ar </w:t>
            </w:r>
            <w:r w:rsidR="00A04F28" w:rsidRPr="00327875">
              <w:rPr>
                <w:rFonts w:ascii="Times New Roman" w:hAnsi="Times New Roman" w:cs="Times New Roman"/>
                <w:sz w:val="24"/>
                <w:szCs w:val="24"/>
              </w:rPr>
              <w:t>Latvijas tiesību sistēm</w:t>
            </w:r>
            <w:r w:rsidR="00CA4CFD" w:rsidRPr="00327875">
              <w:rPr>
                <w:rFonts w:ascii="Times New Roman" w:hAnsi="Times New Roman" w:cs="Times New Roman"/>
                <w:sz w:val="24"/>
                <w:szCs w:val="24"/>
              </w:rPr>
              <w:t>u</w:t>
            </w:r>
            <w:r w:rsidR="00A04F28" w:rsidRPr="00327875">
              <w:rPr>
                <w:rFonts w:ascii="Times New Roman" w:hAnsi="Times New Roman" w:cs="Times New Roman"/>
                <w:sz w:val="24"/>
                <w:szCs w:val="24"/>
              </w:rPr>
              <w:t xml:space="preserve"> institūcijām</w:t>
            </w:r>
            <w:r w:rsidR="00663F42" w:rsidRPr="00327875">
              <w:rPr>
                <w:rFonts w:ascii="Times New Roman" w:hAnsi="Times New Roman" w:cs="Times New Roman"/>
                <w:sz w:val="24"/>
                <w:szCs w:val="24"/>
              </w:rPr>
              <w:t>, tai skaitā valsts zinātniskajiem institūtiem</w:t>
            </w:r>
            <w:r w:rsidR="000A3B21" w:rsidRPr="00327875">
              <w:rPr>
                <w:rFonts w:ascii="Times New Roman" w:hAnsi="Times New Roman" w:cs="Times New Roman"/>
                <w:sz w:val="24"/>
                <w:szCs w:val="24"/>
              </w:rPr>
              <w:t>,</w:t>
            </w:r>
            <w:r w:rsidR="00A04F28" w:rsidRPr="00327875">
              <w:rPr>
                <w:rFonts w:ascii="Times New Roman" w:hAnsi="Times New Roman" w:cs="Times New Roman"/>
                <w:sz w:val="24"/>
                <w:szCs w:val="24"/>
              </w:rPr>
              <w:t xml:space="preserve"> </w:t>
            </w:r>
            <w:r w:rsidR="00CA4CFD" w:rsidRPr="00327875">
              <w:rPr>
                <w:rFonts w:ascii="Times New Roman" w:hAnsi="Times New Roman" w:cs="Times New Roman"/>
                <w:sz w:val="24"/>
                <w:szCs w:val="24"/>
              </w:rPr>
              <w:t>nav pienākums atvērt kontus kredītiestādēs, jo 2.1.1.1.aktivitātes otrās projektu iesniegumu atlases kārtas ietvaros finansējuma saņēmēj</w:t>
            </w:r>
            <w:r w:rsidR="00870437" w:rsidRPr="00327875">
              <w:rPr>
                <w:rFonts w:ascii="Times New Roman" w:hAnsi="Times New Roman" w:cs="Times New Roman"/>
                <w:sz w:val="24"/>
                <w:szCs w:val="24"/>
              </w:rPr>
              <w:t>s</w:t>
            </w:r>
            <w:r w:rsidR="00CA4CFD" w:rsidRPr="00327875">
              <w:rPr>
                <w:rFonts w:ascii="Times New Roman" w:hAnsi="Times New Roman" w:cs="Times New Roman"/>
                <w:sz w:val="24"/>
                <w:szCs w:val="24"/>
              </w:rPr>
              <w:t xml:space="preserve"> </w:t>
            </w:r>
            <w:r w:rsidR="000A3B21" w:rsidRPr="00327875">
              <w:rPr>
                <w:rFonts w:ascii="Times New Roman" w:hAnsi="Times New Roman" w:cs="Times New Roman"/>
                <w:sz w:val="24"/>
                <w:szCs w:val="24"/>
              </w:rPr>
              <w:t>(</w:t>
            </w:r>
            <w:r w:rsidR="00CA4CFD" w:rsidRPr="00327875">
              <w:rPr>
                <w:rFonts w:ascii="Times New Roman" w:hAnsi="Times New Roman" w:cs="Times New Roman"/>
                <w:sz w:val="24"/>
                <w:szCs w:val="24"/>
              </w:rPr>
              <w:t>neatkarīgi no tā vai t</w:t>
            </w:r>
            <w:r w:rsidR="00870437" w:rsidRPr="00327875">
              <w:rPr>
                <w:rFonts w:ascii="Times New Roman" w:hAnsi="Times New Roman" w:cs="Times New Roman"/>
                <w:sz w:val="24"/>
                <w:szCs w:val="24"/>
              </w:rPr>
              <w:t>as</w:t>
            </w:r>
            <w:r w:rsidR="00CA4CFD" w:rsidRPr="00327875">
              <w:rPr>
                <w:rFonts w:ascii="Times New Roman" w:hAnsi="Times New Roman" w:cs="Times New Roman"/>
                <w:sz w:val="24"/>
                <w:szCs w:val="24"/>
              </w:rPr>
              <w:t xml:space="preserve"> ir </w:t>
            </w:r>
            <w:r w:rsidR="000A3B21" w:rsidRPr="00327875">
              <w:rPr>
                <w:rFonts w:ascii="Times New Roman" w:hAnsi="Times New Roman" w:cs="Times New Roman"/>
                <w:sz w:val="24"/>
                <w:szCs w:val="24"/>
              </w:rPr>
              <w:t xml:space="preserve">privāto vai publisko tiesību </w:t>
            </w:r>
            <w:r w:rsidR="00870437" w:rsidRPr="00327875">
              <w:rPr>
                <w:rFonts w:ascii="Times New Roman" w:hAnsi="Times New Roman" w:cs="Times New Roman"/>
                <w:sz w:val="24"/>
                <w:szCs w:val="24"/>
              </w:rPr>
              <w:t>subjekts)</w:t>
            </w:r>
            <w:r w:rsidR="00CA4CFD" w:rsidRPr="00327875">
              <w:rPr>
                <w:rFonts w:ascii="Times New Roman" w:hAnsi="Times New Roman" w:cs="Times New Roman"/>
                <w:sz w:val="24"/>
                <w:szCs w:val="24"/>
              </w:rPr>
              <w:t xml:space="preserve"> MK </w:t>
            </w:r>
            <w:r w:rsidR="00796A3A" w:rsidRPr="00327875">
              <w:rPr>
                <w:rFonts w:ascii="Times New Roman" w:hAnsi="Times New Roman" w:cs="Times New Roman"/>
                <w:sz w:val="24"/>
                <w:szCs w:val="24"/>
              </w:rPr>
              <w:t>09.11.2010 noteikumiem Nr.1041 „Kārtība, kādā paredzami valsts budžeta līdzekļi Eiropas Savienības struktūrfondu un Kohēzijas fonda līdzfinansēto projektu īstenošanai, kā arī maksājumu veikšanas un izdevumu deklarācijas sagatavošanas kārtība” (turpmāk – MK noteikumi Nr.1041)</w:t>
            </w:r>
            <w:r w:rsidR="00CA4CFD" w:rsidRPr="00327875">
              <w:rPr>
                <w:rFonts w:ascii="Times New Roman" w:hAnsi="Times New Roman" w:cs="Times New Roman"/>
                <w:sz w:val="24"/>
                <w:szCs w:val="24"/>
              </w:rPr>
              <w:t xml:space="preserve"> izpratnē ir „cits finansējuma saņēmējs”, </w:t>
            </w:r>
            <w:r w:rsidR="00BF2D12" w:rsidRPr="00327875">
              <w:rPr>
                <w:rFonts w:ascii="Times New Roman" w:hAnsi="Times New Roman" w:cs="Times New Roman"/>
                <w:sz w:val="24"/>
                <w:szCs w:val="24"/>
              </w:rPr>
              <w:t xml:space="preserve">tādējādi </w:t>
            </w:r>
            <w:r w:rsidR="00CA4CFD" w:rsidRPr="00327875">
              <w:rPr>
                <w:rFonts w:ascii="Times New Roman" w:hAnsi="Times New Roman" w:cs="Times New Roman"/>
                <w:sz w:val="24"/>
                <w:szCs w:val="24"/>
              </w:rPr>
              <w:t>finansējuma saņēmēji avansa</w:t>
            </w:r>
            <w:r w:rsidR="00A83713" w:rsidRPr="00327875">
              <w:rPr>
                <w:rFonts w:ascii="Times New Roman" w:hAnsi="Times New Roman" w:cs="Times New Roman"/>
                <w:sz w:val="24"/>
                <w:szCs w:val="24"/>
              </w:rPr>
              <w:t>,</w:t>
            </w:r>
            <w:r w:rsidR="00CA4CFD" w:rsidRPr="00327875">
              <w:rPr>
                <w:rFonts w:ascii="Times New Roman" w:hAnsi="Times New Roman" w:cs="Times New Roman"/>
                <w:sz w:val="24"/>
                <w:szCs w:val="24"/>
              </w:rPr>
              <w:t xml:space="preserve"> </w:t>
            </w:r>
            <w:r w:rsidR="00F95F0F" w:rsidRPr="00327875">
              <w:rPr>
                <w:rFonts w:ascii="Times New Roman" w:hAnsi="Times New Roman" w:cs="Times New Roman"/>
                <w:sz w:val="24"/>
                <w:szCs w:val="24"/>
              </w:rPr>
              <w:t xml:space="preserve">starpposma </w:t>
            </w:r>
            <w:r w:rsidR="00CA4CFD" w:rsidRPr="00327875">
              <w:rPr>
                <w:rFonts w:ascii="Times New Roman" w:hAnsi="Times New Roman" w:cs="Times New Roman"/>
                <w:sz w:val="24"/>
                <w:szCs w:val="24"/>
              </w:rPr>
              <w:t xml:space="preserve">maksājuma </w:t>
            </w:r>
            <w:r w:rsidR="00A83713" w:rsidRPr="00327875">
              <w:rPr>
                <w:rFonts w:ascii="Times New Roman" w:hAnsi="Times New Roman" w:cs="Times New Roman"/>
                <w:sz w:val="24"/>
                <w:szCs w:val="24"/>
              </w:rPr>
              <w:t xml:space="preserve">un noslēguma maksājuma </w:t>
            </w:r>
            <w:r w:rsidR="00CA4CFD" w:rsidRPr="00327875">
              <w:rPr>
                <w:rFonts w:ascii="Times New Roman" w:hAnsi="Times New Roman" w:cs="Times New Roman"/>
                <w:sz w:val="24"/>
                <w:szCs w:val="24"/>
              </w:rPr>
              <w:t>saņemšanai</w:t>
            </w:r>
            <w:r w:rsidR="00A83713" w:rsidRPr="00327875">
              <w:rPr>
                <w:rFonts w:ascii="Times New Roman" w:hAnsi="Times New Roman" w:cs="Times New Roman"/>
                <w:sz w:val="24"/>
                <w:szCs w:val="24"/>
              </w:rPr>
              <w:t>, kā ar</w:t>
            </w:r>
            <w:r w:rsidR="00E95C4B" w:rsidRPr="00327875">
              <w:rPr>
                <w:rFonts w:ascii="Times New Roman" w:hAnsi="Times New Roman" w:cs="Times New Roman"/>
                <w:sz w:val="24"/>
                <w:szCs w:val="24"/>
              </w:rPr>
              <w:t>ī</w:t>
            </w:r>
            <w:r w:rsidR="00CA4CFD" w:rsidRPr="00327875">
              <w:rPr>
                <w:rFonts w:ascii="Times New Roman" w:hAnsi="Times New Roman" w:cs="Times New Roman"/>
                <w:sz w:val="24"/>
                <w:szCs w:val="24"/>
              </w:rPr>
              <w:t xml:space="preserve"> </w:t>
            </w:r>
            <w:r w:rsidR="00E95C4B" w:rsidRPr="00327875">
              <w:rPr>
                <w:rFonts w:ascii="Times New Roman" w:hAnsi="Times New Roman" w:cs="Times New Roman"/>
                <w:sz w:val="24"/>
                <w:szCs w:val="24"/>
              </w:rPr>
              <w:t>ES</w:t>
            </w:r>
            <w:r w:rsidR="00CA4CFD" w:rsidRPr="00327875">
              <w:rPr>
                <w:rFonts w:ascii="Times New Roman" w:hAnsi="Times New Roman" w:cs="Times New Roman"/>
                <w:sz w:val="24"/>
                <w:szCs w:val="24"/>
              </w:rPr>
              <w:t xml:space="preserve"> fonda projekta izdevumu veikšanai no saņemtā avansa maksājuma var atvērt kontu Valsts kasē vai kredītiestādē, kas atbilstoši normatīvajos aktos noteiktajai kārtībai reģistrējusies kredītiestādes darbības veikšanai Latvijas Republikā. </w:t>
            </w:r>
            <w:r w:rsidR="00E95C4B" w:rsidRPr="00327875">
              <w:rPr>
                <w:rFonts w:ascii="Times New Roman" w:hAnsi="Times New Roman" w:cs="Times New Roman"/>
                <w:sz w:val="24"/>
                <w:szCs w:val="24"/>
              </w:rPr>
              <w:t xml:space="preserve">Tādējādi </w:t>
            </w:r>
            <w:r w:rsidR="001F0BA4" w:rsidRPr="00327875">
              <w:rPr>
                <w:rFonts w:ascii="Times New Roman" w:hAnsi="Times New Roman" w:cs="Times New Roman"/>
                <w:sz w:val="24"/>
                <w:szCs w:val="24"/>
              </w:rPr>
              <w:t>normatīvie akti</w:t>
            </w:r>
            <w:r w:rsidR="00CA4CFD" w:rsidRPr="00327875">
              <w:rPr>
                <w:rFonts w:ascii="Times New Roman" w:hAnsi="Times New Roman" w:cs="Times New Roman"/>
                <w:sz w:val="24"/>
                <w:szCs w:val="24"/>
              </w:rPr>
              <w:t xml:space="preserve"> neierobežo finansējuma saņēmēju izvēl</w:t>
            </w:r>
            <w:r w:rsidR="001F0BA4" w:rsidRPr="00327875">
              <w:rPr>
                <w:rFonts w:ascii="Times New Roman" w:hAnsi="Times New Roman" w:cs="Times New Roman"/>
                <w:sz w:val="24"/>
                <w:szCs w:val="24"/>
              </w:rPr>
              <w:t>i</w:t>
            </w:r>
            <w:r w:rsidR="00CA4CFD" w:rsidRPr="00327875">
              <w:rPr>
                <w:rFonts w:ascii="Times New Roman" w:hAnsi="Times New Roman" w:cs="Times New Roman"/>
                <w:sz w:val="24"/>
                <w:szCs w:val="24"/>
              </w:rPr>
              <w:t xml:space="preserve"> kontu atvēršanai kredītiestādē vai Valsts kasē.</w:t>
            </w:r>
          </w:p>
          <w:p w:rsidR="00A96C85" w:rsidRPr="008925CF" w:rsidRDefault="00B93364" w:rsidP="00A06125">
            <w:pPr>
              <w:spacing w:line="240" w:lineRule="auto"/>
              <w:ind w:left="170" w:right="170"/>
              <w:contextualSpacing/>
              <w:jc w:val="both"/>
              <w:rPr>
                <w:rFonts w:ascii="Times New Roman" w:hAnsi="Times New Roman" w:cs="Times New Roman"/>
                <w:sz w:val="24"/>
                <w:szCs w:val="24"/>
              </w:rPr>
            </w:pPr>
            <w:r w:rsidRPr="008925CF">
              <w:rPr>
                <w:rFonts w:ascii="Times New Roman" w:hAnsi="Times New Roman" w:cs="Times New Roman"/>
                <w:sz w:val="24"/>
                <w:szCs w:val="24"/>
              </w:rPr>
              <w:t>P</w:t>
            </w:r>
            <w:r w:rsidR="00A96C85" w:rsidRPr="008925CF">
              <w:rPr>
                <w:rFonts w:ascii="Times New Roman" w:hAnsi="Times New Roman" w:cs="Times New Roman"/>
                <w:sz w:val="24"/>
                <w:szCs w:val="24"/>
              </w:rPr>
              <w:t>irmā pieprasījuma līguma izpildes garantija neliecina par finansējuma saņēmēja spēju nodrošināt finansējuma projekta īstenošanai. Lai nodrošinātu, ka aktivitātes ietvaros tiek apstiprināti finansiāli ilgtspējīgi projekti, projektu iesniegumi tiek vērtēti, ņemot vērā šai aktivitātei specifiskus komersanta kapacitāti raksturojošus kritērijus, tai skaitā:</w:t>
            </w:r>
          </w:p>
          <w:p w:rsidR="00A96C85" w:rsidRPr="008925CF" w:rsidRDefault="00A96C85" w:rsidP="00A06125">
            <w:pPr>
              <w:spacing w:line="240" w:lineRule="auto"/>
              <w:ind w:left="170" w:right="170"/>
              <w:contextualSpacing/>
              <w:jc w:val="both"/>
              <w:rPr>
                <w:rFonts w:ascii="Times New Roman" w:hAnsi="Times New Roman" w:cs="Times New Roman"/>
                <w:sz w:val="24"/>
                <w:szCs w:val="24"/>
              </w:rPr>
            </w:pPr>
            <w:r w:rsidRPr="008925CF">
              <w:rPr>
                <w:rFonts w:ascii="Times New Roman" w:hAnsi="Times New Roman" w:cs="Times New Roman"/>
                <w:sz w:val="24"/>
                <w:szCs w:val="24"/>
              </w:rPr>
              <w:t xml:space="preserve">- 8.1.kvalitātes kritērijs „Labuma guvēja spēja nodrošināt finansējumu projekta īstenošanai”, kas nosaka, ka augstāku vērtējumu saņem tas projekts, kurā īstenošanā iesaistīts komersants ar lielāku pašu kapitālu (lai projekts kvalificētos atbalsta saņemšanai, iesaistītā komersanta minimālais pašu kapitāla apmērs 12521 </w:t>
            </w:r>
            <w:proofErr w:type="spellStart"/>
            <w:r w:rsidRPr="008925CF">
              <w:rPr>
                <w:rFonts w:ascii="Times New Roman" w:hAnsi="Times New Roman" w:cs="Times New Roman"/>
                <w:sz w:val="24"/>
                <w:szCs w:val="24"/>
              </w:rPr>
              <w:t>euro</w:t>
            </w:r>
            <w:proofErr w:type="spellEnd"/>
            <w:r w:rsidRPr="008925CF">
              <w:rPr>
                <w:rFonts w:ascii="Times New Roman" w:hAnsi="Times New Roman" w:cs="Times New Roman"/>
                <w:sz w:val="24"/>
                <w:szCs w:val="24"/>
              </w:rPr>
              <w:t>);</w:t>
            </w:r>
          </w:p>
          <w:p w:rsidR="00A96C85" w:rsidRPr="008925CF" w:rsidRDefault="00A96C85" w:rsidP="00A06125">
            <w:pPr>
              <w:spacing w:line="240" w:lineRule="auto"/>
              <w:ind w:left="170" w:right="170"/>
              <w:contextualSpacing/>
              <w:jc w:val="both"/>
              <w:rPr>
                <w:rFonts w:ascii="Times New Roman" w:hAnsi="Times New Roman" w:cs="Times New Roman"/>
                <w:sz w:val="24"/>
                <w:szCs w:val="24"/>
              </w:rPr>
            </w:pPr>
            <w:r w:rsidRPr="008925CF">
              <w:rPr>
                <w:rFonts w:ascii="Times New Roman" w:hAnsi="Times New Roman" w:cs="Times New Roman"/>
                <w:sz w:val="24"/>
                <w:szCs w:val="24"/>
              </w:rPr>
              <w:t xml:space="preserve">– saskaņā ar noteikumu 20.2. un 20.1 2.apakšpunktu komersantam pieejamais ERAF finansējums ir tieši </w:t>
            </w:r>
            <w:r w:rsidRPr="008925CF">
              <w:rPr>
                <w:rFonts w:ascii="Times New Roman" w:hAnsi="Times New Roman" w:cs="Times New Roman"/>
                <w:sz w:val="24"/>
                <w:szCs w:val="24"/>
              </w:rPr>
              <w:lastRenderedPageBreak/>
              <w:t xml:space="preserve">proporcionāls pašu kapitāla apmēram (piem., lai 3.kārtā iesniegtu projektu, kura ietvaros veic </w:t>
            </w:r>
            <w:proofErr w:type="spellStart"/>
            <w:r w:rsidRPr="008925CF">
              <w:rPr>
                <w:rFonts w:ascii="Times New Roman" w:hAnsi="Times New Roman" w:cs="Times New Roman"/>
                <w:sz w:val="24"/>
                <w:szCs w:val="24"/>
              </w:rPr>
              <w:t>līgumpētījumu</w:t>
            </w:r>
            <w:proofErr w:type="spellEnd"/>
            <w:r w:rsidRPr="008925CF">
              <w:rPr>
                <w:rFonts w:ascii="Times New Roman" w:hAnsi="Times New Roman" w:cs="Times New Roman"/>
                <w:sz w:val="24"/>
                <w:szCs w:val="24"/>
              </w:rPr>
              <w:t>, komersanta minimālais pašu kapitāla apmērs ir 85 372 EUR).</w:t>
            </w:r>
          </w:p>
          <w:p w:rsidR="00A96C85" w:rsidRPr="008925CF" w:rsidRDefault="00A96C85" w:rsidP="00A06125">
            <w:pPr>
              <w:spacing w:before="6" w:after="0" w:line="240" w:lineRule="auto"/>
              <w:ind w:left="170" w:right="170"/>
              <w:jc w:val="both"/>
              <w:rPr>
                <w:rFonts w:ascii="Times New Roman" w:hAnsi="Times New Roman" w:cs="Times New Roman"/>
                <w:sz w:val="24"/>
                <w:szCs w:val="24"/>
              </w:rPr>
            </w:pPr>
            <w:r w:rsidRPr="008925CF">
              <w:rPr>
                <w:rFonts w:ascii="Times New Roman" w:hAnsi="Times New Roman" w:cs="Times New Roman"/>
                <w:sz w:val="24"/>
                <w:szCs w:val="24"/>
              </w:rPr>
              <w:t xml:space="preserve">Līdz ar to </w:t>
            </w:r>
            <w:r w:rsidR="00AD6D5F" w:rsidRPr="008925CF">
              <w:rPr>
                <w:rFonts w:ascii="Times New Roman" w:hAnsi="Times New Roman" w:cs="Times New Roman"/>
                <w:sz w:val="24"/>
                <w:szCs w:val="24"/>
              </w:rPr>
              <w:t xml:space="preserve">nav nepieciešams </w:t>
            </w:r>
            <w:r w:rsidR="00F844FF" w:rsidRPr="008925CF">
              <w:rPr>
                <w:rFonts w:ascii="Times New Roman" w:hAnsi="Times New Roman" w:cs="Times New Roman"/>
                <w:sz w:val="24"/>
                <w:szCs w:val="24"/>
              </w:rPr>
              <w:t>komersantiem izvirzīt</w:t>
            </w:r>
            <w:r w:rsidRPr="008925CF">
              <w:rPr>
                <w:rFonts w:ascii="Times New Roman" w:hAnsi="Times New Roman" w:cs="Times New Roman"/>
                <w:sz w:val="24"/>
                <w:szCs w:val="24"/>
              </w:rPr>
              <w:t xml:space="preserve"> </w:t>
            </w:r>
            <w:r w:rsidR="00F844FF" w:rsidRPr="008925CF">
              <w:rPr>
                <w:rFonts w:ascii="Times New Roman" w:hAnsi="Times New Roman" w:cs="Times New Roman"/>
                <w:sz w:val="24"/>
                <w:szCs w:val="24"/>
              </w:rPr>
              <w:t xml:space="preserve">papildu </w:t>
            </w:r>
            <w:r w:rsidRPr="008925CF">
              <w:rPr>
                <w:rFonts w:ascii="Times New Roman" w:hAnsi="Times New Roman" w:cs="Times New Roman"/>
                <w:sz w:val="24"/>
                <w:szCs w:val="24"/>
              </w:rPr>
              <w:t>prasības par pirmā pieprasījuma līguma izpildes garantiju.</w:t>
            </w:r>
          </w:p>
          <w:p w:rsidR="002E37CD" w:rsidRPr="00327875" w:rsidRDefault="001763C1" w:rsidP="00A06125">
            <w:pPr>
              <w:spacing w:before="6" w:after="0" w:line="240" w:lineRule="auto"/>
              <w:ind w:left="170" w:right="141"/>
              <w:jc w:val="both"/>
              <w:rPr>
                <w:rFonts w:ascii="Times New Roman" w:hAnsi="Times New Roman" w:cs="Times New Roman"/>
                <w:sz w:val="24"/>
                <w:szCs w:val="24"/>
              </w:rPr>
            </w:pPr>
            <w:r w:rsidRPr="00327875">
              <w:rPr>
                <w:rFonts w:ascii="Times New Roman" w:hAnsi="Times New Roman" w:cs="Times New Roman"/>
                <w:sz w:val="24"/>
                <w:szCs w:val="24"/>
              </w:rPr>
              <w:t>2</w:t>
            </w:r>
            <w:r w:rsidR="008566ED" w:rsidRPr="00327875">
              <w:rPr>
                <w:rFonts w:ascii="Times New Roman" w:hAnsi="Times New Roman" w:cs="Times New Roman"/>
                <w:sz w:val="24"/>
                <w:szCs w:val="24"/>
              </w:rPr>
              <w:t>.</w:t>
            </w:r>
            <w:r w:rsidR="002E37CD" w:rsidRPr="00327875">
              <w:rPr>
                <w:rFonts w:ascii="Times New Roman" w:hAnsi="Times New Roman" w:cs="Times New Roman"/>
                <w:sz w:val="24"/>
                <w:szCs w:val="24"/>
              </w:rPr>
              <w:t> </w:t>
            </w:r>
            <w:r w:rsidR="00627658" w:rsidRPr="00327875">
              <w:rPr>
                <w:rFonts w:ascii="Times New Roman" w:hAnsi="Times New Roman" w:cs="Times New Roman"/>
                <w:sz w:val="24"/>
                <w:szCs w:val="24"/>
              </w:rPr>
              <w:t xml:space="preserve">Saskaņā ar noteikumu Nr.14 </w:t>
            </w:r>
            <w:r w:rsidR="002E37CD" w:rsidRPr="00327875">
              <w:rPr>
                <w:rFonts w:ascii="Times New Roman" w:hAnsi="Times New Roman" w:cs="Times New Roman"/>
                <w:sz w:val="24"/>
                <w:szCs w:val="24"/>
              </w:rPr>
              <w:t>73.1.apakšpunktu</w:t>
            </w:r>
            <w:r w:rsidR="00627658" w:rsidRPr="00327875">
              <w:rPr>
                <w:rFonts w:ascii="Times New Roman" w:hAnsi="Times New Roman" w:cs="Times New Roman"/>
                <w:sz w:val="24"/>
                <w:szCs w:val="24"/>
              </w:rPr>
              <w:t>,</w:t>
            </w:r>
            <w:r w:rsidR="002E37CD" w:rsidRPr="00327875">
              <w:rPr>
                <w:rFonts w:ascii="Times New Roman" w:hAnsi="Times New Roman" w:cs="Times New Roman"/>
                <w:sz w:val="24"/>
                <w:szCs w:val="24"/>
              </w:rPr>
              <w:t xml:space="preserve"> lai saņemtu avansa maksājumu, finansējuma saņēmējs iesniedz sadarbības iestādē ban</w:t>
            </w:r>
            <w:r w:rsidR="008566ED" w:rsidRPr="00327875">
              <w:rPr>
                <w:rFonts w:ascii="Times New Roman" w:hAnsi="Times New Roman" w:cs="Times New Roman"/>
                <w:sz w:val="24"/>
                <w:szCs w:val="24"/>
              </w:rPr>
              <w:t>kas garantiju par avansa summu</w:t>
            </w:r>
            <w:r w:rsidR="00120963" w:rsidRPr="00327875">
              <w:rPr>
                <w:rFonts w:ascii="Times New Roman" w:hAnsi="Times New Roman" w:cs="Times New Roman"/>
                <w:sz w:val="24"/>
                <w:szCs w:val="24"/>
              </w:rPr>
              <w:t xml:space="preserve">. </w:t>
            </w:r>
            <w:r w:rsidR="00F26820" w:rsidRPr="00327875">
              <w:rPr>
                <w:rFonts w:ascii="Times New Roman" w:hAnsi="Times New Roman" w:cs="Times New Roman"/>
                <w:sz w:val="24"/>
                <w:szCs w:val="24"/>
              </w:rPr>
              <w:t>M</w:t>
            </w:r>
            <w:r w:rsidR="00120963" w:rsidRPr="00327875">
              <w:rPr>
                <w:rFonts w:ascii="Times New Roman" w:hAnsi="Times New Roman" w:cs="Times New Roman"/>
                <w:sz w:val="24"/>
                <w:szCs w:val="24"/>
              </w:rPr>
              <w:t xml:space="preserve">inētā norma </w:t>
            </w:r>
            <w:r w:rsidR="00B43D5E" w:rsidRPr="00327875">
              <w:rPr>
                <w:rFonts w:ascii="Times New Roman" w:hAnsi="Times New Roman" w:cs="Times New Roman"/>
                <w:sz w:val="24"/>
                <w:szCs w:val="24"/>
              </w:rPr>
              <w:t>par bankas garantij</w:t>
            </w:r>
            <w:r w:rsidR="00F26820" w:rsidRPr="00327875">
              <w:rPr>
                <w:rFonts w:ascii="Times New Roman" w:hAnsi="Times New Roman" w:cs="Times New Roman"/>
                <w:sz w:val="24"/>
                <w:szCs w:val="24"/>
              </w:rPr>
              <w:t>as</w:t>
            </w:r>
            <w:r w:rsidR="00B43D5E" w:rsidRPr="00327875">
              <w:rPr>
                <w:rFonts w:ascii="Times New Roman" w:hAnsi="Times New Roman" w:cs="Times New Roman"/>
                <w:sz w:val="24"/>
                <w:szCs w:val="24"/>
              </w:rPr>
              <w:t xml:space="preserve"> </w:t>
            </w:r>
            <w:r w:rsidR="00F26820" w:rsidRPr="00327875">
              <w:rPr>
                <w:rFonts w:ascii="Times New Roman" w:hAnsi="Times New Roman" w:cs="Times New Roman"/>
                <w:sz w:val="24"/>
                <w:szCs w:val="24"/>
              </w:rPr>
              <w:t xml:space="preserve">nepieciešamību </w:t>
            </w:r>
            <w:r w:rsidR="00B43D5E" w:rsidRPr="00327875">
              <w:rPr>
                <w:rFonts w:ascii="Times New Roman" w:hAnsi="Times New Roman" w:cs="Times New Roman"/>
                <w:sz w:val="24"/>
                <w:szCs w:val="24"/>
              </w:rPr>
              <w:t xml:space="preserve">avansa saņemšanai </w:t>
            </w:r>
            <w:r w:rsidR="00120963" w:rsidRPr="00327875">
              <w:rPr>
                <w:rFonts w:ascii="Times New Roman" w:hAnsi="Times New Roman" w:cs="Times New Roman"/>
                <w:sz w:val="24"/>
                <w:szCs w:val="24"/>
              </w:rPr>
              <w:t xml:space="preserve">ir attiecināta </w:t>
            </w:r>
            <w:r w:rsidR="00B43D5E" w:rsidRPr="00327875">
              <w:rPr>
                <w:rFonts w:ascii="Times New Roman" w:hAnsi="Times New Roman" w:cs="Times New Roman"/>
                <w:sz w:val="24"/>
                <w:szCs w:val="24"/>
              </w:rPr>
              <w:t xml:space="preserve">kā </w:t>
            </w:r>
            <w:r w:rsidR="00120963" w:rsidRPr="00327875">
              <w:rPr>
                <w:rFonts w:ascii="Times New Roman" w:hAnsi="Times New Roman" w:cs="Times New Roman"/>
                <w:sz w:val="24"/>
                <w:szCs w:val="24"/>
              </w:rPr>
              <w:t>uz projektiem ar saimniecisku raksturu (turpmāk – saimnieciskais projekts)</w:t>
            </w:r>
            <w:r w:rsidR="00B43D5E" w:rsidRPr="00327875">
              <w:rPr>
                <w:rFonts w:ascii="Times New Roman" w:hAnsi="Times New Roman" w:cs="Times New Roman"/>
                <w:sz w:val="24"/>
                <w:szCs w:val="24"/>
              </w:rPr>
              <w:t>, tā</w:t>
            </w:r>
            <w:r w:rsidR="00120963" w:rsidRPr="00327875">
              <w:rPr>
                <w:rFonts w:ascii="Times New Roman" w:hAnsi="Times New Roman" w:cs="Times New Roman"/>
                <w:sz w:val="24"/>
                <w:szCs w:val="24"/>
              </w:rPr>
              <w:t xml:space="preserve"> uz projektiem, kas nav saistīti ar saimniecisku darbību (turpmāk </w:t>
            </w:r>
            <w:r w:rsidR="00B43D5E" w:rsidRPr="00327875">
              <w:rPr>
                <w:rFonts w:ascii="Times New Roman" w:hAnsi="Times New Roman" w:cs="Times New Roman"/>
                <w:sz w:val="24"/>
                <w:szCs w:val="24"/>
              </w:rPr>
              <w:t>-</w:t>
            </w:r>
            <w:r w:rsidR="00120963" w:rsidRPr="00327875">
              <w:rPr>
                <w:rFonts w:ascii="Times New Roman" w:hAnsi="Times New Roman" w:cs="Times New Roman"/>
                <w:sz w:val="24"/>
                <w:szCs w:val="24"/>
              </w:rPr>
              <w:t xml:space="preserve"> ne-saimnieciskais projekts)</w:t>
            </w:r>
            <w:r w:rsidR="00B43D5E" w:rsidRPr="00327875">
              <w:rPr>
                <w:rFonts w:ascii="Times New Roman" w:hAnsi="Times New Roman" w:cs="Times New Roman"/>
                <w:sz w:val="24"/>
                <w:szCs w:val="24"/>
              </w:rPr>
              <w:t>. Savukārt</w:t>
            </w:r>
            <w:r w:rsidR="00120963" w:rsidRPr="00327875">
              <w:rPr>
                <w:rFonts w:ascii="Times New Roman" w:hAnsi="Times New Roman" w:cs="Times New Roman"/>
                <w:sz w:val="24"/>
                <w:szCs w:val="24"/>
              </w:rPr>
              <w:t xml:space="preserve"> </w:t>
            </w:r>
            <w:r w:rsidR="00B43D5E" w:rsidRPr="00327875">
              <w:rPr>
                <w:rFonts w:ascii="Times New Roman" w:hAnsi="Times New Roman" w:cs="Times New Roman"/>
                <w:sz w:val="24"/>
                <w:szCs w:val="24"/>
              </w:rPr>
              <w:t>saskaņā ar</w:t>
            </w:r>
            <w:r w:rsidR="00120963" w:rsidRPr="00327875">
              <w:rPr>
                <w:rFonts w:ascii="Times New Roman" w:hAnsi="Times New Roman" w:cs="Times New Roman"/>
                <w:sz w:val="24"/>
                <w:szCs w:val="24"/>
              </w:rPr>
              <w:t xml:space="preserve"> </w:t>
            </w:r>
            <w:r w:rsidR="00B515E7">
              <w:rPr>
                <w:rFonts w:ascii="Times New Roman" w:hAnsi="Times New Roman" w:cs="Times New Roman"/>
                <w:sz w:val="24"/>
                <w:szCs w:val="24"/>
              </w:rPr>
              <w:t>MK noteikumu Nr.1041</w:t>
            </w:r>
            <w:r w:rsidR="00120963" w:rsidRPr="00327875">
              <w:rPr>
                <w:rFonts w:ascii="Times New Roman" w:hAnsi="Times New Roman" w:cs="Times New Roman"/>
                <w:sz w:val="24"/>
                <w:szCs w:val="24"/>
              </w:rPr>
              <w:t xml:space="preserve"> 16.1.apakšpunkt</w:t>
            </w:r>
            <w:r w:rsidR="00B43D5E" w:rsidRPr="00327875">
              <w:rPr>
                <w:rFonts w:ascii="Times New Roman" w:hAnsi="Times New Roman" w:cs="Times New Roman"/>
                <w:sz w:val="24"/>
                <w:szCs w:val="24"/>
              </w:rPr>
              <w:t xml:space="preserve">u nosacījums par bankas garantijas nepieciešamību attiecināms tikai uz saimnieciskajiem projektiem. </w:t>
            </w:r>
            <w:r w:rsidR="00120963" w:rsidRPr="00327875">
              <w:rPr>
                <w:rFonts w:ascii="Times New Roman" w:hAnsi="Times New Roman" w:cs="Times New Roman"/>
                <w:sz w:val="24"/>
                <w:szCs w:val="24"/>
              </w:rPr>
              <w:t>Līdz ar to</w:t>
            </w:r>
            <w:r w:rsidR="00CC1D97" w:rsidRPr="00327875">
              <w:rPr>
                <w:rFonts w:ascii="Times New Roman" w:hAnsi="Times New Roman" w:cs="Times New Roman"/>
                <w:sz w:val="24"/>
                <w:szCs w:val="24"/>
              </w:rPr>
              <w:t xml:space="preserve"> atbilstoši MK noteikumu Nr.1041 16.1.apakšpunktā noteiktajam</w:t>
            </w:r>
            <w:r w:rsidR="00120963" w:rsidRPr="00327875">
              <w:rPr>
                <w:rFonts w:ascii="Times New Roman" w:hAnsi="Times New Roman" w:cs="Times New Roman"/>
                <w:sz w:val="24"/>
                <w:szCs w:val="24"/>
              </w:rPr>
              <w:t xml:space="preserve">, </w:t>
            </w:r>
            <w:r w:rsidR="00B43D5E" w:rsidRPr="00327875">
              <w:rPr>
                <w:rFonts w:ascii="Times New Roman" w:hAnsi="Times New Roman" w:cs="Times New Roman"/>
                <w:sz w:val="24"/>
                <w:szCs w:val="24"/>
              </w:rPr>
              <w:t xml:space="preserve">73.1.apakšpunkta nosacījums attiecībā uz saimnieciskajiem projektiem nav atceļams, </w:t>
            </w:r>
            <w:r w:rsidR="00120963" w:rsidRPr="00327875">
              <w:rPr>
                <w:rFonts w:ascii="Times New Roman" w:hAnsi="Times New Roman" w:cs="Times New Roman"/>
                <w:sz w:val="24"/>
                <w:szCs w:val="24"/>
              </w:rPr>
              <w:t>savukārt ne</w:t>
            </w:r>
            <w:r w:rsidR="00B43D5E" w:rsidRPr="00327875">
              <w:rPr>
                <w:rFonts w:ascii="Times New Roman" w:hAnsi="Times New Roman" w:cs="Times New Roman"/>
                <w:sz w:val="24"/>
                <w:szCs w:val="24"/>
              </w:rPr>
              <w:t>-</w:t>
            </w:r>
            <w:r w:rsidR="00120963" w:rsidRPr="00327875">
              <w:rPr>
                <w:rFonts w:ascii="Times New Roman" w:hAnsi="Times New Roman" w:cs="Times New Roman"/>
                <w:sz w:val="24"/>
                <w:szCs w:val="24"/>
              </w:rPr>
              <w:t>saimniecisk</w:t>
            </w:r>
            <w:r w:rsidR="00B43D5E" w:rsidRPr="00327875">
              <w:rPr>
                <w:rFonts w:ascii="Times New Roman" w:hAnsi="Times New Roman" w:cs="Times New Roman"/>
                <w:sz w:val="24"/>
                <w:szCs w:val="24"/>
              </w:rPr>
              <w:t>ā</w:t>
            </w:r>
            <w:r w:rsidR="00120963" w:rsidRPr="00327875">
              <w:rPr>
                <w:rFonts w:ascii="Times New Roman" w:hAnsi="Times New Roman" w:cs="Times New Roman"/>
                <w:sz w:val="24"/>
                <w:szCs w:val="24"/>
              </w:rPr>
              <w:t xml:space="preserve"> projekta gadījumā avansa maksājums var tikt izmaksāts </w:t>
            </w:r>
            <w:r w:rsidR="00675A95" w:rsidRPr="00327875">
              <w:rPr>
                <w:rFonts w:ascii="Times New Roman" w:hAnsi="Times New Roman" w:cs="Times New Roman"/>
                <w:sz w:val="24"/>
                <w:szCs w:val="24"/>
              </w:rPr>
              <w:t xml:space="preserve">arī </w:t>
            </w:r>
            <w:r w:rsidR="00120963" w:rsidRPr="00327875">
              <w:rPr>
                <w:rFonts w:ascii="Times New Roman" w:hAnsi="Times New Roman" w:cs="Times New Roman"/>
                <w:sz w:val="24"/>
                <w:szCs w:val="24"/>
              </w:rPr>
              <w:t>bez bankas garantijas.</w:t>
            </w:r>
          </w:p>
          <w:p w:rsidR="009D1D0F" w:rsidRPr="00327875" w:rsidRDefault="0028757C" w:rsidP="00A06125">
            <w:pPr>
              <w:spacing w:before="6" w:after="0" w:line="240" w:lineRule="auto"/>
              <w:ind w:left="170" w:right="141"/>
              <w:jc w:val="both"/>
              <w:rPr>
                <w:rFonts w:ascii="Times New Roman" w:hAnsi="Times New Roman" w:cs="Times New Roman"/>
                <w:sz w:val="24"/>
                <w:szCs w:val="24"/>
              </w:rPr>
            </w:pPr>
            <w:r w:rsidRPr="00327875">
              <w:rPr>
                <w:rFonts w:ascii="Times New Roman" w:hAnsi="Times New Roman" w:cs="Times New Roman"/>
                <w:sz w:val="24"/>
                <w:szCs w:val="24"/>
              </w:rPr>
              <w:t>Tādējādi</w:t>
            </w:r>
            <w:r w:rsidR="002E37CD" w:rsidRPr="00327875">
              <w:rPr>
                <w:rFonts w:ascii="Times New Roman" w:hAnsi="Times New Roman" w:cs="Times New Roman"/>
                <w:sz w:val="24"/>
                <w:szCs w:val="24"/>
              </w:rPr>
              <w:t xml:space="preserve"> noteikumu Nr.14 </w:t>
            </w:r>
            <w:proofErr w:type="spellStart"/>
            <w:r w:rsidR="00675DD3" w:rsidRPr="00327875">
              <w:rPr>
                <w:rFonts w:ascii="Times New Roman" w:hAnsi="Times New Roman" w:cs="Times New Roman"/>
                <w:sz w:val="24"/>
                <w:szCs w:val="24"/>
              </w:rPr>
              <w:t>IX.sadaļā</w:t>
            </w:r>
            <w:proofErr w:type="spellEnd"/>
            <w:r w:rsidR="00675DD3" w:rsidRPr="00327875">
              <w:rPr>
                <w:rFonts w:ascii="Times New Roman" w:hAnsi="Times New Roman" w:cs="Times New Roman"/>
                <w:sz w:val="24"/>
                <w:szCs w:val="24"/>
              </w:rPr>
              <w:t xml:space="preserve"> un </w:t>
            </w:r>
            <w:r w:rsidR="002E37CD" w:rsidRPr="00327875">
              <w:rPr>
                <w:rFonts w:ascii="Times New Roman" w:hAnsi="Times New Roman" w:cs="Times New Roman"/>
                <w:sz w:val="24"/>
                <w:szCs w:val="24"/>
              </w:rPr>
              <w:t xml:space="preserve">73.1.apakšpunktā </w:t>
            </w:r>
            <w:r w:rsidR="00EF2EB8" w:rsidRPr="00327875">
              <w:rPr>
                <w:rFonts w:ascii="Times New Roman" w:hAnsi="Times New Roman" w:cs="Times New Roman"/>
                <w:sz w:val="24"/>
                <w:szCs w:val="24"/>
              </w:rPr>
              <w:t>iekļautās normas</w:t>
            </w:r>
            <w:r w:rsidR="002E37CD" w:rsidRPr="00327875">
              <w:rPr>
                <w:rFonts w:ascii="Times New Roman" w:hAnsi="Times New Roman" w:cs="Times New Roman"/>
                <w:sz w:val="24"/>
                <w:szCs w:val="24"/>
              </w:rPr>
              <w:t xml:space="preserve"> </w:t>
            </w:r>
            <w:r w:rsidRPr="00327875">
              <w:rPr>
                <w:rFonts w:ascii="Times New Roman" w:hAnsi="Times New Roman" w:cs="Times New Roman"/>
                <w:sz w:val="24"/>
                <w:szCs w:val="24"/>
              </w:rPr>
              <w:t xml:space="preserve">rada </w:t>
            </w:r>
            <w:r w:rsidR="002E37CD" w:rsidRPr="00327875">
              <w:rPr>
                <w:rFonts w:ascii="Times New Roman" w:hAnsi="Times New Roman" w:cs="Times New Roman"/>
                <w:sz w:val="24"/>
                <w:szCs w:val="24"/>
              </w:rPr>
              <w:t>risku, ka netiks nodrošināta Eiropas Reģionālās attīstības fonda apguve atbilstoši Saprašanās memorandā starp Eiropas Komisiju un Latvijas Republiku noteiktajām saistībām Eiropas Savienības fondu apguvē</w:t>
            </w:r>
            <w:r w:rsidR="009D1D0F" w:rsidRPr="00327875">
              <w:rPr>
                <w:rFonts w:ascii="Times New Roman" w:hAnsi="Times New Roman" w:cs="Times New Roman"/>
                <w:sz w:val="24"/>
                <w:szCs w:val="24"/>
              </w:rPr>
              <w:t>, jo:</w:t>
            </w:r>
          </w:p>
          <w:p w:rsidR="00CD7030" w:rsidRPr="00327875" w:rsidRDefault="00CD7030" w:rsidP="00A06125">
            <w:pPr>
              <w:spacing w:before="6" w:after="0" w:line="240" w:lineRule="auto"/>
              <w:ind w:left="170" w:right="141"/>
              <w:jc w:val="both"/>
              <w:rPr>
                <w:rFonts w:ascii="Times New Roman" w:hAnsi="Times New Roman" w:cs="Times New Roman"/>
                <w:sz w:val="24"/>
                <w:szCs w:val="24"/>
              </w:rPr>
            </w:pPr>
            <w:r w:rsidRPr="00327875">
              <w:rPr>
                <w:rFonts w:ascii="Times New Roman" w:hAnsi="Times New Roman" w:cs="Times New Roman"/>
                <w:sz w:val="24"/>
                <w:szCs w:val="24"/>
              </w:rPr>
              <w:t xml:space="preserve">– izraisa nepamatotu </w:t>
            </w:r>
            <w:r w:rsidR="000C5A9E" w:rsidRPr="00327875">
              <w:rPr>
                <w:rFonts w:ascii="Times New Roman" w:hAnsi="Times New Roman" w:cs="Times New Roman"/>
                <w:sz w:val="24"/>
                <w:szCs w:val="24"/>
              </w:rPr>
              <w:t xml:space="preserve">administratīvo un </w:t>
            </w:r>
            <w:r w:rsidRPr="00327875">
              <w:rPr>
                <w:rFonts w:ascii="Times New Roman" w:hAnsi="Times New Roman" w:cs="Times New Roman"/>
                <w:sz w:val="24"/>
                <w:szCs w:val="24"/>
              </w:rPr>
              <w:t>finansiālo slogu institūciju budžetiem;</w:t>
            </w:r>
          </w:p>
          <w:p w:rsidR="00DF0086" w:rsidRPr="00327875" w:rsidRDefault="00CD7030" w:rsidP="00A06125">
            <w:pPr>
              <w:spacing w:before="6" w:after="0" w:line="240" w:lineRule="auto"/>
              <w:ind w:left="170" w:right="141"/>
              <w:jc w:val="both"/>
              <w:rPr>
                <w:rFonts w:ascii="Times New Roman" w:hAnsi="Times New Roman" w:cs="Times New Roman"/>
                <w:sz w:val="24"/>
                <w:szCs w:val="24"/>
              </w:rPr>
            </w:pPr>
            <w:r w:rsidRPr="00327875">
              <w:rPr>
                <w:rFonts w:ascii="Times New Roman" w:hAnsi="Times New Roman" w:cs="Times New Roman"/>
                <w:sz w:val="24"/>
                <w:szCs w:val="24"/>
              </w:rPr>
              <w:t xml:space="preserve">– faktiski izslēdz iespēju </w:t>
            </w:r>
            <w:r w:rsidR="000859FD" w:rsidRPr="00327875">
              <w:rPr>
                <w:rFonts w:ascii="Times New Roman" w:hAnsi="Times New Roman" w:cs="Times New Roman"/>
                <w:sz w:val="24"/>
                <w:szCs w:val="24"/>
              </w:rPr>
              <w:t xml:space="preserve">valsts dibinātām zinātniskām institūcijām saņemt avansu </w:t>
            </w:r>
            <w:r w:rsidRPr="00327875">
              <w:rPr>
                <w:rFonts w:ascii="Times New Roman" w:hAnsi="Times New Roman" w:cs="Times New Roman"/>
                <w:sz w:val="24"/>
                <w:szCs w:val="24"/>
              </w:rPr>
              <w:t>ne-saimniecisko projektu īstenošanai</w:t>
            </w:r>
            <w:r w:rsidR="002E37CD" w:rsidRPr="00327875">
              <w:rPr>
                <w:rFonts w:ascii="Times New Roman" w:hAnsi="Times New Roman" w:cs="Times New Roman"/>
                <w:sz w:val="24"/>
                <w:szCs w:val="24"/>
              </w:rPr>
              <w:t>.</w:t>
            </w:r>
          </w:p>
          <w:p w:rsidR="002E37CD" w:rsidRPr="00327875" w:rsidRDefault="002B1981" w:rsidP="00A06125">
            <w:pPr>
              <w:spacing w:before="6" w:after="0" w:line="240" w:lineRule="auto"/>
              <w:ind w:left="170" w:right="141"/>
              <w:jc w:val="both"/>
              <w:rPr>
                <w:rFonts w:ascii="Times New Roman" w:hAnsi="Times New Roman" w:cs="Times New Roman"/>
                <w:sz w:val="24"/>
                <w:szCs w:val="24"/>
              </w:rPr>
            </w:pPr>
            <w:r w:rsidRPr="008925CF">
              <w:rPr>
                <w:rFonts w:ascii="Times New Roman" w:hAnsi="Times New Roman" w:cs="Times New Roman"/>
                <w:sz w:val="24"/>
                <w:szCs w:val="24"/>
              </w:rPr>
              <w:t>3</w:t>
            </w:r>
            <w:r w:rsidR="008566ED" w:rsidRPr="008925CF">
              <w:rPr>
                <w:rFonts w:ascii="Times New Roman" w:hAnsi="Times New Roman" w:cs="Times New Roman"/>
                <w:sz w:val="24"/>
                <w:szCs w:val="24"/>
              </w:rPr>
              <w:t>. </w:t>
            </w:r>
            <w:r w:rsidR="002E37CD" w:rsidRPr="008925CF">
              <w:rPr>
                <w:rFonts w:ascii="Times New Roman" w:hAnsi="Times New Roman" w:cs="Times New Roman"/>
                <w:sz w:val="24"/>
                <w:szCs w:val="24"/>
              </w:rPr>
              <w:t>Saskaņā</w:t>
            </w:r>
            <w:r w:rsidR="002E37CD" w:rsidRPr="00327875">
              <w:rPr>
                <w:rFonts w:ascii="Times New Roman" w:hAnsi="Times New Roman" w:cs="Times New Roman"/>
                <w:sz w:val="24"/>
                <w:szCs w:val="24"/>
              </w:rPr>
              <w:t xml:space="preserve"> ar noteikumu Nr</w:t>
            </w:r>
            <w:r w:rsidR="00DF0086" w:rsidRPr="00327875">
              <w:rPr>
                <w:rFonts w:ascii="Times New Roman" w:hAnsi="Times New Roman" w:cs="Times New Roman"/>
                <w:sz w:val="24"/>
                <w:szCs w:val="24"/>
              </w:rPr>
              <w:t>.14 72.punktu līdzējs ir tiesīg</w:t>
            </w:r>
            <w:r w:rsidR="002E37CD" w:rsidRPr="00327875">
              <w:rPr>
                <w:rFonts w:ascii="Times New Roman" w:hAnsi="Times New Roman" w:cs="Times New Roman"/>
                <w:sz w:val="24"/>
                <w:szCs w:val="24"/>
              </w:rPr>
              <w:t xml:space="preserve">s uzsākt projekta īstenošanu pēc vienošanās vai līguma par projekta īstenošanu noslēgšanas ar sadarbības iestādi. Ar saimniecisku darbību nesaistīta projekta gadījumā minētā norma paredz stingrākas prasības nekā Padomes Regulas Nr.1083/2006, ar ko paredz vispārīgus noteikumus par Eiropas Reģionālās attīstības fondu, Eiropas Sociālo fondu un Kohēzijas fondu un atceļ Regulu (EK) Nr.1260/1999 (publicēta Eiropas Savienības Oficiālajā Vēstnesī 2006.gada 31.jūlijā, Nr. L 210/25) (turpmāk – </w:t>
            </w:r>
            <w:r w:rsidR="00481CE1" w:rsidRPr="00327875">
              <w:rPr>
                <w:rFonts w:ascii="Times New Roman" w:hAnsi="Times New Roman" w:cs="Times New Roman"/>
                <w:sz w:val="24"/>
                <w:szCs w:val="24"/>
              </w:rPr>
              <w:t xml:space="preserve">Komisijas </w:t>
            </w:r>
            <w:r w:rsidR="002E37CD" w:rsidRPr="00327875">
              <w:rPr>
                <w:rFonts w:ascii="Times New Roman" w:hAnsi="Times New Roman" w:cs="Times New Roman"/>
                <w:sz w:val="24"/>
                <w:szCs w:val="24"/>
              </w:rPr>
              <w:t>Regula Nr.1083/2006) 56.panta 1.punkta nosacījumiem.</w:t>
            </w:r>
          </w:p>
          <w:p w:rsidR="00BD77C9" w:rsidRPr="00327875" w:rsidRDefault="002B1981" w:rsidP="00A06125">
            <w:pPr>
              <w:spacing w:before="6" w:after="0" w:line="240" w:lineRule="auto"/>
              <w:ind w:left="170" w:right="141"/>
              <w:jc w:val="both"/>
              <w:rPr>
                <w:rFonts w:ascii="Times New Roman" w:hAnsi="Times New Roman" w:cs="Times New Roman"/>
                <w:sz w:val="24"/>
                <w:szCs w:val="24"/>
              </w:rPr>
            </w:pPr>
            <w:r w:rsidRPr="00CA0C75">
              <w:rPr>
                <w:rFonts w:ascii="Times New Roman" w:hAnsi="Times New Roman" w:cs="Times New Roman"/>
                <w:sz w:val="24"/>
                <w:szCs w:val="24"/>
              </w:rPr>
              <w:t>4</w:t>
            </w:r>
            <w:r w:rsidR="008566ED" w:rsidRPr="00CA0C75">
              <w:rPr>
                <w:rFonts w:ascii="Times New Roman" w:hAnsi="Times New Roman" w:cs="Times New Roman"/>
                <w:sz w:val="24"/>
                <w:szCs w:val="24"/>
              </w:rPr>
              <w:t>. </w:t>
            </w:r>
            <w:r w:rsidR="0022678A" w:rsidRPr="00CA0C75">
              <w:rPr>
                <w:rFonts w:ascii="Times New Roman" w:hAnsi="Times New Roman" w:cs="Times New Roman"/>
                <w:sz w:val="24"/>
                <w:szCs w:val="24"/>
              </w:rPr>
              <w:t>Lai nodrošinātu normatīvā akta uztveramību un viennozīmīgu normu interpretāciju, precizējams noteikumu Nr.14 73.5.apakšpunkts</w:t>
            </w:r>
            <w:r w:rsidR="003C49F9" w:rsidRPr="00CA0C75">
              <w:rPr>
                <w:rFonts w:ascii="Times New Roman" w:hAnsi="Times New Roman" w:cs="Times New Roman"/>
                <w:sz w:val="24"/>
                <w:szCs w:val="24"/>
              </w:rPr>
              <w:t xml:space="preserve">, kas </w:t>
            </w:r>
            <w:r w:rsidRPr="00CA0C75">
              <w:rPr>
                <w:rFonts w:ascii="Times New Roman" w:hAnsi="Times New Roman" w:cs="Times New Roman"/>
                <w:sz w:val="24"/>
                <w:szCs w:val="24"/>
              </w:rPr>
              <w:t>nosaka,</w:t>
            </w:r>
            <w:r w:rsidR="0020046A" w:rsidRPr="00CA0C75">
              <w:rPr>
                <w:rFonts w:ascii="Times New Roman" w:hAnsi="Times New Roman" w:cs="Times New Roman"/>
                <w:sz w:val="24"/>
                <w:szCs w:val="24"/>
              </w:rPr>
              <w:t xml:space="preserve"> k</w:t>
            </w:r>
            <w:r w:rsidRPr="00CA0C75">
              <w:rPr>
                <w:rFonts w:ascii="Times New Roman" w:hAnsi="Times New Roman" w:cs="Times New Roman"/>
                <w:sz w:val="24"/>
                <w:szCs w:val="24"/>
              </w:rPr>
              <w:t>a</w:t>
            </w:r>
            <w:r w:rsidR="0020046A" w:rsidRPr="00CA0C75">
              <w:rPr>
                <w:rFonts w:ascii="Times New Roman" w:hAnsi="Times New Roman" w:cs="Times New Roman"/>
                <w:sz w:val="24"/>
                <w:szCs w:val="24"/>
              </w:rPr>
              <w:t xml:space="preserve"> projekta īstenošanas vieta ir Latvijas Republikas</w:t>
            </w:r>
            <w:r w:rsidR="0020046A" w:rsidRPr="00327875">
              <w:rPr>
                <w:rFonts w:ascii="Times New Roman" w:hAnsi="Times New Roman" w:cs="Times New Roman"/>
                <w:sz w:val="24"/>
                <w:szCs w:val="24"/>
              </w:rPr>
              <w:t xml:space="preserve"> teritorija. </w:t>
            </w:r>
            <w:r w:rsidRPr="00327875">
              <w:rPr>
                <w:rFonts w:ascii="Times New Roman" w:hAnsi="Times New Roman" w:cs="Times New Roman"/>
                <w:sz w:val="24"/>
                <w:szCs w:val="24"/>
              </w:rPr>
              <w:t>Savukārt saskaņā ar n</w:t>
            </w:r>
            <w:r w:rsidR="0020046A" w:rsidRPr="00327875">
              <w:rPr>
                <w:rFonts w:ascii="Times New Roman" w:hAnsi="Times New Roman" w:cs="Times New Roman"/>
                <w:sz w:val="24"/>
                <w:szCs w:val="24"/>
              </w:rPr>
              <w:t xml:space="preserve">oteikumu </w:t>
            </w:r>
            <w:r w:rsidRPr="00327875">
              <w:rPr>
                <w:rFonts w:ascii="Times New Roman" w:hAnsi="Times New Roman" w:cs="Times New Roman"/>
                <w:sz w:val="24"/>
                <w:szCs w:val="24"/>
              </w:rPr>
              <w:t>Nr.14</w:t>
            </w:r>
            <w:r w:rsidR="00BD77C9" w:rsidRPr="00327875">
              <w:rPr>
                <w:rFonts w:ascii="Times New Roman" w:hAnsi="Times New Roman" w:cs="Times New Roman"/>
                <w:sz w:val="24"/>
                <w:szCs w:val="24"/>
              </w:rPr>
              <w:t>:</w:t>
            </w:r>
          </w:p>
          <w:p w:rsidR="00BD77C9" w:rsidRPr="00327875" w:rsidRDefault="00BD77C9" w:rsidP="00A06125">
            <w:pPr>
              <w:spacing w:before="6" w:after="0" w:line="240" w:lineRule="auto"/>
              <w:ind w:left="170" w:right="141"/>
              <w:jc w:val="both"/>
              <w:rPr>
                <w:rFonts w:ascii="Times New Roman" w:hAnsi="Times New Roman" w:cs="Times New Roman"/>
                <w:sz w:val="24"/>
                <w:szCs w:val="24"/>
              </w:rPr>
            </w:pPr>
            <w:r w:rsidRPr="00327875">
              <w:rPr>
                <w:rFonts w:ascii="Times New Roman" w:hAnsi="Times New Roman" w:cs="Times New Roman"/>
                <w:sz w:val="24"/>
                <w:szCs w:val="24"/>
              </w:rPr>
              <w:t>– </w:t>
            </w:r>
            <w:r w:rsidR="002B1981" w:rsidRPr="00327875">
              <w:rPr>
                <w:rFonts w:ascii="Times New Roman" w:hAnsi="Times New Roman" w:cs="Times New Roman"/>
                <w:sz w:val="24"/>
                <w:szCs w:val="24"/>
              </w:rPr>
              <w:t xml:space="preserve">2.8. un </w:t>
            </w:r>
            <w:r w:rsidR="0020046A" w:rsidRPr="00327875">
              <w:rPr>
                <w:rFonts w:ascii="Times New Roman" w:hAnsi="Times New Roman" w:cs="Times New Roman"/>
                <w:sz w:val="24"/>
                <w:szCs w:val="24"/>
              </w:rPr>
              <w:t>15.2.apakšpunkt</w:t>
            </w:r>
            <w:r w:rsidR="002B1981" w:rsidRPr="00327875">
              <w:rPr>
                <w:rFonts w:ascii="Times New Roman" w:hAnsi="Times New Roman" w:cs="Times New Roman"/>
                <w:sz w:val="24"/>
                <w:szCs w:val="24"/>
              </w:rPr>
              <w:t>u</w:t>
            </w:r>
            <w:r w:rsidR="0020046A" w:rsidRPr="00327875">
              <w:rPr>
                <w:rFonts w:ascii="Times New Roman" w:hAnsi="Times New Roman" w:cs="Times New Roman"/>
                <w:sz w:val="24"/>
                <w:szCs w:val="24"/>
              </w:rPr>
              <w:t xml:space="preserve"> aktivitātes otrās un trešās kārtas ietvaros var īstenot komersanta – </w:t>
            </w:r>
            <w:proofErr w:type="spellStart"/>
            <w:r w:rsidR="0020046A" w:rsidRPr="00327875">
              <w:rPr>
                <w:rFonts w:ascii="Times New Roman" w:hAnsi="Times New Roman" w:cs="Times New Roman"/>
                <w:sz w:val="24"/>
                <w:szCs w:val="24"/>
              </w:rPr>
              <w:t>līgumpētījuma</w:t>
            </w:r>
            <w:proofErr w:type="spellEnd"/>
            <w:r w:rsidR="0020046A" w:rsidRPr="00327875">
              <w:rPr>
                <w:rFonts w:ascii="Times New Roman" w:hAnsi="Times New Roman" w:cs="Times New Roman"/>
                <w:sz w:val="24"/>
                <w:szCs w:val="24"/>
              </w:rPr>
              <w:t xml:space="preserve"> pasūtītāja – interesēs īstenotu projektu</w:t>
            </w:r>
            <w:r w:rsidR="002B1981" w:rsidRPr="00327875">
              <w:rPr>
                <w:rFonts w:ascii="Times New Roman" w:hAnsi="Times New Roman" w:cs="Times New Roman"/>
                <w:sz w:val="24"/>
                <w:szCs w:val="24"/>
              </w:rPr>
              <w:t xml:space="preserve">, kura ietvaros veic </w:t>
            </w:r>
            <w:proofErr w:type="spellStart"/>
            <w:r w:rsidR="002B1981" w:rsidRPr="00327875">
              <w:rPr>
                <w:rFonts w:ascii="Times New Roman" w:hAnsi="Times New Roman" w:cs="Times New Roman"/>
                <w:sz w:val="24"/>
                <w:szCs w:val="24"/>
              </w:rPr>
              <w:t>līgumpētījumu</w:t>
            </w:r>
            <w:proofErr w:type="spellEnd"/>
            <w:r w:rsidR="002B1981" w:rsidRPr="00327875">
              <w:rPr>
                <w:rFonts w:ascii="Times New Roman" w:hAnsi="Times New Roman" w:cs="Times New Roman"/>
                <w:sz w:val="24"/>
                <w:szCs w:val="24"/>
              </w:rPr>
              <w:t xml:space="preserve">, ko </w:t>
            </w:r>
            <w:proofErr w:type="spellStart"/>
            <w:r w:rsidR="002B1981" w:rsidRPr="00327875">
              <w:rPr>
                <w:rFonts w:ascii="Times New Roman" w:hAnsi="Times New Roman" w:cs="Times New Roman"/>
                <w:sz w:val="24"/>
                <w:szCs w:val="24"/>
              </w:rPr>
              <w:t>līgumpētījuma</w:t>
            </w:r>
            <w:proofErr w:type="spellEnd"/>
            <w:r w:rsidR="002B1981" w:rsidRPr="00327875">
              <w:rPr>
                <w:rFonts w:ascii="Times New Roman" w:hAnsi="Times New Roman" w:cs="Times New Roman"/>
                <w:sz w:val="24"/>
                <w:szCs w:val="24"/>
              </w:rPr>
              <w:t xml:space="preserve"> pasūtītāja uzdevumā īsteno zinātniskā institūcija, </w:t>
            </w:r>
            <w:r w:rsidR="00433020" w:rsidRPr="00327875">
              <w:rPr>
                <w:rFonts w:ascii="Times New Roman" w:hAnsi="Times New Roman" w:cs="Times New Roman"/>
                <w:sz w:val="24"/>
                <w:szCs w:val="24"/>
              </w:rPr>
              <w:t xml:space="preserve">tai skaitā ārvalsts zinātniskā institūcija, </w:t>
            </w:r>
            <w:r w:rsidR="002B1981" w:rsidRPr="00327875">
              <w:rPr>
                <w:rFonts w:ascii="Times New Roman" w:hAnsi="Times New Roman" w:cs="Times New Roman"/>
                <w:sz w:val="24"/>
                <w:szCs w:val="24"/>
              </w:rPr>
              <w:t>kura noteikta atklāt</w:t>
            </w:r>
            <w:r w:rsidR="006D0720" w:rsidRPr="00327875">
              <w:rPr>
                <w:rFonts w:ascii="Times New Roman" w:hAnsi="Times New Roman" w:cs="Times New Roman"/>
                <w:sz w:val="24"/>
                <w:szCs w:val="24"/>
              </w:rPr>
              <w:t>a</w:t>
            </w:r>
            <w:r w:rsidR="002B1981" w:rsidRPr="00327875">
              <w:rPr>
                <w:rFonts w:ascii="Times New Roman" w:hAnsi="Times New Roman" w:cs="Times New Roman"/>
                <w:sz w:val="24"/>
                <w:szCs w:val="24"/>
              </w:rPr>
              <w:t xml:space="preserve"> konkursā</w:t>
            </w:r>
            <w:r w:rsidR="00433020" w:rsidRPr="00327875">
              <w:rPr>
                <w:rFonts w:ascii="Times New Roman" w:hAnsi="Times New Roman" w:cs="Times New Roman"/>
                <w:sz w:val="24"/>
                <w:szCs w:val="24"/>
              </w:rPr>
              <w:t xml:space="preserve"> un atbilst noteikumu Nr. 14 6.pielikumā noteiktiem </w:t>
            </w:r>
            <w:r w:rsidR="00433020" w:rsidRPr="00327875">
              <w:rPr>
                <w:rFonts w:ascii="Times New Roman" w:hAnsi="Times New Roman" w:cs="Times New Roman"/>
                <w:sz w:val="24"/>
                <w:szCs w:val="24"/>
              </w:rPr>
              <w:lastRenderedPageBreak/>
              <w:t>kritērijiem (t.sk. 5</w:t>
            </w:r>
            <w:r w:rsidR="00834691" w:rsidRPr="00327875">
              <w:rPr>
                <w:rFonts w:ascii="Times New Roman" w:hAnsi="Times New Roman" w:cs="Times New Roman"/>
                <w:sz w:val="24"/>
                <w:szCs w:val="24"/>
              </w:rPr>
              <w:t>. un 6.kvalitātes kritērijam</w:t>
            </w:r>
            <w:r w:rsidRPr="00327875">
              <w:rPr>
                <w:rFonts w:ascii="Times New Roman" w:hAnsi="Times New Roman" w:cs="Times New Roman"/>
                <w:sz w:val="24"/>
                <w:szCs w:val="24"/>
              </w:rPr>
              <w:t>;</w:t>
            </w:r>
          </w:p>
          <w:p w:rsidR="0020046A" w:rsidRPr="00327875" w:rsidRDefault="00BD77C9" w:rsidP="00A06125">
            <w:pPr>
              <w:spacing w:before="6" w:after="0" w:line="240" w:lineRule="auto"/>
              <w:ind w:left="170" w:right="141"/>
              <w:jc w:val="both"/>
              <w:rPr>
                <w:rFonts w:ascii="Times New Roman" w:hAnsi="Times New Roman" w:cs="Times New Roman"/>
                <w:b/>
                <w:sz w:val="24"/>
                <w:szCs w:val="24"/>
              </w:rPr>
            </w:pPr>
            <w:r w:rsidRPr="00327875">
              <w:rPr>
                <w:rFonts w:ascii="Times New Roman" w:hAnsi="Times New Roman" w:cs="Times New Roman"/>
                <w:sz w:val="24"/>
                <w:szCs w:val="24"/>
              </w:rPr>
              <w:t>– </w:t>
            </w:r>
            <w:r w:rsidR="00033793" w:rsidRPr="00327875">
              <w:rPr>
                <w:rFonts w:ascii="Times New Roman" w:hAnsi="Times New Roman" w:cs="Times New Roman"/>
                <w:sz w:val="24"/>
                <w:szCs w:val="24"/>
              </w:rPr>
              <w:t xml:space="preserve">2.8.1. un 2.8.3.apakšpunktu </w:t>
            </w:r>
            <w:proofErr w:type="spellStart"/>
            <w:r w:rsidR="00033793" w:rsidRPr="00327875">
              <w:rPr>
                <w:rFonts w:ascii="Times New Roman" w:hAnsi="Times New Roman" w:cs="Times New Roman"/>
                <w:sz w:val="24"/>
                <w:szCs w:val="24"/>
              </w:rPr>
              <w:t>līgumpētījuma</w:t>
            </w:r>
            <w:proofErr w:type="spellEnd"/>
            <w:r w:rsidR="00033793" w:rsidRPr="00327875">
              <w:rPr>
                <w:rFonts w:ascii="Times New Roman" w:hAnsi="Times New Roman" w:cs="Times New Roman"/>
                <w:sz w:val="24"/>
                <w:szCs w:val="24"/>
              </w:rPr>
              <w:t xml:space="preserve"> gadījumā </w:t>
            </w:r>
            <w:r w:rsidR="00387B8E" w:rsidRPr="00327875">
              <w:rPr>
                <w:rFonts w:ascii="Times New Roman" w:hAnsi="Times New Roman" w:cs="Times New Roman"/>
                <w:sz w:val="24"/>
                <w:szCs w:val="24"/>
              </w:rPr>
              <w:t xml:space="preserve">gala labuma guvējs ir </w:t>
            </w:r>
            <w:proofErr w:type="spellStart"/>
            <w:r w:rsidR="00C43ED7" w:rsidRPr="00327875">
              <w:rPr>
                <w:rFonts w:ascii="Times New Roman" w:hAnsi="Times New Roman" w:cs="Times New Roman"/>
                <w:sz w:val="24"/>
                <w:szCs w:val="24"/>
              </w:rPr>
              <w:t>līgumpētījuma</w:t>
            </w:r>
            <w:proofErr w:type="spellEnd"/>
            <w:r w:rsidR="00C43ED7" w:rsidRPr="00327875">
              <w:rPr>
                <w:rFonts w:ascii="Times New Roman" w:hAnsi="Times New Roman" w:cs="Times New Roman"/>
                <w:sz w:val="24"/>
                <w:szCs w:val="24"/>
              </w:rPr>
              <w:t xml:space="preserve"> pasūtītājs (</w:t>
            </w:r>
            <w:r w:rsidR="00033793" w:rsidRPr="00327875">
              <w:rPr>
                <w:rFonts w:ascii="Times New Roman" w:hAnsi="Times New Roman" w:cs="Times New Roman"/>
                <w:sz w:val="24"/>
                <w:szCs w:val="24"/>
              </w:rPr>
              <w:t>finansējuma saņēmējs</w:t>
            </w:r>
            <w:r w:rsidR="00C43ED7" w:rsidRPr="00327875">
              <w:rPr>
                <w:rFonts w:ascii="Times New Roman" w:hAnsi="Times New Roman" w:cs="Times New Roman"/>
                <w:sz w:val="24"/>
                <w:szCs w:val="24"/>
              </w:rPr>
              <w:t>)</w:t>
            </w:r>
            <w:r w:rsidR="00033793" w:rsidRPr="00327875">
              <w:rPr>
                <w:rFonts w:ascii="Times New Roman" w:hAnsi="Times New Roman" w:cs="Times New Roman"/>
                <w:sz w:val="24"/>
                <w:szCs w:val="24"/>
              </w:rPr>
              <w:t xml:space="preserve"> - </w:t>
            </w:r>
            <w:r w:rsidR="00387B8E" w:rsidRPr="00327875">
              <w:rPr>
                <w:rFonts w:ascii="Times New Roman" w:hAnsi="Times New Roman" w:cs="Times New Roman"/>
                <w:sz w:val="24"/>
                <w:szCs w:val="24"/>
              </w:rPr>
              <w:t xml:space="preserve">Latvijā reģistrēts komersants, kuram </w:t>
            </w:r>
            <w:r w:rsidR="00033793" w:rsidRPr="00327875">
              <w:rPr>
                <w:rFonts w:ascii="Times New Roman" w:hAnsi="Times New Roman" w:cs="Times New Roman"/>
                <w:sz w:val="24"/>
                <w:szCs w:val="24"/>
              </w:rPr>
              <w:t xml:space="preserve">pilnībā pieder projekta rezultāti un intelektuālā īpašuma tiesības, kas izriet no </w:t>
            </w:r>
            <w:proofErr w:type="spellStart"/>
            <w:r w:rsidR="00033793" w:rsidRPr="00327875">
              <w:rPr>
                <w:rFonts w:ascii="Times New Roman" w:hAnsi="Times New Roman" w:cs="Times New Roman"/>
                <w:sz w:val="24"/>
                <w:szCs w:val="24"/>
              </w:rPr>
              <w:t>līgumpētījuma</w:t>
            </w:r>
            <w:proofErr w:type="spellEnd"/>
            <w:r w:rsidR="00033793" w:rsidRPr="00327875">
              <w:rPr>
                <w:rFonts w:ascii="Times New Roman" w:hAnsi="Times New Roman" w:cs="Times New Roman"/>
                <w:sz w:val="24"/>
                <w:szCs w:val="24"/>
              </w:rPr>
              <w:t xml:space="preserve"> izpildītāja projekta ietvaros veiktās darbības</w:t>
            </w:r>
            <w:r w:rsidR="002F79E1" w:rsidRPr="00327875">
              <w:rPr>
                <w:rFonts w:ascii="Times New Roman" w:hAnsi="Times New Roman" w:cs="Times New Roman"/>
                <w:sz w:val="24"/>
                <w:szCs w:val="24"/>
              </w:rPr>
              <w:t xml:space="preserve">. </w:t>
            </w:r>
            <w:r w:rsidR="0005111E" w:rsidRPr="00327875">
              <w:rPr>
                <w:rFonts w:ascii="Times New Roman" w:hAnsi="Times New Roman" w:cs="Times New Roman"/>
                <w:sz w:val="24"/>
                <w:szCs w:val="24"/>
              </w:rPr>
              <w:t xml:space="preserve">Līdz ar to ekonomiskās priekšrocības no projekta īstenošanas gūst Latvija </w:t>
            </w:r>
            <w:r w:rsidR="0005111E" w:rsidRPr="008925CF">
              <w:rPr>
                <w:rFonts w:ascii="Times New Roman" w:hAnsi="Times New Roman" w:cs="Times New Roman"/>
                <w:sz w:val="24"/>
                <w:szCs w:val="24"/>
              </w:rPr>
              <w:t>un projekta īstenošanas vieta pēc būtības ir Latvija</w:t>
            </w:r>
            <w:r w:rsidR="0014605E" w:rsidRPr="008925CF">
              <w:rPr>
                <w:rFonts w:ascii="Times New Roman" w:hAnsi="Times New Roman" w:cs="Times New Roman"/>
                <w:sz w:val="24"/>
                <w:szCs w:val="24"/>
              </w:rPr>
              <w:t xml:space="preserve"> un projekta īstenošanas ietvaros pētījumos iegūtie rezultāti tiks izmantoti Latvijas Republikā</w:t>
            </w:r>
            <w:r w:rsidR="0005111E" w:rsidRPr="008925CF">
              <w:rPr>
                <w:rFonts w:ascii="Times New Roman" w:hAnsi="Times New Roman" w:cs="Times New Roman"/>
                <w:sz w:val="24"/>
                <w:szCs w:val="24"/>
              </w:rPr>
              <w:t>.</w:t>
            </w:r>
            <w:r w:rsidR="0014605E" w:rsidRPr="00327875">
              <w:rPr>
                <w:rFonts w:ascii="Times New Roman" w:hAnsi="Times New Roman" w:cs="Times New Roman"/>
                <w:b/>
                <w:sz w:val="24"/>
                <w:szCs w:val="24"/>
              </w:rPr>
              <w:t xml:space="preserve"> </w:t>
            </w:r>
          </w:p>
          <w:p w:rsidR="0083240C" w:rsidRPr="00327875" w:rsidRDefault="00D963A6" w:rsidP="00A06125">
            <w:pPr>
              <w:spacing w:before="6" w:after="0" w:line="240" w:lineRule="auto"/>
              <w:ind w:left="170" w:right="141"/>
              <w:jc w:val="both"/>
              <w:rPr>
                <w:rFonts w:ascii="Times New Roman" w:hAnsi="Times New Roman" w:cs="Times New Roman"/>
                <w:sz w:val="24"/>
                <w:szCs w:val="24"/>
              </w:rPr>
            </w:pPr>
            <w:r w:rsidRPr="00327875">
              <w:rPr>
                <w:rFonts w:ascii="Times New Roman" w:hAnsi="Times New Roman" w:cs="Times New Roman"/>
                <w:sz w:val="24"/>
                <w:szCs w:val="24"/>
              </w:rPr>
              <w:t>4. </w:t>
            </w:r>
            <w:r w:rsidR="006C1252" w:rsidRPr="00327875">
              <w:rPr>
                <w:rFonts w:ascii="Times New Roman" w:hAnsi="Times New Roman" w:cs="Times New Roman"/>
                <w:sz w:val="24"/>
                <w:szCs w:val="24"/>
              </w:rPr>
              <w:t>N</w:t>
            </w:r>
            <w:r w:rsidR="00ED764C" w:rsidRPr="00327875">
              <w:rPr>
                <w:rFonts w:ascii="Times New Roman" w:hAnsi="Times New Roman" w:cs="Times New Roman"/>
                <w:sz w:val="24"/>
                <w:szCs w:val="24"/>
              </w:rPr>
              <w:t>oteikumos</w:t>
            </w:r>
            <w:r w:rsidR="001952D9" w:rsidRPr="00327875">
              <w:rPr>
                <w:rFonts w:ascii="Times New Roman" w:hAnsi="Times New Roman" w:cs="Times New Roman"/>
                <w:sz w:val="24"/>
                <w:szCs w:val="24"/>
              </w:rPr>
              <w:t xml:space="preserve"> Nr.14</w:t>
            </w:r>
            <w:r w:rsidR="00ED764C" w:rsidRPr="00327875">
              <w:rPr>
                <w:rFonts w:ascii="Times New Roman" w:hAnsi="Times New Roman" w:cs="Times New Roman"/>
                <w:sz w:val="24"/>
                <w:szCs w:val="24"/>
              </w:rPr>
              <w:t xml:space="preserve"> </w:t>
            </w:r>
            <w:r w:rsidR="00606C2B" w:rsidRPr="00327875">
              <w:rPr>
                <w:rFonts w:ascii="Times New Roman" w:hAnsi="Times New Roman" w:cs="Times New Roman"/>
                <w:sz w:val="24"/>
                <w:szCs w:val="24"/>
              </w:rPr>
              <w:t>noteiktais 2.1.1.1.aktivitātes otrās</w:t>
            </w:r>
            <w:r w:rsidR="009D2EB5" w:rsidRPr="00327875">
              <w:rPr>
                <w:rFonts w:ascii="Times New Roman" w:hAnsi="Times New Roman" w:cs="Times New Roman"/>
                <w:sz w:val="24"/>
                <w:szCs w:val="24"/>
              </w:rPr>
              <w:t xml:space="preserve"> un trešās</w:t>
            </w:r>
            <w:r w:rsidR="00606C2B" w:rsidRPr="00327875">
              <w:rPr>
                <w:rFonts w:ascii="Times New Roman" w:hAnsi="Times New Roman" w:cs="Times New Roman"/>
                <w:sz w:val="24"/>
                <w:szCs w:val="24"/>
              </w:rPr>
              <w:t xml:space="preserve"> kārtas ietvaros</w:t>
            </w:r>
            <w:r w:rsidR="009D2EB5" w:rsidRPr="00327875">
              <w:rPr>
                <w:rFonts w:ascii="Times New Roman" w:hAnsi="Times New Roman" w:cs="Times New Roman"/>
                <w:sz w:val="24"/>
                <w:szCs w:val="24"/>
              </w:rPr>
              <w:t xml:space="preserve"> </w:t>
            </w:r>
            <w:r w:rsidR="00606C2B" w:rsidRPr="00327875">
              <w:rPr>
                <w:rFonts w:ascii="Times New Roman" w:hAnsi="Times New Roman" w:cs="Times New Roman"/>
                <w:sz w:val="24"/>
                <w:szCs w:val="24"/>
              </w:rPr>
              <w:t xml:space="preserve">pieejamais </w:t>
            </w:r>
            <w:r w:rsidR="00074C9B">
              <w:rPr>
                <w:rFonts w:ascii="Times New Roman" w:hAnsi="Times New Roman" w:cs="Times New Roman"/>
                <w:sz w:val="24"/>
                <w:szCs w:val="24"/>
              </w:rPr>
              <w:t>ERAF finansējums</w:t>
            </w:r>
            <w:r w:rsidR="00627206" w:rsidRPr="00327875">
              <w:rPr>
                <w:rFonts w:ascii="Times New Roman" w:hAnsi="Times New Roman" w:cs="Times New Roman"/>
                <w:sz w:val="24"/>
                <w:szCs w:val="24"/>
              </w:rPr>
              <w:t xml:space="preserve">, </w:t>
            </w:r>
            <w:proofErr w:type="spellStart"/>
            <w:r w:rsidR="00627206" w:rsidRPr="00327875">
              <w:rPr>
                <w:rFonts w:ascii="Times New Roman" w:hAnsi="Times New Roman" w:cs="Times New Roman"/>
                <w:sz w:val="24"/>
                <w:szCs w:val="24"/>
              </w:rPr>
              <w:t>virssaistību</w:t>
            </w:r>
            <w:proofErr w:type="spellEnd"/>
            <w:r w:rsidR="00627206" w:rsidRPr="00327875">
              <w:rPr>
                <w:rFonts w:ascii="Times New Roman" w:hAnsi="Times New Roman" w:cs="Times New Roman"/>
                <w:sz w:val="24"/>
                <w:szCs w:val="24"/>
              </w:rPr>
              <w:t xml:space="preserve"> finansējums, </w:t>
            </w:r>
            <w:r w:rsidR="009D2EB5" w:rsidRPr="00327875">
              <w:rPr>
                <w:rFonts w:ascii="Times New Roman" w:hAnsi="Times New Roman" w:cs="Times New Roman"/>
                <w:sz w:val="24"/>
                <w:szCs w:val="24"/>
              </w:rPr>
              <w:t>kā arī</w:t>
            </w:r>
            <w:r w:rsidR="00627206" w:rsidRPr="00327875">
              <w:rPr>
                <w:rFonts w:ascii="Times New Roman" w:hAnsi="Times New Roman" w:cs="Times New Roman"/>
                <w:sz w:val="24"/>
                <w:szCs w:val="24"/>
              </w:rPr>
              <w:t xml:space="preserve"> projekta minimālais un maksimālais ERAF finansējuma apmērs, nodokļa parāda apmēra ierobežojums, </w:t>
            </w:r>
            <w:r w:rsidR="0083240C" w:rsidRPr="00327875">
              <w:rPr>
                <w:rFonts w:ascii="Times New Roman" w:hAnsi="Times New Roman" w:cs="Times New Roman"/>
                <w:sz w:val="24"/>
                <w:szCs w:val="24"/>
              </w:rPr>
              <w:t xml:space="preserve">aktivitātes otrās kārtas ietvaros kopējais maksimāli pieļaujamais ERAF finansējuma apmērs un darba algas un atalgojuma likmes ir izteiktas latos. </w:t>
            </w:r>
          </w:p>
          <w:p w:rsidR="00ED764C" w:rsidRPr="00327875" w:rsidRDefault="0020046A" w:rsidP="00A06125">
            <w:pPr>
              <w:spacing w:before="6" w:after="0" w:line="240" w:lineRule="auto"/>
              <w:ind w:left="170" w:right="141"/>
              <w:jc w:val="both"/>
              <w:rPr>
                <w:rFonts w:ascii="Times New Roman" w:hAnsi="Times New Roman" w:cs="Times New Roman"/>
                <w:sz w:val="24"/>
                <w:szCs w:val="24"/>
              </w:rPr>
            </w:pPr>
            <w:r w:rsidRPr="00327875">
              <w:rPr>
                <w:rFonts w:ascii="Times New Roman" w:hAnsi="Times New Roman" w:cs="Times New Roman"/>
                <w:sz w:val="24"/>
                <w:szCs w:val="24"/>
              </w:rPr>
              <w:t>N</w:t>
            </w:r>
            <w:r w:rsidR="00513E18" w:rsidRPr="00327875">
              <w:rPr>
                <w:rFonts w:ascii="Times New Roman" w:hAnsi="Times New Roman" w:cs="Times New Roman"/>
                <w:sz w:val="24"/>
                <w:szCs w:val="24"/>
              </w:rPr>
              <w:t>oteikumi</w:t>
            </w:r>
            <w:r w:rsidR="0083240C" w:rsidRPr="00327875">
              <w:rPr>
                <w:rFonts w:ascii="Times New Roman" w:hAnsi="Times New Roman" w:cs="Times New Roman"/>
                <w:sz w:val="24"/>
                <w:szCs w:val="24"/>
              </w:rPr>
              <w:t xml:space="preserve"> </w:t>
            </w:r>
            <w:r w:rsidR="00513E18" w:rsidRPr="00327875">
              <w:rPr>
                <w:rFonts w:ascii="Times New Roman" w:hAnsi="Times New Roman" w:cs="Times New Roman"/>
                <w:sz w:val="24"/>
                <w:szCs w:val="24"/>
              </w:rPr>
              <w:t xml:space="preserve">ietver </w:t>
            </w:r>
            <w:r w:rsidR="0083240C" w:rsidRPr="00327875">
              <w:rPr>
                <w:rFonts w:ascii="Times New Roman" w:hAnsi="Times New Roman" w:cs="Times New Roman"/>
                <w:sz w:val="24"/>
                <w:szCs w:val="24"/>
              </w:rPr>
              <w:t xml:space="preserve">arī </w:t>
            </w:r>
            <w:r w:rsidR="00513E18" w:rsidRPr="00327875">
              <w:rPr>
                <w:rFonts w:ascii="Times New Roman" w:hAnsi="Times New Roman" w:cs="Times New Roman"/>
                <w:sz w:val="24"/>
                <w:szCs w:val="24"/>
              </w:rPr>
              <w:t>normas, kurās izdarītas atsauces uz latiem.</w:t>
            </w:r>
            <w:r w:rsidR="00F11EEF" w:rsidRPr="00327875">
              <w:rPr>
                <w:rFonts w:ascii="Times New Roman" w:hAnsi="Times New Roman" w:cs="Times New Roman"/>
                <w:sz w:val="24"/>
                <w:szCs w:val="24"/>
              </w:rPr>
              <w:t xml:space="preserve"> </w:t>
            </w:r>
            <w:r w:rsidR="00ED764C" w:rsidRPr="00327875">
              <w:rPr>
                <w:rFonts w:ascii="Times New Roman" w:hAnsi="Times New Roman" w:cs="Times New Roman"/>
                <w:sz w:val="24"/>
                <w:szCs w:val="24"/>
              </w:rPr>
              <w:t xml:space="preserve">Ievērojot iepriekšminēto un to, ka ar 2014.gada 1.janvāri Latvijā </w:t>
            </w:r>
            <w:r w:rsidRPr="00327875">
              <w:rPr>
                <w:rFonts w:ascii="Times New Roman" w:hAnsi="Times New Roman" w:cs="Times New Roman"/>
                <w:sz w:val="24"/>
                <w:szCs w:val="24"/>
              </w:rPr>
              <w:t>tiek</w:t>
            </w:r>
            <w:r w:rsidR="00ED764C" w:rsidRPr="00327875">
              <w:rPr>
                <w:rFonts w:ascii="Times New Roman" w:hAnsi="Times New Roman" w:cs="Times New Roman"/>
                <w:sz w:val="24"/>
                <w:szCs w:val="24"/>
              </w:rPr>
              <w:t xml:space="preserve"> ieviest</w:t>
            </w:r>
            <w:r w:rsidRPr="00327875">
              <w:rPr>
                <w:rFonts w:ascii="Times New Roman" w:hAnsi="Times New Roman" w:cs="Times New Roman"/>
                <w:sz w:val="24"/>
                <w:szCs w:val="24"/>
              </w:rPr>
              <w:t>s</w:t>
            </w:r>
            <w:r w:rsidR="00ED764C" w:rsidRPr="00327875">
              <w:rPr>
                <w:rFonts w:ascii="Times New Roman" w:hAnsi="Times New Roman" w:cs="Times New Roman"/>
                <w:sz w:val="24"/>
                <w:szCs w:val="24"/>
              </w:rPr>
              <w:t xml:space="preserve"> </w:t>
            </w:r>
            <w:proofErr w:type="spellStart"/>
            <w:r w:rsidR="00ED764C" w:rsidRPr="00327875">
              <w:rPr>
                <w:rFonts w:ascii="Times New Roman" w:hAnsi="Times New Roman" w:cs="Times New Roman"/>
                <w:i/>
                <w:sz w:val="24"/>
                <w:szCs w:val="24"/>
              </w:rPr>
              <w:t>euro</w:t>
            </w:r>
            <w:proofErr w:type="spellEnd"/>
            <w:r w:rsidR="00ED764C" w:rsidRPr="00327875">
              <w:rPr>
                <w:rFonts w:ascii="Times New Roman" w:hAnsi="Times New Roman" w:cs="Times New Roman"/>
                <w:sz w:val="24"/>
                <w:szCs w:val="24"/>
              </w:rPr>
              <w:t xml:space="preserve">, </w:t>
            </w:r>
            <w:r w:rsidR="00513E18" w:rsidRPr="00327875">
              <w:rPr>
                <w:rFonts w:ascii="Times New Roman" w:hAnsi="Times New Roman" w:cs="Times New Roman"/>
                <w:sz w:val="24"/>
                <w:szCs w:val="24"/>
              </w:rPr>
              <w:t xml:space="preserve">ir </w:t>
            </w:r>
            <w:r w:rsidR="00ED764C" w:rsidRPr="00327875">
              <w:rPr>
                <w:rFonts w:ascii="Times New Roman" w:hAnsi="Times New Roman" w:cs="Times New Roman"/>
                <w:sz w:val="24"/>
                <w:szCs w:val="24"/>
              </w:rPr>
              <w:t xml:space="preserve">nepieciešams izstrādāt grozījumus </w:t>
            </w:r>
            <w:r w:rsidR="0083240C" w:rsidRPr="00327875">
              <w:rPr>
                <w:rFonts w:ascii="Times New Roman" w:hAnsi="Times New Roman" w:cs="Times New Roman"/>
                <w:sz w:val="24"/>
                <w:szCs w:val="24"/>
              </w:rPr>
              <w:t xml:space="preserve">šajos </w:t>
            </w:r>
            <w:r w:rsidR="00ED764C" w:rsidRPr="00327875">
              <w:rPr>
                <w:rFonts w:ascii="Times New Roman" w:hAnsi="Times New Roman" w:cs="Times New Roman"/>
                <w:sz w:val="24"/>
                <w:szCs w:val="24"/>
              </w:rPr>
              <w:t>noteikumos</w:t>
            </w:r>
            <w:r w:rsidRPr="00327875">
              <w:rPr>
                <w:rFonts w:ascii="Times New Roman" w:hAnsi="Times New Roman" w:cs="Times New Roman"/>
                <w:sz w:val="24"/>
                <w:szCs w:val="24"/>
              </w:rPr>
              <w:t xml:space="preserve">, pielāgojot noteikumus </w:t>
            </w:r>
            <w:proofErr w:type="spellStart"/>
            <w:r w:rsidRPr="00327875">
              <w:rPr>
                <w:rFonts w:ascii="Times New Roman" w:hAnsi="Times New Roman" w:cs="Times New Roman"/>
                <w:i/>
                <w:sz w:val="24"/>
                <w:szCs w:val="24"/>
              </w:rPr>
              <w:t>euro</w:t>
            </w:r>
            <w:proofErr w:type="spellEnd"/>
            <w:r w:rsidRPr="00327875">
              <w:rPr>
                <w:rFonts w:ascii="Times New Roman" w:hAnsi="Times New Roman" w:cs="Times New Roman"/>
                <w:sz w:val="24"/>
                <w:szCs w:val="24"/>
              </w:rPr>
              <w:t xml:space="preserve"> ieviešanai</w:t>
            </w:r>
            <w:r w:rsidR="00513E18" w:rsidRPr="00327875">
              <w:rPr>
                <w:rFonts w:ascii="Times New Roman" w:hAnsi="Times New Roman" w:cs="Times New Roman"/>
                <w:sz w:val="24"/>
                <w:szCs w:val="24"/>
              </w:rPr>
              <w:t>.</w:t>
            </w:r>
          </w:p>
        </w:tc>
      </w:tr>
      <w:tr w:rsidR="00E5438C" w:rsidRPr="00327875" w:rsidTr="00832F6B">
        <w:trPr>
          <w:trHeight w:val="1071"/>
        </w:trPr>
        <w:tc>
          <w:tcPr>
            <w:tcW w:w="499" w:type="dxa"/>
            <w:tcBorders>
              <w:top w:val="single" w:sz="4" w:space="0" w:color="auto"/>
              <w:left w:val="single" w:sz="4" w:space="0" w:color="auto"/>
              <w:bottom w:val="single" w:sz="4" w:space="0" w:color="auto"/>
              <w:right w:val="single" w:sz="4" w:space="0" w:color="auto"/>
            </w:tcBorders>
            <w:hideMark/>
          </w:tcPr>
          <w:p w:rsidR="00E5438C" w:rsidRPr="00327875" w:rsidRDefault="00E5438C" w:rsidP="00A06125">
            <w:pPr>
              <w:pStyle w:val="naiskr"/>
              <w:spacing w:before="0" w:after="0"/>
              <w:jc w:val="center"/>
            </w:pPr>
            <w:r w:rsidRPr="00327875">
              <w:lastRenderedPageBreak/>
              <w:t>3.</w:t>
            </w:r>
          </w:p>
        </w:tc>
        <w:tc>
          <w:tcPr>
            <w:tcW w:w="1916" w:type="dxa"/>
            <w:tcBorders>
              <w:top w:val="single" w:sz="4" w:space="0" w:color="auto"/>
              <w:left w:val="single" w:sz="4" w:space="0" w:color="auto"/>
              <w:bottom w:val="single" w:sz="4" w:space="0" w:color="auto"/>
              <w:right w:val="single" w:sz="4" w:space="0" w:color="auto"/>
            </w:tcBorders>
            <w:hideMark/>
          </w:tcPr>
          <w:p w:rsidR="00E5438C" w:rsidRPr="00327875" w:rsidRDefault="00E5438C" w:rsidP="00A06125">
            <w:pPr>
              <w:pStyle w:val="naiskr"/>
              <w:spacing w:before="0" w:after="0"/>
            </w:pPr>
            <w:r w:rsidRPr="00327875">
              <w:t>Saistītie politikas ietekmes novērtējumi un pētījumi</w:t>
            </w:r>
          </w:p>
        </w:tc>
        <w:tc>
          <w:tcPr>
            <w:tcW w:w="6662" w:type="dxa"/>
            <w:tcBorders>
              <w:top w:val="single" w:sz="4" w:space="0" w:color="auto"/>
              <w:left w:val="single" w:sz="4" w:space="0" w:color="auto"/>
              <w:bottom w:val="single" w:sz="4" w:space="0" w:color="auto"/>
              <w:right w:val="single" w:sz="4" w:space="0" w:color="auto"/>
            </w:tcBorders>
            <w:hideMark/>
          </w:tcPr>
          <w:p w:rsidR="00E5438C" w:rsidRPr="00327875" w:rsidRDefault="00897CC6" w:rsidP="00A06125">
            <w:pPr>
              <w:pStyle w:val="FootnoteText"/>
              <w:rPr>
                <w:sz w:val="24"/>
                <w:szCs w:val="24"/>
              </w:rPr>
            </w:pPr>
            <w:r w:rsidRPr="00327875">
              <w:rPr>
                <w:sz w:val="24"/>
                <w:szCs w:val="24"/>
              </w:rPr>
              <w:t>Noteikumu p</w:t>
            </w:r>
            <w:r w:rsidR="00E5438C" w:rsidRPr="00327875">
              <w:rPr>
                <w:sz w:val="24"/>
                <w:szCs w:val="24"/>
              </w:rPr>
              <w:t>rojekts šo jomu neskar.</w:t>
            </w:r>
          </w:p>
        </w:tc>
      </w:tr>
      <w:tr w:rsidR="00E5438C" w:rsidRPr="00327875" w:rsidTr="00832F6B">
        <w:trPr>
          <w:trHeight w:val="558"/>
        </w:trPr>
        <w:tc>
          <w:tcPr>
            <w:tcW w:w="499" w:type="dxa"/>
            <w:tcBorders>
              <w:top w:val="single" w:sz="4" w:space="0" w:color="auto"/>
              <w:left w:val="single" w:sz="4" w:space="0" w:color="auto"/>
              <w:bottom w:val="single" w:sz="4" w:space="0" w:color="auto"/>
              <w:right w:val="single" w:sz="4" w:space="0" w:color="auto"/>
            </w:tcBorders>
            <w:hideMark/>
          </w:tcPr>
          <w:p w:rsidR="00E5438C" w:rsidRPr="00327875" w:rsidRDefault="00E5438C" w:rsidP="00A06125">
            <w:pPr>
              <w:pStyle w:val="naiskr"/>
              <w:spacing w:before="0" w:after="0"/>
              <w:jc w:val="center"/>
            </w:pPr>
            <w:r w:rsidRPr="00327875">
              <w:t>4.</w:t>
            </w:r>
          </w:p>
        </w:tc>
        <w:tc>
          <w:tcPr>
            <w:tcW w:w="1916" w:type="dxa"/>
            <w:tcBorders>
              <w:top w:val="single" w:sz="4" w:space="0" w:color="auto"/>
              <w:left w:val="single" w:sz="4" w:space="0" w:color="auto"/>
              <w:bottom w:val="single" w:sz="4" w:space="0" w:color="auto"/>
              <w:right w:val="single" w:sz="4" w:space="0" w:color="auto"/>
            </w:tcBorders>
            <w:hideMark/>
          </w:tcPr>
          <w:p w:rsidR="00E5438C" w:rsidRPr="00327875" w:rsidRDefault="00E5438C" w:rsidP="00A06125">
            <w:pPr>
              <w:pStyle w:val="naiskr"/>
              <w:spacing w:before="0" w:after="0"/>
            </w:pPr>
            <w:r w:rsidRPr="00327875">
              <w:t>Tiesiskā regulējuma mērķis un būtība</w:t>
            </w:r>
          </w:p>
        </w:tc>
        <w:tc>
          <w:tcPr>
            <w:tcW w:w="6662" w:type="dxa"/>
            <w:tcBorders>
              <w:top w:val="single" w:sz="4" w:space="0" w:color="auto"/>
              <w:left w:val="single" w:sz="4" w:space="0" w:color="auto"/>
              <w:bottom w:val="single" w:sz="4" w:space="0" w:color="auto"/>
              <w:right w:val="single" w:sz="4" w:space="0" w:color="auto"/>
            </w:tcBorders>
          </w:tcPr>
          <w:p w:rsidR="00B77B52" w:rsidRPr="00327875" w:rsidRDefault="00B77B52" w:rsidP="00A06125">
            <w:pPr>
              <w:spacing w:after="0" w:line="240" w:lineRule="auto"/>
              <w:ind w:left="170" w:right="170"/>
              <w:jc w:val="both"/>
              <w:rPr>
                <w:rFonts w:ascii="Times New Roman" w:hAnsi="Times New Roman" w:cs="Times New Roman"/>
                <w:sz w:val="24"/>
                <w:szCs w:val="24"/>
              </w:rPr>
            </w:pPr>
            <w:r w:rsidRPr="00327875">
              <w:rPr>
                <w:rFonts w:ascii="Times New Roman" w:hAnsi="Times New Roman" w:cs="Times New Roman"/>
                <w:sz w:val="24"/>
                <w:szCs w:val="24"/>
              </w:rPr>
              <w:t>Noteikumu projekts paredz:</w:t>
            </w:r>
          </w:p>
          <w:p w:rsidR="00B77B52" w:rsidRPr="0003413F" w:rsidRDefault="00B77B52" w:rsidP="00A06125">
            <w:pPr>
              <w:pStyle w:val="ListParagraph"/>
              <w:spacing w:after="0" w:line="240" w:lineRule="auto"/>
              <w:ind w:left="170" w:right="170"/>
              <w:jc w:val="both"/>
              <w:rPr>
                <w:rFonts w:ascii="Times New Roman" w:hAnsi="Times New Roman" w:cs="Times New Roman"/>
                <w:b/>
                <w:sz w:val="24"/>
                <w:szCs w:val="24"/>
              </w:rPr>
            </w:pPr>
            <w:r w:rsidRPr="00327875">
              <w:rPr>
                <w:rFonts w:ascii="Times New Roman" w:hAnsi="Times New Roman" w:cs="Times New Roman"/>
                <w:sz w:val="24"/>
                <w:szCs w:val="24"/>
              </w:rPr>
              <w:t>1. svītrot noteikumu Nr.14 IX.</w:t>
            </w:r>
            <w:r w:rsidR="00763857" w:rsidRPr="00327875">
              <w:rPr>
                <w:rFonts w:ascii="Times New Roman" w:hAnsi="Times New Roman" w:cs="Times New Roman"/>
                <w:sz w:val="24"/>
                <w:szCs w:val="24"/>
              </w:rPr>
              <w:t xml:space="preserve"> </w:t>
            </w:r>
            <w:r w:rsidRPr="00327875">
              <w:rPr>
                <w:rFonts w:ascii="Times New Roman" w:hAnsi="Times New Roman" w:cs="Times New Roman"/>
                <w:sz w:val="24"/>
                <w:szCs w:val="24"/>
              </w:rPr>
              <w:t>sadaļu „Kredītiestādes garantijas vēstule”, tādējādi</w:t>
            </w:r>
            <w:r w:rsidR="00A83E75" w:rsidRPr="00327875">
              <w:rPr>
                <w:rFonts w:ascii="Times New Roman" w:hAnsi="Times New Roman" w:cs="Times New Roman"/>
                <w:sz w:val="24"/>
                <w:szCs w:val="24"/>
              </w:rPr>
              <w:t xml:space="preserve"> </w:t>
            </w:r>
            <w:r w:rsidRPr="00327875">
              <w:rPr>
                <w:rFonts w:ascii="Times New Roman" w:hAnsi="Times New Roman" w:cs="Times New Roman"/>
                <w:sz w:val="24"/>
                <w:szCs w:val="24"/>
              </w:rPr>
              <w:t>samazinot nepamatoto administratīvo un finansiālo slogu</w:t>
            </w:r>
            <w:r w:rsidRPr="008925CF">
              <w:rPr>
                <w:rFonts w:ascii="Times New Roman" w:hAnsi="Times New Roman" w:cs="Times New Roman"/>
                <w:sz w:val="24"/>
                <w:szCs w:val="24"/>
              </w:rPr>
              <w:t>;</w:t>
            </w:r>
            <w:r w:rsidR="002E7387" w:rsidRPr="008925CF">
              <w:rPr>
                <w:rFonts w:ascii="Times New Roman" w:hAnsi="Times New Roman" w:cs="Times New Roman"/>
                <w:sz w:val="24"/>
                <w:szCs w:val="24"/>
              </w:rPr>
              <w:t xml:space="preserve"> vienlaikus</w:t>
            </w:r>
            <w:r w:rsidR="007F423D" w:rsidRPr="008925CF">
              <w:rPr>
                <w:rFonts w:ascii="Times New Roman" w:hAnsi="Times New Roman" w:cs="Times New Roman"/>
                <w:sz w:val="24"/>
                <w:szCs w:val="24"/>
              </w:rPr>
              <w:t xml:space="preserve"> saglabājot finanšu apguves kontroli</w:t>
            </w:r>
            <w:r w:rsidR="004B56B0" w:rsidRPr="008925CF">
              <w:rPr>
                <w:rFonts w:ascii="Times New Roman" w:hAnsi="Times New Roman" w:cs="Times New Roman"/>
                <w:sz w:val="24"/>
                <w:szCs w:val="24"/>
              </w:rPr>
              <w:t xml:space="preserve">, precizējot noteikumu Nr.14 91.punktu, kas paredz, ka sadarbības iestāde var lemt par līguma laušanu, ja </w:t>
            </w:r>
            <w:r w:rsidR="00532554" w:rsidRPr="008925CF">
              <w:rPr>
                <w:rFonts w:ascii="Times New Roman" w:hAnsi="Times New Roman" w:cs="Times New Roman"/>
                <w:sz w:val="24"/>
                <w:szCs w:val="24"/>
              </w:rPr>
              <w:t>noteiktā laika periodā nav iesniegti starpposma maksājuma pieprasījumi vismaz par 35% no pieprasītā publiskā finansējuma apmēra;</w:t>
            </w:r>
          </w:p>
          <w:p w:rsidR="008B1A07" w:rsidRPr="00327875" w:rsidRDefault="00B77B52" w:rsidP="00A06125">
            <w:pPr>
              <w:spacing w:after="0" w:line="240" w:lineRule="auto"/>
              <w:ind w:left="170" w:right="170"/>
              <w:jc w:val="both"/>
              <w:rPr>
                <w:rFonts w:ascii="Times New Roman" w:hAnsi="Times New Roman" w:cs="Times New Roman"/>
                <w:sz w:val="24"/>
                <w:szCs w:val="24"/>
              </w:rPr>
            </w:pPr>
            <w:r w:rsidRPr="00327875">
              <w:rPr>
                <w:rFonts w:ascii="Times New Roman" w:hAnsi="Times New Roman" w:cs="Times New Roman"/>
                <w:sz w:val="24"/>
                <w:szCs w:val="24"/>
              </w:rPr>
              <w:t>2.</w:t>
            </w:r>
            <w:r w:rsidR="001752B7" w:rsidRPr="00327875">
              <w:rPr>
                <w:rFonts w:ascii="Times New Roman" w:hAnsi="Times New Roman" w:cs="Times New Roman"/>
                <w:sz w:val="24"/>
                <w:szCs w:val="24"/>
              </w:rPr>
              <w:t> </w:t>
            </w:r>
            <w:r w:rsidRPr="00327875">
              <w:rPr>
                <w:rFonts w:ascii="Times New Roman" w:hAnsi="Times New Roman" w:cs="Times New Roman"/>
                <w:sz w:val="24"/>
                <w:szCs w:val="24"/>
              </w:rPr>
              <w:t xml:space="preserve">precizēt avansa saņemšanas nosacījumus, </w:t>
            </w:r>
            <w:r w:rsidR="009E16AB" w:rsidRPr="00327875">
              <w:rPr>
                <w:rFonts w:ascii="Times New Roman" w:hAnsi="Times New Roman" w:cs="Times New Roman"/>
                <w:sz w:val="24"/>
                <w:szCs w:val="24"/>
              </w:rPr>
              <w:t xml:space="preserve">nodrošinot atbilstību ar </w:t>
            </w:r>
            <w:r w:rsidR="001752B7" w:rsidRPr="00327875">
              <w:rPr>
                <w:rFonts w:ascii="Times New Roman" w:hAnsi="Times New Roman" w:cs="Times New Roman"/>
                <w:sz w:val="24"/>
                <w:szCs w:val="24"/>
              </w:rPr>
              <w:t>MK noteikum</w:t>
            </w:r>
            <w:r w:rsidR="00B82767">
              <w:rPr>
                <w:rFonts w:ascii="Times New Roman" w:hAnsi="Times New Roman" w:cs="Times New Roman"/>
                <w:sz w:val="24"/>
                <w:szCs w:val="24"/>
              </w:rPr>
              <w:t>iem</w:t>
            </w:r>
            <w:r w:rsidR="001752B7" w:rsidRPr="00327875">
              <w:rPr>
                <w:rFonts w:ascii="Times New Roman" w:hAnsi="Times New Roman" w:cs="Times New Roman"/>
                <w:sz w:val="24"/>
                <w:szCs w:val="24"/>
              </w:rPr>
              <w:t xml:space="preserve"> Nr.1041</w:t>
            </w:r>
            <w:r w:rsidR="00BE2EF5" w:rsidRPr="00327875">
              <w:rPr>
                <w:rFonts w:ascii="Times New Roman" w:hAnsi="Times New Roman" w:cs="Times New Roman"/>
                <w:sz w:val="24"/>
                <w:szCs w:val="24"/>
              </w:rPr>
              <w:t xml:space="preserve">. </w:t>
            </w:r>
            <w:r w:rsidR="008B1A07" w:rsidRPr="00327875">
              <w:rPr>
                <w:rFonts w:ascii="Times New Roman" w:hAnsi="Times New Roman" w:cs="Times New Roman"/>
                <w:sz w:val="24"/>
                <w:szCs w:val="24"/>
              </w:rPr>
              <w:t>Avansa saņemšanas nosacījumu precizējumi ietver šādas izmai</w:t>
            </w:r>
            <w:r w:rsidR="00677609" w:rsidRPr="00327875">
              <w:rPr>
                <w:rFonts w:ascii="Times New Roman" w:hAnsi="Times New Roman" w:cs="Times New Roman"/>
                <w:sz w:val="24"/>
                <w:szCs w:val="24"/>
              </w:rPr>
              <w:t>ņ</w:t>
            </w:r>
            <w:r w:rsidR="008B1A07" w:rsidRPr="00327875">
              <w:rPr>
                <w:rFonts w:ascii="Times New Roman" w:hAnsi="Times New Roman" w:cs="Times New Roman"/>
                <w:sz w:val="24"/>
                <w:szCs w:val="24"/>
              </w:rPr>
              <w:t>as:</w:t>
            </w:r>
          </w:p>
          <w:p w:rsidR="003F4022" w:rsidRPr="00327875" w:rsidRDefault="008B1A07" w:rsidP="00A06125">
            <w:pPr>
              <w:spacing w:after="0" w:line="240" w:lineRule="auto"/>
              <w:ind w:left="170" w:right="170"/>
              <w:jc w:val="both"/>
              <w:rPr>
                <w:rFonts w:ascii="Times New Roman" w:hAnsi="Times New Roman" w:cs="Times New Roman"/>
                <w:sz w:val="24"/>
                <w:szCs w:val="24"/>
              </w:rPr>
            </w:pPr>
            <w:r w:rsidRPr="00327875">
              <w:rPr>
                <w:rFonts w:ascii="Times New Roman" w:hAnsi="Times New Roman" w:cs="Times New Roman"/>
                <w:sz w:val="24"/>
                <w:szCs w:val="24"/>
              </w:rPr>
              <w:t>2.1. </w:t>
            </w:r>
            <w:r w:rsidR="00BE2EF5" w:rsidRPr="00327875">
              <w:rPr>
                <w:rFonts w:ascii="Times New Roman" w:hAnsi="Times New Roman" w:cs="Times New Roman"/>
                <w:sz w:val="24"/>
                <w:szCs w:val="24"/>
              </w:rPr>
              <w:t>tiek</w:t>
            </w:r>
            <w:r w:rsidR="0020046A" w:rsidRPr="00327875">
              <w:rPr>
                <w:rFonts w:ascii="Times New Roman" w:hAnsi="Times New Roman" w:cs="Times New Roman"/>
                <w:sz w:val="24"/>
                <w:szCs w:val="24"/>
              </w:rPr>
              <w:t xml:space="preserve"> norādīts bankas garantijas prasītājs, paredzot, ka tas </w:t>
            </w:r>
            <w:r w:rsidR="00677609" w:rsidRPr="00327875">
              <w:rPr>
                <w:rFonts w:ascii="Times New Roman" w:hAnsi="Times New Roman" w:cs="Times New Roman"/>
                <w:sz w:val="24"/>
                <w:szCs w:val="24"/>
              </w:rPr>
              <w:t>ir</w:t>
            </w:r>
            <w:r w:rsidR="0020046A" w:rsidRPr="00327875">
              <w:rPr>
                <w:rFonts w:ascii="Times New Roman" w:hAnsi="Times New Roman" w:cs="Times New Roman"/>
                <w:sz w:val="24"/>
                <w:szCs w:val="24"/>
              </w:rPr>
              <w:t xml:space="preserve"> finansējuma saņēmējs</w:t>
            </w:r>
            <w:r w:rsidR="004F0DD1" w:rsidRPr="00327875">
              <w:rPr>
                <w:rFonts w:ascii="Times New Roman" w:hAnsi="Times New Roman" w:cs="Times New Roman"/>
                <w:sz w:val="24"/>
                <w:szCs w:val="24"/>
              </w:rPr>
              <w:t xml:space="preserve"> </w:t>
            </w:r>
            <w:r w:rsidR="0020046A" w:rsidRPr="00327875">
              <w:rPr>
                <w:rFonts w:ascii="Times New Roman" w:hAnsi="Times New Roman" w:cs="Times New Roman"/>
                <w:sz w:val="24"/>
                <w:szCs w:val="24"/>
              </w:rPr>
              <w:t xml:space="preserve">vai sadarbības partneris. </w:t>
            </w:r>
            <w:r w:rsidR="004F0DD1" w:rsidRPr="00327875">
              <w:rPr>
                <w:rFonts w:ascii="Times New Roman" w:hAnsi="Times New Roman" w:cs="Times New Roman"/>
                <w:sz w:val="24"/>
                <w:szCs w:val="24"/>
              </w:rPr>
              <w:t xml:space="preserve">Tādējādi, ja saimnieciskā projekta iesniedzējs ir valsts dibināta zinātniskā institūcija, kurai nav konta kredītiestādē, bankas garantijas pieprasītājs </w:t>
            </w:r>
            <w:r w:rsidR="00677609" w:rsidRPr="00327875">
              <w:rPr>
                <w:rFonts w:ascii="Times New Roman" w:hAnsi="Times New Roman" w:cs="Times New Roman"/>
                <w:sz w:val="24"/>
                <w:szCs w:val="24"/>
              </w:rPr>
              <w:t>var būt</w:t>
            </w:r>
            <w:r w:rsidR="004F0DD1" w:rsidRPr="00327875">
              <w:rPr>
                <w:rFonts w:ascii="Times New Roman" w:hAnsi="Times New Roman" w:cs="Times New Roman"/>
                <w:sz w:val="24"/>
                <w:szCs w:val="24"/>
              </w:rPr>
              <w:t xml:space="preserve"> komersants – sadarbības partneris</w:t>
            </w:r>
            <w:r w:rsidR="003F4022" w:rsidRPr="00327875">
              <w:rPr>
                <w:rFonts w:ascii="Times New Roman" w:hAnsi="Times New Roman" w:cs="Times New Roman"/>
                <w:sz w:val="24"/>
                <w:szCs w:val="24"/>
              </w:rPr>
              <w:t>;</w:t>
            </w:r>
          </w:p>
          <w:p w:rsidR="0057795E" w:rsidRPr="00327875" w:rsidRDefault="003F4022" w:rsidP="00A06125">
            <w:pPr>
              <w:spacing w:after="0" w:line="240" w:lineRule="auto"/>
              <w:ind w:left="170" w:right="170"/>
              <w:jc w:val="both"/>
              <w:rPr>
                <w:rFonts w:ascii="Times New Roman" w:hAnsi="Times New Roman" w:cs="Times New Roman"/>
                <w:sz w:val="24"/>
                <w:szCs w:val="24"/>
              </w:rPr>
            </w:pPr>
            <w:r w:rsidRPr="00327875">
              <w:rPr>
                <w:rFonts w:ascii="Times New Roman" w:hAnsi="Times New Roman" w:cs="Times New Roman"/>
                <w:sz w:val="24"/>
                <w:szCs w:val="24"/>
              </w:rPr>
              <w:t>2.2. </w:t>
            </w:r>
            <w:r w:rsidR="003603F4" w:rsidRPr="00327875">
              <w:rPr>
                <w:rFonts w:ascii="Times New Roman" w:hAnsi="Times New Roman" w:cs="Times New Roman"/>
                <w:sz w:val="24"/>
                <w:szCs w:val="24"/>
              </w:rPr>
              <w:t>ne-saimnieciskā projekta gadījumā avansa maksājuma saņemšanai finansējuma saņēmējam sadarbības iestādē nav jāiesniedz bankas garantija</w:t>
            </w:r>
            <w:r w:rsidR="0057795E" w:rsidRPr="00327875">
              <w:rPr>
                <w:rFonts w:ascii="Times New Roman" w:hAnsi="Times New Roman" w:cs="Times New Roman"/>
                <w:sz w:val="24"/>
                <w:szCs w:val="24"/>
              </w:rPr>
              <w:t xml:space="preserve">. </w:t>
            </w:r>
          </w:p>
          <w:p w:rsidR="00864C59" w:rsidRPr="008925CF" w:rsidRDefault="0057795E" w:rsidP="00A06125">
            <w:pPr>
              <w:spacing w:after="0" w:line="240" w:lineRule="auto"/>
              <w:ind w:left="170" w:right="170"/>
              <w:jc w:val="both"/>
              <w:rPr>
                <w:rFonts w:ascii="Times New Roman" w:hAnsi="Times New Roman" w:cs="Times New Roman"/>
                <w:sz w:val="24"/>
                <w:szCs w:val="24"/>
              </w:rPr>
            </w:pPr>
            <w:r w:rsidRPr="008925CF">
              <w:rPr>
                <w:rFonts w:ascii="Times New Roman" w:hAnsi="Times New Roman" w:cs="Times New Roman"/>
                <w:sz w:val="24"/>
                <w:szCs w:val="24"/>
              </w:rPr>
              <w:t>Tādējādi n</w:t>
            </w:r>
            <w:r w:rsidR="00A83E75" w:rsidRPr="008925CF">
              <w:rPr>
                <w:rFonts w:ascii="Times New Roman" w:hAnsi="Times New Roman" w:cs="Times New Roman"/>
                <w:sz w:val="24"/>
                <w:szCs w:val="24"/>
              </w:rPr>
              <w:t xml:space="preserve">oteikumu projekts </w:t>
            </w:r>
            <w:r w:rsidR="00627D7B" w:rsidRPr="008925CF">
              <w:rPr>
                <w:rFonts w:ascii="Times New Roman" w:hAnsi="Times New Roman" w:cs="Times New Roman"/>
                <w:sz w:val="24"/>
                <w:szCs w:val="24"/>
              </w:rPr>
              <w:t>samazina</w:t>
            </w:r>
            <w:r w:rsidR="00A83E75" w:rsidRPr="008925CF">
              <w:rPr>
                <w:rFonts w:ascii="Times New Roman" w:hAnsi="Times New Roman" w:cs="Times New Roman"/>
                <w:sz w:val="24"/>
                <w:szCs w:val="24"/>
              </w:rPr>
              <w:t xml:space="preserve"> </w:t>
            </w:r>
            <w:r w:rsidR="005F7CE5" w:rsidRPr="008925CF">
              <w:rPr>
                <w:rFonts w:ascii="Times New Roman" w:hAnsi="Times New Roman" w:cs="Times New Roman"/>
                <w:sz w:val="24"/>
                <w:szCs w:val="24"/>
              </w:rPr>
              <w:t>struktūrfondu</w:t>
            </w:r>
            <w:r w:rsidR="004E6359" w:rsidRPr="008925CF">
              <w:rPr>
                <w:rFonts w:ascii="Times New Roman" w:hAnsi="Times New Roman" w:cs="Times New Roman"/>
                <w:sz w:val="24"/>
                <w:szCs w:val="24"/>
              </w:rPr>
              <w:t xml:space="preserve"> apguves </w:t>
            </w:r>
            <w:r w:rsidR="000A4629" w:rsidRPr="008925CF">
              <w:rPr>
                <w:rFonts w:ascii="Times New Roman" w:hAnsi="Times New Roman" w:cs="Times New Roman"/>
                <w:sz w:val="24"/>
                <w:szCs w:val="24"/>
              </w:rPr>
              <w:t>risku</w:t>
            </w:r>
            <w:r w:rsidR="00A83E75" w:rsidRPr="008925CF">
              <w:rPr>
                <w:rFonts w:ascii="Times New Roman" w:hAnsi="Times New Roman" w:cs="Times New Roman"/>
                <w:sz w:val="24"/>
                <w:szCs w:val="24"/>
              </w:rPr>
              <w:t xml:space="preserve">, </w:t>
            </w:r>
            <w:r w:rsidR="00774DB7" w:rsidRPr="008925CF">
              <w:rPr>
                <w:rFonts w:ascii="Times New Roman" w:hAnsi="Times New Roman" w:cs="Times New Roman"/>
                <w:sz w:val="24"/>
                <w:szCs w:val="24"/>
              </w:rPr>
              <w:t>paplašinot finansējuma saņēmēju loku, jo noteikumu projekts paredz labvēlīgākus nosacījumus zinātniskajām institūcijām</w:t>
            </w:r>
            <w:r w:rsidR="00214627" w:rsidRPr="008925CF">
              <w:rPr>
                <w:rFonts w:ascii="Times New Roman" w:hAnsi="Times New Roman" w:cs="Times New Roman"/>
                <w:sz w:val="24"/>
                <w:szCs w:val="24"/>
              </w:rPr>
              <w:t xml:space="preserve">, nosakot, ka zinātniskās institūcijas individuāli īstenota ne-saimnieciskā projekta gadījumā </w:t>
            </w:r>
            <w:r w:rsidR="00BE2CCF" w:rsidRPr="008925CF">
              <w:rPr>
                <w:rFonts w:ascii="Times New Roman" w:hAnsi="Times New Roman" w:cs="Times New Roman"/>
                <w:sz w:val="24"/>
                <w:szCs w:val="24"/>
              </w:rPr>
              <w:t>avansa saņemšanai kredītiestādes garantija nav nepieciešama.</w:t>
            </w:r>
          </w:p>
          <w:p w:rsidR="00A83E75" w:rsidRPr="00327875" w:rsidRDefault="00A83E75" w:rsidP="00A06125">
            <w:pPr>
              <w:spacing w:after="0" w:line="240" w:lineRule="auto"/>
              <w:ind w:left="170" w:right="170"/>
              <w:jc w:val="both"/>
              <w:rPr>
                <w:rFonts w:ascii="Times New Roman" w:hAnsi="Times New Roman" w:cs="Times New Roman"/>
                <w:sz w:val="24"/>
                <w:szCs w:val="24"/>
              </w:rPr>
            </w:pPr>
            <w:r w:rsidRPr="00327875">
              <w:rPr>
                <w:rFonts w:ascii="Times New Roman" w:hAnsi="Times New Roman" w:cs="Times New Roman"/>
                <w:sz w:val="24"/>
                <w:szCs w:val="24"/>
              </w:rPr>
              <w:lastRenderedPageBreak/>
              <w:t>Noteikumu Nr.14 16. un 17.punktā minētās normas nav pretrunīgas. Tās atbils</w:t>
            </w:r>
            <w:r w:rsidR="00D3799B">
              <w:rPr>
                <w:rFonts w:ascii="Times New Roman" w:hAnsi="Times New Roman" w:cs="Times New Roman"/>
                <w:sz w:val="24"/>
                <w:szCs w:val="24"/>
              </w:rPr>
              <w:t xml:space="preserve">t </w:t>
            </w:r>
            <w:r w:rsidRPr="00327875">
              <w:rPr>
                <w:rFonts w:ascii="Times New Roman" w:hAnsi="Times New Roman" w:cs="Times New Roman"/>
                <w:sz w:val="24"/>
                <w:szCs w:val="24"/>
              </w:rPr>
              <w:t>MK noteikumu nr.1041 25.punktam, kurā noteikts, ka avansa maksājuma saņemšanai cits finansējuma saņēmējs (kas nav pašvaldība) atver kontu Valsts kasē v</w:t>
            </w:r>
            <w:r w:rsidR="00D3799B">
              <w:rPr>
                <w:rFonts w:ascii="Times New Roman" w:hAnsi="Times New Roman" w:cs="Times New Roman"/>
                <w:sz w:val="24"/>
                <w:szCs w:val="24"/>
              </w:rPr>
              <w:t>ai darījuma kontu kredītiestādē.</w:t>
            </w:r>
          </w:p>
          <w:p w:rsidR="00A83E75" w:rsidRPr="00327875" w:rsidRDefault="00763857" w:rsidP="00A06125">
            <w:pPr>
              <w:spacing w:after="0" w:line="240" w:lineRule="auto"/>
              <w:ind w:left="170" w:right="170"/>
              <w:jc w:val="both"/>
              <w:rPr>
                <w:rFonts w:ascii="Times New Roman" w:hAnsi="Times New Roman" w:cs="Times New Roman"/>
                <w:sz w:val="24"/>
                <w:szCs w:val="24"/>
              </w:rPr>
            </w:pPr>
            <w:r w:rsidRPr="00327875">
              <w:rPr>
                <w:rFonts w:ascii="Times New Roman" w:hAnsi="Times New Roman" w:cs="Times New Roman"/>
                <w:sz w:val="24"/>
                <w:szCs w:val="24"/>
              </w:rPr>
              <w:t>Grozījumu rezultātā netiek radīts tiesiskās paļāvības risks, jo tiesiskās paļāvības princips neizslēdz valsts iespēju grozīt pastāvošo tiesisko regulējumu. Grozot tiesisko regulējumu, valstij ir jāņem vērā tās tiesības, uz kuru saglabāšanu vai īstenošanu personai var būt izveidojusies paļāvība. Tiesiskās paļāvības princips prasa, lai valsts, mainot normatīvo regulējumu, ievērotu saprātīgu līdzsvaru starp personas paļāvību un tām interesēm, kuru nodrošināšanas labad regulējums tiek mainīts.</w:t>
            </w:r>
            <w:r w:rsidR="00632BD1" w:rsidRPr="00327875">
              <w:rPr>
                <w:rFonts w:ascii="Times New Roman" w:hAnsi="Times New Roman" w:cs="Times New Roman"/>
                <w:sz w:val="24"/>
                <w:szCs w:val="24"/>
              </w:rPr>
              <w:t xml:space="preserve"> Grozījumu rezultātā labuma guvējiem tiek radīti labvēlīgāki apstākļi, kas sekmē ERAF finansējuma apguvi un </w:t>
            </w:r>
            <w:r w:rsidR="00535C05" w:rsidRPr="00327875">
              <w:rPr>
                <w:rFonts w:ascii="Times New Roman" w:hAnsi="Times New Roman" w:cs="Times New Roman"/>
                <w:sz w:val="24"/>
                <w:szCs w:val="24"/>
              </w:rPr>
              <w:t>darbības programmas papildinājumā noteikto rezultāta rādītāju sasniegšanu.</w:t>
            </w:r>
          </w:p>
          <w:p w:rsidR="004173D1" w:rsidRPr="00327875" w:rsidRDefault="00763857" w:rsidP="00A06125">
            <w:pPr>
              <w:spacing w:after="0" w:line="240" w:lineRule="auto"/>
              <w:ind w:left="170" w:right="170"/>
              <w:jc w:val="both"/>
              <w:rPr>
                <w:rFonts w:ascii="Times New Roman" w:hAnsi="Times New Roman" w:cs="Times New Roman"/>
                <w:sz w:val="24"/>
                <w:szCs w:val="24"/>
              </w:rPr>
            </w:pPr>
            <w:r w:rsidRPr="00327875">
              <w:rPr>
                <w:rFonts w:ascii="Times New Roman" w:hAnsi="Times New Roman" w:cs="Times New Roman"/>
                <w:sz w:val="24"/>
                <w:szCs w:val="24"/>
              </w:rPr>
              <w:t xml:space="preserve">MK noteikumu projektā paredzētie avansa saņemšanas nosacījumi nemainās attiecībā uz 2.1.1.1.aktivitātes otrās projektu iesniegumu atlases kārtas finansējuma saņēmējiem, ņemot vērā, ka šajā kārtā visi apstiprinātie projekti ir ar saimniecisku darbību saistīti projekti, līdz ar to – avansa saņemšanai ir jāiesniedz bankas garantija. </w:t>
            </w:r>
            <w:r w:rsidR="004173D1" w:rsidRPr="00327875">
              <w:rPr>
                <w:rFonts w:ascii="Times New Roman" w:hAnsi="Times New Roman" w:cs="Times New Roman"/>
                <w:sz w:val="24"/>
                <w:szCs w:val="24"/>
              </w:rPr>
              <w:t>Noteikumu projekta 17.punkts paredz, ka bankas garantija ir avansa apmērā, savukārt MK noteikumu Nr.14 76.punkts nosaka maksimālo avansa apmēru, t.i., 35% no projekta kopējā ERAF finansējuma</w:t>
            </w:r>
            <w:r w:rsidR="00E15E0B" w:rsidRPr="00327875">
              <w:rPr>
                <w:rFonts w:ascii="Times New Roman" w:hAnsi="Times New Roman" w:cs="Times New Roman"/>
                <w:sz w:val="24"/>
                <w:szCs w:val="24"/>
              </w:rPr>
              <w:t>;</w:t>
            </w:r>
          </w:p>
          <w:p w:rsidR="00846683" w:rsidRPr="00327875" w:rsidRDefault="00754C77" w:rsidP="00A06125">
            <w:pPr>
              <w:spacing w:after="0" w:line="240" w:lineRule="auto"/>
              <w:ind w:left="170" w:right="170"/>
              <w:jc w:val="both"/>
              <w:rPr>
                <w:rFonts w:ascii="Times New Roman" w:hAnsi="Times New Roman" w:cs="Times New Roman"/>
                <w:sz w:val="24"/>
                <w:szCs w:val="24"/>
              </w:rPr>
            </w:pPr>
            <w:r w:rsidRPr="00327875">
              <w:rPr>
                <w:rFonts w:ascii="Times New Roman" w:hAnsi="Times New Roman" w:cs="Times New Roman"/>
                <w:sz w:val="24"/>
                <w:szCs w:val="24"/>
              </w:rPr>
              <w:t>3.</w:t>
            </w:r>
            <w:r w:rsidR="004173D1" w:rsidRPr="00327875">
              <w:rPr>
                <w:rFonts w:ascii="Times New Roman" w:hAnsi="Times New Roman" w:cs="Times New Roman"/>
                <w:sz w:val="24"/>
                <w:szCs w:val="24"/>
              </w:rPr>
              <w:t> </w:t>
            </w:r>
            <w:r w:rsidRPr="00327875">
              <w:rPr>
                <w:rFonts w:ascii="Times New Roman" w:hAnsi="Times New Roman" w:cs="Times New Roman"/>
                <w:sz w:val="24"/>
                <w:szCs w:val="24"/>
              </w:rPr>
              <w:t>precizēt</w:t>
            </w:r>
            <w:r w:rsidR="00846683" w:rsidRPr="00327875">
              <w:rPr>
                <w:rFonts w:ascii="Times New Roman" w:hAnsi="Times New Roman" w:cs="Times New Roman"/>
                <w:sz w:val="24"/>
                <w:szCs w:val="24"/>
              </w:rPr>
              <w:t xml:space="preserve"> terminoloģij</w:t>
            </w:r>
            <w:r w:rsidRPr="00327875">
              <w:rPr>
                <w:rFonts w:ascii="Times New Roman" w:hAnsi="Times New Roman" w:cs="Times New Roman"/>
                <w:sz w:val="24"/>
                <w:szCs w:val="24"/>
              </w:rPr>
              <w:t>u</w:t>
            </w:r>
            <w:r w:rsidR="00846683" w:rsidRPr="00327875">
              <w:rPr>
                <w:rFonts w:ascii="Times New Roman" w:hAnsi="Times New Roman" w:cs="Times New Roman"/>
                <w:sz w:val="24"/>
                <w:szCs w:val="24"/>
              </w:rPr>
              <w:t>, aizstājot vārdu „</w:t>
            </w:r>
            <w:r w:rsidRPr="00327875">
              <w:rPr>
                <w:rFonts w:ascii="Times New Roman" w:hAnsi="Times New Roman" w:cs="Times New Roman"/>
                <w:sz w:val="24"/>
                <w:szCs w:val="24"/>
              </w:rPr>
              <w:t>banka” ar vārdu „kredītiestāde”;</w:t>
            </w:r>
          </w:p>
          <w:p w:rsidR="00B77B52" w:rsidRPr="00327875" w:rsidRDefault="00754C77" w:rsidP="00A06125">
            <w:pPr>
              <w:spacing w:after="0" w:line="240" w:lineRule="auto"/>
              <w:ind w:left="170" w:right="170"/>
              <w:jc w:val="both"/>
              <w:rPr>
                <w:rFonts w:ascii="Times New Roman" w:hAnsi="Times New Roman" w:cs="Times New Roman"/>
                <w:b/>
                <w:sz w:val="24"/>
                <w:szCs w:val="24"/>
              </w:rPr>
            </w:pPr>
            <w:r w:rsidRPr="00327875">
              <w:rPr>
                <w:rFonts w:ascii="Times New Roman" w:hAnsi="Times New Roman" w:cs="Times New Roman"/>
                <w:sz w:val="24"/>
                <w:szCs w:val="24"/>
              </w:rPr>
              <w:t>4</w:t>
            </w:r>
            <w:r w:rsidR="00B77B52" w:rsidRPr="00327875">
              <w:rPr>
                <w:rFonts w:ascii="Times New Roman" w:hAnsi="Times New Roman" w:cs="Times New Roman"/>
                <w:sz w:val="24"/>
                <w:szCs w:val="24"/>
              </w:rPr>
              <w:t>.precizē</w:t>
            </w:r>
            <w:r w:rsidR="00797C68" w:rsidRPr="00327875">
              <w:rPr>
                <w:rFonts w:ascii="Times New Roman" w:hAnsi="Times New Roman" w:cs="Times New Roman"/>
                <w:sz w:val="24"/>
                <w:szCs w:val="24"/>
              </w:rPr>
              <w:t>t</w:t>
            </w:r>
            <w:r w:rsidR="00B77B52" w:rsidRPr="00327875">
              <w:rPr>
                <w:rFonts w:ascii="Times New Roman" w:hAnsi="Times New Roman" w:cs="Times New Roman"/>
                <w:sz w:val="24"/>
                <w:szCs w:val="24"/>
              </w:rPr>
              <w:t xml:space="preserve"> ar saimniecisku darbību nesaistīta projekta īstenošanas uzsākšanas nosacījumus atbilstoši Regula</w:t>
            </w:r>
            <w:r w:rsidR="00AE4A75" w:rsidRPr="00327875">
              <w:rPr>
                <w:rFonts w:ascii="Times New Roman" w:hAnsi="Times New Roman" w:cs="Times New Roman"/>
                <w:sz w:val="24"/>
                <w:szCs w:val="24"/>
              </w:rPr>
              <w:t>s</w:t>
            </w:r>
            <w:r w:rsidR="00B77B52" w:rsidRPr="00327875">
              <w:rPr>
                <w:rFonts w:ascii="Times New Roman" w:hAnsi="Times New Roman" w:cs="Times New Roman"/>
                <w:sz w:val="24"/>
                <w:szCs w:val="24"/>
              </w:rPr>
              <w:t xml:space="preserve"> Nr.1083/2006 56.panta </w:t>
            </w:r>
            <w:r w:rsidR="006D3F1C" w:rsidRPr="00327875">
              <w:rPr>
                <w:rFonts w:ascii="Times New Roman" w:hAnsi="Times New Roman" w:cs="Times New Roman"/>
                <w:sz w:val="24"/>
                <w:szCs w:val="24"/>
              </w:rPr>
              <w:t>4</w:t>
            </w:r>
            <w:r w:rsidR="00B77B52" w:rsidRPr="00327875">
              <w:rPr>
                <w:rFonts w:ascii="Times New Roman" w:hAnsi="Times New Roman" w:cs="Times New Roman"/>
                <w:sz w:val="24"/>
                <w:szCs w:val="24"/>
              </w:rPr>
              <w:t>.punkta nosacījumie</w:t>
            </w:r>
            <w:r w:rsidR="00797C68" w:rsidRPr="00327875">
              <w:rPr>
                <w:rFonts w:ascii="Times New Roman" w:hAnsi="Times New Roman" w:cs="Times New Roman"/>
                <w:sz w:val="24"/>
                <w:szCs w:val="24"/>
              </w:rPr>
              <w:t>m</w:t>
            </w:r>
            <w:r w:rsidR="006D3F1C" w:rsidRPr="00327875">
              <w:rPr>
                <w:rFonts w:ascii="Times New Roman" w:hAnsi="Times New Roman" w:cs="Times New Roman"/>
                <w:b/>
                <w:sz w:val="24"/>
                <w:szCs w:val="24"/>
              </w:rPr>
              <w:t>,</w:t>
            </w:r>
            <w:r w:rsidR="002B6E65" w:rsidRPr="00327875">
              <w:rPr>
                <w:rFonts w:ascii="Times New Roman" w:hAnsi="Times New Roman" w:cs="Times New Roman"/>
                <w:b/>
                <w:sz w:val="24"/>
                <w:szCs w:val="24"/>
              </w:rPr>
              <w:t xml:space="preserve"> </w:t>
            </w:r>
            <w:r w:rsidR="002B6E65" w:rsidRPr="008925CF">
              <w:rPr>
                <w:rFonts w:ascii="Times New Roman" w:hAnsi="Times New Roman" w:cs="Times New Roman"/>
                <w:sz w:val="24"/>
                <w:szCs w:val="24"/>
              </w:rPr>
              <w:t xml:space="preserve">kas </w:t>
            </w:r>
            <w:r w:rsidR="00DF6E24" w:rsidRPr="008925CF">
              <w:rPr>
                <w:rFonts w:ascii="Times New Roman" w:hAnsi="Times New Roman" w:cs="Times New Roman"/>
                <w:sz w:val="24"/>
                <w:szCs w:val="24"/>
              </w:rPr>
              <w:t xml:space="preserve">prasa pieņemt nacionālo tiesību aktu </w:t>
            </w:r>
            <w:r w:rsidR="005E7B58" w:rsidRPr="008925CF">
              <w:rPr>
                <w:rFonts w:ascii="Times New Roman" w:hAnsi="Times New Roman" w:cs="Times New Roman"/>
                <w:sz w:val="24"/>
                <w:szCs w:val="24"/>
              </w:rPr>
              <w:t xml:space="preserve">regulā </w:t>
            </w:r>
            <w:r w:rsidR="003C7316" w:rsidRPr="008925CF">
              <w:rPr>
                <w:rFonts w:ascii="Times New Roman" w:hAnsi="Times New Roman" w:cs="Times New Roman"/>
                <w:sz w:val="24"/>
                <w:szCs w:val="24"/>
              </w:rPr>
              <w:t>noteikto</w:t>
            </w:r>
            <w:r w:rsidR="00DF6E24" w:rsidRPr="008925CF">
              <w:rPr>
                <w:rFonts w:ascii="Times New Roman" w:hAnsi="Times New Roman" w:cs="Times New Roman"/>
                <w:sz w:val="24"/>
                <w:szCs w:val="24"/>
              </w:rPr>
              <w:t xml:space="preserve"> prasību nodrošināšanai</w:t>
            </w:r>
            <w:r w:rsidR="00797C68" w:rsidRPr="008925CF">
              <w:rPr>
                <w:rFonts w:ascii="Times New Roman" w:hAnsi="Times New Roman" w:cs="Times New Roman"/>
                <w:sz w:val="24"/>
                <w:szCs w:val="24"/>
              </w:rPr>
              <w:t>;</w:t>
            </w:r>
          </w:p>
          <w:p w:rsidR="00D2329C" w:rsidRPr="00327875" w:rsidRDefault="004173D1" w:rsidP="00A06125">
            <w:pPr>
              <w:spacing w:after="0" w:line="240" w:lineRule="auto"/>
              <w:ind w:left="170" w:right="170"/>
              <w:jc w:val="both"/>
              <w:rPr>
                <w:rFonts w:ascii="Times New Roman" w:hAnsi="Times New Roman" w:cs="Times New Roman"/>
                <w:sz w:val="24"/>
                <w:szCs w:val="24"/>
              </w:rPr>
            </w:pPr>
            <w:r w:rsidRPr="00327875">
              <w:rPr>
                <w:rFonts w:ascii="Times New Roman" w:hAnsi="Times New Roman" w:cs="Times New Roman"/>
                <w:sz w:val="24"/>
                <w:szCs w:val="24"/>
              </w:rPr>
              <w:t>5</w:t>
            </w:r>
            <w:r w:rsidR="00755746" w:rsidRPr="00327875">
              <w:rPr>
                <w:rFonts w:ascii="Times New Roman" w:hAnsi="Times New Roman" w:cs="Times New Roman"/>
                <w:sz w:val="24"/>
                <w:szCs w:val="24"/>
              </w:rPr>
              <w:t>.</w:t>
            </w:r>
            <w:r w:rsidRPr="00327875">
              <w:rPr>
                <w:rFonts w:ascii="Times New Roman" w:hAnsi="Times New Roman" w:cs="Times New Roman"/>
                <w:sz w:val="24"/>
                <w:szCs w:val="24"/>
              </w:rPr>
              <w:t> </w:t>
            </w:r>
            <w:r w:rsidR="0064188E" w:rsidRPr="00327875">
              <w:rPr>
                <w:rFonts w:ascii="Times New Roman" w:hAnsi="Times New Roman" w:cs="Times New Roman"/>
                <w:sz w:val="24"/>
                <w:szCs w:val="24"/>
              </w:rPr>
              <w:t>uzlabo</w:t>
            </w:r>
            <w:r w:rsidR="008403FE" w:rsidRPr="00327875">
              <w:rPr>
                <w:rFonts w:ascii="Times New Roman" w:hAnsi="Times New Roman" w:cs="Times New Roman"/>
                <w:sz w:val="24"/>
                <w:szCs w:val="24"/>
              </w:rPr>
              <w:t>t</w:t>
            </w:r>
            <w:r w:rsidR="0064188E" w:rsidRPr="00327875">
              <w:rPr>
                <w:rFonts w:ascii="Times New Roman" w:hAnsi="Times New Roman" w:cs="Times New Roman"/>
                <w:sz w:val="24"/>
                <w:szCs w:val="24"/>
              </w:rPr>
              <w:t xml:space="preserve"> normu uztveramību un skaidrību</w:t>
            </w:r>
            <w:r w:rsidR="006427EB" w:rsidRPr="00327875">
              <w:rPr>
                <w:rFonts w:ascii="Times New Roman" w:hAnsi="Times New Roman" w:cs="Times New Roman"/>
                <w:sz w:val="24"/>
                <w:szCs w:val="24"/>
              </w:rPr>
              <w:t xml:space="preserve">, </w:t>
            </w:r>
            <w:r w:rsidR="0020046A" w:rsidRPr="00327875">
              <w:rPr>
                <w:rFonts w:ascii="Times New Roman" w:hAnsi="Times New Roman" w:cs="Times New Roman"/>
                <w:sz w:val="24"/>
                <w:szCs w:val="24"/>
              </w:rPr>
              <w:t>precizē</w:t>
            </w:r>
            <w:r w:rsidR="006427EB" w:rsidRPr="00327875">
              <w:rPr>
                <w:rFonts w:ascii="Times New Roman" w:hAnsi="Times New Roman" w:cs="Times New Roman"/>
                <w:sz w:val="24"/>
                <w:szCs w:val="24"/>
              </w:rPr>
              <w:t>jot</w:t>
            </w:r>
            <w:r w:rsidR="0020046A" w:rsidRPr="00327875">
              <w:rPr>
                <w:rFonts w:ascii="Times New Roman" w:hAnsi="Times New Roman" w:cs="Times New Roman"/>
                <w:sz w:val="24"/>
                <w:szCs w:val="24"/>
              </w:rPr>
              <w:t xml:space="preserve"> </w:t>
            </w:r>
            <w:r w:rsidR="00E56704" w:rsidRPr="00327875">
              <w:rPr>
                <w:rFonts w:ascii="Times New Roman" w:hAnsi="Times New Roman" w:cs="Times New Roman"/>
                <w:sz w:val="24"/>
                <w:szCs w:val="24"/>
              </w:rPr>
              <w:t>noteikumu</w:t>
            </w:r>
            <w:r w:rsidR="004C59D2" w:rsidRPr="00327875">
              <w:rPr>
                <w:rFonts w:ascii="Times New Roman" w:hAnsi="Times New Roman" w:cs="Times New Roman"/>
                <w:sz w:val="24"/>
                <w:szCs w:val="24"/>
              </w:rPr>
              <w:t xml:space="preserve"> Nr.1</w:t>
            </w:r>
            <w:r w:rsidR="00E56704" w:rsidRPr="00327875">
              <w:rPr>
                <w:rFonts w:ascii="Times New Roman" w:hAnsi="Times New Roman" w:cs="Times New Roman"/>
                <w:sz w:val="24"/>
                <w:szCs w:val="24"/>
              </w:rPr>
              <w:t>4</w:t>
            </w:r>
            <w:r w:rsidR="004C59D2" w:rsidRPr="00327875">
              <w:rPr>
                <w:rFonts w:ascii="Times New Roman" w:hAnsi="Times New Roman" w:cs="Times New Roman"/>
                <w:sz w:val="24"/>
                <w:szCs w:val="24"/>
              </w:rPr>
              <w:t xml:space="preserve"> </w:t>
            </w:r>
            <w:r w:rsidR="00E56704" w:rsidRPr="00327875">
              <w:rPr>
                <w:rFonts w:ascii="Times New Roman" w:hAnsi="Times New Roman" w:cs="Times New Roman"/>
                <w:sz w:val="24"/>
                <w:szCs w:val="24"/>
              </w:rPr>
              <w:t>73.5.apakšpunktu;</w:t>
            </w:r>
          </w:p>
          <w:p w:rsidR="00ED764C" w:rsidRPr="00327875" w:rsidRDefault="004173D1" w:rsidP="00A06125">
            <w:pPr>
              <w:spacing w:after="0" w:line="240" w:lineRule="auto"/>
              <w:ind w:left="170" w:right="170"/>
              <w:jc w:val="both"/>
              <w:rPr>
                <w:rFonts w:ascii="Times New Roman" w:hAnsi="Times New Roman" w:cs="Times New Roman"/>
                <w:sz w:val="24"/>
                <w:szCs w:val="24"/>
              </w:rPr>
            </w:pPr>
            <w:r w:rsidRPr="00327875">
              <w:rPr>
                <w:rFonts w:ascii="Times New Roman" w:hAnsi="Times New Roman" w:cs="Times New Roman"/>
                <w:sz w:val="24"/>
                <w:szCs w:val="24"/>
              </w:rPr>
              <w:t>6</w:t>
            </w:r>
            <w:r w:rsidR="0020046A" w:rsidRPr="00327875">
              <w:rPr>
                <w:rFonts w:ascii="Times New Roman" w:hAnsi="Times New Roman" w:cs="Times New Roman"/>
                <w:sz w:val="24"/>
                <w:szCs w:val="24"/>
              </w:rPr>
              <w:t>. p</w:t>
            </w:r>
            <w:r w:rsidR="00797C68" w:rsidRPr="00327875">
              <w:rPr>
                <w:rFonts w:ascii="Times New Roman" w:hAnsi="Times New Roman" w:cs="Times New Roman"/>
                <w:sz w:val="24"/>
                <w:szCs w:val="24"/>
              </w:rPr>
              <w:t>ielāgot</w:t>
            </w:r>
            <w:r w:rsidR="0020046A" w:rsidRPr="00327875">
              <w:rPr>
                <w:rFonts w:ascii="Times New Roman" w:hAnsi="Times New Roman" w:cs="Times New Roman"/>
                <w:sz w:val="24"/>
                <w:szCs w:val="24"/>
              </w:rPr>
              <w:t xml:space="preserve"> </w:t>
            </w:r>
            <w:r w:rsidR="00ED764C" w:rsidRPr="00327875">
              <w:rPr>
                <w:rFonts w:ascii="Times New Roman" w:hAnsi="Times New Roman" w:cs="Times New Roman"/>
                <w:sz w:val="24"/>
                <w:szCs w:val="24"/>
              </w:rPr>
              <w:t>noteikum</w:t>
            </w:r>
            <w:r w:rsidR="0083240C" w:rsidRPr="00327875">
              <w:rPr>
                <w:rFonts w:ascii="Times New Roman" w:hAnsi="Times New Roman" w:cs="Times New Roman"/>
                <w:sz w:val="24"/>
                <w:szCs w:val="24"/>
              </w:rPr>
              <w:t>u</w:t>
            </w:r>
            <w:r w:rsidR="00ED764C" w:rsidRPr="00327875">
              <w:rPr>
                <w:rFonts w:ascii="Times New Roman" w:hAnsi="Times New Roman" w:cs="Times New Roman"/>
                <w:sz w:val="24"/>
                <w:szCs w:val="24"/>
              </w:rPr>
              <w:t>s</w:t>
            </w:r>
            <w:r w:rsidR="001952D9" w:rsidRPr="00327875">
              <w:rPr>
                <w:rFonts w:ascii="Times New Roman" w:hAnsi="Times New Roman" w:cs="Times New Roman"/>
                <w:sz w:val="24"/>
                <w:szCs w:val="24"/>
              </w:rPr>
              <w:t xml:space="preserve"> Nr.14</w:t>
            </w:r>
            <w:r w:rsidR="00ED764C" w:rsidRPr="00327875">
              <w:rPr>
                <w:rFonts w:ascii="Times New Roman" w:hAnsi="Times New Roman" w:cs="Times New Roman"/>
                <w:sz w:val="24"/>
                <w:szCs w:val="24"/>
              </w:rPr>
              <w:t xml:space="preserve"> </w:t>
            </w:r>
            <w:proofErr w:type="spellStart"/>
            <w:r w:rsidR="0083240C" w:rsidRPr="00327875">
              <w:rPr>
                <w:rFonts w:ascii="Times New Roman" w:hAnsi="Times New Roman" w:cs="Times New Roman"/>
                <w:i/>
                <w:sz w:val="24"/>
                <w:szCs w:val="24"/>
              </w:rPr>
              <w:t>euro</w:t>
            </w:r>
            <w:proofErr w:type="spellEnd"/>
            <w:r w:rsidR="0083240C" w:rsidRPr="00327875">
              <w:rPr>
                <w:rFonts w:ascii="Times New Roman" w:hAnsi="Times New Roman" w:cs="Times New Roman"/>
                <w:sz w:val="24"/>
                <w:szCs w:val="24"/>
              </w:rPr>
              <w:t xml:space="preserve"> </w:t>
            </w:r>
            <w:r w:rsidR="00ED764C" w:rsidRPr="00327875">
              <w:rPr>
                <w:rFonts w:ascii="Times New Roman" w:hAnsi="Times New Roman" w:cs="Times New Roman"/>
                <w:sz w:val="24"/>
                <w:szCs w:val="24"/>
              </w:rPr>
              <w:t xml:space="preserve">ieviešanai. </w:t>
            </w:r>
          </w:p>
          <w:p w:rsidR="0083240C" w:rsidRPr="00327875" w:rsidRDefault="0083240C" w:rsidP="00A06125">
            <w:pPr>
              <w:spacing w:after="0" w:line="240" w:lineRule="auto"/>
              <w:ind w:left="170" w:right="170"/>
              <w:jc w:val="both"/>
              <w:rPr>
                <w:rFonts w:ascii="Times New Roman" w:hAnsi="Times New Roman" w:cs="Times New Roman"/>
                <w:sz w:val="24"/>
                <w:szCs w:val="24"/>
              </w:rPr>
            </w:pPr>
            <w:r w:rsidRPr="00327875">
              <w:rPr>
                <w:rFonts w:ascii="Times New Roman" w:hAnsi="Times New Roman" w:cs="Times New Roman"/>
                <w:sz w:val="24"/>
                <w:szCs w:val="24"/>
              </w:rPr>
              <w:t>Not</w:t>
            </w:r>
            <w:r w:rsidR="00EE2F27" w:rsidRPr="00327875">
              <w:rPr>
                <w:rFonts w:ascii="Times New Roman" w:hAnsi="Times New Roman" w:cs="Times New Roman"/>
                <w:sz w:val="24"/>
                <w:szCs w:val="24"/>
              </w:rPr>
              <w:t xml:space="preserve">eikumu projekts paredz aizstāt </w:t>
            </w:r>
            <w:r w:rsidRPr="00327875">
              <w:rPr>
                <w:rFonts w:ascii="Times New Roman" w:hAnsi="Times New Roman" w:cs="Times New Roman"/>
                <w:sz w:val="24"/>
                <w:szCs w:val="24"/>
              </w:rPr>
              <w:t>noteikumos</w:t>
            </w:r>
            <w:r w:rsidR="001952D9" w:rsidRPr="00327875">
              <w:rPr>
                <w:rFonts w:ascii="Times New Roman" w:hAnsi="Times New Roman" w:cs="Times New Roman"/>
                <w:sz w:val="24"/>
                <w:szCs w:val="24"/>
              </w:rPr>
              <w:t xml:space="preserve"> Nr.14</w:t>
            </w:r>
            <w:r w:rsidRPr="00327875">
              <w:rPr>
                <w:rFonts w:ascii="Times New Roman" w:hAnsi="Times New Roman" w:cs="Times New Roman"/>
                <w:sz w:val="24"/>
                <w:szCs w:val="24"/>
              </w:rPr>
              <w:t xml:space="preserve"> latus ar </w:t>
            </w:r>
            <w:proofErr w:type="spellStart"/>
            <w:r w:rsidRPr="00327875">
              <w:rPr>
                <w:rFonts w:ascii="Times New Roman" w:hAnsi="Times New Roman" w:cs="Times New Roman"/>
                <w:i/>
                <w:sz w:val="24"/>
                <w:szCs w:val="24"/>
              </w:rPr>
              <w:t>euro</w:t>
            </w:r>
            <w:proofErr w:type="spellEnd"/>
            <w:r w:rsidRPr="00327875">
              <w:rPr>
                <w:rFonts w:ascii="Times New Roman" w:hAnsi="Times New Roman" w:cs="Times New Roman"/>
                <w:sz w:val="24"/>
                <w:szCs w:val="24"/>
              </w:rPr>
              <w:t xml:space="preserve">, skaitliskās vērtības latos konvertējot  atbilstoši neatsaucami fiksētam </w:t>
            </w:r>
            <w:proofErr w:type="spellStart"/>
            <w:r w:rsidRPr="00327875">
              <w:rPr>
                <w:rFonts w:ascii="Times New Roman" w:hAnsi="Times New Roman" w:cs="Times New Roman"/>
                <w:i/>
                <w:sz w:val="24"/>
                <w:szCs w:val="24"/>
              </w:rPr>
              <w:t>euro</w:t>
            </w:r>
            <w:proofErr w:type="spellEnd"/>
            <w:r w:rsidRPr="00327875">
              <w:rPr>
                <w:rFonts w:ascii="Times New Roman" w:hAnsi="Times New Roman" w:cs="Times New Roman"/>
                <w:sz w:val="24"/>
                <w:szCs w:val="24"/>
              </w:rPr>
              <w:t xml:space="preserve"> maiņas kursam, ko saskaņā ar Līguma par Eiropas Savienības darbību 140.panta 3.punktu Eiropas Savienības Padome noteikusi latu apmaiņai pret </w:t>
            </w:r>
            <w:proofErr w:type="spellStart"/>
            <w:r w:rsidRPr="00327875">
              <w:rPr>
                <w:rFonts w:ascii="Times New Roman" w:hAnsi="Times New Roman" w:cs="Times New Roman"/>
                <w:i/>
                <w:sz w:val="24"/>
                <w:szCs w:val="24"/>
              </w:rPr>
              <w:t>euro</w:t>
            </w:r>
            <w:proofErr w:type="spellEnd"/>
            <w:r w:rsidRPr="00327875">
              <w:rPr>
                <w:rFonts w:ascii="Times New Roman" w:hAnsi="Times New Roman" w:cs="Times New Roman"/>
                <w:sz w:val="24"/>
                <w:szCs w:val="24"/>
              </w:rPr>
              <w:t xml:space="preserve"> (EUR 1 = LVL 0,702804) (pielikums).</w:t>
            </w:r>
          </w:p>
          <w:p w:rsidR="00E709EB" w:rsidRPr="00327875" w:rsidRDefault="0083240C" w:rsidP="00A06125">
            <w:pPr>
              <w:spacing w:after="0" w:line="240" w:lineRule="auto"/>
              <w:ind w:left="170" w:right="170"/>
              <w:jc w:val="both"/>
              <w:rPr>
                <w:rFonts w:ascii="Times New Roman" w:hAnsi="Times New Roman" w:cs="Times New Roman"/>
                <w:sz w:val="24"/>
                <w:szCs w:val="24"/>
              </w:rPr>
            </w:pPr>
            <w:r w:rsidRPr="00327875">
              <w:rPr>
                <w:rFonts w:ascii="Times New Roman" w:hAnsi="Times New Roman" w:cs="Times New Roman"/>
                <w:sz w:val="24"/>
                <w:szCs w:val="24"/>
              </w:rPr>
              <w:t>Aizstājot noteikumos</w:t>
            </w:r>
            <w:r w:rsidR="001952D9" w:rsidRPr="00327875">
              <w:rPr>
                <w:rFonts w:ascii="Times New Roman" w:hAnsi="Times New Roman" w:cs="Times New Roman"/>
                <w:sz w:val="24"/>
                <w:szCs w:val="24"/>
              </w:rPr>
              <w:t xml:space="preserve"> Nr.14</w:t>
            </w:r>
            <w:r w:rsidRPr="00327875">
              <w:rPr>
                <w:rFonts w:ascii="Times New Roman" w:hAnsi="Times New Roman" w:cs="Times New Roman"/>
                <w:sz w:val="24"/>
                <w:szCs w:val="24"/>
              </w:rPr>
              <w:t xml:space="preserve"> </w:t>
            </w:r>
            <w:r w:rsidR="00E709EB" w:rsidRPr="00327875">
              <w:rPr>
                <w:rFonts w:ascii="Times New Roman" w:hAnsi="Times New Roman" w:cs="Times New Roman"/>
                <w:sz w:val="24"/>
                <w:szCs w:val="24"/>
              </w:rPr>
              <w:t xml:space="preserve">12.punktā </w:t>
            </w:r>
            <w:r w:rsidRPr="00327875">
              <w:rPr>
                <w:rFonts w:ascii="Times New Roman" w:hAnsi="Times New Roman" w:cs="Times New Roman"/>
                <w:sz w:val="24"/>
                <w:szCs w:val="24"/>
              </w:rPr>
              <w:t xml:space="preserve">noteikto </w:t>
            </w:r>
            <w:r w:rsidR="00E709EB" w:rsidRPr="00327875">
              <w:rPr>
                <w:rFonts w:ascii="Times New Roman" w:hAnsi="Times New Roman" w:cs="Times New Roman"/>
                <w:sz w:val="24"/>
                <w:szCs w:val="24"/>
              </w:rPr>
              <w:t>otrās un trešās kārtas ietvaros pieejamo ERAF finansējumu</w:t>
            </w:r>
            <w:r w:rsidR="00C8496F" w:rsidRPr="00327875">
              <w:rPr>
                <w:rFonts w:ascii="Times New Roman" w:hAnsi="Times New Roman" w:cs="Times New Roman"/>
                <w:sz w:val="24"/>
                <w:szCs w:val="24"/>
              </w:rPr>
              <w:t xml:space="preserve"> latos ar </w:t>
            </w:r>
            <w:proofErr w:type="spellStart"/>
            <w:r w:rsidR="00C8496F" w:rsidRPr="00327875">
              <w:rPr>
                <w:rFonts w:ascii="Times New Roman" w:hAnsi="Times New Roman" w:cs="Times New Roman"/>
                <w:i/>
                <w:sz w:val="24"/>
                <w:szCs w:val="24"/>
              </w:rPr>
              <w:t>euro</w:t>
            </w:r>
            <w:proofErr w:type="spellEnd"/>
            <w:r w:rsidR="00EE2F27" w:rsidRPr="00327875">
              <w:rPr>
                <w:rFonts w:ascii="Times New Roman" w:hAnsi="Times New Roman" w:cs="Times New Roman"/>
                <w:sz w:val="24"/>
                <w:szCs w:val="24"/>
              </w:rPr>
              <w:t xml:space="preserve"> (noteikumu projekta 1.</w:t>
            </w:r>
            <w:r w:rsidR="00E709EB" w:rsidRPr="00327875">
              <w:rPr>
                <w:rFonts w:ascii="Times New Roman" w:hAnsi="Times New Roman" w:cs="Times New Roman"/>
                <w:sz w:val="24"/>
                <w:szCs w:val="24"/>
              </w:rPr>
              <w:t>punkts)</w:t>
            </w:r>
            <w:r w:rsidR="00F1139A" w:rsidRPr="00327875">
              <w:rPr>
                <w:rFonts w:ascii="Times New Roman" w:hAnsi="Times New Roman" w:cs="Times New Roman"/>
                <w:sz w:val="24"/>
                <w:szCs w:val="24"/>
              </w:rPr>
              <w:t xml:space="preserve">, kā arī 13.punktā noteikto projekta minimālo un maksimālo ERAF finansējuma apmēru latos ar </w:t>
            </w:r>
            <w:proofErr w:type="spellStart"/>
            <w:r w:rsidR="00F1139A" w:rsidRPr="00327875">
              <w:rPr>
                <w:rFonts w:ascii="Times New Roman" w:hAnsi="Times New Roman" w:cs="Times New Roman"/>
                <w:i/>
                <w:sz w:val="24"/>
                <w:szCs w:val="24"/>
              </w:rPr>
              <w:t>euro</w:t>
            </w:r>
            <w:proofErr w:type="spellEnd"/>
            <w:r w:rsidR="00F1139A" w:rsidRPr="00327875">
              <w:rPr>
                <w:rFonts w:ascii="Times New Roman" w:hAnsi="Times New Roman" w:cs="Times New Roman"/>
                <w:sz w:val="24"/>
                <w:szCs w:val="24"/>
              </w:rPr>
              <w:t xml:space="preserve"> </w:t>
            </w:r>
            <w:r w:rsidR="00EE2F27" w:rsidRPr="00327875">
              <w:rPr>
                <w:rFonts w:ascii="Times New Roman" w:hAnsi="Times New Roman" w:cs="Times New Roman"/>
                <w:sz w:val="24"/>
                <w:szCs w:val="24"/>
              </w:rPr>
              <w:t>(noteikumu projekta 2.</w:t>
            </w:r>
            <w:r w:rsidR="00F1139A" w:rsidRPr="00327875">
              <w:rPr>
                <w:rFonts w:ascii="Times New Roman" w:hAnsi="Times New Roman" w:cs="Times New Roman"/>
                <w:sz w:val="24"/>
                <w:szCs w:val="24"/>
              </w:rPr>
              <w:t>punkts)</w:t>
            </w:r>
            <w:r w:rsidR="00E709EB" w:rsidRPr="00327875">
              <w:rPr>
                <w:rFonts w:ascii="Times New Roman" w:hAnsi="Times New Roman" w:cs="Times New Roman"/>
                <w:sz w:val="24"/>
                <w:szCs w:val="24"/>
              </w:rPr>
              <w:t xml:space="preserve">, piemērots </w:t>
            </w:r>
            <w:proofErr w:type="spellStart"/>
            <w:r w:rsidR="00E709EB" w:rsidRPr="00327875">
              <w:rPr>
                <w:rFonts w:ascii="Times New Roman" w:hAnsi="Times New Roman" w:cs="Times New Roman"/>
                <w:i/>
                <w:sz w:val="24"/>
                <w:szCs w:val="24"/>
              </w:rPr>
              <w:t>Euro</w:t>
            </w:r>
            <w:proofErr w:type="spellEnd"/>
            <w:r w:rsidR="00E709EB" w:rsidRPr="00327875">
              <w:rPr>
                <w:rFonts w:ascii="Times New Roman" w:hAnsi="Times New Roman" w:cs="Times New Roman"/>
                <w:i/>
                <w:sz w:val="24"/>
                <w:szCs w:val="24"/>
              </w:rPr>
              <w:t xml:space="preserve"> ieviešanas kārtības likuma</w:t>
            </w:r>
            <w:r w:rsidR="00E709EB" w:rsidRPr="00327875">
              <w:rPr>
                <w:rFonts w:ascii="Times New Roman" w:hAnsi="Times New Roman" w:cs="Times New Roman"/>
                <w:sz w:val="24"/>
                <w:szCs w:val="24"/>
              </w:rPr>
              <w:t xml:space="preserve"> 32.panta otrās daļas 2.punkts un noapaļošana līdz veselam </w:t>
            </w:r>
            <w:proofErr w:type="spellStart"/>
            <w:r w:rsidR="00E709EB" w:rsidRPr="00327875">
              <w:rPr>
                <w:rFonts w:ascii="Times New Roman" w:hAnsi="Times New Roman" w:cs="Times New Roman"/>
                <w:i/>
                <w:sz w:val="24"/>
                <w:szCs w:val="24"/>
              </w:rPr>
              <w:t>euro</w:t>
            </w:r>
            <w:proofErr w:type="spellEnd"/>
            <w:r w:rsidR="00E709EB" w:rsidRPr="00327875">
              <w:rPr>
                <w:rFonts w:ascii="Times New Roman" w:hAnsi="Times New Roman" w:cs="Times New Roman"/>
                <w:sz w:val="24"/>
                <w:szCs w:val="24"/>
              </w:rPr>
              <w:t xml:space="preserve"> veikta, ievērojot zinātnes nozares darbības programmas maksājumu izteikšanas principu veselos skaitļos, kā arī nodrošinot ERAF finansējuma</w:t>
            </w:r>
            <w:r w:rsidR="00875BCA" w:rsidRPr="00327875">
              <w:rPr>
                <w:rFonts w:ascii="Times New Roman" w:hAnsi="Times New Roman" w:cs="Times New Roman"/>
                <w:sz w:val="24"/>
                <w:szCs w:val="24"/>
              </w:rPr>
              <w:t xml:space="preserve"> un projekta minimālā un </w:t>
            </w:r>
            <w:r w:rsidR="00875BCA" w:rsidRPr="00327875">
              <w:rPr>
                <w:rFonts w:ascii="Times New Roman" w:hAnsi="Times New Roman" w:cs="Times New Roman"/>
                <w:sz w:val="24"/>
                <w:szCs w:val="24"/>
              </w:rPr>
              <w:lastRenderedPageBreak/>
              <w:t>maksimālā</w:t>
            </w:r>
            <w:r w:rsidR="00F1139A" w:rsidRPr="00327875">
              <w:rPr>
                <w:rFonts w:ascii="Times New Roman" w:hAnsi="Times New Roman" w:cs="Times New Roman"/>
                <w:sz w:val="24"/>
                <w:szCs w:val="24"/>
              </w:rPr>
              <w:t xml:space="preserve"> ERAF finansējuma apmēra</w:t>
            </w:r>
            <w:r w:rsidR="00E709EB" w:rsidRPr="00327875">
              <w:rPr>
                <w:rFonts w:ascii="Times New Roman" w:hAnsi="Times New Roman" w:cs="Times New Roman"/>
                <w:sz w:val="24"/>
                <w:szCs w:val="24"/>
              </w:rPr>
              <w:t xml:space="preserve"> skaitliskās vērtības </w:t>
            </w:r>
            <w:proofErr w:type="spellStart"/>
            <w:r w:rsidR="00E709EB" w:rsidRPr="00327875">
              <w:rPr>
                <w:rFonts w:ascii="Times New Roman" w:hAnsi="Times New Roman" w:cs="Times New Roman"/>
                <w:i/>
                <w:sz w:val="24"/>
                <w:szCs w:val="24"/>
              </w:rPr>
              <w:t>euro</w:t>
            </w:r>
            <w:proofErr w:type="spellEnd"/>
            <w:r w:rsidR="00E709EB" w:rsidRPr="00327875">
              <w:rPr>
                <w:rFonts w:ascii="Times New Roman" w:hAnsi="Times New Roman" w:cs="Times New Roman"/>
                <w:sz w:val="24"/>
                <w:szCs w:val="24"/>
              </w:rPr>
              <w:t xml:space="preserve"> atbilstību darbības programmas „Uzņēmējdarbība un inovācijas” papildinājumā noteiktajam finansējuma apmēram. </w:t>
            </w:r>
          </w:p>
          <w:p w:rsidR="00E709EB" w:rsidRPr="00327875" w:rsidRDefault="00E709EB" w:rsidP="00A06125">
            <w:pPr>
              <w:spacing w:after="0" w:line="240" w:lineRule="auto"/>
              <w:ind w:left="170" w:right="170"/>
              <w:jc w:val="both"/>
              <w:rPr>
                <w:rFonts w:ascii="Times New Roman" w:hAnsi="Times New Roman" w:cs="Times New Roman"/>
                <w:sz w:val="24"/>
                <w:szCs w:val="24"/>
              </w:rPr>
            </w:pPr>
            <w:r w:rsidRPr="00327875">
              <w:rPr>
                <w:rFonts w:ascii="Times New Roman" w:hAnsi="Times New Roman" w:cs="Times New Roman"/>
                <w:sz w:val="24"/>
                <w:szCs w:val="24"/>
              </w:rPr>
              <w:t>Noteikumu</w:t>
            </w:r>
            <w:r w:rsidR="005A5166" w:rsidRPr="00327875">
              <w:rPr>
                <w:rFonts w:ascii="Times New Roman" w:hAnsi="Times New Roman" w:cs="Times New Roman"/>
                <w:sz w:val="24"/>
                <w:szCs w:val="24"/>
              </w:rPr>
              <w:t xml:space="preserve"> Nr.14</w:t>
            </w:r>
            <w:r w:rsidRPr="00327875">
              <w:rPr>
                <w:rFonts w:ascii="Times New Roman" w:hAnsi="Times New Roman" w:cs="Times New Roman"/>
                <w:sz w:val="24"/>
                <w:szCs w:val="24"/>
              </w:rPr>
              <w:t xml:space="preserve"> projektā norādītā otrās un trešās kārtas ietvaros pieejamā </w:t>
            </w:r>
            <w:r w:rsidR="00C8496F" w:rsidRPr="00327875">
              <w:rPr>
                <w:rFonts w:ascii="Times New Roman" w:hAnsi="Times New Roman" w:cs="Times New Roman"/>
                <w:sz w:val="24"/>
                <w:szCs w:val="24"/>
              </w:rPr>
              <w:t>ERAF finansējuma skaitliskā vērtība</w:t>
            </w:r>
            <w:r w:rsidRPr="00327875">
              <w:rPr>
                <w:rFonts w:ascii="Times New Roman" w:hAnsi="Times New Roman" w:cs="Times New Roman"/>
                <w:sz w:val="24"/>
                <w:szCs w:val="24"/>
              </w:rPr>
              <w:t xml:space="preserve"> </w:t>
            </w:r>
            <w:proofErr w:type="spellStart"/>
            <w:r w:rsidRPr="00327875">
              <w:rPr>
                <w:rFonts w:ascii="Times New Roman" w:hAnsi="Times New Roman" w:cs="Times New Roman"/>
                <w:i/>
                <w:sz w:val="24"/>
                <w:szCs w:val="24"/>
              </w:rPr>
              <w:t>euro</w:t>
            </w:r>
            <w:proofErr w:type="spellEnd"/>
            <w:r w:rsidRPr="00327875">
              <w:rPr>
                <w:rFonts w:ascii="Times New Roman" w:hAnsi="Times New Roman" w:cs="Times New Roman"/>
                <w:sz w:val="24"/>
                <w:szCs w:val="24"/>
              </w:rPr>
              <w:t>, summējot t</w:t>
            </w:r>
            <w:r w:rsidR="00C8496F" w:rsidRPr="00327875">
              <w:rPr>
                <w:rFonts w:ascii="Times New Roman" w:hAnsi="Times New Roman" w:cs="Times New Roman"/>
                <w:sz w:val="24"/>
                <w:szCs w:val="24"/>
              </w:rPr>
              <w:t>o</w:t>
            </w:r>
            <w:r w:rsidRPr="00327875">
              <w:rPr>
                <w:rFonts w:ascii="Times New Roman" w:hAnsi="Times New Roman" w:cs="Times New Roman"/>
                <w:sz w:val="24"/>
                <w:szCs w:val="24"/>
              </w:rPr>
              <w:t xml:space="preserve"> ar </w:t>
            </w:r>
            <w:r w:rsidR="00C8496F" w:rsidRPr="00327875">
              <w:rPr>
                <w:rFonts w:ascii="Times New Roman" w:hAnsi="Times New Roman" w:cs="Times New Roman"/>
                <w:sz w:val="24"/>
                <w:szCs w:val="24"/>
              </w:rPr>
              <w:t>2</w:t>
            </w:r>
            <w:r w:rsidRPr="00327875">
              <w:rPr>
                <w:rFonts w:ascii="Times New Roman" w:hAnsi="Times New Roman" w:cs="Times New Roman"/>
                <w:sz w:val="24"/>
                <w:szCs w:val="24"/>
              </w:rPr>
              <w:t xml:space="preserve">.1.1.1.aktivitātes </w:t>
            </w:r>
            <w:r w:rsidR="00C8496F" w:rsidRPr="00327875">
              <w:rPr>
                <w:rFonts w:ascii="Times New Roman" w:hAnsi="Times New Roman" w:cs="Times New Roman"/>
                <w:sz w:val="24"/>
                <w:szCs w:val="24"/>
              </w:rPr>
              <w:t>pirmās</w:t>
            </w:r>
            <w:r w:rsidRPr="00327875">
              <w:rPr>
                <w:rFonts w:ascii="Times New Roman" w:hAnsi="Times New Roman" w:cs="Times New Roman"/>
                <w:sz w:val="24"/>
                <w:szCs w:val="24"/>
              </w:rPr>
              <w:t xml:space="preserve"> projektu iesniegumu atlases kārtas</w:t>
            </w:r>
            <w:r w:rsidR="00C8496F" w:rsidRPr="00327875">
              <w:rPr>
                <w:rFonts w:ascii="Times New Roman" w:hAnsi="Times New Roman" w:cs="Times New Roman"/>
                <w:sz w:val="24"/>
                <w:szCs w:val="24"/>
              </w:rPr>
              <w:t xml:space="preserve"> ietvaros</w:t>
            </w:r>
            <w:r w:rsidRPr="00327875">
              <w:rPr>
                <w:rFonts w:ascii="Times New Roman" w:hAnsi="Times New Roman" w:cs="Times New Roman"/>
                <w:sz w:val="24"/>
                <w:szCs w:val="24"/>
              </w:rPr>
              <w:t xml:space="preserve"> pieejam</w:t>
            </w:r>
            <w:r w:rsidR="00C8496F" w:rsidRPr="00327875">
              <w:rPr>
                <w:rFonts w:ascii="Times New Roman" w:hAnsi="Times New Roman" w:cs="Times New Roman"/>
                <w:sz w:val="24"/>
                <w:szCs w:val="24"/>
              </w:rPr>
              <w:t xml:space="preserve">o ERAF finansējuma </w:t>
            </w:r>
            <w:r w:rsidRPr="00327875">
              <w:rPr>
                <w:rFonts w:ascii="Times New Roman" w:hAnsi="Times New Roman" w:cs="Times New Roman"/>
                <w:sz w:val="24"/>
                <w:szCs w:val="24"/>
              </w:rPr>
              <w:t>skaitlisk</w:t>
            </w:r>
            <w:r w:rsidR="00C8496F" w:rsidRPr="00327875">
              <w:rPr>
                <w:rFonts w:ascii="Times New Roman" w:hAnsi="Times New Roman" w:cs="Times New Roman"/>
                <w:sz w:val="24"/>
                <w:szCs w:val="24"/>
              </w:rPr>
              <w:t>o</w:t>
            </w:r>
            <w:r w:rsidRPr="00327875">
              <w:rPr>
                <w:rFonts w:ascii="Times New Roman" w:hAnsi="Times New Roman" w:cs="Times New Roman"/>
                <w:sz w:val="24"/>
                <w:szCs w:val="24"/>
              </w:rPr>
              <w:t xml:space="preserve"> vērtīb</w:t>
            </w:r>
            <w:r w:rsidR="00C8496F" w:rsidRPr="00327875">
              <w:rPr>
                <w:rFonts w:ascii="Times New Roman" w:hAnsi="Times New Roman" w:cs="Times New Roman"/>
                <w:sz w:val="24"/>
                <w:szCs w:val="24"/>
              </w:rPr>
              <w:t>u</w:t>
            </w:r>
            <w:r w:rsidRPr="00327875">
              <w:rPr>
                <w:rFonts w:ascii="Times New Roman" w:hAnsi="Times New Roman" w:cs="Times New Roman"/>
                <w:sz w:val="24"/>
                <w:szCs w:val="24"/>
              </w:rPr>
              <w:t xml:space="preserve"> </w:t>
            </w:r>
            <w:proofErr w:type="spellStart"/>
            <w:r w:rsidRPr="00327875">
              <w:rPr>
                <w:rFonts w:ascii="Times New Roman" w:hAnsi="Times New Roman" w:cs="Times New Roman"/>
                <w:i/>
                <w:sz w:val="24"/>
                <w:szCs w:val="24"/>
              </w:rPr>
              <w:t>euro</w:t>
            </w:r>
            <w:proofErr w:type="spellEnd"/>
            <w:r w:rsidRPr="00327875">
              <w:rPr>
                <w:rFonts w:ascii="Times New Roman" w:hAnsi="Times New Roman" w:cs="Times New Roman"/>
                <w:sz w:val="24"/>
                <w:szCs w:val="24"/>
              </w:rPr>
              <w:t xml:space="preserve">, atbilst skaitliskajai vērtībai </w:t>
            </w:r>
            <w:proofErr w:type="spellStart"/>
            <w:r w:rsidRPr="00327875">
              <w:rPr>
                <w:rFonts w:ascii="Times New Roman" w:hAnsi="Times New Roman" w:cs="Times New Roman"/>
                <w:i/>
                <w:sz w:val="24"/>
                <w:szCs w:val="24"/>
              </w:rPr>
              <w:t>euro</w:t>
            </w:r>
            <w:proofErr w:type="spellEnd"/>
            <w:r w:rsidRPr="00327875">
              <w:rPr>
                <w:rFonts w:ascii="Times New Roman" w:hAnsi="Times New Roman" w:cs="Times New Roman"/>
                <w:sz w:val="24"/>
                <w:szCs w:val="24"/>
              </w:rPr>
              <w:t>, kas norādīta darbības programmas „</w:t>
            </w:r>
            <w:r w:rsidR="00C8496F" w:rsidRPr="00327875">
              <w:rPr>
                <w:rFonts w:ascii="Times New Roman" w:hAnsi="Times New Roman" w:cs="Times New Roman"/>
                <w:sz w:val="24"/>
                <w:szCs w:val="24"/>
              </w:rPr>
              <w:t>Uzņēmējdarbība un inovācijas</w:t>
            </w:r>
            <w:r w:rsidRPr="00327875">
              <w:rPr>
                <w:rFonts w:ascii="Times New Roman" w:hAnsi="Times New Roman" w:cs="Times New Roman"/>
                <w:sz w:val="24"/>
                <w:szCs w:val="24"/>
              </w:rPr>
              <w:t xml:space="preserve">” papildinājumā.  </w:t>
            </w:r>
          </w:p>
          <w:p w:rsidR="00F1139A" w:rsidRPr="00327875" w:rsidRDefault="00F1139A" w:rsidP="00A06125">
            <w:pPr>
              <w:spacing w:after="0" w:line="240" w:lineRule="auto"/>
              <w:ind w:left="170" w:right="170"/>
              <w:jc w:val="both"/>
              <w:rPr>
                <w:rFonts w:ascii="Times New Roman" w:hAnsi="Times New Roman" w:cs="Times New Roman"/>
                <w:sz w:val="24"/>
                <w:szCs w:val="24"/>
              </w:rPr>
            </w:pPr>
            <w:r w:rsidRPr="00327875">
              <w:rPr>
                <w:rFonts w:ascii="Times New Roman" w:hAnsi="Times New Roman" w:cs="Times New Roman"/>
                <w:sz w:val="24"/>
                <w:szCs w:val="24"/>
              </w:rPr>
              <w:t xml:space="preserve">Aizstājot noteikumu </w:t>
            </w:r>
            <w:r w:rsidR="001952D9" w:rsidRPr="00327875">
              <w:rPr>
                <w:rFonts w:ascii="Times New Roman" w:hAnsi="Times New Roman" w:cs="Times New Roman"/>
                <w:sz w:val="24"/>
                <w:szCs w:val="24"/>
              </w:rPr>
              <w:t xml:space="preserve">Nr.14 </w:t>
            </w:r>
            <w:r w:rsidRPr="00327875">
              <w:rPr>
                <w:rFonts w:ascii="Times New Roman" w:hAnsi="Times New Roman" w:cs="Times New Roman"/>
                <w:sz w:val="24"/>
                <w:szCs w:val="24"/>
              </w:rPr>
              <w:t xml:space="preserve">20.punktā noteikto 2.1.1.1.aktivitātes otrās kārtas ietvaros kopējo maksimāli pieļaujamo ERAF finansējuma apmēru latos ar </w:t>
            </w:r>
            <w:proofErr w:type="spellStart"/>
            <w:r w:rsidRPr="00327875">
              <w:rPr>
                <w:rFonts w:ascii="Times New Roman" w:hAnsi="Times New Roman" w:cs="Times New Roman"/>
                <w:i/>
                <w:sz w:val="24"/>
                <w:szCs w:val="24"/>
              </w:rPr>
              <w:t>euro</w:t>
            </w:r>
            <w:proofErr w:type="spellEnd"/>
            <w:r w:rsidR="00EE2F27" w:rsidRPr="00327875">
              <w:rPr>
                <w:rFonts w:ascii="Times New Roman" w:hAnsi="Times New Roman" w:cs="Times New Roman"/>
                <w:sz w:val="24"/>
                <w:szCs w:val="24"/>
              </w:rPr>
              <w:t xml:space="preserve"> (noteikumu projekta 4. un 5.</w:t>
            </w:r>
            <w:r w:rsidR="00C62202" w:rsidRPr="00327875">
              <w:rPr>
                <w:rFonts w:ascii="Times New Roman" w:hAnsi="Times New Roman" w:cs="Times New Roman"/>
                <w:sz w:val="24"/>
                <w:szCs w:val="24"/>
              </w:rPr>
              <w:t>punkts)</w:t>
            </w:r>
            <w:r w:rsidRPr="00327875">
              <w:rPr>
                <w:rFonts w:ascii="Times New Roman" w:hAnsi="Times New Roman" w:cs="Times New Roman"/>
                <w:sz w:val="24"/>
                <w:szCs w:val="24"/>
              </w:rPr>
              <w:t xml:space="preserve">, piemērots </w:t>
            </w:r>
            <w:proofErr w:type="spellStart"/>
            <w:r w:rsidRPr="00327875">
              <w:rPr>
                <w:rFonts w:ascii="Times New Roman" w:hAnsi="Times New Roman" w:cs="Times New Roman"/>
                <w:i/>
                <w:sz w:val="24"/>
                <w:szCs w:val="24"/>
              </w:rPr>
              <w:t>Euro</w:t>
            </w:r>
            <w:proofErr w:type="spellEnd"/>
            <w:r w:rsidRPr="00327875">
              <w:rPr>
                <w:rFonts w:ascii="Times New Roman" w:hAnsi="Times New Roman" w:cs="Times New Roman"/>
                <w:i/>
                <w:sz w:val="24"/>
                <w:szCs w:val="24"/>
              </w:rPr>
              <w:t xml:space="preserve"> ieviešanas kārtības likuma </w:t>
            </w:r>
            <w:r w:rsidRPr="00327875">
              <w:rPr>
                <w:rFonts w:ascii="Times New Roman" w:hAnsi="Times New Roman" w:cs="Times New Roman"/>
                <w:sz w:val="24"/>
                <w:szCs w:val="24"/>
              </w:rPr>
              <w:t xml:space="preserve">32.panta otrās daļas 2.punkts un noapaļošana uz augšu līdz veselam </w:t>
            </w:r>
            <w:proofErr w:type="spellStart"/>
            <w:r w:rsidRPr="00327875">
              <w:rPr>
                <w:rFonts w:ascii="Times New Roman" w:hAnsi="Times New Roman" w:cs="Times New Roman"/>
                <w:i/>
                <w:sz w:val="24"/>
                <w:szCs w:val="24"/>
              </w:rPr>
              <w:t>euro</w:t>
            </w:r>
            <w:proofErr w:type="spellEnd"/>
            <w:r w:rsidRPr="00327875">
              <w:rPr>
                <w:rFonts w:ascii="Times New Roman" w:hAnsi="Times New Roman" w:cs="Times New Roman"/>
                <w:sz w:val="24"/>
                <w:szCs w:val="24"/>
              </w:rPr>
              <w:t xml:space="preserve"> veikta, ievērojot zinātnes nozares darbības programmas maksājumu izteikšanas principu veselos skaitļos, kā arī ievērojot</w:t>
            </w:r>
            <w:r w:rsidR="00C62202" w:rsidRPr="00327875">
              <w:rPr>
                <w:rFonts w:ascii="Times New Roman" w:hAnsi="Times New Roman" w:cs="Times New Roman"/>
                <w:sz w:val="24"/>
                <w:szCs w:val="24"/>
              </w:rPr>
              <w:t xml:space="preserve"> projektu iesniegumu vērtēšanas kritērijos noteikto, ka </w:t>
            </w:r>
            <w:r w:rsidR="00875BCA" w:rsidRPr="00327875">
              <w:rPr>
                <w:rFonts w:ascii="Times New Roman" w:hAnsi="Times New Roman" w:cs="Times New Roman"/>
                <w:sz w:val="24"/>
                <w:szCs w:val="24"/>
              </w:rPr>
              <w:t xml:space="preserve">projekta </w:t>
            </w:r>
            <w:r w:rsidR="00C62202" w:rsidRPr="00327875">
              <w:rPr>
                <w:rFonts w:ascii="Times New Roman" w:hAnsi="Times New Roman" w:cs="Times New Roman"/>
                <w:sz w:val="24"/>
                <w:szCs w:val="24"/>
              </w:rPr>
              <w:t>ERAF finansējums tiek  plānots pilnās naudas vienībās.</w:t>
            </w:r>
          </w:p>
          <w:p w:rsidR="00F442EC" w:rsidRPr="00327875" w:rsidRDefault="00F442EC" w:rsidP="00A06125">
            <w:pPr>
              <w:spacing w:after="0" w:line="240" w:lineRule="auto"/>
              <w:ind w:left="170" w:right="170"/>
              <w:jc w:val="both"/>
              <w:rPr>
                <w:rFonts w:ascii="Times New Roman" w:hAnsi="Times New Roman" w:cs="Times New Roman"/>
                <w:sz w:val="24"/>
                <w:szCs w:val="24"/>
              </w:rPr>
            </w:pPr>
            <w:proofErr w:type="spellStart"/>
            <w:r w:rsidRPr="00327875">
              <w:rPr>
                <w:rFonts w:ascii="Times New Roman" w:hAnsi="Times New Roman" w:cs="Times New Roman"/>
                <w:sz w:val="24"/>
                <w:szCs w:val="24"/>
              </w:rPr>
              <w:t>Euro</w:t>
            </w:r>
            <w:proofErr w:type="spellEnd"/>
            <w:r w:rsidRPr="00327875">
              <w:rPr>
                <w:rFonts w:ascii="Times New Roman" w:hAnsi="Times New Roman" w:cs="Times New Roman"/>
                <w:sz w:val="24"/>
                <w:szCs w:val="24"/>
              </w:rPr>
              <w:t xml:space="preserve"> ieviešanas kārtības likuma 6.pants piemērots a</w:t>
            </w:r>
            <w:r w:rsidR="00C8496F" w:rsidRPr="00327875">
              <w:rPr>
                <w:rFonts w:ascii="Times New Roman" w:hAnsi="Times New Roman" w:cs="Times New Roman"/>
                <w:sz w:val="24"/>
                <w:szCs w:val="24"/>
              </w:rPr>
              <w:t>izstājot noteikumu</w:t>
            </w:r>
            <w:r w:rsidR="001952D9" w:rsidRPr="00327875">
              <w:rPr>
                <w:rFonts w:ascii="Times New Roman" w:hAnsi="Times New Roman" w:cs="Times New Roman"/>
                <w:sz w:val="24"/>
                <w:szCs w:val="24"/>
              </w:rPr>
              <w:t xml:space="preserve"> Nr.14</w:t>
            </w:r>
            <w:r w:rsidRPr="00327875">
              <w:rPr>
                <w:rFonts w:ascii="Times New Roman" w:hAnsi="Times New Roman" w:cs="Times New Roman"/>
                <w:sz w:val="24"/>
                <w:szCs w:val="24"/>
              </w:rPr>
              <w:t>:</w:t>
            </w:r>
          </w:p>
          <w:p w:rsidR="00F442EC" w:rsidRPr="00327875" w:rsidRDefault="00C8496F" w:rsidP="00A06125">
            <w:pPr>
              <w:spacing w:after="0" w:line="240" w:lineRule="auto"/>
              <w:ind w:left="170" w:right="170"/>
              <w:jc w:val="both"/>
              <w:rPr>
                <w:rFonts w:ascii="Times New Roman" w:hAnsi="Times New Roman" w:cs="Times New Roman"/>
                <w:sz w:val="24"/>
                <w:szCs w:val="24"/>
              </w:rPr>
            </w:pPr>
            <w:r w:rsidRPr="00327875">
              <w:rPr>
                <w:rFonts w:ascii="Times New Roman" w:hAnsi="Times New Roman" w:cs="Times New Roman"/>
                <w:sz w:val="24"/>
                <w:szCs w:val="24"/>
              </w:rPr>
              <w:t>12.punktā noteikto</w:t>
            </w:r>
            <w:r w:rsidR="00F442EC" w:rsidRPr="00327875">
              <w:rPr>
                <w:rFonts w:ascii="Times New Roman" w:hAnsi="Times New Roman" w:cs="Times New Roman"/>
                <w:sz w:val="24"/>
                <w:szCs w:val="24"/>
              </w:rPr>
              <w:t xml:space="preserve"> </w:t>
            </w:r>
            <w:proofErr w:type="spellStart"/>
            <w:r w:rsidRPr="00327875">
              <w:rPr>
                <w:rFonts w:ascii="Times New Roman" w:hAnsi="Times New Roman" w:cs="Times New Roman"/>
                <w:sz w:val="24"/>
                <w:szCs w:val="24"/>
              </w:rPr>
              <w:t>virssaistību</w:t>
            </w:r>
            <w:proofErr w:type="spellEnd"/>
            <w:r w:rsidRPr="00327875">
              <w:rPr>
                <w:rFonts w:ascii="Times New Roman" w:hAnsi="Times New Roman" w:cs="Times New Roman"/>
                <w:sz w:val="24"/>
                <w:szCs w:val="24"/>
              </w:rPr>
              <w:t xml:space="preserve"> finansējuma apmēru latos ar </w:t>
            </w:r>
            <w:proofErr w:type="spellStart"/>
            <w:r w:rsidRPr="00327875">
              <w:rPr>
                <w:rFonts w:ascii="Times New Roman" w:hAnsi="Times New Roman" w:cs="Times New Roman"/>
                <w:sz w:val="24"/>
                <w:szCs w:val="24"/>
              </w:rPr>
              <w:t>euro</w:t>
            </w:r>
            <w:proofErr w:type="spellEnd"/>
            <w:r w:rsidR="00EE2F27" w:rsidRPr="00327875">
              <w:rPr>
                <w:rFonts w:ascii="Times New Roman" w:hAnsi="Times New Roman" w:cs="Times New Roman"/>
                <w:sz w:val="24"/>
                <w:szCs w:val="24"/>
              </w:rPr>
              <w:t xml:space="preserve"> (noteikumu projekta 1.</w:t>
            </w:r>
            <w:r w:rsidRPr="00327875">
              <w:rPr>
                <w:rFonts w:ascii="Times New Roman" w:hAnsi="Times New Roman" w:cs="Times New Roman"/>
                <w:sz w:val="24"/>
                <w:szCs w:val="24"/>
              </w:rPr>
              <w:t xml:space="preserve">punkts), </w:t>
            </w:r>
          </w:p>
          <w:p w:rsidR="00F442EC" w:rsidRPr="00327875" w:rsidRDefault="00C8496F" w:rsidP="00A06125">
            <w:pPr>
              <w:spacing w:after="0" w:line="240" w:lineRule="auto"/>
              <w:ind w:left="170" w:right="170"/>
              <w:jc w:val="both"/>
              <w:rPr>
                <w:rFonts w:ascii="Times New Roman" w:hAnsi="Times New Roman" w:cs="Times New Roman"/>
                <w:sz w:val="24"/>
                <w:szCs w:val="24"/>
              </w:rPr>
            </w:pPr>
            <w:r w:rsidRPr="00327875">
              <w:rPr>
                <w:rFonts w:ascii="Times New Roman" w:hAnsi="Times New Roman" w:cs="Times New Roman"/>
                <w:sz w:val="24"/>
                <w:szCs w:val="24"/>
              </w:rPr>
              <w:t>18.3.apakšpunktā</w:t>
            </w:r>
            <w:r w:rsidR="00C62202" w:rsidRPr="00327875">
              <w:rPr>
                <w:rFonts w:ascii="Times New Roman" w:hAnsi="Times New Roman" w:cs="Times New Roman"/>
                <w:sz w:val="24"/>
                <w:szCs w:val="24"/>
              </w:rPr>
              <w:t xml:space="preserve"> un 6.pielikuma 28.punktā</w:t>
            </w:r>
            <w:r w:rsidRPr="00327875">
              <w:rPr>
                <w:rFonts w:ascii="Times New Roman" w:hAnsi="Times New Roman" w:cs="Times New Roman"/>
                <w:sz w:val="24"/>
                <w:szCs w:val="24"/>
              </w:rPr>
              <w:t xml:space="preserve"> noteikto nodokļa parāda apmēra ierobežojumu latos ar </w:t>
            </w:r>
            <w:proofErr w:type="spellStart"/>
            <w:r w:rsidRPr="00327875">
              <w:rPr>
                <w:rFonts w:ascii="Times New Roman" w:hAnsi="Times New Roman" w:cs="Times New Roman"/>
                <w:i/>
                <w:sz w:val="24"/>
                <w:szCs w:val="24"/>
              </w:rPr>
              <w:t>euro</w:t>
            </w:r>
            <w:proofErr w:type="spellEnd"/>
            <w:r w:rsidR="00F442EC" w:rsidRPr="00327875">
              <w:rPr>
                <w:rFonts w:ascii="Times New Roman" w:hAnsi="Times New Roman" w:cs="Times New Roman"/>
                <w:sz w:val="24"/>
                <w:szCs w:val="24"/>
              </w:rPr>
              <w:t xml:space="preserve">, </w:t>
            </w:r>
            <w:r w:rsidR="00EE2F27" w:rsidRPr="00327875">
              <w:rPr>
                <w:rFonts w:ascii="Times New Roman" w:hAnsi="Times New Roman" w:cs="Times New Roman"/>
                <w:sz w:val="24"/>
                <w:szCs w:val="24"/>
              </w:rPr>
              <w:t>(noteikumu projekta 3.</w:t>
            </w:r>
            <w:r w:rsidRPr="00327875">
              <w:rPr>
                <w:rFonts w:ascii="Times New Roman" w:hAnsi="Times New Roman" w:cs="Times New Roman"/>
                <w:sz w:val="24"/>
                <w:szCs w:val="24"/>
              </w:rPr>
              <w:t>punkts</w:t>
            </w:r>
            <w:r w:rsidR="00C62202" w:rsidRPr="00327875">
              <w:rPr>
                <w:rFonts w:ascii="Times New Roman" w:hAnsi="Times New Roman" w:cs="Times New Roman"/>
                <w:sz w:val="24"/>
                <w:szCs w:val="24"/>
              </w:rPr>
              <w:t xml:space="preserve"> un </w:t>
            </w:r>
            <w:r w:rsidR="00EE2F27" w:rsidRPr="00327875">
              <w:rPr>
                <w:rFonts w:ascii="Times New Roman" w:hAnsi="Times New Roman" w:cs="Times New Roman"/>
                <w:sz w:val="24"/>
                <w:szCs w:val="24"/>
              </w:rPr>
              <w:t>3</w:t>
            </w:r>
            <w:r w:rsidR="00C15522" w:rsidRPr="00327875">
              <w:rPr>
                <w:rFonts w:ascii="Times New Roman" w:hAnsi="Times New Roman" w:cs="Times New Roman"/>
                <w:sz w:val="24"/>
                <w:szCs w:val="24"/>
              </w:rPr>
              <w:t>5</w:t>
            </w:r>
            <w:r w:rsidR="00EE2F27" w:rsidRPr="00327875">
              <w:rPr>
                <w:rFonts w:ascii="Times New Roman" w:hAnsi="Times New Roman" w:cs="Times New Roman"/>
                <w:sz w:val="24"/>
                <w:szCs w:val="24"/>
              </w:rPr>
              <w:t>.</w:t>
            </w:r>
            <w:r w:rsidR="00C62202" w:rsidRPr="00327875">
              <w:rPr>
                <w:rFonts w:ascii="Times New Roman" w:hAnsi="Times New Roman" w:cs="Times New Roman"/>
                <w:sz w:val="24"/>
                <w:szCs w:val="24"/>
              </w:rPr>
              <w:t>punkts</w:t>
            </w:r>
            <w:r w:rsidR="00F442EC" w:rsidRPr="00327875">
              <w:rPr>
                <w:rFonts w:ascii="Times New Roman" w:hAnsi="Times New Roman" w:cs="Times New Roman"/>
                <w:sz w:val="24"/>
                <w:szCs w:val="24"/>
              </w:rPr>
              <w:t>),</w:t>
            </w:r>
          </w:p>
          <w:p w:rsidR="00F442EC" w:rsidRPr="00327875" w:rsidRDefault="00C8496F" w:rsidP="00A06125">
            <w:pPr>
              <w:spacing w:after="0" w:line="240" w:lineRule="auto"/>
              <w:ind w:left="170" w:right="170"/>
              <w:jc w:val="both"/>
              <w:rPr>
                <w:rFonts w:ascii="Times New Roman" w:hAnsi="Times New Roman" w:cs="Times New Roman"/>
                <w:sz w:val="24"/>
                <w:szCs w:val="24"/>
              </w:rPr>
            </w:pPr>
            <w:r w:rsidRPr="00327875">
              <w:rPr>
                <w:rFonts w:ascii="Times New Roman" w:hAnsi="Times New Roman" w:cs="Times New Roman"/>
                <w:sz w:val="24"/>
                <w:szCs w:val="24"/>
              </w:rPr>
              <w:t xml:space="preserve">32.1.5.1.-32.1.5.3.apakšpunktos noteiktās darba algas un atalgojuma likmes latos ar </w:t>
            </w:r>
            <w:proofErr w:type="spellStart"/>
            <w:r w:rsidRPr="00327875">
              <w:rPr>
                <w:rFonts w:ascii="Times New Roman" w:hAnsi="Times New Roman" w:cs="Times New Roman"/>
                <w:i/>
                <w:sz w:val="24"/>
                <w:szCs w:val="24"/>
              </w:rPr>
              <w:t>euro</w:t>
            </w:r>
            <w:proofErr w:type="spellEnd"/>
            <w:r w:rsidR="00F442EC" w:rsidRPr="00327875">
              <w:rPr>
                <w:rFonts w:ascii="Times New Roman" w:hAnsi="Times New Roman" w:cs="Times New Roman"/>
                <w:sz w:val="24"/>
                <w:szCs w:val="24"/>
              </w:rPr>
              <w:t xml:space="preserve"> </w:t>
            </w:r>
            <w:r w:rsidR="00F1139A" w:rsidRPr="00327875">
              <w:rPr>
                <w:rFonts w:ascii="Times New Roman" w:hAnsi="Times New Roman" w:cs="Times New Roman"/>
                <w:sz w:val="24"/>
                <w:szCs w:val="24"/>
              </w:rPr>
              <w:t xml:space="preserve">(noteikumu projekta </w:t>
            </w:r>
            <w:r w:rsidR="00EE2F27" w:rsidRPr="00327875">
              <w:rPr>
                <w:rFonts w:ascii="Times New Roman" w:hAnsi="Times New Roman" w:cs="Times New Roman"/>
                <w:sz w:val="24"/>
                <w:szCs w:val="24"/>
              </w:rPr>
              <w:t>7</w:t>
            </w:r>
            <w:r w:rsidR="00F1139A" w:rsidRPr="00327875">
              <w:rPr>
                <w:rFonts w:ascii="Times New Roman" w:hAnsi="Times New Roman" w:cs="Times New Roman"/>
                <w:sz w:val="24"/>
                <w:szCs w:val="24"/>
              </w:rPr>
              <w:t>.-</w:t>
            </w:r>
            <w:r w:rsidR="00EE2F27" w:rsidRPr="00327875">
              <w:rPr>
                <w:rFonts w:ascii="Times New Roman" w:hAnsi="Times New Roman" w:cs="Times New Roman"/>
                <w:sz w:val="24"/>
                <w:szCs w:val="24"/>
              </w:rPr>
              <w:t>9.</w:t>
            </w:r>
            <w:r w:rsidR="00F1139A" w:rsidRPr="00327875">
              <w:rPr>
                <w:rFonts w:ascii="Times New Roman" w:hAnsi="Times New Roman" w:cs="Times New Roman"/>
                <w:sz w:val="24"/>
                <w:szCs w:val="24"/>
              </w:rPr>
              <w:t>punkts)</w:t>
            </w:r>
            <w:r w:rsidRPr="00327875">
              <w:rPr>
                <w:rFonts w:ascii="Times New Roman" w:hAnsi="Times New Roman" w:cs="Times New Roman"/>
                <w:sz w:val="24"/>
                <w:szCs w:val="24"/>
              </w:rPr>
              <w:t>,</w:t>
            </w:r>
            <w:r w:rsidR="00F442EC" w:rsidRPr="00327875">
              <w:rPr>
                <w:rFonts w:ascii="Times New Roman" w:hAnsi="Times New Roman" w:cs="Times New Roman"/>
                <w:sz w:val="24"/>
                <w:szCs w:val="24"/>
              </w:rPr>
              <w:t xml:space="preserve">  </w:t>
            </w:r>
          </w:p>
          <w:p w:rsidR="00E709EB" w:rsidRPr="00327875" w:rsidRDefault="00F442EC" w:rsidP="00A06125">
            <w:pPr>
              <w:spacing w:after="0" w:line="240" w:lineRule="auto"/>
              <w:ind w:left="170" w:right="170"/>
              <w:jc w:val="both"/>
              <w:rPr>
                <w:rFonts w:ascii="Times New Roman" w:hAnsi="Times New Roman" w:cs="Times New Roman"/>
                <w:sz w:val="24"/>
                <w:szCs w:val="24"/>
              </w:rPr>
            </w:pPr>
            <w:r w:rsidRPr="00327875">
              <w:rPr>
                <w:rFonts w:ascii="Times New Roman" w:hAnsi="Times New Roman" w:cs="Times New Roman"/>
                <w:sz w:val="24"/>
                <w:szCs w:val="24"/>
              </w:rPr>
              <w:t xml:space="preserve">kā arī noteikumu 6.pielikuma 7.1.4.apakšpunktā noteikto eksporta apjomu LVL ar </w:t>
            </w:r>
            <w:proofErr w:type="spellStart"/>
            <w:r w:rsidRPr="00327875">
              <w:rPr>
                <w:rFonts w:ascii="Times New Roman" w:hAnsi="Times New Roman" w:cs="Times New Roman"/>
                <w:i/>
                <w:sz w:val="24"/>
                <w:szCs w:val="24"/>
              </w:rPr>
              <w:t>euro</w:t>
            </w:r>
            <w:proofErr w:type="spellEnd"/>
            <w:r w:rsidRPr="00327875">
              <w:rPr>
                <w:rFonts w:ascii="Times New Roman" w:hAnsi="Times New Roman" w:cs="Times New Roman"/>
                <w:sz w:val="24"/>
                <w:szCs w:val="24"/>
              </w:rPr>
              <w:t xml:space="preserve"> (noteikumu projekta </w:t>
            </w:r>
            <w:r w:rsidR="003B4BA7" w:rsidRPr="00327875">
              <w:rPr>
                <w:rFonts w:ascii="Times New Roman" w:hAnsi="Times New Roman" w:cs="Times New Roman"/>
                <w:sz w:val="24"/>
                <w:szCs w:val="24"/>
              </w:rPr>
              <w:t>3</w:t>
            </w:r>
            <w:r w:rsidR="00C15522" w:rsidRPr="00327875">
              <w:rPr>
                <w:rFonts w:ascii="Times New Roman" w:hAnsi="Times New Roman" w:cs="Times New Roman"/>
                <w:sz w:val="24"/>
                <w:szCs w:val="24"/>
              </w:rPr>
              <w:t>4</w:t>
            </w:r>
            <w:r w:rsidRPr="00327875">
              <w:rPr>
                <w:rFonts w:ascii="Times New Roman" w:hAnsi="Times New Roman" w:cs="Times New Roman"/>
                <w:sz w:val="24"/>
                <w:szCs w:val="24"/>
              </w:rPr>
              <w:t xml:space="preserve">. punkts). </w:t>
            </w:r>
          </w:p>
          <w:p w:rsidR="005C425D" w:rsidRPr="00327875" w:rsidRDefault="00875BCA" w:rsidP="00A06125">
            <w:pPr>
              <w:spacing w:after="0" w:line="240" w:lineRule="auto"/>
              <w:ind w:left="170" w:right="170"/>
              <w:jc w:val="both"/>
              <w:rPr>
                <w:rFonts w:ascii="Times New Roman" w:hAnsi="Times New Roman" w:cs="Times New Roman"/>
                <w:sz w:val="24"/>
                <w:szCs w:val="24"/>
              </w:rPr>
            </w:pPr>
            <w:r w:rsidRPr="00327875">
              <w:rPr>
                <w:rFonts w:ascii="Times New Roman" w:hAnsi="Times New Roman" w:cs="Times New Roman"/>
                <w:sz w:val="24"/>
                <w:szCs w:val="24"/>
              </w:rPr>
              <w:t>Noteikumu p</w:t>
            </w:r>
            <w:r w:rsidR="005C4FDD" w:rsidRPr="00327875">
              <w:rPr>
                <w:rFonts w:ascii="Times New Roman" w:hAnsi="Times New Roman" w:cs="Times New Roman"/>
                <w:sz w:val="24"/>
                <w:szCs w:val="24"/>
              </w:rPr>
              <w:t xml:space="preserve">rojektā veikti arī ar </w:t>
            </w:r>
            <w:proofErr w:type="spellStart"/>
            <w:r w:rsidR="005C4FDD" w:rsidRPr="00327875">
              <w:rPr>
                <w:rFonts w:ascii="Times New Roman" w:hAnsi="Times New Roman" w:cs="Times New Roman"/>
                <w:i/>
                <w:sz w:val="24"/>
                <w:szCs w:val="24"/>
              </w:rPr>
              <w:t>euro</w:t>
            </w:r>
            <w:proofErr w:type="spellEnd"/>
            <w:r w:rsidR="005C4FDD" w:rsidRPr="00327875">
              <w:rPr>
                <w:rFonts w:ascii="Times New Roman" w:hAnsi="Times New Roman" w:cs="Times New Roman"/>
                <w:sz w:val="24"/>
                <w:szCs w:val="24"/>
              </w:rPr>
              <w:t xml:space="preserve"> ieviešanu saistīti tehniski precizējumi</w:t>
            </w:r>
            <w:r w:rsidR="003942A0" w:rsidRPr="00327875">
              <w:rPr>
                <w:rFonts w:ascii="Times New Roman" w:hAnsi="Times New Roman" w:cs="Times New Roman"/>
                <w:sz w:val="24"/>
                <w:szCs w:val="24"/>
              </w:rPr>
              <w:t>: MK noteikumu Nr.14 74.punktā, 1.1 pielikuma (</w:t>
            </w:r>
            <w:r w:rsidR="00807721" w:rsidRPr="00327875">
              <w:rPr>
                <w:rFonts w:ascii="Times New Roman" w:hAnsi="Times New Roman" w:cs="Times New Roman"/>
                <w:sz w:val="24"/>
                <w:szCs w:val="24"/>
              </w:rPr>
              <w:t>ERAF projekta iesnieguma veidlapa trešajai projektu iesniegumu atlases kārtai</w:t>
            </w:r>
            <w:r w:rsidR="003942A0" w:rsidRPr="00327875">
              <w:rPr>
                <w:rFonts w:ascii="Times New Roman" w:hAnsi="Times New Roman" w:cs="Times New Roman"/>
                <w:sz w:val="24"/>
                <w:szCs w:val="24"/>
              </w:rPr>
              <w:t xml:space="preserve">) </w:t>
            </w:r>
            <w:r w:rsidR="00797C68" w:rsidRPr="00327875">
              <w:rPr>
                <w:rFonts w:ascii="Times New Roman" w:hAnsi="Times New Roman" w:cs="Times New Roman"/>
                <w:sz w:val="24"/>
                <w:szCs w:val="24"/>
              </w:rPr>
              <w:t>1.1.10.</w:t>
            </w:r>
            <w:r w:rsidR="003942A0" w:rsidRPr="00327875">
              <w:rPr>
                <w:rFonts w:ascii="Times New Roman" w:hAnsi="Times New Roman" w:cs="Times New Roman"/>
                <w:sz w:val="24"/>
                <w:szCs w:val="24"/>
              </w:rPr>
              <w:t>,</w:t>
            </w:r>
            <w:r w:rsidR="00091319" w:rsidRPr="00327875">
              <w:rPr>
                <w:rFonts w:ascii="Times New Roman" w:hAnsi="Times New Roman" w:cs="Times New Roman"/>
                <w:sz w:val="24"/>
                <w:szCs w:val="24"/>
              </w:rPr>
              <w:t xml:space="preserve">1.1.12., 1.1.13.1., </w:t>
            </w:r>
            <w:r w:rsidR="00797C68" w:rsidRPr="00327875">
              <w:rPr>
                <w:rFonts w:ascii="Times New Roman" w:hAnsi="Times New Roman" w:cs="Times New Roman"/>
                <w:sz w:val="24"/>
                <w:szCs w:val="24"/>
              </w:rPr>
              <w:t xml:space="preserve"> 1.1.15., 1.2.1.10., 1.2</w:t>
            </w:r>
            <w:r w:rsidR="00990A0E" w:rsidRPr="00327875">
              <w:rPr>
                <w:rFonts w:ascii="Times New Roman" w:hAnsi="Times New Roman" w:cs="Times New Roman"/>
                <w:sz w:val="24"/>
                <w:szCs w:val="24"/>
              </w:rPr>
              <w:t>.1.12., 1.2.1.13.</w:t>
            </w:r>
            <w:r w:rsidR="003942A0" w:rsidRPr="00327875">
              <w:rPr>
                <w:rFonts w:ascii="Times New Roman" w:hAnsi="Times New Roman" w:cs="Times New Roman"/>
                <w:sz w:val="24"/>
                <w:szCs w:val="24"/>
              </w:rPr>
              <w:t>,</w:t>
            </w:r>
            <w:r w:rsidR="001952D9" w:rsidRPr="00327875">
              <w:rPr>
                <w:rFonts w:ascii="Times New Roman" w:hAnsi="Times New Roman" w:cs="Times New Roman"/>
                <w:sz w:val="24"/>
                <w:szCs w:val="24"/>
              </w:rPr>
              <w:t xml:space="preserve"> 1.4.2.,</w:t>
            </w:r>
            <w:r w:rsidR="003942A0" w:rsidRPr="00327875">
              <w:rPr>
                <w:rFonts w:ascii="Times New Roman" w:hAnsi="Times New Roman" w:cs="Times New Roman"/>
                <w:sz w:val="24"/>
                <w:szCs w:val="24"/>
              </w:rPr>
              <w:t xml:space="preserve"> 2.10.3.</w:t>
            </w:r>
            <w:r w:rsidR="001952D9" w:rsidRPr="00327875">
              <w:rPr>
                <w:rFonts w:ascii="Times New Roman" w:hAnsi="Times New Roman" w:cs="Times New Roman"/>
                <w:sz w:val="24"/>
                <w:szCs w:val="24"/>
              </w:rPr>
              <w:t>apakšpunktā</w:t>
            </w:r>
            <w:r w:rsidR="003942A0" w:rsidRPr="00327875">
              <w:rPr>
                <w:rFonts w:ascii="Times New Roman" w:hAnsi="Times New Roman" w:cs="Times New Roman"/>
                <w:sz w:val="24"/>
                <w:szCs w:val="24"/>
              </w:rPr>
              <w:t xml:space="preserve">, 3., 6., 7., punktā un C daļā, kā arī 6.pielikuma 41.punktā un 44.punktā atsauces uz latiem vai saīsinājumu </w:t>
            </w:r>
            <w:r w:rsidR="00EE2F27" w:rsidRPr="00327875">
              <w:rPr>
                <w:rFonts w:ascii="Times New Roman" w:hAnsi="Times New Roman" w:cs="Times New Roman"/>
                <w:sz w:val="24"/>
                <w:szCs w:val="24"/>
              </w:rPr>
              <w:t>„</w:t>
            </w:r>
            <w:r w:rsidR="003942A0" w:rsidRPr="00327875">
              <w:rPr>
                <w:rFonts w:ascii="Times New Roman" w:hAnsi="Times New Roman" w:cs="Times New Roman"/>
                <w:sz w:val="24"/>
                <w:szCs w:val="24"/>
              </w:rPr>
              <w:t>LVL</w:t>
            </w:r>
            <w:r w:rsidR="00EE2F27" w:rsidRPr="00327875">
              <w:rPr>
                <w:rFonts w:ascii="Times New Roman" w:hAnsi="Times New Roman" w:cs="Times New Roman"/>
                <w:sz w:val="24"/>
                <w:szCs w:val="24"/>
              </w:rPr>
              <w:t>” vai „Ls”</w:t>
            </w:r>
            <w:r w:rsidR="003942A0" w:rsidRPr="00327875">
              <w:rPr>
                <w:rFonts w:ascii="Times New Roman" w:hAnsi="Times New Roman" w:cs="Times New Roman"/>
                <w:sz w:val="24"/>
                <w:szCs w:val="24"/>
              </w:rPr>
              <w:t xml:space="preserve">, aizstāts attiecīgi ar vārdu </w:t>
            </w:r>
            <w:proofErr w:type="spellStart"/>
            <w:r w:rsidR="003942A0" w:rsidRPr="00327875">
              <w:rPr>
                <w:rFonts w:ascii="Times New Roman" w:hAnsi="Times New Roman" w:cs="Times New Roman"/>
                <w:sz w:val="24"/>
                <w:szCs w:val="24"/>
              </w:rPr>
              <w:t>euro</w:t>
            </w:r>
            <w:proofErr w:type="spellEnd"/>
            <w:r w:rsidR="003942A0" w:rsidRPr="00327875">
              <w:rPr>
                <w:rFonts w:ascii="Times New Roman" w:hAnsi="Times New Roman" w:cs="Times New Roman"/>
                <w:sz w:val="24"/>
                <w:szCs w:val="24"/>
              </w:rPr>
              <w:t xml:space="preserve"> vai saīsinājumu </w:t>
            </w:r>
            <w:r w:rsidR="00EE2F27" w:rsidRPr="00327875">
              <w:rPr>
                <w:rFonts w:ascii="Times New Roman" w:hAnsi="Times New Roman" w:cs="Times New Roman"/>
                <w:sz w:val="24"/>
                <w:szCs w:val="24"/>
              </w:rPr>
              <w:t>„</w:t>
            </w:r>
            <w:r w:rsidR="003942A0" w:rsidRPr="00327875">
              <w:rPr>
                <w:rFonts w:ascii="Times New Roman" w:hAnsi="Times New Roman" w:cs="Times New Roman"/>
                <w:sz w:val="24"/>
                <w:szCs w:val="24"/>
              </w:rPr>
              <w:t>EUR</w:t>
            </w:r>
            <w:r w:rsidR="00EE2F27" w:rsidRPr="00327875">
              <w:rPr>
                <w:rFonts w:ascii="Times New Roman" w:hAnsi="Times New Roman" w:cs="Times New Roman"/>
                <w:sz w:val="24"/>
                <w:szCs w:val="24"/>
              </w:rPr>
              <w:t>”</w:t>
            </w:r>
            <w:r w:rsidR="003942A0" w:rsidRPr="00327875">
              <w:rPr>
                <w:rFonts w:ascii="Times New Roman" w:hAnsi="Times New Roman" w:cs="Times New Roman"/>
                <w:sz w:val="24"/>
                <w:szCs w:val="24"/>
              </w:rPr>
              <w:t>.</w:t>
            </w:r>
          </w:p>
          <w:p w:rsidR="00F60239" w:rsidRPr="00327875" w:rsidRDefault="00875BCA" w:rsidP="00A06125">
            <w:pPr>
              <w:spacing w:after="0" w:line="240" w:lineRule="auto"/>
              <w:ind w:left="170" w:right="170"/>
              <w:jc w:val="both"/>
              <w:rPr>
                <w:rFonts w:ascii="Times New Roman" w:hAnsi="Times New Roman" w:cs="Times New Roman"/>
                <w:sz w:val="24"/>
                <w:szCs w:val="24"/>
              </w:rPr>
            </w:pPr>
            <w:r w:rsidRPr="00327875">
              <w:rPr>
                <w:rFonts w:ascii="Times New Roman" w:hAnsi="Times New Roman" w:cs="Times New Roman"/>
                <w:sz w:val="24"/>
                <w:szCs w:val="24"/>
              </w:rPr>
              <w:t>N</w:t>
            </w:r>
            <w:r w:rsidR="003942A0" w:rsidRPr="00327875">
              <w:rPr>
                <w:rFonts w:ascii="Times New Roman" w:hAnsi="Times New Roman" w:cs="Times New Roman"/>
                <w:sz w:val="24"/>
                <w:szCs w:val="24"/>
              </w:rPr>
              <w:t>oteikumu projekts neparedz grozījumu veikšanu MK noteikumu Nr.14 1.pielikumā (ERAF projekta iesnieguma veidlapa</w:t>
            </w:r>
            <w:r w:rsidR="00807721" w:rsidRPr="00327875">
              <w:rPr>
                <w:rFonts w:ascii="Times New Roman" w:hAnsi="Times New Roman" w:cs="Times New Roman"/>
                <w:sz w:val="24"/>
                <w:szCs w:val="24"/>
              </w:rPr>
              <w:t xml:space="preserve"> otrajai projektu iesniegumu atlases kārtai</w:t>
            </w:r>
            <w:r w:rsidR="003942A0" w:rsidRPr="00327875">
              <w:rPr>
                <w:rFonts w:ascii="Times New Roman" w:hAnsi="Times New Roman" w:cs="Times New Roman"/>
                <w:sz w:val="24"/>
                <w:szCs w:val="24"/>
              </w:rPr>
              <w:t>)</w:t>
            </w:r>
            <w:r w:rsidR="00CE48AD" w:rsidRPr="00327875">
              <w:rPr>
                <w:rFonts w:ascii="Times New Roman" w:hAnsi="Times New Roman" w:cs="Times New Roman"/>
                <w:sz w:val="24"/>
                <w:szCs w:val="24"/>
              </w:rPr>
              <w:t xml:space="preserve"> aizstājot saīsinājumu „LVL” ar saīsinājumu „EUR”</w:t>
            </w:r>
            <w:r w:rsidR="003942A0" w:rsidRPr="00327875">
              <w:rPr>
                <w:rFonts w:ascii="Times New Roman" w:hAnsi="Times New Roman" w:cs="Times New Roman"/>
                <w:sz w:val="24"/>
                <w:szCs w:val="24"/>
              </w:rPr>
              <w:t>, jo</w:t>
            </w:r>
            <w:r w:rsidR="00272624" w:rsidRPr="00327875">
              <w:rPr>
                <w:rFonts w:ascii="Times New Roman" w:hAnsi="Times New Roman" w:cs="Times New Roman"/>
                <w:sz w:val="24"/>
                <w:szCs w:val="24"/>
              </w:rPr>
              <w:t xml:space="preserve"> tiek plānots, ka otrās projektu iesniegumu atlases kārtas ietvaros iesniegto projektu iesniegumu atlase noslēgsies </w:t>
            </w:r>
            <w:r w:rsidR="00E95776" w:rsidRPr="00327875">
              <w:rPr>
                <w:rFonts w:ascii="Times New Roman" w:hAnsi="Times New Roman" w:cs="Times New Roman"/>
                <w:sz w:val="24"/>
                <w:szCs w:val="24"/>
              </w:rPr>
              <w:t xml:space="preserve">līdz </w:t>
            </w:r>
            <w:r w:rsidR="00272624" w:rsidRPr="00327875">
              <w:rPr>
                <w:rFonts w:ascii="Times New Roman" w:hAnsi="Times New Roman" w:cs="Times New Roman"/>
                <w:sz w:val="24"/>
                <w:szCs w:val="24"/>
              </w:rPr>
              <w:t xml:space="preserve">2013.gada </w:t>
            </w:r>
            <w:r w:rsidR="00E95776" w:rsidRPr="00327875">
              <w:rPr>
                <w:rFonts w:ascii="Times New Roman" w:hAnsi="Times New Roman" w:cs="Times New Roman"/>
                <w:sz w:val="24"/>
                <w:szCs w:val="24"/>
              </w:rPr>
              <w:t>beigām</w:t>
            </w:r>
            <w:r w:rsidR="00272624" w:rsidRPr="00327875">
              <w:rPr>
                <w:rFonts w:ascii="Times New Roman" w:hAnsi="Times New Roman" w:cs="Times New Roman"/>
                <w:sz w:val="24"/>
                <w:szCs w:val="24"/>
              </w:rPr>
              <w:t xml:space="preserve"> (šobrīd noris lēmumos par projektu iesniegumu apstiprināšanu ar nosacījumiem iekļauto nosacījumu izpilde)</w:t>
            </w:r>
            <w:r w:rsidR="00E95776" w:rsidRPr="00327875">
              <w:rPr>
                <w:rFonts w:ascii="Times New Roman" w:hAnsi="Times New Roman" w:cs="Times New Roman"/>
                <w:sz w:val="24"/>
                <w:szCs w:val="24"/>
              </w:rPr>
              <w:t>.</w:t>
            </w:r>
          </w:p>
          <w:p w:rsidR="00EC664A" w:rsidRPr="00327875" w:rsidRDefault="00F60239" w:rsidP="00A06125">
            <w:pPr>
              <w:spacing w:after="0" w:line="240" w:lineRule="auto"/>
              <w:ind w:left="170" w:right="170"/>
              <w:jc w:val="both"/>
              <w:rPr>
                <w:rFonts w:ascii="Times New Roman" w:hAnsi="Times New Roman" w:cs="Times New Roman"/>
                <w:sz w:val="24"/>
                <w:szCs w:val="24"/>
              </w:rPr>
            </w:pPr>
            <w:r w:rsidRPr="00327875">
              <w:rPr>
                <w:rFonts w:ascii="Times New Roman" w:hAnsi="Times New Roman" w:cs="Times New Roman"/>
                <w:sz w:val="24"/>
                <w:szCs w:val="24"/>
              </w:rPr>
              <w:t>Tāpat noteikumu projekts neparedz grozījumu veikšanu</w:t>
            </w:r>
            <w:r w:rsidR="00CE48AD" w:rsidRPr="00327875">
              <w:rPr>
                <w:rFonts w:ascii="Times New Roman" w:hAnsi="Times New Roman" w:cs="Times New Roman"/>
                <w:sz w:val="24"/>
                <w:szCs w:val="24"/>
              </w:rPr>
              <w:t xml:space="preserve"> – saīsinājuma „LVL” aizstāšanu ar saīsinājumu „EUR” – </w:t>
            </w:r>
            <w:r w:rsidRPr="00327875">
              <w:rPr>
                <w:rFonts w:ascii="Times New Roman" w:hAnsi="Times New Roman" w:cs="Times New Roman"/>
                <w:sz w:val="24"/>
                <w:szCs w:val="24"/>
              </w:rPr>
              <w:t>MK noteikumu Nr.14 1</w:t>
            </w:r>
            <w:r w:rsidR="003942A0" w:rsidRPr="00327875">
              <w:rPr>
                <w:rFonts w:ascii="Times New Roman" w:hAnsi="Times New Roman" w:cs="Times New Roman"/>
                <w:sz w:val="24"/>
                <w:szCs w:val="24"/>
              </w:rPr>
              <w:t>.1 pielikuma</w:t>
            </w:r>
            <w:r w:rsidRPr="00327875">
              <w:rPr>
                <w:rFonts w:ascii="Times New Roman" w:hAnsi="Times New Roman" w:cs="Times New Roman"/>
                <w:sz w:val="24"/>
                <w:szCs w:val="24"/>
              </w:rPr>
              <w:t xml:space="preserve"> (ERAF projekta iesnieguma veidlapa trešajai projektu iesniegumu atlases kārtai)</w:t>
            </w:r>
            <w:r w:rsidR="00797C68" w:rsidRPr="00327875">
              <w:rPr>
                <w:rFonts w:ascii="Times New Roman" w:hAnsi="Times New Roman" w:cs="Times New Roman"/>
                <w:sz w:val="24"/>
                <w:szCs w:val="24"/>
              </w:rPr>
              <w:t>,</w:t>
            </w:r>
            <w:r w:rsidR="003942A0" w:rsidRPr="00327875">
              <w:rPr>
                <w:rFonts w:ascii="Times New Roman" w:hAnsi="Times New Roman" w:cs="Times New Roman"/>
                <w:sz w:val="24"/>
                <w:szCs w:val="24"/>
              </w:rPr>
              <w:t xml:space="preserve"> 1.1.13.</w:t>
            </w:r>
            <w:r w:rsidR="00797C68" w:rsidRPr="00327875">
              <w:rPr>
                <w:rFonts w:ascii="Times New Roman" w:hAnsi="Times New Roman" w:cs="Times New Roman"/>
                <w:sz w:val="24"/>
                <w:szCs w:val="24"/>
              </w:rPr>
              <w:t>2</w:t>
            </w:r>
            <w:r w:rsidR="003942A0" w:rsidRPr="00327875">
              <w:rPr>
                <w:rFonts w:ascii="Times New Roman" w:hAnsi="Times New Roman" w:cs="Times New Roman"/>
                <w:sz w:val="24"/>
                <w:szCs w:val="24"/>
              </w:rPr>
              <w:t>,</w:t>
            </w:r>
            <w:r w:rsidR="00797C68" w:rsidRPr="00327875">
              <w:rPr>
                <w:rFonts w:ascii="Times New Roman" w:hAnsi="Times New Roman" w:cs="Times New Roman"/>
                <w:sz w:val="24"/>
                <w:szCs w:val="24"/>
              </w:rPr>
              <w:t xml:space="preserve"> </w:t>
            </w:r>
            <w:r w:rsidR="00797C68" w:rsidRPr="00327875">
              <w:rPr>
                <w:rFonts w:ascii="Times New Roman" w:hAnsi="Times New Roman" w:cs="Times New Roman"/>
                <w:sz w:val="24"/>
                <w:szCs w:val="24"/>
              </w:rPr>
              <w:lastRenderedPageBreak/>
              <w:t xml:space="preserve">1.1.14.1., </w:t>
            </w:r>
            <w:r w:rsidR="003942A0" w:rsidRPr="00327875">
              <w:rPr>
                <w:rFonts w:ascii="Times New Roman" w:hAnsi="Times New Roman" w:cs="Times New Roman"/>
                <w:sz w:val="24"/>
                <w:szCs w:val="24"/>
              </w:rPr>
              <w:t xml:space="preserve">1.1.14.2. </w:t>
            </w:r>
            <w:r w:rsidRPr="00327875">
              <w:rPr>
                <w:rFonts w:ascii="Times New Roman" w:hAnsi="Times New Roman" w:cs="Times New Roman"/>
                <w:sz w:val="24"/>
                <w:szCs w:val="24"/>
              </w:rPr>
              <w:t xml:space="preserve">un </w:t>
            </w:r>
            <w:r w:rsidR="00C15522" w:rsidRPr="00327875">
              <w:rPr>
                <w:rFonts w:ascii="Times New Roman" w:hAnsi="Times New Roman" w:cs="Times New Roman"/>
                <w:sz w:val="24"/>
                <w:szCs w:val="24"/>
              </w:rPr>
              <w:t>1.2.1.14.</w:t>
            </w:r>
            <w:r w:rsidR="003942A0" w:rsidRPr="00327875">
              <w:rPr>
                <w:rFonts w:ascii="Times New Roman" w:hAnsi="Times New Roman" w:cs="Times New Roman"/>
                <w:sz w:val="24"/>
                <w:szCs w:val="24"/>
              </w:rPr>
              <w:t>apakšpunktos</w:t>
            </w:r>
            <w:r w:rsidRPr="00327875">
              <w:rPr>
                <w:rFonts w:ascii="Times New Roman" w:hAnsi="Times New Roman" w:cs="Times New Roman"/>
                <w:sz w:val="24"/>
                <w:szCs w:val="24"/>
              </w:rPr>
              <w:t>, jo</w:t>
            </w:r>
            <w:r w:rsidR="00797C68" w:rsidRPr="00327875">
              <w:rPr>
                <w:rFonts w:ascii="Times New Roman" w:hAnsi="Times New Roman" w:cs="Times New Roman"/>
                <w:sz w:val="24"/>
                <w:szCs w:val="24"/>
              </w:rPr>
              <w:t xml:space="preserve"> minētajos projektu iesniegumu apakšpunktos norādītā informācija tiek vērtēta saskaņā ar </w:t>
            </w:r>
            <w:r w:rsidR="00EB0E6B" w:rsidRPr="00327875">
              <w:rPr>
                <w:rFonts w:ascii="Times New Roman" w:hAnsi="Times New Roman" w:cs="Times New Roman"/>
                <w:sz w:val="24"/>
                <w:szCs w:val="24"/>
              </w:rPr>
              <w:t>noteikumu 6.pielikuma 7.2.apakšpunktā, 8.1.apakšpunktā un 8.2.apakšpunktā noteiktajiem kvalitātes kritērijiem. Tāpat</w:t>
            </w:r>
            <w:r w:rsidR="00FD33DD" w:rsidRPr="00327875">
              <w:rPr>
                <w:rFonts w:ascii="Times New Roman" w:hAnsi="Times New Roman" w:cs="Times New Roman"/>
                <w:sz w:val="24"/>
                <w:szCs w:val="24"/>
              </w:rPr>
              <w:t xml:space="preserve"> attiecīgi</w:t>
            </w:r>
            <w:r w:rsidR="00EB0E6B" w:rsidRPr="00327875">
              <w:rPr>
                <w:rFonts w:ascii="Times New Roman" w:hAnsi="Times New Roman" w:cs="Times New Roman"/>
                <w:sz w:val="24"/>
                <w:szCs w:val="24"/>
              </w:rPr>
              <w:t xml:space="preserve"> noteikumu projekts neparedz grozījumu veikšanu </w:t>
            </w:r>
            <w:r w:rsidR="00065B16" w:rsidRPr="00327875">
              <w:rPr>
                <w:rFonts w:ascii="Times New Roman" w:hAnsi="Times New Roman" w:cs="Times New Roman"/>
                <w:sz w:val="24"/>
                <w:szCs w:val="24"/>
              </w:rPr>
              <w:t>noteikumu 6</w:t>
            </w:r>
            <w:r w:rsidR="003942A0" w:rsidRPr="00327875">
              <w:rPr>
                <w:rFonts w:ascii="Times New Roman" w:hAnsi="Times New Roman" w:cs="Times New Roman"/>
                <w:sz w:val="24"/>
                <w:szCs w:val="24"/>
              </w:rPr>
              <w:t>.pielikuma</w:t>
            </w:r>
            <w:r w:rsidR="00AE6166" w:rsidRPr="00327875">
              <w:rPr>
                <w:rFonts w:ascii="Times New Roman" w:hAnsi="Times New Roman" w:cs="Times New Roman"/>
                <w:sz w:val="24"/>
                <w:szCs w:val="24"/>
              </w:rPr>
              <w:t>: 1)</w:t>
            </w:r>
            <w:r w:rsidR="003942A0" w:rsidRPr="00327875">
              <w:rPr>
                <w:rFonts w:ascii="Times New Roman" w:hAnsi="Times New Roman" w:cs="Times New Roman"/>
                <w:sz w:val="24"/>
                <w:szCs w:val="24"/>
              </w:rPr>
              <w:t xml:space="preserve"> </w:t>
            </w:r>
            <w:r w:rsidR="00EF15A7" w:rsidRPr="00327875">
              <w:rPr>
                <w:rFonts w:ascii="Times New Roman" w:hAnsi="Times New Roman" w:cs="Times New Roman"/>
                <w:sz w:val="24"/>
                <w:szCs w:val="24"/>
              </w:rPr>
              <w:t>7.</w:t>
            </w:r>
            <w:r w:rsidR="00451996" w:rsidRPr="00327875">
              <w:rPr>
                <w:rFonts w:ascii="Times New Roman" w:hAnsi="Times New Roman" w:cs="Times New Roman"/>
                <w:sz w:val="24"/>
                <w:szCs w:val="24"/>
              </w:rPr>
              <w:t>punkt</w:t>
            </w:r>
            <w:r w:rsidR="00EF15A7" w:rsidRPr="00327875">
              <w:rPr>
                <w:rFonts w:ascii="Times New Roman" w:hAnsi="Times New Roman" w:cs="Times New Roman"/>
                <w:sz w:val="24"/>
                <w:szCs w:val="24"/>
              </w:rPr>
              <w:t xml:space="preserve">ā noteiktajā </w:t>
            </w:r>
            <w:r w:rsidR="001A7B14" w:rsidRPr="00327875">
              <w:rPr>
                <w:rFonts w:ascii="Times New Roman" w:hAnsi="Times New Roman" w:cs="Times New Roman"/>
                <w:sz w:val="24"/>
                <w:szCs w:val="24"/>
              </w:rPr>
              <w:t xml:space="preserve">kvalitātes </w:t>
            </w:r>
            <w:r w:rsidR="00EF15A7" w:rsidRPr="00327875">
              <w:rPr>
                <w:rFonts w:ascii="Times New Roman" w:hAnsi="Times New Roman" w:cs="Times New Roman"/>
                <w:sz w:val="24"/>
                <w:szCs w:val="24"/>
              </w:rPr>
              <w:t>kritērijā (</w:t>
            </w:r>
            <w:r w:rsidR="001A7B14" w:rsidRPr="00327875">
              <w:rPr>
                <w:rFonts w:ascii="Times New Roman" w:hAnsi="Times New Roman" w:cs="Times New Roman"/>
                <w:sz w:val="24"/>
                <w:szCs w:val="24"/>
              </w:rPr>
              <w:t>7.2.apakšpunktā atsauce uz saīsinājumu LVL</w:t>
            </w:r>
            <w:r w:rsidR="00EF15A7" w:rsidRPr="00327875">
              <w:rPr>
                <w:rFonts w:ascii="Times New Roman" w:hAnsi="Times New Roman" w:cs="Times New Roman"/>
                <w:sz w:val="24"/>
                <w:szCs w:val="24"/>
              </w:rPr>
              <w:t xml:space="preserve">), jo </w:t>
            </w:r>
            <w:r w:rsidR="001A7B14" w:rsidRPr="00327875">
              <w:rPr>
                <w:rFonts w:ascii="Times New Roman" w:hAnsi="Times New Roman" w:cs="Times New Roman"/>
                <w:sz w:val="24"/>
                <w:szCs w:val="24"/>
              </w:rPr>
              <w:t>vērtējot atbilstību šim</w:t>
            </w:r>
            <w:r w:rsidR="00EF15A7" w:rsidRPr="00327875">
              <w:rPr>
                <w:rFonts w:ascii="Times New Roman" w:hAnsi="Times New Roman" w:cs="Times New Roman"/>
                <w:sz w:val="24"/>
                <w:szCs w:val="24"/>
              </w:rPr>
              <w:t xml:space="preserve"> kritērija</w:t>
            </w:r>
            <w:r w:rsidR="001A7B14" w:rsidRPr="00327875">
              <w:rPr>
                <w:rFonts w:ascii="Times New Roman" w:hAnsi="Times New Roman" w:cs="Times New Roman"/>
                <w:sz w:val="24"/>
                <w:szCs w:val="24"/>
              </w:rPr>
              <w:t>m tiek ņemta vērā informācija, kas norādīta p</w:t>
            </w:r>
            <w:r w:rsidR="00451996" w:rsidRPr="00327875">
              <w:rPr>
                <w:rFonts w:ascii="Times New Roman" w:hAnsi="Times New Roman" w:cs="Times New Roman"/>
                <w:sz w:val="24"/>
                <w:szCs w:val="24"/>
              </w:rPr>
              <w:t xml:space="preserve">rojekta iesnieguma </w:t>
            </w:r>
            <w:r w:rsidR="00EF15A7" w:rsidRPr="00327875">
              <w:rPr>
                <w:rFonts w:ascii="Times New Roman" w:hAnsi="Times New Roman" w:cs="Times New Roman"/>
                <w:sz w:val="24"/>
                <w:szCs w:val="24"/>
              </w:rPr>
              <w:t>1.1.13.</w:t>
            </w:r>
            <w:r w:rsidR="00EB0E6B" w:rsidRPr="00327875">
              <w:rPr>
                <w:rFonts w:ascii="Times New Roman" w:hAnsi="Times New Roman" w:cs="Times New Roman"/>
                <w:sz w:val="24"/>
                <w:szCs w:val="24"/>
              </w:rPr>
              <w:t>2.</w:t>
            </w:r>
            <w:r w:rsidR="00AE6166" w:rsidRPr="00327875">
              <w:rPr>
                <w:rFonts w:ascii="Times New Roman" w:hAnsi="Times New Roman" w:cs="Times New Roman"/>
                <w:sz w:val="24"/>
                <w:szCs w:val="24"/>
              </w:rPr>
              <w:t xml:space="preserve">apakšpunktā; 2) </w:t>
            </w:r>
            <w:r w:rsidR="00EF15A7" w:rsidRPr="00327875">
              <w:rPr>
                <w:rFonts w:ascii="Times New Roman" w:hAnsi="Times New Roman" w:cs="Times New Roman"/>
                <w:sz w:val="24"/>
                <w:szCs w:val="24"/>
              </w:rPr>
              <w:t>8.</w:t>
            </w:r>
            <w:r w:rsidR="00451996" w:rsidRPr="00327875">
              <w:rPr>
                <w:rFonts w:ascii="Times New Roman" w:hAnsi="Times New Roman" w:cs="Times New Roman"/>
                <w:sz w:val="24"/>
                <w:szCs w:val="24"/>
              </w:rPr>
              <w:t xml:space="preserve">punktā </w:t>
            </w:r>
            <w:r w:rsidR="001A7B14" w:rsidRPr="00327875">
              <w:rPr>
                <w:rFonts w:ascii="Times New Roman" w:hAnsi="Times New Roman" w:cs="Times New Roman"/>
                <w:sz w:val="24"/>
                <w:szCs w:val="24"/>
              </w:rPr>
              <w:t xml:space="preserve">noteiktajā kvalitātes kritērijā </w:t>
            </w:r>
            <w:r w:rsidR="00451996" w:rsidRPr="00327875">
              <w:rPr>
                <w:rFonts w:ascii="Times New Roman" w:hAnsi="Times New Roman" w:cs="Times New Roman"/>
                <w:sz w:val="24"/>
                <w:szCs w:val="24"/>
              </w:rPr>
              <w:t>(</w:t>
            </w:r>
            <w:r w:rsidR="001A7B14" w:rsidRPr="00327875">
              <w:rPr>
                <w:rFonts w:ascii="Times New Roman" w:hAnsi="Times New Roman" w:cs="Times New Roman"/>
                <w:sz w:val="24"/>
                <w:szCs w:val="24"/>
              </w:rPr>
              <w:t>8.2.apakšpunktā atsauce uz saīsinājumu LVL</w:t>
            </w:r>
            <w:r w:rsidR="00451996" w:rsidRPr="00327875">
              <w:rPr>
                <w:rFonts w:ascii="Times New Roman" w:hAnsi="Times New Roman" w:cs="Times New Roman"/>
                <w:sz w:val="24"/>
                <w:szCs w:val="24"/>
              </w:rPr>
              <w:t>)</w:t>
            </w:r>
            <w:r w:rsidR="001A7B14" w:rsidRPr="00327875">
              <w:rPr>
                <w:rFonts w:ascii="Times New Roman" w:hAnsi="Times New Roman" w:cs="Times New Roman"/>
                <w:sz w:val="24"/>
                <w:szCs w:val="24"/>
              </w:rPr>
              <w:t xml:space="preserve">, jo vērtējot atbilstību </w:t>
            </w:r>
            <w:r w:rsidR="00AE6166" w:rsidRPr="00327875">
              <w:rPr>
                <w:rFonts w:ascii="Times New Roman" w:hAnsi="Times New Roman" w:cs="Times New Roman"/>
                <w:sz w:val="24"/>
                <w:szCs w:val="24"/>
              </w:rPr>
              <w:t xml:space="preserve">šim </w:t>
            </w:r>
            <w:r w:rsidR="001A7B14" w:rsidRPr="00327875">
              <w:rPr>
                <w:rFonts w:ascii="Times New Roman" w:hAnsi="Times New Roman" w:cs="Times New Roman"/>
                <w:sz w:val="24"/>
                <w:szCs w:val="24"/>
              </w:rPr>
              <w:t>kritērijam, tiek ņemta vērā projekta iesnieguma 1.1.13.</w:t>
            </w:r>
            <w:r w:rsidR="00FD33DD" w:rsidRPr="00327875">
              <w:rPr>
                <w:rFonts w:ascii="Times New Roman" w:hAnsi="Times New Roman" w:cs="Times New Roman"/>
                <w:sz w:val="24"/>
                <w:szCs w:val="24"/>
              </w:rPr>
              <w:t>2.</w:t>
            </w:r>
            <w:r w:rsidR="001A7B14" w:rsidRPr="00327875">
              <w:rPr>
                <w:rFonts w:ascii="Times New Roman" w:hAnsi="Times New Roman" w:cs="Times New Roman"/>
                <w:sz w:val="24"/>
                <w:szCs w:val="24"/>
              </w:rPr>
              <w:t>apakšpunktā un 1.1.14.</w:t>
            </w:r>
            <w:r w:rsidR="00FD33DD" w:rsidRPr="00327875">
              <w:rPr>
                <w:rFonts w:ascii="Times New Roman" w:hAnsi="Times New Roman" w:cs="Times New Roman"/>
                <w:sz w:val="24"/>
                <w:szCs w:val="24"/>
              </w:rPr>
              <w:t>2.</w:t>
            </w:r>
            <w:r w:rsidR="001A7B14" w:rsidRPr="00327875">
              <w:rPr>
                <w:rFonts w:ascii="Times New Roman" w:hAnsi="Times New Roman" w:cs="Times New Roman"/>
                <w:sz w:val="24"/>
                <w:szCs w:val="24"/>
              </w:rPr>
              <w:t>apakšpunktā norādītā informācija</w:t>
            </w:r>
            <w:r w:rsidR="00FD33DD" w:rsidRPr="00327875">
              <w:rPr>
                <w:rFonts w:ascii="Times New Roman" w:hAnsi="Times New Roman" w:cs="Times New Roman"/>
                <w:sz w:val="24"/>
                <w:szCs w:val="24"/>
              </w:rPr>
              <w:t xml:space="preserve">. Skaidrojam, ka  minētajos kvalitātes kritērijos ir iekļautas formulas projekta iesnieguma vērtējuma punktu noteikšanai, tai skaitā ir noteikti nosacījumi maksimālā punktu skaita saņemšanai. Šīs formulas ir sastādītas, ņemot vērā reālus zinātnisko institūciju gada pārskatos par budžeta izpildi un citos statistikas pārskatos iekļauto zinātnisko institūciju darbības rādītāju apmērus, kas izteikti latos. Modelējot formulu, šie rādītāji tiek uztverti kā </w:t>
            </w:r>
            <w:r w:rsidR="00C3284E" w:rsidRPr="00327875">
              <w:rPr>
                <w:rFonts w:ascii="Times New Roman" w:hAnsi="Times New Roman" w:cs="Times New Roman"/>
                <w:sz w:val="24"/>
                <w:szCs w:val="24"/>
              </w:rPr>
              <w:t>koeficient</w:t>
            </w:r>
            <w:r w:rsidR="00D56BF4" w:rsidRPr="00327875">
              <w:rPr>
                <w:rFonts w:ascii="Times New Roman" w:hAnsi="Times New Roman" w:cs="Times New Roman"/>
                <w:sz w:val="24"/>
                <w:szCs w:val="24"/>
              </w:rPr>
              <w:t>i</w:t>
            </w:r>
            <w:r w:rsidR="00F10F33" w:rsidRPr="00327875">
              <w:rPr>
                <w:rFonts w:ascii="Times New Roman" w:hAnsi="Times New Roman" w:cs="Times New Roman"/>
                <w:sz w:val="24"/>
                <w:szCs w:val="24"/>
              </w:rPr>
              <w:t xml:space="preserve">, kuru vērtības netiek konvertētas, </w:t>
            </w:r>
            <w:r w:rsidR="00FD33DD" w:rsidRPr="00327875">
              <w:rPr>
                <w:rFonts w:ascii="Times New Roman" w:hAnsi="Times New Roman" w:cs="Times New Roman"/>
                <w:sz w:val="24"/>
                <w:szCs w:val="24"/>
              </w:rPr>
              <w:t xml:space="preserve">un atbilstoši </w:t>
            </w:r>
            <w:r w:rsidR="00F10F33" w:rsidRPr="00327875">
              <w:rPr>
                <w:rFonts w:ascii="Times New Roman" w:hAnsi="Times New Roman" w:cs="Times New Roman"/>
                <w:sz w:val="24"/>
                <w:szCs w:val="24"/>
              </w:rPr>
              <w:t xml:space="preserve">minēto koeficientu vērtībām </w:t>
            </w:r>
            <w:r w:rsidR="00FD33DD" w:rsidRPr="00327875">
              <w:rPr>
                <w:rFonts w:ascii="Times New Roman" w:hAnsi="Times New Roman" w:cs="Times New Roman"/>
                <w:sz w:val="24"/>
                <w:szCs w:val="24"/>
              </w:rPr>
              <w:t xml:space="preserve">tiek noteiktas likumsakarības. Ja projektu </w:t>
            </w:r>
            <w:r w:rsidR="0046272A" w:rsidRPr="00327875">
              <w:rPr>
                <w:rFonts w:ascii="Times New Roman" w:hAnsi="Times New Roman" w:cs="Times New Roman"/>
                <w:sz w:val="24"/>
                <w:szCs w:val="24"/>
              </w:rPr>
              <w:t xml:space="preserve">iesniegumu 1.1.13.2., 1.1.14.1., </w:t>
            </w:r>
            <w:r w:rsidR="00FD33DD" w:rsidRPr="00327875">
              <w:rPr>
                <w:rFonts w:ascii="Times New Roman" w:hAnsi="Times New Roman" w:cs="Times New Roman"/>
                <w:sz w:val="24"/>
                <w:szCs w:val="24"/>
              </w:rPr>
              <w:t>1.1.14.2.</w:t>
            </w:r>
            <w:r w:rsidR="0046272A" w:rsidRPr="00327875">
              <w:rPr>
                <w:rFonts w:ascii="Times New Roman" w:hAnsi="Times New Roman" w:cs="Times New Roman"/>
                <w:sz w:val="24"/>
                <w:szCs w:val="24"/>
              </w:rPr>
              <w:t xml:space="preserve"> un 1.2.1.14.</w:t>
            </w:r>
            <w:r w:rsidR="00FD33DD" w:rsidRPr="00327875">
              <w:rPr>
                <w:rFonts w:ascii="Times New Roman" w:hAnsi="Times New Roman" w:cs="Times New Roman"/>
                <w:sz w:val="24"/>
                <w:szCs w:val="24"/>
              </w:rPr>
              <w:t xml:space="preserve">apakšpunktos tiek norādīti un vērtēti darbības rādītāji </w:t>
            </w:r>
            <w:proofErr w:type="spellStart"/>
            <w:r w:rsidR="00FD33DD" w:rsidRPr="00327875">
              <w:rPr>
                <w:rFonts w:ascii="Times New Roman" w:hAnsi="Times New Roman" w:cs="Times New Roman"/>
                <w:i/>
                <w:sz w:val="24"/>
                <w:szCs w:val="24"/>
              </w:rPr>
              <w:t>euro</w:t>
            </w:r>
            <w:proofErr w:type="spellEnd"/>
            <w:r w:rsidR="00FD33DD" w:rsidRPr="00327875">
              <w:rPr>
                <w:rFonts w:ascii="Times New Roman" w:hAnsi="Times New Roman" w:cs="Times New Roman"/>
                <w:sz w:val="24"/>
                <w:szCs w:val="24"/>
              </w:rPr>
              <w:t xml:space="preserve">, tad kritērijos iekļautās formulas nav korektas un projektu iesniegumu vērtējums nav atbilstošs tam, kā kritērijos plānots (konvertācija uz </w:t>
            </w:r>
            <w:proofErr w:type="spellStart"/>
            <w:r w:rsidR="00FD33DD" w:rsidRPr="00327875">
              <w:rPr>
                <w:rFonts w:ascii="Times New Roman" w:hAnsi="Times New Roman" w:cs="Times New Roman"/>
                <w:i/>
                <w:sz w:val="24"/>
                <w:szCs w:val="24"/>
              </w:rPr>
              <w:t>euro</w:t>
            </w:r>
            <w:proofErr w:type="spellEnd"/>
            <w:r w:rsidR="00FD33DD" w:rsidRPr="00327875">
              <w:rPr>
                <w:rFonts w:ascii="Times New Roman" w:hAnsi="Times New Roman" w:cs="Times New Roman"/>
                <w:sz w:val="24"/>
                <w:szCs w:val="24"/>
              </w:rPr>
              <w:t xml:space="preserve"> būtiski maina vērtējumu skalu), kā rezultātā projektu iesniegumu</w:t>
            </w:r>
            <w:r w:rsidR="00882529" w:rsidRPr="00327875">
              <w:rPr>
                <w:rFonts w:ascii="Times New Roman" w:hAnsi="Times New Roman" w:cs="Times New Roman"/>
                <w:sz w:val="24"/>
                <w:szCs w:val="24"/>
              </w:rPr>
              <w:t xml:space="preserve"> konkurence nav vairs objektīva</w:t>
            </w:r>
            <w:r w:rsidR="00FD33DD" w:rsidRPr="00327875">
              <w:rPr>
                <w:rFonts w:ascii="Times New Roman" w:hAnsi="Times New Roman" w:cs="Times New Roman"/>
                <w:sz w:val="24"/>
                <w:szCs w:val="24"/>
              </w:rPr>
              <w:t xml:space="preserve">. </w:t>
            </w:r>
          </w:p>
          <w:p w:rsidR="00875BCA" w:rsidRPr="00327875" w:rsidRDefault="00875BCA" w:rsidP="00A06125">
            <w:pPr>
              <w:spacing w:after="0" w:line="240" w:lineRule="auto"/>
              <w:ind w:left="170" w:right="170"/>
              <w:jc w:val="both"/>
              <w:rPr>
                <w:rFonts w:ascii="Times New Roman" w:hAnsi="Times New Roman" w:cs="Times New Roman"/>
                <w:b/>
                <w:sz w:val="24"/>
                <w:szCs w:val="24"/>
              </w:rPr>
            </w:pPr>
            <w:r w:rsidRPr="00327875">
              <w:rPr>
                <w:rFonts w:ascii="Times New Roman" w:hAnsi="Times New Roman" w:cs="Times New Roman"/>
                <w:sz w:val="24"/>
                <w:szCs w:val="24"/>
              </w:rPr>
              <w:t xml:space="preserve">Grozītās tiesību normas </w:t>
            </w:r>
            <w:proofErr w:type="spellStart"/>
            <w:r w:rsidRPr="00327875">
              <w:rPr>
                <w:rFonts w:ascii="Times New Roman" w:hAnsi="Times New Roman" w:cs="Times New Roman"/>
                <w:i/>
                <w:sz w:val="24"/>
                <w:szCs w:val="24"/>
              </w:rPr>
              <w:t>euro</w:t>
            </w:r>
            <w:proofErr w:type="spellEnd"/>
            <w:r w:rsidRPr="00327875">
              <w:rPr>
                <w:rFonts w:ascii="Times New Roman" w:hAnsi="Times New Roman" w:cs="Times New Roman"/>
                <w:sz w:val="24"/>
                <w:szCs w:val="24"/>
              </w:rPr>
              <w:t xml:space="preserve"> valūtā nav personām nelabvēlīgākas par sākotnējo tiesību normu latos un nerada negatīvu ietekmi uz valsts budžetu. </w:t>
            </w:r>
            <w:r w:rsidR="00850F9B" w:rsidRPr="00327875">
              <w:rPr>
                <w:rFonts w:ascii="Times New Roman" w:hAnsi="Times New Roman" w:cs="Times New Roman"/>
                <w:b/>
                <w:sz w:val="24"/>
                <w:szCs w:val="24"/>
              </w:rPr>
              <w:t xml:space="preserve"> </w:t>
            </w:r>
          </w:p>
        </w:tc>
      </w:tr>
      <w:tr w:rsidR="00E5438C" w:rsidRPr="00327875" w:rsidTr="00832F6B">
        <w:trPr>
          <w:trHeight w:val="476"/>
        </w:trPr>
        <w:tc>
          <w:tcPr>
            <w:tcW w:w="499" w:type="dxa"/>
            <w:tcBorders>
              <w:top w:val="single" w:sz="4" w:space="0" w:color="auto"/>
              <w:left w:val="single" w:sz="4" w:space="0" w:color="auto"/>
              <w:bottom w:val="single" w:sz="4" w:space="0" w:color="auto"/>
              <w:right w:val="single" w:sz="4" w:space="0" w:color="auto"/>
            </w:tcBorders>
            <w:hideMark/>
          </w:tcPr>
          <w:p w:rsidR="00E5438C" w:rsidRPr="00327875" w:rsidRDefault="00E5438C" w:rsidP="00A06125">
            <w:pPr>
              <w:pStyle w:val="naiskr"/>
              <w:spacing w:before="0" w:after="0"/>
              <w:jc w:val="center"/>
            </w:pPr>
            <w:r w:rsidRPr="00327875">
              <w:lastRenderedPageBreak/>
              <w:t>5.</w:t>
            </w:r>
          </w:p>
        </w:tc>
        <w:tc>
          <w:tcPr>
            <w:tcW w:w="1916" w:type="dxa"/>
            <w:tcBorders>
              <w:top w:val="single" w:sz="4" w:space="0" w:color="auto"/>
              <w:left w:val="single" w:sz="4" w:space="0" w:color="auto"/>
              <w:bottom w:val="single" w:sz="4" w:space="0" w:color="auto"/>
              <w:right w:val="single" w:sz="4" w:space="0" w:color="auto"/>
            </w:tcBorders>
            <w:hideMark/>
          </w:tcPr>
          <w:p w:rsidR="00E5438C" w:rsidRPr="00327875" w:rsidRDefault="00E5438C" w:rsidP="00A06125">
            <w:pPr>
              <w:pStyle w:val="naiskr"/>
              <w:spacing w:before="0" w:after="0"/>
            </w:pPr>
            <w:r w:rsidRPr="00327875">
              <w:t>Projekta izstrādē iesaistītās institūcijas</w:t>
            </w:r>
          </w:p>
        </w:tc>
        <w:tc>
          <w:tcPr>
            <w:tcW w:w="6662" w:type="dxa"/>
            <w:tcBorders>
              <w:top w:val="single" w:sz="4" w:space="0" w:color="auto"/>
              <w:left w:val="single" w:sz="4" w:space="0" w:color="auto"/>
              <w:bottom w:val="single" w:sz="4" w:space="0" w:color="auto"/>
              <w:right w:val="single" w:sz="4" w:space="0" w:color="auto"/>
            </w:tcBorders>
            <w:hideMark/>
          </w:tcPr>
          <w:p w:rsidR="00755746" w:rsidRPr="00327875" w:rsidRDefault="00E5438C" w:rsidP="00A06125">
            <w:pPr>
              <w:pStyle w:val="naisc"/>
              <w:spacing w:before="0" w:after="0"/>
              <w:ind w:left="170" w:right="170"/>
              <w:jc w:val="both"/>
              <w:rPr>
                <w:b/>
              </w:rPr>
            </w:pPr>
            <w:r w:rsidRPr="00327875">
              <w:t>Izglītības un zinātnes ministrija</w:t>
            </w:r>
            <w:r w:rsidR="00755746" w:rsidRPr="00327875">
              <w:t xml:space="preserve">, Valsts zinātnisko institūtu asociācija, </w:t>
            </w:r>
            <w:r w:rsidR="00755746" w:rsidRPr="00327875">
              <w:rPr>
                <w:bCs/>
              </w:rPr>
              <w:t>Latvijas Universitāšu asociācija</w:t>
            </w:r>
            <w:r w:rsidR="00755746" w:rsidRPr="00327875">
              <w:t>.</w:t>
            </w:r>
          </w:p>
        </w:tc>
      </w:tr>
      <w:tr w:rsidR="00E5438C" w:rsidRPr="00327875" w:rsidTr="00832F6B">
        <w:trPr>
          <w:trHeight w:val="904"/>
        </w:trPr>
        <w:tc>
          <w:tcPr>
            <w:tcW w:w="499" w:type="dxa"/>
            <w:tcBorders>
              <w:top w:val="single" w:sz="4" w:space="0" w:color="auto"/>
              <w:left w:val="single" w:sz="4" w:space="0" w:color="auto"/>
              <w:bottom w:val="single" w:sz="4" w:space="0" w:color="auto"/>
              <w:right w:val="single" w:sz="4" w:space="0" w:color="auto"/>
            </w:tcBorders>
            <w:hideMark/>
          </w:tcPr>
          <w:p w:rsidR="00E5438C" w:rsidRPr="00327875" w:rsidRDefault="00E5438C" w:rsidP="00A06125">
            <w:pPr>
              <w:pStyle w:val="naiskr"/>
              <w:spacing w:before="0" w:after="0"/>
              <w:jc w:val="center"/>
            </w:pPr>
            <w:r w:rsidRPr="00327875">
              <w:t>6.</w:t>
            </w:r>
          </w:p>
        </w:tc>
        <w:tc>
          <w:tcPr>
            <w:tcW w:w="1916" w:type="dxa"/>
            <w:tcBorders>
              <w:top w:val="single" w:sz="4" w:space="0" w:color="auto"/>
              <w:left w:val="single" w:sz="4" w:space="0" w:color="auto"/>
              <w:bottom w:val="single" w:sz="4" w:space="0" w:color="auto"/>
              <w:right w:val="single" w:sz="4" w:space="0" w:color="auto"/>
            </w:tcBorders>
            <w:hideMark/>
          </w:tcPr>
          <w:p w:rsidR="00E5438C" w:rsidRPr="00327875" w:rsidRDefault="00E5438C" w:rsidP="00A06125">
            <w:pPr>
              <w:pStyle w:val="naiskr"/>
              <w:spacing w:before="0" w:after="0"/>
              <w:rPr>
                <w:i/>
                <w:highlight w:val="yellow"/>
              </w:rPr>
            </w:pPr>
            <w:r w:rsidRPr="00327875">
              <w:t>Iemesli, kādēļ netika nodrošināta sabiedrības līdzdalība</w:t>
            </w:r>
          </w:p>
        </w:tc>
        <w:tc>
          <w:tcPr>
            <w:tcW w:w="6662" w:type="dxa"/>
            <w:tcBorders>
              <w:top w:val="single" w:sz="4" w:space="0" w:color="auto"/>
              <w:left w:val="single" w:sz="4" w:space="0" w:color="auto"/>
              <w:bottom w:val="single" w:sz="4" w:space="0" w:color="auto"/>
              <w:right w:val="single" w:sz="4" w:space="0" w:color="auto"/>
            </w:tcBorders>
            <w:hideMark/>
          </w:tcPr>
          <w:p w:rsidR="00E5438C" w:rsidRPr="00327875" w:rsidRDefault="00E5438C" w:rsidP="00A06125">
            <w:pPr>
              <w:pStyle w:val="FootnoteText"/>
              <w:ind w:left="170" w:right="170"/>
              <w:jc w:val="both"/>
              <w:rPr>
                <w:sz w:val="24"/>
                <w:szCs w:val="24"/>
              </w:rPr>
            </w:pPr>
            <w:r w:rsidRPr="00327875">
              <w:rPr>
                <w:sz w:val="24"/>
                <w:szCs w:val="24"/>
              </w:rPr>
              <w:t xml:space="preserve">Sabiedrības līdzdalība </w:t>
            </w:r>
            <w:r w:rsidR="00AE6166" w:rsidRPr="00327875">
              <w:rPr>
                <w:sz w:val="24"/>
                <w:szCs w:val="24"/>
              </w:rPr>
              <w:t xml:space="preserve">noteikuma </w:t>
            </w:r>
            <w:r w:rsidRPr="00327875">
              <w:rPr>
                <w:sz w:val="24"/>
                <w:szCs w:val="24"/>
              </w:rPr>
              <w:t xml:space="preserve">projekta izstrādē netika nodrošināta, jo </w:t>
            </w:r>
            <w:r w:rsidR="00AE6166" w:rsidRPr="00327875">
              <w:rPr>
                <w:sz w:val="24"/>
                <w:szCs w:val="24"/>
              </w:rPr>
              <w:t xml:space="preserve">noteikumu </w:t>
            </w:r>
            <w:r w:rsidRPr="00327875">
              <w:rPr>
                <w:sz w:val="24"/>
                <w:szCs w:val="24"/>
              </w:rPr>
              <w:t xml:space="preserve">projekts nemaina pastāvošo tiesisko regulējumu pēc būtības. </w:t>
            </w:r>
          </w:p>
        </w:tc>
      </w:tr>
      <w:tr w:rsidR="00E5438C" w:rsidRPr="00327875" w:rsidTr="00832F6B">
        <w:tc>
          <w:tcPr>
            <w:tcW w:w="499" w:type="dxa"/>
            <w:tcBorders>
              <w:top w:val="single" w:sz="4" w:space="0" w:color="auto"/>
              <w:left w:val="single" w:sz="4" w:space="0" w:color="auto"/>
              <w:bottom w:val="single" w:sz="4" w:space="0" w:color="auto"/>
              <w:right w:val="single" w:sz="4" w:space="0" w:color="auto"/>
            </w:tcBorders>
            <w:hideMark/>
          </w:tcPr>
          <w:p w:rsidR="00E5438C" w:rsidRPr="00327875" w:rsidRDefault="00E5438C" w:rsidP="00A06125">
            <w:pPr>
              <w:pStyle w:val="naiskr"/>
              <w:spacing w:before="0" w:after="0"/>
              <w:jc w:val="center"/>
            </w:pPr>
            <w:r w:rsidRPr="00327875">
              <w:t>7.</w:t>
            </w:r>
          </w:p>
        </w:tc>
        <w:tc>
          <w:tcPr>
            <w:tcW w:w="1916" w:type="dxa"/>
            <w:tcBorders>
              <w:top w:val="single" w:sz="4" w:space="0" w:color="auto"/>
              <w:left w:val="single" w:sz="4" w:space="0" w:color="auto"/>
              <w:bottom w:val="single" w:sz="4" w:space="0" w:color="auto"/>
              <w:right w:val="single" w:sz="4" w:space="0" w:color="auto"/>
            </w:tcBorders>
            <w:hideMark/>
          </w:tcPr>
          <w:p w:rsidR="00E5438C" w:rsidRPr="00327875" w:rsidRDefault="00E5438C" w:rsidP="00A06125">
            <w:pPr>
              <w:pStyle w:val="naiskr"/>
              <w:spacing w:before="0" w:after="0"/>
            </w:pPr>
            <w:r w:rsidRPr="00327875">
              <w:t>Cita informācija</w:t>
            </w:r>
          </w:p>
        </w:tc>
        <w:tc>
          <w:tcPr>
            <w:tcW w:w="6662" w:type="dxa"/>
            <w:tcBorders>
              <w:top w:val="single" w:sz="4" w:space="0" w:color="auto"/>
              <w:left w:val="single" w:sz="4" w:space="0" w:color="auto"/>
              <w:bottom w:val="single" w:sz="4" w:space="0" w:color="auto"/>
              <w:right w:val="single" w:sz="4" w:space="0" w:color="auto"/>
            </w:tcBorders>
            <w:hideMark/>
          </w:tcPr>
          <w:p w:rsidR="00E5438C" w:rsidRPr="00327875" w:rsidRDefault="00755746" w:rsidP="00A06125">
            <w:pPr>
              <w:spacing w:after="0" w:line="240" w:lineRule="auto"/>
              <w:ind w:left="170" w:right="170"/>
              <w:jc w:val="both"/>
              <w:rPr>
                <w:rFonts w:ascii="Times New Roman" w:eastAsia="Times New Roman" w:hAnsi="Times New Roman" w:cs="Times New Roman"/>
                <w:sz w:val="24"/>
                <w:szCs w:val="24"/>
              </w:rPr>
            </w:pPr>
            <w:r w:rsidRPr="00327875">
              <w:rPr>
                <w:rFonts w:ascii="Times New Roman" w:hAnsi="Times New Roman" w:cs="Times New Roman"/>
                <w:sz w:val="24"/>
                <w:szCs w:val="24"/>
              </w:rPr>
              <w:t>Gadījumā, ja 2.1.1.1.aktivitātes ietvaros tiks lauzti līgumi vai vienošanās par projektu īstenošanu vai esošo projektu ietvaros tiks konstatētas neatbilstības, finansējums par lauzto līgumu un/vai vienošanās par projektu īstenošanu un konstatēto neatbilstību apjomu netiks novirzīts papildu darbību finansēšanai esošo projektu ietvaros.</w:t>
            </w:r>
          </w:p>
        </w:tc>
      </w:tr>
    </w:tbl>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37"/>
        <w:gridCol w:w="2591"/>
        <w:gridCol w:w="6103"/>
      </w:tblGrid>
      <w:tr w:rsidR="00755746" w:rsidRPr="00327875" w:rsidTr="00755746">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755746" w:rsidRPr="00327875" w:rsidRDefault="00755746" w:rsidP="00A06125">
            <w:pPr>
              <w:spacing w:after="0" w:line="240" w:lineRule="auto"/>
              <w:jc w:val="center"/>
              <w:rPr>
                <w:rFonts w:ascii="Times New Roman" w:hAnsi="Times New Roman" w:cs="Times New Roman"/>
                <w:b/>
                <w:bCs/>
                <w:sz w:val="24"/>
                <w:szCs w:val="24"/>
              </w:rPr>
            </w:pPr>
            <w:r w:rsidRPr="00327875">
              <w:rPr>
                <w:rFonts w:ascii="Times New Roman" w:hAnsi="Times New Roman" w:cs="Times New Roman"/>
                <w:sz w:val="24"/>
                <w:szCs w:val="24"/>
              </w:rPr>
              <w:t> </w:t>
            </w:r>
            <w:r w:rsidRPr="00327875">
              <w:rPr>
                <w:rFonts w:ascii="Times New Roman" w:hAnsi="Times New Roman" w:cs="Times New Roman"/>
                <w:b/>
                <w:bCs/>
                <w:sz w:val="24"/>
                <w:szCs w:val="24"/>
              </w:rPr>
              <w:t>II. Tiesību akta projekta ietekme uz sabiedrību</w:t>
            </w:r>
          </w:p>
        </w:tc>
      </w:tr>
      <w:tr w:rsidR="00755746" w:rsidRPr="00327875" w:rsidTr="00755746">
        <w:tc>
          <w:tcPr>
            <w:tcW w:w="239" w:type="pct"/>
            <w:tcBorders>
              <w:top w:val="outset" w:sz="6" w:space="0" w:color="000000"/>
              <w:left w:val="outset" w:sz="6" w:space="0" w:color="000000"/>
              <w:bottom w:val="outset" w:sz="6" w:space="0" w:color="000000"/>
              <w:right w:val="outset" w:sz="6" w:space="0" w:color="000000"/>
            </w:tcBorders>
            <w:hideMark/>
          </w:tcPr>
          <w:p w:rsidR="00755746" w:rsidRPr="00327875" w:rsidRDefault="00755746" w:rsidP="00A06125">
            <w:pPr>
              <w:spacing w:after="0" w:line="240" w:lineRule="auto"/>
              <w:rPr>
                <w:rFonts w:ascii="Times New Roman" w:hAnsi="Times New Roman" w:cs="Times New Roman"/>
                <w:sz w:val="24"/>
                <w:szCs w:val="24"/>
              </w:rPr>
            </w:pPr>
            <w:r w:rsidRPr="00327875">
              <w:rPr>
                <w:rFonts w:ascii="Times New Roman" w:hAnsi="Times New Roman" w:cs="Times New Roman"/>
                <w:sz w:val="24"/>
                <w:szCs w:val="24"/>
              </w:rPr>
              <w:t>1.</w:t>
            </w:r>
          </w:p>
        </w:tc>
        <w:tc>
          <w:tcPr>
            <w:tcW w:w="1419" w:type="pct"/>
            <w:tcBorders>
              <w:top w:val="outset" w:sz="6" w:space="0" w:color="000000"/>
              <w:left w:val="outset" w:sz="6" w:space="0" w:color="000000"/>
              <w:bottom w:val="outset" w:sz="6" w:space="0" w:color="000000"/>
              <w:right w:val="outset" w:sz="6" w:space="0" w:color="000000"/>
            </w:tcBorders>
            <w:hideMark/>
          </w:tcPr>
          <w:p w:rsidR="00755746" w:rsidRPr="00327875" w:rsidRDefault="00755746" w:rsidP="00A06125">
            <w:pPr>
              <w:spacing w:after="0" w:line="240" w:lineRule="auto"/>
              <w:rPr>
                <w:rFonts w:ascii="Times New Roman" w:hAnsi="Times New Roman" w:cs="Times New Roman"/>
                <w:sz w:val="24"/>
                <w:szCs w:val="24"/>
              </w:rPr>
            </w:pPr>
            <w:r w:rsidRPr="00327875">
              <w:rPr>
                <w:rFonts w:ascii="Times New Roman" w:hAnsi="Times New Roman" w:cs="Times New Roman"/>
                <w:sz w:val="24"/>
                <w:szCs w:val="24"/>
              </w:rPr>
              <w:t>Sabiedrības mērķgrupa</w:t>
            </w:r>
          </w:p>
        </w:tc>
        <w:tc>
          <w:tcPr>
            <w:tcW w:w="3342" w:type="pct"/>
            <w:tcBorders>
              <w:top w:val="outset" w:sz="6" w:space="0" w:color="000000"/>
              <w:left w:val="outset" w:sz="6" w:space="0" w:color="000000"/>
              <w:bottom w:val="outset" w:sz="6" w:space="0" w:color="000000"/>
              <w:right w:val="outset" w:sz="6" w:space="0" w:color="000000"/>
            </w:tcBorders>
            <w:hideMark/>
          </w:tcPr>
          <w:p w:rsidR="00755746" w:rsidRPr="00327875" w:rsidRDefault="00755746" w:rsidP="00A06125">
            <w:pPr>
              <w:pStyle w:val="naisf"/>
              <w:spacing w:before="0" w:after="0"/>
              <w:ind w:firstLine="0"/>
            </w:pPr>
            <w:r w:rsidRPr="00327875">
              <w:t>Komersanti un Zinātnisko institūciju reģistrā reģistrētas zinātniskās institūcijas, zinātnē nodarbinātie darbinieki.</w:t>
            </w:r>
          </w:p>
          <w:p w:rsidR="00755746" w:rsidRPr="00327875" w:rsidRDefault="00755746" w:rsidP="00A06125">
            <w:pPr>
              <w:pStyle w:val="naisf"/>
              <w:spacing w:before="0" w:after="0"/>
              <w:ind w:firstLine="0"/>
            </w:pPr>
            <w:r w:rsidRPr="00327875">
              <w:t xml:space="preserve">Mērķa grupas aptuvens īpatsvars ir 0,66% no kopējiem </w:t>
            </w:r>
            <w:r w:rsidRPr="00327875">
              <w:lastRenderedPageBreak/>
              <w:t xml:space="preserve">ekonomiski aktīviem iedzīvotājiem </w:t>
            </w:r>
          </w:p>
        </w:tc>
      </w:tr>
      <w:tr w:rsidR="00755746" w:rsidRPr="00327875" w:rsidTr="00755746">
        <w:tc>
          <w:tcPr>
            <w:tcW w:w="239" w:type="pct"/>
            <w:tcBorders>
              <w:top w:val="outset" w:sz="6" w:space="0" w:color="000000"/>
              <w:left w:val="outset" w:sz="6" w:space="0" w:color="000000"/>
              <w:bottom w:val="outset" w:sz="6" w:space="0" w:color="000000"/>
              <w:right w:val="outset" w:sz="6" w:space="0" w:color="000000"/>
            </w:tcBorders>
            <w:hideMark/>
          </w:tcPr>
          <w:p w:rsidR="00755746" w:rsidRPr="00327875" w:rsidRDefault="00755746" w:rsidP="00A06125">
            <w:pPr>
              <w:spacing w:after="0" w:line="240" w:lineRule="auto"/>
              <w:rPr>
                <w:rFonts w:ascii="Times New Roman" w:hAnsi="Times New Roman" w:cs="Times New Roman"/>
                <w:sz w:val="24"/>
                <w:szCs w:val="24"/>
              </w:rPr>
            </w:pPr>
            <w:r w:rsidRPr="00327875">
              <w:rPr>
                <w:rFonts w:ascii="Times New Roman" w:hAnsi="Times New Roman" w:cs="Times New Roman"/>
                <w:sz w:val="24"/>
                <w:szCs w:val="24"/>
              </w:rPr>
              <w:lastRenderedPageBreak/>
              <w:t>2.</w:t>
            </w:r>
          </w:p>
        </w:tc>
        <w:tc>
          <w:tcPr>
            <w:tcW w:w="1419" w:type="pct"/>
            <w:tcBorders>
              <w:top w:val="outset" w:sz="6" w:space="0" w:color="000000"/>
              <w:left w:val="outset" w:sz="6" w:space="0" w:color="000000"/>
              <w:bottom w:val="outset" w:sz="6" w:space="0" w:color="000000"/>
              <w:right w:val="outset" w:sz="6" w:space="0" w:color="000000"/>
            </w:tcBorders>
            <w:hideMark/>
          </w:tcPr>
          <w:p w:rsidR="00755746" w:rsidRPr="00327875" w:rsidRDefault="00755746" w:rsidP="00A06125">
            <w:pPr>
              <w:spacing w:after="0" w:line="240" w:lineRule="auto"/>
              <w:rPr>
                <w:rFonts w:ascii="Times New Roman" w:hAnsi="Times New Roman" w:cs="Times New Roman"/>
                <w:sz w:val="24"/>
                <w:szCs w:val="24"/>
              </w:rPr>
            </w:pPr>
            <w:r w:rsidRPr="00327875">
              <w:rPr>
                <w:rFonts w:ascii="Times New Roman" w:hAnsi="Times New Roman" w:cs="Times New Roman"/>
                <w:sz w:val="24"/>
                <w:szCs w:val="24"/>
              </w:rPr>
              <w:t>Citas sabiedrības grupas (bez mērķgrupas), kuras tiesiskais regulējums arī ietekmē vai varētu ietekmēt</w:t>
            </w:r>
          </w:p>
        </w:tc>
        <w:tc>
          <w:tcPr>
            <w:tcW w:w="3342" w:type="pct"/>
            <w:tcBorders>
              <w:top w:val="outset" w:sz="6" w:space="0" w:color="000000"/>
              <w:left w:val="outset" w:sz="6" w:space="0" w:color="000000"/>
              <w:bottom w:val="outset" w:sz="6" w:space="0" w:color="000000"/>
              <w:right w:val="outset" w:sz="6" w:space="0" w:color="000000"/>
            </w:tcBorders>
            <w:hideMark/>
          </w:tcPr>
          <w:p w:rsidR="00755746" w:rsidRPr="00327875" w:rsidRDefault="00755746" w:rsidP="00A06125">
            <w:pPr>
              <w:spacing w:after="0" w:line="240" w:lineRule="auto"/>
              <w:jc w:val="both"/>
              <w:rPr>
                <w:rFonts w:ascii="Times New Roman" w:hAnsi="Times New Roman" w:cs="Times New Roman"/>
                <w:sz w:val="24"/>
                <w:szCs w:val="24"/>
              </w:rPr>
            </w:pPr>
            <w:r w:rsidRPr="00327875">
              <w:rPr>
                <w:rFonts w:ascii="Times New Roman" w:hAnsi="Times New Roman" w:cs="Times New Roman"/>
                <w:sz w:val="24"/>
                <w:szCs w:val="24"/>
              </w:rPr>
              <w:t>Noteikumu projekts šo jomu neskar</w:t>
            </w:r>
          </w:p>
        </w:tc>
      </w:tr>
      <w:tr w:rsidR="00755746" w:rsidRPr="00327875" w:rsidTr="00755746">
        <w:tc>
          <w:tcPr>
            <w:tcW w:w="239" w:type="pct"/>
            <w:tcBorders>
              <w:top w:val="outset" w:sz="6" w:space="0" w:color="000000"/>
              <w:left w:val="outset" w:sz="6" w:space="0" w:color="000000"/>
              <w:bottom w:val="outset" w:sz="6" w:space="0" w:color="000000"/>
              <w:right w:val="outset" w:sz="6" w:space="0" w:color="000000"/>
            </w:tcBorders>
            <w:hideMark/>
          </w:tcPr>
          <w:p w:rsidR="00755746" w:rsidRPr="00327875" w:rsidRDefault="00755746" w:rsidP="00A06125">
            <w:pPr>
              <w:spacing w:after="0" w:line="240" w:lineRule="auto"/>
              <w:rPr>
                <w:rFonts w:ascii="Times New Roman" w:hAnsi="Times New Roman" w:cs="Times New Roman"/>
                <w:sz w:val="24"/>
                <w:szCs w:val="24"/>
              </w:rPr>
            </w:pPr>
            <w:r w:rsidRPr="00327875">
              <w:rPr>
                <w:rFonts w:ascii="Times New Roman" w:hAnsi="Times New Roman" w:cs="Times New Roman"/>
                <w:sz w:val="24"/>
                <w:szCs w:val="24"/>
              </w:rPr>
              <w:t>3.</w:t>
            </w:r>
          </w:p>
        </w:tc>
        <w:tc>
          <w:tcPr>
            <w:tcW w:w="1419" w:type="pct"/>
            <w:tcBorders>
              <w:top w:val="outset" w:sz="6" w:space="0" w:color="000000"/>
              <w:left w:val="outset" w:sz="6" w:space="0" w:color="000000"/>
              <w:bottom w:val="outset" w:sz="6" w:space="0" w:color="000000"/>
              <w:right w:val="outset" w:sz="6" w:space="0" w:color="000000"/>
            </w:tcBorders>
            <w:hideMark/>
          </w:tcPr>
          <w:p w:rsidR="00755746" w:rsidRPr="00327875" w:rsidRDefault="00755746" w:rsidP="00A06125">
            <w:pPr>
              <w:spacing w:after="0" w:line="240" w:lineRule="auto"/>
              <w:rPr>
                <w:rFonts w:ascii="Times New Roman" w:hAnsi="Times New Roman" w:cs="Times New Roman"/>
                <w:sz w:val="24"/>
                <w:szCs w:val="24"/>
              </w:rPr>
            </w:pPr>
            <w:r w:rsidRPr="00327875">
              <w:rPr>
                <w:rFonts w:ascii="Times New Roman" w:hAnsi="Times New Roman" w:cs="Times New Roman"/>
                <w:sz w:val="24"/>
                <w:szCs w:val="24"/>
              </w:rPr>
              <w:t>Tiesiskā regulējuma finansiālā ietekme</w:t>
            </w:r>
          </w:p>
        </w:tc>
        <w:tc>
          <w:tcPr>
            <w:tcW w:w="3342" w:type="pct"/>
            <w:tcBorders>
              <w:top w:val="outset" w:sz="6" w:space="0" w:color="000000"/>
              <w:left w:val="outset" w:sz="6" w:space="0" w:color="000000"/>
              <w:bottom w:val="outset" w:sz="6" w:space="0" w:color="000000"/>
              <w:right w:val="outset" w:sz="6" w:space="0" w:color="000000"/>
            </w:tcBorders>
            <w:hideMark/>
          </w:tcPr>
          <w:p w:rsidR="00755746" w:rsidRPr="00327875" w:rsidRDefault="00755746" w:rsidP="00A06125">
            <w:pPr>
              <w:spacing w:after="0" w:line="240" w:lineRule="auto"/>
              <w:jc w:val="both"/>
              <w:rPr>
                <w:rFonts w:ascii="Times New Roman" w:hAnsi="Times New Roman" w:cs="Times New Roman"/>
                <w:sz w:val="24"/>
                <w:szCs w:val="24"/>
              </w:rPr>
            </w:pPr>
            <w:r w:rsidRPr="00327875">
              <w:rPr>
                <w:rFonts w:ascii="Times New Roman" w:eastAsia="Calibri" w:hAnsi="Times New Roman" w:cs="Times New Roman"/>
                <w:color w:val="000000"/>
                <w:sz w:val="24"/>
                <w:szCs w:val="24"/>
              </w:rPr>
              <w:t xml:space="preserve">Noteikumu projektam ir pozitīva </w:t>
            </w:r>
            <w:r w:rsidRPr="00327875">
              <w:rPr>
                <w:rFonts w:ascii="Times New Roman" w:hAnsi="Times New Roman" w:cs="Times New Roman"/>
                <w:sz w:val="24"/>
                <w:szCs w:val="24"/>
              </w:rPr>
              <w:t xml:space="preserve">ietekme uz projekta iesniedzēju un sadarbības partneri (komersantu un zinātnisko institūciju), jo tiek nodrošināta iespēja saņemt ERAF atbalstu pētniecības īstenošanai un rūpnieciskā īpašuma tiesību nostiprināšanai, lai sekmētu jaunu produktu un tehnoloģiju izstrādi un ieviešanu ražošanā vai pakalpojumu sniegšanā, kas tiešā veidā veicina Latvijas tautsaimniecības attīstību, vienlaikus sekmējot pētniecības intelektuālā potenciāla attīstību.  </w:t>
            </w:r>
          </w:p>
        </w:tc>
      </w:tr>
      <w:tr w:rsidR="00755746" w:rsidRPr="00327875" w:rsidTr="00755746">
        <w:tc>
          <w:tcPr>
            <w:tcW w:w="239" w:type="pct"/>
            <w:tcBorders>
              <w:top w:val="outset" w:sz="6" w:space="0" w:color="000000"/>
              <w:left w:val="outset" w:sz="6" w:space="0" w:color="000000"/>
              <w:bottom w:val="outset" w:sz="6" w:space="0" w:color="000000"/>
              <w:right w:val="outset" w:sz="6" w:space="0" w:color="000000"/>
            </w:tcBorders>
            <w:hideMark/>
          </w:tcPr>
          <w:p w:rsidR="00755746" w:rsidRPr="00327875" w:rsidRDefault="00755746" w:rsidP="00A06125">
            <w:pPr>
              <w:spacing w:after="0" w:line="240" w:lineRule="auto"/>
              <w:rPr>
                <w:rFonts w:ascii="Times New Roman" w:hAnsi="Times New Roman" w:cs="Times New Roman"/>
                <w:sz w:val="24"/>
                <w:szCs w:val="24"/>
              </w:rPr>
            </w:pPr>
            <w:r w:rsidRPr="00327875">
              <w:rPr>
                <w:rFonts w:ascii="Times New Roman" w:hAnsi="Times New Roman" w:cs="Times New Roman"/>
                <w:sz w:val="24"/>
                <w:szCs w:val="24"/>
              </w:rPr>
              <w:t>4.</w:t>
            </w:r>
          </w:p>
        </w:tc>
        <w:tc>
          <w:tcPr>
            <w:tcW w:w="1419" w:type="pct"/>
            <w:tcBorders>
              <w:top w:val="outset" w:sz="6" w:space="0" w:color="000000"/>
              <w:left w:val="outset" w:sz="6" w:space="0" w:color="000000"/>
              <w:bottom w:val="outset" w:sz="6" w:space="0" w:color="000000"/>
              <w:right w:val="outset" w:sz="6" w:space="0" w:color="000000"/>
            </w:tcBorders>
            <w:hideMark/>
          </w:tcPr>
          <w:p w:rsidR="00755746" w:rsidRPr="00327875" w:rsidRDefault="00755746" w:rsidP="00A06125">
            <w:pPr>
              <w:spacing w:after="0" w:line="240" w:lineRule="auto"/>
              <w:rPr>
                <w:rFonts w:ascii="Times New Roman" w:hAnsi="Times New Roman" w:cs="Times New Roman"/>
                <w:sz w:val="24"/>
                <w:szCs w:val="24"/>
              </w:rPr>
            </w:pPr>
            <w:r w:rsidRPr="00327875">
              <w:rPr>
                <w:rFonts w:ascii="Times New Roman" w:hAnsi="Times New Roman" w:cs="Times New Roman"/>
                <w:sz w:val="24"/>
                <w:szCs w:val="24"/>
              </w:rPr>
              <w:t>Tiesiskā regulējuma nefinansiālā ietekme</w:t>
            </w:r>
          </w:p>
        </w:tc>
        <w:tc>
          <w:tcPr>
            <w:tcW w:w="3342" w:type="pct"/>
            <w:tcBorders>
              <w:top w:val="outset" w:sz="6" w:space="0" w:color="000000"/>
              <w:left w:val="outset" w:sz="6" w:space="0" w:color="000000"/>
              <w:bottom w:val="outset" w:sz="6" w:space="0" w:color="000000"/>
              <w:right w:val="outset" w:sz="6" w:space="0" w:color="000000"/>
            </w:tcBorders>
            <w:hideMark/>
          </w:tcPr>
          <w:p w:rsidR="00755746" w:rsidRPr="00327875" w:rsidRDefault="00755746" w:rsidP="00A06125">
            <w:pPr>
              <w:tabs>
                <w:tab w:val="left" w:pos="1080"/>
              </w:tabs>
              <w:spacing w:after="0" w:line="240" w:lineRule="auto"/>
              <w:jc w:val="both"/>
              <w:rPr>
                <w:rFonts w:ascii="Times New Roman" w:hAnsi="Times New Roman" w:cs="Times New Roman"/>
                <w:sz w:val="24"/>
                <w:szCs w:val="24"/>
              </w:rPr>
            </w:pPr>
            <w:r w:rsidRPr="00327875">
              <w:rPr>
                <w:rFonts w:ascii="Times New Roman" w:hAnsi="Times New Roman" w:cs="Times New Roman"/>
                <w:sz w:val="24"/>
                <w:szCs w:val="24"/>
              </w:rPr>
              <w:t>Noteikumu projekts šo jomu neskar</w:t>
            </w:r>
          </w:p>
        </w:tc>
      </w:tr>
      <w:tr w:rsidR="00755746" w:rsidRPr="00327875" w:rsidTr="00755746">
        <w:tc>
          <w:tcPr>
            <w:tcW w:w="239" w:type="pct"/>
            <w:tcBorders>
              <w:top w:val="outset" w:sz="6" w:space="0" w:color="000000"/>
              <w:left w:val="outset" w:sz="6" w:space="0" w:color="000000"/>
              <w:bottom w:val="outset" w:sz="6" w:space="0" w:color="000000"/>
              <w:right w:val="outset" w:sz="6" w:space="0" w:color="000000"/>
            </w:tcBorders>
            <w:hideMark/>
          </w:tcPr>
          <w:p w:rsidR="00755746" w:rsidRPr="00327875" w:rsidRDefault="00755746" w:rsidP="00A06125">
            <w:pPr>
              <w:spacing w:after="0" w:line="240" w:lineRule="auto"/>
              <w:rPr>
                <w:rFonts w:ascii="Times New Roman" w:hAnsi="Times New Roman" w:cs="Times New Roman"/>
                <w:sz w:val="24"/>
                <w:szCs w:val="24"/>
              </w:rPr>
            </w:pPr>
            <w:r w:rsidRPr="00327875">
              <w:rPr>
                <w:rFonts w:ascii="Times New Roman" w:hAnsi="Times New Roman" w:cs="Times New Roman"/>
                <w:sz w:val="24"/>
                <w:szCs w:val="24"/>
              </w:rPr>
              <w:t>5.</w:t>
            </w:r>
          </w:p>
        </w:tc>
        <w:tc>
          <w:tcPr>
            <w:tcW w:w="1419" w:type="pct"/>
            <w:tcBorders>
              <w:top w:val="outset" w:sz="6" w:space="0" w:color="000000"/>
              <w:left w:val="outset" w:sz="6" w:space="0" w:color="000000"/>
              <w:bottom w:val="outset" w:sz="6" w:space="0" w:color="000000"/>
              <w:right w:val="outset" w:sz="6" w:space="0" w:color="000000"/>
            </w:tcBorders>
            <w:hideMark/>
          </w:tcPr>
          <w:p w:rsidR="00755746" w:rsidRPr="00327875" w:rsidRDefault="00755746" w:rsidP="00A06125">
            <w:pPr>
              <w:spacing w:after="0" w:line="240" w:lineRule="auto"/>
              <w:rPr>
                <w:rFonts w:ascii="Times New Roman" w:hAnsi="Times New Roman" w:cs="Times New Roman"/>
                <w:sz w:val="24"/>
                <w:szCs w:val="24"/>
              </w:rPr>
            </w:pPr>
            <w:r w:rsidRPr="00327875">
              <w:rPr>
                <w:rFonts w:ascii="Times New Roman" w:hAnsi="Times New Roman" w:cs="Times New Roman"/>
                <w:sz w:val="24"/>
                <w:szCs w:val="24"/>
              </w:rPr>
              <w:t>Administratīvās procedūras raksturojums</w:t>
            </w:r>
          </w:p>
        </w:tc>
        <w:tc>
          <w:tcPr>
            <w:tcW w:w="3342" w:type="pct"/>
            <w:tcBorders>
              <w:top w:val="outset" w:sz="6" w:space="0" w:color="000000"/>
              <w:left w:val="outset" w:sz="6" w:space="0" w:color="000000"/>
              <w:bottom w:val="outset" w:sz="6" w:space="0" w:color="000000"/>
              <w:right w:val="outset" w:sz="6" w:space="0" w:color="000000"/>
            </w:tcBorders>
            <w:hideMark/>
          </w:tcPr>
          <w:p w:rsidR="00755746" w:rsidRPr="00327875" w:rsidRDefault="00755746" w:rsidP="00A06125">
            <w:pPr>
              <w:spacing w:after="0" w:line="240" w:lineRule="auto"/>
              <w:rPr>
                <w:rFonts w:ascii="Times New Roman" w:hAnsi="Times New Roman" w:cs="Times New Roman"/>
                <w:sz w:val="24"/>
                <w:szCs w:val="24"/>
              </w:rPr>
            </w:pPr>
            <w:r w:rsidRPr="00327875">
              <w:rPr>
                <w:rFonts w:ascii="Times New Roman" w:hAnsi="Times New Roman" w:cs="Times New Roman"/>
                <w:sz w:val="24"/>
                <w:szCs w:val="24"/>
              </w:rPr>
              <w:t>Noteikumu projekts šo jomu neskar</w:t>
            </w:r>
          </w:p>
        </w:tc>
      </w:tr>
      <w:tr w:rsidR="00755746" w:rsidRPr="00327875" w:rsidTr="00755746">
        <w:tc>
          <w:tcPr>
            <w:tcW w:w="239" w:type="pct"/>
            <w:tcBorders>
              <w:top w:val="outset" w:sz="6" w:space="0" w:color="000000"/>
              <w:left w:val="outset" w:sz="6" w:space="0" w:color="000000"/>
              <w:bottom w:val="outset" w:sz="6" w:space="0" w:color="000000"/>
              <w:right w:val="outset" w:sz="6" w:space="0" w:color="000000"/>
            </w:tcBorders>
            <w:hideMark/>
          </w:tcPr>
          <w:p w:rsidR="00755746" w:rsidRPr="00327875" w:rsidRDefault="00755746" w:rsidP="00A06125">
            <w:pPr>
              <w:spacing w:after="0" w:line="240" w:lineRule="auto"/>
              <w:rPr>
                <w:rFonts w:ascii="Times New Roman" w:hAnsi="Times New Roman" w:cs="Times New Roman"/>
                <w:sz w:val="24"/>
                <w:szCs w:val="24"/>
              </w:rPr>
            </w:pPr>
            <w:r w:rsidRPr="00327875">
              <w:rPr>
                <w:rFonts w:ascii="Times New Roman" w:hAnsi="Times New Roman" w:cs="Times New Roman"/>
                <w:sz w:val="24"/>
                <w:szCs w:val="24"/>
              </w:rPr>
              <w:t>6.</w:t>
            </w:r>
          </w:p>
        </w:tc>
        <w:tc>
          <w:tcPr>
            <w:tcW w:w="1419" w:type="pct"/>
            <w:tcBorders>
              <w:top w:val="outset" w:sz="6" w:space="0" w:color="000000"/>
              <w:left w:val="outset" w:sz="6" w:space="0" w:color="000000"/>
              <w:bottom w:val="outset" w:sz="6" w:space="0" w:color="000000"/>
              <w:right w:val="outset" w:sz="6" w:space="0" w:color="000000"/>
            </w:tcBorders>
            <w:hideMark/>
          </w:tcPr>
          <w:p w:rsidR="00755746" w:rsidRPr="00327875" w:rsidRDefault="00755746" w:rsidP="00A06125">
            <w:pPr>
              <w:spacing w:after="0" w:line="240" w:lineRule="auto"/>
              <w:rPr>
                <w:rFonts w:ascii="Times New Roman" w:hAnsi="Times New Roman" w:cs="Times New Roman"/>
                <w:sz w:val="24"/>
                <w:szCs w:val="24"/>
              </w:rPr>
            </w:pPr>
            <w:r w:rsidRPr="00327875">
              <w:rPr>
                <w:rFonts w:ascii="Times New Roman" w:hAnsi="Times New Roman" w:cs="Times New Roman"/>
                <w:sz w:val="24"/>
                <w:szCs w:val="24"/>
              </w:rPr>
              <w:t>Administratīvo izmaksu monetārs novērtējums</w:t>
            </w:r>
          </w:p>
        </w:tc>
        <w:tc>
          <w:tcPr>
            <w:tcW w:w="3342" w:type="pct"/>
            <w:tcBorders>
              <w:top w:val="outset" w:sz="6" w:space="0" w:color="000000"/>
              <w:left w:val="outset" w:sz="6" w:space="0" w:color="000000"/>
              <w:bottom w:val="outset" w:sz="6" w:space="0" w:color="000000"/>
              <w:right w:val="outset" w:sz="6" w:space="0" w:color="000000"/>
            </w:tcBorders>
            <w:hideMark/>
          </w:tcPr>
          <w:p w:rsidR="00755746" w:rsidRPr="00327875" w:rsidRDefault="00755746" w:rsidP="00A06125">
            <w:pPr>
              <w:spacing w:after="0" w:line="240" w:lineRule="auto"/>
              <w:rPr>
                <w:rFonts w:ascii="Times New Roman" w:hAnsi="Times New Roman" w:cs="Times New Roman"/>
                <w:sz w:val="24"/>
                <w:szCs w:val="24"/>
              </w:rPr>
            </w:pPr>
            <w:r w:rsidRPr="00327875">
              <w:rPr>
                <w:rFonts w:ascii="Times New Roman" w:hAnsi="Times New Roman" w:cs="Times New Roman"/>
                <w:sz w:val="24"/>
                <w:szCs w:val="24"/>
              </w:rPr>
              <w:t>Noteikumu projekts šo jomu neskar</w:t>
            </w:r>
          </w:p>
        </w:tc>
      </w:tr>
      <w:tr w:rsidR="00755746" w:rsidRPr="00327875" w:rsidTr="00755746">
        <w:tc>
          <w:tcPr>
            <w:tcW w:w="239" w:type="pct"/>
            <w:tcBorders>
              <w:top w:val="outset" w:sz="6" w:space="0" w:color="000000"/>
              <w:left w:val="outset" w:sz="6" w:space="0" w:color="000000"/>
              <w:bottom w:val="outset" w:sz="6" w:space="0" w:color="000000"/>
              <w:right w:val="outset" w:sz="6" w:space="0" w:color="000000"/>
            </w:tcBorders>
            <w:hideMark/>
          </w:tcPr>
          <w:p w:rsidR="00755746" w:rsidRPr="00327875" w:rsidRDefault="00755746" w:rsidP="00A06125">
            <w:pPr>
              <w:spacing w:after="0" w:line="240" w:lineRule="auto"/>
              <w:rPr>
                <w:rFonts w:ascii="Times New Roman" w:hAnsi="Times New Roman" w:cs="Times New Roman"/>
                <w:sz w:val="24"/>
                <w:szCs w:val="24"/>
              </w:rPr>
            </w:pPr>
            <w:r w:rsidRPr="00327875">
              <w:rPr>
                <w:rFonts w:ascii="Times New Roman" w:hAnsi="Times New Roman" w:cs="Times New Roman"/>
                <w:sz w:val="24"/>
                <w:szCs w:val="24"/>
              </w:rPr>
              <w:t>7.</w:t>
            </w:r>
          </w:p>
        </w:tc>
        <w:tc>
          <w:tcPr>
            <w:tcW w:w="1419" w:type="pct"/>
            <w:tcBorders>
              <w:top w:val="outset" w:sz="6" w:space="0" w:color="000000"/>
              <w:left w:val="outset" w:sz="6" w:space="0" w:color="000000"/>
              <w:bottom w:val="outset" w:sz="6" w:space="0" w:color="000000"/>
              <w:right w:val="outset" w:sz="6" w:space="0" w:color="000000"/>
            </w:tcBorders>
            <w:hideMark/>
          </w:tcPr>
          <w:p w:rsidR="00755746" w:rsidRPr="00327875" w:rsidRDefault="00755746" w:rsidP="00A06125">
            <w:pPr>
              <w:spacing w:after="0" w:line="240" w:lineRule="auto"/>
              <w:rPr>
                <w:rFonts w:ascii="Times New Roman" w:hAnsi="Times New Roman" w:cs="Times New Roman"/>
                <w:sz w:val="24"/>
                <w:szCs w:val="24"/>
              </w:rPr>
            </w:pPr>
            <w:r w:rsidRPr="00327875">
              <w:rPr>
                <w:rFonts w:ascii="Times New Roman" w:hAnsi="Times New Roman" w:cs="Times New Roman"/>
                <w:sz w:val="24"/>
                <w:szCs w:val="24"/>
              </w:rPr>
              <w:t>Cita informācija</w:t>
            </w:r>
          </w:p>
        </w:tc>
        <w:tc>
          <w:tcPr>
            <w:tcW w:w="3342" w:type="pct"/>
            <w:tcBorders>
              <w:top w:val="outset" w:sz="6" w:space="0" w:color="000000"/>
              <w:left w:val="outset" w:sz="6" w:space="0" w:color="000000"/>
              <w:bottom w:val="outset" w:sz="6" w:space="0" w:color="000000"/>
              <w:right w:val="outset" w:sz="6" w:space="0" w:color="000000"/>
            </w:tcBorders>
            <w:hideMark/>
          </w:tcPr>
          <w:p w:rsidR="00755746" w:rsidRPr="00327875" w:rsidRDefault="00755746" w:rsidP="00A06125">
            <w:pPr>
              <w:spacing w:after="0" w:line="240" w:lineRule="auto"/>
              <w:rPr>
                <w:rFonts w:ascii="Times New Roman" w:hAnsi="Times New Roman" w:cs="Times New Roman"/>
                <w:sz w:val="24"/>
                <w:szCs w:val="24"/>
              </w:rPr>
            </w:pPr>
            <w:r w:rsidRPr="00327875">
              <w:rPr>
                <w:rFonts w:ascii="Times New Roman" w:hAnsi="Times New Roman" w:cs="Times New Roman"/>
                <w:sz w:val="24"/>
                <w:szCs w:val="24"/>
              </w:rPr>
              <w:t>Nav</w:t>
            </w:r>
          </w:p>
        </w:tc>
      </w:tr>
    </w:tbl>
    <w:p w:rsidR="00755746" w:rsidRPr="00327875" w:rsidRDefault="00755746" w:rsidP="00A06125">
      <w:pPr>
        <w:spacing w:after="0" w:line="240" w:lineRule="auto"/>
        <w:jc w:val="both"/>
        <w:rPr>
          <w:rFonts w:ascii="Times New Roman" w:hAnsi="Times New Roman" w:cs="Times New Roman"/>
          <w:b/>
          <w:sz w:val="24"/>
          <w:szCs w:val="24"/>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1331"/>
        <w:gridCol w:w="1354"/>
        <w:gridCol w:w="1354"/>
        <w:gridCol w:w="1355"/>
        <w:gridCol w:w="1406"/>
      </w:tblGrid>
      <w:tr w:rsidR="00F24C66" w:rsidRPr="00327875" w:rsidTr="00865AD4">
        <w:trPr>
          <w:trHeight w:val="652"/>
          <w:jc w:val="center"/>
        </w:trPr>
        <w:tc>
          <w:tcPr>
            <w:tcW w:w="9158" w:type="dxa"/>
            <w:gridSpan w:val="6"/>
          </w:tcPr>
          <w:p w:rsidR="00F24C66" w:rsidRPr="00327875" w:rsidRDefault="00F24C66" w:rsidP="00A06125">
            <w:pPr>
              <w:pStyle w:val="naisnod"/>
              <w:spacing w:before="0" w:after="0"/>
              <w:rPr>
                <w:i/>
              </w:rPr>
            </w:pPr>
            <w:r w:rsidRPr="00327875">
              <w:br w:type="page"/>
              <w:t>III. Tiesību akta projekta ietekme uz valsts budžetu un pašvaldību budžetiem</w:t>
            </w:r>
          </w:p>
        </w:tc>
      </w:tr>
      <w:tr w:rsidR="00F24C66" w:rsidRPr="00327875" w:rsidTr="00865AD4">
        <w:trPr>
          <w:jc w:val="center"/>
        </w:trPr>
        <w:tc>
          <w:tcPr>
            <w:tcW w:w="2358" w:type="dxa"/>
            <w:vMerge w:val="restart"/>
            <w:vAlign w:val="center"/>
          </w:tcPr>
          <w:p w:rsidR="00F24C66" w:rsidRPr="00327875" w:rsidRDefault="00F24C66" w:rsidP="00A06125">
            <w:pPr>
              <w:pStyle w:val="naisf"/>
              <w:spacing w:before="0" w:after="0"/>
              <w:ind w:firstLine="0"/>
              <w:jc w:val="center"/>
              <w:rPr>
                <w:b/>
              </w:rPr>
            </w:pPr>
            <w:r w:rsidRPr="00327875">
              <w:rPr>
                <w:b/>
              </w:rPr>
              <w:t>Rādītāji</w:t>
            </w:r>
          </w:p>
        </w:tc>
        <w:tc>
          <w:tcPr>
            <w:tcW w:w="2685" w:type="dxa"/>
            <w:gridSpan w:val="2"/>
            <w:vMerge w:val="restart"/>
            <w:vAlign w:val="center"/>
          </w:tcPr>
          <w:p w:rsidR="00F24C66" w:rsidRPr="00327875" w:rsidRDefault="00F24C66" w:rsidP="00A06125">
            <w:pPr>
              <w:pStyle w:val="naisf"/>
              <w:spacing w:before="0" w:after="0"/>
              <w:ind w:firstLine="0"/>
              <w:jc w:val="center"/>
              <w:rPr>
                <w:b/>
              </w:rPr>
            </w:pPr>
            <w:r w:rsidRPr="00327875">
              <w:rPr>
                <w:b/>
              </w:rPr>
              <w:t>2013. gads</w:t>
            </w:r>
          </w:p>
        </w:tc>
        <w:tc>
          <w:tcPr>
            <w:tcW w:w="4115" w:type="dxa"/>
            <w:gridSpan w:val="3"/>
            <w:vAlign w:val="center"/>
          </w:tcPr>
          <w:p w:rsidR="00F24C66" w:rsidRPr="00327875" w:rsidRDefault="00F24C66" w:rsidP="00A06125">
            <w:pPr>
              <w:pStyle w:val="naisf"/>
              <w:spacing w:before="0" w:after="0"/>
              <w:ind w:firstLine="0"/>
              <w:jc w:val="center"/>
              <w:rPr>
                <w:b/>
                <w:i/>
              </w:rPr>
            </w:pPr>
            <w:r w:rsidRPr="00327875">
              <w:t>Turpmākie trīs gadi (tūkst</w:t>
            </w:r>
            <w:smartTag w:uri="schemas-tilde-lv/tildestengine" w:element="currency2">
              <w:smartTagPr>
                <w:attr w:name="currency_text" w:val="latu"/>
                <w:attr w:name="currency_value" w:val="."/>
                <w:attr w:name="currency_key" w:val="LVL"/>
                <w:attr w:name="currency_id" w:val="48"/>
              </w:smartTagPr>
              <w:r w:rsidRPr="00327875">
                <w:t>. latu</w:t>
              </w:r>
            </w:smartTag>
            <w:r w:rsidRPr="00327875">
              <w:t>)</w:t>
            </w:r>
          </w:p>
        </w:tc>
      </w:tr>
      <w:tr w:rsidR="00F24C66" w:rsidRPr="00327875" w:rsidTr="00865AD4">
        <w:trPr>
          <w:jc w:val="center"/>
        </w:trPr>
        <w:tc>
          <w:tcPr>
            <w:tcW w:w="2358" w:type="dxa"/>
            <w:vMerge/>
            <w:vAlign w:val="center"/>
          </w:tcPr>
          <w:p w:rsidR="00F24C66" w:rsidRPr="00327875" w:rsidRDefault="00F24C66" w:rsidP="00A06125">
            <w:pPr>
              <w:pStyle w:val="naisf"/>
              <w:spacing w:before="0" w:after="0"/>
              <w:ind w:firstLine="0"/>
              <w:jc w:val="center"/>
              <w:rPr>
                <w:b/>
                <w:i/>
              </w:rPr>
            </w:pPr>
          </w:p>
        </w:tc>
        <w:tc>
          <w:tcPr>
            <w:tcW w:w="2685" w:type="dxa"/>
            <w:gridSpan w:val="2"/>
            <w:vMerge/>
            <w:vAlign w:val="center"/>
          </w:tcPr>
          <w:p w:rsidR="00F24C66" w:rsidRPr="00327875" w:rsidRDefault="00F24C66" w:rsidP="00A06125">
            <w:pPr>
              <w:pStyle w:val="naisf"/>
              <w:spacing w:before="0" w:after="0"/>
              <w:ind w:firstLine="0"/>
              <w:jc w:val="center"/>
              <w:rPr>
                <w:b/>
                <w:i/>
              </w:rPr>
            </w:pPr>
          </w:p>
        </w:tc>
        <w:tc>
          <w:tcPr>
            <w:tcW w:w="1354" w:type="dxa"/>
            <w:vAlign w:val="center"/>
          </w:tcPr>
          <w:p w:rsidR="00F24C66" w:rsidRPr="00327875" w:rsidRDefault="00F24C66" w:rsidP="00A06125">
            <w:pPr>
              <w:pStyle w:val="naisf"/>
              <w:spacing w:before="0" w:after="0"/>
              <w:ind w:firstLine="0"/>
              <w:jc w:val="center"/>
              <w:rPr>
                <w:b/>
                <w:i/>
              </w:rPr>
            </w:pPr>
            <w:r w:rsidRPr="00327875">
              <w:rPr>
                <w:b/>
                <w:bCs/>
              </w:rPr>
              <w:t>2014</w:t>
            </w:r>
          </w:p>
        </w:tc>
        <w:tc>
          <w:tcPr>
            <w:tcW w:w="1355" w:type="dxa"/>
            <w:vAlign w:val="center"/>
          </w:tcPr>
          <w:p w:rsidR="00F24C66" w:rsidRPr="00327875" w:rsidRDefault="00F24C66" w:rsidP="00A06125">
            <w:pPr>
              <w:pStyle w:val="naisf"/>
              <w:spacing w:before="0" w:after="0"/>
              <w:ind w:firstLine="0"/>
              <w:jc w:val="center"/>
              <w:rPr>
                <w:b/>
                <w:i/>
              </w:rPr>
            </w:pPr>
            <w:r w:rsidRPr="00327875">
              <w:rPr>
                <w:b/>
                <w:bCs/>
              </w:rPr>
              <w:t>2015</w:t>
            </w:r>
          </w:p>
        </w:tc>
        <w:tc>
          <w:tcPr>
            <w:tcW w:w="1406" w:type="dxa"/>
            <w:vAlign w:val="center"/>
          </w:tcPr>
          <w:p w:rsidR="00F24C66" w:rsidRPr="00327875" w:rsidRDefault="00F24C66" w:rsidP="00A06125">
            <w:pPr>
              <w:pStyle w:val="naisf"/>
              <w:spacing w:before="0" w:after="0"/>
              <w:ind w:firstLine="0"/>
              <w:jc w:val="center"/>
              <w:rPr>
                <w:b/>
                <w:i/>
              </w:rPr>
            </w:pPr>
            <w:r w:rsidRPr="00327875">
              <w:rPr>
                <w:b/>
                <w:bCs/>
              </w:rPr>
              <w:t>2016</w:t>
            </w:r>
          </w:p>
        </w:tc>
      </w:tr>
      <w:tr w:rsidR="00F24C66" w:rsidRPr="00327875" w:rsidTr="00865AD4">
        <w:trPr>
          <w:jc w:val="center"/>
        </w:trPr>
        <w:tc>
          <w:tcPr>
            <w:tcW w:w="2358" w:type="dxa"/>
            <w:vMerge/>
            <w:vAlign w:val="center"/>
          </w:tcPr>
          <w:p w:rsidR="00F24C66" w:rsidRPr="00327875" w:rsidRDefault="00F24C66" w:rsidP="00A06125">
            <w:pPr>
              <w:pStyle w:val="naisf"/>
              <w:spacing w:before="0" w:after="0"/>
              <w:ind w:firstLine="0"/>
              <w:jc w:val="center"/>
              <w:rPr>
                <w:b/>
                <w:i/>
              </w:rPr>
            </w:pPr>
          </w:p>
        </w:tc>
        <w:tc>
          <w:tcPr>
            <w:tcW w:w="1331" w:type="dxa"/>
            <w:vAlign w:val="center"/>
          </w:tcPr>
          <w:p w:rsidR="00F24C66" w:rsidRPr="00327875" w:rsidRDefault="00F24C66" w:rsidP="00A06125">
            <w:pPr>
              <w:pStyle w:val="naisf"/>
              <w:spacing w:before="0" w:after="0"/>
              <w:ind w:firstLine="0"/>
              <w:jc w:val="center"/>
              <w:rPr>
                <w:b/>
                <w:i/>
              </w:rPr>
            </w:pPr>
            <w:r w:rsidRPr="00327875">
              <w:t>Saskaņā ar valsts budžetu kārtējam gadam</w:t>
            </w:r>
          </w:p>
        </w:tc>
        <w:tc>
          <w:tcPr>
            <w:tcW w:w="1354" w:type="dxa"/>
            <w:vAlign w:val="center"/>
          </w:tcPr>
          <w:p w:rsidR="00F24C66" w:rsidRPr="00327875" w:rsidRDefault="00F24C66" w:rsidP="00A06125">
            <w:pPr>
              <w:pStyle w:val="naisf"/>
              <w:spacing w:before="0" w:after="0"/>
              <w:ind w:firstLine="0"/>
              <w:jc w:val="center"/>
              <w:rPr>
                <w:b/>
                <w:i/>
              </w:rPr>
            </w:pPr>
            <w:r w:rsidRPr="00327875">
              <w:t>Izmaiņas kārtējā gadā, salīdzinot ar budžetu kārtējam gadam</w:t>
            </w:r>
          </w:p>
        </w:tc>
        <w:tc>
          <w:tcPr>
            <w:tcW w:w="1354" w:type="dxa"/>
            <w:vAlign w:val="center"/>
          </w:tcPr>
          <w:p w:rsidR="00F24C66" w:rsidRPr="00327875" w:rsidRDefault="00F24C66" w:rsidP="00A06125">
            <w:pPr>
              <w:pStyle w:val="naisf"/>
              <w:spacing w:before="0" w:after="0"/>
              <w:ind w:firstLine="0"/>
              <w:jc w:val="center"/>
              <w:rPr>
                <w:b/>
                <w:i/>
              </w:rPr>
            </w:pPr>
            <w:r w:rsidRPr="00327875">
              <w:t>Izmaiņas, salīdzinot ar kārtējo (n) gadu</w:t>
            </w:r>
          </w:p>
        </w:tc>
        <w:tc>
          <w:tcPr>
            <w:tcW w:w="1355" w:type="dxa"/>
            <w:vAlign w:val="center"/>
          </w:tcPr>
          <w:p w:rsidR="00F24C66" w:rsidRPr="00327875" w:rsidRDefault="00F24C66" w:rsidP="00A06125">
            <w:pPr>
              <w:pStyle w:val="naisf"/>
              <w:spacing w:before="0" w:after="0"/>
              <w:ind w:firstLine="0"/>
              <w:jc w:val="center"/>
              <w:rPr>
                <w:b/>
                <w:i/>
              </w:rPr>
            </w:pPr>
            <w:r w:rsidRPr="00327875">
              <w:t>Izmaiņas, salīdzinot ar kārtējo (n) gadu</w:t>
            </w:r>
          </w:p>
        </w:tc>
        <w:tc>
          <w:tcPr>
            <w:tcW w:w="1406" w:type="dxa"/>
            <w:vAlign w:val="center"/>
          </w:tcPr>
          <w:p w:rsidR="00F24C66" w:rsidRPr="00327875" w:rsidRDefault="00F24C66" w:rsidP="00A06125">
            <w:pPr>
              <w:pStyle w:val="naisf"/>
              <w:spacing w:before="0" w:after="0"/>
              <w:ind w:firstLine="0"/>
              <w:jc w:val="center"/>
              <w:rPr>
                <w:b/>
                <w:i/>
              </w:rPr>
            </w:pPr>
            <w:r w:rsidRPr="00327875">
              <w:t>Izmaiņas, salīdzinot ar kārtējo (n) gadu</w:t>
            </w:r>
          </w:p>
        </w:tc>
      </w:tr>
      <w:tr w:rsidR="00F24C66" w:rsidRPr="00327875" w:rsidTr="00865AD4">
        <w:trPr>
          <w:jc w:val="center"/>
        </w:trPr>
        <w:tc>
          <w:tcPr>
            <w:tcW w:w="2358" w:type="dxa"/>
            <w:vAlign w:val="center"/>
          </w:tcPr>
          <w:p w:rsidR="00F24C66" w:rsidRPr="00327875" w:rsidRDefault="00F24C66" w:rsidP="00A06125">
            <w:pPr>
              <w:pStyle w:val="naisf"/>
              <w:spacing w:before="0" w:after="0"/>
              <w:ind w:firstLine="0"/>
              <w:jc w:val="center"/>
              <w:rPr>
                <w:bCs/>
              </w:rPr>
            </w:pPr>
            <w:r w:rsidRPr="00327875">
              <w:rPr>
                <w:bCs/>
              </w:rPr>
              <w:t>1</w:t>
            </w:r>
          </w:p>
        </w:tc>
        <w:tc>
          <w:tcPr>
            <w:tcW w:w="1331" w:type="dxa"/>
            <w:vAlign w:val="center"/>
          </w:tcPr>
          <w:p w:rsidR="00F24C66" w:rsidRPr="00327875" w:rsidRDefault="00F24C66" w:rsidP="00A06125">
            <w:pPr>
              <w:pStyle w:val="naisf"/>
              <w:spacing w:before="0" w:after="0"/>
              <w:ind w:firstLine="0"/>
              <w:jc w:val="center"/>
              <w:rPr>
                <w:bCs/>
              </w:rPr>
            </w:pPr>
            <w:r w:rsidRPr="00327875">
              <w:rPr>
                <w:bCs/>
              </w:rPr>
              <w:t>2</w:t>
            </w:r>
          </w:p>
        </w:tc>
        <w:tc>
          <w:tcPr>
            <w:tcW w:w="1354" w:type="dxa"/>
            <w:vAlign w:val="center"/>
          </w:tcPr>
          <w:p w:rsidR="00F24C66" w:rsidRPr="00327875" w:rsidRDefault="00F24C66" w:rsidP="00A06125">
            <w:pPr>
              <w:pStyle w:val="naisf"/>
              <w:spacing w:before="0" w:after="0"/>
              <w:ind w:firstLine="0"/>
              <w:jc w:val="center"/>
              <w:rPr>
                <w:bCs/>
              </w:rPr>
            </w:pPr>
            <w:r w:rsidRPr="00327875">
              <w:rPr>
                <w:bCs/>
              </w:rPr>
              <w:t>3</w:t>
            </w:r>
          </w:p>
        </w:tc>
        <w:tc>
          <w:tcPr>
            <w:tcW w:w="1354" w:type="dxa"/>
            <w:vAlign w:val="center"/>
          </w:tcPr>
          <w:p w:rsidR="00F24C66" w:rsidRPr="00327875" w:rsidRDefault="00F24C66" w:rsidP="00A06125">
            <w:pPr>
              <w:pStyle w:val="naisf"/>
              <w:spacing w:before="0" w:after="0"/>
              <w:ind w:firstLine="0"/>
              <w:jc w:val="center"/>
              <w:rPr>
                <w:bCs/>
              </w:rPr>
            </w:pPr>
            <w:r w:rsidRPr="00327875">
              <w:rPr>
                <w:bCs/>
              </w:rPr>
              <w:t>4</w:t>
            </w:r>
          </w:p>
        </w:tc>
        <w:tc>
          <w:tcPr>
            <w:tcW w:w="1355" w:type="dxa"/>
            <w:vAlign w:val="center"/>
          </w:tcPr>
          <w:p w:rsidR="00F24C66" w:rsidRPr="00327875" w:rsidRDefault="00F24C66" w:rsidP="00A06125">
            <w:pPr>
              <w:pStyle w:val="naisf"/>
              <w:spacing w:before="0" w:after="0"/>
              <w:ind w:firstLine="0"/>
              <w:jc w:val="center"/>
              <w:rPr>
                <w:bCs/>
              </w:rPr>
            </w:pPr>
            <w:r w:rsidRPr="00327875">
              <w:rPr>
                <w:bCs/>
              </w:rPr>
              <w:t>5</w:t>
            </w:r>
          </w:p>
        </w:tc>
        <w:tc>
          <w:tcPr>
            <w:tcW w:w="1406" w:type="dxa"/>
            <w:vAlign w:val="center"/>
          </w:tcPr>
          <w:p w:rsidR="00F24C66" w:rsidRPr="00327875" w:rsidRDefault="00F24C66" w:rsidP="00A06125">
            <w:pPr>
              <w:pStyle w:val="naisf"/>
              <w:spacing w:before="0" w:after="0"/>
              <w:ind w:firstLine="0"/>
              <w:jc w:val="center"/>
              <w:rPr>
                <w:bCs/>
              </w:rPr>
            </w:pPr>
            <w:r w:rsidRPr="00327875">
              <w:rPr>
                <w:bCs/>
              </w:rPr>
              <w:t>6</w:t>
            </w:r>
          </w:p>
        </w:tc>
      </w:tr>
      <w:tr w:rsidR="00F24C66" w:rsidRPr="00327875" w:rsidTr="00865AD4">
        <w:trPr>
          <w:jc w:val="center"/>
        </w:trPr>
        <w:tc>
          <w:tcPr>
            <w:tcW w:w="2358" w:type="dxa"/>
          </w:tcPr>
          <w:p w:rsidR="00F24C66" w:rsidRPr="00327875" w:rsidRDefault="00F24C66" w:rsidP="00A06125">
            <w:pPr>
              <w:pStyle w:val="naisf"/>
              <w:spacing w:before="0" w:after="0"/>
              <w:ind w:firstLine="0"/>
              <w:jc w:val="left"/>
              <w:rPr>
                <w:i/>
              </w:rPr>
            </w:pPr>
            <w:r w:rsidRPr="00327875">
              <w:t>1. Budžeta ieņēmumi:</w:t>
            </w:r>
          </w:p>
        </w:tc>
        <w:tc>
          <w:tcPr>
            <w:tcW w:w="1331" w:type="dxa"/>
          </w:tcPr>
          <w:p w:rsidR="00F24C66" w:rsidRPr="008925CF" w:rsidRDefault="001952D9" w:rsidP="00A06125">
            <w:pPr>
              <w:pStyle w:val="naisf"/>
              <w:spacing w:before="0" w:after="0"/>
              <w:ind w:firstLine="0"/>
              <w:rPr>
                <w:i/>
              </w:rPr>
            </w:pPr>
            <w:r w:rsidRPr="008925CF">
              <w:rPr>
                <w:i/>
              </w:rPr>
              <w:t>0</w:t>
            </w:r>
          </w:p>
        </w:tc>
        <w:tc>
          <w:tcPr>
            <w:tcW w:w="1354" w:type="dxa"/>
          </w:tcPr>
          <w:p w:rsidR="00F24C66" w:rsidRPr="008925CF" w:rsidRDefault="001952D9" w:rsidP="00A06125">
            <w:pPr>
              <w:pStyle w:val="naisf"/>
              <w:spacing w:before="0" w:after="0"/>
              <w:ind w:firstLine="0"/>
              <w:rPr>
                <w:i/>
              </w:rPr>
            </w:pPr>
            <w:r w:rsidRPr="008925CF">
              <w:rPr>
                <w:i/>
              </w:rPr>
              <w:t>0</w:t>
            </w:r>
          </w:p>
        </w:tc>
        <w:tc>
          <w:tcPr>
            <w:tcW w:w="1354" w:type="dxa"/>
          </w:tcPr>
          <w:p w:rsidR="00F24C66" w:rsidRPr="008925CF" w:rsidRDefault="001952D9" w:rsidP="00A06125">
            <w:pPr>
              <w:pStyle w:val="naisf"/>
              <w:spacing w:before="0" w:after="0"/>
              <w:ind w:firstLine="0"/>
              <w:rPr>
                <w:i/>
              </w:rPr>
            </w:pPr>
            <w:r w:rsidRPr="008925CF">
              <w:rPr>
                <w:i/>
              </w:rPr>
              <w:t>0</w:t>
            </w:r>
          </w:p>
        </w:tc>
        <w:tc>
          <w:tcPr>
            <w:tcW w:w="1355" w:type="dxa"/>
          </w:tcPr>
          <w:p w:rsidR="00F24C66" w:rsidRPr="008925CF" w:rsidRDefault="001952D9" w:rsidP="00A06125">
            <w:pPr>
              <w:pStyle w:val="naisf"/>
              <w:spacing w:before="0" w:after="0"/>
              <w:ind w:firstLine="0"/>
              <w:rPr>
                <w:i/>
              </w:rPr>
            </w:pPr>
            <w:r w:rsidRPr="008925CF">
              <w:rPr>
                <w:i/>
              </w:rPr>
              <w:t>0</w:t>
            </w:r>
          </w:p>
        </w:tc>
        <w:tc>
          <w:tcPr>
            <w:tcW w:w="1406" w:type="dxa"/>
          </w:tcPr>
          <w:p w:rsidR="00F24C66" w:rsidRPr="008925CF" w:rsidRDefault="001952D9" w:rsidP="00A06125">
            <w:pPr>
              <w:pStyle w:val="naisf"/>
              <w:spacing w:before="0" w:after="0"/>
              <w:ind w:firstLine="0"/>
              <w:rPr>
                <w:i/>
              </w:rPr>
            </w:pPr>
            <w:r w:rsidRPr="008925CF">
              <w:rPr>
                <w:i/>
              </w:rPr>
              <w:t>0</w:t>
            </w:r>
          </w:p>
        </w:tc>
      </w:tr>
      <w:tr w:rsidR="001952D9" w:rsidRPr="00327875" w:rsidTr="00865AD4">
        <w:trPr>
          <w:trHeight w:hRule="exact" w:val="567"/>
          <w:jc w:val="center"/>
        </w:trPr>
        <w:tc>
          <w:tcPr>
            <w:tcW w:w="2358" w:type="dxa"/>
          </w:tcPr>
          <w:p w:rsidR="001952D9" w:rsidRPr="00327875" w:rsidRDefault="001952D9" w:rsidP="00A06125">
            <w:pPr>
              <w:pStyle w:val="naisf"/>
              <w:spacing w:before="0" w:after="0"/>
              <w:ind w:firstLine="0"/>
              <w:rPr>
                <w:i/>
              </w:rPr>
            </w:pPr>
            <w:r w:rsidRPr="00327875">
              <w:t>1.1. valsts pamatbudžets, tai skaitā ieņēmumi no maksas pakalpo-</w:t>
            </w:r>
            <w:proofErr w:type="spellStart"/>
            <w:r w:rsidRPr="00327875">
              <w:t>jumiem</w:t>
            </w:r>
            <w:proofErr w:type="spellEnd"/>
            <w:r w:rsidRPr="00327875">
              <w:t xml:space="preserve"> un citi pašu ieņēmumi</w:t>
            </w:r>
          </w:p>
        </w:tc>
        <w:tc>
          <w:tcPr>
            <w:tcW w:w="1331" w:type="dxa"/>
          </w:tcPr>
          <w:p w:rsidR="001952D9" w:rsidRPr="008925CF" w:rsidRDefault="001952D9" w:rsidP="00A06125">
            <w:pPr>
              <w:pStyle w:val="naisf"/>
              <w:spacing w:before="0" w:after="0"/>
              <w:ind w:firstLine="0"/>
              <w:rPr>
                <w:i/>
              </w:rPr>
            </w:pPr>
            <w:r w:rsidRPr="008925CF">
              <w:rPr>
                <w:i/>
              </w:rPr>
              <w:t>0</w:t>
            </w:r>
          </w:p>
        </w:tc>
        <w:tc>
          <w:tcPr>
            <w:tcW w:w="1354" w:type="dxa"/>
          </w:tcPr>
          <w:p w:rsidR="001952D9" w:rsidRPr="008925CF" w:rsidRDefault="001952D9" w:rsidP="00A06125">
            <w:pPr>
              <w:pStyle w:val="naisf"/>
              <w:spacing w:before="0" w:after="0"/>
              <w:ind w:firstLine="0"/>
              <w:rPr>
                <w:i/>
              </w:rPr>
            </w:pPr>
            <w:r w:rsidRPr="008925CF">
              <w:rPr>
                <w:i/>
              </w:rPr>
              <w:t>0</w:t>
            </w:r>
          </w:p>
        </w:tc>
        <w:tc>
          <w:tcPr>
            <w:tcW w:w="1354" w:type="dxa"/>
          </w:tcPr>
          <w:p w:rsidR="001952D9" w:rsidRPr="008925CF" w:rsidRDefault="001952D9" w:rsidP="00A06125">
            <w:pPr>
              <w:pStyle w:val="naisf"/>
              <w:spacing w:before="0" w:after="0"/>
              <w:ind w:firstLine="0"/>
              <w:rPr>
                <w:i/>
              </w:rPr>
            </w:pPr>
            <w:r w:rsidRPr="008925CF">
              <w:rPr>
                <w:i/>
              </w:rPr>
              <w:t>0</w:t>
            </w:r>
          </w:p>
        </w:tc>
        <w:tc>
          <w:tcPr>
            <w:tcW w:w="1355" w:type="dxa"/>
          </w:tcPr>
          <w:p w:rsidR="001952D9" w:rsidRPr="008925CF" w:rsidRDefault="001952D9" w:rsidP="00A06125">
            <w:pPr>
              <w:pStyle w:val="naisf"/>
              <w:spacing w:before="0" w:after="0"/>
              <w:ind w:firstLine="0"/>
              <w:rPr>
                <w:i/>
              </w:rPr>
            </w:pPr>
            <w:r w:rsidRPr="008925CF">
              <w:rPr>
                <w:i/>
              </w:rPr>
              <w:t>0</w:t>
            </w:r>
          </w:p>
        </w:tc>
        <w:tc>
          <w:tcPr>
            <w:tcW w:w="1406" w:type="dxa"/>
          </w:tcPr>
          <w:p w:rsidR="001952D9" w:rsidRPr="008925CF" w:rsidRDefault="001952D9" w:rsidP="00A06125">
            <w:pPr>
              <w:pStyle w:val="naisf"/>
              <w:spacing w:before="0" w:after="0"/>
              <w:ind w:firstLine="0"/>
              <w:rPr>
                <w:i/>
              </w:rPr>
            </w:pPr>
            <w:r w:rsidRPr="008925CF">
              <w:rPr>
                <w:i/>
              </w:rPr>
              <w:t>0</w:t>
            </w:r>
          </w:p>
        </w:tc>
      </w:tr>
      <w:tr w:rsidR="001952D9" w:rsidRPr="00327875" w:rsidTr="00865AD4">
        <w:trPr>
          <w:trHeight w:hRule="exact" w:val="567"/>
          <w:jc w:val="center"/>
        </w:trPr>
        <w:tc>
          <w:tcPr>
            <w:tcW w:w="2358" w:type="dxa"/>
          </w:tcPr>
          <w:p w:rsidR="001952D9" w:rsidRPr="00327875" w:rsidRDefault="001952D9" w:rsidP="00A06125">
            <w:pPr>
              <w:pStyle w:val="naisf"/>
              <w:spacing w:before="0" w:after="0"/>
              <w:ind w:firstLine="0"/>
              <w:jc w:val="left"/>
              <w:rPr>
                <w:i/>
              </w:rPr>
            </w:pPr>
            <w:r w:rsidRPr="00327875">
              <w:t>1.2. valsts speciālais budžets</w:t>
            </w:r>
          </w:p>
        </w:tc>
        <w:tc>
          <w:tcPr>
            <w:tcW w:w="1331" w:type="dxa"/>
          </w:tcPr>
          <w:p w:rsidR="001952D9" w:rsidRPr="008925CF" w:rsidRDefault="001952D9" w:rsidP="00A06125">
            <w:pPr>
              <w:pStyle w:val="naisf"/>
              <w:spacing w:before="0" w:after="0"/>
              <w:ind w:firstLine="0"/>
              <w:rPr>
                <w:i/>
              </w:rPr>
            </w:pPr>
            <w:r w:rsidRPr="008925CF">
              <w:rPr>
                <w:i/>
              </w:rPr>
              <w:t>0</w:t>
            </w:r>
          </w:p>
        </w:tc>
        <w:tc>
          <w:tcPr>
            <w:tcW w:w="1354" w:type="dxa"/>
          </w:tcPr>
          <w:p w:rsidR="001952D9" w:rsidRPr="008925CF" w:rsidRDefault="001952D9" w:rsidP="00A06125">
            <w:pPr>
              <w:pStyle w:val="naisf"/>
              <w:spacing w:before="0" w:after="0"/>
              <w:ind w:firstLine="0"/>
              <w:rPr>
                <w:i/>
              </w:rPr>
            </w:pPr>
            <w:r w:rsidRPr="008925CF">
              <w:rPr>
                <w:i/>
              </w:rPr>
              <w:t>0</w:t>
            </w:r>
          </w:p>
        </w:tc>
        <w:tc>
          <w:tcPr>
            <w:tcW w:w="1354" w:type="dxa"/>
          </w:tcPr>
          <w:p w:rsidR="001952D9" w:rsidRPr="008925CF" w:rsidRDefault="001952D9" w:rsidP="00A06125">
            <w:pPr>
              <w:pStyle w:val="naisf"/>
              <w:spacing w:before="0" w:after="0"/>
              <w:ind w:firstLine="0"/>
              <w:rPr>
                <w:i/>
              </w:rPr>
            </w:pPr>
            <w:r w:rsidRPr="008925CF">
              <w:rPr>
                <w:i/>
              </w:rPr>
              <w:t>0</w:t>
            </w:r>
          </w:p>
        </w:tc>
        <w:tc>
          <w:tcPr>
            <w:tcW w:w="1355" w:type="dxa"/>
          </w:tcPr>
          <w:p w:rsidR="001952D9" w:rsidRPr="008925CF" w:rsidRDefault="001952D9" w:rsidP="00A06125">
            <w:pPr>
              <w:pStyle w:val="naisf"/>
              <w:spacing w:before="0" w:after="0"/>
              <w:ind w:firstLine="0"/>
              <w:rPr>
                <w:i/>
              </w:rPr>
            </w:pPr>
            <w:r w:rsidRPr="008925CF">
              <w:rPr>
                <w:i/>
              </w:rPr>
              <w:t>0</w:t>
            </w:r>
          </w:p>
        </w:tc>
        <w:tc>
          <w:tcPr>
            <w:tcW w:w="1406" w:type="dxa"/>
          </w:tcPr>
          <w:p w:rsidR="001952D9" w:rsidRPr="008925CF" w:rsidRDefault="001952D9" w:rsidP="00A06125">
            <w:pPr>
              <w:pStyle w:val="naisf"/>
              <w:spacing w:before="0" w:after="0"/>
              <w:ind w:firstLine="0"/>
              <w:rPr>
                <w:i/>
              </w:rPr>
            </w:pPr>
            <w:r w:rsidRPr="008925CF">
              <w:rPr>
                <w:i/>
              </w:rPr>
              <w:t>0</w:t>
            </w:r>
          </w:p>
        </w:tc>
      </w:tr>
      <w:tr w:rsidR="001952D9" w:rsidRPr="00327875" w:rsidTr="00865AD4">
        <w:trPr>
          <w:trHeight w:hRule="exact" w:val="567"/>
          <w:jc w:val="center"/>
        </w:trPr>
        <w:tc>
          <w:tcPr>
            <w:tcW w:w="2358" w:type="dxa"/>
          </w:tcPr>
          <w:p w:rsidR="001952D9" w:rsidRPr="00327875" w:rsidRDefault="001952D9" w:rsidP="00A06125">
            <w:pPr>
              <w:pStyle w:val="naisf"/>
              <w:spacing w:before="0" w:after="0"/>
              <w:ind w:firstLine="0"/>
              <w:jc w:val="left"/>
              <w:rPr>
                <w:i/>
              </w:rPr>
            </w:pPr>
            <w:r w:rsidRPr="00327875">
              <w:t>1.3. pašvaldību budžets</w:t>
            </w:r>
          </w:p>
        </w:tc>
        <w:tc>
          <w:tcPr>
            <w:tcW w:w="1331" w:type="dxa"/>
          </w:tcPr>
          <w:p w:rsidR="001952D9" w:rsidRPr="008925CF" w:rsidRDefault="001952D9" w:rsidP="00A06125">
            <w:pPr>
              <w:pStyle w:val="naisf"/>
              <w:spacing w:before="0" w:after="0"/>
              <w:ind w:firstLine="0"/>
              <w:rPr>
                <w:i/>
              </w:rPr>
            </w:pPr>
            <w:r w:rsidRPr="008925CF">
              <w:rPr>
                <w:i/>
              </w:rPr>
              <w:t>0</w:t>
            </w:r>
          </w:p>
        </w:tc>
        <w:tc>
          <w:tcPr>
            <w:tcW w:w="1354" w:type="dxa"/>
          </w:tcPr>
          <w:p w:rsidR="001952D9" w:rsidRPr="008925CF" w:rsidRDefault="001952D9" w:rsidP="00A06125">
            <w:pPr>
              <w:pStyle w:val="naisf"/>
              <w:spacing w:before="0" w:after="0"/>
              <w:ind w:firstLine="0"/>
              <w:rPr>
                <w:i/>
              </w:rPr>
            </w:pPr>
            <w:r w:rsidRPr="008925CF">
              <w:rPr>
                <w:i/>
              </w:rPr>
              <w:t>0</w:t>
            </w:r>
          </w:p>
        </w:tc>
        <w:tc>
          <w:tcPr>
            <w:tcW w:w="1354" w:type="dxa"/>
          </w:tcPr>
          <w:p w:rsidR="001952D9" w:rsidRPr="008925CF" w:rsidRDefault="001952D9" w:rsidP="00A06125">
            <w:pPr>
              <w:pStyle w:val="naisf"/>
              <w:spacing w:before="0" w:after="0"/>
              <w:ind w:firstLine="0"/>
              <w:rPr>
                <w:i/>
              </w:rPr>
            </w:pPr>
            <w:r w:rsidRPr="008925CF">
              <w:rPr>
                <w:i/>
              </w:rPr>
              <w:t>0</w:t>
            </w:r>
          </w:p>
        </w:tc>
        <w:tc>
          <w:tcPr>
            <w:tcW w:w="1355" w:type="dxa"/>
          </w:tcPr>
          <w:p w:rsidR="001952D9" w:rsidRPr="008925CF" w:rsidRDefault="001952D9" w:rsidP="00A06125">
            <w:pPr>
              <w:pStyle w:val="naisf"/>
              <w:spacing w:before="0" w:after="0"/>
              <w:ind w:firstLine="0"/>
              <w:rPr>
                <w:i/>
              </w:rPr>
            </w:pPr>
            <w:r w:rsidRPr="008925CF">
              <w:rPr>
                <w:i/>
              </w:rPr>
              <w:t>0</w:t>
            </w:r>
          </w:p>
        </w:tc>
        <w:tc>
          <w:tcPr>
            <w:tcW w:w="1406" w:type="dxa"/>
          </w:tcPr>
          <w:p w:rsidR="001952D9" w:rsidRPr="008925CF" w:rsidRDefault="001952D9" w:rsidP="00A06125">
            <w:pPr>
              <w:pStyle w:val="naisf"/>
              <w:spacing w:before="0" w:after="0"/>
              <w:ind w:firstLine="0"/>
              <w:rPr>
                <w:i/>
              </w:rPr>
            </w:pPr>
            <w:r w:rsidRPr="008925CF">
              <w:rPr>
                <w:i/>
              </w:rPr>
              <w:t>0</w:t>
            </w:r>
          </w:p>
        </w:tc>
      </w:tr>
      <w:tr w:rsidR="001952D9" w:rsidRPr="00327875" w:rsidTr="00865AD4">
        <w:trPr>
          <w:trHeight w:hRule="exact" w:val="567"/>
          <w:jc w:val="center"/>
        </w:trPr>
        <w:tc>
          <w:tcPr>
            <w:tcW w:w="2358" w:type="dxa"/>
          </w:tcPr>
          <w:p w:rsidR="001952D9" w:rsidRPr="00327875" w:rsidRDefault="001952D9" w:rsidP="00A06125">
            <w:pPr>
              <w:spacing w:line="240" w:lineRule="auto"/>
              <w:rPr>
                <w:rFonts w:ascii="Times New Roman" w:hAnsi="Times New Roman" w:cs="Times New Roman"/>
                <w:sz w:val="24"/>
                <w:szCs w:val="24"/>
              </w:rPr>
            </w:pPr>
            <w:r w:rsidRPr="00327875">
              <w:rPr>
                <w:rFonts w:ascii="Times New Roman" w:hAnsi="Times New Roman" w:cs="Times New Roman"/>
                <w:sz w:val="24"/>
                <w:szCs w:val="24"/>
              </w:rPr>
              <w:t>2. Budžeta izdevumi:</w:t>
            </w:r>
          </w:p>
        </w:tc>
        <w:tc>
          <w:tcPr>
            <w:tcW w:w="1331" w:type="dxa"/>
          </w:tcPr>
          <w:p w:rsidR="001952D9" w:rsidRPr="008925CF" w:rsidRDefault="001952D9" w:rsidP="00A06125">
            <w:pPr>
              <w:pStyle w:val="naisf"/>
              <w:spacing w:before="0" w:after="0"/>
              <w:ind w:firstLine="0"/>
              <w:rPr>
                <w:i/>
              </w:rPr>
            </w:pPr>
            <w:r w:rsidRPr="008925CF">
              <w:rPr>
                <w:i/>
              </w:rPr>
              <w:t>0</w:t>
            </w:r>
          </w:p>
        </w:tc>
        <w:tc>
          <w:tcPr>
            <w:tcW w:w="1354" w:type="dxa"/>
          </w:tcPr>
          <w:p w:rsidR="001952D9" w:rsidRPr="008925CF" w:rsidRDefault="001952D9" w:rsidP="00A06125">
            <w:pPr>
              <w:pStyle w:val="naisf"/>
              <w:spacing w:before="0" w:after="0"/>
              <w:ind w:firstLine="0"/>
              <w:rPr>
                <w:i/>
              </w:rPr>
            </w:pPr>
            <w:r w:rsidRPr="008925CF">
              <w:rPr>
                <w:i/>
              </w:rPr>
              <w:t>0</w:t>
            </w:r>
          </w:p>
        </w:tc>
        <w:tc>
          <w:tcPr>
            <w:tcW w:w="1354" w:type="dxa"/>
          </w:tcPr>
          <w:p w:rsidR="001952D9" w:rsidRPr="008925CF" w:rsidRDefault="001952D9" w:rsidP="00A06125">
            <w:pPr>
              <w:pStyle w:val="naisf"/>
              <w:spacing w:before="0" w:after="0"/>
              <w:ind w:firstLine="0"/>
              <w:rPr>
                <w:i/>
              </w:rPr>
            </w:pPr>
            <w:r w:rsidRPr="008925CF">
              <w:rPr>
                <w:i/>
              </w:rPr>
              <w:t>0</w:t>
            </w:r>
          </w:p>
        </w:tc>
        <w:tc>
          <w:tcPr>
            <w:tcW w:w="1355" w:type="dxa"/>
          </w:tcPr>
          <w:p w:rsidR="001952D9" w:rsidRPr="008925CF" w:rsidRDefault="001952D9" w:rsidP="00A06125">
            <w:pPr>
              <w:pStyle w:val="naisf"/>
              <w:spacing w:before="0" w:after="0"/>
              <w:ind w:firstLine="0"/>
              <w:rPr>
                <w:i/>
              </w:rPr>
            </w:pPr>
            <w:r w:rsidRPr="008925CF">
              <w:rPr>
                <w:i/>
              </w:rPr>
              <w:t>0</w:t>
            </w:r>
          </w:p>
        </w:tc>
        <w:tc>
          <w:tcPr>
            <w:tcW w:w="1406" w:type="dxa"/>
          </w:tcPr>
          <w:p w:rsidR="001952D9" w:rsidRPr="008925CF" w:rsidRDefault="001952D9" w:rsidP="00A06125">
            <w:pPr>
              <w:pStyle w:val="naisf"/>
              <w:spacing w:before="0" w:after="0"/>
              <w:ind w:firstLine="0"/>
              <w:rPr>
                <w:i/>
              </w:rPr>
            </w:pPr>
            <w:r w:rsidRPr="008925CF">
              <w:rPr>
                <w:i/>
              </w:rPr>
              <w:t>0</w:t>
            </w:r>
          </w:p>
        </w:tc>
      </w:tr>
      <w:tr w:rsidR="001952D9" w:rsidRPr="00327875" w:rsidTr="00865AD4">
        <w:trPr>
          <w:trHeight w:hRule="exact" w:val="567"/>
          <w:jc w:val="center"/>
        </w:trPr>
        <w:tc>
          <w:tcPr>
            <w:tcW w:w="2358" w:type="dxa"/>
          </w:tcPr>
          <w:p w:rsidR="001952D9" w:rsidRPr="00327875" w:rsidRDefault="001952D9" w:rsidP="00A06125">
            <w:pPr>
              <w:spacing w:line="240" w:lineRule="auto"/>
              <w:rPr>
                <w:rFonts w:ascii="Times New Roman" w:hAnsi="Times New Roman" w:cs="Times New Roman"/>
                <w:sz w:val="24"/>
                <w:szCs w:val="24"/>
              </w:rPr>
            </w:pPr>
            <w:r w:rsidRPr="00327875">
              <w:rPr>
                <w:rFonts w:ascii="Times New Roman" w:hAnsi="Times New Roman" w:cs="Times New Roman"/>
                <w:sz w:val="24"/>
                <w:szCs w:val="24"/>
              </w:rPr>
              <w:t>2.1. valsts pamatbudžets</w:t>
            </w:r>
          </w:p>
        </w:tc>
        <w:tc>
          <w:tcPr>
            <w:tcW w:w="1331" w:type="dxa"/>
          </w:tcPr>
          <w:p w:rsidR="001952D9" w:rsidRPr="008925CF" w:rsidRDefault="001952D9" w:rsidP="00A06125">
            <w:pPr>
              <w:pStyle w:val="naisf"/>
              <w:spacing w:before="0" w:after="0"/>
              <w:ind w:firstLine="0"/>
              <w:rPr>
                <w:i/>
              </w:rPr>
            </w:pPr>
            <w:r w:rsidRPr="008925CF">
              <w:rPr>
                <w:i/>
              </w:rPr>
              <w:t>0</w:t>
            </w:r>
          </w:p>
        </w:tc>
        <w:tc>
          <w:tcPr>
            <w:tcW w:w="1354" w:type="dxa"/>
          </w:tcPr>
          <w:p w:rsidR="001952D9" w:rsidRPr="008925CF" w:rsidRDefault="001952D9" w:rsidP="00A06125">
            <w:pPr>
              <w:pStyle w:val="naisf"/>
              <w:spacing w:before="0" w:after="0"/>
              <w:ind w:firstLine="0"/>
              <w:rPr>
                <w:i/>
              </w:rPr>
            </w:pPr>
            <w:r w:rsidRPr="008925CF">
              <w:rPr>
                <w:i/>
              </w:rPr>
              <w:t>0</w:t>
            </w:r>
          </w:p>
        </w:tc>
        <w:tc>
          <w:tcPr>
            <w:tcW w:w="1354" w:type="dxa"/>
          </w:tcPr>
          <w:p w:rsidR="001952D9" w:rsidRPr="008925CF" w:rsidRDefault="001952D9" w:rsidP="00A06125">
            <w:pPr>
              <w:pStyle w:val="naisf"/>
              <w:spacing w:before="0" w:after="0"/>
              <w:ind w:firstLine="0"/>
              <w:rPr>
                <w:i/>
              </w:rPr>
            </w:pPr>
            <w:r w:rsidRPr="008925CF">
              <w:rPr>
                <w:i/>
              </w:rPr>
              <w:t>0</w:t>
            </w:r>
          </w:p>
        </w:tc>
        <w:tc>
          <w:tcPr>
            <w:tcW w:w="1355" w:type="dxa"/>
          </w:tcPr>
          <w:p w:rsidR="001952D9" w:rsidRPr="008925CF" w:rsidRDefault="001952D9" w:rsidP="00A06125">
            <w:pPr>
              <w:pStyle w:val="naisf"/>
              <w:spacing w:before="0" w:after="0"/>
              <w:ind w:firstLine="0"/>
              <w:rPr>
                <w:i/>
              </w:rPr>
            </w:pPr>
            <w:r w:rsidRPr="008925CF">
              <w:rPr>
                <w:i/>
              </w:rPr>
              <w:t>0</w:t>
            </w:r>
          </w:p>
        </w:tc>
        <w:tc>
          <w:tcPr>
            <w:tcW w:w="1406" w:type="dxa"/>
          </w:tcPr>
          <w:p w:rsidR="001952D9" w:rsidRPr="008925CF" w:rsidRDefault="001952D9" w:rsidP="00A06125">
            <w:pPr>
              <w:pStyle w:val="naisf"/>
              <w:spacing w:before="0" w:after="0"/>
              <w:ind w:firstLine="0"/>
              <w:rPr>
                <w:i/>
              </w:rPr>
            </w:pPr>
            <w:r w:rsidRPr="008925CF">
              <w:rPr>
                <w:i/>
              </w:rPr>
              <w:t>0</w:t>
            </w:r>
          </w:p>
        </w:tc>
      </w:tr>
      <w:tr w:rsidR="001952D9" w:rsidRPr="00327875" w:rsidTr="00865AD4">
        <w:trPr>
          <w:trHeight w:hRule="exact" w:val="567"/>
          <w:jc w:val="center"/>
        </w:trPr>
        <w:tc>
          <w:tcPr>
            <w:tcW w:w="2358" w:type="dxa"/>
          </w:tcPr>
          <w:p w:rsidR="001952D9" w:rsidRPr="00327875" w:rsidRDefault="001952D9" w:rsidP="00A06125">
            <w:pPr>
              <w:spacing w:line="240" w:lineRule="auto"/>
              <w:rPr>
                <w:rFonts w:ascii="Times New Roman" w:hAnsi="Times New Roman" w:cs="Times New Roman"/>
                <w:sz w:val="24"/>
                <w:szCs w:val="24"/>
              </w:rPr>
            </w:pPr>
            <w:r w:rsidRPr="00327875">
              <w:rPr>
                <w:rFonts w:ascii="Times New Roman" w:hAnsi="Times New Roman" w:cs="Times New Roman"/>
                <w:sz w:val="24"/>
                <w:szCs w:val="24"/>
              </w:rPr>
              <w:lastRenderedPageBreak/>
              <w:t>2.2. valsts speciālais budžets</w:t>
            </w:r>
          </w:p>
        </w:tc>
        <w:tc>
          <w:tcPr>
            <w:tcW w:w="1331" w:type="dxa"/>
          </w:tcPr>
          <w:p w:rsidR="001952D9" w:rsidRPr="008925CF" w:rsidRDefault="001952D9" w:rsidP="00A06125">
            <w:pPr>
              <w:pStyle w:val="naisf"/>
              <w:spacing w:before="0" w:after="0"/>
              <w:ind w:firstLine="0"/>
              <w:rPr>
                <w:i/>
              </w:rPr>
            </w:pPr>
            <w:r w:rsidRPr="008925CF">
              <w:rPr>
                <w:i/>
              </w:rPr>
              <w:t>0</w:t>
            </w:r>
          </w:p>
        </w:tc>
        <w:tc>
          <w:tcPr>
            <w:tcW w:w="1354" w:type="dxa"/>
          </w:tcPr>
          <w:p w:rsidR="001952D9" w:rsidRPr="008925CF" w:rsidRDefault="001952D9" w:rsidP="00A06125">
            <w:pPr>
              <w:pStyle w:val="naisf"/>
              <w:spacing w:before="0" w:after="0"/>
              <w:ind w:firstLine="0"/>
              <w:rPr>
                <w:i/>
              </w:rPr>
            </w:pPr>
            <w:r w:rsidRPr="008925CF">
              <w:rPr>
                <w:i/>
              </w:rPr>
              <w:t>0</w:t>
            </w:r>
          </w:p>
        </w:tc>
        <w:tc>
          <w:tcPr>
            <w:tcW w:w="1354" w:type="dxa"/>
          </w:tcPr>
          <w:p w:rsidR="001952D9" w:rsidRPr="008925CF" w:rsidRDefault="001952D9" w:rsidP="00A06125">
            <w:pPr>
              <w:pStyle w:val="naisf"/>
              <w:spacing w:before="0" w:after="0"/>
              <w:ind w:firstLine="0"/>
              <w:rPr>
                <w:i/>
              </w:rPr>
            </w:pPr>
            <w:r w:rsidRPr="008925CF">
              <w:rPr>
                <w:i/>
              </w:rPr>
              <w:t>0</w:t>
            </w:r>
          </w:p>
        </w:tc>
        <w:tc>
          <w:tcPr>
            <w:tcW w:w="1355" w:type="dxa"/>
          </w:tcPr>
          <w:p w:rsidR="001952D9" w:rsidRPr="008925CF" w:rsidRDefault="001952D9" w:rsidP="00A06125">
            <w:pPr>
              <w:pStyle w:val="naisf"/>
              <w:spacing w:before="0" w:after="0"/>
              <w:ind w:firstLine="0"/>
              <w:rPr>
                <w:i/>
              </w:rPr>
            </w:pPr>
            <w:r w:rsidRPr="008925CF">
              <w:rPr>
                <w:i/>
              </w:rPr>
              <w:t>0</w:t>
            </w:r>
          </w:p>
        </w:tc>
        <w:tc>
          <w:tcPr>
            <w:tcW w:w="1406" w:type="dxa"/>
          </w:tcPr>
          <w:p w:rsidR="001952D9" w:rsidRPr="008925CF" w:rsidRDefault="001952D9" w:rsidP="00A06125">
            <w:pPr>
              <w:pStyle w:val="naisf"/>
              <w:spacing w:before="0" w:after="0"/>
              <w:ind w:firstLine="0"/>
              <w:rPr>
                <w:i/>
              </w:rPr>
            </w:pPr>
            <w:r w:rsidRPr="008925CF">
              <w:rPr>
                <w:i/>
              </w:rPr>
              <w:t>0</w:t>
            </w:r>
          </w:p>
        </w:tc>
      </w:tr>
      <w:tr w:rsidR="001952D9" w:rsidRPr="00327875" w:rsidTr="00865AD4">
        <w:trPr>
          <w:trHeight w:hRule="exact" w:val="567"/>
          <w:jc w:val="center"/>
        </w:trPr>
        <w:tc>
          <w:tcPr>
            <w:tcW w:w="2358" w:type="dxa"/>
          </w:tcPr>
          <w:p w:rsidR="001952D9" w:rsidRPr="00327875" w:rsidRDefault="001952D9" w:rsidP="00A06125">
            <w:pPr>
              <w:spacing w:line="240" w:lineRule="auto"/>
              <w:rPr>
                <w:rFonts w:ascii="Times New Roman" w:hAnsi="Times New Roman" w:cs="Times New Roman"/>
                <w:sz w:val="24"/>
                <w:szCs w:val="24"/>
              </w:rPr>
            </w:pPr>
            <w:r w:rsidRPr="00327875">
              <w:rPr>
                <w:rFonts w:ascii="Times New Roman" w:hAnsi="Times New Roman" w:cs="Times New Roman"/>
                <w:sz w:val="24"/>
                <w:szCs w:val="24"/>
              </w:rPr>
              <w:t xml:space="preserve">2.3. pašvaldību budžets </w:t>
            </w:r>
          </w:p>
        </w:tc>
        <w:tc>
          <w:tcPr>
            <w:tcW w:w="1331" w:type="dxa"/>
          </w:tcPr>
          <w:p w:rsidR="001952D9" w:rsidRPr="008925CF" w:rsidRDefault="001952D9" w:rsidP="00A06125">
            <w:pPr>
              <w:pStyle w:val="naisf"/>
              <w:spacing w:before="0" w:after="0"/>
              <w:ind w:firstLine="0"/>
              <w:rPr>
                <w:i/>
              </w:rPr>
            </w:pPr>
            <w:r w:rsidRPr="008925CF">
              <w:rPr>
                <w:i/>
              </w:rPr>
              <w:t>0</w:t>
            </w:r>
          </w:p>
        </w:tc>
        <w:tc>
          <w:tcPr>
            <w:tcW w:w="1354" w:type="dxa"/>
          </w:tcPr>
          <w:p w:rsidR="001952D9" w:rsidRPr="008925CF" w:rsidRDefault="001952D9" w:rsidP="00A06125">
            <w:pPr>
              <w:pStyle w:val="naisf"/>
              <w:spacing w:before="0" w:after="0"/>
              <w:ind w:firstLine="0"/>
              <w:rPr>
                <w:i/>
              </w:rPr>
            </w:pPr>
            <w:r w:rsidRPr="008925CF">
              <w:rPr>
                <w:i/>
              </w:rPr>
              <w:t>0</w:t>
            </w:r>
          </w:p>
        </w:tc>
        <w:tc>
          <w:tcPr>
            <w:tcW w:w="1354" w:type="dxa"/>
          </w:tcPr>
          <w:p w:rsidR="001952D9" w:rsidRPr="008925CF" w:rsidRDefault="001952D9" w:rsidP="00A06125">
            <w:pPr>
              <w:pStyle w:val="naisf"/>
              <w:spacing w:before="0" w:after="0"/>
              <w:ind w:firstLine="0"/>
              <w:rPr>
                <w:i/>
              </w:rPr>
            </w:pPr>
            <w:r w:rsidRPr="008925CF">
              <w:rPr>
                <w:i/>
              </w:rPr>
              <w:t>0</w:t>
            </w:r>
          </w:p>
        </w:tc>
        <w:tc>
          <w:tcPr>
            <w:tcW w:w="1355" w:type="dxa"/>
          </w:tcPr>
          <w:p w:rsidR="001952D9" w:rsidRPr="008925CF" w:rsidRDefault="001952D9" w:rsidP="00A06125">
            <w:pPr>
              <w:pStyle w:val="naisf"/>
              <w:spacing w:before="0" w:after="0"/>
              <w:ind w:firstLine="0"/>
              <w:rPr>
                <w:i/>
              </w:rPr>
            </w:pPr>
            <w:r w:rsidRPr="008925CF">
              <w:rPr>
                <w:i/>
              </w:rPr>
              <w:t>0</w:t>
            </w:r>
          </w:p>
        </w:tc>
        <w:tc>
          <w:tcPr>
            <w:tcW w:w="1406" w:type="dxa"/>
          </w:tcPr>
          <w:p w:rsidR="001952D9" w:rsidRPr="008925CF" w:rsidRDefault="001952D9" w:rsidP="00A06125">
            <w:pPr>
              <w:pStyle w:val="naisf"/>
              <w:spacing w:before="0" w:after="0"/>
              <w:ind w:firstLine="0"/>
              <w:rPr>
                <w:i/>
              </w:rPr>
            </w:pPr>
            <w:r w:rsidRPr="008925CF">
              <w:rPr>
                <w:i/>
              </w:rPr>
              <w:t>0</w:t>
            </w:r>
          </w:p>
        </w:tc>
      </w:tr>
      <w:tr w:rsidR="001952D9" w:rsidRPr="00327875" w:rsidTr="00865AD4">
        <w:trPr>
          <w:trHeight w:hRule="exact" w:val="567"/>
          <w:jc w:val="center"/>
        </w:trPr>
        <w:tc>
          <w:tcPr>
            <w:tcW w:w="2358" w:type="dxa"/>
          </w:tcPr>
          <w:p w:rsidR="001952D9" w:rsidRPr="00327875" w:rsidRDefault="001952D9" w:rsidP="00A06125">
            <w:pPr>
              <w:spacing w:line="240" w:lineRule="auto"/>
              <w:rPr>
                <w:rFonts w:ascii="Times New Roman" w:hAnsi="Times New Roman" w:cs="Times New Roman"/>
                <w:sz w:val="24"/>
                <w:szCs w:val="24"/>
              </w:rPr>
            </w:pPr>
            <w:r w:rsidRPr="00327875">
              <w:rPr>
                <w:rFonts w:ascii="Times New Roman" w:hAnsi="Times New Roman" w:cs="Times New Roman"/>
                <w:sz w:val="24"/>
                <w:szCs w:val="24"/>
              </w:rPr>
              <w:t>3. Finansiālā ietekme:</w:t>
            </w:r>
          </w:p>
        </w:tc>
        <w:tc>
          <w:tcPr>
            <w:tcW w:w="1331" w:type="dxa"/>
            <w:shd w:val="clear" w:color="auto" w:fill="auto"/>
          </w:tcPr>
          <w:p w:rsidR="001952D9" w:rsidRPr="008925CF" w:rsidRDefault="001952D9" w:rsidP="00A06125">
            <w:pPr>
              <w:pStyle w:val="naisf"/>
              <w:spacing w:before="0" w:after="0"/>
              <w:ind w:firstLine="0"/>
              <w:rPr>
                <w:i/>
              </w:rPr>
            </w:pPr>
            <w:r w:rsidRPr="008925CF">
              <w:rPr>
                <w:i/>
              </w:rPr>
              <w:t>0</w:t>
            </w:r>
          </w:p>
        </w:tc>
        <w:tc>
          <w:tcPr>
            <w:tcW w:w="1354" w:type="dxa"/>
          </w:tcPr>
          <w:p w:rsidR="001952D9" w:rsidRPr="008925CF" w:rsidRDefault="001952D9" w:rsidP="00A06125">
            <w:pPr>
              <w:pStyle w:val="naisf"/>
              <w:spacing w:before="0" w:after="0"/>
              <w:ind w:firstLine="0"/>
              <w:rPr>
                <w:i/>
              </w:rPr>
            </w:pPr>
            <w:r w:rsidRPr="008925CF">
              <w:rPr>
                <w:i/>
              </w:rPr>
              <w:t>0</w:t>
            </w:r>
          </w:p>
        </w:tc>
        <w:tc>
          <w:tcPr>
            <w:tcW w:w="1354" w:type="dxa"/>
          </w:tcPr>
          <w:p w:rsidR="001952D9" w:rsidRPr="008925CF" w:rsidRDefault="001952D9" w:rsidP="00A06125">
            <w:pPr>
              <w:pStyle w:val="naisf"/>
              <w:spacing w:before="0" w:after="0"/>
              <w:ind w:firstLine="0"/>
              <w:rPr>
                <w:i/>
              </w:rPr>
            </w:pPr>
            <w:r w:rsidRPr="008925CF">
              <w:rPr>
                <w:i/>
              </w:rPr>
              <w:t>0</w:t>
            </w:r>
          </w:p>
        </w:tc>
        <w:tc>
          <w:tcPr>
            <w:tcW w:w="1355" w:type="dxa"/>
          </w:tcPr>
          <w:p w:rsidR="001952D9" w:rsidRPr="008925CF" w:rsidRDefault="001952D9" w:rsidP="00A06125">
            <w:pPr>
              <w:pStyle w:val="naisf"/>
              <w:spacing w:before="0" w:after="0"/>
              <w:ind w:firstLine="0"/>
              <w:rPr>
                <w:i/>
              </w:rPr>
            </w:pPr>
            <w:r w:rsidRPr="008925CF">
              <w:rPr>
                <w:i/>
              </w:rPr>
              <w:t>0</w:t>
            </w:r>
          </w:p>
        </w:tc>
        <w:tc>
          <w:tcPr>
            <w:tcW w:w="1406" w:type="dxa"/>
          </w:tcPr>
          <w:p w:rsidR="001952D9" w:rsidRPr="008925CF" w:rsidRDefault="001952D9" w:rsidP="00A06125">
            <w:pPr>
              <w:pStyle w:val="naisf"/>
              <w:spacing w:before="0" w:after="0"/>
              <w:ind w:firstLine="0"/>
              <w:rPr>
                <w:i/>
              </w:rPr>
            </w:pPr>
            <w:r w:rsidRPr="008925CF">
              <w:rPr>
                <w:i/>
              </w:rPr>
              <w:t>0</w:t>
            </w:r>
          </w:p>
        </w:tc>
      </w:tr>
      <w:tr w:rsidR="001952D9" w:rsidRPr="00327875" w:rsidTr="00865AD4">
        <w:trPr>
          <w:trHeight w:hRule="exact" w:val="567"/>
          <w:jc w:val="center"/>
        </w:trPr>
        <w:tc>
          <w:tcPr>
            <w:tcW w:w="2358" w:type="dxa"/>
          </w:tcPr>
          <w:p w:rsidR="001952D9" w:rsidRPr="00327875" w:rsidRDefault="001952D9" w:rsidP="00A06125">
            <w:pPr>
              <w:spacing w:line="240" w:lineRule="auto"/>
              <w:rPr>
                <w:rFonts w:ascii="Times New Roman" w:hAnsi="Times New Roman" w:cs="Times New Roman"/>
                <w:sz w:val="24"/>
                <w:szCs w:val="24"/>
              </w:rPr>
            </w:pPr>
            <w:r w:rsidRPr="00327875">
              <w:rPr>
                <w:rFonts w:ascii="Times New Roman" w:hAnsi="Times New Roman" w:cs="Times New Roman"/>
                <w:sz w:val="24"/>
                <w:szCs w:val="24"/>
              </w:rPr>
              <w:t>3.1. valsts pamatbudžets</w:t>
            </w:r>
          </w:p>
        </w:tc>
        <w:tc>
          <w:tcPr>
            <w:tcW w:w="1331" w:type="dxa"/>
            <w:shd w:val="clear" w:color="auto" w:fill="auto"/>
          </w:tcPr>
          <w:p w:rsidR="001952D9" w:rsidRPr="008925CF" w:rsidRDefault="001952D9" w:rsidP="00A06125">
            <w:pPr>
              <w:pStyle w:val="naisf"/>
              <w:spacing w:before="0" w:after="0"/>
              <w:ind w:firstLine="0"/>
              <w:rPr>
                <w:i/>
              </w:rPr>
            </w:pPr>
            <w:r w:rsidRPr="008925CF">
              <w:rPr>
                <w:i/>
              </w:rPr>
              <w:t>0</w:t>
            </w:r>
          </w:p>
        </w:tc>
        <w:tc>
          <w:tcPr>
            <w:tcW w:w="1354" w:type="dxa"/>
          </w:tcPr>
          <w:p w:rsidR="001952D9" w:rsidRPr="008925CF" w:rsidRDefault="001952D9" w:rsidP="00A06125">
            <w:pPr>
              <w:pStyle w:val="naisf"/>
              <w:spacing w:before="0" w:after="0"/>
              <w:ind w:firstLine="0"/>
              <w:rPr>
                <w:i/>
              </w:rPr>
            </w:pPr>
            <w:r w:rsidRPr="008925CF">
              <w:rPr>
                <w:i/>
              </w:rPr>
              <w:t>0</w:t>
            </w:r>
          </w:p>
        </w:tc>
        <w:tc>
          <w:tcPr>
            <w:tcW w:w="1354" w:type="dxa"/>
          </w:tcPr>
          <w:p w:rsidR="001952D9" w:rsidRPr="008925CF" w:rsidRDefault="001952D9" w:rsidP="00A06125">
            <w:pPr>
              <w:pStyle w:val="naisf"/>
              <w:spacing w:before="0" w:after="0"/>
              <w:ind w:firstLine="0"/>
              <w:rPr>
                <w:i/>
              </w:rPr>
            </w:pPr>
            <w:r w:rsidRPr="008925CF">
              <w:rPr>
                <w:i/>
              </w:rPr>
              <w:t>0</w:t>
            </w:r>
          </w:p>
        </w:tc>
        <w:tc>
          <w:tcPr>
            <w:tcW w:w="1355" w:type="dxa"/>
          </w:tcPr>
          <w:p w:rsidR="001952D9" w:rsidRPr="008925CF" w:rsidRDefault="001952D9" w:rsidP="00A06125">
            <w:pPr>
              <w:pStyle w:val="naisf"/>
              <w:spacing w:before="0" w:after="0"/>
              <w:ind w:firstLine="0"/>
              <w:rPr>
                <w:i/>
              </w:rPr>
            </w:pPr>
            <w:r w:rsidRPr="008925CF">
              <w:rPr>
                <w:i/>
              </w:rPr>
              <w:t>0</w:t>
            </w:r>
          </w:p>
        </w:tc>
        <w:tc>
          <w:tcPr>
            <w:tcW w:w="1406" w:type="dxa"/>
          </w:tcPr>
          <w:p w:rsidR="001952D9" w:rsidRPr="008925CF" w:rsidRDefault="001952D9" w:rsidP="00A06125">
            <w:pPr>
              <w:pStyle w:val="naisf"/>
              <w:spacing w:before="0" w:after="0"/>
              <w:ind w:firstLine="0"/>
              <w:rPr>
                <w:i/>
              </w:rPr>
            </w:pPr>
            <w:r w:rsidRPr="008925CF">
              <w:rPr>
                <w:i/>
              </w:rPr>
              <w:t>0</w:t>
            </w:r>
          </w:p>
        </w:tc>
      </w:tr>
      <w:tr w:rsidR="001952D9" w:rsidRPr="00327875" w:rsidTr="00865AD4">
        <w:trPr>
          <w:trHeight w:hRule="exact" w:val="567"/>
          <w:jc w:val="center"/>
        </w:trPr>
        <w:tc>
          <w:tcPr>
            <w:tcW w:w="2358" w:type="dxa"/>
          </w:tcPr>
          <w:p w:rsidR="001952D9" w:rsidRPr="00327875" w:rsidRDefault="001952D9" w:rsidP="00A06125">
            <w:pPr>
              <w:spacing w:line="240" w:lineRule="auto"/>
              <w:rPr>
                <w:rFonts w:ascii="Times New Roman" w:hAnsi="Times New Roman" w:cs="Times New Roman"/>
                <w:sz w:val="24"/>
                <w:szCs w:val="24"/>
              </w:rPr>
            </w:pPr>
            <w:r w:rsidRPr="00327875">
              <w:rPr>
                <w:rFonts w:ascii="Times New Roman" w:hAnsi="Times New Roman" w:cs="Times New Roman"/>
                <w:sz w:val="24"/>
                <w:szCs w:val="24"/>
              </w:rPr>
              <w:t>3.2. speciālais budžets</w:t>
            </w:r>
          </w:p>
        </w:tc>
        <w:tc>
          <w:tcPr>
            <w:tcW w:w="1331" w:type="dxa"/>
            <w:shd w:val="clear" w:color="auto" w:fill="auto"/>
          </w:tcPr>
          <w:p w:rsidR="001952D9" w:rsidRPr="008925CF" w:rsidRDefault="001952D9" w:rsidP="00A06125">
            <w:pPr>
              <w:pStyle w:val="naisf"/>
              <w:spacing w:before="0" w:after="0"/>
              <w:ind w:firstLine="0"/>
              <w:rPr>
                <w:i/>
              </w:rPr>
            </w:pPr>
            <w:r w:rsidRPr="008925CF">
              <w:rPr>
                <w:i/>
              </w:rPr>
              <w:t>0</w:t>
            </w:r>
          </w:p>
        </w:tc>
        <w:tc>
          <w:tcPr>
            <w:tcW w:w="1354" w:type="dxa"/>
          </w:tcPr>
          <w:p w:rsidR="001952D9" w:rsidRPr="008925CF" w:rsidRDefault="001952D9" w:rsidP="00A06125">
            <w:pPr>
              <w:pStyle w:val="naisf"/>
              <w:spacing w:before="0" w:after="0"/>
              <w:ind w:firstLine="0"/>
              <w:rPr>
                <w:i/>
              </w:rPr>
            </w:pPr>
            <w:r w:rsidRPr="008925CF">
              <w:rPr>
                <w:i/>
              </w:rPr>
              <w:t>0</w:t>
            </w:r>
          </w:p>
        </w:tc>
        <w:tc>
          <w:tcPr>
            <w:tcW w:w="1354" w:type="dxa"/>
          </w:tcPr>
          <w:p w:rsidR="001952D9" w:rsidRPr="008925CF" w:rsidRDefault="001952D9" w:rsidP="00A06125">
            <w:pPr>
              <w:pStyle w:val="naisf"/>
              <w:spacing w:before="0" w:after="0"/>
              <w:ind w:firstLine="0"/>
              <w:rPr>
                <w:i/>
              </w:rPr>
            </w:pPr>
            <w:r w:rsidRPr="008925CF">
              <w:rPr>
                <w:i/>
              </w:rPr>
              <w:t>0</w:t>
            </w:r>
          </w:p>
        </w:tc>
        <w:tc>
          <w:tcPr>
            <w:tcW w:w="1355" w:type="dxa"/>
          </w:tcPr>
          <w:p w:rsidR="001952D9" w:rsidRPr="008925CF" w:rsidRDefault="001952D9" w:rsidP="00A06125">
            <w:pPr>
              <w:pStyle w:val="naisf"/>
              <w:spacing w:before="0" w:after="0"/>
              <w:ind w:firstLine="0"/>
              <w:rPr>
                <w:i/>
              </w:rPr>
            </w:pPr>
            <w:r w:rsidRPr="008925CF">
              <w:rPr>
                <w:i/>
              </w:rPr>
              <w:t>0</w:t>
            </w:r>
          </w:p>
        </w:tc>
        <w:tc>
          <w:tcPr>
            <w:tcW w:w="1406" w:type="dxa"/>
          </w:tcPr>
          <w:p w:rsidR="001952D9" w:rsidRPr="008925CF" w:rsidRDefault="001952D9" w:rsidP="00A06125">
            <w:pPr>
              <w:pStyle w:val="naisf"/>
              <w:spacing w:before="0" w:after="0"/>
              <w:ind w:firstLine="0"/>
              <w:rPr>
                <w:i/>
              </w:rPr>
            </w:pPr>
            <w:r w:rsidRPr="008925CF">
              <w:rPr>
                <w:i/>
              </w:rPr>
              <w:t>0</w:t>
            </w:r>
          </w:p>
        </w:tc>
      </w:tr>
      <w:tr w:rsidR="001952D9" w:rsidRPr="00327875" w:rsidTr="00865AD4">
        <w:trPr>
          <w:trHeight w:hRule="exact" w:val="567"/>
          <w:jc w:val="center"/>
        </w:trPr>
        <w:tc>
          <w:tcPr>
            <w:tcW w:w="2358" w:type="dxa"/>
          </w:tcPr>
          <w:p w:rsidR="001952D9" w:rsidRPr="00327875" w:rsidRDefault="001952D9" w:rsidP="00A06125">
            <w:pPr>
              <w:spacing w:line="240" w:lineRule="auto"/>
              <w:rPr>
                <w:rFonts w:ascii="Times New Roman" w:hAnsi="Times New Roman" w:cs="Times New Roman"/>
                <w:sz w:val="24"/>
                <w:szCs w:val="24"/>
              </w:rPr>
            </w:pPr>
            <w:r w:rsidRPr="00327875">
              <w:rPr>
                <w:rFonts w:ascii="Times New Roman" w:hAnsi="Times New Roman" w:cs="Times New Roman"/>
                <w:sz w:val="24"/>
                <w:szCs w:val="24"/>
              </w:rPr>
              <w:t xml:space="preserve">3.3. pašvaldību budžets </w:t>
            </w:r>
          </w:p>
        </w:tc>
        <w:tc>
          <w:tcPr>
            <w:tcW w:w="1331" w:type="dxa"/>
            <w:shd w:val="clear" w:color="auto" w:fill="auto"/>
          </w:tcPr>
          <w:p w:rsidR="001952D9" w:rsidRPr="008925CF" w:rsidRDefault="001952D9" w:rsidP="00A06125">
            <w:pPr>
              <w:pStyle w:val="naisf"/>
              <w:spacing w:before="0" w:after="0"/>
              <w:ind w:firstLine="0"/>
              <w:rPr>
                <w:i/>
              </w:rPr>
            </w:pPr>
            <w:r w:rsidRPr="008925CF">
              <w:rPr>
                <w:i/>
              </w:rPr>
              <w:t>0</w:t>
            </w:r>
          </w:p>
        </w:tc>
        <w:tc>
          <w:tcPr>
            <w:tcW w:w="1354" w:type="dxa"/>
          </w:tcPr>
          <w:p w:rsidR="001952D9" w:rsidRPr="008925CF" w:rsidRDefault="001952D9" w:rsidP="00A06125">
            <w:pPr>
              <w:pStyle w:val="naisf"/>
              <w:spacing w:before="0" w:after="0"/>
              <w:ind w:firstLine="0"/>
              <w:rPr>
                <w:i/>
              </w:rPr>
            </w:pPr>
            <w:r w:rsidRPr="008925CF">
              <w:rPr>
                <w:i/>
              </w:rPr>
              <w:t>0</w:t>
            </w:r>
          </w:p>
        </w:tc>
        <w:tc>
          <w:tcPr>
            <w:tcW w:w="1354" w:type="dxa"/>
          </w:tcPr>
          <w:p w:rsidR="001952D9" w:rsidRPr="008925CF" w:rsidRDefault="001952D9" w:rsidP="00A06125">
            <w:pPr>
              <w:pStyle w:val="naisf"/>
              <w:spacing w:before="0" w:after="0"/>
              <w:ind w:firstLine="0"/>
              <w:rPr>
                <w:i/>
              </w:rPr>
            </w:pPr>
            <w:r w:rsidRPr="008925CF">
              <w:rPr>
                <w:i/>
              </w:rPr>
              <w:t>0</w:t>
            </w:r>
          </w:p>
        </w:tc>
        <w:tc>
          <w:tcPr>
            <w:tcW w:w="1355" w:type="dxa"/>
          </w:tcPr>
          <w:p w:rsidR="001952D9" w:rsidRPr="008925CF" w:rsidRDefault="001952D9" w:rsidP="00A06125">
            <w:pPr>
              <w:pStyle w:val="naisf"/>
              <w:spacing w:before="0" w:after="0"/>
              <w:ind w:firstLine="0"/>
              <w:rPr>
                <w:i/>
              </w:rPr>
            </w:pPr>
            <w:r w:rsidRPr="008925CF">
              <w:rPr>
                <w:i/>
              </w:rPr>
              <w:t>0</w:t>
            </w:r>
          </w:p>
        </w:tc>
        <w:tc>
          <w:tcPr>
            <w:tcW w:w="1406" w:type="dxa"/>
          </w:tcPr>
          <w:p w:rsidR="001952D9" w:rsidRPr="008925CF" w:rsidRDefault="001952D9" w:rsidP="00A06125">
            <w:pPr>
              <w:pStyle w:val="naisf"/>
              <w:spacing w:before="0" w:after="0"/>
              <w:ind w:firstLine="0"/>
              <w:rPr>
                <w:i/>
              </w:rPr>
            </w:pPr>
            <w:r w:rsidRPr="008925CF">
              <w:rPr>
                <w:i/>
              </w:rPr>
              <w:t>0</w:t>
            </w:r>
          </w:p>
        </w:tc>
      </w:tr>
      <w:tr w:rsidR="001952D9" w:rsidRPr="00327875" w:rsidTr="00865AD4">
        <w:trPr>
          <w:jc w:val="center"/>
        </w:trPr>
        <w:tc>
          <w:tcPr>
            <w:tcW w:w="2358" w:type="dxa"/>
            <w:vMerge w:val="restart"/>
          </w:tcPr>
          <w:p w:rsidR="001952D9" w:rsidRPr="00327875" w:rsidRDefault="001952D9" w:rsidP="00A06125">
            <w:pPr>
              <w:spacing w:line="240" w:lineRule="auto"/>
              <w:jc w:val="both"/>
              <w:rPr>
                <w:rFonts w:ascii="Times New Roman" w:hAnsi="Times New Roman" w:cs="Times New Roman"/>
                <w:sz w:val="24"/>
                <w:szCs w:val="24"/>
              </w:rPr>
            </w:pPr>
            <w:r w:rsidRPr="00327875">
              <w:rPr>
                <w:rFonts w:ascii="Times New Roman" w:hAnsi="Times New Roman" w:cs="Times New Roman"/>
                <w:sz w:val="24"/>
                <w:szCs w:val="24"/>
              </w:rPr>
              <w:t>4. Finanšu līdzekļi papildu izde</w:t>
            </w:r>
            <w:r w:rsidRPr="00327875">
              <w:rPr>
                <w:rFonts w:ascii="Times New Roman" w:hAnsi="Times New Roman" w:cs="Times New Roman"/>
                <w:sz w:val="24"/>
                <w:szCs w:val="24"/>
              </w:rPr>
              <w:softHyphen/>
              <w:t>vumu finansēšanai (kompensējošu izdevumu samazinājumu norāda ar "+" zīmi)</w:t>
            </w:r>
          </w:p>
        </w:tc>
        <w:tc>
          <w:tcPr>
            <w:tcW w:w="1331" w:type="dxa"/>
            <w:vMerge w:val="restart"/>
          </w:tcPr>
          <w:p w:rsidR="001952D9" w:rsidRPr="008925CF" w:rsidRDefault="001952D9" w:rsidP="00A06125">
            <w:pPr>
              <w:pStyle w:val="naisf"/>
              <w:spacing w:before="0" w:after="0"/>
              <w:ind w:firstLine="0"/>
              <w:jc w:val="center"/>
              <w:rPr>
                <w:i/>
              </w:rPr>
            </w:pPr>
            <w:r w:rsidRPr="008925CF">
              <w:t>X</w:t>
            </w:r>
          </w:p>
        </w:tc>
        <w:tc>
          <w:tcPr>
            <w:tcW w:w="1354" w:type="dxa"/>
          </w:tcPr>
          <w:p w:rsidR="001952D9" w:rsidRPr="008925CF" w:rsidRDefault="001952D9" w:rsidP="00A06125">
            <w:pPr>
              <w:pStyle w:val="naisf"/>
              <w:spacing w:before="0" w:after="0"/>
              <w:ind w:firstLine="0"/>
              <w:jc w:val="left"/>
              <w:rPr>
                <w:i/>
              </w:rPr>
            </w:pPr>
            <w:r w:rsidRPr="008925CF">
              <w:rPr>
                <w:i/>
              </w:rPr>
              <w:t>0</w:t>
            </w:r>
          </w:p>
        </w:tc>
        <w:tc>
          <w:tcPr>
            <w:tcW w:w="1354" w:type="dxa"/>
          </w:tcPr>
          <w:p w:rsidR="001952D9" w:rsidRPr="008925CF" w:rsidRDefault="001952D9" w:rsidP="00A06125">
            <w:pPr>
              <w:pStyle w:val="naisf"/>
              <w:spacing w:before="0" w:after="0"/>
              <w:ind w:firstLine="0"/>
              <w:jc w:val="left"/>
              <w:rPr>
                <w:i/>
              </w:rPr>
            </w:pPr>
            <w:r w:rsidRPr="008925CF">
              <w:rPr>
                <w:i/>
              </w:rPr>
              <w:t>0</w:t>
            </w:r>
          </w:p>
        </w:tc>
        <w:tc>
          <w:tcPr>
            <w:tcW w:w="1355" w:type="dxa"/>
          </w:tcPr>
          <w:p w:rsidR="001952D9" w:rsidRPr="008925CF" w:rsidRDefault="001952D9" w:rsidP="00A06125">
            <w:pPr>
              <w:pStyle w:val="naisf"/>
              <w:spacing w:before="0" w:after="0"/>
              <w:ind w:firstLine="0"/>
              <w:jc w:val="left"/>
              <w:rPr>
                <w:i/>
              </w:rPr>
            </w:pPr>
            <w:r w:rsidRPr="008925CF">
              <w:rPr>
                <w:i/>
              </w:rPr>
              <w:t>0</w:t>
            </w:r>
          </w:p>
        </w:tc>
        <w:tc>
          <w:tcPr>
            <w:tcW w:w="1406" w:type="dxa"/>
          </w:tcPr>
          <w:p w:rsidR="001952D9" w:rsidRPr="008925CF" w:rsidRDefault="001952D9" w:rsidP="00A06125">
            <w:pPr>
              <w:pStyle w:val="naisf"/>
              <w:spacing w:before="0" w:after="0"/>
              <w:ind w:firstLine="0"/>
              <w:jc w:val="left"/>
              <w:rPr>
                <w:i/>
              </w:rPr>
            </w:pPr>
            <w:r w:rsidRPr="008925CF">
              <w:rPr>
                <w:i/>
              </w:rPr>
              <w:t>0</w:t>
            </w:r>
          </w:p>
        </w:tc>
      </w:tr>
      <w:tr w:rsidR="001952D9" w:rsidRPr="00327875" w:rsidTr="00865AD4">
        <w:trPr>
          <w:jc w:val="center"/>
        </w:trPr>
        <w:tc>
          <w:tcPr>
            <w:tcW w:w="2358" w:type="dxa"/>
            <w:vMerge/>
          </w:tcPr>
          <w:p w:rsidR="001952D9" w:rsidRPr="00327875" w:rsidRDefault="001952D9" w:rsidP="00A06125">
            <w:pPr>
              <w:spacing w:line="240" w:lineRule="auto"/>
              <w:jc w:val="both"/>
              <w:rPr>
                <w:rFonts w:ascii="Times New Roman" w:hAnsi="Times New Roman" w:cs="Times New Roman"/>
                <w:sz w:val="24"/>
                <w:szCs w:val="24"/>
              </w:rPr>
            </w:pPr>
          </w:p>
        </w:tc>
        <w:tc>
          <w:tcPr>
            <w:tcW w:w="1331" w:type="dxa"/>
            <w:vMerge/>
          </w:tcPr>
          <w:p w:rsidR="001952D9" w:rsidRPr="008925CF" w:rsidRDefault="001952D9" w:rsidP="00A06125">
            <w:pPr>
              <w:pStyle w:val="naisf"/>
              <w:spacing w:before="0" w:after="0"/>
              <w:ind w:firstLine="0"/>
              <w:jc w:val="center"/>
              <w:rPr>
                <w:i/>
              </w:rPr>
            </w:pPr>
          </w:p>
        </w:tc>
        <w:tc>
          <w:tcPr>
            <w:tcW w:w="1354" w:type="dxa"/>
          </w:tcPr>
          <w:p w:rsidR="001952D9" w:rsidRPr="008925CF" w:rsidRDefault="001952D9" w:rsidP="00A06125">
            <w:pPr>
              <w:pStyle w:val="naisf"/>
              <w:spacing w:before="0" w:after="0"/>
              <w:ind w:firstLine="0"/>
              <w:jc w:val="left"/>
              <w:rPr>
                <w:i/>
              </w:rPr>
            </w:pPr>
            <w:r w:rsidRPr="008925CF">
              <w:rPr>
                <w:i/>
              </w:rPr>
              <w:t>0</w:t>
            </w:r>
          </w:p>
        </w:tc>
        <w:tc>
          <w:tcPr>
            <w:tcW w:w="1354" w:type="dxa"/>
          </w:tcPr>
          <w:p w:rsidR="001952D9" w:rsidRPr="008925CF" w:rsidRDefault="001952D9" w:rsidP="00A06125">
            <w:pPr>
              <w:pStyle w:val="naisf"/>
              <w:spacing w:before="0" w:after="0"/>
              <w:ind w:firstLine="0"/>
              <w:jc w:val="left"/>
              <w:rPr>
                <w:i/>
              </w:rPr>
            </w:pPr>
            <w:r w:rsidRPr="008925CF">
              <w:rPr>
                <w:i/>
              </w:rPr>
              <w:t>0</w:t>
            </w:r>
          </w:p>
        </w:tc>
        <w:tc>
          <w:tcPr>
            <w:tcW w:w="1355" w:type="dxa"/>
          </w:tcPr>
          <w:p w:rsidR="001952D9" w:rsidRPr="008925CF" w:rsidRDefault="001952D9" w:rsidP="00A06125">
            <w:pPr>
              <w:pStyle w:val="naisf"/>
              <w:spacing w:before="0" w:after="0"/>
              <w:ind w:firstLine="0"/>
              <w:jc w:val="left"/>
              <w:rPr>
                <w:i/>
              </w:rPr>
            </w:pPr>
            <w:r w:rsidRPr="008925CF">
              <w:rPr>
                <w:i/>
              </w:rPr>
              <w:t>0</w:t>
            </w:r>
          </w:p>
        </w:tc>
        <w:tc>
          <w:tcPr>
            <w:tcW w:w="1406" w:type="dxa"/>
          </w:tcPr>
          <w:p w:rsidR="001952D9" w:rsidRPr="008925CF" w:rsidRDefault="001952D9" w:rsidP="00A06125">
            <w:pPr>
              <w:pStyle w:val="naisf"/>
              <w:spacing w:before="0" w:after="0"/>
              <w:ind w:firstLine="0"/>
              <w:jc w:val="left"/>
              <w:rPr>
                <w:i/>
              </w:rPr>
            </w:pPr>
            <w:r w:rsidRPr="008925CF">
              <w:rPr>
                <w:i/>
              </w:rPr>
              <w:t>0</w:t>
            </w:r>
          </w:p>
        </w:tc>
      </w:tr>
      <w:tr w:rsidR="001952D9" w:rsidRPr="00327875" w:rsidTr="00865AD4">
        <w:trPr>
          <w:jc w:val="center"/>
        </w:trPr>
        <w:tc>
          <w:tcPr>
            <w:tcW w:w="2358" w:type="dxa"/>
            <w:vMerge/>
          </w:tcPr>
          <w:p w:rsidR="001952D9" w:rsidRPr="00327875" w:rsidRDefault="001952D9" w:rsidP="00A06125">
            <w:pPr>
              <w:spacing w:line="240" w:lineRule="auto"/>
              <w:jc w:val="both"/>
              <w:rPr>
                <w:rFonts w:ascii="Times New Roman" w:hAnsi="Times New Roman" w:cs="Times New Roman"/>
                <w:sz w:val="24"/>
                <w:szCs w:val="24"/>
              </w:rPr>
            </w:pPr>
          </w:p>
        </w:tc>
        <w:tc>
          <w:tcPr>
            <w:tcW w:w="1331" w:type="dxa"/>
            <w:vMerge/>
          </w:tcPr>
          <w:p w:rsidR="001952D9" w:rsidRPr="008925CF" w:rsidRDefault="001952D9" w:rsidP="00A06125">
            <w:pPr>
              <w:pStyle w:val="naisf"/>
              <w:spacing w:before="0" w:after="0"/>
              <w:ind w:firstLine="0"/>
              <w:jc w:val="center"/>
              <w:rPr>
                <w:i/>
              </w:rPr>
            </w:pPr>
          </w:p>
        </w:tc>
        <w:tc>
          <w:tcPr>
            <w:tcW w:w="1354" w:type="dxa"/>
          </w:tcPr>
          <w:p w:rsidR="001952D9" w:rsidRPr="008925CF" w:rsidRDefault="001952D9" w:rsidP="00A06125">
            <w:pPr>
              <w:pStyle w:val="naisf"/>
              <w:spacing w:before="0" w:after="0"/>
              <w:ind w:firstLine="0"/>
              <w:jc w:val="left"/>
              <w:rPr>
                <w:i/>
              </w:rPr>
            </w:pPr>
            <w:r w:rsidRPr="008925CF">
              <w:rPr>
                <w:i/>
              </w:rPr>
              <w:t>0</w:t>
            </w:r>
          </w:p>
        </w:tc>
        <w:tc>
          <w:tcPr>
            <w:tcW w:w="1354" w:type="dxa"/>
          </w:tcPr>
          <w:p w:rsidR="001952D9" w:rsidRPr="008925CF" w:rsidRDefault="001952D9" w:rsidP="00A06125">
            <w:pPr>
              <w:pStyle w:val="naisf"/>
              <w:spacing w:before="0" w:after="0"/>
              <w:ind w:firstLine="0"/>
              <w:jc w:val="left"/>
              <w:rPr>
                <w:i/>
              </w:rPr>
            </w:pPr>
            <w:r w:rsidRPr="008925CF">
              <w:rPr>
                <w:i/>
              </w:rPr>
              <w:t>0</w:t>
            </w:r>
          </w:p>
        </w:tc>
        <w:tc>
          <w:tcPr>
            <w:tcW w:w="1355" w:type="dxa"/>
          </w:tcPr>
          <w:p w:rsidR="001952D9" w:rsidRPr="008925CF" w:rsidRDefault="001952D9" w:rsidP="00A06125">
            <w:pPr>
              <w:pStyle w:val="naisf"/>
              <w:spacing w:before="0" w:after="0"/>
              <w:ind w:firstLine="0"/>
              <w:jc w:val="left"/>
              <w:rPr>
                <w:i/>
              </w:rPr>
            </w:pPr>
            <w:r w:rsidRPr="008925CF">
              <w:rPr>
                <w:i/>
              </w:rPr>
              <w:t>0</w:t>
            </w:r>
          </w:p>
        </w:tc>
        <w:tc>
          <w:tcPr>
            <w:tcW w:w="1406" w:type="dxa"/>
          </w:tcPr>
          <w:p w:rsidR="001952D9" w:rsidRPr="008925CF" w:rsidRDefault="001952D9" w:rsidP="00A06125">
            <w:pPr>
              <w:pStyle w:val="naisf"/>
              <w:spacing w:before="0" w:after="0"/>
              <w:ind w:firstLine="0"/>
              <w:jc w:val="left"/>
              <w:rPr>
                <w:i/>
              </w:rPr>
            </w:pPr>
            <w:r w:rsidRPr="008925CF">
              <w:rPr>
                <w:i/>
              </w:rPr>
              <w:t>0</w:t>
            </w:r>
          </w:p>
        </w:tc>
      </w:tr>
      <w:tr w:rsidR="001952D9" w:rsidRPr="00327875" w:rsidTr="00865AD4">
        <w:trPr>
          <w:jc w:val="center"/>
        </w:trPr>
        <w:tc>
          <w:tcPr>
            <w:tcW w:w="2358" w:type="dxa"/>
          </w:tcPr>
          <w:p w:rsidR="001952D9" w:rsidRPr="00327875" w:rsidRDefault="001952D9" w:rsidP="00A06125">
            <w:pPr>
              <w:spacing w:line="240" w:lineRule="auto"/>
              <w:rPr>
                <w:rFonts w:ascii="Times New Roman" w:hAnsi="Times New Roman" w:cs="Times New Roman"/>
                <w:sz w:val="24"/>
                <w:szCs w:val="24"/>
              </w:rPr>
            </w:pPr>
            <w:r w:rsidRPr="00327875">
              <w:rPr>
                <w:rFonts w:ascii="Times New Roman" w:hAnsi="Times New Roman" w:cs="Times New Roman"/>
                <w:sz w:val="24"/>
                <w:szCs w:val="24"/>
              </w:rPr>
              <w:t>5. Precizēta finansiālā ietekme:</w:t>
            </w:r>
          </w:p>
        </w:tc>
        <w:tc>
          <w:tcPr>
            <w:tcW w:w="1331" w:type="dxa"/>
            <w:vMerge w:val="restart"/>
          </w:tcPr>
          <w:p w:rsidR="001952D9" w:rsidRPr="008925CF" w:rsidRDefault="001952D9" w:rsidP="00A06125">
            <w:pPr>
              <w:pStyle w:val="naisf"/>
              <w:spacing w:before="0" w:after="0"/>
              <w:ind w:firstLine="0"/>
              <w:jc w:val="center"/>
              <w:rPr>
                <w:i/>
              </w:rPr>
            </w:pPr>
            <w:r w:rsidRPr="008925CF">
              <w:t>X</w:t>
            </w:r>
          </w:p>
        </w:tc>
        <w:tc>
          <w:tcPr>
            <w:tcW w:w="1354" w:type="dxa"/>
          </w:tcPr>
          <w:p w:rsidR="001952D9" w:rsidRPr="008925CF" w:rsidRDefault="001952D9" w:rsidP="00A06125">
            <w:pPr>
              <w:pStyle w:val="naisf"/>
              <w:spacing w:before="0" w:after="0"/>
              <w:ind w:firstLine="0"/>
              <w:rPr>
                <w:i/>
              </w:rPr>
            </w:pPr>
            <w:r w:rsidRPr="008925CF">
              <w:rPr>
                <w:i/>
              </w:rPr>
              <w:t>0</w:t>
            </w:r>
          </w:p>
        </w:tc>
        <w:tc>
          <w:tcPr>
            <w:tcW w:w="1354" w:type="dxa"/>
          </w:tcPr>
          <w:p w:rsidR="001952D9" w:rsidRPr="008925CF" w:rsidRDefault="001952D9" w:rsidP="00A06125">
            <w:pPr>
              <w:pStyle w:val="naisf"/>
              <w:spacing w:before="0" w:after="0"/>
              <w:ind w:firstLine="0"/>
              <w:rPr>
                <w:i/>
              </w:rPr>
            </w:pPr>
            <w:r w:rsidRPr="008925CF">
              <w:rPr>
                <w:i/>
              </w:rPr>
              <w:t>0</w:t>
            </w:r>
          </w:p>
        </w:tc>
        <w:tc>
          <w:tcPr>
            <w:tcW w:w="1355" w:type="dxa"/>
          </w:tcPr>
          <w:p w:rsidR="001952D9" w:rsidRPr="008925CF" w:rsidRDefault="001952D9" w:rsidP="00A06125">
            <w:pPr>
              <w:pStyle w:val="naisf"/>
              <w:spacing w:before="0" w:after="0"/>
              <w:ind w:firstLine="0"/>
              <w:rPr>
                <w:i/>
              </w:rPr>
            </w:pPr>
            <w:r w:rsidRPr="008925CF">
              <w:rPr>
                <w:i/>
              </w:rPr>
              <w:t>0</w:t>
            </w:r>
          </w:p>
        </w:tc>
        <w:tc>
          <w:tcPr>
            <w:tcW w:w="1406" w:type="dxa"/>
          </w:tcPr>
          <w:p w:rsidR="001952D9" w:rsidRPr="008925CF" w:rsidRDefault="001952D9" w:rsidP="00A06125">
            <w:pPr>
              <w:pStyle w:val="naisf"/>
              <w:spacing w:before="0" w:after="0"/>
              <w:ind w:firstLine="0"/>
              <w:rPr>
                <w:i/>
              </w:rPr>
            </w:pPr>
            <w:r w:rsidRPr="008925CF">
              <w:rPr>
                <w:i/>
              </w:rPr>
              <w:t>0</w:t>
            </w:r>
          </w:p>
        </w:tc>
      </w:tr>
      <w:tr w:rsidR="001952D9" w:rsidRPr="00327875" w:rsidTr="00865AD4">
        <w:trPr>
          <w:jc w:val="center"/>
        </w:trPr>
        <w:tc>
          <w:tcPr>
            <w:tcW w:w="2358" w:type="dxa"/>
          </w:tcPr>
          <w:p w:rsidR="001952D9" w:rsidRPr="00327875" w:rsidRDefault="001952D9" w:rsidP="00A06125">
            <w:pPr>
              <w:spacing w:line="240" w:lineRule="auto"/>
              <w:rPr>
                <w:rFonts w:ascii="Times New Roman" w:hAnsi="Times New Roman" w:cs="Times New Roman"/>
                <w:sz w:val="24"/>
                <w:szCs w:val="24"/>
              </w:rPr>
            </w:pPr>
            <w:r w:rsidRPr="00327875">
              <w:rPr>
                <w:rFonts w:ascii="Times New Roman" w:hAnsi="Times New Roman" w:cs="Times New Roman"/>
                <w:sz w:val="24"/>
                <w:szCs w:val="24"/>
              </w:rPr>
              <w:t>5.1. valsts pamatbudžets</w:t>
            </w:r>
          </w:p>
        </w:tc>
        <w:tc>
          <w:tcPr>
            <w:tcW w:w="1331" w:type="dxa"/>
            <w:vMerge/>
            <w:vAlign w:val="center"/>
          </w:tcPr>
          <w:p w:rsidR="001952D9" w:rsidRPr="008925CF" w:rsidRDefault="001952D9" w:rsidP="00A06125">
            <w:pPr>
              <w:pStyle w:val="naisf"/>
              <w:spacing w:before="0" w:after="0"/>
              <w:ind w:firstLine="0"/>
              <w:jc w:val="center"/>
              <w:rPr>
                <w:i/>
              </w:rPr>
            </w:pPr>
          </w:p>
        </w:tc>
        <w:tc>
          <w:tcPr>
            <w:tcW w:w="1354" w:type="dxa"/>
          </w:tcPr>
          <w:p w:rsidR="001952D9" w:rsidRPr="008925CF" w:rsidRDefault="001952D9" w:rsidP="00A06125">
            <w:pPr>
              <w:pStyle w:val="naisf"/>
              <w:spacing w:before="0" w:after="0"/>
              <w:ind w:firstLine="0"/>
              <w:rPr>
                <w:i/>
              </w:rPr>
            </w:pPr>
            <w:r w:rsidRPr="008925CF">
              <w:rPr>
                <w:i/>
              </w:rPr>
              <w:t>0</w:t>
            </w:r>
          </w:p>
        </w:tc>
        <w:tc>
          <w:tcPr>
            <w:tcW w:w="1354" w:type="dxa"/>
          </w:tcPr>
          <w:p w:rsidR="001952D9" w:rsidRPr="008925CF" w:rsidRDefault="001952D9" w:rsidP="00A06125">
            <w:pPr>
              <w:pStyle w:val="naisf"/>
              <w:spacing w:before="0" w:after="0"/>
              <w:ind w:firstLine="0"/>
              <w:rPr>
                <w:i/>
              </w:rPr>
            </w:pPr>
            <w:r w:rsidRPr="008925CF">
              <w:rPr>
                <w:i/>
              </w:rPr>
              <w:t>0</w:t>
            </w:r>
          </w:p>
        </w:tc>
        <w:tc>
          <w:tcPr>
            <w:tcW w:w="1355" w:type="dxa"/>
          </w:tcPr>
          <w:p w:rsidR="001952D9" w:rsidRPr="008925CF" w:rsidRDefault="001952D9" w:rsidP="00A06125">
            <w:pPr>
              <w:pStyle w:val="naisf"/>
              <w:spacing w:before="0" w:after="0"/>
              <w:ind w:firstLine="0"/>
              <w:rPr>
                <w:i/>
              </w:rPr>
            </w:pPr>
            <w:r w:rsidRPr="008925CF">
              <w:rPr>
                <w:i/>
              </w:rPr>
              <w:t>0</w:t>
            </w:r>
          </w:p>
        </w:tc>
        <w:tc>
          <w:tcPr>
            <w:tcW w:w="1406" w:type="dxa"/>
          </w:tcPr>
          <w:p w:rsidR="001952D9" w:rsidRPr="008925CF" w:rsidRDefault="001952D9" w:rsidP="00A06125">
            <w:pPr>
              <w:pStyle w:val="naisf"/>
              <w:spacing w:before="0" w:after="0"/>
              <w:ind w:firstLine="0"/>
              <w:rPr>
                <w:i/>
              </w:rPr>
            </w:pPr>
            <w:r w:rsidRPr="008925CF">
              <w:rPr>
                <w:i/>
              </w:rPr>
              <w:t>0</w:t>
            </w:r>
          </w:p>
        </w:tc>
      </w:tr>
      <w:tr w:rsidR="001952D9" w:rsidRPr="00327875" w:rsidTr="00865AD4">
        <w:trPr>
          <w:jc w:val="center"/>
        </w:trPr>
        <w:tc>
          <w:tcPr>
            <w:tcW w:w="2358" w:type="dxa"/>
          </w:tcPr>
          <w:p w:rsidR="001952D9" w:rsidRPr="00327875" w:rsidRDefault="001952D9" w:rsidP="00A06125">
            <w:pPr>
              <w:spacing w:line="240" w:lineRule="auto"/>
              <w:rPr>
                <w:rFonts w:ascii="Times New Roman" w:hAnsi="Times New Roman" w:cs="Times New Roman"/>
                <w:sz w:val="24"/>
                <w:szCs w:val="24"/>
              </w:rPr>
            </w:pPr>
            <w:r w:rsidRPr="00327875">
              <w:rPr>
                <w:rFonts w:ascii="Times New Roman" w:hAnsi="Times New Roman" w:cs="Times New Roman"/>
                <w:sz w:val="24"/>
                <w:szCs w:val="24"/>
              </w:rPr>
              <w:t>5.2. speciālais budžets</w:t>
            </w:r>
          </w:p>
        </w:tc>
        <w:tc>
          <w:tcPr>
            <w:tcW w:w="1331" w:type="dxa"/>
            <w:vMerge/>
            <w:vAlign w:val="center"/>
          </w:tcPr>
          <w:p w:rsidR="001952D9" w:rsidRPr="008925CF" w:rsidRDefault="001952D9" w:rsidP="00A06125">
            <w:pPr>
              <w:pStyle w:val="naisf"/>
              <w:spacing w:before="0" w:after="0"/>
              <w:ind w:firstLine="0"/>
              <w:jc w:val="center"/>
              <w:rPr>
                <w:i/>
              </w:rPr>
            </w:pPr>
          </w:p>
        </w:tc>
        <w:tc>
          <w:tcPr>
            <w:tcW w:w="1354" w:type="dxa"/>
          </w:tcPr>
          <w:p w:rsidR="001952D9" w:rsidRPr="008925CF" w:rsidRDefault="001952D9" w:rsidP="00A06125">
            <w:pPr>
              <w:pStyle w:val="naisf"/>
              <w:spacing w:before="0" w:after="0"/>
              <w:ind w:firstLine="0"/>
              <w:rPr>
                <w:i/>
              </w:rPr>
            </w:pPr>
            <w:r w:rsidRPr="008925CF">
              <w:rPr>
                <w:i/>
              </w:rPr>
              <w:t>0</w:t>
            </w:r>
          </w:p>
        </w:tc>
        <w:tc>
          <w:tcPr>
            <w:tcW w:w="1354" w:type="dxa"/>
          </w:tcPr>
          <w:p w:rsidR="001952D9" w:rsidRPr="008925CF" w:rsidRDefault="001952D9" w:rsidP="00A06125">
            <w:pPr>
              <w:pStyle w:val="naisf"/>
              <w:spacing w:before="0" w:after="0"/>
              <w:ind w:firstLine="0"/>
              <w:rPr>
                <w:i/>
              </w:rPr>
            </w:pPr>
            <w:r w:rsidRPr="008925CF">
              <w:rPr>
                <w:i/>
              </w:rPr>
              <w:t>0</w:t>
            </w:r>
          </w:p>
        </w:tc>
        <w:tc>
          <w:tcPr>
            <w:tcW w:w="1355" w:type="dxa"/>
          </w:tcPr>
          <w:p w:rsidR="001952D9" w:rsidRPr="008925CF" w:rsidRDefault="001952D9" w:rsidP="00A06125">
            <w:pPr>
              <w:pStyle w:val="naisf"/>
              <w:spacing w:before="0" w:after="0"/>
              <w:ind w:firstLine="0"/>
              <w:rPr>
                <w:i/>
              </w:rPr>
            </w:pPr>
            <w:r w:rsidRPr="008925CF">
              <w:rPr>
                <w:i/>
              </w:rPr>
              <w:t>0</w:t>
            </w:r>
          </w:p>
        </w:tc>
        <w:tc>
          <w:tcPr>
            <w:tcW w:w="1406" w:type="dxa"/>
          </w:tcPr>
          <w:p w:rsidR="001952D9" w:rsidRPr="008925CF" w:rsidRDefault="001952D9" w:rsidP="00A06125">
            <w:pPr>
              <w:pStyle w:val="naisf"/>
              <w:spacing w:before="0" w:after="0"/>
              <w:ind w:firstLine="0"/>
              <w:rPr>
                <w:i/>
              </w:rPr>
            </w:pPr>
            <w:r w:rsidRPr="008925CF">
              <w:rPr>
                <w:i/>
              </w:rPr>
              <w:t>0</w:t>
            </w:r>
          </w:p>
        </w:tc>
      </w:tr>
      <w:tr w:rsidR="001952D9" w:rsidRPr="00327875" w:rsidTr="00865AD4">
        <w:trPr>
          <w:jc w:val="center"/>
        </w:trPr>
        <w:tc>
          <w:tcPr>
            <w:tcW w:w="2358" w:type="dxa"/>
          </w:tcPr>
          <w:p w:rsidR="001952D9" w:rsidRPr="00327875" w:rsidRDefault="001952D9" w:rsidP="00A06125">
            <w:pPr>
              <w:spacing w:line="240" w:lineRule="auto"/>
              <w:rPr>
                <w:rFonts w:ascii="Times New Roman" w:hAnsi="Times New Roman" w:cs="Times New Roman"/>
                <w:sz w:val="24"/>
                <w:szCs w:val="24"/>
              </w:rPr>
            </w:pPr>
            <w:r w:rsidRPr="00327875">
              <w:rPr>
                <w:rFonts w:ascii="Times New Roman" w:hAnsi="Times New Roman" w:cs="Times New Roman"/>
                <w:sz w:val="24"/>
                <w:szCs w:val="24"/>
              </w:rPr>
              <w:t xml:space="preserve">5.3. pašvaldību budžets </w:t>
            </w:r>
          </w:p>
        </w:tc>
        <w:tc>
          <w:tcPr>
            <w:tcW w:w="1331" w:type="dxa"/>
            <w:vMerge/>
            <w:vAlign w:val="center"/>
          </w:tcPr>
          <w:p w:rsidR="001952D9" w:rsidRPr="008925CF" w:rsidRDefault="001952D9" w:rsidP="00A06125">
            <w:pPr>
              <w:pStyle w:val="naisf"/>
              <w:spacing w:before="0" w:after="0"/>
              <w:ind w:firstLine="0"/>
              <w:jc w:val="center"/>
              <w:rPr>
                <w:i/>
              </w:rPr>
            </w:pPr>
          </w:p>
        </w:tc>
        <w:tc>
          <w:tcPr>
            <w:tcW w:w="1354" w:type="dxa"/>
          </w:tcPr>
          <w:p w:rsidR="001952D9" w:rsidRPr="008925CF" w:rsidRDefault="001952D9" w:rsidP="00A06125">
            <w:pPr>
              <w:pStyle w:val="naisf"/>
              <w:spacing w:before="0" w:after="0"/>
              <w:ind w:firstLine="0"/>
              <w:rPr>
                <w:i/>
              </w:rPr>
            </w:pPr>
            <w:r w:rsidRPr="008925CF">
              <w:rPr>
                <w:i/>
              </w:rPr>
              <w:t>0</w:t>
            </w:r>
          </w:p>
        </w:tc>
        <w:tc>
          <w:tcPr>
            <w:tcW w:w="1354" w:type="dxa"/>
          </w:tcPr>
          <w:p w:rsidR="001952D9" w:rsidRPr="008925CF" w:rsidRDefault="001952D9" w:rsidP="00A06125">
            <w:pPr>
              <w:pStyle w:val="naisf"/>
              <w:spacing w:before="0" w:after="0"/>
              <w:ind w:firstLine="0"/>
              <w:rPr>
                <w:i/>
              </w:rPr>
            </w:pPr>
            <w:r w:rsidRPr="008925CF">
              <w:rPr>
                <w:i/>
              </w:rPr>
              <w:t>0</w:t>
            </w:r>
          </w:p>
        </w:tc>
        <w:tc>
          <w:tcPr>
            <w:tcW w:w="1355" w:type="dxa"/>
          </w:tcPr>
          <w:p w:rsidR="001952D9" w:rsidRPr="008925CF" w:rsidRDefault="001952D9" w:rsidP="00A06125">
            <w:pPr>
              <w:pStyle w:val="naisf"/>
              <w:spacing w:before="0" w:after="0"/>
              <w:ind w:firstLine="0"/>
              <w:rPr>
                <w:i/>
              </w:rPr>
            </w:pPr>
            <w:r w:rsidRPr="008925CF">
              <w:rPr>
                <w:i/>
              </w:rPr>
              <w:t>0</w:t>
            </w:r>
          </w:p>
        </w:tc>
        <w:tc>
          <w:tcPr>
            <w:tcW w:w="1406" w:type="dxa"/>
          </w:tcPr>
          <w:p w:rsidR="001952D9" w:rsidRPr="008925CF" w:rsidRDefault="001952D9" w:rsidP="00A06125">
            <w:pPr>
              <w:pStyle w:val="naisf"/>
              <w:spacing w:before="0" w:after="0"/>
              <w:ind w:firstLine="0"/>
              <w:rPr>
                <w:i/>
              </w:rPr>
            </w:pPr>
            <w:r w:rsidRPr="008925CF">
              <w:rPr>
                <w:i/>
              </w:rPr>
              <w:t>0</w:t>
            </w:r>
          </w:p>
        </w:tc>
      </w:tr>
      <w:tr w:rsidR="001952D9" w:rsidRPr="00327875" w:rsidTr="00865AD4">
        <w:trPr>
          <w:jc w:val="center"/>
        </w:trPr>
        <w:tc>
          <w:tcPr>
            <w:tcW w:w="2358" w:type="dxa"/>
          </w:tcPr>
          <w:p w:rsidR="001952D9" w:rsidRPr="00327875" w:rsidRDefault="001952D9" w:rsidP="00A06125">
            <w:pPr>
              <w:spacing w:line="240" w:lineRule="auto"/>
              <w:jc w:val="both"/>
              <w:rPr>
                <w:rFonts w:ascii="Times New Roman" w:hAnsi="Times New Roman" w:cs="Times New Roman"/>
                <w:sz w:val="24"/>
                <w:szCs w:val="24"/>
              </w:rPr>
            </w:pPr>
            <w:r w:rsidRPr="00327875">
              <w:rPr>
                <w:rFonts w:ascii="Times New Roman" w:hAnsi="Times New Roman" w:cs="Times New Roman"/>
                <w:sz w:val="24"/>
                <w:szCs w:val="24"/>
              </w:rPr>
              <w:t>6. Detalizēts ieņēmumu un izdevu</w:t>
            </w:r>
            <w:r w:rsidRPr="00327875">
              <w:rPr>
                <w:rFonts w:ascii="Times New Roman" w:hAnsi="Times New Roman" w:cs="Times New Roman"/>
                <w:sz w:val="24"/>
                <w:szCs w:val="24"/>
              </w:rPr>
              <w:softHyphen/>
              <w:t>mu aprēķins (ja nepieciešams, detalizētu ieņēmumu un izdevumu aprēķinu var pievienot anotācijas pielikumā):</w:t>
            </w:r>
          </w:p>
        </w:tc>
        <w:tc>
          <w:tcPr>
            <w:tcW w:w="6800" w:type="dxa"/>
            <w:gridSpan w:val="5"/>
            <w:vMerge w:val="restart"/>
            <w:vAlign w:val="center"/>
          </w:tcPr>
          <w:p w:rsidR="001952D9" w:rsidRPr="00327875" w:rsidRDefault="001952D9" w:rsidP="00A06125">
            <w:pPr>
              <w:pStyle w:val="naisf"/>
              <w:spacing w:before="0" w:after="0"/>
              <w:ind w:firstLine="0"/>
              <w:rPr>
                <w:b/>
                <w:i/>
              </w:rPr>
            </w:pPr>
          </w:p>
        </w:tc>
      </w:tr>
      <w:tr w:rsidR="001952D9" w:rsidRPr="00327875" w:rsidTr="00865AD4">
        <w:trPr>
          <w:jc w:val="center"/>
        </w:trPr>
        <w:tc>
          <w:tcPr>
            <w:tcW w:w="2358" w:type="dxa"/>
          </w:tcPr>
          <w:p w:rsidR="001952D9" w:rsidRPr="00327875" w:rsidRDefault="001952D9" w:rsidP="00A06125">
            <w:pPr>
              <w:spacing w:line="240" w:lineRule="auto"/>
              <w:rPr>
                <w:rFonts w:ascii="Times New Roman" w:hAnsi="Times New Roman" w:cs="Times New Roman"/>
                <w:sz w:val="24"/>
                <w:szCs w:val="24"/>
              </w:rPr>
            </w:pPr>
            <w:r w:rsidRPr="00327875">
              <w:rPr>
                <w:rFonts w:ascii="Times New Roman" w:hAnsi="Times New Roman" w:cs="Times New Roman"/>
                <w:sz w:val="24"/>
                <w:szCs w:val="24"/>
              </w:rPr>
              <w:t>6.1. detalizēts ieņēmumu aprēķins</w:t>
            </w:r>
          </w:p>
        </w:tc>
        <w:tc>
          <w:tcPr>
            <w:tcW w:w="6800" w:type="dxa"/>
            <w:gridSpan w:val="5"/>
            <w:vMerge/>
          </w:tcPr>
          <w:p w:rsidR="001952D9" w:rsidRPr="00327875" w:rsidRDefault="001952D9" w:rsidP="00A06125">
            <w:pPr>
              <w:pStyle w:val="naisf"/>
              <w:spacing w:before="0" w:after="0"/>
              <w:ind w:firstLine="0"/>
              <w:rPr>
                <w:b/>
                <w:i/>
              </w:rPr>
            </w:pPr>
          </w:p>
        </w:tc>
      </w:tr>
      <w:tr w:rsidR="001952D9" w:rsidRPr="00327875" w:rsidTr="00865AD4">
        <w:trPr>
          <w:jc w:val="center"/>
        </w:trPr>
        <w:tc>
          <w:tcPr>
            <w:tcW w:w="2358" w:type="dxa"/>
          </w:tcPr>
          <w:p w:rsidR="001952D9" w:rsidRPr="00327875" w:rsidRDefault="001952D9" w:rsidP="00A06125">
            <w:pPr>
              <w:spacing w:line="240" w:lineRule="auto"/>
              <w:rPr>
                <w:rFonts w:ascii="Times New Roman" w:hAnsi="Times New Roman" w:cs="Times New Roman"/>
                <w:sz w:val="24"/>
                <w:szCs w:val="24"/>
              </w:rPr>
            </w:pPr>
            <w:r w:rsidRPr="00327875">
              <w:rPr>
                <w:rFonts w:ascii="Times New Roman" w:hAnsi="Times New Roman" w:cs="Times New Roman"/>
                <w:sz w:val="24"/>
                <w:szCs w:val="24"/>
              </w:rPr>
              <w:t>6.2. detalizēts izdevumu aprēķins</w:t>
            </w:r>
          </w:p>
        </w:tc>
        <w:tc>
          <w:tcPr>
            <w:tcW w:w="6800" w:type="dxa"/>
            <w:gridSpan w:val="5"/>
            <w:vMerge/>
          </w:tcPr>
          <w:p w:rsidR="001952D9" w:rsidRPr="00327875" w:rsidRDefault="001952D9" w:rsidP="00A06125">
            <w:pPr>
              <w:pStyle w:val="naisf"/>
              <w:spacing w:before="0" w:after="0"/>
              <w:ind w:firstLine="0"/>
              <w:rPr>
                <w:b/>
                <w:i/>
              </w:rPr>
            </w:pPr>
          </w:p>
        </w:tc>
      </w:tr>
      <w:tr w:rsidR="001952D9" w:rsidRPr="00327875" w:rsidTr="00865AD4">
        <w:trPr>
          <w:jc w:val="center"/>
        </w:trPr>
        <w:tc>
          <w:tcPr>
            <w:tcW w:w="2358" w:type="dxa"/>
          </w:tcPr>
          <w:p w:rsidR="001952D9" w:rsidRPr="00327875" w:rsidRDefault="001952D9" w:rsidP="00A06125">
            <w:pPr>
              <w:spacing w:line="240" w:lineRule="auto"/>
              <w:rPr>
                <w:rFonts w:ascii="Times New Roman" w:hAnsi="Times New Roman" w:cs="Times New Roman"/>
                <w:sz w:val="24"/>
                <w:szCs w:val="24"/>
              </w:rPr>
            </w:pPr>
            <w:r w:rsidRPr="00327875">
              <w:rPr>
                <w:rFonts w:ascii="Times New Roman" w:hAnsi="Times New Roman" w:cs="Times New Roman"/>
                <w:sz w:val="24"/>
                <w:szCs w:val="24"/>
              </w:rPr>
              <w:t>7. Cita informācija</w:t>
            </w:r>
          </w:p>
        </w:tc>
        <w:tc>
          <w:tcPr>
            <w:tcW w:w="6800" w:type="dxa"/>
            <w:gridSpan w:val="5"/>
          </w:tcPr>
          <w:p w:rsidR="001952D9" w:rsidRPr="00327875" w:rsidRDefault="001952D9" w:rsidP="00A06125">
            <w:pPr>
              <w:pStyle w:val="naisf"/>
              <w:tabs>
                <w:tab w:val="left" w:pos="4644"/>
              </w:tabs>
              <w:spacing w:before="0" w:after="0"/>
              <w:ind w:firstLine="0"/>
            </w:pPr>
            <w:r w:rsidRPr="00327875">
              <w:t>Nav</w:t>
            </w:r>
          </w:p>
        </w:tc>
      </w:tr>
    </w:tbl>
    <w:p w:rsidR="00F24C66" w:rsidRPr="00327875" w:rsidRDefault="00F24C66" w:rsidP="00A06125">
      <w:pPr>
        <w:spacing w:after="0" w:line="240" w:lineRule="auto"/>
        <w:jc w:val="both"/>
        <w:rPr>
          <w:rFonts w:ascii="Times New Roman" w:hAnsi="Times New Roman" w:cs="Times New Roman"/>
          <w:b/>
          <w:sz w:val="24"/>
          <w:szCs w:val="24"/>
        </w:rPr>
      </w:pPr>
    </w:p>
    <w:tbl>
      <w:tblPr>
        <w:tblW w:w="9209"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090"/>
        <w:gridCol w:w="5723"/>
      </w:tblGrid>
      <w:tr w:rsidR="001952D9" w:rsidRPr="00327875" w:rsidTr="001952D9">
        <w:trPr>
          <w:jc w:val="center"/>
        </w:trPr>
        <w:tc>
          <w:tcPr>
            <w:tcW w:w="9209" w:type="dxa"/>
            <w:gridSpan w:val="3"/>
          </w:tcPr>
          <w:p w:rsidR="001952D9" w:rsidRPr="00327875" w:rsidRDefault="001952D9" w:rsidP="00A06125">
            <w:pPr>
              <w:pStyle w:val="naisnod"/>
              <w:spacing w:before="0" w:after="0"/>
            </w:pPr>
            <w:r w:rsidRPr="00327875">
              <w:t>IV. Tiesību akta projekta ietekme uz spēkā esošo tiesību normu sistēmu</w:t>
            </w:r>
          </w:p>
        </w:tc>
      </w:tr>
      <w:tr w:rsidR="001952D9" w:rsidRPr="00327875" w:rsidTr="001952D9">
        <w:trPr>
          <w:jc w:val="center"/>
        </w:trPr>
        <w:tc>
          <w:tcPr>
            <w:tcW w:w="396" w:type="dxa"/>
          </w:tcPr>
          <w:p w:rsidR="001952D9" w:rsidRPr="00327875" w:rsidRDefault="001952D9" w:rsidP="00A06125">
            <w:pPr>
              <w:pStyle w:val="naiskr"/>
              <w:tabs>
                <w:tab w:val="left" w:pos="2628"/>
              </w:tabs>
              <w:spacing w:before="0" w:after="0"/>
              <w:jc w:val="both"/>
              <w:rPr>
                <w:iCs/>
              </w:rPr>
            </w:pPr>
            <w:r w:rsidRPr="00327875">
              <w:rPr>
                <w:iCs/>
              </w:rPr>
              <w:lastRenderedPageBreak/>
              <w:t>1.</w:t>
            </w:r>
          </w:p>
        </w:tc>
        <w:tc>
          <w:tcPr>
            <w:tcW w:w="3090" w:type="dxa"/>
          </w:tcPr>
          <w:p w:rsidR="001952D9" w:rsidRPr="00327875" w:rsidRDefault="001952D9" w:rsidP="00A06125">
            <w:pPr>
              <w:pStyle w:val="naiskr"/>
              <w:tabs>
                <w:tab w:val="left" w:pos="2628"/>
              </w:tabs>
              <w:spacing w:before="0" w:after="0"/>
              <w:jc w:val="both"/>
              <w:rPr>
                <w:iCs/>
              </w:rPr>
            </w:pPr>
            <w:r w:rsidRPr="00327875">
              <w:t>Nepieciešamie saistītie tiesību aktu projekti</w:t>
            </w:r>
          </w:p>
        </w:tc>
        <w:tc>
          <w:tcPr>
            <w:tcW w:w="5723" w:type="dxa"/>
          </w:tcPr>
          <w:p w:rsidR="001952D9" w:rsidRPr="00327875" w:rsidRDefault="001952D9" w:rsidP="00A06125">
            <w:pPr>
              <w:pStyle w:val="naiskr"/>
              <w:tabs>
                <w:tab w:val="left" w:pos="2628"/>
              </w:tabs>
              <w:spacing w:before="0" w:after="0"/>
              <w:jc w:val="both"/>
              <w:rPr>
                <w:b/>
                <w:iCs/>
              </w:rPr>
            </w:pPr>
            <w:r w:rsidRPr="00327875">
              <w:rPr>
                <w:b/>
                <w:iCs/>
              </w:rPr>
              <w:t>Nav</w:t>
            </w:r>
          </w:p>
        </w:tc>
      </w:tr>
      <w:tr w:rsidR="001952D9" w:rsidRPr="00327875" w:rsidTr="001952D9">
        <w:trPr>
          <w:jc w:val="center"/>
        </w:trPr>
        <w:tc>
          <w:tcPr>
            <w:tcW w:w="396" w:type="dxa"/>
          </w:tcPr>
          <w:p w:rsidR="001952D9" w:rsidRPr="00327875" w:rsidRDefault="001952D9" w:rsidP="00A06125">
            <w:pPr>
              <w:pStyle w:val="naiskr"/>
              <w:tabs>
                <w:tab w:val="left" w:pos="2628"/>
              </w:tabs>
              <w:spacing w:before="0" w:after="0"/>
              <w:jc w:val="both"/>
              <w:rPr>
                <w:iCs/>
              </w:rPr>
            </w:pPr>
            <w:r w:rsidRPr="00327875">
              <w:rPr>
                <w:iCs/>
              </w:rPr>
              <w:t>2.</w:t>
            </w:r>
          </w:p>
        </w:tc>
        <w:tc>
          <w:tcPr>
            <w:tcW w:w="3090" w:type="dxa"/>
          </w:tcPr>
          <w:p w:rsidR="001952D9" w:rsidRPr="00327875" w:rsidRDefault="001952D9" w:rsidP="00A06125">
            <w:pPr>
              <w:pStyle w:val="naiskr"/>
              <w:tabs>
                <w:tab w:val="left" w:pos="2628"/>
              </w:tabs>
              <w:spacing w:before="0" w:after="0"/>
              <w:jc w:val="both"/>
              <w:rPr>
                <w:iCs/>
              </w:rPr>
            </w:pPr>
            <w:r w:rsidRPr="00327875">
              <w:t>Cita informācija</w:t>
            </w:r>
          </w:p>
        </w:tc>
        <w:tc>
          <w:tcPr>
            <w:tcW w:w="5723" w:type="dxa"/>
          </w:tcPr>
          <w:p w:rsidR="001952D9" w:rsidRPr="00327875" w:rsidRDefault="001952D9" w:rsidP="00A06125">
            <w:pPr>
              <w:pStyle w:val="naiskr"/>
              <w:tabs>
                <w:tab w:val="left" w:pos="2628"/>
              </w:tabs>
              <w:spacing w:before="0" w:after="0"/>
              <w:jc w:val="both"/>
              <w:rPr>
                <w:b/>
                <w:iCs/>
              </w:rPr>
            </w:pPr>
            <w:r w:rsidRPr="00327875">
              <w:rPr>
                <w:b/>
              </w:rPr>
              <w:t>Nav</w:t>
            </w:r>
          </w:p>
        </w:tc>
      </w:tr>
    </w:tbl>
    <w:p w:rsidR="001952D9" w:rsidRPr="00327875" w:rsidRDefault="001952D9" w:rsidP="00A06125">
      <w:pPr>
        <w:spacing w:after="0" w:line="240" w:lineRule="auto"/>
        <w:jc w:val="both"/>
        <w:rPr>
          <w:rFonts w:ascii="Times New Roman" w:hAnsi="Times New Roman" w:cs="Times New Roman"/>
          <w:b/>
          <w:sz w:val="24"/>
          <w:szCs w:val="24"/>
        </w:rPr>
      </w:pPr>
    </w:p>
    <w:tbl>
      <w:tblPr>
        <w:tblStyle w:val="TableGrid"/>
        <w:tblW w:w="0" w:type="auto"/>
        <w:tblLook w:val="04A0"/>
      </w:tblPr>
      <w:tblGrid>
        <w:gridCol w:w="411"/>
        <w:gridCol w:w="2548"/>
        <w:gridCol w:w="6328"/>
      </w:tblGrid>
      <w:tr w:rsidR="00D64881" w:rsidRPr="00327875" w:rsidTr="00D64881">
        <w:tc>
          <w:tcPr>
            <w:tcW w:w="9287" w:type="dxa"/>
            <w:gridSpan w:val="3"/>
          </w:tcPr>
          <w:p w:rsidR="00D64881" w:rsidRPr="00327875" w:rsidRDefault="00D64881" w:rsidP="00A06125">
            <w:pPr>
              <w:jc w:val="center"/>
              <w:rPr>
                <w:rFonts w:ascii="Times New Roman" w:hAnsi="Times New Roman" w:cs="Times New Roman"/>
                <w:b/>
                <w:sz w:val="24"/>
                <w:szCs w:val="24"/>
              </w:rPr>
            </w:pPr>
            <w:r w:rsidRPr="00327875">
              <w:rPr>
                <w:rFonts w:ascii="Times New Roman" w:hAnsi="Times New Roman" w:cs="Times New Roman"/>
                <w:b/>
                <w:bCs/>
                <w:sz w:val="24"/>
                <w:szCs w:val="24"/>
              </w:rPr>
              <w:t>V. Tiesību akta projekta atbilstība Latvijas Republikas starptautiskajām saistībām</w:t>
            </w:r>
          </w:p>
        </w:tc>
      </w:tr>
      <w:tr w:rsidR="00D64881" w:rsidRPr="00327875" w:rsidTr="003F37CC">
        <w:tc>
          <w:tcPr>
            <w:tcW w:w="411" w:type="dxa"/>
          </w:tcPr>
          <w:p w:rsidR="00D64881" w:rsidRPr="00327875" w:rsidRDefault="00D64881" w:rsidP="00A06125">
            <w:pPr>
              <w:jc w:val="both"/>
              <w:rPr>
                <w:rFonts w:ascii="Times New Roman" w:hAnsi="Times New Roman" w:cs="Times New Roman"/>
                <w:sz w:val="24"/>
                <w:szCs w:val="24"/>
              </w:rPr>
            </w:pPr>
            <w:r w:rsidRPr="00327875">
              <w:rPr>
                <w:rFonts w:ascii="Times New Roman" w:hAnsi="Times New Roman" w:cs="Times New Roman"/>
                <w:sz w:val="24"/>
                <w:szCs w:val="24"/>
              </w:rPr>
              <w:t>1.</w:t>
            </w:r>
          </w:p>
        </w:tc>
        <w:tc>
          <w:tcPr>
            <w:tcW w:w="2548" w:type="dxa"/>
          </w:tcPr>
          <w:p w:rsidR="00D64881" w:rsidRPr="00327875" w:rsidRDefault="00D64881" w:rsidP="00A06125">
            <w:pPr>
              <w:jc w:val="both"/>
              <w:rPr>
                <w:rFonts w:ascii="Times New Roman" w:hAnsi="Times New Roman" w:cs="Times New Roman"/>
                <w:sz w:val="24"/>
                <w:szCs w:val="24"/>
              </w:rPr>
            </w:pPr>
            <w:r w:rsidRPr="00327875">
              <w:rPr>
                <w:rFonts w:ascii="Times New Roman" w:hAnsi="Times New Roman" w:cs="Times New Roman"/>
                <w:sz w:val="24"/>
                <w:szCs w:val="24"/>
              </w:rPr>
              <w:t>Saistības pret Eiropas Savienību</w:t>
            </w:r>
          </w:p>
        </w:tc>
        <w:tc>
          <w:tcPr>
            <w:tcW w:w="6328" w:type="dxa"/>
          </w:tcPr>
          <w:p w:rsidR="00481CE1" w:rsidRPr="00327875" w:rsidRDefault="00D64881" w:rsidP="00A06125">
            <w:pPr>
              <w:ind w:left="-124"/>
              <w:jc w:val="both"/>
              <w:rPr>
                <w:rStyle w:val="Strong"/>
                <w:rFonts w:ascii="Times New Roman" w:hAnsi="Times New Roman" w:cs="Times New Roman"/>
                <w:b w:val="0"/>
                <w:sz w:val="24"/>
                <w:szCs w:val="24"/>
              </w:rPr>
            </w:pPr>
            <w:r w:rsidRPr="00327875">
              <w:rPr>
                <w:rFonts w:ascii="Times New Roman" w:hAnsi="Times New Roman" w:cs="Times New Roman"/>
                <w:sz w:val="24"/>
                <w:szCs w:val="24"/>
              </w:rPr>
              <w:t>Ar noteikumu projektu tiks ieviestas šāda Eiropas Savienības tiesību akta prasības:</w:t>
            </w:r>
            <w:r w:rsidR="00045FEF" w:rsidRPr="00327875">
              <w:rPr>
                <w:rFonts w:ascii="Times New Roman" w:hAnsi="Times New Roman" w:cs="Times New Roman"/>
                <w:sz w:val="24"/>
                <w:szCs w:val="24"/>
              </w:rPr>
              <w:t xml:space="preserve"> </w:t>
            </w:r>
            <w:r w:rsidR="00481CE1" w:rsidRPr="00327875">
              <w:rPr>
                <w:rStyle w:val="Strong"/>
                <w:rFonts w:ascii="Times New Roman" w:hAnsi="Times New Roman" w:cs="Times New Roman"/>
                <w:b w:val="0"/>
                <w:sz w:val="24"/>
                <w:szCs w:val="24"/>
              </w:rPr>
              <w:t>Komisijas</w:t>
            </w:r>
            <w:r w:rsidR="00045FEF" w:rsidRPr="00327875">
              <w:rPr>
                <w:rStyle w:val="Strong"/>
                <w:rFonts w:ascii="Times New Roman" w:hAnsi="Times New Roman" w:cs="Times New Roman"/>
                <w:b w:val="0"/>
                <w:sz w:val="24"/>
                <w:szCs w:val="24"/>
              </w:rPr>
              <w:t xml:space="preserve"> Regula Nr.1083/2006.</w:t>
            </w:r>
          </w:p>
          <w:p w:rsidR="00481CE1" w:rsidRPr="00327875" w:rsidRDefault="00481CE1" w:rsidP="00A06125">
            <w:pPr>
              <w:ind w:left="-124"/>
              <w:jc w:val="both"/>
              <w:rPr>
                <w:rFonts w:ascii="Times New Roman" w:hAnsi="Times New Roman" w:cs="Times New Roman"/>
                <w:sz w:val="24"/>
                <w:szCs w:val="24"/>
              </w:rPr>
            </w:pPr>
          </w:p>
        </w:tc>
      </w:tr>
      <w:tr w:rsidR="00D64881" w:rsidRPr="00327875" w:rsidTr="003F37CC">
        <w:tc>
          <w:tcPr>
            <w:tcW w:w="411" w:type="dxa"/>
          </w:tcPr>
          <w:p w:rsidR="00D64881" w:rsidRPr="00327875" w:rsidRDefault="00D64881" w:rsidP="00A06125">
            <w:pPr>
              <w:jc w:val="both"/>
              <w:rPr>
                <w:rFonts w:ascii="Times New Roman" w:hAnsi="Times New Roman" w:cs="Times New Roman"/>
                <w:sz w:val="24"/>
                <w:szCs w:val="24"/>
              </w:rPr>
            </w:pPr>
            <w:r w:rsidRPr="00327875">
              <w:rPr>
                <w:rFonts w:ascii="Times New Roman" w:hAnsi="Times New Roman" w:cs="Times New Roman"/>
                <w:sz w:val="24"/>
                <w:szCs w:val="24"/>
              </w:rPr>
              <w:t>2.</w:t>
            </w:r>
          </w:p>
        </w:tc>
        <w:tc>
          <w:tcPr>
            <w:tcW w:w="2548" w:type="dxa"/>
          </w:tcPr>
          <w:p w:rsidR="00D64881" w:rsidRPr="00327875" w:rsidRDefault="00D64881" w:rsidP="00A06125">
            <w:pPr>
              <w:jc w:val="both"/>
              <w:rPr>
                <w:rFonts w:ascii="Times New Roman" w:hAnsi="Times New Roman" w:cs="Times New Roman"/>
                <w:sz w:val="24"/>
                <w:szCs w:val="24"/>
              </w:rPr>
            </w:pPr>
            <w:r w:rsidRPr="00327875">
              <w:rPr>
                <w:rFonts w:ascii="Times New Roman" w:hAnsi="Times New Roman" w:cs="Times New Roman"/>
                <w:sz w:val="24"/>
                <w:szCs w:val="24"/>
              </w:rPr>
              <w:t>Citas starptautiskās saistības</w:t>
            </w:r>
          </w:p>
        </w:tc>
        <w:tc>
          <w:tcPr>
            <w:tcW w:w="6328" w:type="dxa"/>
          </w:tcPr>
          <w:p w:rsidR="00D64881" w:rsidRPr="00327875" w:rsidRDefault="00D64881" w:rsidP="00A06125">
            <w:pPr>
              <w:ind w:left="-124"/>
              <w:jc w:val="both"/>
              <w:rPr>
                <w:rFonts w:ascii="Times New Roman" w:hAnsi="Times New Roman" w:cs="Times New Roman"/>
                <w:sz w:val="24"/>
                <w:szCs w:val="24"/>
              </w:rPr>
            </w:pPr>
            <w:r w:rsidRPr="00327875">
              <w:rPr>
                <w:rFonts w:ascii="Times New Roman" w:hAnsi="Times New Roman" w:cs="Times New Roman"/>
                <w:sz w:val="24"/>
                <w:szCs w:val="24"/>
              </w:rPr>
              <w:t>Noteikumu projekts šo jomu neskar</w:t>
            </w:r>
          </w:p>
        </w:tc>
      </w:tr>
      <w:tr w:rsidR="00D64881" w:rsidRPr="00327875" w:rsidTr="003F37CC">
        <w:tc>
          <w:tcPr>
            <w:tcW w:w="411" w:type="dxa"/>
          </w:tcPr>
          <w:p w:rsidR="00D64881" w:rsidRPr="00327875" w:rsidRDefault="00D64881" w:rsidP="00A06125">
            <w:pPr>
              <w:jc w:val="both"/>
              <w:rPr>
                <w:rFonts w:ascii="Times New Roman" w:hAnsi="Times New Roman" w:cs="Times New Roman"/>
                <w:sz w:val="24"/>
                <w:szCs w:val="24"/>
              </w:rPr>
            </w:pPr>
            <w:r w:rsidRPr="00327875">
              <w:rPr>
                <w:rFonts w:ascii="Times New Roman" w:hAnsi="Times New Roman" w:cs="Times New Roman"/>
                <w:sz w:val="24"/>
                <w:szCs w:val="24"/>
              </w:rPr>
              <w:t>3.</w:t>
            </w:r>
          </w:p>
        </w:tc>
        <w:tc>
          <w:tcPr>
            <w:tcW w:w="2548" w:type="dxa"/>
          </w:tcPr>
          <w:p w:rsidR="00D64881" w:rsidRPr="00327875" w:rsidRDefault="00D64881" w:rsidP="00A06125">
            <w:pPr>
              <w:jc w:val="both"/>
              <w:rPr>
                <w:rFonts w:ascii="Times New Roman" w:hAnsi="Times New Roman" w:cs="Times New Roman"/>
                <w:sz w:val="24"/>
                <w:szCs w:val="24"/>
              </w:rPr>
            </w:pPr>
            <w:r w:rsidRPr="00327875">
              <w:rPr>
                <w:rFonts w:ascii="Times New Roman" w:hAnsi="Times New Roman" w:cs="Times New Roman"/>
                <w:sz w:val="24"/>
                <w:szCs w:val="24"/>
              </w:rPr>
              <w:t>Cita informācija</w:t>
            </w:r>
          </w:p>
        </w:tc>
        <w:tc>
          <w:tcPr>
            <w:tcW w:w="6328" w:type="dxa"/>
          </w:tcPr>
          <w:p w:rsidR="00D64881" w:rsidRPr="00327875" w:rsidRDefault="00D64881" w:rsidP="00A06125">
            <w:pPr>
              <w:ind w:left="-124"/>
              <w:jc w:val="both"/>
              <w:rPr>
                <w:rFonts w:ascii="Times New Roman" w:hAnsi="Times New Roman" w:cs="Times New Roman"/>
                <w:b/>
                <w:sz w:val="24"/>
                <w:szCs w:val="24"/>
              </w:rPr>
            </w:pPr>
            <w:r w:rsidRPr="00327875">
              <w:rPr>
                <w:rStyle w:val="Strong"/>
                <w:rFonts w:ascii="Times New Roman" w:hAnsi="Times New Roman" w:cs="Times New Roman"/>
                <w:b w:val="0"/>
                <w:sz w:val="24"/>
                <w:szCs w:val="24"/>
              </w:rPr>
              <w:t>Ar noteikumu projektu tiks ieviestas arī Kopienas nostādņu nosacījumi, tai skaitā 3.1.sadaļas ievaddaļas, 28. un 29.zemsvītras piezīmju, 3.2.1. un 3.2.2.sadaļas nosacījumi</w:t>
            </w:r>
            <w:r w:rsidR="00481CE1" w:rsidRPr="00327875">
              <w:rPr>
                <w:rStyle w:val="Strong"/>
                <w:rFonts w:ascii="Times New Roman" w:hAnsi="Times New Roman" w:cs="Times New Roman"/>
                <w:b w:val="0"/>
                <w:sz w:val="24"/>
                <w:szCs w:val="24"/>
              </w:rPr>
              <w:t>.</w:t>
            </w:r>
          </w:p>
        </w:tc>
      </w:tr>
    </w:tbl>
    <w:p w:rsidR="00D64881" w:rsidRDefault="00D64881" w:rsidP="00A06125">
      <w:pPr>
        <w:spacing w:after="0" w:line="240" w:lineRule="auto"/>
        <w:jc w:val="both"/>
        <w:rPr>
          <w:b/>
        </w:rPr>
      </w:pPr>
    </w:p>
    <w:tbl>
      <w:tblPr>
        <w:tblStyle w:val="TableGrid"/>
        <w:tblW w:w="0" w:type="auto"/>
        <w:tblLook w:val="04A0"/>
      </w:tblPr>
      <w:tblGrid>
        <w:gridCol w:w="2321"/>
        <w:gridCol w:w="2322"/>
        <w:gridCol w:w="2322"/>
        <w:gridCol w:w="2322"/>
      </w:tblGrid>
      <w:tr w:rsidR="00D64881" w:rsidRPr="001B2E71" w:rsidTr="00D64881">
        <w:tc>
          <w:tcPr>
            <w:tcW w:w="9287" w:type="dxa"/>
            <w:gridSpan w:val="4"/>
          </w:tcPr>
          <w:p w:rsidR="00D64881" w:rsidRPr="001B2E71" w:rsidRDefault="00D64881" w:rsidP="00A06125">
            <w:pPr>
              <w:jc w:val="center"/>
              <w:rPr>
                <w:rFonts w:ascii="Times New Roman" w:hAnsi="Times New Roman" w:cs="Times New Roman"/>
                <w:b/>
                <w:sz w:val="26"/>
                <w:szCs w:val="26"/>
              </w:rPr>
            </w:pPr>
            <w:r w:rsidRPr="001B2E71">
              <w:rPr>
                <w:rFonts w:ascii="Times New Roman" w:hAnsi="Times New Roman" w:cs="Times New Roman"/>
                <w:b/>
                <w:bCs/>
                <w:sz w:val="26"/>
                <w:szCs w:val="26"/>
              </w:rPr>
              <w:t>1.tabula</w:t>
            </w:r>
            <w:r w:rsidRPr="001B2E71">
              <w:rPr>
                <w:rFonts w:ascii="Times New Roman" w:hAnsi="Times New Roman" w:cs="Times New Roman"/>
                <w:b/>
                <w:bCs/>
                <w:sz w:val="26"/>
                <w:szCs w:val="26"/>
              </w:rPr>
              <w:br/>
              <w:t>Tiesību akta projekta atbilstība ES tiesību aktiem</w:t>
            </w:r>
          </w:p>
        </w:tc>
      </w:tr>
      <w:tr w:rsidR="00D64881" w:rsidRPr="001B2E71" w:rsidTr="00D64881">
        <w:tc>
          <w:tcPr>
            <w:tcW w:w="2321" w:type="dxa"/>
          </w:tcPr>
          <w:p w:rsidR="00D64881" w:rsidRPr="001B2E71" w:rsidRDefault="00D64881" w:rsidP="00A06125">
            <w:pPr>
              <w:jc w:val="both"/>
              <w:rPr>
                <w:rFonts w:ascii="Times New Roman" w:hAnsi="Times New Roman" w:cs="Times New Roman"/>
                <w:b/>
                <w:sz w:val="26"/>
                <w:szCs w:val="26"/>
              </w:rPr>
            </w:pPr>
            <w:r w:rsidRPr="001B2E71">
              <w:rPr>
                <w:rFonts w:ascii="Times New Roman" w:hAnsi="Times New Roman" w:cs="Times New Roman"/>
                <w:sz w:val="26"/>
                <w:szCs w:val="26"/>
              </w:rPr>
              <w:t>Attiecīgā ES tiesību akta datums, numurs un nosaukums</w:t>
            </w:r>
          </w:p>
        </w:tc>
        <w:tc>
          <w:tcPr>
            <w:tcW w:w="6966" w:type="dxa"/>
            <w:gridSpan w:val="3"/>
          </w:tcPr>
          <w:p w:rsidR="00481CE1" w:rsidRPr="00703311" w:rsidRDefault="00481CE1" w:rsidP="00A06125">
            <w:pPr>
              <w:ind w:left="-124"/>
              <w:jc w:val="both"/>
              <w:rPr>
                <w:rStyle w:val="Strong"/>
                <w:rFonts w:ascii="Times New Roman" w:hAnsi="Times New Roman" w:cs="Times New Roman"/>
                <w:b w:val="0"/>
                <w:sz w:val="26"/>
                <w:szCs w:val="26"/>
              </w:rPr>
            </w:pPr>
            <w:r w:rsidRPr="00703311">
              <w:rPr>
                <w:rStyle w:val="Strong"/>
                <w:rFonts w:ascii="Times New Roman" w:hAnsi="Times New Roman" w:cs="Times New Roman"/>
                <w:b w:val="0"/>
                <w:sz w:val="26"/>
                <w:szCs w:val="26"/>
              </w:rPr>
              <w:t>– Komisijas Regula Nr.1083/2006</w:t>
            </w:r>
            <w:r w:rsidR="00C633F6">
              <w:rPr>
                <w:rStyle w:val="Strong"/>
                <w:rFonts w:ascii="Times New Roman" w:hAnsi="Times New Roman" w:cs="Times New Roman"/>
                <w:b w:val="0"/>
                <w:sz w:val="26"/>
                <w:szCs w:val="26"/>
              </w:rPr>
              <w:t>.</w:t>
            </w:r>
          </w:p>
          <w:p w:rsidR="00D64881" w:rsidRPr="00481CE1" w:rsidRDefault="00D64881" w:rsidP="00A06125">
            <w:pPr>
              <w:ind w:left="-124"/>
              <w:jc w:val="both"/>
              <w:rPr>
                <w:rFonts w:ascii="Times New Roman" w:hAnsi="Times New Roman" w:cs="Times New Roman"/>
                <w:b/>
                <w:bCs/>
                <w:sz w:val="26"/>
                <w:szCs w:val="26"/>
              </w:rPr>
            </w:pPr>
          </w:p>
        </w:tc>
      </w:tr>
      <w:tr w:rsidR="00D64881" w:rsidRPr="001B2E71" w:rsidTr="00D64881">
        <w:tc>
          <w:tcPr>
            <w:tcW w:w="2321" w:type="dxa"/>
          </w:tcPr>
          <w:p w:rsidR="00D64881" w:rsidRPr="001B2E71" w:rsidRDefault="00D64881" w:rsidP="00A06125">
            <w:pPr>
              <w:jc w:val="center"/>
              <w:rPr>
                <w:rFonts w:ascii="Times New Roman" w:hAnsi="Times New Roman" w:cs="Times New Roman"/>
                <w:b/>
                <w:sz w:val="26"/>
                <w:szCs w:val="26"/>
              </w:rPr>
            </w:pPr>
            <w:r w:rsidRPr="001B2E71">
              <w:rPr>
                <w:rFonts w:ascii="Times New Roman" w:hAnsi="Times New Roman" w:cs="Times New Roman"/>
                <w:b/>
                <w:sz w:val="26"/>
                <w:szCs w:val="26"/>
              </w:rPr>
              <w:t>A</w:t>
            </w:r>
          </w:p>
        </w:tc>
        <w:tc>
          <w:tcPr>
            <w:tcW w:w="2322" w:type="dxa"/>
          </w:tcPr>
          <w:p w:rsidR="00D64881" w:rsidRPr="001B2E71" w:rsidRDefault="00D64881" w:rsidP="00A06125">
            <w:pPr>
              <w:jc w:val="center"/>
              <w:rPr>
                <w:rFonts w:ascii="Times New Roman" w:hAnsi="Times New Roman" w:cs="Times New Roman"/>
                <w:b/>
                <w:sz w:val="26"/>
                <w:szCs w:val="26"/>
              </w:rPr>
            </w:pPr>
            <w:r w:rsidRPr="001B2E71">
              <w:rPr>
                <w:rFonts w:ascii="Times New Roman" w:hAnsi="Times New Roman" w:cs="Times New Roman"/>
                <w:b/>
                <w:sz w:val="26"/>
                <w:szCs w:val="26"/>
              </w:rPr>
              <w:t>B</w:t>
            </w:r>
          </w:p>
        </w:tc>
        <w:tc>
          <w:tcPr>
            <w:tcW w:w="2322" w:type="dxa"/>
          </w:tcPr>
          <w:p w:rsidR="00D64881" w:rsidRPr="001B2E71" w:rsidRDefault="00D64881" w:rsidP="00A06125">
            <w:pPr>
              <w:jc w:val="center"/>
              <w:rPr>
                <w:rFonts w:ascii="Times New Roman" w:hAnsi="Times New Roman" w:cs="Times New Roman"/>
                <w:b/>
                <w:sz w:val="26"/>
                <w:szCs w:val="26"/>
              </w:rPr>
            </w:pPr>
            <w:r w:rsidRPr="001B2E71">
              <w:rPr>
                <w:rFonts w:ascii="Times New Roman" w:hAnsi="Times New Roman" w:cs="Times New Roman"/>
                <w:b/>
                <w:sz w:val="26"/>
                <w:szCs w:val="26"/>
              </w:rPr>
              <w:t>C</w:t>
            </w:r>
          </w:p>
        </w:tc>
        <w:tc>
          <w:tcPr>
            <w:tcW w:w="2322" w:type="dxa"/>
          </w:tcPr>
          <w:p w:rsidR="00D64881" w:rsidRPr="001B2E71" w:rsidRDefault="00D64881" w:rsidP="00A06125">
            <w:pPr>
              <w:jc w:val="center"/>
              <w:rPr>
                <w:rFonts w:ascii="Times New Roman" w:hAnsi="Times New Roman" w:cs="Times New Roman"/>
                <w:b/>
                <w:sz w:val="26"/>
                <w:szCs w:val="26"/>
              </w:rPr>
            </w:pPr>
            <w:r w:rsidRPr="001B2E71">
              <w:rPr>
                <w:rFonts w:ascii="Times New Roman" w:hAnsi="Times New Roman" w:cs="Times New Roman"/>
                <w:b/>
                <w:sz w:val="26"/>
                <w:szCs w:val="26"/>
              </w:rPr>
              <w:t>D</w:t>
            </w:r>
          </w:p>
        </w:tc>
      </w:tr>
      <w:tr w:rsidR="00D64881" w:rsidRPr="00481CE1" w:rsidTr="00D64881">
        <w:tc>
          <w:tcPr>
            <w:tcW w:w="2321" w:type="dxa"/>
          </w:tcPr>
          <w:p w:rsidR="00D64881" w:rsidRPr="00481CE1" w:rsidRDefault="00D64881" w:rsidP="00A06125">
            <w:pPr>
              <w:jc w:val="both"/>
              <w:rPr>
                <w:rFonts w:ascii="Times New Roman" w:hAnsi="Times New Roman" w:cs="Times New Roman"/>
                <w:b/>
                <w:sz w:val="20"/>
                <w:szCs w:val="20"/>
              </w:rPr>
            </w:pPr>
            <w:r w:rsidRPr="00481CE1">
              <w:rPr>
                <w:rFonts w:ascii="Times New Roman" w:hAnsi="Times New Roman" w:cs="Times New Roman"/>
                <w:sz w:val="20"/>
                <w:szCs w:val="20"/>
              </w:rPr>
              <w:t xml:space="preserve">Attiecīgā ES tiesību akta panta numurs (uzskaitot katru tiesību akta </w:t>
            </w:r>
            <w:r w:rsidRPr="00481CE1">
              <w:rPr>
                <w:rFonts w:ascii="Times New Roman" w:hAnsi="Times New Roman" w:cs="Times New Roman"/>
                <w:sz w:val="20"/>
                <w:szCs w:val="20"/>
              </w:rPr>
              <w:br/>
              <w:t>vienību – pantu, daļu, punktu, apakšpunktu)</w:t>
            </w:r>
          </w:p>
        </w:tc>
        <w:tc>
          <w:tcPr>
            <w:tcW w:w="2322" w:type="dxa"/>
          </w:tcPr>
          <w:p w:rsidR="00D64881" w:rsidRPr="00481CE1" w:rsidRDefault="00D64881" w:rsidP="00A06125">
            <w:pPr>
              <w:jc w:val="both"/>
              <w:rPr>
                <w:rFonts w:ascii="Times New Roman" w:hAnsi="Times New Roman" w:cs="Times New Roman"/>
                <w:b/>
                <w:sz w:val="20"/>
                <w:szCs w:val="20"/>
              </w:rPr>
            </w:pPr>
            <w:r w:rsidRPr="00481CE1">
              <w:rPr>
                <w:rFonts w:ascii="Times New Roman" w:hAnsi="Times New Roman" w:cs="Times New Roman"/>
                <w:sz w:val="20"/>
                <w:szCs w:val="20"/>
              </w:rPr>
              <w:t>Projekta vienība, kas pārņem vai ievieš katru šīs tabulas A ailē minēto ES tiesību akta vienību</w:t>
            </w:r>
          </w:p>
        </w:tc>
        <w:tc>
          <w:tcPr>
            <w:tcW w:w="2322" w:type="dxa"/>
          </w:tcPr>
          <w:p w:rsidR="00D64881" w:rsidRPr="00481CE1" w:rsidRDefault="00D64881" w:rsidP="00A06125">
            <w:pPr>
              <w:pStyle w:val="naiskr"/>
              <w:spacing w:before="0" w:after="0"/>
              <w:rPr>
                <w:sz w:val="20"/>
                <w:szCs w:val="20"/>
              </w:rPr>
            </w:pPr>
            <w:r w:rsidRPr="00481CE1">
              <w:rPr>
                <w:sz w:val="20"/>
                <w:szCs w:val="20"/>
              </w:rPr>
              <w:t>Informācija par to, vai šīs tabulas A ailē minētās ES tiesību akta vienības tiek pārņemtas vai ieviestas pilnībā vai daļēji.</w:t>
            </w:r>
          </w:p>
          <w:p w:rsidR="00D64881" w:rsidRPr="00481CE1" w:rsidRDefault="00D64881" w:rsidP="00A06125">
            <w:pPr>
              <w:pStyle w:val="naiskr"/>
              <w:spacing w:before="0" w:after="0"/>
              <w:rPr>
                <w:sz w:val="20"/>
                <w:szCs w:val="20"/>
              </w:rPr>
            </w:pPr>
            <w:r w:rsidRPr="00481CE1">
              <w:rPr>
                <w:sz w:val="20"/>
                <w:szCs w:val="20"/>
              </w:rPr>
              <w:t>Ja attiecīgā ES tiesību akta vienība tiek pārņemta vai ieviesta daļēji, – sniedz attiecīgu skaidrojumu, kā arī precīzi norāda, kad un kādā veidā ES tiesību akta vienība tiks pārņemta vai ieviesta pilnībā.</w:t>
            </w:r>
          </w:p>
          <w:p w:rsidR="00D64881" w:rsidRPr="00481CE1" w:rsidRDefault="00D64881" w:rsidP="00A06125">
            <w:pPr>
              <w:pStyle w:val="naiskr"/>
              <w:spacing w:before="0" w:after="0"/>
              <w:rPr>
                <w:sz w:val="20"/>
                <w:szCs w:val="20"/>
              </w:rPr>
            </w:pPr>
          </w:p>
          <w:p w:rsidR="00D64881" w:rsidRPr="00481CE1" w:rsidRDefault="00D64881" w:rsidP="00A06125">
            <w:pPr>
              <w:jc w:val="both"/>
              <w:rPr>
                <w:rFonts w:ascii="Times New Roman" w:hAnsi="Times New Roman" w:cs="Times New Roman"/>
                <w:b/>
                <w:sz w:val="20"/>
                <w:szCs w:val="20"/>
              </w:rPr>
            </w:pPr>
            <w:r w:rsidRPr="00481CE1">
              <w:rPr>
                <w:rFonts w:ascii="Times New Roman" w:hAnsi="Times New Roman" w:cs="Times New Roman"/>
                <w:sz w:val="20"/>
                <w:szCs w:val="20"/>
              </w:rPr>
              <w:t>Norāda institūciju, kas ir atbildīga par šo saistību izpildi pilnībā</w:t>
            </w:r>
          </w:p>
        </w:tc>
        <w:tc>
          <w:tcPr>
            <w:tcW w:w="2322" w:type="dxa"/>
          </w:tcPr>
          <w:p w:rsidR="00D64881" w:rsidRPr="00481CE1" w:rsidRDefault="00D64881" w:rsidP="00A06125">
            <w:pPr>
              <w:pStyle w:val="naiskr"/>
              <w:spacing w:before="0" w:after="0"/>
              <w:rPr>
                <w:sz w:val="20"/>
                <w:szCs w:val="20"/>
              </w:rPr>
            </w:pPr>
            <w:r w:rsidRPr="00481CE1">
              <w:rPr>
                <w:sz w:val="20"/>
                <w:szCs w:val="20"/>
              </w:rPr>
              <w:t>Informācija par to, vai šīs tabulas B ailē minētās projekta vienības paredz stingrākas prasības nekā šīs tabulas A ailē minētās ES tiesību akta vienības.</w:t>
            </w:r>
          </w:p>
          <w:p w:rsidR="00D64881" w:rsidRPr="00481CE1" w:rsidRDefault="00D64881" w:rsidP="00A06125">
            <w:pPr>
              <w:pStyle w:val="naiskr"/>
              <w:spacing w:before="0" w:after="0"/>
              <w:rPr>
                <w:sz w:val="20"/>
                <w:szCs w:val="20"/>
              </w:rPr>
            </w:pPr>
          </w:p>
          <w:p w:rsidR="00D64881" w:rsidRPr="00481CE1" w:rsidRDefault="00D64881" w:rsidP="00A06125">
            <w:pPr>
              <w:pStyle w:val="naiskr"/>
              <w:spacing w:before="0" w:after="0"/>
              <w:rPr>
                <w:sz w:val="20"/>
                <w:szCs w:val="20"/>
              </w:rPr>
            </w:pPr>
            <w:r w:rsidRPr="00481CE1">
              <w:rPr>
                <w:sz w:val="20"/>
                <w:szCs w:val="20"/>
              </w:rPr>
              <w:t xml:space="preserve">Ja projekts satur stingrākas prasības nekā attiecīgais ES tiesību </w:t>
            </w:r>
            <w:smartTag w:uri="schemas-tilde-lv/tildestengine" w:element="veidnes">
              <w:smartTagPr>
                <w:attr w:name="text" w:val="akts"/>
                <w:attr w:name="baseform" w:val="akts"/>
                <w:attr w:name="id" w:val="-1"/>
              </w:smartTagPr>
              <w:r w:rsidRPr="00481CE1">
                <w:rPr>
                  <w:sz w:val="20"/>
                  <w:szCs w:val="20"/>
                </w:rPr>
                <w:t>akts</w:t>
              </w:r>
            </w:smartTag>
            <w:r w:rsidRPr="00481CE1">
              <w:rPr>
                <w:sz w:val="20"/>
                <w:szCs w:val="20"/>
              </w:rPr>
              <w:t>, – norāda pamatojumu un samērīgumu.</w:t>
            </w:r>
          </w:p>
          <w:p w:rsidR="00D64881" w:rsidRPr="00481CE1" w:rsidRDefault="00D64881" w:rsidP="00A06125">
            <w:pPr>
              <w:pStyle w:val="naiskr"/>
              <w:spacing w:before="0" w:after="0"/>
              <w:rPr>
                <w:sz w:val="20"/>
                <w:szCs w:val="20"/>
              </w:rPr>
            </w:pPr>
          </w:p>
          <w:p w:rsidR="00D64881" w:rsidRPr="00481CE1" w:rsidRDefault="00D64881" w:rsidP="00A06125">
            <w:pPr>
              <w:jc w:val="both"/>
              <w:rPr>
                <w:rFonts w:ascii="Times New Roman" w:hAnsi="Times New Roman" w:cs="Times New Roman"/>
                <w:b/>
                <w:sz w:val="20"/>
                <w:szCs w:val="20"/>
              </w:rPr>
            </w:pPr>
            <w:r w:rsidRPr="00481CE1">
              <w:rPr>
                <w:rFonts w:ascii="Times New Roman" w:hAnsi="Times New Roman" w:cs="Times New Roman"/>
                <w:sz w:val="20"/>
                <w:szCs w:val="20"/>
              </w:rPr>
              <w:t>Norāda iespējamās alternatīvas (t.sk. alternatīvas, kas neparedz tiesiskā regulējuma izstrādi) – kādos gadījumos būtu iespējams izvairīties no stingrāku prasību noteikšanas, nekā paredzēts attiecīgajos ES tiesību aktos</w:t>
            </w:r>
          </w:p>
        </w:tc>
      </w:tr>
      <w:tr w:rsidR="00972959" w:rsidRPr="00D749B5" w:rsidTr="00D64881">
        <w:tc>
          <w:tcPr>
            <w:tcW w:w="2321" w:type="dxa"/>
          </w:tcPr>
          <w:p w:rsidR="00972959" w:rsidRPr="00D749B5" w:rsidRDefault="00972959" w:rsidP="00A06125">
            <w:pPr>
              <w:jc w:val="both"/>
              <w:rPr>
                <w:rFonts w:ascii="Times New Roman" w:hAnsi="Times New Roman" w:cs="Times New Roman"/>
                <w:sz w:val="24"/>
                <w:szCs w:val="24"/>
              </w:rPr>
            </w:pPr>
            <w:r w:rsidRPr="00D749B5">
              <w:rPr>
                <w:rFonts w:ascii="Times New Roman" w:hAnsi="Times New Roman" w:cs="Times New Roman"/>
                <w:sz w:val="24"/>
                <w:szCs w:val="24"/>
              </w:rPr>
              <w:t>Regulas Nr.1083/2006 56.pants</w:t>
            </w:r>
            <w:r w:rsidR="00504ECB" w:rsidRPr="00D749B5">
              <w:rPr>
                <w:rFonts w:ascii="Times New Roman" w:hAnsi="Times New Roman" w:cs="Times New Roman"/>
                <w:sz w:val="24"/>
                <w:szCs w:val="24"/>
              </w:rPr>
              <w:t xml:space="preserve"> 4.p</w:t>
            </w:r>
            <w:r w:rsidR="00606433" w:rsidRPr="00D749B5">
              <w:rPr>
                <w:rFonts w:ascii="Times New Roman" w:hAnsi="Times New Roman" w:cs="Times New Roman"/>
                <w:sz w:val="24"/>
                <w:szCs w:val="24"/>
              </w:rPr>
              <w:t>unkts</w:t>
            </w:r>
            <w:r w:rsidR="00504ECB" w:rsidRPr="00D749B5">
              <w:rPr>
                <w:rFonts w:ascii="Times New Roman" w:hAnsi="Times New Roman" w:cs="Times New Roman"/>
                <w:sz w:val="24"/>
                <w:szCs w:val="24"/>
              </w:rPr>
              <w:t>.</w:t>
            </w:r>
          </w:p>
        </w:tc>
        <w:tc>
          <w:tcPr>
            <w:tcW w:w="2322" w:type="dxa"/>
          </w:tcPr>
          <w:p w:rsidR="00972959" w:rsidRPr="00D749B5" w:rsidRDefault="00972959" w:rsidP="00A06125">
            <w:pPr>
              <w:jc w:val="both"/>
              <w:rPr>
                <w:rFonts w:ascii="Times New Roman" w:hAnsi="Times New Roman" w:cs="Times New Roman"/>
                <w:sz w:val="24"/>
                <w:szCs w:val="24"/>
              </w:rPr>
            </w:pPr>
            <w:r w:rsidRPr="00D749B5">
              <w:rPr>
                <w:rFonts w:ascii="Times New Roman" w:hAnsi="Times New Roman" w:cs="Times New Roman"/>
                <w:sz w:val="24"/>
                <w:szCs w:val="24"/>
              </w:rPr>
              <w:t xml:space="preserve">Noteikumu projekta </w:t>
            </w:r>
            <w:r w:rsidR="00606433" w:rsidRPr="008925CF">
              <w:rPr>
                <w:rFonts w:ascii="Times New Roman" w:hAnsi="Times New Roman" w:cs="Times New Roman"/>
                <w:sz w:val="24"/>
                <w:szCs w:val="24"/>
              </w:rPr>
              <w:t>15</w:t>
            </w:r>
            <w:r w:rsidRPr="008925CF">
              <w:rPr>
                <w:rFonts w:ascii="Times New Roman" w:hAnsi="Times New Roman" w:cs="Times New Roman"/>
                <w:sz w:val="24"/>
                <w:szCs w:val="24"/>
              </w:rPr>
              <w:t>.punkts (noteikumu Nr.14 7</w:t>
            </w:r>
            <w:r w:rsidR="00504ECB" w:rsidRPr="008925CF">
              <w:rPr>
                <w:rFonts w:ascii="Times New Roman" w:hAnsi="Times New Roman" w:cs="Times New Roman"/>
                <w:sz w:val="24"/>
                <w:szCs w:val="24"/>
              </w:rPr>
              <w:t>2.2</w:t>
            </w:r>
            <w:r w:rsidRPr="008925CF">
              <w:rPr>
                <w:rFonts w:ascii="Times New Roman" w:hAnsi="Times New Roman" w:cs="Times New Roman"/>
                <w:sz w:val="24"/>
                <w:szCs w:val="24"/>
              </w:rPr>
              <w:t>.</w:t>
            </w:r>
            <w:r w:rsidR="00D749B5" w:rsidRPr="008925CF">
              <w:rPr>
                <w:rFonts w:ascii="Times New Roman" w:hAnsi="Times New Roman" w:cs="Times New Roman"/>
                <w:sz w:val="24"/>
                <w:szCs w:val="24"/>
              </w:rPr>
              <w:t>apakš</w:t>
            </w:r>
            <w:r w:rsidRPr="008925CF">
              <w:rPr>
                <w:rFonts w:ascii="Times New Roman" w:hAnsi="Times New Roman" w:cs="Times New Roman"/>
                <w:sz w:val="24"/>
                <w:szCs w:val="24"/>
              </w:rPr>
              <w:t>punkts</w:t>
            </w:r>
            <w:r w:rsidRPr="00D749B5">
              <w:rPr>
                <w:rFonts w:ascii="Times New Roman" w:hAnsi="Times New Roman" w:cs="Times New Roman"/>
                <w:sz w:val="24"/>
                <w:szCs w:val="24"/>
              </w:rPr>
              <w:t>)</w:t>
            </w:r>
          </w:p>
        </w:tc>
        <w:tc>
          <w:tcPr>
            <w:tcW w:w="2322" w:type="dxa"/>
          </w:tcPr>
          <w:p w:rsidR="00972959" w:rsidRPr="00D749B5" w:rsidRDefault="00972959" w:rsidP="00A06125">
            <w:pPr>
              <w:jc w:val="both"/>
              <w:rPr>
                <w:rFonts w:ascii="Times New Roman" w:hAnsi="Times New Roman" w:cs="Times New Roman"/>
                <w:sz w:val="24"/>
                <w:szCs w:val="24"/>
              </w:rPr>
            </w:pPr>
            <w:r w:rsidRPr="00D749B5">
              <w:rPr>
                <w:rFonts w:ascii="Times New Roman" w:hAnsi="Times New Roman" w:cs="Times New Roman"/>
                <w:sz w:val="24"/>
                <w:szCs w:val="24"/>
              </w:rPr>
              <w:t>ieviestas pilnībā</w:t>
            </w:r>
          </w:p>
        </w:tc>
        <w:tc>
          <w:tcPr>
            <w:tcW w:w="2322" w:type="dxa"/>
          </w:tcPr>
          <w:p w:rsidR="00972959" w:rsidRPr="00D749B5" w:rsidRDefault="00972959" w:rsidP="00A06125">
            <w:pPr>
              <w:jc w:val="both"/>
              <w:rPr>
                <w:rFonts w:ascii="Times New Roman" w:hAnsi="Times New Roman" w:cs="Times New Roman"/>
                <w:sz w:val="24"/>
                <w:szCs w:val="24"/>
              </w:rPr>
            </w:pPr>
            <w:r w:rsidRPr="00D749B5">
              <w:rPr>
                <w:rFonts w:ascii="Times New Roman" w:hAnsi="Times New Roman" w:cs="Times New Roman"/>
                <w:sz w:val="24"/>
                <w:szCs w:val="24"/>
              </w:rPr>
              <w:t>neparedz stingrākas prasības</w:t>
            </w:r>
          </w:p>
        </w:tc>
      </w:tr>
      <w:tr w:rsidR="00972959" w:rsidRPr="00D749B5" w:rsidTr="00D64881">
        <w:tc>
          <w:tcPr>
            <w:tcW w:w="2321" w:type="dxa"/>
          </w:tcPr>
          <w:p w:rsidR="00972959" w:rsidRPr="00D749B5" w:rsidRDefault="00972959" w:rsidP="00A06125">
            <w:pPr>
              <w:jc w:val="both"/>
              <w:rPr>
                <w:rFonts w:ascii="Times New Roman" w:hAnsi="Times New Roman" w:cs="Times New Roman"/>
                <w:b/>
                <w:sz w:val="24"/>
                <w:szCs w:val="24"/>
              </w:rPr>
            </w:pPr>
            <w:r w:rsidRPr="00D749B5">
              <w:rPr>
                <w:rFonts w:ascii="Times New Roman" w:hAnsi="Times New Roman" w:cs="Times New Roman"/>
                <w:sz w:val="24"/>
                <w:szCs w:val="24"/>
              </w:rPr>
              <w:t xml:space="preserve">Kā ir izmantota ES tiesību aktā paredzētā rīcības brīvība dalībvalstij pārņemt vai ieviest noteiktas </w:t>
            </w:r>
            <w:r w:rsidRPr="00D749B5">
              <w:rPr>
                <w:rFonts w:ascii="Times New Roman" w:hAnsi="Times New Roman" w:cs="Times New Roman"/>
                <w:sz w:val="24"/>
                <w:szCs w:val="24"/>
              </w:rPr>
              <w:lastRenderedPageBreak/>
              <w:t>ES tiesību akta normas.</w:t>
            </w:r>
          </w:p>
        </w:tc>
        <w:tc>
          <w:tcPr>
            <w:tcW w:w="6966" w:type="dxa"/>
            <w:gridSpan w:val="3"/>
          </w:tcPr>
          <w:p w:rsidR="00972959" w:rsidRPr="00D749B5" w:rsidRDefault="00972959" w:rsidP="00A06125">
            <w:pPr>
              <w:pStyle w:val="naiskr"/>
              <w:spacing w:before="0" w:after="0"/>
              <w:jc w:val="both"/>
              <w:rPr>
                <w:iCs/>
              </w:rPr>
            </w:pPr>
            <w:r w:rsidRPr="00D749B5">
              <w:rPr>
                <w:iCs/>
              </w:rPr>
              <w:lastRenderedPageBreak/>
              <w:t>Lai sniegtu valsts atbalstu pētniecībai, attīstībai un inovācijām, kā arī piešķirtu ERAF līdzfinansējumu, dalībvalstij ir dalībvalstij ir obligāti jāpiemēro</w:t>
            </w:r>
            <w:r w:rsidR="00045FEF" w:rsidRPr="00D749B5">
              <w:rPr>
                <w:iCs/>
              </w:rPr>
              <w:t xml:space="preserve"> </w:t>
            </w:r>
            <w:r w:rsidRPr="00D749B5">
              <w:rPr>
                <w:iCs/>
              </w:rPr>
              <w:t>Komisijas Regula Nr.1083/2006</w:t>
            </w:r>
            <w:r w:rsidR="00045FEF" w:rsidRPr="00D749B5">
              <w:rPr>
                <w:iCs/>
              </w:rPr>
              <w:t>.</w:t>
            </w:r>
          </w:p>
          <w:p w:rsidR="00972959" w:rsidRPr="00D749B5" w:rsidRDefault="00972959" w:rsidP="00A06125">
            <w:pPr>
              <w:pStyle w:val="naiskr"/>
              <w:spacing w:before="0" w:after="0"/>
              <w:rPr>
                <w:iCs/>
              </w:rPr>
            </w:pPr>
          </w:p>
        </w:tc>
      </w:tr>
      <w:tr w:rsidR="00972959" w:rsidRPr="00D749B5" w:rsidTr="00D64881">
        <w:tc>
          <w:tcPr>
            <w:tcW w:w="2321" w:type="dxa"/>
          </w:tcPr>
          <w:p w:rsidR="00972959" w:rsidRPr="00D749B5" w:rsidRDefault="00972959" w:rsidP="00A06125">
            <w:pPr>
              <w:jc w:val="both"/>
              <w:rPr>
                <w:rFonts w:ascii="Times New Roman" w:hAnsi="Times New Roman" w:cs="Times New Roman"/>
                <w:b/>
                <w:sz w:val="24"/>
                <w:szCs w:val="24"/>
              </w:rPr>
            </w:pPr>
            <w:r w:rsidRPr="00D749B5">
              <w:rPr>
                <w:rFonts w:ascii="Times New Roman" w:hAnsi="Times New Roman" w:cs="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66" w:type="dxa"/>
            <w:gridSpan w:val="3"/>
          </w:tcPr>
          <w:p w:rsidR="00972959" w:rsidRPr="00D749B5" w:rsidRDefault="00972959" w:rsidP="00A06125">
            <w:pPr>
              <w:jc w:val="both"/>
              <w:rPr>
                <w:rFonts w:ascii="Times New Roman" w:hAnsi="Times New Roman" w:cs="Times New Roman"/>
                <w:iCs/>
                <w:sz w:val="24"/>
                <w:szCs w:val="24"/>
              </w:rPr>
            </w:pPr>
            <w:r w:rsidRPr="00D749B5">
              <w:rPr>
                <w:rFonts w:ascii="Times New Roman" w:hAnsi="Times New Roman" w:cs="Times New Roman"/>
                <w:iCs/>
                <w:sz w:val="24"/>
                <w:szCs w:val="24"/>
              </w:rPr>
              <w:t xml:space="preserve">Paziņojumu Eiropas Komisijai (turpmāk – EK) nav nepieciešams sniegt, jo Noteikumu projekts saskaņā ar Komisijas Regulas Nr.800/2008 3.pantu ir atbrīvots no iepriekšējas paziņošanas EK. </w:t>
            </w:r>
          </w:p>
          <w:p w:rsidR="00972959" w:rsidRPr="00D749B5" w:rsidRDefault="00972959" w:rsidP="00A06125">
            <w:pPr>
              <w:jc w:val="both"/>
              <w:rPr>
                <w:rFonts w:ascii="Times New Roman" w:hAnsi="Times New Roman" w:cs="Times New Roman"/>
                <w:sz w:val="24"/>
                <w:szCs w:val="24"/>
              </w:rPr>
            </w:pPr>
          </w:p>
        </w:tc>
      </w:tr>
      <w:tr w:rsidR="00972959" w:rsidRPr="00D749B5" w:rsidTr="00D64881">
        <w:tc>
          <w:tcPr>
            <w:tcW w:w="2321" w:type="dxa"/>
          </w:tcPr>
          <w:p w:rsidR="00972959" w:rsidRPr="00D749B5" w:rsidRDefault="00972959" w:rsidP="00A06125">
            <w:pPr>
              <w:jc w:val="both"/>
              <w:rPr>
                <w:rFonts w:ascii="Times New Roman" w:hAnsi="Times New Roman" w:cs="Times New Roman"/>
                <w:b/>
                <w:sz w:val="24"/>
                <w:szCs w:val="24"/>
              </w:rPr>
            </w:pPr>
            <w:r w:rsidRPr="00D749B5">
              <w:rPr>
                <w:rFonts w:ascii="Times New Roman" w:hAnsi="Times New Roman" w:cs="Times New Roman"/>
                <w:sz w:val="24"/>
                <w:szCs w:val="24"/>
              </w:rPr>
              <w:t>Cita informācija</w:t>
            </w:r>
          </w:p>
        </w:tc>
        <w:tc>
          <w:tcPr>
            <w:tcW w:w="6966" w:type="dxa"/>
            <w:gridSpan w:val="3"/>
          </w:tcPr>
          <w:p w:rsidR="00972959" w:rsidRPr="00D749B5" w:rsidRDefault="00972959" w:rsidP="00A06125">
            <w:pPr>
              <w:jc w:val="both"/>
              <w:rPr>
                <w:rFonts w:ascii="Times New Roman" w:hAnsi="Times New Roman" w:cs="Times New Roman"/>
                <w:b/>
                <w:sz w:val="24"/>
                <w:szCs w:val="24"/>
              </w:rPr>
            </w:pPr>
            <w:r w:rsidRPr="00D749B5">
              <w:rPr>
                <w:rStyle w:val="Strong"/>
                <w:rFonts w:ascii="Times New Roman" w:hAnsi="Times New Roman" w:cs="Times New Roman"/>
                <w:b w:val="0"/>
                <w:sz w:val="24"/>
                <w:szCs w:val="24"/>
              </w:rPr>
              <w:t>nav</w:t>
            </w:r>
          </w:p>
        </w:tc>
      </w:tr>
    </w:tbl>
    <w:p w:rsidR="00D64881" w:rsidRPr="00D749B5" w:rsidRDefault="00D64881" w:rsidP="00A06125">
      <w:pPr>
        <w:spacing w:after="0" w:line="240" w:lineRule="auto"/>
        <w:jc w:val="both"/>
        <w:rPr>
          <w:rFonts w:ascii="Times New Roman" w:hAnsi="Times New Roman" w:cs="Times New Roman"/>
          <w:b/>
          <w:sz w:val="24"/>
          <w:szCs w:val="24"/>
        </w:rPr>
      </w:pPr>
    </w:p>
    <w:p w:rsidR="00755746" w:rsidRPr="00D749B5" w:rsidRDefault="00755746" w:rsidP="00A06125">
      <w:pPr>
        <w:spacing w:line="240" w:lineRule="auto"/>
        <w:rPr>
          <w:rFonts w:ascii="Times New Roman" w:hAnsi="Times New Roman" w:cs="Times New Roman"/>
          <w:b/>
          <w:sz w:val="24"/>
          <w:szCs w:val="24"/>
        </w:rPr>
      </w:pPr>
      <w:r w:rsidRPr="00D749B5">
        <w:rPr>
          <w:rFonts w:ascii="Times New Roman" w:hAnsi="Times New Roman" w:cs="Times New Roman"/>
          <w:b/>
          <w:sz w:val="24"/>
          <w:szCs w:val="24"/>
        </w:rPr>
        <w:t>Anotācijas V sadaļas 2.tabula – nav attiecināms</w:t>
      </w:r>
      <w:r w:rsidR="00D64881" w:rsidRPr="00D749B5">
        <w:rPr>
          <w:rFonts w:ascii="Times New Roman" w:hAnsi="Times New Roman" w:cs="Times New Roman"/>
          <w:b/>
          <w:sz w:val="24"/>
          <w:szCs w:val="24"/>
        </w:rPr>
        <w:t>.</w:t>
      </w:r>
    </w:p>
    <w:tbl>
      <w:tblPr>
        <w:tblStyle w:val="TableGrid"/>
        <w:tblW w:w="0" w:type="auto"/>
        <w:tblLook w:val="04A0"/>
      </w:tblPr>
      <w:tblGrid>
        <w:gridCol w:w="534"/>
        <w:gridCol w:w="3402"/>
        <w:gridCol w:w="5351"/>
      </w:tblGrid>
      <w:tr w:rsidR="001D4054" w:rsidRPr="00D749B5" w:rsidTr="00E70CE9">
        <w:tc>
          <w:tcPr>
            <w:tcW w:w="9287" w:type="dxa"/>
            <w:gridSpan w:val="3"/>
          </w:tcPr>
          <w:p w:rsidR="001D4054" w:rsidRPr="00D749B5" w:rsidRDefault="001D4054" w:rsidP="00A06125">
            <w:pPr>
              <w:jc w:val="center"/>
              <w:rPr>
                <w:rFonts w:ascii="Times New Roman" w:hAnsi="Times New Roman" w:cs="Times New Roman"/>
                <w:sz w:val="24"/>
                <w:szCs w:val="24"/>
              </w:rPr>
            </w:pPr>
            <w:r w:rsidRPr="00D749B5">
              <w:rPr>
                <w:rFonts w:ascii="Times New Roman" w:hAnsi="Times New Roman" w:cs="Times New Roman"/>
                <w:b/>
                <w:bCs/>
                <w:sz w:val="24"/>
                <w:szCs w:val="24"/>
              </w:rPr>
              <w:t>VI. Sabiedrības līdzdalība un šīs līdzdalības rezultāti</w:t>
            </w:r>
          </w:p>
        </w:tc>
      </w:tr>
      <w:tr w:rsidR="001D4054" w:rsidRPr="00D749B5" w:rsidTr="001D4054">
        <w:tc>
          <w:tcPr>
            <w:tcW w:w="534" w:type="dxa"/>
          </w:tcPr>
          <w:p w:rsidR="001D4054" w:rsidRPr="00D749B5" w:rsidRDefault="001D4054" w:rsidP="00A06125">
            <w:pPr>
              <w:rPr>
                <w:rFonts w:ascii="Times New Roman" w:hAnsi="Times New Roman" w:cs="Times New Roman"/>
                <w:sz w:val="24"/>
                <w:szCs w:val="24"/>
              </w:rPr>
            </w:pPr>
            <w:r w:rsidRPr="00D749B5">
              <w:rPr>
                <w:rFonts w:ascii="Times New Roman" w:hAnsi="Times New Roman" w:cs="Times New Roman"/>
                <w:sz w:val="24"/>
                <w:szCs w:val="24"/>
              </w:rPr>
              <w:t>1.</w:t>
            </w:r>
          </w:p>
        </w:tc>
        <w:tc>
          <w:tcPr>
            <w:tcW w:w="3402" w:type="dxa"/>
          </w:tcPr>
          <w:p w:rsidR="001D4054" w:rsidRPr="00D749B5" w:rsidRDefault="001D4054" w:rsidP="00A06125">
            <w:pPr>
              <w:rPr>
                <w:rFonts w:ascii="Times New Roman" w:hAnsi="Times New Roman" w:cs="Times New Roman"/>
                <w:sz w:val="24"/>
                <w:szCs w:val="24"/>
              </w:rPr>
            </w:pPr>
            <w:r w:rsidRPr="00D749B5">
              <w:rPr>
                <w:rFonts w:ascii="Times New Roman" w:hAnsi="Times New Roman" w:cs="Times New Roman"/>
                <w:sz w:val="24"/>
                <w:szCs w:val="24"/>
              </w:rPr>
              <w:t>Sabiedrības informēšana par projekta izstrādes uzsākšanu</w:t>
            </w:r>
          </w:p>
        </w:tc>
        <w:tc>
          <w:tcPr>
            <w:tcW w:w="5351" w:type="dxa"/>
          </w:tcPr>
          <w:p w:rsidR="001D4054" w:rsidRPr="00D749B5" w:rsidRDefault="001D4054" w:rsidP="00A06125">
            <w:pPr>
              <w:jc w:val="both"/>
              <w:rPr>
                <w:rFonts w:ascii="Times New Roman" w:hAnsi="Times New Roman" w:cs="Times New Roman"/>
                <w:sz w:val="24"/>
                <w:szCs w:val="24"/>
              </w:rPr>
            </w:pPr>
            <w:r w:rsidRPr="00D749B5">
              <w:rPr>
                <w:rFonts w:ascii="Times New Roman" w:hAnsi="Times New Roman" w:cs="Times New Roman"/>
                <w:sz w:val="24"/>
                <w:szCs w:val="24"/>
              </w:rPr>
              <w:t xml:space="preserve">Informācija par Eiropas Savienības struktūrfondu aktivitāšu īstenošanu 2007.-2013.gadam pieejama Izglītības un zinātnes ministrijas tīmekļa vietnē </w:t>
            </w:r>
            <w:hyperlink r:id="rId8" w:history="1">
              <w:r w:rsidRPr="00D749B5">
                <w:rPr>
                  <w:rStyle w:val="Hyperlink"/>
                  <w:rFonts w:ascii="Times New Roman" w:hAnsi="Times New Roman" w:cs="Times New Roman"/>
                  <w:sz w:val="24"/>
                  <w:szCs w:val="24"/>
                </w:rPr>
                <w:t>http://esfondi.izm.gov.lv</w:t>
              </w:r>
            </w:hyperlink>
            <w:r w:rsidRPr="00D749B5">
              <w:rPr>
                <w:rFonts w:ascii="Times New Roman" w:hAnsi="Times New Roman" w:cs="Times New Roman"/>
                <w:sz w:val="24"/>
                <w:szCs w:val="24"/>
              </w:rPr>
              <w:t xml:space="preserve">. </w:t>
            </w:r>
          </w:p>
        </w:tc>
      </w:tr>
      <w:tr w:rsidR="001D4054" w:rsidRPr="00D749B5" w:rsidTr="001D4054">
        <w:tc>
          <w:tcPr>
            <w:tcW w:w="534" w:type="dxa"/>
          </w:tcPr>
          <w:p w:rsidR="001D4054" w:rsidRPr="00D749B5" w:rsidRDefault="001D4054" w:rsidP="00A06125">
            <w:pPr>
              <w:rPr>
                <w:rFonts w:ascii="Times New Roman" w:hAnsi="Times New Roman" w:cs="Times New Roman"/>
                <w:sz w:val="24"/>
                <w:szCs w:val="24"/>
              </w:rPr>
            </w:pPr>
            <w:r w:rsidRPr="00D749B5">
              <w:rPr>
                <w:rFonts w:ascii="Times New Roman" w:hAnsi="Times New Roman" w:cs="Times New Roman"/>
                <w:sz w:val="24"/>
                <w:szCs w:val="24"/>
              </w:rPr>
              <w:t>2.</w:t>
            </w:r>
          </w:p>
        </w:tc>
        <w:tc>
          <w:tcPr>
            <w:tcW w:w="3402" w:type="dxa"/>
          </w:tcPr>
          <w:p w:rsidR="001D4054" w:rsidRPr="00D749B5" w:rsidRDefault="001D4054" w:rsidP="00A06125">
            <w:pPr>
              <w:rPr>
                <w:rFonts w:ascii="Times New Roman" w:hAnsi="Times New Roman" w:cs="Times New Roman"/>
                <w:sz w:val="24"/>
                <w:szCs w:val="24"/>
              </w:rPr>
            </w:pPr>
            <w:r w:rsidRPr="00D749B5">
              <w:rPr>
                <w:rFonts w:ascii="Times New Roman" w:hAnsi="Times New Roman" w:cs="Times New Roman"/>
                <w:sz w:val="24"/>
                <w:szCs w:val="24"/>
              </w:rPr>
              <w:t>Sabiedrības līdzdalība projekta izstrādē</w:t>
            </w:r>
          </w:p>
        </w:tc>
        <w:tc>
          <w:tcPr>
            <w:tcW w:w="5351" w:type="dxa"/>
          </w:tcPr>
          <w:p w:rsidR="001D4054" w:rsidRPr="00D749B5" w:rsidRDefault="001D4054" w:rsidP="00A06125">
            <w:pPr>
              <w:rPr>
                <w:rFonts w:ascii="Times New Roman" w:hAnsi="Times New Roman" w:cs="Times New Roman"/>
                <w:sz w:val="24"/>
                <w:szCs w:val="24"/>
              </w:rPr>
            </w:pPr>
            <w:r w:rsidRPr="00D749B5">
              <w:rPr>
                <w:rFonts w:ascii="Times New Roman" w:hAnsi="Times New Roman" w:cs="Times New Roman"/>
                <w:sz w:val="24"/>
                <w:szCs w:val="24"/>
              </w:rPr>
              <w:t>Noteikumu projekts šo jomu neskar</w:t>
            </w:r>
          </w:p>
        </w:tc>
      </w:tr>
      <w:tr w:rsidR="001D4054" w:rsidRPr="00D749B5" w:rsidTr="001D4054">
        <w:tc>
          <w:tcPr>
            <w:tcW w:w="534" w:type="dxa"/>
          </w:tcPr>
          <w:p w:rsidR="001D4054" w:rsidRPr="00D749B5" w:rsidRDefault="001D4054" w:rsidP="00A06125">
            <w:pPr>
              <w:rPr>
                <w:rFonts w:ascii="Times New Roman" w:hAnsi="Times New Roman" w:cs="Times New Roman"/>
                <w:sz w:val="24"/>
                <w:szCs w:val="24"/>
              </w:rPr>
            </w:pPr>
            <w:r w:rsidRPr="00D749B5">
              <w:rPr>
                <w:rFonts w:ascii="Times New Roman" w:hAnsi="Times New Roman" w:cs="Times New Roman"/>
                <w:sz w:val="24"/>
                <w:szCs w:val="24"/>
              </w:rPr>
              <w:t>3.</w:t>
            </w:r>
          </w:p>
        </w:tc>
        <w:tc>
          <w:tcPr>
            <w:tcW w:w="3402" w:type="dxa"/>
          </w:tcPr>
          <w:p w:rsidR="001D4054" w:rsidRPr="00D749B5" w:rsidRDefault="001D4054" w:rsidP="00A06125">
            <w:pPr>
              <w:rPr>
                <w:rFonts w:ascii="Times New Roman" w:hAnsi="Times New Roman" w:cs="Times New Roman"/>
                <w:sz w:val="24"/>
                <w:szCs w:val="24"/>
              </w:rPr>
            </w:pPr>
            <w:r w:rsidRPr="00D749B5">
              <w:rPr>
                <w:rFonts w:ascii="Times New Roman" w:hAnsi="Times New Roman" w:cs="Times New Roman"/>
                <w:sz w:val="24"/>
                <w:szCs w:val="24"/>
              </w:rPr>
              <w:t>Sabiedrības līdzdalības rezultāti</w:t>
            </w:r>
          </w:p>
        </w:tc>
        <w:tc>
          <w:tcPr>
            <w:tcW w:w="5351" w:type="dxa"/>
          </w:tcPr>
          <w:p w:rsidR="001D4054" w:rsidRPr="00D749B5" w:rsidRDefault="001D4054" w:rsidP="00A06125">
            <w:pPr>
              <w:rPr>
                <w:rFonts w:ascii="Times New Roman" w:hAnsi="Times New Roman" w:cs="Times New Roman"/>
                <w:sz w:val="24"/>
                <w:szCs w:val="24"/>
              </w:rPr>
            </w:pPr>
            <w:r w:rsidRPr="00D749B5">
              <w:rPr>
                <w:rFonts w:ascii="Times New Roman" w:hAnsi="Times New Roman" w:cs="Times New Roman"/>
                <w:sz w:val="24"/>
                <w:szCs w:val="24"/>
              </w:rPr>
              <w:t>Tiesību akta projekts nosūtīts nozaru asociācijām viedokļa sniegšanai.</w:t>
            </w:r>
          </w:p>
        </w:tc>
      </w:tr>
      <w:tr w:rsidR="001D4054" w:rsidRPr="00D749B5" w:rsidTr="001D4054">
        <w:tc>
          <w:tcPr>
            <w:tcW w:w="534" w:type="dxa"/>
          </w:tcPr>
          <w:p w:rsidR="001D4054" w:rsidRPr="00D749B5" w:rsidRDefault="001D4054" w:rsidP="00A06125">
            <w:pPr>
              <w:rPr>
                <w:rFonts w:ascii="Times New Roman" w:hAnsi="Times New Roman" w:cs="Times New Roman"/>
                <w:sz w:val="24"/>
                <w:szCs w:val="24"/>
              </w:rPr>
            </w:pPr>
            <w:r w:rsidRPr="00D749B5">
              <w:rPr>
                <w:rFonts w:ascii="Times New Roman" w:hAnsi="Times New Roman" w:cs="Times New Roman"/>
                <w:sz w:val="24"/>
                <w:szCs w:val="24"/>
              </w:rPr>
              <w:t>4.</w:t>
            </w:r>
          </w:p>
        </w:tc>
        <w:tc>
          <w:tcPr>
            <w:tcW w:w="3402" w:type="dxa"/>
          </w:tcPr>
          <w:p w:rsidR="001D4054" w:rsidRPr="00D749B5" w:rsidRDefault="001D4054" w:rsidP="00A06125">
            <w:pPr>
              <w:rPr>
                <w:rFonts w:ascii="Times New Roman" w:hAnsi="Times New Roman" w:cs="Times New Roman"/>
                <w:sz w:val="24"/>
                <w:szCs w:val="24"/>
              </w:rPr>
            </w:pPr>
            <w:r w:rsidRPr="00D749B5">
              <w:rPr>
                <w:rFonts w:ascii="Times New Roman" w:hAnsi="Times New Roman" w:cs="Times New Roman"/>
                <w:sz w:val="24"/>
                <w:szCs w:val="24"/>
              </w:rPr>
              <w:t>Saeimas un ekspertu līdzdalība</w:t>
            </w:r>
          </w:p>
        </w:tc>
        <w:tc>
          <w:tcPr>
            <w:tcW w:w="5351" w:type="dxa"/>
          </w:tcPr>
          <w:p w:rsidR="001D4054" w:rsidRPr="00D749B5" w:rsidRDefault="001D4054" w:rsidP="00A06125">
            <w:pPr>
              <w:rPr>
                <w:rFonts w:ascii="Times New Roman" w:hAnsi="Times New Roman" w:cs="Times New Roman"/>
                <w:sz w:val="24"/>
                <w:szCs w:val="24"/>
              </w:rPr>
            </w:pPr>
            <w:r w:rsidRPr="00D749B5">
              <w:rPr>
                <w:rFonts w:ascii="Times New Roman" w:hAnsi="Times New Roman" w:cs="Times New Roman"/>
                <w:sz w:val="24"/>
                <w:szCs w:val="24"/>
              </w:rPr>
              <w:t>Noteikumu projekts šo jomu neskar</w:t>
            </w:r>
          </w:p>
        </w:tc>
      </w:tr>
      <w:tr w:rsidR="001D4054" w:rsidRPr="00D749B5" w:rsidTr="001D4054">
        <w:tc>
          <w:tcPr>
            <w:tcW w:w="534" w:type="dxa"/>
          </w:tcPr>
          <w:p w:rsidR="001D4054" w:rsidRPr="00D749B5" w:rsidRDefault="001D4054" w:rsidP="00A06125">
            <w:pPr>
              <w:rPr>
                <w:rFonts w:ascii="Times New Roman" w:hAnsi="Times New Roman" w:cs="Times New Roman"/>
                <w:sz w:val="24"/>
                <w:szCs w:val="24"/>
              </w:rPr>
            </w:pPr>
            <w:r w:rsidRPr="00D749B5">
              <w:rPr>
                <w:rFonts w:ascii="Times New Roman" w:hAnsi="Times New Roman" w:cs="Times New Roman"/>
                <w:sz w:val="24"/>
                <w:szCs w:val="24"/>
              </w:rPr>
              <w:t>5.</w:t>
            </w:r>
          </w:p>
        </w:tc>
        <w:tc>
          <w:tcPr>
            <w:tcW w:w="3402" w:type="dxa"/>
          </w:tcPr>
          <w:p w:rsidR="001D4054" w:rsidRPr="00D749B5" w:rsidRDefault="001D4054" w:rsidP="00A06125">
            <w:pPr>
              <w:rPr>
                <w:rFonts w:ascii="Times New Roman" w:hAnsi="Times New Roman" w:cs="Times New Roman"/>
                <w:sz w:val="24"/>
                <w:szCs w:val="24"/>
              </w:rPr>
            </w:pPr>
            <w:r w:rsidRPr="00D749B5">
              <w:rPr>
                <w:rFonts w:ascii="Times New Roman" w:hAnsi="Times New Roman" w:cs="Times New Roman"/>
                <w:sz w:val="24"/>
                <w:szCs w:val="24"/>
              </w:rPr>
              <w:t>Cita informācija</w:t>
            </w:r>
          </w:p>
        </w:tc>
        <w:tc>
          <w:tcPr>
            <w:tcW w:w="5351" w:type="dxa"/>
          </w:tcPr>
          <w:p w:rsidR="001D4054" w:rsidRPr="00D749B5" w:rsidRDefault="001D4054" w:rsidP="00A06125">
            <w:pPr>
              <w:rPr>
                <w:rFonts w:ascii="Times New Roman" w:hAnsi="Times New Roman" w:cs="Times New Roman"/>
                <w:sz w:val="24"/>
                <w:szCs w:val="24"/>
              </w:rPr>
            </w:pPr>
            <w:r w:rsidRPr="00D749B5">
              <w:rPr>
                <w:rFonts w:ascii="Times New Roman" w:hAnsi="Times New Roman" w:cs="Times New Roman"/>
                <w:sz w:val="24"/>
                <w:szCs w:val="24"/>
              </w:rPr>
              <w:t>Nav</w:t>
            </w:r>
          </w:p>
        </w:tc>
      </w:tr>
    </w:tbl>
    <w:p w:rsidR="00D64881" w:rsidRPr="00D749B5" w:rsidRDefault="00D64881" w:rsidP="00A06125">
      <w:pPr>
        <w:spacing w:after="0" w:line="240" w:lineRule="auto"/>
        <w:rPr>
          <w:rFonts w:ascii="Times New Roman" w:hAnsi="Times New Roman" w:cs="Times New Roman"/>
          <w:sz w:val="24"/>
          <w:szCs w:val="24"/>
        </w:rPr>
      </w:pPr>
    </w:p>
    <w:tbl>
      <w:tblPr>
        <w:tblW w:w="5123"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39"/>
        <w:gridCol w:w="3432"/>
        <w:gridCol w:w="5385"/>
      </w:tblGrid>
      <w:tr w:rsidR="00755746" w:rsidRPr="00D749B5" w:rsidTr="001D4054">
        <w:tc>
          <w:tcPr>
            <w:tcW w:w="5000" w:type="pct"/>
            <w:gridSpan w:val="3"/>
            <w:tcBorders>
              <w:top w:val="outset" w:sz="6" w:space="0" w:color="000000"/>
              <w:left w:val="outset" w:sz="6" w:space="0" w:color="000000"/>
              <w:bottom w:val="outset" w:sz="6" w:space="0" w:color="000000"/>
              <w:right w:val="outset" w:sz="6" w:space="0" w:color="000000"/>
            </w:tcBorders>
            <w:hideMark/>
          </w:tcPr>
          <w:p w:rsidR="00755746" w:rsidRPr="00D749B5" w:rsidRDefault="00755746" w:rsidP="00A06125">
            <w:pPr>
              <w:spacing w:after="0" w:line="240" w:lineRule="auto"/>
              <w:jc w:val="center"/>
              <w:rPr>
                <w:rFonts w:ascii="Times New Roman" w:hAnsi="Times New Roman" w:cs="Times New Roman"/>
                <w:b/>
                <w:bCs/>
                <w:sz w:val="24"/>
                <w:szCs w:val="24"/>
              </w:rPr>
            </w:pPr>
            <w:r w:rsidRPr="00D749B5">
              <w:rPr>
                <w:rFonts w:ascii="Times New Roman" w:hAnsi="Times New Roman" w:cs="Times New Roman"/>
                <w:b/>
                <w:bCs/>
                <w:sz w:val="24"/>
                <w:szCs w:val="24"/>
              </w:rPr>
              <w:t>VII. Tiesību akta projekta izpildes nodrošināšana un tās ietekme uz institūcijām</w:t>
            </w:r>
          </w:p>
        </w:tc>
      </w:tr>
      <w:tr w:rsidR="00755746" w:rsidRPr="00D749B5" w:rsidTr="001D4054">
        <w:tc>
          <w:tcPr>
            <w:tcW w:w="288" w:type="pct"/>
            <w:tcBorders>
              <w:top w:val="outset" w:sz="6" w:space="0" w:color="000000"/>
              <w:left w:val="outset" w:sz="6" w:space="0" w:color="000000"/>
              <w:bottom w:val="outset" w:sz="6" w:space="0" w:color="000000"/>
              <w:right w:val="outset" w:sz="6" w:space="0" w:color="000000"/>
            </w:tcBorders>
            <w:hideMark/>
          </w:tcPr>
          <w:p w:rsidR="00755746" w:rsidRPr="00D749B5" w:rsidRDefault="00755746" w:rsidP="00A06125">
            <w:pPr>
              <w:spacing w:line="240" w:lineRule="auto"/>
              <w:rPr>
                <w:rFonts w:ascii="Times New Roman" w:hAnsi="Times New Roman" w:cs="Times New Roman"/>
                <w:sz w:val="24"/>
                <w:szCs w:val="24"/>
              </w:rPr>
            </w:pPr>
            <w:r w:rsidRPr="00D749B5">
              <w:rPr>
                <w:rFonts w:ascii="Times New Roman" w:hAnsi="Times New Roman" w:cs="Times New Roman"/>
                <w:sz w:val="24"/>
                <w:szCs w:val="24"/>
              </w:rPr>
              <w:t>1.</w:t>
            </w:r>
          </w:p>
        </w:tc>
        <w:tc>
          <w:tcPr>
            <w:tcW w:w="1834" w:type="pct"/>
            <w:tcBorders>
              <w:top w:val="outset" w:sz="6" w:space="0" w:color="000000"/>
              <w:left w:val="outset" w:sz="6" w:space="0" w:color="000000"/>
              <w:bottom w:val="outset" w:sz="6" w:space="0" w:color="000000"/>
              <w:right w:val="outset" w:sz="6" w:space="0" w:color="000000"/>
            </w:tcBorders>
            <w:hideMark/>
          </w:tcPr>
          <w:p w:rsidR="00755746" w:rsidRPr="00D749B5" w:rsidRDefault="00755746" w:rsidP="00A06125">
            <w:pPr>
              <w:spacing w:after="0" w:line="240" w:lineRule="auto"/>
              <w:rPr>
                <w:rFonts w:ascii="Times New Roman" w:hAnsi="Times New Roman" w:cs="Times New Roman"/>
                <w:sz w:val="24"/>
                <w:szCs w:val="24"/>
              </w:rPr>
            </w:pPr>
            <w:r w:rsidRPr="00D749B5">
              <w:rPr>
                <w:rFonts w:ascii="Times New Roman" w:hAnsi="Times New Roman" w:cs="Times New Roman"/>
                <w:sz w:val="24"/>
                <w:szCs w:val="24"/>
              </w:rPr>
              <w:t>Projekta izpildē iesaistītās institūcijas</w:t>
            </w:r>
          </w:p>
        </w:tc>
        <w:tc>
          <w:tcPr>
            <w:tcW w:w="2878" w:type="pct"/>
            <w:tcBorders>
              <w:top w:val="outset" w:sz="6" w:space="0" w:color="000000"/>
              <w:left w:val="outset" w:sz="6" w:space="0" w:color="000000"/>
              <w:bottom w:val="outset" w:sz="6" w:space="0" w:color="000000"/>
              <w:right w:val="outset" w:sz="6" w:space="0" w:color="000000"/>
            </w:tcBorders>
            <w:hideMark/>
          </w:tcPr>
          <w:p w:rsidR="00755746" w:rsidRPr="00D749B5" w:rsidRDefault="00755746" w:rsidP="00A06125">
            <w:pPr>
              <w:spacing w:after="0" w:line="240" w:lineRule="auto"/>
              <w:jc w:val="both"/>
              <w:rPr>
                <w:rFonts w:ascii="Times New Roman" w:hAnsi="Times New Roman" w:cs="Times New Roman"/>
                <w:sz w:val="24"/>
                <w:szCs w:val="24"/>
              </w:rPr>
            </w:pPr>
            <w:r w:rsidRPr="00D749B5">
              <w:rPr>
                <w:rFonts w:ascii="Times New Roman" w:hAnsi="Times New Roman" w:cs="Times New Roman"/>
                <w:sz w:val="24"/>
                <w:szCs w:val="24"/>
              </w:rPr>
              <w:t>Projekta izpildi nodrošinās Izglītības un zinātnes ministrija, Valsts izglītības attīstības aģentūra un projekta iesniedzēji – komersanti un pētniecības organizācijas.</w:t>
            </w:r>
          </w:p>
        </w:tc>
      </w:tr>
      <w:tr w:rsidR="00755746" w:rsidRPr="00D749B5" w:rsidTr="001D4054">
        <w:tc>
          <w:tcPr>
            <w:tcW w:w="288" w:type="pct"/>
            <w:tcBorders>
              <w:top w:val="outset" w:sz="6" w:space="0" w:color="000000"/>
              <w:left w:val="outset" w:sz="6" w:space="0" w:color="000000"/>
              <w:bottom w:val="outset" w:sz="6" w:space="0" w:color="000000"/>
              <w:right w:val="outset" w:sz="6" w:space="0" w:color="000000"/>
            </w:tcBorders>
            <w:hideMark/>
          </w:tcPr>
          <w:p w:rsidR="00755746" w:rsidRPr="00D749B5" w:rsidRDefault="00755746" w:rsidP="00A06125">
            <w:pPr>
              <w:spacing w:line="240" w:lineRule="auto"/>
              <w:rPr>
                <w:rFonts w:ascii="Times New Roman" w:hAnsi="Times New Roman" w:cs="Times New Roman"/>
                <w:sz w:val="24"/>
                <w:szCs w:val="24"/>
              </w:rPr>
            </w:pPr>
            <w:r w:rsidRPr="00D749B5">
              <w:rPr>
                <w:rFonts w:ascii="Times New Roman" w:hAnsi="Times New Roman" w:cs="Times New Roman"/>
                <w:sz w:val="24"/>
                <w:szCs w:val="24"/>
              </w:rPr>
              <w:t>2.</w:t>
            </w:r>
          </w:p>
        </w:tc>
        <w:tc>
          <w:tcPr>
            <w:tcW w:w="1834" w:type="pct"/>
            <w:tcBorders>
              <w:top w:val="outset" w:sz="6" w:space="0" w:color="000000"/>
              <w:left w:val="outset" w:sz="6" w:space="0" w:color="000000"/>
              <w:bottom w:val="outset" w:sz="6" w:space="0" w:color="000000"/>
              <w:right w:val="outset" w:sz="6" w:space="0" w:color="000000"/>
            </w:tcBorders>
            <w:hideMark/>
          </w:tcPr>
          <w:p w:rsidR="00755746" w:rsidRPr="00D749B5" w:rsidRDefault="00755746" w:rsidP="00A06125">
            <w:pPr>
              <w:spacing w:after="0" w:line="240" w:lineRule="auto"/>
              <w:rPr>
                <w:rFonts w:ascii="Times New Roman" w:hAnsi="Times New Roman" w:cs="Times New Roman"/>
                <w:sz w:val="24"/>
                <w:szCs w:val="24"/>
              </w:rPr>
            </w:pPr>
            <w:r w:rsidRPr="00D749B5">
              <w:rPr>
                <w:rFonts w:ascii="Times New Roman" w:hAnsi="Times New Roman" w:cs="Times New Roman"/>
                <w:sz w:val="24"/>
                <w:szCs w:val="24"/>
              </w:rPr>
              <w:t>Projekta izpildes ietekme uz pārvaldes funkcijām</w:t>
            </w:r>
          </w:p>
        </w:tc>
        <w:tc>
          <w:tcPr>
            <w:tcW w:w="2878" w:type="pct"/>
            <w:tcBorders>
              <w:top w:val="outset" w:sz="6" w:space="0" w:color="000000"/>
              <w:left w:val="outset" w:sz="6" w:space="0" w:color="000000"/>
              <w:bottom w:val="outset" w:sz="6" w:space="0" w:color="000000"/>
              <w:right w:val="outset" w:sz="6" w:space="0" w:color="000000"/>
            </w:tcBorders>
            <w:hideMark/>
          </w:tcPr>
          <w:p w:rsidR="00755746" w:rsidRPr="00D749B5" w:rsidRDefault="00755746" w:rsidP="00A06125">
            <w:pPr>
              <w:spacing w:after="0" w:line="240" w:lineRule="auto"/>
              <w:jc w:val="both"/>
              <w:rPr>
                <w:rFonts w:ascii="Times New Roman" w:hAnsi="Times New Roman" w:cs="Times New Roman"/>
                <w:sz w:val="24"/>
                <w:szCs w:val="24"/>
              </w:rPr>
            </w:pPr>
            <w:r w:rsidRPr="00D749B5">
              <w:rPr>
                <w:rFonts w:ascii="Times New Roman" w:hAnsi="Times New Roman" w:cs="Times New Roman"/>
                <w:sz w:val="24"/>
                <w:szCs w:val="24"/>
              </w:rPr>
              <w:t>Projekta izpilde tiks nodrošināta Izglītības un zinātnes ministrijas un Valsts izglītības attīstības aģentūras funkciju ietvaros.</w:t>
            </w:r>
          </w:p>
        </w:tc>
      </w:tr>
      <w:tr w:rsidR="00755746" w:rsidRPr="00D749B5" w:rsidTr="001D4054">
        <w:tc>
          <w:tcPr>
            <w:tcW w:w="288" w:type="pct"/>
            <w:tcBorders>
              <w:top w:val="outset" w:sz="6" w:space="0" w:color="000000"/>
              <w:left w:val="outset" w:sz="6" w:space="0" w:color="000000"/>
              <w:bottom w:val="outset" w:sz="6" w:space="0" w:color="000000"/>
              <w:right w:val="outset" w:sz="6" w:space="0" w:color="000000"/>
            </w:tcBorders>
            <w:hideMark/>
          </w:tcPr>
          <w:p w:rsidR="00755746" w:rsidRPr="00D749B5" w:rsidRDefault="00755746" w:rsidP="00A06125">
            <w:pPr>
              <w:spacing w:line="240" w:lineRule="auto"/>
              <w:rPr>
                <w:rFonts w:ascii="Times New Roman" w:hAnsi="Times New Roman" w:cs="Times New Roman"/>
                <w:sz w:val="24"/>
                <w:szCs w:val="24"/>
              </w:rPr>
            </w:pPr>
            <w:r w:rsidRPr="00D749B5">
              <w:rPr>
                <w:rFonts w:ascii="Times New Roman" w:hAnsi="Times New Roman" w:cs="Times New Roman"/>
                <w:sz w:val="24"/>
                <w:szCs w:val="24"/>
              </w:rPr>
              <w:t>3.</w:t>
            </w:r>
          </w:p>
        </w:tc>
        <w:tc>
          <w:tcPr>
            <w:tcW w:w="1834" w:type="pct"/>
            <w:tcBorders>
              <w:top w:val="outset" w:sz="6" w:space="0" w:color="000000"/>
              <w:left w:val="outset" w:sz="6" w:space="0" w:color="000000"/>
              <w:bottom w:val="outset" w:sz="6" w:space="0" w:color="000000"/>
              <w:right w:val="outset" w:sz="6" w:space="0" w:color="000000"/>
            </w:tcBorders>
            <w:hideMark/>
          </w:tcPr>
          <w:p w:rsidR="00755746" w:rsidRPr="00D749B5" w:rsidRDefault="00755746" w:rsidP="00A06125">
            <w:pPr>
              <w:spacing w:after="0" w:line="240" w:lineRule="auto"/>
              <w:rPr>
                <w:rFonts w:ascii="Times New Roman" w:hAnsi="Times New Roman" w:cs="Times New Roman"/>
                <w:sz w:val="24"/>
                <w:szCs w:val="24"/>
              </w:rPr>
            </w:pPr>
            <w:r w:rsidRPr="00D749B5">
              <w:rPr>
                <w:rFonts w:ascii="Times New Roman" w:hAnsi="Times New Roman" w:cs="Times New Roman"/>
                <w:sz w:val="24"/>
                <w:szCs w:val="24"/>
              </w:rPr>
              <w:t>Projekta izpildes ietekme uz pārvaldes institucionālo struktūru.</w:t>
            </w:r>
          </w:p>
          <w:p w:rsidR="00755746" w:rsidRPr="00D749B5" w:rsidRDefault="00755746" w:rsidP="00A06125">
            <w:pPr>
              <w:spacing w:before="240" w:after="0" w:line="240" w:lineRule="auto"/>
              <w:rPr>
                <w:rFonts w:ascii="Times New Roman" w:hAnsi="Times New Roman" w:cs="Times New Roman"/>
                <w:sz w:val="24"/>
                <w:szCs w:val="24"/>
              </w:rPr>
            </w:pPr>
            <w:r w:rsidRPr="00D749B5">
              <w:rPr>
                <w:rFonts w:ascii="Times New Roman" w:hAnsi="Times New Roman" w:cs="Times New Roman"/>
                <w:sz w:val="24"/>
                <w:szCs w:val="24"/>
              </w:rPr>
              <w:t>Jaunu institūciju izveide</w:t>
            </w:r>
          </w:p>
        </w:tc>
        <w:tc>
          <w:tcPr>
            <w:tcW w:w="2878" w:type="pct"/>
            <w:tcBorders>
              <w:top w:val="outset" w:sz="6" w:space="0" w:color="000000"/>
              <w:left w:val="outset" w:sz="6" w:space="0" w:color="000000"/>
              <w:bottom w:val="outset" w:sz="6" w:space="0" w:color="000000"/>
              <w:right w:val="outset" w:sz="6" w:space="0" w:color="000000"/>
            </w:tcBorders>
            <w:hideMark/>
          </w:tcPr>
          <w:p w:rsidR="00755746" w:rsidRPr="00D749B5" w:rsidRDefault="00755746" w:rsidP="00A06125">
            <w:pPr>
              <w:spacing w:after="0" w:line="240" w:lineRule="auto"/>
              <w:jc w:val="both"/>
              <w:rPr>
                <w:rFonts w:ascii="Times New Roman" w:hAnsi="Times New Roman" w:cs="Times New Roman"/>
                <w:sz w:val="24"/>
                <w:szCs w:val="24"/>
              </w:rPr>
            </w:pPr>
            <w:r w:rsidRPr="00D749B5">
              <w:rPr>
                <w:rFonts w:ascii="Times New Roman" w:hAnsi="Times New Roman" w:cs="Times New Roman"/>
                <w:sz w:val="24"/>
                <w:szCs w:val="24"/>
              </w:rPr>
              <w:t>Netiks radītas jaunas institūcijas, funkcijas tiks izpildītas Izglītības un zinātnes ministrijas un Valsts izglītības attīstības aģentūras funkciju ietvaros.</w:t>
            </w:r>
          </w:p>
        </w:tc>
      </w:tr>
      <w:tr w:rsidR="00755746" w:rsidRPr="00D749B5" w:rsidTr="001D4054">
        <w:tc>
          <w:tcPr>
            <w:tcW w:w="288" w:type="pct"/>
            <w:tcBorders>
              <w:top w:val="outset" w:sz="6" w:space="0" w:color="000000"/>
              <w:left w:val="outset" w:sz="6" w:space="0" w:color="000000"/>
              <w:bottom w:val="outset" w:sz="6" w:space="0" w:color="000000"/>
              <w:right w:val="outset" w:sz="6" w:space="0" w:color="000000"/>
            </w:tcBorders>
            <w:hideMark/>
          </w:tcPr>
          <w:p w:rsidR="00755746" w:rsidRPr="00D749B5" w:rsidRDefault="00755746" w:rsidP="00A06125">
            <w:pPr>
              <w:spacing w:line="240" w:lineRule="auto"/>
              <w:rPr>
                <w:rFonts w:ascii="Times New Roman" w:hAnsi="Times New Roman" w:cs="Times New Roman"/>
                <w:sz w:val="24"/>
                <w:szCs w:val="24"/>
              </w:rPr>
            </w:pPr>
            <w:r w:rsidRPr="00D749B5">
              <w:rPr>
                <w:rFonts w:ascii="Times New Roman" w:hAnsi="Times New Roman" w:cs="Times New Roman"/>
                <w:sz w:val="24"/>
                <w:szCs w:val="24"/>
              </w:rPr>
              <w:t>4.</w:t>
            </w:r>
          </w:p>
        </w:tc>
        <w:tc>
          <w:tcPr>
            <w:tcW w:w="1834" w:type="pct"/>
            <w:tcBorders>
              <w:top w:val="outset" w:sz="6" w:space="0" w:color="000000"/>
              <w:left w:val="outset" w:sz="6" w:space="0" w:color="000000"/>
              <w:bottom w:val="outset" w:sz="6" w:space="0" w:color="000000"/>
              <w:right w:val="outset" w:sz="6" w:space="0" w:color="000000"/>
            </w:tcBorders>
            <w:hideMark/>
          </w:tcPr>
          <w:p w:rsidR="00755746" w:rsidRPr="00D749B5" w:rsidRDefault="00755746" w:rsidP="00A06125">
            <w:pPr>
              <w:spacing w:after="0" w:line="240" w:lineRule="auto"/>
              <w:rPr>
                <w:rFonts w:ascii="Times New Roman" w:hAnsi="Times New Roman" w:cs="Times New Roman"/>
                <w:sz w:val="24"/>
                <w:szCs w:val="24"/>
              </w:rPr>
            </w:pPr>
            <w:r w:rsidRPr="00D749B5">
              <w:rPr>
                <w:rFonts w:ascii="Times New Roman" w:hAnsi="Times New Roman" w:cs="Times New Roman"/>
                <w:sz w:val="24"/>
                <w:szCs w:val="24"/>
              </w:rPr>
              <w:t>Projekta izpildes ietekme uz pārvaldes institucionālo struktūru.</w:t>
            </w:r>
          </w:p>
          <w:p w:rsidR="00755746" w:rsidRPr="00D749B5" w:rsidRDefault="00755746" w:rsidP="00A06125">
            <w:pPr>
              <w:spacing w:before="240" w:after="0" w:line="240" w:lineRule="auto"/>
              <w:rPr>
                <w:rFonts w:ascii="Times New Roman" w:hAnsi="Times New Roman" w:cs="Times New Roman"/>
                <w:sz w:val="24"/>
                <w:szCs w:val="24"/>
              </w:rPr>
            </w:pPr>
            <w:r w:rsidRPr="00D749B5">
              <w:rPr>
                <w:rFonts w:ascii="Times New Roman" w:hAnsi="Times New Roman" w:cs="Times New Roman"/>
                <w:sz w:val="24"/>
                <w:szCs w:val="24"/>
              </w:rPr>
              <w:lastRenderedPageBreak/>
              <w:t>Esošu institūciju likvidācija</w:t>
            </w:r>
          </w:p>
        </w:tc>
        <w:tc>
          <w:tcPr>
            <w:tcW w:w="2878" w:type="pct"/>
            <w:tcBorders>
              <w:top w:val="outset" w:sz="6" w:space="0" w:color="000000"/>
              <w:left w:val="outset" w:sz="6" w:space="0" w:color="000000"/>
              <w:bottom w:val="outset" w:sz="6" w:space="0" w:color="000000"/>
              <w:right w:val="outset" w:sz="6" w:space="0" w:color="000000"/>
            </w:tcBorders>
            <w:hideMark/>
          </w:tcPr>
          <w:p w:rsidR="00755746" w:rsidRPr="00D749B5" w:rsidRDefault="00755746" w:rsidP="00A06125">
            <w:pPr>
              <w:spacing w:after="0" w:line="240" w:lineRule="auto"/>
              <w:rPr>
                <w:rFonts w:ascii="Times New Roman" w:hAnsi="Times New Roman" w:cs="Times New Roman"/>
                <w:sz w:val="24"/>
                <w:szCs w:val="24"/>
              </w:rPr>
            </w:pPr>
            <w:r w:rsidRPr="00D749B5">
              <w:rPr>
                <w:rFonts w:ascii="Times New Roman" w:hAnsi="Times New Roman" w:cs="Times New Roman"/>
                <w:sz w:val="24"/>
                <w:szCs w:val="24"/>
              </w:rPr>
              <w:lastRenderedPageBreak/>
              <w:t>Noteikumu projekts šo jomu neskar</w:t>
            </w:r>
            <w:r w:rsidR="0050453E" w:rsidRPr="00D749B5">
              <w:rPr>
                <w:rFonts w:ascii="Times New Roman" w:hAnsi="Times New Roman" w:cs="Times New Roman"/>
                <w:sz w:val="24"/>
                <w:szCs w:val="24"/>
              </w:rPr>
              <w:t>.</w:t>
            </w:r>
          </w:p>
        </w:tc>
      </w:tr>
      <w:tr w:rsidR="00755746" w:rsidRPr="00D749B5" w:rsidTr="001D4054">
        <w:tc>
          <w:tcPr>
            <w:tcW w:w="288" w:type="pct"/>
            <w:tcBorders>
              <w:top w:val="outset" w:sz="6" w:space="0" w:color="000000"/>
              <w:left w:val="outset" w:sz="6" w:space="0" w:color="000000"/>
              <w:bottom w:val="outset" w:sz="6" w:space="0" w:color="000000"/>
              <w:right w:val="outset" w:sz="6" w:space="0" w:color="000000"/>
            </w:tcBorders>
            <w:hideMark/>
          </w:tcPr>
          <w:p w:rsidR="00755746" w:rsidRPr="00D749B5" w:rsidRDefault="00755746" w:rsidP="00A06125">
            <w:pPr>
              <w:spacing w:line="240" w:lineRule="auto"/>
              <w:rPr>
                <w:rFonts w:ascii="Times New Roman" w:hAnsi="Times New Roman" w:cs="Times New Roman"/>
                <w:sz w:val="24"/>
                <w:szCs w:val="24"/>
              </w:rPr>
            </w:pPr>
            <w:r w:rsidRPr="00D749B5">
              <w:rPr>
                <w:rFonts w:ascii="Times New Roman" w:hAnsi="Times New Roman" w:cs="Times New Roman"/>
                <w:sz w:val="24"/>
                <w:szCs w:val="24"/>
              </w:rPr>
              <w:lastRenderedPageBreak/>
              <w:t>5.</w:t>
            </w:r>
          </w:p>
        </w:tc>
        <w:tc>
          <w:tcPr>
            <w:tcW w:w="1834" w:type="pct"/>
            <w:tcBorders>
              <w:top w:val="outset" w:sz="6" w:space="0" w:color="000000"/>
              <w:left w:val="outset" w:sz="6" w:space="0" w:color="000000"/>
              <w:bottom w:val="outset" w:sz="6" w:space="0" w:color="000000"/>
              <w:right w:val="outset" w:sz="6" w:space="0" w:color="000000"/>
            </w:tcBorders>
            <w:hideMark/>
          </w:tcPr>
          <w:p w:rsidR="001D4054" w:rsidRPr="00D749B5" w:rsidRDefault="00755746" w:rsidP="00A06125">
            <w:pPr>
              <w:spacing w:line="240" w:lineRule="auto"/>
              <w:rPr>
                <w:rFonts w:ascii="Times New Roman" w:hAnsi="Times New Roman" w:cs="Times New Roman"/>
                <w:sz w:val="24"/>
                <w:szCs w:val="24"/>
              </w:rPr>
            </w:pPr>
            <w:r w:rsidRPr="00D749B5">
              <w:rPr>
                <w:rFonts w:ascii="Times New Roman" w:hAnsi="Times New Roman" w:cs="Times New Roman"/>
                <w:sz w:val="24"/>
                <w:szCs w:val="24"/>
              </w:rPr>
              <w:t xml:space="preserve">Projekta izpildes ietekme uz pārvaldes institucionālo struktūru. </w:t>
            </w:r>
          </w:p>
          <w:p w:rsidR="00755746" w:rsidRPr="00D749B5" w:rsidRDefault="00755746" w:rsidP="00A06125">
            <w:pPr>
              <w:spacing w:after="0" w:line="240" w:lineRule="auto"/>
              <w:rPr>
                <w:rFonts w:ascii="Times New Roman" w:hAnsi="Times New Roman" w:cs="Times New Roman"/>
                <w:sz w:val="24"/>
                <w:szCs w:val="24"/>
              </w:rPr>
            </w:pPr>
            <w:r w:rsidRPr="00D749B5">
              <w:rPr>
                <w:rFonts w:ascii="Times New Roman" w:hAnsi="Times New Roman" w:cs="Times New Roman"/>
                <w:sz w:val="24"/>
                <w:szCs w:val="24"/>
              </w:rPr>
              <w:t>Esošu institūciju reorganizācija</w:t>
            </w:r>
          </w:p>
        </w:tc>
        <w:tc>
          <w:tcPr>
            <w:tcW w:w="2878" w:type="pct"/>
            <w:tcBorders>
              <w:top w:val="outset" w:sz="6" w:space="0" w:color="000000"/>
              <w:left w:val="outset" w:sz="6" w:space="0" w:color="000000"/>
              <w:bottom w:val="outset" w:sz="6" w:space="0" w:color="000000"/>
              <w:right w:val="outset" w:sz="6" w:space="0" w:color="000000"/>
            </w:tcBorders>
            <w:hideMark/>
          </w:tcPr>
          <w:p w:rsidR="00755746" w:rsidRPr="008925CF" w:rsidRDefault="00755746" w:rsidP="00A06125">
            <w:pPr>
              <w:spacing w:line="240" w:lineRule="auto"/>
              <w:rPr>
                <w:rFonts w:ascii="Times New Roman" w:hAnsi="Times New Roman" w:cs="Times New Roman"/>
                <w:sz w:val="24"/>
                <w:szCs w:val="24"/>
              </w:rPr>
            </w:pPr>
            <w:r w:rsidRPr="008925CF">
              <w:rPr>
                <w:rFonts w:ascii="Times New Roman" w:hAnsi="Times New Roman" w:cs="Times New Roman"/>
                <w:sz w:val="24"/>
                <w:szCs w:val="24"/>
              </w:rPr>
              <w:t>Noteikumu projekts šo jomu neskar</w:t>
            </w:r>
            <w:r w:rsidR="0050453E" w:rsidRPr="008925CF">
              <w:rPr>
                <w:rFonts w:ascii="Times New Roman" w:hAnsi="Times New Roman" w:cs="Times New Roman"/>
                <w:sz w:val="24"/>
                <w:szCs w:val="24"/>
              </w:rPr>
              <w:t>.</w:t>
            </w:r>
          </w:p>
        </w:tc>
      </w:tr>
      <w:tr w:rsidR="00755746" w:rsidRPr="00D749B5" w:rsidTr="001D4054">
        <w:tc>
          <w:tcPr>
            <w:tcW w:w="288" w:type="pct"/>
            <w:tcBorders>
              <w:top w:val="outset" w:sz="6" w:space="0" w:color="000000"/>
              <w:left w:val="outset" w:sz="6" w:space="0" w:color="000000"/>
              <w:bottom w:val="outset" w:sz="6" w:space="0" w:color="000000"/>
              <w:right w:val="outset" w:sz="6" w:space="0" w:color="000000"/>
            </w:tcBorders>
            <w:hideMark/>
          </w:tcPr>
          <w:p w:rsidR="00755746" w:rsidRPr="00D749B5" w:rsidRDefault="00755746" w:rsidP="00A06125">
            <w:pPr>
              <w:spacing w:after="0" w:line="240" w:lineRule="auto"/>
              <w:rPr>
                <w:rFonts w:ascii="Times New Roman" w:hAnsi="Times New Roman" w:cs="Times New Roman"/>
                <w:sz w:val="24"/>
                <w:szCs w:val="24"/>
              </w:rPr>
            </w:pPr>
            <w:r w:rsidRPr="00D749B5">
              <w:rPr>
                <w:rFonts w:ascii="Times New Roman" w:hAnsi="Times New Roman" w:cs="Times New Roman"/>
                <w:sz w:val="24"/>
                <w:szCs w:val="24"/>
              </w:rPr>
              <w:t>6.</w:t>
            </w:r>
          </w:p>
        </w:tc>
        <w:tc>
          <w:tcPr>
            <w:tcW w:w="1834" w:type="pct"/>
            <w:tcBorders>
              <w:top w:val="outset" w:sz="6" w:space="0" w:color="000000"/>
              <w:left w:val="outset" w:sz="6" w:space="0" w:color="000000"/>
              <w:bottom w:val="outset" w:sz="6" w:space="0" w:color="000000"/>
              <w:right w:val="outset" w:sz="6" w:space="0" w:color="000000"/>
            </w:tcBorders>
            <w:hideMark/>
          </w:tcPr>
          <w:p w:rsidR="00755746" w:rsidRPr="00D749B5" w:rsidRDefault="00755746" w:rsidP="00A06125">
            <w:pPr>
              <w:spacing w:after="0" w:line="240" w:lineRule="auto"/>
              <w:rPr>
                <w:rFonts w:ascii="Times New Roman" w:hAnsi="Times New Roman" w:cs="Times New Roman"/>
                <w:sz w:val="24"/>
                <w:szCs w:val="24"/>
              </w:rPr>
            </w:pPr>
            <w:r w:rsidRPr="00D749B5">
              <w:rPr>
                <w:rFonts w:ascii="Times New Roman" w:hAnsi="Times New Roman" w:cs="Times New Roman"/>
                <w:sz w:val="24"/>
                <w:szCs w:val="24"/>
              </w:rPr>
              <w:t>Cita informācija</w:t>
            </w:r>
          </w:p>
        </w:tc>
        <w:tc>
          <w:tcPr>
            <w:tcW w:w="2878" w:type="pct"/>
            <w:tcBorders>
              <w:top w:val="outset" w:sz="6" w:space="0" w:color="000000"/>
              <w:left w:val="outset" w:sz="6" w:space="0" w:color="000000"/>
              <w:bottom w:val="outset" w:sz="6" w:space="0" w:color="000000"/>
              <w:right w:val="outset" w:sz="6" w:space="0" w:color="000000"/>
            </w:tcBorders>
            <w:hideMark/>
          </w:tcPr>
          <w:p w:rsidR="00755746" w:rsidRPr="008925CF" w:rsidRDefault="00755746" w:rsidP="00A06125">
            <w:pPr>
              <w:spacing w:after="0" w:line="240" w:lineRule="auto"/>
              <w:rPr>
                <w:rFonts w:ascii="Times New Roman" w:hAnsi="Times New Roman" w:cs="Times New Roman"/>
                <w:sz w:val="24"/>
                <w:szCs w:val="24"/>
              </w:rPr>
            </w:pPr>
            <w:r w:rsidRPr="008925CF">
              <w:rPr>
                <w:rFonts w:ascii="Times New Roman" w:hAnsi="Times New Roman" w:cs="Times New Roman"/>
                <w:sz w:val="24"/>
                <w:szCs w:val="24"/>
              </w:rPr>
              <w:t>Nav</w:t>
            </w:r>
          </w:p>
        </w:tc>
      </w:tr>
    </w:tbl>
    <w:p w:rsidR="00A90BFE" w:rsidRPr="00D749B5" w:rsidRDefault="00A90BFE" w:rsidP="00A06125">
      <w:pPr>
        <w:spacing w:after="0" w:line="240" w:lineRule="auto"/>
        <w:rPr>
          <w:rFonts w:ascii="Times New Roman" w:hAnsi="Times New Roman" w:cs="Times New Roman"/>
          <w:sz w:val="24"/>
          <w:szCs w:val="24"/>
        </w:rPr>
      </w:pPr>
    </w:p>
    <w:p w:rsidR="00A90BFE" w:rsidRPr="00D749B5" w:rsidRDefault="00A90BFE" w:rsidP="00A06125">
      <w:pPr>
        <w:spacing w:after="0" w:line="240" w:lineRule="auto"/>
        <w:rPr>
          <w:rFonts w:ascii="Times New Roman" w:hAnsi="Times New Roman" w:cs="Times New Roman"/>
          <w:sz w:val="24"/>
          <w:szCs w:val="24"/>
        </w:rPr>
      </w:pPr>
    </w:p>
    <w:p w:rsidR="00E5438C" w:rsidRPr="00D749B5" w:rsidRDefault="00E5438C" w:rsidP="00A06125">
      <w:pPr>
        <w:pStyle w:val="Heading5"/>
        <w:ind w:left="-203" w:firstLine="770"/>
        <w:rPr>
          <w:sz w:val="24"/>
          <w:szCs w:val="24"/>
          <w:lang w:val="lv-LV"/>
        </w:rPr>
      </w:pPr>
      <w:r w:rsidRPr="00D749B5">
        <w:rPr>
          <w:sz w:val="24"/>
          <w:szCs w:val="24"/>
          <w:lang w:val="lv-LV"/>
        </w:rPr>
        <w:t>Izglī</w:t>
      </w:r>
      <w:r w:rsidR="003D21D5" w:rsidRPr="00D749B5">
        <w:rPr>
          <w:sz w:val="24"/>
          <w:szCs w:val="24"/>
          <w:lang w:val="lv-LV"/>
        </w:rPr>
        <w:t>tības un zinātnes ministrs</w:t>
      </w:r>
      <w:r w:rsidR="0047752A">
        <w:rPr>
          <w:sz w:val="24"/>
          <w:szCs w:val="24"/>
          <w:lang w:val="lv-LV"/>
        </w:rPr>
        <w:tab/>
      </w:r>
      <w:r w:rsidR="0047752A">
        <w:rPr>
          <w:sz w:val="24"/>
          <w:szCs w:val="24"/>
          <w:lang w:val="lv-LV"/>
        </w:rPr>
        <w:tab/>
      </w:r>
      <w:r w:rsidR="0047752A">
        <w:rPr>
          <w:sz w:val="24"/>
          <w:szCs w:val="24"/>
          <w:lang w:val="lv-LV"/>
        </w:rPr>
        <w:tab/>
      </w:r>
      <w:r w:rsidR="0047752A">
        <w:rPr>
          <w:sz w:val="24"/>
          <w:szCs w:val="24"/>
          <w:lang w:val="lv-LV"/>
        </w:rPr>
        <w:tab/>
      </w:r>
      <w:r w:rsidR="0047752A">
        <w:rPr>
          <w:sz w:val="24"/>
          <w:szCs w:val="24"/>
          <w:lang w:val="lv-LV"/>
        </w:rPr>
        <w:tab/>
      </w:r>
      <w:r w:rsidR="003D21D5" w:rsidRPr="00D749B5">
        <w:rPr>
          <w:sz w:val="24"/>
          <w:szCs w:val="24"/>
          <w:lang w:val="lv-LV"/>
        </w:rPr>
        <w:t xml:space="preserve">Vjačeslavs </w:t>
      </w:r>
      <w:proofErr w:type="spellStart"/>
      <w:r w:rsidRPr="00D749B5">
        <w:rPr>
          <w:sz w:val="24"/>
          <w:szCs w:val="24"/>
          <w:lang w:val="lv-LV"/>
        </w:rPr>
        <w:t>Dombrovskis</w:t>
      </w:r>
      <w:proofErr w:type="spellEnd"/>
    </w:p>
    <w:p w:rsidR="00E5438C" w:rsidRPr="00D749B5" w:rsidRDefault="00E5438C" w:rsidP="00A06125">
      <w:pPr>
        <w:spacing w:line="240" w:lineRule="auto"/>
        <w:rPr>
          <w:rFonts w:ascii="Times New Roman" w:hAnsi="Times New Roman" w:cs="Times New Roman"/>
          <w:sz w:val="24"/>
          <w:szCs w:val="24"/>
        </w:rPr>
      </w:pPr>
    </w:p>
    <w:p w:rsidR="00A90BFE" w:rsidRPr="00D749B5" w:rsidRDefault="00A90BFE" w:rsidP="00A06125">
      <w:pPr>
        <w:spacing w:line="240" w:lineRule="auto"/>
        <w:rPr>
          <w:rFonts w:ascii="Times New Roman" w:hAnsi="Times New Roman" w:cs="Times New Roman"/>
          <w:sz w:val="24"/>
          <w:szCs w:val="24"/>
        </w:rPr>
      </w:pPr>
    </w:p>
    <w:p w:rsidR="00E5438C" w:rsidRPr="00D749B5" w:rsidRDefault="007F4529" w:rsidP="00A06125">
      <w:pPr>
        <w:pStyle w:val="NoSpacing"/>
        <w:ind w:left="567"/>
        <w:rPr>
          <w:sz w:val="24"/>
          <w:szCs w:val="24"/>
        </w:rPr>
      </w:pPr>
      <w:r w:rsidRPr="00D749B5">
        <w:rPr>
          <w:sz w:val="24"/>
          <w:szCs w:val="24"/>
        </w:rPr>
        <w:t>Vizē</w:t>
      </w:r>
      <w:r w:rsidR="0047752A">
        <w:rPr>
          <w:sz w:val="24"/>
          <w:szCs w:val="24"/>
        </w:rPr>
        <w:t>:</w:t>
      </w:r>
      <w:r w:rsidR="00E5438C" w:rsidRPr="00D749B5">
        <w:rPr>
          <w:sz w:val="24"/>
          <w:szCs w:val="24"/>
        </w:rPr>
        <w:tab/>
      </w:r>
      <w:r w:rsidR="00E5438C" w:rsidRPr="00D749B5">
        <w:rPr>
          <w:sz w:val="24"/>
          <w:szCs w:val="24"/>
        </w:rPr>
        <w:tab/>
      </w:r>
    </w:p>
    <w:p w:rsidR="0047752A" w:rsidRDefault="0047752A" w:rsidP="0047752A">
      <w:pPr>
        <w:autoSpaceDE w:val="0"/>
        <w:autoSpaceDN w:val="0"/>
        <w:adjustRightInd w:val="0"/>
        <w:spacing w:after="0" w:line="240" w:lineRule="auto"/>
        <w:ind w:firstLine="567"/>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Valsts sekretāra vietnieks –</w:t>
      </w:r>
    </w:p>
    <w:p w:rsidR="0047752A" w:rsidRDefault="0047752A" w:rsidP="0047752A">
      <w:pPr>
        <w:autoSpaceDE w:val="0"/>
        <w:autoSpaceDN w:val="0"/>
        <w:adjustRightInd w:val="0"/>
        <w:spacing w:after="0" w:line="240" w:lineRule="auto"/>
        <w:ind w:firstLine="567"/>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 xml:space="preserve">Nodrošinājuma un finanšu </w:t>
      </w:r>
    </w:p>
    <w:p w:rsidR="0047752A" w:rsidRDefault="0047752A" w:rsidP="0047752A">
      <w:pPr>
        <w:autoSpaceDE w:val="0"/>
        <w:autoSpaceDN w:val="0"/>
        <w:adjustRightInd w:val="0"/>
        <w:spacing w:after="0" w:line="240" w:lineRule="auto"/>
        <w:ind w:firstLine="567"/>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departamenta direktors,</w:t>
      </w:r>
    </w:p>
    <w:p w:rsidR="0047752A" w:rsidRDefault="0047752A" w:rsidP="0047752A">
      <w:pPr>
        <w:autoSpaceDE w:val="0"/>
        <w:autoSpaceDN w:val="0"/>
        <w:adjustRightInd w:val="0"/>
        <w:spacing w:after="0" w:line="240" w:lineRule="auto"/>
        <w:ind w:firstLine="567"/>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valsts sekretāra pienākumu izpildītājs</w:t>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t xml:space="preserve">Elmārs </w:t>
      </w:r>
      <w:proofErr w:type="spellStart"/>
      <w:r>
        <w:rPr>
          <w:rFonts w:ascii="Times New Roman" w:hAnsi="Times New Roman" w:cs="Times New Roman"/>
          <w:color w:val="000000"/>
          <w:sz w:val="24"/>
          <w:szCs w:val="24"/>
          <w:lang w:eastAsia="lv-LV"/>
        </w:rPr>
        <w:t>Martinsons</w:t>
      </w:r>
      <w:proofErr w:type="spellEnd"/>
    </w:p>
    <w:p w:rsidR="00E5438C" w:rsidRPr="00D749B5" w:rsidRDefault="00E5438C" w:rsidP="00A06125">
      <w:pPr>
        <w:spacing w:after="0" w:line="240" w:lineRule="auto"/>
        <w:rPr>
          <w:rFonts w:ascii="Times New Roman" w:hAnsi="Times New Roman" w:cs="Times New Roman"/>
          <w:sz w:val="24"/>
          <w:szCs w:val="24"/>
        </w:rPr>
      </w:pPr>
    </w:p>
    <w:p w:rsidR="005F5961" w:rsidRDefault="005F5961" w:rsidP="00A06125">
      <w:pPr>
        <w:spacing w:after="0" w:line="240" w:lineRule="auto"/>
        <w:rPr>
          <w:rFonts w:ascii="Times New Roman" w:hAnsi="Times New Roman" w:cs="Times New Roman"/>
          <w:sz w:val="28"/>
          <w:szCs w:val="28"/>
        </w:rPr>
      </w:pPr>
    </w:p>
    <w:p w:rsidR="00CA0C75" w:rsidRDefault="00CA0C75" w:rsidP="00A06125">
      <w:pPr>
        <w:spacing w:after="0" w:line="240" w:lineRule="auto"/>
        <w:rPr>
          <w:rFonts w:ascii="Times New Roman" w:hAnsi="Times New Roman" w:cs="Times New Roman"/>
          <w:sz w:val="28"/>
          <w:szCs w:val="28"/>
        </w:rPr>
      </w:pPr>
    </w:p>
    <w:p w:rsidR="00CA0C75" w:rsidRDefault="00CA0C75" w:rsidP="00A06125">
      <w:pPr>
        <w:spacing w:after="0" w:line="240" w:lineRule="auto"/>
        <w:rPr>
          <w:rFonts w:ascii="Times New Roman" w:hAnsi="Times New Roman" w:cs="Times New Roman"/>
          <w:sz w:val="28"/>
          <w:szCs w:val="28"/>
        </w:rPr>
      </w:pPr>
    </w:p>
    <w:p w:rsidR="00CA0C75" w:rsidRDefault="00CA0C75" w:rsidP="00A06125">
      <w:pPr>
        <w:spacing w:after="0" w:line="240" w:lineRule="auto"/>
        <w:rPr>
          <w:rFonts w:ascii="Times New Roman" w:hAnsi="Times New Roman" w:cs="Times New Roman"/>
          <w:sz w:val="28"/>
          <w:szCs w:val="28"/>
        </w:rPr>
      </w:pPr>
    </w:p>
    <w:p w:rsidR="00CA0C75" w:rsidRDefault="00CA0C75" w:rsidP="00A06125">
      <w:pPr>
        <w:spacing w:after="0" w:line="240" w:lineRule="auto"/>
        <w:rPr>
          <w:rFonts w:ascii="Times New Roman" w:hAnsi="Times New Roman" w:cs="Times New Roman"/>
          <w:sz w:val="28"/>
          <w:szCs w:val="28"/>
        </w:rPr>
      </w:pPr>
    </w:p>
    <w:p w:rsidR="00CA0C75" w:rsidRDefault="00CA0C75" w:rsidP="00A06125">
      <w:pPr>
        <w:spacing w:after="0" w:line="240" w:lineRule="auto"/>
        <w:rPr>
          <w:rFonts w:ascii="Times New Roman" w:hAnsi="Times New Roman" w:cs="Times New Roman"/>
          <w:sz w:val="28"/>
          <w:szCs w:val="28"/>
        </w:rPr>
      </w:pPr>
    </w:p>
    <w:p w:rsidR="00CA0C75" w:rsidRDefault="00CA0C75" w:rsidP="00A06125">
      <w:pPr>
        <w:spacing w:after="0" w:line="240" w:lineRule="auto"/>
        <w:rPr>
          <w:rFonts w:ascii="Times New Roman" w:hAnsi="Times New Roman" w:cs="Times New Roman"/>
          <w:sz w:val="28"/>
          <w:szCs w:val="28"/>
        </w:rPr>
      </w:pPr>
    </w:p>
    <w:p w:rsidR="00895A87" w:rsidRDefault="002E7E3B" w:rsidP="00A06125">
      <w:pPr>
        <w:tabs>
          <w:tab w:val="left" w:pos="6521"/>
          <w:tab w:val="left" w:pos="6804"/>
          <w:tab w:val="left" w:pos="7088"/>
        </w:tabs>
        <w:spacing w:after="0" w:line="240" w:lineRule="auto"/>
        <w:rPr>
          <w:rFonts w:ascii="Times New Roman" w:hAnsi="Times New Roman" w:cs="Times New Roman"/>
          <w:sz w:val="20"/>
          <w:szCs w:val="20"/>
        </w:rPr>
      </w:pPr>
      <w:fldSimple w:instr=" SAVEDATE   \* MERGEFORMAT ">
        <w:r w:rsidR="0066429D" w:rsidRPr="0066429D">
          <w:rPr>
            <w:rFonts w:ascii="Times New Roman" w:hAnsi="Times New Roman" w:cs="Times New Roman"/>
            <w:noProof/>
            <w:sz w:val="20"/>
            <w:szCs w:val="20"/>
          </w:rPr>
          <w:t>09.01.2014 16:41:00</w:t>
        </w:r>
      </w:fldSimple>
    </w:p>
    <w:p w:rsidR="00895A87" w:rsidRDefault="002E7E3B" w:rsidP="00A06125">
      <w:pPr>
        <w:spacing w:after="0" w:line="240" w:lineRule="auto"/>
        <w:rPr>
          <w:rFonts w:ascii="Times New Roman" w:hAnsi="Times New Roman" w:cs="Times New Roman"/>
          <w:sz w:val="20"/>
          <w:szCs w:val="20"/>
        </w:rPr>
      </w:pPr>
      <w:fldSimple w:instr=" NUMWORDS   \* MERGEFORMAT ">
        <w:r w:rsidR="0066429D" w:rsidRPr="0066429D">
          <w:rPr>
            <w:rFonts w:ascii="Times New Roman" w:hAnsi="Times New Roman" w:cs="Times New Roman"/>
            <w:noProof/>
            <w:sz w:val="20"/>
            <w:szCs w:val="20"/>
          </w:rPr>
          <w:t>3309</w:t>
        </w:r>
      </w:fldSimple>
    </w:p>
    <w:p w:rsidR="001B2E28" w:rsidRPr="001B2E28" w:rsidRDefault="001B2E28" w:rsidP="00A06125">
      <w:pPr>
        <w:spacing w:after="0" w:line="240" w:lineRule="auto"/>
        <w:rPr>
          <w:rFonts w:ascii="Times New Roman" w:hAnsi="Times New Roman" w:cs="Times New Roman"/>
          <w:sz w:val="20"/>
          <w:szCs w:val="20"/>
        </w:rPr>
      </w:pPr>
      <w:proofErr w:type="spellStart"/>
      <w:r w:rsidRPr="001B2E28">
        <w:rPr>
          <w:rFonts w:ascii="Times New Roman" w:hAnsi="Times New Roman" w:cs="Times New Roman"/>
          <w:sz w:val="20"/>
          <w:szCs w:val="20"/>
        </w:rPr>
        <w:t>I.Švirksta</w:t>
      </w:r>
      <w:proofErr w:type="spellEnd"/>
    </w:p>
    <w:p w:rsidR="001B2E71" w:rsidRDefault="001B2E28" w:rsidP="00A06125">
      <w:pPr>
        <w:spacing w:after="0" w:line="240" w:lineRule="auto"/>
        <w:rPr>
          <w:rFonts w:ascii="Times New Roman" w:hAnsi="Times New Roman" w:cs="Times New Roman"/>
          <w:sz w:val="20"/>
          <w:szCs w:val="20"/>
        </w:rPr>
      </w:pPr>
      <w:r w:rsidRPr="001B2E28">
        <w:rPr>
          <w:rFonts w:ascii="Times New Roman" w:hAnsi="Times New Roman" w:cs="Times New Roman"/>
          <w:sz w:val="20"/>
          <w:szCs w:val="20"/>
        </w:rPr>
        <w:t xml:space="preserve"> 67047882, </w:t>
      </w:r>
      <w:hyperlink r:id="rId9" w:history="1">
        <w:r w:rsidR="001B2E71" w:rsidRPr="00306B6D">
          <w:rPr>
            <w:rStyle w:val="Hyperlink"/>
            <w:rFonts w:ascii="Times New Roman" w:hAnsi="Times New Roman" w:cs="Times New Roman"/>
            <w:sz w:val="20"/>
            <w:szCs w:val="20"/>
          </w:rPr>
          <w:t>Inta.Svirksta@izm.gov.lv</w:t>
        </w:r>
      </w:hyperlink>
    </w:p>
    <w:p w:rsidR="00B750AC" w:rsidRPr="00B607F6" w:rsidRDefault="004D1B48" w:rsidP="00A06125">
      <w:pPr>
        <w:spacing w:after="0" w:line="240" w:lineRule="auto"/>
        <w:rPr>
          <w:rFonts w:ascii="Times New Roman" w:hAnsi="Times New Roman" w:cs="Times New Roman"/>
          <w:sz w:val="20"/>
          <w:szCs w:val="20"/>
        </w:rPr>
      </w:pPr>
      <w:proofErr w:type="spellStart"/>
      <w:r w:rsidRPr="00B607F6">
        <w:rPr>
          <w:rFonts w:ascii="Times New Roman" w:hAnsi="Times New Roman" w:cs="Times New Roman"/>
          <w:sz w:val="20"/>
          <w:szCs w:val="20"/>
        </w:rPr>
        <w:t>I.Griķe</w:t>
      </w:r>
      <w:proofErr w:type="spellEnd"/>
    </w:p>
    <w:p w:rsidR="00B750AC" w:rsidRPr="00346495" w:rsidRDefault="00B750AC" w:rsidP="00A06125">
      <w:pPr>
        <w:spacing w:after="0" w:line="240" w:lineRule="auto"/>
      </w:pPr>
      <w:r w:rsidRPr="00B607F6">
        <w:rPr>
          <w:rFonts w:ascii="Times New Roman" w:hAnsi="Times New Roman" w:cs="Times New Roman"/>
          <w:sz w:val="20"/>
          <w:szCs w:val="20"/>
        </w:rPr>
        <w:t>67047</w:t>
      </w:r>
      <w:r w:rsidR="004D1B48" w:rsidRPr="00B607F6">
        <w:rPr>
          <w:rFonts w:ascii="Times New Roman" w:hAnsi="Times New Roman" w:cs="Times New Roman"/>
          <w:sz w:val="20"/>
          <w:szCs w:val="20"/>
        </w:rPr>
        <w:t xml:space="preserve">826, </w:t>
      </w:r>
      <w:hyperlink r:id="rId10" w:history="1">
        <w:r w:rsidR="004D1B48" w:rsidRPr="00B607F6">
          <w:rPr>
            <w:rStyle w:val="Hyperlink"/>
            <w:rFonts w:ascii="Times New Roman" w:hAnsi="Times New Roman" w:cs="Times New Roman"/>
            <w:sz w:val="20"/>
            <w:szCs w:val="20"/>
          </w:rPr>
          <w:t>Inga.Grike@izm.gov.lv</w:t>
        </w:r>
      </w:hyperlink>
    </w:p>
    <w:sectPr w:rsidR="00B750AC" w:rsidRPr="00346495" w:rsidSect="00606C2B">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64C" w:rsidRDefault="00BD664C" w:rsidP="004031CC">
      <w:pPr>
        <w:spacing w:after="0" w:line="240" w:lineRule="auto"/>
      </w:pPr>
      <w:r>
        <w:separator/>
      </w:r>
    </w:p>
  </w:endnote>
  <w:endnote w:type="continuationSeparator" w:id="0">
    <w:p w:rsidR="00BD664C" w:rsidRDefault="00BD664C" w:rsidP="00403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4C" w:rsidRDefault="002E7E3B" w:rsidP="00897CC6">
    <w:pPr>
      <w:pStyle w:val="Footer"/>
      <w:jc w:val="both"/>
    </w:pPr>
    <w:fldSimple w:instr=" FILENAME   \* MERGEFORMAT ">
      <w:r w:rsidR="00D3799B" w:rsidRPr="00D3799B">
        <w:rPr>
          <w:rFonts w:ascii="Times New Roman" w:hAnsi="Times New Roman" w:cs="Times New Roman"/>
          <w:noProof/>
          <w:sz w:val="20"/>
          <w:szCs w:val="20"/>
        </w:rPr>
        <w:t>IZMAnot_090114_groz14</w:t>
      </w:r>
    </w:fldSimple>
    <w:r w:rsidR="00BD664C" w:rsidRPr="00897CC6">
      <w:rPr>
        <w:rFonts w:ascii="Times New Roman" w:hAnsi="Times New Roman" w:cs="Times New Roman"/>
        <w:sz w:val="20"/>
        <w:szCs w:val="20"/>
      </w:rPr>
      <w:t>; Ministru kabineta noteikumu projekta „Grozījumi Ministru kabineta 2013.gada 3.janvāra noteikumos Nr.14 „Noteikumi par darbības programmas „Uzņēmējdarbība un inovācijas” papildinājuma 2.1.1.1.aktivitātes „Atbalsts zinātnei un pētniecībai” otro</w:t>
    </w:r>
    <w:r w:rsidR="00BD664C">
      <w:rPr>
        <w:rFonts w:ascii="Times New Roman" w:hAnsi="Times New Roman" w:cs="Times New Roman"/>
        <w:sz w:val="20"/>
        <w:szCs w:val="20"/>
      </w:rPr>
      <w:t xml:space="preserve"> un trešo</w:t>
    </w:r>
    <w:r w:rsidR="00BD664C" w:rsidRPr="00897CC6">
      <w:rPr>
        <w:rFonts w:ascii="Times New Roman" w:hAnsi="Times New Roman" w:cs="Times New Roman"/>
        <w:sz w:val="20"/>
        <w:szCs w:val="20"/>
      </w:rPr>
      <w:t xml:space="preserve"> projektu iesniegumu atlases kārtu””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4C" w:rsidRDefault="002E7E3B" w:rsidP="00897CC6">
    <w:pPr>
      <w:pStyle w:val="Footer"/>
      <w:jc w:val="both"/>
    </w:pPr>
    <w:fldSimple w:instr=" FILENAME   \* MERGEFORMAT ">
      <w:r w:rsidR="00D3799B" w:rsidRPr="00D3799B">
        <w:rPr>
          <w:rFonts w:ascii="Times New Roman" w:hAnsi="Times New Roman" w:cs="Times New Roman"/>
          <w:noProof/>
          <w:sz w:val="20"/>
          <w:szCs w:val="20"/>
        </w:rPr>
        <w:t>IZMAnot_090114_groz14</w:t>
      </w:r>
    </w:fldSimple>
    <w:r w:rsidR="00BD664C" w:rsidRPr="00897CC6">
      <w:rPr>
        <w:rFonts w:ascii="Times New Roman" w:hAnsi="Times New Roman" w:cs="Times New Roman"/>
        <w:sz w:val="20"/>
        <w:szCs w:val="20"/>
      </w:rPr>
      <w:t>; Ministru kabineta noteikumu projekta „Grozījumi Ministru kabineta 2013.gada 3.janvāra noteikumos Nr.14 „Noteikumi par darbības programmas „Uzņēmējdarbība un inovācijas” papildinājuma 2.1.1.1.aktivitātes „Atbalsts zinātnei un pētniecībai” otro</w:t>
    </w:r>
    <w:r w:rsidR="00BD664C">
      <w:rPr>
        <w:rFonts w:ascii="Times New Roman" w:hAnsi="Times New Roman" w:cs="Times New Roman"/>
        <w:sz w:val="20"/>
        <w:szCs w:val="20"/>
      </w:rPr>
      <w:t xml:space="preserve"> un trešo</w:t>
    </w:r>
    <w:r w:rsidR="00BD664C" w:rsidRPr="00897CC6">
      <w:rPr>
        <w:rFonts w:ascii="Times New Roman" w:hAnsi="Times New Roman" w:cs="Times New Roman"/>
        <w:sz w:val="20"/>
        <w:szCs w:val="20"/>
      </w:rPr>
      <w:t xml:space="preserve"> projektu iesniegumu atlases kārtu””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64C" w:rsidRDefault="00BD664C" w:rsidP="004031CC">
      <w:pPr>
        <w:spacing w:after="0" w:line="240" w:lineRule="auto"/>
      </w:pPr>
      <w:r>
        <w:separator/>
      </w:r>
    </w:p>
  </w:footnote>
  <w:footnote w:type="continuationSeparator" w:id="0">
    <w:p w:rsidR="00BD664C" w:rsidRDefault="00BD664C" w:rsidP="004031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9954"/>
      <w:docPartObj>
        <w:docPartGallery w:val="Page Numbers (Top of Page)"/>
        <w:docPartUnique/>
      </w:docPartObj>
    </w:sdtPr>
    <w:sdtContent>
      <w:p w:rsidR="00BD664C" w:rsidRDefault="002E7E3B">
        <w:pPr>
          <w:pStyle w:val="Header"/>
          <w:jc w:val="center"/>
        </w:pPr>
        <w:r w:rsidRPr="00897CC6">
          <w:rPr>
            <w:rFonts w:ascii="Times New Roman" w:hAnsi="Times New Roman" w:cs="Times New Roman"/>
            <w:sz w:val="24"/>
            <w:szCs w:val="24"/>
          </w:rPr>
          <w:fldChar w:fldCharType="begin"/>
        </w:r>
        <w:r w:rsidR="00BD664C" w:rsidRPr="00897CC6">
          <w:rPr>
            <w:rFonts w:ascii="Times New Roman" w:hAnsi="Times New Roman" w:cs="Times New Roman"/>
            <w:sz w:val="24"/>
            <w:szCs w:val="24"/>
          </w:rPr>
          <w:instrText xml:space="preserve"> PAGE   \* MERGEFORMAT </w:instrText>
        </w:r>
        <w:r w:rsidRPr="00897CC6">
          <w:rPr>
            <w:rFonts w:ascii="Times New Roman" w:hAnsi="Times New Roman" w:cs="Times New Roman"/>
            <w:sz w:val="24"/>
            <w:szCs w:val="24"/>
          </w:rPr>
          <w:fldChar w:fldCharType="separate"/>
        </w:r>
        <w:r w:rsidR="0066429D">
          <w:rPr>
            <w:rFonts w:ascii="Times New Roman" w:hAnsi="Times New Roman" w:cs="Times New Roman"/>
            <w:noProof/>
            <w:sz w:val="24"/>
            <w:szCs w:val="24"/>
          </w:rPr>
          <w:t>11</w:t>
        </w:r>
        <w:r w:rsidRPr="00897CC6">
          <w:rPr>
            <w:rFonts w:ascii="Times New Roman" w:hAnsi="Times New Roman" w:cs="Times New Roman"/>
            <w:sz w:val="24"/>
            <w:szCs w:val="24"/>
          </w:rPr>
          <w:fldChar w:fldCharType="end"/>
        </w:r>
      </w:p>
    </w:sdtContent>
  </w:sdt>
  <w:p w:rsidR="00BD664C" w:rsidRDefault="00BD66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B6B5D"/>
    <w:multiLevelType w:val="hybridMultilevel"/>
    <w:tmpl w:val="8DD8F916"/>
    <w:lvl w:ilvl="0" w:tplc="455687C8">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7BD03C6"/>
    <w:multiLevelType w:val="hybridMultilevel"/>
    <w:tmpl w:val="4BD4977A"/>
    <w:lvl w:ilvl="0" w:tplc="F7868380">
      <w:start w:val="16"/>
      <w:numFmt w:val="bullet"/>
      <w:lvlText w:val="–"/>
      <w:lvlJc w:val="left"/>
      <w:pPr>
        <w:ind w:left="236" w:hanging="360"/>
      </w:pPr>
      <w:rPr>
        <w:rFonts w:ascii="Times New Roman" w:eastAsiaTheme="minorHAnsi" w:hAnsi="Times New Roman" w:cs="Times New Roman" w:hint="default"/>
      </w:rPr>
    </w:lvl>
    <w:lvl w:ilvl="1" w:tplc="04260003" w:tentative="1">
      <w:start w:val="1"/>
      <w:numFmt w:val="bullet"/>
      <w:lvlText w:val="o"/>
      <w:lvlJc w:val="left"/>
      <w:pPr>
        <w:ind w:left="956" w:hanging="360"/>
      </w:pPr>
      <w:rPr>
        <w:rFonts w:ascii="Courier New" w:hAnsi="Courier New" w:cs="Courier New" w:hint="default"/>
      </w:rPr>
    </w:lvl>
    <w:lvl w:ilvl="2" w:tplc="04260005" w:tentative="1">
      <w:start w:val="1"/>
      <w:numFmt w:val="bullet"/>
      <w:lvlText w:val=""/>
      <w:lvlJc w:val="left"/>
      <w:pPr>
        <w:ind w:left="1676" w:hanging="360"/>
      </w:pPr>
      <w:rPr>
        <w:rFonts w:ascii="Wingdings" w:hAnsi="Wingdings" w:hint="default"/>
      </w:rPr>
    </w:lvl>
    <w:lvl w:ilvl="3" w:tplc="04260001" w:tentative="1">
      <w:start w:val="1"/>
      <w:numFmt w:val="bullet"/>
      <w:lvlText w:val=""/>
      <w:lvlJc w:val="left"/>
      <w:pPr>
        <w:ind w:left="2396" w:hanging="360"/>
      </w:pPr>
      <w:rPr>
        <w:rFonts w:ascii="Symbol" w:hAnsi="Symbol" w:hint="default"/>
      </w:rPr>
    </w:lvl>
    <w:lvl w:ilvl="4" w:tplc="04260003" w:tentative="1">
      <w:start w:val="1"/>
      <w:numFmt w:val="bullet"/>
      <w:lvlText w:val="o"/>
      <w:lvlJc w:val="left"/>
      <w:pPr>
        <w:ind w:left="3116" w:hanging="360"/>
      </w:pPr>
      <w:rPr>
        <w:rFonts w:ascii="Courier New" w:hAnsi="Courier New" w:cs="Courier New" w:hint="default"/>
      </w:rPr>
    </w:lvl>
    <w:lvl w:ilvl="5" w:tplc="04260005" w:tentative="1">
      <w:start w:val="1"/>
      <w:numFmt w:val="bullet"/>
      <w:lvlText w:val=""/>
      <w:lvlJc w:val="left"/>
      <w:pPr>
        <w:ind w:left="3836" w:hanging="360"/>
      </w:pPr>
      <w:rPr>
        <w:rFonts w:ascii="Wingdings" w:hAnsi="Wingdings" w:hint="default"/>
      </w:rPr>
    </w:lvl>
    <w:lvl w:ilvl="6" w:tplc="04260001" w:tentative="1">
      <w:start w:val="1"/>
      <w:numFmt w:val="bullet"/>
      <w:lvlText w:val=""/>
      <w:lvlJc w:val="left"/>
      <w:pPr>
        <w:ind w:left="4556" w:hanging="360"/>
      </w:pPr>
      <w:rPr>
        <w:rFonts w:ascii="Symbol" w:hAnsi="Symbol" w:hint="default"/>
      </w:rPr>
    </w:lvl>
    <w:lvl w:ilvl="7" w:tplc="04260003" w:tentative="1">
      <w:start w:val="1"/>
      <w:numFmt w:val="bullet"/>
      <w:lvlText w:val="o"/>
      <w:lvlJc w:val="left"/>
      <w:pPr>
        <w:ind w:left="5276" w:hanging="360"/>
      </w:pPr>
      <w:rPr>
        <w:rFonts w:ascii="Courier New" w:hAnsi="Courier New" w:cs="Courier New" w:hint="default"/>
      </w:rPr>
    </w:lvl>
    <w:lvl w:ilvl="8" w:tplc="04260005" w:tentative="1">
      <w:start w:val="1"/>
      <w:numFmt w:val="bullet"/>
      <w:lvlText w:val=""/>
      <w:lvlJc w:val="left"/>
      <w:pPr>
        <w:ind w:left="599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5438C"/>
    <w:rsid w:val="000030D2"/>
    <w:rsid w:val="000201E9"/>
    <w:rsid w:val="00031736"/>
    <w:rsid w:val="00032367"/>
    <w:rsid w:val="00033793"/>
    <w:rsid w:val="0003413F"/>
    <w:rsid w:val="00041E24"/>
    <w:rsid w:val="0004290D"/>
    <w:rsid w:val="000433BD"/>
    <w:rsid w:val="00043677"/>
    <w:rsid w:val="00043C14"/>
    <w:rsid w:val="00044FD7"/>
    <w:rsid w:val="00045FEF"/>
    <w:rsid w:val="000509D9"/>
    <w:rsid w:val="00050A16"/>
    <w:rsid w:val="0005111E"/>
    <w:rsid w:val="000539CF"/>
    <w:rsid w:val="00065B16"/>
    <w:rsid w:val="00074C9B"/>
    <w:rsid w:val="00077293"/>
    <w:rsid w:val="00081403"/>
    <w:rsid w:val="00081774"/>
    <w:rsid w:val="00082A99"/>
    <w:rsid w:val="00085485"/>
    <w:rsid w:val="000859FD"/>
    <w:rsid w:val="00091319"/>
    <w:rsid w:val="00097573"/>
    <w:rsid w:val="000A02EC"/>
    <w:rsid w:val="000A3B21"/>
    <w:rsid w:val="000A4629"/>
    <w:rsid w:val="000B30BB"/>
    <w:rsid w:val="000B331E"/>
    <w:rsid w:val="000B5F8F"/>
    <w:rsid w:val="000B6302"/>
    <w:rsid w:val="000B73CE"/>
    <w:rsid w:val="000C5A9E"/>
    <w:rsid w:val="000D0984"/>
    <w:rsid w:val="000D466D"/>
    <w:rsid w:val="000E282B"/>
    <w:rsid w:val="000E327C"/>
    <w:rsid w:val="000E6379"/>
    <w:rsid w:val="001024C9"/>
    <w:rsid w:val="00102BD9"/>
    <w:rsid w:val="00104ECF"/>
    <w:rsid w:val="00120006"/>
    <w:rsid w:val="00120963"/>
    <w:rsid w:val="00127381"/>
    <w:rsid w:val="00140ECB"/>
    <w:rsid w:val="0014127C"/>
    <w:rsid w:val="00141A5A"/>
    <w:rsid w:val="0014605E"/>
    <w:rsid w:val="001479EF"/>
    <w:rsid w:val="00147DF7"/>
    <w:rsid w:val="00156FB2"/>
    <w:rsid w:val="001609ED"/>
    <w:rsid w:val="00165D02"/>
    <w:rsid w:val="00170CF6"/>
    <w:rsid w:val="00174948"/>
    <w:rsid w:val="001752B7"/>
    <w:rsid w:val="001763C1"/>
    <w:rsid w:val="00176B99"/>
    <w:rsid w:val="00184D74"/>
    <w:rsid w:val="00194D48"/>
    <w:rsid w:val="001952D9"/>
    <w:rsid w:val="00196E98"/>
    <w:rsid w:val="001A0B7C"/>
    <w:rsid w:val="001A3C2D"/>
    <w:rsid w:val="001A53AA"/>
    <w:rsid w:val="001A7B14"/>
    <w:rsid w:val="001B2E28"/>
    <w:rsid w:val="001B2E71"/>
    <w:rsid w:val="001C2EE1"/>
    <w:rsid w:val="001D4054"/>
    <w:rsid w:val="001E1509"/>
    <w:rsid w:val="001E6AC2"/>
    <w:rsid w:val="001F0BA4"/>
    <w:rsid w:val="001F1691"/>
    <w:rsid w:val="001F20F7"/>
    <w:rsid w:val="001F70FB"/>
    <w:rsid w:val="0020046A"/>
    <w:rsid w:val="00201975"/>
    <w:rsid w:val="00210F16"/>
    <w:rsid w:val="00213D63"/>
    <w:rsid w:val="00214627"/>
    <w:rsid w:val="0022678A"/>
    <w:rsid w:val="002269DA"/>
    <w:rsid w:val="0023075A"/>
    <w:rsid w:val="00233B8B"/>
    <w:rsid w:val="00235C32"/>
    <w:rsid w:val="002417AA"/>
    <w:rsid w:val="0024193C"/>
    <w:rsid w:val="00241DA5"/>
    <w:rsid w:val="00243A06"/>
    <w:rsid w:val="00252789"/>
    <w:rsid w:val="00254485"/>
    <w:rsid w:val="00264CC5"/>
    <w:rsid w:val="00272624"/>
    <w:rsid w:val="00274541"/>
    <w:rsid w:val="00275A67"/>
    <w:rsid w:val="00284CC3"/>
    <w:rsid w:val="002869B7"/>
    <w:rsid w:val="0028757C"/>
    <w:rsid w:val="002905A1"/>
    <w:rsid w:val="00290674"/>
    <w:rsid w:val="00290D3A"/>
    <w:rsid w:val="00292BE0"/>
    <w:rsid w:val="00293FA0"/>
    <w:rsid w:val="002A15FF"/>
    <w:rsid w:val="002B1981"/>
    <w:rsid w:val="002B4E7C"/>
    <w:rsid w:val="002B5294"/>
    <w:rsid w:val="002B6E65"/>
    <w:rsid w:val="002B6F8A"/>
    <w:rsid w:val="002C3795"/>
    <w:rsid w:val="002D1919"/>
    <w:rsid w:val="002D2A0A"/>
    <w:rsid w:val="002D3C25"/>
    <w:rsid w:val="002E37CD"/>
    <w:rsid w:val="002E7387"/>
    <w:rsid w:val="002E7E3B"/>
    <w:rsid w:val="002E7FDC"/>
    <w:rsid w:val="002F028A"/>
    <w:rsid w:val="002F79E1"/>
    <w:rsid w:val="002F7E4E"/>
    <w:rsid w:val="00302603"/>
    <w:rsid w:val="00303BFF"/>
    <w:rsid w:val="003120F0"/>
    <w:rsid w:val="0031210D"/>
    <w:rsid w:val="00312782"/>
    <w:rsid w:val="0031396C"/>
    <w:rsid w:val="00317995"/>
    <w:rsid w:val="00322355"/>
    <w:rsid w:val="00322A90"/>
    <w:rsid w:val="00327875"/>
    <w:rsid w:val="003302BA"/>
    <w:rsid w:val="0033351A"/>
    <w:rsid w:val="00334584"/>
    <w:rsid w:val="00335057"/>
    <w:rsid w:val="00336A06"/>
    <w:rsid w:val="00343A3C"/>
    <w:rsid w:val="00343FCE"/>
    <w:rsid w:val="00346495"/>
    <w:rsid w:val="00353C23"/>
    <w:rsid w:val="00353D3F"/>
    <w:rsid w:val="00355A66"/>
    <w:rsid w:val="003603F4"/>
    <w:rsid w:val="00360BF2"/>
    <w:rsid w:val="00375EB2"/>
    <w:rsid w:val="00380464"/>
    <w:rsid w:val="00387B8E"/>
    <w:rsid w:val="003925CD"/>
    <w:rsid w:val="003927BF"/>
    <w:rsid w:val="003930D4"/>
    <w:rsid w:val="003942A0"/>
    <w:rsid w:val="0039619F"/>
    <w:rsid w:val="00396637"/>
    <w:rsid w:val="003A0722"/>
    <w:rsid w:val="003A07A5"/>
    <w:rsid w:val="003A3EA1"/>
    <w:rsid w:val="003A55EC"/>
    <w:rsid w:val="003B41DC"/>
    <w:rsid w:val="003B4BA7"/>
    <w:rsid w:val="003C08FD"/>
    <w:rsid w:val="003C44A6"/>
    <w:rsid w:val="003C49F9"/>
    <w:rsid w:val="003C7316"/>
    <w:rsid w:val="003C7AD6"/>
    <w:rsid w:val="003D122E"/>
    <w:rsid w:val="003D21D5"/>
    <w:rsid w:val="003D25C6"/>
    <w:rsid w:val="003D546E"/>
    <w:rsid w:val="003D5A2C"/>
    <w:rsid w:val="003E2A78"/>
    <w:rsid w:val="003E5CB4"/>
    <w:rsid w:val="003F102B"/>
    <w:rsid w:val="003F37CC"/>
    <w:rsid w:val="003F4022"/>
    <w:rsid w:val="003F6803"/>
    <w:rsid w:val="004031CC"/>
    <w:rsid w:val="004075C6"/>
    <w:rsid w:val="00414FC4"/>
    <w:rsid w:val="004173D1"/>
    <w:rsid w:val="00420EA0"/>
    <w:rsid w:val="0042425A"/>
    <w:rsid w:val="00433020"/>
    <w:rsid w:val="0043398A"/>
    <w:rsid w:val="0043440D"/>
    <w:rsid w:val="00435A6A"/>
    <w:rsid w:val="00444B47"/>
    <w:rsid w:val="00445269"/>
    <w:rsid w:val="00446D19"/>
    <w:rsid w:val="00447E83"/>
    <w:rsid w:val="00451996"/>
    <w:rsid w:val="00456791"/>
    <w:rsid w:val="00456C35"/>
    <w:rsid w:val="0046272A"/>
    <w:rsid w:val="0047752A"/>
    <w:rsid w:val="00481CE1"/>
    <w:rsid w:val="00487D38"/>
    <w:rsid w:val="0049498D"/>
    <w:rsid w:val="0049580F"/>
    <w:rsid w:val="004A1536"/>
    <w:rsid w:val="004A3373"/>
    <w:rsid w:val="004B3E31"/>
    <w:rsid w:val="004B56B0"/>
    <w:rsid w:val="004C59D2"/>
    <w:rsid w:val="004D1B48"/>
    <w:rsid w:val="004D7364"/>
    <w:rsid w:val="004E494D"/>
    <w:rsid w:val="004E6359"/>
    <w:rsid w:val="004E7078"/>
    <w:rsid w:val="004F0DD1"/>
    <w:rsid w:val="004F42C5"/>
    <w:rsid w:val="005042EC"/>
    <w:rsid w:val="0050453E"/>
    <w:rsid w:val="00504ECB"/>
    <w:rsid w:val="00506640"/>
    <w:rsid w:val="0050766F"/>
    <w:rsid w:val="00513E18"/>
    <w:rsid w:val="00514410"/>
    <w:rsid w:val="00520FA1"/>
    <w:rsid w:val="00523945"/>
    <w:rsid w:val="0052547B"/>
    <w:rsid w:val="005262AA"/>
    <w:rsid w:val="00532554"/>
    <w:rsid w:val="00535C05"/>
    <w:rsid w:val="00541E61"/>
    <w:rsid w:val="005426CF"/>
    <w:rsid w:val="00544DD7"/>
    <w:rsid w:val="0056224F"/>
    <w:rsid w:val="00563178"/>
    <w:rsid w:val="00564DAE"/>
    <w:rsid w:val="00565408"/>
    <w:rsid w:val="00572833"/>
    <w:rsid w:val="00574967"/>
    <w:rsid w:val="0057795E"/>
    <w:rsid w:val="0058259D"/>
    <w:rsid w:val="005828F2"/>
    <w:rsid w:val="00592A55"/>
    <w:rsid w:val="00592BB5"/>
    <w:rsid w:val="005971E4"/>
    <w:rsid w:val="0059728E"/>
    <w:rsid w:val="005A12E0"/>
    <w:rsid w:val="005A5166"/>
    <w:rsid w:val="005A562D"/>
    <w:rsid w:val="005B32B8"/>
    <w:rsid w:val="005C425D"/>
    <w:rsid w:val="005C4FDD"/>
    <w:rsid w:val="005C533E"/>
    <w:rsid w:val="005C53B2"/>
    <w:rsid w:val="005C6A95"/>
    <w:rsid w:val="005D1529"/>
    <w:rsid w:val="005D5ED8"/>
    <w:rsid w:val="005E738D"/>
    <w:rsid w:val="005E7B58"/>
    <w:rsid w:val="005F0408"/>
    <w:rsid w:val="005F09AC"/>
    <w:rsid w:val="005F5961"/>
    <w:rsid w:val="005F6B7B"/>
    <w:rsid w:val="005F7CE5"/>
    <w:rsid w:val="00604B78"/>
    <w:rsid w:val="00605396"/>
    <w:rsid w:val="00606433"/>
    <w:rsid w:val="00606826"/>
    <w:rsid w:val="00606C2B"/>
    <w:rsid w:val="00615233"/>
    <w:rsid w:val="0061575E"/>
    <w:rsid w:val="00627206"/>
    <w:rsid w:val="00627658"/>
    <w:rsid w:val="00627D7B"/>
    <w:rsid w:val="00632BD1"/>
    <w:rsid w:val="00632F14"/>
    <w:rsid w:val="00635343"/>
    <w:rsid w:val="0064188E"/>
    <w:rsid w:val="006427EB"/>
    <w:rsid w:val="00646704"/>
    <w:rsid w:val="00650EC6"/>
    <w:rsid w:val="00663E26"/>
    <w:rsid w:val="00663F42"/>
    <w:rsid w:val="0066429D"/>
    <w:rsid w:val="00665016"/>
    <w:rsid w:val="0067145A"/>
    <w:rsid w:val="00675A95"/>
    <w:rsid w:val="00675DD3"/>
    <w:rsid w:val="006768FD"/>
    <w:rsid w:val="00677609"/>
    <w:rsid w:val="00682332"/>
    <w:rsid w:val="00697B4B"/>
    <w:rsid w:val="006A052B"/>
    <w:rsid w:val="006A6EC3"/>
    <w:rsid w:val="006B0973"/>
    <w:rsid w:val="006B1162"/>
    <w:rsid w:val="006C1252"/>
    <w:rsid w:val="006C5F66"/>
    <w:rsid w:val="006C6E25"/>
    <w:rsid w:val="006D0720"/>
    <w:rsid w:val="006D17A7"/>
    <w:rsid w:val="006D18F8"/>
    <w:rsid w:val="006D3F1C"/>
    <w:rsid w:val="006E2CD0"/>
    <w:rsid w:val="006E5DB2"/>
    <w:rsid w:val="006F19B3"/>
    <w:rsid w:val="006F34AF"/>
    <w:rsid w:val="006F3980"/>
    <w:rsid w:val="006F7D4F"/>
    <w:rsid w:val="007012B9"/>
    <w:rsid w:val="00703311"/>
    <w:rsid w:val="00707A7B"/>
    <w:rsid w:val="00710E98"/>
    <w:rsid w:val="00716F9C"/>
    <w:rsid w:val="00717718"/>
    <w:rsid w:val="00725E5B"/>
    <w:rsid w:val="00731101"/>
    <w:rsid w:val="0073202A"/>
    <w:rsid w:val="00732244"/>
    <w:rsid w:val="00734B91"/>
    <w:rsid w:val="00754C77"/>
    <w:rsid w:val="00755746"/>
    <w:rsid w:val="00763857"/>
    <w:rsid w:val="00763F3A"/>
    <w:rsid w:val="00765F05"/>
    <w:rsid w:val="00772783"/>
    <w:rsid w:val="00773F6B"/>
    <w:rsid w:val="00774DB7"/>
    <w:rsid w:val="00790437"/>
    <w:rsid w:val="0079209A"/>
    <w:rsid w:val="0079607B"/>
    <w:rsid w:val="00796A3A"/>
    <w:rsid w:val="00797C68"/>
    <w:rsid w:val="007A5422"/>
    <w:rsid w:val="007B7C30"/>
    <w:rsid w:val="007C2693"/>
    <w:rsid w:val="007C3123"/>
    <w:rsid w:val="007C6AF7"/>
    <w:rsid w:val="007D2A0C"/>
    <w:rsid w:val="007E729E"/>
    <w:rsid w:val="007F423D"/>
    <w:rsid w:val="007F4529"/>
    <w:rsid w:val="00800C26"/>
    <w:rsid w:val="00807721"/>
    <w:rsid w:val="00817054"/>
    <w:rsid w:val="00817351"/>
    <w:rsid w:val="008201BF"/>
    <w:rsid w:val="00831E4E"/>
    <w:rsid w:val="0083240C"/>
    <w:rsid w:val="00832F6B"/>
    <w:rsid w:val="00834691"/>
    <w:rsid w:val="008403FE"/>
    <w:rsid w:val="00846683"/>
    <w:rsid w:val="00850F9B"/>
    <w:rsid w:val="008566ED"/>
    <w:rsid w:val="00862362"/>
    <w:rsid w:val="00864C59"/>
    <w:rsid w:val="00865AD4"/>
    <w:rsid w:val="00870437"/>
    <w:rsid w:val="008728AD"/>
    <w:rsid w:val="00875BCA"/>
    <w:rsid w:val="00882529"/>
    <w:rsid w:val="00883165"/>
    <w:rsid w:val="00885A8F"/>
    <w:rsid w:val="008925CF"/>
    <w:rsid w:val="00895A87"/>
    <w:rsid w:val="00897CC6"/>
    <w:rsid w:val="008A2D1C"/>
    <w:rsid w:val="008A5468"/>
    <w:rsid w:val="008B12A1"/>
    <w:rsid w:val="008B1A07"/>
    <w:rsid w:val="008B5221"/>
    <w:rsid w:val="008C2868"/>
    <w:rsid w:val="008C605F"/>
    <w:rsid w:val="008D05DE"/>
    <w:rsid w:val="008D0D93"/>
    <w:rsid w:val="008D7804"/>
    <w:rsid w:val="008E69DF"/>
    <w:rsid w:val="008E7833"/>
    <w:rsid w:val="008F0197"/>
    <w:rsid w:val="008F751C"/>
    <w:rsid w:val="008F7DC9"/>
    <w:rsid w:val="0090063A"/>
    <w:rsid w:val="00903951"/>
    <w:rsid w:val="00921558"/>
    <w:rsid w:val="009231EF"/>
    <w:rsid w:val="0093789C"/>
    <w:rsid w:val="00943083"/>
    <w:rsid w:val="009451F5"/>
    <w:rsid w:val="00945E65"/>
    <w:rsid w:val="00956C1F"/>
    <w:rsid w:val="00972959"/>
    <w:rsid w:val="00980BEB"/>
    <w:rsid w:val="00990A0E"/>
    <w:rsid w:val="00994A2B"/>
    <w:rsid w:val="009A04E4"/>
    <w:rsid w:val="009A2858"/>
    <w:rsid w:val="009A66FD"/>
    <w:rsid w:val="009B1C25"/>
    <w:rsid w:val="009B47C9"/>
    <w:rsid w:val="009B583C"/>
    <w:rsid w:val="009D1D0F"/>
    <w:rsid w:val="009D2EB5"/>
    <w:rsid w:val="009D7AC4"/>
    <w:rsid w:val="009E111D"/>
    <w:rsid w:val="009E16AB"/>
    <w:rsid w:val="009E1A8D"/>
    <w:rsid w:val="009E2BAE"/>
    <w:rsid w:val="009E2BB2"/>
    <w:rsid w:val="009E33BB"/>
    <w:rsid w:val="009F11B0"/>
    <w:rsid w:val="009F65B0"/>
    <w:rsid w:val="00A02309"/>
    <w:rsid w:val="00A02915"/>
    <w:rsid w:val="00A04F28"/>
    <w:rsid w:val="00A06125"/>
    <w:rsid w:val="00A078B3"/>
    <w:rsid w:val="00A07A01"/>
    <w:rsid w:val="00A12AA1"/>
    <w:rsid w:val="00A12B33"/>
    <w:rsid w:val="00A210B7"/>
    <w:rsid w:val="00A32510"/>
    <w:rsid w:val="00A33089"/>
    <w:rsid w:val="00A45236"/>
    <w:rsid w:val="00A5046C"/>
    <w:rsid w:val="00A51120"/>
    <w:rsid w:val="00A51836"/>
    <w:rsid w:val="00A53054"/>
    <w:rsid w:val="00A57781"/>
    <w:rsid w:val="00A66ED3"/>
    <w:rsid w:val="00A671EB"/>
    <w:rsid w:val="00A758D1"/>
    <w:rsid w:val="00A83713"/>
    <w:rsid w:val="00A83E75"/>
    <w:rsid w:val="00A9079E"/>
    <w:rsid w:val="00A90BFE"/>
    <w:rsid w:val="00A96C85"/>
    <w:rsid w:val="00A96D4B"/>
    <w:rsid w:val="00A976E9"/>
    <w:rsid w:val="00AA19FD"/>
    <w:rsid w:val="00AA1F10"/>
    <w:rsid w:val="00AA304E"/>
    <w:rsid w:val="00AB00E8"/>
    <w:rsid w:val="00AB3855"/>
    <w:rsid w:val="00AB63A7"/>
    <w:rsid w:val="00AB7FD6"/>
    <w:rsid w:val="00AD0294"/>
    <w:rsid w:val="00AD6D5F"/>
    <w:rsid w:val="00AE05AB"/>
    <w:rsid w:val="00AE4A75"/>
    <w:rsid w:val="00AE6166"/>
    <w:rsid w:val="00AF0103"/>
    <w:rsid w:val="00AF0C05"/>
    <w:rsid w:val="00AF1302"/>
    <w:rsid w:val="00AF4656"/>
    <w:rsid w:val="00AF7EEB"/>
    <w:rsid w:val="00B01E4D"/>
    <w:rsid w:val="00B0374C"/>
    <w:rsid w:val="00B040DE"/>
    <w:rsid w:val="00B07317"/>
    <w:rsid w:val="00B10C96"/>
    <w:rsid w:val="00B142B1"/>
    <w:rsid w:val="00B22190"/>
    <w:rsid w:val="00B26BEF"/>
    <w:rsid w:val="00B27132"/>
    <w:rsid w:val="00B31B29"/>
    <w:rsid w:val="00B367CC"/>
    <w:rsid w:val="00B418D8"/>
    <w:rsid w:val="00B42EEF"/>
    <w:rsid w:val="00B43D5E"/>
    <w:rsid w:val="00B515E7"/>
    <w:rsid w:val="00B53D44"/>
    <w:rsid w:val="00B553EC"/>
    <w:rsid w:val="00B55923"/>
    <w:rsid w:val="00B607F6"/>
    <w:rsid w:val="00B641FC"/>
    <w:rsid w:val="00B65715"/>
    <w:rsid w:val="00B7105C"/>
    <w:rsid w:val="00B750AC"/>
    <w:rsid w:val="00B77B52"/>
    <w:rsid w:val="00B82767"/>
    <w:rsid w:val="00B85D73"/>
    <w:rsid w:val="00B903D2"/>
    <w:rsid w:val="00B9061B"/>
    <w:rsid w:val="00B9212E"/>
    <w:rsid w:val="00B93364"/>
    <w:rsid w:val="00BA2A49"/>
    <w:rsid w:val="00BA2E2A"/>
    <w:rsid w:val="00BA4243"/>
    <w:rsid w:val="00BB3393"/>
    <w:rsid w:val="00BB534A"/>
    <w:rsid w:val="00BB7272"/>
    <w:rsid w:val="00BC05C8"/>
    <w:rsid w:val="00BC11E4"/>
    <w:rsid w:val="00BD1E49"/>
    <w:rsid w:val="00BD664C"/>
    <w:rsid w:val="00BD77C9"/>
    <w:rsid w:val="00BE2CCF"/>
    <w:rsid w:val="00BE2EF5"/>
    <w:rsid w:val="00BE77C1"/>
    <w:rsid w:val="00BF0B41"/>
    <w:rsid w:val="00BF0F9A"/>
    <w:rsid w:val="00BF0FC3"/>
    <w:rsid w:val="00BF2437"/>
    <w:rsid w:val="00BF2D12"/>
    <w:rsid w:val="00BF602E"/>
    <w:rsid w:val="00BF7FFE"/>
    <w:rsid w:val="00C05C90"/>
    <w:rsid w:val="00C15522"/>
    <w:rsid w:val="00C201D0"/>
    <w:rsid w:val="00C264FF"/>
    <w:rsid w:val="00C313E1"/>
    <w:rsid w:val="00C3284E"/>
    <w:rsid w:val="00C4231A"/>
    <w:rsid w:val="00C43ED7"/>
    <w:rsid w:val="00C53690"/>
    <w:rsid w:val="00C55C1A"/>
    <w:rsid w:val="00C565C9"/>
    <w:rsid w:val="00C57E81"/>
    <w:rsid w:val="00C61CA7"/>
    <w:rsid w:val="00C62202"/>
    <w:rsid w:val="00C6278C"/>
    <w:rsid w:val="00C633F6"/>
    <w:rsid w:val="00C66C3F"/>
    <w:rsid w:val="00C75581"/>
    <w:rsid w:val="00C7726E"/>
    <w:rsid w:val="00C773E8"/>
    <w:rsid w:val="00C8496F"/>
    <w:rsid w:val="00CA0C75"/>
    <w:rsid w:val="00CA132B"/>
    <w:rsid w:val="00CA4CFD"/>
    <w:rsid w:val="00CB05BC"/>
    <w:rsid w:val="00CB3256"/>
    <w:rsid w:val="00CB6991"/>
    <w:rsid w:val="00CC0E6A"/>
    <w:rsid w:val="00CC1D97"/>
    <w:rsid w:val="00CC53C2"/>
    <w:rsid w:val="00CD18F4"/>
    <w:rsid w:val="00CD37C7"/>
    <w:rsid w:val="00CD6ED4"/>
    <w:rsid w:val="00CD7030"/>
    <w:rsid w:val="00CE48AD"/>
    <w:rsid w:val="00CE4F78"/>
    <w:rsid w:val="00CF3EEA"/>
    <w:rsid w:val="00D021D0"/>
    <w:rsid w:val="00D2329C"/>
    <w:rsid w:val="00D257E4"/>
    <w:rsid w:val="00D31C7F"/>
    <w:rsid w:val="00D3799B"/>
    <w:rsid w:val="00D52CF3"/>
    <w:rsid w:val="00D56BF4"/>
    <w:rsid w:val="00D64881"/>
    <w:rsid w:val="00D72E03"/>
    <w:rsid w:val="00D73F4E"/>
    <w:rsid w:val="00D749B5"/>
    <w:rsid w:val="00D838D5"/>
    <w:rsid w:val="00D84E2B"/>
    <w:rsid w:val="00D915C0"/>
    <w:rsid w:val="00D93154"/>
    <w:rsid w:val="00D963A6"/>
    <w:rsid w:val="00DA022A"/>
    <w:rsid w:val="00DB1B19"/>
    <w:rsid w:val="00DB391A"/>
    <w:rsid w:val="00DC0936"/>
    <w:rsid w:val="00DC5D1F"/>
    <w:rsid w:val="00DD3404"/>
    <w:rsid w:val="00DD74C7"/>
    <w:rsid w:val="00DF0086"/>
    <w:rsid w:val="00DF5B18"/>
    <w:rsid w:val="00DF6254"/>
    <w:rsid w:val="00DF6E24"/>
    <w:rsid w:val="00E037DF"/>
    <w:rsid w:val="00E04225"/>
    <w:rsid w:val="00E072E9"/>
    <w:rsid w:val="00E11790"/>
    <w:rsid w:val="00E11C69"/>
    <w:rsid w:val="00E15E0B"/>
    <w:rsid w:val="00E2421E"/>
    <w:rsid w:val="00E25CBA"/>
    <w:rsid w:val="00E26553"/>
    <w:rsid w:val="00E31823"/>
    <w:rsid w:val="00E32CC9"/>
    <w:rsid w:val="00E34560"/>
    <w:rsid w:val="00E3599D"/>
    <w:rsid w:val="00E44210"/>
    <w:rsid w:val="00E47ED1"/>
    <w:rsid w:val="00E53326"/>
    <w:rsid w:val="00E5347F"/>
    <w:rsid w:val="00E53AF2"/>
    <w:rsid w:val="00E5438C"/>
    <w:rsid w:val="00E56704"/>
    <w:rsid w:val="00E61389"/>
    <w:rsid w:val="00E709EB"/>
    <w:rsid w:val="00E70CE9"/>
    <w:rsid w:val="00E823F2"/>
    <w:rsid w:val="00E84AAB"/>
    <w:rsid w:val="00E92A4E"/>
    <w:rsid w:val="00E95776"/>
    <w:rsid w:val="00E95C4B"/>
    <w:rsid w:val="00EA3365"/>
    <w:rsid w:val="00EA4200"/>
    <w:rsid w:val="00EB0E6B"/>
    <w:rsid w:val="00EB1DA1"/>
    <w:rsid w:val="00EB22C3"/>
    <w:rsid w:val="00EB3C67"/>
    <w:rsid w:val="00EB7649"/>
    <w:rsid w:val="00EC664A"/>
    <w:rsid w:val="00ED0C24"/>
    <w:rsid w:val="00ED764C"/>
    <w:rsid w:val="00EE0132"/>
    <w:rsid w:val="00EE01B4"/>
    <w:rsid w:val="00EE2F27"/>
    <w:rsid w:val="00EE44CD"/>
    <w:rsid w:val="00EF15A7"/>
    <w:rsid w:val="00EF27D5"/>
    <w:rsid w:val="00EF2EB8"/>
    <w:rsid w:val="00EF543C"/>
    <w:rsid w:val="00EF6DA7"/>
    <w:rsid w:val="00F03765"/>
    <w:rsid w:val="00F04A7A"/>
    <w:rsid w:val="00F10F33"/>
    <w:rsid w:val="00F1139A"/>
    <w:rsid w:val="00F11EEF"/>
    <w:rsid w:val="00F1286A"/>
    <w:rsid w:val="00F14DAE"/>
    <w:rsid w:val="00F24C66"/>
    <w:rsid w:val="00F26313"/>
    <w:rsid w:val="00F26820"/>
    <w:rsid w:val="00F30A51"/>
    <w:rsid w:val="00F30ECC"/>
    <w:rsid w:val="00F32825"/>
    <w:rsid w:val="00F33495"/>
    <w:rsid w:val="00F35D76"/>
    <w:rsid w:val="00F37119"/>
    <w:rsid w:val="00F442EC"/>
    <w:rsid w:val="00F44F63"/>
    <w:rsid w:val="00F46B94"/>
    <w:rsid w:val="00F56D8D"/>
    <w:rsid w:val="00F60239"/>
    <w:rsid w:val="00F6194D"/>
    <w:rsid w:val="00F635F4"/>
    <w:rsid w:val="00F66EF8"/>
    <w:rsid w:val="00F726B8"/>
    <w:rsid w:val="00F844FF"/>
    <w:rsid w:val="00F86A62"/>
    <w:rsid w:val="00F8713C"/>
    <w:rsid w:val="00F90BC0"/>
    <w:rsid w:val="00F95F0F"/>
    <w:rsid w:val="00FB09C1"/>
    <w:rsid w:val="00FB25F0"/>
    <w:rsid w:val="00FB39DE"/>
    <w:rsid w:val="00FB5F06"/>
    <w:rsid w:val="00FC2BB2"/>
    <w:rsid w:val="00FC4C8F"/>
    <w:rsid w:val="00FD33DD"/>
    <w:rsid w:val="00FD66F5"/>
    <w:rsid w:val="00FE3ECD"/>
    <w:rsid w:val="00FE7A8D"/>
    <w:rsid w:val="00FE7CEC"/>
    <w:rsid w:val="00FF3207"/>
    <w:rsid w:val="00FF50A9"/>
    <w:rsid w:val="00FF7D64"/>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8C"/>
  </w:style>
  <w:style w:type="paragraph" w:styleId="Heading5">
    <w:name w:val="heading 5"/>
    <w:basedOn w:val="Normal"/>
    <w:next w:val="Normal"/>
    <w:link w:val="Heading5Char"/>
    <w:semiHidden/>
    <w:unhideWhenUsed/>
    <w:qFormat/>
    <w:rsid w:val="00E5438C"/>
    <w:pPr>
      <w:keepNext/>
      <w:spacing w:after="0" w:line="240" w:lineRule="auto"/>
      <w:ind w:firstLine="709"/>
      <w:outlineLvl w:val="4"/>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5438C"/>
    <w:rPr>
      <w:rFonts w:ascii="Times New Roman" w:eastAsia="Times New Roman" w:hAnsi="Times New Roman" w:cs="Times New Roman"/>
      <w:sz w:val="28"/>
      <w:szCs w:val="20"/>
      <w:lang w:val="en-US"/>
    </w:rPr>
  </w:style>
  <w:style w:type="paragraph" w:styleId="FootnoteText">
    <w:name w:val="footnote text"/>
    <w:basedOn w:val="Normal"/>
    <w:link w:val="FootnoteTextChar"/>
    <w:unhideWhenUsed/>
    <w:rsid w:val="00E5438C"/>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E5438C"/>
    <w:rPr>
      <w:rFonts w:ascii="Times New Roman" w:eastAsia="Times New Roman" w:hAnsi="Times New Roman" w:cs="Times New Roman"/>
      <w:sz w:val="20"/>
      <w:szCs w:val="20"/>
      <w:lang w:eastAsia="lv-LV"/>
    </w:rPr>
  </w:style>
  <w:style w:type="paragraph" w:styleId="NoSpacing">
    <w:name w:val="No Spacing"/>
    <w:uiPriority w:val="1"/>
    <w:qFormat/>
    <w:rsid w:val="00E5438C"/>
    <w:pPr>
      <w:spacing w:after="0" w:line="240" w:lineRule="auto"/>
    </w:pPr>
    <w:rPr>
      <w:rFonts w:ascii="Times New Roman" w:eastAsia="Times New Roman" w:hAnsi="Times New Roman" w:cs="Times New Roman"/>
      <w:sz w:val="20"/>
      <w:szCs w:val="20"/>
    </w:rPr>
  </w:style>
  <w:style w:type="paragraph" w:customStyle="1" w:styleId="naisnod">
    <w:name w:val="naisnod"/>
    <w:basedOn w:val="Normal"/>
    <w:rsid w:val="00E5438C"/>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E5438C"/>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E5438C"/>
    <w:pPr>
      <w:spacing w:before="75" w:after="75" w:line="240" w:lineRule="auto"/>
      <w:jc w:val="center"/>
    </w:pPr>
    <w:rPr>
      <w:rFonts w:ascii="Times New Roman" w:eastAsia="Times New Roman" w:hAnsi="Times New Roman" w:cs="Times New Roman"/>
      <w:sz w:val="24"/>
      <w:szCs w:val="24"/>
      <w:lang w:eastAsia="lv-LV"/>
    </w:rPr>
  </w:style>
  <w:style w:type="paragraph" w:customStyle="1" w:styleId="tv20787921">
    <w:name w:val="tv207_87_921"/>
    <w:basedOn w:val="Normal"/>
    <w:rsid w:val="00E5438C"/>
    <w:pPr>
      <w:spacing w:after="567" w:line="360" w:lineRule="auto"/>
      <w:jc w:val="center"/>
    </w:pPr>
    <w:rPr>
      <w:rFonts w:ascii="Verdana" w:eastAsia="Times New Roman" w:hAnsi="Verdana" w:cs="Times New Roman"/>
      <w:b/>
      <w:bCs/>
      <w:sz w:val="28"/>
      <w:szCs w:val="28"/>
      <w:lang w:eastAsia="lv-LV"/>
    </w:rPr>
  </w:style>
  <w:style w:type="paragraph" w:styleId="Header">
    <w:name w:val="header"/>
    <w:basedOn w:val="Normal"/>
    <w:link w:val="HeaderChar"/>
    <w:uiPriority w:val="99"/>
    <w:unhideWhenUsed/>
    <w:rsid w:val="004031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31CC"/>
  </w:style>
  <w:style w:type="paragraph" w:styleId="Footer">
    <w:name w:val="footer"/>
    <w:basedOn w:val="Normal"/>
    <w:link w:val="FooterChar"/>
    <w:unhideWhenUsed/>
    <w:rsid w:val="004031C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031CC"/>
  </w:style>
  <w:style w:type="paragraph" w:customStyle="1" w:styleId="nsptext2">
    <w:name w:val="nsptext2"/>
    <w:basedOn w:val="Normal"/>
    <w:rsid w:val="0023075A"/>
    <w:pPr>
      <w:spacing w:before="68" w:after="100" w:afterAutospacing="1" w:line="240" w:lineRule="auto"/>
      <w:jc w:val="both"/>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A07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ED764C"/>
    <w:pPr>
      <w:spacing w:after="0" w:line="360" w:lineRule="auto"/>
      <w:ind w:firstLine="227"/>
    </w:pPr>
    <w:rPr>
      <w:rFonts w:ascii="Times New Roman" w:eastAsia="Times New Roman" w:hAnsi="Times New Roman" w:cs="Times New Roman"/>
      <w:color w:val="414142"/>
      <w:sz w:val="15"/>
      <w:szCs w:val="15"/>
      <w:lang w:eastAsia="lv-LV"/>
    </w:rPr>
  </w:style>
  <w:style w:type="character" w:styleId="Hyperlink">
    <w:name w:val="Hyperlink"/>
    <w:basedOn w:val="DefaultParagraphFont"/>
    <w:uiPriority w:val="99"/>
    <w:unhideWhenUsed/>
    <w:rsid w:val="004D1B48"/>
    <w:rPr>
      <w:color w:val="0000FF" w:themeColor="hyperlink"/>
      <w:u w:val="single"/>
    </w:rPr>
  </w:style>
  <w:style w:type="paragraph" w:styleId="BodyText">
    <w:name w:val="Body Text"/>
    <w:basedOn w:val="Normal"/>
    <w:link w:val="BodyTextChar"/>
    <w:rsid w:val="00B77B52"/>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B77B52"/>
    <w:rPr>
      <w:rFonts w:ascii="Times New Roman" w:eastAsia="Times New Roman" w:hAnsi="Times New Roman" w:cs="Times New Roman"/>
      <w:sz w:val="24"/>
      <w:szCs w:val="24"/>
      <w:lang w:eastAsia="lv-LV"/>
    </w:rPr>
  </w:style>
  <w:style w:type="paragraph" w:customStyle="1" w:styleId="naisf">
    <w:name w:val="naisf"/>
    <w:basedOn w:val="Normal"/>
    <w:rsid w:val="00755746"/>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755746"/>
    <w:rPr>
      <w:b/>
      <w:bCs/>
    </w:rPr>
  </w:style>
  <w:style w:type="table" w:styleId="TableGrid">
    <w:name w:val="Table Grid"/>
    <w:basedOn w:val="TableNormal"/>
    <w:uiPriority w:val="59"/>
    <w:rsid w:val="00D64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442EC"/>
    <w:pPr>
      <w:ind w:left="720"/>
      <w:contextualSpacing/>
    </w:pPr>
  </w:style>
  <w:style w:type="paragraph" w:customStyle="1" w:styleId="CM4">
    <w:name w:val="CM4"/>
    <w:basedOn w:val="Normal"/>
    <w:next w:val="Normal"/>
    <w:uiPriority w:val="99"/>
    <w:rsid w:val="00846683"/>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D1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5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225809">
      <w:bodyDiv w:val="1"/>
      <w:marLeft w:val="0"/>
      <w:marRight w:val="0"/>
      <w:marTop w:val="0"/>
      <w:marBottom w:val="0"/>
      <w:divBdr>
        <w:top w:val="none" w:sz="0" w:space="0" w:color="auto"/>
        <w:left w:val="none" w:sz="0" w:space="0" w:color="auto"/>
        <w:bottom w:val="none" w:sz="0" w:space="0" w:color="auto"/>
        <w:right w:val="none" w:sz="0" w:space="0" w:color="auto"/>
      </w:divBdr>
    </w:div>
    <w:div w:id="767315095">
      <w:bodyDiv w:val="1"/>
      <w:marLeft w:val="0"/>
      <w:marRight w:val="0"/>
      <w:marTop w:val="0"/>
      <w:marBottom w:val="0"/>
      <w:divBdr>
        <w:top w:val="none" w:sz="0" w:space="0" w:color="auto"/>
        <w:left w:val="none" w:sz="0" w:space="0" w:color="auto"/>
        <w:bottom w:val="none" w:sz="0" w:space="0" w:color="auto"/>
        <w:right w:val="none" w:sz="0" w:space="0" w:color="auto"/>
      </w:divBdr>
    </w:div>
    <w:div w:id="1339889809">
      <w:bodyDiv w:val="1"/>
      <w:marLeft w:val="0"/>
      <w:marRight w:val="0"/>
      <w:marTop w:val="0"/>
      <w:marBottom w:val="0"/>
      <w:divBdr>
        <w:top w:val="none" w:sz="0" w:space="0" w:color="auto"/>
        <w:left w:val="none" w:sz="0" w:space="0" w:color="auto"/>
        <w:bottom w:val="none" w:sz="0" w:space="0" w:color="auto"/>
        <w:right w:val="none" w:sz="0" w:space="0" w:color="auto"/>
      </w:divBdr>
    </w:div>
    <w:div w:id="1355419654">
      <w:bodyDiv w:val="1"/>
      <w:marLeft w:val="0"/>
      <w:marRight w:val="0"/>
      <w:marTop w:val="0"/>
      <w:marBottom w:val="0"/>
      <w:divBdr>
        <w:top w:val="none" w:sz="0" w:space="0" w:color="auto"/>
        <w:left w:val="none" w:sz="0" w:space="0" w:color="auto"/>
        <w:bottom w:val="none" w:sz="0" w:space="0" w:color="auto"/>
        <w:right w:val="none" w:sz="0" w:space="0" w:color="auto"/>
      </w:divBdr>
      <w:divsChild>
        <w:div w:id="1246300950">
          <w:marLeft w:val="0"/>
          <w:marRight w:val="0"/>
          <w:marTop w:val="0"/>
          <w:marBottom w:val="0"/>
          <w:divBdr>
            <w:top w:val="none" w:sz="0" w:space="0" w:color="auto"/>
            <w:left w:val="none" w:sz="0" w:space="0" w:color="auto"/>
            <w:bottom w:val="none" w:sz="0" w:space="0" w:color="auto"/>
            <w:right w:val="none" w:sz="0" w:space="0" w:color="auto"/>
          </w:divBdr>
          <w:divsChild>
            <w:div w:id="1335108299">
              <w:marLeft w:val="0"/>
              <w:marRight w:val="0"/>
              <w:marTop w:val="0"/>
              <w:marBottom w:val="0"/>
              <w:divBdr>
                <w:top w:val="none" w:sz="0" w:space="0" w:color="auto"/>
                <w:left w:val="none" w:sz="0" w:space="0" w:color="auto"/>
                <w:bottom w:val="none" w:sz="0" w:space="0" w:color="auto"/>
                <w:right w:val="none" w:sz="0" w:space="0" w:color="auto"/>
              </w:divBdr>
              <w:divsChild>
                <w:div w:id="49816243">
                  <w:marLeft w:val="0"/>
                  <w:marRight w:val="0"/>
                  <w:marTop w:val="0"/>
                  <w:marBottom w:val="0"/>
                  <w:divBdr>
                    <w:top w:val="none" w:sz="0" w:space="0" w:color="auto"/>
                    <w:left w:val="none" w:sz="0" w:space="0" w:color="auto"/>
                    <w:bottom w:val="none" w:sz="0" w:space="0" w:color="auto"/>
                    <w:right w:val="none" w:sz="0" w:space="0" w:color="auto"/>
                  </w:divBdr>
                  <w:divsChild>
                    <w:div w:id="619530789">
                      <w:marLeft w:val="0"/>
                      <w:marRight w:val="0"/>
                      <w:marTop w:val="0"/>
                      <w:marBottom w:val="0"/>
                      <w:divBdr>
                        <w:top w:val="none" w:sz="0" w:space="0" w:color="auto"/>
                        <w:left w:val="none" w:sz="0" w:space="0" w:color="auto"/>
                        <w:bottom w:val="none" w:sz="0" w:space="0" w:color="auto"/>
                        <w:right w:val="none" w:sz="0" w:space="0" w:color="auto"/>
                      </w:divBdr>
                      <w:divsChild>
                        <w:div w:id="111243426">
                          <w:marLeft w:val="0"/>
                          <w:marRight w:val="0"/>
                          <w:marTop w:val="227"/>
                          <w:marBottom w:val="0"/>
                          <w:divBdr>
                            <w:top w:val="none" w:sz="0" w:space="0" w:color="auto"/>
                            <w:left w:val="none" w:sz="0" w:space="0" w:color="auto"/>
                            <w:bottom w:val="none" w:sz="0" w:space="0" w:color="auto"/>
                            <w:right w:val="none" w:sz="0" w:space="0" w:color="auto"/>
                          </w:divBdr>
                          <w:divsChild>
                            <w:div w:id="2749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960873">
      <w:bodyDiv w:val="1"/>
      <w:marLeft w:val="0"/>
      <w:marRight w:val="0"/>
      <w:marTop w:val="0"/>
      <w:marBottom w:val="0"/>
      <w:divBdr>
        <w:top w:val="none" w:sz="0" w:space="0" w:color="auto"/>
        <w:left w:val="none" w:sz="0" w:space="0" w:color="auto"/>
        <w:bottom w:val="none" w:sz="0" w:space="0" w:color="auto"/>
        <w:right w:val="none" w:sz="0" w:space="0" w:color="auto"/>
      </w:divBdr>
    </w:div>
    <w:div w:id="1465154037">
      <w:bodyDiv w:val="1"/>
      <w:marLeft w:val="0"/>
      <w:marRight w:val="0"/>
      <w:marTop w:val="0"/>
      <w:marBottom w:val="0"/>
      <w:divBdr>
        <w:top w:val="none" w:sz="0" w:space="0" w:color="auto"/>
        <w:left w:val="none" w:sz="0" w:space="0" w:color="auto"/>
        <w:bottom w:val="none" w:sz="0" w:space="0" w:color="auto"/>
        <w:right w:val="none" w:sz="0" w:space="0" w:color="auto"/>
      </w:divBdr>
    </w:div>
    <w:div w:id="1568413085">
      <w:bodyDiv w:val="1"/>
      <w:marLeft w:val="0"/>
      <w:marRight w:val="0"/>
      <w:marTop w:val="0"/>
      <w:marBottom w:val="0"/>
      <w:divBdr>
        <w:top w:val="none" w:sz="0" w:space="0" w:color="auto"/>
        <w:left w:val="none" w:sz="0" w:space="0" w:color="auto"/>
        <w:bottom w:val="none" w:sz="0" w:space="0" w:color="auto"/>
        <w:right w:val="none" w:sz="0" w:space="0" w:color="auto"/>
      </w:divBdr>
    </w:div>
    <w:div w:id="1580628373">
      <w:bodyDiv w:val="1"/>
      <w:marLeft w:val="0"/>
      <w:marRight w:val="0"/>
      <w:marTop w:val="0"/>
      <w:marBottom w:val="0"/>
      <w:divBdr>
        <w:top w:val="none" w:sz="0" w:space="0" w:color="auto"/>
        <w:left w:val="none" w:sz="0" w:space="0" w:color="auto"/>
        <w:bottom w:val="none" w:sz="0" w:space="0" w:color="auto"/>
        <w:right w:val="none" w:sz="0" w:space="0" w:color="auto"/>
      </w:divBdr>
    </w:div>
    <w:div w:id="1810055077">
      <w:bodyDiv w:val="1"/>
      <w:marLeft w:val="0"/>
      <w:marRight w:val="0"/>
      <w:marTop w:val="0"/>
      <w:marBottom w:val="0"/>
      <w:divBdr>
        <w:top w:val="none" w:sz="0" w:space="0" w:color="auto"/>
        <w:left w:val="none" w:sz="0" w:space="0" w:color="auto"/>
        <w:bottom w:val="none" w:sz="0" w:space="0" w:color="auto"/>
        <w:right w:val="none" w:sz="0" w:space="0" w:color="auto"/>
      </w:divBdr>
    </w:div>
    <w:div w:id="2021080199">
      <w:bodyDiv w:val="1"/>
      <w:marLeft w:val="0"/>
      <w:marRight w:val="0"/>
      <w:marTop w:val="0"/>
      <w:marBottom w:val="0"/>
      <w:divBdr>
        <w:top w:val="none" w:sz="0" w:space="0" w:color="auto"/>
        <w:left w:val="none" w:sz="0" w:space="0" w:color="auto"/>
        <w:bottom w:val="none" w:sz="0" w:space="0" w:color="auto"/>
        <w:right w:val="none" w:sz="0" w:space="0" w:color="auto"/>
      </w:divBdr>
    </w:div>
    <w:div w:id="2025476357">
      <w:bodyDiv w:val="1"/>
      <w:marLeft w:val="0"/>
      <w:marRight w:val="0"/>
      <w:marTop w:val="0"/>
      <w:marBottom w:val="0"/>
      <w:divBdr>
        <w:top w:val="none" w:sz="0" w:space="0" w:color="auto"/>
        <w:left w:val="none" w:sz="0" w:space="0" w:color="auto"/>
        <w:bottom w:val="none" w:sz="0" w:space="0" w:color="auto"/>
        <w:right w:val="none" w:sz="0" w:space="0" w:color="auto"/>
      </w:divBdr>
    </w:div>
    <w:div w:id="203503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fondi.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ga.Grike@izm.gov.lv" TargetMode="External"/><Relationship Id="rId4" Type="http://schemas.openxmlformats.org/officeDocument/2006/relationships/settings" Target="settings.xml"/><Relationship Id="rId9" Type="http://schemas.openxmlformats.org/officeDocument/2006/relationships/hyperlink" Target="mailto:Inta.Svirksta@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FD872-1685-44F1-B4A9-44C9AF18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3357</Words>
  <Characters>23702</Characters>
  <Application>Microsoft Office Word</Application>
  <DocSecurity>0</DocSecurity>
  <Lines>846</Lines>
  <Paragraphs>365</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26694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3.janvāra noteikumos Nr.14 "Noteikumi par darbības programmas "Uzņēmējdarbība un inovācijas" papildinājuma 2.1.1.1.aktivitātes "Atbalsts zinātnei un pētniecībai" otro un trešo projektu iesniegumu atlases kārtu"" sākotnējās ietekmes novērtējuma ziņojums</dc:title>
  <dc:subject>Anotācija</dc:subject>
  <dc:creator>I.Griķe</dc:creator>
  <dc:description>Inga Griķe
Inga.Grike@izm.gov.lv
67047826</dc:description>
  <cp:lastModifiedBy>igabrisa</cp:lastModifiedBy>
  <cp:revision>23</cp:revision>
  <cp:lastPrinted>2014-01-09T14:41:00Z</cp:lastPrinted>
  <dcterms:created xsi:type="dcterms:W3CDTF">2014-01-08T11:10:00Z</dcterms:created>
  <dcterms:modified xsi:type="dcterms:W3CDTF">2014-01-09T14:42:00Z</dcterms:modified>
</cp:coreProperties>
</file>