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0A3" w:rsidRDefault="00B840A3" w:rsidP="00781A2F">
      <w:pPr>
        <w:jc w:val="center"/>
        <w:rPr>
          <w:b/>
        </w:rPr>
      </w:pPr>
      <w:bookmarkStart w:id="0" w:name="OLE_LINK1"/>
      <w:bookmarkStart w:id="1" w:name="OLE_LINK2"/>
      <w:bookmarkStart w:id="2" w:name="OLE_LINK5"/>
      <w:bookmarkStart w:id="3" w:name="OLE_LINK6"/>
      <w:r>
        <w:rPr>
          <w:b/>
        </w:rPr>
        <w:t>Ministru kabineta noteikumu projekta</w:t>
      </w:r>
    </w:p>
    <w:p w:rsidR="00B840A3" w:rsidRDefault="00B840A3" w:rsidP="00781A2F">
      <w:pPr>
        <w:jc w:val="center"/>
        <w:rPr>
          <w:b/>
        </w:rPr>
      </w:pPr>
      <w:r>
        <w:rPr>
          <w:b/>
        </w:rPr>
        <w:t xml:space="preserve"> „</w:t>
      </w:r>
      <w:r w:rsidR="00AF4A8C" w:rsidRPr="004E2DA0">
        <w:rPr>
          <w:b/>
        </w:rPr>
        <w:t>Grozījum</w:t>
      </w:r>
      <w:r w:rsidR="00085E60">
        <w:rPr>
          <w:b/>
        </w:rPr>
        <w:t>s</w:t>
      </w:r>
      <w:r w:rsidR="00AF4A8C" w:rsidRPr="004E2DA0">
        <w:rPr>
          <w:b/>
        </w:rPr>
        <w:t xml:space="preserve"> Ministru kabineta 2012. gada </w:t>
      </w:r>
      <w:proofErr w:type="spellStart"/>
      <w:r w:rsidR="00AF4A8C" w:rsidRPr="004E2DA0">
        <w:rPr>
          <w:b/>
        </w:rPr>
        <w:t>10.aprīļa</w:t>
      </w:r>
      <w:proofErr w:type="spellEnd"/>
      <w:r w:rsidR="00AF4A8C" w:rsidRPr="004E2DA0">
        <w:rPr>
          <w:b/>
        </w:rPr>
        <w:t xml:space="preserve"> noteikumos </w:t>
      </w:r>
      <w:proofErr w:type="spellStart"/>
      <w:r w:rsidR="00AF4A8C" w:rsidRPr="004E2DA0">
        <w:rPr>
          <w:b/>
        </w:rPr>
        <w:t>Nr.259</w:t>
      </w:r>
      <w:proofErr w:type="spellEnd"/>
      <w:r w:rsidR="00AF4A8C" w:rsidRPr="004E2DA0">
        <w:rPr>
          <w:b/>
        </w:rPr>
        <w:t xml:space="preserve"> </w:t>
      </w:r>
    </w:p>
    <w:bookmarkEnd w:id="0"/>
    <w:bookmarkEnd w:id="1"/>
    <w:p w:rsidR="00781A2F" w:rsidRDefault="00311A32" w:rsidP="00781A2F">
      <w:pPr>
        <w:jc w:val="center"/>
        <w:rPr>
          <w:b/>
        </w:rPr>
      </w:pPr>
      <w:r>
        <w:rPr>
          <w:b/>
        </w:rPr>
        <w:t>„</w:t>
      </w:r>
      <w:r w:rsidR="00AF4A8C" w:rsidRPr="004E2DA0">
        <w:rPr>
          <w:b/>
          <w:bCs/>
        </w:rPr>
        <w:t>Noteikumi par 2012./</w:t>
      </w:r>
      <w:proofErr w:type="spellStart"/>
      <w:r w:rsidR="00AF4A8C" w:rsidRPr="004E2DA0">
        <w:rPr>
          <w:b/>
          <w:bCs/>
        </w:rPr>
        <w:t>2013.mācību</w:t>
      </w:r>
      <w:proofErr w:type="spellEnd"/>
      <w:r w:rsidR="00AF4A8C" w:rsidRPr="004E2DA0">
        <w:rPr>
          <w:b/>
          <w:bCs/>
        </w:rPr>
        <w:t xml:space="preserve"> gada un mācību semestru sākuma un beigu laiku</w:t>
      </w:r>
      <w:r w:rsidR="00B840A3">
        <w:rPr>
          <w:b/>
          <w:bCs/>
        </w:rPr>
        <w:t>”</w:t>
      </w:r>
      <w:bookmarkEnd w:id="2"/>
      <w:bookmarkEnd w:id="3"/>
      <w:r w:rsidR="00B840A3">
        <w:rPr>
          <w:b/>
        </w:rPr>
        <w:t>”</w:t>
      </w:r>
      <w:r w:rsidR="00BF07CB" w:rsidRPr="004E2DA0">
        <w:rPr>
          <w:b/>
        </w:rPr>
        <w:t xml:space="preserve"> </w:t>
      </w:r>
      <w:r w:rsidR="00781A2F" w:rsidRPr="004E2DA0">
        <w:rPr>
          <w:b/>
        </w:rPr>
        <w:t>sākotnējās ietekmes novērtējuma ziņojums (anotācija)</w:t>
      </w:r>
    </w:p>
    <w:p w:rsidR="00F51E5B" w:rsidRDefault="00F51E5B" w:rsidP="00781A2F">
      <w:pPr>
        <w:jc w:val="center"/>
        <w:rPr>
          <w:b/>
        </w:rPr>
      </w:pPr>
    </w:p>
    <w:tbl>
      <w:tblPr>
        <w:tblW w:w="9317" w:type="dxa"/>
        <w:tblInd w:w="-15" w:type="dxa"/>
        <w:tblLayout w:type="fixed"/>
        <w:tblLook w:val="0000"/>
      </w:tblPr>
      <w:tblGrid>
        <w:gridCol w:w="426"/>
        <w:gridCol w:w="3099"/>
        <w:gridCol w:w="5792"/>
      </w:tblGrid>
      <w:tr w:rsidR="00F51E5B" w:rsidRPr="00F51E5B" w:rsidTr="00ED32A5">
        <w:tc>
          <w:tcPr>
            <w:tcW w:w="9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E5B" w:rsidRPr="00F51E5B" w:rsidRDefault="00F51E5B" w:rsidP="00ED32A5">
            <w:pPr>
              <w:jc w:val="center"/>
            </w:pPr>
            <w:r w:rsidRPr="00F51E5B">
              <w:rPr>
                <w:b/>
              </w:rPr>
              <w:t>I Tiesību akta projekta izstrādes nepieciešamība</w:t>
            </w:r>
          </w:p>
        </w:tc>
      </w:tr>
      <w:tr w:rsidR="00F51E5B" w:rsidRPr="00F51E5B" w:rsidTr="00F51E5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5B" w:rsidRPr="00F51E5B" w:rsidRDefault="00F51E5B" w:rsidP="00ED32A5">
            <w:r w:rsidRPr="00F51E5B">
              <w:t>1.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5B" w:rsidRPr="00F51E5B" w:rsidRDefault="00F51E5B" w:rsidP="00ED32A5">
            <w:pPr>
              <w:rPr>
                <w:bCs/>
              </w:rPr>
            </w:pPr>
            <w:r w:rsidRPr="00F51E5B">
              <w:t>Pamatojums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E5B" w:rsidRDefault="00F51E5B" w:rsidP="00231099">
            <w:pPr>
              <w:jc w:val="both"/>
              <w:rPr>
                <w:color w:val="000000"/>
              </w:rPr>
            </w:pPr>
            <w:r>
              <w:t xml:space="preserve">Lai īstenotu </w:t>
            </w:r>
            <w:r w:rsidRPr="007843AF">
              <w:t>Valdības rīcības plān</w:t>
            </w:r>
            <w:r w:rsidR="00165432">
              <w:t>a (apstiprināts</w:t>
            </w:r>
            <w:r>
              <w:t xml:space="preserve"> </w:t>
            </w:r>
            <w:proofErr w:type="spellStart"/>
            <w:r w:rsidR="00401C0C" w:rsidRPr="007843AF">
              <w:t>2012.gada</w:t>
            </w:r>
            <w:proofErr w:type="spellEnd"/>
            <w:r w:rsidR="00401C0C" w:rsidRPr="007843AF">
              <w:t xml:space="preserve"> </w:t>
            </w:r>
            <w:proofErr w:type="spellStart"/>
            <w:r w:rsidR="00401C0C" w:rsidRPr="007843AF">
              <w:t>16.februār</w:t>
            </w:r>
            <w:r w:rsidR="00401C0C">
              <w:t>ī</w:t>
            </w:r>
            <w:proofErr w:type="spellEnd"/>
            <w:r w:rsidR="00401C0C">
              <w:t xml:space="preserve"> ar </w:t>
            </w:r>
            <w:r w:rsidR="00231099" w:rsidRPr="007843AF">
              <w:t xml:space="preserve">Ministru kabineta </w:t>
            </w:r>
            <w:r w:rsidRPr="007843AF">
              <w:t>rīkojum</w:t>
            </w:r>
            <w:r>
              <w:t xml:space="preserve">u </w:t>
            </w:r>
            <w:r w:rsidRPr="007843AF">
              <w:t xml:space="preserve"> </w:t>
            </w:r>
            <w:proofErr w:type="spellStart"/>
            <w:r w:rsidRPr="007843AF">
              <w:t>Nr.84</w:t>
            </w:r>
            <w:proofErr w:type="spellEnd"/>
            <w:r>
              <w:t xml:space="preserve"> „Par </w:t>
            </w:r>
            <w:r w:rsidR="00165432">
              <w:t>V</w:t>
            </w:r>
            <w:r>
              <w:t xml:space="preserve">aldības rīcības plānu Deklarācijas par Valda </w:t>
            </w:r>
            <w:proofErr w:type="spellStart"/>
            <w:r>
              <w:t>Dombrovska</w:t>
            </w:r>
            <w:proofErr w:type="spellEnd"/>
            <w:r>
              <w:t xml:space="preserve"> vadītā Ministru kabineta iecerēto darbību īstenošanai”)</w:t>
            </w:r>
            <w:r w:rsidR="002779AA">
              <w:t xml:space="preserve"> </w:t>
            </w:r>
            <w:proofErr w:type="spellStart"/>
            <w:r>
              <w:t>6.4.apakšpunktā</w:t>
            </w:r>
            <w:proofErr w:type="spellEnd"/>
            <w:r>
              <w:t xml:space="preserve"> noteikto</w:t>
            </w:r>
            <w:r w:rsidR="00AF7DF8">
              <w:t xml:space="preserve"> – </w:t>
            </w:r>
            <w:r>
              <w:t>r</w:t>
            </w:r>
            <w:r w:rsidRPr="007843AF">
              <w:t>adīt priekšnoteikumus skolēna noslodzes samazināšanai mācību gada ietvaros</w:t>
            </w:r>
            <w:r>
              <w:t xml:space="preserve">, Izglītības un zinātnes ministrija ir sagatavojusi grozījumu Ministru kabineta </w:t>
            </w:r>
            <w:proofErr w:type="spellStart"/>
            <w:r>
              <w:t>2012.gada</w:t>
            </w:r>
            <w:proofErr w:type="spellEnd"/>
            <w:r>
              <w:t xml:space="preserve"> </w:t>
            </w:r>
            <w:proofErr w:type="spellStart"/>
            <w:r>
              <w:t>10.aprīļa</w:t>
            </w:r>
            <w:proofErr w:type="spellEnd"/>
            <w:r>
              <w:t xml:space="preserve"> noteikumos </w:t>
            </w:r>
            <w:proofErr w:type="spellStart"/>
            <w:r>
              <w:t>Nr.259</w:t>
            </w:r>
            <w:proofErr w:type="spellEnd"/>
            <w:r>
              <w:t xml:space="preserve"> </w:t>
            </w:r>
            <w:r w:rsidRPr="007843AF">
              <w:t>„Noteikumi par 2012./</w:t>
            </w:r>
            <w:proofErr w:type="spellStart"/>
            <w:r w:rsidRPr="007843AF">
              <w:t>2013.mācību</w:t>
            </w:r>
            <w:proofErr w:type="spellEnd"/>
            <w:r w:rsidRPr="007843AF">
              <w:t xml:space="preserve"> gada un mācību semestru sākuma un beigu laiku</w:t>
            </w:r>
            <w:r w:rsidRPr="00D76AE0">
              <w:t>”</w:t>
            </w:r>
            <w:r w:rsidRPr="00637DCE">
              <w:rPr>
                <w:color w:val="000000"/>
              </w:rPr>
              <w:t>.</w:t>
            </w:r>
          </w:p>
          <w:p w:rsidR="00D62035" w:rsidRPr="00F51E5B" w:rsidRDefault="00D62035" w:rsidP="00231099">
            <w:pPr>
              <w:jc w:val="both"/>
            </w:pPr>
          </w:p>
        </w:tc>
      </w:tr>
      <w:tr w:rsidR="00F51E5B" w:rsidRPr="00F51E5B" w:rsidTr="00F51E5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5B" w:rsidRPr="00F51E5B" w:rsidRDefault="00F51E5B" w:rsidP="00ED32A5">
            <w:r w:rsidRPr="002316BF">
              <w:t>2.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5B" w:rsidRPr="00F51E5B" w:rsidRDefault="00F51E5B" w:rsidP="00ED32A5">
            <w:r w:rsidRPr="002316BF">
              <w:t>Pašreizējā situācija un problēmas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DD9" w:rsidRDefault="00F51E5B" w:rsidP="00F51E5B">
            <w:pPr>
              <w:jc w:val="both"/>
            </w:pPr>
            <w:r>
              <w:t>Lai samazinātu vispārējā</w:t>
            </w:r>
            <w:r w:rsidR="00567DD9">
              <w:t>s</w:t>
            </w:r>
            <w:r>
              <w:t xml:space="preserve"> vidējā</w:t>
            </w:r>
            <w:r w:rsidR="00567DD9">
              <w:t>s</w:t>
            </w:r>
            <w:r>
              <w:t xml:space="preserve"> izglītības izglītojamo slodzi un spriedzi pārbaudījumu laikā maija beigās un jūnijā, kā arī </w:t>
            </w:r>
            <w:r w:rsidRPr="009A02B4">
              <w:t>palielināt</w:t>
            </w:r>
            <w:r w:rsidR="00567DD9">
              <w:t>u</w:t>
            </w:r>
            <w:r w:rsidRPr="009A02B4">
              <w:t xml:space="preserve"> dienu skaitu starp valsts pārbaudījumiem vispārējā vidējā izglītībā</w:t>
            </w:r>
            <w:r w:rsidR="00567DD9">
              <w:t xml:space="preserve">, </w:t>
            </w:r>
            <w:r>
              <w:t>Izglītības un zinātnes ministrijas padotībā esošā iestāde – Valsts izglītības satura centrs ir izstrādājis Ministru kabineta noteikumu projektu „Noteikumi par valsts pārbaudes darbu norises laiku 2012./</w:t>
            </w:r>
            <w:proofErr w:type="spellStart"/>
            <w:r>
              <w:t>2013.mācību</w:t>
            </w:r>
            <w:proofErr w:type="spellEnd"/>
            <w:r>
              <w:t xml:space="preserve"> gadā” (</w:t>
            </w:r>
            <w:proofErr w:type="spellStart"/>
            <w:r>
              <w:t>VSS</w:t>
            </w:r>
            <w:proofErr w:type="spellEnd"/>
            <w:r>
              <w:t>–1003), kur noteikts, ka angļu valodas centralizētais  eksāmens</w:t>
            </w:r>
            <w:r w:rsidR="00567DD9">
              <w:t xml:space="preserve"> </w:t>
            </w:r>
            <w:r>
              <w:t xml:space="preserve">tiek kārtots laikā no </w:t>
            </w:r>
            <w:proofErr w:type="spellStart"/>
            <w:r>
              <w:t>2013.gada</w:t>
            </w:r>
            <w:proofErr w:type="spellEnd"/>
            <w:r>
              <w:t xml:space="preserve"> </w:t>
            </w:r>
            <w:proofErr w:type="spellStart"/>
            <w:r>
              <w:t>26.marta</w:t>
            </w:r>
            <w:proofErr w:type="spellEnd"/>
            <w:r>
              <w:t xml:space="preserve"> līdz </w:t>
            </w:r>
            <w:proofErr w:type="spellStart"/>
            <w:r>
              <w:t>2013.gada</w:t>
            </w:r>
            <w:proofErr w:type="spellEnd"/>
            <w:r>
              <w:t xml:space="preserve"> </w:t>
            </w:r>
            <w:proofErr w:type="spellStart"/>
            <w:r>
              <w:t>28.martam</w:t>
            </w:r>
            <w:proofErr w:type="spellEnd"/>
            <w:r>
              <w:t>.</w:t>
            </w:r>
          </w:p>
          <w:p w:rsidR="007264F1" w:rsidRDefault="004A6120" w:rsidP="00F51E5B">
            <w:pPr>
              <w:jc w:val="both"/>
            </w:pPr>
            <w:r>
              <w:t xml:space="preserve">Izglītības un zinātnes ministrija izvērtēja </w:t>
            </w:r>
            <w:r w:rsidR="007264F1">
              <w:t xml:space="preserve">variantus, kādā organizēt </w:t>
            </w:r>
            <w:r>
              <w:t>centralizēt</w:t>
            </w:r>
            <w:r w:rsidR="0074152C">
              <w:t>os</w:t>
            </w:r>
            <w:r>
              <w:t xml:space="preserve"> eksāmenu</w:t>
            </w:r>
            <w:r w:rsidR="007264F1">
              <w:t>s 2012./</w:t>
            </w:r>
            <w:proofErr w:type="spellStart"/>
            <w:r w:rsidR="007264F1">
              <w:t>2013.mācību</w:t>
            </w:r>
            <w:proofErr w:type="spellEnd"/>
            <w:r w:rsidR="007264F1">
              <w:t xml:space="preserve"> gadā:</w:t>
            </w:r>
          </w:p>
          <w:p w:rsidR="007264F1" w:rsidRDefault="00770185" w:rsidP="00350181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o</w:t>
            </w:r>
            <w:r w:rsidR="004A6120">
              <w:t>rganizēt</w:t>
            </w:r>
            <w:r>
              <w:t xml:space="preserve"> </w:t>
            </w:r>
            <w:r w:rsidR="00350181">
              <w:t xml:space="preserve">izglītojamiem </w:t>
            </w:r>
            <w:r w:rsidR="004A6120">
              <w:t>brīvdienu laikā, mainot brīvdienu grafiku;</w:t>
            </w:r>
          </w:p>
          <w:p w:rsidR="007264F1" w:rsidRDefault="00350181" w:rsidP="00350181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m</w:t>
            </w:r>
            <w:r w:rsidR="004A6120">
              <w:t>ācību procesa laikā</w:t>
            </w:r>
            <w:r>
              <w:t xml:space="preserve">, </w:t>
            </w:r>
            <w:r w:rsidR="004A6120">
              <w:t>eksāmenus kār</w:t>
            </w:r>
            <w:r>
              <w:t xml:space="preserve">tojot </w:t>
            </w:r>
            <w:r w:rsidR="004A6120">
              <w:t xml:space="preserve"> februārī, martā, aprīlī utt.;  </w:t>
            </w:r>
          </w:p>
          <w:p w:rsidR="004A6120" w:rsidRDefault="004A6120" w:rsidP="00350181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nemainīt eksāmenu grafiku.</w:t>
            </w:r>
          </w:p>
          <w:p w:rsidR="004A6120" w:rsidRDefault="004A6120" w:rsidP="00F51E5B">
            <w:pPr>
              <w:jc w:val="both"/>
            </w:pPr>
            <w:r>
              <w:t>Tika veikt</w:t>
            </w:r>
            <w:r w:rsidR="007264F1">
              <w:t xml:space="preserve">a </w:t>
            </w:r>
            <w:r>
              <w:t>visu ieinteresēto un iesaistīto personu (</w:t>
            </w:r>
            <w:proofErr w:type="spellStart"/>
            <w:r>
              <w:t>12.klašu</w:t>
            </w:r>
            <w:proofErr w:type="spellEnd"/>
            <w:r>
              <w:t xml:space="preserve"> absolventi, vecāku pārstāvji, kuri darbojas Izglītības un zinātnes ministrijas darba grupās, skolotāji, izglītības iestāžu vadītāji, izglītības pārvalžu speciālisti, izglītības darbinieku profesionālo organizāciju pārstāvji)  </w:t>
            </w:r>
            <w:proofErr w:type="spellStart"/>
            <w:r>
              <w:t>ekspress</w:t>
            </w:r>
            <w:proofErr w:type="spellEnd"/>
            <w:r>
              <w:t xml:space="preserve"> aptauja un viedokļu izvērtēšana.</w:t>
            </w:r>
          </w:p>
          <w:p w:rsidR="007264F1" w:rsidRDefault="004A6120" w:rsidP="00A46581">
            <w:pPr>
              <w:pStyle w:val="naiskr"/>
              <w:spacing w:before="0" w:after="0"/>
              <w:jc w:val="both"/>
            </w:pPr>
            <w:r>
              <w:t>Rezultātā tika secināts, ka optimālākais risinājums šim mācību gadam ir angļu valodas centralizēt</w:t>
            </w:r>
            <w:r w:rsidR="007264F1">
              <w:t>o</w:t>
            </w:r>
            <w:r>
              <w:t xml:space="preserve"> eksāmenu organizēt </w:t>
            </w:r>
            <w:proofErr w:type="spellStart"/>
            <w:r>
              <w:t>2013.gada</w:t>
            </w:r>
            <w:proofErr w:type="spellEnd"/>
            <w:r>
              <w:t xml:space="preserve"> </w:t>
            </w:r>
            <w:proofErr w:type="spellStart"/>
            <w:r>
              <w:t>26.marta</w:t>
            </w:r>
            <w:proofErr w:type="spellEnd"/>
            <w:r>
              <w:t xml:space="preserve"> līdz </w:t>
            </w:r>
            <w:proofErr w:type="spellStart"/>
            <w:r>
              <w:t>2013.gada</w:t>
            </w:r>
            <w:proofErr w:type="spellEnd"/>
            <w:r>
              <w:t xml:space="preserve"> </w:t>
            </w:r>
            <w:proofErr w:type="spellStart"/>
            <w:r>
              <w:t>28.martam</w:t>
            </w:r>
            <w:proofErr w:type="spellEnd"/>
            <w:r w:rsidR="007264F1">
              <w:t xml:space="preserve"> un </w:t>
            </w:r>
            <w:r>
              <w:t xml:space="preserve">mainīt </w:t>
            </w:r>
            <w:proofErr w:type="spellStart"/>
            <w:r w:rsidR="00B07E57">
              <w:t>12.klašu</w:t>
            </w:r>
            <w:proofErr w:type="spellEnd"/>
            <w:r w:rsidR="00B07E57">
              <w:t xml:space="preserve"> izglītojamo </w:t>
            </w:r>
            <w:r>
              <w:t>pavasara brīvdienu grafiku</w:t>
            </w:r>
            <w:r w:rsidR="007264F1">
              <w:t xml:space="preserve">. </w:t>
            </w:r>
          </w:p>
          <w:p w:rsidR="007264F1" w:rsidRDefault="007264F1" w:rsidP="00A46581">
            <w:pPr>
              <w:pStyle w:val="naiskr"/>
              <w:spacing w:before="0" w:after="0"/>
              <w:jc w:val="both"/>
            </w:pPr>
            <w:r>
              <w:t>Minētais risinājums ļautu:</w:t>
            </w:r>
          </w:p>
          <w:p w:rsidR="007264F1" w:rsidRDefault="00D117A3" w:rsidP="00B07E57">
            <w:pPr>
              <w:pStyle w:val="naiskr"/>
              <w:numPr>
                <w:ilvl w:val="0"/>
                <w:numId w:val="7"/>
              </w:numPr>
              <w:spacing w:before="0" w:after="0"/>
              <w:jc w:val="both"/>
            </w:pPr>
            <w:r>
              <w:lastRenderedPageBreak/>
              <w:t>saglabāt ierasto eksāmenu norises kārtību, kas nodrošina nepieciešamo skolotāju skaitu eksāmenu vadīšanai un novērošanai</w:t>
            </w:r>
            <w:r w:rsidR="00A46581">
              <w:t xml:space="preserve"> (angļu valodas centralizētā eksāmena norises procesā ir iesaistīti aptuveni 2200 skolotāji</w:t>
            </w:r>
            <w:r w:rsidR="007264F1">
              <w:t>)</w:t>
            </w:r>
            <w:r w:rsidR="00B07E57">
              <w:t xml:space="preserve">. </w:t>
            </w:r>
            <w:r w:rsidR="00A46581">
              <w:t xml:space="preserve">Novērotāji un eksāmenu vadītāji ir citu </w:t>
            </w:r>
            <w:r w:rsidR="007264F1">
              <w:t xml:space="preserve">izglītības iestāžu </w:t>
            </w:r>
            <w:r w:rsidR="00A46581">
              <w:t>un citu mācību priekšmetu skolotāji, kuri brīvdienu laikā tiks nodarbināti eksāmena procesā un šajā laikā viņi neveic savu priekšmetu mācīšanu</w:t>
            </w:r>
            <w:r>
              <w:t>;</w:t>
            </w:r>
          </w:p>
          <w:p w:rsidR="007264F1" w:rsidRDefault="00D117A3" w:rsidP="00B07E57">
            <w:pPr>
              <w:pStyle w:val="naiskr"/>
              <w:numPr>
                <w:ilvl w:val="0"/>
                <w:numId w:val="7"/>
              </w:numPr>
              <w:spacing w:before="0" w:after="0"/>
              <w:jc w:val="both"/>
            </w:pPr>
            <w:r>
              <w:t>netraucēt citu klašu mācību procesu</w:t>
            </w:r>
            <w:r w:rsidR="007264F1">
              <w:t xml:space="preserve">, jo </w:t>
            </w:r>
            <w:r w:rsidR="00A46581">
              <w:t xml:space="preserve"> izglītojam</w:t>
            </w:r>
            <w:r w:rsidR="00B07E57">
              <w:t>aj</w:t>
            </w:r>
            <w:r w:rsidR="00A46581">
              <w:t>iem no 1.</w:t>
            </w:r>
            <w:r w:rsidR="00B07E57">
              <w:t xml:space="preserve"> līdz </w:t>
            </w:r>
            <w:proofErr w:type="spellStart"/>
            <w:r w:rsidR="00A46581">
              <w:t>11.klasei</w:t>
            </w:r>
            <w:proofErr w:type="spellEnd"/>
            <w:r w:rsidR="00A46581">
              <w:t xml:space="preserve"> šajā laikā ir pavasara brīvdienas</w:t>
            </w:r>
            <w:r w:rsidR="007264F1">
              <w:t>;</w:t>
            </w:r>
          </w:p>
          <w:p w:rsidR="00A46581" w:rsidRDefault="00D117A3" w:rsidP="00B07E57">
            <w:pPr>
              <w:pStyle w:val="naiskr"/>
              <w:numPr>
                <w:ilvl w:val="0"/>
                <w:numId w:val="7"/>
              </w:numPr>
              <w:spacing w:before="0" w:after="0"/>
              <w:jc w:val="both"/>
            </w:pPr>
            <w:r>
              <w:t>mazināt vispārējās vidējās izglītības izglītojamo slodzi un spriedzi pārbaudījumu laikā</w:t>
            </w:r>
            <w:r w:rsidR="007264F1">
              <w:t>, jo viens</w:t>
            </w:r>
            <w:r w:rsidR="00B07E57">
              <w:t xml:space="preserve"> no</w:t>
            </w:r>
            <w:r w:rsidR="007264F1">
              <w:t xml:space="preserve"> </w:t>
            </w:r>
            <w:r w:rsidR="00037FB5">
              <w:t xml:space="preserve">  centralizētajiem eksāmeniem </w:t>
            </w:r>
            <w:r w:rsidR="007264F1">
              <w:t xml:space="preserve">būtu </w:t>
            </w:r>
            <w:r w:rsidR="00037FB5">
              <w:t xml:space="preserve">nokārtots ātrāk un </w:t>
            </w:r>
            <w:r w:rsidR="007264F1">
              <w:t xml:space="preserve">tādējādi </w:t>
            </w:r>
            <w:r w:rsidR="00037FB5">
              <w:t>mazināta slodze pārējo eksāmenu kārtošana</w:t>
            </w:r>
            <w:r w:rsidR="007264F1">
              <w:t>s laikā. Tas p</w:t>
            </w:r>
            <w:r>
              <w:t xml:space="preserve">aātrinātu </w:t>
            </w:r>
            <w:r w:rsidR="007264F1">
              <w:t xml:space="preserve">arī </w:t>
            </w:r>
            <w:r>
              <w:t>sertifikāta iegūšanu</w:t>
            </w:r>
            <w:r w:rsidR="007264F1">
              <w:t xml:space="preserve"> un </w:t>
            </w:r>
            <w:r>
              <w:t>izglītojam</w:t>
            </w:r>
            <w:r w:rsidR="007264F1">
              <w:t>aj</w:t>
            </w:r>
            <w:r>
              <w:t xml:space="preserve">iem būtu iespējams </w:t>
            </w:r>
            <w:r w:rsidRPr="009A02B4">
              <w:t>savlaicīgi iesniegt izglītības dokumentus kādā no ārvalst</w:t>
            </w:r>
            <w:r w:rsidR="007264F1">
              <w:t>u</w:t>
            </w:r>
            <w:r w:rsidRPr="009A02B4">
              <w:t xml:space="preserve"> augstskolām</w:t>
            </w:r>
            <w:r>
              <w:t>.</w:t>
            </w:r>
          </w:p>
          <w:p w:rsidR="007264F1" w:rsidRDefault="00D117A3" w:rsidP="007264F1">
            <w:pPr>
              <w:pStyle w:val="naiskr"/>
              <w:spacing w:before="0" w:after="0"/>
              <w:jc w:val="both"/>
            </w:pPr>
            <w:r>
              <w:t xml:space="preserve">Vienlaikus tiks atvieglota iespēja nākamajā mācību gadā veikt izmaiņas </w:t>
            </w:r>
            <w:r w:rsidR="007264F1">
              <w:t xml:space="preserve">arī pārējo pārbaudījumu </w:t>
            </w:r>
            <w:r>
              <w:t xml:space="preserve">grafika plānošanā.  </w:t>
            </w:r>
          </w:p>
          <w:p w:rsidR="0050215B" w:rsidRDefault="0050215B" w:rsidP="007264F1">
            <w:pPr>
              <w:pStyle w:val="naiskr"/>
              <w:spacing w:before="0" w:after="0"/>
              <w:jc w:val="both"/>
            </w:pPr>
            <w:r w:rsidRPr="00A36675">
              <w:t>Ministru kabineta noteikumu projekts „Noteikumi par valsts pārbaudes darbu norises laiku 2012./</w:t>
            </w:r>
            <w:proofErr w:type="spellStart"/>
            <w:r w:rsidRPr="00A36675">
              <w:t>2013.mācību</w:t>
            </w:r>
            <w:proofErr w:type="spellEnd"/>
            <w:r w:rsidRPr="00A36675">
              <w:t xml:space="preserve"> gadā” nosaka valsts pārbaudes darbu norises laikus izglītojam</w:t>
            </w:r>
            <w:r w:rsidR="00D62035">
              <w:t>aj</w:t>
            </w:r>
            <w:r w:rsidRPr="00A36675">
              <w:t xml:space="preserve">iem, kuri attaisnojošu iemeslu dēļ nav varējuši kārtot valsts pārbaudes darbus noteiktajos laikos. Šajā </w:t>
            </w:r>
            <w:r w:rsidR="0069667A" w:rsidRPr="00A36675">
              <w:t xml:space="preserve">gadījumā </w:t>
            </w:r>
            <w:r w:rsidRPr="00A36675">
              <w:t>par attaisnoj</w:t>
            </w:r>
            <w:r w:rsidR="00A36675" w:rsidRPr="00A36675">
              <w:t>o</w:t>
            </w:r>
            <w:r w:rsidRPr="00A36675">
              <w:t>šiem iemesliem tiks uzskatīti arī gadījumi</w:t>
            </w:r>
            <w:r w:rsidR="00A36675" w:rsidRPr="00A36675">
              <w:t>,</w:t>
            </w:r>
            <w:r w:rsidRPr="00A36675">
              <w:t xml:space="preserve"> ja izglītojamie ir ieplānojuši </w:t>
            </w:r>
            <w:r w:rsidR="00A36675" w:rsidRPr="00A36675">
              <w:t xml:space="preserve">pavasara </w:t>
            </w:r>
            <w:r w:rsidRPr="00A36675">
              <w:t>brīvdienu laiku spēkā esošajai kārtībai</w:t>
            </w:r>
            <w:r w:rsidR="00D62035">
              <w:t xml:space="preserve"> un</w:t>
            </w:r>
            <w:r w:rsidR="00455CCE" w:rsidRPr="00A36675">
              <w:t xml:space="preserve"> ja p</w:t>
            </w:r>
            <w:r w:rsidRPr="00A36675">
              <w:t>asākum</w:t>
            </w:r>
            <w:r w:rsidR="00B07E57">
              <w:t>i</w:t>
            </w:r>
            <w:r w:rsidRPr="00A36675">
              <w:t xml:space="preserve"> ieplānoti līdz grozījumu</w:t>
            </w:r>
            <w:r w:rsidR="00A36675" w:rsidRPr="00A36675">
              <w:t xml:space="preserve"> Ministru kabineta </w:t>
            </w:r>
            <w:proofErr w:type="spellStart"/>
            <w:r w:rsidR="00A36675" w:rsidRPr="00A36675">
              <w:t>2012.gada</w:t>
            </w:r>
            <w:proofErr w:type="spellEnd"/>
            <w:r w:rsidR="00A36675" w:rsidRPr="00A36675">
              <w:t xml:space="preserve"> </w:t>
            </w:r>
            <w:proofErr w:type="spellStart"/>
            <w:r w:rsidR="00A36675" w:rsidRPr="00A36675">
              <w:t>10.aprīļa</w:t>
            </w:r>
            <w:proofErr w:type="spellEnd"/>
            <w:r w:rsidR="00A36675" w:rsidRPr="00A36675">
              <w:t xml:space="preserve"> noteikumos </w:t>
            </w:r>
            <w:proofErr w:type="spellStart"/>
            <w:r w:rsidR="00A36675" w:rsidRPr="00A36675">
              <w:t>Nr.259</w:t>
            </w:r>
            <w:proofErr w:type="spellEnd"/>
            <w:r w:rsidR="00A36675" w:rsidRPr="00A36675">
              <w:t xml:space="preserve"> „</w:t>
            </w:r>
            <w:r w:rsidR="00A36675" w:rsidRPr="00A36675">
              <w:rPr>
                <w:bCs/>
              </w:rPr>
              <w:t>Noteikumi par 2012./</w:t>
            </w:r>
            <w:proofErr w:type="spellStart"/>
            <w:r w:rsidR="00A36675" w:rsidRPr="00A36675">
              <w:rPr>
                <w:bCs/>
              </w:rPr>
              <w:t>2013.mācību</w:t>
            </w:r>
            <w:proofErr w:type="spellEnd"/>
            <w:r w:rsidR="00A36675" w:rsidRPr="00A36675">
              <w:rPr>
                <w:bCs/>
              </w:rPr>
              <w:t xml:space="preserve"> gada un mācību semestru sākuma un beigu laiku”</w:t>
            </w:r>
            <w:r w:rsidRPr="00A36675">
              <w:t xml:space="preserve"> pieņemšanai</w:t>
            </w:r>
            <w:r w:rsidR="00D62035">
              <w:t xml:space="preserve">, kā arī </w:t>
            </w:r>
            <w:r w:rsidRPr="00A36675">
              <w:t>minētie fakti pamatoti ar attiecīgiem  dokumentie</w:t>
            </w:r>
            <w:r>
              <w:t>m</w:t>
            </w:r>
            <w:r w:rsidR="00D117A3">
              <w:t>.</w:t>
            </w:r>
            <w:r>
              <w:t xml:space="preserve"> </w:t>
            </w:r>
          </w:p>
          <w:p w:rsidR="00F51E5B" w:rsidRDefault="00F51E5B" w:rsidP="00567DD9">
            <w:pPr>
              <w:pStyle w:val="naiskr"/>
              <w:spacing w:before="0" w:after="0"/>
              <w:jc w:val="both"/>
            </w:pPr>
            <w:r>
              <w:t xml:space="preserve">Ministru kabineta </w:t>
            </w:r>
            <w:proofErr w:type="spellStart"/>
            <w:r>
              <w:t>2012.gada</w:t>
            </w:r>
            <w:proofErr w:type="spellEnd"/>
            <w:r>
              <w:t xml:space="preserve"> </w:t>
            </w:r>
            <w:proofErr w:type="spellStart"/>
            <w:r>
              <w:t>10.aprīļa</w:t>
            </w:r>
            <w:proofErr w:type="spellEnd"/>
            <w:r>
              <w:t xml:space="preserve"> noteikumu </w:t>
            </w:r>
            <w:proofErr w:type="spellStart"/>
            <w:r>
              <w:t>Nr.259</w:t>
            </w:r>
            <w:proofErr w:type="spellEnd"/>
            <w:r>
              <w:t xml:space="preserve"> „Noteikumi par 2012./</w:t>
            </w:r>
            <w:proofErr w:type="spellStart"/>
            <w:r>
              <w:t>2013.mācību</w:t>
            </w:r>
            <w:proofErr w:type="spellEnd"/>
            <w:r>
              <w:t xml:space="preserve"> gada un mācību semestru sākumu un beigu </w:t>
            </w:r>
            <w:r w:rsidRPr="00F70FF6">
              <w:t>laiku</w:t>
            </w:r>
            <w:r>
              <w:t xml:space="preserve">” </w:t>
            </w:r>
            <w:proofErr w:type="spellStart"/>
            <w:r>
              <w:t>7.3.apakšpunkts</w:t>
            </w:r>
            <w:proofErr w:type="spellEnd"/>
            <w:r>
              <w:t xml:space="preserve"> nosaka pavasara brīvdienas visiem izglītojamiem no </w:t>
            </w:r>
            <w:proofErr w:type="spellStart"/>
            <w:r>
              <w:t>1.klases</w:t>
            </w:r>
            <w:proofErr w:type="spellEnd"/>
            <w:r>
              <w:t xml:space="preserve"> līdz </w:t>
            </w:r>
            <w:proofErr w:type="spellStart"/>
            <w:r>
              <w:t>12.klasei</w:t>
            </w:r>
            <w:proofErr w:type="spellEnd"/>
            <w:r>
              <w:t xml:space="preserve"> laikā no </w:t>
            </w:r>
            <w:proofErr w:type="spellStart"/>
            <w:r>
              <w:t>2013.gada</w:t>
            </w:r>
            <w:proofErr w:type="spellEnd"/>
            <w:r>
              <w:t xml:space="preserve"> </w:t>
            </w:r>
            <w:proofErr w:type="spellStart"/>
            <w:r>
              <w:t>22.marta</w:t>
            </w:r>
            <w:proofErr w:type="spellEnd"/>
            <w:r>
              <w:t xml:space="preserve"> līdz </w:t>
            </w:r>
            <w:proofErr w:type="spellStart"/>
            <w:r>
              <w:t>2013.gada</w:t>
            </w:r>
            <w:proofErr w:type="spellEnd"/>
            <w:r>
              <w:t xml:space="preserve"> </w:t>
            </w:r>
            <w:proofErr w:type="spellStart"/>
            <w:r>
              <w:t>28.martam</w:t>
            </w:r>
            <w:proofErr w:type="spellEnd"/>
            <w:r>
              <w:t xml:space="preserve">. </w:t>
            </w:r>
          </w:p>
          <w:p w:rsidR="00F51E5B" w:rsidRDefault="000E3466" w:rsidP="000E3466">
            <w:pPr>
              <w:pStyle w:val="naiskr"/>
              <w:spacing w:before="0" w:after="0"/>
              <w:jc w:val="both"/>
            </w:pPr>
            <w:r w:rsidRPr="000E3466">
              <w:t>Lai Ministru kabineta noteikumu projektā „Noteikumi par valsts pārbaudes darbu norises laiku 2012./</w:t>
            </w:r>
            <w:proofErr w:type="spellStart"/>
            <w:r w:rsidRPr="000E3466">
              <w:t>2013.mācību</w:t>
            </w:r>
            <w:proofErr w:type="spellEnd"/>
            <w:r w:rsidRPr="000E3466">
              <w:t xml:space="preserve"> gadā” ietvertais regulējums nebūtu pretrunā ar </w:t>
            </w:r>
            <w:r>
              <w:t xml:space="preserve">Ministru kabineta </w:t>
            </w:r>
            <w:proofErr w:type="spellStart"/>
            <w:r>
              <w:t>2012.gada</w:t>
            </w:r>
            <w:proofErr w:type="spellEnd"/>
            <w:r>
              <w:t xml:space="preserve"> </w:t>
            </w:r>
            <w:proofErr w:type="spellStart"/>
            <w:r>
              <w:t>10.aprīļa</w:t>
            </w:r>
            <w:proofErr w:type="spellEnd"/>
            <w:r>
              <w:t xml:space="preserve"> noteikumos </w:t>
            </w:r>
            <w:proofErr w:type="spellStart"/>
            <w:r>
              <w:t>Nr.259</w:t>
            </w:r>
            <w:proofErr w:type="spellEnd"/>
            <w:r>
              <w:t xml:space="preserve"> „Noteikumi par 2012./</w:t>
            </w:r>
            <w:proofErr w:type="spellStart"/>
            <w:r>
              <w:t>2013.mācību</w:t>
            </w:r>
            <w:proofErr w:type="spellEnd"/>
            <w:r>
              <w:t xml:space="preserve"> gada un mācību semestru sākumu un beigu </w:t>
            </w:r>
            <w:r w:rsidRPr="00F70FF6">
              <w:t>laiku</w:t>
            </w:r>
            <w:r>
              <w:t xml:space="preserve">” </w:t>
            </w:r>
            <w:r w:rsidRPr="000E3466">
              <w:t xml:space="preserve">ietverto regulējumu un tiktu ievērotas </w:t>
            </w:r>
            <w:proofErr w:type="spellStart"/>
            <w:r w:rsidRPr="000E3466">
              <w:t>12.klases</w:t>
            </w:r>
            <w:proofErr w:type="spellEnd"/>
            <w:r w:rsidRPr="000E3466">
              <w:t xml:space="preserve"> izglītojamo tiesības uz noteikto pavasara brīvlaiku, kā arī angļu valodas centralizētā </w:t>
            </w:r>
            <w:r w:rsidRPr="000E3466">
              <w:lastRenderedPageBreak/>
              <w:t>eksāmena norise netraucētu izglītības iestādes mācību procesu</w:t>
            </w:r>
            <w:r>
              <w:t xml:space="preserve">, ir </w:t>
            </w:r>
            <w:r w:rsidR="00F51E5B">
              <w:t>nepieciešams grozījum</w:t>
            </w:r>
            <w:r w:rsidR="00B07E57">
              <w:t>s</w:t>
            </w:r>
            <w:r w:rsidR="00F51E5B">
              <w:t xml:space="preserve"> Ministru kabineta </w:t>
            </w:r>
            <w:proofErr w:type="spellStart"/>
            <w:r w:rsidR="00F51E5B">
              <w:t>2012.gada</w:t>
            </w:r>
            <w:proofErr w:type="spellEnd"/>
            <w:r w:rsidR="00F51E5B">
              <w:t xml:space="preserve"> </w:t>
            </w:r>
            <w:proofErr w:type="spellStart"/>
            <w:r w:rsidR="00F51E5B">
              <w:t>10.aprīļa</w:t>
            </w:r>
            <w:proofErr w:type="spellEnd"/>
            <w:r w:rsidR="00F51E5B">
              <w:t xml:space="preserve"> noteikumos </w:t>
            </w:r>
            <w:proofErr w:type="spellStart"/>
            <w:r w:rsidR="00F51E5B">
              <w:t>Nr.259</w:t>
            </w:r>
            <w:proofErr w:type="spellEnd"/>
            <w:r w:rsidR="00F51E5B">
              <w:t xml:space="preserve"> „Noteikumi par 2012./</w:t>
            </w:r>
            <w:proofErr w:type="spellStart"/>
            <w:r w:rsidR="00F51E5B">
              <w:t>2013.mācību</w:t>
            </w:r>
            <w:proofErr w:type="spellEnd"/>
            <w:r w:rsidR="00F51E5B">
              <w:t xml:space="preserve"> gada un mācību semestru sākumu un beigu </w:t>
            </w:r>
            <w:r w:rsidR="00F51E5B" w:rsidRPr="00F70FF6">
              <w:t>laiku</w:t>
            </w:r>
            <w:r w:rsidR="00F51E5B">
              <w:t xml:space="preserve">”. </w:t>
            </w:r>
          </w:p>
          <w:p w:rsidR="00F51E5B" w:rsidRDefault="00D62035" w:rsidP="00D62035">
            <w:pPr>
              <w:jc w:val="both"/>
            </w:pPr>
            <w:r>
              <w:t>V</w:t>
            </w:r>
            <w:r w:rsidR="00F51E5B">
              <w:t>eicin</w:t>
            </w:r>
            <w:r>
              <w:t>ot</w:t>
            </w:r>
            <w:r w:rsidR="00F51E5B">
              <w:t xml:space="preserve"> skolu autonomiju, noteikumu projekts no</w:t>
            </w:r>
            <w:r>
              <w:t>teiks</w:t>
            </w:r>
            <w:r w:rsidR="00F51E5B">
              <w:t xml:space="preserve">, ka </w:t>
            </w:r>
            <w:r w:rsidR="00F51E5B" w:rsidRPr="0020372B">
              <w:t xml:space="preserve">izglītības iestāde patstāvīgi pieņem lēmumu par vienu nedēļu ilgām pavasara brīvdienām </w:t>
            </w:r>
            <w:proofErr w:type="spellStart"/>
            <w:r w:rsidR="00F51E5B" w:rsidRPr="0020372B">
              <w:t>12.klases</w:t>
            </w:r>
            <w:proofErr w:type="spellEnd"/>
            <w:r w:rsidR="00F51E5B" w:rsidRPr="0020372B">
              <w:t xml:space="preserve"> izglītojamajiem laikposmā no </w:t>
            </w:r>
            <w:proofErr w:type="spellStart"/>
            <w:r w:rsidR="00F51E5B" w:rsidRPr="0020372B">
              <w:t>2013.gada</w:t>
            </w:r>
            <w:proofErr w:type="spellEnd"/>
            <w:r w:rsidR="00F51E5B" w:rsidRPr="0020372B">
              <w:t xml:space="preserve"> </w:t>
            </w:r>
            <w:proofErr w:type="spellStart"/>
            <w:r w:rsidR="00F51E5B" w:rsidRPr="0020372B">
              <w:t>19.marta</w:t>
            </w:r>
            <w:proofErr w:type="spellEnd"/>
            <w:r w:rsidR="00F51E5B" w:rsidRPr="0020372B">
              <w:t xml:space="preserve"> līdz </w:t>
            </w:r>
            <w:proofErr w:type="spellStart"/>
            <w:r w:rsidR="00F51E5B" w:rsidRPr="0020372B">
              <w:t>2013.gada</w:t>
            </w:r>
            <w:proofErr w:type="spellEnd"/>
            <w:r w:rsidR="00F51E5B" w:rsidRPr="0020372B">
              <w:t xml:space="preserve"> </w:t>
            </w:r>
            <w:proofErr w:type="spellStart"/>
            <w:r w:rsidR="00F51E5B" w:rsidRPr="0020372B">
              <w:t>25.martam</w:t>
            </w:r>
            <w:proofErr w:type="spellEnd"/>
            <w:r w:rsidR="00F51E5B" w:rsidRPr="0020372B">
              <w:t xml:space="preserve"> vai no </w:t>
            </w:r>
            <w:proofErr w:type="spellStart"/>
            <w:r w:rsidR="00F51E5B" w:rsidRPr="0020372B">
              <w:t>2013.gada</w:t>
            </w:r>
            <w:proofErr w:type="spellEnd"/>
            <w:r w:rsidR="00F51E5B" w:rsidRPr="0020372B">
              <w:t xml:space="preserve"> </w:t>
            </w:r>
            <w:proofErr w:type="spellStart"/>
            <w:r w:rsidR="00F51E5B" w:rsidRPr="0020372B">
              <w:t>2.aprīļa</w:t>
            </w:r>
            <w:proofErr w:type="spellEnd"/>
            <w:r w:rsidR="00F51E5B" w:rsidRPr="0020372B">
              <w:t xml:space="preserve"> līdz </w:t>
            </w:r>
            <w:proofErr w:type="spellStart"/>
            <w:r w:rsidR="00F51E5B" w:rsidRPr="0020372B">
              <w:t>2013.gada</w:t>
            </w:r>
            <w:proofErr w:type="spellEnd"/>
            <w:r w:rsidR="00F51E5B" w:rsidRPr="0020372B">
              <w:t xml:space="preserve"> </w:t>
            </w:r>
            <w:proofErr w:type="spellStart"/>
            <w:r w:rsidR="00F51E5B" w:rsidRPr="0020372B">
              <w:t>8.aprīlim</w:t>
            </w:r>
            <w:proofErr w:type="spellEnd"/>
            <w:r w:rsidR="00F51E5B" w:rsidRPr="0020372B">
              <w:t>.</w:t>
            </w:r>
          </w:p>
          <w:p w:rsidR="00D62035" w:rsidRDefault="00D62035" w:rsidP="00D62035">
            <w:pPr>
              <w:jc w:val="both"/>
            </w:pPr>
          </w:p>
        </w:tc>
      </w:tr>
      <w:tr w:rsidR="00F51E5B" w:rsidRPr="00F51E5B" w:rsidTr="00F51E5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5B" w:rsidRPr="002316BF" w:rsidRDefault="00F51E5B" w:rsidP="00ED32A5">
            <w:r w:rsidRPr="002316BF">
              <w:lastRenderedPageBreak/>
              <w:t>3.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5B" w:rsidRDefault="00F51E5B" w:rsidP="00ED32A5">
            <w:r w:rsidRPr="002316BF">
              <w:t>Saistītie politikas ietekmes novērtējumi un pētījumi</w:t>
            </w:r>
          </w:p>
          <w:p w:rsidR="00D62035" w:rsidRPr="002316BF" w:rsidRDefault="00D62035" w:rsidP="00ED32A5"/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E5B" w:rsidRDefault="00F51E5B" w:rsidP="00F51E5B">
            <w:pPr>
              <w:jc w:val="both"/>
            </w:pPr>
            <w:r w:rsidRPr="00757DF8">
              <w:t>Projekts šo jomu neskar</w:t>
            </w:r>
            <w:r>
              <w:t>.</w:t>
            </w:r>
          </w:p>
        </w:tc>
      </w:tr>
      <w:tr w:rsidR="00F51E5B" w:rsidRPr="00F51E5B" w:rsidTr="00F51E5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5B" w:rsidRPr="002316BF" w:rsidRDefault="00F51E5B" w:rsidP="00ED32A5">
            <w:r w:rsidRPr="002316BF">
              <w:t>4.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5B" w:rsidRPr="002316BF" w:rsidRDefault="00F51E5B" w:rsidP="00ED32A5">
            <w:r w:rsidRPr="002316BF">
              <w:t>Tiesiskā regulējuma mērķis un būtība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E5B" w:rsidRPr="0020372B" w:rsidRDefault="00F51E5B" w:rsidP="00F51E5B">
            <w:pPr>
              <w:jc w:val="both"/>
            </w:pPr>
            <w:r>
              <w:t xml:space="preserve">Noteikumu projekts nosaka, ka </w:t>
            </w:r>
            <w:r w:rsidRPr="0020372B">
              <w:t xml:space="preserve">izglītības iestāde patstāvīgi pieņem lēmumu par vienu nedēļu ilgām pavasara brīvdienām </w:t>
            </w:r>
            <w:proofErr w:type="spellStart"/>
            <w:r w:rsidRPr="0020372B">
              <w:t>12.klases</w:t>
            </w:r>
            <w:proofErr w:type="spellEnd"/>
            <w:r w:rsidRPr="0020372B">
              <w:t xml:space="preserve"> izglītojamajiem laikposmā no </w:t>
            </w:r>
            <w:proofErr w:type="spellStart"/>
            <w:r w:rsidRPr="0020372B">
              <w:t>2013.gada</w:t>
            </w:r>
            <w:proofErr w:type="spellEnd"/>
            <w:r w:rsidRPr="0020372B">
              <w:t xml:space="preserve"> </w:t>
            </w:r>
            <w:proofErr w:type="spellStart"/>
            <w:r w:rsidRPr="0020372B">
              <w:t>19.marta</w:t>
            </w:r>
            <w:proofErr w:type="spellEnd"/>
            <w:r w:rsidRPr="0020372B">
              <w:t xml:space="preserve"> līdz </w:t>
            </w:r>
            <w:proofErr w:type="spellStart"/>
            <w:r w:rsidRPr="0020372B">
              <w:t>2013.gada</w:t>
            </w:r>
            <w:proofErr w:type="spellEnd"/>
            <w:r w:rsidRPr="0020372B">
              <w:t xml:space="preserve"> </w:t>
            </w:r>
            <w:proofErr w:type="spellStart"/>
            <w:r w:rsidRPr="0020372B">
              <w:t>25.martam</w:t>
            </w:r>
            <w:proofErr w:type="spellEnd"/>
            <w:r w:rsidRPr="0020372B">
              <w:t xml:space="preserve"> vai no </w:t>
            </w:r>
            <w:proofErr w:type="spellStart"/>
            <w:r w:rsidRPr="0020372B">
              <w:t>2013.gada</w:t>
            </w:r>
            <w:proofErr w:type="spellEnd"/>
            <w:r w:rsidRPr="0020372B">
              <w:t xml:space="preserve"> </w:t>
            </w:r>
            <w:proofErr w:type="spellStart"/>
            <w:r w:rsidRPr="0020372B">
              <w:t>2.aprīļa</w:t>
            </w:r>
            <w:proofErr w:type="spellEnd"/>
            <w:r w:rsidRPr="0020372B">
              <w:t xml:space="preserve"> līdz </w:t>
            </w:r>
            <w:proofErr w:type="spellStart"/>
            <w:r w:rsidRPr="0020372B">
              <w:t>2013.gada</w:t>
            </w:r>
            <w:proofErr w:type="spellEnd"/>
            <w:r w:rsidRPr="0020372B">
              <w:t xml:space="preserve"> </w:t>
            </w:r>
            <w:proofErr w:type="spellStart"/>
            <w:r w:rsidRPr="0020372B">
              <w:t>8.aprīlim</w:t>
            </w:r>
            <w:proofErr w:type="spellEnd"/>
            <w:r w:rsidRPr="0020372B">
              <w:t>.</w:t>
            </w:r>
          </w:p>
          <w:p w:rsidR="00F51E5B" w:rsidRPr="00757DF8" w:rsidRDefault="00F51E5B" w:rsidP="00F51E5B">
            <w:pPr>
              <w:jc w:val="both"/>
            </w:pPr>
          </w:p>
        </w:tc>
      </w:tr>
      <w:tr w:rsidR="00F51E5B" w:rsidRPr="00F51E5B" w:rsidTr="00F51E5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5B" w:rsidRPr="002316BF" w:rsidRDefault="00F51E5B" w:rsidP="00ED32A5">
            <w:r w:rsidRPr="002316BF">
              <w:t>5.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5B" w:rsidRPr="002316BF" w:rsidRDefault="00F51E5B" w:rsidP="00ED32A5">
            <w:r w:rsidRPr="002316BF">
              <w:t>Projekta izstrādē iesaistītās institūcijas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E5B" w:rsidRDefault="00F51E5B" w:rsidP="00F51E5B">
            <w:pPr>
              <w:jc w:val="both"/>
            </w:pPr>
            <w:r>
              <w:t>Projekts šo jomu neskar.</w:t>
            </w:r>
          </w:p>
        </w:tc>
      </w:tr>
      <w:tr w:rsidR="00F51E5B" w:rsidRPr="00F51E5B" w:rsidTr="00F51E5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5B" w:rsidRPr="002316BF" w:rsidRDefault="00F51E5B" w:rsidP="00ED32A5">
            <w:r w:rsidRPr="002316BF">
              <w:t>6.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5B" w:rsidRPr="002316BF" w:rsidRDefault="00F51E5B" w:rsidP="00ED32A5">
            <w:r w:rsidRPr="002316BF">
              <w:t>Iemesli, kādēļ netika nodrošināta sabiedrības līdzdalība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E5B" w:rsidRDefault="00F51E5B" w:rsidP="00F51E5B">
            <w:pPr>
              <w:jc w:val="both"/>
            </w:pPr>
            <w:r w:rsidRPr="00AB4C38">
              <w:t>Projekts šo jomu neskar.</w:t>
            </w:r>
          </w:p>
        </w:tc>
      </w:tr>
      <w:tr w:rsidR="00F51E5B" w:rsidRPr="00F51E5B" w:rsidTr="00F51E5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5B" w:rsidRPr="002316BF" w:rsidRDefault="00F51E5B" w:rsidP="00F51E5B">
            <w:r w:rsidRPr="002316BF">
              <w:t>7.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5B" w:rsidRPr="002316BF" w:rsidRDefault="00F51E5B" w:rsidP="00F51E5B">
            <w:pPr>
              <w:pStyle w:val="naiskr"/>
              <w:spacing w:before="0" w:after="0"/>
            </w:pPr>
            <w:r w:rsidRPr="002316BF">
              <w:t>Cita informācija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E5B" w:rsidRDefault="00F51E5B" w:rsidP="00F51E5B">
            <w:pPr>
              <w:pStyle w:val="naiskr"/>
              <w:spacing w:before="0" w:after="0"/>
            </w:pPr>
            <w:r>
              <w:t>Projekts šo jomu neskar.</w:t>
            </w:r>
          </w:p>
          <w:p w:rsidR="00D62035" w:rsidRPr="002316BF" w:rsidRDefault="00D62035" w:rsidP="00F51E5B">
            <w:pPr>
              <w:pStyle w:val="naiskr"/>
              <w:spacing w:before="0" w:after="0"/>
            </w:pPr>
          </w:p>
        </w:tc>
      </w:tr>
    </w:tbl>
    <w:p w:rsidR="00383A33" w:rsidRDefault="00383A33" w:rsidP="00781A2F"/>
    <w:tbl>
      <w:tblPr>
        <w:tblW w:w="9371" w:type="dxa"/>
        <w:tblInd w:w="-34" w:type="dxa"/>
        <w:tblLayout w:type="fixed"/>
        <w:tblLook w:val="0000"/>
      </w:tblPr>
      <w:tblGrid>
        <w:gridCol w:w="426"/>
        <w:gridCol w:w="3118"/>
        <w:gridCol w:w="5827"/>
      </w:tblGrid>
      <w:tr w:rsidR="00383A33" w:rsidRPr="00383A33" w:rsidTr="00F51E5B"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A33" w:rsidRDefault="00383A33" w:rsidP="00A82868">
            <w:pPr>
              <w:jc w:val="center"/>
              <w:rPr>
                <w:b/>
              </w:rPr>
            </w:pPr>
            <w:r w:rsidRPr="00383A33">
              <w:rPr>
                <w:b/>
              </w:rPr>
              <w:t>II Tiesību akta projekta ietekme uz sabiedrību</w:t>
            </w:r>
          </w:p>
          <w:p w:rsidR="00D62035" w:rsidRPr="00383A33" w:rsidRDefault="00D62035" w:rsidP="00A82868">
            <w:pPr>
              <w:jc w:val="center"/>
            </w:pPr>
          </w:p>
        </w:tc>
      </w:tr>
      <w:tr w:rsidR="00383A33" w:rsidRPr="00383A33" w:rsidTr="00F51E5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A33" w:rsidRPr="00383A33" w:rsidRDefault="00383A33" w:rsidP="00A82868">
            <w:r w:rsidRPr="00383A33"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A33" w:rsidRPr="00383A33" w:rsidRDefault="00383A33" w:rsidP="00A82868">
            <w:r w:rsidRPr="00383A33">
              <w:t xml:space="preserve">Sabiedrības </w:t>
            </w:r>
            <w:proofErr w:type="spellStart"/>
            <w:r w:rsidRPr="00383A33">
              <w:t>mērķgrupa</w:t>
            </w:r>
            <w:proofErr w:type="spellEnd"/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A33" w:rsidRPr="00383A33" w:rsidRDefault="005917ED" w:rsidP="005917ED">
            <w:pPr>
              <w:tabs>
                <w:tab w:val="left" w:pos="522"/>
              </w:tabs>
              <w:jc w:val="both"/>
            </w:pPr>
            <w:r>
              <w:t xml:space="preserve">Noteikumu projekts </w:t>
            </w:r>
            <w:r w:rsidR="00383A33" w:rsidRPr="00383A33">
              <w:t>attiecas uz izglītojam</w:t>
            </w:r>
            <w:r w:rsidR="00D62035">
              <w:t>aj</w:t>
            </w:r>
            <w:r w:rsidR="00383A33" w:rsidRPr="00383A33">
              <w:t>iem</w:t>
            </w:r>
            <w:r>
              <w:t xml:space="preserve">, kuri mācās </w:t>
            </w:r>
            <w:proofErr w:type="spellStart"/>
            <w:r>
              <w:t>12.klasē</w:t>
            </w:r>
            <w:proofErr w:type="spellEnd"/>
            <w:r w:rsidR="00AB4C38">
              <w:t xml:space="preserve"> (~19 tūkstoši izglītojamie)</w:t>
            </w:r>
            <w:r>
              <w:t xml:space="preserve">, valsts, pašvaldību un privātajām izglītības iestādēm un vecākiem, kuriem izglītojamais mācās </w:t>
            </w:r>
            <w:proofErr w:type="spellStart"/>
            <w:r>
              <w:t>12.klasē</w:t>
            </w:r>
            <w:proofErr w:type="spellEnd"/>
            <w:r>
              <w:t xml:space="preserve">. </w:t>
            </w:r>
            <w:r w:rsidR="00383A33" w:rsidRPr="00383A33">
              <w:t xml:space="preserve"> </w:t>
            </w:r>
          </w:p>
          <w:p w:rsidR="00383A33" w:rsidRPr="00383A33" w:rsidRDefault="00383A33" w:rsidP="00A82868">
            <w:pPr>
              <w:tabs>
                <w:tab w:val="left" w:pos="522"/>
              </w:tabs>
              <w:jc w:val="both"/>
            </w:pPr>
          </w:p>
        </w:tc>
      </w:tr>
      <w:tr w:rsidR="00383A33" w:rsidRPr="00383A33" w:rsidTr="00F51E5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A33" w:rsidRPr="00383A33" w:rsidRDefault="00383A33" w:rsidP="00A82868">
            <w:r w:rsidRPr="00383A33">
              <w:t xml:space="preserve">2.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A33" w:rsidRPr="00383A33" w:rsidRDefault="00383A33" w:rsidP="00A82868">
            <w:r w:rsidRPr="00383A33">
              <w:t xml:space="preserve">Citas sabiedrības grupas (bez </w:t>
            </w:r>
            <w:proofErr w:type="spellStart"/>
            <w:r w:rsidRPr="00383A33">
              <w:t>mērķgrupas</w:t>
            </w:r>
            <w:proofErr w:type="spellEnd"/>
            <w:r w:rsidRPr="00383A33">
              <w:t>), kuras tiesiskais regulējuma arī ietekmē vai varētu ietekmēt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A33" w:rsidRPr="00383A33" w:rsidRDefault="00383A33" w:rsidP="00A82868">
            <w:pPr>
              <w:jc w:val="both"/>
            </w:pPr>
            <w:r w:rsidRPr="00383A33">
              <w:t xml:space="preserve">Projekts šo jomu neskar. </w:t>
            </w:r>
          </w:p>
        </w:tc>
      </w:tr>
      <w:tr w:rsidR="00383A33" w:rsidRPr="00383A33" w:rsidTr="00F51E5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A33" w:rsidRPr="00383A33" w:rsidRDefault="00383A33" w:rsidP="00A82868">
            <w:r w:rsidRPr="00383A33">
              <w:t xml:space="preserve">3.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A33" w:rsidRPr="00383A33" w:rsidRDefault="00383A33" w:rsidP="00A82868">
            <w:r w:rsidRPr="00383A33">
              <w:t>Tiesiskā regulējuma finansiālā ietekme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A33" w:rsidRPr="00383A33" w:rsidRDefault="005917ED" w:rsidP="005917ED">
            <w:pPr>
              <w:ind w:firstLine="33"/>
              <w:jc w:val="both"/>
            </w:pPr>
            <w:r w:rsidRPr="00383A33">
              <w:t>Projekts šo jomu neskar.</w:t>
            </w:r>
          </w:p>
        </w:tc>
      </w:tr>
      <w:tr w:rsidR="00383A33" w:rsidRPr="00383A33" w:rsidTr="00F51E5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A33" w:rsidRPr="00383A33" w:rsidRDefault="00383A33" w:rsidP="00A82868">
            <w:r w:rsidRPr="00383A33"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A33" w:rsidRPr="00383A33" w:rsidRDefault="00383A33" w:rsidP="00A82868">
            <w:pPr>
              <w:rPr>
                <w:iCs/>
              </w:rPr>
            </w:pPr>
            <w:r w:rsidRPr="00383A33">
              <w:t>Tiesiskā regulējuma nefinansiālā ietekme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A33" w:rsidRPr="00383A33" w:rsidRDefault="00383A33" w:rsidP="00A5184C">
            <w:pPr>
              <w:jc w:val="both"/>
            </w:pPr>
            <w:r w:rsidRPr="00383A33">
              <w:rPr>
                <w:iCs/>
              </w:rPr>
              <w:t xml:space="preserve">Projekts </w:t>
            </w:r>
            <w:r w:rsidR="00A5184C">
              <w:rPr>
                <w:iCs/>
              </w:rPr>
              <w:t>paredz tiesības</w:t>
            </w:r>
            <w:r w:rsidR="005917ED">
              <w:rPr>
                <w:iCs/>
              </w:rPr>
              <w:t xml:space="preserve"> izglītības iestādei patstāvīgi lemt par pavasara brīvdienām </w:t>
            </w:r>
            <w:proofErr w:type="spellStart"/>
            <w:r w:rsidR="005917ED">
              <w:rPr>
                <w:iCs/>
              </w:rPr>
              <w:t>12.klases</w:t>
            </w:r>
            <w:proofErr w:type="spellEnd"/>
            <w:r w:rsidR="005917ED">
              <w:rPr>
                <w:iCs/>
              </w:rPr>
              <w:t xml:space="preserve"> izglītojamiem. </w:t>
            </w:r>
          </w:p>
        </w:tc>
      </w:tr>
      <w:tr w:rsidR="00383A33" w:rsidRPr="00383A33" w:rsidTr="00F51E5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A33" w:rsidRPr="00383A33" w:rsidRDefault="00383A33" w:rsidP="00A82868">
            <w:r w:rsidRPr="00383A33"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A33" w:rsidRPr="00383A33" w:rsidRDefault="00383A33" w:rsidP="00A82868">
            <w:r w:rsidRPr="00383A33">
              <w:t>Administratīvās procedūras raksturojums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A33" w:rsidRPr="00383A33" w:rsidRDefault="00383A33" w:rsidP="00A82868">
            <w:pPr>
              <w:jc w:val="both"/>
            </w:pPr>
            <w:r w:rsidRPr="00383A33">
              <w:t>Projekts šo jomu neskar.</w:t>
            </w:r>
          </w:p>
        </w:tc>
      </w:tr>
      <w:tr w:rsidR="00383A33" w:rsidRPr="00383A33" w:rsidTr="00F51E5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A33" w:rsidRPr="00383A33" w:rsidRDefault="00383A33" w:rsidP="00A82868">
            <w:r w:rsidRPr="00383A33"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A33" w:rsidRPr="00383A33" w:rsidRDefault="00383A33" w:rsidP="00A82868">
            <w:r w:rsidRPr="00383A33">
              <w:t>Administratīvo izmaksu monetārs novērtējums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A33" w:rsidRPr="00383A33" w:rsidRDefault="00383A33" w:rsidP="00A82868">
            <w:pPr>
              <w:jc w:val="both"/>
            </w:pPr>
            <w:r w:rsidRPr="00383A33">
              <w:t>Projekts šo jomu neskar.</w:t>
            </w:r>
          </w:p>
        </w:tc>
      </w:tr>
      <w:tr w:rsidR="006B24FE" w:rsidRPr="00383A33" w:rsidTr="00F51E5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4FE" w:rsidRPr="00383A33" w:rsidRDefault="006B24FE" w:rsidP="00A82868">
            <w:r w:rsidRPr="00383A33">
              <w:t xml:space="preserve">7.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4FE" w:rsidRPr="00383A33" w:rsidRDefault="006B24FE" w:rsidP="00A82868">
            <w:r w:rsidRPr="00383A33">
              <w:t>Cita informācija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4FE" w:rsidRPr="00383A33" w:rsidRDefault="006B24FE" w:rsidP="0089156D">
            <w:pPr>
              <w:jc w:val="both"/>
            </w:pPr>
            <w:r w:rsidRPr="00383A33">
              <w:t>Projekts šo jomu neskar.</w:t>
            </w:r>
          </w:p>
        </w:tc>
      </w:tr>
    </w:tbl>
    <w:p w:rsidR="00383A33" w:rsidRPr="00383A33" w:rsidRDefault="00383A33" w:rsidP="00781A2F">
      <w:r>
        <w:lastRenderedPageBreak/>
        <w:t>Anotācijas III sadaļa – projekts šo jomu neskar.</w:t>
      </w:r>
    </w:p>
    <w:p w:rsidR="00383A33" w:rsidRPr="00383A33" w:rsidRDefault="00383A33" w:rsidP="00781A2F"/>
    <w:tbl>
      <w:tblPr>
        <w:tblW w:w="9356" w:type="dxa"/>
        <w:tblInd w:w="-34" w:type="dxa"/>
        <w:tblLayout w:type="fixed"/>
        <w:tblLook w:val="0000"/>
      </w:tblPr>
      <w:tblGrid>
        <w:gridCol w:w="426"/>
        <w:gridCol w:w="3118"/>
        <w:gridCol w:w="5812"/>
      </w:tblGrid>
      <w:tr w:rsidR="00383A33" w:rsidRPr="00383A33" w:rsidTr="00F51E5B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A33" w:rsidRPr="00383A33" w:rsidRDefault="00383A33" w:rsidP="00A82868">
            <w:pPr>
              <w:jc w:val="center"/>
            </w:pPr>
            <w:r w:rsidRPr="00383A33">
              <w:rPr>
                <w:b/>
              </w:rPr>
              <w:t>IV Tiesību akta projekta ietekme uz spēkā esošo tiesību normu sistēmu</w:t>
            </w:r>
          </w:p>
        </w:tc>
      </w:tr>
      <w:tr w:rsidR="00383A33" w:rsidRPr="00383A33" w:rsidTr="00F51E5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A33" w:rsidRPr="00383A33" w:rsidRDefault="00383A33" w:rsidP="00A82868">
            <w:r w:rsidRPr="00383A33"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A33" w:rsidRPr="00383A33" w:rsidRDefault="00383A33" w:rsidP="00A82868">
            <w:r w:rsidRPr="00383A33">
              <w:t>Nepieciešamie saistītie tiesību aktu projekti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A33" w:rsidRDefault="002170D9" w:rsidP="00C3527B">
            <w:pPr>
              <w:jc w:val="both"/>
            </w:pPr>
            <w:r>
              <w:t xml:space="preserve">Izglītības un zinātnes ministrijas padotībā esošā iestāde </w:t>
            </w:r>
            <w:r w:rsidR="00DF5640">
              <w:t xml:space="preserve">– </w:t>
            </w:r>
            <w:r>
              <w:t xml:space="preserve">Valsts izglītības satura centrs ir izstrādājis Ministru kabineta noteikumu projektu </w:t>
            </w:r>
            <w:r w:rsidR="00637DCE" w:rsidRPr="00637DCE">
              <w:rPr>
                <w:color w:val="000000"/>
              </w:rPr>
              <w:t>„Noteikumi par valsts pārbaudes darbu norises laiku 2012./</w:t>
            </w:r>
            <w:proofErr w:type="spellStart"/>
            <w:r w:rsidR="00637DCE" w:rsidRPr="00637DCE">
              <w:rPr>
                <w:color w:val="000000"/>
              </w:rPr>
              <w:t>2013.mācību</w:t>
            </w:r>
            <w:proofErr w:type="spellEnd"/>
            <w:r w:rsidR="00637DCE" w:rsidRPr="00637DCE">
              <w:rPr>
                <w:color w:val="000000"/>
              </w:rPr>
              <w:t xml:space="preserve"> gadā</w:t>
            </w:r>
            <w:r>
              <w:rPr>
                <w:color w:val="000000"/>
              </w:rPr>
              <w:t>”</w:t>
            </w:r>
            <w:r w:rsidR="00897F1A">
              <w:rPr>
                <w:color w:val="000000"/>
              </w:rPr>
              <w:t>, kuri</w:t>
            </w:r>
            <w:r w:rsidR="00F06D7F">
              <w:rPr>
                <w:color w:val="000000"/>
              </w:rPr>
              <w:t xml:space="preserve"> ir</w:t>
            </w:r>
            <w:r w:rsidR="00897F1A">
              <w:rPr>
                <w:color w:val="000000"/>
              </w:rPr>
              <w:t xml:space="preserve"> izsludināti Valsts sekretāru sanāksmē</w:t>
            </w:r>
            <w:r w:rsidR="00F06D7F">
              <w:rPr>
                <w:color w:val="000000"/>
              </w:rPr>
              <w:t xml:space="preserve"> (</w:t>
            </w:r>
            <w:proofErr w:type="spellStart"/>
            <w:r w:rsidR="00F06D7F">
              <w:rPr>
                <w:color w:val="000000"/>
              </w:rPr>
              <w:t>VSS</w:t>
            </w:r>
            <w:proofErr w:type="spellEnd"/>
            <w:r w:rsidR="00F06D7F">
              <w:rPr>
                <w:color w:val="000000"/>
              </w:rPr>
              <w:t xml:space="preserve"> </w:t>
            </w:r>
            <w:r w:rsidR="00006087">
              <w:rPr>
                <w:color w:val="000000"/>
              </w:rPr>
              <w:t>–</w:t>
            </w:r>
            <w:r w:rsidR="00F06D7F">
              <w:rPr>
                <w:color w:val="000000"/>
              </w:rPr>
              <w:t xml:space="preserve"> </w:t>
            </w:r>
            <w:r w:rsidR="00006087">
              <w:rPr>
                <w:color w:val="000000"/>
              </w:rPr>
              <w:t>1003)</w:t>
            </w:r>
            <w:r w:rsidR="0086483F">
              <w:rPr>
                <w:color w:val="000000"/>
              </w:rPr>
              <w:t>.</w:t>
            </w:r>
            <w:r w:rsidR="00897F1A">
              <w:rPr>
                <w:color w:val="000000"/>
              </w:rPr>
              <w:t xml:space="preserve"> </w:t>
            </w:r>
            <w:r w:rsidR="00637DCE" w:rsidRPr="00637DCE">
              <w:t xml:space="preserve"> </w:t>
            </w:r>
          </w:p>
          <w:p w:rsidR="00D62035" w:rsidRPr="00637DCE" w:rsidRDefault="00D62035" w:rsidP="00C3527B">
            <w:pPr>
              <w:jc w:val="both"/>
            </w:pPr>
          </w:p>
        </w:tc>
      </w:tr>
      <w:tr w:rsidR="00383A33" w:rsidRPr="00383A33" w:rsidTr="00F51E5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A33" w:rsidRPr="00383A33" w:rsidRDefault="00383A33" w:rsidP="00A82868">
            <w:r w:rsidRPr="00383A33">
              <w:t xml:space="preserve">2.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A33" w:rsidRPr="00383A33" w:rsidRDefault="00383A33" w:rsidP="00A82868">
            <w:r w:rsidRPr="00383A33">
              <w:t>Cita informācija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A33" w:rsidRDefault="00757DF8" w:rsidP="00A82868">
            <w:pPr>
              <w:jc w:val="both"/>
            </w:pPr>
            <w:r>
              <w:t>Projekts šo jomu neskar.</w:t>
            </w:r>
          </w:p>
          <w:p w:rsidR="00D62035" w:rsidRPr="00383A33" w:rsidRDefault="00D62035" w:rsidP="00A82868">
            <w:pPr>
              <w:jc w:val="both"/>
            </w:pPr>
          </w:p>
        </w:tc>
      </w:tr>
    </w:tbl>
    <w:p w:rsidR="00383A33" w:rsidRDefault="00383A33" w:rsidP="00781A2F">
      <w:pPr>
        <w:rPr>
          <w:i/>
        </w:rPr>
      </w:pPr>
    </w:p>
    <w:p w:rsidR="00383A33" w:rsidRPr="00383A33" w:rsidRDefault="00383A33" w:rsidP="00383A33">
      <w:r>
        <w:t>Anotācijas V sadaļa –</w:t>
      </w:r>
      <w:r w:rsidR="000E268B">
        <w:t xml:space="preserve"> </w:t>
      </w:r>
      <w:r>
        <w:t>projekts šo jomu neskar.</w:t>
      </w:r>
    </w:p>
    <w:p w:rsidR="00383A33" w:rsidRDefault="00383A33" w:rsidP="00781A2F">
      <w:pPr>
        <w:rPr>
          <w:i/>
        </w:rPr>
      </w:pPr>
    </w:p>
    <w:tbl>
      <w:tblPr>
        <w:tblW w:w="9356" w:type="dxa"/>
        <w:tblInd w:w="-34" w:type="dxa"/>
        <w:tblLayout w:type="fixed"/>
        <w:tblLook w:val="0000"/>
      </w:tblPr>
      <w:tblGrid>
        <w:gridCol w:w="426"/>
        <w:gridCol w:w="3118"/>
        <w:gridCol w:w="5812"/>
      </w:tblGrid>
      <w:tr w:rsidR="0086483F" w:rsidRPr="00383A33" w:rsidTr="001040E3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3F" w:rsidRPr="0086483F" w:rsidRDefault="0086483F" w:rsidP="0086483F">
            <w:pPr>
              <w:jc w:val="center"/>
              <w:rPr>
                <w:b/>
              </w:rPr>
            </w:pPr>
            <w:r w:rsidRPr="0086483F">
              <w:rPr>
                <w:b/>
              </w:rPr>
              <w:t>VI Sabiedrības līdzdalība un šīs līdzdalības rezultāti</w:t>
            </w:r>
          </w:p>
        </w:tc>
      </w:tr>
      <w:tr w:rsidR="0086483F" w:rsidRPr="00383A33" w:rsidTr="00ED32A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83F" w:rsidRPr="00383A33" w:rsidRDefault="0086483F" w:rsidP="00ED32A5">
            <w:r w:rsidRPr="002316BF">
              <w:rPr>
                <w:bCs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83F" w:rsidRPr="00383A33" w:rsidRDefault="0086483F" w:rsidP="00ED32A5">
            <w:r w:rsidRPr="002316BF">
              <w:t>Sabiedrības informēšana par projekta izstrādes uzsākšanu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3F" w:rsidRDefault="0086483F" w:rsidP="00142ACE">
            <w:pPr>
              <w:jc w:val="both"/>
            </w:pPr>
            <w:r w:rsidRPr="00AB4C38">
              <w:t>Sabiedrības informēšanas pasākumi – informācija sniegta novadu un republikas pilsētu izglītības speciālistiem</w:t>
            </w:r>
            <w:r>
              <w:t xml:space="preserve"> (</w:t>
            </w:r>
            <w:proofErr w:type="spellStart"/>
            <w:r>
              <w:t>2012.gada</w:t>
            </w:r>
            <w:proofErr w:type="spellEnd"/>
            <w:r>
              <w:t xml:space="preserve"> august</w:t>
            </w:r>
            <w:r w:rsidR="00142ACE">
              <w:t xml:space="preserve">ā, </w:t>
            </w:r>
            <w:r>
              <w:t>oktobrī)</w:t>
            </w:r>
            <w:r w:rsidRPr="00AB4C38">
              <w:t>.</w:t>
            </w:r>
          </w:p>
          <w:p w:rsidR="00D62035" w:rsidRPr="00383A33" w:rsidRDefault="00D62035" w:rsidP="00142ACE">
            <w:pPr>
              <w:jc w:val="both"/>
            </w:pPr>
          </w:p>
        </w:tc>
      </w:tr>
      <w:tr w:rsidR="0086483F" w:rsidRPr="00383A33" w:rsidTr="00ED32A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83F" w:rsidRPr="002316BF" w:rsidRDefault="0086483F" w:rsidP="00ED32A5">
            <w:pPr>
              <w:rPr>
                <w:bCs/>
              </w:rPr>
            </w:pPr>
            <w:r w:rsidRPr="002316BF">
              <w:rPr>
                <w:bCs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83F" w:rsidRPr="002316BF" w:rsidRDefault="0086483F" w:rsidP="00ED32A5">
            <w:r w:rsidRPr="002316BF">
              <w:t>Sabiedrības līdzdalība projekta izstrādē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3F" w:rsidRDefault="0086483F" w:rsidP="00142ACE">
            <w:pPr>
              <w:jc w:val="both"/>
            </w:pPr>
            <w:r>
              <w:t xml:space="preserve">Noteikumu projekts apspriests ar Latvijas izglītības vadītāju asociāciju un Izglītības un zinātnes ministrijas darba grupās, kuras strādāja pie </w:t>
            </w:r>
            <w:r w:rsidR="00142ACE">
              <w:t xml:space="preserve">Reformu īstenošanas rīcības plāna </w:t>
            </w:r>
            <w:r>
              <w:t>vispārējā izglītīb</w:t>
            </w:r>
            <w:r w:rsidR="00142ACE">
              <w:t>ā</w:t>
            </w:r>
            <w:r>
              <w:t>. Darba grupās darbojās deleģēti pārstāvji no Latvijas izglītības darbinieku arodbiedrības, Latvijas Izglītības darbinieku arodbiedrības, Latvijas Izglītības vadītāju asociācijas, nevalstiskās organizācijas un vecāku pārstāvji.</w:t>
            </w:r>
          </w:p>
          <w:p w:rsidR="00D62035" w:rsidRPr="00AB4C38" w:rsidRDefault="00D62035" w:rsidP="00142ACE">
            <w:pPr>
              <w:jc w:val="both"/>
            </w:pPr>
          </w:p>
        </w:tc>
      </w:tr>
      <w:tr w:rsidR="0086483F" w:rsidRPr="00383A33" w:rsidTr="00ED32A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83F" w:rsidRPr="002316BF" w:rsidRDefault="0086483F" w:rsidP="00ED32A5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83F" w:rsidRPr="002316BF" w:rsidRDefault="0086483F" w:rsidP="00ED32A5">
            <w:r w:rsidRPr="002316BF">
              <w:t>Sabiedrības līdzdalības rezultāti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3F" w:rsidRPr="002316BF" w:rsidRDefault="0086483F" w:rsidP="0086483F">
            <w:pPr>
              <w:pStyle w:val="naiskr"/>
              <w:spacing w:before="0" w:after="0"/>
              <w:ind w:right="57"/>
              <w:jc w:val="both"/>
            </w:pPr>
            <w:r>
              <w:t>Atbalsta.</w:t>
            </w:r>
          </w:p>
          <w:p w:rsidR="0086483F" w:rsidRDefault="0086483F" w:rsidP="00ED32A5">
            <w:pPr>
              <w:jc w:val="both"/>
            </w:pPr>
          </w:p>
        </w:tc>
      </w:tr>
      <w:tr w:rsidR="0086483F" w:rsidRPr="00383A33" w:rsidTr="00ED32A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83F" w:rsidRDefault="0086483F" w:rsidP="00ED32A5">
            <w:pPr>
              <w:rPr>
                <w:bCs/>
              </w:rPr>
            </w:pPr>
            <w:r w:rsidRPr="002316BF">
              <w:rPr>
                <w:bCs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83F" w:rsidRPr="002316BF" w:rsidRDefault="0086483F" w:rsidP="00ED32A5">
            <w:r w:rsidRPr="002316BF">
              <w:t>Saeimas un ekspertu līdzdalība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3F" w:rsidRDefault="0086483F" w:rsidP="0086483F">
            <w:pPr>
              <w:pStyle w:val="naiskr"/>
              <w:spacing w:before="0" w:after="0"/>
              <w:ind w:right="57"/>
              <w:jc w:val="both"/>
            </w:pPr>
            <w:r>
              <w:t>Projekts šo jomu neskar.</w:t>
            </w:r>
          </w:p>
        </w:tc>
      </w:tr>
      <w:tr w:rsidR="0086483F" w:rsidRPr="00383A33" w:rsidTr="00ED32A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83F" w:rsidRPr="002316BF" w:rsidRDefault="0086483F" w:rsidP="00ED32A5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83F" w:rsidRPr="002316BF" w:rsidRDefault="0086483F" w:rsidP="0086483F">
            <w:pPr>
              <w:pStyle w:val="naiskr"/>
              <w:spacing w:before="0" w:after="0"/>
              <w:ind w:left="57" w:right="57"/>
            </w:pPr>
            <w:r w:rsidRPr="002316BF">
              <w:t>Cita informācija</w:t>
            </w:r>
          </w:p>
          <w:p w:rsidR="0086483F" w:rsidRPr="002316BF" w:rsidRDefault="0086483F" w:rsidP="00ED32A5"/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83F" w:rsidRDefault="0086483F" w:rsidP="0086483F">
            <w:pPr>
              <w:pStyle w:val="naiskr"/>
              <w:spacing w:before="0" w:after="0"/>
              <w:ind w:right="57"/>
              <w:jc w:val="both"/>
            </w:pPr>
            <w:r>
              <w:t>Projekts šo jomu neskar.</w:t>
            </w:r>
          </w:p>
        </w:tc>
      </w:tr>
    </w:tbl>
    <w:p w:rsidR="0086483F" w:rsidRPr="00383A33" w:rsidRDefault="0086483F" w:rsidP="00781A2F">
      <w:pPr>
        <w:rPr>
          <w:i/>
        </w:rPr>
      </w:pPr>
    </w:p>
    <w:tbl>
      <w:tblPr>
        <w:tblW w:w="935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8"/>
        <w:gridCol w:w="2976"/>
        <w:gridCol w:w="5812"/>
      </w:tblGrid>
      <w:tr w:rsidR="00781A2F" w:rsidRPr="00B71C06" w:rsidTr="0086483F">
        <w:tc>
          <w:tcPr>
            <w:tcW w:w="9356" w:type="dxa"/>
            <w:gridSpan w:val="3"/>
            <w:tcBorders>
              <w:top w:val="single" w:sz="4" w:space="0" w:color="auto"/>
            </w:tcBorders>
          </w:tcPr>
          <w:p w:rsidR="00781A2F" w:rsidRDefault="00781A2F" w:rsidP="000E268B">
            <w:pPr>
              <w:pStyle w:val="naisnod"/>
              <w:spacing w:before="0" w:after="0"/>
              <w:ind w:left="57" w:right="57"/>
            </w:pPr>
            <w:r w:rsidRPr="00B71C06">
              <w:t>VII</w:t>
            </w:r>
            <w:r w:rsidR="000E268B">
              <w:t xml:space="preserve"> </w:t>
            </w:r>
            <w:r w:rsidRPr="00B71C06">
              <w:t xml:space="preserve"> Tiesību akta projekta izpildes nodrošināšana un tās ietekme uz institūcijām</w:t>
            </w:r>
          </w:p>
          <w:p w:rsidR="00D62035" w:rsidRPr="00B71C06" w:rsidRDefault="00D62035" w:rsidP="000E268B">
            <w:pPr>
              <w:pStyle w:val="naisnod"/>
              <w:spacing w:before="0" w:after="0"/>
              <w:ind w:left="57" w:right="57"/>
            </w:pPr>
          </w:p>
        </w:tc>
      </w:tr>
      <w:tr w:rsidR="00781A2F" w:rsidRPr="00B71C06" w:rsidTr="0086483F">
        <w:trPr>
          <w:trHeight w:val="427"/>
        </w:trPr>
        <w:tc>
          <w:tcPr>
            <w:tcW w:w="568" w:type="dxa"/>
          </w:tcPr>
          <w:p w:rsidR="00781A2F" w:rsidRPr="00B71C06" w:rsidRDefault="00781A2F" w:rsidP="003A152E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B71C06">
              <w:rPr>
                <w:b w:val="0"/>
              </w:rPr>
              <w:t>1.</w:t>
            </w:r>
          </w:p>
        </w:tc>
        <w:tc>
          <w:tcPr>
            <w:tcW w:w="2976" w:type="dxa"/>
          </w:tcPr>
          <w:p w:rsidR="00781A2F" w:rsidRPr="00B71C06" w:rsidRDefault="00781A2F" w:rsidP="003A152E">
            <w:pPr>
              <w:pStyle w:val="naisf"/>
              <w:spacing w:before="0" w:after="0"/>
              <w:ind w:left="57" w:right="57" w:firstLine="0"/>
              <w:jc w:val="left"/>
            </w:pPr>
            <w:r w:rsidRPr="00B71C06">
              <w:t xml:space="preserve">Projekta izpildē iesaistītās institūcijas </w:t>
            </w:r>
          </w:p>
        </w:tc>
        <w:tc>
          <w:tcPr>
            <w:tcW w:w="5812" w:type="dxa"/>
          </w:tcPr>
          <w:p w:rsidR="00781A2F" w:rsidRPr="00B71C06" w:rsidRDefault="00AB4C38" w:rsidP="00AB4C38">
            <w:pPr>
              <w:pStyle w:val="naisnod"/>
              <w:spacing w:before="0" w:after="0"/>
              <w:ind w:left="57" w:right="57" w:hanging="57"/>
              <w:jc w:val="both"/>
              <w:rPr>
                <w:b w:val="0"/>
              </w:rPr>
            </w:pPr>
            <w:r>
              <w:rPr>
                <w:b w:val="0"/>
              </w:rPr>
              <w:t>Vidējās i</w:t>
            </w:r>
            <w:r w:rsidR="00E873CD">
              <w:rPr>
                <w:b w:val="0"/>
              </w:rPr>
              <w:t>zglītības iestādes.</w:t>
            </w:r>
          </w:p>
        </w:tc>
      </w:tr>
      <w:tr w:rsidR="00781A2F" w:rsidRPr="00B71C06" w:rsidTr="0086483F">
        <w:trPr>
          <w:trHeight w:val="463"/>
        </w:trPr>
        <w:tc>
          <w:tcPr>
            <w:tcW w:w="568" w:type="dxa"/>
          </w:tcPr>
          <w:p w:rsidR="00781A2F" w:rsidRPr="00B71C06" w:rsidRDefault="00781A2F" w:rsidP="003A152E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B71C06">
              <w:rPr>
                <w:b w:val="0"/>
              </w:rPr>
              <w:t>2.</w:t>
            </w:r>
          </w:p>
        </w:tc>
        <w:tc>
          <w:tcPr>
            <w:tcW w:w="2976" w:type="dxa"/>
          </w:tcPr>
          <w:p w:rsidR="00781A2F" w:rsidRPr="00B71C06" w:rsidRDefault="00781A2F" w:rsidP="003A152E">
            <w:pPr>
              <w:pStyle w:val="naisf"/>
              <w:spacing w:before="0" w:after="0"/>
              <w:ind w:left="57" w:right="57" w:firstLine="0"/>
              <w:jc w:val="left"/>
            </w:pPr>
            <w:r w:rsidRPr="00B71C06">
              <w:t xml:space="preserve">Projekta izpildes ietekme uz pārvaldes funkcijām </w:t>
            </w:r>
          </w:p>
        </w:tc>
        <w:tc>
          <w:tcPr>
            <w:tcW w:w="5812" w:type="dxa"/>
          </w:tcPr>
          <w:p w:rsidR="00781A2F" w:rsidRPr="00757DF8" w:rsidRDefault="00757DF8" w:rsidP="00F07F6C">
            <w:pPr>
              <w:pStyle w:val="naisnod"/>
              <w:spacing w:before="0" w:after="0"/>
              <w:ind w:left="57" w:right="57" w:hanging="57"/>
              <w:jc w:val="left"/>
              <w:rPr>
                <w:b w:val="0"/>
              </w:rPr>
            </w:pPr>
            <w:r w:rsidRPr="00757DF8">
              <w:rPr>
                <w:b w:val="0"/>
              </w:rPr>
              <w:t>Projekts šo jomu neskar</w:t>
            </w:r>
            <w:r>
              <w:rPr>
                <w:b w:val="0"/>
              </w:rPr>
              <w:t>.</w:t>
            </w:r>
          </w:p>
        </w:tc>
      </w:tr>
      <w:tr w:rsidR="00781A2F" w:rsidRPr="00B71C06" w:rsidTr="0086483F">
        <w:trPr>
          <w:trHeight w:val="725"/>
        </w:trPr>
        <w:tc>
          <w:tcPr>
            <w:tcW w:w="568" w:type="dxa"/>
          </w:tcPr>
          <w:p w:rsidR="00781A2F" w:rsidRPr="00B71C06" w:rsidRDefault="00781A2F" w:rsidP="003A152E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B71C06">
              <w:rPr>
                <w:b w:val="0"/>
              </w:rPr>
              <w:t>3.</w:t>
            </w:r>
          </w:p>
        </w:tc>
        <w:tc>
          <w:tcPr>
            <w:tcW w:w="2976" w:type="dxa"/>
          </w:tcPr>
          <w:p w:rsidR="00781A2F" w:rsidRPr="00B71C06" w:rsidRDefault="00781A2F" w:rsidP="003A152E">
            <w:pPr>
              <w:pStyle w:val="naisf"/>
              <w:spacing w:before="0" w:after="0"/>
              <w:ind w:left="57" w:right="57" w:firstLine="0"/>
              <w:jc w:val="left"/>
            </w:pPr>
            <w:r w:rsidRPr="00B71C06">
              <w:t>Projekta izpildes ietekme uz pārvaldes institucionālo struktūru.</w:t>
            </w:r>
          </w:p>
          <w:p w:rsidR="00781A2F" w:rsidRPr="00B71C06" w:rsidRDefault="00781A2F" w:rsidP="003A152E">
            <w:pPr>
              <w:pStyle w:val="naisf"/>
              <w:spacing w:before="0" w:after="0"/>
              <w:ind w:left="57" w:right="57" w:firstLine="0"/>
              <w:jc w:val="left"/>
            </w:pPr>
            <w:r w:rsidRPr="00B71C06">
              <w:t>Jaunu institūciju izveide</w:t>
            </w:r>
          </w:p>
        </w:tc>
        <w:tc>
          <w:tcPr>
            <w:tcW w:w="5812" w:type="dxa"/>
          </w:tcPr>
          <w:p w:rsidR="00781A2F" w:rsidRPr="00B71C06" w:rsidRDefault="00781A2F" w:rsidP="00F07F6C">
            <w:pPr>
              <w:pStyle w:val="naisnod"/>
              <w:spacing w:before="0" w:after="0"/>
              <w:ind w:right="57"/>
              <w:jc w:val="both"/>
              <w:rPr>
                <w:b w:val="0"/>
              </w:rPr>
            </w:pPr>
            <w:r w:rsidRPr="00CB3303">
              <w:rPr>
                <w:b w:val="0"/>
              </w:rPr>
              <w:t>Normatīvā akta izpilde tiks nodrošināta esošo institūciju ietvaros.</w:t>
            </w:r>
          </w:p>
        </w:tc>
      </w:tr>
      <w:tr w:rsidR="00781A2F" w:rsidRPr="00B71C06" w:rsidTr="0086483F">
        <w:trPr>
          <w:trHeight w:val="780"/>
        </w:trPr>
        <w:tc>
          <w:tcPr>
            <w:tcW w:w="568" w:type="dxa"/>
          </w:tcPr>
          <w:p w:rsidR="00781A2F" w:rsidRPr="00B71C06" w:rsidRDefault="00781A2F" w:rsidP="003A152E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B71C06">
              <w:rPr>
                <w:b w:val="0"/>
              </w:rPr>
              <w:lastRenderedPageBreak/>
              <w:t>4.</w:t>
            </w:r>
          </w:p>
        </w:tc>
        <w:tc>
          <w:tcPr>
            <w:tcW w:w="2976" w:type="dxa"/>
          </w:tcPr>
          <w:p w:rsidR="00781A2F" w:rsidRPr="00B71C06" w:rsidRDefault="00781A2F" w:rsidP="003A152E">
            <w:pPr>
              <w:pStyle w:val="naisf"/>
              <w:spacing w:before="0" w:after="0"/>
              <w:ind w:left="57" w:right="57" w:firstLine="0"/>
              <w:jc w:val="left"/>
            </w:pPr>
            <w:r w:rsidRPr="00B71C06">
              <w:t>Projekta izpildes ietekme uz pārvaldes institucionālo struktūru.</w:t>
            </w:r>
          </w:p>
          <w:p w:rsidR="00781A2F" w:rsidRPr="00B71C06" w:rsidRDefault="00781A2F" w:rsidP="003A152E">
            <w:pPr>
              <w:pStyle w:val="naisf"/>
              <w:spacing w:before="0" w:after="0"/>
              <w:ind w:left="57" w:right="57" w:firstLine="0"/>
              <w:jc w:val="left"/>
            </w:pPr>
            <w:r w:rsidRPr="00B71C06">
              <w:t>Esošu institūciju likvidācija</w:t>
            </w:r>
          </w:p>
        </w:tc>
        <w:tc>
          <w:tcPr>
            <w:tcW w:w="5812" w:type="dxa"/>
          </w:tcPr>
          <w:p w:rsidR="00781A2F" w:rsidRPr="00757DF8" w:rsidRDefault="00757DF8" w:rsidP="00F07F6C">
            <w:pPr>
              <w:pStyle w:val="naisnod"/>
              <w:spacing w:before="0" w:after="0"/>
              <w:ind w:right="57"/>
              <w:jc w:val="left"/>
              <w:rPr>
                <w:b w:val="0"/>
              </w:rPr>
            </w:pPr>
            <w:r w:rsidRPr="00757DF8">
              <w:rPr>
                <w:b w:val="0"/>
              </w:rPr>
              <w:t>Projekts šo jomu neskar</w:t>
            </w:r>
            <w:r>
              <w:rPr>
                <w:b w:val="0"/>
              </w:rPr>
              <w:t>.</w:t>
            </w:r>
          </w:p>
        </w:tc>
      </w:tr>
      <w:tr w:rsidR="00781A2F" w:rsidRPr="00B71C06" w:rsidTr="0086483F">
        <w:trPr>
          <w:trHeight w:val="703"/>
        </w:trPr>
        <w:tc>
          <w:tcPr>
            <w:tcW w:w="568" w:type="dxa"/>
          </w:tcPr>
          <w:p w:rsidR="00781A2F" w:rsidRPr="00B71C06" w:rsidRDefault="00781A2F" w:rsidP="003A152E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B71C06">
              <w:rPr>
                <w:b w:val="0"/>
              </w:rPr>
              <w:t>5.</w:t>
            </w:r>
          </w:p>
        </w:tc>
        <w:tc>
          <w:tcPr>
            <w:tcW w:w="2976" w:type="dxa"/>
          </w:tcPr>
          <w:p w:rsidR="00781A2F" w:rsidRPr="00B71C06" w:rsidRDefault="00781A2F" w:rsidP="003A152E">
            <w:pPr>
              <w:pStyle w:val="naisf"/>
              <w:spacing w:before="0" w:after="0"/>
              <w:ind w:left="57" w:right="57" w:firstLine="0"/>
              <w:jc w:val="left"/>
            </w:pPr>
            <w:r w:rsidRPr="00B71C06">
              <w:t>Projekta izpildes ietekme uz pārvaldes institucionālo struktūru.</w:t>
            </w:r>
          </w:p>
          <w:p w:rsidR="00781A2F" w:rsidRPr="00B71C06" w:rsidRDefault="00781A2F" w:rsidP="003A152E">
            <w:pPr>
              <w:pStyle w:val="naisf"/>
              <w:spacing w:before="0" w:after="0"/>
              <w:ind w:left="57" w:right="57" w:firstLine="0"/>
              <w:jc w:val="left"/>
            </w:pPr>
            <w:r w:rsidRPr="00B71C06">
              <w:t>Esošu institūciju reorganizācija</w:t>
            </w:r>
          </w:p>
        </w:tc>
        <w:tc>
          <w:tcPr>
            <w:tcW w:w="5812" w:type="dxa"/>
          </w:tcPr>
          <w:p w:rsidR="00781A2F" w:rsidRPr="00B71C06" w:rsidRDefault="00781A2F" w:rsidP="00F07F6C">
            <w:pPr>
              <w:pStyle w:val="naisnod"/>
              <w:spacing w:before="0" w:after="0"/>
              <w:ind w:left="-28" w:right="57" w:firstLine="28"/>
              <w:jc w:val="both"/>
              <w:rPr>
                <w:b w:val="0"/>
              </w:rPr>
            </w:pPr>
            <w:r w:rsidRPr="00B71C06">
              <w:rPr>
                <w:b w:val="0"/>
              </w:rPr>
              <w:t>Jaunas valsts institūcijas netiks radītas un esošo</w:t>
            </w:r>
            <w:r w:rsidR="00F07F6C">
              <w:rPr>
                <w:b w:val="0"/>
              </w:rPr>
              <w:t xml:space="preserve"> </w:t>
            </w:r>
            <w:r w:rsidRPr="00B71C06">
              <w:rPr>
                <w:b w:val="0"/>
              </w:rPr>
              <w:t>institūciju funkcijas netiks paplašinātas</w:t>
            </w:r>
            <w:r>
              <w:rPr>
                <w:b w:val="0"/>
              </w:rPr>
              <w:t>.</w:t>
            </w:r>
          </w:p>
        </w:tc>
      </w:tr>
      <w:tr w:rsidR="00781A2F" w:rsidRPr="00B71C06" w:rsidTr="0086483F">
        <w:trPr>
          <w:trHeight w:val="476"/>
        </w:trPr>
        <w:tc>
          <w:tcPr>
            <w:tcW w:w="568" w:type="dxa"/>
          </w:tcPr>
          <w:p w:rsidR="00781A2F" w:rsidRPr="00B71C06" w:rsidRDefault="00781A2F" w:rsidP="003A152E">
            <w:pPr>
              <w:pStyle w:val="naiskr"/>
              <w:spacing w:before="0" w:after="0"/>
              <w:ind w:left="57" w:right="57"/>
            </w:pPr>
            <w:r w:rsidRPr="00B71C06">
              <w:t>6.</w:t>
            </w:r>
          </w:p>
        </w:tc>
        <w:tc>
          <w:tcPr>
            <w:tcW w:w="2976" w:type="dxa"/>
          </w:tcPr>
          <w:p w:rsidR="00781A2F" w:rsidRPr="00B71C06" w:rsidRDefault="00781A2F" w:rsidP="003A152E">
            <w:pPr>
              <w:pStyle w:val="naiskr"/>
              <w:spacing w:before="0" w:after="0"/>
              <w:ind w:left="57" w:right="57"/>
            </w:pPr>
            <w:r w:rsidRPr="00B71C06">
              <w:t>Cita informācija</w:t>
            </w:r>
          </w:p>
        </w:tc>
        <w:tc>
          <w:tcPr>
            <w:tcW w:w="5812" w:type="dxa"/>
          </w:tcPr>
          <w:p w:rsidR="00781A2F" w:rsidRPr="00B71C06" w:rsidRDefault="00757DF8" w:rsidP="00F07F6C">
            <w:pPr>
              <w:pStyle w:val="naiskr"/>
              <w:spacing w:before="0" w:after="0"/>
              <w:ind w:left="57" w:right="57" w:hanging="57"/>
            </w:pPr>
            <w:r>
              <w:t>Projekts šo jomu neskar.</w:t>
            </w:r>
          </w:p>
        </w:tc>
      </w:tr>
    </w:tbl>
    <w:p w:rsidR="006A38E0" w:rsidRPr="004E2DA0" w:rsidRDefault="006A38E0" w:rsidP="00781A2F">
      <w:pPr>
        <w:pStyle w:val="naisf"/>
        <w:tabs>
          <w:tab w:val="left" w:pos="5760"/>
        </w:tabs>
        <w:spacing w:before="0" w:after="0"/>
        <w:ind w:firstLine="720"/>
      </w:pPr>
    </w:p>
    <w:p w:rsidR="00781A2F" w:rsidRPr="004E2DA0" w:rsidRDefault="00781A2F" w:rsidP="00781A2F">
      <w:pPr>
        <w:pStyle w:val="naisf"/>
        <w:tabs>
          <w:tab w:val="left" w:pos="6804"/>
        </w:tabs>
        <w:spacing w:before="0" w:after="0"/>
        <w:ind w:firstLine="720"/>
      </w:pPr>
    </w:p>
    <w:p w:rsidR="006A38E0" w:rsidRPr="004E2DA0" w:rsidRDefault="006A38E0" w:rsidP="00781A2F">
      <w:pPr>
        <w:pStyle w:val="naisf"/>
        <w:tabs>
          <w:tab w:val="left" w:pos="6804"/>
        </w:tabs>
        <w:spacing w:before="0" w:after="0"/>
        <w:ind w:firstLine="720"/>
      </w:pPr>
    </w:p>
    <w:p w:rsidR="00781A2F" w:rsidRPr="005B5B53" w:rsidRDefault="006A38E0" w:rsidP="00D97D68">
      <w:pPr>
        <w:pStyle w:val="naisf"/>
        <w:spacing w:before="0" w:after="0"/>
        <w:ind w:firstLine="720"/>
      </w:pPr>
      <w:r>
        <w:t>Izglītības un zinātnes ministrs</w:t>
      </w:r>
      <w:r w:rsidR="00781A2F" w:rsidRPr="005B5B53">
        <w:t xml:space="preserve">  </w:t>
      </w:r>
      <w:r w:rsidR="00781A2F" w:rsidRPr="005B5B53">
        <w:tab/>
      </w:r>
      <w:r w:rsidR="00781A2F" w:rsidRPr="005B5B53">
        <w:tab/>
      </w:r>
      <w:r w:rsidR="00781A2F" w:rsidRPr="005B5B53">
        <w:tab/>
      </w:r>
      <w:r w:rsidR="00732000">
        <w:tab/>
      </w:r>
      <w:r w:rsidR="00781A2F" w:rsidRPr="005B5B53">
        <w:tab/>
        <w:t xml:space="preserve"> </w:t>
      </w:r>
      <w:r w:rsidR="003E4268">
        <w:t>R.Ķīlis</w:t>
      </w:r>
    </w:p>
    <w:p w:rsidR="00781A2F" w:rsidRPr="005B5B53" w:rsidRDefault="00781A2F" w:rsidP="00781A2F"/>
    <w:p w:rsidR="00781A2F" w:rsidRPr="005B5B53" w:rsidRDefault="00781A2F" w:rsidP="00781A2F"/>
    <w:p w:rsidR="00732000" w:rsidRPr="00732000" w:rsidRDefault="00732000" w:rsidP="00732000">
      <w:pPr>
        <w:ind w:firstLine="720"/>
        <w:rPr>
          <w:bCs/>
          <w:kern w:val="1"/>
        </w:rPr>
      </w:pPr>
      <w:r w:rsidRPr="00732000">
        <w:t xml:space="preserve">Vizē: </w:t>
      </w:r>
    </w:p>
    <w:p w:rsidR="00732000" w:rsidRPr="00732000" w:rsidRDefault="00732000" w:rsidP="00732000">
      <w:pPr>
        <w:ind w:left="426" w:firstLine="294"/>
        <w:rPr>
          <w:bCs/>
          <w:kern w:val="1"/>
        </w:rPr>
      </w:pPr>
      <w:bookmarkStart w:id="4" w:name="str06"/>
      <w:bookmarkEnd w:id="4"/>
      <w:r w:rsidRPr="00732000">
        <w:rPr>
          <w:bCs/>
          <w:kern w:val="1"/>
        </w:rPr>
        <w:t xml:space="preserve">Valsts sekretāra vietniece – </w:t>
      </w:r>
    </w:p>
    <w:p w:rsidR="00732000" w:rsidRPr="00732000" w:rsidRDefault="007215DB" w:rsidP="00732000">
      <w:pPr>
        <w:ind w:left="426" w:firstLine="294"/>
      </w:pPr>
      <w:r>
        <w:rPr>
          <w:bCs/>
          <w:kern w:val="1"/>
        </w:rPr>
        <w:t>Izglītības departamenta direktore</w:t>
      </w:r>
      <w:r w:rsidR="00732000" w:rsidRPr="00732000">
        <w:t>,</w:t>
      </w:r>
    </w:p>
    <w:p w:rsidR="00732000" w:rsidRPr="00732000" w:rsidRDefault="00732000" w:rsidP="00732000">
      <w:pPr>
        <w:ind w:firstLine="720"/>
      </w:pPr>
      <w:r w:rsidRPr="00732000">
        <w:t xml:space="preserve">valsts sekretāra pienākumu izpildītāja </w:t>
      </w:r>
      <w:r w:rsidRPr="00732000">
        <w:tab/>
      </w:r>
      <w:r w:rsidRPr="00732000">
        <w:tab/>
      </w:r>
      <w:r w:rsidRPr="00732000">
        <w:tab/>
      </w:r>
      <w:r w:rsidRPr="00732000">
        <w:tab/>
      </w:r>
      <w:r w:rsidRPr="00732000">
        <w:tab/>
      </w:r>
      <w:proofErr w:type="spellStart"/>
      <w:r w:rsidR="007215DB">
        <w:t>E.Papule</w:t>
      </w:r>
      <w:proofErr w:type="spellEnd"/>
    </w:p>
    <w:p w:rsidR="00732000" w:rsidRPr="004E2DA0" w:rsidRDefault="00732000" w:rsidP="00732000">
      <w:pPr>
        <w:ind w:firstLine="720"/>
      </w:pPr>
    </w:p>
    <w:p w:rsidR="00781A2F" w:rsidRDefault="00781A2F" w:rsidP="00781A2F"/>
    <w:p w:rsidR="00AB4C38" w:rsidRDefault="00AB4C38" w:rsidP="00781A2F"/>
    <w:p w:rsidR="00AB4C38" w:rsidRDefault="00C2227B" w:rsidP="00C2227B">
      <w:pPr>
        <w:tabs>
          <w:tab w:val="left" w:pos="6480"/>
        </w:tabs>
      </w:pPr>
      <w:r>
        <w:tab/>
      </w:r>
    </w:p>
    <w:p w:rsidR="00781A2F" w:rsidRPr="002F5107" w:rsidRDefault="00EE7F30" w:rsidP="00781A2F">
      <w:pPr>
        <w:contextualSpacing/>
        <w:rPr>
          <w:sz w:val="20"/>
          <w:szCs w:val="20"/>
        </w:rPr>
      </w:pPr>
      <w:r>
        <w:rPr>
          <w:sz w:val="20"/>
          <w:szCs w:val="20"/>
        </w:rPr>
        <w:t>09</w:t>
      </w:r>
      <w:r w:rsidR="009E06F2">
        <w:rPr>
          <w:sz w:val="20"/>
          <w:szCs w:val="20"/>
        </w:rPr>
        <w:t>.</w:t>
      </w:r>
      <w:r w:rsidR="00746C4F">
        <w:rPr>
          <w:sz w:val="20"/>
          <w:szCs w:val="20"/>
        </w:rPr>
        <w:t>1</w:t>
      </w:r>
      <w:r>
        <w:rPr>
          <w:sz w:val="20"/>
          <w:szCs w:val="20"/>
        </w:rPr>
        <w:t>1</w:t>
      </w:r>
      <w:r w:rsidR="009E06F2">
        <w:rPr>
          <w:sz w:val="20"/>
          <w:szCs w:val="20"/>
        </w:rPr>
        <w:t>.2012.</w:t>
      </w:r>
    </w:p>
    <w:p w:rsidR="00781A2F" w:rsidRPr="002F5107" w:rsidRDefault="00EE7F30" w:rsidP="00781A2F">
      <w:pPr>
        <w:contextualSpacing/>
        <w:rPr>
          <w:sz w:val="20"/>
          <w:szCs w:val="20"/>
        </w:rPr>
      </w:pPr>
      <w:r>
        <w:rPr>
          <w:sz w:val="20"/>
          <w:szCs w:val="20"/>
        </w:rPr>
        <w:t>109</w:t>
      </w:r>
      <w:r w:rsidR="004D3776">
        <w:rPr>
          <w:sz w:val="20"/>
          <w:szCs w:val="20"/>
        </w:rPr>
        <w:t>0</w:t>
      </w:r>
    </w:p>
    <w:p w:rsidR="00781A2F" w:rsidRPr="002F5107" w:rsidRDefault="0015043E" w:rsidP="00781A2F">
      <w:pPr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Dz.Mergupe-Kutraite</w:t>
      </w:r>
      <w:proofErr w:type="spellEnd"/>
    </w:p>
    <w:p w:rsidR="00781A2F" w:rsidRDefault="00781A2F" w:rsidP="00781A2F">
      <w:pPr>
        <w:contextualSpacing/>
        <w:rPr>
          <w:sz w:val="20"/>
          <w:szCs w:val="20"/>
        </w:rPr>
      </w:pPr>
      <w:r w:rsidRPr="002F5107">
        <w:rPr>
          <w:sz w:val="20"/>
          <w:szCs w:val="20"/>
        </w:rPr>
        <w:t>67047</w:t>
      </w:r>
      <w:r w:rsidR="0015043E">
        <w:rPr>
          <w:sz w:val="20"/>
          <w:szCs w:val="20"/>
        </w:rPr>
        <w:t>817</w:t>
      </w:r>
      <w:r w:rsidRPr="002F5107">
        <w:rPr>
          <w:sz w:val="20"/>
          <w:szCs w:val="20"/>
        </w:rPr>
        <w:t xml:space="preserve">, </w:t>
      </w:r>
      <w:proofErr w:type="spellStart"/>
      <w:r w:rsidR="0015043E">
        <w:rPr>
          <w:sz w:val="20"/>
          <w:szCs w:val="20"/>
        </w:rPr>
        <w:t>dzintra.mergupe@izm.gov.lv</w:t>
      </w:r>
      <w:proofErr w:type="spellEnd"/>
    </w:p>
    <w:p w:rsidR="00781A2F" w:rsidRPr="002F5107" w:rsidRDefault="00781A2F" w:rsidP="00781A2F">
      <w:pPr>
        <w:contextualSpacing/>
        <w:rPr>
          <w:sz w:val="20"/>
          <w:szCs w:val="20"/>
        </w:rPr>
      </w:pPr>
    </w:p>
    <w:sectPr w:rsidR="00781A2F" w:rsidRPr="002F5107" w:rsidSect="00CA3A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9C3" w:rsidRDefault="00FA19C3" w:rsidP="00781A2F">
      <w:r>
        <w:separator/>
      </w:r>
    </w:p>
  </w:endnote>
  <w:endnote w:type="continuationSeparator" w:id="0">
    <w:p w:rsidR="00FA19C3" w:rsidRDefault="00FA19C3" w:rsidP="00781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B3D" w:rsidRDefault="000A7B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000" w:rsidRPr="00781A2F" w:rsidRDefault="00732000" w:rsidP="00732000">
    <w:pPr>
      <w:jc w:val="both"/>
      <w:rPr>
        <w:b/>
        <w:sz w:val="28"/>
        <w:szCs w:val="28"/>
      </w:rPr>
    </w:pPr>
    <w:proofErr w:type="spellStart"/>
    <w:r w:rsidRPr="006B55CA">
      <w:rPr>
        <w:sz w:val="20"/>
        <w:szCs w:val="20"/>
      </w:rPr>
      <w:t>IZM</w:t>
    </w:r>
    <w:r>
      <w:rPr>
        <w:sz w:val="20"/>
        <w:szCs w:val="20"/>
      </w:rPr>
      <w:t>A</w:t>
    </w:r>
    <w:r w:rsidR="002B209F">
      <w:rPr>
        <w:sz w:val="20"/>
        <w:szCs w:val="20"/>
      </w:rPr>
      <w:t>n</w:t>
    </w:r>
    <w:r w:rsidRPr="006B55CA">
      <w:rPr>
        <w:sz w:val="20"/>
        <w:szCs w:val="20"/>
      </w:rPr>
      <w:t>ot_</w:t>
    </w:r>
    <w:r w:rsidR="000059B8">
      <w:rPr>
        <w:sz w:val="20"/>
        <w:szCs w:val="20"/>
      </w:rPr>
      <w:t>091</w:t>
    </w:r>
    <w:r w:rsidR="00B84E14">
      <w:rPr>
        <w:sz w:val="20"/>
        <w:szCs w:val="20"/>
      </w:rPr>
      <w:t>1</w:t>
    </w:r>
    <w:r>
      <w:rPr>
        <w:sz w:val="20"/>
        <w:szCs w:val="20"/>
      </w:rPr>
      <w:t>12</w:t>
    </w:r>
    <w:r w:rsidRPr="006B55CA">
      <w:rPr>
        <w:sz w:val="20"/>
        <w:szCs w:val="20"/>
      </w:rPr>
      <w:t>_</w:t>
    </w:r>
    <w:r>
      <w:rPr>
        <w:sz w:val="20"/>
        <w:szCs w:val="20"/>
      </w:rPr>
      <w:t>macgads</w:t>
    </w:r>
    <w:proofErr w:type="spellEnd"/>
    <w:r w:rsidRPr="006B55CA">
      <w:rPr>
        <w:sz w:val="20"/>
        <w:szCs w:val="20"/>
      </w:rPr>
      <w:t xml:space="preserve">; </w:t>
    </w:r>
    <w:r w:rsidRPr="00642F58">
      <w:rPr>
        <w:sz w:val="20"/>
        <w:szCs w:val="20"/>
      </w:rPr>
      <w:t>Grozījum</w:t>
    </w:r>
    <w:r w:rsidR="009D3445">
      <w:rPr>
        <w:sz w:val="20"/>
        <w:szCs w:val="20"/>
      </w:rPr>
      <w:t>s</w:t>
    </w:r>
    <w:r w:rsidRPr="00642F58">
      <w:rPr>
        <w:sz w:val="20"/>
        <w:szCs w:val="20"/>
      </w:rPr>
      <w:t xml:space="preserve"> Ministru kabineta </w:t>
    </w:r>
    <w:proofErr w:type="spellStart"/>
    <w:r w:rsidRPr="00642F58">
      <w:rPr>
        <w:sz w:val="20"/>
        <w:szCs w:val="20"/>
      </w:rPr>
      <w:t>2012.gada</w:t>
    </w:r>
    <w:proofErr w:type="spellEnd"/>
    <w:r w:rsidRPr="00642F58">
      <w:rPr>
        <w:sz w:val="20"/>
        <w:szCs w:val="20"/>
      </w:rPr>
      <w:t xml:space="preserve"> </w:t>
    </w:r>
    <w:proofErr w:type="spellStart"/>
    <w:r w:rsidRPr="00642F58">
      <w:rPr>
        <w:sz w:val="20"/>
        <w:szCs w:val="20"/>
      </w:rPr>
      <w:t>10.aprīļa</w:t>
    </w:r>
    <w:proofErr w:type="spellEnd"/>
    <w:r w:rsidRPr="00642F58">
      <w:rPr>
        <w:sz w:val="20"/>
        <w:szCs w:val="20"/>
      </w:rPr>
      <w:t xml:space="preserve"> noteikumos </w:t>
    </w:r>
    <w:proofErr w:type="spellStart"/>
    <w:r w:rsidRPr="00642F58">
      <w:rPr>
        <w:sz w:val="20"/>
        <w:szCs w:val="20"/>
      </w:rPr>
      <w:t>Nr.259</w:t>
    </w:r>
    <w:proofErr w:type="spellEnd"/>
    <w:r w:rsidRPr="00642F58">
      <w:rPr>
        <w:sz w:val="20"/>
        <w:szCs w:val="20"/>
      </w:rPr>
      <w:t xml:space="preserve"> </w:t>
    </w:r>
    <w:r w:rsidR="00AF7DF8">
      <w:rPr>
        <w:sz w:val="20"/>
        <w:szCs w:val="20"/>
      </w:rPr>
      <w:t>„</w:t>
    </w:r>
    <w:r w:rsidRPr="00642F58">
      <w:rPr>
        <w:bCs/>
        <w:sz w:val="20"/>
        <w:szCs w:val="20"/>
      </w:rPr>
      <w:t>Noteikumi par 2012./</w:t>
    </w:r>
    <w:proofErr w:type="spellStart"/>
    <w:r w:rsidRPr="00642F58">
      <w:rPr>
        <w:bCs/>
        <w:sz w:val="20"/>
        <w:szCs w:val="20"/>
      </w:rPr>
      <w:t>2013.mācību</w:t>
    </w:r>
    <w:proofErr w:type="spellEnd"/>
    <w:r w:rsidRPr="00642F58">
      <w:rPr>
        <w:bCs/>
        <w:sz w:val="20"/>
        <w:szCs w:val="20"/>
      </w:rPr>
      <w:t xml:space="preserve"> gada un mācību semestru sākuma un beigu laiku</w:t>
    </w:r>
    <w:r w:rsidR="00AF7DF8">
      <w:rPr>
        <w:bCs/>
        <w:sz w:val="20"/>
        <w:szCs w:val="20"/>
      </w:rPr>
      <w:t>”</w:t>
    </w:r>
    <w:r>
      <w:rPr>
        <w:sz w:val="20"/>
        <w:szCs w:val="20"/>
      </w:rPr>
      <w:t xml:space="preserve"> </w:t>
    </w:r>
    <w:r w:rsidRPr="00727AD8">
      <w:rPr>
        <w:sz w:val="20"/>
        <w:szCs w:val="20"/>
      </w:rPr>
      <w:t xml:space="preserve"> sākotnējās ietekmes novērtējuma ziņojums (anotācija)</w:t>
    </w:r>
  </w:p>
  <w:p w:rsidR="00781A2F" w:rsidRDefault="00781A2F" w:rsidP="006A38E0">
    <w:pPr>
      <w:pStyle w:val="Footer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E5B" w:rsidRPr="00781A2F" w:rsidRDefault="00F51E5B" w:rsidP="00F51E5B">
    <w:pPr>
      <w:jc w:val="both"/>
      <w:rPr>
        <w:b/>
        <w:sz w:val="28"/>
        <w:szCs w:val="28"/>
      </w:rPr>
    </w:pPr>
    <w:proofErr w:type="spellStart"/>
    <w:r w:rsidRPr="006B55CA">
      <w:rPr>
        <w:sz w:val="20"/>
        <w:szCs w:val="20"/>
      </w:rPr>
      <w:t>IZM</w:t>
    </w:r>
    <w:r>
      <w:rPr>
        <w:sz w:val="20"/>
        <w:szCs w:val="20"/>
      </w:rPr>
      <w:t>An</w:t>
    </w:r>
    <w:r w:rsidRPr="006B55CA">
      <w:rPr>
        <w:sz w:val="20"/>
        <w:szCs w:val="20"/>
      </w:rPr>
      <w:t>ot_</w:t>
    </w:r>
    <w:r w:rsidR="00A6678C">
      <w:rPr>
        <w:sz w:val="20"/>
        <w:szCs w:val="20"/>
      </w:rPr>
      <w:t>09</w:t>
    </w:r>
    <w:r>
      <w:rPr>
        <w:sz w:val="20"/>
        <w:szCs w:val="20"/>
      </w:rPr>
      <w:t>1112</w:t>
    </w:r>
    <w:r w:rsidRPr="006B55CA">
      <w:rPr>
        <w:sz w:val="20"/>
        <w:szCs w:val="20"/>
      </w:rPr>
      <w:t>_</w:t>
    </w:r>
    <w:r>
      <w:rPr>
        <w:sz w:val="20"/>
        <w:szCs w:val="20"/>
      </w:rPr>
      <w:t>macgads</w:t>
    </w:r>
    <w:proofErr w:type="spellEnd"/>
    <w:r w:rsidRPr="006B55CA">
      <w:rPr>
        <w:sz w:val="20"/>
        <w:szCs w:val="20"/>
      </w:rPr>
      <w:t xml:space="preserve">; </w:t>
    </w:r>
    <w:r w:rsidRPr="00642F58">
      <w:rPr>
        <w:sz w:val="20"/>
        <w:szCs w:val="20"/>
      </w:rPr>
      <w:t>Grozījum</w:t>
    </w:r>
    <w:r>
      <w:rPr>
        <w:sz w:val="20"/>
        <w:szCs w:val="20"/>
      </w:rPr>
      <w:t>s</w:t>
    </w:r>
    <w:r w:rsidRPr="00642F58">
      <w:rPr>
        <w:sz w:val="20"/>
        <w:szCs w:val="20"/>
      </w:rPr>
      <w:t xml:space="preserve"> Ministru kabineta </w:t>
    </w:r>
    <w:proofErr w:type="spellStart"/>
    <w:r w:rsidRPr="00642F58">
      <w:rPr>
        <w:sz w:val="20"/>
        <w:szCs w:val="20"/>
      </w:rPr>
      <w:t>2012.gada</w:t>
    </w:r>
    <w:proofErr w:type="spellEnd"/>
    <w:r w:rsidRPr="00642F58">
      <w:rPr>
        <w:sz w:val="20"/>
        <w:szCs w:val="20"/>
      </w:rPr>
      <w:t xml:space="preserve"> </w:t>
    </w:r>
    <w:proofErr w:type="spellStart"/>
    <w:r w:rsidRPr="00642F58">
      <w:rPr>
        <w:sz w:val="20"/>
        <w:szCs w:val="20"/>
      </w:rPr>
      <w:t>10.aprīļa</w:t>
    </w:r>
    <w:proofErr w:type="spellEnd"/>
    <w:r w:rsidRPr="00642F58">
      <w:rPr>
        <w:sz w:val="20"/>
        <w:szCs w:val="20"/>
      </w:rPr>
      <w:t xml:space="preserve"> noteikumos </w:t>
    </w:r>
    <w:proofErr w:type="spellStart"/>
    <w:r w:rsidRPr="00642F58">
      <w:rPr>
        <w:sz w:val="20"/>
        <w:szCs w:val="20"/>
      </w:rPr>
      <w:t>Nr.259</w:t>
    </w:r>
    <w:proofErr w:type="spellEnd"/>
    <w:r w:rsidRPr="00642F58">
      <w:rPr>
        <w:sz w:val="20"/>
        <w:szCs w:val="20"/>
      </w:rPr>
      <w:t xml:space="preserve"> </w:t>
    </w:r>
    <w:r w:rsidR="00AF7DF8">
      <w:rPr>
        <w:sz w:val="20"/>
        <w:szCs w:val="20"/>
      </w:rPr>
      <w:t>„</w:t>
    </w:r>
    <w:r w:rsidRPr="00642F58">
      <w:rPr>
        <w:bCs/>
        <w:sz w:val="20"/>
        <w:szCs w:val="20"/>
      </w:rPr>
      <w:t>Noteikumi par 2012./</w:t>
    </w:r>
    <w:proofErr w:type="spellStart"/>
    <w:r w:rsidRPr="00642F58">
      <w:rPr>
        <w:bCs/>
        <w:sz w:val="20"/>
        <w:szCs w:val="20"/>
      </w:rPr>
      <w:t>2013.mācību</w:t>
    </w:r>
    <w:proofErr w:type="spellEnd"/>
    <w:r w:rsidRPr="00642F58">
      <w:rPr>
        <w:bCs/>
        <w:sz w:val="20"/>
        <w:szCs w:val="20"/>
      </w:rPr>
      <w:t xml:space="preserve"> gada un mācību semestru sākuma un beigu laiku</w:t>
    </w:r>
    <w:r w:rsidR="00AF7DF8">
      <w:rPr>
        <w:bCs/>
        <w:sz w:val="20"/>
        <w:szCs w:val="20"/>
      </w:rPr>
      <w:t>”</w:t>
    </w:r>
    <w:r w:rsidRPr="00727AD8">
      <w:rPr>
        <w:sz w:val="20"/>
        <w:szCs w:val="20"/>
      </w:rPr>
      <w:t xml:space="preserve"> sākotnējās ietekmes novērtējuma ziņojums (anotācija)</w:t>
    </w:r>
  </w:p>
  <w:p w:rsidR="00781A2F" w:rsidRDefault="00781A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9C3" w:rsidRDefault="00FA19C3" w:rsidP="00781A2F">
      <w:r>
        <w:separator/>
      </w:r>
    </w:p>
  </w:footnote>
  <w:footnote w:type="continuationSeparator" w:id="0">
    <w:p w:rsidR="00FA19C3" w:rsidRDefault="00FA19C3" w:rsidP="00781A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B3D" w:rsidRDefault="000A7B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9736"/>
      <w:docPartObj>
        <w:docPartGallery w:val="Page Numbers (Top of Page)"/>
      </w:docPartObj>
    </w:sdtPr>
    <w:sdtContent>
      <w:p w:rsidR="00CF3160" w:rsidRDefault="00420725">
        <w:pPr>
          <w:pStyle w:val="Header"/>
          <w:jc w:val="center"/>
        </w:pPr>
        <w:fldSimple w:instr=" PAGE   \* MERGEFORMAT ">
          <w:r w:rsidR="00AF7DF8">
            <w:rPr>
              <w:noProof/>
            </w:rPr>
            <w:t>5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AD6" w:rsidRDefault="00CA3AD6">
    <w:pPr>
      <w:pStyle w:val="Header"/>
      <w:jc w:val="center"/>
    </w:pPr>
  </w:p>
  <w:p w:rsidR="00CA3AD6" w:rsidRDefault="00CA3A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EB6"/>
    <w:multiLevelType w:val="hybridMultilevel"/>
    <w:tmpl w:val="6F06A2A0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482CDD"/>
    <w:multiLevelType w:val="hybridMultilevel"/>
    <w:tmpl w:val="3C7E19EE"/>
    <w:lvl w:ilvl="0" w:tplc="04260005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">
    <w:nsid w:val="3DF10A1A"/>
    <w:multiLevelType w:val="hybridMultilevel"/>
    <w:tmpl w:val="4BDED3BA"/>
    <w:lvl w:ilvl="0" w:tplc="0426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435275BD"/>
    <w:multiLevelType w:val="hybridMultilevel"/>
    <w:tmpl w:val="31749342"/>
    <w:lvl w:ilvl="0" w:tplc="227E8A04">
      <w:start w:val="9"/>
      <w:numFmt w:val="bullet"/>
      <w:lvlText w:val="-"/>
      <w:lvlJc w:val="left"/>
      <w:pPr>
        <w:ind w:left="42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4">
    <w:nsid w:val="47247614"/>
    <w:multiLevelType w:val="hybridMultilevel"/>
    <w:tmpl w:val="F594B4AC"/>
    <w:lvl w:ilvl="0" w:tplc="C40234B8">
      <w:start w:val="9"/>
      <w:numFmt w:val="bullet"/>
      <w:lvlText w:val="–"/>
      <w:lvlJc w:val="left"/>
      <w:pPr>
        <w:ind w:left="42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5">
    <w:nsid w:val="53DD1FA2"/>
    <w:multiLevelType w:val="hybridMultilevel"/>
    <w:tmpl w:val="934A0EA2"/>
    <w:lvl w:ilvl="0" w:tplc="04260005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6">
    <w:nsid w:val="7A1D715A"/>
    <w:multiLevelType w:val="hybridMultilevel"/>
    <w:tmpl w:val="D098DBC0"/>
    <w:lvl w:ilvl="0" w:tplc="0426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781A2F"/>
    <w:rsid w:val="00004D92"/>
    <w:rsid w:val="000059B8"/>
    <w:rsid w:val="00006087"/>
    <w:rsid w:val="00037FB5"/>
    <w:rsid w:val="000513FD"/>
    <w:rsid w:val="000777BE"/>
    <w:rsid w:val="00085E60"/>
    <w:rsid w:val="00086ADA"/>
    <w:rsid w:val="00096639"/>
    <w:rsid w:val="000A350A"/>
    <w:rsid w:val="000A7B3D"/>
    <w:rsid w:val="000E1D5F"/>
    <w:rsid w:val="000E268B"/>
    <w:rsid w:val="000E3466"/>
    <w:rsid w:val="000E53AF"/>
    <w:rsid w:val="00104C34"/>
    <w:rsid w:val="001059CA"/>
    <w:rsid w:val="00116C9A"/>
    <w:rsid w:val="00117D25"/>
    <w:rsid w:val="00131610"/>
    <w:rsid w:val="00137762"/>
    <w:rsid w:val="001423E8"/>
    <w:rsid w:val="00142ACE"/>
    <w:rsid w:val="00143D5C"/>
    <w:rsid w:val="0015043E"/>
    <w:rsid w:val="001619B0"/>
    <w:rsid w:val="00165432"/>
    <w:rsid w:val="001657CD"/>
    <w:rsid w:val="001A6D1D"/>
    <w:rsid w:val="001D07B7"/>
    <w:rsid w:val="001D7775"/>
    <w:rsid w:val="001E170B"/>
    <w:rsid w:val="0020372B"/>
    <w:rsid w:val="00207659"/>
    <w:rsid w:val="00211D06"/>
    <w:rsid w:val="002170D9"/>
    <w:rsid w:val="00231099"/>
    <w:rsid w:val="002316BF"/>
    <w:rsid w:val="0024528E"/>
    <w:rsid w:val="00251AF4"/>
    <w:rsid w:val="00253CC8"/>
    <w:rsid w:val="00260C7C"/>
    <w:rsid w:val="00273F9C"/>
    <w:rsid w:val="002779AA"/>
    <w:rsid w:val="0029225C"/>
    <w:rsid w:val="002A4710"/>
    <w:rsid w:val="002B209F"/>
    <w:rsid w:val="002B613F"/>
    <w:rsid w:val="002D6D4C"/>
    <w:rsid w:val="002D7827"/>
    <w:rsid w:val="002E5FC5"/>
    <w:rsid w:val="002F599D"/>
    <w:rsid w:val="00310763"/>
    <w:rsid w:val="00311A32"/>
    <w:rsid w:val="00327C97"/>
    <w:rsid w:val="00327CC6"/>
    <w:rsid w:val="00350181"/>
    <w:rsid w:val="00353586"/>
    <w:rsid w:val="003600BB"/>
    <w:rsid w:val="00383A33"/>
    <w:rsid w:val="00383AAA"/>
    <w:rsid w:val="00385D99"/>
    <w:rsid w:val="003872F4"/>
    <w:rsid w:val="00390642"/>
    <w:rsid w:val="00396C93"/>
    <w:rsid w:val="003A57A9"/>
    <w:rsid w:val="003B7045"/>
    <w:rsid w:val="003D4E98"/>
    <w:rsid w:val="003D7DB2"/>
    <w:rsid w:val="003E37CA"/>
    <w:rsid w:val="003E4268"/>
    <w:rsid w:val="00401C0C"/>
    <w:rsid w:val="0041204A"/>
    <w:rsid w:val="00414806"/>
    <w:rsid w:val="00420725"/>
    <w:rsid w:val="004251A9"/>
    <w:rsid w:val="00434A72"/>
    <w:rsid w:val="00441189"/>
    <w:rsid w:val="004462A9"/>
    <w:rsid w:val="00455BAD"/>
    <w:rsid w:val="00455CCE"/>
    <w:rsid w:val="004A0A9A"/>
    <w:rsid w:val="004A3F26"/>
    <w:rsid w:val="004A6120"/>
    <w:rsid w:val="004D2DCA"/>
    <w:rsid w:val="004D3776"/>
    <w:rsid w:val="004E2DA0"/>
    <w:rsid w:val="004E40BE"/>
    <w:rsid w:val="004F6C1A"/>
    <w:rsid w:val="00500B31"/>
    <w:rsid w:val="005020DD"/>
    <w:rsid w:val="0050215B"/>
    <w:rsid w:val="00525BB2"/>
    <w:rsid w:val="00545FEB"/>
    <w:rsid w:val="00567DD9"/>
    <w:rsid w:val="00571724"/>
    <w:rsid w:val="00581B8D"/>
    <w:rsid w:val="00587FAB"/>
    <w:rsid w:val="005917ED"/>
    <w:rsid w:val="0059218D"/>
    <w:rsid w:val="005A08A3"/>
    <w:rsid w:val="005D473C"/>
    <w:rsid w:val="005D6C27"/>
    <w:rsid w:val="0060547F"/>
    <w:rsid w:val="006207B2"/>
    <w:rsid w:val="006263F0"/>
    <w:rsid w:val="00635CFC"/>
    <w:rsid w:val="00636F17"/>
    <w:rsid w:val="00637DCE"/>
    <w:rsid w:val="0064213F"/>
    <w:rsid w:val="006550C1"/>
    <w:rsid w:val="0066102E"/>
    <w:rsid w:val="00664D0D"/>
    <w:rsid w:val="00666776"/>
    <w:rsid w:val="0069667A"/>
    <w:rsid w:val="006A1FA6"/>
    <w:rsid w:val="006A38E0"/>
    <w:rsid w:val="006A7CD1"/>
    <w:rsid w:val="006B24FE"/>
    <w:rsid w:val="006E1338"/>
    <w:rsid w:val="006E2E8E"/>
    <w:rsid w:val="007215DB"/>
    <w:rsid w:val="00723DFD"/>
    <w:rsid w:val="007264F1"/>
    <w:rsid w:val="0073151C"/>
    <w:rsid w:val="00732000"/>
    <w:rsid w:val="0074152C"/>
    <w:rsid w:val="00746C4F"/>
    <w:rsid w:val="00757DF8"/>
    <w:rsid w:val="00770185"/>
    <w:rsid w:val="00781A2F"/>
    <w:rsid w:val="007843AF"/>
    <w:rsid w:val="00784FA2"/>
    <w:rsid w:val="007E3625"/>
    <w:rsid w:val="007F468D"/>
    <w:rsid w:val="0081577A"/>
    <w:rsid w:val="008177AD"/>
    <w:rsid w:val="00850627"/>
    <w:rsid w:val="00863928"/>
    <w:rsid w:val="0086483F"/>
    <w:rsid w:val="00870B39"/>
    <w:rsid w:val="00875578"/>
    <w:rsid w:val="008960E9"/>
    <w:rsid w:val="00897F1A"/>
    <w:rsid w:val="008A3D2D"/>
    <w:rsid w:val="008A50CF"/>
    <w:rsid w:val="008A7479"/>
    <w:rsid w:val="008B12ED"/>
    <w:rsid w:val="008B1F5D"/>
    <w:rsid w:val="008B21E8"/>
    <w:rsid w:val="008C25F8"/>
    <w:rsid w:val="008D29E4"/>
    <w:rsid w:val="008D62C0"/>
    <w:rsid w:val="008F023D"/>
    <w:rsid w:val="00903075"/>
    <w:rsid w:val="00916B76"/>
    <w:rsid w:val="00917A41"/>
    <w:rsid w:val="00934616"/>
    <w:rsid w:val="00935759"/>
    <w:rsid w:val="009516CF"/>
    <w:rsid w:val="00971D36"/>
    <w:rsid w:val="00972016"/>
    <w:rsid w:val="009A3F94"/>
    <w:rsid w:val="009D3445"/>
    <w:rsid w:val="009D5193"/>
    <w:rsid w:val="009E06F2"/>
    <w:rsid w:val="009F40FB"/>
    <w:rsid w:val="00A03383"/>
    <w:rsid w:val="00A0486B"/>
    <w:rsid w:val="00A143A5"/>
    <w:rsid w:val="00A36675"/>
    <w:rsid w:val="00A46581"/>
    <w:rsid w:val="00A5184C"/>
    <w:rsid w:val="00A6678C"/>
    <w:rsid w:val="00AA44A0"/>
    <w:rsid w:val="00AA5AD6"/>
    <w:rsid w:val="00AB4C38"/>
    <w:rsid w:val="00AC3FCF"/>
    <w:rsid w:val="00AC731C"/>
    <w:rsid w:val="00AD1822"/>
    <w:rsid w:val="00AF4A8C"/>
    <w:rsid w:val="00AF7DF8"/>
    <w:rsid w:val="00B0159C"/>
    <w:rsid w:val="00B062BB"/>
    <w:rsid w:val="00B07E57"/>
    <w:rsid w:val="00B15F09"/>
    <w:rsid w:val="00B34D23"/>
    <w:rsid w:val="00B64AA0"/>
    <w:rsid w:val="00B73065"/>
    <w:rsid w:val="00B74D8D"/>
    <w:rsid w:val="00B840A3"/>
    <w:rsid w:val="00B84E14"/>
    <w:rsid w:val="00B913AC"/>
    <w:rsid w:val="00B97AF0"/>
    <w:rsid w:val="00B97B64"/>
    <w:rsid w:val="00BA3D69"/>
    <w:rsid w:val="00BA601E"/>
    <w:rsid w:val="00BC1688"/>
    <w:rsid w:val="00BE0710"/>
    <w:rsid w:val="00BE13CE"/>
    <w:rsid w:val="00BE2F11"/>
    <w:rsid w:val="00BE3A66"/>
    <w:rsid w:val="00BF07CB"/>
    <w:rsid w:val="00BF5500"/>
    <w:rsid w:val="00C13714"/>
    <w:rsid w:val="00C213B9"/>
    <w:rsid w:val="00C2227B"/>
    <w:rsid w:val="00C23BC8"/>
    <w:rsid w:val="00C24BD8"/>
    <w:rsid w:val="00C33965"/>
    <w:rsid w:val="00C3527B"/>
    <w:rsid w:val="00C357CF"/>
    <w:rsid w:val="00C475D7"/>
    <w:rsid w:val="00C56504"/>
    <w:rsid w:val="00C912C2"/>
    <w:rsid w:val="00C9490F"/>
    <w:rsid w:val="00CA3AD6"/>
    <w:rsid w:val="00CA6805"/>
    <w:rsid w:val="00CD76F6"/>
    <w:rsid w:val="00CF3160"/>
    <w:rsid w:val="00CF6EBE"/>
    <w:rsid w:val="00D04E1C"/>
    <w:rsid w:val="00D117A3"/>
    <w:rsid w:val="00D209DF"/>
    <w:rsid w:val="00D217E6"/>
    <w:rsid w:val="00D57612"/>
    <w:rsid w:val="00D62035"/>
    <w:rsid w:val="00D76AE0"/>
    <w:rsid w:val="00D7755E"/>
    <w:rsid w:val="00D93236"/>
    <w:rsid w:val="00D97D4A"/>
    <w:rsid w:val="00D97D68"/>
    <w:rsid w:val="00DA1504"/>
    <w:rsid w:val="00DA6598"/>
    <w:rsid w:val="00DC0CB8"/>
    <w:rsid w:val="00DC5F54"/>
    <w:rsid w:val="00DF3572"/>
    <w:rsid w:val="00DF4222"/>
    <w:rsid w:val="00DF5640"/>
    <w:rsid w:val="00E25CF9"/>
    <w:rsid w:val="00E4682D"/>
    <w:rsid w:val="00E752FE"/>
    <w:rsid w:val="00E873CD"/>
    <w:rsid w:val="00E92582"/>
    <w:rsid w:val="00E96193"/>
    <w:rsid w:val="00EA14DF"/>
    <w:rsid w:val="00EA2ACA"/>
    <w:rsid w:val="00EB0101"/>
    <w:rsid w:val="00EB0C49"/>
    <w:rsid w:val="00EE5CE8"/>
    <w:rsid w:val="00EE7F30"/>
    <w:rsid w:val="00F06D7F"/>
    <w:rsid w:val="00F07F6C"/>
    <w:rsid w:val="00F22DF3"/>
    <w:rsid w:val="00F23BF9"/>
    <w:rsid w:val="00F23DD7"/>
    <w:rsid w:val="00F31284"/>
    <w:rsid w:val="00F3128A"/>
    <w:rsid w:val="00F513B6"/>
    <w:rsid w:val="00F51E5B"/>
    <w:rsid w:val="00F6772B"/>
    <w:rsid w:val="00F70FF6"/>
    <w:rsid w:val="00F739BD"/>
    <w:rsid w:val="00F812E4"/>
    <w:rsid w:val="00F82BA1"/>
    <w:rsid w:val="00FA19C3"/>
    <w:rsid w:val="00FB234B"/>
    <w:rsid w:val="00FB3B16"/>
    <w:rsid w:val="00FB714B"/>
    <w:rsid w:val="00FB77FE"/>
    <w:rsid w:val="00FC3806"/>
    <w:rsid w:val="00FD1EE7"/>
    <w:rsid w:val="00FD311D"/>
    <w:rsid w:val="00FE081A"/>
    <w:rsid w:val="00FF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A2F"/>
    <w:pPr>
      <w:spacing w:after="0" w:line="240" w:lineRule="auto"/>
      <w:ind w:firstLine="0"/>
    </w:pPr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781A2F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781A2F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781A2F"/>
    <w:pPr>
      <w:spacing w:before="75" w:after="75"/>
    </w:pPr>
  </w:style>
  <w:style w:type="paragraph" w:styleId="FootnoteText">
    <w:name w:val="footnote text"/>
    <w:basedOn w:val="Normal"/>
    <w:link w:val="FootnoteTextChar"/>
    <w:semiHidden/>
    <w:rsid w:val="00781A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81A2F"/>
    <w:rPr>
      <w:rFonts w:eastAsia="Times New Roman" w:cs="Times New Roman"/>
      <w:sz w:val="20"/>
      <w:szCs w:val="20"/>
      <w:lang w:eastAsia="lv-LV"/>
    </w:rPr>
  </w:style>
  <w:style w:type="paragraph" w:styleId="NormalWeb">
    <w:name w:val="Normal (Web)"/>
    <w:basedOn w:val="Normal"/>
    <w:uiPriority w:val="99"/>
    <w:rsid w:val="00781A2F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781A2F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781A2F"/>
    <w:rPr>
      <w:rFonts w:ascii="Calibri" w:eastAsia="Times New Roman" w:hAnsi="Calibri" w:cs="Times New Roman"/>
      <w:sz w:val="22"/>
      <w:lang w:eastAsia="lv-LV"/>
    </w:rPr>
  </w:style>
  <w:style w:type="paragraph" w:styleId="CommentText">
    <w:name w:val="annotation text"/>
    <w:basedOn w:val="Normal"/>
    <w:link w:val="CommentTextChar"/>
    <w:uiPriority w:val="99"/>
    <w:unhideWhenUsed/>
    <w:rsid w:val="00781A2F"/>
    <w:pPr>
      <w:spacing w:after="200" w:line="276" w:lineRule="auto"/>
      <w:ind w:firstLine="720"/>
    </w:pPr>
    <w:rPr>
      <w:rFonts w:eastAsia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1A2F"/>
    <w:rPr>
      <w:rFonts w:eastAsia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81A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A2F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81A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A2F"/>
    <w:rPr>
      <w:rFonts w:eastAsia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7843AF"/>
    <w:pPr>
      <w:spacing w:after="0" w:line="240" w:lineRule="auto"/>
      <w:ind w:firstLine="0"/>
    </w:pPr>
    <w:rPr>
      <w:rFonts w:eastAsia="Times New Roman" w:cs="Times New Roman"/>
      <w:sz w:val="24"/>
      <w:szCs w:val="24"/>
      <w:lang w:eastAsia="lv-LV"/>
    </w:rPr>
  </w:style>
  <w:style w:type="character" w:styleId="Strong">
    <w:name w:val="Strong"/>
    <w:qFormat/>
    <w:rsid w:val="00F51E5B"/>
    <w:rPr>
      <w:b/>
      <w:bCs/>
    </w:rPr>
  </w:style>
  <w:style w:type="paragraph" w:styleId="ListParagraph">
    <w:name w:val="List Paragraph"/>
    <w:basedOn w:val="Normal"/>
    <w:uiPriority w:val="34"/>
    <w:qFormat/>
    <w:rsid w:val="007264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39125-894D-4780-99AF-A923D55E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5775</Words>
  <Characters>3292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2012. gada 10.aprīļa noteikumos Nr.259 "Noteikumi par 2012./2013.mācību gada un mācību semestru sākuma un beigu laiku"  </vt:lpstr>
    </vt:vector>
  </TitlesOfParts>
  <Company> </Company>
  <LinksUpToDate>false</LinksUpToDate>
  <CharactersWithSpaces>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2012. gada 10.aprīļa noteikumos Nr.259 "Noteikumi par 2012./2013.mācību gada un mācību semestru sākuma un beigu laiku"  </dc:title>
  <dc:subject>Anotācija</dc:subject>
  <dc:creator>Dzintra Mergupe-Kutraite</dc:creator>
  <cp:keywords/>
  <dc:description>Dzintra Mergupe-Kutraite
dzintra.mergupe@izm.gov.lvm ; 67047817</dc:description>
  <cp:lastModifiedBy>dmergupe</cp:lastModifiedBy>
  <cp:revision>13</cp:revision>
  <cp:lastPrinted>2012-11-12T10:15:00Z</cp:lastPrinted>
  <dcterms:created xsi:type="dcterms:W3CDTF">2012-11-09T10:09:00Z</dcterms:created>
  <dcterms:modified xsi:type="dcterms:W3CDTF">2012-11-12T12:56:00Z</dcterms:modified>
</cp:coreProperties>
</file>