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768" w:rsidRPr="00A57CF7" w:rsidRDefault="004B0768" w:rsidP="004B0768">
      <w:pPr>
        <w:jc w:val="center"/>
        <w:rPr>
          <w:b/>
          <w:sz w:val="26"/>
          <w:szCs w:val="26"/>
        </w:rPr>
      </w:pPr>
      <w:bookmarkStart w:id="0" w:name="OLE_LINK1"/>
      <w:bookmarkStart w:id="1" w:name="OLE_LINK2"/>
      <w:r w:rsidRPr="00A57CF7">
        <w:rPr>
          <w:b/>
          <w:sz w:val="26"/>
          <w:szCs w:val="26"/>
        </w:rPr>
        <w:t>Ministru kabineta noteikumu projekta</w:t>
      </w:r>
    </w:p>
    <w:p w:rsidR="004B0768" w:rsidRPr="00A57CF7" w:rsidRDefault="004B0768" w:rsidP="004B0768">
      <w:pPr>
        <w:jc w:val="center"/>
        <w:rPr>
          <w:sz w:val="26"/>
          <w:szCs w:val="26"/>
        </w:rPr>
      </w:pPr>
      <w:bookmarkStart w:id="2" w:name="OLE_LINK11"/>
      <w:bookmarkStart w:id="3" w:name="OLE_LINK12"/>
      <w:bookmarkStart w:id="4" w:name="OLE_LINK3"/>
      <w:bookmarkStart w:id="5" w:name="OLE_LINK4"/>
      <w:bookmarkStart w:id="6" w:name="OLE_LINK7"/>
      <w:bookmarkStart w:id="7" w:name="OLE_LINK8"/>
      <w:bookmarkEnd w:id="0"/>
      <w:bookmarkEnd w:id="1"/>
      <w:r w:rsidRPr="00A57CF7">
        <w:rPr>
          <w:b/>
          <w:bCs/>
          <w:sz w:val="26"/>
          <w:szCs w:val="26"/>
        </w:rPr>
        <w:t>„</w:t>
      </w:r>
      <w:r w:rsidR="004D2894" w:rsidRPr="00A57CF7">
        <w:rPr>
          <w:b/>
          <w:bCs/>
          <w:sz w:val="26"/>
          <w:szCs w:val="26"/>
        </w:rPr>
        <w:t>Grozījumi Ministru kabineta 201</w:t>
      </w:r>
      <w:r w:rsidR="00FA2BA3">
        <w:rPr>
          <w:b/>
          <w:bCs/>
          <w:sz w:val="26"/>
          <w:szCs w:val="26"/>
        </w:rPr>
        <w:t>1</w:t>
      </w:r>
      <w:r w:rsidR="004D2894" w:rsidRPr="00A57CF7">
        <w:rPr>
          <w:b/>
          <w:bCs/>
          <w:sz w:val="26"/>
          <w:szCs w:val="26"/>
        </w:rPr>
        <w:t xml:space="preserve">.gada </w:t>
      </w:r>
      <w:r w:rsidR="00FA2BA3">
        <w:rPr>
          <w:b/>
          <w:bCs/>
          <w:sz w:val="26"/>
          <w:szCs w:val="26"/>
        </w:rPr>
        <w:t>27.decembra</w:t>
      </w:r>
      <w:r w:rsidR="004D2894" w:rsidRPr="00A57CF7">
        <w:rPr>
          <w:b/>
          <w:bCs/>
          <w:sz w:val="26"/>
          <w:szCs w:val="26"/>
        </w:rPr>
        <w:t xml:space="preserve"> noteikumos Nr.</w:t>
      </w:r>
      <w:r w:rsidR="00FA2BA3">
        <w:rPr>
          <w:b/>
          <w:bCs/>
          <w:sz w:val="26"/>
          <w:szCs w:val="26"/>
        </w:rPr>
        <w:t>1036</w:t>
      </w:r>
      <w:r w:rsidR="004D2894" w:rsidRPr="00A57CF7">
        <w:rPr>
          <w:b/>
          <w:bCs/>
          <w:sz w:val="26"/>
          <w:szCs w:val="26"/>
        </w:rPr>
        <w:t xml:space="preserve"> „</w:t>
      </w:r>
      <w:r w:rsidR="00FA2BA3" w:rsidRPr="00FA2BA3">
        <w:rPr>
          <w:b/>
          <w:bCs/>
          <w:sz w:val="26"/>
          <w:szCs w:val="26"/>
        </w:rPr>
        <w:t>Kārtība, kādā valsts finansē profesionālās ievirzes sporta izglītības programmas</w:t>
      </w:r>
      <w:bookmarkEnd w:id="2"/>
      <w:bookmarkEnd w:id="3"/>
      <w:r w:rsidR="004D2894" w:rsidRPr="00A57CF7">
        <w:rPr>
          <w:b/>
          <w:bCs/>
          <w:sz w:val="26"/>
          <w:szCs w:val="26"/>
        </w:rPr>
        <w:t>”</w:t>
      </w:r>
      <w:r w:rsidRPr="00A57CF7">
        <w:rPr>
          <w:b/>
          <w:bCs/>
          <w:sz w:val="26"/>
          <w:szCs w:val="26"/>
        </w:rPr>
        <w:t>”</w:t>
      </w:r>
      <w:bookmarkEnd w:id="4"/>
      <w:bookmarkEnd w:id="5"/>
      <w:r w:rsidRPr="00A57CF7">
        <w:rPr>
          <w:b/>
          <w:bCs/>
          <w:sz w:val="26"/>
          <w:szCs w:val="26"/>
        </w:rPr>
        <w:t xml:space="preserve"> </w:t>
      </w:r>
      <w:bookmarkEnd w:id="6"/>
      <w:bookmarkEnd w:id="7"/>
      <w:r w:rsidRPr="00A57CF7">
        <w:rPr>
          <w:b/>
          <w:sz w:val="26"/>
          <w:szCs w:val="26"/>
        </w:rPr>
        <w:t xml:space="preserve">sākotnējās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Pr="00A57CF7">
          <w:rPr>
            <w:b/>
            <w:sz w:val="26"/>
            <w:szCs w:val="26"/>
          </w:rPr>
          <w:t>ziņojums</w:t>
        </w:r>
      </w:smartTag>
      <w:r w:rsidRPr="00A57CF7">
        <w:rPr>
          <w:b/>
          <w:sz w:val="26"/>
          <w:szCs w:val="26"/>
        </w:rPr>
        <w:t xml:space="preserve"> (anotācija)</w:t>
      </w:r>
    </w:p>
    <w:tbl>
      <w:tblPr>
        <w:tblpPr w:leftFromText="180" w:rightFromText="180" w:vertAnchor="text" w:horzAnchor="margin" w:tblpXSpec="center" w:tblpY="149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99"/>
        <w:gridCol w:w="73"/>
        <w:gridCol w:w="2620"/>
        <w:gridCol w:w="758"/>
        <w:gridCol w:w="5127"/>
      </w:tblGrid>
      <w:tr w:rsidR="004B0768" w:rsidRPr="00A57CF7" w:rsidTr="000A4A7D">
        <w:tc>
          <w:tcPr>
            <w:tcW w:w="9077" w:type="dxa"/>
            <w:gridSpan w:val="5"/>
            <w:vAlign w:val="center"/>
          </w:tcPr>
          <w:p w:rsidR="004B0768" w:rsidRPr="00A57CF7" w:rsidRDefault="004B0768" w:rsidP="000A4A7D">
            <w:pPr>
              <w:pStyle w:val="naisnod"/>
              <w:spacing w:before="0" w:after="0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I. Tiesību akta projekta izstrādes nepieciešamība</w:t>
            </w:r>
          </w:p>
        </w:tc>
      </w:tr>
      <w:tr w:rsidR="004B0768" w:rsidRPr="00A57CF7" w:rsidTr="000A4A7D">
        <w:trPr>
          <w:trHeight w:val="630"/>
        </w:trPr>
        <w:tc>
          <w:tcPr>
            <w:tcW w:w="499" w:type="dxa"/>
          </w:tcPr>
          <w:p w:rsidR="004B0768" w:rsidRPr="00A57CF7" w:rsidRDefault="004B0768" w:rsidP="00493E93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1.</w:t>
            </w:r>
          </w:p>
        </w:tc>
        <w:tc>
          <w:tcPr>
            <w:tcW w:w="2693" w:type="dxa"/>
            <w:gridSpan w:val="2"/>
          </w:tcPr>
          <w:p w:rsidR="004B0768" w:rsidRPr="00A57CF7" w:rsidRDefault="004B0768" w:rsidP="000A4A7D">
            <w:pPr>
              <w:pStyle w:val="naiskr"/>
              <w:spacing w:before="0" w:after="0"/>
              <w:ind w:hanging="10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Pamatojums</w:t>
            </w:r>
          </w:p>
        </w:tc>
        <w:tc>
          <w:tcPr>
            <w:tcW w:w="5885" w:type="dxa"/>
            <w:gridSpan w:val="2"/>
          </w:tcPr>
          <w:p w:rsidR="0093083D" w:rsidRPr="00D155C3" w:rsidRDefault="003B2684" w:rsidP="00D155C3">
            <w:pPr>
              <w:pStyle w:val="naiskr"/>
              <w:spacing w:before="0" w:after="0"/>
              <w:ind w:right="142"/>
              <w:jc w:val="both"/>
              <w:rPr>
                <w:sz w:val="26"/>
                <w:szCs w:val="26"/>
              </w:rPr>
            </w:pPr>
            <w:r w:rsidRPr="00D155C3">
              <w:rPr>
                <w:sz w:val="26"/>
                <w:szCs w:val="26"/>
              </w:rPr>
              <w:t>1)</w:t>
            </w:r>
            <w:r w:rsidR="00B71A4B" w:rsidRPr="00D155C3">
              <w:rPr>
                <w:sz w:val="26"/>
                <w:szCs w:val="26"/>
              </w:rPr>
              <w:t>Izdoti saskaņā ar Izglītības likuma 14.panta 26.punktu un Profesionālās izglītības likuma  31.panta 2</w:t>
            </w:r>
            <w:r w:rsidR="00B71A4B" w:rsidRPr="00D155C3">
              <w:rPr>
                <w:sz w:val="26"/>
                <w:szCs w:val="26"/>
                <w:vertAlign w:val="superscript"/>
              </w:rPr>
              <w:t>2</w:t>
            </w:r>
            <w:r w:rsidR="00B71A4B" w:rsidRPr="00D155C3">
              <w:rPr>
                <w:sz w:val="26"/>
                <w:szCs w:val="26"/>
              </w:rPr>
              <w:t xml:space="preserve"> daļu</w:t>
            </w:r>
            <w:r w:rsidR="0093083D" w:rsidRPr="00D155C3">
              <w:rPr>
                <w:sz w:val="26"/>
                <w:szCs w:val="26"/>
              </w:rPr>
              <w:t>;</w:t>
            </w:r>
          </w:p>
          <w:p w:rsidR="00515DBC" w:rsidRPr="00D155C3" w:rsidRDefault="0093083D" w:rsidP="00D155C3">
            <w:pPr>
              <w:pStyle w:val="naiskr"/>
              <w:spacing w:before="0" w:after="0"/>
              <w:ind w:left="-5" w:right="142"/>
              <w:jc w:val="both"/>
              <w:rPr>
                <w:sz w:val="26"/>
                <w:szCs w:val="26"/>
              </w:rPr>
            </w:pPr>
            <w:r w:rsidRPr="00D155C3">
              <w:rPr>
                <w:sz w:val="26"/>
                <w:szCs w:val="26"/>
              </w:rPr>
              <w:t xml:space="preserve">2) Nepieciešamība </w:t>
            </w:r>
            <w:r w:rsidR="00D155C3">
              <w:rPr>
                <w:sz w:val="26"/>
                <w:szCs w:val="26"/>
              </w:rPr>
              <w:t>noteikt kārtību</w:t>
            </w:r>
            <w:r w:rsidR="00D155C3" w:rsidRPr="00D155C3">
              <w:rPr>
                <w:sz w:val="26"/>
                <w:szCs w:val="26"/>
              </w:rPr>
              <w:t xml:space="preserve"> kādā tiek aprēķināts un piešķirts valsts budžeta finansējums piemaksu nodrošināšanai pedagogiem, kuri  Eiropas Sociālā fonda projekta „Pedagogu konkurētspējas veicināšana izglītības sistēmas optimizācijas apstākļos” ietvaros ir ieguvuši 3., 4.un 5.kvalitātes pakāpes.</w:t>
            </w:r>
          </w:p>
        </w:tc>
      </w:tr>
      <w:tr w:rsidR="004B0768" w:rsidRPr="00A57CF7" w:rsidTr="00E15284">
        <w:trPr>
          <w:trHeight w:val="2255"/>
        </w:trPr>
        <w:tc>
          <w:tcPr>
            <w:tcW w:w="499" w:type="dxa"/>
          </w:tcPr>
          <w:p w:rsidR="004B0768" w:rsidRPr="00A57CF7" w:rsidRDefault="004B0768" w:rsidP="00493E93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2.</w:t>
            </w:r>
          </w:p>
        </w:tc>
        <w:tc>
          <w:tcPr>
            <w:tcW w:w="2693" w:type="dxa"/>
            <w:gridSpan w:val="2"/>
          </w:tcPr>
          <w:p w:rsidR="004B0768" w:rsidRPr="00A57CF7" w:rsidRDefault="004B0768" w:rsidP="000A4A7D">
            <w:pPr>
              <w:pStyle w:val="naiskr"/>
              <w:tabs>
                <w:tab w:val="left" w:pos="170"/>
              </w:tabs>
              <w:spacing w:before="0" w:after="0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Pašreizējā situācija un problēmas</w:t>
            </w:r>
          </w:p>
        </w:tc>
        <w:tc>
          <w:tcPr>
            <w:tcW w:w="5885" w:type="dxa"/>
            <w:gridSpan w:val="2"/>
          </w:tcPr>
          <w:p w:rsidR="0093083D" w:rsidRPr="00D155C3" w:rsidRDefault="006E1873" w:rsidP="0093083D">
            <w:pPr>
              <w:pStyle w:val="naiskr"/>
              <w:spacing w:before="0" w:after="0"/>
              <w:ind w:left="-5" w:righ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Saskaņā ar </w:t>
            </w:r>
            <w:r w:rsidR="00D155C3" w:rsidRPr="00D155C3">
              <w:rPr>
                <w:sz w:val="26"/>
                <w:szCs w:val="26"/>
              </w:rPr>
              <w:t>Ministru kabinet</w:t>
            </w:r>
            <w:r>
              <w:rPr>
                <w:sz w:val="26"/>
                <w:szCs w:val="26"/>
              </w:rPr>
              <w:t>a</w:t>
            </w:r>
            <w:r w:rsidR="00D155C3" w:rsidRPr="00D155C3">
              <w:rPr>
                <w:sz w:val="26"/>
                <w:szCs w:val="26"/>
              </w:rPr>
              <w:t xml:space="preserve"> 2013.gada 27.august</w:t>
            </w:r>
            <w:r w:rsidR="003E3D24">
              <w:rPr>
                <w:sz w:val="26"/>
                <w:szCs w:val="26"/>
              </w:rPr>
              <w:t>a</w:t>
            </w:r>
            <w:r w:rsidR="00D155C3" w:rsidRPr="00D155C3">
              <w:rPr>
                <w:sz w:val="26"/>
                <w:szCs w:val="26"/>
              </w:rPr>
              <w:t xml:space="preserve"> Ministru kabineta noteikumi</w:t>
            </w:r>
            <w:r>
              <w:rPr>
                <w:sz w:val="26"/>
                <w:szCs w:val="26"/>
              </w:rPr>
              <w:t>em</w:t>
            </w:r>
            <w:r w:rsidR="00D155C3" w:rsidRPr="00D155C3">
              <w:rPr>
                <w:sz w:val="26"/>
                <w:szCs w:val="26"/>
              </w:rPr>
              <w:t xml:space="preserve"> Nr.704 „Grozījumi Ministru kabineta 2009.gada 28.jūlija noteikumos Nr.836 „Pedagogu darba samaksas noteikumi””, </w:t>
            </w:r>
            <w:r w:rsidRPr="00D155C3">
              <w:rPr>
                <w:bCs/>
                <w:sz w:val="26"/>
                <w:szCs w:val="26"/>
              </w:rPr>
              <w:t xml:space="preserve"> ar 2013.gada 1.septembri </w:t>
            </w:r>
            <w:r>
              <w:rPr>
                <w:sz w:val="26"/>
                <w:szCs w:val="26"/>
              </w:rPr>
              <w:t>jā</w:t>
            </w:r>
            <w:r w:rsidR="00F90F82">
              <w:rPr>
                <w:bCs/>
                <w:sz w:val="26"/>
                <w:szCs w:val="26"/>
              </w:rPr>
              <w:t>nodrošina</w:t>
            </w:r>
            <w:r w:rsidR="00D155C3" w:rsidRPr="00D155C3">
              <w:rPr>
                <w:bCs/>
                <w:sz w:val="26"/>
                <w:szCs w:val="26"/>
              </w:rPr>
              <w:t xml:space="preserve"> piemaksas profesionālās ievirzes sporta izglītības iestāžu pedagogiem, kas Eiropas Sociālā fonda projekta „Pedagogu konkurētspējas veicināšana izglītības sistēmas optimizācijas apstākļos” ietvaros ir ieguvuši 3., 4. un 5.kvalitātes pakāpi</w:t>
            </w:r>
            <w:r>
              <w:rPr>
                <w:bCs/>
                <w:sz w:val="26"/>
                <w:szCs w:val="26"/>
              </w:rPr>
              <w:t xml:space="preserve"> (turpmāk – kvalitātes piemaksas)</w:t>
            </w:r>
            <w:r w:rsidR="00D155C3" w:rsidRPr="00D155C3">
              <w:rPr>
                <w:bCs/>
                <w:sz w:val="26"/>
                <w:szCs w:val="26"/>
              </w:rPr>
              <w:t>.</w:t>
            </w:r>
          </w:p>
          <w:p w:rsidR="00A73B9D" w:rsidRDefault="006E1873" w:rsidP="0093083D">
            <w:pPr>
              <w:ind w:right="14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Pašreizējais </w:t>
            </w:r>
            <w:r w:rsidR="00852B35" w:rsidRPr="00A57CF7">
              <w:rPr>
                <w:sz w:val="26"/>
                <w:szCs w:val="26"/>
              </w:rPr>
              <w:t>Ministru kabineta 201</w:t>
            </w:r>
            <w:r w:rsidR="0093083D">
              <w:rPr>
                <w:sz w:val="26"/>
                <w:szCs w:val="26"/>
              </w:rPr>
              <w:t>1</w:t>
            </w:r>
            <w:r w:rsidR="00852B35" w:rsidRPr="00A57CF7">
              <w:rPr>
                <w:sz w:val="26"/>
                <w:szCs w:val="26"/>
              </w:rPr>
              <w:t>.gada 2</w:t>
            </w:r>
            <w:r w:rsidR="0093083D">
              <w:rPr>
                <w:sz w:val="26"/>
                <w:szCs w:val="26"/>
              </w:rPr>
              <w:t>7.decembra</w:t>
            </w:r>
            <w:r w:rsidR="00852B35" w:rsidRPr="00A57CF7">
              <w:rPr>
                <w:sz w:val="26"/>
                <w:szCs w:val="26"/>
              </w:rPr>
              <w:t xml:space="preserve">  noteikum</w:t>
            </w:r>
            <w:r w:rsidR="00E32DBE">
              <w:rPr>
                <w:sz w:val="26"/>
                <w:szCs w:val="26"/>
              </w:rPr>
              <w:t>u</w:t>
            </w:r>
            <w:r w:rsidR="00852B35" w:rsidRPr="00A57CF7">
              <w:rPr>
                <w:sz w:val="26"/>
                <w:szCs w:val="26"/>
              </w:rPr>
              <w:t xml:space="preserve"> Nr.</w:t>
            </w:r>
            <w:r w:rsidR="0093083D">
              <w:rPr>
                <w:sz w:val="26"/>
                <w:szCs w:val="26"/>
              </w:rPr>
              <w:t xml:space="preserve">1036 </w:t>
            </w:r>
            <w:r w:rsidR="00852B35" w:rsidRPr="00A57CF7">
              <w:rPr>
                <w:sz w:val="26"/>
                <w:szCs w:val="26"/>
              </w:rPr>
              <w:t>„</w:t>
            </w:r>
            <w:r w:rsidR="0093083D" w:rsidRPr="0093083D">
              <w:rPr>
                <w:sz w:val="26"/>
                <w:szCs w:val="26"/>
              </w:rPr>
              <w:t>Kārtība, kādā valsts finansē profesionālās ievirz</w:t>
            </w:r>
            <w:r>
              <w:rPr>
                <w:sz w:val="26"/>
                <w:szCs w:val="26"/>
              </w:rPr>
              <w:t>es sporta izglītības programmas</w:t>
            </w:r>
            <w:r w:rsidR="00852B35" w:rsidRPr="00A57CF7">
              <w:rPr>
                <w:sz w:val="26"/>
                <w:szCs w:val="26"/>
              </w:rPr>
              <w:t>”</w:t>
            </w:r>
            <w:r w:rsidR="00E32DBE">
              <w:rPr>
                <w:sz w:val="26"/>
                <w:szCs w:val="26"/>
              </w:rPr>
              <w:t xml:space="preserve"> </w:t>
            </w:r>
            <w:r w:rsidR="00E32DBE" w:rsidRPr="00A57CF7">
              <w:rPr>
                <w:sz w:val="26"/>
                <w:szCs w:val="26"/>
              </w:rPr>
              <w:t>(turpmāk – Noteikumi)</w:t>
            </w:r>
            <w:r w:rsidR="00E32DBE">
              <w:rPr>
                <w:sz w:val="26"/>
                <w:szCs w:val="26"/>
              </w:rPr>
              <w:t xml:space="preserve"> i</w:t>
            </w:r>
            <w:r w:rsidRPr="006E1873">
              <w:rPr>
                <w:sz w:val="26"/>
                <w:szCs w:val="26"/>
              </w:rPr>
              <w:t xml:space="preserve">etvertais normatīvais regulējums neparedz kārtību, kādā tiek aprēķināts un piešķirts valsts budžeta finansējums </w:t>
            </w:r>
            <w:r>
              <w:rPr>
                <w:sz w:val="26"/>
                <w:szCs w:val="26"/>
              </w:rPr>
              <w:t xml:space="preserve">kvalitātes </w:t>
            </w:r>
            <w:r w:rsidRPr="006E1873">
              <w:rPr>
                <w:sz w:val="26"/>
                <w:szCs w:val="26"/>
              </w:rPr>
              <w:t>piemaksu nodrošināšanai pedagogiem</w:t>
            </w:r>
            <w:r>
              <w:rPr>
                <w:sz w:val="26"/>
                <w:szCs w:val="26"/>
              </w:rPr>
              <w:t>.</w:t>
            </w:r>
            <w:r w:rsidR="003618CB">
              <w:rPr>
                <w:sz w:val="26"/>
                <w:szCs w:val="26"/>
              </w:rPr>
              <w:t xml:space="preserve"> </w:t>
            </w:r>
            <w:r w:rsidR="00F90F82">
              <w:t xml:space="preserve"> </w:t>
            </w:r>
            <w:r w:rsidR="00F90F82" w:rsidRPr="00F90F82">
              <w:rPr>
                <w:sz w:val="26"/>
                <w:szCs w:val="26"/>
              </w:rPr>
              <w:t xml:space="preserve">Lai nodrošinātu </w:t>
            </w:r>
            <w:r w:rsidR="00F90F82">
              <w:rPr>
                <w:sz w:val="26"/>
                <w:szCs w:val="26"/>
              </w:rPr>
              <w:t xml:space="preserve">kvalitātes piemaksu aprēķināšanas </w:t>
            </w:r>
            <w:r w:rsidR="00A73B9D">
              <w:rPr>
                <w:sz w:val="26"/>
                <w:szCs w:val="26"/>
              </w:rPr>
              <w:t xml:space="preserve">un piešķiršanas kārtību izglītības iestādēm, </w:t>
            </w:r>
            <w:r w:rsidR="00A73B9D">
              <w:t xml:space="preserve"> </w:t>
            </w:r>
            <w:r w:rsidR="00A73B9D" w:rsidRPr="00A73B9D">
              <w:rPr>
                <w:sz w:val="26"/>
                <w:szCs w:val="26"/>
              </w:rPr>
              <w:t xml:space="preserve">Ministru kabineta noteikumu projekts „Grozījumi Ministru kabineta 2011.gada 27.decembra noteikumos Nr.1036 „Kārtība, kādā valsts finansē profesionālās ievirzes sporta izglītības programmas”” (turpmāk – Projekts) paredz </w:t>
            </w:r>
            <w:r w:rsidR="00A73B9D">
              <w:rPr>
                <w:sz w:val="26"/>
                <w:szCs w:val="26"/>
              </w:rPr>
              <w:t xml:space="preserve">attiecīgi </w:t>
            </w:r>
            <w:r w:rsidR="00A73B9D" w:rsidRPr="00A73B9D">
              <w:rPr>
                <w:sz w:val="26"/>
                <w:szCs w:val="26"/>
              </w:rPr>
              <w:t>papildināt Noteikumus</w:t>
            </w:r>
            <w:r w:rsidR="00A73B9D">
              <w:rPr>
                <w:sz w:val="26"/>
                <w:szCs w:val="26"/>
              </w:rPr>
              <w:t>.</w:t>
            </w:r>
          </w:p>
          <w:p w:rsidR="00F1243F" w:rsidRDefault="00F1243F" w:rsidP="00F1243F">
            <w:pPr>
              <w:ind w:right="14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Noteikumu </w:t>
            </w:r>
            <w:r w:rsidRPr="00A57CF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5.punktā noteiktajā </w:t>
            </w:r>
            <w:r w:rsidRPr="00EC06AD">
              <w:rPr>
                <w:sz w:val="26"/>
                <w:szCs w:val="26"/>
              </w:rPr>
              <w:t>dotācijas apmēr</w:t>
            </w:r>
            <w:r>
              <w:rPr>
                <w:sz w:val="26"/>
                <w:szCs w:val="26"/>
              </w:rPr>
              <w:t xml:space="preserve">a aprēķināšanas kārtībā noteikts, ka </w:t>
            </w:r>
            <w:r w:rsidRPr="00F1243F">
              <w:rPr>
                <w:sz w:val="26"/>
                <w:szCs w:val="26"/>
              </w:rPr>
              <w:t>50 % no dotācijas kopējā apmēra sadala, pamatojoties uz izglīto</w:t>
            </w:r>
            <w:r>
              <w:rPr>
                <w:sz w:val="26"/>
                <w:szCs w:val="26"/>
              </w:rPr>
              <w:t xml:space="preserve">jamo skaitu izglītības iestādē un </w:t>
            </w:r>
            <w:r w:rsidRPr="00F1243F">
              <w:rPr>
                <w:sz w:val="26"/>
                <w:szCs w:val="26"/>
              </w:rPr>
              <w:t xml:space="preserve">50 % no dotācijas kopējā apmēra sadala, pamatojoties uz programmas </w:t>
            </w:r>
            <w:r w:rsidRPr="00F1243F">
              <w:rPr>
                <w:sz w:val="26"/>
                <w:szCs w:val="26"/>
              </w:rPr>
              <w:lastRenderedPageBreak/>
              <w:t>īstenošanas kritērijiem un nosacījumiem, mācību treniņu ceturtā, piektā, sestā un septītā apmācības gada grupām, sporta meistarības pilnveidošanas pirmā, otrā un trešā apmācības gada grupām un augstākās sporta meistarības grupām.</w:t>
            </w:r>
            <w:r>
              <w:rPr>
                <w:sz w:val="26"/>
                <w:szCs w:val="26"/>
              </w:rPr>
              <w:t>, esošās kārtības nodrošināšanai nepieciešams precizēt noteikumus, norādot, ka  Noteikumu 5.punktā noteiktā kārtība tiek piemērota summai no kuras ir atskaitīta kvalitātes piemaksām nepieciešamā summa.</w:t>
            </w:r>
          </w:p>
          <w:p w:rsidR="00C645D2" w:rsidRPr="00F1243F" w:rsidRDefault="00F1243F" w:rsidP="00E32DBE">
            <w:pPr>
              <w:ind w:right="14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Šobrīd Noteikumu regulējums nosaka, ka  Ministrija, pieņemot lēmumu par dotācijas sadali izglītības iestādēm, izvērtē Ministrijā iesniegtos</w:t>
            </w:r>
            <w:r w:rsidRPr="00F1243F">
              <w:rPr>
                <w:sz w:val="26"/>
                <w:szCs w:val="26"/>
              </w:rPr>
              <w:t xml:space="preserve"> iesniegumu</w:t>
            </w:r>
            <w:r w:rsidR="00C645D2">
              <w:rPr>
                <w:sz w:val="26"/>
                <w:szCs w:val="26"/>
              </w:rPr>
              <w:t>s</w:t>
            </w:r>
            <w:r w:rsidRPr="00F1243F">
              <w:rPr>
                <w:sz w:val="26"/>
                <w:szCs w:val="26"/>
              </w:rPr>
              <w:t xml:space="preserve"> </w:t>
            </w:r>
            <w:r w:rsidR="00C645D2">
              <w:rPr>
                <w:sz w:val="26"/>
                <w:szCs w:val="26"/>
              </w:rPr>
              <w:t xml:space="preserve">un </w:t>
            </w:r>
            <w:r w:rsidR="00C645D2" w:rsidRPr="00C645D2">
              <w:rPr>
                <w:sz w:val="26"/>
                <w:szCs w:val="26"/>
              </w:rPr>
              <w:t>pievieno</w:t>
            </w:r>
            <w:r w:rsidR="00C645D2">
              <w:rPr>
                <w:sz w:val="26"/>
                <w:szCs w:val="26"/>
              </w:rPr>
              <w:t>to</w:t>
            </w:r>
            <w:r w:rsidR="00C645D2" w:rsidRPr="00C645D2">
              <w:rPr>
                <w:sz w:val="26"/>
                <w:szCs w:val="26"/>
              </w:rPr>
              <w:t xml:space="preserve"> informāciju par kritēriju un nosacījumu izpildi iepriekšējā mācību gadā attiecīgajā grupā atbilstoši šo noteikumu 3., 4. un 5.pielikumam</w:t>
            </w:r>
            <w:r w:rsidRPr="00F1243F">
              <w:rPr>
                <w:sz w:val="26"/>
                <w:szCs w:val="26"/>
              </w:rPr>
              <w:t>.</w:t>
            </w:r>
            <w:r w:rsidR="00C645D2">
              <w:rPr>
                <w:sz w:val="26"/>
                <w:szCs w:val="26"/>
              </w:rPr>
              <w:t xml:space="preserve"> Ievērojot </w:t>
            </w:r>
            <w:r w:rsidR="003E7051">
              <w:rPr>
                <w:sz w:val="26"/>
                <w:szCs w:val="26"/>
              </w:rPr>
              <w:t xml:space="preserve">to, ka  izglītības iestādei piešķiramajā dotācijas apmērā iekļautas </w:t>
            </w:r>
            <w:r w:rsidR="00C645D2">
              <w:rPr>
                <w:sz w:val="26"/>
                <w:szCs w:val="26"/>
              </w:rPr>
              <w:t>kvalitātes piemaks</w:t>
            </w:r>
            <w:r w:rsidR="003E7051">
              <w:rPr>
                <w:sz w:val="26"/>
                <w:szCs w:val="26"/>
              </w:rPr>
              <w:t xml:space="preserve">as, attiecīgi papildināms </w:t>
            </w:r>
            <w:r w:rsidR="00C645D2">
              <w:rPr>
                <w:sz w:val="26"/>
                <w:szCs w:val="26"/>
              </w:rPr>
              <w:t xml:space="preserve"> </w:t>
            </w:r>
            <w:r w:rsidR="003E7051">
              <w:rPr>
                <w:sz w:val="26"/>
                <w:szCs w:val="26"/>
              </w:rPr>
              <w:t>No</w:t>
            </w:r>
            <w:r w:rsidR="00C645D2" w:rsidRPr="00A57CF7">
              <w:rPr>
                <w:sz w:val="26"/>
                <w:szCs w:val="26"/>
              </w:rPr>
              <w:t xml:space="preserve">teikumu </w:t>
            </w:r>
            <w:r w:rsidR="003E7051">
              <w:rPr>
                <w:sz w:val="26"/>
                <w:szCs w:val="26"/>
              </w:rPr>
              <w:t>10.</w:t>
            </w:r>
            <w:r w:rsidR="00C645D2" w:rsidRPr="00A57CF7">
              <w:rPr>
                <w:sz w:val="26"/>
                <w:szCs w:val="26"/>
              </w:rPr>
              <w:t xml:space="preserve">punkts.  </w:t>
            </w:r>
          </w:p>
          <w:p w:rsidR="00F1243F" w:rsidRDefault="00F1243F" w:rsidP="00E32DBE">
            <w:pPr>
              <w:ind w:right="141"/>
              <w:jc w:val="both"/>
              <w:rPr>
                <w:sz w:val="26"/>
                <w:szCs w:val="26"/>
              </w:rPr>
            </w:pPr>
          </w:p>
          <w:p w:rsidR="00B8430A" w:rsidRDefault="00C1331B" w:rsidP="00E32DBE">
            <w:pPr>
              <w:ind w:right="14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Saeimā 2013.gada 7.novembrī pieņemtajā l</w:t>
            </w:r>
            <w:r w:rsidR="00B8430A">
              <w:rPr>
                <w:sz w:val="26"/>
                <w:szCs w:val="26"/>
              </w:rPr>
              <w:t>ikumā „Par valsts budžetu</w:t>
            </w:r>
            <w:r>
              <w:rPr>
                <w:sz w:val="26"/>
                <w:szCs w:val="26"/>
              </w:rPr>
              <w:t xml:space="preserve"> 2014.gadam</w:t>
            </w:r>
            <w:r w:rsidR="007E4F4A">
              <w:rPr>
                <w:sz w:val="26"/>
                <w:szCs w:val="26"/>
              </w:rPr>
              <w:t>”</w:t>
            </w:r>
            <w:r>
              <w:rPr>
                <w:sz w:val="26"/>
                <w:szCs w:val="26"/>
              </w:rPr>
              <w:t xml:space="preserve"> </w:t>
            </w:r>
            <w:r w:rsidR="00B8430A" w:rsidRPr="000D308F">
              <w:rPr>
                <w:sz w:val="26"/>
                <w:szCs w:val="26"/>
              </w:rPr>
              <w:t>Izglītības un zinātnes minis</w:t>
            </w:r>
            <w:r w:rsidR="00B8430A">
              <w:rPr>
                <w:sz w:val="26"/>
                <w:szCs w:val="26"/>
              </w:rPr>
              <w:t>trijas apakšprogrammā 09.19.00 „</w:t>
            </w:r>
            <w:r w:rsidR="00B8430A" w:rsidRPr="000D308F">
              <w:rPr>
                <w:sz w:val="26"/>
                <w:szCs w:val="26"/>
              </w:rPr>
              <w:t>Finansējums profesionālās ievir</w:t>
            </w:r>
            <w:r w:rsidR="00B8430A">
              <w:rPr>
                <w:sz w:val="26"/>
                <w:szCs w:val="26"/>
              </w:rPr>
              <w:t xml:space="preserve">zes sporta izglītības programmu </w:t>
            </w:r>
            <w:r w:rsidR="00B8430A" w:rsidRPr="000D308F">
              <w:rPr>
                <w:sz w:val="26"/>
                <w:szCs w:val="26"/>
              </w:rPr>
              <w:t>pedagogu darba samaksai un valsts sociālās apdrošināšanas obligātajām iemaksām</w:t>
            </w:r>
            <w:r w:rsidR="00B8430A">
              <w:rPr>
                <w:sz w:val="26"/>
                <w:szCs w:val="26"/>
              </w:rPr>
              <w:t xml:space="preserve">” ir noteikts finansējums 6’777’794 </w:t>
            </w:r>
            <w:proofErr w:type="spellStart"/>
            <w:r w:rsidR="00B8430A" w:rsidRPr="00B8430A">
              <w:rPr>
                <w:i/>
                <w:sz w:val="26"/>
                <w:szCs w:val="26"/>
              </w:rPr>
              <w:t>euro</w:t>
            </w:r>
            <w:proofErr w:type="spellEnd"/>
            <w:r w:rsidR="00B8430A">
              <w:rPr>
                <w:sz w:val="26"/>
                <w:szCs w:val="26"/>
              </w:rPr>
              <w:t xml:space="preserve"> apmērā.</w:t>
            </w:r>
          </w:p>
          <w:p w:rsidR="004C6F79" w:rsidRPr="00A73B9D" w:rsidRDefault="000D308F" w:rsidP="003E7051">
            <w:pPr>
              <w:ind w:right="141"/>
              <w:jc w:val="both"/>
              <w:rPr>
                <w:sz w:val="26"/>
                <w:szCs w:val="26"/>
              </w:rPr>
            </w:pPr>
            <w:r w:rsidRPr="00A73B9D">
              <w:rPr>
                <w:sz w:val="26"/>
                <w:szCs w:val="26"/>
              </w:rPr>
              <w:t xml:space="preserve">Ievērojot to, ka no 2014.gada 1.septembra ir paredzēta pedagogu zemākās mēneša darba algas likmes paaugstināšana, kuras nodrošināšanai </w:t>
            </w:r>
            <w:r w:rsidR="00C1331B" w:rsidRPr="00A73B9D">
              <w:rPr>
                <w:sz w:val="26"/>
                <w:szCs w:val="26"/>
              </w:rPr>
              <w:t xml:space="preserve">likumā „Par valsts budžetu 2014.gadam” </w:t>
            </w:r>
            <w:r w:rsidRPr="00A73B9D">
              <w:rPr>
                <w:sz w:val="26"/>
                <w:szCs w:val="26"/>
              </w:rPr>
              <w:t xml:space="preserve">Izglītības un zinātnes ministrijas apakšprogrammu 09.19.00 „Finansējums profesionālās ievirzes sporta izglītības programmu pedagogu darba samaksai un valsts sociālās apdrošināšanas obligātajām iemaksām”  </w:t>
            </w:r>
            <w:r w:rsidR="00C1331B" w:rsidRPr="00A73B9D">
              <w:rPr>
                <w:sz w:val="26"/>
                <w:szCs w:val="26"/>
              </w:rPr>
              <w:t xml:space="preserve">ir paredzēts finansējums </w:t>
            </w:r>
            <w:r w:rsidRPr="00A73B9D">
              <w:rPr>
                <w:sz w:val="26"/>
                <w:szCs w:val="26"/>
              </w:rPr>
              <w:t xml:space="preserve">120’318 </w:t>
            </w:r>
            <w:proofErr w:type="spellStart"/>
            <w:r w:rsidRPr="00A73B9D">
              <w:rPr>
                <w:i/>
                <w:sz w:val="26"/>
                <w:szCs w:val="26"/>
              </w:rPr>
              <w:t>euro</w:t>
            </w:r>
            <w:proofErr w:type="spellEnd"/>
            <w:r w:rsidRPr="00A73B9D">
              <w:rPr>
                <w:sz w:val="26"/>
                <w:szCs w:val="26"/>
              </w:rPr>
              <w:t xml:space="preserve"> apmērā, bet šobrīd nav normatīvā regulējuma, </w:t>
            </w:r>
            <w:r w:rsidR="00B8430A" w:rsidRPr="00A73B9D">
              <w:rPr>
                <w:sz w:val="26"/>
                <w:szCs w:val="26"/>
              </w:rPr>
              <w:t>kas</w:t>
            </w:r>
            <w:r w:rsidRPr="00A73B9D">
              <w:rPr>
                <w:sz w:val="26"/>
                <w:szCs w:val="26"/>
              </w:rPr>
              <w:t xml:space="preserve"> </w:t>
            </w:r>
            <w:r w:rsidR="00C1331B" w:rsidRPr="00A73B9D">
              <w:rPr>
                <w:sz w:val="26"/>
                <w:szCs w:val="26"/>
              </w:rPr>
              <w:t xml:space="preserve">reglamentē </w:t>
            </w:r>
            <w:r w:rsidR="00B8430A" w:rsidRPr="00A73B9D">
              <w:rPr>
                <w:sz w:val="26"/>
                <w:szCs w:val="26"/>
              </w:rPr>
              <w:t>zemākās mēneša darba algas likmes</w:t>
            </w:r>
            <w:r w:rsidR="003E7051">
              <w:rPr>
                <w:sz w:val="26"/>
                <w:szCs w:val="26"/>
              </w:rPr>
              <w:t xml:space="preserve"> apmēru, Noteikumos jāparedz m</w:t>
            </w:r>
            <w:r w:rsidR="00C1331B" w:rsidRPr="00A73B9D">
              <w:rPr>
                <w:sz w:val="26"/>
                <w:szCs w:val="26"/>
              </w:rPr>
              <w:t>inēt</w:t>
            </w:r>
            <w:r w:rsidR="003E7051">
              <w:rPr>
                <w:sz w:val="26"/>
                <w:szCs w:val="26"/>
              </w:rPr>
              <w:t>o līdzekļu</w:t>
            </w:r>
            <w:r w:rsidR="00C1331B" w:rsidRPr="00A73B9D">
              <w:rPr>
                <w:sz w:val="26"/>
                <w:szCs w:val="26"/>
              </w:rPr>
              <w:t xml:space="preserve"> </w:t>
            </w:r>
            <w:r w:rsidR="003E7051">
              <w:rPr>
                <w:sz w:val="26"/>
                <w:szCs w:val="26"/>
              </w:rPr>
              <w:t>aprēķināšanas termiņš un kārtība.</w:t>
            </w:r>
            <w:r w:rsidR="00C1331B" w:rsidRPr="00A73B9D">
              <w:rPr>
                <w:sz w:val="26"/>
                <w:szCs w:val="26"/>
              </w:rPr>
              <w:t xml:space="preserve"> </w:t>
            </w:r>
          </w:p>
        </w:tc>
      </w:tr>
      <w:tr w:rsidR="004B0768" w:rsidRPr="00A57CF7" w:rsidTr="000A4A7D">
        <w:trPr>
          <w:trHeight w:val="1071"/>
        </w:trPr>
        <w:tc>
          <w:tcPr>
            <w:tcW w:w="499" w:type="dxa"/>
          </w:tcPr>
          <w:p w:rsidR="004B0768" w:rsidRPr="00A57CF7" w:rsidRDefault="004B0768" w:rsidP="00493E93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2693" w:type="dxa"/>
            <w:gridSpan w:val="2"/>
          </w:tcPr>
          <w:p w:rsidR="004B0768" w:rsidRPr="00A57CF7" w:rsidRDefault="004B0768" w:rsidP="000A4A7D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Saistītie politikas ietekmes novērtējumi un pētījumi</w:t>
            </w:r>
          </w:p>
        </w:tc>
        <w:tc>
          <w:tcPr>
            <w:tcW w:w="5885" w:type="dxa"/>
            <w:gridSpan w:val="2"/>
          </w:tcPr>
          <w:p w:rsidR="004B0768" w:rsidRPr="00A57CF7" w:rsidRDefault="00440F5F" w:rsidP="000A4A7D">
            <w:pPr>
              <w:pStyle w:val="FootnoteText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Projekts šo jomu neskar.</w:t>
            </w:r>
          </w:p>
        </w:tc>
      </w:tr>
      <w:tr w:rsidR="004B0768" w:rsidRPr="00A57CF7" w:rsidTr="00F1243F">
        <w:trPr>
          <w:trHeight w:val="274"/>
        </w:trPr>
        <w:tc>
          <w:tcPr>
            <w:tcW w:w="499" w:type="dxa"/>
          </w:tcPr>
          <w:p w:rsidR="004B0768" w:rsidRPr="00A57CF7" w:rsidRDefault="004B0768" w:rsidP="00493E93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4.</w:t>
            </w:r>
          </w:p>
        </w:tc>
        <w:tc>
          <w:tcPr>
            <w:tcW w:w="2693" w:type="dxa"/>
            <w:gridSpan w:val="2"/>
          </w:tcPr>
          <w:p w:rsidR="004B0768" w:rsidRPr="00A57CF7" w:rsidRDefault="004B0768" w:rsidP="000A4A7D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 xml:space="preserve">Tiesiskā regulējuma </w:t>
            </w:r>
            <w:r w:rsidRPr="00A57CF7">
              <w:rPr>
                <w:sz w:val="26"/>
                <w:szCs w:val="26"/>
              </w:rPr>
              <w:lastRenderedPageBreak/>
              <w:t>mērķis un būtība</w:t>
            </w:r>
          </w:p>
        </w:tc>
        <w:tc>
          <w:tcPr>
            <w:tcW w:w="5885" w:type="dxa"/>
            <w:gridSpan w:val="2"/>
          </w:tcPr>
          <w:p w:rsidR="00A73B9D" w:rsidRDefault="00A73B9D" w:rsidP="00A73B9D">
            <w:pPr>
              <w:ind w:right="141"/>
              <w:jc w:val="both"/>
              <w:rPr>
                <w:sz w:val="26"/>
                <w:szCs w:val="26"/>
              </w:rPr>
            </w:pPr>
            <w:r w:rsidRPr="00A60D55">
              <w:rPr>
                <w:sz w:val="26"/>
                <w:szCs w:val="26"/>
              </w:rPr>
              <w:lastRenderedPageBreak/>
              <w:t xml:space="preserve">Noteikumu projekts nodrošina tiesisko regulējumu </w:t>
            </w:r>
            <w:r>
              <w:rPr>
                <w:sz w:val="26"/>
                <w:szCs w:val="26"/>
              </w:rPr>
              <w:lastRenderedPageBreak/>
              <w:t>kārtībai</w:t>
            </w:r>
            <w:r w:rsidRPr="00001F39">
              <w:rPr>
                <w:sz w:val="26"/>
                <w:szCs w:val="26"/>
              </w:rPr>
              <w:t xml:space="preserve">, kādā tiek </w:t>
            </w:r>
            <w:r>
              <w:rPr>
                <w:sz w:val="26"/>
                <w:szCs w:val="26"/>
              </w:rPr>
              <w:t xml:space="preserve">aprēķināts un </w:t>
            </w:r>
            <w:r w:rsidRPr="00001F39">
              <w:rPr>
                <w:sz w:val="26"/>
                <w:szCs w:val="26"/>
              </w:rPr>
              <w:t>sadalīts valsts budžeta finansējums piemaksu nodrošināšanai  profesionālās ievirzes</w:t>
            </w:r>
            <w:r>
              <w:rPr>
                <w:sz w:val="26"/>
                <w:szCs w:val="26"/>
              </w:rPr>
              <w:t xml:space="preserve"> sporta izglītības iestāžu </w:t>
            </w:r>
            <w:r w:rsidRPr="00001F39">
              <w:rPr>
                <w:sz w:val="26"/>
                <w:szCs w:val="26"/>
              </w:rPr>
              <w:t xml:space="preserve">pedagogiem, kuri </w:t>
            </w:r>
            <w:r w:rsidRPr="00001F39">
              <w:rPr>
                <w:bCs/>
                <w:sz w:val="26"/>
                <w:szCs w:val="26"/>
              </w:rPr>
              <w:t>Eiropas Sociālā fonda projekta „Pedagogu konkurētspējas veicināšana izglītības sistēmas optimizācijas apstākļos” ietvaros ir ieguvuši 3., 4.un 5.kvalitātes pakāpes</w:t>
            </w:r>
            <w:r>
              <w:rPr>
                <w:sz w:val="26"/>
                <w:szCs w:val="26"/>
              </w:rPr>
              <w:t xml:space="preserve">, paredzot: </w:t>
            </w:r>
          </w:p>
          <w:p w:rsidR="00A73B9D" w:rsidRDefault="00A73B9D" w:rsidP="00A73B9D">
            <w:pPr>
              <w:ind w:right="141"/>
              <w:jc w:val="both"/>
              <w:rPr>
                <w:sz w:val="26"/>
                <w:szCs w:val="26"/>
              </w:rPr>
            </w:pPr>
            <w:r w:rsidRPr="00A73B9D">
              <w:rPr>
                <w:sz w:val="26"/>
                <w:szCs w:val="26"/>
              </w:rPr>
              <w:t>(1)</w:t>
            </w:r>
            <w:r w:rsidRPr="00A73B9D">
              <w:rPr>
                <w:sz w:val="26"/>
                <w:szCs w:val="26"/>
              </w:rPr>
              <w:tab/>
              <w:t>nosakot, ka  dotācija (līdzekļi akreditētās profesionālās ievirzes sporta izglītības iestādēs (turpmāk – izglītības iestāde) īstenotajās programmās paredzētajās stundās (sporta treniņos un sporta sacensībās) nodarbināto pedagogu darba samaksai un valsts sociālās apdrošināšanas obligātajām iemaksām) ietver finansējumu pedagogu darba samaksas noteikumos noteiktajām kvalitātes piemaksām</w:t>
            </w:r>
            <w:r>
              <w:rPr>
                <w:sz w:val="26"/>
                <w:szCs w:val="26"/>
              </w:rPr>
              <w:t>;</w:t>
            </w:r>
          </w:p>
          <w:p w:rsidR="00A73B9D" w:rsidRDefault="00A73B9D" w:rsidP="00A73B9D">
            <w:pPr>
              <w:ind w:right="141"/>
              <w:jc w:val="both"/>
              <w:rPr>
                <w:sz w:val="26"/>
                <w:szCs w:val="26"/>
              </w:rPr>
            </w:pPr>
            <w:r w:rsidRPr="00A73B9D">
              <w:rPr>
                <w:sz w:val="26"/>
                <w:szCs w:val="26"/>
              </w:rPr>
              <w:t>(2)</w:t>
            </w:r>
            <w:r>
              <w:t xml:space="preserve"> </w:t>
            </w:r>
            <w:r w:rsidRPr="00A73B9D">
              <w:rPr>
                <w:sz w:val="26"/>
                <w:szCs w:val="26"/>
              </w:rPr>
              <w:t>datu par pedagogiem, kuri Eiropas Sociālā fonda projekta „Pedagogu konkurētspējas veicināšana izglītības sistēmas optimizācijas apstākļos” ietvaros ir ieguvuši 3., 4. un 5.kvalitātes pakāpi, apkopošanu un kvalitātes piemaksas apmēra noteikšanu</w:t>
            </w:r>
            <w:r>
              <w:rPr>
                <w:sz w:val="26"/>
                <w:szCs w:val="26"/>
              </w:rPr>
              <w:t>;</w:t>
            </w:r>
            <w:r w:rsidRPr="00A73B9D">
              <w:rPr>
                <w:sz w:val="26"/>
                <w:szCs w:val="26"/>
              </w:rPr>
              <w:tab/>
            </w:r>
          </w:p>
          <w:p w:rsidR="00A73B9D" w:rsidRPr="00A73B9D" w:rsidRDefault="00A73B9D" w:rsidP="00A73B9D">
            <w:pPr>
              <w:ind w:right="141"/>
              <w:jc w:val="both"/>
              <w:rPr>
                <w:sz w:val="26"/>
                <w:szCs w:val="26"/>
              </w:rPr>
            </w:pPr>
            <w:r w:rsidRPr="00A73B9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(3)</w:t>
            </w:r>
            <w:r>
              <w:rPr>
                <w:sz w:val="26"/>
                <w:szCs w:val="26"/>
              </w:rPr>
              <w:tab/>
              <w:t>precizēt</w:t>
            </w:r>
            <w:r w:rsidRPr="00A73B9D">
              <w:rPr>
                <w:sz w:val="26"/>
                <w:szCs w:val="26"/>
              </w:rPr>
              <w:t>, ka Noteikumu 5.punktā noteiktajā dotācijas apmēra aprēķināšanas metodikā, netiek ietverts kvalitātes piemaksu finansējuma apmērs, tādejādi Noteikumu 5.punktā noteiktā kārtība tiek piemērota summai no kuras ir atskaitīta kvalitāt</w:t>
            </w:r>
            <w:r>
              <w:rPr>
                <w:sz w:val="26"/>
                <w:szCs w:val="26"/>
              </w:rPr>
              <w:t>es piemaksām nepieciešamā summa</w:t>
            </w:r>
            <w:r w:rsidRPr="00A73B9D">
              <w:rPr>
                <w:sz w:val="26"/>
                <w:szCs w:val="26"/>
              </w:rPr>
              <w:t>;</w:t>
            </w:r>
          </w:p>
          <w:p w:rsidR="00A73B9D" w:rsidRDefault="00A73B9D" w:rsidP="00A73B9D">
            <w:pPr>
              <w:ind w:right="14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(4)papildināt Noteikumu10.punktu, nosakot, ka Ministrija, pieņemot lēmumu par dotācijas sadali izglītības iestādēm, izvērtē informāciju arī par </w:t>
            </w:r>
            <w:r>
              <w:t xml:space="preserve"> </w:t>
            </w:r>
            <w:r w:rsidRPr="000D308F">
              <w:rPr>
                <w:sz w:val="26"/>
                <w:szCs w:val="26"/>
              </w:rPr>
              <w:t xml:space="preserve">pedagogiem, kuri Eiropas Sociālā fonda projekta „Pedagogu konkurētspējas veicināšana izglītības sistēmas optimizācijas apstākļos” ietvaros ir ieguvuši 3., 4. un 5.kvalitātes pakāpi, </w:t>
            </w:r>
            <w:r>
              <w:rPr>
                <w:sz w:val="26"/>
                <w:szCs w:val="26"/>
              </w:rPr>
              <w:t xml:space="preserve">pamatojoties uz </w:t>
            </w:r>
            <w:r w:rsidRPr="000D308F">
              <w:rPr>
                <w:sz w:val="26"/>
                <w:szCs w:val="26"/>
              </w:rPr>
              <w:t xml:space="preserve">iestādes dibinātāja apstiprinātajām </w:t>
            </w:r>
            <w:proofErr w:type="spellStart"/>
            <w:r w:rsidRPr="000D308F">
              <w:rPr>
                <w:sz w:val="26"/>
                <w:szCs w:val="26"/>
              </w:rPr>
              <w:t>tarifikācijām</w:t>
            </w:r>
            <w:proofErr w:type="spellEnd"/>
            <w:r w:rsidRPr="000D308F">
              <w:rPr>
                <w:sz w:val="26"/>
                <w:szCs w:val="26"/>
              </w:rPr>
              <w:t xml:space="preserve"> pēc stāvokļa uz iepriekšējā gada 1.oktobri</w:t>
            </w:r>
            <w:r>
              <w:rPr>
                <w:sz w:val="26"/>
                <w:szCs w:val="26"/>
              </w:rPr>
              <w:t xml:space="preserve"> (Noteikumu 4</w:t>
            </w:r>
            <w:r>
              <w:rPr>
                <w:sz w:val="26"/>
                <w:szCs w:val="26"/>
                <w:vertAlign w:val="superscript"/>
              </w:rPr>
              <w:t>1</w:t>
            </w:r>
            <w:r>
              <w:rPr>
                <w:sz w:val="26"/>
                <w:szCs w:val="26"/>
              </w:rPr>
              <w:t>.punkts)</w:t>
            </w:r>
            <w:r w:rsidRPr="00A73B9D">
              <w:rPr>
                <w:sz w:val="26"/>
                <w:szCs w:val="26"/>
              </w:rPr>
              <w:t>;</w:t>
            </w:r>
          </w:p>
          <w:p w:rsidR="003618CB" w:rsidRPr="00001F39" w:rsidRDefault="00A73B9D" w:rsidP="0077712F">
            <w:pPr>
              <w:ind w:right="14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(5) </w:t>
            </w:r>
            <w:r w:rsidR="00F1243F">
              <w:rPr>
                <w:sz w:val="26"/>
                <w:szCs w:val="26"/>
              </w:rPr>
              <w:t xml:space="preserve">noteikt, ka </w:t>
            </w:r>
            <w:r w:rsidR="00F1243F" w:rsidRPr="00F1243F">
              <w:rPr>
                <w:sz w:val="26"/>
                <w:szCs w:val="26"/>
              </w:rPr>
              <w:t>Likumā „Par valsts budžetu 2014.gadam” pedagogu zemākās mēneša darba algas likmes paaugstināšanai no 2014.gada 1</w:t>
            </w:r>
            <w:r w:rsidR="00F1243F">
              <w:rPr>
                <w:sz w:val="26"/>
                <w:szCs w:val="26"/>
              </w:rPr>
              <w:t xml:space="preserve">.septembra paredzētie līdzekļi </w:t>
            </w:r>
            <w:r w:rsidR="00F1243F" w:rsidRPr="00F1243F">
              <w:rPr>
                <w:sz w:val="26"/>
                <w:szCs w:val="26"/>
              </w:rPr>
              <w:t xml:space="preserve">120 318 </w:t>
            </w:r>
            <w:proofErr w:type="spellStart"/>
            <w:r w:rsidR="00F1243F" w:rsidRPr="00F1243F">
              <w:rPr>
                <w:sz w:val="26"/>
                <w:szCs w:val="26"/>
              </w:rPr>
              <w:t>euro</w:t>
            </w:r>
            <w:proofErr w:type="spellEnd"/>
            <w:r w:rsidR="00F1243F" w:rsidRPr="00F1243F">
              <w:rPr>
                <w:sz w:val="26"/>
                <w:szCs w:val="26"/>
              </w:rPr>
              <w:t xml:space="preserve"> apmērā izglītības iestādēm tiek aprēķināti un piešķirti, ievērojot šo noteikumu 5.punktā noteikto kārtību, </w:t>
            </w:r>
            <w:r w:rsidR="00382694">
              <w:t xml:space="preserve"> </w:t>
            </w:r>
            <w:r w:rsidR="00382694" w:rsidRPr="00382694">
              <w:rPr>
                <w:sz w:val="26"/>
                <w:szCs w:val="26"/>
              </w:rPr>
              <w:t xml:space="preserve">viena mēneša laikā no normatīvā akta, kas paredz paaugstināt Ministru kabineta 2009.gada 28.jūlija noteikumos Nr.836 „Pedagogu darba samaksas noteikumi” </w:t>
            </w:r>
            <w:r w:rsidR="00382694" w:rsidRPr="00382694">
              <w:rPr>
                <w:sz w:val="26"/>
                <w:szCs w:val="26"/>
              </w:rPr>
              <w:lastRenderedPageBreak/>
              <w:t>noteikto pedagogu zemākās mēneša darba algas likmi, spēkā stāšanās.</w:t>
            </w:r>
          </w:p>
        </w:tc>
      </w:tr>
      <w:tr w:rsidR="004B0768" w:rsidRPr="00A57CF7" w:rsidTr="000A4A7D">
        <w:trPr>
          <w:trHeight w:val="476"/>
        </w:trPr>
        <w:tc>
          <w:tcPr>
            <w:tcW w:w="499" w:type="dxa"/>
          </w:tcPr>
          <w:p w:rsidR="004B0768" w:rsidRPr="00A57CF7" w:rsidRDefault="004B0768" w:rsidP="00493E93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2693" w:type="dxa"/>
            <w:gridSpan w:val="2"/>
          </w:tcPr>
          <w:p w:rsidR="004B0768" w:rsidRPr="00A57CF7" w:rsidRDefault="004B0768" w:rsidP="000A4A7D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Projekta izstrādē iesaistītās institūcijas</w:t>
            </w:r>
          </w:p>
        </w:tc>
        <w:tc>
          <w:tcPr>
            <w:tcW w:w="5885" w:type="dxa"/>
            <w:gridSpan w:val="2"/>
          </w:tcPr>
          <w:p w:rsidR="004B0768" w:rsidRPr="00A57CF7" w:rsidRDefault="00A26128" w:rsidP="00001F39">
            <w:pPr>
              <w:pStyle w:val="naisc"/>
              <w:spacing w:before="0" w:after="0"/>
              <w:ind w:left="74"/>
              <w:jc w:val="both"/>
              <w:rPr>
                <w:b/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Izglītības un zinātnes ministrija</w:t>
            </w:r>
            <w:r w:rsidR="00001F39">
              <w:rPr>
                <w:sz w:val="26"/>
                <w:szCs w:val="26"/>
              </w:rPr>
              <w:t>.</w:t>
            </w:r>
          </w:p>
        </w:tc>
      </w:tr>
      <w:tr w:rsidR="004B0768" w:rsidRPr="00A57CF7" w:rsidTr="000A4A7D">
        <w:trPr>
          <w:trHeight w:val="904"/>
        </w:trPr>
        <w:tc>
          <w:tcPr>
            <w:tcW w:w="499" w:type="dxa"/>
          </w:tcPr>
          <w:p w:rsidR="004B0768" w:rsidRPr="00A57CF7" w:rsidRDefault="004B0768" w:rsidP="00493E93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6.</w:t>
            </w:r>
          </w:p>
        </w:tc>
        <w:tc>
          <w:tcPr>
            <w:tcW w:w="2693" w:type="dxa"/>
            <w:gridSpan w:val="2"/>
          </w:tcPr>
          <w:p w:rsidR="004B0768" w:rsidRPr="00A57CF7" w:rsidRDefault="004B0768" w:rsidP="000A4A7D">
            <w:pPr>
              <w:pStyle w:val="naiskr"/>
              <w:spacing w:before="0" w:after="0"/>
              <w:rPr>
                <w:i/>
                <w:sz w:val="26"/>
                <w:szCs w:val="26"/>
                <w:highlight w:val="yellow"/>
              </w:rPr>
            </w:pPr>
            <w:r w:rsidRPr="00A57CF7">
              <w:rPr>
                <w:sz w:val="26"/>
                <w:szCs w:val="26"/>
              </w:rPr>
              <w:t>Iemesli, kādēļ netika nodrošināta sabiedrības līdzdalība</w:t>
            </w:r>
          </w:p>
        </w:tc>
        <w:tc>
          <w:tcPr>
            <w:tcW w:w="5885" w:type="dxa"/>
            <w:gridSpan w:val="2"/>
          </w:tcPr>
          <w:p w:rsidR="004B0768" w:rsidRPr="00A57CF7" w:rsidRDefault="000E2FBB" w:rsidP="000E2FBB">
            <w:pPr>
              <w:pStyle w:val="FootnoteText"/>
              <w:ind w:left="74"/>
              <w:jc w:val="both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 xml:space="preserve">Noteikumu projekts neparedz ieviest jaunas prasības – netiek paplašinātas esošo institūciju funkcijas. </w:t>
            </w:r>
          </w:p>
        </w:tc>
      </w:tr>
      <w:tr w:rsidR="004B0768" w:rsidRPr="00A57CF7" w:rsidTr="000A4A7D">
        <w:tc>
          <w:tcPr>
            <w:tcW w:w="499" w:type="dxa"/>
          </w:tcPr>
          <w:p w:rsidR="004B0768" w:rsidRPr="00A57CF7" w:rsidRDefault="004B0768" w:rsidP="00493E93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7.</w:t>
            </w:r>
          </w:p>
        </w:tc>
        <w:tc>
          <w:tcPr>
            <w:tcW w:w="2693" w:type="dxa"/>
            <w:gridSpan w:val="2"/>
          </w:tcPr>
          <w:p w:rsidR="004B0768" w:rsidRPr="00A57CF7" w:rsidRDefault="004B0768" w:rsidP="000A4A7D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Cita informācija</w:t>
            </w:r>
          </w:p>
        </w:tc>
        <w:tc>
          <w:tcPr>
            <w:tcW w:w="5885" w:type="dxa"/>
            <w:gridSpan w:val="2"/>
          </w:tcPr>
          <w:p w:rsidR="00D23A9C" w:rsidRPr="00387458" w:rsidRDefault="00D23A9C" w:rsidP="00387458">
            <w:pPr>
              <w:ind w:left="74" w:right="141"/>
              <w:jc w:val="both"/>
              <w:rPr>
                <w:sz w:val="26"/>
                <w:szCs w:val="26"/>
              </w:rPr>
            </w:pPr>
          </w:p>
        </w:tc>
      </w:tr>
      <w:tr w:rsidR="00F91D09" w:rsidRPr="00A57CF7" w:rsidTr="00F91D09">
        <w:tc>
          <w:tcPr>
            <w:tcW w:w="9077" w:type="dxa"/>
            <w:gridSpan w:val="5"/>
            <w:vAlign w:val="center"/>
          </w:tcPr>
          <w:p w:rsidR="000E2FBB" w:rsidRDefault="000E2FBB" w:rsidP="000A4A7D">
            <w:pPr>
              <w:pStyle w:val="naisnod"/>
              <w:spacing w:before="0" w:after="0"/>
              <w:rPr>
                <w:sz w:val="26"/>
                <w:szCs w:val="26"/>
              </w:rPr>
            </w:pPr>
          </w:p>
          <w:p w:rsidR="00F91D09" w:rsidRPr="00A57CF7" w:rsidRDefault="00F91D09" w:rsidP="000A4A7D">
            <w:pPr>
              <w:pStyle w:val="naisnod"/>
              <w:spacing w:before="0" w:after="0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II. Tiesību akta projekta ietekme uz sabiedrību</w:t>
            </w:r>
          </w:p>
        </w:tc>
      </w:tr>
      <w:tr w:rsidR="00F91D09" w:rsidRPr="00A57CF7" w:rsidTr="00F91D09">
        <w:trPr>
          <w:trHeight w:val="467"/>
        </w:trPr>
        <w:tc>
          <w:tcPr>
            <w:tcW w:w="572" w:type="dxa"/>
            <w:gridSpan w:val="2"/>
          </w:tcPr>
          <w:p w:rsidR="00F91D09" w:rsidRPr="00A57CF7" w:rsidRDefault="008E7733" w:rsidP="000A4A7D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1.</w:t>
            </w:r>
          </w:p>
        </w:tc>
        <w:tc>
          <w:tcPr>
            <w:tcW w:w="3378" w:type="dxa"/>
            <w:gridSpan w:val="2"/>
          </w:tcPr>
          <w:p w:rsidR="00F91D09" w:rsidRPr="00A57CF7" w:rsidRDefault="008E7733" w:rsidP="001E40A5">
            <w:pPr>
              <w:pStyle w:val="naiskr"/>
              <w:spacing w:before="0" w:after="0"/>
              <w:ind w:left="142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 xml:space="preserve">Sabiedrības </w:t>
            </w:r>
            <w:proofErr w:type="spellStart"/>
            <w:r w:rsidRPr="00A57CF7">
              <w:rPr>
                <w:sz w:val="26"/>
                <w:szCs w:val="26"/>
              </w:rPr>
              <w:t>mērķgrupa</w:t>
            </w:r>
            <w:proofErr w:type="spellEnd"/>
          </w:p>
        </w:tc>
        <w:tc>
          <w:tcPr>
            <w:tcW w:w="5127" w:type="dxa"/>
          </w:tcPr>
          <w:p w:rsidR="00001F39" w:rsidRPr="00A57CF7" w:rsidRDefault="00001F39" w:rsidP="00001F39">
            <w:pPr>
              <w:pStyle w:val="naiskr"/>
              <w:spacing w:before="0" w:after="0"/>
              <w:ind w:right="142"/>
              <w:jc w:val="both"/>
              <w:rPr>
                <w:sz w:val="26"/>
                <w:szCs w:val="26"/>
              </w:rPr>
            </w:pPr>
            <w:r w:rsidRPr="00001F39">
              <w:rPr>
                <w:sz w:val="26"/>
                <w:szCs w:val="26"/>
              </w:rPr>
              <w:t>Projekts attiecas uz</w:t>
            </w:r>
            <w:r>
              <w:t xml:space="preserve"> </w:t>
            </w:r>
            <w:r w:rsidR="000E2FBB">
              <w:t xml:space="preserve">72 </w:t>
            </w:r>
            <w:r>
              <w:rPr>
                <w:sz w:val="26"/>
                <w:szCs w:val="26"/>
              </w:rPr>
              <w:t>akreditētām</w:t>
            </w:r>
            <w:r w:rsidRPr="00001F39">
              <w:rPr>
                <w:sz w:val="26"/>
                <w:szCs w:val="26"/>
              </w:rPr>
              <w:t xml:space="preserve"> profesionālās iev</w:t>
            </w:r>
            <w:r>
              <w:rPr>
                <w:sz w:val="26"/>
                <w:szCs w:val="26"/>
              </w:rPr>
              <w:t>irzes sporta izglītības iestādēm.</w:t>
            </w:r>
          </w:p>
        </w:tc>
      </w:tr>
      <w:tr w:rsidR="00F91D09" w:rsidRPr="00A57CF7" w:rsidTr="00F91D09">
        <w:trPr>
          <w:trHeight w:val="523"/>
        </w:trPr>
        <w:tc>
          <w:tcPr>
            <w:tcW w:w="572" w:type="dxa"/>
            <w:gridSpan w:val="2"/>
          </w:tcPr>
          <w:p w:rsidR="00F91D09" w:rsidRPr="00A57CF7" w:rsidRDefault="008E7733" w:rsidP="000A4A7D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2.</w:t>
            </w:r>
          </w:p>
        </w:tc>
        <w:tc>
          <w:tcPr>
            <w:tcW w:w="3378" w:type="dxa"/>
            <w:gridSpan w:val="2"/>
          </w:tcPr>
          <w:p w:rsidR="00F91D09" w:rsidRPr="00A57CF7" w:rsidRDefault="008E7733" w:rsidP="001E40A5">
            <w:pPr>
              <w:pStyle w:val="naiskr"/>
              <w:spacing w:before="0" w:after="0"/>
              <w:ind w:left="142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 xml:space="preserve">Citas sabiedrības grupas (bez </w:t>
            </w:r>
            <w:proofErr w:type="spellStart"/>
            <w:r w:rsidRPr="00A57CF7">
              <w:rPr>
                <w:sz w:val="26"/>
                <w:szCs w:val="26"/>
              </w:rPr>
              <w:t>mērķgrupas</w:t>
            </w:r>
            <w:proofErr w:type="spellEnd"/>
            <w:r w:rsidRPr="00A57CF7">
              <w:rPr>
                <w:sz w:val="26"/>
                <w:szCs w:val="26"/>
              </w:rPr>
              <w:t>), kuras tiesiskais regulējums arī ietekmē vai varētu ietekmēt</w:t>
            </w:r>
          </w:p>
        </w:tc>
        <w:tc>
          <w:tcPr>
            <w:tcW w:w="5127" w:type="dxa"/>
          </w:tcPr>
          <w:p w:rsidR="00F91D09" w:rsidRPr="00A57CF7" w:rsidRDefault="000E2FBB" w:rsidP="000E2FBB">
            <w:pPr>
              <w:pStyle w:val="naiskr"/>
              <w:spacing w:before="0" w:after="0"/>
              <w:ind w:righ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1104 p</w:t>
            </w:r>
            <w:r w:rsidR="00001F39" w:rsidRPr="00001F39">
              <w:rPr>
                <w:sz w:val="26"/>
                <w:szCs w:val="26"/>
              </w:rPr>
              <w:t xml:space="preserve">edagogi, kas īsteno profesionālās ievirzes izglītības programmas </w:t>
            </w:r>
            <w:r w:rsidR="00001F39">
              <w:rPr>
                <w:sz w:val="26"/>
                <w:szCs w:val="26"/>
              </w:rPr>
              <w:t>sportā</w:t>
            </w:r>
            <w:r w:rsidR="00001F39" w:rsidRPr="00001F39">
              <w:rPr>
                <w:sz w:val="26"/>
                <w:szCs w:val="26"/>
              </w:rPr>
              <w:t>.</w:t>
            </w:r>
          </w:p>
        </w:tc>
      </w:tr>
      <w:tr w:rsidR="00F91D09" w:rsidRPr="00A57CF7" w:rsidTr="00F91D09">
        <w:trPr>
          <w:trHeight w:val="517"/>
        </w:trPr>
        <w:tc>
          <w:tcPr>
            <w:tcW w:w="572" w:type="dxa"/>
            <w:gridSpan w:val="2"/>
          </w:tcPr>
          <w:p w:rsidR="00F91D09" w:rsidRPr="00A57CF7" w:rsidRDefault="008E7733" w:rsidP="000A4A7D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3.</w:t>
            </w:r>
          </w:p>
        </w:tc>
        <w:tc>
          <w:tcPr>
            <w:tcW w:w="3378" w:type="dxa"/>
            <w:gridSpan w:val="2"/>
          </w:tcPr>
          <w:p w:rsidR="00F91D09" w:rsidRPr="00A57CF7" w:rsidRDefault="008E7733" w:rsidP="001E40A5">
            <w:pPr>
              <w:pStyle w:val="naiskr"/>
              <w:spacing w:before="0" w:after="0"/>
              <w:ind w:left="142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Tiesiskā regulējuma finansiālā ietekme</w:t>
            </w:r>
          </w:p>
        </w:tc>
        <w:tc>
          <w:tcPr>
            <w:tcW w:w="5127" w:type="dxa"/>
            <w:shd w:val="clear" w:color="auto" w:fill="FFFFFF"/>
          </w:tcPr>
          <w:p w:rsidR="00F91D09" w:rsidRPr="00D53265" w:rsidRDefault="00A60D55" w:rsidP="00A60D55">
            <w:pPr>
              <w:pStyle w:val="naiskr"/>
              <w:spacing w:before="0" w:after="0"/>
              <w:ind w:right="142"/>
              <w:jc w:val="both"/>
              <w:rPr>
                <w:sz w:val="26"/>
                <w:szCs w:val="26"/>
              </w:rPr>
            </w:pPr>
            <w:r w:rsidRPr="00A60D55">
              <w:rPr>
                <w:sz w:val="26"/>
                <w:szCs w:val="26"/>
              </w:rPr>
              <w:t>Tiesiskais regulējums tiek īstenots kārtējam gadam apstiprinātā budžeta ietvaros.</w:t>
            </w:r>
          </w:p>
        </w:tc>
      </w:tr>
      <w:tr w:rsidR="00F91D09" w:rsidRPr="00A57CF7" w:rsidTr="00F91D09">
        <w:trPr>
          <w:trHeight w:val="517"/>
        </w:trPr>
        <w:tc>
          <w:tcPr>
            <w:tcW w:w="572" w:type="dxa"/>
            <w:gridSpan w:val="2"/>
          </w:tcPr>
          <w:p w:rsidR="00F91D09" w:rsidRPr="00A57CF7" w:rsidRDefault="008E7733" w:rsidP="000A4A7D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4.</w:t>
            </w:r>
          </w:p>
        </w:tc>
        <w:tc>
          <w:tcPr>
            <w:tcW w:w="3378" w:type="dxa"/>
            <w:gridSpan w:val="2"/>
          </w:tcPr>
          <w:p w:rsidR="00F91D09" w:rsidRPr="00A57CF7" w:rsidRDefault="008E7733" w:rsidP="001E40A5">
            <w:pPr>
              <w:pStyle w:val="naiskr"/>
              <w:spacing w:before="0" w:after="0"/>
              <w:ind w:left="142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Tiesiskā regulējuma nefinansiālā ietekme</w:t>
            </w:r>
          </w:p>
        </w:tc>
        <w:tc>
          <w:tcPr>
            <w:tcW w:w="5127" w:type="dxa"/>
          </w:tcPr>
          <w:p w:rsidR="005026CA" w:rsidRPr="00A57CF7" w:rsidRDefault="001F25C8" w:rsidP="00A60D55">
            <w:pPr>
              <w:pStyle w:val="naiskr"/>
              <w:spacing w:before="0" w:after="0"/>
              <w:ind w:righ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A60D55" w:rsidRPr="00A60D55">
              <w:rPr>
                <w:sz w:val="26"/>
                <w:szCs w:val="26"/>
              </w:rPr>
              <w:t xml:space="preserve">Pozitīva ietekme uz profesionālās ievirzes </w:t>
            </w:r>
            <w:r>
              <w:rPr>
                <w:sz w:val="26"/>
                <w:szCs w:val="26"/>
              </w:rPr>
              <w:t xml:space="preserve">  </w:t>
            </w:r>
            <w:r w:rsidR="00A60D55" w:rsidRPr="00A60D55">
              <w:rPr>
                <w:sz w:val="26"/>
                <w:szCs w:val="26"/>
              </w:rPr>
              <w:t xml:space="preserve">sporta izglītības programmās  nodarbināto </w:t>
            </w:r>
            <w:r>
              <w:rPr>
                <w:sz w:val="26"/>
                <w:szCs w:val="26"/>
              </w:rPr>
              <w:t xml:space="preserve">    </w:t>
            </w:r>
            <w:r w:rsidR="00A60D55" w:rsidRPr="00A60D55">
              <w:rPr>
                <w:sz w:val="26"/>
                <w:szCs w:val="26"/>
              </w:rPr>
              <w:t xml:space="preserve">pedagogu darba samaksas un valsts sociālās apdrošināšanas obligātās iemaksas finansēšanas kārtības tiesiskā regulējuma pilnveidošanu, jo tiek </w:t>
            </w:r>
            <w:r w:rsidR="00A60D55">
              <w:rPr>
                <w:sz w:val="26"/>
                <w:szCs w:val="26"/>
              </w:rPr>
              <w:t>noteikta</w:t>
            </w:r>
            <w:r w:rsidR="00A60D55" w:rsidRPr="00A60D55">
              <w:rPr>
                <w:sz w:val="26"/>
                <w:szCs w:val="26"/>
              </w:rPr>
              <w:t xml:space="preserve"> </w:t>
            </w:r>
            <w:r w:rsidR="00A60D55">
              <w:rPr>
                <w:sz w:val="26"/>
                <w:szCs w:val="26"/>
              </w:rPr>
              <w:t xml:space="preserve">kvalitātes piemaksu </w:t>
            </w:r>
            <w:r w:rsidR="00A60D55" w:rsidRPr="00A60D55">
              <w:rPr>
                <w:sz w:val="26"/>
                <w:szCs w:val="26"/>
              </w:rPr>
              <w:t>aprēķināšanas</w:t>
            </w:r>
            <w:r w:rsidR="00A60D55">
              <w:rPr>
                <w:sz w:val="26"/>
                <w:szCs w:val="26"/>
              </w:rPr>
              <w:t xml:space="preserve"> un </w:t>
            </w:r>
            <w:r w:rsidR="00A60D55" w:rsidRPr="00A60D55">
              <w:rPr>
                <w:sz w:val="26"/>
                <w:szCs w:val="26"/>
              </w:rPr>
              <w:t>sadales kārtība.</w:t>
            </w:r>
          </w:p>
        </w:tc>
      </w:tr>
      <w:tr w:rsidR="00F91D09" w:rsidRPr="00A57CF7" w:rsidTr="00F91D09">
        <w:trPr>
          <w:trHeight w:val="531"/>
        </w:trPr>
        <w:tc>
          <w:tcPr>
            <w:tcW w:w="572" w:type="dxa"/>
            <w:gridSpan w:val="2"/>
          </w:tcPr>
          <w:p w:rsidR="00F91D09" w:rsidRPr="00A57CF7" w:rsidRDefault="008E7733" w:rsidP="000A4A7D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5.</w:t>
            </w:r>
          </w:p>
        </w:tc>
        <w:tc>
          <w:tcPr>
            <w:tcW w:w="3378" w:type="dxa"/>
            <w:gridSpan w:val="2"/>
          </w:tcPr>
          <w:p w:rsidR="00F91D09" w:rsidRPr="00A57CF7" w:rsidRDefault="008E7733" w:rsidP="001E40A5">
            <w:pPr>
              <w:pStyle w:val="naiskr"/>
              <w:spacing w:before="0" w:after="0"/>
              <w:ind w:left="142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Administratīvās procedūras raksturojums</w:t>
            </w:r>
          </w:p>
        </w:tc>
        <w:tc>
          <w:tcPr>
            <w:tcW w:w="5127" w:type="dxa"/>
          </w:tcPr>
          <w:p w:rsidR="00F91D09" w:rsidRPr="00521474" w:rsidRDefault="00A60D55" w:rsidP="001F25C8">
            <w:pPr>
              <w:pStyle w:val="naiskr"/>
              <w:tabs>
                <w:tab w:val="left" w:pos="992"/>
              </w:tabs>
              <w:ind w:left="166" w:right="142"/>
              <w:jc w:val="both"/>
              <w:rPr>
                <w:sz w:val="26"/>
                <w:szCs w:val="26"/>
              </w:rPr>
            </w:pPr>
            <w:r w:rsidRPr="00A60D55">
              <w:rPr>
                <w:sz w:val="26"/>
                <w:szCs w:val="26"/>
              </w:rPr>
              <w:t>Projektam ir ietekme uz administratīvajām procedūrām, kas saistītas ar finansējuma piešķiršanu. Noteikumu projekts paredz, ka</w:t>
            </w:r>
            <w:r>
              <w:rPr>
                <w:sz w:val="26"/>
                <w:szCs w:val="26"/>
              </w:rPr>
              <w:t xml:space="preserve">  d</w:t>
            </w:r>
            <w:r w:rsidRPr="00A60D55">
              <w:rPr>
                <w:sz w:val="26"/>
                <w:szCs w:val="26"/>
              </w:rPr>
              <w:t>atus</w:t>
            </w:r>
            <w:r>
              <w:rPr>
                <w:sz w:val="26"/>
                <w:szCs w:val="26"/>
              </w:rPr>
              <w:t xml:space="preserve"> kvalitātes piemaksu nodrošināšanai </w:t>
            </w:r>
            <w:r w:rsidRPr="00A60D55">
              <w:rPr>
                <w:sz w:val="26"/>
                <w:szCs w:val="26"/>
              </w:rPr>
              <w:t xml:space="preserve"> </w:t>
            </w:r>
            <w:r>
              <w:t xml:space="preserve"> </w:t>
            </w:r>
            <w:r>
              <w:rPr>
                <w:sz w:val="26"/>
                <w:szCs w:val="26"/>
              </w:rPr>
              <w:t xml:space="preserve">pedagogiem </w:t>
            </w:r>
            <w:r w:rsidRPr="00A60D55">
              <w:rPr>
                <w:sz w:val="26"/>
                <w:szCs w:val="26"/>
              </w:rPr>
              <w:t xml:space="preserve">attiecīgajā izglītības iestādē apkopo, pamatojoties uz iestādes dibinātāja apstiprinātajām </w:t>
            </w:r>
            <w:proofErr w:type="spellStart"/>
            <w:r w:rsidRPr="00A60D55">
              <w:rPr>
                <w:sz w:val="26"/>
                <w:szCs w:val="26"/>
              </w:rPr>
              <w:t>tarifikācijām</w:t>
            </w:r>
            <w:proofErr w:type="spellEnd"/>
            <w:r w:rsidRPr="00A60D55">
              <w:rPr>
                <w:sz w:val="26"/>
                <w:szCs w:val="26"/>
              </w:rPr>
              <w:t xml:space="preserve"> pēc stāvokļa uz iepriekšējā gada 1.oktobri</w:t>
            </w:r>
            <w:r w:rsidR="001F25C8">
              <w:rPr>
                <w:sz w:val="26"/>
                <w:szCs w:val="26"/>
              </w:rPr>
              <w:t xml:space="preserve"> un </w:t>
            </w:r>
            <w:r w:rsidR="001F25C8">
              <w:t xml:space="preserve"> </w:t>
            </w:r>
            <w:r w:rsidR="001F25C8" w:rsidRPr="001F25C8">
              <w:rPr>
                <w:sz w:val="26"/>
                <w:szCs w:val="26"/>
              </w:rPr>
              <w:t>kvalitātes piemaksas apmēru attiecīgajā izglītības iestādē nosaka, izmantojot formulu</w:t>
            </w:r>
            <w:r w:rsidRPr="00A60D55">
              <w:rPr>
                <w:sz w:val="26"/>
                <w:szCs w:val="26"/>
              </w:rPr>
              <w:t>.</w:t>
            </w:r>
          </w:p>
        </w:tc>
      </w:tr>
      <w:tr w:rsidR="00F91D09" w:rsidRPr="00A57CF7" w:rsidTr="00F91D09">
        <w:trPr>
          <w:trHeight w:val="357"/>
        </w:trPr>
        <w:tc>
          <w:tcPr>
            <w:tcW w:w="572" w:type="dxa"/>
            <w:gridSpan w:val="2"/>
          </w:tcPr>
          <w:p w:rsidR="00F91D09" w:rsidRPr="00A57CF7" w:rsidRDefault="008E7733" w:rsidP="000A4A7D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6.</w:t>
            </w:r>
          </w:p>
        </w:tc>
        <w:tc>
          <w:tcPr>
            <w:tcW w:w="3378" w:type="dxa"/>
            <w:gridSpan w:val="2"/>
          </w:tcPr>
          <w:p w:rsidR="00F91D09" w:rsidRPr="00A57CF7" w:rsidRDefault="008E7733" w:rsidP="001E40A5">
            <w:pPr>
              <w:pStyle w:val="naiskr"/>
              <w:spacing w:before="0" w:after="0"/>
              <w:ind w:left="142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Administratīvo izmaksu monetārs novērtējums</w:t>
            </w:r>
          </w:p>
        </w:tc>
        <w:tc>
          <w:tcPr>
            <w:tcW w:w="5127" w:type="dxa"/>
          </w:tcPr>
          <w:p w:rsidR="00F91D09" w:rsidRPr="00A57CF7" w:rsidRDefault="008E7733" w:rsidP="000A4A7D">
            <w:pPr>
              <w:pStyle w:val="naiskr"/>
              <w:spacing w:before="0" w:after="0"/>
              <w:ind w:left="166" w:right="142"/>
              <w:jc w:val="both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Projekts šo jomu neskar.</w:t>
            </w:r>
          </w:p>
        </w:tc>
      </w:tr>
      <w:tr w:rsidR="00F91D09" w:rsidRPr="00A57CF7" w:rsidTr="00F91D09">
        <w:tc>
          <w:tcPr>
            <w:tcW w:w="572" w:type="dxa"/>
            <w:gridSpan w:val="2"/>
          </w:tcPr>
          <w:p w:rsidR="00F91D09" w:rsidRPr="00A57CF7" w:rsidRDefault="008E7733" w:rsidP="000A4A7D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7.</w:t>
            </w:r>
          </w:p>
        </w:tc>
        <w:tc>
          <w:tcPr>
            <w:tcW w:w="3378" w:type="dxa"/>
            <w:gridSpan w:val="2"/>
          </w:tcPr>
          <w:p w:rsidR="00F91D09" w:rsidRPr="00A57CF7" w:rsidRDefault="008E7733" w:rsidP="001E40A5">
            <w:pPr>
              <w:pStyle w:val="naiskr"/>
              <w:spacing w:before="0" w:after="0"/>
              <w:ind w:left="142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Cita informācija</w:t>
            </w:r>
          </w:p>
        </w:tc>
        <w:tc>
          <w:tcPr>
            <w:tcW w:w="5127" w:type="dxa"/>
          </w:tcPr>
          <w:p w:rsidR="00F91D09" w:rsidRPr="00A57CF7" w:rsidRDefault="008E7733" w:rsidP="000A4A7D">
            <w:pPr>
              <w:pStyle w:val="naiskr"/>
              <w:spacing w:before="0" w:after="0"/>
              <w:ind w:left="166" w:right="142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Nav.</w:t>
            </w:r>
          </w:p>
        </w:tc>
      </w:tr>
    </w:tbl>
    <w:p w:rsidR="00F91D09" w:rsidRDefault="001F25C8" w:rsidP="004B0768">
      <w:pPr>
        <w:pStyle w:val="naisf"/>
        <w:spacing w:before="0" w:after="0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W w:w="9336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/>
      </w:tblPr>
      <w:tblGrid>
        <w:gridCol w:w="2753"/>
        <w:gridCol w:w="1276"/>
        <w:gridCol w:w="1305"/>
        <w:gridCol w:w="29"/>
        <w:gridCol w:w="1276"/>
        <w:gridCol w:w="58"/>
        <w:gridCol w:w="1247"/>
        <w:gridCol w:w="87"/>
        <w:gridCol w:w="1218"/>
        <w:gridCol w:w="87"/>
      </w:tblGrid>
      <w:tr w:rsidR="001F25C8" w:rsidRPr="001F25C8" w:rsidTr="00B875EC">
        <w:trPr>
          <w:trHeight w:val="652"/>
          <w:jc w:val="center"/>
        </w:trPr>
        <w:tc>
          <w:tcPr>
            <w:tcW w:w="9336" w:type="dxa"/>
            <w:gridSpan w:val="10"/>
          </w:tcPr>
          <w:p w:rsidR="001F25C8" w:rsidRPr="001F25C8" w:rsidRDefault="001F25C8" w:rsidP="00B875EC">
            <w:pPr>
              <w:spacing w:beforeAutospacing="1" w:afterAutospacing="1"/>
              <w:jc w:val="center"/>
              <w:rPr>
                <w:b/>
                <w:i/>
                <w:sz w:val="26"/>
                <w:szCs w:val="26"/>
              </w:rPr>
            </w:pPr>
            <w:r w:rsidRPr="001F25C8">
              <w:rPr>
                <w:b/>
                <w:sz w:val="26"/>
                <w:szCs w:val="26"/>
              </w:rPr>
              <w:br w:type="page"/>
              <w:t>III. Tiesību akta projekta ietekme uz valsts budžetu un pašvaldību budžetiem</w:t>
            </w:r>
          </w:p>
        </w:tc>
      </w:tr>
      <w:tr w:rsidR="001F25C8" w:rsidRPr="001F25C8" w:rsidTr="00B875EC">
        <w:trPr>
          <w:jc w:val="center"/>
        </w:trPr>
        <w:tc>
          <w:tcPr>
            <w:tcW w:w="2753" w:type="dxa"/>
            <w:vMerge w:val="restart"/>
            <w:vAlign w:val="center"/>
          </w:tcPr>
          <w:p w:rsidR="001F25C8" w:rsidRPr="001F25C8" w:rsidRDefault="001F25C8" w:rsidP="00B875EC">
            <w:pPr>
              <w:jc w:val="center"/>
              <w:rPr>
                <w:b/>
                <w:sz w:val="26"/>
                <w:szCs w:val="26"/>
              </w:rPr>
            </w:pPr>
            <w:r w:rsidRPr="001F25C8">
              <w:rPr>
                <w:b/>
                <w:sz w:val="26"/>
                <w:szCs w:val="26"/>
              </w:rPr>
              <w:t>Rādītāji</w:t>
            </w:r>
          </w:p>
        </w:tc>
        <w:tc>
          <w:tcPr>
            <w:tcW w:w="2610" w:type="dxa"/>
            <w:gridSpan w:val="3"/>
            <w:vMerge w:val="restart"/>
            <w:vAlign w:val="center"/>
          </w:tcPr>
          <w:p w:rsidR="001F25C8" w:rsidRPr="001F25C8" w:rsidRDefault="001F25C8" w:rsidP="00B875EC">
            <w:pPr>
              <w:jc w:val="center"/>
              <w:rPr>
                <w:b/>
                <w:sz w:val="26"/>
                <w:szCs w:val="26"/>
              </w:rPr>
            </w:pPr>
            <w:r w:rsidRPr="001F25C8">
              <w:rPr>
                <w:b/>
                <w:sz w:val="26"/>
                <w:szCs w:val="26"/>
              </w:rPr>
              <w:t>2013 gads</w:t>
            </w:r>
          </w:p>
        </w:tc>
        <w:tc>
          <w:tcPr>
            <w:tcW w:w="3973" w:type="dxa"/>
            <w:gridSpan w:val="6"/>
            <w:vAlign w:val="center"/>
          </w:tcPr>
          <w:p w:rsidR="001F25C8" w:rsidRPr="001F25C8" w:rsidRDefault="001F25C8" w:rsidP="00B875EC">
            <w:pPr>
              <w:jc w:val="center"/>
              <w:rPr>
                <w:b/>
                <w:i/>
                <w:sz w:val="26"/>
                <w:szCs w:val="26"/>
              </w:rPr>
            </w:pPr>
            <w:r w:rsidRPr="001F25C8">
              <w:rPr>
                <w:sz w:val="26"/>
                <w:szCs w:val="26"/>
              </w:rPr>
              <w:t>Turpmākie trīs gadi (tūkst</w:t>
            </w:r>
            <w:smartTag w:uri="schemas-tilde-lv/tildestengine" w:element="currency2">
              <w:smartTagPr>
                <w:attr w:name="currency_text" w:val="latu"/>
                <w:attr w:name="currency_value" w:val="."/>
                <w:attr w:name="currency_key" w:val="LVL"/>
                <w:attr w:name="currency_id" w:val="48"/>
              </w:smartTagPr>
              <w:r w:rsidRPr="001F25C8">
                <w:rPr>
                  <w:sz w:val="26"/>
                  <w:szCs w:val="26"/>
                </w:rPr>
                <w:t>. latu</w:t>
              </w:r>
            </w:smartTag>
            <w:r w:rsidRPr="001F25C8">
              <w:rPr>
                <w:sz w:val="26"/>
                <w:szCs w:val="26"/>
              </w:rPr>
              <w:t>)</w:t>
            </w:r>
          </w:p>
        </w:tc>
      </w:tr>
      <w:tr w:rsidR="001F25C8" w:rsidRPr="001F25C8" w:rsidTr="00B875EC">
        <w:trPr>
          <w:jc w:val="center"/>
        </w:trPr>
        <w:tc>
          <w:tcPr>
            <w:tcW w:w="2753" w:type="dxa"/>
            <w:vMerge/>
            <w:vAlign w:val="center"/>
          </w:tcPr>
          <w:p w:rsidR="001F25C8" w:rsidRPr="001F25C8" w:rsidRDefault="001F25C8" w:rsidP="00B875EC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610" w:type="dxa"/>
            <w:gridSpan w:val="3"/>
            <w:vMerge/>
            <w:vAlign w:val="center"/>
          </w:tcPr>
          <w:p w:rsidR="001F25C8" w:rsidRPr="001F25C8" w:rsidRDefault="001F25C8" w:rsidP="00B875EC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1F25C8" w:rsidRPr="001F25C8" w:rsidRDefault="001F25C8" w:rsidP="00B875EC">
            <w:pPr>
              <w:jc w:val="center"/>
              <w:rPr>
                <w:b/>
                <w:i/>
                <w:sz w:val="26"/>
                <w:szCs w:val="26"/>
              </w:rPr>
            </w:pPr>
            <w:r w:rsidRPr="001F25C8">
              <w:rPr>
                <w:b/>
                <w:bCs/>
                <w:sz w:val="26"/>
                <w:szCs w:val="26"/>
              </w:rPr>
              <w:t>2014</w:t>
            </w:r>
          </w:p>
        </w:tc>
        <w:tc>
          <w:tcPr>
            <w:tcW w:w="1334" w:type="dxa"/>
            <w:gridSpan w:val="2"/>
            <w:vAlign w:val="center"/>
          </w:tcPr>
          <w:p w:rsidR="001F25C8" w:rsidRPr="001F25C8" w:rsidRDefault="001F25C8" w:rsidP="00B875EC">
            <w:pPr>
              <w:jc w:val="center"/>
              <w:rPr>
                <w:b/>
                <w:i/>
                <w:sz w:val="26"/>
                <w:szCs w:val="26"/>
              </w:rPr>
            </w:pPr>
            <w:r w:rsidRPr="001F25C8">
              <w:rPr>
                <w:b/>
                <w:bCs/>
                <w:sz w:val="26"/>
                <w:szCs w:val="26"/>
              </w:rPr>
              <w:t>2015</w:t>
            </w:r>
          </w:p>
        </w:tc>
        <w:tc>
          <w:tcPr>
            <w:tcW w:w="1305" w:type="dxa"/>
            <w:gridSpan w:val="2"/>
            <w:vAlign w:val="center"/>
          </w:tcPr>
          <w:p w:rsidR="001F25C8" w:rsidRPr="001F25C8" w:rsidRDefault="001F25C8" w:rsidP="00B875EC">
            <w:pPr>
              <w:jc w:val="center"/>
              <w:rPr>
                <w:b/>
                <w:i/>
                <w:sz w:val="26"/>
                <w:szCs w:val="26"/>
              </w:rPr>
            </w:pPr>
            <w:r w:rsidRPr="001F25C8">
              <w:rPr>
                <w:b/>
                <w:bCs/>
                <w:sz w:val="26"/>
                <w:szCs w:val="26"/>
              </w:rPr>
              <w:t>2016</w:t>
            </w:r>
          </w:p>
        </w:tc>
      </w:tr>
      <w:tr w:rsidR="001F25C8" w:rsidRPr="001F25C8" w:rsidTr="00B875EC">
        <w:trPr>
          <w:jc w:val="center"/>
        </w:trPr>
        <w:tc>
          <w:tcPr>
            <w:tcW w:w="2753" w:type="dxa"/>
            <w:vMerge/>
            <w:vAlign w:val="center"/>
          </w:tcPr>
          <w:p w:rsidR="001F25C8" w:rsidRPr="001F25C8" w:rsidRDefault="001F25C8" w:rsidP="00B875EC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1F25C8" w:rsidRPr="001F25C8" w:rsidRDefault="001F25C8" w:rsidP="00B875EC">
            <w:pPr>
              <w:jc w:val="center"/>
              <w:rPr>
                <w:b/>
                <w:i/>
                <w:sz w:val="26"/>
                <w:szCs w:val="26"/>
              </w:rPr>
            </w:pPr>
            <w:r w:rsidRPr="001F25C8">
              <w:rPr>
                <w:sz w:val="26"/>
                <w:szCs w:val="26"/>
              </w:rPr>
              <w:t>Saskaņā ar valsts budžetu kārtējam gadam</w:t>
            </w:r>
          </w:p>
        </w:tc>
        <w:tc>
          <w:tcPr>
            <w:tcW w:w="1334" w:type="dxa"/>
            <w:gridSpan w:val="2"/>
            <w:vAlign w:val="center"/>
          </w:tcPr>
          <w:p w:rsidR="001F25C8" w:rsidRPr="001F25C8" w:rsidRDefault="001F25C8" w:rsidP="00B875EC">
            <w:pPr>
              <w:jc w:val="center"/>
              <w:rPr>
                <w:b/>
                <w:i/>
                <w:sz w:val="26"/>
                <w:szCs w:val="26"/>
              </w:rPr>
            </w:pPr>
            <w:r w:rsidRPr="001F25C8">
              <w:rPr>
                <w:sz w:val="26"/>
                <w:szCs w:val="26"/>
              </w:rPr>
              <w:t>Izmaiņas kārtējā gadā, salīdzinot ar budžetu kārtējam gadam</w:t>
            </w:r>
          </w:p>
        </w:tc>
        <w:tc>
          <w:tcPr>
            <w:tcW w:w="1334" w:type="dxa"/>
            <w:gridSpan w:val="2"/>
            <w:vAlign w:val="center"/>
          </w:tcPr>
          <w:p w:rsidR="001F25C8" w:rsidRPr="001F25C8" w:rsidRDefault="001F25C8" w:rsidP="00B875EC">
            <w:pPr>
              <w:jc w:val="center"/>
              <w:rPr>
                <w:b/>
                <w:i/>
                <w:sz w:val="26"/>
                <w:szCs w:val="26"/>
              </w:rPr>
            </w:pPr>
            <w:r w:rsidRPr="001F25C8">
              <w:rPr>
                <w:sz w:val="26"/>
                <w:szCs w:val="26"/>
              </w:rPr>
              <w:t>Izmaiņas, salīdzinot ar kārtējo (n) gadu</w:t>
            </w:r>
          </w:p>
        </w:tc>
        <w:tc>
          <w:tcPr>
            <w:tcW w:w="1334" w:type="dxa"/>
            <w:gridSpan w:val="2"/>
            <w:vAlign w:val="center"/>
          </w:tcPr>
          <w:p w:rsidR="001F25C8" w:rsidRPr="001F25C8" w:rsidRDefault="001F25C8" w:rsidP="00B875EC">
            <w:pPr>
              <w:jc w:val="center"/>
              <w:rPr>
                <w:b/>
                <w:i/>
                <w:sz w:val="26"/>
                <w:szCs w:val="26"/>
              </w:rPr>
            </w:pPr>
            <w:r w:rsidRPr="001F25C8">
              <w:rPr>
                <w:sz w:val="26"/>
                <w:szCs w:val="26"/>
              </w:rPr>
              <w:t>Izmaiņas, salīdzinot ar kārtējo (n) gadu</w:t>
            </w:r>
          </w:p>
        </w:tc>
        <w:tc>
          <w:tcPr>
            <w:tcW w:w="1305" w:type="dxa"/>
            <w:gridSpan w:val="2"/>
            <w:vAlign w:val="center"/>
          </w:tcPr>
          <w:p w:rsidR="001F25C8" w:rsidRPr="001F25C8" w:rsidRDefault="001F25C8" w:rsidP="00B875EC">
            <w:pPr>
              <w:jc w:val="center"/>
              <w:rPr>
                <w:b/>
                <w:i/>
                <w:sz w:val="26"/>
                <w:szCs w:val="26"/>
              </w:rPr>
            </w:pPr>
            <w:r w:rsidRPr="001F25C8">
              <w:rPr>
                <w:sz w:val="26"/>
                <w:szCs w:val="26"/>
              </w:rPr>
              <w:t>Izmaiņas, salīdzinot ar kārtējo (n) gadu</w:t>
            </w:r>
          </w:p>
        </w:tc>
      </w:tr>
      <w:tr w:rsidR="001F25C8" w:rsidRPr="001F25C8" w:rsidTr="00B875EC">
        <w:trPr>
          <w:jc w:val="center"/>
        </w:trPr>
        <w:tc>
          <w:tcPr>
            <w:tcW w:w="2753" w:type="dxa"/>
            <w:vAlign w:val="center"/>
          </w:tcPr>
          <w:p w:rsidR="001F25C8" w:rsidRPr="001F25C8" w:rsidRDefault="001F25C8" w:rsidP="00B875EC">
            <w:pPr>
              <w:jc w:val="center"/>
              <w:rPr>
                <w:bCs/>
                <w:sz w:val="26"/>
                <w:szCs w:val="26"/>
              </w:rPr>
            </w:pPr>
            <w:r w:rsidRPr="001F25C8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1F25C8" w:rsidRPr="001F25C8" w:rsidRDefault="001F25C8" w:rsidP="00B875EC">
            <w:pPr>
              <w:jc w:val="center"/>
              <w:rPr>
                <w:bCs/>
                <w:sz w:val="26"/>
                <w:szCs w:val="26"/>
              </w:rPr>
            </w:pPr>
            <w:r w:rsidRPr="001F25C8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334" w:type="dxa"/>
            <w:gridSpan w:val="2"/>
            <w:vAlign w:val="center"/>
          </w:tcPr>
          <w:p w:rsidR="001F25C8" w:rsidRPr="001F25C8" w:rsidRDefault="001F25C8" w:rsidP="00B875EC">
            <w:pPr>
              <w:jc w:val="center"/>
              <w:rPr>
                <w:bCs/>
                <w:sz w:val="26"/>
                <w:szCs w:val="26"/>
              </w:rPr>
            </w:pPr>
            <w:r w:rsidRPr="001F25C8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334" w:type="dxa"/>
            <w:gridSpan w:val="2"/>
            <w:vAlign w:val="center"/>
          </w:tcPr>
          <w:p w:rsidR="001F25C8" w:rsidRPr="001F25C8" w:rsidRDefault="001F25C8" w:rsidP="00B875EC">
            <w:pPr>
              <w:jc w:val="center"/>
              <w:rPr>
                <w:bCs/>
                <w:sz w:val="26"/>
                <w:szCs w:val="26"/>
              </w:rPr>
            </w:pPr>
            <w:r w:rsidRPr="001F25C8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334" w:type="dxa"/>
            <w:gridSpan w:val="2"/>
            <w:vAlign w:val="center"/>
          </w:tcPr>
          <w:p w:rsidR="001F25C8" w:rsidRPr="001F25C8" w:rsidRDefault="001F25C8" w:rsidP="00B875EC">
            <w:pPr>
              <w:jc w:val="center"/>
              <w:rPr>
                <w:bCs/>
                <w:sz w:val="26"/>
                <w:szCs w:val="26"/>
              </w:rPr>
            </w:pPr>
            <w:r w:rsidRPr="001F25C8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305" w:type="dxa"/>
            <w:gridSpan w:val="2"/>
            <w:vAlign w:val="center"/>
          </w:tcPr>
          <w:p w:rsidR="001F25C8" w:rsidRPr="001F25C8" w:rsidRDefault="001F25C8" w:rsidP="00B875EC">
            <w:pPr>
              <w:jc w:val="center"/>
              <w:rPr>
                <w:bCs/>
                <w:sz w:val="26"/>
                <w:szCs w:val="26"/>
              </w:rPr>
            </w:pPr>
            <w:r w:rsidRPr="001F25C8">
              <w:rPr>
                <w:bCs/>
                <w:sz w:val="26"/>
                <w:szCs w:val="26"/>
              </w:rPr>
              <w:t>6</w:t>
            </w:r>
          </w:p>
        </w:tc>
      </w:tr>
      <w:tr w:rsidR="001F25C8" w:rsidRPr="001F25C8" w:rsidTr="00B875EC">
        <w:trPr>
          <w:jc w:val="center"/>
        </w:trPr>
        <w:tc>
          <w:tcPr>
            <w:tcW w:w="2753" w:type="dxa"/>
          </w:tcPr>
          <w:p w:rsidR="001F25C8" w:rsidRPr="001F25C8" w:rsidRDefault="001F25C8" w:rsidP="00B875EC">
            <w:pPr>
              <w:jc w:val="both"/>
              <w:rPr>
                <w:i/>
                <w:sz w:val="26"/>
                <w:szCs w:val="26"/>
              </w:rPr>
            </w:pPr>
            <w:r w:rsidRPr="001F25C8">
              <w:rPr>
                <w:sz w:val="26"/>
                <w:szCs w:val="26"/>
              </w:rPr>
              <w:t>1. Budžeta ieņēmumi:</w:t>
            </w:r>
          </w:p>
        </w:tc>
        <w:tc>
          <w:tcPr>
            <w:tcW w:w="1276" w:type="dxa"/>
          </w:tcPr>
          <w:p w:rsidR="001F25C8" w:rsidRPr="001F25C8" w:rsidRDefault="001F25C8" w:rsidP="00B875EC">
            <w:pPr>
              <w:jc w:val="both"/>
              <w:rPr>
                <w:sz w:val="26"/>
                <w:szCs w:val="26"/>
              </w:rPr>
            </w:pPr>
            <w:r w:rsidRPr="001F25C8">
              <w:rPr>
                <w:sz w:val="26"/>
                <w:szCs w:val="26"/>
              </w:rPr>
              <w:t>0</w:t>
            </w:r>
          </w:p>
        </w:tc>
        <w:tc>
          <w:tcPr>
            <w:tcW w:w="1334" w:type="dxa"/>
            <w:gridSpan w:val="2"/>
          </w:tcPr>
          <w:p w:rsidR="001F25C8" w:rsidRPr="001F25C8" w:rsidRDefault="001F25C8" w:rsidP="00B875EC">
            <w:pPr>
              <w:jc w:val="both"/>
              <w:rPr>
                <w:sz w:val="26"/>
                <w:szCs w:val="26"/>
              </w:rPr>
            </w:pPr>
            <w:r w:rsidRPr="001F25C8">
              <w:rPr>
                <w:sz w:val="26"/>
                <w:szCs w:val="26"/>
              </w:rPr>
              <w:t>0</w:t>
            </w:r>
          </w:p>
        </w:tc>
        <w:tc>
          <w:tcPr>
            <w:tcW w:w="1334" w:type="dxa"/>
            <w:gridSpan w:val="2"/>
          </w:tcPr>
          <w:p w:rsidR="001F25C8" w:rsidRPr="001F25C8" w:rsidRDefault="001F25C8" w:rsidP="00B875EC">
            <w:pPr>
              <w:jc w:val="both"/>
              <w:rPr>
                <w:sz w:val="26"/>
                <w:szCs w:val="26"/>
              </w:rPr>
            </w:pPr>
            <w:r w:rsidRPr="001F25C8">
              <w:rPr>
                <w:sz w:val="26"/>
                <w:szCs w:val="26"/>
              </w:rPr>
              <w:t>0</w:t>
            </w:r>
          </w:p>
        </w:tc>
        <w:tc>
          <w:tcPr>
            <w:tcW w:w="1334" w:type="dxa"/>
            <w:gridSpan w:val="2"/>
          </w:tcPr>
          <w:p w:rsidR="001F25C8" w:rsidRPr="001F25C8" w:rsidRDefault="001F25C8" w:rsidP="00B875EC">
            <w:pPr>
              <w:jc w:val="both"/>
              <w:rPr>
                <w:sz w:val="26"/>
                <w:szCs w:val="26"/>
              </w:rPr>
            </w:pPr>
            <w:r w:rsidRPr="001F25C8">
              <w:rPr>
                <w:sz w:val="26"/>
                <w:szCs w:val="26"/>
              </w:rPr>
              <w:t>0</w:t>
            </w:r>
          </w:p>
        </w:tc>
        <w:tc>
          <w:tcPr>
            <w:tcW w:w="1305" w:type="dxa"/>
            <w:gridSpan w:val="2"/>
          </w:tcPr>
          <w:p w:rsidR="001F25C8" w:rsidRPr="001F25C8" w:rsidRDefault="001F25C8" w:rsidP="00B875EC">
            <w:pPr>
              <w:jc w:val="both"/>
              <w:rPr>
                <w:sz w:val="26"/>
                <w:szCs w:val="26"/>
              </w:rPr>
            </w:pPr>
            <w:r w:rsidRPr="001F25C8">
              <w:rPr>
                <w:sz w:val="26"/>
                <w:szCs w:val="26"/>
              </w:rPr>
              <w:t>0</w:t>
            </w:r>
          </w:p>
        </w:tc>
      </w:tr>
      <w:tr w:rsidR="001F25C8" w:rsidRPr="001F25C8" w:rsidTr="00B875EC">
        <w:trPr>
          <w:jc w:val="center"/>
        </w:trPr>
        <w:tc>
          <w:tcPr>
            <w:tcW w:w="2753" w:type="dxa"/>
          </w:tcPr>
          <w:p w:rsidR="001F25C8" w:rsidRPr="001F25C8" w:rsidRDefault="001F25C8" w:rsidP="00B875EC">
            <w:pPr>
              <w:jc w:val="both"/>
              <w:rPr>
                <w:i/>
                <w:sz w:val="26"/>
                <w:szCs w:val="26"/>
              </w:rPr>
            </w:pPr>
            <w:r w:rsidRPr="001F25C8">
              <w:rPr>
                <w:sz w:val="26"/>
                <w:szCs w:val="26"/>
              </w:rPr>
              <w:t>1.1. valsts pamatbudžets, tai skaitā ieņēmumi no maksas pakalpo-jumiem un citi pašu ieņēmumi</w:t>
            </w:r>
          </w:p>
        </w:tc>
        <w:tc>
          <w:tcPr>
            <w:tcW w:w="1276" w:type="dxa"/>
          </w:tcPr>
          <w:p w:rsidR="001F25C8" w:rsidRPr="001F25C8" w:rsidRDefault="001F25C8" w:rsidP="00B875EC">
            <w:pPr>
              <w:jc w:val="both"/>
              <w:rPr>
                <w:sz w:val="26"/>
                <w:szCs w:val="26"/>
              </w:rPr>
            </w:pPr>
            <w:r w:rsidRPr="001F25C8">
              <w:rPr>
                <w:sz w:val="26"/>
                <w:szCs w:val="26"/>
              </w:rPr>
              <w:t>0</w:t>
            </w:r>
          </w:p>
        </w:tc>
        <w:tc>
          <w:tcPr>
            <w:tcW w:w="1334" w:type="dxa"/>
            <w:gridSpan w:val="2"/>
          </w:tcPr>
          <w:p w:rsidR="001F25C8" w:rsidRPr="001F25C8" w:rsidRDefault="001F25C8" w:rsidP="00B875EC">
            <w:pPr>
              <w:jc w:val="both"/>
              <w:rPr>
                <w:sz w:val="26"/>
                <w:szCs w:val="26"/>
              </w:rPr>
            </w:pPr>
            <w:r w:rsidRPr="001F25C8">
              <w:rPr>
                <w:sz w:val="26"/>
                <w:szCs w:val="26"/>
              </w:rPr>
              <w:t>0</w:t>
            </w:r>
          </w:p>
        </w:tc>
        <w:tc>
          <w:tcPr>
            <w:tcW w:w="1334" w:type="dxa"/>
            <w:gridSpan w:val="2"/>
          </w:tcPr>
          <w:p w:rsidR="001F25C8" w:rsidRPr="001F25C8" w:rsidRDefault="001F25C8" w:rsidP="00B875EC">
            <w:pPr>
              <w:jc w:val="both"/>
              <w:rPr>
                <w:sz w:val="26"/>
                <w:szCs w:val="26"/>
              </w:rPr>
            </w:pPr>
            <w:r w:rsidRPr="001F25C8">
              <w:rPr>
                <w:sz w:val="26"/>
                <w:szCs w:val="26"/>
              </w:rPr>
              <w:t>0</w:t>
            </w:r>
          </w:p>
        </w:tc>
        <w:tc>
          <w:tcPr>
            <w:tcW w:w="1334" w:type="dxa"/>
            <w:gridSpan w:val="2"/>
          </w:tcPr>
          <w:p w:rsidR="001F25C8" w:rsidRPr="001F25C8" w:rsidRDefault="001F25C8" w:rsidP="00B875EC">
            <w:pPr>
              <w:jc w:val="both"/>
              <w:rPr>
                <w:sz w:val="26"/>
                <w:szCs w:val="26"/>
              </w:rPr>
            </w:pPr>
            <w:r w:rsidRPr="001F25C8">
              <w:rPr>
                <w:sz w:val="26"/>
                <w:szCs w:val="26"/>
              </w:rPr>
              <w:t>0</w:t>
            </w:r>
          </w:p>
        </w:tc>
        <w:tc>
          <w:tcPr>
            <w:tcW w:w="1305" w:type="dxa"/>
            <w:gridSpan w:val="2"/>
          </w:tcPr>
          <w:p w:rsidR="001F25C8" w:rsidRPr="001F25C8" w:rsidRDefault="001F25C8" w:rsidP="00B875EC">
            <w:pPr>
              <w:jc w:val="both"/>
              <w:rPr>
                <w:sz w:val="26"/>
                <w:szCs w:val="26"/>
              </w:rPr>
            </w:pPr>
            <w:r w:rsidRPr="001F25C8">
              <w:rPr>
                <w:sz w:val="26"/>
                <w:szCs w:val="26"/>
              </w:rPr>
              <w:t>0</w:t>
            </w:r>
          </w:p>
        </w:tc>
      </w:tr>
      <w:tr w:rsidR="001F25C8" w:rsidRPr="001F25C8" w:rsidTr="00B875EC">
        <w:trPr>
          <w:jc w:val="center"/>
        </w:trPr>
        <w:tc>
          <w:tcPr>
            <w:tcW w:w="2753" w:type="dxa"/>
          </w:tcPr>
          <w:p w:rsidR="001F25C8" w:rsidRPr="001F25C8" w:rsidRDefault="001F25C8" w:rsidP="00B875EC">
            <w:pPr>
              <w:jc w:val="both"/>
              <w:rPr>
                <w:i/>
                <w:sz w:val="26"/>
                <w:szCs w:val="26"/>
              </w:rPr>
            </w:pPr>
            <w:r w:rsidRPr="001F25C8">
              <w:rPr>
                <w:sz w:val="26"/>
                <w:szCs w:val="26"/>
              </w:rPr>
              <w:t>1.2. valsts speciālais budžets</w:t>
            </w:r>
          </w:p>
        </w:tc>
        <w:tc>
          <w:tcPr>
            <w:tcW w:w="1276" w:type="dxa"/>
          </w:tcPr>
          <w:p w:rsidR="001F25C8" w:rsidRPr="001F25C8" w:rsidRDefault="001F25C8" w:rsidP="00B875EC">
            <w:pPr>
              <w:jc w:val="both"/>
              <w:rPr>
                <w:sz w:val="26"/>
                <w:szCs w:val="26"/>
              </w:rPr>
            </w:pPr>
            <w:r w:rsidRPr="001F25C8">
              <w:rPr>
                <w:sz w:val="26"/>
                <w:szCs w:val="26"/>
              </w:rPr>
              <w:t>0</w:t>
            </w:r>
          </w:p>
        </w:tc>
        <w:tc>
          <w:tcPr>
            <w:tcW w:w="1334" w:type="dxa"/>
            <w:gridSpan w:val="2"/>
          </w:tcPr>
          <w:p w:rsidR="001F25C8" w:rsidRPr="001F25C8" w:rsidRDefault="001F25C8" w:rsidP="00B875EC">
            <w:pPr>
              <w:jc w:val="both"/>
              <w:rPr>
                <w:sz w:val="26"/>
                <w:szCs w:val="26"/>
              </w:rPr>
            </w:pPr>
            <w:r w:rsidRPr="001F25C8">
              <w:rPr>
                <w:sz w:val="26"/>
                <w:szCs w:val="26"/>
              </w:rPr>
              <w:t>0</w:t>
            </w:r>
          </w:p>
        </w:tc>
        <w:tc>
          <w:tcPr>
            <w:tcW w:w="1334" w:type="dxa"/>
            <w:gridSpan w:val="2"/>
          </w:tcPr>
          <w:p w:rsidR="001F25C8" w:rsidRPr="001F25C8" w:rsidRDefault="001F25C8" w:rsidP="00B875EC">
            <w:pPr>
              <w:jc w:val="both"/>
              <w:rPr>
                <w:sz w:val="26"/>
                <w:szCs w:val="26"/>
              </w:rPr>
            </w:pPr>
            <w:r w:rsidRPr="001F25C8">
              <w:rPr>
                <w:sz w:val="26"/>
                <w:szCs w:val="26"/>
              </w:rPr>
              <w:t>0</w:t>
            </w:r>
          </w:p>
        </w:tc>
        <w:tc>
          <w:tcPr>
            <w:tcW w:w="1334" w:type="dxa"/>
            <w:gridSpan w:val="2"/>
          </w:tcPr>
          <w:p w:rsidR="001F25C8" w:rsidRPr="001F25C8" w:rsidRDefault="001F25C8" w:rsidP="00B875EC">
            <w:pPr>
              <w:jc w:val="both"/>
              <w:rPr>
                <w:sz w:val="26"/>
                <w:szCs w:val="26"/>
              </w:rPr>
            </w:pPr>
            <w:r w:rsidRPr="001F25C8">
              <w:rPr>
                <w:sz w:val="26"/>
                <w:szCs w:val="26"/>
              </w:rPr>
              <w:t>0</w:t>
            </w:r>
          </w:p>
        </w:tc>
        <w:tc>
          <w:tcPr>
            <w:tcW w:w="1305" w:type="dxa"/>
            <w:gridSpan w:val="2"/>
          </w:tcPr>
          <w:p w:rsidR="001F25C8" w:rsidRPr="001F25C8" w:rsidRDefault="001F25C8" w:rsidP="00B875EC">
            <w:pPr>
              <w:jc w:val="both"/>
              <w:rPr>
                <w:sz w:val="26"/>
                <w:szCs w:val="26"/>
              </w:rPr>
            </w:pPr>
            <w:r w:rsidRPr="001F25C8">
              <w:rPr>
                <w:sz w:val="26"/>
                <w:szCs w:val="26"/>
              </w:rPr>
              <w:t>0</w:t>
            </w:r>
          </w:p>
        </w:tc>
      </w:tr>
      <w:tr w:rsidR="001F25C8" w:rsidRPr="001F25C8" w:rsidTr="00B875EC">
        <w:trPr>
          <w:jc w:val="center"/>
        </w:trPr>
        <w:tc>
          <w:tcPr>
            <w:tcW w:w="2753" w:type="dxa"/>
          </w:tcPr>
          <w:p w:rsidR="001F25C8" w:rsidRPr="001F25C8" w:rsidRDefault="001F25C8" w:rsidP="00B875EC">
            <w:pPr>
              <w:jc w:val="both"/>
              <w:rPr>
                <w:i/>
                <w:sz w:val="26"/>
                <w:szCs w:val="26"/>
              </w:rPr>
            </w:pPr>
            <w:r w:rsidRPr="001F25C8">
              <w:rPr>
                <w:sz w:val="26"/>
                <w:szCs w:val="26"/>
              </w:rPr>
              <w:t>1.3. pašvaldību budžets</w:t>
            </w:r>
          </w:p>
        </w:tc>
        <w:tc>
          <w:tcPr>
            <w:tcW w:w="1276" w:type="dxa"/>
          </w:tcPr>
          <w:p w:rsidR="001F25C8" w:rsidRPr="001F25C8" w:rsidRDefault="001F25C8" w:rsidP="00B875EC">
            <w:pPr>
              <w:jc w:val="both"/>
              <w:rPr>
                <w:sz w:val="26"/>
                <w:szCs w:val="26"/>
              </w:rPr>
            </w:pPr>
            <w:r w:rsidRPr="001F25C8">
              <w:rPr>
                <w:sz w:val="26"/>
                <w:szCs w:val="26"/>
              </w:rPr>
              <w:t>0</w:t>
            </w:r>
          </w:p>
        </w:tc>
        <w:tc>
          <w:tcPr>
            <w:tcW w:w="1334" w:type="dxa"/>
            <w:gridSpan w:val="2"/>
          </w:tcPr>
          <w:p w:rsidR="001F25C8" w:rsidRPr="001F25C8" w:rsidRDefault="001F25C8" w:rsidP="00B875EC">
            <w:pPr>
              <w:jc w:val="both"/>
              <w:rPr>
                <w:sz w:val="26"/>
                <w:szCs w:val="26"/>
              </w:rPr>
            </w:pPr>
            <w:r w:rsidRPr="001F25C8">
              <w:rPr>
                <w:sz w:val="26"/>
                <w:szCs w:val="26"/>
              </w:rPr>
              <w:t>0</w:t>
            </w:r>
          </w:p>
        </w:tc>
        <w:tc>
          <w:tcPr>
            <w:tcW w:w="1334" w:type="dxa"/>
            <w:gridSpan w:val="2"/>
          </w:tcPr>
          <w:p w:rsidR="001F25C8" w:rsidRPr="001F25C8" w:rsidRDefault="001F25C8" w:rsidP="00B875EC">
            <w:pPr>
              <w:jc w:val="both"/>
              <w:rPr>
                <w:sz w:val="26"/>
                <w:szCs w:val="26"/>
              </w:rPr>
            </w:pPr>
            <w:r w:rsidRPr="001F25C8">
              <w:rPr>
                <w:sz w:val="26"/>
                <w:szCs w:val="26"/>
              </w:rPr>
              <w:t>0</w:t>
            </w:r>
          </w:p>
        </w:tc>
        <w:tc>
          <w:tcPr>
            <w:tcW w:w="1334" w:type="dxa"/>
            <w:gridSpan w:val="2"/>
          </w:tcPr>
          <w:p w:rsidR="001F25C8" w:rsidRPr="001F25C8" w:rsidRDefault="001F25C8" w:rsidP="00B875EC">
            <w:pPr>
              <w:jc w:val="both"/>
              <w:rPr>
                <w:sz w:val="26"/>
                <w:szCs w:val="26"/>
              </w:rPr>
            </w:pPr>
            <w:r w:rsidRPr="001F25C8">
              <w:rPr>
                <w:sz w:val="26"/>
                <w:szCs w:val="26"/>
              </w:rPr>
              <w:t>0</w:t>
            </w:r>
          </w:p>
        </w:tc>
        <w:tc>
          <w:tcPr>
            <w:tcW w:w="1305" w:type="dxa"/>
            <w:gridSpan w:val="2"/>
          </w:tcPr>
          <w:p w:rsidR="001F25C8" w:rsidRPr="001F25C8" w:rsidRDefault="001F25C8" w:rsidP="00B875EC">
            <w:pPr>
              <w:jc w:val="both"/>
              <w:rPr>
                <w:sz w:val="26"/>
                <w:szCs w:val="26"/>
              </w:rPr>
            </w:pPr>
            <w:r w:rsidRPr="001F25C8">
              <w:rPr>
                <w:sz w:val="26"/>
                <w:szCs w:val="26"/>
              </w:rPr>
              <w:t>0</w:t>
            </w:r>
          </w:p>
        </w:tc>
      </w:tr>
      <w:tr w:rsidR="001F25C8" w:rsidRPr="001F25C8" w:rsidTr="00B875EC">
        <w:trPr>
          <w:jc w:val="center"/>
        </w:trPr>
        <w:tc>
          <w:tcPr>
            <w:tcW w:w="2753" w:type="dxa"/>
          </w:tcPr>
          <w:p w:rsidR="001F25C8" w:rsidRPr="001F25C8" w:rsidRDefault="001F25C8" w:rsidP="00B875EC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1F25C8">
              <w:rPr>
                <w:sz w:val="26"/>
                <w:szCs w:val="26"/>
                <w:lang w:eastAsia="ar-SA"/>
              </w:rPr>
              <w:t>2. Budžeta izdevumi:</w:t>
            </w:r>
          </w:p>
        </w:tc>
        <w:tc>
          <w:tcPr>
            <w:tcW w:w="1276" w:type="dxa"/>
          </w:tcPr>
          <w:p w:rsidR="001F25C8" w:rsidRPr="001F25C8" w:rsidRDefault="001F25C8" w:rsidP="00B875EC">
            <w:pPr>
              <w:jc w:val="both"/>
              <w:rPr>
                <w:sz w:val="26"/>
                <w:szCs w:val="26"/>
              </w:rPr>
            </w:pPr>
            <w:r w:rsidRPr="001F25C8">
              <w:rPr>
                <w:sz w:val="26"/>
                <w:szCs w:val="26"/>
              </w:rPr>
              <w:t>0</w:t>
            </w:r>
          </w:p>
        </w:tc>
        <w:tc>
          <w:tcPr>
            <w:tcW w:w="1334" w:type="dxa"/>
            <w:gridSpan w:val="2"/>
          </w:tcPr>
          <w:p w:rsidR="001F25C8" w:rsidRPr="001F25C8" w:rsidRDefault="001F25C8" w:rsidP="00B875EC">
            <w:pPr>
              <w:jc w:val="both"/>
              <w:rPr>
                <w:sz w:val="26"/>
                <w:szCs w:val="26"/>
              </w:rPr>
            </w:pPr>
            <w:r w:rsidRPr="001F25C8">
              <w:rPr>
                <w:sz w:val="26"/>
                <w:szCs w:val="26"/>
              </w:rPr>
              <w:t>0</w:t>
            </w:r>
          </w:p>
        </w:tc>
        <w:tc>
          <w:tcPr>
            <w:tcW w:w="1334" w:type="dxa"/>
            <w:gridSpan w:val="2"/>
          </w:tcPr>
          <w:p w:rsidR="001F25C8" w:rsidRPr="001F25C8" w:rsidRDefault="001F25C8" w:rsidP="00B875EC">
            <w:pPr>
              <w:jc w:val="both"/>
              <w:rPr>
                <w:sz w:val="26"/>
                <w:szCs w:val="26"/>
              </w:rPr>
            </w:pPr>
            <w:r w:rsidRPr="001F25C8">
              <w:rPr>
                <w:sz w:val="26"/>
                <w:szCs w:val="26"/>
              </w:rPr>
              <w:t>0</w:t>
            </w:r>
          </w:p>
        </w:tc>
        <w:tc>
          <w:tcPr>
            <w:tcW w:w="1334" w:type="dxa"/>
            <w:gridSpan w:val="2"/>
          </w:tcPr>
          <w:p w:rsidR="001F25C8" w:rsidRPr="001F25C8" w:rsidRDefault="001F25C8" w:rsidP="00B875EC">
            <w:pPr>
              <w:jc w:val="both"/>
              <w:rPr>
                <w:sz w:val="26"/>
                <w:szCs w:val="26"/>
              </w:rPr>
            </w:pPr>
            <w:r w:rsidRPr="001F25C8">
              <w:rPr>
                <w:sz w:val="26"/>
                <w:szCs w:val="26"/>
              </w:rPr>
              <w:t>0</w:t>
            </w:r>
          </w:p>
        </w:tc>
        <w:tc>
          <w:tcPr>
            <w:tcW w:w="1305" w:type="dxa"/>
            <w:gridSpan w:val="2"/>
          </w:tcPr>
          <w:p w:rsidR="001F25C8" w:rsidRPr="001F25C8" w:rsidRDefault="001F25C8" w:rsidP="00B875EC">
            <w:pPr>
              <w:jc w:val="both"/>
              <w:rPr>
                <w:sz w:val="26"/>
                <w:szCs w:val="26"/>
              </w:rPr>
            </w:pPr>
            <w:r w:rsidRPr="001F25C8">
              <w:rPr>
                <w:sz w:val="26"/>
                <w:szCs w:val="26"/>
              </w:rPr>
              <w:t>0</w:t>
            </w:r>
          </w:p>
        </w:tc>
      </w:tr>
      <w:tr w:rsidR="001F25C8" w:rsidRPr="001F25C8" w:rsidTr="00B875EC">
        <w:trPr>
          <w:jc w:val="center"/>
        </w:trPr>
        <w:tc>
          <w:tcPr>
            <w:tcW w:w="2753" w:type="dxa"/>
          </w:tcPr>
          <w:p w:rsidR="001F25C8" w:rsidRPr="001F25C8" w:rsidRDefault="001F25C8" w:rsidP="00B875EC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1F25C8">
              <w:rPr>
                <w:sz w:val="26"/>
                <w:szCs w:val="26"/>
                <w:lang w:eastAsia="ar-SA"/>
              </w:rPr>
              <w:t>2.1. valsts pamatbudžets</w:t>
            </w:r>
          </w:p>
        </w:tc>
        <w:tc>
          <w:tcPr>
            <w:tcW w:w="1276" w:type="dxa"/>
          </w:tcPr>
          <w:p w:rsidR="001F25C8" w:rsidRPr="001F25C8" w:rsidRDefault="001F25C8" w:rsidP="00B875EC">
            <w:pPr>
              <w:jc w:val="both"/>
              <w:rPr>
                <w:sz w:val="26"/>
                <w:szCs w:val="26"/>
              </w:rPr>
            </w:pPr>
            <w:r w:rsidRPr="001F25C8">
              <w:rPr>
                <w:sz w:val="26"/>
                <w:szCs w:val="26"/>
              </w:rPr>
              <w:t>0</w:t>
            </w:r>
          </w:p>
        </w:tc>
        <w:tc>
          <w:tcPr>
            <w:tcW w:w="1334" w:type="dxa"/>
            <w:gridSpan w:val="2"/>
          </w:tcPr>
          <w:p w:rsidR="001F25C8" w:rsidRPr="001F25C8" w:rsidRDefault="001F25C8" w:rsidP="00B875EC">
            <w:pPr>
              <w:jc w:val="both"/>
              <w:rPr>
                <w:sz w:val="26"/>
                <w:szCs w:val="26"/>
              </w:rPr>
            </w:pPr>
            <w:r w:rsidRPr="001F25C8">
              <w:rPr>
                <w:sz w:val="26"/>
                <w:szCs w:val="26"/>
              </w:rPr>
              <w:t>0</w:t>
            </w:r>
          </w:p>
        </w:tc>
        <w:tc>
          <w:tcPr>
            <w:tcW w:w="1334" w:type="dxa"/>
            <w:gridSpan w:val="2"/>
          </w:tcPr>
          <w:p w:rsidR="001F25C8" w:rsidRPr="001F25C8" w:rsidRDefault="001F25C8" w:rsidP="00B875EC">
            <w:pPr>
              <w:jc w:val="both"/>
              <w:rPr>
                <w:sz w:val="26"/>
                <w:szCs w:val="26"/>
              </w:rPr>
            </w:pPr>
            <w:r w:rsidRPr="001F25C8">
              <w:rPr>
                <w:sz w:val="26"/>
                <w:szCs w:val="26"/>
              </w:rPr>
              <w:t>0</w:t>
            </w:r>
          </w:p>
        </w:tc>
        <w:tc>
          <w:tcPr>
            <w:tcW w:w="1334" w:type="dxa"/>
            <w:gridSpan w:val="2"/>
          </w:tcPr>
          <w:p w:rsidR="001F25C8" w:rsidRPr="001F25C8" w:rsidRDefault="001F25C8" w:rsidP="00B875EC">
            <w:pPr>
              <w:jc w:val="both"/>
              <w:rPr>
                <w:sz w:val="26"/>
                <w:szCs w:val="26"/>
              </w:rPr>
            </w:pPr>
            <w:r w:rsidRPr="001F25C8">
              <w:rPr>
                <w:sz w:val="26"/>
                <w:szCs w:val="26"/>
              </w:rPr>
              <w:t>0</w:t>
            </w:r>
          </w:p>
        </w:tc>
        <w:tc>
          <w:tcPr>
            <w:tcW w:w="1305" w:type="dxa"/>
            <w:gridSpan w:val="2"/>
          </w:tcPr>
          <w:p w:rsidR="001F25C8" w:rsidRPr="001F25C8" w:rsidRDefault="001F25C8" w:rsidP="00B875EC">
            <w:pPr>
              <w:jc w:val="both"/>
              <w:rPr>
                <w:sz w:val="26"/>
                <w:szCs w:val="26"/>
              </w:rPr>
            </w:pPr>
            <w:r w:rsidRPr="001F25C8">
              <w:rPr>
                <w:sz w:val="26"/>
                <w:szCs w:val="26"/>
              </w:rPr>
              <w:t>0</w:t>
            </w:r>
          </w:p>
        </w:tc>
      </w:tr>
      <w:tr w:rsidR="001F25C8" w:rsidRPr="001F25C8" w:rsidTr="00B875EC">
        <w:trPr>
          <w:jc w:val="center"/>
        </w:trPr>
        <w:tc>
          <w:tcPr>
            <w:tcW w:w="2753" w:type="dxa"/>
          </w:tcPr>
          <w:p w:rsidR="001F25C8" w:rsidRPr="001F25C8" w:rsidRDefault="001F25C8" w:rsidP="00B875EC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1F25C8">
              <w:rPr>
                <w:sz w:val="26"/>
                <w:szCs w:val="26"/>
                <w:lang w:eastAsia="ar-SA"/>
              </w:rPr>
              <w:t>2.2. valsts speciālais budžets</w:t>
            </w:r>
          </w:p>
        </w:tc>
        <w:tc>
          <w:tcPr>
            <w:tcW w:w="1276" w:type="dxa"/>
          </w:tcPr>
          <w:p w:rsidR="001F25C8" w:rsidRPr="001F25C8" w:rsidRDefault="001F25C8" w:rsidP="00B875EC">
            <w:pPr>
              <w:jc w:val="both"/>
              <w:rPr>
                <w:sz w:val="26"/>
                <w:szCs w:val="26"/>
              </w:rPr>
            </w:pPr>
            <w:r w:rsidRPr="001F25C8">
              <w:rPr>
                <w:sz w:val="26"/>
                <w:szCs w:val="26"/>
              </w:rPr>
              <w:t>0</w:t>
            </w:r>
          </w:p>
        </w:tc>
        <w:tc>
          <w:tcPr>
            <w:tcW w:w="1334" w:type="dxa"/>
            <w:gridSpan w:val="2"/>
          </w:tcPr>
          <w:p w:rsidR="001F25C8" w:rsidRPr="001F25C8" w:rsidRDefault="001F25C8" w:rsidP="00B875EC">
            <w:pPr>
              <w:jc w:val="both"/>
              <w:rPr>
                <w:sz w:val="26"/>
                <w:szCs w:val="26"/>
              </w:rPr>
            </w:pPr>
            <w:r w:rsidRPr="001F25C8">
              <w:rPr>
                <w:sz w:val="26"/>
                <w:szCs w:val="26"/>
              </w:rPr>
              <w:t>0</w:t>
            </w:r>
          </w:p>
        </w:tc>
        <w:tc>
          <w:tcPr>
            <w:tcW w:w="1334" w:type="dxa"/>
            <w:gridSpan w:val="2"/>
          </w:tcPr>
          <w:p w:rsidR="001F25C8" w:rsidRPr="001F25C8" w:rsidRDefault="001F25C8" w:rsidP="00B875EC">
            <w:pPr>
              <w:jc w:val="both"/>
              <w:rPr>
                <w:sz w:val="26"/>
                <w:szCs w:val="26"/>
              </w:rPr>
            </w:pPr>
            <w:r w:rsidRPr="001F25C8">
              <w:rPr>
                <w:sz w:val="26"/>
                <w:szCs w:val="26"/>
              </w:rPr>
              <w:t>0</w:t>
            </w:r>
          </w:p>
        </w:tc>
        <w:tc>
          <w:tcPr>
            <w:tcW w:w="1334" w:type="dxa"/>
            <w:gridSpan w:val="2"/>
          </w:tcPr>
          <w:p w:rsidR="001F25C8" w:rsidRPr="001F25C8" w:rsidRDefault="001F25C8" w:rsidP="00B875EC">
            <w:pPr>
              <w:jc w:val="both"/>
              <w:rPr>
                <w:sz w:val="26"/>
                <w:szCs w:val="26"/>
              </w:rPr>
            </w:pPr>
            <w:r w:rsidRPr="001F25C8">
              <w:rPr>
                <w:sz w:val="26"/>
                <w:szCs w:val="26"/>
              </w:rPr>
              <w:t>0</w:t>
            </w:r>
          </w:p>
        </w:tc>
        <w:tc>
          <w:tcPr>
            <w:tcW w:w="1305" w:type="dxa"/>
            <w:gridSpan w:val="2"/>
          </w:tcPr>
          <w:p w:rsidR="001F25C8" w:rsidRPr="001F25C8" w:rsidRDefault="001F25C8" w:rsidP="00B875EC">
            <w:pPr>
              <w:jc w:val="both"/>
              <w:rPr>
                <w:sz w:val="26"/>
                <w:szCs w:val="26"/>
              </w:rPr>
            </w:pPr>
            <w:r w:rsidRPr="001F25C8">
              <w:rPr>
                <w:sz w:val="26"/>
                <w:szCs w:val="26"/>
              </w:rPr>
              <w:t>0</w:t>
            </w:r>
          </w:p>
        </w:tc>
      </w:tr>
      <w:tr w:rsidR="001F25C8" w:rsidRPr="001F25C8" w:rsidTr="00B875EC">
        <w:trPr>
          <w:jc w:val="center"/>
        </w:trPr>
        <w:tc>
          <w:tcPr>
            <w:tcW w:w="2753" w:type="dxa"/>
          </w:tcPr>
          <w:p w:rsidR="001F25C8" w:rsidRPr="001F25C8" w:rsidRDefault="001F25C8" w:rsidP="00B875EC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1F25C8">
              <w:rPr>
                <w:sz w:val="26"/>
                <w:szCs w:val="26"/>
                <w:lang w:eastAsia="ar-SA"/>
              </w:rPr>
              <w:t xml:space="preserve">2.3. pašvaldību budžets </w:t>
            </w:r>
          </w:p>
        </w:tc>
        <w:tc>
          <w:tcPr>
            <w:tcW w:w="1276" w:type="dxa"/>
          </w:tcPr>
          <w:p w:rsidR="001F25C8" w:rsidRPr="001F25C8" w:rsidRDefault="001F25C8" w:rsidP="00B875EC">
            <w:pPr>
              <w:jc w:val="both"/>
              <w:rPr>
                <w:sz w:val="26"/>
                <w:szCs w:val="26"/>
              </w:rPr>
            </w:pPr>
            <w:r w:rsidRPr="001F25C8">
              <w:rPr>
                <w:sz w:val="26"/>
                <w:szCs w:val="26"/>
              </w:rPr>
              <w:t>0</w:t>
            </w:r>
          </w:p>
        </w:tc>
        <w:tc>
          <w:tcPr>
            <w:tcW w:w="1334" w:type="dxa"/>
            <w:gridSpan w:val="2"/>
          </w:tcPr>
          <w:p w:rsidR="001F25C8" w:rsidRPr="001F25C8" w:rsidRDefault="001F25C8" w:rsidP="00B875EC">
            <w:pPr>
              <w:jc w:val="both"/>
              <w:rPr>
                <w:sz w:val="26"/>
                <w:szCs w:val="26"/>
              </w:rPr>
            </w:pPr>
            <w:r w:rsidRPr="001F25C8">
              <w:rPr>
                <w:sz w:val="26"/>
                <w:szCs w:val="26"/>
              </w:rPr>
              <w:t>0</w:t>
            </w:r>
          </w:p>
        </w:tc>
        <w:tc>
          <w:tcPr>
            <w:tcW w:w="1334" w:type="dxa"/>
            <w:gridSpan w:val="2"/>
          </w:tcPr>
          <w:p w:rsidR="001F25C8" w:rsidRPr="001F25C8" w:rsidRDefault="001F25C8" w:rsidP="00B875EC">
            <w:pPr>
              <w:jc w:val="both"/>
              <w:rPr>
                <w:sz w:val="26"/>
                <w:szCs w:val="26"/>
              </w:rPr>
            </w:pPr>
            <w:r w:rsidRPr="001F25C8">
              <w:rPr>
                <w:sz w:val="26"/>
                <w:szCs w:val="26"/>
              </w:rPr>
              <w:t>0</w:t>
            </w:r>
          </w:p>
        </w:tc>
        <w:tc>
          <w:tcPr>
            <w:tcW w:w="1334" w:type="dxa"/>
            <w:gridSpan w:val="2"/>
          </w:tcPr>
          <w:p w:rsidR="001F25C8" w:rsidRPr="001F25C8" w:rsidRDefault="001F25C8" w:rsidP="00B875EC">
            <w:pPr>
              <w:jc w:val="both"/>
              <w:rPr>
                <w:sz w:val="26"/>
                <w:szCs w:val="26"/>
              </w:rPr>
            </w:pPr>
            <w:r w:rsidRPr="001F25C8">
              <w:rPr>
                <w:sz w:val="26"/>
                <w:szCs w:val="26"/>
              </w:rPr>
              <w:t>0</w:t>
            </w:r>
          </w:p>
        </w:tc>
        <w:tc>
          <w:tcPr>
            <w:tcW w:w="1305" w:type="dxa"/>
            <w:gridSpan w:val="2"/>
          </w:tcPr>
          <w:p w:rsidR="001F25C8" w:rsidRPr="001F25C8" w:rsidRDefault="001F25C8" w:rsidP="00B875EC">
            <w:pPr>
              <w:jc w:val="both"/>
              <w:rPr>
                <w:sz w:val="26"/>
                <w:szCs w:val="26"/>
              </w:rPr>
            </w:pPr>
            <w:r w:rsidRPr="001F25C8">
              <w:rPr>
                <w:sz w:val="26"/>
                <w:szCs w:val="26"/>
              </w:rPr>
              <w:t>0</w:t>
            </w:r>
          </w:p>
        </w:tc>
      </w:tr>
      <w:tr w:rsidR="001F25C8" w:rsidRPr="001F25C8" w:rsidTr="00B875EC">
        <w:trPr>
          <w:jc w:val="center"/>
        </w:trPr>
        <w:tc>
          <w:tcPr>
            <w:tcW w:w="2753" w:type="dxa"/>
          </w:tcPr>
          <w:p w:rsidR="001F25C8" w:rsidRPr="001F25C8" w:rsidRDefault="001F25C8" w:rsidP="00B875EC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1F25C8">
              <w:rPr>
                <w:sz w:val="26"/>
                <w:szCs w:val="26"/>
                <w:lang w:eastAsia="ar-SA"/>
              </w:rPr>
              <w:t>3. Finansiālā ietekme:</w:t>
            </w:r>
          </w:p>
        </w:tc>
        <w:tc>
          <w:tcPr>
            <w:tcW w:w="1276" w:type="dxa"/>
            <w:shd w:val="clear" w:color="auto" w:fill="auto"/>
          </w:tcPr>
          <w:p w:rsidR="001F25C8" w:rsidRPr="001F25C8" w:rsidRDefault="001F25C8" w:rsidP="00B875EC">
            <w:pPr>
              <w:jc w:val="both"/>
              <w:rPr>
                <w:sz w:val="26"/>
                <w:szCs w:val="26"/>
              </w:rPr>
            </w:pPr>
            <w:r w:rsidRPr="001F25C8">
              <w:rPr>
                <w:sz w:val="26"/>
                <w:szCs w:val="26"/>
              </w:rPr>
              <w:t>0</w:t>
            </w:r>
          </w:p>
        </w:tc>
        <w:tc>
          <w:tcPr>
            <w:tcW w:w="1334" w:type="dxa"/>
            <w:gridSpan w:val="2"/>
          </w:tcPr>
          <w:p w:rsidR="001F25C8" w:rsidRPr="001F25C8" w:rsidRDefault="001F25C8" w:rsidP="00B875EC">
            <w:pPr>
              <w:jc w:val="both"/>
              <w:rPr>
                <w:sz w:val="26"/>
                <w:szCs w:val="26"/>
              </w:rPr>
            </w:pPr>
            <w:r w:rsidRPr="001F25C8">
              <w:rPr>
                <w:sz w:val="26"/>
                <w:szCs w:val="26"/>
              </w:rPr>
              <w:t>0</w:t>
            </w:r>
          </w:p>
        </w:tc>
        <w:tc>
          <w:tcPr>
            <w:tcW w:w="1334" w:type="dxa"/>
            <w:gridSpan w:val="2"/>
          </w:tcPr>
          <w:p w:rsidR="001F25C8" w:rsidRPr="001F25C8" w:rsidRDefault="001F25C8" w:rsidP="00B875EC">
            <w:pPr>
              <w:jc w:val="both"/>
              <w:rPr>
                <w:sz w:val="26"/>
                <w:szCs w:val="26"/>
              </w:rPr>
            </w:pPr>
            <w:r w:rsidRPr="001F25C8">
              <w:rPr>
                <w:sz w:val="26"/>
                <w:szCs w:val="26"/>
              </w:rPr>
              <w:t>0</w:t>
            </w:r>
          </w:p>
        </w:tc>
        <w:tc>
          <w:tcPr>
            <w:tcW w:w="1334" w:type="dxa"/>
            <w:gridSpan w:val="2"/>
          </w:tcPr>
          <w:p w:rsidR="001F25C8" w:rsidRPr="001F25C8" w:rsidRDefault="001F25C8" w:rsidP="00B875EC">
            <w:pPr>
              <w:jc w:val="both"/>
              <w:rPr>
                <w:sz w:val="26"/>
                <w:szCs w:val="26"/>
              </w:rPr>
            </w:pPr>
            <w:r w:rsidRPr="001F25C8">
              <w:rPr>
                <w:sz w:val="26"/>
                <w:szCs w:val="26"/>
              </w:rPr>
              <w:t>0</w:t>
            </w:r>
          </w:p>
        </w:tc>
        <w:tc>
          <w:tcPr>
            <w:tcW w:w="1305" w:type="dxa"/>
            <w:gridSpan w:val="2"/>
          </w:tcPr>
          <w:p w:rsidR="001F25C8" w:rsidRPr="001F25C8" w:rsidRDefault="001F25C8" w:rsidP="00B875EC">
            <w:pPr>
              <w:jc w:val="both"/>
              <w:rPr>
                <w:sz w:val="26"/>
                <w:szCs w:val="26"/>
              </w:rPr>
            </w:pPr>
            <w:r w:rsidRPr="001F25C8">
              <w:rPr>
                <w:sz w:val="26"/>
                <w:szCs w:val="26"/>
              </w:rPr>
              <w:t>0</w:t>
            </w:r>
          </w:p>
        </w:tc>
      </w:tr>
      <w:tr w:rsidR="001F25C8" w:rsidRPr="001F25C8" w:rsidTr="00B875EC">
        <w:trPr>
          <w:jc w:val="center"/>
        </w:trPr>
        <w:tc>
          <w:tcPr>
            <w:tcW w:w="2753" w:type="dxa"/>
          </w:tcPr>
          <w:p w:rsidR="001F25C8" w:rsidRPr="001F25C8" w:rsidRDefault="001F25C8" w:rsidP="00B875EC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1F25C8">
              <w:rPr>
                <w:sz w:val="26"/>
                <w:szCs w:val="26"/>
                <w:lang w:eastAsia="ar-SA"/>
              </w:rPr>
              <w:t>3.1. valsts pamatbudžets</w:t>
            </w:r>
          </w:p>
        </w:tc>
        <w:tc>
          <w:tcPr>
            <w:tcW w:w="1276" w:type="dxa"/>
            <w:shd w:val="clear" w:color="auto" w:fill="auto"/>
          </w:tcPr>
          <w:p w:rsidR="001F25C8" w:rsidRPr="001F25C8" w:rsidRDefault="001F25C8" w:rsidP="00B875EC">
            <w:pPr>
              <w:jc w:val="both"/>
              <w:rPr>
                <w:sz w:val="26"/>
                <w:szCs w:val="26"/>
              </w:rPr>
            </w:pPr>
            <w:r w:rsidRPr="001F25C8">
              <w:rPr>
                <w:sz w:val="26"/>
                <w:szCs w:val="26"/>
              </w:rPr>
              <w:t>0</w:t>
            </w:r>
          </w:p>
        </w:tc>
        <w:tc>
          <w:tcPr>
            <w:tcW w:w="1334" w:type="dxa"/>
            <w:gridSpan w:val="2"/>
          </w:tcPr>
          <w:p w:rsidR="001F25C8" w:rsidRPr="001F25C8" w:rsidRDefault="001F25C8" w:rsidP="00B875EC">
            <w:pPr>
              <w:jc w:val="both"/>
              <w:rPr>
                <w:sz w:val="26"/>
                <w:szCs w:val="26"/>
              </w:rPr>
            </w:pPr>
            <w:r w:rsidRPr="001F25C8">
              <w:rPr>
                <w:sz w:val="26"/>
                <w:szCs w:val="26"/>
              </w:rPr>
              <w:t>0</w:t>
            </w:r>
          </w:p>
        </w:tc>
        <w:tc>
          <w:tcPr>
            <w:tcW w:w="1334" w:type="dxa"/>
            <w:gridSpan w:val="2"/>
          </w:tcPr>
          <w:p w:rsidR="001F25C8" w:rsidRPr="001F25C8" w:rsidRDefault="001F25C8" w:rsidP="00B875EC">
            <w:pPr>
              <w:jc w:val="both"/>
              <w:rPr>
                <w:sz w:val="26"/>
                <w:szCs w:val="26"/>
              </w:rPr>
            </w:pPr>
            <w:r w:rsidRPr="001F25C8">
              <w:rPr>
                <w:sz w:val="26"/>
                <w:szCs w:val="26"/>
              </w:rPr>
              <w:t>0</w:t>
            </w:r>
          </w:p>
        </w:tc>
        <w:tc>
          <w:tcPr>
            <w:tcW w:w="1334" w:type="dxa"/>
            <w:gridSpan w:val="2"/>
          </w:tcPr>
          <w:p w:rsidR="001F25C8" w:rsidRPr="001F25C8" w:rsidRDefault="001F25C8" w:rsidP="00B875EC">
            <w:pPr>
              <w:jc w:val="both"/>
              <w:rPr>
                <w:sz w:val="26"/>
                <w:szCs w:val="26"/>
              </w:rPr>
            </w:pPr>
            <w:r w:rsidRPr="001F25C8">
              <w:rPr>
                <w:sz w:val="26"/>
                <w:szCs w:val="26"/>
              </w:rPr>
              <w:t>0</w:t>
            </w:r>
          </w:p>
        </w:tc>
        <w:tc>
          <w:tcPr>
            <w:tcW w:w="1305" w:type="dxa"/>
            <w:gridSpan w:val="2"/>
          </w:tcPr>
          <w:p w:rsidR="001F25C8" w:rsidRPr="001F25C8" w:rsidRDefault="001F25C8" w:rsidP="00B875EC">
            <w:pPr>
              <w:jc w:val="both"/>
              <w:rPr>
                <w:sz w:val="26"/>
                <w:szCs w:val="26"/>
              </w:rPr>
            </w:pPr>
            <w:r w:rsidRPr="001F25C8">
              <w:rPr>
                <w:sz w:val="26"/>
                <w:szCs w:val="26"/>
              </w:rPr>
              <w:t>0</w:t>
            </w:r>
          </w:p>
        </w:tc>
      </w:tr>
      <w:tr w:rsidR="001F25C8" w:rsidRPr="001F25C8" w:rsidTr="00B875EC">
        <w:trPr>
          <w:gridAfter w:val="1"/>
          <w:wAfter w:w="87" w:type="dxa"/>
          <w:jc w:val="center"/>
        </w:trPr>
        <w:tc>
          <w:tcPr>
            <w:tcW w:w="2753" w:type="dxa"/>
          </w:tcPr>
          <w:p w:rsidR="001F25C8" w:rsidRPr="001F25C8" w:rsidRDefault="001F25C8" w:rsidP="00B875EC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1F25C8">
              <w:rPr>
                <w:sz w:val="26"/>
                <w:szCs w:val="26"/>
                <w:lang w:eastAsia="ar-SA"/>
              </w:rPr>
              <w:t>3.2. speciālais budžets</w:t>
            </w:r>
          </w:p>
        </w:tc>
        <w:tc>
          <w:tcPr>
            <w:tcW w:w="1276" w:type="dxa"/>
            <w:shd w:val="clear" w:color="auto" w:fill="auto"/>
          </w:tcPr>
          <w:p w:rsidR="001F25C8" w:rsidRPr="001F25C8" w:rsidRDefault="001F25C8" w:rsidP="00B875EC">
            <w:pPr>
              <w:jc w:val="both"/>
              <w:rPr>
                <w:sz w:val="26"/>
                <w:szCs w:val="26"/>
              </w:rPr>
            </w:pPr>
            <w:r w:rsidRPr="001F25C8">
              <w:rPr>
                <w:sz w:val="26"/>
                <w:szCs w:val="26"/>
              </w:rPr>
              <w:t>0</w:t>
            </w:r>
          </w:p>
        </w:tc>
        <w:tc>
          <w:tcPr>
            <w:tcW w:w="1305" w:type="dxa"/>
          </w:tcPr>
          <w:p w:rsidR="001F25C8" w:rsidRPr="001F25C8" w:rsidRDefault="001F25C8" w:rsidP="00B875EC">
            <w:pPr>
              <w:jc w:val="both"/>
              <w:rPr>
                <w:sz w:val="26"/>
                <w:szCs w:val="26"/>
              </w:rPr>
            </w:pPr>
            <w:r w:rsidRPr="001F25C8">
              <w:rPr>
                <w:sz w:val="26"/>
                <w:szCs w:val="26"/>
              </w:rPr>
              <w:t>0</w:t>
            </w:r>
          </w:p>
        </w:tc>
        <w:tc>
          <w:tcPr>
            <w:tcW w:w="1305" w:type="dxa"/>
            <w:gridSpan w:val="2"/>
          </w:tcPr>
          <w:p w:rsidR="001F25C8" w:rsidRPr="001F25C8" w:rsidRDefault="001F25C8" w:rsidP="00B875EC">
            <w:pPr>
              <w:jc w:val="both"/>
              <w:rPr>
                <w:sz w:val="26"/>
                <w:szCs w:val="26"/>
              </w:rPr>
            </w:pPr>
            <w:r w:rsidRPr="001F25C8">
              <w:rPr>
                <w:sz w:val="26"/>
                <w:szCs w:val="26"/>
              </w:rPr>
              <w:t>0</w:t>
            </w:r>
          </w:p>
        </w:tc>
        <w:tc>
          <w:tcPr>
            <w:tcW w:w="1305" w:type="dxa"/>
            <w:gridSpan w:val="2"/>
          </w:tcPr>
          <w:p w:rsidR="001F25C8" w:rsidRPr="001F25C8" w:rsidRDefault="001F25C8" w:rsidP="00B875EC">
            <w:pPr>
              <w:jc w:val="both"/>
              <w:rPr>
                <w:sz w:val="26"/>
                <w:szCs w:val="26"/>
              </w:rPr>
            </w:pPr>
            <w:r w:rsidRPr="001F25C8">
              <w:rPr>
                <w:sz w:val="26"/>
                <w:szCs w:val="26"/>
              </w:rPr>
              <w:t>0</w:t>
            </w:r>
          </w:p>
        </w:tc>
        <w:tc>
          <w:tcPr>
            <w:tcW w:w="1305" w:type="dxa"/>
            <w:gridSpan w:val="2"/>
          </w:tcPr>
          <w:p w:rsidR="001F25C8" w:rsidRPr="001F25C8" w:rsidRDefault="001F25C8" w:rsidP="00B875EC">
            <w:pPr>
              <w:jc w:val="both"/>
              <w:rPr>
                <w:sz w:val="26"/>
                <w:szCs w:val="26"/>
              </w:rPr>
            </w:pPr>
            <w:r w:rsidRPr="001F25C8">
              <w:rPr>
                <w:sz w:val="26"/>
                <w:szCs w:val="26"/>
              </w:rPr>
              <w:t>0</w:t>
            </w:r>
          </w:p>
        </w:tc>
      </w:tr>
      <w:tr w:rsidR="001F25C8" w:rsidRPr="001F25C8" w:rsidTr="00B875EC">
        <w:trPr>
          <w:jc w:val="center"/>
        </w:trPr>
        <w:tc>
          <w:tcPr>
            <w:tcW w:w="2753" w:type="dxa"/>
          </w:tcPr>
          <w:p w:rsidR="001F25C8" w:rsidRPr="001F25C8" w:rsidRDefault="001F25C8" w:rsidP="00B875EC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1F25C8">
              <w:rPr>
                <w:sz w:val="26"/>
                <w:szCs w:val="26"/>
                <w:lang w:eastAsia="ar-SA"/>
              </w:rPr>
              <w:t xml:space="preserve">3.3. pašvaldību budžets </w:t>
            </w:r>
          </w:p>
        </w:tc>
        <w:tc>
          <w:tcPr>
            <w:tcW w:w="1276" w:type="dxa"/>
            <w:shd w:val="clear" w:color="auto" w:fill="auto"/>
          </w:tcPr>
          <w:p w:rsidR="001F25C8" w:rsidRPr="001F25C8" w:rsidRDefault="001F25C8" w:rsidP="00B875EC">
            <w:pPr>
              <w:jc w:val="both"/>
              <w:rPr>
                <w:sz w:val="26"/>
                <w:szCs w:val="26"/>
              </w:rPr>
            </w:pPr>
            <w:r w:rsidRPr="001F25C8">
              <w:rPr>
                <w:sz w:val="26"/>
                <w:szCs w:val="26"/>
              </w:rPr>
              <w:t>0</w:t>
            </w:r>
          </w:p>
        </w:tc>
        <w:tc>
          <w:tcPr>
            <w:tcW w:w="1334" w:type="dxa"/>
            <w:gridSpan w:val="2"/>
          </w:tcPr>
          <w:p w:rsidR="001F25C8" w:rsidRPr="001F25C8" w:rsidRDefault="001F25C8" w:rsidP="00B875EC">
            <w:pPr>
              <w:jc w:val="both"/>
              <w:rPr>
                <w:sz w:val="26"/>
                <w:szCs w:val="26"/>
              </w:rPr>
            </w:pPr>
            <w:r w:rsidRPr="001F25C8">
              <w:rPr>
                <w:sz w:val="26"/>
                <w:szCs w:val="26"/>
              </w:rPr>
              <w:t>0</w:t>
            </w:r>
          </w:p>
        </w:tc>
        <w:tc>
          <w:tcPr>
            <w:tcW w:w="1334" w:type="dxa"/>
            <w:gridSpan w:val="2"/>
          </w:tcPr>
          <w:p w:rsidR="001F25C8" w:rsidRPr="001F25C8" w:rsidRDefault="001F25C8" w:rsidP="00B875EC">
            <w:pPr>
              <w:jc w:val="both"/>
              <w:rPr>
                <w:sz w:val="26"/>
                <w:szCs w:val="26"/>
              </w:rPr>
            </w:pPr>
            <w:r w:rsidRPr="001F25C8">
              <w:rPr>
                <w:sz w:val="26"/>
                <w:szCs w:val="26"/>
              </w:rPr>
              <w:t>0</w:t>
            </w:r>
          </w:p>
        </w:tc>
        <w:tc>
          <w:tcPr>
            <w:tcW w:w="1334" w:type="dxa"/>
            <w:gridSpan w:val="2"/>
          </w:tcPr>
          <w:p w:rsidR="001F25C8" w:rsidRPr="001F25C8" w:rsidRDefault="001F25C8" w:rsidP="00B875EC">
            <w:pPr>
              <w:jc w:val="both"/>
              <w:rPr>
                <w:sz w:val="26"/>
                <w:szCs w:val="26"/>
              </w:rPr>
            </w:pPr>
            <w:r w:rsidRPr="001F25C8">
              <w:rPr>
                <w:sz w:val="26"/>
                <w:szCs w:val="26"/>
              </w:rPr>
              <w:t>0</w:t>
            </w:r>
          </w:p>
        </w:tc>
        <w:tc>
          <w:tcPr>
            <w:tcW w:w="1305" w:type="dxa"/>
            <w:gridSpan w:val="2"/>
          </w:tcPr>
          <w:p w:rsidR="001F25C8" w:rsidRPr="001F25C8" w:rsidRDefault="001F25C8" w:rsidP="00B875EC">
            <w:pPr>
              <w:jc w:val="both"/>
              <w:rPr>
                <w:sz w:val="26"/>
                <w:szCs w:val="26"/>
              </w:rPr>
            </w:pPr>
            <w:r w:rsidRPr="001F25C8">
              <w:rPr>
                <w:sz w:val="26"/>
                <w:szCs w:val="26"/>
              </w:rPr>
              <w:t>0</w:t>
            </w:r>
          </w:p>
        </w:tc>
      </w:tr>
      <w:tr w:rsidR="001F25C8" w:rsidRPr="001F25C8" w:rsidTr="00B875EC">
        <w:trPr>
          <w:trHeight w:val="2254"/>
          <w:jc w:val="center"/>
        </w:trPr>
        <w:tc>
          <w:tcPr>
            <w:tcW w:w="2753" w:type="dxa"/>
          </w:tcPr>
          <w:p w:rsidR="001F25C8" w:rsidRPr="001F25C8" w:rsidRDefault="001F25C8" w:rsidP="00B875EC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1F25C8">
              <w:rPr>
                <w:sz w:val="26"/>
                <w:szCs w:val="26"/>
                <w:lang w:eastAsia="ar-SA"/>
              </w:rPr>
              <w:t>4. Finanšu līdzekļi papildu izde</w:t>
            </w:r>
            <w:r w:rsidRPr="001F25C8">
              <w:rPr>
                <w:sz w:val="26"/>
                <w:szCs w:val="26"/>
                <w:lang w:eastAsia="ar-SA"/>
              </w:rPr>
              <w:softHyphen/>
              <w:t>vumu finansēšanai (kompensējošu izdevumu samazinājumu norāda ar "+" zīmi)</w:t>
            </w:r>
          </w:p>
        </w:tc>
        <w:tc>
          <w:tcPr>
            <w:tcW w:w="1276" w:type="dxa"/>
          </w:tcPr>
          <w:p w:rsidR="001F25C8" w:rsidRPr="001F25C8" w:rsidRDefault="001F25C8" w:rsidP="00B875EC">
            <w:pPr>
              <w:jc w:val="both"/>
              <w:rPr>
                <w:sz w:val="26"/>
                <w:szCs w:val="26"/>
              </w:rPr>
            </w:pPr>
            <w:r w:rsidRPr="001F25C8">
              <w:rPr>
                <w:sz w:val="26"/>
                <w:szCs w:val="26"/>
              </w:rPr>
              <w:t>0</w:t>
            </w:r>
          </w:p>
        </w:tc>
        <w:tc>
          <w:tcPr>
            <w:tcW w:w="1334" w:type="dxa"/>
            <w:gridSpan w:val="2"/>
          </w:tcPr>
          <w:p w:rsidR="001F25C8" w:rsidRPr="001F25C8" w:rsidRDefault="001F25C8" w:rsidP="00B875EC">
            <w:pPr>
              <w:jc w:val="both"/>
              <w:rPr>
                <w:sz w:val="26"/>
                <w:szCs w:val="26"/>
              </w:rPr>
            </w:pPr>
            <w:r w:rsidRPr="001F25C8">
              <w:rPr>
                <w:sz w:val="26"/>
                <w:szCs w:val="26"/>
              </w:rPr>
              <w:t>0</w:t>
            </w:r>
          </w:p>
        </w:tc>
        <w:tc>
          <w:tcPr>
            <w:tcW w:w="1334" w:type="dxa"/>
            <w:gridSpan w:val="2"/>
          </w:tcPr>
          <w:p w:rsidR="001F25C8" w:rsidRPr="001F25C8" w:rsidRDefault="001F25C8" w:rsidP="00B875EC">
            <w:pPr>
              <w:jc w:val="both"/>
              <w:rPr>
                <w:sz w:val="26"/>
                <w:szCs w:val="26"/>
              </w:rPr>
            </w:pPr>
            <w:r w:rsidRPr="001F25C8">
              <w:rPr>
                <w:sz w:val="26"/>
                <w:szCs w:val="26"/>
              </w:rPr>
              <w:t>0</w:t>
            </w:r>
          </w:p>
        </w:tc>
        <w:tc>
          <w:tcPr>
            <w:tcW w:w="1334" w:type="dxa"/>
            <w:gridSpan w:val="2"/>
          </w:tcPr>
          <w:p w:rsidR="001F25C8" w:rsidRPr="001F25C8" w:rsidRDefault="001F25C8" w:rsidP="00B875EC">
            <w:pPr>
              <w:jc w:val="both"/>
              <w:rPr>
                <w:sz w:val="26"/>
                <w:szCs w:val="26"/>
              </w:rPr>
            </w:pPr>
            <w:r w:rsidRPr="001F25C8">
              <w:rPr>
                <w:sz w:val="26"/>
                <w:szCs w:val="26"/>
              </w:rPr>
              <w:t>0</w:t>
            </w:r>
          </w:p>
        </w:tc>
        <w:tc>
          <w:tcPr>
            <w:tcW w:w="1305" w:type="dxa"/>
            <w:gridSpan w:val="2"/>
          </w:tcPr>
          <w:p w:rsidR="001F25C8" w:rsidRPr="001F25C8" w:rsidRDefault="001F25C8" w:rsidP="00B875EC">
            <w:pPr>
              <w:jc w:val="both"/>
              <w:rPr>
                <w:sz w:val="26"/>
                <w:szCs w:val="26"/>
              </w:rPr>
            </w:pPr>
            <w:r w:rsidRPr="001F25C8">
              <w:rPr>
                <w:sz w:val="26"/>
                <w:szCs w:val="26"/>
              </w:rPr>
              <w:t>0</w:t>
            </w:r>
          </w:p>
        </w:tc>
      </w:tr>
      <w:tr w:rsidR="001F25C8" w:rsidRPr="001F25C8" w:rsidTr="00B875EC">
        <w:trPr>
          <w:jc w:val="center"/>
        </w:trPr>
        <w:tc>
          <w:tcPr>
            <w:tcW w:w="2753" w:type="dxa"/>
          </w:tcPr>
          <w:p w:rsidR="001F25C8" w:rsidRPr="001F25C8" w:rsidRDefault="001F25C8" w:rsidP="00B875EC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1F25C8">
              <w:rPr>
                <w:sz w:val="26"/>
                <w:szCs w:val="26"/>
                <w:lang w:eastAsia="ar-SA"/>
              </w:rPr>
              <w:t>5. Precizēta finansiālā ietekme:</w:t>
            </w:r>
          </w:p>
        </w:tc>
        <w:tc>
          <w:tcPr>
            <w:tcW w:w="1276" w:type="dxa"/>
            <w:vMerge w:val="restart"/>
          </w:tcPr>
          <w:p w:rsidR="001F25C8" w:rsidRPr="001F25C8" w:rsidRDefault="001F25C8" w:rsidP="00B875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4" w:type="dxa"/>
            <w:gridSpan w:val="2"/>
          </w:tcPr>
          <w:p w:rsidR="001F25C8" w:rsidRPr="001F25C8" w:rsidRDefault="001F25C8" w:rsidP="00B875EC">
            <w:pPr>
              <w:jc w:val="both"/>
              <w:rPr>
                <w:sz w:val="26"/>
                <w:szCs w:val="26"/>
              </w:rPr>
            </w:pPr>
            <w:r w:rsidRPr="001F25C8">
              <w:rPr>
                <w:sz w:val="26"/>
                <w:szCs w:val="26"/>
              </w:rPr>
              <w:t>0</w:t>
            </w:r>
          </w:p>
        </w:tc>
        <w:tc>
          <w:tcPr>
            <w:tcW w:w="1334" w:type="dxa"/>
            <w:gridSpan w:val="2"/>
          </w:tcPr>
          <w:p w:rsidR="001F25C8" w:rsidRPr="001F25C8" w:rsidRDefault="001F25C8" w:rsidP="00B875EC">
            <w:pPr>
              <w:jc w:val="both"/>
              <w:rPr>
                <w:sz w:val="26"/>
                <w:szCs w:val="26"/>
              </w:rPr>
            </w:pPr>
            <w:r w:rsidRPr="001F25C8">
              <w:rPr>
                <w:sz w:val="26"/>
                <w:szCs w:val="26"/>
              </w:rPr>
              <w:t>0</w:t>
            </w:r>
          </w:p>
        </w:tc>
        <w:tc>
          <w:tcPr>
            <w:tcW w:w="1334" w:type="dxa"/>
            <w:gridSpan w:val="2"/>
          </w:tcPr>
          <w:p w:rsidR="001F25C8" w:rsidRPr="001F25C8" w:rsidRDefault="001F25C8" w:rsidP="00B875EC">
            <w:pPr>
              <w:jc w:val="both"/>
              <w:rPr>
                <w:sz w:val="26"/>
                <w:szCs w:val="26"/>
              </w:rPr>
            </w:pPr>
            <w:r w:rsidRPr="001F25C8">
              <w:rPr>
                <w:sz w:val="26"/>
                <w:szCs w:val="26"/>
              </w:rPr>
              <w:t>0</w:t>
            </w:r>
          </w:p>
        </w:tc>
        <w:tc>
          <w:tcPr>
            <w:tcW w:w="1305" w:type="dxa"/>
            <w:gridSpan w:val="2"/>
          </w:tcPr>
          <w:p w:rsidR="001F25C8" w:rsidRPr="001F25C8" w:rsidRDefault="001F25C8" w:rsidP="00B875EC">
            <w:pPr>
              <w:jc w:val="both"/>
              <w:rPr>
                <w:sz w:val="26"/>
                <w:szCs w:val="26"/>
              </w:rPr>
            </w:pPr>
            <w:r w:rsidRPr="001F25C8">
              <w:rPr>
                <w:sz w:val="26"/>
                <w:szCs w:val="26"/>
              </w:rPr>
              <w:t>0</w:t>
            </w:r>
          </w:p>
        </w:tc>
      </w:tr>
      <w:tr w:rsidR="001F25C8" w:rsidRPr="001F25C8" w:rsidTr="00B875EC">
        <w:trPr>
          <w:jc w:val="center"/>
        </w:trPr>
        <w:tc>
          <w:tcPr>
            <w:tcW w:w="2753" w:type="dxa"/>
          </w:tcPr>
          <w:p w:rsidR="001F25C8" w:rsidRPr="001F25C8" w:rsidRDefault="001F25C8" w:rsidP="00B875EC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1F25C8">
              <w:rPr>
                <w:sz w:val="26"/>
                <w:szCs w:val="26"/>
                <w:lang w:eastAsia="ar-SA"/>
              </w:rPr>
              <w:t>5.1. valsts pamatbudžets</w:t>
            </w:r>
          </w:p>
        </w:tc>
        <w:tc>
          <w:tcPr>
            <w:tcW w:w="1276" w:type="dxa"/>
            <w:vMerge/>
            <w:vAlign w:val="center"/>
          </w:tcPr>
          <w:p w:rsidR="001F25C8" w:rsidRPr="001F25C8" w:rsidRDefault="001F25C8" w:rsidP="00B875EC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334" w:type="dxa"/>
            <w:gridSpan w:val="2"/>
          </w:tcPr>
          <w:p w:rsidR="001F25C8" w:rsidRPr="001F25C8" w:rsidRDefault="001F25C8" w:rsidP="00B875EC">
            <w:pPr>
              <w:jc w:val="both"/>
              <w:rPr>
                <w:sz w:val="26"/>
                <w:szCs w:val="26"/>
              </w:rPr>
            </w:pPr>
            <w:r w:rsidRPr="001F25C8">
              <w:rPr>
                <w:sz w:val="26"/>
                <w:szCs w:val="26"/>
              </w:rPr>
              <w:t>0</w:t>
            </w:r>
          </w:p>
        </w:tc>
        <w:tc>
          <w:tcPr>
            <w:tcW w:w="1334" w:type="dxa"/>
            <w:gridSpan w:val="2"/>
          </w:tcPr>
          <w:p w:rsidR="001F25C8" w:rsidRPr="001F25C8" w:rsidRDefault="001F25C8" w:rsidP="00B875EC">
            <w:pPr>
              <w:jc w:val="both"/>
              <w:rPr>
                <w:sz w:val="26"/>
                <w:szCs w:val="26"/>
              </w:rPr>
            </w:pPr>
            <w:r w:rsidRPr="001F25C8">
              <w:rPr>
                <w:sz w:val="26"/>
                <w:szCs w:val="26"/>
              </w:rPr>
              <w:t>0</w:t>
            </w:r>
          </w:p>
        </w:tc>
        <w:tc>
          <w:tcPr>
            <w:tcW w:w="1334" w:type="dxa"/>
            <w:gridSpan w:val="2"/>
          </w:tcPr>
          <w:p w:rsidR="001F25C8" w:rsidRPr="001F25C8" w:rsidRDefault="001F25C8" w:rsidP="00B875EC">
            <w:pPr>
              <w:jc w:val="both"/>
              <w:rPr>
                <w:sz w:val="26"/>
                <w:szCs w:val="26"/>
              </w:rPr>
            </w:pPr>
            <w:r w:rsidRPr="001F25C8">
              <w:rPr>
                <w:sz w:val="26"/>
                <w:szCs w:val="26"/>
              </w:rPr>
              <w:t>0</w:t>
            </w:r>
          </w:p>
        </w:tc>
        <w:tc>
          <w:tcPr>
            <w:tcW w:w="1305" w:type="dxa"/>
            <w:gridSpan w:val="2"/>
          </w:tcPr>
          <w:p w:rsidR="001F25C8" w:rsidRPr="001F25C8" w:rsidRDefault="001F25C8" w:rsidP="00B875EC">
            <w:pPr>
              <w:jc w:val="both"/>
              <w:rPr>
                <w:sz w:val="26"/>
                <w:szCs w:val="26"/>
              </w:rPr>
            </w:pPr>
            <w:r w:rsidRPr="001F25C8">
              <w:rPr>
                <w:sz w:val="26"/>
                <w:szCs w:val="26"/>
              </w:rPr>
              <w:t>0</w:t>
            </w:r>
          </w:p>
        </w:tc>
      </w:tr>
      <w:tr w:rsidR="001F25C8" w:rsidRPr="001F25C8" w:rsidTr="00B875EC">
        <w:trPr>
          <w:jc w:val="center"/>
        </w:trPr>
        <w:tc>
          <w:tcPr>
            <w:tcW w:w="2753" w:type="dxa"/>
          </w:tcPr>
          <w:p w:rsidR="001F25C8" w:rsidRPr="001F25C8" w:rsidRDefault="001F25C8" w:rsidP="00B875EC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1F25C8">
              <w:rPr>
                <w:sz w:val="26"/>
                <w:szCs w:val="26"/>
                <w:lang w:eastAsia="ar-SA"/>
              </w:rPr>
              <w:t>5.2. speciālais budžets</w:t>
            </w:r>
          </w:p>
        </w:tc>
        <w:tc>
          <w:tcPr>
            <w:tcW w:w="1276" w:type="dxa"/>
            <w:vMerge/>
            <w:vAlign w:val="center"/>
          </w:tcPr>
          <w:p w:rsidR="001F25C8" w:rsidRPr="001F25C8" w:rsidRDefault="001F25C8" w:rsidP="00B875EC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334" w:type="dxa"/>
            <w:gridSpan w:val="2"/>
          </w:tcPr>
          <w:p w:rsidR="001F25C8" w:rsidRPr="001F25C8" w:rsidRDefault="001F25C8" w:rsidP="00B875EC">
            <w:pPr>
              <w:jc w:val="both"/>
              <w:rPr>
                <w:sz w:val="26"/>
                <w:szCs w:val="26"/>
              </w:rPr>
            </w:pPr>
            <w:r w:rsidRPr="001F25C8">
              <w:rPr>
                <w:sz w:val="26"/>
                <w:szCs w:val="26"/>
              </w:rPr>
              <w:t>0</w:t>
            </w:r>
          </w:p>
        </w:tc>
        <w:tc>
          <w:tcPr>
            <w:tcW w:w="1334" w:type="dxa"/>
            <w:gridSpan w:val="2"/>
          </w:tcPr>
          <w:p w:rsidR="001F25C8" w:rsidRPr="001F25C8" w:rsidRDefault="001F25C8" w:rsidP="00B875EC">
            <w:pPr>
              <w:jc w:val="both"/>
              <w:rPr>
                <w:sz w:val="26"/>
                <w:szCs w:val="26"/>
              </w:rPr>
            </w:pPr>
            <w:r w:rsidRPr="001F25C8">
              <w:rPr>
                <w:sz w:val="26"/>
                <w:szCs w:val="26"/>
              </w:rPr>
              <w:t>0</w:t>
            </w:r>
          </w:p>
        </w:tc>
        <w:tc>
          <w:tcPr>
            <w:tcW w:w="1334" w:type="dxa"/>
            <w:gridSpan w:val="2"/>
          </w:tcPr>
          <w:p w:rsidR="001F25C8" w:rsidRPr="001F25C8" w:rsidRDefault="001F25C8" w:rsidP="00B875EC">
            <w:pPr>
              <w:jc w:val="both"/>
              <w:rPr>
                <w:sz w:val="26"/>
                <w:szCs w:val="26"/>
              </w:rPr>
            </w:pPr>
            <w:r w:rsidRPr="001F25C8">
              <w:rPr>
                <w:sz w:val="26"/>
                <w:szCs w:val="26"/>
              </w:rPr>
              <w:t>0</w:t>
            </w:r>
          </w:p>
        </w:tc>
        <w:tc>
          <w:tcPr>
            <w:tcW w:w="1305" w:type="dxa"/>
            <w:gridSpan w:val="2"/>
          </w:tcPr>
          <w:p w:rsidR="001F25C8" w:rsidRPr="001F25C8" w:rsidRDefault="001F25C8" w:rsidP="00B875EC">
            <w:pPr>
              <w:jc w:val="both"/>
              <w:rPr>
                <w:sz w:val="26"/>
                <w:szCs w:val="26"/>
              </w:rPr>
            </w:pPr>
            <w:r w:rsidRPr="001F25C8">
              <w:rPr>
                <w:sz w:val="26"/>
                <w:szCs w:val="26"/>
              </w:rPr>
              <w:t>0</w:t>
            </w:r>
          </w:p>
        </w:tc>
      </w:tr>
      <w:tr w:rsidR="001F25C8" w:rsidRPr="001F25C8" w:rsidTr="00B875EC">
        <w:trPr>
          <w:jc w:val="center"/>
        </w:trPr>
        <w:tc>
          <w:tcPr>
            <w:tcW w:w="2753" w:type="dxa"/>
          </w:tcPr>
          <w:p w:rsidR="001F25C8" w:rsidRPr="001F25C8" w:rsidRDefault="001F25C8" w:rsidP="00B875EC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1F25C8">
              <w:rPr>
                <w:sz w:val="26"/>
                <w:szCs w:val="26"/>
                <w:lang w:eastAsia="ar-SA"/>
              </w:rPr>
              <w:t xml:space="preserve">5.3. pašvaldību budžets </w:t>
            </w:r>
          </w:p>
        </w:tc>
        <w:tc>
          <w:tcPr>
            <w:tcW w:w="1276" w:type="dxa"/>
            <w:vMerge/>
            <w:vAlign w:val="center"/>
          </w:tcPr>
          <w:p w:rsidR="001F25C8" w:rsidRPr="001F25C8" w:rsidRDefault="001F25C8" w:rsidP="00B875EC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334" w:type="dxa"/>
            <w:gridSpan w:val="2"/>
          </w:tcPr>
          <w:p w:rsidR="001F25C8" w:rsidRPr="001F25C8" w:rsidRDefault="001F25C8" w:rsidP="00B875EC">
            <w:pPr>
              <w:jc w:val="both"/>
              <w:rPr>
                <w:sz w:val="26"/>
                <w:szCs w:val="26"/>
              </w:rPr>
            </w:pPr>
            <w:r w:rsidRPr="001F25C8">
              <w:rPr>
                <w:sz w:val="26"/>
                <w:szCs w:val="26"/>
              </w:rPr>
              <w:t>0</w:t>
            </w:r>
          </w:p>
        </w:tc>
        <w:tc>
          <w:tcPr>
            <w:tcW w:w="1334" w:type="dxa"/>
            <w:gridSpan w:val="2"/>
          </w:tcPr>
          <w:p w:rsidR="001F25C8" w:rsidRPr="001F25C8" w:rsidRDefault="001F25C8" w:rsidP="00B875EC">
            <w:pPr>
              <w:jc w:val="both"/>
              <w:rPr>
                <w:sz w:val="26"/>
                <w:szCs w:val="26"/>
              </w:rPr>
            </w:pPr>
            <w:r w:rsidRPr="001F25C8">
              <w:rPr>
                <w:sz w:val="26"/>
                <w:szCs w:val="26"/>
              </w:rPr>
              <w:t>0</w:t>
            </w:r>
          </w:p>
        </w:tc>
        <w:tc>
          <w:tcPr>
            <w:tcW w:w="1334" w:type="dxa"/>
            <w:gridSpan w:val="2"/>
          </w:tcPr>
          <w:p w:rsidR="001F25C8" w:rsidRPr="001F25C8" w:rsidRDefault="001F25C8" w:rsidP="00B875EC">
            <w:pPr>
              <w:jc w:val="both"/>
              <w:rPr>
                <w:sz w:val="26"/>
                <w:szCs w:val="26"/>
              </w:rPr>
            </w:pPr>
            <w:r w:rsidRPr="001F25C8">
              <w:rPr>
                <w:sz w:val="26"/>
                <w:szCs w:val="26"/>
              </w:rPr>
              <w:t>0</w:t>
            </w:r>
          </w:p>
        </w:tc>
        <w:tc>
          <w:tcPr>
            <w:tcW w:w="1305" w:type="dxa"/>
            <w:gridSpan w:val="2"/>
          </w:tcPr>
          <w:p w:rsidR="001F25C8" w:rsidRPr="001F25C8" w:rsidRDefault="001F25C8" w:rsidP="00B875EC">
            <w:pPr>
              <w:jc w:val="both"/>
              <w:rPr>
                <w:sz w:val="26"/>
                <w:szCs w:val="26"/>
              </w:rPr>
            </w:pPr>
            <w:r w:rsidRPr="001F25C8">
              <w:rPr>
                <w:sz w:val="26"/>
                <w:szCs w:val="26"/>
              </w:rPr>
              <w:t>0</w:t>
            </w:r>
          </w:p>
        </w:tc>
      </w:tr>
      <w:tr w:rsidR="001F25C8" w:rsidRPr="001F25C8" w:rsidTr="00B875EC">
        <w:trPr>
          <w:jc w:val="center"/>
        </w:trPr>
        <w:tc>
          <w:tcPr>
            <w:tcW w:w="2753" w:type="dxa"/>
          </w:tcPr>
          <w:p w:rsidR="001F25C8" w:rsidRPr="001F25C8" w:rsidRDefault="001F25C8" w:rsidP="00B875EC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1F25C8">
              <w:rPr>
                <w:sz w:val="26"/>
                <w:szCs w:val="26"/>
                <w:lang w:eastAsia="ar-SA"/>
              </w:rPr>
              <w:t xml:space="preserve">6. Detalizēts ieņēmumu </w:t>
            </w:r>
            <w:r w:rsidRPr="001F25C8">
              <w:rPr>
                <w:sz w:val="26"/>
                <w:szCs w:val="26"/>
                <w:lang w:eastAsia="ar-SA"/>
              </w:rPr>
              <w:lastRenderedPageBreak/>
              <w:t>un izdevu</w:t>
            </w:r>
            <w:r w:rsidRPr="001F25C8">
              <w:rPr>
                <w:sz w:val="26"/>
                <w:szCs w:val="26"/>
                <w:lang w:eastAsia="ar-SA"/>
              </w:rPr>
              <w:softHyphen/>
              <w:t>mu aprēķins (ja nepieciešams, detalizētu ieņēmumu un izdevumu aprēķinu var pievienot anotācijas pielikumā):</w:t>
            </w:r>
          </w:p>
        </w:tc>
        <w:tc>
          <w:tcPr>
            <w:tcW w:w="6583" w:type="dxa"/>
            <w:gridSpan w:val="9"/>
            <w:vMerge w:val="restart"/>
            <w:vAlign w:val="center"/>
          </w:tcPr>
          <w:p w:rsidR="001F25C8" w:rsidRPr="001F25C8" w:rsidRDefault="001F25C8" w:rsidP="00B875EC">
            <w:pPr>
              <w:jc w:val="both"/>
              <w:rPr>
                <w:sz w:val="26"/>
                <w:szCs w:val="26"/>
              </w:rPr>
            </w:pPr>
          </w:p>
        </w:tc>
      </w:tr>
      <w:tr w:rsidR="001F25C8" w:rsidRPr="001F25C8" w:rsidTr="00B875EC">
        <w:trPr>
          <w:jc w:val="center"/>
        </w:trPr>
        <w:tc>
          <w:tcPr>
            <w:tcW w:w="2753" w:type="dxa"/>
          </w:tcPr>
          <w:p w:rsidR="001F25C8" w:rsidRPr="001F25C8" w:rsidRDefault="001F25C8" w:rsidP="00B875EC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1F25C8">
              <w:rPr>
                <w:sz w:val="26"/>
                <w:szCs w:val="26"/>
                <w:lang w:eastAsia="ar-SA"/>
              </w:rPr>
              <w:lastRenderedPageBreak/>
              <w:t>6.1. detalizēts ieņēmumu aprēķins</w:t>
            </w:r>
          </w:p>
        </w:tc>
        <w:tc>
          <w:tcPr>
            <w:tcW w:w="6583" w:type="dxa"/>
            <w:gridSpan w:val="9"/>
            <w:vMerge/>
          </w:tcPr>
          <w:p w:rsidR="001F25C8" w:rsidRPr="001F25C8" w:rsidRDefault="001F25C8" w:rsidP="00B875EC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1F25C8" w:rsidRPr="001F25C8" w:rsidTr="00B875EC">
        <w:trPr>
          <w:jc w:val="center"/>
        </w:trPr>
        <w:tc>
          <w:tcPr>
            <w:tcW w:w="2753" w:type="dxa"/>
          </w:tcPr>
          <w:p w:rsidR="001F25C8" w:rsidRPr="001F25C8" w:rsidRDefault="001F25C8" w:rsidP="00B875EC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1F25C8">
              <w:rPr>
                <w:sz w:val="26"/>
                <w:szCs w:val="26"/>
                <w:lang w:eastAsia="ar-SA"/>
              </w:rPr>
              <w:t>6.2. detalizēts izdevumu aprēķins</w:t>
            </w:r>
          </w:p>
        </w:tc>
        <w:tc>
          <w:tcPr>
            <w:tcW w:w="6583" w:type="dxa"/>
            <w:gridSpan w:val="9"/>
            <w:vMerge/>
          </w:tcPr>
          <w:p w:rsidR="001F25C8" w:rsidRPr="001F25C8" w:rsidRDefault="001F25C8" w:rsidP="00B875EC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1F25C8" w:rsidRPr="001F25C8" w:rsidTr="00B875EC">
        <w:trPr>
          <w:jc w:val="center"/>
        </w:trPr>
        <w:tc>
          <w:tcPr>
            <w:tcW w:w="2753" w:type="dxa"/>
          </w:tcPr>
          <w:p w:rsidR="001F25C8" w:rsidRPr="001F25C8" w:rsidRDefault="001F25C8" w:rsidP="00B875EC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1F25C8">
              <w:rPr>
                <w:sz w:val="26"/>
                <w:szCs w:val="26"/>
                <w:lang w:eastAsia="ar-SA"/>
              </w:rPr>
              <w:t>7. Cita informācija</w:t>
            </w:r>
          </w:p>
        </w:tc>
        <w:tc>
          <w:tcPr>
            <w:tcW w:w="6583" w:type="dxa"/>
            <w:gridSpan w:val="9"/>
          </w:tcPr>
          <w:p w:rsidR="001F25C8" w:rsidRPr="001F25C8" w:rsidRDefault="007E4F4A" w:rsidP="006D1514">
            <w:pPr>
              <w:pStyle w:val="naiskr"/>
              <w:spacing w:before="0" w:after="0"/>
              <w:ind w:left="-5" w:righ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Lai </w:t>
            </w:r>
            <w:r w:rsidR="001F25C8" w:rsidRPr="001F25C8">
              <w:rPr>
                <w:sz w:val="26"/>
                <w:szCs w:val="26"/>
              </w:rPr>
              <w:t xml:space="preserve">nodrošinātu </w:t>
            </w:r>
            <w:r w:rsidRPr="00D155C3">
              <w:rPr>
                <w:sz w:val="26"/>
                <w:szCs w:val="26"/>
              </w:rPr>
              <w:t xml:space="preserve">Ministru kabineta 2009.gada 28.jūlija noteikumos Nr.836 „Pedagogu darba samaksas noteikumi””, </w:t>
            </w:r>
            <w:r w:rsidRPr="00D155C3">
              <w:rPr>
                <w:bCs/>
                <w:sz w:val="26"/>
                <w:szCs w:val="26"/>
              </w:rPr>
              <w:t xml:space="preserve">ar 2013.gada 1.septembri </w:t>
            </w:r>
            <w:r>
              <w:rPr>
                <w:sz w:val="26"/>
                <w:szCs w:val="26"/>
              </w:rPr>
              <w:t>noteiktās kvalitātes piemaksas</w:t>
            </w:r>
            <w:r w:rsidRPr="00D155C3">
              <w:rPr>
                <w:bCs/>
                <w:sz w:val="26"/>
                <w:szCs w:val="26"/>
              </w:rPr>
              <w:t xml:space="preserve"> profesionālās ievirzes sporta izglītības iestāžu pedagogiem, </w:t>
            </w:r>
            <w:r w:rsidR="006D1514">
              <w:rPr>
                <w:bCs/>
                <w:sz w:val="26"/>
                <w:szCs w:val="26"/>
              </w:rPr>
              <w:t xml:space="preserve">likumā „Par valsts budžetu 2014.gadam” </w:t>
            </w:r>
            <w:r w:rsidR="006D1514">
              <w:rPr>
                <w:sz w:val="26"/>
                <w:szCs w:val="26"/>
              </w:rPr>
              <w:t>apakšprogrammā</w:t>
            </w:r>
            <w:r w:rsidR="00CA7AF1">
              <w:rPr>
                <w:sz w:val="26"/>
                <w:szCs w:val="26"/>
              </w:rPr>
              <w:t xml:space="preserve"> 09.19.00 „</w:t>
            </w:r>
            <w:r w:rsidR="00CA7AF1" w:rsidRPr="00CA7AF1">
              <w:rPr>
                <w:sz w:val="26"/>
                <w:szCs w:val="26"/>
              </w:rPr>
              <w:t>Finansējums profesionālās ievirzes sporta izglītības programmu pedagogu darba samaksai un valsts sociālās apdrošināšana</w:t>
            </w:r>
            <w:r w:rsidR="00CA7AF1">
              <w:rPr>
                <w:sz w:val="26"/>
                <w:szCs w:val="26"/>
              </w:rPr>
              <w:t>s obligātajām iemaksām”</w:t>
            </w:r>
            <w:r w:rsidR="00CA7AF1" w:rsidRPr="00CA7AF1">
              <w:rPr>
                <w:sz w:val="26"/>
                <w:szCs w:val="26"/>
              </w:rPr>
              <w:t xml:space="preserve"> </w:t>
            </w:r>
            <w:r w:rsidR="006D1514">
              <w:rPr>
                <w:sz w:val="26"/>
                <w:szCs w:val="26"/>
              </w:rPr>
              <w:t xml:space="preserve">paredzēts </w:t>
            </w:r>
            <w:r w:rsidR="00CA7AF1" w:rsidRPr="00CA7AF1">
              <w:rPr>
                <w:sz w:val="26"/>
                <w:szCs w:val="26"/>
              </w:rPr>
              <w:t>116 778 latu (166 160 EUR) 2014.gadā un turpmākajos gados</w:t>
            </w:r>
            <w:r w:rsidR="00CA7AF1">
              <w:rPr>
                <w:sz w:val="26"/>
                <w:szCs w:val="26"/>
              </w:rPr>
              <w:t>.</w:t>
            </w:r>
          </w:p>
        </w:tc>
      </w:tr>
    </w:tbl>
    <w:p w:rsidR="001F25C8" w:rsidRPr="00A57CF7" w:rsidRDefault="001F25C8" w:rsidP="004B0768">
      <w:pPr>
        <w:pStyle w:val="naisf"/>
        <w:spacing w:before="0" w:after="0"/>
        <w:ind w:firstLine="0"/>
        <w:rPr>
          <w:sz w:val="26"/>
          <w:szCs w:val="26"/>
        </w:rPr>
      </w:pPr>
    </w:p>
    <w:p w:rsidR="00440F5F" w:rsidRPr="00A57CF7" w:rsidRDefault="005A337D" w:rsidP="004B0768">
      <w:pPr>
        <w:pStyle w:val="naisf"/>
        <w:spacing w:before="0" w:after="0"/>
        <w:ind w:firstLine="0"/>
        <w:rPr>
          <w:sz w:val="26"/>
          <w:szCs w:val="26"/>
        </w:rPr>
      </w:pPr>
      <w:r w:rsidRPr="00A57CF7">
        <w:rPr>
          <w:sz w:val="26"/>
          <w:szCs w:val="26"/>
        </w:rPr>
        <w:t>Anotācijas</w:t>
      </w:r>
      <w:r w:rsidR="009832D2" w:rsidRPr="00A57CF7">
        <w:rPr>
          <w:sz w:val="26"/>
          <w:szCs w:val="26"/>
        </w:rPr>
        <w:t xml:space="preserve"> IV</w:t>
      </w:r>
      <w:r w:rsidR="00CA7AF1">
        <w:rPr>
          <w:sz w:val="26"/>
          <w:szCs w:val="26"/>
        </w:rPr>
        <w:t xml:space="preserve">, </w:t>
      </w:r>
      <w:r w:rsidR="009832D2" w:rsidRPr="00A57CF7">
        <w:rPr>
          <w:sz w:val="26"/>
          <w:szCs w:val="26"/>
        </w:rPr>
        <w:t xml:space="preserve">V </w:t>
      </w:r>
      <w:r w:rsidR="00CA7AF1">
        <w:rPr>
          <w:sz w:val="26"/>
          <w:szCs w:val="26"/>
        </w:rPr>
        <w:t xml:space="preserve">un VI </w:t>
      </w:r>
      <w:r w:rsidR="00440F5F" w:rsidRPr="00A57CF7">
        <w:rPr>
          <w:sz w:val="26"/>
          <w:szCs w:val="26"/>
        </w:rPr>
        <w:t>sadaļa – Projekts šīs jomas neskar.</w:t>
      </w:r>
    </w:p>
    <w:p w:rsidR="001E40A5" w:rsidRPr="00A57CF7" w:rsidRDefault="001E40A5" w:rsidP="004B0768">
      <w:pPr>
        <w:pStyle w:val="naisf"/>
        <w:spacing w:before="0" w:after="0"/>
        <w:ind w:firstLine="0"/>
        <w:rPr>
          <w:sz w:val="26"/>
          <w:szCs w:val="26"/>
        </w:rPr>
      </w:pPr>
    </w:p>
    <w:p w:rsidR="00744CCE" w:rsidRPr="00A57CF7" w:rsidRDefault="00744CCE" w:rsidP="004B0768">
      <w:pPr>
        <w:pStyle w:val="naisf"/>
        <w:spacing w:before="0" w:after="0"/>
        <w:ind w:firstLine="0"/>
        <w:rPr>
          <w:sz w:val="26"/>
          <w:szCs w:val="26"/>
        </w:rPr>
      </w:pPr>
    </w:p>
    <w:tbl>
      <w:tblPr>
        <w:tblW w:w="9356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68"/>
        <w:gridCol w:w="4172"/>
        <w:gridCol w:w="4616"/>
      </w:tblGrid>
      <w:tr w:rsidR="004B0768" w:rsidRPr="00A57CF7" w:rsidTr="00F91D09">
        <w:tc>
          <w:tcPr>
            <w:tcW w:w="9356" w:type="dxa"/>
            <w:gridSpan w:val="3"/>
            <w:tcBorders>
              <w:top w:val="single" w:sz="4" w:space="0" w:color="auto"/>
            </w:tcBorders>
          </w:tcPr>
          <w:p w:rsidR="004B0768" w:rsidRPr="00A57CF7" w:rsidRDefault="004B0768" w:rsidP="000A4A7D">
            <w:pPr>
              <w:pStyle w:val="naisnod"/>
              <w:spacing w:before="0" w:after="0"/>
              <w:ind w:left="57" w:right="57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VII. Tiesību akta projekta izpildes nodrošināšana un tās ietekme uz institūcijām</w:t>
            </w:r>
          </w:p>
        </w:tc>
      </w:tr>
      <w:tr w:rsidR="004B0768" w:rsidRPr="00A57CF7" w:rsidTr="00F91D09">
        <w:trPr>
          <w:trHeight w:val="427"/>
        </w:trPr>
        <w:tc>
          <w:tcPr>
            <w:tcW w:w="568" w:type="dxa"/>
          </w:tcPr>
          <w:p w:rsidR="004B0768" w:rsidRPr="00A57CF7" w:rsidRDefault="004B0768" w:rsidP="000A4A7D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6"/>
                <w:szCs w:val="26"/>
              </w:rPr>
            </w:pPr>
            <w:r w:rsidRPr="00A57CF7">
              <w:rPr>
                <w:b w:val="0"/>
                <w:sz w:val="26"/>
                <w:szCs w:val="26"/>
              </w:rPr>
              <w:t>1.</w:t>
            </w:r>
          </w:p>
        </w:tc>
        <w:tc>
          <w:tcPr>
            <w:tcW w:w="4172" w:type="dxa"/>
          </w:tcPr>
          <w:p w:rsidR="004B0768" w:rsidRPr="00A57CF7" w:rsidRDefault="004B0768" w:rsidP="000A4A7D">
            <w:pPr>
              <w:pStyle w:val="naisf"/>
              <w:spacing w:before="0" w:after="0"/>
              <w:ind w:left="57" w:right="57" w:firstLine="0"/>
              <w:jc w:val="left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 xml:space="preserve">Projekta izpildē iesaistītās institūcijas </w:t>
            </w:r>
          </w:p>
        </w:tc>
        <w:tc>
          <w:tcPr>
            <w:tcW w:w="4616" w:type="dxa"/>
          </w:tcPr>
          <w:p w:rsidR="008E7733" w:rsidRPr="00A57CF7" w:rsidRDefault="004B0768" w:rsidP="003B2684">
            <w:pPr>
              <w:pStyle w:val="naisnod"/>
              <w:spacing w:before="0" w:after="0"/>
              <w:ind w:left="57" w:right="57"/>
              <w:jc w:val="both"/>
              <w:rPr>
                <w:b w:val="0"/>
                <w:sz w:val="26"/>
                <w:szCs w:val="26"/>
              </w:rPr>
            </w:pPr>
            <w:r w:rsidRPr="00A57CF7">
              <w:rPr>
                <w:b w:val="0"/>
                <w:iCs/>
                <w:sz w:val="26"/>
                <w:szCs w:val="26"/>
              </w:rPr>
              <w:t>Iz</w:t>
            </w:r>
            <w:r w:rsidR="003B2684">
              <w:rPr>
                <w:b w:val="0"/>
                <w:iCs/>
                <w:sz w:val="26"/>
                <w:szCs w:val="26"/>
              </w:rPr>
              <w:t>glītības un zinātnes ministrija</w:t>
            </w:r>
            <w:r w:rsidR="00231932">
              <w:rPr>
                <w:b w:val="0"/>
                <w:iCs/>
                <w:sz w:val="26"/>
                <w:szCs w:val="26"/>
              </w:rPr>
              <w:t xml:space="preserve">, </w:t>
            </w:r>
            <w:r w:rsidR="00231932" w:rsidRPr="00556A62">
              <w:rPr>
                <w:b w:val="0"/>
                <w:iCs/>
                <w:sz w:val="26"/>
                <w:szCs w:val="26"/>
              </w:rPr>
              <w:t>profesionālās ievirzes sporta izglītības iestādes.</w:t>
            </w:r>
          </w:p>
        </w:tc>
      </w:tr>
      <w:tr w:rsidR="004B0768" w:rsidRPr="00A57CF7" w:rsidTr="00F91D09">
        <w:trPr>
          <w:trHeight w:val="463"/>
        </w:trPr>
        <w:tc>
          <w:tcPr>
            <w:tcW w:w="568" w:type="dxa"/>
          </w:tcPr>
          <w:p w:rsidR="004B0768" w:rsidRPr="00A57CF7" w:rsidRDefault="004B0768" w:rsidP="000A4A7D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6"/>
                <w:szCs w:val="26"/>
              </w:rPr>
            </w:pPr>
            <w:r w:rsidRPr="00A57CF7">
              <w:rPr>
                <w:b w:val="0"/>
                <w:sz w:val="26"/>
                <w:szCs w:val="26"/>
              </w:rPr>
              <w:t>2.</w:t>
            </w:r>
          </w:p>
        </w:tc>
        <w:tc>
          <w:tcPr>
            <w:tcW w:w="4172" w:type="dxa"/>
          </w:tcPr>
          <w:p w:rsidR="004B0768" w:rsidRPr="00A57CF7" w:rsidRDefault="004B0768" w:rsidP="000A4A7D">
            <w:pPr>
              <w:pStyle w:val="naisf"/>
              <w:spacing w:before="0" w:after="0"/>
              <w:ind w:left="57" w:right="57" w:firstLine="0"/>
              <w:jc w:val="left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 xml:space="preserve">Projekta izpildes ietekme uz pārvaldes funkcijām </w:t>
            </w:r>
          </w:p>
        </w:tc>
        <w:tc>
          <w:tcPr>
            <w:tcW w:w="4616" w:type="dxa"/>
          </w:tcPr>
          <w:p w:rsidR="004B0768" w:rsidRPr="00521474" w:rsidRDefault="003B2684" w:rsidP="00471B45">
            <w:pPr>
              <w:pStyle w:val="BodyTextIndent2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3B2684">
              <w:rPr>
                <w:sz w:val="26"/>
                <w:szCs w:val="26"/>
              </w:rPr>
              <w:t>Jaunas valsts institūcijas netiks radītas, kā arī netiks paplašinātas esošo institūciju funkcijas.</w:t>
            </w:r>
          </w:p>
        </w:tc>
      </w:tr>
      <w:tr w:rsidR="004B0768" w:rsidRPr="00A57CF7" w:rsidTr="00F91D09">
        <w:trPr>
          <w:trHeight w:val="725"/>
        </w:trPr>
        <w:tc>
          <w:tcPr>
            <w:tcW w:w="568" w:type="dxa"/>
          </w:tcPr>
          <w:p w:rsidR="004B0768" w:rsidRPr="00A57CF7" w:rsidRDefault="004B0768" w:rsidP="000A4A7D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6"/>
                <w:szCs w:val="26"/>
              </w:rPr>
            </w:pPr>
            <w:r w:rsidRPr="00A57CF7">
              <w:rPr>
                <w:b w:val="0"/>
                <w:sz w:val="26"/>
                <w:szCs w:val="26"/>
              </w:rPr>
              <w:t>3.</w:t>
            </w:r>
          </w:p>
        </w:tc>
        <w:tc>
          <w:tcPr>
            <w:tcW w:w="4172" w:type="dxa"/>
          </w:tcPr>
          <w:p w:rsidR="004B0768" w:rsidRPr="00A57CF7" w:rsidRDefault="004B0768" w:rsidP="000A4A7D">
            <w:pPr>
              <w:pStyle w:val="naisf"/>
              <w:spacing w:before="0" w:after="0"/>
              <w:ind w:left="57" w:right="57" w:firstLine="0"/>
              <w:jc w:val="left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Projekta izpildes ietekme uz pārvaldes institucionālo struktūru.</w:t>
            </w:r>
          </w:p>
          <w:p w:rsidR="004B0768" w:rsidRPr="00A57CF7" w:rsidRDefault="004B0768" w:rsidP="000A4A7D">
            <w:pPr>
              <w:pStyle w:val="naisf"/>
              <w:spacing w:before="0" w:after="0"/>
              <w:ind w:left="57" w:right="57" w:firstLine="0"/>
              <w:jc w:val="left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Jaunu institūciju izveide</w:t>
            </w:r>
          </w:p>
        </w:tc>
        <w:tc>
          <w:tcPr>
            <w:tcW w:w="4616" w:type="dxa"/>
          </w:tcPr>
          <w:p w:rsidR="004B0768" w:rsidRPr="00A57CF7" w:rsidRDefault="004B0768" w:rsidP="000A4A7D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6"/>
                <w:szCs w:val="26"/>
              </w:rPr>
            </w:pPr>
            <w:r w:rsidRPr="00A57CF7">
              <w:rPr>
                <w:b w:val="0"/>
                <w:sz w:val="26"/>
                <w:szCs w:val="26"/>
              </w:rPr>
              <w:t>Jaunas valsts institūcijas netiek radītas.</w:t>
            </w:r>
          </w:p>
        </w:tc>
      </w:tr>
      <w:tr w:rsidR="004B0768" w:rsidRPr="00A57CF7" w:rsidTr="00F91D09">
        <w:trPr>
          <w:trHeight w:val="780"/>
        </w:trPr>
        <w:tc>
          <w:tcPr>
            <w:tcW w:w="568" w:type="dxa"/>
          </w:tcPr>
          <w:p w:rsidR="004B0768" w:rsidRPr="00A57CF7" w:rsidRDefault="004B0768" w:rsidP="000A4A7D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6"/>
                <w:szCs w:val="26"/>
              </w:rPr>
            </w:pPr>
            <w:r w:rsidRPr="00A57CF7">
              <w:rPr>
                <w:b w:val="0"/>
                <w:sz w:val="26"/>
                <w:szCs w:val="26"/>
              </w:rPr>
              <w:t>4.</w:t>
            </w:r>
          </w:p>
        </w:tc>
        <w:tc>
          <w:tcPr>
            <w:tcW w:w="4172" w:type="dxa"/>
          </w:tcPr>
          <w:p w:rsidR="004B0768" w:rsidRPr="00A57CF7" w:rsidRDefault="004B0768" w:rsidP="000A4A7D">
            <w:pPr>
              <w:pStyle w:val="naisf"/>
              <w:spacing w:before="0" w:after="0"/>
              <w:ind w:left="57" w:right="57" w:firstLine="0"/>
              <w:jc w:val="left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Projekta izpildes ietekme uz pārvaldes institucionālo struktūru.</w:t>
            </w:r>
          </w:p>
          <w:p w:rsidR="004B0768" w:rsidRPr="00A57CF7" w:rsidRDefault="004B0768" w:rsidP="000A4A7D">
            <w:pPr>
              <w:pStyle w:val="naisf"/>
              <w:spacing w:before="0" w:after="0"/>
              <w:ind w:left="57" w:right="57" w:firstLine="0"/>
              <w:jc w:val="left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Esošu institūciju likvidācija</w:t>
            </w:r>
          </w:p>
        </w:tc>
        <w:tc>
          <w:tcPr>
            <w:tcW w:w="4616" w:type="dxa"/>
          </w:tcPr>
          <w:p w:rsidR="004B0768" w:rsidRPr="00A57CF7" w:rsidRDefault="00440F5F" w:rsidP="000A4A7D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6"/>
                <w:szCs w:val="26"/>
              </w:rPr>
            </w:pPr>
            <w:r w:rsidRPr="00A57CF7">
              <w:rPr>
                <w:b w:val="0"/>
                <w:sz w:val="26"/>
                <w:szCs w:val="26"/>
              </w:rPr>
              <w:t>Projekts šo jomu neskar.</w:t>
            </w:r>
          </w:p>
        </w:tc>
      </w:tr>
      <w:tr w:rsidR="004B0768" w:rsidRPr="00A57CF7" w:rsidTr="00F91D09">
        <w:trPr>
          <w:trHeight w:val="703"/>
        </w:trPr>
        <w:tc>
          <w:tcPr>
            <w:tcW w:w="568" w:type="dxa"/>
          </w:tcPr>
          <w:p w:rsidR="004B0768" w:rsidRPr="00A57CF7" w:rsidRDefault="004B0768" w:rsidP="000A4A7D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6"/>
                <w:szCs w:val="26"/>
              </w:rPr>
            </w:pPr>
            <w:r w:rsidRPr="00A57CF7">
              <w:rPr>
                <w:b w:val="0"/>
                <w:sz w:val="26"/>
                <w:szCs w:val="26"/>
              </w:rPr>
              <w:t>5.</w:t>
            </w:r>
          </w:p>
        </w:tc>
        <w:tc>
          <w:tcPr>
            <w:tcW w:w="4172" w:type="dxa"/>
          </w:tcPr>
          <w:p w:rsidR="004B0768" w:rsidRPr="00A57CF7" w:rsidRDefault="004B0768" w:rsidP="000A4A7D">
            <w:pPr>
              <w:pStyle w:val="naisf"/>
              <w:spacing w:before="0" w:after="0"/>
              <w:ind w:left="57" w:right="57" w:firstLine="0"/>
              <w:jc w:val="left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Projekta izpildes ietekme uz pārvaldes institucionālo struktūru.</w:t>
            </w:r>
          </w:p>
          <w:p w:rsidR="004B0768" w:rsidRPr="00A57CF7" w:rsidRDefault="004B0768" w:rsidP="000A4A7D">
            <w:pPr>
              <w:pStyle w:val="naisf"/>
              <w:spacing w:before="0" w:after="0"/>
              <w:ind w:left="57" w:right="57" w:firstLine="0"/>
              <w:jc w:val="left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Esošu institūciju reorganizācija</w:t>
            </w:r>
          </w:p>
        </w:tc>
        <w:tc>
          <w:tcPr>
            <w:tcW w:w="4616" w:type="dxa"/>
          </w:tcPr>
          <w:p w:rsidR="004B0768" w:rsidRPr="00A57CF7" w:rsidRDefault="00440F5F" w:rsidP="000A4A7D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6"/>
                <w:szCs w:val="26"/>
              </w:rPr>
            </w:pPr>
            <w:r w:rsidRPr="00A57CF7">
              <w:rPr>
                <w:b w:val="0"/>
                <w:sz w:val="26"/>
                <w:szCs w:val="26"/>
              </w:rPr>
              <w:t>Projekts šo jomu neskar.</w:t>
            </w:r>
          </w:p>
        </w:tc>
      </w:tr>
      <w:tr w:rsidR="004B0768" w:rsidRPr="00A57CF7" w:rsidTr="00F91D09">
        <w:trPr>
          <w:trHeight w:val="476"/>
        </w:trPr>
        <w:tc>
          <w:tcPr>
            <w:tcW w:w="568" w:type="dxa"/>
          </w:tcPr>
          <w:p w:rsidR="004B0768" w:rsidRPr="00A57CF7" w:rsidRDefault="004B0768" w:rsidP="000A4A7D">
            <w:pPr>
              <w:pStyle w:val="naiskr"/>
              <w:spacing w:before="0" w:after="0"/>
              <w:ind w:left="57" w:right="57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6.</w:t>
            </w:r>
          </w:p>
        </w:tc>
        <w:tc>
          <w:tcPr>
            <w:tcW w:w="4172" w:type="dxa"/>
          </w:tcPr>
          <w:p w:rsidR="004B0768" w:rsidRPr="00A57CF7" w:rsidRDefault="004B0768" w:rsidP="000A4A7D">
            <w:pPr>
              <w:pStyle w:val="naiskr"/>
              <w:spacing w:before="0" w:after="0"/>
              <w:ind w:left="57" w:right="57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Cita informācija</w:t>
            </w:r>
          </w:p>
        </w:tc>
        <w:tc>
          <w:tcPr>
            <w:tcW w:w="4616" w:type="dxa"/>
          </w:tcPr>
          <w:p w:rsidR="004B0768" w:rsidRPr="00A57CF7" w:rsidRDefault="004B0768" w:rsidP="000A4A7D">
            <w:pPr>
              <w:pStyle w:val="naiskr"/>
              <w:spacing w:before="0" w:after="0"/>
              <w:ind w:left="57" w:right="57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Nav</w:t>
            </w:r>
          </w:p>
        </w:tc>
      </w:tr>
    </w:tbl>
    <w:p w:rsidR="004B0768" w:rsidRPr="00A57CF7" w:rsidRDefault="004B0768" w:rsidP="004B0768">
      <w:pPr>
        <w:rPr>
          <w:sz w:val="26"/>
          <w:szCs w:val="26"/>
        </w:rPr>
      </w:pPr>
    </w:p>
    <w:p w:rsidR="004B0768" w:rsidRPr="00A57CF7" w:rsidRDefault="004B0768" w:rsidP="004B0768">
      <w:pPr>
        <w:rPr>
          <w:sz w:val="26"/>
          <w:szCs w:val="26"/>
        </w:rPr>
      </w:pPr>
    </w:p>
    <w:p w:rsidR="004B0768" w:rsidRPr="00A57CF7" w:rsidRDefault="00BC152F" w:rsidP="0099480A">
      <w:pPr>
        <w:pStyle w:val="Heading5"/>
        <w:ind w:left="-203" w:firstLine="770"/>
        <w:rPr>
          <w:sz w:val="26"/>
          <w:szCs w:val="26"/>
          <w:lang w:val="lv-LV"/>
        </w:rPr>
      </w:pPr>
      <w:r w:rsidRPr="00A57CF7">
        <w:rPr>
          <w:sz w:val="26"/>
          <w:szCs w:val="26"/>
          <w:lang w:val="lv-LV"/>
        </w:rPr>
        <w:t>Izglītības un zinātnes ministrs</w:t>
      </w:r>
      <w:r w:rsidR="004B0768" w:rsidRPr="00A57CF7">
        <w:rPr>
          <w:sz w:val="26"/>
          <w:szCs w:val="26"/>
          <w:lang w:val="lv-LV"/>
        </w:rPr>
        <w:t xml:space="preserve">                                     </w:t>
      </w:r>
      <w:r w:rsidR="004B0768" w:rsidRPr="00A57CF7">
        <w:rPr>
          <w:sz w:val="26"/>
          <w:szCs w:val="26"/>
          <w:lang w:val="lv-LV"/>
        </w:rPr>
        <w:tab/>
      </w:r>
      <w:r w:rsidR="004B0768" w:rsidRPr="00A57CF7">
        <w:rPr>
          <w:sz w:val="26"/>
          <w:szCs w:val="26"/>
          <w:lang w:val="lv-LV"/>
        </w:rPr>
        <w:tab/>
      </w:r>
      <w:proofErr w:type="spellStart"/>
      <w:r w:rsidR="00FA2BA3">
        <w:rPr>
          <w:sz w:val="26"/>
          <w:szCs w:val="26"/>
          <w:lang w:val="lv-LV"/>
        </w:rPr>
        <w:t>V.Dombrovskis</w:t>
      </w:r>
      <w:proofErr w:type="spellEnd"/>
    </w:p>
    <w:p w:rsidR="004B0768" w:rsidRPr="00A57CF7" w:rsidRDefault="004B0768" w:rsidP="004B0768">
      <w:pPr>
        <w:rPr>
          <w:sz w:val="26"/>
          <w:szCs w:val="26"/>
        </w:rPr>
      </w:pPr>
    </w:p>
    <w:p w:rsidR="004B0768" w:rsidRPr="00A57CF7" w:rsidRDefault="004B0768" w:rsidP="004B0768">
      <w:pPr>
        <w:rPr>
          <w:sz w:val="26"/>
          <w:szCs w:val="26"/>
        </w:rPr>
      </w:pPr>
    </w:p>
    <w:p w:rsidR="00242113" w:rsidRPr="00A57CF7" w:rsidRDefault="008E7733" w:rsidP="00F91D09">
      <w:pPr>
        <w:pStyle w:val="NoSpacing"/>
        <w:ind w:left="567"/>
        <w:rPr>
          <w:sz w:val="26"/>
          <w:szCs w:val="26"/>
        </w:rPr>
      </w:pPr>
      <w:r w:rsidRPr="00A57CF7">
        <w:rPr>
          <w:sz w:val="26"/>
          <w:szCs w:val="26"/>
        </w:rPr>
        <w:t xml:space="preserve">Vizē: </w:t>
      </w:r>
      <w:r w:rsidRPr="00A57CF7">
        <w:rPr>
          <w:sz w:val="26"/>
          <w:szCs w:val="26"/>
        </w:rPr>
        <w:tab/>
      </w:r>
      <w:r w:rsidRPr="00A57CF7">
        <w:rPr>
          <w:sz w:val="26"/>
          <w:szCs w:val="26"/>
        </w:rPr>
        <w:tab/>
      </w:r>
    </w:p>
    <w:p w:rsidR="009832D2" w:rsidRPr="00C81C80" w:rsidRDefault="00C81C80" w:rsidP="00C81C80">
      <w:pPr>
        <w:pStyle w:val="NoSpacing"/>
        <w:ind w:left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Valsts sekretāre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S.Liepiņa</w:t>
      </w:r>
    </w:p>
    <w:p w:rsidR="00C3228B" w:rsidRDefault="0099480A" w:rsidP="0099480A">
      <w:pPr>
        <w:ind w:left="-203" w:firstLine="770"/>
        <w:rPr>
          <w:sz w:val="28"/>
          <w:szCs w:val="28"/>
        </w:rPr>
      </w:pPr>
      <w:r w:rsidRPr="00A57CF7">
        <w:rPr>
          <w:sz w:val="28"/>
          <w:szCs w:val="28"/>
        </w:rPr>
        <w:tab/>
      </w:r>
      <w:r w:rsidRPr="00A57CF7">
        <w:rPr>
          <w:sz w:val="28"/>
          <w:szCs w:val="28"/>
        </w:rPr>
        <w:tab/>
      </w:r>
    </w:p>
    <w:p w:rsidR="00C3228B" w:rsidRDefault="00C3228B" w:rsidP="0099480A">
      <w:pPr>
        <w:ind w:left="-203" w:firstLine="770"/>
        <w:rPr>
          <w:sz w:val="28"/>
          <w:szCs w:val="28"/>
        </w:rPr>
      </w:pPr>
    </w:p>
    <w:p w:rsidR="00C3228B" w:rsidRDefault="00C3228B" w:rsidP="0099480A">
      <w:pPr>
        <w:ind w:left="-203" w:firstLine="770"/>
        <w:rPr>
          <w:sz w:val="28"/>
          <w:szCs w:val="28"/>
        </w:rPr>
      </w:pPr>
    </w:p>
    <w:p w:rsidR="00403B08" w:rsidRPr="00A57CF7" w:rsidRDefault="0099480A" w:rsidP="0099480A">
      <w:pPr>
        <w:ind w:left="-203" w:firstLine="770"/>
        <w:rPr>
          <w:sz w:val="28"/>
          <w:szCs w:val="28"/>
        </w:rPr>
      </w:pPr>
      <w:r w:rsidRPr="00A57CF7">
        <w:rPr>
          <w:sz w:val="28"/>
          <w:szCs w:val="28"/>
        </w:rPr>
        <w:tab/>
      </w:r>
      <w:r w:rsidRPr="00A57CF7">
        <w:rPr>
          <w:sz w:val="28"/>
          <w:szCs w:val="28"/>
        </w:rPr>
        <w:tab/>
      </w:r>
      <w:r w:rsidRPr="00A57CF7">
        <w:rPr>
          <w:sz w:val="28"/>
          <w:szCs w:val="28"/>
        </w:rPr>
        <w:tab/>
        <w:t xml:space="preserve">         </w:t>
      </w:r>
    </w:p>
    <w:p w:rsidR="007B7C39" w:rsidRPr="00A57CF7" w:rsidRDefault="007B7C39" w:rsidP="004B0768">
      <w:pPr>
        <w:jc w:val="both"/>
      </w:pPr>
    </w:p>
    <w:p w:rsidR="004B0768" w:rsidRPr="00A57CF7" w:rsidRDefault="00595B75" w:rsidP="004B0768">
      <w:pPr>
        <w:jc w:val="both"/>
        <w:rPr>
          <w:sz w:val="22"/>
          <w:szCs w:val="22"/>
        </w:rPr>
      </w:pPr>
      <w:r>
        <w:rPr>
          <w:sz w:val="22"/>
          <w:szCs w:val="22"/>
        </w:rPr>
        <w:t>10.12</w:t>
      </w:r>
      <w:r w:rsidR="0099480A" w:rsidRPr="00A57CF7">
        <w:rPr>
          <w:sz w:val="22"/>
          <w:szCs w:val="22"/>
        </w:rPr>
        <w:t>.201</w:t>
      </w:r>
      <w:r w:rsidR="00C024FD" w:rsidRPr="00A57CF7">
        <w:rPr>
          <w:sz w:val="22"/>
          <w:szCs w:val="22"/>
        </w:rPr>
        <w:t>3</w:t>
      </w:r>
      <w:r w:rsidR="00403B08" w:rsidRPr="00A57CF7">
        <w:rPr>
          <w:sz w:val="22"/>
          <w:szCs w:val="22"/>
        </w:rPr>
        <w:t xml:space="preserve">. </w:t>
      </w:r>
      <w:r w:rsidR="00CA7AF1">
        <w:rPr>
          <w:sz w:val="22"/>
          <w:szCs w:val="22"/>
        </w:rPr>
        <w:t>1</w:t>
      </w:r>
      <w:r w:rsidR="00382694">
        <w:rPr>
          <w:sz w:val="22"/>
          <w:szCs w:val="22"/>
        </w:rPr>
        <w:t>3</w:t>
      </w:r>
      <w:r w:rsidR="004B0768" w:rsidRPr="00A57CF7">
        <w:rPr>
          <w:sz w:val="22"/>
          <w:szCs w:val="22"/>
        </w:rPr>
        <w:t>:</w:t>
      </w:r>
      <w:r w:rsidR="00382694">
        <w:rPr>
          <w:sz w:val="22"/>
          <w:szCs w:val="22"/>
        </w:rPr>
        <w:t>12</w:t>
      </w:r>
    </w:p>
    <w:p w:rsidR="004B0768" w:rsidRPr="00A57CF7" w:rsidRDefault="00382694" w:rsidP="004B0768">
      <w:pPr>
        <w:jc w:val="both"/>
        <w:rPr>
          <w:sz w:val="22"/>
          <w:szCs w:val="22"/>
        </w:rPr>
      </w:pPr>
      <w:bookmarkStart w:id="8" w:name="_GoBack"/>
      <w:bookmarkEnd w:id="8"/>
      <w:r>
        <w:rPr>
          <w:sz w:val="22"/>
          <w:szCs w:val="22"/>
        </w:rPr>
        <w:t>1339</w:t>
      </w:r>
    </w:p>
    <w:p w:rsidR="004B0768" w:rsidRPr="00A57CF7" w:rsidRDefault="004B0768" w:rsidP="004B0768">
      <w:pPr>
        <w:rPr>
          <w:sz w:val="22"/>
          <w:szCs w:val="22"/>
        </w:rPr>
      </w:pPr>
      <w:proofErr w:type="spellStart"/>
      <w:r w:rsidRPr="00A57CF7">
        <w:rPr>
          <w:sz w:val="22"/>
          <w:szCs w:val="22"/>
        </w:rPr>
        <w:t>A.Mičule</w:t>
      </w:r>
      <w:proofErr w:type="spellEnd"/>
    </w:p>
    <w:p w:rsidR="0056076A" w:rsidRPr="00A57CF7" w:rsidRDefault="004B0768">
      <w:bookmarkStart w:id="9" w:name="OLE_LINK9"/>
      <w:bookmarkStart w:id="10" w:name="OLE_LINK10"/>
      <w:r w:rsidRPr="00A57CF7">
        <w:rPr>
          <w:sz w:val="22"/>
          <w:szCs w:val="22"/>
        </w:rPr>
        <w:t>67047928, anda.mi</w:t>
      </w:r>
      <w:r w:rsidR="00242113" w:rsidRPr="00A57CF7">
        <w:rPr>
          <w:sz w:val="22"/>
          <w:szCs w:val="22"/>
        </w:rPr>
        <w:t>c</w:t>
      </w:r>
      <w:r w:rsidRPr="00A57CF7">
        <w:rPr>
          <w:sz w:val="22"/>
          <w:szCs w:val="22"/>
        </w:rPr>
        <w:t>ule@izm.gov.lv</w:t>
      </w:r>
      <w:bookmarkEnd w:id="9"/>
      <w:bookmarkEnd w:id="10"/>
    </w:p>
    <w:sectPr w:rsidR="0056076A" w:rsidRPr="00A57CF7" w:rsidSect="00E15284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835" w:rsidRDefault="00387835" w:rsidP="004B0768">
      <w:r>
        <w:separator/>
      </w:r>
    </w:p>
  </w:endnote>
  <w:endnote w:type="continuationSeparator" w:id="0">
    <w:p w:rsidR="00387835" w:rsidRDefault="00387835" w:rsidP="004B0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B75" w:rsidRDefault="00595B75" w:rsidP="00595B75">
    <w:pPr>
      <w:jc w:val="both"/>
    </w:pPr>
    <w:r>
      <w:t>IZMAnot_101213_fink_piem</w:t>
    </w:r>
    <w:r w:rsidRPr="00685380">
      <w:t xml:space="preserve">; </w:t>
    </w:r>
    <w:r>
      <w:t>Ministru kabineta noteikumu projekta „Grozījumi Ministru kabineta 2011.gada 27.decembra noteikumos Nr.1036 „Kārtība, kādā valsts finansē profesionālās ievirzes sporta izglītības programmas”” sākotnējās ietekmes novērtējuma ziņojums (anotācija)</w:t>
    </w:r>
  </w:p>
  <w:p w:rsidR="000D308F" w:rsidRPr="00595B75" w:rsidRDefault="000D308F" w:rsidP="00595B7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08F" w:rsidRDefault="00595B75" w:rsidP="00FA2BA3">
    <w:pPr>
      <w:jc w:val="both"/>
    </w:pPr>
    <w:r>
      <w:t>IZMAnot_1012</w:t>
    </w:r>
    <w:r w:rsidR="000D308F">
      <w:t>13_fink</w:t>
    </w:r>
    <w:r>
      <w:t>_piem</w:t>
    </w:r>
    <w:r w:rsidR="000D308F" w:rsidRPr="00685380">
      <w:t xml:space="preserve">; </w:t>
    </w:r>
    <w:r w:rsidR="000D308F">
      <w:t>Ministru kabineta noteikumu projekta „Grozījumi Ministru kabineta 2011.gada 27.decembra noteikumos Nr.1036 „Kārtība, kādā valsts finansē profesionālās ievirzes sporta izglītības programmas”” sākotnējās ietekmes novērtējuma ziņojums (anotācija)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835" w:rsidRDefault="00387835" w:rsidP="004B0768">
      <w:r>
        <w:separator/>
      </w:r>
    </w:p>
  </w:footnote>
  <w:footnote w:type="continuationSeparator" w:id="0">
    <w:p w:rsidR="00387835" w:rsidRDefault="00387835" w:rsidP="004B07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9361"/>
      <w:docPartObj>
        <w:docPartGallery w:val="Page Numbers (Top of Page)"/>
        <w:docPartUnique/>
      </w:docPartObj>
    </w:sdtPr>
    <w:sdtContent>
      <w:p w:rsidR="000D308F" w:rsidRDefault="00A80CB5">
        <w:pPr>
          <w:pStyle w:val="Header"/>
          <w:jc w:val="center"/>
        </w:pPr>
        <w:r>
          <w:fldChar w:fldCharType="begin"/>
        </w:r>
        <w:r w:rsidR="009C53AC">
          <w:instrText xml:space="preserve"> PAGE   \* MERGEFORMAT </w:instrText>
        </w:r>
        <w:r>
          <w:fldChar w:fldCharType="separate"/>
        </w:r>
        <w:r w:rsidR="0038269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D308F" w:rsidRDefault="000D30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24EB"/>
    <w:multiLevelType w:val="hybridMultilevel"/>
    <w:tmpl w:val="01FEA756"/>
    <w:lvl w:ilvl="0" w:tplc="76C8532A">
      <w:start w:val="1"/>
      <w:numFmt w:val="decimal"/>
      <w:lvlText w:val="%1)"/>
      <w:lvlJc w:val="left"/>
      <w:pPr>
        <w:ind w:left="35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75" w:hanging="360"/>
      </w:pPr>
    </w:lvl>
    <w:lvl w:ilvl="2" w:tplc="0426001B" w:tentative="1">
      <w:start w:val="1"/>
      <w:numFmt w:val="lowerRoman"/>
      <w:lvlText w:val="%3."/>
      <w:lvlJc w:val="right"/>
      <w:pPr>
        <w:ind w:left="1795" w:hanging="180"/>
      </w:pPr>
    </w:lvl>
    <w:lvl w:ilvl="3" w:tplc="0426000F" w:tentative="1">
      <w:start w:val="1"/>
      <w:numFmt w:val="decimal"/>
      <w:lvlText w:val="%4."/>
      <w:lvlJc w:val="left"/>
      <w:pPr>
        <w:ind w:left="2515" w:hanging="360"/>
      </w:pPr>
    </w:lvl>
    <w:lvl w:ilvl="4" w:tplc="04260019" w:tentative="1">
      <w:start w:val="1"/>
      <w:numFmt w:val="lowerLetter"/>
      <w:lvlText w:val="%5."/>
      <w:lvlJc w:val="left"/>
      <w:pPr>
        <w:ind w:left="3235" w:hanging="360"/>
      </w:pPr>
    </w:lvl>
    <w:lvl w:ilvl="5" w:tplc="0426001B" w:tentative="1">
      <w:start w:val="1"/>
      <w:numFmt w:val="lowerRoman"/>
      <w:lvlText w:val="%6."/>
      <w:lvlJc w:val="right"/>
      <w:pPr>
        <w:ind w:left="3955" w:hanging="180"/>
      </w:pPr>
    </w:lvl>
    <w:lvl w:ilvl="6" w:tplc="0426000F" w:tentative="1">
      <w:start w:val="1"/>
      <w:numFmt w:val="decimal"/>
      <w:lvlText w:val="%7."/>
      <w:lvlJc w:val="left"/>
      <w:pPr>
        <w:ind w:left="4675" w:hanging="360"/>
      </w:pPr>
    </w:lvl>
    <w:lvl w:ilvl="7" w:tplc="04260019" w:tentative="1">
      <w:start w:val="1"/>
      <w:numFmt w:val="lowerLetter"/>
      <w:lvlText w:val="%8."/>
      <w:lvlJc w:val="left"/>
      <w:pPr>
        <w:ind w:left="5395" w:hanging="360"/>
      </w:pPr>
    </w:lvl>
    <w:lvl w:ilvl="8" w:tplc="0426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">
    <w:nsid w:val="3FA3225C"/>
    <w:multiLevelType w:val="hybridMultilevel"/>
    <w:tmpl w:val="470E48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260F3"/>
    <w:multiLevelType w:val="hybridMultilevel"/>
    <w:tmpl w:val="F7A2A72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C32B0"/>
    <w:multiLevelType w:val="hybridMultilevel"/>
    <w:tmpl w:val="A7447C6C"/>
    <w:lvl w:ilvl="0" w:tplc="9A68F2F0">
      <w:start w:val="1"/>
      <w:numFmt w:val="decimal"/>
      <w:lvlText w:val="(%1)"/>
      <w:lvlJc w:val="left"/>
      <w:pPr>
        <w:ind w:left="43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4" w:hanging="360"/>
      </w:pPr>
    </w:lvl>
    <w:lvl w:ilvl="2" w:tplc="0426001B" w:tentative="1">
      <w:start w:val="1"/>
      <w:numFmt w:val="lowerRoman"/>
      <w:lvlText w:val="%3."/>
      <w:lvlJc w:val="right"/>
      <w:pPr>
        <w:ind w:left="1874" w:hanging="180"/>
      </w:pPr>
    </w:lvl>
    <w:lvl w:ilvl="3" w:tplc="0426000F" w:tentative="1">
      <w:start w:val="1"/>
      <w:numFmt w:val="decimal"/>
      <w:lvlText w:val="%4."/>
      <w:lvlJc w:val="left"/>
      <w:pPr>
        <w:ind w:left="2594" w:hanging="360"/>
      </w:pPr>
    </w:lvl>
    <w:lvl w:ilvl="4" w:tplc="04260019" w:tentative="1">
      <w:start w:val="1"/>
      <w:numFmt w:val="lowerLetter"/>
      <w:lvlText w:val="%5."/>
      <w:lvlJc w:val="left"/>
      <w:pPr>
        <w:ind w:left="3314" w:hanging="360"/>
      </w:pPr>
    </w:lvl>
    <w:lvl w:ilvl="5" w:tplc="0426001B" w:tentative="1">
      <w:start w:val="1"/>
      <w:numFmt w:val="lowerRoman"/>
      <w:lvlText w:val="%6."/>
      <w:lvlJc w:val="right"/>
      <w:pPr>
        <w:ind w:left="4034" w:hanging="180"/>
      </w:pPr>
    </w:lvl>
    <w:lvl w:ilvl="6" w:tplc="0426000F" w:tentative="1">
      <w:start w:val="1"/>
      <w:numFmt w:val="decimal"/>
      <w:lvlText w:val="%7."/>
      <w:lvlJc w:val="left"/>
      <w:pPr>
        <w:ind w:left="4754" w:hanging="360"/>
      </w:pPr>
    </w:lvl>
    <w:lvl w:ilvl="7" w:tplc="04260019" w:tentative="1">
      <w:start w:val="1"/>
      <w:numFmt w:val="lowerLetter"/>
      <w:lvlText w:val="%8."/>
      <w:lvlJc w:val="left"/>
      <w:pPr>
        <w:ind w:left="5474" w:hanging="360"/>
      </w:pPr>
    </w:lvl>
    <w:lvl w:ilvl="8" w:tplc="0426001B" w:tentative="1">
      <w:start w:val="1"/>
      <w:numFmt w:val="lowerRoman"/>
      <w:lvlText w:val="%9."/>
      <w:lvlJc w:val="right"/>
      <w:pPr>
        <w:ind w:left="619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768"/>
    <w:rsid w:val="00001F39"/>
    <w:rsid w:val="000050BE"/>
    <w:rsid w:val="00007F20"/>
    <w:rsid w:val="00023A83"/>
    <w:rsid w:val="00027D4B"/>
    <w:rsid w:val="00032B91"/>
    <w:rsid w:val="00032F55"/>
    <w:rsid w:val="00036065"/>
    <w:rsid w:val="00056433"/>
    <w:rsid w:val="0006208F"/>
    <w:rsid w:val="000633C9"/>
    <w:rsid w:val="00065144"/>
    <w:rsid w:val="00067B3B"/>
    <w:rsid w:val="000833C5"/>
    <w:rsid w:val="00091CF5"/>
    <w:rsid w:val="00096AC3"/>
    <w:rsid w:val="000A3DFE"/>
    <w:rsid w:val="000A4A7D"/>
    <w:rsid w:val="000B310F"/>
    <w:rsid w:val="000D308F"/>
    <w:rsid w:val="000D6C05"/>
    <w:rsid w:val="000E10F5"/>
    <w:rsid w:val="000E14D3"/>
    <w:rsid w:val="000E2FBB"/>
    <w:rsid w:val="000E50EC"/>
    <w:rsid w:val="000E7BE8"/>
    <w:rsid w:val="000F2CC3"/>
    <w:rsid w:val="000F4E8F"/>
    <w:rsid w:val="000F5EED"/>
    <w:rsid w:val="00101667"/>
    <w:rsid w:val="0010377E"/>
    <w:rsid w:val="0011012B"/>
    <w:rsid w:val="001167C0"/>
    <w:rsid w:val="0012125E"/>
    <w:rsid w:val="00131A5E"/>
    <w:rsid w:val="00146F14"/>
    <w:rsid w:val="00166AF1"/>
    <w:rsid w:val="001750F3"/>
    <w:rsid w:val="001838BC"/>
    <w:rsid w:val="00185198"/>
    <w:rsid w:val="00196283"/>
    <w:rsid w:val="001A5366"/>
    <w:rsid w:val="001A5BDD"/>
    <w:rsid w:val="001B1F30"/>
    <w:rsid w:val="001C3AF5"/>
    <w:rsid w:val="001E40A5"/>
    <w:rsid w:val="001E5380"/>
    <w:rsid w:val="001F0D3B"/>
    <w:rsid w:val="001F2458"/>
    <w:rsid w:val="001F25C8"/>
    <w:rsid w:val="001F3FA7"/>
    <w:rsid w:val="002036C8"/>
    <w:rsid w:val="00210A97"/>
    <w:rsid w:val="00215D48"/>
    <w:rsid w:val="00215ED6"/>
    <w:rsid w:val="00222CF5"/>
    <w:rsid w:val="00231932"/>
    <w:rsid w:val="00242113"/>
    <w:rsid w:val="00244876"/>
    <w:rsid w:val="0025765B"/>
    <w:rsid w:val="002634BA"/>
    <w:rsid w:val="002637B9"/>
    <w:rsid w:val="00264AC5"/>
    <w:rsid w:val="0026542E"/>
    <w:rsid w:val="00272CE9"/>
    <w:rsid w:val="00281F94"/>
    <w:rsid w:val="00283E46"/>
    <w:rsid w:val="002B2090"/>
    <w:rsid w:val="002B559B"/>
    <w:rsid w:val="002C2F95"/>
    <w:rsid w:val="002C4F87"/>
    <w:rsid w:val="002D30D2"/>
    <w:rsid w:val="002D31DC"/>
    <w:rsid w:val="002D5CC8"/>
    <w:rsid w:val="002D69BB"/>
    <w:rsid w:val="002E2F8E"/>
    <w:rsid w:val="002F3F6C"/>
    <w:rsid w:val="00301D23"/>
    <w:rsid w:val="003125C2"/>
    <w:rsid w:val="0032364C"/>
    <w:rsid w:val="00333447"/>
    <w:rsid w:val="00340895"/>
    <w:rsid w:val="0034217E"/>
    <w:rsid w:val="003545D7"/>
    <w:rsid w:val="003618CB"/>
    <w:rsid w:val="00364962"/>
    <w:rsid w:val="0036686E"/>
    <w:rsid w:val="00377FDE"/>
    <w:rsid w:val="00380474"/>
    <w:rsid w:val="00382694"/>
    <w:rsid w:val="003831AF"/>
    <w:rsid w:val="00387458"/>
    <w:rsid w:val="00387835"/>
    <w:rsid w:val="00390878"/>
    <w:rsid w:val="00392630"/>
    <w:rsid w:val="003A3C4E"/>
    <w:rsid w:val="003A43B5"/>
    <w:rsid w:val="003B2684"/>
    <w:rsid w:val="003B36BB"/>
    <w:rsid w:val="003C70B4"/>
    <w:rsid w:val="003E3D24"/>
    <w:rsid w:val="003E7051"/>
    <w:rsid w:val="003F60BB"/>
    <w:rsid w:val="00403B08"/>
    <w:rsid w:val="004047FA"/>
    <w:rsid w:val="004212C9"/>
    <w:rsid w:val="00421C90"/>
    <w:rsid w:val="0043750C"/>
    <w:rsid w:val="00440F5F"/>
    <w:rsid w:val="004419B0"/>
    <w:rsid w:val="00450456"/>
    <w:rsid w:val="004566EA"/>
    <w:rsid w:val="00465902"/>
    <w:rsid w:val="0046766C"/>
    <w:rsid w:val="00471B45"/>
    <w:rsid w:val="00493E93"/>
    <w:rsid w:val="00494A48"/>
    <w:rsid w:val="004B0768"/>
    <w:rsid w:val="004C6F79"/>
    <w:rsid w:val="004D2894"/>
    <w:rsid w:val="004D2B40"/>
    <w:rsid w:val="004D602E"/>
    <w:rsid w:val="004E5BF8"/>
    <w:rsid w:val="005026CA"/>
    <w:rsid w:val="0050541B"/>
    <w:rsid w:val="00515DBC"/>
    <w:rsid w:val="005171E0"/>
    <w:rsid w:val="00521474"/>
    <w:rsid w:val="00541559"/>
    <w:rsid w:val="00543A4A"/>
    <w:rsid w:val="00556A62"/>
    <w:rsid w:val="0056076A"/>
    <w:rsid w:val="00567523"/>
    <w:rsid w:val="00577132"/>
    <w:rsid w:val="00585938"/>
    <w:rsid w:val="005948C3"/>
    <w:rsid w:val="00595B75"/>
    <w:rsid w:val="005972B9"/>
    <w:rsid w:val="005A337D"/>
    <w:rsid w:val="005A7BD1"/>
    <w:rsid w:val="005B168C"/>
    <w:rsid w:val="005B1791"/>
    <w:rsid w:val="005B1D04"/>
    <w:rsid w:val="005B2DDF"/>
    <w:rsid w:val="005B764A"/>
    <w:rsid w:val="005D715E"/>
    <w:rsid w:val="005D730A"/>
    <w:rsid w:val="005D7581"/>
    <w:rsid w:val="005E22A9"/>
    <w:rsid w:val="005E364C"/>
    <w:rsid w:val="005E7F60"/>
    <w:rsid w:val="005F4740"/>
    <w:rsid w:val="005F5972"/>
    <w:rsid w:val="00604EC7"/>
    <w:rsid w:val="00605D3E"/>
    <w:rsid w:val="00607E09"/>
    <w:rsid w:val="00615D84"/>
    <w:rsid w:val="0061605D"/>
    <w:rsid w:val="00623AB1"/>
    <w:rsid w:val="00626DCE"/>
    <w:rsid w:val="00630D4B"/>
    <w:rsid w:val="00633BA9"/>
    <w:rsid w:val="00641B65"/>
    <w:rsid w:val="00673928"/>
    <w:rsid w:val="00674C7C"/>
    <w:rsid w:val="00677B55"/>
    <w:rsid w:val="00681BC7"/>
    <w:rsid w:val="006900F4"/>
    <w:rsid w:val="006A58C9"/>
    <w:rsid w:val="006D1514"/>
    <w:rsid w:val="006E12E1"/>
    <w:rsid w:val="006E1873"/>
    <w:rsid w:val="006E5149"/>
    <w:rsid w:val="006E52D9"/>
    <w:rsid w:val="006F0555"/>
    <w:rsid w:val="00704BA4"/>
    <w:rsid w:val="00712BAF"/>
    <w:rsid w:val="007130EC"/>
    <w:rsid w:val="007175BD"/>
    <w:rsid w:val="00720F4A"/>
    <w:rsid w:val="00736612"/>
    <w:rsid w:val="00743942"/>
    <w:rsid w:val="0074418E"/>
    <w:rsid w:val="00744CCE"/>
    <w:rsid w:val="007474F0"/>
    <w:rsid w:val="00757793"/>
    <w:rsid w:val="0076623E"/>
    <w:rsid w:val="00767A94"/>
    <w:rsid w:val="0077712F"/>
    <w:rsid w:val="0079021A"/>
    <w:rsid w:val="007B52D5"/>
    <w:rsid w:val="007B7C39"/>
    <w:rsid w:val="007C19CC"/>
    <w:rsid w:val="007C5617"/>
    <w:rsid w:val="007C6CF5"/>
    <w:rsid w:val="007D14A8"/>
    <w:rsid w:val="007D1DF0"/>
    <w:rsid w:val="007E4F4A"/>
    <w:rsid w:val="007F0409"/>
    <w:rsid w:val="007F4B34"/>
    <w:rsid w:val="0082300D"/>
    <w:rsid w:val="00824840"/>
    <w:rsid w:val="00825511"/>
    <w:rsid w:val="00826B7E"/>
    <w:rsid w:val="00841496"/>
    <w:rsid w:val="00846EAD"/>
    <w:rsid w:val="008470C5"/>
    <w:rsid w:val="00851A78"/>
    <w:rsid w:val="00852B35"/>
    <w:rsid w:val="00855491"/>
    <w:rsid w:val="00857820"/>
    <w:rsid w:val="0086619F"/>
    <w:rsid w:val="00872BC1"/>
    <w:rsid w:val="00874DB2"/>
    <w:rsid w:val="008878E0"/>
    <w:rsid w:val="008A0222"/>
    <w:rsid w:val="008A7909"/>
    <w:rsid w:val="008A7D12"/>
    <w:rsid w:val="008C02D0"/>
    <w:rsid w:val="008C3451"/>
    <w:rsid w:val="008D02A1"/>
    <w:rsid w:val="008D2F64"/>
    <w:rsid w:val="008E0487"/>
    <w:rsid w:val="008E6D69"/>
    <w:rsid w:val="008E7266"/>
    <w:rsid w:val="008E7733"/>
    <w:rsid w:val="008F00E4"/>
    <w:rsid w:val="009072D0"/>
    <w:rsid w:val="00907387"/>
    <w:rsid w:val="00913B89"/>
    <w:rsid w:val="00917A6D"/>
    <w:rsid w:val="009248A4"/>
    <w:rsid w:val="0093083D"/>
    <w:rsid w:val="0093183B"/>
    <w:rsid w:val="00942C12"/>
    <w:rsid w:val="009468DB"/>
    <w:rsid w:val="009470FF"/>
    <w:rsid w:val="00947571"/>
    <w:rsid w:val="00955997"/>
    <w:rsid w:val="00964A47"/>
    <w:rsid w:val="009773A2"/>
    <w:rsid w:val="009832D2"/>
    <w:rsid w:val="00986BA2"/>
    <w:rsid w:val="0099480A"/>
    <w:rsid w:val="0099557B"/>
    <w:rsid w:val="009A60C3"/>
    <w:rsid w:val="009B25CC"/>
    <w:rsid w:val="009C36F8"/>
    <w:rsid w:val="009C53AC"/>
    <w:rsid w:val="009D0FF1"/>
    <w:rsid w:val="009D5565"/>
    <w:rsid w:val="009E2D97"/>
    <w:rsid w:val="009E357A"/>
    <w:rsid w:val="009E4D1B"/>
    <w:rsid w:val="009E58C9"/>
    <w:rsid w:val="009E7573"/>
    <w:rsid w:val="00A10AC7"/>
    <w:rsid w:val="00A1181E"/>
    <w:rsid w:val="00A12213"/>
    <w:rsid w:val="00A26128"/>
    <w:rsid w:val="00A30685"/>
    <w:rsid w:val="00A410A6"/>
    <w:rsid w:val="00A50606"/>
    <w:rsid w:val="00A57CF7"/>
    <w:rsid w:val="00A60D55"/>
    <w:rsid w:val="00A7012A"/>
    <w:rsid w:val="00A713E6"/>
    <w:rsid w:val="00A73B9D"/>
    <w:rsid w:val="00A75A2B"/>
    <w:rsid w:val="00A8099E"/>
    <w:rsid w:val="00A80CB5"/>
    <w:rsid w:val="00A8351A"/>
    <w:rsid w:val="00A83A52"/>
    <w:rsid w:val="00AA0293"/>
    <w:rsid w:val="00AA4C4A"/>
    <w:rsid w:val="00AB3324"/>
    <w:rsid w:val="00AB5139"/>
    <w:rsid w:val="00AC37A5"/>
    <w:rsid w:val="00AD1519"/>
    <w:rsid w:val="00AD62E5"/>
    <w:rsid w:val="00AD6BD8"/>
    <w:rsid w:val="00AE7E40"/>
    <w:rsid w:val="00B05ED7"/>
    <w:rsid w:val="00B07521"/>
    <w:rsid w:val="00B11683"/>
    <w:rsid w:val="00B22834"/>
    <w:rsid w:val="00B2288A"/>
    <w:rsid w:val="00B3083B"/>
    <w:rsid w:val="00B356C7"/>
    <w:rsid w:val="00B40048"/>
    <w:rsid w:val="00B50204"/>
    <w:rsid w:val="00B65F0C"/>
    <w:rsid w:val="00B71A4B"/>
    <w:rsid w:val="00B73D3C"/>
    <w:rsid w:val="00B80EE9"/>
    <w:rsid w:val="00B8430A"/>
    <w:rsid w:val="00B91466"/>
    <w:rsid w:val="00BA2AD1"/>
    <w:rsid w:val="00BA7D50"/>
    <w:rsid w:val="00BB62CC"/>
    <w:rsid w:val="00BC152F"/>
    <w:rsid w:val="00BC3427"/>
    <w:rsid w:val="00BC4199"/>
    <w:rsid w:val="00BC6D60"/>
    <w:rsid w:val="00BC755B"/>
    <w:rsid w:val="00BD58E5"/>
    <w:rsid w:val="00BE4A98"/>
    <w:rsid w:val="00BF23DC"/>
    <w:rsid w:val="00BF3A6D"/>
    <w:rsid w:val="00BF5652"/>
    <w:rsid w:val="00C024FD"/>
    <w:rsid w:val="00C10CC4"/>
    <w:rsid w:val="00C1331B"/>
    <w:rsid w:val="00C156DC"/>
    <w:rsid w:val="00C3228B"/>
    <w:rsid w:val="00C32B01"/>
    <w:rsid w:val="00C465CE"/>
    <w:rsid w:val="00C520E0"/>
    <w:rsid w:val="00C52AD9"/>
    <w:rsid w:val="00C5574A"/>
    <w:rsid w:val="00C57E26"/>
    <w:rsid w:val="00C6030D"/>
    <w:rsid w:val="00C645D2"/>
    <w:rsid w:val="00C66548"/>
    <w:rsid w:val="00C70496"/>
    <w:rsid w:val="00C748AC"/>
    <w:rsid w:val="00C77578"/>
    <w:rsid w:val="00C81C80"/>
    <w:rsid w:val="00C84954"/>
    <w:rsid w:val="00C86281"/>
    <w:rsid w:val="00C91604"/>
    <w:rsid w:val="00CA4159"/>
    <w:rsid w:val="00CA78C2"/>
    <w:rsid w:val="00CA7AF1"/>
    <w:rsid w:val="00CD6DA1"/>
    <w:rsid w:val="00CD76A7"/>
    <w:rsid w:val="00CE7B37"/>
    <w:rsid w:val="00CF446C"/>
    <w:rsid w:val="00D047E5"/>
    <w:rsid w:val="00D1114B"/>
    <w:rsid w:val="00D155C3"/>
    <w:rsid w:val="00D23A9C"/>
    <w:rsid w:val="00D30441"/>
    <w:rsid w:val="00D310B5"/>
    <w:rsid w:val="00D428F0"/>
    <w:rsid w:val="00D430FE"/>
    <w:rsid w:val="00D460F4"/>
    <w:rsid w:val="00D53265"/>
    <w:rsid w:val="00D57D5F"/>
    <w:rsid w:val="00D66115"/>
    <w:rsid w:val="00D77AEB"/>
    <w:rsid w:val="00D94104"/>
    <w:rsid w:val="00D96EE8"/>
    <w:rsid w:val="00DA1178"/>
    <w:rsid w:val="00DC396E"/>
    <w:rsid w:val="00DC3BBA"/>
    <w:rsid w:val="00DE60B1"/>
    <w:rsid w:val="00DF0785"/>
    <w:rsid w:val="00DF50A5"/>
    <w:rsid w:val="00DF5176"/>
    <w:rsid w:val="00DF6C44"/>
    <w:rsid w:val="00DF751E"/>
    <w:rsid w:val="00DF7F94"/>
    <w:rsid w:val="00E0594A"/>
    <w:rsid w:val="00E126F8"/>
    <w:rsid w:val="00E148DE"/>
    <w:rsid w:val="00E15284"/>
    <w:rsid w:val="00E220D0"/>
    <w:rsid w:val="00E27727"/>
    <w:rsid w:val="00E31A73"/>
    <w:rsid w:val="00E32DBE"/>
    <w:rsid w:val="00E33470"/>
    <w:rsid w:val="00E3374A"/>
    <w:rsid w:val="00E35429"/>
    <w:rsid w:val="00E455F2"/>
    <w:rsid w:val="00E52144"/>
    <w:rsid w:val="00E54B3A"/>
    <w:rsid w:val="00E620A5"/>
    <w:rsid w:val="00E64EA7"/>
    <w:rsid w:val="00E74E3C"/>
    <w:rsid w:val="00E8444D"/>
    <w:rsid w:val="00E872EA"/>
    <w:rsid w:val="00E9179D"/>
    <w:rsid w:val="00E96EC6"/>
    <w:rsid w:val="00E974E2"/>
    <w:rsid w:val="00EA141E"/>
    <w:rsid w:val="00EA2202"/>
    <w:rsid w:val="00EB7A45"/>
    <w:rsid w:val="00EB7B7B"/>
    <w:rsid w:val="00EC06AD"/>
    <w:rsid w:val="00ED0303"/>
    <w:rsid w:val="00EE124B"/>
    <w:rsid w:val="00EE42A0"/>
    <w:rsid w:val="00EE5695"/>
    <w:rsid w:val="00EE7D8B"/>
    <w:rsid w:val="00EF12DC"/>
    <w:rsid w:val="00EF798B"/>
    <w:rsid w:val="00F06BD4"/>
    <w:rsid w:val="00F10E8B"/>
    <w:rsid w:val="00F1243F"/>
    <w:rsid w:val="00F1537F"/>
    <w:rsid w:val="00F2791D"/>
    <w:rsid w:val="00F27B17"/>
    <w:rsid w:val="00F31C85"/>
    <w:rsid w:val="00F37BEB"/>
    <w:rsid w:val="00F468C5"/>
    <w:rsid w:val="00F5595A"/>
    <w:rsid w:val="00F73AA3"/>
    <w:rsid w:val="00F75EC0"/>
    <w:rsid w:val="00F76CB4"/>
    <w:rsid w:val="00F90F82"/>
    <w:rsid w:val="00F91D09"/>
    <w:rsid w:val="00FA19B6"/>
    <w:rsid w:val="00FA1CDC"/>
    <w:rsid w:val="00FA2BA3"/>
    <w:rsid w:val="00FB6B05"/>
    <w:rsid w:val="00FC08E2"/>
    <w:rsid w:val="00FC3524"/>
    <w:rsid w:val="00FE5807"/>
    <w:rsid w:val="00FF4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martTagType w:namespaceuri="schemas-tilde-lv/tildestengine" w:name="veidnes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5">
    <w:name w:val="heading 5"/>
    <w:basedOn w:val="Normal"/>
    <w:next w:val="Normal"/>
    <w:link w:val="Heading5Char"/>
    <w:qFormat/>
    <w:rsid w:val="004B0768"/>
    <w:pPr>
      <w:keepNext/>
      <w:ind w:firstLine="709"/>
      <w:outlineLvl w:val="4"/>
    </w:pPr>
    <w:rPr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B0768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naisf">
    <w:name w:val="naisf"/>
    <w:basedOn w:val="Normal"/>
    <w:rsid w:val="004B0768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4B0768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4B0768"/>
    <w:pPr>
      <w:spacing w:before="75" w:after="75"/>
    </w:pPr>
  </w:style>
  <w:style w:type="paragraph" w:styleId="FootnoteText">
    <w:name w:val="footnote text"/>
    <w:basedOn w:val="Normal"/>
    <w:link w:val="FootnoteTextChar"/>
    <w:semiHidden/>
    <w:rsid w:val="004B076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B076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B076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B076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B076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76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B076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76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4B0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isc">
    <w:name w:val="naisc"/>
    <w:basedOn w:val="Normal"/>
    <w:rsid w:val="004B0768"/>
    <w:pPr>
      <w:spacing w:before="75" w:after="75"/>
      <w:jc w:val="center"/>
    </w:pPr>
  </w:style>
  <w:style w:type="character" w:styleId="Strong">
    <w:name w:val="Strong"/>
    <w:basedOn w:val="DefaultParagraphFont"/>
    <w:uiPriority w:val="22"/>
    <w:qFormat/>
    <w:rsid w:val="004B0768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403B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03B0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lainText">
    <w:name w:val="Plain Text"/>
    <w:basedOn w:val="Normal"/>
    <w:link w:val="PlainTextChar"/>
    <w:rsid w:val="00A8351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8351A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D09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RakstzCharCharRakstzCharCharRakstz2">
    <w:name w:val="Rakstz. Char Char Rakstz. Char Char Rakstz.2"/>
    <w:basedOn w:val="Normal"/>
    <w:rsid w:val="009248A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pelle">
    <w:name w:val="spelle"/>
    <w:basedOn w:val="DefaultParagraphFont"/>
    <w:rsid w:val="005972B9"/>
  </w:style>
  <w:style w:type="paragraph" w:styleId="ListParagraph">
    <w:name w:val="List Paragraph"/>
    <w:basedOn w:val="Normal"/>
    <w:uiPriority w:val="34"/>
    <w:qFormat/>
    <w:rsid w:val="00E15284"/>
    <w:pPr>
      <w:ind w:left="720"/>
      <w:contextualSpacing/>
    </w:pPr>
  </w:style>
  <w:style w:type="paragraph" w:styleId="NormalWeb">
    <w:name w:val="Normal (Web)"/>
    <w:basedOn w:val="Normal"/>
    <w:rsid w:val="001E40A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3997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6997</Words>
  <Characters>3989</Characters>
  <Application>Microsoft Office Word</Application>
  <DocSecurity>0</DocSecurity>
  <Lines>33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2011.gada 27.decembra noteikumos Nr.1036 „Kārtība, kādā valsts finansē profesionālās ievirzes sporta izglītības programmas</vt:lpstr>
    </vt:vector>
  </TitlesOfParts>
  <Company> </Company>
  <LinksUpToDate>false</LinksUpToDate>
  <CharactersWithSpaces>10965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2011.gada 27.decembra noteikumos Nr.1036 „Kārtība, kādā valsts finansē profesionālās ievirzes sporta izglītības programmas</dc:title>
  <dc:subject>MK noteikumu projekta anotācija</dc:subject>
  <dc:creator>Anda Mičule</dc:creator>
  <cp:keywords/>
  <dc:description>anda.micule@izm.gov.lv, 67047928</dc:description>
  <cp:lastModifiedBy>amicule</cp:lastModifiedBy>
  <cp:revision>4</cp:revision>
  <cp:lastPrinted>2013-07-11T10:55:00Z</cp:lastPrinted>
  <dcterms:created xsi:type="dcterms:W3CDTF">2013-12-05T07:16:00Z</dcterms:created>
  <dcterms:modified xsi:type="dcterms:W3CDTF">2013-12-10T11:13:00Z</dcterms:modified>
</cp:coreProperties>
</file>