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66" w:rsidRPr="00A426B2" w:rsidRDefault="00355A66" w:rsidP="006243DE">
      <w:pPr>
        <w:pStyle w:val="tv20787921"/>
        <w:spacing w:after="0" w:line="240" w:lineRule="auto"/>
        <w:ind w:left="7200" w:firstLine="720"/>
        <w:rPr>
          <w:rFonts w:ascii="Times New Roman" w:hAnsi="Times New Roman"/>
          <w:b w:val="0"/>
          <w:bCs w:val="0"/>
          <w:i/>
        </w:rPr>
      </w:pPr>
      <w:r w:rsidRPr="00A426B2">
        <w:rPr>
          <w:rFonts w:ascii="Times New Roman" w:hAnsi="Times New Roman"/>
          <w:b w:val="0"/>
          <w:bCs w:val="0"/>
          <w:i/>
        </w:rPr>
        <w:t>Projekts</w:t>
      </w:r>
    </w:p>
    <w:p w:rsidR="00355A66" w:rsidRPr="00A426B2" w:rsidRDefault="00355A66" w:rsidP="0002000E">
      <w:pPr>
        <w:pStyle w:val="tv20787921"/>
        <w:spacing w:after="0" w:line="240" w:lineRule="auto"/>
        <w:rPr>
          <w:rFonts w:ascii="Times New Roman" w:hAnsi="Times New Roman"/>
          <w:bCs w:val="0"/>
        </w:rPr>
      </w:pPr>
    </w:p>
    <w:p w:rsidR="003302BA" w:rsidRPr="00166E7E" w:rsidRDefault="003302BA" w:rsidP="006A16BB">
      <w:pPr>
        <w:pStyle w:val="tv20787921"/>
        <w:spacing w:after="0" w:line="240" w:lineRule="auto"/>
        <w:rPr>
          <w:rFonts w:ascii="Times New Roman" w:hAnsi="Times New Roman"/>
          <w:bCs w:val="0"/>
        </w:rPr>
      </w:pPr>
      <w:r w:rsidRPr="00166E7E">
        <w:rPr>
          <w:rFonts w:ascii="Times New Roman" w:hAnsi="Times New Roman"/>
          <w:bCs w:val="0"/>
        </w:rPr>
        <w:t>Ministru kabineta noteikumu projekta</w:t>
      </w:r>
      <w:r w:rsidR="006A16BB" w:rsidRPr="00166E7E">
        <w:rPr>
          <w:rFonts w:ascii="Times New Roman" w:hAnsi="Times New Roman"/>
          <w:bCs w:val="0"/>
        </w:rPr>
        <w:t xml:space="preserve"> </w:t>
      </w:r>
      <w:r w:rsidR="007B6C4B" w:rsidRPr="00166E7E">
        <w:rPr>
          <w:rFonts w:ascii="Times New Roman" w:hAnsi="Times New Roman"/>
          <w:bCs w:val="0"/>
        </w:rPr>
        <w:t>„Grozījumi</w:t>
      </w:r>
      <w:r w:rsidR="005229F4">
        <w:rPr>
          <w:rFonts w:ascii="Times New Roman" w:hAnsi="Times New Roman"/>
          <w:bCs w:val="0"/>
        </w:rPr>
        <w:t xml:space="preserve"> </w:t>
      </w:r>
      <w:r w:rsidRPr="00166E7E">
        <w:rPr>
          <w:rFonts w:ascii="Times New Roman" w:hAnsi="Times New Roman"/>
          <w:bCs w:val="0"/>
        </w:rPr>
        <w:t>Ministru kabineta</w:t>
      </w:r>
      <w:r w:rsidR="00BF3817" w:rsidRPr="00166E7E">
        <w:rPr>
          <w:rFonts w:ascii="Times New Roman" w:hAnsi="Times New Roman"/>
          <w:bCs w:val="0"/>
        </w:rPr>
        <w:t xml:space="preserve"> </w:t>
      </w:r>
      <w:r w:rsidR="00C4231A" w:rsidRPr="00166E7E">
        <w:rPr>
          <w:rFonts w:ascii="Times New Roman" w:hAnsi="Times New Roman"/>
          <w:bCs w:val="0"/>
        </w:rPr>
        <w:t>2012</w:t>
      </w:r>
      <w:r w:rsidR="000B73CE" w:rsidRPr="00166E7E">
        <w:rPr>
          <w:rFonts w:ascii="Times New Roman" w:hAnsi="Times New Roman"/>
          <w:bCs w:val="0"/>
        </w:rPr>
        <w:t>.gad</w:t>
      </w:r>
      <w:r w:rsidR="00C4231A" w:rsidRPr="00166E7E">
        <w:rPr>
          <w:rFonts w:ascii="Times New Roman" w:hAnsi="Times New Roman"/>
          <w:bCs w:val="0"/>
        </w:rPr>
        <w:t>a 9.oktobra noteikumos Nr.704</w:t>
      </w:r>
      <w:r w:rsidR="006A16BB" w:rsidRPr="00166E7E">
        <w:rPr>
          <w:rFonts w:ascii="Times New Roman" w:hAnsi="Times New Roman"/>
          <w:bCs w:val="0"/>
        </w:rPr>
        <w:t xml:space="preserve"> </w:t>
      </w:r>
      <w:r w:rsidRPr="00166E7E">
        <w:rPr>
          <w:rFonts w:ascii="Times New Roman" w:hAnsi="Times New Roman"/>
          <w:bCs w:val="0"/>
        </w:rPr>
        <w:t>„Not</w:t>
      </w:r>
      <w:r w:rsidR="00BE77C1" w:rsidRPr="00166E7E">
        <w:rPr>
          <w:rFonts w:ascii="Times New Roman" w:hAnsi="Times New Roman"/>
          <w:bCs w:val="0"/>
        </w:rPr>
        <w:t>eikumi par darbības programmas</w:t>
      </w:r>
      <w:r w:rsidR="006A16BB" w:rsidRPr="00166E7E">
        <w:rPr>
          <w:rFonts w:ascii="Times New Roman" w:hAnsi="Times New Roman"/>
          <w:bCs w:val="0"/>
        </w:rPr>
        <w:t xml:space="preserve"> </w:t>
      </w:r>
      <w:r w:rsidR="00BE77C1" w:rsidRPr="00166E7E">
        <w:rPr>
          <w:rFonts w:ascii="Times New Roman" w:hAnsi="Times New Roman"/>
          <w:bCs w:val="0"/>
        </w:rPr>
        <w:t>„Cilvēkresursi un nodarb</w:t>
      </w:r>
      <w:r w:rsidR="006B1162" w:rsidRPr="00166E7E">
        <w:rPr>
          <w:rFonts w:ascii="Times New Roman" w:hAnsi="Times New Roman"/>
          <w:bCs w:val="0"/>
        </w:rPr>
        <w:t>inātīb</w:t>
      </w:r>
      <w:r w:rsidR="00C4231A" w:rsidRPr="00166E7E">
        <w:rPr>
          <w:rFonts w:ascii="Times New Roman" w:hAnsi="Times New Roman"/>
          <w:bCs w:val="0"/>
        </w:rPr>
        <w:t>a” papildinājuma</w:t>
      </w:r>
      <w:r w:rsidR="006A16BB" w:rsidRPr="00166E7E">
        <w:rPr>
          <w:rFonts w:ascii="Times New Roman" w:hAnsi="Times New Roman"/>
          <w:bCs w:val="0"/>
        </w:rPr>
        <w:t xml:space="preserve"> </w:t>
      </w:r>
      <w:r w:rsidR="00C4231A" w:rsidRPr="00166E7E">
        <w:rPr>
          <w:rFonts w:ascii="Times New Roman" w:hAnsi="Times New Roman"/>
          <w:bCs w:val="0"/>
        </w:rPr>
        <w:t>1.1.1.2.aktivitātes</w:t>
      </w:r>
      <w:r w:rsidR="007B6C4B" w:rsidRPr="00166E7E">
        <w:rPr>
          <w:rFonts w:ascii="Times New Roman" w:hAnsi="Times New Roman"/>
          <w:bCs w:val="0"/>
        </w:rPr>
        <w:t>„Cilvēkresursu piesaiste zinātnei”</w:t>
      </w:r>
      <w:r w:rsidR="006A16BB" w:rsidRPr="00166E7E">
        <w:rPr>
          <w:rFonts w:ascii="Times New Roman" w:hAnsi="Times New Roman"/>
          <w:bCs w:val="0"/>
        </w:rPr>
        <w:t xml:space="preserve"> </w:t>
      </w:r>
      <w:r w:rsidR="00C4231A" w:rsidRPr="00166E7E">
        <w:rPr>
          <w:rFonts w:ascii="Times New Roman" w:hAnsi="Times New Roman"/>
          <w:bCs w:val="0"/>
        </w:rPr>
        <w:t>otro projektu iesniegumu atlases kārtu</w:t>
      </w:r>
      <w:r w:rsidR="000B73CE" w:rsidRPr="00166E7E">
        <w:rPr>
          <w:rFonts w:ascii="Times New Roman" w:hAnsi="Times New Roman"/>
          <w:bCs w:val="0"/>
        </w:rPr>
        <w:t>”</w:t>
      </w:r>
      <w:r w:rsidR="00F31C77" w:rsidRPr="00166E7E">
        <w:rPr>
          <w:rFonts w:ascii="Times New Roman" w:hAnsi="Times New Roman"/>
          <w:bCs w:val="0"/>
        </w:rPr>
        <w:t>”</w:t>
      </w:r>
      <w:r w:rsidR="006A16BB" w:rsidRPr="00166E7E">
        <w:rPr>
          <w:rFonts w:ascii="Times New Roman" w:hAnsi="Times New Roman"/>
          <w:bCs w:val="0"/>
        </w:rPr>
        <w:t xml:space="preserve"> </w:t>
      </w:r>
      <w:r w:rsidR="00CE4608" w:rsidRPr="00166E7E">
        <w:rPr>
          <w:rFonts w:ascii="Times New Roman" w:hAnsi="Times New Roman"/>
          <w:bCs w:val="0"/>
        </w:rPr>
        <w:t xml:space="preserve">sākotnējās ietekmes novērtējuma </w:t>
      </w:r>
      <w:r w:rsidRPr="00166E7E">
        <w:rPr>
          <w:rFonts w:ascii="Times New Roman" w:hAnsi="Times New Roman"/>
          <w:bCs w:val="0"/>
        </w:rPr>
        <w:t>ziņojums (anotācija)</w:t>
      </w:r>
    </w:p>
    <w:p w:rsidR="003302BA" w:rsidRPr="00A426B2" w:rsidRDefault="003302BA" w:rsidP="00E5438C">
      <w:pPr>
        <w:pStyle w:val="tv20787921"/>
        <w:spacing w:after="0" w:line="240" w:lineRule="auto"/>
        <w:rPr>
          <w:rFonts w:ascii="Times New Roman" w:hAnsi="Times New Roman"/>
          <w:bCs w:val="0"/>
        </w:rPr>
      </w:pPr>
    </w:p>
    <w:tbl>
      <w:tblPr>
        <w:tblpPr w:leftFromText="180" w:rightFromText="180" w:bottomFromText="20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9"/>
        <w:gridCol w:w="2058"/>
        <w:gridCol w:w="6520"/>
      </w:tblGrid>
      <w:tr w:rsidR="00E5438C" w:rsidRPr="00A426B2" w:rsidTr="00E5438C">
        <w:tc>
          <w:tcPr>
            <w:tcW w:w="9077" w:type="dxa"/>
            <w:gridSpan w:val="3"/>
            <w:tcBorders>
              <w:top w:val="single" w:sz="4" w:space="0" w:color="auto"/>
              <w:left w:val="single" w:sz="4" w:space="0" w:color="auto"/>
              <w:bottom w:val="single" w:sz="4" w:space="0" w:color="auto"/>
              <w:right w:val="single" w:sz="4" w:space="0" w:color="auto"/>
            </w:tcBorders>
            <w:vAlign w:val="center"/>
            <w:hideMark/>
          </w:tcPr>
          <w:p w:rsidR="00E5438C" w:rsidRPr="00A426B2" w:rsidRDefault="00E5438C">
            <w:pPr>
              <w:pStyle w:val="naisnod"/>
              <w:spacing w:before="0" w:after="0" w:line="276" w:lineRule="auto"/>
              <w:rPr>
                <w:sz w:val="26"/>
                <w:szCs w:val="26"/>
              </w:rPr>
            </w:pPr>
            <w:r w:rsidRPr="00A426B2">
              <w:rPr>
                <w:sz w:val="26"/>
                <w:szCs w:val="26"/>
              </w:rPr>
              <w:t>I. Tiesību akta projekta izstrādes nepieciešamība</w:t>
            </w:r>
          </w:p>
        </w:tc>
      </w:tr>
      <w:tr w:rsidR="00E5438C" w:rsidRPr="00A426B2" w:rsidTr="000A49A7">
        <w:trPr>
          <w:trHeight w:val="4032"/>
        </w:trPr>
        <w:tc>
          <w:tcPr>
            <w:tcW w:w="499" w:type="dxa"/>
            <w:tcBorders>
              <w:top w:val="single" w:sz="4" w:space="0" w:color="auto"/>
              <w:left w:val="single" w:sz="4" w:space="0" w:color="auto"/>
              <w:bottom w:val="single" w:sz="4" w:space="0" w:color="auto"/>
              <w:right w:val="single" w:sz="4" w:space="0" w:color="auto"/>
            </w:tcBorders>
            <w:hideMark/>
          </w:tcPr>
          <w:p w:rsidR="00E5438C" w:rsidRPr="00A426B2" w:rsidRDefault="00E5438C" w:rsidP="00317E7E">
            <w:pPr>
              <w:pStyle w:val="naiskr"/>
              <w:spacing w:before="100" w:beforeAutospacing="1" w:after="0"/>
              <w:jc w:val="center"/>
              <w:rPr>
                <w:sz w:val="26"/>
                <w:szCs w:val="26"/>
              </w:rPr>
            </w:pPr>
            <w:r w:rsidRPr="00A426B2">
              <w:rPr>
                <w:sz w:val="26"/>
                <w:szCs w:val="26"/>
              </w:rPr>
              <w:t>1.</w:t>
            </w:r>
          </w:p>
        </w:tc>
        <w:tc>
          <w:tcPr>
            <w:tcW w:w="2058" w:type="dxa"/>
            <w:tcBorders>
              <w:top w:val="single" w:sz="4" w:space="0" w:color="auto"/>
              <w:left w:val="single" w:sz="4" w:space="0" w:color="auto"/>
              <w:bottom w:val="single" w:sz="4" w:space="0" w:color="auto"/>
              <w:right w:val="single" w:sz="4" w:space="0" w:color="auto"/>
            </w:tcBorders>
            <w:hideMark/>
          </w:tcPr>
          <w:p w:rsidR="00E5438C" w:rsidRPr="00A426B2" w:rsidRDefault="00E5438C" w:rsidP="00317E7E">
            <w:pPr>
              <w:pStyle w:val="naiskr"/>
              <w:spacing w:before="100" w:beforeAutospacing="1" w:after="0"/>
              <w:ind w:hanging="10"/>
              <w:rPr>
                <w:sz w:val="26"/>
                <w:szCs w:val="26"/>
              </w:rPr>
            </w:pPr>
            <w:r w:rsidRPr="00A426B2">
              <w:rPr>
                <w:sz w:val="26"/>
                <w:szCs w:val="26"/>
              </w:rPr>
              <w:t>Pamatojums</w:t>
            </w:r>
          </w:p>
        </w:tc>
        <w:tc>
          <w:tcPr>
            <w:tcW w:w="6520" w:type="dxa"/>
            <w:tcBorders>
              <w:top w:val="single" w:sz="4" w:space="0" w:color="auto"/>
              <w:left w:val="single" w:sz="4" w:space="0" w:color="auto"/>
              <w:bottom w:val="single" w:sz="4" w:space="0" w:color="auto"/>
              <w:right w:val="single" w:sz="4" w:space="0" w:color="auto"/>
            </w:tcBorders>
          </w:tcPr>
          <w:p w:rsidR="00E5438C" w:rsidRPr="00A426B2" w:rsidRDefault="003302BA" w:rsidP="000A49A7">
            <w:pPr>
              <w:pStyle w:val="tv20787921"/>
              <w:spacing w:after="0" w:line="240" w:lineRule="auto"/>
              <w:ind w:right="141"/>
              <w:jc w:val="both"/>
              <w:rPr>
                <w:rFonts w:ascii="Times New Roman" w:hAnsi="Times New Roman"/>
                <w:bCs w:val="0"/>
                <w:sz w:val="26"/>
                <w:szCs w:val="26"/>
              </w:rPr>
            </w:pPr>
            <w:r w:rsidRPr="00A426B2">
              <w:rPr>
                <w:rFonts w:ascii="Times New Roman" w:hAnsi="Times New Roman"/>
                <w:b w:val="0"/>
                <w:bCs w:val="0"/>
                <w:sz w:val="26"/>
                <w:szCs w:val="26"/>
              </w:rPr>
              <w:t>Ministru kabineta noteikumu projekts</w:t>
            </w:r>
            <w:r w:rsidR="00F31C77" w:rsidRPr="00A426B2">
              <w:rPr>
                <w:rFonts w:ascii="Times New Roman" w:hAnsi="Times New Roman"/>
                <w:sz w:val="26"/>
                <w:szCs w:val="26"/>
              </w:rPr>
              <w:t xml:space="preserve"> </w:t>
            </w:r>
            <w:r w:rsidRPr="00A426B2">
              <w:rPr>
                <w:rFonts w:ascii="Times New Roman" w:hAnsi="Times New Roman"/>
                <w:b w:val="0"/>
                <w:sz w:val="26"/>
                <w:szCs w:val="26"/>
              </w:rPr>
              <w:t xml:space="preserve">„Grozījumi Ministru kabineta </w:t>
            </w:r>
            <w:r w:rsidR="00C4231A" w:rsidRPr="00A426B2">
              <w:rPr>
                <w:rFonts w:ascii="Times New Roman" w:hAnsi="Times New Roman"/>
                <w:b w:val="0"/>
                <w:sz w:val="26"/>
                <w:szCs w:val="26"/>
              </w:rPr>
              <w:t>2012.gada 9.oktobra</w:t>
            </w:r>
            <w:r w:rsidR="00BE77C1" w:rsidRPr="00A426B2">
              <w:rPr>
                <w:rFonts w:ascii="Times New Roman" w:hAnsi="Times New Roman"/>
                <w:b w:val="0"/>
                <w:sz w:val="26"/>
                <w:szCs w:val="26"/>
              </w:rPr>
              <w:t xml:space="preserve"> noteikumos Nr.</w:t>
            </w:r>
            <w:r w:rsidR="00C4231A" w:rsidRPr="00A426B2">
              <w:rPr>
                <w:rFonts w:ascii="Times New Roman" w:hAnsi="Times New Roman"/>
                <w:b w:val="0"/>
                <w:sz w:val="26"/>
                <w:szCs w:val="26"/>
              </w:rPr>
              <w:t>704</w:t>
            </w:r>
            <w:r w:rsidR="00BE77C1" w:rsidRPr="00A426B2">
              <w:rPr>
                <w:rFonts w:ascii="Times New Roman" w:hAnsi="Times New Roman"/>
                <w:b w:val="0"/>
                <w:sz w:val="26"/>
                <w:szCs w:val="26"/>
              </w:rPr>
              <w:t xml:space="preserve"> </w:t>
            </w:r>
            <w:r w:rsidRPr="00A426B2">
              <w:rPr>
                <w:rFonts w:ascii="Times New Roman" w:hAnsi="Times New Roman"/>
                <w:b w:val="0"/>
                <w:sz w:val="26"/>
                <w:szCs w:val="26"/>
              </w:rPr>
              <w:t xml:space="preserve">„Noteikumi par darbības </w:t>
            </w:r>
            <w:r w:rsidR="00BE77C1" w:rsidRPr="00A426B2">
              <w:rPr>
                <w:rFonts w:ascii="Times New Roman" w:hAnsi="Times New Roman"/>
                <w:b w:val="0"/>
                <w:sz w:val="26"/>
                <w:szCs w:val="26"/>
              </w:rPr>
              <w:t>programmas „Cilvēkresursi un nodarbi</w:t>
            </w:r>
            <w:r w:rsidR="00C4231A" w:rsidRPr="00A426B2">
              <w:rPr>
                <w:rFonts w:ascii="Times New Roman" w:hAnsi="Times New Roman"/>
                <w:b w:val="0"/>
                <w:sz w:val="26"/>
                <w:szCs w:val="26"/>
              </w:rPr>
              <w:t>nātība” papildinājuma 1.1.1.2.aktivitātes</w:t>
            </w:r>
            <w:r w:rsidR="00BE77C1" w:rsidRPr="00A426B2">
              <w:rPr>
                <w:rFonts w:ascii="Times New Roman" w:hAnsi="Times New Roman"/>
                <w:b w:val="0"/>
                <w:sz w:val="26"/>
                <w:szCs w:val="26"/>
              </w:rPr>
              <w:t xml:space="preserve"> „</w:t>
            </w:r>
            <w:r w:rsidR="00C4231A" w:rsidRPr="00A426B2">
              <w:rPr>
                <w:rFonts w:ascii="Times New Roman" w:hAnsi="Times New Roman"/>
                <w:b w:val="0"/>
                <w:sz w:val="26"/>
                <w:szCs w:val="26"/>
              </w:rPr>
              <w:t>Cilvēkresursu piesaiste zinātnei</w:t>
            </w:r>
            <w:r w:rsidR="00F31C77" w:rsidRPr="00A426B2">
              <w:rPr>
                <w:rFonts w:ascii="Times New Roman" w:hAnsi="Times New Roman"/>
                <w:b w:val="0"/>
                <w:bCs w:val="0"/>
                <w:sz w:val="26"/>
                <w:szCs w:val="26"/>
              </w:rPr>
              <w:t>”</w:t>
            </w:r>
            <w:r w:rsidR="00C4231A" w:rsidRPr="00A426B2">
              <w:rPr>
                <w:rFonts w:ascii="Times New Roman" w:hAnsi="Times New Roman"/>
                <w:b w:val="0"/>
                <w:sz w:val="26"/>
                <w:szCs w:val="26"/>
              </w:rPr>
              <w:t xml:space="preserve"> otro projektu iesniegumu atlases kārtu</w:t>
            </w:r>
            <w:r w:rsidR="00F31C77" w:rsidRPr="00A426B2">
              <w:rPr>
                <w:rFonts w:ascii="Times New Roman" w:hAnsi="Times New Roman"/>
                <w:b w:val="0"/>
                <w:sz w:val="26"/>
                <w:szCs w:val="26"/>
              </w:rPr>
              <w:t>””</w:t>
            </w:r>
            <w:r w:rsidRPr="00A426B2">
              <w:rPr>
                <w:rFonts w:ascii="Times New Roman" w:hAnsi="Times New Roman"/>
                <w:b w:val="0"/>
                <w:sz w:val="26"/>
                <w:szCs w:val="26"/>
              </w:rPr>
              <w:t xml:space="preserve"> </w:t>
            </w:r>
            <w:r w:rsidR="00E5438C" w:rsidRPr="00A426B2">
              <w:rPr>
                <w:rFonts w:ascii="Times New Roman" w:hAnsi="Times New Roman"/>
                <w:b w:val="0"/>
                <w:sz w:val="26"/>
                <w:szCs w:val="26"/>
              </w:rPr>
              <w:t xml:space="preserve">(turpmāk – </w:t>
            </w:r>
            <w:r w:rsidR="00C1527A">
              <w:rPr>
                <w:rFonts w:ascii="Times New Roman" w:hAnsi="Times New Roman"/>
                <w:b w:val="0"/>
                <w:sz w:val="26"/>
                <w:szCs w:val="26"/>
              </w:rPr>
              <w:t xml:space="preserve">noteikumu </w:t>
            </w:r>
            <w:r w:rsidR="00E5438C" w:rsidRPr="00A426B2">
              <w:rPr>
                <w:rFonts w:ascii="Times New Roman" w:hAnsi="Times New Roman"/>
                <w:b w:val="0"/>
                <w:sz w:val="26"/>
                <w:szCs w:val="26"/>
              </w:rPr>
              <w:t>projekts) ir sagatavots saskaņā ar</w:t>
            </w:r>
            <w:r w:rsidR="00E5438C" w:rsidRPr="00A426B2">
              <w:rPr>
                <w:rFonts w:ascii="Times New Roman" w:hAnsi="Times New Roman"/>
                <w:sz w:val="26"/>
                <w:szCs w:val="26"/>
              </w:rPr>
              <w:t>:</w:t>
            </w:r>
          </w:p>
          <w:p w:rsidR="00BF0F9A" w:rsidRPr="00A426B2" w:rsidRDefault="00BF0F9A" w:rsidP="00317E7E">
            <w:pPr>
              <w:autoSpaceDE w:val="0"/>
              <w:autoSpaceDN w:val="0"/>
              <w:adjustRightInd w:val="0"/>
              <w:spacing w:after="0" w:line="240" w:lineRule="auto"/>
              <w:jc w:val="both"/>
              <w:rPr>
                <w:rFonts w:ascii="Times New Roman" w:hAnsi="Times New Roman" w:cs="Times New Roman"/>
                <w:sz w:val="26"/>
                <w:szCs w:val="26"/>
              </w:rPr>
            </w:pPr>
            <w:r w:rsidRPr="00A426B2">
              <w:rPr>
                <w:rFonts w:ascii="Times New Roman" w:hAnsi="Times New Roman" w:cs="Times New Roman"/>
                <w:sz w:val="26"/>
                <w:szCs w:val="26"/>
              </w:rPr>
              <w:t xml:space="preserve">1) </w:t>
            </w:r>
            <w:r w:rsidRPr="00A426B2">
              <w:rPr>
                <w:rFonts w:ascii="Times New Roman" w:hAnsi="Times New Roman" w:cs="Times New Roman"/>
                <w:i/>
                <w:sz w:val="26"/>
                <w:szCs w:val="26"/>
              </w:rPr>
              <w:t>Euro</w:t>
            </w:r>
            <w:r w:rsidRPr="00A426B2">
              <w:rPr>
                <w:rFonts w:ascii="Times New Roman" w:hAnsi="Times New Roman" w:cs="Times New Roman"/>
                <w:sz w:val="26"/>
                <w:szCs w:val="26"/>
              </w:rPr>
              <w:t xml:space="preserve"> ieviešanas kārtības likuma </w:t>
            </w:r>
            <w:r w:rsidR="00560445" w:rsidRPr="00A426B2">
              <w:rPr>
                <w:rFonts w:ascii="Times New Roman" w:hAnsi="Times New Roman" w:cs="Times New Roman"/>
                <w:sz w:val="26"/>
                <w:szCs w:val="26"/>
              </w:rPr>
              <w:t>30.panta pirmo daļu</w:t>
            </w:r>
            <w:r w:rsidRPr="00A426B2">
              <w:rPr>
                <w:rFonts w:ascii="Times New Roman" w:hAnsi="Times New Roman" w:cs="Times New Roman"/>
                <w:sz w:val="26"/>
                <w:szCs w:val="26"/>
              </w:rPr>
              <w:t>;</w:t>
            </w:r>
          </w:p>
          <w:p w:rsidR="00BF0F9A" w:rsidRPr="00A426B2" w:rsidRDefault="00BF0F9A" w:rsidP="000A49A7">
            <w:pPr>
              <w:autoSpaceDE w:val="0"/>
              <w:autoSpaceDN w:val="0"/>
              <w:adjustRightInd w:val="0"/>
              <w:spacing w:after="0" w:line="240" w:lineRule="auto"/>
              <w:ind w:right="141"/>
              <w:jc w:val="both"/>
              <w:rPr>
                <w:rFonts w:ascii="Times New Roman" w:hAnsi="Times New Roman" w:cs="Times New Roman"/>
                <w:sz w:val="26"/>
                <w:szCs w:val="26"/>
              </w:rPr>
            </w:pPr>
            <w:r w:rsidRPr="00A426B2">
              <w:rPr>
                <w:rFonts w:ascii="Times New Roman" w:hAnsi="Times New Roman" w:cs="Times New Roman"/>
                <w:sz w:val="26"/>
                <w:szCs w:val="26"/>
              </w:rPr>
              <w:t>2) Ministru kabineta 2012.gada 27.jūnija rīkojuma Nr.282 „Par Koncepciju par normatīvo aktu sakārtošanu sai</w:t>
            </w:r>
            <w:r w:rsidR="006A6EC3" w:rsidRPr="00A426B2">
              <w:rPr>
                <w:rFonts w:ascii="Times New Roman" w:hAnsi="Times New Roman" w:cs="Times New Roman"/>
                <w:sz w:val="26"/>
                <w:szCs w:val="26"/>
              </w:rPr>
              <w:t>stībā ar eiro ievešanu Latvijā”</w:t>
            </w:r>
            <w:r w:rsidR="00AF015E" w:rsidRPr="00A426B2">
              <w:rPr>
                <w:rFonts w:ascii="Times New Roman" w:hAnsi="Times New Roman" w:cs="Times New Roman"/>
                <w:sz w:val="26"/>
                <w:szCs w:val="26"/>
              </w:rPr>
              <w:t xml:space="preserve"> 7.1.apakšpunktu</w:t>
            </w:r>
            <w:r w:rsidRPr="00A426B2">
              <w:rPr>
                <w:rFonts w:ascii="Times New Roman" w:hAnsi="Times New Roman" w:cs="Times New Roman"/>
                <w:sz w:val="26"/>
                <w:szCs w:val="26"/>
              </w:rPr>
              <w:t>;</w:t>
            </w:r>
          </w:p>
          <w:p w:rsidR="00E5438C" w:rsidRPr="000A49A7" w:rsidRDefault="00AF015E" w:rsidP="000A49A7">
            <w:pPr>
              <w:autoSpaceDE w:val="0"/>
              <w:autoSpaceDN w:val="0"/>
              <w:adjustRightInd w:val="0"/>
              <w:spacing w:after="0" w:line="240" w:lineRule="auto"/>
              <w:ind w:right="141"/>
              <w:jc w:val="both"/>
              <w:rPr>
                <w:rFonts w:ascii="Times New Roman" w:hAnsi="Times New Roman" w:cs="Times New Roman"/>
                <w:sz w:val="26"/>
                <w:szCs w:val="26"/>
              </w:rPr>
            </w:pPr>
            <w:r w:rsidRPr="00A426B2">
              <w:rPr>
                <w:rFonts w:ascii="Times New Roman" w:hAnsi="Times New Roman" w:cs="Times New Roman"/>
                <w:sz w:val="26"/>
                <w:szCs w:val="26"/>
              </w:rPr>
              <w:t>3) Latvijas N</w:t>
            </w:r>
            <w:r w:rsidR="00BF0F9A" w:rsidRPr="00A426B2">
              <w:rPr>
                <w:rFonts w:ascii="Times New Roman" w:hAnsi="Times New Roman" w:cs="Times New Roman"/>
                <w:sz w:val="26"/>
                <w:szCs w:val="26"/>
              </w:rPr>
              <w:t xml:space="preserve">acionālā </w:t>
            </w:r>
            <w:r w:rsidR="00BF0F9A" w:rsidRPr="00A426B2">
              <w:rPr>
                <w:rFonts w:ascii="Times New Roman" w:hAnsi="Times New Roman" w:cs="Times New Roman"/>
                <w:i/>
                <w:sz w:val="26"/>
                <w:szCs w:val="26"/>
              </w:rPr>
              <w:t>euro</w:t>
            </w:r>
            <w:r w:rsidR="00DF3F6F" w:rsidRPr="00A426B2">
              <w:rPr>
                <w:rFonts w:ascii="Times New Roman" w:hAnsi="Times New Roman" w:cs="Times New Roman"/>
                <w:sz w:val="26"/>
                <w:szCs w:val="26"/>
              </w:rPr>
              <w:t xml:space="preserve"> ieviešanas plāna</w:t>
            </w:r>
            <w:r w:rsidR="00BF0F9A" w:rsidRPr="00A426B2">
              <w:rPr>
                <w:rFonts w:ascii="Times New Roman" w:hAnsi="Times New Roman" w:cs="Times New Roman"/>
                <w:sz w:val="26"/>
                <w:szCs w:val="26"/>
              </w:rPr>
              <w:t xml:space="preserve"> (apstiprināts ar Ministru kabineta 2013.gada 4.aprīļa rīkojumu Nr.136)</w:t>
            </w:r>
            <w:r w:rsidR="00DF3F6F" w:rsidRPr="00A426B2">
              <w:rPr>
                <w:rFonts w:ascii="Times New Roman" w:hAnsi="Times New Roman" w:cs="Times New Roman"/>
                <w:sz w:val="26"/>
                <w:szCs w:val="26"/>
              </w:rPr>
              <w:t xml:space="preserve"> 1.pielikuma J2.2.2.apakšpunktu</w:t>
            </w:r>
            <w:r w:rsidR="000A49A7">
              <w:rPr>
                <w:rFonts w:ascii="Times New Roman" w:hAnsi="Times New Roman" w:cs="Times New Roman"/>
                <w:sz w:val="26"/>
                <w:szCs w:val="26"/>
              </w:rPr>
              <w:t>.</w:t>
            </w:r>
          </w:p>
        </w:tc>
      </w:tr>
      <w:tr w:rsidR="00B554C5" w:rsidRPr="00A426B2" w:rsidTr="00AE4D1B">
        <w:trPr>
          <w:trHeight w:val="630"/>
        </w:trPr>
        <w:tc>
          <w:tcPr>
            <w:tcW w:w="499" w:type="dxa"/>
            <w:tcBorders>
              <w:top w:val="single" w:sz="4" w:space="0" w:color="auto"/>
              <w:left w:val="single" w:sz="4" w:space="0" w:color="auto"/>
              <w:bottom w:val="single" w:sz="4" w:space="0" w:color="auto"/>
              <w:right w:val="single" w:sz="4" w:space="0" w:color="auto"/>
            </w:tcBorders>
            <w:hideMark/>
          </w:tcPr>
          <w:p w:rsidR="00B554C5" w:rsidRPr="00A426B2" w:rsidRDefault="00B554C5" w:rsidP="00317E7E">
            <w:pPr>
              <w:pStyle w:val="naiskr"/>
              <w:spacing w:before="100" w:beforeAutospacing="1" w:after="0"/>
              <w:jc w:val="center"/>
              <w:rPr>
                <w:sz w:val="26"/>
                <w:szCs w:val="26"/>
              </w:rPr>
            </w:pPr>
            <w:r w:rsidRPr="00A426B2">
              <w:rPr>
                <w:sz w:val="26"/>
                <w:szCs w:val="26"/>
              </w:rPr>
              <w:t>2.</w:t>
            </w:r>
          </w:p>
        </w:tc>
        <w:tc>
          <w:tcPr>
            <w:tcW w:w="2058" w:type="dxa"/>
            <w:tcBorders>
              <w:top w:val="single" w:sz="4" w:space="0" w:color="auto"/>
              <w:left w:val="single" w:sz="4" w:space="0" w:color="auto"/>
              <w:bottom w:val="single" w:sz="4" w:space="0" w:color="auto"/>
              <w:right w:val="single" w:sz="4" w:space="0" w:color="auto"/>
            </w:tcBorders>
            <w:hideMark/>
          </w:tcPr>
          <w:p w:rsidR="00B554C5" w:rsidRPr="00A426B2" w:rsidRDefault="00301DB6" w:rsidP="00317E7E">
            <w:pPr>
              <w:pStyle w:val="naiskr"/>
              <w:spacing w:before="100" w:beforeAutospacing="1" w:after="0"/>
              <w:ind w:hanging="10"/>
              <w:rPr>
                <w:sz w:val="26"/>
                <w:szCs w:val="26"/>
              </w:rPr>
            </w:pPr>
            <w:r w:rsidRPr="00A426B2">
              <w:rPr>
                <w:sz w:val="26"/>
                <w:szCs w:val="26"/>
              </w:rPr>
              <w:t>Pašreizējā situācija un problēm</w:t>
            </w:r>
            <w:r w:rsidR="00B554C5" w:rsidRPr="00A426B2">
              <w:rPr>
                <w:sz w:val="26"/>
                <w:szCs w:val="26"/>
              </w:rPr>
              <w:t>as</w:t>
            </w:r>
          </w:p>
        </w:tc>
        <w:tc>
          <w:tcPr>
            <w:tcW w:w="6520" w:type="dxa"/>
            <w:tcBorders>
              <w:top w:val="single" w:sz="4" w:space="0" w:color="auto"/>
              <w:left w:val="single" w:sz="4" w:space="0" w:color="auto"/>
              <w:bottom w:val="single" w:sz="4" w:space="0" w:color="auto"/>
              <w:right w:val="single" w:sz="4" w:space="0" w:color="auto"/>
            </w:tcBorders>
          </w:tcPr>
          <w:p w:rsidR="000A49A7" w:rsidRDefault="00B554C5" w:rsidP="000A49A7">
            <w:pPr>
              <w:spacing w:after="0" w:line="240" w:lineRule="auto"/>
              <w:ind w:right="141"/>
              <w:jc w:val="both"/>
              <w:rPr>
                <w:rFonts w:ascii="Times New Roman" w:eastAsia="Times New Roman" w:hAnsi="Times New Roman" w:cs="Times New Roman"/>
                <w:bCs/>
                <w:sz w:val="26"/>
                <w:szCs w:val="26"/>
                <w:lang w:eastAsia="lv-LV"/>
              </w:rPr>
            </w:pPr>
            <w:r w:rsidRPr="00C1527A">
              <w:rPr>
                <w:rFonts w:ascii="Times New Roman" w:hAnsi="Times New Roman" w:cs="Times New Roman"/>
                <w:sz w:val="26"/>
                <w:szCs w:val="26"/>
              </w:rPr>
              <w:t>Ministru kabineta 2012.gada 9.oktobra noteikumos Nr.704</w:t>
            </w:r>
            <w:r w:rsidRPr="00C1527A">
              <w:rPr>
                <w:rFonts w:ascii="Times New Roman" w:eastAsia="Times New Roman" w:hAnsi="Times New Roman" w:cs="Times New Roman"/>
                <w:bCs/>
                <w:sz w:val="26"/>
                <w:szCs w:val="26"/>
                <w:lang w:eastAsia="lv-LV"/>
              </w:rPr>
              <w:t xml:space="preserve"> „Noteikumi par darbības programmas „Cilvēkresursi un nodarbinātība” papildinājuma 1.1.1.2.aktivitātes „Cilvēkresursu piesaiste zinātnei” otro projektu iesniegumu atlases kārtu</w:t>
            </w:r>
            <w:r w:rsidRPr="00C1527A">
              <w:rPr>
                <w:rFonts w:ascii="Times New Roman" w:hAnsi="Times New Roman"/>
                <w:sz w:val="26"/>
                <w:szCs w:val="26"/>
              </w:rPr>
              <w:t>””</w:t>
            </w:r>
            <w:r w:rsidR="00C1527A">
              <w:rPr>
                <w:rFonts w:ascii="Times New Roman" w:hAnsi="Times New Roman"/>
                <w:sz w:val="26"/>
                <w:szCs w:val="26"/>
              </w:rPr>
              <w:t xml:space="preserve"> (turpmāk – MK noteikumi Nr.704)</w:t>
            </w:r>
            <w:r w:rsidRPr="00C1527A">
              <w:rPr>
                <w:rFonts w:ascii="Times New Roman" w:eastAsia="Times New Roman" w:hAnsi="Times New Roman" w:cs="Times New Roman"/>
                <w:bCs/>
                <w:sz w:val="26"/>
                <w:szCs w:val="26"/>
                <w:lang w:eastAsia="lv-LV"/>
              </w:rPr>
              <w:t xml:space="preserve"> </w:t>
            </w:r>
            <w:r w:rsidR="00594279" w:rsidRPr="00C1527A">
              <w:rPr>
                <w:rFonts w:ascii="Times New Roman" w:eastAsia="Times New Roman" w:hAnsi="Times New Roman" w:cs="Times New Roman"/>
                <w:bCs/>
                <w:sz w:val="26"/>
                <w:szCs w:val="26"/>
                <w:lang w:eastAsia="lv-LV"/>
              </w:rPr>
              <w:t xml:space="preserve">1.1.1.2.aktivitātes otrai kārtai pieejamais finansējums, ko veido Eiropas Sociālā fonda līdzfinansējums, nacionālais publiskais finansējums un privātais finansējums, </w:t>
            </w:r>
            <w:proofErr w:type="spellStart"/>
            <w:r w:rsidR="00594279" w:rsidRPr="00C1527A">
              <w:rPr>
                <w:rFonts w:ascii="Times New Roman" w:eastAsia="Times New Roman" w:hAnsi="Times New Roman" w:cs="Times New Roman"/>
                <w:bCs/>
                <w:sz w:val="26"/>
                <w:szCs w:val="26"/>
                <w:lang w:eastAsia="lv-LV"/>
              </w:rPr>
              <w:t>virssaistību</w:t>
            </w:r>
            <w:proofErr w:type="spellEnd"/>
            <w:r w:rsidR="00594279" w:rsidRPr="00C1527A">
              <w:rPr>
                <w:rFonts w:ascii="Times New Roman" w:eastAsia="Times New Roman" w:hAnsi="Times New Roman" w:cs="Times New Roman"/>
                <w:bCs/>
                <w:sz w:val="26"/>
                <w:szCs w:val="26"/>
                <w:lang w:eastAsia="lv-LV"/>
              </w:rPr>
              <w:t xml:space="preserve"> finansējuma apjoms, kā arī projekta minimālā un maksimālā</w:t>
            </w:r>
            <w:r w:rsidR="0029033D">
              <w:rPr>
                <w:rFonts w:ascii="Times New Roman" w:eastAsia="Times New Roman" w:hAnsi="Times New Roman" w:cs="Times New Roman"/>
                <w:bCs/>
                <w:sz w:val="26"/>
                <w:szCs w:val="26"/>
                <w:lang w:eastAsia="lv-LV"/>
              </w:rPr>
              <w:t xml:space="preserve"> attiecināmo izmaksu kop</w:t>
            </w:r>
            <w:r w:rsidR="00594279" w:rsidRPr="00C1527A">
              <w:rPr>
                <w:rFonts w:ascii="Times New Roman" w:eastAsia="Times New Roman" w:hAnsi="Times New Roman" w:cs="Times New Roman"/>
                <w:bCs/>
                <w:sz w:val="26"/>
                <w:szCs w:val="26"/>
                <w:lang w:eastAsia="lv-LV"/>
              </w:rPr>
              <w:t>summa ir izteikta latos. Tāpat latos ir izteiktas sabiedrības informēšanas un publicitātes izmaksas, attiecināmās inventāra un instrumentu iegādes un piegādes izmaksas, kā arī atalgojuma un darba</w:t>
            </w:r>
            <w:r w:rsidR="00C1527A" w:rsidRPr="00C1527A">
              <w:rPr>
                <w:rFonts w:ascii="Times New Roman" w:eastAsia="Times New Roman" w:hAnsi="Times New Roman" w:cs="Times New Roman"/>
                <w:bCs/>
                <w:sz w:val="26"/>
                <w:szCs w:val="26"/>
                <w:lang w:eastAsia="lv-LV"/>
              </w:rPr>
              <w:t xml:space="preserve"> algas likmes. </w:t>
            </w:r>
          </w:p>
          <w:p w:rsidR="000A49A7" w:rsidRDefault="00B554C5" w:rsidP="000A49A7">
            <w:pPr>
              <w:spacing w:after="0" w:line="240" w:lineRule="auto"/>
              <w:ind w:right="141"/>
              <w:jc w:val="both"/>
              <w:rPr>
                <w:rFonts w:ascii="Times New Roman" w:eastAsia="Times New Roman" w:hAnsi="Times New Roman" w:cs="Times New Roman"/>
                <w:bCs/>
                <w:sz w:val="26"/>
                <w:szCs w:val="26"/>
                <w:lang w:eastAsia="lv-LV"/>
              </w:rPr>
            </w:pPr>
            <w:r w:rsidRPr="00C1527A">
              <w:rPr>
                <w:rFonts w:ascii="Times New Roman" w:hAnsi="Times New Roman" w:cs="Times New Roman"/>
                <w:sz w:val="26"/>
                <w:szCs w:val="26"/>
                <w:lang w:eastAsia="lv-LV"/>
              </w:rPr>
              <w:t>Minētie noteikumi arī ietver normas, kurās izdarītas atsauces uz latiem.</w:t>
            </w:r>
          </w:p>
          <w:p w:rsidR="00B554C5" w:rsidRPr="000A49A7" w:rsidRDefault="00B554C5" w:rsidP="000A49A7">
            <w:pPr>
              <w:spacing w:after="0" w:line="240" w:lineRule="auto"/>
              <w:ind w:right="141"/>
              <w:jc w:val="both"/>
              <w:rPr>
                <w:rFonts w:ascii="Times New Roman" w:eastAsia="Times New Roman" w:hAnsi="Times New Roman" w:cs="Times New Roman"/>
                <w:bCs/>
                <w:sz w:val="26"/>
                <w:szCs w:val="26"/>
                <w:lang w:eastAsia="lv-LV"/>
              </w:rPr>
            </w:pPr>
            <w:r w:rsidRPr="00A426B2">
              <w:rPr>
                <w:rFonts w:ascii="Times New Roman" w:hAnsi="Times New Roman"/>
                <w:sz w:val="26"/>
                <w:szCs w:val="26"/>
              </w:rPr>
              <w:t xml:space="preserve">Ievērojot iepriekšminēto un to, ka ar 2014.gada 1.janvāri Latvijā plānots ieviest </w:t>
            </w:r>
            <w:r w:rsidRPr="00A426B2">
              <w:rPr>
                <w:rFonts w:ascii="Times New Roman" w:hAnsi="Times New Roman"/>
                <w:i/>
                <w:iCs/>
                <w:sz w:val="26"/>
                <w:szCs w:val="26"/>
              </w:rPr>
              <w:t xml:space="preserve">euro, </w:t>
            </w:r>
            <w:r w:rsidRPr="00A426B2">
              <w:rPr>
                <w:rFonts w:ascii="Times New Roman" w:hAnsi="Times New Roman"/>
                <w:iCs/>
                <w:sz w:val="26"/>
                <w:szCs w:val="26"/>
              </w:rPr>
              <w:t>ir</w:t>
            </w:r>
            <w:r w:rsidRPr="00A426B2">
              <w:rPr>
                <w:rFonts w:ascii="Times New Roman" w:hAnsi="Times New Roman"/>
                <w:i/>
                <w:iCs/>
                <w:sz w:val="26"/>
                <w:szCs w:val="26"/>
              </w:rPr>
              <w:t xml:space="preserve"> </w:t>
            </w:r>
            <w:r w:rsidRPr="00A426B2">
              <w:rPr>
                <w:rFonts w:ascii="Times New Roman" w:hAnsi="Times New Roman"/>
                <w:sz w:val="26"/>
                <w:szCs w:val="26"/>
              </w:rPr>
              <w:t>nepieciešams izdarīt grozījumus minētajos Ministru kabineta noteikumos.</w:t>
            </w:r>
          </w:p>
        </w:tc>
      </w:tr>
      <w:tr w:rsidR="00E5438C" w:rsidRPr="00A426B2" w:rsidTr="00AE4D1B">
        <w:trPr>
          <w:trHeight w:val="1071"/>
        </w:trPr>
        <w:tc>
          <w:tcPr>
            <w:tcW w:w="499" w:type="dxa"/>
            <w:tcBorders>
              <w:top w:val="single" w:sz="4" w:space="0" w:color="auto"/>
              <w:left w:val="single" w:sz="4" w:space="0" w:color="auto"/>
              <w:bottom w:val="single" w:sz="4" w:space="0" w:color="auto"/>
              <w:right w:val="single" w:sz="4" w:space="0" w:color="auto"/>
            </w:tcBorders>
            <w:hideMark/>
          </w:tcPr>
          <w:p w:rsidR="00E5438C" w:rsidRPr="00A426B2" w:rsidRDefault="00E5438C" w:rsidP="00317E7E">
            <w:pPr>
              <w:pStyle w:val="naiskr"/>
              <w:spacing w:before="100" w:beforeAutospacing="1" w:after="0"/>
              <w:jc w:val="center"/>
              <w:rPr>
                <w:sz w:val="26"/>
                <w:szCs w:val="26"/>
              </w:rPr>
            </w:pPr>
            <w:r w:rsidRPr="00A426B2">
              <w:rPr>
                <w:sz w:val="26"/>
                <w:szCs w:val="26"/>
              </w:rPr>
              <w:lastRenderedPageBreak/>
              <w:t>3.</w:t>
            </w:r>
          </w:p>
        </w:tc>
        <w:tc>
          <w:tcPr>
            <w:tcW w:w="2058" w:type="dxa"/>
            <w:tcBorders>
              <w:top w:val="single" w:sz="4" w:space="0" w:color="auto"/>
              <w:left w:val="single" w:sz="4" w:space="0" w:color="auto"/>
              <w:bottom w:val="single" w:sz="4" w:space="0" w:color="auto"/>
              <w:right w:val="single" w:sz="4" w:space="0" w:color="auto"/>
            </w:tcBorders>
            <w:hideMark/>
          </w:tcPr>
          <w:p w:rsidR="00E5438C" w:rsidRPr="00A426B2" w:rsidRDefault="00E5438C" w:rsidP="00317E7E">
            <w:pPr>
              <w:pStyle w:val="naiskr"/>
              <w:spacing w:before="100" w:beforeAutospacing="1" w:after="0"/>
              <w:rPr>
                <w:sz w:val="26"/>
                <w:szCs w:val="26"/>
              </w:rPr>
            </w:pPr>
            <w:r w:rsidRPr="00A426B2">
              <w:rPr>
                <w:sz w:val="26"/>
                <w:szCs w:val="26"/>
              </w:rPr>
              <w:t>Saistītie politikas ietekmes novērtējumi un pētījumi</w:t>
            </w:r>
          </w:p>
        </w:tc>
        <w:tc>
          <w:tcPr>
            <w:tcW w:w="6520" w:type="dxa"/>
            <w:tcBorders>
              <w:top w:val="single" w:sz="4" w:space="0" w:color="auto"/>
              <w:left w:val="single" w:sz="4" w:space="0" w:color="auto"/>
              <w:bottom w:val="single" w:sz="4" w:space="0" w:color="auto"/>
              <w:right w:val="single" w:sz="4" w:space="0" w:color="auto"/>
            </w:tcBorders>
            <w:hideMark/>
          </w:tcPr>
          <w:p w:rsidR="00E5438C" w:rsidRPr="00A426B2" w:rsidRDefault="00C1527A" w:rsidP="00C1527A">
            <w:pPr>
              <w:pStyle w:val="FootnoteText"/>
              <w:spacing w:before="100" w:beforeAutospacing="1"/>
              <w:rPr>
                <w:sz w:val="26"/>
                <w:szCs w:val="26"/>
              </w:rPr>
            </w:pPr>
            <w:r>
              <w:rPr>
                <w:sz w:val="26"/>
                <w:szCs w:val="26"/>
              </w:rPr>
              <w:t>Noteikumu p</w:t>
            </w:r>
            <w:r w:rsidR="00E5438C" w:rsidRPr="00A426B2">
              <w:rPr>
                <w:sz w:val="26"/>
                <w:szCs w:val="26"/>
              </w:rPr>
              <w:t>rojekts šo jomu neskar.</w:t>
            </w:r>
          </w:p>
        </w:tc>
      </w:tr>
      <w:tr w:rsidR="00E5438C" w:rsidRPr="00A426B2" w:rsidTr="00D30912">
        <w:trPr>
          <w:trHeight w:val="4959"/>
        </w:trPr>
        <w:tc>
          <w:tcPr>
            <w:tcW w:w="499" w:type="dxa"/>
            <w:tcBorders>
              <w:top w:val="single" w:sz="4" w:space="0" w:color="auto"/>
              <w:left w:val="single" w:sz="4" w:space="0" w:color="auto"/>
              <w:bottom w:val="single" w:sz="4" w:space="0" w:color="auto"/>
              <w:right w:val="single" w:sz="4" w:space="0" w:color="auto"/>
            </w:tcBorders>
            <w:hideMark/>
          </w:tcPr>
          <w:p w:rsidR="00E5438C" w:rsidRPr="00A426B2" w:rsidRDefault="00E5438C" w:rsidP="00317E7E">
            <w:pPr>
              <w:pStyle w:val="naiskr"/>
              <w:spacing w:before="100" w:beforeAutospacing="1" w:after="0"/>
              <w:jc w:val="center"/>
              <w:rPr>
                <w:sz w:val="26"/>
                <w:szCs w:val="26"/>
              </w:rPr>
            </w:pPr>
            <w:r w:rsidRPr="00A426B2">
              <w:rPr>
                <w:sz w:val="26"/>
                <w:szCs w:val="26"/>
              </w:rPr>
              <w:t>4.</w:t>
            </w:r>
          </w:p>
        </w:tc>
        <w:tc>
          <w:tcPr>
            <w:tcW w:w="2058" w:type="dxa"/>
            <w:tcBorders>
              <w:top w:val="single" w:sz="4" w:space="0" w:color="auto"/>
              <w:left w:val="single" w:sz="4" w:space="0" w:color="auto"/>
              <w:bottom w:val="single" w:sz="4" w:space="0" w:color="auto"/>
              <w:right w:val="single" w:sz="4" w:space="0" w:color="auto"/>
            </w:tcBorders>
            <w:hideMark/>
          </w:tcPr>
          <w:p w:rsidR="00E5438C" w:rsidRPr="00A426B2" w:rsidRDefault="00E5438C" w:rsidP="00317E7E">
            <w:pPr>
              <w:pStyle w:val="naiskr"/>
              <w:spacing w:before="100" w:beforeAutospacing="1" w:after="0"/>
              <w:rPr>
                <w:sz w:val="26"/>
                <w:szCs w:val="26"/>
              </w:rPr>
            </w:pPr>
            <w:r w:rsidRPr="00A426B2">
              <w:rPr>
                <w:sz w:val="26"/>
                <w:szCs w:val="26"/>
              </w:rPr>
              <w:t>Tiesiskā regulējuma mērķis un būtība</w:t>
            </w:r>
          </w:p>
        </w:tc>
        <w:tc>
          <w:tcPr>
            <w:tcW w:w="6520" w:type="dxa"/>
            <w:tcBorders>
              <w:top w:val="single" w:sz="4" w:space="0" w:color="auto"/>
              <w:left w:val="single" w:sz="4" w:space="0" w:color="auto"/>
              <w:bottom w:val="single" w:sz="4" w:space="0" w:color="auto"/>
              <w:right w:val="single" w:sz="4" w:space="0" w:color="auto"/>
            </w:tcBorders>
          </w:tcPr>
          <w:p w:rsidR="000A49A7" w:rsidRDefault="00C1527A" w:rsidP="000A49A7">
            <w:pPr>
              <w:spacing w:after="0" w:line="240" w:lineRule="auto"/>
              <w:ind w:right="141"/>
              <w:jc w:val="both"/>
              <w:rPr>
                <w:rFonts w:ascii="Times New Roman" w:eastAsia="Times New Roman" w:hAnsi="Times New Roman" w:cs="Times New Roman"/>
                <w:bCs/>
                <w:sz w:val="26"/>
                <w:szCs w:val="26"/>
                <w:lang w:eastAsia="lv-LV"/>
              </w:rPr>
            </w:pPr>
            <w:r>
              <w:rPr>
                <w:rFonts w:ascii="Times New Roman" w:hAnsi="Times New Roman" w:cs="Times New Roman"/>
                <w:sz w:val="26"/>
                <w:szCs w:val="26"/>
              </w:rPr>
              <w:t>Noteikumu p</w:t>
            </w:r>
            <w:r w:rsidR="00F31C77" w:rsidRPr="00A426B2">
              <w:rPr>
                <w:rFonts w:ascii="Times New Roman" w:hAnsi="Times New Roman" w:cs="Times New Roman"/>
                <w:sz w:val="26"/>
                <w:szCs w:val="26"/>
              </w:rPr>
              <w:t xml:space="preserve">rojekta mērķis ir pielāgot </w:t>
            </w:r>
            <w:r>
              <w:rPr>
                <w:rFonts w:ascii="Times New Roman" w:hAnsi="Times New Roman" w:cs="Times New Roman"/>
                <w:sz w:val="26"/>
                <w:szCs w:val="26"/>
              </w:rPr>
              <w:t>MK</w:t>
            </w:r>
            <w:r w:rsidR="00F31C77" w:rsidRPr="00A426B2">
              <w:rPr>
                <w:rFonts w:ascii="Times New Roman" w:hAnsi="Times New Roman" w:cs="Times New Roman"/>
                <w:sz w:val="26"/>
                <w:szCs w:val="26"/>
              </w:rPr>
              <w:t xml:space="preserve"> noteikum</w:t>
            </w:r>
            <w:r>
              <w:rPr>
                <w:rFonts w:ascii="Times New Roman" w:hAnsi="Times New Roman" w:cs="Times New Roman"/>
                <w:sz w:val="26"/>
                <w:szCs w:val="26"/>
              </w:rPr>
              <w:t>u</w:t>
            </w:r>
            <w:r w:rsidR="00F31C77" w:rsidRPr="00A426B2">
              <w:rPr>
                <w:rFonts w:ascii="Times New Roman" w:hAnsi="Times New Roman" w:cs="Times New Roman"/>
                <w:sz w:val="26"/>
                <w:szCs w:val="26"/>
              </w:rPr>
              <w:t>s Nr.704</w:t>
            </w:r>
            <w:r w:rsidR="00C2296B" w:rsidRPr="00A426B2">
              <w:rPr>
                <w:rFonts w:ascii="Times New Roman" w:eastAsia="Times New Roman" w:hAnsi="Times New Roman" w:cs="Times New Roman"/>
                <w:bCs/>
                <w:sz w:val="26"/>
                <w:szCs w:val="26"/>
                <w:lang w:eastAsia="lv-LV"/>
              </w:rPr>
              <w:t xml:space="preserve">, </w:t>
            </w:r>
            <w:proofErr w:type="spellStart"/>
            <w:r w:rsidR="00C2296B" w:rsidRPr="00A426B2">
              <w:rPr>
                <w:rFonts w:ascii="Times New Roman" w:eastAsia="Times New Roman" w:hAnsi="Times New Roman" w:cs="Times New Roman"/>
                <w:bCs/>
                <w:i/>
                <w:sz w:val="26"/>
                <w:szCs w:val="26"/>
                <w:lang w:eastAsia="lv-LV"/>
              </w:rPr>
              <w:t>euro</w:t>
            </w:r>
            <w:proofErr w:type="spellEnd"/>
            <w:r w:rsidR="00C2296B" w:rsidRPr="00A426B2">
              <w:rPr>
                <w:rFonts w:ascii="Times New Roman" w:eastAsia="Times New Roman" w:hAnsi="Times New Roman" w:cs="Times New Roman"/>
                <w:bCs/>
                <w:i/>
                <w:sz w:val="26"/>
                <w:szCs w:val="26"/>
                <w:lang w:eastAsia="lv-LV"/>
              </w:rPr>
              <w:t xml:space="preserve"> </w:t>
            </w:r>
            <w:r w:rsidR="00C2296B" w:rsidRPr="00A426B2">
              <w:rPr>
                <w:rFonts w:ascii="Times New Roman" w:eastAsia="Times New Roman" w:hAnsi="Times New Roman" w:cs="Times New Roman"/>
                <w:bCs/>
                <w:sz w:val="26"/>
                <w:szCs w:val="26"/>
                <w:lang w:eastAsia="lv-LV"/>
              </w:rPr>
              <w:t>ieviešanai.</w:t>
            </w:r>
          </w:p>
          <w:p w:rsidR="000A49A7" w:rsidRDefault="00C1527A" w:rsidP="000A49A7">
            <w:pPr>
              <w:spacing w:after="0" w:line="240" w:lineRule="auto"/>
              <w:ind w:right="141"/>
              <w:jc w:val="both"/>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 xml:space="preserve">Noteikumu projekts paredz aizstāt MK noteikumos Nr.704 latus ar </w:t>
            </w:r>
            <w:proofErr w:type="spellStart"/>
            <w:r w:rsidRPr="000A49A7">
              <w:rPr>
                <w:rFonts w:ascii="Times New Roman" w:eastAsia="Times New Roman" w:hAnsi="Times New Roman" w:cs="Times New Roman"/>
                <w:bCs/>
                <w:i/>
                <w:sz w:val="26"/>
                <w:szCs w:val="26"/>
                <w:lang w:eastAsia="lv-LV"/>
              </w:rPr>
              <w:t>euro</w:t>
            </w:r>
            <w:proofErr w:type="spellEnd"/>
            <w:r>
              <w:rPr>
                <w:rFonts w:ascii="Times New Roman" w:eastAsia="Times New Roman" w:hAnsi="Times New Roman" w:cs="Times New Roman"/>
                <w:bCs/>
                <w:sz w:val="26"/>
                <w:szCs w:val="26"/>
                <w:lang w:eastAsia="lv-LV"/>
              </w:rPr>
              <w:t xml:space="preserve">, skaitliskās vērtības latos konvertējot </w:t>
            </w:r>
            <w:r w:rsidR="000B3FC6" w:rsidRPr="00A426B2">
              <w:rPr>
                <w:rFonts w:ascii="Times New Roman" w:hAnsi="Times New Roman" w:cs="Times New Roman"/>
                <w:sz w:val="26"/>
                <w:szCs w:val="26"/>
              </w:rPr>
              <w:t xml:space="preserve">atbilstoši </w:t>
            </w:r>
            <w:r w:rsidR="0023466C" w:rsidRPr="00A426B2">
              <w:rPr>
                <w:rFonts w:ascii="Times New Roman" w:hAnsi="Times New Roman" w:cs="Times New Roman"/>
                <w:sz w:val="26"/>
                <w:szCs w:val="26"/>
                <w:lang w:eastAsia="lv-LV"/>
              </w:rPr>
              <w:t xml:space="preserve">neatsaucami fiksētam </w:t>
            </w:r>
            <w:proofErr w:type="spellStart"/>
            <w:r w:rsidR="0023466C" w:rsidRPr="00A426B2">
              <w:rPr>
                <w:rFonts w:ascii="Times New Roman" w:hAnsi="Times New Roman" w:cs="Times New Roman"/>
                <w:i/>
                <w:iCs/>
                <w:sz w:val="26"/>
                <w:szCs w:val="26"/>
                <w:lang w:eastAsia="lv-LV"/>
              </w:rPr>
              <w:t>euro</w:t>
            </w:r>
            <w:proofErr w:type="spellEnd"/>
            <w:r w:rsidR="0023466C" w:rsidRPr="00A426B2">
              <w:rPr>
                <w:rFonts w:ascii="Times New Roman" w:hAnsi="Times New Roman" w:cs="Times New Roman"/>
                <w:sz w:val="26"/>
                <w:szCs w:val="26"/>
                <w:lang w:eastAsia="lv-LV"/>
              </w:rPr>
              <w:t xml:space="preserve"> maiņas kursam, ko saskaņā ar Līguma par Eiropas Savienības darbību 140.panta 3.punktu Eiropas Savienības Padome noteikusi latu apmaiņai pret </w:t>
            </w:r>
            <w:r w:rsidR="0023466C" w:rsidRPr="00A426B2">
              <w:rPr>
                <w:rFonts w:ascii="Times New Roman" w:hAnsi="Times New Roman" w:cs="Times New Roman"/>
                <w:i/>
                <w:iCs/>
                <w:sz w:val="26"/>
                <w:szCs w:val="26"/>
                <w:lang w:eastAsia="lv-LV"/>
              </w:rPr>
              <w:t>euro</w:t>
            </w:r>
            <w:r w:rsidR="0023466C" w:rsidRPr="00A426B2">
              <w:rPr>
                <w:rFonts w:ascii="Times New Roman" w:hAnsi="Times New Roman" w:cs="Times New Roman"/>
                <w:sz w:val="26"/>
                <w:szCs w:val="26"/>
                <w:lang w:eastAsia="lv-LV"/>
              </w:rPr>
              <w:t xml:space="preserve"> (</w:t>
            </w:r>
            <w:r w:rsidR="0023466C" w:rsidRPr="00A426B2">
              <w:rPr>
                <w:rFonts w:ascii="Times New Roman" w:hAnsi="Times New Roman" w:cs="Times New Roman"/>
                <w:sz w:val="26"/>
                <w:szCs w:val="26"/>
              </w:rPr>
              <w:t>EUR 1 = LVL 0,702804)</w:t>
            </w:r>
            <w:r w:rsidR="00BF3817" w:rsidRPr="00A426B2">
              <w:rPr>
                <w:rFonts w:ascii="Times New Roman" w:hAnsi="Times New Roman" w:cs="Times New Roman"/>
                <w:sz w:val="26"/>
                <w:szCs w:val="26"/>
              </w:rPr>
              <w:t>.</w:t>
            </w:r>
          </w:p>
          <w:p w:rsidR="00997237" w:rsidRDefault="000A49A7" w:rsidP="000A49A7">
            <w:pPr>
              <w:spacing w:after="0" w:line="240" w:lineRule="auto"/>
              <w:ind w:right="141"/>
              <w:jc w:val="both"/>
              <w:rPr>
                <w:rFonts w:ascii="Times New Roman" w:eastAsia="Times New Roman" w:hAnsi="Times New Roman" w:cs="Times New Roman"/>
                <w:bCs/>
                <w:sz w:val="26"/>
                <w:szCs w:val="26"/>
                <w:lang w:eastAsia="lv-LV"/>
              </w:rPr>
            </w:pPr>
            <w:r>
              <w:rPr>
                <w:rFonts w:ascii="Times New Roman" w:hAnsi="Times New Roman" w:cs="Times New Roman"/>
                <w:sz w:val="26"/>
                <w:szCs w:val="26"/>
                <w:lang w:eastAsia="lv-LV"/>
              </w:rPr>
              <w:t xml:space="preserve">Aizstājot </w:t>
            </w:r>
            <w:r w:rsidR="00997237">
              <w:rPr>
                <w:rFonts w:ascii="Times New Roman" w:hAnsi="Times New Roman" w:cs="Times New Roman"/>
                <w:sz w:val="26"/>
                <w:szCs w:val="26"/>
                <w:lang w:eastAsia="lv-LV"/>
              </w:rPr>
              <w:t xml:space="preserve">MK noteikumu Nr.704 10.punktā noteikto </w:t>
            </w:r>
            <w:r w:rsidR="00997237" w:rsidRPr="00C1527A">
              <w:rPr>
                <w:rFonts w:ascii="Times New Roman" w:eastAsia="Times New Roman" w:hAnsi="Times New Roman" w:cs="Times New Roman"/>
                <w:bCs/>
                <w:sz w:val="26"/>
                <w:szCs w:val="26"/>
                <w:lang w:eastAsia="lv-LV"/>
              </w:rPr>
              <w:t>otrai kārtai</w:t>
            </w:r>
            <w:r w:rsidR="00997237">
              <w:rPr>
                <w:rFonts w:ascii="Times New Roman" w:eastAsia="Times New Roman" w:hAnsi="Times New Roman" w:cs="Times New Roman"/>
                <w:bCs/>
                <w:sz w:val="26"/>
                <w:szCs w:val="26"/>
                <w:lang w:eastAsia="lv-LV"/>
              </w:rPr>
              <w:t xml:space="preserve"> kopējo</w:t>
            </w:r>
            <w:r w:rsidR="00997237" w:rsidRPr="00C1527A">
              <w:rPr>
                <w:rFonts w:ascii="Times New Roman" w:eastAsia="Times New Roman" w:hAnsi="Times New Roman" w:cs="Times New Roman"/>
                <w:bCs/>
                <w:sz w:val="26"/>
                <w:szCs w:val="26"/>
                <w:lang w:eastAsia="lv-LV"/>
              </w:rPr>
              <w:t xml:space="preserve"> pieejam</w:t>
            </w:r>
            <w:r w:rsidR="00997237">
              <w:rPr>
                <w:rFonts w:ascii="Times New Roman" w:eastAsia="Times New Roman" w:hAnsi="Times New Roman" w:cs="Times New Roman"/>
                <w:bCs/>
                <w:sz w:val="26"/>
                <w:szCs w:val="26"/>
                <w:lang w:eastAsia="lv-LV"/>
              </w:rPr>
              <w:t xml:space="preserve">o finansējumu latos, Eiropas Sociālā fonda līdzfinansējumu latos, nacionālo publisko finansējumu latos, privāto finansējumu latos ar </w:t>
            </w:r>
            <w:proofErr w:type="spellStart"/>
            <w:r w:rsidR="00997237" w:rsidRPr="000A49A7">
              <w:rPr>
                <w:rFonts w:ascii="Times New Roman" w:eastAsia="Times New Roman" w:hAnsi="Times New Roman" w:cs="Times New Roman"/>
                <w:bCs/>
                <w:i/>
                <w:sz w:val="26"/>
                <w:szCs w:val="26"/>
                <w:lang w:eastAsia="lv-LV"/>
              </w:rPr>
              <w:t>euro</w:t>
            </w:r>
            <w:proofErr w:type="spellEnd"/>
            <w:r w:rsidR="00997237">
              <w:rPr>
                <w:rFonts w:ascii="Times New Roman" w:eastAsia="Times New Roman" w:hAnsi="Times New Roman" w:cs="Times New Roman"/>
                <w:bCs/>
                <w:i/>
                <w:sz w:val="26"/>
                <w:szCs w:val="26"/>
                <w:lang w:eastAsia="lv-LV"/>
              </w:rPr>
              <w:t xml:space="preserve"> </w:t>
            </w:r>
            <w:r w:rsidR="00997237" w:rsidRPr="00997237">
              <w:rPr>
                <w:rFonts w:ascii="Times New Roman" w:eastAsia="Times New Roman" w:hAnsi="Times New Roman" w:cs="Times New Roman"/>
                <w:bCs/>
                <w:sz w:val="26"/>
                <w:szCs w:val="26"/>
                <w:lang w:eastAsia="lv-LV"/>
              </w:rPr>
              <w:t>(</w:t>
            </w:r>
            <w:r w:rsidRPr="00997237">
              <w:rPr>
                <w:rFonts w:ascii="Times New Roman" w:hAnsi="Times New Roman" w:cs="Times New Roman"/>
                <w:sz w:val="26"/>
                <w:szCs w:val="26"/>
                <w:lang w:eastAsia="lv-LV"/>
              </w:rPr>
              <w:t>noteikumu</w:t>
            </w:r>
            <w:r>
              <w:rPr>
                <w:rFonts w:ascii="Times New Roman" w:hAnsi="Times New Roman" w:cs="Times New Roman"/>
                <w:sz w:val="26"/>
                <w:szCs w:val="26"/>
                <w:lang w:eastAsia="lv-LV"/>
              </w:rPr>
              <w:t xml:space="preserve"> projekta 1.1.apakšpunkt</w:t>
            </w:r>
            <w:r w:rsidR="00997237">
              <w:rPr>
                <w:rFonts w:ascii="Times New Roman" w:hAnsi="Times New Roman" w:cs="Times New Roman"/>
                <w:sz w:val="26"/>
                <w:szCs w:val="26"/>
                <w:lang w:eastAsia="lv-LV"/>
              </w:rPr>
              <w:t>s)</w:t>
            </w:r>
            <w:r>
              <w:rPr>
                <w:rFonts w:ascii="Times New Roman" w:eastAsia="Times New Roman" w:hAnsi="Times New Roman" w:cs="Times New Roman"/>
                <w:bCs/>
                <w:sz w:val="26"/>
                <w:szCs w:val="26"/>
                <w:lang w:eastAsia="lv-LV"/>
              </w:rPr>
              <w:t xml:space="preserve">, </w:t>
            </w:r>
            <w:r w:rsidRPr="00E563CA">
              <w:rPr>
                <w:rFonts w:ascii="Times New Roman" w:eastAsia="Times New Roman" w:hAnsi="Times New Roman"/>
                <w:bCs/>
                <w:sz w:val="26"/>
                <w:szCs w:val="26"/>
                <w:lang w:eastAsia="lv-LV"/>
              </w:rPr>
              <w:t xml:space="preserve">piemērots </w:t>
            </w:r>
            <w:proofErr w:type="spellStart"/>
            <w:r w:rsidRPr="00E563CA">
              <w:rPr>
                <w:rFonts w:ascii="Times New Roman" w:hAnsi="Times New Roman"/>
                <w:i/>
                <w:iCs/>
                <w:sz w:val="26"/>
                <w:szCs w:val="26"/>
              </w:rPr>
              <w:t>Euro</w:t>
            </w:r>
            <w:proofErr w:type="spellEnd"/>
            <w:r w:rsidRPr="00E563CA">
              <w:rPr>
                <w:rFonts w:ascii="Times New Roman" w:hAnsi="Times New Roman"/>
                <w:sz w:val="26"/>
                <w:szCs w:val="26"/>
              </w:rPr>
              <w:t xml:space="preserve"> ieviešanas kārtības likuma 32.panta otrās daļas 2.punkts un noapaļošana līdz pilnam </w:t>
            </w:r>
            <w:proofErr w:type="spellStart"/>
            <w:r w:rsidRPr="00E563CA">
              <w:rPr>
                <w:rFonts w:ascii="Times New Roman" w:hAnsi="Times New Roman"/>
                <w:i/>
                <w:sz w:val="26"/>
                <w:szCs w:val="26"/>
              </w:rPr>
              <w:t>euro</w:t>
            </w:r>
            <w:proofErr w:type="spellEnd"/>
            <w:r w:rsidR="00191DC5" w:rsidRPr="00E563CA">
              <w:rPr>
                <w:rFonts w:ascii="Times New Roman" w:hAnsi="Times New Roman"/>
                <w:sz w:val="26"/>
                <w:szCs w:val="26"/>
              </w:rPr>
              <w:t xml:space="preserve"> veikta</w:t>
            </w:r>
            <w:r w:rsidRPr="00E563CA">
              <w:rPr>
                <w:rFonts w:ascii="Times New Roman" w:hAnsi="Times New Roman"/>
                <w:sz w:val="26"/>
                <w:szCs w:val="26"/>
              </w:rPr>
              <w:t>,</w:t>
            </w:r>
            <w:r w:rsidR="00997237">
              <w:rPr>
                <w:rFonts w:ascii="Times New Roman" w:hAnsi="Times New Roman"/>
                <w:sz w:val="26"/>
                <w:szCs w:val="26"/>
              </w:rPr>
              <w:t xml:space="preserve"> ievērojot </w:t>
            </w:r>
            <w:r w:rsidR="00997237" w:rsidRPr="00997237">
              <w:rPr>
                <w:rFonts w:ascii="Times New Roman" w:hAnsi="Times New Roman"/>
                <w:sz w:val="26"/>
                <w:szCs w:val="26"/>
              </w:rPr>
              <w:t xml:space="preserve">izglītības </w:t>
            </w:r>
            <w:r w:rsidR="00997237" w:rsidRPr="00997237">
              <w:rPr>
                <w:rFonts w:ascii="Times New Roman" w:hAnsi="Times New Roman" w:cs="Times New Roman"/>
                <w:sz w:val="26"/>
                <w:szCs w:val="26"/>
              </w:rPr>
              <w:t>nozares darbības programmas maksājumu izteikšanas princip</w:t>
            </w:r>
            <w:r w:rsidR="00191DC5">
              <w:rPr>
                <w:rFonts w:ascii="Times New Roman" w:hAnsi="Times New Roman" w:cs="Times New Roman"/>
                <w:sz w:val="26"/>
                <w:szCs w:val="26"/>
              </w:rPr>
              <w:t>u</w:t>
            </w:r>
            <w:r w:rsidR="00997237" w:rsidRPr="00997237">
              <w:rPr>
                <w:rFonts w:ascii="Times New Roman" w:hAnsi="Times New Roman" w:cs="Times New Roman"/>
                <w:sz w:val="26"/>
                <w:szCs w:val="26"/>
              </w:rPr>
              <w:t xml:space="preserve"> veselos skaitļos un</w:t>
            </w:r>
            <w:r w:rsidR="00997237" w:rsidRPr="00E563CA">
              <w:rPr>
                <w:rFonts w:ascii="Times New Roman" w:hAnsi="Times New Roman"/>
                <w:sz w:val="26"/>
                <w:szCs w:val="26"/>
              </w:rPr>
              <w:t xml:space="preserve"> </w:t>
            </w:r>
            <w:r w:rsidRPr="00E563CA">
              <w:rPr>
                <w:rFonts w:ascii="Times New Roman" w:hAnsi="Times New Roman"/>
                <w:sz w:val="26"/>
                <w:szCs w:val="26"/>
              </w:rPr>
              <w:t>lai nodrošinātu, ka MK noteikumos Nr.</w:t>
            </w:r>
            <w:r>
              <w:rPr>
                <w:rFonts w:ascii="Times New Roman" w:hAnsi="Times New Roman"/>
                <w:sz w:val="26"/>
                <w:szCs w:val="26"/>
              </w:rPr>
              <w:t>704</w:t>
            </w:r>
            <w:r w:rsidRPr="00E563CA">
              <w:rPr>
                <w:rFonts w:ascii="Times New Roman" w:hAnsi="Times New Roman"/>
                <w:sz w:val="26"/>
                <w:szCs w:val="26"/>
              </w:rPr>
              <w:t xml:space="preserve"> </w:t>
            </w:r>
            <w:r w:rsidRPr="00E563CA">
              <w:rPr>
                <w:rFonts w:ascii="Times New Roman" w:hAnsi="Times New Roman"/>
                <w:sz w:val="26"/>
                <w:szCs w:val="26"/>
                <w:lang w:eastAsia="lv-LV"/>
              </w:rPr>
              <w:t xml:space="preserve">noteiktais finansējums </w:t>
            </w:r>
            <w:proofErr w:type="spellStart"/>
            <w:r w:rsidRPr="00E563CA">
              <w:rPr>
                <w:rFonts w:ascii="Times New Roman" w:hAnsi="Times New Roman"/>
                <w:i/>
                <w:sz w:val="26"/>
                <w:szCs w:val="26"/>
                <w:lang w:eastAsia="lv-LV"/>
              </w:rPr>
              <w:t>euro</w:t>
            </w:r>
            <w:proofErr w:type="spellEnd"/>
            <w:r w:rsidRPr="00E563CA">
              <w:rPr>
                <w:rFonts w:ascii="Times New Roman" w:hAnsi="Times New Roman"/>
                <w:sz w:val="26"/>
                <w:szCs w:val="26"/>
                <w:lang w:eastAsia="lv-LV"/>
              </w:rPr>
              <w:t xml:space="preserve"> </w:t>
            </w:r>
            <w:r w:rsidRPr="00E563CA">
              <w:rPr>
                <w:rFonts w:ascii="Times New Roman" w:hAnsi="Times New Roman"/>
                <w:sz w:val="26"/>
                <w:szCs w:val="26"/>
              </w:rPr>
              <w:t>atbilst darbības programmas „</w:t>
            </w:r>
            <w:r w:rsidRPr="00997237">
              <w:rPr>
                <w:rFonts w:ascii="Times New Roman" w:eastAsia="Times New Roman" w:hAnsi="Times New Roman" w:cs="Times New Roman"/>
                <w:bCs/>
                <w:sz w:val="26"/>
                <w:szCs w:val="26"/>
                <w:lang w:eastAsia="lv-LV"/>
              </w:rPr>
              <w:t>Cilvēkresursi un nodarbinātība” papildinājumā noteiktajam</w:t>
            </w:r>
            <w:r w:rsidR="00970C2B">
              <w:rPr>
                <w:rFonts w:ascii="Times New Roman" w:eastAsia="Times New Roman" w:hAnsi="Times New Roman" w:cs="Times New Roman"/>
                <w:bCs/>
                <w:sz w:val="26"/>
                <w:szCs w:val="26"/>
                <w:lang w:eastAsia="lv-LV"/>
              </w:rPr>
              <w:t>, tai skaitā ievērojot, ka 1.1.1.2.aktivitāte „</w:t>
            </w:r>
            <w:r w:rsidR="00970C2B" w:rsidRPr="00C1527A">
              <w:rPr>
                <w:rFonts w:ascii="Times New Roman" w:eastAsia="Times New Roman" w:hAnsi="Times New Roman" w:cs="Times New Roman"/>
                <w:bCs/>
                <w:sz w:val="26"/>
                <w:szCs w:val="26"/>
                <w:lang w:eastAsia="lv-LV"/>
              </w:rPr>
              <w:t>Cilvēkresursu piesaiste zinātnei”</w:t>
            </w:r>
            <w:r w:rsidR="00970C2B">
              <w:rPr>
                <w:rFonts w:ascii="Times New Roman" w:eastAsia="Times New Roman" w:hAnsi="Times New Roman" w:cs="Times New Roman"/>
                <w:bCs/>
                <w:sz w:val="26"/>
                <w:szCs w:val="26"/>
                <w:lang w:eastAsia="lv-LV"/>
              </w:rPr>
              <w:t xml:space="preserve"> tiek īstenota divās projektu iesniegumu atlases kārtās</w:t>
            </w:r>
            <w:r w:rsidRPr="00997237">
              <w:rPr>
                <w:rFonts w:ascii="Times New Roman" w:eastAsia="Times New Roman" w:hAnsi="Times New Roman" w:cs="Times New Roman"/>
                <w:bCs/>
                <w:sz w:val="26"/>
                <w:szCs w:val="26"/>
                <w:lang w:eastAsia="lv-LV"/>
              </w:rPr>
              <w:t>.</w:t>
            </w:r>
          </w:p>
          <w:p w:rsidR="0003589B" w:rsidRPr="00D6299B" w:rsidRDefault="0003589B" w:rsidP="0003589B">
            <w:pPr>
              <w:spacing w:after="0" w:line="240" w:lineRule="auto"/>
              <w:ind w:right="141"/>
              <w:jc w:val="both"/>
              <w:rPr>
                <w:rFonts w:ascii="Times New Roman" w:eastAsia="Times New Roman" w:hAnsi="Times New Roman" w:cs="Times New Roman"/>
                <w:bCs/>
                <w:sz w:val="26"/>
                <w:szCs w:val="26"/>
                <w:lang w:eastAsia="lv-LV"/>
              </w:rPr>
            </w:pPr>
            <w:r w:rsidRPr="00997237">
              <w:rPr>
                <w:rFonts w:ascii="Times New Roman" w:hAnsi="Times New Roman" w:cs="Times New Roman"/>
                <w:sz w:val="26"/>
                <w:szCs w:val="26"/>
                <w:lang w:eastAsia="lv-LV"/>
              </w:rPr>
              <w:t xml:space="preserve">Aizstājot MK noteikumu Nr.704 11.punktā noteikto </w:t>
            </w:r>
            <w:r w:rsidRPr="00997237">
              <w:rPr>
                <w:rFonts w:ascii="Times New Roman" w:hAnsi="Times New Roman" w:cs="Times New Roman"/>
                <w:sz w:val="26"/>
                <w:szCs w:val="26"/>
              </w:rPr>
              <w:t xml:space="preserve"> 1.1.1.2.aktivitātes otrajai kārtai pieejam</w:t>
            </w:r>
            <w:r>
              <w:rPr>
                <w:rFonts w:ascii="Times New Roman" w:hAnsi="Times New Roman" w:cs="Times New Roman"/>
                <w:sz w:val="26"/>
                <w:szCs w:val="26"/>
              </w:rPr>
              <w:t>o</w:t>
            </w:r>
            <w:r w:rsidRPr="00997237">
              <w:rPr>
                <w:rFonts w:ascii="Times New Roman" w:hAnsi="Times New Roman" w:cs="Times New Roman"/>
                <w:sz w:val="26"/>
                <w:szCs w:val="26"/>
              </w:rPr>
              <w:t xml:space="preserve"> </w:t>
            </w:r>
            <w:proofErr w:type="spellStart"/>
            <w:r>
              <w:rPr>
                <w:rFonts w:ascii="Times New Roman" w:hAnsi="Times New Roman" w:cs="Times New Roman"/>
                <w:sz w:val="26"/>
                <w:szCs w:val="26"/>
              </w:rPr>
              <w:t>virssaistību</w:t>
            </w:r>
            <w:proofErr w:type="spellEnd"/>
            <w:r>
              <w:rPr>
                <w:rFonts w:ascii="Times New Roman" w:hAnsi="Times New Roman" w:cs="Times New Roman"/>
                <w:sz w:val="26"/>
                <w:szCs w:val="26"/>
              </w:rPr>
              <w:t xml:space="preserve"> apjomu, tai skaitā, Eiropas Sociālā fonda finansējumu un nacionālo publisko līdzfinansējumu</w:t>
            </w:r>
            <w:r w:rsidRPr="00997237">
              <w:rPr>
                <w:rFonts w:ascii="Times New Roman" w:hAnsi="Times New Roman" w:cs="Times New Roman"/>
                <w:sz w:val="26"/>
                <w:szCs w:val="26"/>
              </w:rPr>
              <w:t>,</w:t>
            </w:r>
            <w:r>
              <w:rPr>
                <w:rFonts w:ascii="Times New Roman" w:hAnsi="Times New Roman" w:cs="Times New Roman"/>
                <w:sz w:val="26"/>
                <w:szCs w:val="26"/>
              </w:rPr>
              <w:t xml:space="preserve"> latos ar </w:t>
            </w:r>
            <w:proofErr w:type="spellStart"/>
            <w:r w:rsidRPr="00191DC5">
              <w:rPr>
                <w:rFonts w:ascii="Times New Roman" w:hAnsi="Times New Roman" w:cs="Times New Roman"/>
                <w:i/>
                <w:sz w:val="26"/>
                <w:szCs w:val="26"/>
              </w:rPr>
              <w:t>euro</w:t>
            </w:r>
            <w:proofErr w:type="spellEnd"/>
            <w:r w:rsidRPr="00997237">
              <w:rPr>
                <w:rFonts w:ascii="Times New Roman" w:hAnsi="Times New Roman" w:cs="Times New Roman"/>
                <w:sz w:val="26"/>
                <w:szCs w:val="26"/>
              </w:rPr>
              <w:t xml:space="preserve"> (</w:t>
            </w:r>
            <w:r w:rsidRPr="00997237">
              <w:rPr>
                <w:rFonts w:ascii="Times New Roman" w:hAnsi="Times New Roman" w:cs="Times New Roman"/>
                <w:sz w:val="26"/>
                <w:szCs w:val="26"/>
                <w:lang w:eastAsia="lv-LV"/>
              </w:rPr>
              <w:t>noteikumu projekta 1.2.apakšpunkts)</w:t>
            </w:r>
            <w:r>
              <w:rPr>
                <w:rFonts w:ascii="Times New Roman" w:hAnsi="Times New Roman" w:cs="Times New Roman"/>
                <w:sz w:val="26"/>
                <w:szCs w:val="26"/>
                <w:lang w:eastAsia="lv-LV"/>
              </w:rPr>
              <w:t>, piemēroti</w:t>
            </w:r>
            <w:r w:rsidRPr="00D6299B">
              <w:rPr>
                <w:rFonts w:ascii="Times New Roman" w:eastAsia="Times New Roman" w:hAnsi="Times New Roman" w:cs="Times New Roman"/>
                <w:bCs/>
                <w:i/>
                <w:sz w:val="26"/>
                <w:szCs w:val="26"/>
                <w:lang w:eastAsia="lv-LV"/>
              </w:rPr>
              <w:t xml:space="preserve"> </w:t>
            </w:r>
            <w:proofErr w:type="spellStart"/>
            <w:r w:rsidRPr="00D6299B">
              <w:rPr>
                <w:rFonts w:ascii="Times New Roman" w:eastAsia="Times New Roman" w:hAnsi="Times New Roman" w:cs="Times New Roman"/>
                <w:bCs/>
                <w:i/>
                <w:sz w:val="26"/>
                <w:szCs w:val="26"/>
                <w:lang w:eastAsia="lv-LV"/>
              </w:rPr>
              <w:t>Euro</w:t>
            </w:r>
            <w:proofErr w:type="spellEnd"/>
            <w:r w:rsidRPr="00D6299B">
              <w:rPr>
                <w:rFonts w:ascii="Times New Roman" w:eastAsia="Times New Roman" w:hAnsi="Times New Roman" w:cs="Times New Roman"/>
                <w:bCs/>
                <w:sz w:val="26"/>
                <w:szCs w:val="26"/>
                <w:lang w:eastAsia="lv-LV"/>
              </w:rPr>
              <w:t xml:space="preserve"> ieviešanas kārtības likuma 6.panta otrajā daļā paredzētie noapaļošanas principi</w:t>
            </w:r>
            <w:r w:rsidRPr="00D6299B">
              <w:rPr>
                <w:rFonts w:ascii="Times New Roman" w:hAnsi="Times New Roman" w:cs="Times New Roman"/>
                <w:sz w:val="26"/>
                <w:szCs w:val="26"/>
              </w:rPr>
              <w:t>.</w:t>
            </w:r>
          </w:p>
          <w:p w:rsidR="00970C2B" w:rsidRDefault="00970C2B" w:rsidP="00970C2B">
            <w:pPr>
              <w:spacing w:after="0" w:line="240" w:lineRule="auto"/>
              <w:ind w:right="141"/>
              <w:jc w:val="both"/>
              <w:rPr>
                <w:rFonts w:ascii="Times New Roman" w:eastAsia="Times New Roman" w:hAnsi="Times New Roman" w:cs="Times New Roman"/>
                <w:bCs/>
                <w:sz w:val="26"/>
                <w:szCs w:val="26"/>
                <w:lang w:eastAsia="lv-LV"/>
              </w:rPr>
            </w:pPr>
            <w:r>
              <w:rPr>
                <w:rFonts w:ascii="Times New Roman" w:hAnsi="Times New Roman" w:cs="Times New Roman"/>
                <w:sz w:val="26"/>
                <w:szCs w:val="26"/>
                <w:lang w:eastAsia="lv-LV"/>
              </w:rPr>
              <w:t xml:space="preserve">Aizstājot MK noteikumu Nr.704 </w:t>
            </w:r>
            <w:r>
              <w:rPr>
                <w:rFonts w:ascii="Times New Roman" w:eastAsia="Times New Roman" w:hAnsi="Times New Roman" w:cs="Times New Roman"/>
                <w:bCs/>
                <w:sz w:val="26"/>
                <w:szCs w:val="26"/>
                <w:lang w:eastAsia="lv-LV"/>
              </w:rPr>
              <w:t xml:space="preserve">21.punktā noteikto minimālo un maksimālo attiecināmo izmaksu kopsummu latos ar </w:t>
            </w:r>
            <w:proofErr w:type="spellStart"/>
            <w:r w:rsidRPr="007F4F35">
              <w:rPr>
                <w:rFonts w:ascii="Times New Roman" w:eastAsia="Times New Roman" w:hAnsi="Times New Roman" w:cs="Times New Roman"/>
                <w:bCs/>
                <w:i/>
                <w:sz w:val="26"/>
                <w:szCs w:val="26"/>
                <w:lang w:eastAsia="lv-LV"/>
              </w:rPr>
              <w:t>euro</w:t>
            </w:r>
            <w:proofErr w:type="spellEnd"/>
            <w:r>
              <w:rPr>
                <w:rFonts w:ascii="Times New Roman" w:eastAsia="Times New Roman" w:hAnsi="Times New Roman" w:cs="Times New Roman"/>
                <w:bCs/>
                <w:sz w:val="26"/>
                <w:szCs w:val="26"/>
                <w:lang w:eastAsia="lv-LV"/>
              </w:rPr>
              <w:t xml:space="preserve"> (noteikumu projekta 1.3.apakšpunkts) </w:t>
            </w:r>
            <w:r w:rsidRPr="00E563CA">
              <w:rPr>
                <w:rFonts w:ascii="Times New Roman" w:eastAsia="Times New Roman" w:hAnsi="Times New Roman"/>
                <w:bCs/>
                <w:sz w:val="26"/>
                <w:szCs w:val="26"/>
                <w:lang w:eastAsia="lv-LV"/>
              </w:rPr>
              <w:t xml:space="preserve">piemērots </w:t>
            </w:r>
            <w:proofErr w:type="spellStart"/>
            <w:r w:rsidRPr="00E563CA">
              <w:rPr>
                <w:rFonts w:ascii="Times New Roman" w:hAnsi="Times New Roman"/>
                <w:i/>
                <w:iCs/>
                <w:sz w:val="26"/>
                <w:szCs w:val="26"/>
              </w:rPr>
              <w:t>Euro</w:t>
            </w:r>
            <w:proofErr w:type="spellEnd"/>
            <w:r w:rsidRPr="00E563CA">
              <w:rPr>
                <w:rFonts w:ascii="Times New Roman" w:hAnsi="Times New Roman"/>
                <w:sz w:val="26"/>
                <w:szCs w:val="26"/>
              </w:rPr>
              <w:t xml:space="preserve"> ieviešanas kārtības likuma 32.panta otrās daļas 2.punkts un </w:t>
            </w:r>
            <w:r w:rsidRPr="00722D71">
              <w:rPr>
                <w:rFonts w:ascii="Times New Roman" w:hAnsi="Times New Roman"/>
                <w:sz w:val="26"/>
                <w:szCs w:val="26"/>
              </w:rPr>
              <w:t xml:space="preserve">noapaļošana </w:t>
            </w:r>
            <w:r w:rsidR="008C746C" w:rsidRPr="00722D71">
              <w:rPr>
                <w:rFonts w:ascii="Times New Roman" w:hAnsi="Times New Roman"/>
                <w:sz w:val="26"/>
                <w:szCs w:val="26"/>
              </w:rPr>
              <w:t>uz augšu</w:t>
            </w:r>
            <w:r w:rsidR="008C746C">
              <w:rPr>
                <w:rFonts w:ascii="Times New Roman" w:hAnsi="Times New Roman"/>
                <w:sz w:val="26"/>
                <w:szCs w:val="26"/>
              </w:rPr>
              <w:t xml:space="preserve"> </w:t>
            </w:r>
            <w:r w:rsidRPr="00E563CA">
              <w:rPr>
                <w:rFonts w:ascii="Times New Roman" w:hAnsi="Times New Roman"/>
                <w:sz w:val="26"/>
                <w:szCs w:val="26"/>
              </w:rPr>
              <w:t xml:space="preserve">līdz pilnam </w:t>
            </w:r>
            <w:proofErr w:type="spellStart"/>
            <w:r w:rsidRPr="00E563CA">
              <w:rPr>
                <w:rFonts w:ascii="Times New Roman" w:hAnsi="Times New Roman"/>
                <w:i/>
                <w:sz w:val="26"/>
                <w:szCs w:val="26"/>
              </w:rPr>
              <w:t>euro</w:t>
            </w:r>
            <w:proofErr w:type="spellEnd"/>
            <w:r w:rsidRPr="00E563CA">
              <w:rPr>
                <w:rFonts w:ascii="Times New Roman" w:hAnsi="Times New Roman"/>
                <w:sz w:val="26"/>
                <w:szCs w:val="26"/>
              </w:rPr>
              <w:t xml:space="preserve"> veikta,</w:t>
            </w:r>
            <w:r>
              <w:rPr>
                <w:rFonts w:ascii="Times New Roman" w:hAnsi="Times New Roman"/>
                <w:sz w:val="26"/>
                <w:szCs w:val="26"/>
              </w:rPr>
              <w:t xml:space="preserve"> ievērojot </w:t>
            </w:r>
            <w:r w:rsidRPr="00997237">
              <w:rPr>
                <w:rFonts w:ascii="Times New Roman" w:hAnsi="Times New Roman"/>
                <w:sz w:val="26"/>
                <w:szCs w:val="26"/>
              </w:rPr>
              <w:t xml:space="preserve">izglītības </w:t>
            </w:r>
            <w:r w:rsidRPr="00997237">
              <w:rPr>
                <w:rFonts w:ascii="Times New Roman" w:hAnsi="Times New Roman" w:cs="Times New Roman"/>
                <w:sz w:val="26"/>
                <w:szCs w:val="26"/>
              </w:rPr>
              <w:t>nozares darbības programmas maksājumu izteikšanas princip</w:t>
            </w:r>
            <w:r>
              <w:rPr>
                <w:rFonts w:ascii="Times New Roman" w:hAnsi="Times New Roman" w:cs="Times New Roman"/>
                <w:sz w:val="26"/>
                <w:szCs w:val="26"/>
              </w:rPr>
              <w:t>u</w:t>
            </w:r>
            <w:r w:rsidRPr="00997237">
              <w:rPr>
                <w:rFonts w:ascii="Times New Roman" w:hAnsi="Times New Roman" w:cs="Times New Roman"/>
                <w:sz w:val="26"/>
                <w:szCs w:val="26"/>
              </w:rPr>
              <w:t xml:space="preserve"> veselos skaitļos un</w:t>
            </w:r>
            <w:r w:rsidRPr="00E563CA">
              <w:rPr>
                <w:rFonts w:ascii="Times New Roman" w:hAnsi="Times New Roman"/>
                <w:sz w:val="26"/>
                <w:szCs w:val="26"/>
              </w:rPr>
              <w:t xml:space="preserve"> lai nodrošinātu, ka MK noteikumos Nr.</w:t>
            </w:r>
            <w:r>
              <w:rPr>
                <w:rFonts w:ascii="Times New Roman" w:hAnsi="Times New Roman"/>
                <w:sz w:val="26"/>
                <w:szCs w:val="26"/>
              </w:rPr>
              <w:t>704</w:t>
            </w:r>
            <w:r w:rsidRPr="00E563CA">
              <w:rPr>
                <w:rFonts w:ascii="Times New Roman" w:hAnsi="Times New Roman"/>
                <w:sz w:val="26"/>
                <w:szCs w:val="26"/>
              </w:rPr>
              <w:t xml:space="preserve"> </w:t>
            </w:r>
            <w:r w:rsidRPr="00E563CA">
              <w:rPr>
                <w:rFonts w:ascii="Times New Roman" w:hAnsi="Times New Roman"/>
                <w:sz w:val="26"/>
                <w:szCs w:val="26"/>
                <w:lang w:eastAsia="lv-LV"/>
              </w:rPr>
              <w:t xml:space="preserve">noteiktais finansējums </w:t>
            </w:r>
            <w:proofErr w:type="spellStart"/>
            <w:r w:rsidRPr="00E563CA">
              <w:rPr>
                <w:rFonts w:ascii="Times New Roman" w:hAnsi="Times New Roman"/>
                <w:i/>
                <w:sz w:val="26"/>
                <w:szCs w:val="26"/>
                <w:lang w:eastAsia="lv-LV"/>
              </w:rPr>
              <w:t>euro</w:t>
            </w:r>
            <w:proofErr w:type="spellEnd"/>
            <w:r w:rsidRPr="00E563CA">
              <w:rPr>
                <w:rFonts w:ascii="Times New Roman" w:hAnsi="Times New Roman"/>
                <w:sz w:val="26"/>
                <w:szCs w:val="26"/>
                <w:lang w:eastAsia="lv-LV"/>
              </w:rPr>
              <w:t xml:space="preserve"> </w:t>
            </w:r>
            <w:r w:rsidRPr="00E563CA">
              <w:rPr>
                <w:rFonts w:ascii="Times New Roman" w:hAnsi="Times New Roman"/>
                <w:sz w:val="26"/>
                <w:szCs w:val="26"/>
              </w:rPr>
              <w:t>atbilst darbības programmas „</w:t>
            </w:r>
            <w:r w:rsidRPr="00997237">
              <w:rPr>
                <w:rFonts w:ascii="Times New Roman" w:eastAsia="Times New Roman" w:hAnsi="Times New Roman" w:cs="Times New Roman"/>
                <w:bCs/>
                <w:sz w:val="26"/>
                <w:szCs w:val="26"/>
                <w:lang w:eastAsia="lv-LV"/>
              </w:rPr>
              <w:t>Cilvēkresursi un nodarbinātība” papildinājumā noteiktajam.</w:t>
            </w:r>
            <w:r w:rsidR="008C746C">
              <w:rPr>
                <w:rFonts w:ascii="Times New Roman" w:eastAsia="Times New Roman" w:hAnsi="Times New Roman" w:cs="Times New Roman"/>
                <w:bCs/>
                <w:sz w:val="26"/>
                <w:szCs w:val="26"/>
                <w:lang w:eastAsia="lv-LV"/>
              </w:rPr>
              <w:t xml:space="preserve"> </w:t>
            </w:r>
          </w:p>
          <w:p w:rsidR="000A49A7" w:rsidRPr="00D6299B" w:rsidRDefault="00191DC5" w:rsidP="000A49A7">
            <w:pPr>
              <w:spacing w:after="0" w:line="240" w:lineRule="auto"/>
              <w:ind w:right="141"/>
              <w:jc w:val="both"/>
              <w:rPr>
                <w:rFonts w:ascii="Times New Roman" w:hAnsi="Times New Roman" w:cs="Times New Roman"/>
                <w:sz w:val="26"/>
                <w:szCs w:val="26"/>
                <w:lang w:eastAsia="lv-LV"/>
              </w:rPr>
            </w:pPr>
            <w:r w:rsidRPr="00D6299B">
              <w:rPr>
                <w:rFonts w:ascii="Times New Roman" w:hAnsi="Times New Roman" w:cs="Times New Roman"/>
                <w:sz w:val="26"/>
                <w:szCs w:val="26"/>
                <w:lang w:eastAsia="lv-LV"/>
              </w:rPr>
              <w:t xml:space="preserve">Aizstājot MK noteikumu Nr.704 54.1.2.apakšpunktā noteiktās sabiedrības informēšanas un publicitātes izmaksas latos ar </w:t>
            </w:r>
            <w:proofErr w:type="spellStart"/>
            <w:r w:rsidRPr="00D6299B">
              <w:rPr>
                <w:rFonts w:ascii="Times New Roman" w:hAnsi="Times New Roman" w:cs="Times New Roman"/>
                <w:i/>
                <w:sz w:val="26"/>
                <w:szCs w:val="26"/>
                <w:lang w:eastAsia="lv-LV"/>
              </w:rPr>
              <w:t>euro</w:t>
            </w:r>
            <w:proofErr w:type="spellEnd"/>
            <w:r w:rsidRPr="00D6299B">
              <w:rPr>
                <w:rFonts w:ascii="Times New Roman" w:hAnsi="Times New Roman" w:cs="Times New Roman"/>
                <w:sz w:val="26"/>
                <w:szCs w:val="26"/>
                <w:lang w:eastAsia="lv-LV"/>
              </w:rPr>
              <w:t xml:space="preserve"> (noteikumu projekta 1.</w:t>
            </w:r>
            <w:r w:rsidR="0003589B">
              <w:rPr>
                <w:rFonts w:ascii="Times New Roman" w:hAnsi="Times New Roman" w:cs="Times New Roman"/>
                <w:sz w:val="26"/>
                <w:szCs w:val="26"/>
                <w:lang w:eastAsia="lv-LV"/>
              </w:rPr>
              <w:t>4</w:t>
            </w:r>
            <w:r w:rsidRPr="00D6299B">
              <w:rPr>
                <w:rFonts w:ascii="Times New Roman" w:hAnsi="Times New Roman" w:cs="Times New Roman"/>
                <w:sz w:val="26"/>
                <w:szCs w:val="26"/>
                <w:lang w:eastAsia="lv-LV"/>
              </w:rPr>
              <w:t xml:space="preserve">.apakšpunkts), </w:t>
            </w:r>
            <w:r w:rsidRPr="00D6299B">
              <w:rPr>
                <w:rFonts w:ascii="Times New Roman" w:hAnsi="Times New Roman" w:cs="Times New Roman"/>
                <w:sz w:val="26"/>
                <w:szCs w:val="26"/>
                <w:lang w:eastAsia="lv-LV"/>
              </w:rPr>
              <w:lastRenderedPageBreak/>
              <w:t xml:space="preserve">55.3.apakšpunktā noteiktās </w:t>
            </w:r>
            <w:r w:rsidRPr="00D6299B">
              <w:rPr>
                <w:rFonts w:ascii="Times New Roman" w:hAnsi="Times New Roman" w:cs="Times New Roman"/>
                <w:sz w:val="26"/>
                <w:szCs w:val="26"/>
              </w:rPr>
              <w:t xml:space="preserve"> inventāra un instrumentu iegādes un piegādes izmaksas latos ar </w:t>
            </w:r>
            <w:proofErr w:type="spellStart"/>
            <w:r w:rsidRPr="00966658">
              <w:rPr>
                <w:rFonts w:ascii="Times New Roman" w:hAnsi="Times New Roman" w:cs="Times New Roman"/>
                <w:i/>
                <w:sz w:val="26"/>
                <w:szCs w:val="26"/>
              </w:rPr>
              <w:t>euro</w:t>
            </w:r>
            <w:proofErr w:type="spellEnd"/>
            <w:r w:rsidR="0001357C" w:rsidRPr="00D6299B">
              <w:rPr>
                <w:rFonts w:ascii="Times New Roman" w:hAnsi="Times New Roman" w:cs="Times New Roman"/>
                <w:sz w:val="26"/>
                <w:szCs w:val="26"/>
              </w:rPr>
              <w:t xml:space="preserve"> (noteikumu projekta 1.</w:t>
            </w:r>
            <w:r w:rsidR="005356C7">
              <w:rPr>
                <w:rFonts w:ascii="Times New Roman" w:hAnsi="Times New Roman" w:cs="Times New Roman"/>
                <w:sz w:val="26"/>
                <w:szCs w:val="26"/>
              </w:rPr>
              <w:t>5</w:t>
            </w:r>
            <w:r w:rsidR="0001357C" w:rsidRPr="00D6299B">
              <w:rPr>
                <w:rFonts w:ascii="Times New Roman" w:hAnsi="Times New Roman" w:cs="Times New Roman"/>
                <w:sz w:val="26"/>
                <w:szCs w:val="26"/>
              </w:rPr>
              <w:t>.apakšpunkts)</w:t>
            </w:r>
            <w:r w:rsidR="005356C7">
              <w:rPr>
                <w:rFonts w:ascii="Times New Roman" w:hAnsi="Times New Roman" w:cs="Times New Roman"/>
                <w:sz w:val="26"/>
                <w:szCs w:val="26"/>
                <w:lang w:eastAsia="lv-LV"/>
              </w:rPr>
              <w:t xml:space="preserve">, 56.5.1., 56.5.2., </w:t>
            </w:r>
            <w:r w:rsidRPr="00D6299B">
              <w:rPr>
                <w:rFonts w:ascii="Times New Roman" w:hAnsi="Times New Roman" w:cs="Times New Roman"/>
                <w:sz w:val="26"/>
                <w:szCs w:val="26"/>
                <w:lang w:eastAsia="lv-LV"/>
              </w:rPr>
              <w:t xml:space="preserve">56.5.3.apakšpunktos noteiktās </w:t>
            </w:r>
            <w:r w:rsidRPr="00D6299B">
              <w:rPr>
                <w:rFonts w:ascii="Times New Roman" w:hAnsi="Times New Roman" w:cs="Times New Roman"/>
                <w:sz w:val="26"/>
                <w:szCs w:val="26"/>
              </w:rPr>
              <w:t xml:space="preserve"> atalgojuma un darba algas likmes</w:t>
            </w:r>
            <w:r w:rsidRPr="00D6299B">
              <w:rPr>
                <w:rFonts w:ascii="Times New Roman" w:hAnsi="Times New Roman" w:cs="Times New Roman"/>
                <w:sz w:val="26"/>
                <w:szCs w:val="26"/>
                <w:lang w:eastAsia="lv-LV"/>
              </w:rPr>
              <w:t xml:space="preserve"> </w:t>
            </w:r>
            <w:r w:rsidR="0001357C" w:rsidRPr="00D6299B">
              <w:rPr>
                <w:rFonts w:ascii="Times New Roman" w:hAnsi="Times New Roman" w:cs="Times New Roman"/>
                <w:sz w:val="26"/>
                <w:szCs w:val="26"/>
                <w:lang w:eastAsia="lv-LV"/>
              </w:rPr>
              <w:t xml:space="preserve">latos ar </w:t>
            </w:r>
            <w:proofErr w:type="spellStart"/>
            <w:r w:rsidR="0001357C" w:rsidRPr="00966658">
              <w:rPr>
                <w:rFonts w:ascii="Times New Roman" w:hAnsi="Times New Roman" w:cs="Times New Roman"/>
                <w:i/>
                <w:sz w:val="26"/>
                <w:szCs w:val="26"/>
                <w:lang w:eastAsia="lv-LV"/>
              </w:rPr>
              <w:t>euro</w:t>
            </w:r>
            <w:proofErr w:type="spellEnd"/>
            <w:r w:rsidR="0001357C" w:rsidRPr="00D6299B">
              <w:rPr>
                <w:rFonts w:ascii="Times New Roman" w:hAnsi="Times New Roman" w:cs="Times New Roman"/>
                <w:sz w:val="26"/>
                <w:szCs w:val="26"/>
                <w:lang w:eastAsia="lv-LV"/>
              </w:rPr>
              <w:t xml:space="preserve"> (noteikumu projekta 1.</w:t>
            </w:r>
            <w:r w:rsidR="005356C7">
              <w:rPr>
                <w:rFonts w:ascii="Times New Roman" w:hAnsi="Times New Roman" w:cs="Times New Roman"/>
                <w:sz w:val="26"/>
                <w:szCs w:val="26"/>
                <w:lang w:eastAsia="lv-LV"/>
              </w:rPr>
              <w:t>6</w:t>
            </w:r>
            <w:r w:rsidR="0001357C" w:rsidRPr="00D6299B">
              <w:rPr>
                <w:rFonts w:ascii="Times New Roman" w:hAnsi="Times New Roman" w:cs="Times New Roman"/>
                <w:sz w:val="26"/>
                <w:szCs w:val="26"/>
                <w:lang w:eastAsia="lv-LV"/>
              </w:rPr>
              <w:t>.-1.</w:t>
            </w:r>
            <w:r w:rsidR="005356C7">
              <w:rPr>
                <w:rFonts w:ascii="Times New Roman" w:hAnsi="Times New Roman" w:cs="Times New Roman"/>
                <w:sz w:val="26"/>
                <w:szCs w:val="26"/>
                <w:lang w:eastAsia="lv-LV"/>
              </w:rPr>
              <w:t>8</w:t>
            </w:r>
            <w:r w:rsidR="0001357C" w:rsidRPr="00D6299B">
              <w:rPr>
                <w:rFonts w:ascii="Times New Roman" w:hAnsi="Times New Roman" w:cs="Times New Roman"/>
                <w:sz w:val="26"/>
                <w:szCs w:val="26"/>
                <w:lang w:eastAsia="lv-LV"/>
              </w:rPr>
              <w:t xml:space="preserve">.apakšpunkts) un </w:t>
            </w:r>
            <w:r w:rsidRPr="00D6299B">
              <w:rPr>
                <w:rFonts w:ascii="Times New Roman" w:hAnsi="Times New Roman" w:cs="Times New Roman"/>
                <w:sz w:val="26"/>
                <w:szCs w:val="26"/>
                <w:lang w:eastAsia="lv-LV"/>
              </w:rPr>
              <w:t xml:space="preserve">60.1.apakšpunktā </w:t>
            </w:r>
            <w:r w:rsidR="0001357C" w:rsidRPr="00D6299B">
              <w:rPr>
                <w:rFonts w:ascii="Times New Roman" w:hAnsi="Times New Roman" w:cs="Times New Roman"/>
                <w:sz w:val="26"/>
                <w:szCs w:val="26"/>
                <w:lang w:eastAsia="lv-LV"/>
              </w:rPr>
              <w:t xml:space="preserve">noteikto </w:t>
            </w:r>
            <w:r w:rsidR="0001357C" w:rsidRPr="00D6299B">
              <w:rPr>
                <w:rFonts w:ascii="Times New Roman" w:hAnsi="Times New Roman" w:cs="Times New Roman"/>
                <w:sz w:val="26"/>
                <w:szCs w:val="26"/>
              </w:rPr>
              <w:t>tehnoloģisko iekārtu, inventāra iegādes izmaksu ierobežojumu</w:t>
            </w:r>
            <w:r w:rsidR="00966658">
              <w:rPr>
                <w:rFonts w:ascii="Times New Roman" w:hAnsi="Times New Roman" w:cs="Times New Roman"/>
                <w:sz w:val="26"/>
                <w:szCs w:val="26"/>
              </w:rPr>
              <w:t xml:space="preserve"> latos ar </w:t>
            </w:r>
            <w:proofErr w:type="spellStart"/>
            <w:r w:rsidR="00966658" w:rsidRPr="00966658">
              <w:rPr>
                <w:rFonts w:ascii="Times New Roman" w:hAnsi="Times New Roman" w:cs="Times New Roman"/>
                <w:i/>
                <w:sz w:val="26"/>
                <w:szCs w:val="26"/>
              </w:rPr>
              <w:t>euro</w:t>
            </w:r>
            <w:proofErr w:type="spellEnd"/>
            <w:r w:rsidR="0001357C" w:rsidRPr="00D6299B">
              <w:rPr>
                <w:rFonts w:ascii="Times New Roman" w:hAnsi="Times New Roman" w:cs="Times New Roman"/>
                <w:sz w:val="26"/>
                <w:szCs w:val="26"/>
              </w:rPr>
              <w:t xml:space="preserve"> (noteikumu projekta 1.</w:t>
            </w:r>
            <w:r w:rsidR="005356C7">
              <w:rPr>
                <w:rFonts w:ascii="Times New Roman" w:hAnsi="Times New Roman" w:cs="Times New Roman"/>
                <w:sz w:val="26"/>
                <w:szCs w:val="26"/>
              </w:rPr>
              <w:t>9</w:t>
            </w:r>
            <w:r w:rsidR="0001357C" w:rsidRPr="00D6299B">
              <w:rPr>
                <w:rFonts w:ascii="Times New Roman" w:hAnsi="Times New Roman" w:cs="Times New Roman"/>
                <w:sz w:val="26"/>
                <w:szCs w:val="26"/>
              </w:rPr>
              <w:t>.apakšpunkts) piemēroti</w:t>
            </w:r>
            <w:r w:rsidR="0001357C" w:rsidRPr="00D6299B">
              <w:rPr>
                <w:rFonts w:ascii="Times New Roman" w:eastAsia="Times New Roman" w:hAnsi="Times New Roman" w:cs="Times New Roman"/>
                <w:bCs/>
                <w:i/>
                <w:sz w:val="26"/>
                <w:szCs w:val="26"/>
                <w:lang w:eastAsia="lv-LV"/>
              </w:rPr>
              <w:t xml:space="preserve"> </w:t>
            </w:r>
            <w:proofErr w:type="spellStart"/>
            <w:r w:rsidR="0001357C" w:rsidRPr="00D6299B">
              <w:rPr>
                <w:rFonts w:ascii="Times New Roman" w:eastAsia="Times New Roman" w:hAnsi="Times New Roman" w:cs="Times New Roman"/>
                <w:bCs/>
                <w:i/>
                <w:sz w:val="26"/>
                <w:szCs w:val="26"/>
                <w:lang w:eastAsia="lv-LV"/>
              </w:rPr>
              <w:t>Euro</w:t>
            </w:r>
            <w:proofErr w:type="spellEnd"/>
            <w:r w:rsidR="0001357C" w:rsidRPr="00D6299B">
              <w:rPr>
                <w:rFonts w:ascii="Times New Roman" w:eastAsia="Times New Roman" w:hAnsi="Times New Roman" w:cs="Times New Roman"/>
                <w:bCs/>
                <w:sz w:val="26"/>
                <w:szCs w:val="26"/>
                <w:lang w:eastAsia="lv-LV"/>
              </w:rPr>
              <w:t xml:space="preserve"> ieviešanas kārtības likuma 6.panta otrajā daļā paredzētie noapaļošanas principi.</w:t>
            </w:r>
          </w:p>
          <w:p w:rsidR="000A49A7" w:rsidRDefault="005B60E6" w:rsidP="000A49A7">
            <w:pPr>
              <w:spacing w:after="0" w:line="240" w:lineRule="auto"/>
              <w:ind w:right="141"/>
              <w:jc w:val="both"/>
              <w:rPr>
                <w:rFonts w:ascii="Times New Roman" w:eastAsia="Times New Roman" w:hAnsi="Times New Roman" w:cs="Times New Roman"/>
                <w:bCs/>
                <w:sz w:val="26"/>
                <w:szCs w:val="26"/>
                <w:lang w:eastAsia="lv-LV"/>
              </w:rPr>
            </w:pPr>
            <w:r>
              <w:rPr>
                <w:rFonts w:ascii="Times New Roman" w:hAnsi="Times New Roman" w:cs="Times New Roman"/>
                <w:sz w:val="26"/>
                <w:szCs w:val="26"/>
              </w:rPr>
              <w:t xml:space="preserve">Informācija par veikto konvertāciju, tai skaitā izmaiņas </w:t>
            </w:r>
            <w:proofErr w:type="spellStart"/>
            <w:r w:rsidRPr="005B60E6">
              <w:rPr>
                <w:rFonts w:ascii="Times New Roman" w:hAnsi="Times New Roman" w:cs="Times New Roman"/>
                <w:i/>
                <w:sz w:val="26"/>
                <w:szCs w:val="26"/>
              </w:rPr>
              <w:t>euro</w:t>
            </w:r>
            <w:proofErr w:type="spellEnd"/>
            <w:r w:rsidRPr="005B60E6">
              <w:rPr>
                <w:rFonts w:ascii="Times New Roman" w:hAnsi="Times New Roman" w:cs="Times New Roman"/>
                <w:i/>
                <w:sz w:val="26"/>
                <w:szCs w:val="26"/>
              </w:rPr>
              <w:t xml:space="preserve"> </w:t>
            </w:r>
            <w:r>
              <w:rPr>
                <w:rFonts w:ascii="Times New Roman" w:hAnsi="Times New Roman" w:cs="Times New Roman"/>
                <w:sz w:val="26"/>
                <w:szCs w:val="26"/>
              </w:rPr>
              <w:t>pret sākotnējā normatīvā aktā norādīto summu, pieejama šīs anotācijas pielikumā.</w:t>
            </w:r>
          </w:p>
          <w:p w:rsidR="005B60E6" w:rsidRDefault="0001357C" w:rsidP="000A49A7">
            <w:pPr>
              <w:spacing w:after="0" w:line="240" w:lineRule="auto"/>
              <w:ind w:right="141"/>
              <w:jc w:val="both"/>
              <w:rPr>
                <w:rFonts w:ascii="Times New Roman" w:hAnsi="Times New Roman" w:cs="Times New Roman"/>
                <w:sz w:val="26"/>
                <w:szCs w:val="26"/>
              </w:rPr>
            </w:pPr>
            <w:r>
              <w:rPr>
                <w:rFonts w:ascii="Times New Roman" w:hAnsi="Times New Roman" w:cs="Times New Roman"/>
                <w:sz w:val="26"/>
                <w:szCs w:val="26"/>
              </w:rPr>
              <w:t>G</w:t>
            </w:r>
            <w:r w:rsidR="005B60E6">
              <w:rPr>
                <w:rFonts w:ascii="Times New Roman" w:hAnsi="Times New Roman" w:cs="Times New Roman"/>
                <w:sz w:val="26"/>
                <w:szCs w:val="26"/>
              </w:rPr>
              <w:t xml:space="preserve">rozītās tiesību normas </w:t>
            </w:r>
            <w:proofErr w:type="spellStart"/>
            <w:r w:rsidR="005B60E6" w:rsidRPr="005B60E6">
              <w:rPr>
                <w:rFonts w:ascii="Times New Roman" w:hAnsi="Times New Roman" w:cs="Times New Roman"/>
                <w:i/>
                <w:sz w:val="26"/>
                <w:szCs w:val="26"/>
              </w:rPr>
              <w:t>euro</w:t>
            </w:r>
            <w:proofErr w:type="spellEnd"/>
            <w:r w:rsidR="005B60E6">
              <w:rPr>
                <w:rFonts w:ascii="Times New Roman" w:hAnsi="Times New Roman" w:cs="Times New Roman"/>
                <w:sz w:val="26"/>
                <w:szCs w:val="26"/>
              </w:rPr>
              <w:t xml:space="preserve"> valūtā nav personām nelabvēlīgākas par sākotnējām tiesību normām latos un nerada negatīvu ietekmi uz valsts budžetu</w:t>
            </w:r>
            <w:r>
              <w:rPr>
                <w:rFonts w:ascii="Times New Roman" w:hAnsi="Times New Roman" w:cs="Times New Roman"/>
                <w:sz w:val="26"/>
                <w:szCs w:val="26"/>
              </w:rPr>
              <w:t xml:space="preserve"> (nav ieņēmumu samazinājuma un izdevumu palielinājuma)</w:t>
            </w:r>
            <w:r w:rsidR="005B60E6">
              <w:rPr>
                <w:rFonts w:ascii="Times New Roman" w:hAnsi="Times New Roman" w:cs="Times New Roman"/>
                <w:sz w:val="26"/>
                <w:szCs w:val="26"/>
              </w:rPr>
              <w:t xml:space="preserve">. </w:t>
            </w:r>
          </w:p>
          <w:p w:rsidR="000021E7" w:rsidRDefault="008B50DC" w:rsidP="009477DF">
            <w:pPr>
              <w:spacing w:after="0" w:line="240" w:lineRule="auto"/>
              <w:ind w:right="141"/>
              <w:jc w:val="both"/>
              <w:rPr>
                <w:rFonts w:ascii="Times New Roman" w:hAnsi="Times New Roman" w:cs="Times New Roman"/>
                <w:sz w:val="26"/>
                <w:szCs w:val="26"/>
              </w:rPr>
            </w:pPr>
            <w:r>
              <w:rPr>
                <w:rFonts w:ascii="Times New Roman" w:hAnsi="Times New Roman" w:cs="Times New Roman"/>
                <w:sz w:val="26"/>
                <w:szCs w:val="26"/>
              </w:rPr>
              <w:t xml:space="preserve">Ņemot vērā, ka 1.1.1.2.aktivitātes otrās projektu iesniegumu atlases kārtas ietvaros turpinās projektu iesniegumu vērtēšana, </w:t>
            </w:r>
            <w:r w:rsidR="00380E03">
              <w:rPr>
                <w:rFonts w:ascii="Times New Roman" w:hAnsi="Times New Roman" w:cs="Times New Roman"/>
                <w:sz w:val="26"/>
                <w:szCs w:val="26"/>
              </w:rPr>
              <w:t>tad noteikumu projekta 1.10.-1.12.apakšpunkts paredz veikt grozījumu</w:t>
            </w:r>
            <w:r w:rsidR="0011655E">
              <w:rPr>
                <w:rFonts w:ascii="Times New Roman" w:hAnsi="Times New Roman" w:cs="Times New Roman"/>
                <w:sz w:val="26"/>
                <w:szCs w:val="26"/>
              </w:rPr>
              <w:t>s</w:t>
            </w:r>
            <w:r w:rsidR="00380E03">
              <w:rPr>
                <w:rFonts w:ascii="Times New Roman" w:hAnsi="Times New Roman" w:cs="Times New Roman"/>
                <w:sz w:val="26"/>
                <w:szCs w:val="26"/>
              </w:rPr>
              <w:t xml:space="preserve"> normās, kurās ir izdarīta atsauce uz latiem, t.i., </w:t>
            </w:r>
            <w:r w:rsidR="00F63032" w:rsidRPr="00F63032">
              <w:rPr>
                <w:rFonts w:ascii="Times New Roman" w:hAnsi="Times New Roman" w:cs="Times New Roman"/>
                <w:sz w:val="26"/>
                <w:szCs w:val="26"/>
              </w:rPr>
              <w:t>MK noteikumu Nr.704</w:t>
            </w:r>
            <w:r w:rsidR="0067485D" w:rsidRPr="00F63032">
              <w:rPr>
                <w:rFonts w:ascii="Times New Roman" w:hAnsi="Times New Roman" w:cs="Times New Roman"/>
                <w:sz w:val="26"/>
                <w:szCs w:val="26"/>
              </w:rPr>
              <w:t xml:space="preserve"> 2.pielikum</w:t>
            </w:r>
            <w:r w:rsidR="00380E03">
              <w:rPr>
                <w:rFonts w:ascii="Times New Roman" w:hAnsi="Times New Roman" w:cs="Times New Roman"/>
                <w:sz w:val="26"/>
                <w:szCs w:val="26"/>
              </w:rPr>
              <w:t>a</w:t>
            </w:r>
            <w:r w:rsidR="00D30912" w:rsidRPr="00F63032">
              <w:rPr>
                <w:rFonts w:ascii="Times New Roman" w:hAnsi="Times New Roman" w:cs="Times New Roman"/>
                <w:sz w:val="26"/>
                <w:szCs w:val="26"/>
              </w:rPr>
              <w:t xml:space="preserve"> (Eiropas Sociālā fonda projekta iesniegumu veidlapa)</w:t>
            </w:r>
            <w:r w:rsidR="00380E03">
              <w:rPr>
                <w:rFonts w:ascii="Times New Roman" w:hAnsi="Times New Roman" w:cs="Times New Roman"/>
                <w:sz w:val="26"/>
                <w:szCs w:val="26"/>
              </w:rPr>
              <w:t xml:space="preserve"> 3.sadaļa un 6.sadaļa</w:t>
            </w:r>
            <w:r w:rsidR="0067485D" w:rsidRPr="00F63032">
              <w:rPr>
                <w:rFonts w:ascii="Times New Roman" w:hAnsi="Times New Roman" w:cs="Times New Roman"/>
                <w:sz w:val="26"/>
                <w:szCs w:val="26"/>
              </w:rPr>
              <w:t xml:space="preserve">, </w:t>
            </w:r>
            <w:r w:rsidR="00F63032" w:rsidRPr="00F63032">
              <w:rPr>
                <w:rFonts w:ascii="Times New Roman" w:hAnsi="Times New Roman" w:cs="Times New Roman"/>
                <w:sz w:val="26"/>
                <w:szCs w:val="26"/>
              </w:rPr>
              <w:t xml:space="preserve">MK noteikumu Nr.704 </w:t>
            </w:r>
            <w:r w:rsidR="0067485D" w:rsidRPr="00F63032">
              <w:rPr>
                <w:rFonts w:ascii="Times New Roman" w:hAnsi="Times New Roman" w:cs="Times New Roman"/>
                <w:sz w:val="26"/>
                <w:szCs w:val="26"/>
              </w:rPr>
              <w:t>3.pielikum</w:t>
            </w:r>
            <w:r w:rsidR="00380E03">
              <w:rPr>
                <w:rFonts w:ascii="Times New Roman" w:hAnsi="Times New Roman" w:cs="Times New Roman"/>
                <w:sz w:val="26"/>
                <w:szCs w:val="26"/>
              </w:rPr>
              <w:t>s</w:t>
            </w:r>
            <w:r w:rsidR="00F63032" w:rsidRPr="00F63032">
              <w:rPr>
                <w:rFonts w:ascii="Times New Roman" w:hAnsi="Times New Roman" w:cs="Times New Roman"/>
                <w:sz w:val="26"/>
                <w:szCs w:val="26"/>
              </w:rPr>
              <w:t xml:space="preserve"> „</w:t>
            </w:r>
            <w:bookmarkStart w:id="0" w:name="447824"/>
            <w:bookmarkEnd w:id="0"/>
            <w:r w:rsidR="00F63032" w:rsidRPr="00F63032">
              <w:rPr>
                <w:rFonts w:ascii="Times New Roman" w:hAnsi="Times New Roman" w:cs="Times New Roman"/>
                <w:bCs/>
                <w:sz w:val="26"/>
                <w:szCs w:val="26"/>
              </w:rPr>
              <w:t>Apliecinājums par zinātniskā darbinieka dalību projekta īstenošanā”</w:t>
            </w:r>
            <w:r w:rsidR="0067485D" w:rsidRPr="00F63032">
              <w:rPr>
                <w:rFonts w:ascii="Times New Roman" w:hAnsi="Times New Roman" w:cs="Times New Roman"/>
                <w:sz w:val="26"/>
                <w:szCs w:val="26"/>
              </w:rPr>
              <w:t xml:space="preserve"> un 5.pielikum</w:t>
            </w:r>
            <w:r w:rsidR="00F63032" w:rsidRPr="00F63032">
              <w:rPr>
                <w:rFonts w:ascii="Times New Roman" w:hAnsi="Times New Roman" w:cs="Times New Roman"/>
                <w:sz w:val="26"/>
                <w:szCs w:val="26"/>
              </w:rPr>
              <w:t xml:space="preserve">a  </w:t>
            </w:r>
            <w:bookmarkStart w:id="1" w:name="447832"/>
            <w:bookmarkEnd w:id="1"/>
            <w:r w:rsidR="00F63032" w:rsidRPr="00F63032">
              <w:rPr>
                <w:rFonts w:ascii="Times New Roman" w:hAnsi="Times New Roman" w:cs="Times New Roman"/>
                <w:sz w:val="26"/>
                <w:szCs w:val="26"/>
              </w:rPr>
              <w:t>„</w:t>
            </w:r>
            <w:r w:rsidR="00F63032" w:rsidRPr="00F63032">
              <w:rPr>
                <w:rFonts w:ascii="Times New Roman" w:hAnsi="Times New Roman" w:cs="Times New Roman"/>
                <w:bCs/>
                <w:sz w:val="26"/>
                <w:szCs w:val="26"/>
              </w:rPr>
              <w:t>Projektu iesniegumu vērtēšanas kritēriji 2.atlases kārtai</w:t>
            </w:r>
            <w:r w:rsidR="00F63032" w:rsidRPr="00F63032">
              <w:rPr>
                <w:rFonts w:ascii="Times New Roman" w:hAnsi="Times New Roman" w:cs="Times New Roman"/>
                <w:sz w:val="26"/>
                <w:szCs w:val="26"/>
              </w:rPr>
              <w:t>” 41.punkt</w:t>
            </w:r>
            <w:r w:rsidR="00380E03">
              <w:rPr>
                <w:rFonts w:ascii="Times New Roman" w:hAnsi="Times New Roman" w:cs="Times New Roman"/>
                <w:sz w:val="26"/>
                <w:szCs w:val="26"/>
              </w:rPr>
              <w:t>s</w:t>
            </w:r>
            <w:r w:rsidR="00F63032" w:rsidRPr="00F63032">
              <w:rPr>
                <w:rFonts w:ascii="Times New Roman" w:hAnsi="Times New Roman" w:cs="Times New Roman"/>
                <w:sz w:val="26"/>
                <w:szCs w:val="26"/>
              </w:rPr>
              <w:t xml:space="preserve"> un 44.punkt</w:t>
            </w:r>
            <w:r w:rsidR="00380E03">
              <w:rPr>
                <w:rFonts w:ascii="Times New Roman" w:hAnsi="Times New Roman" w:cs="Times New Roman"/>
                <w:sz w:val="26"/>
                <w:szCs w:val="26"/>
              </w:rPr>
              <w:t>s</w:t>
            </w:r>
            <w:r w:rsidR="005356C7">
              <w:rPr>
                <w:rFonts w:ascii="Times New Roman" w:hAnsi="Times New Roman" w:cs="Times New Roman"/>
                <w:sz w:val="26"/>
                <w:szCs w:val="26"/>
              </w:rPr>
              <w:t xml:space="preserve">. </w:t>
            </w:r>
          </w:p>
          <w:p w:rsidR="004F07BD" w:rsidRPr="00D30912" w:rsidRDefault="00380E03" w:rsidP="00E32D75">
            <w:pPr>
              <w:spacing w:after="0" w:line="240" w:lineRule="auto"/>
              <w:ind w:right="141"/>
              <w:jc w:val="both"/>
              <w:rPr>
                <w:rFonts w:ascii="Times New Roman" w:hAnsi="Times New Roman" w:cs="Times New Roman"/>
                <w:sz w:val="26"/>
                <w:szCs w:val="26"/>
              </w:rPr>
            </w:pPr>
            <w:r>
              <w:rPr>
                <w:rFonts w:ascii="Times New Roman" w:hAnsi="Times New Roman" w:cs="Times New Roman"/>
                <w:sz w:val="26"/>
                <w:szCs w:val="26"/>
              </w:rPr>
              <w:t xml:space="preserve">Vienlaikus noteikumu projekts neparedz grozījumu veikšanu MK noteikumu Nr.704 </w:t>
            </w:r>
            <w:r w:rsidR="0011655E">
              <w:rPr>
                <w:rFonts w:ascii="Times New Roman" w:hAnsi="Times New Roman" w:cs="Times New Roman"/>
                <w:sz w:val="26"/>
                <w:szCs w:val="26"/>
              </w:rPr>
              <w:t>2</w:t>
            </w:r>
            <w:r w:rsidR="009B2703">
              <w:rPr>
                <w:rFonts w:ascii="Times New Roman" w:hAnsi="Times New Roman" w:cs="Times New Roman"/>
                <w:sz w:val="26"/>
                <w:szCs w:val="26"/>
              </w:rPr>
              <w:t>.pielikuma 1.sadaļ</w:t>
            </w:r>
            <w:r w:rsidR="00334F44">
              <w:rPr>
                <w:rFonts w:ascii="Times New Roman" w:hAnsi="Times New Roman" w:cs="Times New Roman"/>
                <w:sz w:val="26"/>
                <w:szCs w:val="26"/>
              </w:rPr>
              <w:t>as 1.6.punktā</w:t>
            </w:r>
            <w:r w:rsidR="00A417D3" w:rsidRPr="009477DF">
              <w:rPr>
                <w:rFonts w:ascii="Times New Roman" w:hAnsi="Times New Roman" w:cs="Times New Roman"/>
                <w:sz w:val="26"/>
                <w:szCs w:val="26"/>
              </w:rPr>
              <w:t xml:space="preserve"> un 2.pielikuma </w:t>
            </w:r>
            <w:r w:rsidR="000021E7">
              <w:rPr>
                <w:rFonts w:ascii="Times New Roman" w:hAnsi="Times New Roman" w:cs="Times New Roman"/>
                <w:sz w:val="26"/>
                <w:szCs w:val="26"/>
              </w:rPr>
              <w:t xml:space="preserve">otrajā </w:t>
            </w:r>
            <w:r w:rsidR="00A417D3" w:rsidRPr="009477DF">
              <w:rPr>
                <w:rFonts w:ascii="Times New Roman" w:hAnsi="Times New Roman" w:cs="Times New Roman"/>
                <w:sz w:val="26"/>
                <w:szCs w:val="26"/>
              </w:rPr>
              <w:t>piezīm</w:t>
            </w:r>
            <w:r w:rsidR="00334F44" w:rsidRPr="009477DF">
              <w:rPr>
                <w:rFonts w:ascii="Times New Roman" w:hAnsi="Times New Roman" w:cs="Times New Roman"/>
                <w:sz w:val="26"/>
                <w:szCs w:val="26"/>
              </w:rPr>
              <w:t>ē (piezīmē</w:t>
            </w:r>
            <w:r w:rsidR="00A417D3" w:rsidRPr="009477DF">
              <w:rPr>
                <w:rFonts w:ascii="Times New Roman" w:hAnsi="Times New Roman" w:cs="Times New Roman"/>
                <w:sz w:val="26"/>
                <w:szCs w:val="26"/>
              </w:rPr>
              <w:t xml:space="preserve"> norādīta atsauce uz „tūkst. LVL”</w:t>
            </w:r>
            <w:r w:rsidR="009B2703" w:rsidRPr="009477DF">
              <w:rPr>
                <w:rFonts w:ascii="Times New Roman" w:hAnsi="Times New Roman" w:cs="Times New Roman"/>
                <w:sz w:val="26"/>
                <w:szCs w:val="26"/>
              </w:rPr>
              <w:t>),</w:t>
            </w:r>
            <w:r w:rsidR="000021E7">
              <w:rPr>
                <w:rFonts w:ascii="Times New Roman" w:hAnsi="Times New Roman" w:cs="Times New Roman"/>
                <w:sz w:val="26"/>
                <w:szCs w:val="26"/>
              </w:rPr>
              <w:t xml:space="preserve"> </w:t>
            </w:r>
            <w:r w:rsidR="009B2703">
              <w:rPr>
                <w:rFonts w:ascii="Times New Roman" w:hAnsi="Times New Roman" w:cs="Times New Roman"/>
                <w:sz w:val="26"/>
                <w:szCs w:val="26"/>
              </w:rPr>
              <w:t xml:space="preserve">ņemot vērā, ka šajā sadaļā </w:t>
            </w:r>
            <w:r w:rsidR="004F07BD">
              <w:rPr>
                <w:rFonts w:ascii="Times New Roman" w:hAnsi="Times New Roman" w:cs="Times New Roman"/>
                <w:sz w:val="26"/>
                <w:szCs w:val="26"/>
              </w:rPr>
              <w:t xml:space="preserve">ir </w:t>
            </w:r>
            <w:r w:rsidR="009B2703">
              <w:rPr>
                <w:rFonts w:ascii="Times New Roman" w:hAnsi="Times New Roman" w:cs="Times New Roman"/>
                <w:sz w:val="26"/>
                <w:szCs w:val="26"/>
              </w:rPr>
              <w:t>sniedzama informācija, kas apstiprināta projekta iesniedzēja 2009.-2011.gad</w:t>
            </w:r>
            <w:r w:rsidR="004F07BD">
              <w:rPr>
                <w:rFonts w:ascii="Times New Roman" w:hAnsi="Times New Roman" w:cs="Times New Roman"/>
                <w:sz w:val="26"/>
                <w:szCs w:val="26"/>
              </w:rPr>
              <w:t>a</w:t>
            </w:r>
            <w:r w:rsidR="009B2703">
              <w:rPr>
                <w:rFonts w:ascii="Times New Roman" w:hAnsi="Times New Roman" w:cs="Times New Roman"/>
                <w:sz w:val="26"/>
                <w:szCs w:val="26"/>
              </w:rPr>
              <w:t xml:space="preserve"> pārskatos</w:t>
            </w:r>
            <w:r w:rsidR="004F07BD">
              <w:rPr>
                <w:rFonts w:ascii="Times New Roman" w:hAnsi="Times New Roman" w:cs="Times New Roman"/>
                <w:sz w:val="26"/>
                <w:szCs w:val="26"/>
              </w:rPr>
              <w:t xml:space="preserve"> par budžeta izpildi latos</w:t>
            </w:r>
            <w:r w:rsidR="00A417D3">
              <w:rPr>
                <w:rFonts w:ascii="Times New Roman" w:hAnsi="Times New Roman" w:cs="Times New Roman"/>
                <w:sz w:val="26"/>
                <w:szCs w:val="26"/>
              </w:rPr>
              <w:t>.</w:t>
            </w:r>
            <w:r w:rsidR="00334F44">
              <w:rPr>
                <w:rFonts w:ascii="Times New Roman" w:hAnsi="Times New Roman" w:cs="Times New Roman"/>
                <w:sz w:val="26"/>
                <w:szCs w:val="26"/>
              </w:rPr>
              <w:t xml:space="preserve"> </w:t>
            </w:r>
            <w:r w:rsidR="000021E7" w:rsidRPr="00F82039">
              <w:rPr>
                <w:rFonts w:ascii="Times New Roman" w:hAnsi="Times New Roman" w:cs="Times New Roman"/>
                <w:sz w:val="26"/>
                <w:szCs w:val="26"/>
              </w:rPr>
              <w:t>Tāpat n</w:t>
            </w:r>
            <w:r w:rsidR="00C43B13" w:rsidRPr="00F82039">
              <w:rPr>
                <w:rFonts w:ascii="Times New Roman" w:hAnsi="Times New Roman" w:cs="Times New Roman"/>
                <w:sz w:val="26"/>
                <w:szCs w:val="26"/>
              </w:rPr>
              <w:t>oteikumu projekts neparedz g</w:t>
            </w:r>
            <w:r w:rsidR="00685682" w:rsidRPr="00F82039">
              <w:rPr>
                <w:rFonts w:ascii="Times New Roman" w:hAnsi="Times New Roman" w:cs="Times New Roman"/>
                <w:sz w:val="26"/>
                <w:szCs w:val="26"/>
              </w:rPr>
              <w:t>rozījum</w:t>
            </w:r>
            <w:r w:rsidR="00C43B13" w:rsidRPr="00F82039">
              <w:rPr>
                <w:rFonts w:ascii="Times New Roman" w:hAnsi="Times New Roman" w:cs="Times New Roman"/>
                <w:sz w:val="26"/>
                <w:szCs w:val="26"/>
              </w:rPr>
              <w:t>u veik</w:t>
            </w:r>
            <w:r w:rsidR="009477DF" w:rsidRPr="00F82039">
              <w:rPr>
                <w:rFonts w:ascii="Times New Roman" w:hAnsi="Times New Roman" w:cs="Times New Roman"/>
                <w:sz w:val="26"/>
                <w:szCs w:val="26"/>
              </w:rPr>
              <w:t>šanu MK noteikumu </w:t>
            </w:r>
            <w:r w:rsidR="00C43B13" w:rsidRPr="00F82039">
              <w:rPr>
                <w:rFonts w:ascii="Times New Roman" w:hAnsi="Times New Roman" w:cs="Times New Roman"/>
                <w:sz w:val="26"/>
                <w:szCs w:val="26"/>
              </w:rPr>
              <w:t xml:space="preserve">Nr.704 </w:t>
            </w:r>
            <w:r w:rsidR="00685682" w:rsidRPr="00F82039">
              <w:rPr>
                <w:rFonts w:ascii="Times New Roman" w:hAnsi="Times New Roman" w:cs="Times New Roman"/>
                <w:sz w:val="26"/>
                <w:szCs w:val="26"/>
              </w:rPr>
              <w:t>5.pielikuma „</w:t>
            </w:r>
            <w:r w:rsidR="00685682" w:rsidRPr="00F82039">
              <w:rPr>
                <w:rFonts w:ascii="Times New Roman" w:hAnsi="Times New Roman" w:cs="Times New Roman"/>
                <w:bCs/>
                <w:sz w:val="26"/>
                <w:szCs w:val="26"/>
              </w:rPr>
              <w:t>Projektu iesniegumu vērtēšanas kritēriji 2.atlases kārtai</w:t>
            </w:r>
            <w:r w:rsidR="00685682" w:rsidRPr="00F82039">
              <w:rPr>
                <w:rFonts w:ascii="Times New Roman" w:hAnsi="Times New Roman" w:cs="Times New Roman"/>
                <w:sz w:val="26"/>
                <w:szCs w:val="26"/>
              </w:rPr>
              <w:t xml:space="preserve">” </w:t>
            </w:r>
            <w:r w:rsidR="009477DF" w:rsidRPr="00F82039">
              <w:rPr>
                <w:rFonts w:ascii="Times New Roman" w:hAnsi="Times New Roman" w:cs="Times New Roman"/>
                <w:sz w:val="26"/>
                <w:szCs w:val="26"/>
              </w:rPr>
              <w:t xml:space="preserve">ceturtajā </w:t>
            </w:r>
            <w:r w:rsidR="00D15AD7" w:rsidRPr="00F82039">
              <w:rPr>
                <w:rFonts w:ascii="Times New Roman" w:hAnsi="Times New Roman" w:cs="Times New Roman"/>
                <w:sz w:val="26"/>
                <w:szCs w:val="26"/>
              </w:rPr>
              <w:t>piezīmē</w:t>
            </w:r>
            <w:r w:rsidR="00C43B13" w:rsidRPr="00F82039">
              <w:rPr>
                <w:rFonts w:ascii="Times New Roman" w:hAnsi="Times New Roman" w:cs="Times New Roman"/>
                <w:sz w:val="26"/>
                <w:szCs w:val="26"/>
              </w:rPr>
              <w:t xml:space="preserve"> (piezīmē norādīta atsauce uz „tūkst. LVL</w:t>
            </w:r>
            <w:r w:rsidR="009477DF" w:rsidRPr="00F82039">
              <w:rPr>
                <w:rFonts w:ascii="Times New Roman" w:hAnsi="Times New Roman" w:cs="Times New Roman"/>
                <w:sz w:val="26"/>
                <w:szCs w:val="26"/>
              </w:rPr>
              <w:t>”</w:t>
            </w:r>
            <w:r w:rsidR="00C43B13" w:rsidRPr="00F82039">
              <w:rPr>
                <w:rFonts w:ascii="Times New Roman" w:hAnsi="Times New Roman" w:cs="Times New Roman"/>
                <w:sz w:val="26"/>
                <w:szCs w:val="26"/>
              </w:rPr>
              <w:t>)</w:t>
            </w:r>
            <w:r w:rsidR="000021E7" w:rsidRPr="00F82039">
              <w:rPr>
                <w:rFonts w:ascii="Times New Roman" w:hAnsi="Times New Roman" w:cs="Times New Roman"/>
                <w:sz w:val="26"/>
                <w:szCs w:val="26"/>
              </w:rPr>
              <w:t>, ņemot vērā, ka piezīmē norādītais</w:t>
            </w:r>
            <w:r w:rsidR="00E32D75" w:rsidRPr="00F82039">
              <w:rPr>
                <w:rFonts w:ascii="Times New Roman" w:hAnsi="Times New Roman" w:cs="Times New Roman"/>
                <w:sz w:val="26"/>
                <w:szCs w:val="26"/>
              </w:rPr>
              <w:t xml:space="preserve"> </w:t>
            </w:r>
            <w:r w:rsidR="000021E7" w:rsidRPr="00F82039">
              <w:rPr>
                <w:rFonts w:ascii="Times New Roman" w:hAnsi="Times New Roman" w:cs="Times New Roman"/>
                <w:sz w:val="26"/>
                <w:szCs w:val="26"/>
              </w:rPr>
              <w:t xml:space="preserve"> v</w:t>
            </w:r>
            <w:r w:rsidR="000021E7" w:rsidRPr="00F82039">
              <w:rPr>
                <w:rStyle w:val="tvhtml"/>
                <w:rFonts w:ascii="Times New Roman" w:hAnsi="Times New Roman" w:cs="Times New Roman"/>
                <w:sz w:val="26"/>
                <w:szCs w:val="26"/>
              </w:rPr>
              <w:t xml:space="preserve">idējais zinātniskās darbības finansējums uz vienu zinātnisko personālu PLE izteiksmē tiek aprēķināts, </w:t>
            </w:r>
            <w:r w:rsidR="00E32D75" w:rsidRPr="00F82039">
              <w:rPr>
                <w:rStyle w:val="tvhtml"/>
                <w:rFonts w:ascii="Times New Roman" w:hAnsi="Times New Roman" w:cs="Times New Roman"/>
                <w:sz w:val="26"/>
                <w:szCs w:val="26"/>
              </w:rPr>
              <w:t>ņemot vērā 2.pielikuma 1.sadaļas 1.6.punktā norādīto informāciju latos.</w:t>
            </w:r>
            <w:r w:rsidR="00E32D75">
              <w:rPr>
                <w:rStyle w:val="tvhtml"/>
                <w:rFonts w:ascii="Arial" w:hAnsi="Arial" w:cs="Arial"/>
                <w:color w:val="414142"/>
                <w:sz w:val="15"/>
                <w:szCs w:val="15"/>
              </w:rPr>
              <w:t xml:space="preserve"> </w:t>
            </w:r>
          </w:p>
        </w:tc>
      </w:tr>
      <w:tr w:rsidR="00E5438C" w:rsidRPr="00A426B2" w:rsidTr="00AE4D1B">
        <w:trPr>
          <w:trHeight w:val="476"/>
        </w:trPr>
        <w:tc>
          <w:tcPr>
            <w:tcW w:w="499" w:type="dxa"/>
            <w:tcBorders>
              <w:top w:val="single" w:sz="4" w:space="0" w:color="auto"/>
              <w:left w:val="single" w:sz="4" w:space="0" w:color="auto"/>
              <w:bottom w:val="single" w:sz="4" w:space="0" w:color="auto"/>
              <w:right w:val="single" w:sz="4" w:space="0" w:color="auto"/>
            </w:tcBorders>
            <w:hideMark/>
          </w:tcPr>
          <w:p w:rsidR="00E5438C" w:rsidRPr="00A426B2" w:rsidRDefault="00E5438C" w:rsidP="00317E7E">
            <w:pPr>
              <w:pStyle w:val="naiskr"/>
              <w:spacing w:before="100" w:beforeAutospacing="1" w:after="0"/>
              <w:jc w:val="center"/>
              <w:rPr>
                <w:sz w:val="26"/>
                <w:szCs w:val="26"/>
              </w:rPr>
            </w:pPr>
            <w:r w:rsidRPr="00A426B2">
              <w:rPr>
                <w:sz w:val="26"/>
                <w:szCs w:val="26"/>
              </w:rPr>
              <w:lastRenderedPageBreak/>
              <w:t>5.</w:t>
            </w:r>
          </w:p>
        </w:tc>
        <w:tc>
          <w:tcPr>
            <w:tcW w:w="2058" w:type="dxa"/>
            <w:tcBorders>
              <w:top w:val="single" w:sz="4" w:space="0" w:color="auto"/>
              <w:left w:val="single" w:sz="4" w:space="0" w:color="auto"/>
              <w:bottom w:val="single" w:sz="4" w:space="0" w:color="auto"/>
              <w:right w:val="single" w:sz="4" w:space="0" w:color="auto"/>
            </w:tcBorders>
            <w:hideMark/>
          </w:tcPr>
          <w:p w:rsidR="00E5438C" w:rsidRPr="00A426B2" w:rsidRDefault="00E5438C" w:rsidP="00317E7E">
            <w:pPr>
              <w:pStyle w:val="naiskr"/>
              <w:spacing w:before="100" w:beforeAutospacing="1" w:after="0"/>
              <w:rPr>
                <w:sz w:val="26"/>
                <w:szCs w:val="26"/>
              </w:rPr>
            </w:pPr>
            <w:r w:rsidRPr="00A426B2">
              <w:rPr>
                <w:sz w:val="26"/>
                <w:szCs w:val="26"/>
              </w:rPr>
              <w:t>Projekta izstrādē iesaistītās institūcijas</w:t>
            </w:r>
          </w:p>
        </w:tc>
        <w:tc>
          <w:tcPr>
            <w:tcW w:w="6520" w:type="dxa"/>
            <w:tcBorders>
              <w:top w:val="single" w:sz="4" w:space="0" w:color="auto"/>
              <w:left w:val="single" w:sz="4" w:space="0" w:color="auto"/>
              <w:bottom w:val="single" w:sz="4" w:space="0" w:color="auto"/>
              <w:right w:val="single" w:sz="4" w:space="0" w:color="auto"/>
            </w:tcBorders>
            <w:hideMark/>
          </w:tcPr>
          <w:p w:rsidR="00E5438C" w:rsidRPr="00A426B2" w:rsidRDefault="00E5438C" w:rsidP="00317E7E">
            <w:pPr>
              <w:pStyle w:val="naisc"/>
              <w:spacing w:before="100" w:beforeAutospacing="1" w:after="0"/>
              <w:jc w:val="both"/>
              <w:rPr>
                <w:b/>
                <w:sz w:val="26"/>
                <w:szCs w:val="26"/>
              </w:rPr>
            </w:pPr>
            <w:r w:rsidRPr="00A426B2">
              <w:rPr>
                <w:sz w:val="26"/>
                <w:szCs w:val="26"/>
              </w:rPr>
              <w:t>Izglītības un zinātnes ministrija.</w:t>
            </w:r>
          </w:p>
        </w:tc>
      </w:tr>
      <w:tr w:rsidR="00E5438C" w:rsidRPr="00A426B2" w:rsidTr="00AE4D1B">
        <w:trPr>
          <w:trHeight w:val="904"/>
        </w:trPr>
        <w:tc>
          <w:tcPr>
            <w:tcW w:w="499" w:type="dxa"/>
            <w:tcBorders>
              <w:top w:val="single" w:sz="4" w:space="0" w:color="auto"/>
              <w:left w:val="single" w:sz="4" w:space="0" w:color="auto"/>
              <w:bottom w:val="single" w:sz="4" w:space="0" w:color="auto"/>
              <w:right w:val="single" w:sz="4" w:space="0" w:color="auto"/>
            </w:tcBorders>
            <w:hideMark/>
          </w:tcPr>
          <w:p w:rsidR="00E5438C" w:rsidRPr="00A426B2" w:rsidRDefault="00E5438C" w:rsidP="00317E7E">
            <w:pPr>
              <w:pStyle w:val="naiskr"/>
              <w:spacing w:before="100" w:beforeAutospacing="1" w:after="0"/>
              <w:jc w:val="center"/>
              <w:rPr>
                <w:sz w:val="26"/>
                <w:szCs w:val="26"/>
              </w:rPr>
            </w:pPr>
            <w:r w:rsidRPr="00A426B2">
              <w:rPr>
                <w:sz w:val="26"/>
                <w:szCs w:val="26"/>
              </w:rPr>
              <w:lastRenderedPageBreak/>
              <w:t>6.</w:t>
            </w:r>
          </w:p>
        </w:tc>
        <w:tc>
          <w:tcPr>
            <w:tcW w:w="2058" w:type="dxa"/>
            <w:tcBorders>
              <w:top w:val="single" w:sz="4" w:space="0" w:color="auto"/>
              <w:left w:val="single" w:sz="4" w:space="0" w:color="auto"/>
              <w:bottom w:val="single" w:sz="4" w:space="0" w:color="auto"/>
              <w:right w:val="single" w:sz="4" w:space="0" w:color="auto"/>
            </w:tcBorders>
            <w:hideMark/>
          </w:tcPr>
          <w:p w:rsidR="00E5438C" w:rsidRPr="00A426B2" w:rsidRDefault="00E5438C" w:rsidP="00317E7E">
            <w:pPr>
              <w:pStyle w:val="naiskr"/>
              <w:spacing w:before="100" w:beforeAutospacing="1" w:after="0"/>
              <w:rPr>
                <w:i/>
                <w:sz w:val="26"/>
                <w:szCs w:val="26"/>
                <w:highlight w:val="yellow"/>
              </w:rPr>
            </w:pPr>
            <w:r w:rsidRPr="00A426B2">
              <w:rPr>
                <w:sz w:val="26"/>
                <w:szCs w:val="26"/>
              </w:rPr>
              <w:t>Iemesli, kādēļ netika nodrošināta sabiedrības līdzdalība</w:t>
            </w:r>
          </w:p>
        </w:tc>
        <w:tc>
          <w:tcPr>
            <w:tcW w:w="6520" w:type="dxa"/>
            <w:tcBorders>
              <w:top w:val="single" w:sz="4" w:space="0" w:color="auto"/>
              <w:left w:val="single" w:sz="4" w:space="0" w:color="auto"/>
              <w:bottom w:val="single" w:sz="4" w:space="0" w:color="auto"/>
              <w:right w:val="single" w:sz="4" w:space="0" w:color="auto"/>
            </w:tcBorders>
            <w:hideMark/>
          </w:tcPr>
          <w:p w:rsidR="00E5438C" w:rsidRPr="00A426B2" w:rsidRDefault="00E5438C" w:rsidP="00317E7E">
            <w:pPr>
              <w:pStyle w:val="FootnoteText"/>
              <w:spacing w:before="100" w:beforeAutospacing="1"/>
              <w:jc w:val="both"/>
              <w:rPr>
                <w:sz w:val="26"/>
                <w:szCs w:val="26"/>
              </w:rPr>
            </w:pPr>
            <w:r w:rsidRPr="00A426B2">
              <w:rPr>
                <w:sz w:val="26"/>
                <w:szCs w:val="26"/>
              </w:rPr>
              <w:t xml:space="preserve">Sabiedrības līdzdalība </w:t>
            </w:r>
            <w:r w:rsidR="00F63032">
              <w:rPr>
                <w:sz w:val="26"/>
                <w:szCs w:val="26"/>
              </w:rPr>
              <w:t xml:space="preserve">noteikumu </w:t>
            </w:r>
            <w:r w:rsidRPr="00A426B2">
              <w:rPr>
                <w:sz w:val="26"/>
                <w:szCs w:val="26"/>
              </w:rPr>
              <w:t xml:space="preserve">projekta izstrādē netika nodrošināta, jo </w:t>
            </w:r>
            <w:r w:rsidR="00F63032">
              <w:rPr>
                <w:sz w:val="26"/>
                <w:szCs w:val="26"/>
              </w:rPr>
              <w:t xml:space="preserve">noteikumu </w:t>
            </w:r>
            <w:r w:rsidRPr="00A426B2">
              <w:rPr>
                <w:sz w:val="26"/>
                <w:szCs w:val="26"/>
              </w:rPr>
              <w:t>projekts nemaina pastāvošo tiesisko regulējumu pēc būtības.</w:t>
            </w:r>
          </w:p>
        </w:tc>
      </w:tr>
      <w:tr w:rsidR="00E5438C" w:rsidRPr="00A426B2" w:rsidTr="00AE4D1B">
        <w:tc>
          <w:tcPr>
            <w:tcW w:w="499" w:type="dxa"/>
            <w:tcBorders>
              <w:top w:val="single" w:sz="4" w:space="0" w:color="auto"/>
              <w:left w:val="single" w:sz="4" w:space="0" w:color="auto"/>
              <w:bottom w:val="single" w:sz="4" w:space="0" w:color="auto"/>
              <w:right w:val="single" w:sz="4" w:space="0" w:color="auto"/>
            </w:tcBorders>
            <w:hideMark/>
          </w:tcPr>
          <w:p w:rsidR="00E5438C" w:rsidRPr="00A426B2" w:rsidRDefault="00E5438C" w:rsidP="00317E7E">
            <w:pPr>
              <w:pStyle w:val="naiskr"/>
              <w:spacing w:before="100" w:beforeAutospacing="1" w:after="0"/>
              <w:jc w:val="center"/>
              <w:rPr>
                <w:sz w:val="26"/>
                <w:szCs w:val="26"/>
              </w:rPr>
            </w:pPr>
            <w:r w:rsidRPr="00A426B2">
              <w:rPr>
                <w:sz w:val="26"/>
                <w:szCs w:val="26"/>
              </w:rPr>
              <w:t>7.</w:t>
            </w:r>
          </w:p>
        </w:tc>
        <w:tc>
          <w:tcPr>
            <w:tcW w:w="2058" w:type="dxa"/>
            <w:tcBorders>
              <w:top w:val="single" w:sz="4" w:space="0" w:color="auto"/>
              <w:left w:val="single" w:sz="4" w:space="0" w:color="auto"/>
              <w:bottom w:val="single" w:sz="4" w:space="0" w:color="auto"/>
              <w:right w:val="single" w:sz="4" w:space="0" w:color="auto"/>
            </w:tcBorders>
            <w:hideMark/>
          </w:tcPr>
          <w:p w:rsidR="00E5438C" w:rsidRPr="00A426B2" w:rsidRDefault="00E5438C" w:rsidP="00317E7E">
            <w:pPr>
              <w:pStyle w:val="naiskr"/>
              <w:spacing w:before="100" w:beforeAutospacing="1" w:after="0"/>
              <w:rPr>
                <w:sz w:val="26"/>
                <w:szCs w:val="26"/>
              </w:rPr>
            </w:pPr>
            <w:r w:rsidRPr="00A426B2">
              <w:rPr>
                <w:sz w:val="26"/>
                <w:szCs w:val="26"/>
              </w:rPr>
              <w:t>Cita informācija</w:t>
            </w:r>
          </w:p>
        </w:tc>
        <w:tc>
          <w:tcPr>
            <w:tcW w:w="6520" w:type="dxa"/>
            <w:tcBorders>
              <w:top w:val="single" w:sz="4" w:space="0" w:color="auto"/>
              <w:left w:val="single" w:sz="4" w:space="0" w:color="auto"/>
              <w:bottom w:val="single" w:sz="4" w:space="0" w:color="auto"/>
              <w:right w:val="single" w:sz="4" w:space="0" w:color="auto"/>
            </w:tcBorders>
            <w:hideMark/>
          </w:tcPr>
          <w:p w:rsidR="00E5438C" w:rsidRPr="00A426B2" w:rsidRDefault="008233B5" w:rsidP="00317E7E">
            <w:pPr>
              <w:spacing w:before="100" w:beforeAutospacing="1" w:after="0" w:line="240" w:lineRule="auto"/>
              <w:jc w:val="both"/>
              <w:rPr>
                <w:rFonts w:ascii="Times New Roman" w:eastAsia="Times New Roman" w:hAnsi="Times New Roman" w:cs="Times New Roman"/>
                <w:sz w:val="26"/>
                <w:szCs w:val="26"/>
              </w:rPr>
            </w:pPr>
            <w:r w:rsidRPr="00A426B2">
              <w:rPr>
                <w:rFonts w:ascii="Times New Roman" w:hAnsi="Times New Roman" w:cs="Times New Roman"/>
                <w:sz w:val="26"/>
                <w:szCs w:val="26"/>
              </w:rPr>
              <w:t>Nav</w:t>
            </w:r>
            <w:r w:rsidR="00E5438C" w:rsidRPr="00A426B2">
              <w:rPr>
                <w:rFonts w:ascii="Times New Roman" w:hAnsi="Times New Roman" w:cs="Times New Roman"/>
                <w:sz w:val="26"/>
                <w:szCs w:val="26"/>
              </w:rPr>
              <w:t>.</w:t>
            </w:r>
          </w:p>
        </w:tc>
      </w:tr>
    </w:tbl>
    <w:p w:rsidR="00E5438C" w:rsidRPr="00A426B2" w:rsidRDefault="00E5438C" w:rsidP="00317E7E">
      <w:pPr>
        <w:spacing w:before="100" w:beforeAutospacing="1" w:after="0" w:line="240" w:lineRule="auto"/>
        <w:rPr>
          <w:rFonts w:ascii="Times New Roman" w:eastAsia="Times New Roman" w:hAnsi="Times New Roman" w:cs="Times New Roman"/>
          <w:sz w:val="28"/>
          <w:szCs w:val="28"/>
        </w:rPr>
      </w:pPr>
    </w:p>
    <w:p w:rsidR="00E5438C" w:rsidRPr="00A426B2" w:rsidRDefault="00E5438C" w:rsidP="0067485D">
      <w:pPr>
        <w:spacing w:before="100" w:beforeAutospacing="1" w:after="0" w:line="240" w:lineRule="auto"/>
        <w:jc w:val="both"/>
        <w:rPr>
          <w:rFonts w:ascii="Times New Roman" w:hAnsi="Times New Roman" w:cs="Times New Roman"/>
          <w:sz w:val="28"/>
          <w:szCs w:val="28"/>
        </w:rPr>
      </w:pPr>
      <w:r w:rsidRPr="00A426B2">
        <w:rPr>
          <w:rFonts w:ascii="Times New Roman" w:hAnsi="Times New Roman" w:cs="Times New Roman"/>
          <w:sz w:val="28"/>
          <w:szCs w:val="28"/>
        </w:rPr>
        <w:t>Anotācijas II, III, IV, V, VI un VII sadaļa</w:t>
      </w:r>
      <w:r w:rsidR="008D4FFC" w:rsidRPr="00A426B2">
        <w:rPr>
          <w:rFonts w:ascii="Times New Roman" w:hAnsi="Times New Roman" w:cs="Times New Roman"/>
          <w:sz w:val="28"/>
          <w:szCs w:val="28"/>
        </w:rPr>
        <w:t xml:space="preserve"> – </w:t>
      </w:r>
      <w:r w:rsidR="0067485D">
        <w:rPr>
          <w:rFonts w:ascii="Times New Roman" w:hAnsi="Times New Roman" w:cs="Times New Roman"/>
          <w:sz w:val="28"/>
          <w:szCs w:val="28"/>
        </w:rPr>
        <w:t xml:space="preserve">noteikumu </w:t>
      </w:r>
      <w:r w:rsidR="008D4FFC" w:rsidRPr="00A426B2">
        <w:rPr>
          <w:rFonts w:ascii="Times New Roman" w:hAnsi="Times New Roman" w:cs="Times New Roman"/>
          <w:sz w:val="28"/>
          <w:szCs w:val="28"/>
        </w:rPr>
        <w:t>projekts šī</w:t>
      </w:r>
      <w:r w:rsidRPr="00A426B2">
        <w:rPr>
          <w:rFonts w:ascii="Times New Roman" w:hAnsi="Times New Roman" w:cs="Times New Roman"/>
          <w:sz w:val="28"/>
          <w:szCs w:val="28"/>
        </w:rPr>
        <w:t>s jomas neskar.</w:t>
      </w:r>
    </w:p>
    <w:p w:rsidR="00E5438C" w:rsidRPr="00A426B2" w:rsidRDefault="00E5438C" w:rsidP="000B3FC6">
      <w:pPr>
        <w:spacing w:after="0"/>
        <w:rPr>
          <w:rFonts w:ascii="Times New Roman" w:hAnsi="Times New Roman" w:cs="Times New Roman"/>
          <w:sz w:val="28"/>
          <w:szCs w:val="28"/>
        </w:rPr>
      </w:pPr>
    </w:p>
    <w:p w:rsidR="00E5438C" w:rsidRPr="00A426B2" w:rsidRDefault="00E5438C" w:rsidP="000B3FC6">
      <w:pPr>
        <w:spacing w:after="0"/>
        <w:rPr>
          <w:rFonts w:ascii="Times New Roman" w:hAnsi="Times New Roman" w:cs="Times New Roman"/>
          <w:sz w:val="28"/>
          <w:szCs w:val="28"/>
        </w:rPr>
      </w:pPr>
    </w:p>
    <w:p w:rsidR="00E5438C" w:rsidRPr="00A426B2" w:rsidRDefault="00E5438C" w:rsidP="00E5438C">
      <w:pPr>
        <w:pStyle w:val="Heading5"/>
        <w:ind w:left="-203" w:firstLine="770"/>
        <w:rPr>
          <w:szCs w:val="28"/>
          <w:lang w:val="lv-LV"/>
        </w:rPr>
      </w:pPr>
      <w:r w:rsidRPr="00A426B2">
        <w:rPr>
          <w:szCs w:val="28"/>
          <w:lang w:val="lv-LV"/>
        </w:rPr>
        <w:t>Izg</w:t>
      </w:r>
      <w:r w:rsidR="00D15AD7">
        <w:rPr>
          <w:szCs w:val="28"/>
          <w:lang w:val="lv-LV"/>
        </w:rPr>
        <w:t>lītības un zinātnes ministrs</w:t>
      </w:r>
      <w:r w:rsidR="00D15AD7">
        <w:rPr>
          <w:szCs w:val="28"/>
          <w:lang w:val="lv-LV"/>
        </w:rPr>
        <w:tab/>
      </w:r>
      <w:r w:rsidR="00D15AD7">
        <w:rPr>
          <w:szCs w:val="28"/>
          <w:lang w:val="lv-LV"/>
        </w:rPr>
        <w:tab/>
      </w:r>
      <w:r w:rsidR="00D15AD7">
        <w:rPr>
          <w:szCs w:val="28"/>
          <w:lang w:val="lv-LV"/>
        </w:rPr>
        <w:tab/>
      </w:r>
      <w:r w:rsidRPr="00A426B2">
        <w:rPr>
          <w:szCs w:val="28"/>
          <w:lang w:val="lv-LV"/>
        </w:rPr>
        <w:t>V</w:t>
      </w:r>
      <w:r w:rsidR="00D15AD7">
        <w:rPr>
          <w:szCs w:val="28"/>
          <w:lang w:val="lv-LV"/>
        </w:rPr>
        <w:t xml:space="preserve">jačeslavs  </w:t>
      </w:r>
      <w:r w:rsidRPr="00A426B2">
        <w:rPr>
          <w:szCs w:val="28"/>
          <w:lang w:val="lv-LV"/>
        </w:rPr>
        <w:t>Dombrovskis</w:t>
      </w:r>
    </w:p>
    <w:p w:rsidR="00E5438C" w:rsidRDefault="00E5438C" w:rsidP="000B3FC6">
      <w:pPr>
        <w:spacing w:after="0"/>
        <w:rPr>
          <w:rFonts w:ascii="Times New Roman" w:hAnsi="Times New Roman" w:cs="Times New Roman"/>
          <w:sz w:val="28"/>
          <w:szCs w:val="28"/>
        </w:rPr>
      </w:pPr>
    </w:p>
    <w:p w:rsidR="00E5438C" w:rsidRPr="00A426B2" w:rsidRDefault="00E5438C" w:rsidP="00E5438C">
      <w:pPr>
        <w:pStyle w:val="NoSpacing"/>
        <w:ind w:left="567"/>
        <w:rPr>
          <w:sz w:val="28"/>
          <w:szCs w:val="28"/>
        </w:rPr>
      </w:pPr>
      <w:r w:rsidRPr="00A426B2">
        <w:rPr>
          <w:sz w:val="28"/>
          <w:szCs w:val="28"/>
        </w:rPr>
        <w:t xml:space="preserve">Vizē: </w:t>
      </w:r>
      <w:r w:rsidRPr="00A426B2">
        <w:rPr>
          <w:sz w:val="28"/>
          <w:szCs w:val="28"/>
        </w:rPr>
        <w:tab/>
      </w:r>
      <w:r w:rsidRPr="00A426B2">
        <w:rPr>
          <w:sz w:val="28"/>
          <w:szCs w:val="28"/>
        </w:rPr>
        <w:tab/>
      </w:r>
    </w:p>
    <w:p w:rsidR="00E5438C" w:rsidRPr="00A426B2" w:rsidRDefault="00D15AD7" w:rsidP="00E5438C">
      <w:pPr>
        <w:pStyle w:val="NoSpacing"/>
        <w:ind w:left="567"/>
        <w:rPr>
          <w:bCs/>
          <w:sz w:val="28"/>
          <w:szCs w:val="28"/>
        </w:rPr>
      </w:pPr>
      <w:r>
        <w:rPr>
          <w:bCs/>
          <w:sz w:val="28"/>
          <w:szCs w:val="28"/>
        </w:rPr>
        <w:t xml:space="preserve">Valsts sekretāre </w:t>
      </w:r>
      <w:r>
        <w:rPr>
          <w:bCs/>
          <w:sz w:val="28"/>
          <w:szCs w:val="28"/>
        </w:rPr>
        <w:tab/>
      </w:r>
      <w:r>
        <w:rPr>
          <w:bCs/>
          <w:sz w:val="28"/>
          <w:szCs w:val="28"/>
        </w:rPr>
        <w:tab/>
      </w:r>
      <w:r>
        <w:rPr>
          <w:bCs/>
          <w:sz w:val="28"/>
          <w:szCs w:val="28"/>
        </w:rPr>
        <w:tab/>
      </w:r>
      <w:r>
        <w:rPr>
          <w:bCs/>
          <w:sz w:val="28"/>
          <w:szCs w:val="28"/>
        </w:rPr>
        <w:tab/>
      </w:r>
      <w:r>
        <w:rPr>
          <w:bCs/>
          <w:sz w:val="28"/>
          <w:szCs w:val="28"/>
        </w:rPr>
        <w:tab/>
        <w:t xml:space="preserve">Sanda </w:t>
      </w:r>
      <w:r w:rsidR="00E5438C" w:rsidRPr="00A426B2">
        <w:rPr>
          <w:bCs/>
          <w:sz w:val="28"/>
          <w:szCs w:val="28"/>
        </w:rPr>
        <w:t>Liepiņa</w:t>
      </w:r>
    </w:p>
    <w:p w:rsidR="00D15AD7" w:rsidRDefault="00D15AD7" w:rsidP="00E5438C">
      <w:pPr>
        <w:ind w:left="-203" w:firstLine="770"/>
        <w:rPr>
          <w:rFonts w:ascii="Times New Roman" w:hAnsi="Times New Roman" w:cs="Times New Roman"/>
          <w:sz w:val="28"/>
          <w:szCs w:val="28"/>
        </w:rPr>
      </w:pPr>
    </w:p>
    <w:p w:rsidR="00D15AD7" w:rsidRDefault="00D15AD7" w:rsidP="00E5438C">
      <w:pPr>
        <w:ind w:left="-203" w:firstLine="770"/>
        <w:rPr>
          <w:rFonts w:ascii="Times New Roman" w:hAnsi="Times New Roman" w:cs="Times New Roman"/>
          <w:sz w:val="28"/>
          <w:szCs w:val="28"/>
        </w:rPr>
      </w:pPr>
    </w:p>
    <w:p w:rsidR="00D15AD7" w:rsidRDefault="00D15AD7" w:rsidP="00E5438C">
      <w:pPr>
        <w:ind w:left="-203" w:firstLine="770"/>
        <w:rPr>
          <w:rFonts w:ascii="Times New Roman" w:hAnsi="Times New Roman" w:cs="Times New Roman"/>
          <w:sz w:val="28"/>
          <w:szCs w:val="28"/>
        </w:rPr>
      </w:pPr>
    </w:p>
    <w:p w:rsidR="00E5438C" w:rsidRPr="00A426B2" w:rsidRDefault="00E5438C" w:rsidP="00E5438C">
      <w:pPr>
        <w:ind w:left="-203" w:firstLine="770"/>
        <w:rPr>
          <w:rFonts w:ascii="Times New Roman" w:hAnsi="Times New Roman" w:cs="Times New Roman"/>
          <w:sz w:val="28"/>
          <w:szCs w:val="28"/>
        </w:rPr>
      </w:pPr>
      <w:r w:rsidRPr="00A426B2">
        <w:rPr>
          <w:rFonts w:ascii="Times New Roman" w:hAnsi="Times New Roman" w:cs="Times New Roman"/>
          <w:sz w:val="28"/>
          <w:szCs w:val="28"/>
        </w:rPr>
        <w:tab/>
      </w:r>
      <w:r w:rsidRPr="00A426B2">
        <w:rPr>
          <w:rFonts w:ascii="Times New Roman" w:hAnsi="Times New Roman" w:cs="Times New Roman"/>
          <w:sz w:val="28"/>
          <w:szCs w:val="28"/>
        </w:rPr>
        <w:tab/>
      </w:r>
    </w:p>
    <w:p w:rsidR="00EF40D9" w:rsidRPr="005B60E6" w:rsidRDefault="00722D71" w:rsidP="000B3FC6">
      <w:pPr>
        <w:spacing w:after="0"/>
        <w:rPr>
          <w:rFonts w:ascii="Times New Roman" w:hAnsi="Times New Roman" w:cs="Times New Roman"/>
          <w:color w:val="FF66FF"/>
          <w:sz w:val="20"/>
          <w:szCs w:val="20"/>
        </w:rPr>
      </w:pPr>
      <w:r>
        <w:rPr>
          <w:rFonts w:ascii="Times New Roman" w:hAnsi="Times New Roman" w:cs="Times New Roman"/>
          <w:sz w:val="20"/>
          <w:szCs w:val="20"/>
        </w:rPr>
        <w:t>10</w:t>
      </w:r>
      <w:r w:rsidR="00966658">
        <w:rPr>
          <w:rFonts w:ascii="Times New Roman" w:hAnsi="Times New Roman" w:cs="Times New Roman"/>
          <w:sz w:val="20"/>
          <w:szCs w:val="20"/>
        </w:rPr>
        <w:t>.1</w:t>
      </w:r>
      <w:r>
        <w:rPr>
          <w:rFonts w:ascii="Times New Roman" w:hAnsi="Times New Roman" w:cs="Times New Roman"/>
          <w:sz w:val="20"/>
          <w:szCs w:val="20"/>
        </w:rPr>
        <w:t>2</w:t>
      </w:r>
      <w:r w:rsidR="006A16BB" w:rsidRPr="005B60E6">
        <w:rPr>
          <w:rFonts w:ascii="Times New Roman" w:hAnsi="Times New Roman" w:cs="Times New Roman"/>
          <w:sz w:val="20"/>
          <w:szCs w:val="20"/>
        </w:rPr>
        <w:t xml:space="preserve">.2013 </w:t>
      </w:r>
      <w:r w:rsidR="005B60E6" w:rsidRPr="005B60E6">
        <w:rPr>
          <w:rFonts w:ascii="Times New Roman" w:hAnsi="Times New Roman" w:cs="Times New Roman"/>
          <w:sz w:val="20"/>
          <w:szCs w:val="20"/>
        </w:rPr>
        <w:t>1</w:t>
      </w:r>
      <w:r>
        <w:rPr>
          <w:rFonts w:ascii="Times New Roman" w:hAnsi="Times New Roman" w:cs="Times New Roman"/>
          <w:sz w:val="20"/>
          <w:szCs w:val="20"/>
        </w:rPr>
        <w:t>3</w:t>
      </w:r>
      <w:r w:rsidR="005B60E6" w:rsidRPr="005B60E6">
        <w:rPr>
          <w:rFonts w:ascii="Times New Roman" w:hAnsi="Times New Roman" w:cs="Times New Roman"/>
          <w:sz w:val="20"/>
          <w:szCs w:val="20"/>
        </w:rPr>
        <w:t>:</w:t>
      </w:r>
      <w:r>
        <w:rPr>
          <w:rFonts w:ascii="Times New Roman" w:hAnsi="Times New Roman" w:cs="Times New Roman"/>
          <w:sz w:val="20"/>
          <w:szCs w:val="20"/>
        </w:rPr>
        <w:t>4</w:t>
      </w:r>
      <w:r w:rsidR="004F07BD">
        <w:rPr>
          <w:rFonts w:ascii="Times New Roman" w:hAnsi="Times New Roman" w:cs="Times New Roman"/>
          <w:sz w:val="20"/>
          <w:szCs w:val="20"/>
        </w:rPr>
        <w:t>0</w:t>
      </w:r>
    </w:p>
    <w:p w:rsidR="00EF40D9" w:rsidRDefault="00123348" w:rsidP="00EF40D9">
      <w:pPr>
        <w:spacing w:after="0"/>
        <w:rPr>
          <w:rFonts w:ascii="Times New Roman" w:hAnsi="Times New Roman" w:cs="Times New Roman"/>
          <w:sz w:val="20"/>
          <w:szCs w:val="20"/>
        </w:rPr>
      </w:pPr>
      <w:r>
        <w:rPr>
          <w:rFonts w:ascii="Times New Roman" w:hAnsi="Times New Roman" w:cs="Times New Roman"/>
          <w:sz w:val="20"/>
          <w:szCs w:val="20"/>
        </w:rPr>
        <w:t>834</w:t>
      </w:r>
    </w:p>
    <w:p w:rsidR="005B60E6" w:rsidRPr="005B60E6" w:rsidRDefault="005B60E6" w:rsidP="00EF40D9">
      <w:pPr>
        <w:spacing w:after="0"/>
        <w:rPr>
          <w:rFonts w:ascii="Times New Roman" w:hAnsi="Times New Roman" w:cs="Times New Roman"/>
          <w:sz w:val="20"/>
          <w:szCs w:val="20"/>
        </w:rPr>
      </w:pPr>
      <w:proofErr w:type="spellStart"/>
      <w:r w:rsidRPr="005B60E6">
        <w:rPr>
          <w:rFonts w:ascii="Times New Roman" w:hAnsi="Times New Roman" w:cs="Times New Roman"/>
          <w:sz w:val="20"/>
          <w:szCs w:val="20"/>
        </w:rPr>
        <w:t>I.Griķe</w:t>
      </w:r>
      <w:proofErr w:type="spellEnd"/>
    </w:p>
    <w:p w:rsidR="005B60E6" w:rsidRPr="005B60E6" w:rsidRDefault="005B60E6" w:rsidP="00EF40D9">
      <w:pPr>
        <w:spacing w:after="0"/>
        <w:rPr>
          <w:rFonts w:ascii="Times New Roman" w:hAnsi="Times New Roman" w:cs="Times New Roman"/>
          <w:sz w:val="20"/>
          <w:szCs w:val="20"/>
        </w:rPr>
      </w:pPr>
      <w:r w:rsidRPr="005B60E6">
        <w:rPr>
          <w:rFonts w:ascii="Times New Roman" w:hAnsi="Times New Roman" w:cs="Times New Roman"/>
          <w:sz w:val="20"/>
          <w:szCs w:val="20"/>
        </w:rPr>
        <w:t>67047826, inga.grike@izm.gov.lv</w:t>
      </w:r>
    </w:p>
    <w:sectPr w:rsidR="005B60E6" w:rsidRPr="005B60E6" w:rsidSect="000A49A7">
      <w:headerReference w:type="default" r:id="rId6"/>
      <w:footerReference w:type="default" r:id="rId7"/>
      <w:footerReference w:type="first" r:id="rId8"/>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1E7" w:rsidRDefault="000021E7" w:rsidP="004031CC">
      <w:pPr>
        <w:spacing w:after="0" w:line="240" w:lineRule="auto"/>
      </w:pPr>
      <w:r>
        <w:separator/>
      </w:r>
    </w:p>
  </w:endnote>
  <w:endnote w:type="continuationSeparator" w:id="0">
    <w:p w:rsidR="000021E7" w:rsidRDefault="000021E7" w:rsidP="00403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1E7" w:rsidRDefault="000021E7" w:rsidP="00594279">
    <w:pPr>
      <w:pStyle w:val="Footer"/>
      <w:jc w:val="both"/>
    </w:pPr>
    <w:r w:rsidRPr="00594279">
      <w:rPr>
        <w:rFonts w:ascii="Times New Roman" w:hAnsi="Times New Roman" w:cs="Times New Roman"/>
        <w:sz w:val="20"/>
        <w:szCs w:val="20"/>
      </w:rPr>
      <w:t>IZMAnot_</w:t>
    </w:r>
    <w:r w:rsidR="00722D71">
      <w:rPr>
        <w:rFonts w:ascii="Times New Roman" w:hAnsi="Times New Roman" w:cs="Times New Roman"/>
        <w:sz w:val="20"/>
        <w:szCs w:val="20"/>
      </w:rPr>
      <w:t>10</w:t>
    </w:r>
    <w:r>
      <w:rPr>
        <w:rFonts w:ascii="Times New Roman" w:hAnsi="Times New Roman" w:cs="Times New Roman"/>
        <w:sz w:val="20"/>
        <w:szCs w:val="20"/>
      </w:rPr>
      <w:t>1</w:t>
    </w:r>
    <w:r w:rsidR="00722D71">
      <w:rPr>
        <w:rFonts w:ascii="Times New Roman" w:hAnsi="Times New Roman" w:cs="Times New Roman"/>
        <w:sz w:val="20"/>
        <w:szCs w:val="20"/>
      </w:rPr>
      <w:t>2</w:t>
    </w:r>
    <w:r w:rsidRPr="00594279">
      <w:rPr>
        <w:rFonts w:ascii="Times New Roman" w:hAnsi="Times New Roman" w:cs="Times New Roman"/>
        <w:sz w:val="20"/>
        <w:szCs w:val="20"/>
      </w:rPr>
      <w:t>13_groz704</w:t>
    </w:r>
    <w:r w:rsidR="00722D71">
      <w:rPr>
        <w:rFonts w:ascii="Times New Roman" w:hAnsi="Times New Roman" w:cs="Times New Roman"/>
        <w:sz w:val="20"/>
        <w:szCs w:val="20"/>
      </w:rPr>
      <w:t>_euro</w:t>
    </w:r>
    <w:r w:rsidRPr="00594279">
      <w:rPr>
        <w:rFonts w:ascii="Times New Roman" w:hAnsi="Times New Roman" w:cs="Times New Roman"/>
        <w:sz w:val="20"/>
        <w:szCs w:val="20"/>
      </w:rPr>
      <w:t>; Ministru kabineta noteikumu projekta „Grozījumi Ministru kabineta 2012.gada 9.oktobra noteikumos Nr.704 „Noteikumi par darbības programmas „Cilvēkresursi un nodarbinātība” papildinājuma 1.1.1.2.aktivitātes „Cilvēkresursu piesaiste zinātnei” otro projektu iesniegumu atlases kārtu””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1E7" w:rsidRPr="00D15AD7" w:rsidRDefault="000021E7" w:rsidP="00594279">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722D71">
      <w:rPr>
        <w:rFonts w:ascii="Times New Roman" w:hAnsi="Times New Roman" w:cs="Times New Roman"/>
        <w:sz w:val="20"/>
        <w:szCs w:val="20"/>
      </w:rPr>
      <w:t>1012</w:t>
    </w:r>
    <w:r w:rsidRPr="00594279">
      <w:rPr>
        <w:rFonts w:ascii="Times New Roman" w:hAnsi="Times New Roman" w:cs="Times New Roman"/>
        <w:sz w:val="20"/>
        <w:szCs w:val="20"/>
      </w:rPr>
      <w:t>13_groz704</w:t>
    </w:r>
    <w:r w:rsidR="00722D71">
      <w:rPr>
        <w:rFonts w:ascii="Times New Roman" w:hAnsi="Times New Roman" w:cs="Times New Roman"/>
        <w:sz w:val="20"/>
        <w:szCs w:val="20"/>
      </w:rPr>
      <w:t>_euro</w:t>
    </w:r>
    <w:r w:rsidRPr="00594279">
      <w:rPr>
        <w:rFonts w:ascii="Times New Roman" w:hAnsi="Times New Roman" w:cs="Times New Roman"/>
        <w:sz w:val="20"/>
        <w:szCs w:val="20"/>
      </w:rPr>
      <w:t>; Ministru kabineta noteikumu projekta „Grozījumi Ministru kabineta 2012.gada 9.oktobra noteikumos Nr.704 „Noteikumi par darbības programmas „Cilvēkresursi un nodarbinātība” papildinājuma 1.1.1.2.aktivitātes „Cilvēkresursu piesaiste zinātnei” otro projektu iesniegumu atlases kārtu””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1E7" w:rsidRDefault="000021E7" w:rsidP="004031CC">
      <w:pPr>
        <w:spacing w:after="0" w:line="240" w:lineRule="auto"/>
      </w:pPr>
      <w:r>
        <w:separator/>
      </w:r>
    </w:p>
  </w:footnote>
  <w:footnote w:type="continuationSeparator" w:id="0">
    <w:p w:rsidR="000021E7" w:rsidRDefault="000021E7" w:rsidP="004031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1E7" w:rsidRPr="004F07BD" w:rsidRDefault="00A6757A">
    <w:pPr>
      <w:pStyle w:val="Header"/>
      <w:jc w:val="center"/>
      <w:rPr>
        <w:rFonts w:ascii="Times New Roman" w:hAnsi="Times New Roman" w:cs="Times New Roman"/>
        <w:sz w:val="26"/>
        <w:szCs w:val="26"/>
      </w:rPr>
    </w:pPr>
    <w:r w:rsidRPr="004F07BD">
      <w:rPr>
        <w:rFonts w:ascii="Times New Roman" w:hAnsi="Times New Roman" w:cs="Times New Roman"/>
        <w:sz w:val="26"/>
        <w:szCs w:val="26"/>
      </w:rPr>
      <w:fldChar w:fldCharType="begin"/>
    </w:r>
    <w:r w:rsidR="000021E7" w:rsidRPr="004F07BD">
      <w:rPr>
        <w:rFonts w:ascii="Times New Roman" w:hAnsi="Times New Roman" w:cs="Times New Roman"/>
        <w:sz w:val="26"/>
        <w:szCs w:val="26"/>
      </w:rPr>
      <w:instrText xml:space="preserve"> PAGE   \* MERGEFORMAT </w:instrText>
    </w:r>
    <w:r w:rsidRPr="004F07BD">
      <w:rPr>
        <w:rFonts w:ascii="Times New Roman" w:hAnsi="Times New Roman" w:cs="Times New Roman"/>
        <w:sz w:val="26"/>
        <w:szCs w:val="26"/>
      </w:rPr>
      <w:fldChar w:fldCharType="separate"/>
    </w:r>
    <w:r w:rsidR="007010BA">
      <w:rPr>
        <w:rFonts w:ascii="Times New Roman" w:hAnsi="Times New Roman" w:cs="Times New Roman"/>
        <w:noProof/>
        <w:sz w:val="26"/>
        <w:szCs w:val="26"/>
      </w:rPr>
      <w:t>4</w:t>
    </w:r>
    <w:r w:rsidRPr="004F07BD">
      <w:rPr>
        <w:rFonts w:ascii="Times New Roman" w:hAnsi="Times New Roman" w:cs="Times New Roman"/>
        <w:sz w:val="26"/>
        <w:szCs w:val="26"/>
      </w:rPr>
      <w:fldChar w:fldCharType="end"/>
    </w:r>
  </w:p>
  <w:p w:rsidR="000021E7" w:rsidRDefault="000021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5438C"/>
    <w:rsid w:val="000021E7"/>
    <w:rsid w:val="0001357C"/>
    <w:rsid w:val="0002000E"/>
    <w:rsid w:val="0003589B"/>
    <w:rsid w:val="000539CF"/>
    <w:rsid w:val="000567DF"/>
    <w:rsid w:val="00081403"/>
    <w:rsid w:val="00095109"/>
    <w:rsid w:val="000A49A7"/>
    <w:rsid w:val="000A6BC8"/>
    <w:rsid w:val="000B3FC6"/>
    <w:rsid w:val="000B73CE"/>
    <w:rsid w:val="000C3EB9"/>
    <w:rsid w:val="000C45AB"/>
    <w:rsid w:val="000C504F"/>
    <w:rsid w:val="000D16DC"/>
    <w:rsid w:val="000E6D2F"/>
    <w:rsid w:val="0011130A"/>
    <w:rsid w:val="00111FF7"/>
    <w:rsid w:val="0011655E"/>
    <w:rsid w:val="00120A4E"/>
    <w:rsid w:val="00123348"/>
    <w:rsid w:val="00141A98"/>
    <w:rsid w:val="00166E7E"/>
    <w:rsid w:val="0017678C"/>
    <w:rsid w:val="00184D74"/>
    <w:rsid w:val="00191DC5"/>
    <w:rsid w:val="001A11BA"/>
    <w:rsid w:val="001B3215"/>
    <w:rsid w:val="001D42A6"/>
    <w:rsid w:val="001F2E58"/>
    <w:rsid w:val="001F6783"/>
    <w:rsid w:val="00207F57"/>
    <w:rsid w:val="0023075A"/>
    <w:rsid w:val="0023466C"/>
    <w:rsid w:val="002346D4"/>
    <w:rsid w:val="00236269"/>
    <w:rsid w:val="00252789"/>
    <w:rsid w:val="00267F87"/>
    <w:rsid w:val="00276594"/>
    <w:rsid w:val="00282EBB"/>
    <w:rsid w:val="0029033D"/>
    <w:rsid w:val="00292C1E"/>
    <w:rsid w:val="002971EC"/>
    <w:rsid w:val="00297B34"/>
    <w:rsid w:val="002C3795"/>
    <w:rsid w:val="002C58B8"/>
    <w:rsid w:val="002D08DC"/>
    <w:rsid w:val="002D3C25"/>
    <w:rsid w:val="002F7E4E"/>
    <w:rsid w:val="00301DB6"/>
    <w:rsid w:val="00311D96"/>
    <w:rsid w:val="0031210D"/>
    <w:rsid w:val="00314295"/>
    <w:rsid w:val="00317E7E"/>
    <w:rsid w:val="00325F6D"/>
    <w:rsid w:val="003302BA"/>
    <w:rsid w:val="00334F44"/>
    <w:rsid w:val="00353519"/>
    <w:rsid w:val="003541CF"/>
    <w:rsid w:val="00355A66"/>
    <w:rsid w:val="003719BC"/>
    <w:rsid w:val="00380E03"/>
    <w:rsid w:val="003833F4"/>
    <w:rsid w:val="00384170"/>
    <w:rsid w:val="003927BF"/>
    <w:rsid w:val="00395A2F"/>
    <w:rsid w:val="003D5A2C"/>
    <w:rsid w:val="003D5DBA"/>
    <w:rsid w:val="00400046"/>
    <w:rsid w:val="004031CC"/>
    <w:rsid w:val="004068B0"/>
    <w:rsid w:val="00417632"/>
    <w:rsid w:val="00422510"/>
    <w:rsid w:val="004225F3"/>
    <w:rsid w:val="004331D3"/>
    <w:rsid w:val="00434DDC"/>
    <w:rsid w:val="00440259"/>
    <w:rsid w:val="00446D19"/>
    <w:rsid w:val="004568F4"/>
    <w:rsid w:val="00474DAE"/>
    <w:rsid w:val="00496EF0"/>
    <w:rsid w:val="004B62E6"/>
    <w:rsid w:val="004C73F7"/>
    <w:rsid w:val="004D6D04"/>
    <w:rsid w:val="004F07BD"/>
    <w:rsid w:val="004F2F59"/>
    <w:rsid w:val="004F6DF0"/>
    <w:rsid w:val="0050766F"/>
    <w:rsid w:val="00516213"/>
    <w:rsid w:val="005229F4"/>
    <w:rsid w:val="0052745D"/>
    <w:rsid w:val="005344F2"/>
    <w:rsid w:val="005356C7"/>
    <w:rsid w:val="0053758F"/>
    <w:rsid w:val="00541E61"/>
    <w:rsid w:val="00542D59"/>
    <w:rsid w:val="00545987"/>
    <w:rsid w:val="00560445"/>
    <w:rsid w:val="00560E61"/>
    <w:rsid w:val="00566FAF"/>
    <w:rsid w:val="00582B9E"/>
    <w:rsid w:val="00583836"/>
    <w:rsid w:val="00594279"/>
    <w:rsid w:val="005951F2"/>
    <w:rsid w:val="005971E4"/>
    <w:rsid w:val="005B60E6"/>
    <w:rsid w:val="005E2C00"/>
    <w:rsid w:val="005E6277"/>
    <w:rsid w:val="005E75C1"/>
    <w:rsid w:val="005F5961"/>
    <w:rsid w:val="005F6D8A"/>
    <w:rsid w:val="005F78B0"/>
    <w:rsid w:val="006243DE"/>
    <w:rsid w:val="00633B6B"/>
    <w:rsid w:val="00635343"/>
    <w:rsid w:val="0064577F"/>
    <w:rsid w:val="006469B1"/>
    <w:rsid w:val="0067145A"/>
    <w:rsid w:val="0067485D"/>
    <w:rsid w:val="006819CF"/>
    <w:rsid w:val="00685682"/>
    <w:rsid w:val="006A052B"/>
    <w:rsid w:val="006A16BB"/>
    <w:rsid w:val="006A30FB"/>
    <w:rsid w:val="006A6EC3"/>
    <w:rsid w:val="006B0973"/>
    <w:rsid w:val="006B1162"/>
    <w:rsid w:val="006B5EDA"/>
    <w:rsid w:val="007010BA"/>
    <w:rsid w:val="0071311C"/>
    <w:rsid w:val="00716866"/>
    <w:rsid w:val="00717718"/>
    <w:rsid w:val="00722D71"/>
    <w:rsid w:val="007411F1"/>
    <w:rsid w:val="007531F5"/>
    <w:rsid w:val="007609C9"/>
    <w:rsid w:val="0077218C"/>
    <w:rsid w:val="00772B73"/>
    <w:rsid w:val="00785986"/>
    <w:rsid w:val="007A23AB"/>
    <w:rsid w:val="007B6C4B"/>
    <w:rsid w:val="007B6DEF"/>
    <w:rsid w:val="007C2935"/>
    <w:rsid w:val="007C3123"/>
    <w:rsid w:val="007C6AF7"/>
    <w:rsid w:val="007E2A69"/>
    <w:rsid w:val="007F046D"/>
    <w:rsid w:val="007F4F35"/>
    <w:rsid w:val="007F7852"/>
    <w:rsid w:val="00806353"/>
    <w:rsid w:val="00810957"/>
    <w:rsid w:val="00815218"/>
    <w:rsid w:val="0082297C"/>
    <w:rsid w:val="008233B5"/>
    <w:rsid w:val="00826032"/>
    <w:rsid w:val="00842CFE"/>
    <w:rsid w:val="00842FD6"/>
    <w:rsid w:val="008448D5"/>
    <w:rsid w:val="00875D16"/>
    <w:rsid w:val="0088512C"/>
    <w:rsid w:val="00885A8F"/>
    <w:rsid w:val="00887229"/>
    <w:rsid w:val="00891ABA"/>
    <w:rsid w:val="008B50DC"/>
    <w:rsid w:val="008C4C2F"/>
    <w:rsid w:val="008C54EF"/>
    <w:rsid w:val="008C6E62"/>
    <w:rsid w:val="008C746C"/>
    <w:rsid w:val="008D4FFC"/>
    <w:rsid w:val="008E69DF"/>
    <w:rsid w:val="00913682"/>
    <w:rsid w:val="009168A5"/>
    <w:rsid w:val="009231EF"/>
    <w:rsid w:val="009322DD"/>
    <w:rsid w:val="009477DF"/>
    <w:rsid w:val="009635C5"/>
    <w:rsid w:val="00966658"/>
    <w:rsid w:val="00970C2B"/>
    <w:rsid w:val="00971A50"/>
    <w:rsid w:val="009860F1"/>
    <w:rsid w:val="00994A2B"/>
    <w:rsid w:val="00997237"/>
    <w:rsid w:val="009A2858"/>
    <w:rsid w:val="009B2703"/>
    <w:rsid w:val="009B4F66"/>
    <w:rsid w:val="009D43B1"/>
    <w:rsid w:val="009D63DE"/>
    <w:rsid w:val="009E27D8"/>
    <w:rsid w:val="009E53D8"/>
    <w:rsid w:val="009F04CC"/>
    <w:rsid w:val="009F65B0"/>
    <w:rsid w:val="00A07A01"/>
    <w:rsid w:val="00A10936"/>
    <w:rsid w:val="00A1219D"/>
    <w:rsid w:val="00A12AA1"/>
    <w:rsid w:val="00A12B33"/>
    <w:rsid w:val="00A13BD5"/>
    <w:rsid w:val="00A22D2E"/>
    <w:rsid w:val="00A2535D"/>
    <w:rsid w:val="00A417D3"/>
    <w:rsid w:val="00A426B2"/>
    <w:rsid w:val="00A42F7B"/>
    <w:rsid w:val="00A45236"/>
    <w:rsid w:val="00A56D1F"/>
    <w:rsid w:val="00A6757A"/>
    <w:rsid w:val="00A83A35"/>
    <w:rsid w:val="00A961C8"/>
    <w:rsid w:val="00A96D4B"/>
    <w:rsid w:val="00AA4E2D"/>
    <w:rsid w:val="00AB1E92"/>
    <w:rsid w:val="00AB4D16"/>
    <w:rsid w:val="00AB642C"/>
    <w:rsid w:val="00AC3C31"/>
    <w:rsid w:val="00AE4D1B"/>
    <w:rsid w:val="00AE66E9"/>
    <w:rsid w:val="00AE7BCF"/>
    <w:rsid w:val="00AF015E"/>
    <w:rsid w:val="00B10C96"/>
    <w:rsid w:val="00B31B29"/>
    <w:rsid w:val="00B31FFD"/>
    <w:rsid w:val="00B37B2F"/>
    <w:rsid w:val="00B421D8"/>
    <w:rsid w:val="00B437D2"/>
    <w:rsid w:val="00B454A6"/>
    <w:rsid w:val="00B51BFC"/>
    <w:rsid w:val="00B554C5"/>
    <w:rsid w:val="00B55C86"/>
    <w:rsid w:val="00B631B7"/>
    <w:rsid w:val="00B83105"/>
    <w:rsid w:val="00B9061B"/>
    <w:rsid w:val="00BA2A49"/>
    <w:rsid w:val="00BB5ABE"/>
    <w:rsid w:val="00BC05C8"/>
    <w:rsid w:val="00BC7804"/>
    <w:rsid w:val="00BD4020"/>
    <w:rsid w:val="00BE4391"/>
    <w:rsid w:val="00BE697D"/>
    <w:rsid w:val="00BE77C1"/>
    <w:rsid w:val="00BF0F9A"/>
    <w:rsid w:val="00BF3817"/>
    <w:rsid w:val="00C00A19"/>
    <w:rsid w:val="00C014BA"/>
    <w:rsid w:val="00C046BD"/>
    <w:rsid w:val="00C1527A"/>
    <w:rsid w:val="00C2296B"/>
    <w:rsid w:val="00C352CF"/>
    <w:rsid w:val="00C4231A"/>
    <w:rsid w:val="00C43B13"/>
    <w:rsid w:val="00C601F6"/>
    <w:rsid w:val="00C73F7B"/>
    <w:rsid w:val="00C76826"/>
    <w:rsid w:val="00C76F3A"/>
    <w:rsid w:val="00C83E25"/>
    <w:rsid w:val="00CB6721"/>
    <w:rsid w:val="00CC0E6A"/>
    <w:rsid w:val="00CE4608"/>
    <w:rsid w:val="00D15AD7"/>
    <w:rsid w:val="00D232E1"/>
    <w:rsid w:val="00D30912"/>
    <w:rsid w:val="00D6299B"/>
    <w:rsid w:val="00D838D5"/>
    <w:rsid w:val="00D8498F"/>
    <w:rsid w:val="00D86E0F"/>
    <w:rsid w:val="00D93154"/>
    <w:rsid w:val="00DB1B19"/>
    <w:rsid w:val="00DB391A"/>
    <w:rsid w:val="00DB51E6"/>
    <w:rsid w:val="00DC1B34"/>
    <w:rsid w:val="00DC30E9"/>
    <w:rsid w:val="00DC334A"/>
    <w:rsid w:val="00DD2714"/>
    <w:rsid w:val="00DD3404"/>
    <w:rsid w:val="00DE16B3"/>
    <w:rsid w:val="00DE6414"/>
    <w:rsid w:val="00DF1E44"/>
    <w:rsid w:val="00DF3F6F"/>
    <w:rsid w:val="00E03F56"/>
    <w:rsid w:val="00E13AC8"/>
    <w:rsid w:val="00E24F73"/>
    <w:rsid w:val="00E25CBA"/>
    <w:rsid w:val="00E2793C"/>
    <w:rsid w:val="00E32D75"/>
    <w:rsid w:val="00E41CE3"/>
    <w:rsid w:val="00E53326"/>
    <w:rsid w:val="00E5347F"/>
    <w:rsid w:val="00E5438C"/>
    <w:rsid w:val="00E56DBC"/>
    <w:rsid w:val="00E81E0A"/>
    <w:rsid w:val="00EA10C4"/>
    <w:rsid w:val="00EB1C10"/>
    <w:rsid w:val="00EC7882"/>
    <w:rsid w:val="00EE44CD"/>
    <w:rsid w:val="00EF1385"/>
    <w:rsid w:val="00EF1735"/>
    <w:rsid w:val="00EF40D9"/>
    <w:rsid w:val="00EF543C"/>
    <w:rsid w:val="00EF61E4"/>
    <w:rsid w:val="00F11B08"/>
    <w:rsid w:val="00F12528"/>
    <w:rsid w:val="00F202C6"/>
    <w:rsid w:val="00F31C77"/>
    <w:rsid w:val="00F37E55"/>
    <w:rsid w:val="00F413F5"/>
    <w:rsid w:val="00F56D8D"/>
    <w:rsid w:val="00F63032"/>
    <w:rsid w:val="00F635F4"/>
    <w:rsid w:val="00F6515F"/>
    <w:rsid w:val="00F713BE"/>
    <w:rsid w:val="00F72248"/>
    <w:rsid w:val="00F7270C"/>
    <w:rsid w:val="00F82039"/>
    <w:rsid w:val="00F82DF4"/>
    <w:rsid w:val="00F8713C"/>
    <w:rsid w:val="00F93F0F"/>
    <w:rsid w:val="00FA568A"/>
    <w:rsid w:val="00FD6A57"/>
    <w:rsid w:val="00FE7A8D"/>
    <w:rsid w:val="00FE7BEB"/>
    <w:rsid w:val="00FF7D64"/>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DokChampa"/>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8C"/>
    <w:pPr>
      <w:spacing w:after="200" w:line="276" w:lineRule="auto"/>
    </w:pPr>
    <w:rPr>
      <w:sz w:val="22"/>
      <w:szCs w:val="22"/>
      <w:lang w:eastAsia="en-US"/>
    </w:rPr>
  </w:style>
  <w:style w:type="paragraph" w:styleId="Heading5">
    <w:name w:val="heading 5"/>
    <w:basedOn w:val="Normal"/>
    <w:next w:val="Normal"/>
    <w:link w:val="Heading5Char"/>
    <w:semiHidden/>
    <w:unhideWhenUsed/>
    <w:qFormat/>
    <w:rsid w:val="00E5438C"/>
    <w:pPr>
      <w:keepNext/>
      <w:spacing w:after="0" w:line="240" w:lineRule="auto"/>
      <w:ind w:firstLine="709"/>
      <w:outlineLvl w:val="4"/>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5438C"/>
    <w:rPr>
      <w:rFonts w:ascii="Times New Roman" w:eastAsia="Times New Roman" w:hAnsi="Times New Roman" w:cs="Times New Roman"/>
      <w:sz w:val="28"/>
      <w:szCs w:val="20"/>
      <w:lang w:val="en-US"/>
    </w:rPr>
  </w:style>
  <w:style w:type="paragraph" w:styleId="FootnoteText">
    <w:name w:val="footnote text"/>
    <w:basedOn w:val="Normal"/>
    <w:link w:val="FootnoteTextChar"/>
    <w:unhideWhenUsed/>
    <w:rsid w:val="00E5438C"/>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E5438C"/>
    <w:rPr>
      <w:rFonts w:ascii="Times New Roman" w:eastAsia="Times New Roman" w:hAnsi="Times New Roman" w:cs="Times New Roman"/>
      <w:sz w:val="20"/>
      <w:szCs w:val="20"/>
      <w:lang w:eastAsia="lv-LV"/>
    </w:rPr>
  </w:style>
  <w:style w:type="paragraph" w:styleId="NoSpacing">
    <w:name w:val="No Spacing"/>
    <w:uiPriority w:val="1"/>
    <w:qFormat/>
    <w:rsid w:val="00E5438C"/>
    <w:rPr>
      <w:rFonts w:ascii="Times New Roman" w:eastAsia="Times New Roman" w:hAnsi="Times New Roman" w:cs="Times New Roman"/>
      <w:lang w:eastAsia="en-US"/>
    </w:rPr>
  </w:style>
  <w:style w:type="paragraph" w:customStyle="1" w:styleId="naisnod">
    <w:name w:val="naisnod"/>
    <w:basedOn w:val="Normal"/>
    <w:rsid w:val="00E5438C"/>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E5438C"/>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E5438C"/>
    <w:pPr>
      <w:spacing w:before="75" w:after="75" w:line="240" w:lineRule="auto"/>
      <w:jc w:val="center"/>
    </w:pPr>
    <w:rPr>
      <w:rFonts w:ascii="Times New Roman" w:eastAsia="Times New Roman" w:hAnsi="Times New Roman" w:cs="Times New Roman"/>
      <w:sz w:val="24"/>
      <w:szCs w:val="24"/>
      <w:lang w:eastAsia="lv-LV"/>
    </w:rPr>
  </w:style>
  <w:style w:type="paragraph" w:customStyle="1" w:styleId="tv20787921">
    <w:name w:val="tv207_87_921"/>
    <w:basedOn w:val="Normal"/>
    <w:rsid w:val="00E5438C"/>
    <w:pPr>
      <w:spacing w:after="567" w:line="360" w:lineRule="auto"/>
      <w:jc w:val="center"/>
    </w:pPr>
    <w:rPr>
      <w:rFonts w:ascii="Verdana" w:eastAsia="Times New Roman" w:hAnsi="Verdana" w:cs="Times New Roman"/>
      <w:b/>
      <w:bCs/>
      <w:sz w:val="28"/>
      <w:szCs w:val="28"/>
      <w:lang w:eastAsia="lv-LV"/>
    </w:rPr>
  </w:style>
  <w:style w:type="paragraph" w:styleId="Header">
    <w:name w:val="header"/>
    <w:basedOn w:val="Normal"/>
    <w:link w:val="HeaderChar"/>
    <w:uiPriority w:val="99"/>
    <w:unhideWhenUsed/>
    <w:rsid w:val="004031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31CC"/>
  </w:style>
  <w:style w:type="paragraph" w:styleId="Footer">
    <w:name w:val="footer"/>
    <w:basedOn w:val="Normal"/>
    <w:link w:val="FooterChar"/>
    <w:uiPriority w:val="99"/>
    <w:semiHidden/>
    <w:unhideWhenUsed/>
    <w:rsid w:val="004031C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031CC"/>
  </w:style>
  <w:style w:type="paragraph" w:customStyle="1" w:styleId="nsptext2">
    <w:name w:val="nsptext2"/>
    <w:basedOn w:val="Normal"/>
    <w:rsid w:val="0023075A"/>
    <w:pPr>
      <w:spacing w:before="68" w:after="100" w:afterAutospacing="1" w:line="240" w:lineRule="auto"/>
      <w:jc w:val="both"/>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A07A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F31C77"/>
    <w:pPr>
      <w:spacing w:after="0" w:line="360" w:lineRule="auto"/>
      <w:ind w:firstLine="227"/>
    </w:pPr>
    <w:rPr>
      <w:rFonts w:ascii="Times New Roman" w:eastAsia="Times New Roman" w:hAnsi="Times New Roman" w:cs="Times New Roman"/>
      <w:color w:val="414142"/>
      <w:sz w:val="15"/>
      <w:szCs w:val="15"/>
      <w:lang w:eastAsia="lv-LV"/>
    </w:rPr>
  </w:style>
  <w:style w:type="character" w:styleId="Hyperlink">
    <w:name w:val="Hyperlink"/>
    <w:basedOn w:val="DefaultParagraphFont"/>
    <w:uiPriority w:val="99"/>
    <w:unhideWhenUsed/>
    <w:rsid w:val="00AB4D16"/>
    <w:rPr>
      <w:color w:val="0000FF"/>
      <w:u w:val="single"/>
    </w:rPr>
  </w:style>
  <w:style w:type="character" w:customStyle="1" w:styleId="skypepnhprintcontainer">
    <w:name w:val="skype_pnh_print_container"/>
    <w:basedOn w:val="DefaultParagraphFont"/>
    <w:rsid w:val="00594279"/>
  </w:style>
  <w:style w:type="character" w:customStyle="1" w:styleId="skypepnhcontainer">
    <w:name w:val="skype_pnh_container"/>
    <w:basedOn w:val="DefaultParagraphFont"/>
    <w:rsid w:val="00594279"/>
  </w:style>
  <w:style w:type="character" w:customStyle="1" w:styleId="skypepnhmark">
    <w:name w:val="skype_pnh_mark"/>
    <w:basedOn w:val="DefaultParagraphFont"/>
    <w:rsid w:val="00594279"/>
  </w:style>
  <w:style w:type="character" w:customStyle="1" w:styleId="skypepnhtextspan">
    <w:name w:val="skype_pnh_text_span"/>
    <w:basedOn w:val="DefaultParagraphFont"/>
    <w:rsid w:val="00594279"/>
  </w:style>
  <w:style w:type="character" w:customStyle="1" w:styleId="skypepnhrightspan">
    <w:name w:val="skype_pnh_right_span"/>
    <w:basedOn w:val="DefaultParagraphFont"/>
    <w:rsid w:val="00594279"/>
  </w:style>
  <w:style w:type="paragraph" w:styleId="ListParagraph">
    <w:name w:val="List Paragraph"/>
    <w:basedOn w:val="Normal"/>
    <w:uiPriority w:val="34"/>
    <w:qFormat/>
    <w:rsid w:val="005B60E6"/>
    <w:pPr>
      <w:ind w:left="720"/>
      <w:contextualSpacing/>
    </w:pPr>
  </w:style>
  <w:style w:type="character" w:customStyle="1" w:styleId="tvhtml">
    <w:name w:val="tv_html"/>
    <w:basedOn w:val="DefaultParagraphFont"/>
    <w:rsid w:val="007E2A69"/>
  </w:style>
</w:styles>
</file>

<file path=word/webSettings.xml><?xml version="1.0" encoding="utf-8"?>
<w:webSettings xmlns:r="http://schemas.openxmlformats.org/officeDocument/2006/relationships" xmlns:w="http://schemas.openxmlformats.org/wordprocessingml/2006/main">
  <w:divs>
    <w:div w:id="68701178">
      <w:bodyDiv w:val="1"/>
      <w:marLeft w:val="0"/>
      <w:marRight w:val="0"/>
      <w:marTop w:val="0"/>
      <w:marBottom w:val="0"/>
      <w:divBdr>
        <w:top w:val="none" w:sz="0" w:space="0" w:color="auto"/>
        <w:left w:val="none" w:sz="0" w:space="0" w:color="auto"/>
        <w:bottom w:val="none" w:sz="0" w:space="0" w:color="auto"/>
        <w:right w:val="none" w:sz="0" w:space="0" w:color="auto"/>
      </w:divBdr>
      <w:divsChild>
        <w:div w:id="348678071">
          <w:marLeft w:val="0"/>
          <w:marRight w:val="0"/>
          <w:marTop w:val="0"/>
          <w:marBottom w:val="0"/>
          <w:divBdr>
            <w:top w:val="none" w:sz="0" w:space="0" w:color="auto"/>
            <w:left w:val="none" w:sz="0" w:space="0" w:color="auto"/>
            <w:bottom w:val="none" w:sz="0" w:space="0" w:color="auto"/>
            <w:right w:val="none" w:sz="0" w:space="0" w:color="auto"/>
          </w:divBdr>
          <w:divsChild>
            <w:div w:id="1389299039">
              <w:marLeft w:val="0"/>
              <w:marRight w:val="0"/>
              <w:marTop w:val="0"/>
              <w:marBottom w:val="0"/>
              <w:divBdr>
                <w:top w:val="none" w:sz="0" w:space="0" w:color="auto"/>
                <w:left w:val="none" w:sz="0" w:space="0" w:color="auto"/>
                <w:bottom w:val="none" w:sz="0" w:space="0" w:color="auto"/>
                <w:right w:val="none" w:sz="0" w:space="0" w:color="auto"/>
              </w:divBdr>
              <w:divsChild>
                <w:div w:id="580528236">
                  <w:marLeft w:val="0"/>
                  <w:marRight w:val="0"/>
                  <w:marTop w:val="0"/>
                  <w:marBottom w:val="0"/>
                  <w:divBdr>
                    <w:top w:val="none" w:sz="0" w:space="0" w:color="auto"/>
                    <w:left w:val="none" w:sz="0" w:space="0" w:color="auto"/>
                    <w:bottom w:val="none" w:sz="0" w:space="0" w:color="auto"/>
                    <w:right w:val="none" w:sz="0" w:space="0" w:color="auto"/>
                  </w:divBdr>
                  <w:divsChild>
                    <w:div w:id="1889564901">
                      <w:marLeft w:val="0"/>
                      <w:marRight w:val="0"/>
                      <w:marTop w:val="0"/>
                      <w:marBottom w:val="0"/>
                      <w:divBdr>
                        <w:top w:val="none" w:sz="0" w:space="0" w:color="auto"/>
                        <w:left w:val="none" w:sz="0" w:space="0" w:color="auto"/>
                        <w:bottom w:val="none" w:sz="0" w:space="0" w:color="auto"/>
                        <w:right w:val="none" w:sz="0" w:space="0" w:color="auto"/>
                      </w:divBdr>
                      <w:divsChild>
                        <w:div w:id="920531237">
                          <w:marLeft w:val="0"/>
                          <w:marRight w:val="0"/>
                          <w:marTop w:val="227"/>
                          <w:marBottom w:val="0"/>
                          <w:divBdr>
                            <w:top w:val="none" w:sz="0" w:space="0" w:color="auto"/>
                            <w:left w:val="none" w:sz="0" w:space="0" w:color="auto"/>
                            <w:bottom w:val="none" w:sz="0" w:space="0" w:color="auto"/>
                            <w:right w:val="none" w:sz="0" w:space="0" w:color="auto"/>
                          </w:divBdr>
                          <w:divsChild>
                            <w:div w:id="4381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74839">
      <w:bodyDiv w:val="1"/>
      <w:marLeft w:val="0"/>
      <w:marRight w:val="0"/>
      <w:marTop w:val="0"/>
      <w:marBottom w:val="0"/>
      <w:divBdr>
        <w:top w:val="none" w:sz="0" w:space="0" w:color="auto"/>
        <w:left w:val="none" w:sz="0" w:space="0" w:color="auto"/>
        <w:bottom w:val="none" w:sz="0" w:space="0" w:color="auto"/>
        <w:right w:val="none" w:sz="0" w:space="0" w:color="auto"/>
      </w:divBdr>
    </w:div>
    <w:div w:id="649283557">
      <w:bodyDiv w:val="1"/>
      <w:marLeft w:val="0"/>
      <w:marRight w:val="0"/>
      <w:marTop w:val="0"/>
      <w:marBottom w:val="0"/>
      <w:divBdr>
        <w:top w:val="none" w:sz="0" w:space="0" w:color="auto"/>
        <w:left w:val="none" w:sz="0" w:space="0" w:color="auto"/>
        <w:bottom w:val="none" w:sz="0" w:space="0" w:color="auto"/>
        <w:right w:val="none" w:sz="0" w:space="0" w:color="auto"/>
      </w:divBdr>
    </w:div>
    <w:div w:id="1056706015">
      <w:bodyDiv w:val="1"/>
      <w:marLeft w:val="0"/>
      <w:marRight w:val="0"/>
      <w:marTop w:val="0"/>
      <w:marBottom w:val="0"/>
      <w:divBdr>
        <w:top w:val="none" w:sz="0" w:space="0" w:color="auto"/>
        <w:left w:val="none" w:sz="0" w:space="0" w:color="auto"/>
        <w:bottom w:val="none" w:sz="0" w:space="0" w:color="auto"/>
        <w:right w:val="none" w:sz="0" w:space="0" w:color="auto"/>
      </w:divBdr>
    </w:div>
    <w:div w:id="1339889809">
      <w:bodyDiv w:val="1"/>
      <w:marLeft w:val="0"/>
      <w:marRight w:val="0"/>
      <w:marTop w:val="0"/>
      <w:marBottom w:val="0"/>
      <w:divBdr>
        <w:top w:val="none" w:sz="0" w:space="0" w:color="auto"/>
        <w:left w:val="none" w:sz="0" w:space="0" w:color="auto"/>
        <w:bottom w:val="none" w:sz="0" w:space="0" w:color="auto"/>
        <w:right w:val="none" w:sz="0" w:space="0" w:color="auto"/>
      </w:divBdr>
    </w:div>
    <w:div w:id="1440876513">
      <w:bodyDiv w:val="1"/>
      <w:marLeft w:val="0"/>
      <w:marRight w:val="0"/>
      <w:marTop w:val="0"/>
      <w:marBottom w:val="0"/>
      <w:divBdr>
        <w:top w:val="none" w:sz="0" w:space="0" w:color="auto"/>
        <w:left w:val="none" w:sz="0" w:space="0" w:color="auto"/>
        <w:bottom w:val="none" w:sz="0" w:space="0" w:color="auto"/>
        <w:right w:val="none" w:sz="0" w:space="0" w:color="auto"/>
      </w:divBdr>
      <w:divsChild>
        <w:div w:id="110176935">
          <w:marLeft w:val="0"/>
          <w:marRight w:val="0"/>
          <w:marTop w:val="0"/>
          <w:marBottom w:val="0"/>
          <w:divBdr>
            <w:top w:val="none" w:sz="0" w:space="0" w:color="auto"/>
            <w:left w:val="none" w:sz="0" w:space="0" w:color="auto"/>
            <w:bottom w:val="none" w:sz="0" w:space="0" w:color="auto"/>
            <w:right w:val="none" w:sz="0" w:space="0" w:color="auto"/>
          </w:divBdr>
          <w:divsChild>
            <w:div w:id="673847291">
              <w:marLeft w:val="0"/>
              <w:marRight w:val="0"/>
              <w:marTop w:val="0"/>
              <w:marBottom w:val="0"/>
              <w:divBdr>
                <w:top w:val="none" w:sz="0" w:space="0" w:color="auto"/>
                <w:left w:val="none" w:sz="0" w:space="0" w:color="auto"/>
                <w:bottom w:val="none" w:sz="0" w:space="0" w:color="auto"/>
                <w:right w:val="none" w:sz="0" w:space="0" w:color="auto"/>
              </w:divBdr>
              <w:divsChild>
                <w:div w:id="1587374095">
                  <w:marLeft w:val="0"/>
                  <w:marRight w:val="0"/>
                  <w:marTop w:val="0"/>
                  <w:marBottom w:val="0"/>
                  <w:divBdr>
                    <w:top w:val="none" w:sz="0" w:space="0" w:color="auto"/>
                    <w:left w:val="none" w:sz="0" w:space="0" w:color="auto"/>
                    <w:bottom w:val="none" w:sz="0" w:space="0" w:color="auto"/>
                    <w:right w:val="none" w:sz="0" w:space="0" w:color="auto"/>
                  </w:divBdr>
                  <w:divsChild>
                    <w:div w:id="1762264073">
                      <w:marLeft w:val="0"/>
                      <w:marRight w:val="0"/>
                      <w:marTop w:val="0"/>
                      <w:marBottom w:val="0"/>
                      <w:divBdr>
                        <w:top w:val="none" w:sz="0" w:space="0" w:color="auto"/>
                        <w:left w:val="none" w:sz="0" w:space="0" w:color="auto"/>
                        <w:bottom w:val="none" w:sz="0" w:space="0" w:color="auto"/>
                        <w:right w:val="none" w:sz="0" w:space="0" w:color="auto"/>
                      </w:divBdr>
                      <w:divsChild>
                        <w:div w:id="2061202069">
                          <w:marLeft w:val="0"/>
                          <w:marRight w:val="0"/>
                          <w:marTop w:val="0"/>
                          <w:marBottom w:val="0"/>
                          <w:divBdr>
                            <w:top w:val="none" w:sz="0" w:space="0" w:color="auto"/>
                            <w:left w:val="none" w:sz="0" w:space="0" w:color="auto"/>
                            <w:bottom w:val="none" w:sz="0" w:space="0" w:color="auto"/>
                            <w:right w:val="none" w:sz="0" w:space="0" w:color="auto"/>
                          </w:divBdr>
                          <w:divsChild>
                            <w:div w:id="11929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55799">
      <w:bodyDiv w:val="1"/>
      <w:marLeft w:val="0"/>
      <w:marRight w:val="0"/>
      <w:marTop w:val="0"/>
      <w:marBottom w:val="0"/>
      <w:divBdr>
        <w:top w:val="none" w:sz="0" w:space="0" w:color="auto"/>
        <w:left w:val="none" w:sz="0" w:space="0" w:color="auto"/>
        <w:bottom w:val="none" w:sz="0" w:space="0" w:color="auto"/>
        <w:right w:val="none" w:sz="0" w:space="0" w:color="auto"/>
      </w:divBdr>
    </w:div>
    <w:div w:id="1462960873">
      <w:bodyDiv w:val="1"/>
      <w:marLeft w:val="0"/>
      <w:marRight w:val="0"/>
      <w:marTop w:val="0"/>
      <w:marBottom w:val="0"/>
      <w:divBdr>
        <w:top w:val="none" w:sz="0" w:space="0" w:color="auto"/>
        <w:left w:val="none" w:sz="0" w:space="0" w:color="auto"/>
        <w:bottom w:val="none" w:sz="0" w:space="0" w:color="auto"/>
        <w:right w:val="none" w:sz="0" w:space="0" w:color="auto"/>
      </w:divBdr>
    </w:div>
    <w:div w:id="1465154037">
      <w:bodyDiv w:val="1"/>
      <w:marLeft w:val="0"/>
      <w:marRight w:val="0"/>
      <w:marTop w:val="0"/>
      <w:marBottom w:val="0"/>
      <w:divBdr>
        <w:top w:val="none" w:sz="0" w:space="0" w:color="auto"/>
        <w:left w:val="none" w:sz="0" w:space="0" w:color="auto"/>
        <w:bottom w:val="none" w:sz="0" w:space="0" w:color="auto"/>
        <w:right w:val="none" w:sz="0" w:space="0" w:color="auto"/>
      </w:divBdr>
    </w:div>
    <w:div w:id="1470980229">
      <w:bodyDiv w:val="1"/>
      <w:marLeft w:val="0"/>
      <w:marRight w:val="0"/>
      <w:marTop w:val="0"/>
      <w:marBottom w:val="0"/>
      <w:divBdr>
        <w:top w:val="none" w:sz="0" w:space="0" w:color="auto"/>
        <w:left w:val="none" w:sz="0" w:space="0" w:color="auto"/>
        <w:bottom w:val="none" w:sz="0" w:space="0" w:color="auto"/>
        <w:right w:val="none" w:sz="0" w:space="0" w:color="auto"/>
      </w:divBdr>
    </w:div>
    <w:div w:id="1568413085">
      <w:bodyDiv w:val="1"/>
      <w:marLeft w:val="0"/>
      <w:marRight w:val="0"/>
      <w:marTop w:val="0"/>
      <w:marBottom w:val="0"/>
      <w:divBdr>
        <w:top w:val="none" w:sz="0" w:space="0" w:color="auto"/>
        <w:left w:val="none" w:sz="0" w:space="0" w:color="auto"/>
        <w:bottom w:val="none" w:sz="0" w:space="0" w:color="auto"/>
        <w:right w:val="none" w:sz="0" w:space="0" w:color="auto"/>
      </w:divBdr>
    </w:div>
    <w:div w:id="1580628373">
      <w:bodyDiv w:val="1"/>
      <w:marLeft w:val="0"/>
      <w:marRight w:val="0"/>
      <w:marTop w:val="0"/>
      <w:marBottom w:val="0"/>
      <w:divBdr>
        <w:top w:val="none" w:sz="0" w:space="0" w:color="auto"/>
        <w:left w:val="none" w:sz="0" w:space="0" w:color="auto"/>
        <w:bottom w:val="none" w:sz="0" w:space="0" w:color="auto"/>
        <w:right w:val="none" w:sz="0" w:space="0" w:color="auto"/>
      </w:divBdr>
    </w:div>
    <w:div w:id="1777481309">
      <w:bodyDiv w:val="1"/>
      <w:marLeft w:val="0"/>
      <w:marRight w:val="0"/>
      <w:marTop w:val="0"/>
      <w:marBottom w:val="0"/>
      <w:divBdr>
        <w:top w:val="none" w:sz="0" w:space="0" w:color="auto"/>
        <w:left w:val="none" w:sz="0" w:space="0" w:color="auto"/>
        <w:bottom w:val="none" w:sz="0" w:space="0" w:color="auto"/>
        <w:right w:val="none" w:sz="0" w:space="0" w:color="auto"/>
      </w:divBdr>
    </w:div>
    <w:div w:id="1902010681">
      <w:bodyDiv w:val="1"/>
      <w:marLeft w:val="0"/>
      <w:marRight w:val="0"/>
      <w:marTop w:val="0"/>
      <w:marBottom w:val="0"/>
      <w:divBdr>
        <w:top w:val="none" w:sz="0" w:space="0" w:color="auto"/>
        <w:left w:val="none" w:sz="0" w:space="0" w:color="auto"/>
        <w:bottom w:val="none" w:sz="0" w:space="0" w:color="auto"/>
        <w:right w:val="none" w:sz="0" w:space="0" w:color="auto"/>
      </w:divBdr>
    </w:div>
    <w:div w:id="202108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4</Pages>
  <Words>4564</Words>
  <Characters>2602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Ministru kabineta noteikumu projekta "Grozījumi Ministru kabineta 2012.gada 9.oktobra noteikumos Nr.704 "Noteikumi par darbības programmas "Cilvēkresursi un nodarbinātība" papildinājuma 1.1.1.2.aktivitātes "Cilvēkresursu piesaiste zinātnei" otro projektu iesniegumu atlases kārtu" sākotnējās ietekmes novērtējuma ziņojums (anotācija)</dc:subject>
  <dc:creator>I.Griķe</dc:creator>
  <dc:description>Inga.Grike@izm.gov.lv
67047826</dc:description>
  <cp:lastModifiedBy>igabrisa</cp:lastModifiedBy>
  <cp:revision>23</cp:revision>
  <cp:lastPrinted>2013-09-30T13:22:00Z</cp:lastPrinted>
  <dcterms:created xsi:type="dcterms:W3CDTF">2013-09-30T11:56:00Z</dcterms:created>
  <dcterms:modified xsi:type="dcterms:W3CDTF">2013-12-10T11:40:00Z</dcterms:modified>
</cp:coreProperties>
</file>