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B9" w:rsidRPr="005747DB" w:rsidRDefault="0064387B" w:rsidP="00B645B9">
      <w:pPr>
        <w:pStyle w:val="naislab"/>
        <w:spacing w:before="0" w:after="0"/>
        <w:jc w:val="center"/>
        <w:rPr>
          <w:rFonts w:ascii="Korinna LRS" w:hAnsi="Korinna LRS"/>
          <w:b/>
          <w:sz w:val="28"/>
          <w:szCs w:val="28"/>
        </w:rPr>
      </w:pPr>
      <w:bookmarkStart w:id="0" w:name="OLE_LINK1"/>
      <w:bookmarkStart w:id="1" w:name="OLE_LINK2"/>
      <w:r w:rsidRPr="005747DB">
        <w:rPr>
          <w:rFonts w:ascii="Korinna LRS" w:hAnsi="Korinna LRS"/>
          <w:b/>
          <w:sz w:val="28"/>
          <w:szCs w:val="28"/>
        </w:rPr>
        <w:t xml:space="preserve">Ministru kabineta noteikumu projekta </w:t>
      </w:r>
    </w:p>
    <w:p w:rsidR="00B645B9" w:rsidRPr="005747DB" w:rsidRDefault="00B645B9" w:rsidP="00B645B9">
      <w:pPr>
        <w:pStyle w:val="naislab"/>
        <w:spacing w:before="0" w:after="0"/>
        <w:jc w:val="center"/>
        <w:rPr>
          <w:b/>
          <w:bCs/>
          <w:sz w:val="28"/>
          <w:szCs w:val="28"/>
        </w:rPr>
      </w:pPr>
      <w:r w:rsidRPr="005747DB">
        <w:rPr>
          <w:rFonts w:ascii="Korinna LRS" w:hAnsi="Korinna LRS" w:hint="eastAsia"/>
          <w:b/>
          <w:sz w:val="28"/>
          <w:szCs w:val="28"/>
        </w:rPr>
        <w:t>„</w:t>
      </w:r>
      <w:r w:rsidRPr="005747DB">
        <w:rPr>
          <w:b/>
          <w:bCs/>
          <w:sz w:val="28"/>
          <w:szCs w:val="28"/>
        </w:rPr>
        <w:t>Grozījumi Ministru kabineta 2012.gada 17.</w:t>
      </w:r>
      <w:r w:rsidRPr="005747DB">
        <w:rPr>
          <w:b/>
          <w:sz w:val="28"/>
          <w:szCs w:val="28"/>
        </w:rPr>
        <w:t>janvār</w:t>
      </w:r>
      <w:r w:rsidRPr="005747DB">
        <w:rPr>
          <w:b/>
          <w:bCs/>
          <w:sz w:val="28"/>
          <w:szCs w:val="28"/>
        </w:rPr>
        <w:t>a noteikumos Nr.</w:t>
      </w:r>
      <w:r w:rsidRPr="005747DB">
        <w:rPr>
          <w:b/>
          <w:sz w:val="28"/>
          <w:szCs w:val="28"/>
        </w:rPr>
        <w:t>62</w:t>
      </w:r>
      <w:r w:rsidRPr="005747DB">
        <w:rPr>
          <w:b/>
          <w:bCs/>
          <w:sz w:val="28"/>
          <w:szCs w:val="28"/>
        </w:rPr>
        <w:t xml:space="preserve"> </w:t>
      </w:r>
    </w:p>
    <w:p w:rsidR="00B645B9" w:rsidRPr="005747DB" w:rsidRDefault="00B645B9" w:rsidP="00B645B9">
      <w:pPr>
        <w:jc w:val="center"/>
        <w:rPr>
          <w:b/>
          <w:sz w:val="28"/>
          <w:szCs w:val="28"/>
        </w:rPr>
      </w:pPr>
      <w:r w:rsidRPr="005747DB">
        <w:rPr>
          <w:b/>
          <w:sz w:val="28"/>
          <w:szCs w:val="28"/>
        </w:rPr>
        <w:t xml:space="preserve">„Latvijas un Šveices sadarbības programmas grantu shēmas </w:t>
      </w:r>
    </w:p>
    <w:p w:rsidR="00B645B9" w:rsidRPr="005747DB" w:rsidRDefault="00B645B9" w:rsidP="00B645B9">
      <w:pPr>
        <w:jc w:val="center"/>
        <w:rPr>
          <w:b/>
          <w:sz w:val="28"/>
          <w:szCs w:val="28"/>
        </w:rPr>
      </w:pPr>
      <w:r w:rsidRPr="005747DB">
        <w:rPr>
          <w:b/>
          <w:sz w:val="28"/>
          <w:szCs w:val="28"/>
        </w:rPr>
        <w:t xml:space="preserve">"Šveices pētnieku aktivitātes Latvijā" </w:t>
      </w:r>
      <w:proofErr w:type="spellStart"/>
      <w:r w:rsidRPr="005747DB">
        <w:rPr>
          <w:b/>
          <w:sz w:val="28"/>
          <w:szCs w:val="28"/>
        </w:rPr>
        <w:t>apakšprojektu</w:t>
      </w:r>
      <w:proofErr w:type="spellEnd"/>
      <w:r w:rsidRPr="005747DB">
        <w:rPr>
          <w:b/>
          <w:sz w:val="28"/>
          <w:szCs w:val="28"/>
        </w:rPr>
        <w:t xml:space="preserve"> iesniegumu </w:t>
      </w:r>
    </w:p>
    <w:p w:rsidR="00B645B9" w:rsidRPr="005747DB" w:rsidRDefault="00B645B9" w:rsidP="00B645B9">
      <w:pPr>
        <w:jc w:val="center"/>
        <w:rPr>
          <w:b/>
          <w:sz w:val="28"/>
          <w:szCs w:val="28"/>
        </w:rPr>
      </w:pPr>
      <w:r w:rsidRPr="005747DB">
        <w:rPr>
          <w:b/>
          <w:sz w:val="28"/>
          <w:szCs w:val="28"/>
        </w:rPr>
        <w:t xml:space="preserve">atklāta konkursa </w:t>
      </w:r>
      <w:smartTag w:uri="schemas-tilde-lv/tildestengine" w:element="veidnes">
        <w:smartTagPr>
          <w:attr w:name="text" w:val="iesniegumu"/>
          <w:attr w:name="id" w:val="-1"/>
          <w:attr w:name="baseform" w:val="iesniegum|s"/>
        </w:smartTagPr>
        <w:r w:rsidRPr="005747DB">
          <w:rPr>
            <w:b/>
            <w:sz w:val="28"/>
            <w:szCs w:val="28"/>
          </w:rPr>
          <w:t>nolikums</w:t>
        </w:r>
      </w:smartTag>
      <w:r w:rsidRPr="005747DB">
        <w:rPr>
          <w:b/>
          <w:sz w:val="28"/>
          <w:szCs w:val="28"/>
        </w:rPr>
        <w:t>””</w:t>
      </w:r>
    </w:p>
    <w:p w:rsidR="00FA338D" w:rsidRPr="005747DB" w:rsidRDefault="0064387B" w:rsidP="009F0A6A">
      <w:pPr>
        <w:pStyle w:val="naislab"/>
        <w:spacing w:before="0" w:after="0"/>
        <w:jc w:val="center"/>
        <w:rPr>
          <w:b/>
          <w:sz w:val="28"/>
          <w:szCs w:val="28"/>
        </w:rPr>
      </w:pPr>
      <w:r w:rsidRPr="005747DB">
        <w:rPr>
          <w:b/>
          <w:sz w:val="28"/>
          <w:szCs w:val="28"/>
        </w:rPr>
        <w:t xml:space="preserve">sākotnējās ietekmes novērtējuma </w:t>
      </w:r>
      <w:smartTag w:uri="schemas-tilde-lv/tildestengine" w:element="veidnes">
        <w:smartTagPr>
          <w:attr w:name="text" w:val="ziņojums"/>
          <w:attr w:name="baseform" w:val="ziņojums"/>
          <w:attr w:name="id" w:val="-1"/>
        </w:smartTagPr>
        <w:r w:rsidRPr="005747DB">
          <w:rPr>
            <w:b/>
            <w:sz w:val="28"/>
            <w:szCs w:val="28"/>
          </w:rPr>
          <w:t>ziņojums</w:t>
        </w:r>
      </w:smartTag>
      <w:r w:rsidRPr="005747DB">
        <w:rPr>
          <w:b/>
          <w:sz w:val="28"/>
          <w:szCs w:val="28"/>
        </w:rPr>
        <w:t xml:space="preserve"> (anotācija</w:t>
      </w:r>
      <w:r w:rsidR="00FA338D" w:rsidRPr="005747DB">
        <w:rPr>
          <w:b/>
          <w:sz w:val="28"/>
          <w:szCs w:val="28"/>
        </w:rPr>
        <w:t>)</w:t>
      </w:r>
    </w:p>
    <w:bookmarkEnd w:id="0"/>
    <w:bookmarkEnd w:id="1"/>
    <w:p w:rsidR="00FA338D" w:rsidRPr="005747DB" w:rsidRDefault="00FA338D" w:rsidP="00FA338D">
      <w:pPr>
        <w:pStyle w:val="naislab"/>
        <w:spacing w:before="0" w:after="0"/>
        <w:jc w:val="center"/>
        <w:outlineLvl w:val="0"/>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63"/>
        <w:gridCol w:w="7336"/>
      </w:tblGrid>
      <w:tr w:rsidR="00FA338D" w:rsidRPr="005747DB" w:rsidTr="00B04F23">
        <w:tc>
          <w:tcPr>
            <w:tcW w:w="9539" w:type="dxa"/>
            <w:gridSpan w:val="3"/>
          </w:tcPr>
          <w:p w:rsidR="00FA338D" w:rsidRPr="005747DB" w:rsidRDefault="00FA338D" w:rsidP="00B04F23">
            <w:pPr>
              <w:pStyle w:val="naislab"/>
              <w:spacing w:before="0" w:after="0"/>
              <w:jc w:val="center"/>
              <w:outlineLvl w:val="0"/>
              <w:rPr>
                <w:b/>
              </w:rPr>
            </w:pPr>
            <w:r w:rsidRPr="005747DB">
              <w:rPr>
                <w:b/>
              </w:rPr>
              <w:t>I. Tiesību akta projekta izstrādes nepieciešamība</w:t>
            </w:r>
          </w:p>
        </w:tc>
      </w:tr>
      <w:tr w:rsidR="00FA338D" w:rsidRPr="005747DB" w:rsidTr="0031405C">
        <w:tc>
          <w:tcPr>
            <w:tcW w:w="540" w:type="dxa"/>
          </w:tcPr>
          <w:p w:rsidR="00FA338D" w:rsidRPr="005747DB" w:rsidRDefault="00FA338D" w:rsidP="00B04F23">
            <w:pPr>
              <w:pStyle w:val="naislab"/>
              <w:spacing w:before="0" w:after="0"/>
              <w:jc w:val="center"/>
              <w:outlineLvl w:val="0"/>
            </w:pPr>
            <w:r w:rsidRPr="005747DB">
              <w:t>1.</w:t>
            </w:r>
          </w:p>
        </w:tc>
        <w:tc>
          <w:tcPr>
            <w:tcW w:w="1663" w:type="dxa"/>
          </w:tcPr>
          <w:p w:rsidR="00FA338D" w:rsidRPr="005747DB" w:rsidRDefault="00FA338D" w:rsidP="00B04F23">
            <w:pPr>
              <w:pStyle w:val="naislab"/>
              <w:spacing w:before="0" w:after="0"/>
              <w:jc w:val="both"/>
              <w:outlineLvl w:val="0"/>
              <w:rPr>
                <w:sz w:val="22"/>
                <w:szCs w:val="22"/>
              </w:rPr>
            </w:pPr>
            <w:r w:rsidRPr="005747DB">
              <w:rPr>
                <w:sz w:val="22"/>
                <w:szCs w:val="22"/>
              </w:rPr>
              <w:t>Pamatojums</w:t>
            </w:r>
          </w:p>
        </w:tc>
        <w:tc>
          <w:tcPr>
            <w:tcW w:w="7336" w:type="dxa"/>
            <w:vAlign w:val="center"/>
          </w:tcPr>
          <w:p w:rsidR="005C4B6D" w:rsidRPr="005747DB" w:rsidRDefault="00BB4DC6" w:rsidP="00BB4DC6">
            <w:pPr>
              <w:pStyle w:val="naislab"/>
              <w:spacing w:before="0" w:after="0"/>
              <w:jc w:val="both"/>
              <w:rPr>
                <w:bCs/>
              </w:rPr>
            </w:pPr>
            <w:r w:rsidRPr="005747DB">
              <w:t>Ministru kabineta noteikumu projekts „</w:t>
            </w:r>
            <w:r w:rsidRPr="005747DB">
              <w:rPr>
                <w:bCs/>
              </w:rPr>
              <w:t>Grozījumi Ministru kabineta 2012.gada 17.</w:t>
            </w:r>
            <w:r w:rsidRPr="005747DB">
              <w:t>janvār</w:t>
            </w:r>
            <w:r w:rsidRPr="005747DB">
              <w:rPr>
                <w:bCs/>
              </w:rPr>
              <w:t>a noteikumos Nr.</w:t>
            </w:r>
            <w:r w:rsidRPr="005747DB">
              <w:t>62</w:t>
            </w:r>
            <w:r w:rsidRPr="005747DB">
              <w:rPr>
                <w:bCs/>
              </w:rPr>
              <w:t xml:space="preserve"> </w:t>
            </w:r>
            <w:r w:rsidRPr="005747DB">
              <w:t xml:space="preserve">„Latvijas un Šveices sadarbības programmas grantu shēmas "Šveices pētnieku aktivitātes Latvijā" </w:t>
            </w:r>
            <w:proofErr w:type="spellStart"/>
            <w:r w:rsidRPr="005747DB">
              <w:t>apakšprojektu</w:t>
            </w:r>
            <w:proofErr w:type="spellEnd"/>
            <w:r w:rsidRPr="005747DB">
              <w:t xml:space="preserve"> iesniegumu atklāta konkursa </w:t>
            </w:r>
            <w:smartTag w:uri="schemas-tilde-lv/tildestengine" w:element="veidnes">
              <w:smartTagPr>
                <w:attr w:name="baseform" w:val="iesniegum|s"/>
                <w:attr w:name="id" w:val="-1"/>
                <w:attr w:name="text" w:val="iesniegumu"/>
              </w:smartTagPr>
              <w:r w:rsidRPr="005747DB">
                <w:t>nolikums</w:t>
              </w:r>
            </w:smartTag>
            <w:r w:rsidRPr="005747DB">
              <w:t xml:space="preserve">”” </w:t>
            </w:r>
            <w:r w:rsidRPr="005747DB">
              <w:rPr>
                <w:bCs/>
              </w:rPr>
              <w:t xml:space="preserve">(turpmāk – noteikumu projekts) sagatavots, pamatojoties uz </w:t>
            </w:r>
            <w:r w:rsidRPr="005747DB">
              <w:t xml:space="preserve">Latvijas un Šveices sadarbības programmas vadības likuma 11.panta 2.punktu,  kas paredz, ka Ministru kabinets nosaka </w:t>
            </w:r>
            <w:proofErr w:type="spellStart"/>
            <w:r w:rsidRPr="005747DB">
              <w:t>apakšprojektu</w:t>
            </w:r>
            <w:proofErr w:type="spellEnd"/>
            <w:r w:rsidRPr="005747DB">
              <w:t xml:space="preserve"> iesniegumu atklāta konkursa nolikumu</w:t>
            </w:r>
            <w:r w:rsidRPr="005747DB">
              <w:rPr>
                <w:bCs/>
              </w:rPr>
              <w:t xml:space="preserve">, ietverot tajā arī </w:t>
            </w:r>
            <w:proofErr w:type="spellStart"/>
            <w:r w:rsidRPr="005747DB">
              <w:t>apakšprojektu</w:t>
            </w:r>
            <w:proofErr w:type="spellEnd"/>
            <w:r w:rsidRPr="005747DB">
              <w:rPr>
                <w:bCs/>
              </w:rPr>
              <w:t xml:space="preserve"> iesniegumu vērtēšanas kritērijus.</w:t>
            </w:r>
          </w:p>
          <w:p w:rsidR="00D232BE" w:rsidRDefault="00C81062" w:rsidP="00925CD7">
            <w:pPr>
              <w:jc w:val="both"/>
            </w:pPr>
            <w:r w:rsidRPr="005747DB">
              <w:t>Noteikumu projekts ir izstrādāts, balstoties uz nozares ministrijas un ar vadošo iestādi saskaņotu priekšlikumu veicināt grantu shēmas finansējuma sekmīgāku apguvi.</w:t>
            </w:r>
          </w:p>
          <w:p w:rsidR="00066088" w:rsidRPr="005747DB" w:rsidRDefault="00066088" w:rsidP="00925CD7">
            <w:pPr>
              <w:jc w:val="both"/>
              <w:rPr>
                <w:highlight w:val="yellow"/>
              </w:rPr>
            </w:pPr>
          </w:p>
        </w:tc>
      </w:tr>
      <w:tr w:rsidR="00FA338D" w:rsidRPr="005747DB" w:rsidTr="0031405C">
        <w:tc>
          <w:tcPr>
            <w:tcW w:w="540" w:type="dxa"/>
          </w:tcPr>
          <w:p w:rsidR="00FA338D" w:rsidRPr="005747DB" w:rsidRDefault="00FA338D" w:rsidP="00B04F23">
            <w:pPr>
              <w:pStyle w:val="naislab"/>
              <w:spacing w:before="0" w:after="0"/>
              <w:jc w:val="center"/>
              <w:outlineLvl w:val="0"/>
            </w:pPr>
            <w:r w:rsidRPr="005747DB">
              <w:t>2.</w:t>
            </w:r>
          </w:p>
        </w:tc>
        <w:tc>
          <w:tcPr>
            <w:tcW w:w="1663" w:type="dxa"/>
          </w:tcPr>
          <w:p w:rsidR="00FA338D" w:rsidRPr="005747DB" w:rsidRDefault="00FA338D" w:rsidP="00B04F23">
            <w:pPr>
              <w:pStyle w:val="naislab"/>
              <w:spacing w:before="0" w:after="0"/>
              <w:jc w:val="both"/>
              <w:outlineLvl w:val="0"/>
              <w:rPr>
                <w:sz w:val="22"/>
                <w:szCs w:val="22"/>
              </w:rPr>
            </w:pPr>
            <w:r w:rsidRPr="005747DB">
              <w:rPr>
                <w:sz w:val="22"/>
                <w:szCs w:val="22"/>
              </w:rPr>
              <w:t>Pašreizējā situācija un problēmas</w:t>
            </w:r>
          </w:p>
        </w:tc>
        <w:tc>
          <w:tcPr>
            <w:tcW w:w="7336" w:type="dxa"/>
            <w:vAlign w:val="center"/>
          </w:tcPr>
          <w:p w:rsidR="00066088" w:rsidRPr="005747DB" w:rsidRDefault="00066088" w:rsidP="00066088">
            <w:pPr>
              <w:jc w:val="both"/>
            </w:pPr>
            <w:r w:rsidRPr="005747DB">
              <w:t>2011.gada 30.maijā tika parakstīts un stājās spēkā Latvijas un Šveices sadarbības programmas (turpmāk – sadarbības programma) līgums starp Šveices Konfederācijas vēstniecību Latvijas Republikā, Finanšu ministriju kā sadarbības programmas vadošo iestādi (turpmāk – vadošā iestāde) un Valsts izglītības attīstības aģentūru par grantu shēmas „Šveices pētnieku aktivitātes Latvijā” (turpmāk – grantu shēma) īsteno</w:t>
            </w:r>
            <w:r w:rsidRPr="005747DB">
              <w:rPr>
                <w:bCs/>
              </w:rPr>
              <w:t xml:space="preserve">šanu Latvijā no </w:t>
            </w:r>
            <w:r w:rsidRPr="005747DB">
              <w:t>2011.</w:t>
            </w:r>
            <w:r w:rsidRPr="005747DB">
              <w:rPr>
                <w:bCs/>
              </w:rPr>
              <w:t xml:space="preserve">gada </w:t>
            </w:r>
            <w:r w:rsidRPr="005747DB">
              <w:t>1.</w:t>
            </w:r>
            <w:r w:rsidRPr="005747DB">
              <w:rPr>
                <w:bCs/>
              </w:rPr>
              <w:t>jūlija</w:t>
            </w:r>
            <w:r w:rsidRPr="005747DB">
              <w:rPr>
                <w:b/>
                <w:bCs/>
              </w:rPr>
              <w:t xml:space="preserve"> </w:t>
            </w:r>
            <w:r w:rsidRPr="005747DB">
              <w:t xml:space="preserve">līdz </w:t>
            </w:r>
            <w:r w:rsidRPr="005747DB">
              <w:rPr>
                <w:bCs/>
              </w:rPr>
              <w:t xml:space="preserve">2015.gada 30.septembrim </w:t>
            </w:r>
            <w:r w:rsidRPr="005747DB">
              <w:t>(turpmāk – īsteno</w:t>
            </w:r>
            <w:r w:rsidRPr="005747DB">
              <w:rPr>
                <w:bCs/>
              </w:rPr>
              <w:t>šanas līgums)</w:t>
            </w:r>
            <w:r w:rsidRPr="005747DB">
              <w:t>. Izglītības un zinātnes ministrija pilda nozares ministrijas funkcijas sadarbības programmas prioritātē „</w:t>
            </w:r>
            <w:r w:rsidRPr="005747DB">
              <w:rPr>
                <w:rStyle w:val="Strong"/>
                <w:b w:val="0"/>
              </w:rPr>
              <w:t>Cilvēkresursu un sociālā attīstība</w:t>
            </w:r>
            <w:r w:rsidRPr="005747DB">
              <w:t xml:space="preserve">” </w:t>
            </w:r>
            <w:proofErr w:type="spellStart"/>
            <w:r w:rsidRPr="005747DB">
              <w:t>apakšprioritātē</w:t>
            </w:r>
            <w:proofErr w:type="spellEnd"/>
            <w:r w:rsidRPr="005747DB">
              <w:rPr>
                <w:b/>
              </w:rPr>
              <w:t xml:space="preserve"> </w:t>
            </w:r>
            <w:r w:rsidRPr="005747DB">
              <w:t>„</w:t>
            </w:r>
            <w:r w:rsidRPr="005747DB">
              <w:rPr>
                <w:rStyle w:val="Strong"/>
                <w:b w:val="0"/>
              </w:rPr>
              <w:t>Pētniecība un attīstība”</w:t>
            </w:r>
            <w:r w:rsidRPr="005747DB">
              <w:rPr>
                <w:rStyle w:val="Strong"/>
              </w:rPr>
              <w:t xml:space="preserve"> </w:t>
            </w:r>
            <w:r w:rsidRPr="005747DB">
              <w:t>(turpmāk – nozares ministrija), kur viena no aktivitātēm ir grantu shēma. Savukārt Valsts izglītības attīstības aģentūra pilda grantu shēmas</w:t>
            </w:r>
            <w:r w:rsidRPr="005747DB">
              <w:rPr>
                <w:bCs/>
              </w:rPr>
              <w:t xml:space="preserve"> </w:t>
            </w:r>
            <w:r w:rsidRPr="005747DB">
              <w:t>starpniekinstitūcijas funkcijas (turpmāk – starpniekinstitūcija).</w:t>
            </w:r>
          </w:p>
          <w:p w:rsidR="000E5E33" w:rsidRPr="005747DB" w:rsidRDefault="000E5E33" w:rsidP="008730A0">
            <w:pPr>
              <w:jc w:val="both"/>
            </w:pPr>
            <w:r w:rsidRPr="005747DB">
              <w:rPr>
                <w:bCs/>
              </w:rPr>
              <w:t>Grantu shēmas</w:t>
            </w:r>
            <w:r w:rsidRPr="005747DB">
              <w:t xml:space="preserve"> īstenošanu nosaka Ministru kabineta </w:t>
            </w:r>
            <w:r w:rsidRPr="005747DB">
              <w:rPr>
                <w:bCs/>
              </w:rPr>
              <w:t>2012.gada 17.</w:t>
            </w:r>
            <w:r w:rsidRPr="005747DB">
              <w:t>janvār</w:t>
            </w:r>
            <w:r w:rsidRPr="005747DB">
              <w:rPr>
                <w:bCs/>
              </w:rPr>
              <w:t>a noteikumi Nr.</w:t>
            </w:r>
            <w:r w:rsidRPr="005747DB">
              <w:t>62</w:t>
            </w:r>
            <w:r w:rsidRPr="005747DB">
              <w:rPr>
                <w:bCs/>
              </w:rPr>
              <w:t xml:space="preserve"> </w:t>
            </w:r>
            <w:r w:rsidRPr="005747DB">
              <w:t xml:space="preserve">„Latvijas un Šveices sadarbības programmas grantu shēmas "Šveices pētnieku aktivitātes Latvijā" </w:t>
            </w:r>
            <w:proofErr w:type="spellStart"/>
            <w:r w:rsidRPr="005747DB">
              <w:t>apakšprojektu</w:t>
            </w:r>
            <w:proofErr w:type="spellEnd"/>
            <w:r w:rsidRPr="005747DB">
              <w:t xml:space="preserve"> iesniegumu atklāta konkursa </w:t>
            </w:r>
            <w:smartTag w:uri="schemas-tilde-lv/tildestengine" w:element="veidnes">
              <w:smartTagPr>
                <w:attr w:name="baseform" w:val="iesniegum|s"/>
                <w:attr w:name="id" w:val="-1"/>
                <w:attr w:name="text" w:val="iesniegumu"/>
              </w:smartTagPr>
              <w:r w:rsidRPr="005747DB">
                <w:t>nolikums</w:t>
              </w:r>
            </w:smartTag>
            <w:r w:rsidRPr="005747DB">
              <w:t>”” (turpmāk – noteikumi Nr.62).</w:t>
            </w:r>
          </w:p>
          <w:p w:rsidR="00A02623" w:rsidRPr="005747DB" w:rsidRDefault="00CD5BF5" w:rsidP="00A02623">
            <w:pPr>
              <w:jc w:val="both"/>
            </w:pPr>
            <w:r w:rsidRPr="005747DB">
              <w:t xml:space="preserve">Noteikumi </w:t>
            </w:r>
            <w:r w:rsidR="00A35B69" w:rsidRPr="005747DB">
              <w:t xml:space="preserve">Nr.62 </w:t>
            </w:r>
            <w:r w:rsidRPr="005747DB">
              <w:t>nosaka kārtību, kādā</w:t>
            </w:r>
            <w:r w:rsidR="00A3373A" w:rsidRPr="005747DB">
              <w:t xml:space="preserve"> </w:t>
            </w:r>
            <w:r w:rsidR="0021099C" w:rsidRPr="005747DB">
              <w:t xml:space="preserve">grantu shēmas ietvaros </w:t>
            </w:r>
            <w:r w:rsidR="00A3373A" w:rsidRPr="005747DB">
              <w:t>tiek</w:t>
            </w:r>
            <w:r w:rsidR="0021099C" w:rsidRPr="005747DB">
              <w:t xml:space="preserve"> nodrošināta </w:t>
            </w:r>
            <w:r w:rsidR="00500AEE" w:rsidRPr="005747DB">
              <w:t xml:space="preserve">Šveices pētnieku piesaistīšana </w:t>
            </w:r>
            <w:proofErr w:type="spellStart"/>
            <w:r w:rsidR="00500AEE" w:rsidRPr="005747DB">
              <w:t>apakšprojekt</w:t>
            </w:r>
            <w:r w:rsidR="0021099C" w:rsidRPr="005747DB">
              <w:t>a</w:t>
            </w:r>
            <w:proofErr w:type="spellEnd"/>
            <w:r w:rsidR="00500AEE" w:rsidRPr="005747DB">
              <w:t xml:space="preserve"> īstenošanai, </w:t>
            </w:r>
            <w:proofErr w:type="spellStart"/>
            <w:r w:rsidR="00C81062" w:rsidRPr="005747DB">
              <w:rPr>
                <w:bCs/>
              </w:rPr>
              <w:t>apakšprojekta</w:t>
            </w:r>
            <w:proofErr w:type="spellEnd"/>
            <w:r w:rsidR="00C81062" w:rsidRPr="005747DB">
              <w:rPr>
                <w:bCs/>
              </w:rPr>
              <w:t xml:space="preserve"> iesnieguma sagatavošana un iesniegšana, atklāta konkursa kārtu izsludināšana,</w:t>
            </w:r>
            <w:r w:rsidR="00C81062" w:rsidRPr="005747DB">
              <w:t xml:space="preserve"> </w:t>
            </w:r>
            <w:proofErr w:type="spellStart"/>
            <w:r w:rsidR="00C81062" w:rsidRPr="005747DB">
              <w:t>apakšprojektu</w:t>
            </w:r>
            <w:proofErr w:type="spellEnd"/>
            <w:r w:rsidR="00C81062" w:rsidRPr="005747DB">
              <w:rPr>
                <w:bCs/>
              </w:rPr>
              <w:t xml:space="preserve"> iesniegumu vērtēšana</w:t>
            </w:r>
            <w:r w:rsidR="00C81062" w:rsidRPr="005747DB">
              <w:rPr>
                <w:b/>
                <w:bCs/>
              </w:rPr>
              <w:t xml:space="preserve"> </w:t>
            </w:r>
            <w:r w:rsidR="00C81062" w:rsidRPr="005747DB">
              <w:rPr>
                <w:bCs/>
              </w:rPr>
              <w:t>(</w:t>
            </w:r>
            <w:r w:rsidR="00C81062" w:rsidRPr="005747DB">
              <w:t xml:space="preserve">ietverot vērtēšanas kritērijus), </w:t>
            </w:r>
            <w:r w:rsidR="00C81062" w:rsidRPr="005747DB">
              <w:rPr>
                <w:bCs/>
              </w:rPr>
              <w:t xml:space="preserve">lēmumu pieņemšana par </w:t>
            </w:r>
            <w:proofErr w:type="spellStart"/>
            <w:r w:rsidR="00C81062" w:rsidRPr="005747DB">
              <w:t>apakšprojektu</w:t>
            </w:r>
            <w:proofErr w:type="spellEnd"/>
            <w:r w:rsidR="00C81062" w:rsidRPr="005747DB">
              <w:rPr>
                <w:bCs/>
              </w:rPr>
              <w:t xml:space="preserve"> iesniegumu apstiprināšanu </w:t>
            </w:r>
            <w:r w:rsidR="00C81062" w:rsidRPr="005747DB">
              <w:t xml:space="preserve">finansējuma piešķiršanai </w:t>
            </w:r>
            <w:r w:rsidR="00C81062" w:rsidRPr="005747DB">
              <w:rPr>
                <w:bCs/>
              </w:rPr>
              <w:t xml:space="preserve">vai noraidīšanu, </w:t>
            </w:r>
            <w:r w:rsidR="00C81062" w:rsidRPr="005747DB">
              <w:t xml:space="preserve"> </w:t>
            </w:r>
            <w:proofErr w:type="spellStart"/>
            <w:r w:rsidR="00C81062" w:rsidRPr="005747DB">
              <w:t>apakšprojektu</w:t>
            </w:r>
            <w:proofErr w:type="spellEnd"/>
            <w:r w:rsidR="00C81062" w:rsidRPr="005747DB">
              <w:t xml:space="preserve"> īstenošanas līgumu noslēgšana, kā arī nosaka</w:t>
            </w:r>
            <w:r w:rsidR="00C81062" w:rsidRPr="005747DB">
              <w:rPr>
                <w:rFonts w:ascii="Verdana" w:hAnsi="Verdana"/>
              </w:rPr>
              <w:t xml:space="preserve"> </w:t>
            </w:r>
            <w:r w:rsidR="00C81062" w:rsidRPr="005747DB">
              <w:rPr>
                <w:bCs/>
              </w:rPr>
              <w:t xml:space="preserve">grantu shēmas </w:t>
            </w:r>
            <w:r w:rsidR="00C81062" w:rsidRPr="005747DB">
              <w:t xml:space="preserve">finansējumu atbalstāmo aktivitāšu īstenošanai. Noteikumu Nr.62 16.punkts paredz, ka </w:t>
            </w:r>
            <w:proofErr w:type="spellStart"/>
            <w:r w:rsidR="00C81062" w:rsidRPr="005747DB">
              <w:t>apakšprojektiem</w:t>
            </w:r>
            <w:proofErr w:type="spellEnd"/>
            <w:r w:rsidR="00C81062" w:rsidRPr="005747DB">
              <w:t xml:space="preserve"> piešķirtais kopējais finansējums ir 529 411 Šveices franku, kas ir sadalīts vienādās proporcionālās daļās atklāta konkursa sešās kārtās. Ja atklāta konkursa iepriekšējā kārtā ir atlicis finansējums, to pārceļ uz nākamo kārtu. Katrā no atklātā konkursa kārtām </w:t>
            </w:r>
            <w:proofErr w:type="spellStart"/>
            <w:r w:rsidR="00C81062" w:rsidRPr="005747DB">
              <w:t>apakšprojektu</w:t>
            </w:r>
            <w:proofErr w:type="spellEnd"/>
            <w:r w:rsidR="00C81062" w:rsidRPr="005747DB">
              <w:t xml:space="preserve"> </w:t>
            </w:r>
            <w:r w:rsidR="00C81062" w:rsidRPr="005747DB">
              <w:lastRenderedPageBreak/>
              <w:t xml:space="preserve">atbalstam paredzēti ap 88 </w:t>
            </w:r>
            <w:r w:rsidR="00567DED" w:rsidRPr="005747DB">
              <w:t>235</w:t>
            </w:r>
            <w:r w:rsidR="006122F2" w:rsidRPr="005747DB">
              <w:t xml:space="preserve"> Šveices franku. </w:t>
            </w:r>
            <w:bookmarkStart w:id="2" w:name="p17"/>
            <w:bookmarkEnd w:id="2"/>
          </w:p>
          <w:p w:rsidR="002D070C" w:rsidRPr="005747DB" w:rsidRDefault="00C81062" w:rsidP="00A02623">
            <w:pPr>
              <w:jc w:val="both"/>
            </w:pPr>
            <w:proofErr w:type="spellStart"/>
            <w:r w:rsidRPr="005747DB">
              <w:t>Apakšprojektu</w:t>
            </w:r>
            <w:proofErr w:type="spellEnd"/>
            <w:r w:rsidRPr="005747DB">
              <w:t xml:space="preserve"> iesniegumu trīs atklāta konkursa kārtas tika izsludinātas </w:t>
            </w:r>
            <w:r w:rsidRPr="005747DB">
              <w:rPr>
                <w:bCs/>
              </w:rPr>
              <w:t xml:space="preserve">2012.gada </w:t>
            </w:r>
            <w:r w:rsidRPr="005747DB">
              <w:t xml:space="preserve">1.martā, 1.septembrī un 2013.gada 1.martā. </w:t>
            </w:r>
            <w:r w:rsidRPr="005747DB">
              <w:rPr>
                <w:bCs/>
              </w:rPr>
              <w:t xml:space="preserve">Jau pirmajās </w:t>
            </w:r>
            <w:r w:rsidRPr="005747DB">
              <w:t xml:space="preserve">divās atklāta konkursa kārtās netika apgūts </w:t>
            </w:r>
            <w:r w:rsidRPr="005747DB">
              <w:rPr>
                <w:bCs/>
              </w:rPr>
              <w:t xml:space="preserve">tām </w:t>
            </w:r>
            <w:r w:rsidRPr="005747DB">
              <w:t xml:space="preserve">paredzētais finansējums un līdzekļu pārpalikums tika sadalīts atlikušajām kārtām, tādējādi katras </w:t>
            </w:r>
            <w:r w:rsidR="00991669" w:rsidRPr="005747DB">
              <w:t xml:space="preserve">nākamās kārtas </w:t>
            </w:r>
            <w:proofErr w:type="spellStart"/>
            <w:r w:rsidR="00C64E46" w:rsidRPr="005747DB">
              <w:t>apakš</w:t>
            </w:r>
            <w:r w:rsidR="00991669" w:rsidRPr="005747DB">
              <w:t>projektiem</w:t>
            </w:r>
            <w:proofErr w:type="spellEnd"/>
            <w:r w:rsidR="00991669" w:rsidRPr="005747DB">
              <w:t xml:space="preserve"> atvēlot jau ap 101 </w:t>
            </w:r>
            <w:r w:rsidR="006E7411" w:rsidRPr="005747DB">
              <w:t>856</w:t>
            </w:r>
            <w:r w:rsidR="00991669" w:rsidRPr="005747DB">
              <w:t xml:space="preserve"> Šveices franku. </w:t>
            </w:r>
            <w:r w:rsidRPr="005747DB">
              <w:t xml:space="preserve">Nozares ministrija un starpniekinstitūcija </w:t>
            </w:r>
            <w:r w:rsidRPr="005747DB">
              <w:rPr>
                <w:bCs/>
              </w:rPr>
              <w:t xml:space="preserve">ir secinājušas, </w:t>
            </w:r>
            <w:r w:rsidRPr="005747DB">
              <w:t xml:space="preserve">ka grantu shēmas finansējuma sekmīgai apguvei ir nepieciešami elastīgāki nosacījumi. Vienlaikus jāņem vērā, ka grantu shēma ir vērsta uz pētnieciskās darbības kvalitāti un Šveices pētnieka piesaiste </w:t>
            </w:r>
            <w:proofErr w:type="spellStart"/>
            <w:r w:rsidRPr="005747DB">
              <w:t>apakšprojekta</w:t>
            </w:r>
            <w:proofErr w:type="spellEnd"/>
            <w:r w:rsidRPr="005747DB">
              <w:t xml:space="preserve"> ietvaros ir laikietilpīgs process.</w:t>
            </w:r>
          </w:p>
          <w:p w:rsidR="00A02623" w:rsidRPr="005747DB" w:rsidRDefault="00C81062" w:rsidP="00A02623">
            <w:pPr>
              <w:jc w:val="both"/>
            </w:pPr>
            <w:r w:rsidRPr="005747DB">
              <w:t xml:space="preserve">2013.gada 23.janvārī notika sanāksme starp nozares ministriju, starpniekinstitūciju, Šveices Konfederācijas vēstniecību Latvijā un vadošo iestādi par grantu shēmai pieejamā finansējuma sekmīgāku apguvi. Sanāksmē nozares ministrija izteica priekšlikumu veikt izmaiņas atklāta konkursa nosacījumos, lai turpmāk grantu shēmas </w:t>
            </w:r>
            <w:proofErr w:type="spellStart"/>
            <w:r w:rsidRPr="005747DB">
              <w:t>apakšprojektu</w:t>
            </w:r>
            <w:proofErr w:type="spellEnd"/>
            <w:r w:rsidRPr="005747DB">
              <w:t xml:space="preserve"> iesniegumu atklāts konkurss būtu </w:t>
            </w:r>
            <w:r w:rsidRPr="005747DB">
              <w:rPr>
                <w:rStyle w:val="st1"/>
                <w:bCs/>
                <w:u w:val="single"/>
              </w:rPr>
              <w:t>pastāvīgi</w:t>
            </w:r>
            <w:r w:rsidRPr="005747DB">
              <w:rPr>
                <w:rStyle w:val="st1"/>
                <w:u w:val="single"/>
              </w:rPr>
              <w:t xml:space="preserve"> atvērts</w:t>
            </w:r>
            <w:r w:rsidRPr="005747DB">
              <w:rPr>
                <w:rStyle w:val="st1"/>
              </w:rPr>
              <w:t xml:space="preserve">, līdz tiek </w:t>
            </w:r>
            <w:r w:rsidRPr="005747DB">
              <w:t>apgū</w:t>
            </w:r>
            <w:r w:rsidRPr="005747DB">
              <w:rPr>
                <w:rStyle w:val="st1"/>
              </w:rPr>
              <w:t xml:space="preserve">ts viss </w:t>
            </w:r>
            <w:r w:rsidRPr="005747DB">
              <w:t>grantu shēma</w:t>
            </w:r>
            <w:r w:rsidR="00AE5C99">
              <w:t>s</w:t>
            </w:r>
            <w:r w:rsidRPr="005747DB">
              <w:t xml:space="preserve"> </w:t>
            </w:r>
            <w:r w:rsidR="00AE5C99">
              <w:t>ietvaros</w:t>
            </w:r>
            <w:r w:rsidR="00AE5C99" w:rsidRPr="005747DB">
              <w:t xml:space="preserve"> </w:t>
            </w:r>
            <w:r w:rsidRPr="005747DB">
              <w:t>pieejamais</w:t>
            </w:r>
            <w:r w:rsidRPr="005747DB">
              <w:rPr>
                <w:rStyle w:val="st1"/>
              </w:rPr>
              <w:t xml:space="preserve"> </w:t>
            </w:r>
            <w:r w:rsidRPr="005747DB">
              <w:t>finansējums</w:t>
            </w:r>
            <w:r w:rsidRPr="005747DB">
              <w:rPr>
                <w:rStyle w:val="st1"/>
              </w:rPr>
              <w:t xml:space="preserve">. Šim priekšlikumam </w:t>
            </w:r>
            <w:r w:rsidRPr="005747DB">
              <w:t>nozares ministrija</w:t>
            </w:r>
            <w:r w:rsidRPr="005747DB">
              <w:rPr>
                <w:rStyle w:val="st1"/>
              </w:rPr>
              <w:t xml:space="preserve"> ir saņēmusi rakstisku </w:t>
            </w:r>
            <w:r w:rsidRPr="005747DB">
              <w:t xml:space="preserve">apstiprinājumu </w:t>
            </w:r>
            <w:r w:rsidRPr="005747DB">
              <w:rPr>
                <w:rStyle w:val="st1"/>
              </w:rPr>
              <w:t xml:space="preserve">no </w:t>
            </w:r>
            <w:r w:rsidR="00EF184C" w:rsidRPr="005747DB">
              <w:t>Šveices kompetentās ie</w:t>
            </w:r>
            <w:r w:rsidR="002363BC" w:rsidRPr="005747DB">
              <w:t>s</w:t>
            </w:r>
            <w:r w:rsidR="00EF184C" w:rsidRPr="005747DB">
              <w:t xml:space="preserve">tādes un </w:t>
            </w:r>
            <w:r w:rsidR="00C760E2" w:rsidRPr="005747DB">
              <w:t>vadošās iestādes</w:t>
            </w:r>
            <w:r w:rsidR="004B3AAE" w:rsidRPr="005747DB">
              <w:rPr>
                <w:bCs/>
              </w:rPr>
              <w:t>.</w:t>
            </w:r>
          </w:p>
          <w:p w:rsidR="00C267F6" w:rsidRDefault="00582D1E" w:rsidP="00C267F6">
            <w:pPr>
              <w:pStyle w:val="naisc"/>
              <w:tabs>
                <w:tab w:val="left" w:pos="993"/>
              </w:tabs>
              <w:spacing w:before="0" w:after="0"/>
              <w:jc w:val="both"/>
              <w:rPr>
                <w:highlight w:val="yellow"/>
              </w:rPr>
            </w:pPr>
            <w:r w:rsidRPr="005747DB">
              <w:rPr>
                <w:shd w:val="clear" w:color="auto" w:fill="FFFFFF"/>
              </w:rPr>
              <w:t xml:space="preserve">Līdz ar to </w:t>
            </w:r>
            <w:r w:rsidR="00494F32" w:rsidRPr="005747DB">
              <w:rPr>
                <w:shd w:val="clear" w:color="auto" w:fill="FFFFFF"/>
              </w:rPr>
              <w:t xml:space="preserve">ir </w:t>
            </w:r>
            <w:r w:rsidR="00494F32" w:rsidRPr="005747DB">
              <w:t>nepieciešams veikt</w:t>
            </w:r>
            <w:r w:rsidR="00AD16DA" w:rsidRPr="005747DB">
              <w:t xml:space="preserve"> grozījum</w:t>
            </w:r>
            <w:r w:rsidR="00494F32" w:rsidRPr="005747DB">
              <w:t>us</w:t>
            </w:r>
            <w:r w:rsidR="00AD16DA" w:rsidRPr="005747DB">
              <w:t xml:space="preserve"> noteikumos Nr.62 </w:t>
            </w:r>
            <w:r w:rsidR="000E1517" w:rsidRPr="005747DB">
              <w:rPr>
                <w:rStyle w:val="st1"/>
              </w:rPr>
              <w:t xml:space="preserve">attiecībā uz </w:t>
            </w:r>
            <w:r w:rsidR="00FB364D" w:rsidRPr="005747DB">
              <w:rPr>
                <w:rStyle w:val="st1"/>
              </w:rPr>
              <w:t xml:space="preserve">pašlaik paredzēto </w:t>
            </w:r>
            <w:r w:rsidR="004A5752" w:rsidRPr="007F2182">
              <w:rPr>
                <w:rStyle w:val="st1"/>
              </w:rPr>
              <w:t xml:space="preserve">grantu shēmas </w:t>
            </w:r>
            <w:proofErr w:type="spellStart"/>
            <w:r w:rsidR="004A5752" w:rsidRPr="007F2182">
              <w:rPr>
                <w:bCs/>
              </w:rPr>
              <w:t>apakšprojektiem</w:t>
            </w:r>
            <w:proofErr w:type="spellEnd"/>
            <w:r w:rsidR="004A5752" w:rsidRPr="007F2182">
              <w:rPr>
                <w:bCs/>
              </w:rPr>
              <w:t xml:space="preserve"> piešķirtā kopējā finansējuma sadalījumu </w:t>
            </w:r>
            <w:r w:rsidR="004A5752" w:rsidRPr="007F2182">
              <w:t xml:space="preserve">atklāta konkursa </w:t>
            </w:r>
            <w:r w:rsidR="004A5752" w:rsidRPr="007F2182">
              <w:rPr>
                <w:bCs/>
              </w:rPr>
              <w:t>sešās kārtās</w:t>
            </w:r>
            <w:r w:rsidR="007119D0" w:rsidRPr="007F2182">
              <w:t xml:space="preserve"> un</w:t>
            </w:r>
            <w:r w:rsidR="004A5752" w:rsidRPr="007F2182">
              <w:rPr>
                <w:bCs/>
              </w:rPr>
              <w:t xml:space="preserve"> </w:t>
            </w:r>
            <w:r w:rsidR="000E1517" w:rsidRPr="007F2182">
              <w:t xml:space="preserve">atklāta konkursa </w:t>
            </w:r>
            <w:r w:rsidR="00A90F27" w:rsidRPr="007F2182">
              <w:rPr>
                <w:bCs/>
              </w:rPr>
              <w:t>izsludināšanas</w:t>
            </w:r>
            <w:r w:rsidR="00AD16DA" w:rsidRPr="007F2182">
              <w:t xml:space="preserve"> kārt</w:t>
            </w:r>
            <w:r w:rsidR="00A90F27" w:rsidRPr="007F2182">
              <w:t>ību</w:t>
            </w:r>
            <w:r w:rsidR="005D2D89" w:rsidRPr="007F2182">
              <w:t>.</w:t>
            </w:r>
            <w:r w:rsidR="005C4B6D" w:rsidRPr="007F2182">
              <w:t xml:space="preserve"> </w:t>
            </w:r>
            <w:r w:rsidR="00531EBE">
              <w:t>I</w:t>
            </w:r>
            <w:r w:rsidR="00EA73B0" w:rsidRPr="007F2182">
              <w:t xml:space="preserve">r jāparedz arī jauns </w:t>
            </w:r>
            <w:r w:rsidR="00EA73B0" w:rsidRPr="00BA6449">
              <w:t>regulējums</w:t>
            </w:r>
            <w:r w:rsidR="009801E2" w:rsidRPr="00BA6449">
              <w:t xml:space="preserve">, lai pēc grantu shēmas finansējuma izlietošanas </w:t>
            </w:r>
            <w:r w:rsidR="00AE5C99" w:rsidRPr="00BA6449">
              <w:t xml:space="preserve">varētu slēgt </w:t>
            </w:r>
            <w:r w:rsidR="00DF0E12" w:rsidRPr="00BA6449">
              <w:t>atklāto konkursu</w:t>
            </w:r>
            <w:r w:rsidR="00DF0E12" w:rsidRPr="00BA6449">
              <w:rPr>
                <w:sz w:val="28"/>
                <w:szCs w:val="28"/>
              </w:rPr>
              <w:t xml:space="preserve"> </w:t>
            </w:r>
            <w:r w:rsidR="00EA73B0" w:rsidRPr="00BA6449">
              <w:t>un attiecīgi informē</w:t>
            </w:r>
            <w:r w:rsidR="009801E2" w:rsidRPr="00BA6449">
              <w:t>t</w:t>
            </w:r>
            <w:r w:rsidR="00EA73B0" w:rsidRPr="00BA6449">
              <w:t xml:space="preserve"> </w:t>
            </w:r>
            <w:r w:rsidR="009801E2" w:rsidRPr="00BA6449">
              <w:t xml:space="preserve">sabiedrību </w:t>
            </w:r>
            <w:r w:rsidR="00E33915" w:rsidRPr="00BA6449">
              <w:t xml:space="preserve">ar paziņojumu </w:t>
            </w:r>
            <w:r w:rsidR="00EA73B0" w:rsidRPr="00BA6449">
              <w:t xml:space="preserve">par </w:t>
            </w:r>
            <w:proofErr w:type="spellStart"/>
            <w:r w:rsidR="00EA73B0" w:rsidRPr="00BA6449">
              <w:t>apakšprojektu</w:t>
            </w:r>
            <w:proofErr w:type="spellEnd"/>
            <w:r w:rsidR="00EA73B0" w:rsidRPr="007F2182">
              <w:t xml:space="preserve"> iesniegumu</w:t>
            </w:r>
            <w:r w:rsidR="00213DD5">
              <w:rPr>
                <w:sz w:val="28"/>
                <w:szCs w:val="28"/>
              </w:rPr>
              <w:t xml:space="preserve"> </w:t>
            </w:r>
            <w:r w:rsidR="00500005" w:rsidRPr="00BA6449">
              <w:t xml:space="preserve">iesniegšanas </w:t>
            </w:r>
            <w:r w:rsidR="009B5C96" w:rsidRPr="00BA6449">
              <w:t>izbeigšanu</w:t>
            </w:r>
            <w:r w:rsidR="00C81062" w:rsidRPr="007F2182">
              <w:t xml:space="preserve"> starpniekinstitūcijā</w:t>
            </w:r>
            <w:r w:rsidR="00500005">
              <w:t>.</w:t>
            </w:r>
            <w:r w:rsidR="00C267F6" w:rsidRPr="008D7DCC">
              <w:rPr>
                <w:rStyle w:val="st1"/>
                <w:highlight w:val="yellow"/>
              </w:rPr>
              <w:t xml:space="preserve"> </w:t>
            </w:r>
          </w:p>
          <w:p w:rsidR="00614C66" w:rsidRPr="005747DB" w:rsidRDefault="00C81062" w:rsidP="00614C66">
            <w:pPr>
              <w:jc w:val="both"/>
            </w:pPr>
            <w:r w:rsidRPr="007F2182">
              <w:t>Saskaņā ar īsteno</w:t>
            </w:r>
            <w:r w:rsidRPr="007F2182">
              <w:rPr>
                <w:bCs/>
              </w:rPr>
              <w:t>šanas līgum</w:t>
            </w:r>
            <w:r w:rsidRPr="007F2182">
              <w:t>u</w:t>
            </w:r>
            <w:r w:rsidRPr="005747DB">
              <w:t xml:space="preserve"> grantu shēmas </w:t>
            </w:r>
            <w:proofErr w:type="spellStart"/>
            <w:r w:rsidRPr="005747DB">
              <w:t>dalībtiesīgās</w:t>
            </w:r>
            <w:proofErr w:type="spellEnd"/>
            <w:r w:rsidRPr="005747DB">
              <w:t xml:space="preserve"> institūcijas ir Latvijas augstākās izglītības iestādes un zinātniskās institūcijas. Augstskolu likums nosaka, ka gan augstskolas, gan koledžas ir akreditētas, turklāt daudzas šā likuma normas, kur minētas tikai </w:t>
            </w:r>
            <w:r w:rsidRPr="005747DB">
              <w:rPr>
                <w:i/>
              </w:rPr>
              <w:t>augstskolas</w:t>
            </w:r>
            <w:r w:rsidRPr="005747DB">
              <w:t>, attiecina arī uz koledžām. Noteikumos Nr.62 koledžas</w:t>
            </w:r>
            <w:r w:rsidRPr="005747DB">
              <w:rPr>
                <w:rStyle w:val="st1"/>
              </w:rPr>
              <w:t xml:space="preserve"> nav konkrēti pieminētas, tādēļ tie </w:t>
            </w:r>
            <w:r w:rsidRPr="005747DB">
              <w:t>ir jāpapildina par koledžu dalības tiesībām, lai nerastos domstarpības par iesniedzēju loku.</w:t>
            </w:r>
          </w:p>
          <w:p w:rsidR="00CE2284" w:rsidRPr="00BA6449" w:rsidRDefault="00C81062" w:rsidP="00CE2284">
            <w:pPr>
              <w:jc w:val="both"/>
            </w:pPr>
            <w:r w:rsidRPr="005747DB">
              <w:rPr>
                <w:bCs/>
              </w:rPr>
              <w:t xml:space="preserve">Atklāta konkursa organizēšanas pieredze </w:t>
            </w:r>
            <w:r w:rsidRPr="005747DB">
              <w:t xml:space="preserve">starpniekinstitūcijā liecina par vajadzību vienkāršot </w:t>
            </w:r>
            <w:proofErr w:type="spellStart"/>
            <w:r w:rsidRPr="005747DB">
              <w:t>a</w:t>
            </w:r>
            <w:r w:rsidRPr="005747DB">
              <w:rPr>
                <w:bCs/>
              </w:rPr>
              <w:t>pakšprojekta</w:t>
            </w:r>
            <w:proofErr w:type="spellEnd"/>
            <w:r w:rsidRPr="005747DB">
              <w:rPr>
                <w:bCs/>
              </w:rPr>
              <w:t xml:space="preserve"> iesnieguma sagatavošanas un iesniegšanas </w:t>
            </w:r>
            <w:r w:rsidRPr="009801E2">
              <w:rPr>
                <w:bCs/>
              </w:rPr>
              <w:t>nosacījumus</w:t>
            </w:r>
            <w:r w:rsidR="001E2955">
              <w:rPr>
                <w:bCs/>
              </w:rPr>
              <w:t>.</w:t>
            </w:r>
            <w:r w:rsidR="00213DD5">
              <w:rPr>
                <w:bCs/>
              </w:rPr>
              <w:t xml:space="preserve"> </w:t>
            </w:r>
            <w:r w:rsidR="0086020C" w:rsidRPr="00BA6449">
              <w:t>Jāizv</w:t>
            </w:r>
            <w:r w:rsidR="00DF0E12" w:rsidRPr="00BA6449">
              <w:t>ērtē</w:t>
            </w:r>
            <w:r w:rsidR="0086020C" w:rsidRPr="00BA6449">
              <w:t xml:space="preserve"> nepieciešamīb</w:t>
            </w:r>
            <w:r w:rsidR="00DF0E12" w:rsidRPr="00BA6449">
              <w:t>a</w:t>
            </w:r>
            <w:r w:rsidR="0086020C" w:rsidRPr="00BA6449">
              <w:t xml:space="preserve"> </w:t>
            </w:r>
            <w:r w:rsidR="00193BF4" w:rsidRPr="00BA6449">
              <w:t xml:space="preserve">izvirzīt </w:t>
            </w:r>
            <w:proofErr w:type="spellStart"/>
            <w:r w:rsidR="00193BF4" w:rsidRPr="00BA6449">
              <w:t>apakšprojekta</w:t>
            </w:r>
            <w:proofErr w:type="spellEnd"/>
            <w:r w:rsidR="00193BF4" w:rsidRPr="00BA6449">
              <w:t xml:space="preserve"> iesniedzējam </w:t>
            </w:r>
            <w:r w:rsidR="00193BF4" w:rsidRPr="00BA6449">
              <w:rPr>
                <w:bCs/>
              </w:rPr>
              <w:t>prasīb</w:t>
            </w:r>
            <w:r w:rsidR="00FE0F7D" w:rsidRPr="00BA6449">
              <w:rPr>
                <w:bCs/>
              </w:rPr>
              <w:t xml:space="preserve">u </w:t>
            </w:r>
            <w:r w:rsidR="00FE0F7D" w:rsidRPr="00BA6449">
              <w:t>iesniegt aizpildīto</w:t>
            </w:r>
            <w:r w:rsidR="00CE2284" w:rsidRPr="00BA6449">
              <w:t xml:space="preserve"> </w:t>
            </w:r>
            <w:proofErr w:type="spellStart"/>
            <w:r w:rsidR="00CE2284" w:rsidRPr="00BA6449">
              <w:t>apakšprojek</w:t>
            </w:r>
            <w:r w:rsidR="005179E9" w:rsidRPr="00BA6449">
              <w:t>ta</w:t>
            </w:r>
            <w:proofErr w:type="spellEnd"/>
            <w:r w:rsidR="005179E9" w:rsidRPr="00BA6449">
              <w:t xml:space="preserve"> iesniegum</w:t>
            </w:r>
            <w:r w:rsidR="00FE0F7D" w:rsidRPr="00BA6449">
              <w:t>u</w:t>
            </w:r>
            <w:r w:rsidR="00CE2284" w:rsidRPr="00BA6449">
              <w:t xml:space="preserve"> </w:t>
            </w:r>
            <w:r w:rsidR="00193BF4" w:rsidRPr="00BA6449">
              <w:t xml:space="preserve">papīra formā </w:t>
            </w:r>
            <w:r w:rsidR="00CE2284" w:rsidRPr="00BA6449">
              <w:t xml:space="preserve">divos eksemplāros </w:t>
            </w:r>
            <w:r w:rsidR="00193BF4" w:rsidRPr="00BA6449">
              <w:t>(</w:t>
            </w:r>
            <w:r w:rsidR="005179E9" w:rsidRPr="00BA6449">
              <w:t xml:space="preserve">no kuriem </w:t>
            </w:r>
            <w:r w:rsidR="00CE2284" w:rsidRPr="00BA6449">
              <w:t>kopija tiek iznīcināta noraidīšanas gadījumā</w:t>
            </w:r>
            <w:r w:rsidR="00193BF4" w:rsidRPr="00BA6449">
              <w:t>)</w:t>
            </w:r>
            <w:r w:rsidR="00FE0F7D" w:rsidRPr="00BA6449">
              <w:t xml:space="preserve"> un uz aploksnes uzrādīt grantu shēmas nosaukumu. </w:t>
            </w:r>
            <w:r w:rsidR="001278CD" w:rsidRPr="00BA6449">
              <w:t>Turklāt</w:t>
            </w:r>
            <w:r w:rsidR="000035D8" w:rsidRPr="00BA6449">
              <w:t xml:space="preserve"> uz</w:t>
            </w:r>
            <w:r w:rsidR="001278CD" w:rsidRPr="00BA6449">
              <w:t xml:space="preserve"> starpniekinstitūcij</w:t>
            </w:r>
            <w:r w:rsidR="000035D8" w:rsidRPr="00BA6449">
              <w:t>ā</w:t>
            </w:r>
            <w:r w:rsidR="001278CD" w:rsidRPr="00BA6449">
              <w:t xml:space="preserve"> </w:t>
            </w:r>
            <w:r w:rsidR="000035D8" w:rsidRPr="00BA6449">
              <w:t xml:space="preserve">saņemtā </w:t>
            </w:r>
            <w:proofErr w:type="spellStart"/>
            <w:r w:rsidR="001278CD" w:rsidRPr="00BA6449">
              <w:t>apakšprojekta</w:t>
            </w:r>
            <w:proofErr w:type="spellEnd"/>
            <w:r w:rsidR="001278CD" w:rsidRPr="00BA6449">
              <w:t xml:space="preserve"> iesnieguma </w:t>
            </w:r>
            <w:r w:rsidR="000035D8" w:rsidRPr="00BA6449">
              <w:t xml:space="preserve">uzrādīt tā </w:t>
            </w:r>
            <w:r w:rsidR="001278CD" w:rsidRPr="00BA6449">
              <w:t xml:space="preserve">saņemšanas laiku (stundu) nav būtiski, </w:t>
            </w:r>
            <w:r w:rsidR="00A11160" w:rsidRPr="00BA6449">
              <w:t>jo</w:t>
            </w:r>
            <w:r w:rsidR="00F70FE5" w:rsidRPr="00BA6449">
              <w:t xml:space="preserve"> </w:t>
            </w:r>
            <w:proofErr w:type="spellStart"/>
            <w:r w:rsidR="00F70FE5" w:rsidRPr="00BA6449">
              <w:t>apakšprojektu</w:t>
            </w:r>
            <w:proofErr w:type="spellEnd"/>
            <w:r w:rsidR="00F70FE5" w:rsidRPr="00BA6449">
              <w:t xml:space="preserve"> iesniedzējiem ir noteikts iesniegšanas termiņš, kas ir diena (datums) un iesniegšanai pastāv vairāki veidi</w:t>
            </w:r>
            <w:r w:rsidR="0028672F" w:rsidRPr="00BA6449">
              <w:t>.</w:t>
            </w:r>
          </w:p>
          <w:p w:rsidR="002854D1" w:rsidRPr="005747DB" w:rsidRDefault="009B7796" w:rsidP="00B17E82">
            <w:pPr>
              <w:pStyle w:val="BodyTextIndent2"/>
              <w:tabs>
                <w:tab w:val="left" w:pos="540"/>
              </w:tabs>
              <w:ind w:firstLine="0"/>
              <w:rPr>
                <w:highlight w:val="yellow"/>
              </w:rPr>
            </w:pPr>
            <w:r w:rsidRPr="005747DB">
              <w:t>Savukārt n</w:t>
            </w:r>
            <w:r w:rsidR="00F0669B" w:rsidRPr="005747DB">
              <w:t xml:space="preserve">o </w:t>
            </w:r>
            <w:proofErr w:type="spellStart"/>
            <w:r w:rsidR="00F0669B" w:rsidRPr="005747DB">
              <w:rPr>
                <w:kern w:val="16"/>
              </w:rPr>
              <w:t>apakšprojektu</w:t>
            </w:r>
            <w:proofErr w:type="spellEnd"/>
            <w:r w:rsidR="00F0669B" w:rsidRPr="005747DB">
              <w:rPr>
                <w:kern w:val="16"/>
              </w:rPr>
              <w:t xml:space="preserve"> </w:t>
            </w:r>
            <w:r w:rsidR="00F0669B" w:rsidRPr="005747DB">
              <w:t xml:space="preserve">iesniegumu vērtēšanas </w:t>
            </w:r>
            <w:r w:rsidR="00F0669B" w:rsidRPr="005747DB">
              <w:rPr>
                <w:bCs/>
              </w:rPr>
              <w:t>viedokļa</w:t>
            </w:r>
            <w:r w:rsidR="00F0669B" w:rsidRPr="005747DB">
              <w:t xml:space="preserve"> </w:t>
            </w:r>
            <w:r w:rsidR="00237CB6" w:rsidRPr="005747DB">
              <w:t>noteiku</w:t>
            </w:r>
            <w:r w:rsidR="002107D3">
              <w:t>m</w:t>
            </w:r>
            <w:r w:rsidR="00053200" w:rsidRPr="005747DB">
              <w:t>u</w:t>
            </w:r>
            <w:r w:rsidR="002107D3">
              <w:t xml:space="preserve"> </w:t>
            </w:r>
            <w:r w:rsidR="00F0669B" w:rsidRPr="005747DB">
              <w:rPr>
                <w:bCs/>
              </w:rPr>
              <w:t xml:space="preserve">Nr.62 </w:t>
            </w:r>
            <w:r w:rsidR="00053200" w:rsidRPr="005747DB">
              <w:rPr>
                <w:bCs/>
              </w:rPr>
              <w:t xml:space="preserve">46.punktā </w:t>
            </w:r>
            <w:r w:rsidR="00237CB6" w:rsidRPr="005747DB">
              <w:t xml:space="preserve">nav </w:t>
            </w:r>
            <w:r w:rsidR="00F0669B" w:rsidRPr="005747DB">
              <w:t>skaidri definēt</w:t>
            </w:r>
            <w:r w:rsidR="00293660" w:rsidRPr="005747DB">
              <w:t>as starpniekinstitūcijas darbības</w:t>
            </w:r>
            <w:r w:rsidR="00B83278" w:rsidRPr="005747DB">
              <w:t xml:space="preserve"> administratīvās vērtēšanas kritērijiem atbilstošo </w:t>
            </w:r>
            <w:proofErr w:type="spellStart"/>
            <w:r w:rsidR="00B83278" w:rsidRPr="005747DB">
              <w:t>apakšprojektu</w:t>
            </w:r>
            <w:proofErr w:type="spellEnd"/>
            <w:r w:rsidR="00B83278" w:rsidRPr="005747DB">
              <w:t xml:space="preserve"> iesniegumu turpmākai vērtēšanai</w:t>
            </w:r>
            <w:r w:rsidR="00293660" w:rsidRPr="005747DB">
              <w:t>.</w:t>
            </w:r>
            <w:r w:rsidR="00912CBC">
              <w:t xml:space="preserve"> </w:t>
            </w:r>
            <w:r w:rsidR="00006AA8" w:rsidRPr="005747DB">
              <w:rPr>
                <w:szCs w:val="24"/>
              </w:rPr>
              <w:t xml:space="preserve">Ņemot vērā, ka </w:t>
            </w:r>
            <w:r w:rsidR="003861CA" w:rsidRPr="005747DB">
              <w:rPr>
                <w:szCs w:val="24"/>
              </w:rPr>
              <w:t xml:space="preserve">līdz šim iesniegto </w:t>
            </w:r>
            <w:proofErr w:type="spellStart"/>
            <w:r w:rsidR="003861CA" w:rsidRPr="005747DB">
              <w:rPr>
                <w:szCs w:val="24"/>
              </w:rPr>
              <w:t>apakšprojektu</w:t>
            </w:r>
            <w:proofErr w:type="spellEnd"/>
            <w:r w:rsidR="003861CA" w:rsidRPr="005747DB">
              <w:rPr>
                <w:szCs w:val="24"/>
              </w:rPr>
              <w:t xml:space="preserve"> iesniegumu skaits ir neliels, katra līguma noslēgšana ir svarīgs priekšnoteikums finansējuma apguvei kopumā. </w:t>
            </w:r>
            <w:r w:rsidR="00E35C6A" w:rsidRPr="005747DB">
              <w:rPr>
                <w:szCs w:val="24"/>
              </w:rPr>
              <w:t>Pa</w:t>
            </w:r>
            <w:r w:rsidR="004D3441" w:rsidRPr="005747DB">
              <w:rPr>
                <w:szCs w:val="24"/>
              </w:rPr>
              <w:t>š</w:t>
            </w:r>
            <w:r w:rsidR="00F66C3C" w:rsidRPr="005747DB">
              <w:rPr>
                <w:szCs w:val="24"/>
              </w:rPr>
              <w:t>reiz</w:t>
            </w:r>
            <w:r w:rsidR="004D3441" w:rsidRPr="005747DB">
              <w:rPr>
                <w:szCs w:val="24"/>
              </w:rPr>
              <w:t xml:space="preserve"> </w:t>
            </w:r>
            <w:r w:rsidR="004C169F" w:rsidRPr="005747DB">
              <w:rPr>
                <w:szCs w:val="24"/>
              </w:rPr>
              <w:t xml:space="preserve">ir </w:t>
            </w:r>
            <w:r w:rsidR="00E35C6A" w:rsidRPr="005747DB">
              <w:rPr>
                <w:szCs w:val="24"/>
              </w:rPr>
              <w:t>spēkā</w:t>
            </w:r>
            <w:r w:rsidR="005C0C72" w:rsidRPr="005747DB">
              <w:rPr>
                <w:szCs w:val="24"/>
              </w:rPr>
              <w:t xml:space="preserve"> </w:t>
            </w:r>
            <w:r w:rsidR="004D3441" w:rsidRPr="005747DB">
              <w:rPr>
                <w:szCs w:val="24"/>
              </w:rPr>
              <w:lastRenderedPageBreak/>
              <w:t>nosacījums</w:t>
            </w:r>
            <w:r w:rsidR="00E35C6A" w:rsidRPr="005747DB">
              <w:rPr>
                <w:szCs w:val="24"/>
              </w:rPr>
              <w:t>, ka</w:t>
            </w:r>
            <w:r w:rsidR="005C0C72" w:rsidRPr="005747DB">
              <w:rPr>
                <w:szCs w:val="24"/>
              </w:rPr>
              <w:t xml:space="preserve"> </w:t>
            </w:r>
            <w:proofErr w:type="spellStart"/>
            <w:r w:rsidR="00E35C6A" w:rsidRPr="005747DB">
              <w:rPr>
                <w:szCs w:val="24"/>
              </w:rPr>
              <w:t>apakšprojekta</w:t>
            </w:r>
            <w:proofErr w:type="spellEnd"/>
            <w:r w:rsidR="00E35C6A" w:rsidRPr="005747DB">
              <w:rPr>
                <w:szCs w:val="24"/>
              </w:rPr>
              <w:t xml:space="preserve"> īstenošanas līguma</w:t>
            </w:r>
            <w:r w:rsidR="00C81062" w:rsidRPr="005747DB">
              <w:rPr>
                <w:szCs w:val="24"/>
              </w:rPr>
              <w:t xml:space="preserve"> slēgšana jāveic 30 darbdienu laikā no dienas, kad pieņemts lēmums par </w:t>
            </w:r>
            <w:proofErr w:type="spellStart"/>
            <w:r w:rsidR="00C81062" w:rsidRPr="005747DB">
              <w:rPr>
                <w:szCs w:val="24"/>
              </w:rPr>
              <w:t>apakšprojekta</w:t>
            </w:r>
            <w:proofErr w:type="spellEnd"/>
            <w:r w:rsidR="00C81062" w:rsidRPr="005747DB">
              <w:rPr>
                <w:szCs w:val="24"/>
              </w:rPr>
              <w:t xml:space="preserve"> iesnieguma apstiprināšanu. Praksē noskaidrojies, ka šāds termiņš ir pārāk īss, jo </w:t>
            </w:r>
            <w:proofErr w:type="spellStart"/>
            <w:r w:rsidR="00C81062" w:rsidRPr="005747DB">
              <w:rPr>
                <w:szCs w:val="24"/>
                <w:lang w:eastAsia="lv-LV"/>
              </w:rPr>
              <w:t>apakšprojekta</w:t>
            </w:r>
            <w:proofErr w:type="spellEnd"/>
            <w:r w:rsidR="00C81062" w:rsidRPr="005747DB">
              <w:rPr>
                <w:szCs w:val="24"/>
                <w:lang w:eastAsia="lv-LV"/>
              </w:rPr>
              <w:t xml:space="preserve"> īstenotājam jāpagūst </w:t>
            </w:r>
            <w:r w:rsidR="00C81062" w:rsidRPr="005747DB">
              <w:rPr>
                <w:szCs w:val="24"/>
              </w:rPr>
              <w:t xml:space="preserve">noslēgt sadarbības līgumu ar </w:t>
            </w:r>
            <w:proofErr w:type="spellStart"/>
            <w:r w:rsidR="00C81062" w:rsidRPr="005747DB">
              <w:rPr>
                <w:szCs w:val="24"/>
              </w:rPr>
              <w:t>nosūtītājinstitūciju</w:t>
            </w:r>
            <w:proofErr w:type="spellEnd"/>
            <w:r w:rsidR="00C81062" w:rsidRPr="005747DB">
              <w:rPr>
                <w:szCs w:val="24"/>
              </w:rPr>
              <w:t>.</w:t>
            </w:r>
          </w:p>
        </w:tc>
      </w:tr>
      <w:tr w:rsidR="00FA338D" w:rsidRPr="005747DB" w:rsidTr="0031405C">
        <w:tc>
          <w:tcPr>
            <w:tcW w:w="540" w:type="dxa"/>
          </w:tcPr>
          <w:p w:rsidR="00FA338D" w:rsidRPr="005747DB" w:rsidRDefault="00FA338D" w:rsidP="00B04F23">
            <w:pPr>
              <w:pStyle w:val="naislab"/>
              <w:spacing w:before="0" w:after="0"/>
              <w:jc w:val="center"/>
              <w:outlineLvl w:val="0"/>
            </w:pPr>
            <w:r w:rsidRPr="005747DB">
              <w:lastRenderedPageBreak/>
              <w:t>3.</w:t>
            </w:r>
          </w:p>
        </w:tc>
        <w:tc>
          <w:tcPr>
            <w:tcW w:w="1663" w:type="dxa"/>
          </w:tcPr>
          <w:p w:rsidR="00FA338D" w:rsidRPr="005747DB" w:rsidRDefault="00FA338D" w:rsidP="00B04F23">
            <w:pPr>
              <w:pStyle w:val="naislab"/>
              <w:spacing w:before="0" w:after="0"/>
              <w:jc w:val="both"/>
              <w:outlineLvl w:val="0"/>
              <w:rPr>
                <w:sz w:val="22"/>
                <w:szCs w:val="22"/>
              </w:rPr>
            </w:pPr>
            <w:r w:rsidRPr="005747DB">
              <w:rPr>
                <w:sz w:val="22"/>
                <w:szCs w:val="22"/>
              </w:rPr>
              <w:t>Saistītie politikas ietekmes novērtējumi un pētījumi</w:t>
            </w:r>
          </w:p>
        </w:tc>
        <w:tc>
          <w:tcPr>
            <w:tcW w:w="7336" w:type="dxa"/>
          </w:tcPr>
          <w:p w:rsidR="00FA338D" w:rsidRPr="005747DB" w:rsidRDefault="002F576A" w:rsidP="00757F2D">
            <w:pPr>
              <w:spacing w:before="120"/>
              <w:jc w:val="both"/>
              <w:rPr>
                <w:highlight w:val="yellow"/>
              </w:rPr>
            </w:pPr>
            <w:r w:rsidRPr="005747DB">
              <w:t>Noteikumu projekts šo jomu neskar</w:t>
            </w:r>
            <w:r w:rsidRPr="005747DB" w:rsidDel="002F576A">
              <w:rPr>
                <w:iCs/>
              </w:rPr>
              <w:t xml:space="preserve"> </w:t>
            </w:r>
          </w:p>
        </w:tc>
      </w:tr>
      <w:tr w:rsidR="006502CE" w:rsidRPr="005747DB" w:rsidTr="00EF298C">
        <w:trPr>
          <w:trHeight w:val="552"/>
        </w:trPr>
        <w:tc>
          <w:tcPr>
            <w:tcW w:w="540" w:type="dxa"/>
          </w:tcPr>
          <w:p w:rsidR="006502CE" w:rsidRPr="005747DB" w:rsidRDefault="006502CE" w:rsidP="00B04F23">
            <w:pPr>
              <w:pStyle w:val="naislab"/>
              <w:spacing w:before="0" w:after="0"/>
              <w:jc w:val="center"/>
              <w:outlineLvl w:val="0"/>
            </w:pPr>
            <w:r w:rsidRPr="005747DB">
              <w:t>4.</w:t>
            </w:r>
          </w:p>
        </w:tc>
        <w:tc>
          <w:tcPr>
            <w:tcW w:w="1663" w:type="dxa"/>
          </w:tcPr>
          <w:p w:rsidR="006502CE" w:rsidRPr="005747DB" w:rsidRDefault="006502CE" w:rsidP="00B04F23">
            <w:pPr>
              <w:pStyle w:val="naislab"/>
              <w:spacing w:before="0" w:after="0"/>
              <w:jc w:val="both"/>
              <w:outlineLvl w:val="0"/>
              <w:rPr>
                <w:sz w:val="22"/>
                <w:szCs w:val="22"/>
              </w:rPr>
            </w:pPr>
            <w:r w:rsidRPr="005747DB">
              <w:rPr>
                <w:sz w:val="22"/>
                <w:szCs w:val="22"/>
              </w:rPr>
              <w:t>Tiesiskā regulējuma mērķis un būtība</w:t>
            </w:r>
          </w:p>
        </w:tc>
        <w:tc>
          <w:tcPr>
            <w:tcW w:w="7336" w:type="dxa"/>
          </w:tcPr>
          <w:p w:rsidR="00730301" w:rsidRPr="005747DB" w:rsidRDefault="00CD2E22" w:rsidP="00E40AC1">
            <w:pPr>
              <w:pStyle w:val="BodyTextIndent2"/>
              <w:tabs>
                <w:tab w:val="left" w:pos="540"/>
              </w:tabs>
              <w:ind w:firstLine="0"/>
              <w:rPr>
                <w:szCs w:val="24"/>
              </w:rPr>
            </w:pPr>
            <w:r w:rsidRPr="005747DB">
              <w:rPr>
                <w:szCs w:val="24"/>
              </w:rPr>
              <w:t xml:space="preserve">Noteikumu projekta ieviešanas rezultātā sagaidāma </w:t>
            </w:r>
            <w:r w:rsidRPr="005747DB">
              <w:rPr>
                <w:bCs/>
                <w:szCs w:val="24"/>
              </w:rPr>
              <w:t xml:space="preserve">grantu shēmai pieejamā </w:t>
            </w:r>
            <w:r w:rsidRPr="005747DB">
              <w:rPr>
                <w:szCs w:val="24"/>
              </w:rPr>
              <w:t xml:space="preserve">finansējuma apguve </w:t>
            </w:r>
            <w:r w:rsidR="00063B01" w:rsidRPr="005747DB">
              <w:rPr>
                <w:szCs w:val="24"/>
              </w:rPr>
              <w:t xml:space="preserve">pilnā apjomā </w:t>
            </w:r>
            <w:r w:rsidRPr="005747DB">
              <w:rPr>
                <w:szCs w:val="24"/>
              </w:rPr>
              <w:t xml:space="preserve">un līdz ar to nodrošināta īstenošanas līgumā plānoto mērķu </w:t>
            </w:r>
            <w:r w:rsidR="00020822" w:rsidRPr="005747DB">
              <w:rPr>
                <w:szCs w:val="24"/>
              </w:rPr>
              <w:t xml:space="preserve">(t.i., pētnieciskās darbības kvalitāte) </w:t>
            </w:r>
            <w:r w:rsidRPr="005747DB">
              <w:rPr>
                <w:szCs w:val="24"/>
              </w:rPr>
              <w:t>sasniegšana.</w:t>
            </w:r>
            <w:r w:rsidR="006E22B4" w:rsidRPr="005747DB">
              <w:rPr>
                <w:szCs w:val="24"/>
              </w:rPr>
              <w:t xml:space="preserve"> </w:t>
            </w:r>
            <w:r w:rsidR="00D4072D" w:rsidRPr="005747DB">
              <w:rPr>
                <w:szCs w:val="24"/>
              </w:rPr>
              <w:t>Noteikumu projekt</w:t>
            </w:r>
            <w:r w:rsidR="00AF6C0B" w:rsidRPr="005747DB">
              <w:rPr>
                <w:szCs w:val="24"/>
              </w:rPr>
              <w:t xml:space="preserve">s </w:t>
            </w:r>
            <w:r w:rsidR="00730301" w:rsidRPr="005747DB">
              <w:rPr>
                <w:szCs w:val="24"/>
              </w:rPr>
              <w:t>paredz:</w:t>
            </w:r>
          </w:p>
          <w:p w:rsidR="009F5383" w:rsidRPr="00BA6449" w:rsidRDefault="00BE3F90" w:rsidP="005C0B9B">
            <w:pPr>
              <w:autoSpaceDE w:val="0"/>
              <w:autoSpaceDN w:val="0"/>
              <w:adjustRightInd w:val="0"/>
              <w:jc w:val="both"/>
            </w:pPr>
            <w:r w:rsidRPr="005747DB">
              <w:t>1</w:t>
            </w:r>
            <w:r w:rsidR="0026216A" w:rsidRPr="005747DB">
              <w:t>) veikt grozījumus attiecībā uz atklāta konkursa izsludināšanas procedūru, lai veicinātu grantu shēmai pieejamā</w:t>
            </w:r>
            <w:r w:rsidR="0026216A" w:rsidRPr="005747DB">
              <w:rPr>
                <w:rStyle w:val="st1"/>
              </w:rPr>
              <w:t xml:space="preserve"> </w:t>
            </w:r>
            <w:r w:rsidR="0026216A" w:rsidRPr="005747DB">
              <w:t>finansējuma apguvi. 2013.gada</w:t>
            </w:r>
            <w:r w:rsidR="00C81062" w:rsidRPr="005747DB">
              <w:t xml:space="preserve"> </w:t>
            </w:r>
            <w:r w:rsidR="002854D1" w:rsidRPr="00BA6449">
              <w:t xml:space="preserve">septembrī </w:t>
            </w:r>
            <w:r w:rsidR="00C81062" w:rsidRPr="005747DB">
              <w:t xml:space="preserve">ir paredzēts izsludināt </w:t>
            </w:r>
            <w:proofErr w:type="spellStart"/>
            <w:r w:rsidR="00C81062" w:rsidRPr="005747DB">
              <w:t>apakšprojektu</w:t>
            </w:r>
            <w:proofErr w:type="spellEnd"/>
            <w:r w:rsidR="00C81062" w:rsidRPr="005747DB">
              <w:t xml:space="preserve"> iesniegumu ceturto atklāto konkursu par visu atlikušo grantu shēmas finansējumu</w:t>
            </w:r>
            <w:r w:rsidR="00D0335B" w:rsidRPr="005747DB">
              <w:t>. Proti</w:t>
            </w:r>
            <w:r w:rsidR="0026216A" w:rsidRPr="005747DB">
              <w:t xml:space="preserve">, </w:t>
            </w:r>
            <w:r w:rsidR="00D0335B" w:rsidRPr="005747DB">
              <w:t xml:space="preserve">konkurss būs </w:t>
            </w:r>
            <w:r w:rsidR="00D0335B" w:rsidRPr="005747DB">
              <w:rPr>
                <w:rStyle w:val="st1"/>
                <w:bCs/>
              </w:rPr>
              <w:t>pastāvīgi</w:t>
            </w:r>
            <w:r w:rsidR="00D0335B" w:rsidRPr="005747DB">
              <w:rPr>
                <w:rStyle w:val="st1"/>
              </w:rPr>
              <w:t xml:space="preserve"> atvērts, līdz tiks izmantot</w:t>
            </w:r>
            <w:r w:rsidR="008A177F" w:rsidRPr="005747DB">
              <w:rPr>
                <w:rStyle w:val="st1"/>
              </w:rPr>
              <w:t>i visi</w:t>
            </w:r>
            <w:r w:rsidR="00D0335B" w:rsidRPr="005747DB">
              <w:rPr>
                <w:rStyle w:val="st1"/>
              </w:rPr>
              <w:t xml:space="preserve"> </w:t>
            </w:r>
            <w:r w:rsidR="00D0335B" w:rsidRPr="005747DB">
              <w:t>grantu shēmas ietvaros</w:t>
            </w:r>
            <w:r w:rsidR="00D0335B" w:rsidRPr="005747DB">
              <w:rPr>
                <w:bCs/>
              </w:rPr>
              <w:t xml:space="preserve"> </w:t>
            </w:r>
            <w:proofErr w:type="spellStart"/>
            <w:r w:rsidR="00D0335B" w:rsidRPr="005747DB">
              <w:rPr>
                <w:bCs/>
              </w:rPr>
              <w:t>apakšprojektiem</w:t>
            </w:r>
            <w:proofErr w:type="spellEnd"/>
            <w:r w:rsidR="008A177F" w:rsidRPr="005747DB">
              <w:rPr>
                <w:rStyle w:val="st1"/>
              </w:rPr>
              <w:t xml:space="preserve"> pieejamie</w:t>
            </w:r>
            <w:r w:rsidR="00D0335B" w:rsidRPr="005747DB">
              <w:rPr>
                <w:rStyle w:val="st1"/>
              </w:rPr>
              <w:t xml:space="preserve"> </w:t>
            </w:r>
            <w:r w:rsidR="00D0335B" w:rsidRPr="005747DB">
              <w:t>finan</w:t>
            </w:r>
            <w:r w:rsidR="008A177F" w:rsidRPr="005747DB">
              <w:t>šu līdzekļi</w:t>
            </w:r>
            <w:r w:rsidR="00D0335B" w:rsidRPr="005747DB">
              <w:t>,</w:t>
            </w:r>
            <w:r w:rsidR="00D0335B" w:rsidRPr="005747DB">
              <w:rPr>
                <w:rStyle w:val="st1"/>
                <w:i/>
              </w:rPr>
              <w:t xml:space="preserve"> </w:t>
            </w:r>
            <w:r w:rsidR="008A177F" w:rsidRPr="005747DB">
              <w:t>kuri</w:t>
            </w:r>
            <w:r w:rsidR="0026216A" w:rsidRPr="005747DB">
              <w:t xml:space="preserve"> tiks tādējādi padarīt</w:t>
            </w:r>
            <w:r w:rsidR="008A177F" w:rsidRPr="005747DB">
              <w:t>i</w:t>
            </w:r>
            <w:r w:rsidR="0026216A" w:rsidRPr="005747DB">
              <w:t xml:space="preserve"> pieejamāk</w:t>
            </w:r>
            <w:r w:rsidR="008A177F" w:rsidRPr="005747DB">
              <w:t>i</w:t>
            </w:r>
            <w:r w:rsidR="0026216A" w:rsidRPr="005747DB">
              <w:t xml:space="preserve"> iesniedzējiem</w:t>
            </w:r>
            <w:r w:rsidR="008443A5" w:rsidRPr="005747DB">
              <w:t xml:space="preserve">. </w:t>
            </w:r>
            <w:r w:rsidR="0026216A" w:rsidRPr="005747DB">
              <w:rPr>
                <w:rStyle w:val="st1"/>
              </w:rPr>
              <w:t xml:space="preserve">Līdz ar to zaudē aktualitāti </w:t>
            </w:r>
            <w:r w:rsidR="0026216A" w:rsidRPr="005747DB">
              <w:rPr>
                <w:bCs/>
              </w:rPr>
              <w:t xml:space="preserve">kopējā finansējuma </w:t>
            </w:r>
            <w:r w:rsidR="0026216A" w:rsidRPr="005747DB">
              <w:t>sadalījums</w:t>
            </w:r>
            <w:r w:rsidR="0026216A" w:rsidRPr="005747DB">
              <w:rPr>
                <w:bCs/>
              </w:rPr>
              <w:t xml:space="preserve"> </w:t>
            </w:r>
            <w:r w:rsidR="0026216A" w:rsidRPr="005747DB">
              <w:t xml:space="preserve">atklāta konkursa sešās kārtās. </w:t>
            </w:r>
            <w:r w:rsidR="009F5383" w:rsidRPr="00BA6449">
              <w:t xml:space="preserve">Lai nodrošinātu sabiedrības informēšanu par atklāta konkursa </w:t>
            </w:r>
            <w:r w:rsidR="00C267F6" w:rsidRPr="00BA6449">
              <w:t>izsludinā</w:t>
            </w:r>
            <w:r w:rsidR="00531EBE" w:rsidRPr="00BA6449">
              <w:t>šanu</w:t>
            </w:r>
            <w:r w:rsidR="00C267F6" w:rsidRPr="00BA6449">
              <w:t xml:space="preserve"> 2013.gada septembrī</w:t>
            </w:r>
            <w:r w:rsidR="00531EBE" w:rsidRPr="00BA6449">
              <w:t xml:space="preserve">, starpniekinstitūcija savlaicīgi </w:t>
            </w:r>
            <w:r w:rsidR="001B1755" w:rsidRPr="00BA6449">
              <w:rPr>
                <w:rFonts w:eastAsia="Calibri"/>
              </w:rPr>
              <w:t>publicēs</w:t>
            </w:r>
            <w:r w:rsidR="001B1755" w:rsidRPr="00BA6449">
              <w:t xml:space="preserve"> </w:t>
            </w:r>
            <w:r w:rsidR="00531EBE" w:rsidRPr="00BA6449">
              <w:t>noteikumos Nr.62 paredzētos sludinājumus</w:t>
            </w:r>
            <w:r w:rsidR="001B1755" w:rsidRPr="00BA6449">
              <w:t xml:space="preserve"> </w:t>
            </w:r>
            <w:r w:rsidR="00A755FF" w:rsidRPr="00BA6449">
              <w:t>oficiālajā izdevumā „</w:t>
            </w:r>
            <w:r w:rsidR="001B1755" w:rsidRPr="00BA6449">
              <w:t xml:space="preserve">Latvijas Vēstnesis”, starpniekinstitūcijas, nozares ministrijas un sadarbības programmas </w:t>
            </w:r>
            <w:proofErr w:type="spellStart"/>
            <w:r w:rsidR="001B1755" w:rsidRPr="00BA6449">
              <w:t>mājaslapā</w:t>
            </w:r>
            <w:proofErr w:type="spellEnd"/>
            <w:r w:rsidR="001B1755" w:rsidRPr="00BA6449">
              <w:t xml:space="preserve"> internetā</w:t>
            </w:r>
            <w:r w:rsidR="00C216BE" w:rsidRPr="00BA6449">
              <w:t>;</w:t>
            </w:r>
          </w:p>
          <w:p w:rsidR="0028391B" w:rsidRPr="00E10489" w:rsidRDefault="00C216BE" w:rsidP="005C0B9B">
            <w:pPr>
              <w:autoSpaceDE w:val="0"/>
              <w:autoSpaceDN w:val="0"/>
              <w:adjustRightInd w:val="0"/>
              <w:jc w:val="both"/>
            </w:pPr>
            <w:r>
              <w:t xml:space="preserve">2) </w:t>
            </w:r>
            <w:r w:rsidR="0026216A" w:rsidRPr="005747DB">
              <w:t xml:space="preserve">Par </w:t>
            </w:r>
            <w:proofErr w:type="spellStart"/>
            <w:r w:rsidR="0026216A" w:rsidRPr="005747DB">
              <w:t>apakšprojektu</w:t>
            </w:r>
            <w:proofErr w:type="spellEnd"/>
            <w:r w:rsidR="0026216A" w:rsidRPr="005747DB">
              <w:t xml:space="preserve"> iesniegumu vienu atlases kārtu tiek</w:t>
            </w:r>
            <w:r w:rsidR="00D0335B" w:rsidRPr="005747DB">
              <w:t xml:space="preserve"> noteikti divi kalendāra mēneši un</w:t>
            </w:r>
            <w:r w:rsidR="0026216A" w:rsidRPr="005747DB">
              <w:t xml:space="preserve"> </w:t>
            </w:r>
            <w:proofErr w:type="spellStart"/>
            <w:r w:rsidR="009E04CC" w:rsidRPr="005747DB">
              <w:t>apakšprojektu</w:t>
            </w:r>
            <w:proofErr w:type="spellEnd"/>
            <w:r w:rsidR="009E04CC" w:rsidRPr="005747DB">
              <w:t xml:space="preserve"> iesniegumu pieņemšana tiks izbeigta, </w:t>
            </w:r>
            <w:r w:rsidR="005C0B9B">
              <w:t>kad</w:t>
            </w:r>
            <w:r w:rsidR="009E04CC" w:rsidRPr="005747DB">
              <w:t xml:space="preserve"> būs izlietots grantu shēmas ietvaros pieejamais finansējums</w:t>
            </w:r>
            <w:r w:rsidR="005C0B9B">
              <w:t xml:space="preserve"> pilnā </w:t>
            </w:r>
            <w:r w:rsidR="005C0B9B" w:rsidRPr="00E10489">
              <w:t xml:space="preserve">apjomā. </w:t>
            </w:r>
            <w:r w:rsidR="00C81062" w:rsidRPr="00E10489">
              <w:t xml:space="preserve">Ja pēc pēdējās </w:t>
            </w:r>
            <w:proofErr w:type="spellStart"/>
            <w:r w:rsidR="00C81062" w:rsidRPr="00E10489">
              <w:t>apakšprojektu</w:t>
            </w:r>
            <w:proofErr w:type="spellEnd"/>
            <w:r w:rsidR="00C81062" w:rsidRPr="00E10489">
              <w:t xml:space="preserve"> iesniegumu atlases kārtas finansējums tomēr paliks pāri, starpniekinstitūcija izsludinās konkursa </w:t>
            </w:r>
            <w:proofErr w:type="spellStart"/>
            <w:r w:rsidR="00C81062" w:rsidRPr="00E10489">
              <w:t>papildkārtu</w:t>
            </w:r>
            <w:proofErr w:type="spellEnd"/>
            <w:r w:rsidR="00FA6ABC" w:rsidRPr="00BA6449">
              <w:t>, publicējot</w:t>
            </w:r>
            <w:r w:rsidR="005E7FE6" w:rsidRPr="00BA6449">
              <w:t xml:space="preserve"> noteikumos Nr.62 paredzētos sludinājumus</w:t>
            </w:r>
            <w:r w:rsidRPr="00BA6449">
              <w:t>;</w:t>
            </w:r>
            <w:r w:rsidR="005E7FE6" w:rsidRPr="00E10489">
              <w:t xml:space="preserve"> </w:t>
            </w:r>
            <w:r w:rsidR="00056C2D" w:rsidRPr="00E10489">
              <w:t xml:space="preserve"> </w:t>
            </w:r>
          </w:p>
          <w:p w:rsidR="007C5511" w:rsidRPr="00E10489" w:rsidRDefault="00C81062" w:rsidP="00BC1CDE">
            <w:pPr>
              <w:jc w:val="both"/>
              <w:rPr>
                <w:rStyle w:val="st1"/>
                <w:bCs/>
              </w:rPr>
            </w:pPr>
            <w:r w:rsidRPr="00E10489">
              <w:t xml:space="preserve">3) </w:t>
            </w:r>
            <w:r w:rsidR="00DB5A4B" w:rsidRPr="00E10489">
              <w:t xml:space="preserve">regulējumu attiecībā uz </w:t>
            </w:r>
            <w:proofErr w:type="spellStart"/>
            <w:r w:rsidR="00DB5A4B" w:rsidRPr="00E10489">
              <w:t>apakšprojektu</w:t>
            </w:r>
            <w:proofErr w:type="spellEnd"/>
            <w:r w:rsidR="00DB5A4B" w:rsidRPr="00E10489">
              <w:t xml:space="preserve"> iesniegumu iesniegšanas un izskatīšanas termiņu a</w:t>
            </w:r>
            <w:r w:rsidR="00DB5A4B" w:rsidRPr="00E10489">
              <w:rPr>
                <w:rStyle w:val="st1"/>
              </w:rPr>
              <w:t xml:space="preserve">tklāta </w:t>
            </w:r>
            <w:r w:rsidR="00DB5A4B" w:rsidRPr="00E10489">
              <w:rPr>
                <w:rStyle w:val="st1"/>
                <w:bCs/>
              </w:rPr>
              <w:t xml:space="preserve">pastāvīgā konkursa laikā. </w:t>
            </w:r>
            <w:r w:rsidR="00CD3689" w:rsidRPr="00BA6449">
              <w:t>Noteikumu projekts paredz, ka p</w:t>
            </w:r>
            <w:r w:rsidR="007F00A7" w:rsidRPr="00BA6449">
              <w:t xml:space="preserve">ēc </w:t>
            </w:r>
            <w:proofErr w:type="spellStart"/>
            <w:r w:rsidR="007F00A7" w:rsidRPr="00BA6449">
              <w:t>apakšprojektu</w:t>
            </w:r>
            <w:proofErr w:type="spellEnd"/>
            <w:r w:rsidR="007F00A7" w:rsidRPr="00BA6449">
              <w:t xml:space="preserve"> iesniegumu atklāta konkursa pēdējās atlases kārtas noslēgšanas, kuras ietvaros bija pieejams finansējums, starpniekinstitūcija sniegs paziņojumu par </w:t>
            </w:r>
            <w:proofErr w:type="spellStart"/>
            <w:r w:rsidR="007F00A7" w:rsidRPr="00BA6449">
              <w:t>apakšprojektu</w:t>
            </w:r>
            <w:proofErr w:type="spellEnd"/>
            <w:r w:rsidR="007F00A7" w:rsidRPr="00BA6449">
              <w:t xml:space="preserve"> iesniegumu iesniegšanas izbeigšanu. </w:t>
            </w:r>
            <w:r w:rsidR="005C4AC7" w:rsidRPr="00BA6449">
              <w:t>Tādējādi</w:t>
            </w:r>
            <w:r w:rsidR="00CD3689" w:rsidRPr="00BA6449">
              <w:t>,</w:t>
            </w:r>
            <w:r w:rsidR="00CD3689" w:rsidRPr="00E10489">
              <w:t xml:space="preserve"> </w:t>
            </w:r>
            <w:r w:rsidRPr="00E10489">
              <w:t>starpniekinstitūcija</w:t>
            </w:r>
            <w:r w:rsidRPr="00E10489">
              <w:rPr>
                <w:rStyle w:val="st1"/>
                <w:bCs/>
              </w:rPr>
              <w:t xml:space="preserve"> izskatīs </w:t>
            </w:r>
            <w:proofErr w:type="spellStart"/>
            <w:r w:rsidRPr="00E10489">
              <w:t>apakšprojektu</w:t>
            </w:r>
            <w:proofErr w:type="spellEnd"/>
            <w:r w:rsidRPr="00E10489">
              <w:t xml:space="preserve"> iesniegumus, kuri ir iesniegti </w:t>
            </w:r>
            <w:r w:rsidR="00F37253" w:rsidRPr="00E10489">
              <w:t>(</w:t>
            </w:r>
            <w:r w:rsidRPr="00E10489">
              <w:t>personīgi vai no</w:t>
            </w:r>
            <w:r w:rsidR="007F00A7" w:rsidRPr="00E10489">
              <w:t xml:space="preserve">doti </w:t>
            </w:r>
            <w:r w:rsidRPr="00E10489">
              <w:t xml:space="preserve"> pasta </w:t>
            </w:r>
            <w:r w:rsidR="007F00A7" w:rsidRPr="00E10489">
              <w:t>iestādē</w:t>
            </w:r>
            <w:r w:rsidRPr="00E10489">
              <w:t xml:space="preserve">, vai nosūtīti  </w:t>
            </w:r>
            <w:r w:rsidR="00AB6DF8" w:rsidRPr="00E10489">
              <w:t>elektroniski</w:t>
            </w:r>
            <w:r w:rsidRPr="00E10489">
              <w:t xml:space="preserve">) </w:t>
            </w:r>
            <w:r w:rsidRPr="00E10489">
              <w:rPr>
                <w:rFonts w:eastAsia="Calibri"/>
              </w:rPr>
              <w:t xml:space="preserve">līdz </w:t>
            </w:r>
            <w:r w:rsidR="00E33915" w:rsidRPr="00BA6449">
              <w:rPr>
                <w:rFonts w:eastAsia="Calibri"/>
              </w:rPr>
              <w:t xml:space="preserve">iepriekšminētā </w:t>
            </w:r>
            <w:r w:rsidR="00AB6DF8" w:rsidRPr="00BA6449">
              <w:rPr>
                <w:rFonts w:eastAsia="Calibri"/>
              </w:rPr>
              <w:t>paziņojum</w:t>
            </w:r>
            <w:r w:rsidR="00E33915" w:rsidRPr="00BA6449">
              <w:rPr>
                <w:rFonts w:eastAsia="Calibri"/>
              </w:rPr>
              <w:t>a</w:t>
            </w:r>
            <w:r w:rsidR="00AB6DF8" w:rsidRPr="00BA6449">
              <w:rPr>
                <w:rFonts w:eastAsia="Calibri"/>
              </w:rPr>
              <w:t xml:space="preserve"> </w:t>
            </w:r>
            <w:r w:rsidR="00E33915" w:rsidRPr="00BA6449">
              <w:rPr>
                <w:rFonts w:eastAsia="Calibri"/>
              </w:rPr>
              <w:t xml:space="preserve">publicēšanas dienai </w:t>
            </w:r>
            <w:r w:rsidR="00DE639C" w:rsidRPr="00BA6449">
              <w:t xml:space="preserve">oficiālajā izdevumā „Latvijas Vēstnesis”, </w:t>
            </w:r>
            <w:r w:rsidR="00DE639C" w:rsidRPr="00BA6449">
              <w:rPr>
                <w:rFonts w:eastAsia="Calibri"/>
              </w:rPr>
              <w:t xml:space="preserve"> </w:t>
            </w:r>
            <w:r w:rsidR="00DE639C" w:rsidRPr="00BA6449">
              <w:t xml:space="preserve">starpniekinstitūcijas, nozares ministrijas un sadarbības programmas </w:t>
            </w:r>
            <w:proofErr w:type="spellStart"/>
            <w:r w:rsidR="00DE639C" w:rsidRPr="00BA6449">
              <w:t>mājaslapā</w:t>
            </w:r>
            <w:proofErr w:type="spellEnd"/>
            <w:r w:rsidR="00DE639C" w:rsidRPr="00BA6449">
              <w:t xml:space="preserve"> internetā</w:t>
            </w:r>
            <w:r w:rsidR="00213DD5" w:rsidRPr="00BA6449">
              <w:t xml:space="preserve"> </w:t>
            </w:r>
            <w:r w:rsidRPr="00BA6449">
              <w:rPr>
                <w:rFonts w:eastAsia="Calibri"/>
              </w:rPr>
              <w:t xml:space="preserve">vai atklāta konkursa </w:t>
            </w:r>
            <w:proofErr w:type="spellStart"/>
            <w:r w:rsidRPr="00BA6449">
              <w:rPr>
                <w:rFonts w:eastAsia="Calibri"/>
              </w:rPr>
              <w:t>papildkārtas</w:t>
            </w:r>
            <w:proofErr w:type="spellEnd"/>
            <w:r w:rsidRPr="00BA6449">
              <w:rPr>
                <w:rFonts w:eastAsia="Calibri"/>
              </w:rPr>
              <w:t xml:space="preserve"> termiņā</w:t>
            </w:r>
            <w:r w:rsidRPr="00BA6449">
              <w:t>.</w:t>
            </w:r>
            <w:r w:rsidR="00213DD5" w:rsidRPr="00BA6449">
              <w:t xml:space="preserve"> </w:t>
            </w:r>
            <w:r w:rsidR="00F27BAC" w:rsidRPr="00BA6449">
              <w:rPr>
                <w:rStyle w:val="st1"/>
                <w:bCs/>
              </w:rPr>
              <w:t xml:space="preserve">Ir svītrota prasība </w:t>
            </w:r>
            <w:r w:rsidR="00F27BAC" w:rsidRPr="00BA6449">
              <w:t xml:space="preserve">starpniekinstitūcijas zīmogā norādīt </w:t>
            </w:r>
            <w:proofErr w:type="spellStart"/>
            <w:r w:rsidR="00F27BAC" w:rsidRPr="00BA6449">
              <w:t>apakšprojekta</w:t>
            </w:r>
            <w:proofErr w:type="spellEnd"/>
            <w:r w:rsidR="00F27BAC" w:rsidRPr="00BA6449">
              <w:t xml:space="preserve"> iesnieguma saņemšanas laiku, kā arī</w:t>
            </w:r>
            <w:r w:rsidR="00213DD5" w:rsidRPr="00BA6449">
              <w:t xml:space="preserve"> </w:t>
            </w:r>
            <w:r w:rsidRPr="00BA6449">
              <w:t>precizēts</w:t>
            </w:r>
            <w:r w:rsidRPr="00E10489">
              <w:t xml:space="preserve"> administratīvās vērtēšanas kritērijs par </w:t>
            </w:r>
            <w:proofErr w:type="spellStart"/>
            <w:r w:rsidRPr="00E10489">
              <w:rPr>
                <w:rStyle w:val="tvhtml1"/>
                <w:rFonts w:ascii="Times New Roman" w:hAnsi="Times New Roman"/>
                <w:sz w:val="24"/>
                <w:szCs w:val="24"/>
              </w:rPr>
              <w:t>apakšprojektu</w:t>
            </w:r>
            <w:proofErr w:type="spellEnd"/>
            <w:r w:rsidRPr="00E10489">
              <w:rPr>
                <w:rStyle w:val="tvhtml1"/>
                <w:rFonts w:ascii="Times New Roman" w:hAnsi="Times New Roman"/>
                <w:sz w:val="24"/>
                <w:szCs w:val="24"/>
              </w:rPr>
              <w:t xml:space="preserve"> iesniegumu iesniegšanu termiņā;</w:t>
            </w:r>
          </w:p>
          <w:p w:rsidR="008433E4" w:rsidRPr="00E10489" w:rsidRDefault="00C81062" w:rsidP="00E40AC1">
            <w:pPr>
              <w:autoSpaceDE w:val="0"/>
              <w:autoSpaceDN w:val="0"/>
              <w:adjustRightInd w:val="0"/>
              <w:jc w:val="both"/>
            </w:pPr>
            <w:r w:rsidRPr="00E10489">
              <w:t xml:space="preserve">4) papildināt noteikumu </w:t>
            </w:r>
            <w:r w:rsidRPr="00E10489">
              <w:rPr>
                <w:bCs/>
              </w:rPr>
              <w:t>Nr.62</w:t>
            </w:r>
            <w:r w:rsidRPr="00E10489">
              <w:t xml:space="preserve"> normas ar koledžu tiesībām būt </w:t>
            </w:r>
            <w:proofErr w:type="spellStart"/>
            <w:r w:rsidRPr="00E10489">
              <w:t>apakšprojekta</w:t>
            </w:r>
            <w:proofErr w:type="spellEnd"/>
            <w:r w:rsidRPr="00E10489">
              <w:t xml:space="preserve"> iesniedzējam vai sadarbības partnerim. Līdz ar skaidrību dalības nosacījumos tiks veicināta </w:t>
            </w:r>
            <w:proofErr w:type="spellStart"/>
            <w:r w:rsidRPr="00E10489">
              <w:t>apakšprojektu</w:t>
            </w:r>
            <w:proofErr w:type="spellEnd"/>
            <w:r w:rsidRPr="00E10489">
              <w:t xml:space="preserve"> iesniedzēju atsaucība;</w:t>
            </w:r>
          </w:p>
          <w:p w:rsidR="00213DD5" w:rsidRPr="00BA6449" w:rsidRDefault="00816463" w:rsidP="00E40AC1">
            <w:pPr>
              <w:jc w:val="both"/>
            </w:pPr>
            <w:r>
              <w:rPr>
                <w:bCs/>
              </w:rPr>
              <w:lastRenderedPageBreak/>
              <w:t>5</w:t>
            </w:r>
            <w:r w:rsidR="00C81062" w:rsidRPr="00E10489">
              <w:rPr>
                <w:bCs/>
              </w:rPr>
              <w:t xml:space="preserve">) </w:t>
            </w:r>
            <w:r w:rsidR="00C81062" w:rsidRPr="00E10489">
              <w:t xml:space="preserve">vienkāršot </w:t>
            </w:r>
            <w:proofErr w:type="spellStart"/>
            <w:r w:rsidR="00C81062" w:rsidRPr="00E10489">
              <w:rPr>
                <w:bCs/>
              </w:rPr>
              <w:t>apakšprojektu</w:t>
            </w:r>
            <w:proofErr w:type="spellEnd"/>
            <w:r w:rsidR="00C81062" w:rsidRPr="00E10489">
              <w:rPr>
                <w:bCs/>
              </w:rPr>
              <w:t xml:space="preserve"> iesniegumu</w:t>
            </w:r>
            <w:r w:rsidR="00C81062" w:rsidRPr="00E10489">
              <w:t xml:space="preserve"> noformēšanai izvirzītās </w:t>
            </w:r>
            <w:r w:rsidR="00C81062" w:rsidRPr="00E10489">
              <w:rPr>
                <w:bCs/>
              </w:rPr>
              <w:t>prasības</w:t>
            </w:r>
            <w:r w:rsidR="001E2955" w:rsidRPr="00213DD5">
              <w:rPr>
                <w:b/>
              </w:rPr>
              <w:t xml:space="preserve">, </w:t>
            </w:r>
            <w:r w:rsidR="001E2955" w:rsidRPr="00BA6449">
              <w:t xml:space="preserve">kuras neizšķir un neietekmē </w:t>
            </w:r>
            <w:proofErr w:type="spellStart"/>
            <w:r w:rsidR="001E2955" w:rsidRPr="00BA6449">
              <w:t>apakšprojekta</w:t>
            </w:r>
            <w:proofErr w:type="spellEnd"/>
            <w:r w:rsidR="001E2955" w:rsidRPr="00BA6449">
              <w:t xml:space="preserve"> iesnieguma turpmāko virzību</w:t>
            </w:r>
            <w:r w:rsidR="00C81062" w:rsidRPr="00E10489">
              <w:rPr>
                <w:bCs/>
              </w:rPr>
              <w:t xml:space="preserve">: </w:t>
            </w:r>
            <w:proofErr w:type="spellStart"/>
            <w:r w:rsidR="00C81062" w:rsidRPr="00E10489">
              <w:t>apakšprojekta</w:t>
            </w:r>
            <w:proofErr w:type="spellEnd"/>
            <w:r w:rsidR="00C81062" w:rsidRPr="00E10489">
              <w:t xml:space="preserve"> iesniedzējs </w:t>
            </w:r>
            <w:r w:rsidR="001E2955" w:rsidRPr="00BA6449">
              <w:t>starpniekinstitūcijā</w:t>
            </w:r>
            <w:r w:rsidR="00213DD5">
              <w:t xml:space="preserve"> </w:t>
            </w:r>
            <w:r w:rsidR="00C81062" w:rsidRPr="00E10489">
              <w:t xml:space="preserve">iesniegs aizpildīto </w:t>
            </w:r>
            <w:proofErr w:type="spellStart"/>
            <w:r w:rsidR="00C81062" w:rsidRPr="00E10489">
              <w:t>apakšprojekta</w:t>
            </w:r>
            <w:proofErr w:type="spellEnd"/>
            <w:r w:rsidR="00C81062" w:rsidRPr="00E10489">
              <w:t xml:space="preserve"> iesnieguma veidlapu un pielikumus papīra formā</w:t>
            </w:r>
            <w:r w:rsidR="00C81062" w:rsidRPr="00E10489">
              <w:rPr>
                <w:b/>
              </w:rPr>
              <w:t xml:space="preserve"> </w:t>
            </w:r>
            <w:r w:rsidR="00C81062" w:rsidRPr="00E10489">
              <w:t>tikai vienā eksemplārā</w:t>
            </w:r>
            <w:r w:rsidR="00213DD5">
              <w:t xml:space="preserve"> </w:t>
            </w:r>
            <w:r w:rsidR="001E2955" w:rsidRPr="00E10489">
              <w:t>un</w:t>
            </w:r>
            <w:r w:rsidR="00213DD5">
              <w:t xml:space="preserve"> </w:t>
            </w:r>
            <w:r w:rsidR="001E2955" w:rsidRPr="00E10489">
              <w:t>u</w:t>
            </w:r>
            <w:r w:rsidR="00C81062" w:rsidRPr="00E10489">
              <w:t xml:space="preserve">z aploksnes vairs nebūs jānorāda </w:t>
            </w:r>
            <w:r w:rsidR="001E2955" w:rsidRPr="00BA6449">
              <w:t xml:space="preserve">grantu shēmas </w:t>
            </w:r>
            <w:r w:rsidR="00C81062" w:rsidRPr="00BA6449">
              <w:t>nosaukum</w:t>
            </w:r>
            <w:r w:rsidR="001E2955" w:rsidRPr="00BA6449">
              <w:t>u</w:t>
            </w:r>
            <w:r w:rsidR="00C81062" w:rsidRPr="00BA6449">
              <w:t xml:space="preserve">; </w:t>
            </w:r>
          </w:p>
          <w:p w:rsidR="00B94FC2" w:rsidRPr="005747DB" w:rsidRDefault="00816463" w:rsidP="00E40AC1">
            <w:pPr>
              <w:jc w:val="both"/>
            </w:pPr>
            <w:r>
              <w:t>6</w:t>
            </w:r>
            <w:r w:rsidR="00586CED" w:rsidRPr="00E10489">
              <w:t xml:space="preserve">) </w:t>
            </w:r>
            <w:r w:rsidR="0069389A" w:rsidRPr="00E10489">
              <w:t>precizēt</w:t>
            </w:r>
            <w:r w:rsidR="00586CED" w:rsidRPr="00E10489">
              <w:t>,</w:t>
            </w:r>
            <w:r w:rsidR="00183446" w:rsidRPr="00E10489">
              <w:t xml:space="preserve"> </w:t>
            </w:r>
            <w:r w:rsidR="00C870BD" w:rsidRPr="00E10489">
              <w:t xml:space="preserve">ka </w:t>
            </w:r>
            <w:r w:rsidR="00B94FC2" w:rsidRPr="00E10489">
              <w:t xml:space="preserve">administratīvās vērtēšanas kritērijiem atbilstošo </w:t>
            </w:r>
            <w:proofErr w:type="spellStart"/>
            <w:r w:rsidR="00B94FC2" w:rsidRPr="00E10489">
              <w:t>apakšprojektu</w:t>
            </w:r>
            <w:proofErr w:type="spellEnd"/>
            <w:r w:rsidR="00B94FC2" w:rsidRPr="00E10489">
              <w:t xml:space="preserve"> iesniegumu sarakstu starpniekinstitūcija iesniedz </w:t>
            </w:r>
            <w:r w:rsidR="00A426D4" w:rsidRPr="00E10489">
              <w:t xml:space="preserve">apstiprināšanai </w:t>
            </w:r>
            <w:r w:rsidR="00586CED" w:rsidRPr="00E10489">
              <w:t xml:space="preserve">Projektu vadības un mazo projektu </w:t>
            </w:r>
            <w:r w:rsidR="00B94FC2" w:rsidRPr="00E10489">
              <w:t>apstiprināšanas komitejā</w:t>
            </w:r>
            <w:r w:rsidR="00E279EF" w:rsidRPr="00E10489">
              <w:t>. Šajā</w:t>
            </w:r>
            <w:r w:rsidR="00B94FC2" w:rsidRPr="00E10489">
              <w:t xml:space="preserve"> sarakstā iekļautos </w:t>
            </w:r>
            <w:proofErr w:type="spellStart"/>
            <w:r w:rsidR="00B94FC2" w:rsidRPr="00E10489">
              <w:t>apakšprojektu</w:t>
            </w:r>
            <w:proofErr w:type="spellEnd"/>
            <w:r w:rsidR="00B94FC2" w:rsidRPr="00E10489">
              <w:t xml:space="preserve"> iesniegumus </w:t>
            </w:r>
            <w:r w:rsidR="00E279EF" w:rsidRPr="00E10489">
              <w:t xml:space="preserve">starpniekinstitūcija </w:t>
            </w:r>
            <w:r w:rsidR="00B94FC2" w:rsidRPr="00E10489">
              <w:t>nodod</w:t>
            </w:r>
            <w:r w:rsidR="00B94FC2" w:rsidRPr="005747DB">
              <w:t xml:space="preserve"> tālākai vērtēšanai </w:t>
            </w:r>
            <w:r w:rsidR="00A426D4" w:rsidRPr="005747DB">
              <w:t xml:space="preserve">atbilstoši kvalitātes vērtēšanas kritērijiem starpniekinstitūcijas pieaicinātajiem </w:t>
            </w:r>
            <w:r w:rsidR="00B94FC2" w:rsidRPr="005747DB">
              <w:t>neatkarīg</w:t>
            </w:r>
            <w:r w:rsidR="00A426D4" w:rsidRPr="005747DB">
              <w:t>aj</w:t>
            </w:r>
            <w:r w:rsidR="00B94FC2" w:rsidRPr="005747DB">
              <w:t xml:space="preserve">iem </w:t>
            </w:r>
            <w:r w:rsidR="002107D3">
              <w:t>ekspertiem;</w:t>
            </w:r>
          </w:p>
          <w:p w:rsidR="00586CED" w:rsidRPr="005747DB" w:rsidRDefault="00816463" w:rsidP="00E279EF">
            <w:pPr>
              <w:jc w:val="both"/>
            </w:pPr>
            <w:r>
              <w:t>7</w:t>
            </w:r>
            <w:r w:rsidR="00586CED" w:rsidRPr="005747DB">
              <w:t xml:space="preserve">) </w:t>
            </w:r>
            <w:r w:rsidR="006D4DC9" w:rsidRPr="005747DB">
              <w:t xml:space="preserve">saglabāt tiesības </w:t>
            </w:r>
            <w:proofErr w:type="spellStart"/>
            <w:r w:rsidR="00385668" w:rsidRPr="005747DB">
              <w:t>apakšprojekta</w:t>
            </w:r>
            <w:proofErr w:type="spellEnd"/>
            <w:r w:rsidR="00385668" w:rsidRPr="005747DB">
              <w:t xml:space="preserve"> īstenotājam līguma slēgšanai ilgākā </w:t>
            </w:r>
            <w:r w:rsidR="00CD3553" w:rsidRPr="005747DB">
              <w:t>termiņā</w:t>
            </w:r>
            <w:r w:rsidR="00385668" w:rsidRPr="005747DB">
              <w:t xml:space="preserve">, </w:t>
            </w:r>
            <w:r w:rsidR="006D4DC9" w:rsidRPr="005747DB">
              <w:t>pašreizējās 30</w:t>
            </w:r>
            <w:r w:rsidR="00385668" w:rsidRPr="005747DB">
              <w:t xml:space="preserve"> darbdien</w:t>
            </w:r>
            <w:r w:rsidR="006D4DC9" w:rsidRPr="005747DB">
              <w:t>as aizstājot ar 45</w:t>
            </w:r>
            <w:r w:rsidR="00385668" w:rsidRPr="005747DB">
              <w:t xml:space="preserve"> </w:t>
            </w:r>
            <w:r w:rsidR="006D4DC9" w:rsidRPr="005747DB">
              <w:t>darbdienām</w:t>
            </w:r>
            <w:r w:rsidR="001D0D72" w:rsidRPr="005747DB">
              <w:t>, lai neapdraudētu projekta īstenošanu tehniska ierobežojuma dēļ</w:t>
            </w:r>
            <w:r w:rsidR="00B572BA" w:rsidRPr="005747DB">
              <w:t>,</w:t>
            </w:r>
            <w:r w:rsidR="0020473F" w:rsidRPr="005747DB">
              <w:t xml:space="preserve"> jo </w:t>
            </w:r>
            <w:proofErr w:type="spellStart"/>
            <w:r w:rsidR="00C81062" w:rsidRPr="005747DB">
              <w:t>apakšprojekta</w:t>
            </w:r>
            <w:proofErr w:type="spellEnd"/>
            <w:r w:rsidR="00C81062" w:rsidRPr="005747DB">
              <w:t xml:space="preserve"> īstenotājam jāpagūst noslēgt sadarbības līgumu ar </w:t>
            </w:r>
            <w:proofErr w:type="spellStart"/>
            <w:r w:rsidR="00C81062" w:rsidRPr="005747DB">
              <w:t>nosūtītājinstitūciju</w:t>
            </w:r>
            <w:proofErr w:type="spellEnd"/>
            <w:r w:rsidR="00C81062" w:rsidRPr="005747DB">
              <w:t>;</w:t>
            </w:r>
          </w:p>
          <w:p w:rsidR="0082570E" w:rsidRPr="005747DB" w:rsidRDefault="00816463" w:rsidP="00E40AC1">
            <w:pPr>
              <w:jc w:val="both"/>
            </w:pPr>
            <w:r>
              <w:t>8</w:t>
            </w:r>
            <w:r w:rsidR="00C81062" w:rsidRPr="005747DB">
              <w:t xml:space="preserve">) skaidri norādīt, ja sākotnēji </w:t>
            </w:r>
            <w:proofErr w:type="spellStart"/>
            <w:r w:rsidR="00C81062" w:rsidRPr="005747DB">
              <w:t>apakšprojekta</w:t>
            </w:r>
            <w:proofErr w:type="spellEnd"/>
            <w:r w:rsidR="00C81062" w:rsidRPr="005747DB">
              <w:t xml:space="preserve"> iesniedzēja izmaksas būs plānotas lielākas nekā pieļaujamais stipendijas apmērs, papildus izmaksas netiks apmaksātas;</w:t>
            </w:r>
          </w:p>
          <w:p w:rsidR="00066088" w:rsidRPr="005747DB" w:rsidRDefault="00816463" w:rsidP="00B17E82">
            <w:pPr>
              <w:jc w:val="both"/>
              <w:rPr>
                <w:highlight w:val="yellow"/>
              </w:rPr>
            </w:pPr>
            <w:r>
              <w:t>9</w:t>
            </w:r>
            <w:r w:rsidR="00C81062" w:rsidRPr="005747DB">
              <w:t>)</w:t>
            </w:r>
            <w:r w:rsidR="00C81062" w:rsidRPr="005747DB">
              <w:rPr>
                <w:b/>
              </w:rPr>
              <w:t xml:space="preserve"> </w:t>
            </w:r>
            <w:r w:rsidR="00C81062" w:rsidRPr="005747DB">
              <w:t>redakcionālus precizējumus atklāta konkursa nolikuma satura uztveramības uzlabošanai.</w:t>
            </w:r>
          </w:p>
        </w:tc>
      </w:tr>
      <w:tr w:rsidR="006502CE" w:rsidRPr="005747DB" w:rsidTr="0031405C">
        <w:tc>
          <w:tcPr>
            <w:tcW w:w="540" w:type="dxa"/>
          </w:tcPr>
          <w:p w:rsidR="006502CE" w:rsidRPr="005747DB" w:rsidRDefault="006502CE" w:rsidP="00B04F23">
            <w:pPr>
              <w:pStyle w:val="Header"/>
              <w:jc w:val="center"/>
              <w:outlineLvl w:val="0"/>
            </w:pPr>
            <w:r w:rsidRPr="005747DB">
              <w:lastRenderedPageBreak/>
              <w:t>5.</w:t>
            </w:r>
          </w:p>
        </w:tc>
        <w:tc>
          <w:tcPr>
            <w:tcW w:w="1663" w:type="dxa"/>
          </w:tcPr>
          <w:p w:rsidR="006502CE" w:rsidRPr="005747DB" w:rsidRDefault="006502CE" w:rsidP="00B04F23">
            <w:pPr>
              <w:pStyle w:val="Header"/>
              <w:jc w:val="both"/>
              <w:outlineLvl w:val="0"/>
              <w:rPr>
                <w:sz w:val="22"/>
                <w:szCs w:val="22"/>
              </w:rPr>
            </w:pPr>
            <w:r w:rsidRPr="005747DB">
              <w:rPr>
                <w:sz w:val="22"/>
                <w:szCs w:val="22"/>
              </w:rPr>
              <w:t>Projekta izstrādē iesaistītās institūcijas</w:t>
            </w:r>
          </w:p>
        </w:tc>
        <w:tc>
          <w:tcPr>
            <w:tcW w:w="7336" w:type="dxa"/>
          </w:tcPr>
          <w:p w:rsidR="00D704BE" w:rsidRPr="005747DB" w:rsidRDefault="000023F9" w:rsidP="00457ADF">
            <w:pPr>
              <w:jc w:val="both"/>
            </w:pPr>
            <w:r w:rsidRPr="005747DB">
              <w:t>N</w:t>
            </w:r>
            <w:r w:rsidR="00EA23A7" w:rsidRPr="005747DB">
              <w:t>oteikumu projekta</w:t>
            </w:r>
            <w:r w:rsidRPr="005747DB">
              <w:t xml:space="preserve"> izstrādē ņemti vērā viedokļi, kas tika pausti</w:t>
            </w:r>
            <w:r w:rsidR="00EA23A7" w:rsidRPr="005747DB">
              <w:t xml:space="preserve"> </w:t>
            </w:r>
            <w:r w:rsidR="00D704BE" w:rsidRPr="005747DB">
              <w:t xml:space="preserve">2012.gada 23.janvārī </w:t>
            </w:r>
            <w:r w:rsidRPr="005747DB">
              <w:t>notikušajā</w:t>
            </w:r>
            <w:r w:rsidR="00D704BE" w:rsidRPr="005747DB">
              <w:t xml:space="preserve"> sanāksme starp </w:t>
            </w:r>
            <w:r w:rsidR="005F665B" w:rsidRPr="005747DB">
              <w:t xml:space="preserve">nozares ministriju, </w:t>
            </w:r>
            <w:r w:rsidR="00E86CDD" w:rsidRPr="005747DB">
              <w:t>starpniekinstitūciju</w:t>
            </w:r>
            <w:r w:rsidR="00D704BE" w:rsidRPr="005747DB">
              <w:t xml:space="preserve">, Šveices Konfederācijas vēstniecību Latvijas Republikā un vadošo iestādi par grantu shēmai pieejamā finansējuma </w:t>
            </w:r>
            <w:r w:rsidRPr="005747DB">
              <w:t xml:space="preserve">sekmīgāku </w:t>
            </w:r>
            <w:r w:rsidR="00D704BE" w:rsidRPr="005747DB">
              <w:t>apguvi</w:t>
            </w:r>
            <w:r w:rsidRPr="005747DB">
              <w:t xml:space="preserve">. </w:t>
            </w:r>
            <w:r w:rsidR="00EB1B9D" w:rsidRPr="005747DB">
              <w:t>G</w:t>
            </w:r>
            <w:r w:rsidR="00EB1B9D" w:rsidRPr="005747DB">
              <w:rPr>
                <w:shd w:val="clear" w:color="auto" w:fill="FFFFFF"/>
              </w:rPr>
              <w:t xml:space="preserve">rozījumus </w:t>
            </w:r>
            <w:r w:rsidR="00EB1B9D" w:rsidRPr="005747DB">
              <w:t>noteikumos Nr.62</w:t>
            </w:r>
            <w:r w:rsidR="00D704BE" w:rsidRPr="005747DB">
              <w:t xml:space="preserve"> ir </w:t>
            </w:r>
            <w:r w:rsidR="007C13A4" w:rsidRPr="005747DB">
              <w:t>sagatavo</w:t>
            </w:r>
            <w:r w:rsidR="00D704BE" w:rsidRPr="005747DB">
              <w:t xml:space="preserve">jusi </w:t>
            </w:r>
            <w:r w:rsidRPr="005747DB">
              <w:t xml:space="preserve">nozares </w:t>
            </w:r>
            <w:r w:rsidR="00D704BE" w:rsidRPr="005747DB">
              <w:t xml:space="preserve">ministrija sadarbībā ar </w:t>
            </w:r>
            <w:r w:rsidR="00E86CDD" w:rsidRPr="005747DB">
              <w:t>starpniek</w:t>
            </w:r>
            <w:r w:rsidR="00D704BE" w:rsidRPr="005747DB">
              <w:t>institūciju.</w:t>
            </w:r>
          </w:p>
          <w:p w:rsidR="00066088" w:rsidRPr="005747DB" w:rsidRDefault="00D64169" w:rsidP="00B17E82">
            <w:pPr>
              <w:jc w:val="both"/>
              <w:rPr>
                <w:highlight w:val="yellow"/>
              </w:rPr>
            </w:pPr>
            <w:r w:rsidRPr="005747DB">
              <w:t xml:space="preserve">Izvērtēta un pēc iespējas ņemta vērā </w:t>
            </w:r>
            <w:r w:rsidR="00E86CDD" w:rsidRPr="005747DB">
              <w:t>starpniek</w:t>
            </w:r>
            <w:r w:rsidRPr="005747DB">
              <w:t xml:space="preserve">institūcijas pieredze </w:t>
            </w:r>
            <w:proofErr w:type="spellStart"/>
            <w:r w:rsidRPr="005747DB">
              <w:t>apakšprojektu</w:t>
            </w:r>
            <w:proofErr w:type="spellEnd"/>
            <w:r w:rsidRPr="005747DB">
              <w:t xml:space="preserve"> iesniegumu atklāta konkursa organizēšanā, iesniegumu vērtēšanā un grantu shēmas ieviešanā, kā arī potenciālo </w:t>
            </w:r>
            <w:proofErr w:type="spellStart"/>
            <w:r w:rsidRPr="005747DB">
              <w:t>apakšprojektu</w:t>
            </w:r>
            <w:proofErr w:type="spellEnd"/>
            <w:r w:rsidRPr="005747DB">
              <w:t xml:space="preserve"> iesniedzēju uzdotie jautājumi.</w:t>
            </w:r>
          </w:p>
        </w:tc>
      </w:tr>
      <w:tr w:rsidR="006502CE" w:rsidRPr="005747DB" w:rsidTr="0031405C">
        <w:tc>
          <w:tcPr>
            <w:tcW w:w="540" w:type="dxa"/>
          </w:tcPr>
          <w:p w:rsidR="006502CE" w:rsidRPr="005747DB" w:rsidRDefault="006502CE" w:rsidP="00B04F23">
            <w:pPr>
              <w:pStyle w:val="naislab"/>
              <w:spacing w:before="0" w:after="0"/>
              <w:jc w:val="center"/>
              <w:outlineLvl w:val="0"/>
            </w:pPr>
            <w:r w:rsidRPr="005747DB">
              <w:t>6.</w:t>
            </w:r>
          </w:p>
        </w:tc>
        <w:tc>
          <w:tcPr>
            <w:tcW w:w="1663" w:type="dxa"/>
          </w:tcPr>
          <w:p w:rsidR="006502CE" w:rsidRPr="005747DB" w:rsidRDefault="006502CE" w:rsidP="00B04F23">
            <w:pPr>
              <w:pStyle w:val="naislab"/>
              <w:spacing w:before="0" w:after="0"/>
              <w:jc w:val="both"/>
              <w:outlineLvl w:val="0"/>
              <w:rPr>
                <w:sz w:val="22"/>
                <w:szCs w:val="22"/>
              </w:rPr>
            </w:pPr>
            <w:r w:rsidRPr="005747DB">
              <w:rPr>
                <w:sz w:val="22"/>
                <w:szCs w:val="22"/>
              </w:rPr>
              <w:t>Iemesli, kādēļ netika nodrošināta sabiedrības līdzdalība</w:t>
            </w:r>
          </w:p>
        </w:tc>
        <w:tc>
          <w:tcPr>
            <w:tcW w:w="7336" w:type="dxa"/>
          </w:tcPr>
          <w:p w:rsidR="003E0985" w:rsidRPr="005747DB" w:rsidRDefault="00B15306" w:rsidP="00B86661">
            <w:pPr>
              <w:jc w:val="both"/>
            </w:pPr>
            <w:r w:rsidRPr="005747DB">
              <w:t>Noteikumu projektam nav tiešas ietekmes uz sabiedrību.</w:t>
            </w:r>
          </w:p>
        </w:tc>
      </w:tr>
      <w:tr w:rsidR="006502CE" w:rsidRPr="005747DB" w:rsidTr="0031405C">
        <w:tc>
          <w:tcPr>
            <w:tcW w:w="540" w:type="dxa"/>
          </w:tcPr>
          <w:p w:rsidR="006502CE" w:rsidRPr="005747DB" w:rsidRDefault="006502CE" w:rsidP="00B04F23">
            <w:pPr>
              <w:pStyle w:val="naislab"/>
              <w:spacing w:before="0" w:after="0"/>
              <w:jc w:val="center"/>
              <w:outlineLvl w:val="0"/>
            </w:pPr>
            <w:r w:rsidRPr="005747DB">
              <w:t>7.</w:t>
            </w:r>
          </w:p>
        </w:tc>
        <w:tc>
          <w:tcPr>
            <w:tcW w:w="1663" w:type="dxa"/>
          </w:tcPr>
          <w:p w:rsidR="006502CE" w:rsidRPr="005747DB" w:rsidRDefault="006502CE" w:rsidP="00B04F23">
            <w:pPr>
              <w:pStyle w:val="naislab"/>
              <w:spacing w:before="0" w:after="0"/>
              <w:jc w:val="both"/>
              <w:outlineLvl w:val="0"/>
              <w:rPr>
                <w:sz w:val="22"/>
                <w:szCs w:val="22"/>
              </w:rPr>
            </w:pPr>
            <w:r w:rsidRPr="005747DB">
              <w:rPr>
                <w:sz w:val="22"/>
                <w:szCs w:val="22"/>
              </w:rPr>
              <w:t>Cita informācija</w:t>
            </w:r>
          </w:p>
        </w:tc>
        <w:tc>
          <w:tcPr>
            <w:tcW w:w="7336" w:type="dxa"/>
          </w:tcPr>
          <w:p w:rsidR="00066088" w:rsidRPr="005747DB" w:rsidRDefault="008C7221" w:rsidP="00B17E82">
            <w:pPr>
              <w:jc w:val="both"/>
              <w:rPr>
                <w:highlight w:val="yellow"/>
              </w:rPr>
            </w:pPr>
            <w:r w:rsidRPr="005747DB">
              <w:t xml:space="preserve">Noteikumu projektā ņemta vērā </w:t>
            </w:r>
            <w:proofErr w:type="spellStart"/>
            <w:r w:rsidRPr="005747DB">
              <w:rPr>
                <w:rStyle w:val="st1"/>
              </w:rPr>
              <w:t>Geberta</w:t>
            </w:r>
            <w:proofErr w:type="spellEnd"/>
            <w:r w:rsidRPr="005747DB">
              <w:rPr>
                <w:rStyle w:val="st1"/>
              </w:rPr>
              <w:t xml:space="preserve"> </w:t>
            </w:r>
            <w:proofErr w:type="spellStart"/>
            <w:r w:rsidRPr="005747DB">
              <w:rPr>
                <w:rStyle w:val="st1"/>
              </w:rPr>
              <w:t>Rufa</w:t>
            </w:r>
            <w:proofErr w:type="spellEnd"/>
            <w:r w:rsidRPr="005747DB">
              <w:rPr>
                <w:rStyle w:val="st1"/>
              </w:rPr>
              <w:t xml:space="preserve"> fonda programmas „</w:t>
            </w:r>
            <w:proofErr w:type="spellStart"/>
            <w:r w:rsidRPr="005747DB">
              <w:rPr>
                <w:rStyle w:val="st1"/>
                <w:bCs/>
              </w:rPr>
              <w:t>Swiss</w:t>
            </w:r>
            <w:proofErr w:type="spellEnd"/>
            <w:r w:rsidRPr="005747DB">
              <w:rPr>
                <w:rStyle w:val="st1"/>
                <w:bCs/>
              </w:rPr>
              <w:t xml:space="preserve"> </w:t>
            </w:r>
            <w:proofErr w:type="spellStart"/>
            <w:r w:rsidRPr="005747DB">
              <w:rPr>
                <w:rStyle w:val="st1"/>
                <w:bCs/>
              </w:rPr>
              <w:t>Baltic</w:t>
            </w:r>
            <w:proofErr w:type="spellEnd"/>
            <w:r w:rsidRPr="005747DB">
              <w:rPr>
                <w:rStyle w:val="st1"/>
                <w:bCs/>
              </w:rPr>
              <w:t xml:space="preserve"> </w:t>
            </w:r>
            <w:proofErr w:type="spellStart"/>
            <w:r w:rsidRPr="005747DB">
              <w:rPr>
                <w:rStyle w:val="st1"/>
                <w:bCs/>
              </w:rPr>
              <w:t>Net</w:t>
            </w:r>
            <w:proofErr w:type="spellEnd"/>
            <w:r w:rsidRPr="005747DB">
              <w:rPr>
                <w:rStyle w:val="st1"/>
              </w:rPr>
              <w:t>”</w:t>
            </w:r>
            <w:r w:rsidRPr="005747DB">
              <w:rPr>
                <w:rStyle w:val="st1"/>
                <w:bCs/>
              </w:rPr>
              <w:t xml:space="preserve"> (</w:t>
            </w:r>
            <w:r w:rsidRPr="005747DB">
              <w:t xml:space="preserve">2000-2008) </w:t>
            </w:r>
            <w:proofErr w:type="spellStart"/>
            <w:r w:rsidRPr="005747DB">
              <w:t>kontaktbiroja</w:t>
            </w:r>
            <w:proofErr w:type="spellEnd"/>
            <w:r w:rsidRPr="005747DB">
              <w:t xml:space="preserve"> (Rīgas Tehniskā universitāte) informācija par īstenoto pieredzes apmaiņu Baltijas valstu un Šveices pētnieku vidū. Noteikumu projekts tiks īstenots, izmantojot esošo finansējumu, tāpēc papildu finansējums no valsts budžeta nav nepieciešams.</w:t>
            </w:r>
          </w:p>
        </w:tc>
      </w:tr>
    </w:tbl>
    <w:p w:rsidR="00FA338D" w:rsidRPr="005747DB" w:rsidRDefault="00FA338D" w:rsidP="00FA338D">
      <w:pPr>
        <w:rPr>
          <w:highlight w:val="yellow"/>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31"/>
        <w:gridCol w:w="5068"/>
      </w:tblGrid>
      <w:tr w:rsidR="00FA338D" w:rsidRPr="005747DB" w:rsidTr="00B04F23">
        <w:tc>
          <w:tcPr>
            <w:tcW w:w="9539" w:type="dxa"/>
            <w:gridSpan w:val="3"/>
          </w:tcPr>
          <w:p w:rsidR="00FA338D" w:rsidRPr="005747DB" w:rsidRDefault="00FA338D" w:rsidP="00B04F23">
            <w:pPr>
              <w:jc w:val="center"/>
              <w:rPr>
                <w:b/>
                <w:highlight w:val="yellow"/>
              </w:rPr>
            </w:pPr>
            <w:r w:rsidRPr="005747DB">
              <w:rPr>
                <w:b/>
              </w:rPr>
              <w:t>II. Tiesību akta projekta ietekme uz sabiedrību</w:t>
            </w:r>
          </w:p>
        </w:tc>
      </w:tr>
      <w:tr w:rsidR="00FA338D" w:rsidRPr="005747DB" w:rsidTr="00DB0194">
        <w:tc>
          <w:tcPr>
            <w:tcW w:w="540" w:type="dxa"/>
          </w:tcPr>
          <w:p w:rsidR="00FA338D" w:rsidRPr="005747DB" w:rsidRDefault="00FA338D" w:rsidP="00B04F23">
            <w:pPr>
              <w:pStyle w:val="naislab"/>
              <w:spacing w:before="0" w:after="0"/>
              <w:jc w:val="center"/>
              <w:outlineLvl w:val="0"/>
            </w:pPr>
            <w:r w:rsidRPr="005747DB">
              <w:t>1.</w:t>
            </w:r>
          </w:p>
        </w:tc>
        <w:tc>
          <w:tcPr>
            <w:tcW w:w="3931" w:type="dxa"/>
          </w:tcPr>
          <w:p w:rsidR="00FA338D" w:rsidRPr="005747DB" w:rsidRDefault="00FA338D" w:rsidP="00B04F23">
            <w:pPr>
              <w:pStyle w:val="naislab"/>
              <w:spacing w:before="0" w:after="0"/>
              <w:jc w:val="both"/>
              <w:outlineLvl w:val="0"/>
              <w:rPr>
                <w:sz w:val="22"/>
                <w:szCs w:val="22"/>
              </w:rPr>
            </w:pPr>
            <w:r w:rsidRPr="005747DB">
              <w:rPr>
                <w:sz w:val="22"/>
                <w:szCs w:val="22"/>
              </w:rPr>
              <w:t>Sabiedrības mērķgrupa</w:t>
            </w:r>
          </w:p>
        </w:tc>
        <w:tc>
          <w:tcPr>
            <w:tcW w:w="5068" w:type="dxa"/>
          </w:tcPr>
          <w:p w:rsidR="0061494D" w:rsidRDefault="00F10A93" w:rsidP="0061494D">
            <w:pPr>
              <w:pStyle w:val="naiskr"/>
              <w:spacing w:before="0" w:after="0"/>
              <w:jc w:val="both"/>
              <w:rPr>
                <w:iCs/>
              </w:rPr>
            </w:pPr>
            <w:r w:rsidRPr="005747DB">
              <w:t xml:space="preserve">Latvijas augstskolu </w:t>
            </w:r>
            <w:r w:rsidR="0061494D" w:rsidRPr="005747DB">
              <w:t xml:space="preserve">un koledžu </w:t>
            </w:r>
            <w:r w:rsidRPr="005747DB">
              <w:t xml:space="preserve">akadēmiskais personāls un studenti. Latvijas zinātnisko institūciju zinātniskie darbinieki. </w:t>
            </w:r>
            <w:r w:rsidRPr="005747DB">
              <w:rPr>
                <w:iCs/>
              </w:rPr>
              <w:t xml:space="preserve">Sabiedrības mērķa grupas lielums ir aptuveni 2000 personas </w:t>
            </w:r>
            <w:r w:rsidRPr="005747DB">
              <w:rPr>
                <w:iCs/>
              </w:rPr>
              <w:lastRenderedPageBreak/>
              <w:t>no 20 institūcijām.</w:t>
            </w:r>
          </w:p>
          <w:p w:rsidR="00066088" w:rsidRPr="005747DB" w:rsidRDefault="00066088" w:rsidP="0061494D">
            <w:pPr>
              <w:pStyle w:val="naiskr"/>
              <w:spacing w:before="0" w:after="0"/>
              <w:jc w:val="both"/>
              <w:rPr>
                <w:highlight w:val="yellow"/>
              </w:rPr>
            </w:pPr>
          </w:p>
        </w:tc>
      </w:tr>
      <w:tr w:rsidR="00EC2650" w:rsidRPr="005747DB" w:rsidTr="00DB0194">
        <w:tc>
          <w:tcPr>
            <w:tcW w:w="540" w:type="dxa"/>
          </w:tcPr>
          <w:p w:rsidR="00EC2650" w:rsidRPr="005747DB" w:rsidRDefault="00EC2650" w:rsidP="00B04F23">
            <w:pPr>
              <w:pStyle w:val="naislab"/>
              <w:spacing w:before="0" w:after="0"/>
              <w:jc w:val="center"/>
              <w:outlineLvl w:val="0"/>
            </w:pPr>
            <w:r w:rsidRPr="005747DB">
              <w:lastRenderedPageBreak/>
              <w:t>2.</w:t>
            </w:r>
          </w:p>
        </w:tc>
        <w:tc>
          <w:tcPr>
            <w:tcW w:w="3931" w:type="dxa"/>
          </w:tcPr>
          <w:p w:rsidR="00EC2650" w:rsidRPr="005747DB" w:rsidRDefault="00EC2650" w:rsidP="00B04F23">
            <w:pPr>
              <w:pStyle w:val="naislab"/>
              <w:spacing w:before="0" w:after="0"/>
              <w:jc w:val="both"/>
              <w:outlineLvl w:val="0"/>
              <w:rPr>
                <w:sz w:val="22"/>
                <w:szCs w:val="22"/>
              </w:rPr>
            </w:pPr>
            <w:r w:rsidRPr="005747DB">
              <w:rPr>
                <w:sz w:val="22"/>
                <w:szCs w:val="22"/>
              </w:rPr>
              <w:t>Citas sabiedrības grupas (bez mērķgrupas), kuras tiesiskais regulējums arī ietekmē vai varētu ietekmēt</w:t>
            </w:r>
          </w:p>
        </w:tc>
        <w:tc>
          <w:tcPr>
            <w:tcW w:w="5068" w:type="dxa"/>
          </w:tcPr>
          <w:p w:rsidR="00EC2650" w:rsidRPr="005747DB" w:rsidRDefault="00307219" w:rsidP="00F10A93">
            <w:pPr>
              <w:jc w:val="both"/>
              <w:rPr>
                <w:highlight w:val="yellow"/>
              </w:rPr>
            </w:pPr>
            <w:r w:rsidRPr="005747DB">
              <w:t xml:space="preserve">Noteikumu </w:t>
            </w:r>
            <w:r w:rsidR="00F10A93" w:rsidRPr="005747DB">
              <w:t>p</w:t>
            </w:r>
            <w:r w:rsidR="00EC2650" w:rsidRPr="005747DB">
              <w:t>rojekts šo jomu neskar</w:t>
            </w:r>
          </w:p>
        </w:tc>
      </w:tr>
      <w:tr w:rsidR="00EC2650" w:rsidRPr="005747DB" w:rsidTr="00DB0194">
        <w:tc>
          <w:tcPr>
            <w:tcW w:w="540" w:type="dxa"/>
          </w:tcPr>
          <w:p w:rsidR="00EC2650" w:rsidRPr="005747DB" w:rsidRDefault="00EC2650" w:rsidP="00B04F23">
            <w:pPr>
              <w:pStyle w:val="naislab"/>
              <w:spacing w:before="0" w:after="0"/>
              <w:jc w:val="center"/>
              <w:outlineLvl w:val="0"/>
            </w:pPr>
            <w:r w:rsidRPr="005747DB">
              <w:t>3.</w:t>
            </w:r>
          </w:p>
        </w:tc>
        <w:tc>
          <w:tcPr>
            <w:tcW w:w="3931" w:type="dxa"/>
          </w:tcPr>
          <w:p w:rsidR="00EC2650" w:rsidRPr="005747DB" w:rsidRDefault="00EC2650" w:rsidP="00B04F23">
            <w:pPr>
              <w:pStyle w:val="naislab"/>
              <w:spacing w:before="0" w:after="0"/>
              <w:jc w:val="both"/>
              <w:outlineLvl w:val="0"/>
              <w:rPr>
                <w:sz w:val="22"/>
                <w:szCs w:val="22"/>
              </w:rPr>
            </w:pPr>
            <w:r w:rsidRPr="005747DB">
              <w:rPr>
                <w:sz w:val="22"/>
                <w:szCs w:val="22"/>
              </w:rPr>
              <w:t>Tiesiskā regulējuma finansiālā ietekme</w:t>
            </w:r>
          </w:p>
        </w:tc>
        <w:tc>
          <w:tcPr>
            <w:tcW w:w="5068" w:type="dxa"/>
          </w:tcPr>
          <w:p w:rsidR="00CD1A73" w:rsidRDefault="00D93CEF" w:rsidP="00CD1A73">
            <w:pPr>
              <w:pStyle w:val="naiskr"/>
              <w:spacing w:before="0" w:after="0"/>
              <w:ind w:left="38" w:right="141"/>
              <w:jc w:val="both"/>
            </w:pPr>
            <w:r w:rsidRPr="005747DB">
              <w:t>Noteikumu projekts šo jomu neskar</w:t>
            </w:r>
          </w:p>
          <w:p w:rsidR="00066088" w:rsidRPr="005747DB" w:rsidRDefault="00066088" w:rsidP="00CD1A73">
            <w:pPr>
              <w:pStyle w:val="naiskr"/>
              <w:spacing w:before="0" w:after="0"/>
              <w:ind w:left="38" w:right="141"/>
              <w:jc w:val="both"/>
              <w:rPr>
                <w:highlight w:val="yellow"/>
              </w:rPr>
            </w:pPr>
          </w:p>
        </w:tc>
      </w:tr>
      <w:tr w:rsidR="00EC2650" w:rsidRPr="005747DB" w:rsidTr="00DB0194">
        <w:tc>
          <w:tcPr>
            <w:tcW w:w="540" w:type="dxa"/>
          </w:tcPr>
          <w:p w:rsidR="00EC2650" w:rsidRPr="005747DB" w:rsidRDefault="00EC2650" w:rsidP="00B04F23">
            <w:pPr>
              <w:pStyle w:val="naislab"/>
              <w:spacing w:before="0" w:after="0"/>
              <w:jc w:val="center"/>
              <w:outlineLvl w:val="0"/>
            </w:pPr>
            <w:r w:rsidRPr="005747DB">
              <w:t>4.</w:t>
            </w:r>
          </w:p>
        </w:tc>
        <w:tc>
          <w:tcPr>
            <w:tcW w:w="3931" w:type="dxa"/>
          </w:tcPr>
          <w:p w:rsidR="00EC2650" w:rsidRPr="005747DB" w:rsidRDefault="00EC2650" w:rsidP="00B04F23">
            <w:pPr>
              <w:pStyle w:val="naislab"/>
              <w:spacing w:before="0" w:after="0"/>
              <w:jc w:val="both"/>
              <w:outlineLvl w:val="0"/>
              <w:rPr>
                <w:sz w:val="22"/>
                <w:szCs w:val="22"/>
              </w:rPr>
            </w:pPr>
            <w:r w:rsidRPr="005747DB">
              <w:rPr>
                <w:sz w:val="22"/>
                <w:szCs w:val="22"/>
              </w:rPr>
              <w:t>Tiesiskā regulējuma nefinansiālā ietekme</w:t>
            </w:r>
          </w:p>
        </w:tc>
        <w:tc>
          <w:tcPr>
            <w:tcW w:w="5068" w:type="dxa"/>
          </w:tcPr>
          <w:p w:rsidR="00EC2650" w:rsidRDefault="00D93CEF" w:rsidP="00D93CEF">
            <w:pPr>
              <w:jc w:val="both"/>
            </w:pPr>
            <w:r w:rsidRPr="005747DB">
              <w:t>Noteikumu projekts šo jomu neskar</w:t>
            </w:r>
          </w:p>
          <w:p w:rsidR="00066088" w:rsidRPr="005747DB" w:rsidRDefault="00066088" w:rsidP="00D93CEF">
            <w:pPr>
              <w:jc w:val="both"/>
              <w:rPr>
                <w:highlight w:val="yellow"/>
              </w:rPr>
            </w:pPr>
          </w:p>
        </w:tc>
      </w:tr>
      <w:tr w:rsidR="00EC2650" w:rsidRPr="005747DB" w:rsidTr="00DB0194">
        <w:tc>
          <w:tcPr>
            <w:tcW w:w="540" w:type="dxa"/>
          </w:tcPr>
          <w:p w:rsidR="00EC2650" w:rsidRPr="005747DB" w:rsidRDefault="00EC2650" w:rsidP="00B04F23">
            <w:pPr>
              <w:pStyle w:val="naislab"/>
              <w:spacing w:before="0" w:after="0"/>
              <w:jc w:val="center"/>
              <w:outlineLvl w:val="0"/>
            </w:pPr>
            <w:r w:rsidRPr="005747DB">
              <w:t>5.</w:t>
            </w:r>
          </w:p>
        </w:tc>
        <w:tc>
          <w:tcPr>
            <w:tcW w:w="3931" w:type="dxa"/>
          </w:tcPr>
          <w:p w:rsidR="00EC2650" w:rsidRPr="005747DB" w:rsidRDefault="00EC2650" w:rsidP="00B04F23">
            <w:pPr>
              <w:pStyle w:val="naislab"/>
              <w:spacing w:before="0" w:after="0"/>
              <w:jc w:val="both"/>
              <w:outlineLvl w:val="0"/>
              <w:rPr>
                <w:sz w:val="22"/>
                <w:szCs w:val="22"/>
              </w:rPr>
            </w:pPr>
            <w:r w:rsidRPr="005747DB">
              <w:rPr>
                <w:sz w:val="22"/>
                <w:szCs w:val="22"/>
              </w:rPr>
              <w:t>Administratīvās procedūras raksturojums</w:t>
            </w:r>
          </w:p>
        </w:tc>
        <w:tc>
          <w:tcPr>
            <w:tcW w:w="5068" w:type="dxa"/>
          </w:tcPr>
          <w:p w:rsidR="00EC2650" w:rsidRDefault="00D93CEF" w:rsidP="00B04F23">
            <w:pPr>
              <w:jc w:val="both"/>
            </w:pPr>
            <w:r w:rsidRPr="005747DB">
              <w:t>Noteikumu projekts šo jomu neskar</w:t>
            </w:r>
          </w:p>
          <w:p w:rsidR="00066088" w:rsidRPr="005747DB" w:rsidRDefault="00066088" w:rsidP="00B04F23">
            <w:pPr>
              <w:jc w:val="both"/>
              <w:rPr>
                <w:highlight w:val="yellow"/>
              </w:rPr>
            </w:pPr>
          </w:p>
        </w:tc>
      </w:tr>
      <w:tr w:rsidR="00EC2650" w:rsidRPr="005747DB" w:rsidTr="00DB0194">
        <w:tc>
          <w:tcPr>
            <w:tcW w:w="540" w:type="dxa"/>
          </w:tcPr>
          <w:p w:rsidR="00EC2650" w:rsidRPr="005747DB" w:rsidRDefault="00EC2650" w:rsidP="00B04F23">
            <w:pPr>
              <w:pStyle w:val="naislab"/>
              <w:spacing w:before="0" w:after="0"/>
              <w:jc w:val="center"/>
              <w:outlineLvl w:val="0"/>
            </w:pPr>
            <w:r w:rsidRPr="005747DB">
              <w:t>6.</w:t>
            </w:r>
          </w:p>
        </w:tc>
        <w:tc>
          <w:tcPr>
            <w:tcW w:w="3931" w:type="dxa"/>
          </w:tcPr>
          <w:p w:rsidR="00EC2650" w:rsidRPr="005747DB" w:rsidRDefault="00EC2650" w:rsidP="00B04F23">
            <w:pPr>
              <w:pStyle w:val="naislab"/>
              <w:spacing w:before="0" w:after="0"/>
              <w:jc w:val="both"/>
              <w:outlineLvl w:val="0"/>
              <w:rPr>
                <w:sz w:val="22"/>
                <w:szCs w:val="22"/>
              </w:rPr>
            </w:pPr>
            <w:r w:rsidRPr="005747DB">
              <w:rPr>
                <w:sz w:val="22"/>
                <w:szCs w:val="22"/>
              </w:rPr>
              <w:t>Administratīvo izmaksu monetārs novērtējums</w:t>
            </w:r>
          </w:p>
        </w:tc>
        <w:tc>
          <w:tcPr>
            <w:tcW w:w="5068" w:type="dxa"/>
          </w:tcPr>
          <w:p w:rsidR="00EC2650" w:rsidRDefault="00E95B0A" w:rsidP="00B04F23">
            <w:pPr>
              <w:jc w:val="both"/>
            </w:pPr>
            <w:r w:rsidRPr="005747DB">
              <w:t>Informācijas iesniegšanas un uzglabāšanas pienākumi neradīs papildus izmaksas</w:t>
            </w:r>
          </w:p>
          <w:p w:rsidR="00066088" w:rsidRPr="005747DB" w:rsidRDefault="00066088" w:rsidP="00B04F23">
            <w:pPr>
              <w:jc w:val="both"/>
              <w:rPr>
                <w:highlight w:val="yellow"/>
              </w:rPr>
            </w:pPr>
          </w:p>
        </w:tc>
      </w:tr>
      <w:tr w:rsidR="00FA338D" w:rsidRPr="005747DB" w:rsidTr="00DB0194">
        <w:tc>
          <w:tcPr>
            <w:tcW w:w="540" w:type="dxa"/>
          </w:tcPr>
          <w:p w:rsidR="00FA338D" w:rsidRPr="005747DB" w:rsidRDefault="00FA338D" w:rsidP="00B04F23">
            <w:pPr>
              <w:pStyle w:val="naislab"/>
              <w:spacing w:before="0" w:after="0"/>
              <w:jc w:val="center"/>
              <w:outlineLvl w:val="0"/>
            </w:pPr>
            <w:r w:rsidRPr="005747DB">
              <w:t>7.</w:t>
            </w:r>
          </w:p>
        </w:tc>
        <w:tc>
          <w:tcPr>
            <w:tcW w:w="3931" w:type="dxa"/>
          </w:tcPr>
          <w:p w:rsidR="00FA338D" w:rsidRPr="005747DB" w:rsidRDefault="00FA338D" w:rsidP="00B04F23">
            <w:pPr>
              <w:pStyle w:val="naislab"/>
              <w:spacing w:before="0" w:after="0"/>
              <w:jc w:val="both"/>
              <w:outlineLvl w:val="0"/>
              <w:rPr>
                <w:sz w:val="22"/>
                <w:szCs w:val="22"/>
              </w:rPr>
            </w:pPr>
            <w:r w:rsidRPr="005747DB">
              <w:rPr>
                <w:sz w:val="22"/>
                <w:szCs w:val="22"/>
              </w:rPr>
              <w:t>Cita informācija</w:t>
            </w:r>
          </w:p>
        </w:tc>
        <w:tc>
          <w:tcPr>
            <w:tcW w:w="5068" w:type="dxa"/>
          </w:tcPr>
          <w:p w:rsidR="003E0985" w:rsidRPr="005747DB" w:rsidRDefault="00DF24E5" w:rsidP="006E22B4">
            <w:pPr>
              <w:jc w:val="both"/>
              <w:rPr>
                <w:strike/>
                <w:sz w:val="20"/>
                <w:szCs w:val="20"/>
                <w:highlight w:val="yellow"/>
              </w:rPr>
            </w:pPr>
            <w:r w:rsidRPr="005747DB">
              <w:t>Nav</w:t>
            </w:r>
          </w:p>
        </w:tc>
      </w:tr>
    </w:tbl>
    <w:p w:rsidR="00D5038B" w:rsidRPr="005747DB" w:rsidRDefault="00D5038B" w:rsidP="00FA338D">
      <w:pPr>
        <w:rPr>
          <w:highlight w:val="yellow"/>
        </w:rPr>
      </w:pPr>
    </w:p>
    <w:p w:rsidR="00832E31" w:rsidRPr="005747DB" w:rsidRDefault="00832E31" w:rsidP="00A83FBC">
      <w:r w:rsidRPr="005747DB">
        <w:t>Anotācijas III, IV, V un VI sadaļa – noteikumu projekts šīs jomas neskar</w:t>
      </w:r>
    </w:p>
    <w:p w:rsidR="00A83FBC" w:rsidRPr="005747DB" w:rsidRDefault="00A83FBC" w:rsidP="00FA338D">
      <w:pPr>
        <w:rPr>
          <w:highlight w:val="yellow"/>
        </w:rPr>
      </w:pPr>
    </w:p>
    <w:tbl>
      <w:tblPr>
        <w:tblW w:w="95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895"/>
        <w:gridCol w:w="5304"/>
      </w:tblGrid>
      <w:tr w:rsidR="00FA338D" w:rsidRPr="005747DB" w:rsidTr="00AF73A5">
        <w:trPr>
          <w:trHeight w:val="279"/>
        </w:trPr>
        <w:tc>
          <w:tcPr>
            <w:tcW w:w="9595" w:type="dxa"/>
            <w:gridSpan w:val="3"/>
          </w:tcPr>
          <w:p w:rsidR="00FA338D" w:rsidRPr="005747DB" w:rsidRDefault="00FA338D" w:rsidP="00B04F23">
            <w:pPr>
              <w:jc w:val="center"/>
              <w:rPr>
                <w:b/>
              </w:rPr>
            </w:pPr>
            <w:r w:rsidRPr="005747DB">
              <w:rPr>
                <w:b/>
              </w:rPr>
              <w:t>VII. Tiesību akta projekta izpildes nodrošināšana un tās ietekme uz institūcijām</w:t>
            </w:r>
          </w:p>
        </w:tc>
      </w:tr>
      <w:tr w:rsidR="008E18DD" w:rsidRPr="005747DB" w:rsidTr="00984885">
        <w:trPr>
          <w:trHeight w:val="279"/>
        </w:trPr>
        <w:tc>
          <w:tcPr>
            <w:tcW w:w="396" w:type="dxa"/>
          </w:tcPr>
          <w:p w:rsidR="008E18DD" w:rsidRPr="005747DB" w:rsidRDefault="008E18DD" w:rsidP="00B04F23">
            <w:pPr>
              <w:jc w:val="both"/>
            </w:pPr>
            <w:r w:rsidRPr="005747DB">
              <w:t>1.</w:t>
            </w:r>
          </w:p>
        </w:tc>
        <w:tc>
          <w:tcPr>
            <w:tcW w:w="3895" w:type="dxa"/>
          </w:tcPr>
          <w:p w:rsidR="008E18DD" w:rsidRPr="005747DB" w:rsidRDefault="008E18DD" w:rsidP="00B04F23">
            <w:pPr>
              <w:jc w:val="both"/>
              <w:rPr>
                <w:sz w:val="22"/>
                <w:szCs w:val="22"/>
              </w:rPr>
            </w:pPr>
            <w:r w:rsidRPr="005747DB">
              <w:rPr>
                <w:sz w:val="22"/>
                <w:szCs w:val="22"/>
              </w:rPr>
              <w:t>Projekta izpildē iesaistītās institūcijas</w:t>
            </w:r>
          </w:p>
        </w:tc>
        <w:tc>
          <w:tcPr>
            <w:tcW w:w="5304" w:type="dxa"/>
          </w:tcPr>
          <w:p w:rsidR="008E0AD0" w:rsidRDefault="00B84D90" w:rsidP="000E046E">
            <w:pPr>
              <w:pStyle w:val="naisnod"/>
              <w:spacing w:before="0" w:after="0"/>
              <w:ind w:left="48" w:right="57"/>
              <w:jc w:val="left"/>
              <w:rPr>
                <w:b w:val="0"/>
              </w:rPr>
            </w:pPr>
            <w:r w:rsidRPr="005747DB">
              <w:rPr>
                <w:b w:val="0"/>
              </w:rPr>
              <w:t>Nozares ministrija un</w:t>
            </w:r>
            <w:r w:rsidR="000E046E" w:rsidRPr="005747DB">
              <w:rPr>
                <w:b w:val="0"/>
              </w:rPr>
              <w:t xml:space="preserve"> starpniekinstitūcija</w:t>
            </w:r>
            <w:r w:rsidR="0007011A" w:rsidRPr="005747DB">
              <w:rPr>
                <w:b w:val="0"/>
              </w:rPr>
              <w:t>.</w:t>
            </w:r>
            <w:r w:rsidR="00E03750" w:rsidRPr="005747DB">
              <w:rPr>
                <w:b w:val="0"/>
              </w:rPr>
              <w:t xml:space="preserve"> Latvijas augstskolas, koledžas un zinātniskās institūcijas.</w:t>
            </w:r>
          </w:p>
          <w:p w:rsidR="00066088" w:rsidRPr="005747DB" w:rsidRDefault="00066088" w:rsidP="000E046E">
            <w:pPr>
              <w:pStyle w:val="naisnod"/>
              <w:spacing w:before="0" w:after="0"/>
              <w:ind w:left="48" w:right="57"/>
              <w:jc w:val="left"/>
              <w:rPr>
                <w:b w:val="0"/>
              </w:rPr>
            </w:pPr>
          </w:p>
        </w:tc>
      </w:tr>
      <w:tr w:rsidR="00EC2650" w:rsidRPr="005747DB" w:rsidTr="00984885">
        <w:trPr>
          <w:trHeight w:val="279"/>
        </w:trPr>
        <w:tc>
          <w:tcPr>
            <w:tcW w:w="396" w:type="dxa"/>
          </w:tcPr>
          <w:p w:rsidR="00EC2650" w:rsidRPr="005747DB" w:rsidRDefault="00EC2650" w:rsidP="00B04F23">
            <w:pPr>
              <w:jc w:val="both"/>
            </w:pPr>
            <w:r w:rsidRPr="005747DB">
              <w:t>2.</w:t>
            </w:r>
          </w:p>
        </w:tc>
        <w:tc>
          <w:tcPr>
            <w:tcW w:w="3895" w:type="dxa"/>
          </w:tcPr>
          <w:p w:rsidR="001E32FB" w:rsidRPr="005747DB" w:rsidRDefault="00EC2650" w:rsidP="001E32FB">
            <w:pPr>
              <w:jc w:val="both"/>
              <w:rPr>
                <w:sz w:val="22"/>
                <w:szCs w:val="22"/>
              </w:rPr>
            </w:pPr>
            <w:r w:rsidRPr="005747DB">
              <w:rPr>
                <w:sz w:val="22"/>
                <w:szCs w:val="22"/>
              </w:rPr>
              <w:t>Projekta izpildes ietekme uz pārvaldes funkcijām</w:t>
            </w:r>
          </w:p>
        </w:tc>
        <w:tc>
          <w:tcPr>
            <w:tcW w:w="5304" w:type="dxa"/>
          </w:tcPr>
          <w:p w:rsidR="008736D0" w:rsidRPr="005747DB" w:rsidRDefault="002F576A" w:rsidP="00FA6AFF">
            <w:pPr>
              <w:pStyle w:val="tv20787921"/>
              <w:spacing w:after="0" w:line="240" w:lineRule="auto"/>
              <w:jc w:val="left"/>
              <w:rPr>
                <w:rFonts w:ascii="Times New Roman" w:hAnsi="Times New Roman"/>
                <w:b w:val="0"/>
                <w:sz w:val="24"/>
                <w:szCs w:val="24"/>
                <w:highlight w:val="yellow"/>
              </w:rPr>
            </w:pPr>
            <w:r w:rsidRPr="005747DB">
              <w:rPr>
                <w:rFonts w:ascii="Times New Roman" w:hAnsi="Times New Roman"/>
                <w:b w:val="0"/>
                <w:sz w:val="24"/>
                <w:szCs w:val="24"/>
              </w:rPr>
              <w:t>Noteikumu projekts šo jomu neskar</w:t>
            </w:r>
          </w:p>
        </w:tc>
      </w:tr>
      <w:tr w:rsidR="00EC2650" w:rsidRPr="005747DB" w:rsidTr="00984885">
        <w:trPr>
          <w:trHeight w:val="279"/>
        </w:trPr>
        <w:tc>
          <w:tcPr>
            <w:tcW w:w="396" w:type="dxa"/>
          </w:tcPr>
          <w:p w:rsidR="00EC2650" w:rsidRPr="005747DB" w:rsidRDefault="00EC2650" w:rsidP="00B04F23">
            <w:pPr>
              <w:jc w:val="both"/>
            </w:pPr>
            <w:r w:rsidRPr="005747DB">
              <w:t>3.</w:t>
            </w:r>
          </w:p>
        </w:tc>
        <w:tc>
          <w:tcPr>
            <w:tcW w:w="3895" w:type="dxa"/>
          </w:tcPr>
          <w:p w:rsidR="00EC2650" w:rsidRPr="005747DB" w:rsidRDefault="00EC2650" w:rsidP="00B04F23">
            <w:pPr>
              <w:ind w:left="57" w:right="57"/>
              <w:rPr>
                <w:sz w:val="22"/>
                <w:szCs w:val="22"/>
              </w:rPr>
            </w:pPr>
            <w:r w:rsidRPr="005747DB">
              <w:rPr>
                <w:sz w:val="22"/>
                <w:szCs w:val="22"/>
              </w:rPr>
              <w:t>Projekta izpildes ietekme uz pārvaldes institucionālo struktūru.</w:t>
            </w:r>
          </w:p>
          <w:p w:rsidR="00EC2650" w:rsidRPr="005747DB" w:rsidRDefault="00EC2650" w:rsidP="00B04F23">
            <w:pPr>
              <w:jc w:val="both"/>
              <w:rPr>
                <w:sz w:val="22"/>
                <w:szCs w:val="22"/>
              </w:rPr>
            </w:pPr>
            <w:r w:rsidRPr="005747DB">
              <w:rPr>
                <w:sz w:val="22"/>
                <w:szCs w:val="22"/>
              </w:rPr>
              <w:t>Jaunu institūciju izveide</w:t>
            </w:r>
          </w:p>
        </w:tc>
        <w:tc>
          <w:tcPr>
            <w:tcW w:w="5304" w:type="dxa"/>
          </w:tcPr>
          <w:p w:rsidR="00EC2650" w:rsidRPr="005747DB" w:rsidRDefault="002F576A" w:rsidP="0007011A">
            <w:pPr>
              <w:pStyle w:val="naisnod"/>
              <w:spacing w:before="0" w:after="0"/>
              <w:ind w:left="48" w:right="57"/>
              <w:jc w:val="both"/>
              <w:rPr>
                <w:b w:val="0"/>
              </w:rPr>
            </w:pPr>
            <w:r w:rsidRPr="005747DB">
              <w:rPr>
                <w:b w:val="0"/>
              </w:rPr>
              <w:t>Noteikumu projekts šo jomu neskar</w:t>
            </w:r>
          </w:p>
        </w:tc>
      </w:tr>
      <w:tr w:rsidR="00EC2650" w:rsidRPr="005747DB" w:rsidTr="00984885">
        <w:trPr>
          <w:trHeight w:val="279"/>
        </w:trPr>
        <w:tc>
          <w:tcPr>
            <w:tcW w:w="396" w:type="dxa"/>
          </w:tcPr>
          <w:p w:rsidR="00EC2650" w:rsidRPr="005747DB" w:rsidRDefault="00EC2650" w:rsidP="00B04F23">
            <w:pPr>
              <w:jc w:val="both"/>
            </w:pPr>
            <w:r w:rsidRPr="005747DB">
              <w:t>4.</w:t>
            </w:r>
          </w:p>
        </w:tc>
        <w:tc>
          <w:tcPr>
            <w:tcW w:w="3895" w:type="dxa"/>
          </w:tcPr>
          <w:p w:rsidR="00EC2650" w:rsidRPr="005747DB" w:rsidRDefault="00EC2650" w:rsidP="00B04F23">
            <w:pPr>
              <w:ind w:left="57" w:right="57"/>
              <w:rPr>
                <w:sz w:val="22"/>
                <w:szCs w:val="22"/>
              </w:rPr>
            </w:pPr>
            <w:r w:rsidRPr="005747DB">
              <w:rPr>
                <w:sz w:val="22"/>
                <w:szCs w:val="22"/>
              </w:rPr>
              <w:t>Projekta izpildes ietekme uz pārvaldes institucionālo struktūru.</w:t>
            </w:r>
          </w:p>
          <w:p w:rsidR="00EC2650" w:rsidRPr="005747DB" w:rsidRDefault="00EC2650" w:rsidP="00B04F23">
            <w:pPr>
              <w:jc w:val="both"/>
              <w:rPr>
                <w:sz w:val="22"/>
                <w:szCs w:val="22"/>
              </w:rPr>
            </w:pPr>
            <w:r w:rsidRPr="005747DB">
              <w:rPr>
                <w:sz w:val="22"/>
                <w:szCs w:val="22"/>
              </w:rPr>
              <w:t>Esošu institūciju likvidācija</w:t>
            </w:r>
          </w:p>
        </w:tc>
        <w:tc>
          <w:tcPr>
            <w:tcW w:w="5304" w:type="dxa"/>
          </w:tcPr>
          <w:p w:rsidR="00EC2650" w:rsidRPr="005747DB" w:rsidRDefault="002F576A" w:rsidP="008C7221">
            <w:pPr>
              <w:pStyle w:val="naisnod"/>
              <w:spacing w:before="0" w:after="0"/>
              <w:ind w:left="48" w:right="57"/>
              <w:jc w:val="both"/>
              <w:rPr>
                <w:b w:val="0"/>
              </w:rPr>
            </w:pPr>
            <w:r w:rsidRPr="005747DB">
              <w:rPr>
                <w:b w:val="0"/>
              </w:rPr>
              <w:t>Noteikumu projekts šo jomu neskar</w:t>
            </w:r>
          </w:p>
        </w:tc>
      </w:tr>
      <w:tr w:rsidR="00EC2650" w:rsidRPr="005747DB" w:rsidTr="00984885">
        <w:trPr>
          <w:trHeight w:val="279"/>
        </w:trPr>
        <w:tc>
          <w:tcPr>
            <w:tcW w:w="396" w:type="dxa"/>
          </w:tcPr>
          <w:p w:rsidR="00EC2650" w:rsidRPr="005747DB" w:rsidRDefault="00EC2650" w:rsidP="00B04F23">
            <w:pPr>
              <w:jc w:val="both"/>
            </w:pPr>
            <w:r w:rsidRPr="005747DB">
              <w:t>5.</w:t>
            </w:r>
          </w:p>
        </w:tc>
        <w:tc>
          <w:tcPr>
            <w:tcW w:w="3895" w:type="dxa"/>
          </w:tcPr>
          <w:p w:rsidR="00EC2650" w:rsidRPr="005747DB" w:rsidRDefault="00EC2650" w:rsidP="00B04F23">
            <w:pPr>
              <w:ind w:left="57" w:right="57"/>
              <w:rPr>
                <w:sz w:val="22"/>
                <w:szCs w:val="22"/>
              </w:rPr>
            </w:pPr>
            <w:r w:rsidRPr="005747DB">
              <w:rPr>
                <w:sz w:val="22"/>
                <w:szCs w:val="22"/>
              </w:rPr>
              <w:t>Projekta izpildes ietekme uz pārvaldes institucionālo struktūru.</w:t>
            </w:r>
          </w:p>
          <w:p w:rsidR="00EC2650" w:rsidRPr="005747DB" w:rsidRDefault="008C7221" w:rsidP="00B04F23">
            <w:pPr>
              <w:jc w:val="both"/>
              <w:rPr>
                <w:sz w:val="22"/>
                <w:szCs w:val="22"/>
              </w:rPr>
            </w:pPr>
            <w:r w:rsidRPr="005747DB">
              <w:rPr>
                <w:sz w:val="22"/>
                <w:szCs w:val="22"/>
              </w:rPr>
              <w:t xml:space="preserve"> </w:t>
            </w:r>
            <w:r w:rsidR="00EC2650" w:rsidRPr="005747DB">
              <w:rPr>
                <w:sz w:val="22"/>
                <w:szCs w:val="22"/>
              </w:rPr>
              <w:t>Esošu institūciju reorganizācija</w:t>
            </w:r>
          </w:p>
        </w:tc>
        <w:tc>
          <w:tcPr>
            <w:tcW w:w="5304" w:type="dxa"/>
          </w:tcPr>
          <w:p w:rsidR="00EC2650" w:rsidRPr="005747DB" w:rsidRDefault="002F576A" w:rsidP="000D2560">
            <w:pPr>
              <w:pStyle w:val="naisnod"/>
              <w:spacing w:before="0" w:after="0"/>
              <w:ind w:left="48" w:right="57"/>
              <w:jc w:val="both"/>
              <w:rPr>
                <w:b w:val="0"/>
              </w:rPr>
            </w:pPr>
            <w:r w:rsidRPr="005747DB">
              <w:rPr>
                <w:b w:val="0"/>
              </w:rPr>
              <w:t>Noteikumu projekts šo jomu neskar</w:t>
            </w:r>
          </w:p>
        </w:tc>
      </w:tr>
      <w:tr w:rsidR="008E18DD" w:rsidRPr="005747DB" w:rsidTr="00984885">
        <w:trPr>
          <w:trHeight w:val="279"/>
        </w:trPr>
        <w:tc>
          <w:tcPr>
            <w:tcW w:w="396" w:type="dxa"/>
          </w:tcPr>
          <w:p w:rsidR="008E18DD" w:rsidRPr="005747DB" w:rsidRDefault="008E18DD" w:rsidP="00B04F23">
            <w:pPr>
              <w:jc w:val="both"/>
            </w:pPr>
            <w:r w:rsidRPr="005747DB">
              <w:t>6.</w:t>
            </w:r>
          </w:p>
        </w:tc>
        <w:tc>
          <w:tcPr>
            <w:tcW w:w="3895" w:type="dxa"/>
          </w:tcPr>
          <w:p w:rsidR="008E18DD" w:rsidRPr="005747DB" w:rsidRDefault="008E18DD" w:rsidP="00B04F23">
            <w:pPr>
              <w:jc w:val="both"/>
              <w:rPr>
                <w:sz w:val="22"/>
                <w:szCs w:val="22"/>
              </w:rPr>
            </w:pPr>
            <w:r w:rsidRPr="005747DB">
              <w:rPr>
                <w:sz w:val="22"/>
                <w:szCs w:val="22"/>
              </w:rPr>
              <w:t>Cita informācija</w:t>
            </w:r>
          </w:p>
        </w:tc>
        <w:tc>
          <w:tcPr>
            <w:tcW w:w="5304" w:type="dxa"/>
          </w:tcPr>
          <w:p w:rsidR="008E18DD" w:rsidRPr="005747DB" w:rsidRDefault="008E18DD" w:rsidP="000D2560">
            <w:pPr>
              <w:pStyle w:val="naiskr"/>
              <w:spacing w:before="0" w:after="0"/>
              <w:ind w:left="48" w:right="57"/>
            </w:pPr>
            <w:r w:rsidRPr="005747DB">
              <w:t>Nav</w:t>
            </w:r>
          </w:p>
        </w:tc>
      </w:tr>
    </w:tbl>
    <w:p w:rsidR="00FA338D" w:rsidRPr="005747DB" w:rsidRDefault="00FA338D" w:rsidP="00FA338D">
      <w:pPr>
        <w:ind w:firstLine="709"/>
        <w:jc w:val="both"/>
        <w:rPr>
          <w:highlight w:val="yellow"/>
        </w:rPr>
      </w:pPr>
    </w:p>
    <w:p w:rsidR="006B6221" w:rsidRPr="005747DB" w:rsidRDefault="006B6221" w:rsidP="00FA338D">
      <w:pPr>
        <w:ind w:firstLine="709"/>
        <w:jc w:val="both"/>
        <w:rPr>
          <w:highlight w:val="yellow"/>
        </w:rPr>
      </w:pPr>
    </w:p>
    <w:p w:rsidR="00592A76" w:rsidRPr="005747DB" w:rsidRDefault="00592A76" w:rsidP="00592A76">
      <w:pPr>
        <w:tabs>
          <w:tab w:val="left" w:pos="7655"/>
        </w:tabs>
        <w:rPr>
          <w:bCs/>
          <w:sz w:val="28"/>
          <w:szCs w:val="28"/>
        </w:rPr>
      </w:pPr>
      <w:r w:rsidRPr="005747DB">
        <w:rPr>
          <w:sz w:val="28"/>
          <w:szCs w:val="28"/>
        </w:rPr>
        <w:t>Izglītības un zinātnes ministrs</w:t>
      </w:r>
      <w:r w:rsidR="009B4C2F" w:rsidRPr="005747DB">
        <w:rPr>
          <w:sz w:val="28"/>
          <w:szCs w:val="28"/>
        </w:rPr>
        <w:t xml:space="preserve">     </w:t>
      </w:r>
      <w:r w:rsidR="008B674A">
        <w:rPr>
          <w:sz w:val="28"/>
          <w:szCs w:val="28"/>
        </w:rPr>
        <w:t xml:space="preserve">                                                   </w:t>
      </w:r>
      <w:proofErr w:type="spellStart"/>
      <w:r w:rsidR="008B674A">
        <w:rPr>
          <w:sz w:val="28"/>
          <w:szCs w:val="28"/>
        </w:rPr>
        <w:t>V.Dombrovskis</w:t>
      </w:r>
      <w:proofErr w:type="spellEnd"/>
      <w:r w:rsidR="008B674A">
        <w:rPr>
          <w:sz w:val="28"/>
          <w:szCs w:val="28"/>
        </w:rPr>
        <w:t xml:space="preserve"> </w:t>
      </w:r>
    </w:p>
    <w:p w:rsidR="00FA338D" w:rsidRPr="005747DB" w:rsidRDefault="00FA338D" w:rsidP="00FA338D">
      <w:pPr>
        <w:ind w:firstLine="709"/>
        <w:jc w:val="both"/>
        <w:rPr>
          <w:sz w:val="28"/>
          <w:szCs w:val="28"/>
          <w:highlight w:val="yellow"/>
        </w:rPr>
      </w:pPr>
    </w:p>
    <w:p w:rsidR="00E073AB" w:rsidRPr="005747DB" w:rsidRDefault="00E073AB" w:rsidP="00E073AB">
      <w:pPr>
        <w:pStyle w:val="naisf"/>
        <w:ind w:left="-426" w:right="-483" w:firstLine="426"/>
        <w:rPr>
          <w:sz w:val="28"/>
          <w:szCs w:val="28"/>
        </w:rPr>
      </w:pPr>
      <w:r w:rsidRPr="005747DB">
        <w:rPr>
          <w:sz w:val="28"/>
          <w:szCs w:val="28"/>
        </w:rPr>
        <w:t>Vīza:</w:t>
      </w:r>
    </w:p>
    <w:p w:rsidR="00E073AB" w:rsidRPr="005747DB" w:rsidRDefault="00E073AB" w:rsidP="00E073AB">
      <w:pPr>
        <w:pStyle w:val="naisf"/>
        <w:spacing w:before="0" w:after="0"/>
        <w:ind w:left="-426" w:right="-483" w:firstLine="426"/>
        <w:rPr>
          <w:sz w:val="28"/>
          <w:szCs w:val="28"/>
        </w:rPr>
      </w:pPr>
      <w:r w:rsidRPr="005747DB">
        <w:rPr>
          <w:sz w:val="28"/>
          <w:szCs w:val="28"/>
        </w:rPr>
        <w:t>Valsts sekretāre</w:t>
      </w:r>
      <w:r w:rsidRPr="005747DB">
        <w:rPr>
          <w:sz w:val="28"/>
          <w:szCs w:val="28"/>
        </w:rPr>
        <w:tab/>
      </w:r>
      <w:r w:rsidRPr="005747DB">
        <w:rPr>
          <w:sz w:val="28"/>
          <w:szCs w:val="28"/>
        </w:rPr>
        <w:tab/>
      </w:r>
      <w:r w:rsidRPr="005747DB">
        <w:rPr>
          <w:sz w:val="28"/>
          <w:szCs w:val="28"/>
        </w:rPr>
        <w:tab/>
      </w:r>
      <w:r w:rsidRPr="005747DB">
        <w:rPr>
          <w:sz w:val="28"/>
          <w:szCs w:val="28"/>
        </w:rPr>
        <w:tab/>
      </w:r>
      <w:r w:rsidRPr="005747DB">
        <w:rPr>
          <w:sz w:val="28"/>
          <w:szCs w:val="28"/>
        </w:rPr>
        <w:tab/>
      </w:r>
      <w:r w:rsidRPr="005747DB">
        <w:rPr>
          <w:sz w:val="28"/>
          <w:szCs w:val="28"/>
        </w:rPr>
        <w:tab/>
      </w:r>
      <w:r w:rsidRPr="005747DB">
        <w:rPr>
          <w:sz w:val="28"/>
          <w:szCs w:val="28"/>
        </w:rPr>
        <w:tab/>
      </w:r>
      <w:r w:rsidRPr="005747DB">
        <w:rPr>
          <w:sz w:val="28"/>
          <w:szCs w:val="28"/>
        </w:rPr>
        <w:tab/>
        <w:t xml:space="preserve">       </w:t>
      </w:r>
      <w:r w:rsidR="00AF30B1" w:rsidRPr="005747DB">
        <w:rPr>
          <w:sz w:val="28"/>
          <w:szCs w:val="28"/>
        </w:rPr>
        <w:t>S</w:t>
      </w:r>
      <w:r w:rsidRPr="005747DB">
        <w:rPr>
          <w:sz w:val="28"/>
          <w:szCs w:val="28"/>
        </w:rPr>
        <w:t>.</w:t>
      </w:r>
      <w:r w:rsidR="00AF30B1" w:rsidRPr="005747DB">
        <w:rPr>
          <w:sz w:val="28"/>
          <w:szCs w:val="28"/>
        </w:rPr>
        <w:t>Liepiņa</w:t>
      </w:r>
    </w:p>
    <w:p w:rsidR="00E073AB" w:rsidRPr="005747DB" w:rsidRDefault="00E073AB" w:rsidP="00830C4E">
      <w:pPr>
        <w:jc w:val="both"/>
        <w:rPr>
          <w:highlight w:val="yellow"/>
        </w:rPr>
      </w:pPr>
    </w:p>
    <w:p w:rsidR="004953E6" w:rsidRPr="005747DB" w:rsidRDefault="004953E6" w:rsidP="00830C4E">
      <w:pPr>
        <w:jc w:val="both"/>
        <w:rPr>
          <w:highlight w:val="yellow"/>
        </w:rPr>
      </w:pPr>
    </w:p>
    <w:p w:rsidR="004953E6" w:rsidRDefault="004953E6" w:rsidP="00830C4E">
      <w:pPr>
        <w:jc w:val="both"/>
        <w:rPr>
          <w:highlight w:val="yellow"/>
        </w:rPr>
      </w:pPr>
    </w:p>
    <w:p w:rsidR="00F66DED" w:rsidRPr="005747DB" w:rsidRDefault="00F66DED" w:rsidP="00830C4E">
      <w:pPr>
        <w:jc w:val="both"/>
        <w:rPr>
          <w:sz w:val="20"/>
          <w:szCs w:val="20"/>
          <w:highlight w:val="yellow"/>
        </w:rPr>
      </w:pPr>
    </w:p>
    <w:p w:rsidR="009B4C2F" w:rsidRPr="00B2457C" w:rsidRDefault="003B3BDB" w:rsidP="009B4C2F">
      <w:pPr>
        <w:rPr>
          <w:sz w:val="20"/>
          <w:szCs w:val="20"/>
          <w:highlight w:val="yellow"/>
        </w:rPr>
      </w:pPr>
      <w:r w:rsidRPr="00B2457C">
        <w:rPr>
          <w:sz w:val="20"/>
          <w:szCs w:val="20"/>
        </w:rPr>
        <w:t>11</w:t>
      </w:r>
      <w:r w:rsidR="009B4C2F" w:rsidRPr="00B2457C">
        <w:rPr>
          <w:sz w:val="20"/>
          <w:szCs w:val="20"/>
        </w:rPr>
        <w:t>.0</w:t>
      </w:r>
      <w:r w:rsidRPr="00B2457C">
        <w:rPr>
          <w:sz w:val="20"/>
          <w:szCs w:val="20"/>
        </w:rPr>
        <w:t>6</w:t>
      </w:r>
      <w:r w:rsidR="009B4C2F" w:rsidRPr="00B2457C">
        <w:rPr>
          <w:sz w:val="20"/>
          <w:szCs w:val="20"/>
        </w:rPr>
        <w:t xml:space="preserve">.2013. </w:t>
      </w:r>
      <w:r w:rsidR="002C35B5" w:rsidRPr="00B2457C">
        <w:rPr>
          <w:sz w:val="20"/>
          <w:szCs w:val="20"/>
        </w:rPr>
        <w:t>9:</w:t>
      </w:r>
      <w:r w:rsidR="00042BB2" w:rsidRPr="00B2457C">
        <w:rPr>
          <w:sz w:val="20"/>
          <w:szCs w:val="20"/>
        </w:rPr>
        <w:t>10</w:t>
      </w:r>
    </w:p>
    <w:p w:rsidR="009B4C2F" w:rsidRPr="00B2457C" w:rsidRDefault="00464795" w:rsidP="009B4C2F">
      <w:pPr>
        <w:jc w:val="both"/>
        <w:rPr>
          <w:sz w:val="20"/>
          <w:szCs w:val="20"/>
        </w:rPr>
      </w:pPr>
      <w:r w:rsidRPr="00B2457C">
        <w:rPr>
          <w:sz w:val="20"/>
          <w:szCs w:val="20"/>
        </w:rPr>
        <w:t>1</w:t>
      </w:r>
      <w:r w:rsidR="00FB52FD" w:rsidRPr="00B2457C">
        <w:rPr>
          <w:sz w:val="20"/>
          <w:szCs w:val="20"/>
        </w:rPr>
        <w:t>569</w:t>
      </w:r>
    </w:p>
    <w:p w:rsidR="009B4C2F" w:rsidRPr="00B2457C" w:rsidRDefault="009B4C2F" w:rsidP="009B4C2F">
      <w:pPr>
        <w:jc w:val="both"/>
        <w:rPr>
          <w:sz w:val="20"/>
          <w:szCs w:val="20"/>
        </w:rPr>
      </w:pPr>
      <w:proofErr w:type="spellStart"/>
      <w:r w:rsidRPr="00B2457C">
        <w:rPr>
          <w:sz w:val="20"/>
          <w:szCs w:val="20"/>
        </w:rPr>
        <w:t>E.Vīka</w:t>
      </w:r>
      <w:proofErr w:type="spellEnd"/>
    </w:p>
    <w:p w:rsidR="002854D1" w:rsidRPr="00B2457C" w:rsidRDefault="009B4C2F" w:rsidP="00C05803">
      <w:pPr>
        <w:jc w:val="both"/>
        <w:rPr>
          <w:sz w:val="20"/>
          <w:szCs w:val="20"/>
        </w:rPr>
      </w:pPr>
      <w:r w:rsidRPr="00B2457C">
        <w:rPr>
          <w:sz w:val="20"/>
          <w:szCs w:val="20"/>
        </w:rPr>
        <w:t xml:space="preserve">67047707,  </w:t>
      </w:r>
      <w:hyperlink r:id="rId8" w:history="1">
        <w:r w:rsidRPr="00B2457C">
          <w:rPr>
            <w:rStyle w:val="Hyperlink"/>
            <w:color w:val="auto"/>
            <w:sz w:val="20"/>
            <w:szCs w:val="20"/>
            <w:u w:val="none"/>
          </w:rPr>
          <w:t>evi.vika@izm.gov.lv</w:t>
        </w:r>
      </w:hyperlink>
    </w:p>
    <w:p w:rsidR="001E2955" w:rsidRDefault="001E2955" w:rsidP="00C05803">
      <w:pPr>
        <w:jc w:val="both"/>
      </w:pPr>
    </w:p>
    <w:p w:rsidR="001E2955" w:rsidRPr="005747DB" w:rsidRDefault="001E2955" w:rsidP="00C05803">
      <w:pPr>
        <w:jc w:val="both"/>
      </w:pPr>
    </w:p>
    <w:sectPr w:rsidR="001E2955" w:rsidRPr="005747DB" w:rsidSect="002E6E55">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2D6" w:rsidRDefault="000E42D6">
      <w:r>
        <w:separator/>
      </w:r>
    </w:p>
  </w:endnote>
  <w:endnote w:type="continuationSeparator" w:id="0">
    <w:p w:rsidR="000E42D6" w:rsidRDefault="000E4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Korinna LRS">
    <w:altName w:val="Times New Roman"/>
    <w:charset w:val="00"/>
    <w:family w:val="auto"/>
    <w:pitch w:val="default"/>
    <w:sig w:usb0="00000000" w:usb1="00000000" w:usb2="00000000" w:usb3="00000000" w:csb0="00000000"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74" w:rsidRPr="00574984" w:rsidRDefault="00481D74" w:rsidP="00481D74">
    <w:pPr>
      <w:pStyle w:val="naislab"/>
      <w:spacing w:before="0" w:after="0"/>
      <w:jc w:val="both"/>
      <w:rPr>
        <w:sz w:val="22"/>
        <w:szCs w:val="22"/>
      </w:rPr>
    </w:pPr>
    <w:r w:rsidRPr="00481D74">
      <w:rPr>
        <w:sz w:val="22"/>
        <w:szCs w:val="22"/>
      </w:rPr>
      <w:t>IZMAnot_</w:t>
    </w:r>
    <w:r w:rsidR="003B3BDB">
      <w:rPr>
        <w:sz w:val="22"/>
        <w:szCs w:val="22"/>
      </w:rPr>
      <w:t>11</w:t>
    </w:r>
    <w:r w:rsidRPr="00481D74">
      <w:rPr>
        <w:sz w:val="22"/>
        <w:szCs w:val="22"/>
      </w:rPr>
      <w:t>0</w:t>
    </w:r>
    <w:r w:rsidR="003B3BDB">
      <w:rPr>
        <w:sz w:val="22"/>
        <w:szCs w:val="22"/>
      </w:rPr>
      <w:t>6</w:t>
    </w:r>
    <w:r w:rsidRPr="00481D74">
      <w:rPr>
        <w:sz w:val="22"/>
        <w:szCs w:val="22"/>
      </w:rPr>
      <w:t>13_LVCH_PGS; Ministru kabineta noteikumu projekts „</w:t>
    </w:r>
    <w:r w:rsidRPr="00481D74">
      <w:rPr>
        <w:bCs/>
        <w:sz w:val="22"/>
        <w:szCs w:val="22"/>
      </w:rPr>
      <w:t>Grozījumi Ministru kabineta</w:t>
    </w:r>
    <w:r w:rsidRPr="00574984">
      <w:rPr>
        <w:bCs/>
        <w:sz w:val="22"/>
        <w:szCs w:val="22"/>
      </w:rPr>
      <w:t xml:space="preserve"> 2012.gada 17.</w:t>
    </w:r>
    <w:r w:rsidRPr="00574984">
      <w:rPr>
        <w:sz w:val="22"/>
        <w:szCs w:val="22"/>
      </w:rPr>
      <w:t>janvār</w:t>
    </w:r>
    <w:r w:rsidRPr="00574984">
      <w:rPr>
        <w:bCs/>
        <w:sz w:val="22"/>
        <w:szCs w:val="22"/>
      </w:rPr>
      <w:t>a noteikumos Nr.</w:t>
    </w:r>
    <w:r w:rsidRPr="00574984">
      <w:rPr>
        <w:sz w:val="22"/>
        <w:szCs w:val="22"/>
      </w:rPr>
      <w:t>62</w:t>
    </w:r>
    <w:r w:rsidRPr="00574984">
      <w:rPr>
        <w:bCs/>
        <w:sz w:val="22"/>
        <w:szCs w:val="22"/>
      </w:rPr>
      <w:t xml:space="preserve"> </w:t>
    </w:r>
    <w:r w:rsidRPr="00574984">
      <w:rPr>
        <w:sz w:val="22"/>
        <w:szCs w:val="22"/>
      </w:rPr>
      <w:t>„Latvijas un Šveices sadarbības programmas grantu shēmas "Šveices pētnieku aktivitātes La</w:t>
    </w:r>
    <w:r>
      <w:rPr>
        <w:sz w:val="22"/>
        <w:szCs w:val="22"/>
      </w:rPr>
      <w:t xml:space="preserve">tvijā" </w:t>
    </w:r>
    <w:proofErr w:type="spellStart"/>
    <w:r>
      <w:rPr>
        <w:sz w:val="22"/>
        <w:szCs w:val="22"/>
      </w:rPr>
      <w:t>apakšprojektu</w:t>
    </w:r>
    <w:proofErr w:type="spellEnd"/>
    <w:r>
      <w:rPr>
        <w:sz w:val="22"/>
        <w:szCs w:val="22"/>
      </w:rPr>
      <w:t xml:space="preserve"> iesniegumu </w:t>
    </w:r>
    <w:r w:rsidRPr="00574984">
      <w:rPr>
        <w:sz w:val="22"/>
        <w:szCs w:val="22"/>
      </w:rPr>
      <w:t xml:space="preserve">atklāta konkursa </w:t>
    </w:r>
    <w:smartTag w:uri="schemas-tilde-lv/tildestengine" w:element="veidnes">
      <w:smartTagPr>
        <w:attr w:name="text" w:val="iesniegumu"/>
        <w:attr w:name="id" w:val="-1"/>
        <w:attr w:name="baseform" w:val="iesniegum|s"/>
      </w:smartTagPr>
      <w:r w:rsidRPr="00574984">
        <w:rPr>
          <w:sz w:val="22"/>
          <w:szCs w:val="22"/>
        </w:rPr>
        <w:t>nolikums</w:t>
      </w:r>
    </w:smartTag>
    <w:r w:rsidRPr="00574984">
      <w:rPr>
        <w:sz w:val="22"/>
        <w:szCs w:val="22"/>
      </w:rPr>
      <w:t>””</w:t>
    </w:r>
  </w:p>
  <w:p w:rsidR="00717221" w:rsidRPr="00481D74" w:rsidRDefault="00717221" w:rsidP="00481D74">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21" w:rsidRPr="00574984" w:rsidRDefault="00717221" w:rsidP="00574984">
    <w:pPr>
      <w:pStyle w:val="naislab"/>
      <w:spacing w:before="0" w:after="0"/>
      <w:jc w:val="both"/>
      <w:rPr>
        <w:sz w:val="22"/>
        <w:szCs w:val="22"/>
      </w:rPr>
    </w:pPr>
    <w:bookmarkStart w:id="3" w:name="OLE_LINK3"/>
    <w:bookmarkStart w:id="4" w:name="OLE_LINK4"/>
    <w:r w:rsidRPr="00481D74">
      <w:rPr>
        <w:sz w:val="22"/>
        <w:szCs w:val="22"/>
      </w:rPr>
      <w:t>IZMAnot_</w:t>
    </w:r>
    <w:r w:rsidR="003B3BDB">
      <w:rPr>
        <w:sz w:val="22"/>
        <w:szCs w:val="22"/>
      </w:rPr>
      <w:t>11</w:t>
    </w:r>
    <w:r w:rsidR="003B3BDB" w:rsidRPr="00481D74">
      <w:rPr>
        <w:sz w:val="22"/>
        <w:szCs w:val="22"/>
      </w:rPr>
      <w:t>0</w:t>
    </w:r>
    <w:r w:rsidR="003B3BDB">
      <w:rPr>
        <w:sz w:val="22"/>
        <w:szCs w:val="22"/>
      </w:rPr>
      <w:t>6</w:t>
    </w:r>
    <w:r w:rsidRPr="00481D74">
      <w:rPr>
        <w:sz w:val="22"/>
        <w:szCs w:val="22"/>
      </w:rPr>
      <w:t>13_</w:t>
    </w:r>
    <w:r w:rsidR="00481D74" w:rsidRPr="00481D74">
      <w:rPr>
        <w:sz w:val="22"/>
        <w:szCs w:val="22"/>
      </w:rPr>
      <w:t>LVCH_PGS</w:t>
    </w:r>
    <w:bookmarkEnd w:id="3"/>
    <w:bookmarkEnd w:id="4"/>
    <w:r w:rsidRPr="00481D74">
      <w:rPr>
        <w:sz w:val="22"/>
        <w:szCs w:val="22"/>
      </w:rPr>
      <w:t>; Ministru kabineta noteikumu projekts „</w:t>
    </w:r>
    <w:r w:rsidRPr="00481D74">
      <w:rPr>
        <w:bCs/>
        <w:sz w:val="22"/>
        <w:szCs w:val="22"/>
      </w:rPr>
      <w:t>Grozījumi Ministru kabineta</w:t>
    </w:r>
    <w:r w:rsidRPr="00574984">
      <w:rPr>
        <w:bCs/>
        <w:sz w:val="22"/>
        <w:szCs w:val="22"/>
      </w:rPr>
      <w:t xml:space="preserve"> 2012.gada 17.</w:t>
    </w:r>
    <w:r w:rsidRPr="00574984">
      <w:rPr>
        <w:sz w:val="22"/>
        <w:szCs w:val="22"/>
      </w:rPr>
      <w:t>janvār</w:t>
    </w:r>
    <w:r w:rsidRPr="00574984">
      <w:rPr>
        <w:bCs/>
        <w:sz w:val="22"/>
        <w:szCs w:val="22"/>
      </w:rPr>
      <w:t>a noteikumos Nr.</w:t>
    </w:r>
    <w:r w:rsidRPr="00574984">
      <w:rPr>
        <w:sz w:val="22"/>
        <w:szCs w:val="22"/>
      </w:rPr>
      <w:t>62</w:t>
    </w:r>
    <w:r w:rsidRPr="00574984">
      <w:rPr>
        <w:bCs/>
        <w:sz w:val="22"/>
        <w:szCs w:val="22"/>
      </w:rPr>
      <w:t xml:space="preserve"> </w:t>
    </w:r>
    <w:r w:rsidRPr="00574984">
      <w:rPr>
        <w:sz w:val="22"/>
        <w:szCs w:val="22"/>
      </w:rPr>
      <w:t>„Latvijas un Šveices sadarbības programmas grantu shēmas "Šveices pētnieku aktivitātes La</w:t>
    </w:r>
    <w:r>
      <w:rPr>
        <w:sz w:val="22"/>
        <w:szCs w:val="22"/>
      </w:rPr>
      <w:t xml:space="preserve">tvijā" </w:t>
    </w:r>
    <w:proofErr w:type="spellStart"/>
    <w:r>
      <w:rPr>
        <w:sz w:val="22"/>
        <w:szCs w:val="22"/>
      </w:rPr>
      <w:t>apakšprojektu</w:t>
    </w:r>
    <w:proofErr w:type="spellEnd"/>
    <w:r>
      <w:rPr>
        <w:sz w:val="22"/>
        <w:szCs w:val="22"/>
      </w:rPr>
      <w:t xml:space="preserve"> iesniegumu </w:t>
    </w:r>
    <w:r w:rsidRPr="00574984">
      <w:rPr>
        <w:sz w:val="22"/>
        <w:szCs w:val="22"/>
      </w:rPr>
      <w:t xml:space="preserve">atklāta konkursa </w:t>
    </w:r>
    <w:smartTag w:uri="schemas-tilde-lv/tildestengine" w:element="veidnes">
      <w:smartTagPr>
        <w:attr w:name="text" w:val="iesniegumu"/>
        <w:attr w:name="id" w:val="-1"/>
        <w:attr w:name="baseform" w:val="iesniegum|s"/>
      </w:smartTagPr>
      <w:r w:rsidRPr="00574984">
        <w:rPr>
          <w:sz w:val="22"/>
          <w:szCs w:val="22"/>
        </w:rPr>
        <w:t>nolikums</w:t>
      </w:r>
    </w:smartTag>
    <w:r w:rsidRPr="00574984">
      <w:rPr>
        <w:sz w:val="22"/>
        <w:szCs w:val="22"/>
      </w:rPr>
      <w:t>””</w:t>
    </w:r>
  </w:p>
  <w:p w:rsidR="00717221" w:rsidRPr="00574984" w:rsidRDefault="00717221" w:rsidP="00574984">
    <w:pPr>
      <w:pStyle w:val="naislab"/>
      <w:spacing w:before="0" w:after="0"/>
      <w:jc w:val="left"/>
      <w:rPr>
        <w:rFonts w:ascii="Korinna LRS" w:hAnsi="Korinna LRS"/>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2D6" w:rsidRDefault="000E42D6">
      <w:r>
        <w:separator/>
      </w:r>
    </w:p>
  </w:footnote>
  <w:footnote w:type="continuationSeparator" w:id="0">
    <w:p w:rsidR="000E42D6" w:rsidRDefault="000E4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21" w:rsidRDefault="00CF7F90" w:rsidP="006562F3">
    <w:pPr>
      <w:pStyle w:val="Header"/>
      <w:framePr w:wrap="around" w:vAnchor="text" w:hAnchor="margin" w:xAlign="center" w:y="1"/>
      <w:rPr>
        <w:rStyle w:val="PageNumber"/>
      </w:rPr>
    </w:pPr>
    <w:r>
      <w:rPr>
        <w:rStyle w:val="PageNumber"/>
      </w:rPr>
      <w:fldChar w:fldCharType="begin"/>
    </w:r>
    <w:r w:rsidR="00717221">
      <w:rPr>
        <w:rStyle w:val="PageNumber"/>
      </w:rPr>
      <w:instrText xml:space="preserve">PAGE  </w:instrText>
    </w:r>
    <w:r>
      <w:rPr>
        <w:rStyle w:val="PageNumber"/>
      </w:rPr>
      <w:fldChar w:fldCharType="end"/>
    </w:r>
  </w:p>
  <w:p w:rsidR="00717221" w:rsidRDefault="007172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21" w:rsidRDefault="00CF7F90" w:rsidP="006562F3">
    <w:pPr>
      <w:pStyle w:val="Header"/>
      <w:framePr w:wrap="around" w:vAnchor="text" w:hAnchor="margin" w:xAlign="center" w:y="1"/>
      <w:rPr>
        <w:rStyle w:val="PageNumber"/>
      </w:rPr>
    </w:pPr>
    <w:r>
      <w:rPr>
        <w:rStyle w:val="PageNumber"/>
      </w:rPr>
      <w:fldChar w:fldCharType="begin"/>
    </w:r>
    <w:r w:rsidR="00717221">
      <w:rPr>
        <w:rStyle w:val="PageNumber"/>
      </w:rPr>
      <w:instrText xml:space="preserve">PAGE  </w:instrText>
    </w:r>
    <w:r>
      <w:rPr>
        <w:rStyle w:val="PageNumber"/>
      </w:rPr>
      <w:fldChar w:fldCharType="separate"/>
    </w:r>
    <w:r w:rsidR="00B2457C">
      <w:rPr>
        <w:rStyle w:val="PageNumber"/>
        <w:noProof/>
      </w:rPr>
      <w:t>5</w:t>
    </w:r>
    <w:r>
      <w:rPr>
        <w:rStyle w:val="PageNumber"/>
      </w:rPr>
      <w:fldChar w:fldCharType="end"/>
    </w:r>
  </w:p>
  <w:p w:rsidR="00717221" w:rsidRDefault="007172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11"/>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1">
    <w:nsid w:val="140D653D"/>
    <w:multiLevelType w:val="hybridMultilevel"/>
    <w:tmpl w:val="C41E311E"/>
    <w:lvl w:ilvl="0" w:tplc="A8984522">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nsid w:val="156E4155"/>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0511D7"/>
    <w:multiLevelType w:val="hybridMultilevel"/>
    <w:tmpl w:val="C41E311E"/>
    <w:lvl w:ilvl="0" w:tplc="A8984522">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37516788"/>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8">
    <w:nsid w:val="4A432656"/>
    <w:multiLevelType w:val="multilevel"/>
    <w:tmpl w:val="F5D6B478"/>
    <w:lvl w:ilvl="0">
      <w:start w:val="1"/>
      <w:numFmt w:val="decimal"/>
      <w:pStyle w:val="Heading1"/>
      <w:lvlText w:val="%1."/>
      <w:lvlJc w:val="left"/>
      <w:pPr>
        <w:tabs>
          <w:tab w:val="num" w:pos="622"/>
        </w:tabs>
        <w:ind w:left="622" w:hanging="480"/>
      </w:pPr>
    </w:lvl>
    <w:lvl w:ilvl="1">
      <w:start w:val="1"/>
      <w:numFmt w:val="decimal"/>
      <w:pStyle w:val="Heading2"/>
      <w:lvlText w:val="%1.%2."/>
      <w:lvlJc w:val="left"/>
      <w:pPr>
        <w:tabs>
          <w:tab w:val="num" w:pos="884"/>
        </w:tabs>
        <w:ind w:left="884" w:hanging="600"/>
      </w:pPr>
    </w:lvl>
    <w:lvl w:ilvl="2">
      <w:start w:val="1"/>
      <w:numFmt w:val="decimal"/>
      <w:pStyle w:val="Heading3"/>
      <w:lvlText w:val="%1.%2.%3."/>
      <w:lvlJc w:val="left"/>
      <w:pPr>
        <w:tabs>
          <w:tab w:val="num" w:pos="1833"/>
        </w:tabs>
        <w:ind w:left="1833" w:hanging="8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945"/>
        </w:tabs>
        <w:ind w:left="2945"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8230697"/>
    <w:multiLevelType w:val="hybridMultilevel"/>
    <w:tmpl w:val="21E0D582"/>
    <w:lvl w:ilvl="0" w:tplc="FFFFFFFF">
      <w:start w:val="1"/>
      <w:numFmt w:val="bullet"/>
      <w:lvlText w:val=""/>
      <w:lvlJc w:val="left"/>
      <w:pPr>
        <w:tabs>
          <w:tab w:val="num" w:pos="2276"/>
        </w:tabs>
        <w:ind w:left="2276" w:hanging="360"/>
      </w:pPr>
      <w:rPr>
        <w:rFonts w:ascii="Symbol" w:hAnsi="Symbol" w:hint="default"/>
      </w:rPr>
    </w:lvl>
    <w:lvl w:ilvl="1" w:tplc="FFFFFFFF">
      <w:start w:val="1"/>
      <w:numFmt w:val="bullet"/>
      <w:lvlText w:val="o"/>
      <w:lvlJc w:val="left"/>
      <w:pPr>
        <w:tabs>
          <w:tab w:val="num" w:pos="2874"/>
        </w:tabs>
        <w:ind w:left="2874" w:hanging="360"/>
      </w:pPr>
      <w:rPr>
        <w:rFonts w:ascii="Courier New" w:hAnsi="Courier New" w:cs="Courier New" w:hint="default"/>
      </w:rPr>
    </w:lvl>
    <w:lvl w:ilvl="2" w:tplc="FFFFFFFF" w:tentative="1">
      <w:start w:val="1"/>
      <w:numFmt w:val="bullet"/>
      <w:lvlText w:val=""/>
      <w:lvlJc w:val="left"/>
      <w:pPr>
        <w:tabs>
          <w:tab w:val="num" w:pos="3594"/>
        </w:tabs>
        <w:ind w:left="3594" w:hanging="360"/>
      </w:pPr>
      <w:rPr>
        <w:rFonts w:ascii="Wingdings" w:hAnsi="Wingdings" w:hint="default"/>
      </w:rPr>
    </w:lvl>
    <w:lvl w:ilvl="3" w:tplc="FFFFFFFF" w:tentative="1">
      <w:start w:val="1"/>
      <w:numFmt w:val="bullet"/>
      <w:lvlText w:val=""/>
      <w:lvlJc w:val="left"/>
      <w:pPr>
        <w:tabs>
          <w:tab w:val="num" w:pos="4314"/>
        </w:tabs>
        <w:ind w:left="4314" w:hanging="360"/>
      </w:pPr>
      <w:rPr>
        <w:rFonts w:ascii="Symbol" w:hAnsi="Symbol" w:hint="default"/>
      </w:rPr>
    </w:lvl>
    <w:lvl w:ilvl="4" w:tplc="FFFFFFFF" w:tentative="1">
      <w:start w:val="1"/>
      <w:numFmt w:val="bullet"/>
      <w:lvlText w:val="o"/>
      <w:lvlJc w:val="left"/>
      <w:pPr>
        <w:tabs>
          <w:tab w:val="num" w:pos="5034"/>
        </w:tabs>
        <w:ind w:left="5034" w:hanging="360"/>
      </w:pPr>
      <w:rPr>
        <w:rFonts w:ascii="Courier New" w:hAnsi="Courier New" w:cs="Courier New" w:hint="default"/>
      </w:rPr>
    </w:lvl>
    <w:lvl w:ilvl="5" w:tplc="FFFFFFFF" w:tentative="1">
      <w:start w:val="1"/>
      <w:numFmt w:val="bullet"/>
      <w:lvlText w:val=""/>
      <w:lvlJc w:val="left"/>
      <w:pPr>
        <w:tabs>
          <w:tab w:val="num" w:pos="5754"/>
        </w:tabs>
        <w:ind w:left="5754" w:hanging="360"/>
      </w:pPr>
      <w:rPr>
        <w:rFonts w:ascii="Wingdings" w:hAnsi="Wingdings" w:hint="default"/>
      </w:rPr>
    </w:lvl>
    <w:lvl w:ilvl="6" w:tplc="FFFFFFFF" w:tentative="1">
      <w:start w:val="1"/>
      <w:numFmt w:val="bullet"/>
      <w:lvlText w:val=""/>
      <w:lvlJc w:val="left"/>
      <w:pPr>
        <w:tabs>
          <w:tab w:val="num" w:pos="6474"/>
        </w:tabs>
        <w:ind w:left="6474" w:hanging="360"/>
      </w:pPr>
      <w:rPr>
        <w:rFonts w:ascii="Symbol" w:hAnsi="Symbol" w:hint="default"/>
      </w:rPr>
    </w:lvl>
    <w:lvl w:ilvl="7" w:tplc="FFFFFFFF" w:tentative="1">
      <w:start w:val="1"/>
      <w:numFmt w:val="bullet"/>
      <w:lvlText w:val="o"/>
      <w:lvlJc w:val="left"/>
      <w:pPr>
        <w:tabs>
          <w:tab w:val="num" w:pos="7194"/>
        </w:tabs>
        <w:ind w:left="7194" w:hanging="360"/>
      </w:pPr>
      <w:rPr>
        <w:rFonts w:ascii="Courier New" w:hAnsi="Courier New" w:cs="Courier New" w:hint="default"/>
      </w:rPr>
    </w:lvl>
    <w:lvl w:ilvl="8" w:tplc="FFFFFFFF" w:tentative="1">
      <w:start w:val="1"/>
      <w:numFmt w:val="bullet"/>
      <w:lvlText w:val=""/>
      <w:lvlJc w:val="left"/>
      <w:pPr>
        <w:tabs>
          <w:tab w:val="num" w:pos="7914"/>
        </w:tabs>
        <w:ind w:left="7914" w:hanging="360"/>
      </w:pPr>
      <w:rPr>
        <w:rFonts w:ascii="Wingdings" w:hAnsi="Wingdings" w:hint="default"/>
      </w:rPr>
    </w:lvl>
  </w:abstractNum>
  <w:abstractNum w:abstractNumId="10">
    <w:nsid w:val="655409EA"/>
    <w:multiLevelType w:val="hybridMultilevel"/>
    <w:tmpl w:val="18AE33D0"/>
    <w:lvl w:ilvl="0" w:tplc="20F47ECE">
      <w:start w:val="1"/>
      <w:numFmt w:val="decimal"/>
      <w:lvlText w:val="%1)"/>
      <w:lvlJc w:val="left"/>
      <w:pPr>
        <w:tabs>
          <w:tab w:val="num" w:pos="432"/>
        </w:tabs>
        <w:ind w:left="432" w:hanging="360"/>
      </w:pPr>
      <w:rPr>
        <w:rFonts w:hint="default"/>
      </w:rPr>
    </w:lvl>
    <w:lvl w:ilvl="1" w:tplc="04260019" w:tentative="1">
      <w:start w:val="1"/>
      <w:numFmt w:val="lowerLetter"/>
      <w:lvlText w:val="%2."/>
      <w:lvlJc w:val="left"/>
      <w:pPr>
        <w:tabs>
          <w:tab w:val="num" w:pos="1152"/>
        </w:tabs>
        <w:ind w:left="1152" w:hanging="360"/>
      </w:pPr>
    </w:lvl>
    <w:lvl w:ilvl="2" w:tplc="0426001B" w:tentative="1">
      <w:start w:val="1"/>
      <w:numFmt w:val="lowerRoman"/>
      <w:lvlText w:val="%3."/>
      <w:lvlJc w:val="right"/>
      <w:pPr>
        <w:tabs>
          <w:tab w:val="num" w:pos="1872"/>
        </w:tabs>
        <w:ind w:left="1872" w:hanging="180"/>
      </w:pPr>
    </w:lvl>
    <w:lvl w:ilvl="3" w:tplc="0426000F" w:tentative="1">
      <w:start w:val="1"/>
      <w:numFmt w:val="decimal"/>
      <w:lvlText w:val="%4."/>
      <w:lvlJc w:val="left"/>
      <w:pPr>
        <w:tabs>
          <w:tab w:val="num" w:pos="2592"/>
        </w:tabs>
        <w:ind w:left="2592" w:hanging="360"/>
      </w:pPr>
    </w:lvl>
    <w:lvl w:ilvl="4" w:tplc="04260019" w:tentative="1">
      <w:start w:val="1"/>
      <w:numFmt w:val="lowerLetter"/>
      <w:lvlText w:val="%5."/>
      <w:lvlJc w:val="left"/>
      <w:pPr>
        <w:tabs>
          <w:tab w:val="num" w:pos="3312"/>
        </w:tabs>
        <w:ind w:left="3312" w:hanging="360"/>
      </w:pPr>
    </w:lvl>
    <w:lvl w:ilvl="5" w:tplc="0426001B" w:tentative="1">
      <w:start w:val="1"/>
      <w:numFmt w:val="lowerRoman"/>
      <w:lvlText w:val="%6."/>
      <w:lvlJc w:val="right"/>
      <w:pPr>
        <w:tabs>
          <w:tab w:val="num" w:pos="4032"/>
        </w:tabs>
        <w:ind w:left="4032" w:hanging="180"/>
      </w:pPr>
    </w:lvl>
    <w:lvl w:ilvl="6" w:tplc="0426000F" w:tentative="1">
      <w:start w:val="1"/>
      <w:numFmt w:val="decimal"/>
      <w:lvlText w:val="%7."/>
      <w:lvlJc w:val="left"/>
      <w:pPr>
        <w:tabs>
          <w:tab w:val="num" w:pos="4752"/>
        </w:tabs>
        <w:ind w:left="4752" w:hanging="360"/>
      </w:pPr>
    </w:lvl>
    <w:lvl w:ilvl="7" w:tplc="04260019" w:tentative="1">
      <w:start w:val="1"/>
      <w:numFmt w:val="lowerLetter"/>
      <w:lvlText w:val="%8."/>
      <w:lvlJc w:val="left"/>
      <w:pPr>
        <w:tabs>
          <w:tab w:val="num" w:pos="5472"/>
        </w:tabs>
        <w:ind w:left="5472" w:hanging="360"/>
      </w:pPr>
    </w:lvl>
    <w:lvl w:ilvl="8" w:tplc="0426001B" w:tentative="1">
      <w:start w:val="1"/>
      <w:numFmt w:val="lowerRoman"/>
      <w:lvlText w:val="%9."/>
      <w:lvlJc w:val="right"/>
      <w:pPr>
        <w:tabs>
          <w:tab w:val="num" w:pos="6192"/>
        </w:tabs>
        <w:ind w:left="6192" w:hanging="180"/>
      </w:pPr>
    </w:lvl>
  </w:abstractNum>
  <w:abstractNum w:abstractNumId="11">
    <w:nsid w:val="72D9526B"/>
    <w:multiLevelType w:val="hybridMultilevel"/>
    <w:tmpl w:val="BCEEA6C2"/>
    <w:lvl w:ilvl="0" w:tplc="F7EE27CA">
      <w:start w:val="1"/>
      <w:numFmt w:val="decimal"/>
      <w:lvlText w:val="%1)"/>
      <w:lvlJc w:val="left"/>
      <w:pPr>
        <w:tabs>
          <w:tab w:val="num" w:pos="795"/>
        </w:tabs>
        <w:ind w:left="795" w:hanging="43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7AAC6550"/>
    <w:multiLevelType w:val="hybridMultilevel"/>
    <w:tmpl w:val="E9E0D8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7D225511"/>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num w:numId="1">
    <w:abstractNumId w:val="12"/>
  </w:num>
  <w:num w:numId="2">
    <w:abstractNumId w:val="11"/>
  </w:num>
  <w:num w:numId="3">
    <w:abstractNumId w:val="10"/>
  </w:num>
  <w:num w:numId="4">
    <w:abstractNumId w:val="5"/>
  </w:num>
  <w:num w:numId="5">
    <w:abstractNumId w:val="4"/>
  </w:num>
  <w:num w:numId="6">
    <w:abstractNumId w:val="1"/>
  </w:num>
  <w:num w:numId="7">
    <w:abstractNumId w:val="8"/>
  </w:num>
  <w:num w:numId="8">
    <w:abstractNumId w:val="6"/>
  </w:num>
  <w:num w:numId="9">
    <w:abstractNumId w:val="2"/>
  </w:num>
  <w:num w:numId="10">
    <w:abstractNumId w:val="9"/>
  </w:num>
  <w:num w:numId="11">
    <w:abstractNumId w:val="13"/>
  </w:num>
  <w:num w:numId="12">
    <w:abstractNumId w:val="3"/>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62F3"/>
    <w:rsid w:val="000017EF"/>
    <w:rsid w:val="000023F9"/>
    <w:rsid w:val="000035D8"/>
    <w:rsid w:val="0000466D"/>
    <w:rsid w:val="00004C2C"/>
    <w:rsid w:val="00006AA8"/>
    <w:rsid w:val="00007B13"/>
    <w:rsid w:val="00010932"/>
    <w:rsid w:val="0001307B"/>
    <w:rsid w:val="000158C7"/>
    <w:rsid w:val="000170CD"/>
    <w:rsid w:val="0001749E"/>
    <w:rsid w:val="00020822"/>
    <w:rsid w:val="00022158"/>
    <w:rsid w:val="000222D8"/>
    <w:rsid w:val="00024782"/>
    <w:rsid w:val="00026D8E"/>
    <w:rsid w:val="00027F1D"/>
    <w:rsid w:val="00031DF1"/>
    <w:rsid w:val="000328E3"/>
    <w:rsid w:val="000329E8"/>
    <w:rsid w:val="00033512"/>
    <w:rsid w:val="000341B6"/>
    <w:rsid w:val="0003538A"/>
    <w:rsid w:val="00037092"/>
    <w:rsid w:val="00037305"/>
    <w:rsid w:val="00037533"/>
    <w:rsid w:val="000403DC"/>
    <w:rsid w:val="00040EC5"/>
    <w:rsid w:val="00042480"/>
    <w:rsid w:val="000428C2"/>
    <w:rsid w:val="00042BB2"/>
    <w:rsid w:val="00042D7D"/>
    <w:rsid w:val="00042FE9"/>
    <w:rsid w:val="000448D0"/>
    <w:rsid w:val="00045C5D"/>
    <w:rsid w:val="00046B03"/>
    <w:rsid w:val="0004702F"/>
    <w:rsid w:val="000474CD"/>
    <w:rsid w:val="00047EB4"/>
    <w:rsid w:val="00053200"/>
    <w:rsid w:val="00053641"/>
    <w:rsid w:val="000548EC"/>
    <w:rsid w:val="00056C2D"/>
    <w:rsid w:val="00056CF9"/>
    <w:rsid w:val="00063B01"/>
    <w:rsid w:val="0006581D"/>
    <w:rsid w:val="00065F9C"/>
    <w:rsid w:val="00066088"/>
    <w:rsid w:val="000673E6"/>
    <w:rsid w:val="00067F9B"/>
    <w:rsid w:val="0007011A"/>
    <w:rsid w:val="000703E2"/>
    <w:rsid w:val="00070B17"/>
    <w:rsid w:val="0007177D"/>
    <w:rsid w:val="00071EA5"/>
    <w:rsid w:val="0007261C"/>
    <w:rsid w:val="00076A5F"/>
    <w:rsid w:val="00076F52"/>
    <w:rsid w:val="00077D76"/>
    <w:rsid w:val="00082288"/>
    <w:rsid w:val="00084592"/>
    <w:rsid w:val="0008501C"/>
    <w:rsid w:val="000851AA"/>
    <w:rsid w:val="00090E5A"/>
    <w:rsid w:val="00090F6A"/>
    <w:rsid w:val="00091CAD"/>
    <w:rsid w:val="00091D5B"/>
    <w:rsid w:val="00092C2A"/>
    <w:rsid w:val="0009323D"/>
    <w:rsid w:val="00094CBC"/>
    <w:rsid w:val="00095291"/>
    <w:rsid w:val="000954B3"/>
    <w:rsid w:val="000A07F0"/>
    <w:rsid w:val="000A0BB9"/>
    <w:rsid w:val="000A15B9"/>
    <w:rsid w:val="000A5A6D"/>
    <w:rsid w:val="000A685A"/>
    <w:rsid w:val="000A7351"/>
    <w:rsid w:val="000B0C3D"/>
    <w:rsid w:val="000B3662"/>
    <w:rsid w:val="000B3BF1"/>
    <w:rsid w:val="000B4BBC"/>
    <w:rsid w:val="000B78B0"/>
    <w:rsid w:val="000B7A20"/>
    <w:rsid w:val="000C477F"/>
    <w:rsid w:val="000C5EC6"/>
    <w:rsid w:val="000C782F"/>
    <w:rsid w:val="000D2560"/>
    <w:rsid w:val="000D35BC"/>
    <w:rsid w:val="000D3B15"/>
    <w:rsid w:val="000D712E"/>
    <w:rsid w:val="000E046E"/>
    <w:rsid w:val="000E1517"/>
    <w:rsid w:val="000E42D6"/>
    <w:rsid w:val="000E45BD"/>
    <w:rsid w:val="000E5A6E"/>
    <w:rsid w:val="000E5E33"/>
    <w:rsid w:val="000E68B7"/>
    <w:rsid w:val="000E7834"/>
    <w:rsid w:val="000F0443"/>
    <w:rsid w:val="000F0DCC"/>
    <w:rsid w:val="000F335C"/>
    <w:rsid w:val="000F379C"/>
    <w:rsid w:val="000F46BC"/>
    <w:rsid w:val="000F5632"/>
    <w:rsid w:val="000F6E63"/>
    <w:rsid w:val="000F7102"/>
    <w:rsid w:val="000F7C8A"/>
    <w:rsid w:val="0010339C"/>
    <w:rsid w:val="00103976"/>
    <w:rsid w:val="00104263"/>
    <w:rsid w:val="0010482E"/>
    <w:rsid w:val="00104C08"/>
    <w:rsid w:val="001070BF"/>
    <w:rsid w:val="00111408"/>
    <w:rsid w:val="00111D9C"/>
    <w:rsid w:val="00113A33"/>
    <w:rsid w:val="00113CE7"/>
    <w:rsid w:val="00113E93"/>
    <w:rsid w:val="001159AC"/>
    <w:rsid w:val="00116CD1"/>
    <w:rsid w:val="001225EA"/>
    <w:rsid w:val="001227AC"/>
    <w:rsid w:val="001235DF"/>
    <w:rsid w:val="00125872"/>
    <w:rsid w:val="001278CD"/>
    <w:rsid w:val="0013775A"/>
    <w:rsid w:val="001436FB"/>
    <w:rsid w:val="00143A72"/>
    <w:rsid w:val="00146B86"/>
    <w:rsid w:val="00152AEC"/>
    <w:rsid w:val="00153197"/>
    <w:rsid w:val="001534F9"/>
    <w:rsid w:val="00156285"/>
    <w:rsid w:val="00161409"/>
    <w:rsid w:val="0016285C"/>
    <w:rsid w:val="00164136"/>
    <w:rsid w:val="001643D6"/>
    <w:rsid w:val="0016489A"/>
    <w:rsid w:val="00165E62"/>
    <w:rsid w:val="001669CF"/>
    <w:rsid w:val="00167B30"/>
    <w:rsid w:val="00167D3B"/>
    <w:rsid w:val="001725AE"/>
    <w:rsid w:val="00172E35"/>
    <w:rsid w:val="00173EB4"/>
    <w:rsid w:val="00177B5A"/>
    <w:rsid w:val="00183446"/>
    <w:rsid w:val="00185F37"/>
    <w:rsid w:val="00186AD7"/>
    <w:rsid w:val="00186C4F"/>
    <w:rsid w:val="00191ACA"/>
    <w:rsid w:val="00192FA2"/>
    <w:rsid w:val="00193BF4"/>
    <w:rsid w:val="001A1034"/>
    <w:rsid w:val="001A1BA4"/>
    <w:rsid w:val="001A3E97"/>
    <w:rsid w:val="001A533D"/>
    <w:rsid w:val="001A5897"/>
    <w:rsid w:val="001A7669"/>
    <w:rsid w:val="001B1755"/>
    <w:rsid w:val="001B1A04"/>
    <w:rsid w:val="001B355A"/>
    <w:rsid w:val="001B3C55"/>
    <w:rsid w:val="001B43F8"/>
    <w:rsid w:val="001B4D26"/>
    <w:rsid w:val="001B6B08"/>
    <w:rsid w:val="001B7BBF"/>
    <w:rsid w:val="001C1399"/>
    <w:rsid w:val="001C6285"/>
    <w:rsid w:val="001D0D72"/>
    <w:rsid w:val="001D1B23"/>
    <w:rsid w:val="001D204D"/>
    <w:rsid w:val="001D4831"/>
    <w:rsid w:val="001D61C6"/>
    <w:rsid w:val="001D79A1"/>
    <w:rsid w:val="001D7F4F"/>
    <w:rsid w:val="001E1486"/>
    <w:rsid w:val="001E14A5"/>
    <w:rsid w:val="001E2955"/>
    <w:rsid w:val="001E32FB"/>
    <w:rsid w:val="001E58F4"/>
    <w:rsid w:val="001E6336"/>
    <w:rsid w:val="001E7A4D"/>
    <w:rsid w:val="001F489D"/>
    <w:rsid w:val="001F4BB9"/>
    <w:rsid w:val="001F7F02"/>
    <w:rsid w:val="00200E08"/>
    <w:rsid w:val="00201823"/>
    <w:rsid w:val="002034CE"/>
    <w:rsid w:val="00204262"/>
    <w:rsid w:val="0020473F"/>
    <w:rsid w:val="00204B08"/>
    <w:rsid w:val="00205994"/>
    <w:rsid w:val="00207B61"/>
    <w:rsid w:val="002107D3"/>
    <w:rsid w:val="0021099C"/>
    <w:rsid w:val="002109B9"/>
    <w:rsid w:val="00210F3C"/>
    <w:rsid w:val="00211C96"/>
    <w:rsid w:val="00213DD5"/>
    <w:rsid w:val="00220164"/>
    <w:rsid w:val="002203A7"/>
    <w:rsid w:val="0022148C"/>
    <w:rsid w:val="00222385"/>
    <w:rsid w:val="00223A36"/>
    <w:rsid w:val="002261CF"/>
    <w:rsid w:val="00226C62"/>
    <w:rsid w:val="002279C5"/>
    <w:rsid w:val="00230129"/>
    <w:rsid w:val="00230167"/>
    <w:rsid w:val="00231B5D"/>
    <w:rsid w:val="00232978"/>
    <w:rsid w:val="00232FA3"/>
    <w:rsid w:val="002337FB"/>
    <w:rsid w:val="00233D14"/>
    <w:rsid w:val="002343EF"/>
    <w:rsid w:val="00234A3D"/>
    <w:rsid w:val="00235AAA"/>
    <w:rsid w:val="002363BC"/>
    <w:rsid w:val="00237540"/>
    <w:rsid w:val="00237CB6"/>
    <w:rsid w:val="00240F6D"/>
    <w:rsid w:val="002420AF"/>
    <w:rsid w:val="00242A74"/>
    <w:rsid w:val="0026028F"/>
    <w:rsid w:val="00261F66"/>
    <w:rsid w:val="0026216A"/>
    <w:rsid w:val="00263010"/>
    <w:rsid w:val="00263CE1"/>
    <w:rsid w:val="00264DE3"/>
    <w:rsid w:val="0026597E"/>
    <w:rsid w:val="002701D4"/>
    <w:rsid w:val="00270E08"/>
    <w:rsid w:val="002713B0"/>
    <w:rsid w:val="00271ACF"/>
    <w:rsid w:val="0027382E"/>
    <w:rsid w:val="00273F66"/>
    <w:rsid w:val="00275936"/>
    <w:rsid w:val="00276901"/>
    <w:rsid w:val="00280FEB"/>
    <w:rsid w:val="0028105F"/>
    <w:rsid w:val="00282491"/>
    <w:rsid w:val="0028391B"/>
    <w:rsid w:val="002853DB"/>
    <w:rsid w:val="002854D1"/>
    <w:rsid w:val="0028672F"/>
    <w:rsid w:val="00287EE0"/>
    <w:rsid w:val="002908FD"/>
    <w:rsid w:val="002910BC"/>
    <w:rsid w:val="00291A57"/>
    <w:rsid w:val="00293660"/>
    <w:rsid w:val="00293C86"/>
    <w:rsid w:val="00294E68"/>
    <w:rsid w:val="002951E2"/>
    <w:rsid w:val="00297A55"/>
    <w:rsid w:val="002A0AB9"/>
    <w:rsid w:val="002A1090"/>
    <w:rsid w:val="002A29DE"/>
    <w:rsid w:val="002A31C6"/>
    <w:rsid w:val="002A5F21"/>
    <w:rsid w:val="002A6C59"/>
    <w:rsid w:val="002B06D4"/>
    <w:rsid w:val="002B1F3B"/>
    <w:rsid w:val="002B340B"/>
    <w:rsid w:val="002B3643"/>
    <w:rsid w:val="002B3B7C"/>
    <w:rsid w:val="002B3DA1"/>
    <w:rsid w:val="002B430F"/>
    <w:rsid w:val="002C28B0"/>
    <w:rsid w:val="002C35B5"/>
    <w:rsid w:val="002C65A6"/>
    <w:rsid w:val="002D0111"/>
    <w:rsid w:val="002D070C"/>
    <w:rsid w:val="002D0EF6"/>
    <w:rsid w:val="002D299F"/>
    <w:rsid w:val="002D3F24"/>
    <w:rsid w:val="002D4596"/>
    <w:rsid w:val="002D4691"/>
    <w:rsid w:val="002E0426"/>
    <w:rsid w:val="002E1954"/>
    <w:rsid w:val="002E3B03"/>
    <w:rsid w:val="002E5DCE"/>
    <w:rsid w:val="002E6E55"/>
    <w:rsid w:val="002E7F74"/>
    <w:rsid w:val="002F0700"/>
    <w:rsid w:val="002F3EB5"/>
    <w:rsid w:val="002F503C"/>
    <w:rsid w:val="002F576A"/>
    <w:rsid w:val="00300DA8"/>
    <w:rsid w:val="00303690"/>
    <w:rsid w:val="00305A47"/>
    <w:rsid w:val="00306413"/>
    <w:rsid w:val="00306767"/>
    <w:rsid w:val="00307219"/>
    <w:rsid w:val="00310D51"/>
    <w:rsid w:val="0031405C"/>
    <w:rsid w:val="0031766B"/>
    <w:rsid w:val="00317C5B"/>
    <w:rsid w:val="00322D3F"/>
    <w:rsid w:val="003265F4"/>
    <w:rsid w:val="00327BDE"/>
    <w:rsid w:val="003310B2"/>
    <w:rsid w:val="0033727F"/>
    <w:rsid w:val="003414F3"/>
    <w:rsid w:val="003436CE"/>
    <w:rsid w:val="00343FD9"/>
    <w:rsid w:val="00344E56"/>
    <w:rsid w:val="0034545C"/>
    <w:rsid w:val="00345A5C"/>
    <w:rsid w:val="003519B1"/>
    <w:rsid w:val="00351FED"/>
    <w:rsid w:val="0035306C"/>
    <w:rsid w:val="003568D9"/>
    <w:rsid w:val="00357E0A"/>
    <w:rsid w:val="00361A9D"/>
    <w:rsid w:val="003629DB"/>
    <w:rsid w:val="003633DC"/>
    <w:rsid w:val="0036419C"/>
    <w:rsid w:val="003642E0"/>
    <w:rsid w:val="00366D30"/>
    <w:rsid w:val="0036748F"/>
    <w:rsid w:val="003674EB"/>
    <w:rsid w:val="003702E8"/>
    <w:rsid w:val="00373439"/>
    <w:rsid w:val="003752A8"/>
    <w:rsid w:val="0037683E"/>
    <w:rsid w:val="00377943"/>
    <w:rsid w:val="00381E06"/>
    <w:rsid w:val="00382BF0"/>
    <w:rsid w:val="00383159"/>
    <w:rsid w:val="00383198"/>
    <w:rsid w:val="003831B7"/>
    <w:rsid w:val="003842F9"/>
    <w:rsid w:val="00384C60"/>
    <w:rsid w:val="00385668"/>
    <w:rsid w:val="00385D18"/>
    <w:rsid w:val="00385FB7"/>
    <w:rsid w:val="003861CA"/>
    <w:rsid w:val="00386453"/>
    <w:rsid w:val="003902AF"/>
    <w:rsid w:val="0039144A"/>
    <w:rsid w:val="00391933"/>
    <w:rsid w:val="00395803"/>
    <w:rsid w:val="003960BF"/>
    <w:rsid w:val="00396AAC"/>
    <w:rsid w:val="003970C8"/>
    <w:rsid w:val="003A0927"/>
    <w:rsid w:val="003A0C27"/>
    <w:rsid w:val="003A0C41"/>
    <w:rsid w:val="003A74E9"/>
    <w:rsid w:val="003B3BDB"/>
    <w:rsid w:val="003B3CD1"/>
    <w:rsid w:val="003B3FCC"/>
    <w:rsid w:val="003B5E79"/>
    <w:rsid w:val="003C152C"/>
    <w:rsid w:val="003C1AF7"/>
    <w:rsid w:val="003C3575"/>
    <w:rsid w:val="003C4BB3"/>
    <w:rsid w:val="003C4D5A"/>
    <w:rsid w:val="003C5F76"/>
    <w:rsid w:val="003C6866"/>
    <w:rsid w:val="003D0004"/>
    <w:rsid w:val="003D0DDA"/>
    <w:rsid w:val="003D1ACF"/>
    <w:rsid w:val="003D27A7"/>
    <w:rsid w:val="003D487D"/>
    <w:rsid w:val="003D4E2E"/>
    <w:rsid w:val="003D6645"/>
    <w:rsid w:val="003E0985"/>
    <w:rsid w:val="003E0ABF"/>
    <w:rsid w:val="003E35EA"/>
    <w:rsid w:val="003E38AC"/>
    <w:rsid w:val="003E4047"/>
    <w:rsid w:val="003E5E9A"/>
    <w:rsid w:val="003E687F"/>
    <w:rsid w:val="003E741F"/>
    <w:rsid w:val="003F0E2D"/>
    <w:rsid w:val="003F64EE"/>
    <w:rsid w:val="00402D16"/>
    <w:rsid w:val="00402FEA"/>
    <w:rsid w:val="00407A2E"/>
    <w:rsid w:val="004138A3"/>
    <w:rsid w:val="00424C98"/>
    <w:rsid w:val="00425CB4"/>
    <w:rsid w:val="004268F4"/>
    <w:rsid w:val="00430D06"/>
    <w:rsid w:val="00431096"/>
    <w:rsid w:val="00432016"/>
    <w:rsid w:val="00433887"/>
    <w:rsid w:val="00433B78"/>
    <w:rsid w:val="00436DEA"/>
    <w:rsid w:val="0043737B"/>
    <w:rsid w:val="00437794"/>
    <w:rsid w:val="004377AD"/>
    <w:rsid w:val="004416BF"/>
    <w:rsid w:val="004444EE"/>
    <w:rsid w:val="00444E44"/>
    <w:rsid w:val="00445E6B"/>
    <w:rsid w:val="00446B75"/>
    <w:rsid w:val="00452063"/>
    <w:rsid w:val="00453A25"/>
    <w:rsid w:val="00457ADF"/>
    <w:rsid w:val="0046180A"/>
    <w:rsid w:val="00461B88"/>
    <w:rsid w:val="00463EF2"/>
    <w:rsid w:val="00464404"/>
    <w:rsid w:val="00464795"/>
    <w:rsid w:val="0046610D"/>
    <w:rsid w:val="004679E0"/>
    <w:rsid w:val="00472C8E"/>
    <w:rsid w:val="004730CA"/>
    <w:rsid w:val="004744FC"/>
    <w:rsid w:val="004746B0"/>
    <w:rsid w:val="004768E6"/>
    <w:rsid w:val="004800E1"/>
    <w:rsid w:val="00481B5A"/>
    <w:rsid w:val="00481C4A"/>
    <w:rsid w:val="00481D4B"/>
    <w:rsid w:val="00481D74"/>
    <w:rsid w:val="00482D15"/>
    <w:rsid w:val="004833E4"/>
    <w:rsid w:val="00485A43"/>
    <w:rsid w:val="00486E12"/>
    <w:rsid w:val="00487049"/>
    <w:rsid w:val="00487D29"/>
    <w:rsid w:val="00492026"/>
    <w:rsid w:val="00493444"/>
    <w:rsid w:val="00493E0C"/>
    <w:rsid w:val="00494DFD"/>
    <w:rsid w:val="00494F32"/>
    <w:rsid w:val="004953E6"/>
    <w:rsid w:val="00496742"/>
    <w:rsid w:val="004972A3"/>
    <w:rsid w:val="004A00F0"/>
    <w:rsid w:val="004A08A0"/>
    <w:rsid w:val="004A0B1E"/>
    <w:rsid w:val="004A1F5A"/>
    <w:rsid w:val="004A4F92"/>
    <w:rsid w:val="004A5752"/>
    <w:rsid w:val="004A6AB8"/>
    <w:rsid w:val="004A78C0"/>
    <w:rsid w:val="004B03D4"/>
    <w:rsid w:val="004B08B4"/>
    <w:rsid w:val="004B0CA3"/>
    <w:rsid w:val="004B1193"/>
    <w:rsid w:val="004B31A4"/>
    <w:rsid w:val="004B3AAE"/>
    <w:rsid w:val="004B55CB"/>
    <w:rsid w:val="004B61FA"/>
    <w:rsid w:val="004C06EE"/>
    <w:rsid w:val="004C091D"/>
    <w:rsid w:val="004C0BFC"/>
    <w:rsid w:val="004C169F"/>
    <w:rsid w:val="004C1BB4"/>
    <w:rsid w:val="004C1EFB"/>
    <w:rsid w:val="004C34E8"/>
    <w:rsid w:val="004C3F4A"/>
    <w:rsid w:val="004C5F5C"/>
    <w:rsid w:val="004C773E"/>
    <w:rsid w:val="004D0616"/>
    <w:rsid w:val="004D32B6"/>
    <w:rsid w:val="004D3441"/>
    <w:rsid w:val="004D6EEF"/>
    <w:rsid w:val="004D76F3"/>
    <w:rsid w:val="004D7B2C"/>
    <w:rsid w:val="004E0DF1"/>
    <w:rsid w:val="004E1A7B"/>
    <w:rsid w:val="004E30D9"/>
    <w:rsid w:val="004E3949"/>
    <w:rsid w:val="004E442A"/>
    <w:rsid w:val="004E6645"/>
    <w:rsid w:val="004E7509"/>
    <w:rsid w:val="004F07B9"/>
    <w:rsid w:val="004F08B9"/>
    <w:rsid w:val="004F1F23"/>
    <w:rsid w:val="004F29D4"/>
    <w:rsid w:val="004F574F"/>
    <w:rsid w:val="00500005"/>
    <w:rsid w:val="00500AEE"/>
    <w:rsid w:val="00501273"/>
    <w:rsid w:val="0050153A"/>
    <w:rsid w:val="00502C30"/>
    <w:rsid w:val="005052A7"/>
    <w:rsid w:val="00513149"/>
    <w:rsid w:val="005137AB"/>
    <w:rsid w:val="00513DAE"/>
    <w:rsid w:val="005179E9"/>
    <w:rsid w:val="00517CC8"/>
    <w:rsid w:val="005202EE"/>
    <w:rsid w:val="00520799"/>
    <w:rsid w:val="0052105B"/>
    <w:rsid w:val="0052254D"/>
    <w:rsid w:val="005225F9"/>
    <w:rsid w:val="00523A08"/>
    <w:rsid w:val="00523C93"/>
    <w:rsid w:val="0052726A"/>
    <w:rsid w:val="0052770E"/>
    <w:rsid w:val="005305C3"/>
    <w:rsid w:val="00531EBE"/>
    <w:rsid w:val="005325C4"/>
    <w:rsid w:val="005330C7"/>
    <w:rsid w:val="00533CF7"/>
    <w:rsid w:val="00534B23"/>
    <w:rsid w:val="00541373"/>
    <w:rsid w:val="00541940"/>
    <w:rsid w:val="00541D04"/>
    <w:rsid w:val="00542834"/>
    <w:rsid w:val="00545FCB"/>
    <w:rsid w:val="00546625"/>
    <w:rsid w:val="0054700C"/>
    <w:rsid w:val="0054776A"/>
    <w:rsid w:val="00552828"/>
    <w:rsid w:val="00555DFA"/>
    <w:rsid w:val="00561149"/>
    <w:rsid w:val="005626E0"/>
    <w:rsid w:val="00567132"/>
    <w:rsid w:val="00567DED"/>
    <w:rsid w:val="005707EB"/>
    <w:rsid w:val="0057349C"/>
    <w:rsid w:val="005737EC"/>
    <w:rsid w:val="005747DB"/>
    <w:rsid w:val="00574984"/>
    <w:rsid w:val="0057604B"/>
    <w:rsid w:val="005806D3"/>
    <w:rsid w:val="00582D1E"/>
    <w:rsid w:val="0058396A"/>
    <w:rsid w:val="005847D7"/>
    <w:rsid w:val="0058583E"/>
    <w:rsid w:val="00585CE4"/>
    <w:rsid w:val="00586CED"/>
    <w:rsid w:val="00587322"/>
    <w:rsid w:val="00590509"/>
    <w:rsid w:val="0059089E"/>
    <w:rsid w:val="00592A76"/>
    <w:rsid w:val="005932F4"/>
    <w:rsid w:val="00596F40"/>
    <w:rsid w:val="00597E0B"/>
    <w:rsid w:val="005A35BA"/>
    <w:rsid w:val="005A6D41"/>
    <w:rsid w:val="005A7839"/>
    <w:rsid w:val="005B0170"/>
    <w:rsid w:val="005B1812"/>
    <w:rsid w:val="005B3A6E"/>
    <w:rsid w:val="005B3E66"/>
    <w:rsid w:val="005B41CD"/>
    <w:rsid w:val="005B5D56"/>
    <w:rsid w:val="005C0B9B"/>
    <w:rsid w:val="005C0C72"/>
    <w:rsid w:val="005C27CC"/>
    <w:rsid w:val="005C2EED"/>
    <w:rsid w:val="005C4AC7"/>
    <w:rsid w:val="005C4B6D"/>
    <w:rsid w:val="005C548D"/>
    <w:rsid w:val="005C56EC"/>
    <w:rsid w:val="005C5981"/>
    <w:rsid w:val="005C6128"/>
    <w:rsid w:val="005C743F"/>
    <w:rsid w:val="005D1AB7"/>
    <w:rsid w:val="005D2D89"/>
    <w:rsid w:val="005D697A"/>
    <w:rsid w:val="005E02D7"/>
    <w:rsid w:val="005E347B"/>
    <w:rsid w:val="005E4D2B"/>
    <w:rsid w:val="005E61EA"/>
    <w:rsid w:val="005E7FE6"/>
    <w:rsid w:val="005F17BD"/>
    <w:rsid w:val="005F63EF"/>
    <w:rsid w:val="005F6419"/>
    <w:rsid w:val="005F665B"/>
    <w:rsid w:val="0060271D"/>
    <w:rsid w:val="0060304D"/>
    <w:rsid w:val="00603453"/>
    <w:rsid w:val="00603847"/>
    <w:rsid w:val="006122F2"/>
    <w:rsid w:val="00612A01"/>
    <w:rsid w:val="0061332D"/>
    <w:rsid w:val="00613B49"/>
    <w:rsid w:val="0061491B"/>
    <w:rsid w:val="0061494D"/>
    <w:rsid w:val="00614C66"/>
    <w:rsid w:val="00616B2B"/>
    <w:rsid w:val="00620D66"/>
    <w:rsid w:val="0062242B"/>
    <w:rsid w:val="0062354E"/>
    <w:rsid w:val="00623E59"/>
    <w:rsid w:val="006244AF"/>
    <w:rsid w:val="006246D7"/>
    <w:rsid w:val="00625823"/>
    <w:rsid w:val="00626246"/>
    <w:rsid w:val="0063377F"/>
    <w:rsid w:val="00636FCC"/>
    <w:rsid w:val="0064387B"/>
    <w:rsid w:val="006502CE"/>
    <w:rsid w:val="0065232F"/>
    <w:rsid w:val="00654434"/>
    <w:rsid w:val="00655034"/>
    <w:rsid w:val="006556B8"/>
    <w:rsid w:val="006562F3"/>
    <w:rsid w:val="00660958"/>
    <w:rsid w:val="00660C76"/>
    <w:rsid w:val="006617E0"/>
    <w:rsid w:val="006631B9"/>
    <w:rsid w:val="00671D9F"/>
    <w:rsid w:val="006742FC"/>
    <w:rsid w:val="006762DD"/>
    <w:rsid w:val="006768DA"/>
    <w:rsid w:val="006770D1"/>
    <w:rsid w:val="00677891"/>
    <w:rsid w:val="006801EF"/>
    <w:rsid w:val="00681D02"/>
    <w:rsid w:val="00682D2C"/>
    <w:rsid w:val="00685395"/>
    <w:rsid w:val="006865FD"/>
    <w:rsid w:val="0069389A"/>
    <w:rsid w:val="006A141F"/>
    <w:rsid w:val="006A2CA4"/>
    <w:rsid w:val="006A791C"/>
    <w:rsid w:val="006A7EB0"/>
    <w:rsid w:val="006B23BD"/>
    <w:rsid w:val="006B6205"/>
    <w:rsid w:val="006B6221"/>
    <w:rsid w:val="006C13AD"/>
    <w:rsid w:val="006C18C7"/>
    <w:rsid w:val="006C1EB9"/>
    <w:rsid w:val="006C28DC"/>
    <w:rsid w:val="006C4E4B"/>
    <w:rsid w:val="006C528B"/>
    <w:rsid w:val="006D022A"/>
    <w:rsid w:val="006D073A"/>
    <w:rsid w:val="006D103D"/>
    <w:rsid w:val="006D2517"/>
    <w:rsid w:val="006D2963"/>
    <w:rsid w:val="006D48FE"/>
    <w:rsid w:val="006D4DC9"/>
    <w:rsid w:val="006E0A55"/>
    <w:rsid w:val="006E10DB"/>
    <w:rsid w:val="006E2043"/>
    <w:rsid w:val="006E22B4"/>
    <w:rsid w:val="006E2D62"/>
    <w:rsid w:val="006E3BBA"/>
    <w:rsid w:val="006E7411"/>
    <w:rsid w:val="006F3964"/>
    <w:rsid w:val="006F3AFA"/>
    <w:rsid w:val="006F4417"/>
    <w:rsid w:val="006F6C5B"/>
    <w:rsid w:val="00707FFD"/>
    <w:rsid w:val="00710813"/>
    <w:rsid w:val="00710893"/>
    <w:rsid w:val="00710B47"/>
    <w:rsid w:val="00710E76"/>
    <w:rsid w:val="007119D0"/>
    <w:rsid w:val="00716F1A"/>
    <w:rsid w:val="00717221"/>
    <w:rsid w:val="007173A7"/>
    <w:rsid w:val="00723ABE"/>
    <w:rsid w:val="00730301"/>
    <w:rsid w:val="00731BDD"/>
    <w:rsid w:val="00731EB4"/>
    <w:rsid w:val="00733F23"/>
    <w:rsid w:val="00734879"/>
    <w:rsid w:val="007538DA"/>
    <w:rsid w:val="007539CC"/>
    <w:rsid w:val="00754BC5"/>
    <w:rsid w:val="0075553B"/>
    <w:rsid w:val="00757F2D"/>
    <w:rsid w:val="007646BE"/>
    <w:rsid w:val="00767C50"/>
    <w:rsid w:val="00774713"/>
    <w:rsid w:val="007752E9"/>
    <w:rsid w:val="0077702E"/>
    <w:rsid w:val="007775EC"/>
    <w:rsid w:val="00777763"/>
    <w:rsid w:val="00777F97"/>
    <w:rsid w:val="0078076E"/>
    <w:rsid w:val="0078102B"/>
    <w:rsid w:val="00781DBE"/>
    <w:rsid w:val="007835FF"/>
    <w:rsid w:val="007838A3"/>
    <w:rsid w:val="00783B88"/>
    <w:rsid w:val="00786887"/>
    <w:rsid w:val="0078743D"/>
    <w:rsid w:val="007901F1"/>
    <w:rsid w:val="0079032A"/>
    <w:rsid w:val="007909BB"/>
    <w:rsid w:val="00791CC8"/>
    <w:rsid w:val="00792E8F"/>
    <w:rsid w:val="00793626"/>
    <w:rsid w:val="00794E2B"/>
    <w:rsid w:val="007A1E47"/>
    <w:rsid w:val="007A351E"/>
    <w:rsid w:val="007A62DE"/>
    <w:rsid w:val="007B1CCE"/>
    <w:rsid w:val="007B1EE9"/>
    <w:rsid w:val="007B207F"/>
    <w:rsid w:val="007B5DBD"/>
    <w:rsid w:val="007B62F0"/>
    <w:rsid w:val="007C0840"/>
    <w:rsid w:val="007C13A4"/>
    <w:rsid w:val="007C291E"/>
    <w:rsid w:val="007C2B57"/>
    <w:rsid w:val="007C3854"/>
    <w:rsid w:val="007C3EDA"/>
    <w:rsid w:val="007C5511"/>
    <w:rsid w:val="007C6C6E"/>
    <w:rsid w:val="007D08C3"/>
    <w:rsid w:val="007D1CF2"/>
    <w:rsid w:val="007D2CD9"/>
    <w:rsid w:val="007D43B3"/>
    <w:rsid w:val="007D5CF8"/>
    <w:rsid w:val="007E108F"/>
    <w:rsid w:val="007E6D29"/>
    <w:rsid w:val="007E6DF1"/>
    <w:rsid w:val="007F00A7"/>
    <w:rsid w:val="007F086E"/>
    <w:rsid w:val="007F0E1F"/>
    <w:rsid w:val="007F0FD2"/>
    <w:rsid w:val="007F2182"/>
    <w:rsid w:val="007F3E40"/>
    <w:rsid w:val="007F3F90"/>
    <w:rsid w:val="007F47BA"/>
    <w:rsid w:val="007F4FC6"/>
    <w:rsid w:val="00800A74"/>
    <w:rsid w:val="008013FF"/>
    <w:rsid w:val="00803DEB"/>
    <w:rsid w:val="00804ECD"/>
    <w:rsid w:val="0080590A"/>
    <w:rsid w:val="0080704A"/>
    <w:rsid w:val="00807A55"/>
    <w:rsid w:val="00810DC5"/>
    <w:rsid w:val="00810EA3"/>
    <w:rsid w:val="008135E2"/>
    <w:rsid w:val="00814F9B"/>
    <w:rsid w:val="00816463"/>
    <w:rsid w:val="00816B82"/>
    <w:rsid w:val="00822F60"/>
    <w:rsid w:val="00824B53"/>
    <w:rsid w:val="00824FCC"/>
    <w:rsid w:val="0082570E"/>
    <w:rsid w:val="00825E6C"/>
    <w:rsid w:val="008279EA"/>
    <w:rsid w:val="00827DA6"/>
    <w:rsid w:val="0083088C"/>
    <w:rsid w:val="00830C4E"/>
    <w:rsid w:val="00832E31"/>
    <w:rsid w:val="0083390D"/>
    <w:rsid w:val="00836187"/>
    <w:rsid w:val="00840502"/>
    <w:rsid w:val="00840632"/>
    <w:rsid w:val="00840692"/>
    <w:rsid w:val="008408B6"/>
    <w:rsid w:val="008410B5"/>
    <w:rsid w:val="00841645"/>
    <w:rsid w:val="00841E5F"/>
    <w:rsid w:val="008433E4"/>
    <w:rsid w:val="00843616"/>
    <w:rsid w:val="008443A5"/>
    <w:rsid w:val="00844CE6"/>
    <w:rsid w:val="00845D13"/>
    <w:rsid w:val="008503D2"/>
    <w:rsid w:val="008519A3"/>
    <w:rsid w:val="00852896"/>
    <w:rsid w:val="00855884"/>
    <w:rsid w:val="00857068"/>
    <w:rsid w:val="0086020C"/>
    <w:rsid w:val="00860329"/>
    <w:rsid w:val="00861ACB"/>
    <w:rsid w:val="00865604"/>
    <w:rsid w:val="008717F3"/>
    <w:rsid w:val="00872C01"/>
    <w:rsid w:val="008730A0"/>
    <w:rsid w:val="008736D0"/>
    <w:rsid w:val="00874451"/>
    <w:rsid w:val="00875C74"/>
    <w:rsid w:val="00876495"/>
    <w:rsid w:val="008764E5"/>
    <w:rsid w:val="00876777"/>
    <w:rsid w:val="00877182"/>
    <w:rsid w:val="00881A2E"/>
    <w:rsid w:val="00882B68"/>
    <w:rsid w:val="00883AFE"/>
    <w:rsid w:val="00884C6B"/>
    <w:rsid w:val="00886825"/>
    <w:rsid w:val="00891B97"/>
    <w:rsid w:val="00892830"/>
    <w:rsid w:val="00893D78"/>
    <w:rsid w:val="00895A2E"/>
    <w:rsid w:val="008A0AE7"/>
    <w:rsid w:val="008A177F"/>
    <w:rsid w:val="008A1D8B"/>
    <w:rsid w:val="008A4C4D"/>
    <w:rsid w:val="008A5861"/>
    <w:rsid w:val="008A6E92"/>
    <w:rsid w:val="008A7ABB"/>
    <w:rsid w:val="008B2BE5"/>
    <w:rsid w:val="008B389E"/>
    <w:rsid w:val="008B674A"/>
    <w:rsid w:val="008C0D92"/>
    <w:rsid w:val="008C275D"/>
    <w:rsid w:val="008C2AA4"/>
    <w:rsid w:val="008C2DBD"/>
    <w:rsid w:val="008C3D67"/>
    <w:rsid w:val="008C5191"/>
    <w:rsid w:val="008C5320"/>
    <w:rsid w:val="008C6188"/>
    <w:rsid w:val="008C637E"/>
    <w:rsid w:val="008C7221"/>
    <w:rsid w:val="008C7FDD"/>
    <w:rsid w:val="008D00B4"/>
    <w:rsid w:val="008D1A94"/>
    <w:rsid w:val="008D3D51"/>
    <w:rsid w:val="008D5A1E"/>
    <w:rsid w:val="008D5CE5"/>
    <w:rsid w:val="008D6AE0"/>
    <w:rsid w:val="008E0720"/>
    <w:rsid w:val="008E0AD0"/>
    <w:rsid w:val="008E18DD"/>
    <w:rsid w:val="008E27C4"/>
    <w:rsid w:val="008E2E89"/>
    <w:rsid w:val="008E3549"/>
    <w:rsid w:val="008E4169"/>
    <w:rsid w:val="008E5A99"/>
    <w:rsid w:val="008E5EDA"/>
    <w:rsid w:val="008E624C"/>
    <w:rsid w:val="008E67D2"/>
    <w:rsid w:val="008E7E95"/>
    <w:rsid w:val="008F1A39"/>
    <w:rsid w:val="008F231D"/>
    <w:rsid w:val="008F2E52"/>
    <w:rsid w:val="008F4D90"/>
    <w:rsid w:val="009022C5"/>
    <w:rsid w:val="009031A4"/>
    <w:rsid w:val="009034C2"/>
    <w:rsid w:val="00906769"/>
    <w:rsid w:val="009072FA"/>
    <w:rsid w:val="00912CBC"/>
    <w:rsid w:val="009166A9"/>
    <w:rsid w:val="00916DC9"/>
    <w:rsid w:val="00917392"/>
    <w:rsid w:val="00922D56"/>
    <w:rsid w:val="00925CD7"/>
    <w:rsid w:val="009267DD"/>
    <w:rsid w:val="00927CFC"/>
    <w:rsid w:val="0093135E"/>
    <w:rsid w:val="0093265C"/>
    <w:rsid w:val="009337E0"/>
    <w:rsid w:val="00942DEC"/>
    <w:rsid w:val="0094533D"/>
    <w:rsid w:val="009471CE"/>
    <w:rsid w:val="00950670"/>
    <w:rsid w:val="00951A70"/>
    <w:rsid w:val="00952B8B"/>
    <w:rsid w:val="00953897"/>
    <w:rsid w:val="00956186"/>
    <w:rsid w:val="00963913"/>
    <w:rsid w:val="00963E2C"/>
    <w:rsid w:val="00966A37"/>
    <w:rsid w:val="00967B4D"/>
    <w:rsid w:val="0097028B"/>
    <w:rsid w:val="009709C9"/>
    <w:rsid w:val="009713C1"/>
    <w:rsid w:val="00971C9E"/>
    <w:rsid w:val="00973B36"/>
    <w:rsid w:val="00974658"/>
    <w:rsid w:val="00976F75"/>
    <w:rsid w:val="00977865"/>
    <w:rsid w:val="009801E2"/>
    <w:rsid w:val="009804F8"/>
    <w:rsid w:val="00981779"/>
    <w:rsid w:val="0098182B"/>
    <w:rsid w:val="00984885"/>
    <w:rsid w:val="0098497F"/>
    <w:rsid w:val="00985255"/>
    <w:rsid w:val="00991669"/>
    <w:rsid w:val="00992944"/>
    <w:rsid w:val="00993038"/>
    <w:rsid w:val="00994B3D"/>
    <w:rsid w:val="009A31A3"/>
    <w:rsid w:val="009A4B79"/>
    <w:rsid w:val="009A5151"/>
    <w:rsid w:val="009A5BA6"/>
    <w:rsid w:val="009A6F48"/>
    <w:rsid w:val="009B04F7"/>
    <w:rsid w:val="009B252B"/>
    <w:rsid w:val="009B45F9"/>
    <w:rsid w:val="009B4C2F"/>
    <w:rsid w:val="009B5C96"/>
    <w:rsid w:val="009B67B4"/>
    <w:rsid w:val="009B7796"/>
    <w:rsid w:val="009B797E"/>
    <w:rsid w:val="009C0170"/>
    <w:rsid w:val="009C26E0"/>
    <w:rsid w:val="009C3505"/>
    <w:rsid w:val="009C3927"/>
    <w:rsid w:val="009C53B1"/>
    <w:rsid w:val="009C5A9A"/>
    <w:rsid w:val="009C6440"/>
    <w:rsid w:val="009C6561"/>
    <w:rsid w:val="009C6D85"/>
    <w:rsid w:val="009C77E5"/>
    <w:rsid w:val="009C7B08"/>
    <w:rsid w:val="009C7B8F"/>
    <w:rsid w:val="009D0F14"/>
    <w:rsid w:val="009D1986"/>
    <w:rsid w:val="009D4A0A"/>
    <w:rsid w:val="009D7223"/>
    <w:rsid w:val="009D7610"/>
    <w:rsid w:val="009D7933"/>
    <w:rsid w:val="009E04CC"/>
    <w:rsid w:val="009E54A7"/>
    <w:rsid w:val="009E673F"/>
    <w:rsid w:val="009F0A6A"/>
    <w:rsid w:val="009F3B94"/>
    <w:rsid w:val="009F3C5B"/>
    <w:rsid w:val="009F3FE1"/>
    <w:rsid w:val="009F5383"/>
    <w:rsid w:val="00A00081"/>
    <w:rsid w:val="00A006EA"/>
    <w:rsid w:val="00A01242"/>
    <w:rsid w:val="00A017F6"/>
    <w:rsid w:val="00A01D9A"/>
    <w:rsid w:val="00A02623"/>
    <w:rsid w:val="00A04CFD"/>
    <w:rsid w:val="00A0761B"/>
    <w:rsid w:val="00A11160"/>
    <w:rsid w:val="00A1444C"/>
    <w:rsid w:val="00A155C3"/>
    <w:rsid w:val="00A15874"/>
    <w:rsid w:val="00A173C3"/>
    <w:rsid w:val="00A179FE"/>
    <w:rsid w:val="00A2282A"/>
    <w:rsid w:val="00A2489F"/>
    <w:rsid w:val="00A26152"/>
    <w:rsid w:val="00A26521"/>
    <w:rsid w:val="00A26FF7"/>
    <w:rsid w:val="00A3245B"/>
    <w:rsid w:val="00A3373A"/>
    <w:rsid w:val="00A35002"/>
    <w:rsid w:val="00A35B69"/>
    <w:rsid w:val="00A3731D"/>
    <w:rsid w:val="00A426D4"/>
    <w:rsid w:val="00A43245"/>
    <w:rsid w:val="00A4354E"/>
    <w:rsid w:val="00A4510D"/>
    <w:rsid w:val="00A45CDE"/>
    <w:rsid w:val="00A508E4"/>
    <w:rsid w:val="00A5184C"/>
    <w:rsid w:val="00A51904"/>
    <w:rsid w:val="00A526BA"/>
    <w:rsid w:val="00A53DF1"/>
    <w:rsid w:val="00A552AE"/>
    <w:rsid w:val="00A61740"/>
    <w:rsid w:val="00A65DCB"/>
    <w:rsid w:val="00A66AE8"/>
    <w:rsid w:val="00A72A55"/>
    <w:rsid w:val="00A72C4A"/>
    <w:rsid w:val="00A755FF"/>
    <w:rsid w:val="00A802BE"/>
    <w:rsid w:val="00A832F5"/>
    <w:rsid w:val="00A83382"/>
    <w:rsid w:val="00A839F1"/>
    <w:rsid w:val="00A83FBC"/>
    <w:rsid w:val="00A8485F"/>
    <w:rsid w:val="00A84C47"/>
    <w:rsid w:val="00A867E5"/>
    <w:rsid w:val="00A90694"/>
    <w:rsid w:val="00A90F27"/>
    <w:rsid w:val="00A91480"/>
    <w:rsid w:val="00A926D9"/>
    <w:rsid w:val="00A9323F"/>
    <w:rsid w:val="00A93415"/>
    <w:rsid w:val="00A93F75"/>
    <w:rsid w:val="00A97412"/>
    <w:rsid w:val="00A97DD6"/>
    <w:rsid w:val="00AA02C9"/>
    <w:rsid w:val="00AA213D"/>
    <w:rsid w:val="00AA3B01"/>
    <w:rsid w:val="00AA5966"/>
    <w:rsid w:val="00AB5790"/>
    <w:rsid w:val="00AB6DF8"/>
    <w:rsid w:val="00AB7C12"/>
    <w:rsid w:val="00AC1150"/>
    <w:rsid w:val="00AC7E71"/>
    <w:rsid w:val="00AD16DA"/>
    <w:rsid w:val="00AD17A3"/>
    <w:rsid w:val="00AD1903"/>
    <w:rsid w:val="00AD29FE"/>
    <w:rsid w:val="00AD56E8"/>
    <w:rsid w:val="00AD570B"/>
    <w:rsid w:val="00AD7042"/>
    <w:rsid w:val="00AD705D"/>
    <w:rsid w:val="00AE1237"/>
    <w:rsid w:val="00AE20CB"/>
    <w:rsid w:val="00AE5C99"/>
    <w:rsid w:val="00AF0A6E"/>
    <w:rsid w:val="00AF2D13"/>
    <w:rsid w:val="00AF2EA9"/>
    <w:rsid w:val="00AF30B1"/>
    <w:rsid w:val="00AF6C0B"/>
    <w:rsid w:val="00AF73A5"/>
    <w:rsid w:val="00B034C9"/>
    <w:rsid w:val="00B03B7E"/>
    <w:rsid w:val="00B04F23"/>
    <w:rsid w:val="00B05463"/>
    <w:rsid w:val="00B05FFF"/>
    <w:rsid w:val="00B078F8"/>
    <w:rsid w:val="00B10954"/>
    <w:rsid w:val="00B10E93"/>
    <w:rsid w:val="00B15306"/>
    <w:rsid w:val="00B16DF8"/>
    <w:rsid w:val="00B17E82"/>
    <w:rsid w:val="00B2223C"/>
    <w:rsid w:val="00B235D3"/>
    <w:rsid w:val="00B2457C"/>
    <w:rsid w:val="00B268FE"/>
    <w:rsid w:val="00B27E59"/>
    <w:rsid w:val="00B30FDF"/>
    <w:rsid w:val="00B36DA6"/>
    <w:rsid w:val="00B40344"/>
    <w:rsid w:val="00B40373"/>
    <w:rsid w:val="00B43716"/>
    <w:rsid w:val="00B45765"/>
    <w:rsid w:val="00B46741"/>
    <w:rsid w:val="00B47331"/>
    <w:rsid w:val="00B5214C"/>
    <w:rsid w:val="00B5320B"/>
    <w:rsid w:val="00B5430E"/>
    <w:rsid w:val="00B5594B"/>
    <w:rsid w:val="00B55E78"/>
    <w:rsid w:val="00B5697C"/>
    <w:rsid w:val="00B56B4E"/>
    <w:rsid w:val="00B572BA"/>
    <w:rsid w:val="00B60321"/>
    <w:rsid w:val="00B645B9"/>
    <w:rsid w:val="00B668BF"/>
    <w:rsid w:val="00B67F1F"/>
    <w:rsid w:val="00B715B7"/>
    <w:rsid w:val="00B802A5"/>
    <w:rsid w:val="00B81270"/>
    <w:rsid w:val="00B81E60"/>
    <w:rsid w:val="00B83278"/>
    <w:rsid w:val="00B8404C"/>
    <w:rsid w:val="00B848A3"/>
    <w:rsid w:val="00B84AA5"/>
    <w:rsid w:val="00B84D90"/>
    <w:rsid w:val="00B85DE9"/>
    <w:rsid w:val="00B86661"/>
    <w:rsid w:val="00B8702E"/>
    <w:rsid w:val="00B90757"/>
    <w:rsid w:val="00B90C99"/>
    <w:rsid w:val="00B94ED2"/>
    <w:rsid w:val="00B94FC2"/>
    <w:rsid w:val="00BA0F85"/>
    <w:rsid w:val="00BA236B"/>
    <w:rsid w:val="00BA25BC"/>
    <w:rsid w:val="00BA3B49"/>
    <w:rsid w:val="00BA4298"/>
    <w:rsid w:val="00BA5352"/>
    <w:rsid w:val="00BA6449"/>
    <w:rsid w:val="00BA72C7"/>
    <w:rsid w:val="00BB0DA1"/>
    <w:rsid w:val="00BB38A4"/>
    <w:rsid w:val="00BB3E61"/>
    <w:rsid w:val="00BB4148"/>
    <w:rsid w:val="00BB4DC6"/>
    <w:rsid w:val="00BB5A04"/>
    <w:rsid w:val="00BB5D5C"/>
    <w:rsid w:val="00BB5F0D"/>
    <w:rsid w:val="00BB5FD0"/>
    <w:rsid w:val="00BB7922"/>
    <w:rsid w:val="00BC06E9"/>
    <w:rsid w:val="00BC1827"/>
    <w:rsid w:val="00BC1CDE"/>
    <w:rsid w:val="00BC7B91"/>
    <w:rsid w:val="00BD2274"/>
    <w:rsid w:val="00BD3107"/>
    <w:rsid w:val="00BD3339"/>
    <w:rsid w:val="00BD498B"/>
    <w:rsid w:val="00BD538E"/>
    <w:rsid w:val="00BD6E0D"/>
    <w:rsid w:val="00BD7336"/>
    <w:rsid w:val="00BD73C9"/>
    <w:rsid w:val="00BE0F79"/>
    <w:rsid w:val="00BE15F1"/>
    <w:rsid w:val="00BE3F90"/>
    <w:rsid w:val="00BE4486"/>
    <w:rsid w:val="00BE6513"/>
    <w:rsid w:val="00BF1047"/>
    <w:rsid w:val="00BF19B3"/>
    <w:rsid w:val="00BF31D5"/>
    <w:rsid w:val="00BF5253"/>
    <w:rsid w:val="00BF5773"/>
    <w:rsid w:val="00C036D3"/>
    <w:rsid w:val="00C039C4"/>
    <w:rsid w:val="00C05803"/>
    <w:rsid w:val="00C073B1"/>
    <w:rsid w:val="00C115B3"/>
    <w:rsid w:val="00C14BD4"/>
    <w:rsid w:val="00C216BE"/>
    <w:rsid w:val="00C21FC8"/>
    <w:rsid w:val="00C2347F"/>
    <w:rsid w:val="00C2357D"/>
    <w:rsid w:val="00C245D4"/>
    <w:rsid w:val="00C263C3"/>
    <w:rsid w:val="00C267F6"/>
    <w:rsid w:val="00C32BB1"/>
    <w:rsid w:val="00C44265"/>
    <w:rsid w:val="00C4501C"/>
    <w:rsid w:val="00C45A37"/>
    <w:rsid w:val="00C461AF"/>
    <w:rsid w:val="00C504FD"/>
    <w:rsid w:val="00C51109"/>
    <w:rsid w:val="00C52BC7"/>
    <w:rsid w:val="00C546AC"/>
    <w:rsid w:val="00C64766"/>
    <w:rsid w:val="00C64E46"/>
    <w:rsid w:val="00C70B1C"/>
    <w:rsid w:val="00C71713"/>
    <w:rsid w:val="00C71953"/>
    <w:rsid w:val="00C7269C"/>
    <w:rsid w:val="00C751ED"/>
    <w:rsid w:val="00C760E2"/>
    <w:rsid w:val="00C80CC1"/>
    <w:rsid w:val="00C81062"/>
    <w:rsid w:val="00C83FD8"/>
    <w:rsid w:val="00C870BD"/>
    <w:rsid w:val="00C90D08"/>
    <w:rsid w:val="00C90E14"/>
    <w:rsid w:val="00C925DB"/>
    <w:rsid w:val="00C93511"/>
    <w:rsid w:val="00C95077"/>
    <w:rsid w:val="00C95726"/>
    <w:rsid w:val="00CA3202"/>
    <w:rsid w:val="00CB3167"/>
    <w:rsid w:val="00CB49C2"/>
    <w:rsid w:val="00CB5190"/>
    <w:rsid w:val="00CB6742"/>
    <w:rsid w:val="00CB7595"/>
    <w:rsid w:val="00CC00BE"/>
    <w:rsid w:val="00CC0527"/>
    <w:rsid w:val="00CC1122"/>
    <w:rsid w:val="00CC3722"/>
    <w:rsid w:val="00CC67FE"/>
    <w:rsid w:val="00CD1A73"/>
    <w:rsid w:val="00CD2E22"/>
    <w:rsid w:val="00CD3553"/>
    <w:rsid w:val="00CD3689"/>
    <w:rsid w:val="00CD5BF5"/>
    <w:rsid w:val="00CD7D12"/>
    <w:rsid w:val="00CE0B6C"/>
    <w:rsid w:val="00CE2284"/>
    <w:rsid w:val="00CE3122"/>
    <w:rsid w:val="00CE39FC"/>
    <w:rsid w:val="00CE6485"/>
    <w:rsid w:val="00CE7432"/>
    <w:rsid w:val="00CF0F3D"/>
    <w:rsid w:val="00CF37E9"/>
    <w:rsid w:val="00CF3C61"/>
    <w:rsid w:val="00CF523D"/>
    <w:rsid w:val="00CF7F90"/>
    <w:rsid w:val="00D0214B"/>
    <w:rsid w:val="00D0335B"/>
    <w:rsid w:val="00D066C2"/>
    <w:rsid w:val="00D10785"/>
    <w:rsid w:val="00D15312"/>
    <w:rsid w:val="00D232BE"/>
    <w:rsid w:val="00D26078"/>
    <w:rsid w:val="00D26C23"/>
    <w:rsid w:val="00D277AA"/>
    <w:rsid w:val="00D36CF1"/>
    <w:rsid w:val="00D4072D"/>
    <w:rsid w:val="00D45095"/>
    <w:rsid w:val="00D4674E"/>
    <w:rsid w:val="00D5038B"/>
    <w:rsid w:val="00D52CEF"/>
    <w:rsid w:val="00D53CD7"/>
    <w:rsid w:val="00D607E4"/>
    <w:rsid w:val="00D6263D"/>
    <w:rsid w:val="00D639BD"/>
    <w:rsid w:val="00D63EC0"/>
    <w:rsid w:val="00D64169"/>
    <w:rsid w:val="00D66C3A"/>
    <w:rsid w:val="00D704BE"/>
    <w:rsid w:val="00D70B82"/>
    <w:rsid w:val="00D710A7"/>
    <w:rsid w:val="00D7233B"/>
    <w:rsid w:val="00D81057"/>
    <w:rsid w:val="00D840FE"/>
    <w:rsid w:val="00D8485A"/>
    <w:rsid w:val="00D90F03"/>
    <w:rsid w:val="00D93CEF"/>
    <w:rsid w:val="00D97275"/>
    <w:rsid w:val="00DA1503"/>
    <w:rsid w:val="00DA17FF"/>
    <w:rsid w:val="00DA460A"/>
    <w:rsid w:val="00DA4B85"/>
    <w:rsid w:val="00DA51C5"/>
    <w:rsid w:val="00DA7915"/>
    <w:rsid w:val="00DB0194"/>
    <w:rsid w:val="00DB390A"/>
    <w:rsid w:val="00DB5A4B"/>
    <w:rsid w:val="00DC07F9"/>
    <w:rsid w:val="00DC2CE4"/>
    <w:rsid w:val="00DC3EF3"/>
    <w:rsid w:val="00DC551B"/>
    <w:rsid w:val="00DC57AD"/>
    <w:rsid w:val="00DD2058"/>
    <w:rsid w:val="00DD24B5"/>
    <w:rsid w:val="00DD51E3"/>
    <w:rsid w:val="00DD58AB"/>
    <w:rsid w:val="00DE3A5E"/>
    <w:rsid w:val="00DE48F8"/>
    <w:rsid w:val="00DE4F3E"/>
    <w:rsid w:val="00DE54CB"/>
    <w:rsid w:val="00DE639C"/>
    <w:rsid w:val="00DF0E12"/>
    <w:rsid w:val="00DF19B9"/>
    <w:rsid w:val="00DF24E5"/>
    <w:rsid w:val="00DF4213"/>
    <w:rsid w:val="00E03750"/>
    <w:rsid w:val="00E03FB7"/>
    <w:rsid w:val="00E044BA"/>
    <w:rsid w:val="00E052A6"/>
    <w:rsid w:val="00E05A84"/>
    <w:rsid w:val="00E064D6"/>
    <w:rsid w:val="00E06819"/>
    <w:rsid w:val="00E070DC"/>
    <w:rsid w:val="00E073AB"/>
    <w:rsid w:val="00E10267"/>
    <w:rsid w:val="00E10489"/>
    <w:rsid w:val="00E11D3E"/>
    <w:rsid w:val="00E13AC9"/>
    <w:rsid w:val="00E162A5"/>
    <w:rsid w:val="00E1712A"/>
    <w:rsid w:val="00E175F4"/>
    <w:rsid w:val="00E247AD"/>
    <w:rsid w:val="00E26469"/>
    <w:rsid w:val="00E270EB"/>
    <w:rsid w:val="00E279EF"/>
    <w:rsid w:val="00E30B95"/>
    <w:rsid w:val="00E33915"/>
    <w:rsid w:val="00E35B5B"/>
    <w:rsid w:val="00E35C6A"/>
    <w:rsid w:val="00E35FB0"/>
    <w:rsid w:val="00E37BB2"/>
    <w:rsid w:val="00E40AC1"/>
    <w:rsid w:val="00E41081"/>
    <w:rsid w:val="00E42E98"/>
    <w:rsid w:val="00E43081"/>
    <w:rsid w:val="00E430EB"/>
    <w:rsid w:val="00E44EE8"/>
    <w:rsid w:val="00E4559E"/>
    <w:rsid w:val="00E45D76"/>
    <w:rsid w:val="00E505D6"/>
    <w:rsid w:val="00E50D8A"/>
    <w:rsid w:val="00E52E6B"/>
    <w:rsid w:val="00E53DA2"/>
    <w:rsid w:val="00E55231"/>
    <w:rsid w:val="00E56394"/>
    <w:rsid w:val="00E66148"/>
    <w:rsid w:val="00E66647"/>
    <w:rsid w:val="00E71146"/>
    <w:rsid w:val="00E71CA6"/>
    <w:rsid w:val="00E75BA6"/>
    <w:rsid w:val="00E76D9F"/>
    <w:rsid w:val="00E803B8"/>
    <w:rsid w:val="00E80A0D"/>
    <w:rsid w:val="00E8189C"/>
    <w:rsid w:val="00E838AF"/>
    <w:rsid w:val="00E86CDD"/>
    <w:rsid w:val="00E95B0A"/>
    <w:rsid w:val="00E96015"/>
    <w:rsid w:val="00EA23A7"/>
    <w:rsid w:val="00EA3BBF"/>
    <w:rsid w:val="00EA477E"/>
    <w:rsid w:val="00EA73B0"/>
    <w:rsid w:val="00EA78E6"/>
    <w:rsid w:val="00EB1A7D"/>
    <w:rsid w:val="00EB1B9D"/>
    <w:rsid w:val="00EB265D"/>
    <w:rsid w:val="00EB2DB3"/>
    <w:rsid w:val="00EB3260"/>
    <w:rsid w:val="00EB32E8"/>
    <w:rsid w:val="00EB3444"/>
    <w:rsid w:val="00EB4461"/>
    <w:rsid w:val="00EB7D8C"/>
    <w:rsid w:val="00EC2650"/>
    <w:rsid w:val="00EC3192"/>
    <w:rsid w:val="00EC4A64"/>
    <w:rsid w:val="00EC5414"/>
    <w:rsid w:val="00EC72F6"/>
    <w:rsid w:val="00EC7D96"/>
    <w:rsid w:val="00ED1D22"/>
    <w:rsid w:val="00ED29AE"/>
    <w:rsid w:val="00ED339C"/>
    <w:rsid w:val="00ED4E8F"/>
    <w:rsid w:val="00EE318E"/>
    <w:rsid w:val="00EE4708"/>
    <w:rsid w:val="00EE535A"/>
    <w:rsid w:val="00EE606A"/>
    <w:rsid w:val="00EE7213"/>
    <w:rsid w:val="00EF184C"/>
    <w:rsid w:val="00EF23B7"/>
    <w:rsid w:val="00EF298C"/>
    <w:rsid w:val="00EF2F39"/>
    <w:rsid w:val="00EF4980"/>
    <w:rsid w:val="00EF6731"/>
    <w:rsid w:val="00F0121A"/>
    <w:rsid w:val="00F01634"/>
    <w:rsid w:val="00F05E20"/>
    <w:rsid w:val="00F05F46"/>
    <w:rsid w:val="00F0669B"/>
    <w:rsid w:val="00F07130"/>
    <w:rsid w:val="00F07A2E"/>
    <w:rsid w:val="00F10A93"/>
    <w:rsid w:val="00F14816"/>
    <w:rsid w:val="00F14F5B"/>
    <w:rsid w:val="00F16AFC"/>
    <w:rsid w:val="00F16CF5"/>
    <w:rsid w:val="00F220AC"/>
    <w:rsid w:val="00F2327E"/>
    <w:rsid w:val="00F25C14"/>
    <w:rsid w:val="00F25E9B"/>
    <w:rsid w:val="00F27BAC"/>
    <w:rsid w:val="00F27F0F"/>
    <w:rsid w:val="00F32729"/>
    <w:rsid w:val="00F32CAD"/>
    <w:rsid w:val="00F32CF8"/>
    <w:rsid w:val="00F3517A"/>
    <w:rsid w:val="00F3723B"/>
    <w:rsid w:val="00F37253"/>
    <w:rsid w:val="00F40B55"/>
    <w:rsid w:val="00F4137B"/>
    <w:rsid w:val="00F4192F"/>
    <w:rsid w:val="00F4235D"/>
    <w:rsid w:val="00F423A1"/>
    <w:rsid w:val="00F42EB0"/>
    <w:rsid w:val="00F43BB7"/>
    <w:rsid w:val="00F44426"/>
    <w:rsid w:val="00F4644B"/>
    <w:rsid w:val="00F46BAF"/>
    <w:rsid w:val="00F51403"/>
    <w:rsid w:val="00F5311E"/>
    <w:rsid w:val="00F549B3"/>
    <w:rsid w:val="00F55149"/>
    <w:rsid w:val="00F55ED9"/>
    <w:rsid w:val="00F57CA3"/>
    <w:rsid w:val="00F57D0F"/>
    <w:rsid w:val="00F60FD4"/>
    <w:rsid w:val="00F66AB3"/>
    <w:rsid w:val="00F66C3C"/>
    <w:rsid w:val="00F66DED"/>
    <w:rsid w:val="00F67F66"/>
    <w:rsid w:val="00F7020F"/>
    <w:rsid w:val="00F702FF"/>
    <w:rsid w:val="00F70998"/>
    <w:rsid w:val="00F70FE5"/>
    <w:rsid w:val="00F756A4"/>
    <w:rsid w:val="00F76964"/>
    <w:rsid w:val="00F77CFC"/>
    <w:rsid w:val="00F84805"/>
    <w:rsid w:val="00F86E82"/>
    <w:rsid w:val="00F86EF0"/>
    <w:rsid w:val="00F92E88"/>
    <w:rsid w:val="00FA25E7"/>
    <w:rsid w:val="00FA2F87"/>
    <w:rsid w:val="00FA338D"/>
    <w:rsid w:val="00FA6ABC"/>
    <w:rsid w:val="00FA6AFF"/>
    <w:rsid w:val="00FB0F12"/>
    <w:rsid w:val="00FB364D"/>
    <w:rsid w:val="00FB3EEA"/>
    <w:rsid w:val="00FB4121"/>
    <w:rsid w:val="00FB52FD"/>
    <w:rsid w:val="00FB7D14"/>
    <w:rsid w:val="00FC1270"/>
    <w:rsid w:val="00FC440B"/>
    <w:rsid w:val="00FC6AA5"/>
    <w:rsid w:val="00FC72AA"/>
    <w:rsid w:val="00FC77B9"/>
    <w:rsid w:val="00FD1849"/>
    <w:rsid w:val="00FD61C5"/>
    <w:rsid w:val="00FE0BCD"/>
    <w:rsid w:val="00FE0F7D"/>
    <w:rsid w:val="00FE1025"/>
    <w:rsid w:val="00FE2440"/>
    <w:rsid w:val="00FE2A8C"/>
    <w:rsid w:val="00FE4FCB"/>
    <w:rsid w:val="00FE5676"/>
    <w:rsid w:val="00FE5F32"/>
    <w:rsid w:val="00FF6F46"/>
    <w:rsid w:val="00FF7CF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38D"/>
    <w:rPr>
      <w:sz w:val="24"/>
      <w:szCs w:val="24"/>
    </w:rPr>
  </w:style>
  <w:style w:type="paragraph" w:styleId="Heading1">
    <w:name w:val="heading 1"/>
    <w:basedOn w:val="Normal"/>
    <w:next w:val="Normal"/>
    <w:link w:val="Heading1Char"/>
    <w:qFormat/>
    <w:rsid w:val="00204B08"/>
    <w:pPr>
      <w:keepNext/>
      <w:numPr>
        <w:numId w:val="7"/>
      </w:numPr>
      <w:spacing w:before="240" w:after="240"/>
      <w:jc w:val="both"/>
      <w:outlineLvl w:val="0"/>
    </w:pPr>
    <w:rPr>
      <w:b/>
      <w:smallCaps/>
      <w:szCs w:val="20"/>
      <w:lang w:val="en-GB" w:eastAsia="en-US"/>
    </w:rPr>
  </w:style>
  <w:style w:type="paragraph" w:styleId="Heading2">
    <w:name w:val="heading 2"/>
    <w:basedOn w:val="Normal"/>
    <w:next w:val="Normal"/>
    <w:link w:val="Heading2Char"/>
    <w:qFormat/>
    <w:rsid w:val="00204B08"/>
    <w:pPr>
      <w:keepNext/>
      <w:numPr>
        <w:ilvl w:val="1"/>
        <w:numId w:val="7"/>
      </w:numPr>
      <w:spacing w:after="240"/>
      <w:jc w:val="both"/>
      <w:outlineLvl w:val="1"/>
    </w:pPr>
    <w:rPr>
      <w:b/>
      <w:szCs w:val="20"/>
      <w:lang w:val="en-GB" w:eastAsia="en-US"/>
    </w:rPr>
  </w:style>
  <w:style w:type="paragraph" w:styleId="Heading3">
    <w:name w:val="heading 3"/>
    <w:basedOn w:val="Normal"/>
    <w:next w:val="Normal"/>
    <w:link w:val="Heading3Char1"/>
    <w:qFormat/>
    <w:rsid w:val="00204B08"/>
    <w:pPr>
      <w:keepNext/>
      <w:numPr>
        <w:ilvl w:val="2"/>
        <w:numId w:val="7"/>
      </w:numPr>
      <w:spacing w:after="240"/>
      <w:jc w:val="both"/>
      <w:outlineLvl w:val="2"/>
    </w:pPr>
    <w:rPr>
      <w:i/>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62F3"/>
    <w:pPr>
      <w:spacing w:before="75" w:after="75"/>
      <w:jc w:val="right"/>
    </w:pPr>
  </w:style>
  <w:style w:type="table" w:styleId="TableGrid">
    <w:name w:val="Table Grid"/>
    <w:basedOn w:val="TableNormal"/>
    <w:rsid w:val="0065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6562F3"/>
    <w:pPr>
      <w:spacing w:before="75" w:after="75"/>
    </w:pPr>
  </w:style>
  <w:style w:type="paragraph" w:customStyle="1" w:styleId="naispant">
    <w:name w:val="naispant"/>
    <w:basedOn w:val="Normal"/>
    <w:rsid w:val="006562F3"/>
    <w:pPr>
      <w:spacing w:before="100" w:beforeAutospacing="1" w:after="100" w:afterAutospacing="1"/>
    </w:pPr>
  </w:style>
  <w:style w:type="paragraph" w:styleId="Header">
    <w:name w:val="header"/>
    <w:basedOn w:val="Normal"/>
    <w:rsid w:val="006562F3"/>
    <w:pPr>
      <w:tabs>
        <w:tab w:val="center" w:pos="4153"/>
        <w:tab w:val="right" w:pos="8306"/>
      </w:tabs>
    </w:pPr>
  </w:style>
  <w:style w:type="character" w:styleId="PageNumber">
    <w:name w:val="page number"/>
    <w:basedOn w:val="DefaultParagraphFont"/>
    <w:rsid w:val="006562F3"/>
  </w:style>
  <w:style w:type="paragraph" w:customStyle="1" w:styleId="naisnod">
    <w:name w:val="naisnod"/>
    <w:basedOn w:val="Normal"/>
    <w:rsid w:val="006562F3"/>
    <w:pPr>
      <w:spacing w:before="150" w:after="150"/>
      <w:jc w:val="center"/>
    </w:pPr>
    <w:rPr>
      <w:b/>
      <w:bCs/>
    </w:rPr>
  </w:style>
  <w:style w:type="paragraph" w:customStyle="1" w:styleId="naisf">
    <w:name w:val="naisf"/>
    <w:basedOn w:val="Normal"/>
    <w:rsid w:val="006562F3"/>
    <w:pPr>
      <w:spacing w:before="75" w:after="75"/>
      <w:ind w:firstLine="375"/>
      <w:jc w:val="both"/>
    </w:pPr>
  </w:style>
  <w:style w:type="paragraph" w:customStyle="1" w:styleId="CharChar3RakstzRakstzCharChar">
    <w:name w:val="Char Char3 Rakstz. Rakstz. Char Char"/>
    <w:basedOn w:val="Normal"/>
    <w:rsid w:val="006562F3"/>
    <w:pPr>
      <w:spacing w:before="40"/>
    </w:pPr>
    <w:rPr>
      <w:lang w:val="pl-PL" w:eastAsia="pl-PL"/>
    </w:rPr>
  </w:style>
  <w:style w:type="character" w:styleId="Strong">
    <w:name w:val="Strong"/>
    <w:uiPriority w:val="99"/>
    <w:qFormat/>
    <w:rsid w:val="006562F3"/>
    <w:rPr>
      <w:b/>
      <w:bCs/>
    </w:rPr>
  </w:style>
  <w:style w:type="paragraph" w:styleId="Footer">
    <w:name w:val="footer"/>
    <w:basedOn w:val="Normal"/>
    <w:link w:val="FooterChar"/>
    <w:rsid w:val="00BA72C7"/>
    <w:pPr>
      <w:tabs>
        <w:tab w:val="center" w:pos="4153"/>
        <w:tab w:val="right" w:pos="8306"/>
      </w:tabs>
    </w:pPr>
  </w:style>
  <w:style w:type="paragraph" w:styleId="BodyTextIndent2">
    <w:name w:val="Body Text Indent 2"/>
    <w:basedOn w:val="Normal"/>
    <w:rsid w:val="006502CE"/>
    <w:pPr>
      <w:ind w:firstLine="435"/>
      <w:jc w:val="both"/>
    </w:pPr>
    <w:rPr>
      <w:szCs w:val="20"/>
      <w:lang w:eastAsia="en-US"/>
    </w:rPr>
  </w:style>
  <w:style w:type="character" w:styleId="CommentReference">
    <w:name w:val="annotation reference"/>
    <w:uiPriority w:val="99"/>
    <w:semiHidden/>
    <w:rsid w:val="006502CE"/>
    <w:rPr>
      <w:sz w:val="16"/>
      <w:szCs w:val="16"/>
    </w:rPr>
  </w:style>
  <w:style w:type="paragraph" w:styleId="CommentText">
    <w:name w:val="annotation text"/>
    <w:basedOn w:val="Normal"/>
    <w:link w:val="CommentTextChar"/>
    <w:uiPriority w:val="99"/>
    <w:rsid w:val="006502CE"/>
    <w:rPr>
      <w:sz w:val="20"/>
      <w:szCs w:val="20"/>
    </w:rPr>
  </w:style>
  <w:style w:type="character" w:customStyle="1" w:styleId="CommentTextChar">
    <w:name w:val="Comment Text Char"/>
    <w:link w:val="CommentText"/>
    <w:uiPriority w:val="99"/>
    <w:rsid w:val="006502CE"/>
    <w:rPr>
      <w:lang w:val="lv-LV" w:eastAsia="lv-LV" w:bidi="ar-SA"/>
    </w:rPr>
  </w:style>
  <w:style w:type="paragraph" w:styleId="BalloonText">
    <w:name w:val="Balloon Text"/>
    <w:basedOn w:val="Normal"/>
    <w:semiHidden/>
    <w:rsid w:val="006502CE"/>
    <w:rPr>
      <w:rFonts w:ascii="Tahoma" w:hAnsi="Tahoma" w:cs="Tahoma"/>
      <w:sz w:val="16"/>
      <w:szCs w:val="16"/>
    </w:rPr>
  </w:style>
  <w:style w:type="paragraph" w:styleId="NormalWeb">
    <w:name w:val="Normal (Web)"/>
    <w:basedOn w:val="Normal"/>
    <w:rsid w:val="006502CE"/>
    <w:pPr>
      <w:spacing w:before="100" w:beforeAutospacing="1" w:after="100" w:afterAutospacing="1"/>
    </w:pPr>
    <w:rPr>
      <w:szCs w:val="20"/>
      <w:lang w:eastAsia="en-US"/>
    </w:rPr>
  </w:style>
  <w:style w:type="character" w:customStyle="1" w:styleId="th1">
    <w:name w:val="th1"/>
    <w:rsid w:val="008E18DD"/>
    <w:rPr>
      <w:b/>
      <w:bCs/>
      <w:color w:val="333333"/>
    </w:rPr>
  </w:style>
  <w:style w:type="character" w:customStyle="1" w:styleId="FooterChar">
    <w:name w:val="Footer Char"/>
    <w:link w:val="Footer"/>
    <w:semiHidden/>
    <w:rsid w:val="008E18DD"/>
    <w:rPr>
      <w:sz w:val="24"/>
      <w:szCs w:val="24"/>
      <w:lang w:val="lv-LV" w:eastAsia="lv-LV" w:bidi="ar-SA"/>
    </w:rPr>
  </w:style>
  <w:style w:type="paragraph" w:styleId="CommentSubject">
    <w:name w:val="annotation subject"/>
    <w:basedOn w:val="CommentText"/>
    <w:next w:val="CommentText"/>
    <w:semiHidden/>
    <w:rsid w:val="00DD51E3"/>
    <w:rPr>
      <w:b/>
      <w:bCs/>
    </w:rPr>
  </w:style>
  <w:style w:type="character" w:styleId="Hyperlink">
    <w:name w:val="Hyperlink"/>
    <w:basedOn w:val="DefaultParagraphFont"/>
    <w:rsid w:val="009B4C2F"/>
    <w:rPr>
      <w:color w:val="0000FF" w:themeColor="hyperlink"/>
      <w:u w:val="single"/>
    </w:rPr>
  </w:style>
  <w:style w:type="paragraph" w:customStyle="1" w:styleId="naisc">
    <w:name w:val="naisc"/>
    <w:basedOn w:val="Normal"/>
    <w:uiPriority w:val="99"/>
    <w:rsid w:val="00E073AB"/>
    <w:pPr>
      <w:spacing w:before="75" w:after="75"/>
      <w:jc w:val="center"/>
    </w:pPr>
  </w:style>
  <w:style w:type="paragraph" w:customStyle="1" w:styleId="tv2131">
    <w:name w:val="tv2131"/>
    <w:basedOn w:val="Normal"/>
    <w:rsid w:val="00FF6F46"/>
    <w:pPr>
      <w:spacing w:before="240" w:line="360" w:lineRule="auto"/>
      <w:ind w:firstLine="200"/>
      <w:jc w:val="both"/>
    </w:pPr>
    <w:rPr>
      <w:rFonts w:ascii="Verdana" w:hAnsi="Verdana"/>
      <w:sz w:val="12"/>
      <w:szCs w:val="12"/>
    </w:rPr>
  </w:style>
  <w:style w:type="paragraph" w:customStyle="1" w:styleId="tv20687921">
    <w:name w:val="tv206_87_921"/>
    <w:basedOn w:val="Normal"/>
    <w:rsid w:val="008736D0"/>
    <w:pPr>
      <w:spacing w:before="480" w:after="240" w:line="360" w:lineRule="auto"/>
      <w:ind w:firstLine="300"/>
      <w:jc w:val="right"/>
    </w:pPr>
    <w:rPr>
      <w:rFonts w:ascii="Verdana" w:hAnsi="Verdana"/>
      <w:sz w:val="18"/>
      <w:szCs w:val="18"/>
    </w:rPr>
  </w:style>
  <w:style w:type="paragraph" w:customStyle="1" w:styleId="tv20787921">
    <w:name w:val="tv207_87_921"/>
    <w:basedOn w:val="Normal"/>
    <w:rsid w:val="008736D0"/>
    <w:pPr>
      <w:spacing w:after="567" w:line="360" w:lineRule="auto"/>
      <w:jc w:val="center"/>
    </w:pPr>
    <w:rPr>
      <w:rFonts w:ascii="Verdana" w:hAnsi="Verdana"/>
      <w:b/>
      <w:bCs/>
      <w:sz w:val="28"/>
      <w:szCs w:val="28"/>
    </w:rPr>
  </w:style>
  <w:style w:type="character" w:customStyle="1" w:styleId="st1">
    <w:name w:val="st1"/>
    <w:basedOn w:val="DefaultParagraphFont"/>
    <w:rsid w:val="00445E6B"/>
  </w:style>
  <w:style w:type="paragraph" w:styleId="ListParagraph">
    <w:name w:val="List Paragraph"/>
    <w:basedOn w:val="Normal"/>
    <w:uiPriority w:val="34"/>
    <w:qFormat/>
    <w:rsid w:val="006B6205"/>
    <w:pPr>
      <w:ind w:left="720"/>
      <w:contextualSpacing/>
    </w:pPr>
  </w:style>
  <w:style w:type="character" w:customStyle="1" w:styleId="tvhtml1">
    <w:name w:val="tv_html1"/>
    <w:basedOn w:val="DefaultParagraphFont"/>
    <w:rsid w:val="006B6205"/>
    <w:rPr>
      <w:rFonts w:ascii="Verdana" w:hAnsi="Verdana" w:hint="default"/>
      <w:sz w:val="11"/>
      <w:szCs w:val="11"/>
    </w:rPr>
  </w:style>
  <w:style w:type="character" w:customStyle="1" w:styleId="Heading1Char">
    <w:name w:val="Heading 1 Char"/>
    <w:basedOn w:val="DefaultParagraphFont"/>
    <w:link w:val="Heading1"/>
    <w:rsid w:val="00204B08"/>
    <w:rPr>
      <w:b/>
      <w:smallCaps/>
      <w:sz w:val="24"/>
      <w:lang w:val="en-GB" w:eastAsia="en-US"/>
    </w:rPr>
  </w:style>
  <w:style w:type="character" w:customStyle="1" w:styleId="Heading2Char">
    <w:name w:val="Heading 2 Char"/>
    <w:basedOn w:val="DefaultParagraphFont"/>
    <w:link w:val="Heading2"/>
    <w:rsid w:val="00204B08"/>
    <w:rPr>
      <w:b/>
      <w:sz w:val="24"/>
      <w:lang w:val="en-GB" w:eastAsia="en-US"/>
    </w:rPr>
  </w:style>
  <w:style w:type="character" w:customStyle="1" w:styleId="Heading3Char">
    <w:name w:val="Heading 3 Char"/>
    <w:basedOn w:val="DefaultParagraphFont"/>
    <w:link w:val="Heading3"/>
    <w:semiHidden/>
    <w:rsid w:val="00204B08"/>
    <w:rPr>
      <w:rFonts w:asciiTheme="majorHAnsi" w:eastAsiaTheme="majorEastAsia" w:hAnsiTheme="majorHAnsi" w:cstheme="majorBidi"/>
      <w:b/>
      <w:bCs/>
      <w:color w:val="4F81BD" w:themeColor="accent1"/>
      <w:sz w:val="24"/>
      <w:szCs w:val="24"/>
    </w:rPr>
  </w:style>
  <w:style w:type="paragraph" w:styleId="ListBullet2">
    <w:name w:val="List Bullet 2"/>
    <w:basedOn w:val="Normal"/>
    <w:rsid w:val="00204B08"/>
    <w:pPr>
      <w:numPr>
        <w:numId w:val="8"/>
      </w:numPr>
      <w:spacing w:after="240"/>
      <w:jc w:val="both"/>
    </w:pPr>
    <w:rPr>
      <w:szCs w:val="20"/>
      <w:lang w:val="en-GB" w:eastAsia="en-US"/>
    </w:rPr>
  </w:style>
  <w:style w:type="paragraph" w:styleId="ListBullet3">
    <w:name w:val="List Bullet 3"/>
    <w:basedOn w:val="Normal"/>
    <w:rsid w:val="00204B08"/>
    <w:pPr>
      <w:numPr>
        <w:numId w:val="9"/>
      </w:numPr>
      <w:spacing w:after="240"/>
      <w:jc w:val="both"/>
    </w:pPr>
    <w:rPr>
      <w:szCs w:val="20"/>
      <w:lang w:val="en-GB" w:eastAsia="en-US"/>
    </w:rPr>
  </w:style>
  <w:style w:type="character" w:customStyle="1" w:styleId="Heading3Char1">
    <w:name w:val="Heading 3 Char1"/>
    <w:basedOn w:val="DefaultParagraphFont"/>
    <w:link w:val="Heading3"/>
    <w:rsid w:val="00204B08"/>
    <w:rPr>
      <w:i/>
      <w:sz w:val="24"/>
      <w:lang w:val="en-GB" w:eastAsia="en-US"/>
    </w:rPr>
  </w:style>
  <w:style w:type="paragraph" w:customStyle="1" w:styleId="Parasts1">
    <w:name w:val="Parasts1"/>
    <w:qFormat/>
    <w:rsid w:val="002854D1"/>
    <w:pPr>
      <w:suppressAutoHyphens/>
    </w:pPr>
    <w:rPr>
      <w:sz w:val="24"/>
      <w:szCs w:val="24"/>
      <w:lang w:eastAsia="zh-CN"/>
    </w:rPr>
  </w:style>
  <w:style w:type="paragraph" w:customStyle="1" w:styleId="tv2133">
    <w:name w:val="tv2133"/>
    <w:basedOn w:val="Normal"/>
    <w:rsid w:val="00B85DE9"/>
    <w:pPr>
      <w:spacing w:line="360" w:lineRule="auto"/>
      <w:ind w:firstLine="230"/>
    </w:pPr>
    <w:rPr>
      <w:color w:val="414142"/>
      <w:sz w:val="15"/>
      <w:szCs w:val="15"/>
    </w:rPr>
  </w:style>
</w:styles>
</file>

<file path=word/webSettings.xml><?xml version="1.0" encoding="utf-8"?>
<w:webSettings xmlns:r="http://schemas.openxmlformats.org/officeDocument/2006/relationships" xmlns:w="http://schemas.openxmlformats.org/wordprocessingml/2006/main">
  <w:divs>
    <w:div w:id="1274244415">
      <w:bodyDiv w:val="1"/>
      <w:marLeft w:val="0"/>
      <w:marRight w:val="0"/>
      <w:marTop w:val="0"/>
      <w:marBottom w:val="0"/>
      <w:divBdr>
        <w:top w:val="none" w:sz="0" w:space="0" w:color="auto"/>
        <w:left w:val="none" w:sz="0" w:space="0" w:color="auto"/>
        <w:bottom w:val="none" w:sz="0" w:space="0" w:color="auto"/>
        <w:right w:val="none" w:sz="0" w:space="0" w:color="auto"/>
      </w:divBdr>
      <w:divsChild>
        <w:div w:id="453134329">
          <w:marLeft w:val="0"/>
          <w:marRight w:val="0"/>
          <w:marTop w:val="0"/>
          <w:marBottom w:val="0"/>
          <w:divBdr>
            <w:top w:val="none" w:sz="0" w:space="0" w:color="auto"/>
            <w:left w:val="none" w:sz="0" w:space="0" w:color="auto"/>
            <w:bottom w:val="none" w:sz="0" w:space="0" w:color="auto"/>
            <w:right w:val="none" w:sz="0" w:space="0" w:color="auto"/>
          </w:divBdr>
          <w:divsChild>
            <w:div w:id="77408676">
              <w:marLeft w:val="0"/>
              <w:marRight w:val="0"/>
              <w:marTop w:val="0"/>
              <w:marBottom w:val="0"/>
              <w:divBdr>
                <w:top w:val="none" w:sz="0" w:space="0" w:color="auto"/>
                <w:left w:val="none" w:sz="0" w:space="0" w:color="auto"/>
                <w:bottom w:val="none" w:sz="0" w:space="0" w:color="auto"/>
                <w:right w:val="none" w:sz="0" w:space="0" w:color="auto"/>
              </w:divBdr>
              <w:divsChild>
                <w:div w:id="618951915">
                  <w:marLeft w:val="0"/>
                  <w:marRight w:val="0"/>
                  <w:marTop w:val="0"/>
                  <w:marBottom w:val="0"/>
                  <w:divBdr>
                    <w:top w:val="none" w:sz="0" w:space="0" w:color="auto"/>
                    <w:left w:val="none" w:sz="0" w:space="0" w:color="auto"/>
                    <w:bottom w:val="none" w:sz="0" w:space="0" w:color="auto"/>
                    <w:right w:val="none" w:sz="0" w:space="0" w:color="auto"/>
                  </w:divBdr>
                  <w:divsChild>
                    <w:div w:id="498541428">
                      <w:marLeft w:val="0"/>
                      <w:marRight w:val="0"/>
                      <w:marTop w:val="0"/>
                      <w:marBottom w:val="0"/>
                      <w:divBdr>
                        <w:top w:val="none" w:sz="0" w:space="0" w:color="auto"/>
                        <w:left w:val="none" w:sz="0" w:space="0" w:color="auto"/>
                        <w:bottom w:val="none" w:sz="0" w:space="0" w:color="auto"/>
                        <w:right w:val="none" w:sz="0" w:space="0" w:color="auto"/>
                      </w:divBdr>
                      <w:divsChild>
                        <w:div w:id="39478063">
                          <w:marLeft w:val="0"/>
                          <w:marRight w:val="0"/>
                          <w:marTop w:val="0"/>
                          <w:marBottom w:val="0"/>
                          <w:divBdr>
                            <w:top w:val="none" w:sz="0" w:space="0" w:color="auto"/>
                            <w:left w:val="none" w:sz="0" w:space="0" w:color="auto"/>
                            <w:bottom w:val="none" w:sz="0" w:space="0" w:color="auto"/>
                            <w:right w:val="none" w:sz="0" w:space="0" w:color="auto"/>
                          </w:divBdr>
                          <w:divsChild>
                            <w:div w:id="13849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vik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FEF06-22AB-465F-BBF1-F9436693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5</Pages>
  <Words>1590</Words>
  <Characters>12277</Characters>
  <Application>Microsoft Office Word</Application>
  <DocSecurity>0</DocSecurity>
  <Lines>306</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2012.gada 17.janvāra noteikumos Nr.62 „Latvijas un Šveices sadarbības programmas grantu shēmas "Šveices pētnieku aktivitātes Latvijā" apakšprojektu iesniegumu atklāta konkursa nolikums””sāk</vt:lpstr>
      <vt:lpstr>Ministru kabineta noteikumu projekts "Grozījumi Ministru kabineta 2009.gada 8.septembra noteikumos Nr.1040 "Piena kvotu administrēšanas noteikumi"'</vt:lpstr>
    </vt:vector>
  </TitlesOfParts>
  <Company>Izglītības un zinātnes ministrija</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17.janvāra noteikumos Nr.62 „Latvijas un Šveices sadarbības programmas grantu shēmas "Šveices pētnieku aktivitātes Latvijā" apakšprojektu iesniegumu atklāta konkursa nolikums””sākotnējās ietekmes novērtējuma ziņojums (anotācija)</dc:title>
  <dc:subject>Anotācija</dc:subject>
  <dc:creator>E.Vīka</dc:creator>
  <cp:keywords>IZMAnot_110613_LVCH_PGS</cp:keywords>
  <dc:description>E.Vīka, 67047707
evi.vika@izm.gov.lv</dc:description>
  <cp:lastModifiedBy>evika</cp:lastModifiedBy>
  <cp:revision>236</cp:revision>
  <cp:lastPrinted>2013-05-21T13:48:00Z</cp:lastPrinted>
  <dcterms:created xsi:type="dcterms:W3CDTF">2013-04-05T11:45:00Z</dcterms:created>
  <dcterms:modified xsi:type="dcterms:W3CDTF">2013-06-11T06:10:00Z</dcterms:modified>
</cp:coreProperties>
</file>