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C6" w:rsidRDefault="00C73DC6" w:rsidP="00C73DC6">
      <w:pPr>
        <w:jc w:val="center"/>
        <w:rPr>
          <w:b/>
          <w:color w:val="000000"/>
          <w:sz w:val="28"/>
          <w:szCs w:val="28"/>
        </w:rPr>
      </w:pPr>
      <w:r>
        <w:rPr>
          <w:b/>
          <w:color w:val="000000"/>
          <w:sz w:val="28"/>
          <w:szCs w:val="28"/>
        </w:rPr>
        <w:t xml:space="preserve">Ministru kabineta sēdes protokollēmuma projekta </w:t>
      </w:r>
    </w:p>
    <w:p w:rsidR="00C73DC6" w:rsidRDefault="00C73DC6" w:rsidP="00C73DC6">
      <w:pPr>
        <w:pStyle w:val="BodyText3"/>
        <w:spacing w:after="0"/>
        <w:jc w:val="center"/>
        <w:rPr>
          <w:b/>
          <w:bCs/>
          <w:color w:val="000000"/>
          <w:sz w:val="28"/>
          <w:szCs w:val="28"/>
          <w:lang w:val="lv-LV"/>
        </w:rPr>
      </w:pPr>
      <w:bookmarkStart w:id="0" w:name="OLE_LINK1"/>
      <w:bookmarkStart w:id="1" w:name="OLE_LINK2"/>
      <w:bookmarkStart w:id="2" w:name="OLE_LINK3"/>
      <w:r>
        <w:rPr>
          <w:b/>
          <w:bCs/>
          <w:color w:val="000000"/>
          <w:sz w:val="28"/>
          <w:szCs w:val="28"/>
          <w:lang w:val="lv-LV"/>
        </w:rPr>
        <w:t xml:space="preserve">„Par Ministru kabineta 2009.gada 8.septembra sēdes protokollēmuma </w:t>
      </w:r>
    </w:p>
    <w:p w:rsidR="00C73DC6" w:rsidRDefault="00C73DC6" w:rsidP="00C73DC6">
      <w:pPr>
        <w:pStyle w:val="BodyText3"/>
        <w:spacing w:after="0"/>
        <w:jc w:val="center"/>
        <w:rPr>
          <w:b/>
          <w:sz w:val="28"/>
          <w:szCs w:val="28"/>
          <w:lang w:val="lv-LV"/>
        </w:rPr>
      </w:pPr>
      <w:r>
        <w:rPr>
          <w:b/>
          <w:bCs/>
          <w:color w:val="000000"/>
          <w:sz w:val="28"/>
          <w:szCs w:val="28"/>
          <w:lang w:val="lv-LV"/>
        </w:rPr>
        <w:t>(prot. Nr.56 78.</w:t>
      </w:r>
      <w:r w:rsidRPr="00F476FC">
        <w:rPr>
          <w:b/>
          <w:sz w:val="28"/>
          <w:szCs w:val="28"/>
          <w:lang w:val="lv-LV"/>
        </w:rPr>
        <w:t>§</w:t>
      </w:r>
      <w:r>
        <w:rPr>
          <w:b/>
          <w:sz w:val="28"/>
          <w:szCs w:val="28"/>
          <w:lang w:val="lv-LV"/>
        </w:rPr>
        <w:t xml:space="preserve">) „Par Sociālās drošības tīkla stratēģiju” 2.punktu”” </w:t>
      </w:r>
    </w:p>
    <w:bookmarkEnd w:id="0"/>
    <w:bookmarkEnd w:id="1"/>
    <w:bookmarkEnd w:id="2"/>
    <w:p w:rsidR="00C73DC6" w:rsidRDefault="00C73DC6" w:rsidP="00C73DC6">
      <w:pPr>
        <w:jc w:val="center"/>
        <w:rPr>
          <w:b/>
          <w:bCs/>
          <w:sz w:val="28"/>
          <w:szCs w:val="28"/>
        </w:rPr>
      </w:pPr>
      <w:r>
        <w:rPr>
          <w:b/>
          <w:bCs/>
          <w:sz w:val="28"/>
          <w:szCs w:val="28"/>
        </w:rPr>
        <w:t>anotācija</w:t>
      </w:r>
    </w:p>
    <w:p w:rsidR="00C73DC6" w:rsidRDefault="00C73DC6" w:rsidP="00C73DC6">
      <w:pPr>
        <w:rPr>
          <w:b/>
          <w:bCs/>
          <w:sz w:val="28"/>
          <w:szCs w:val="28"/>
        </w:rPr>
      </w:pPr>
    </w:p>
    <w:tbl>
      <w:tblPr>
        <w:tblW w:w="908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09"/>
        <w:gridCol w:w="6378"/>
      </w:tblGrid>
      <w:tr w:rsidR="00C73DC6" w:rsidRPr="00EF4023" w:rsidTr="00C77A40">
        <w:trPr>
          <w:tblCellSpacing w:w="0" w:type="dxa"/>
        </w:trPr>
        <w:tc>
          <w:tcPr>
            <w:tcW w:w="9087" w:type="dxa"/>
            <w:gridSpan w:val="2"/>
            <w:tcBorders>
              <w:top w:val="outset" w:sz="6" w:space="0" w:color="auto"/>
              <w:left w:val="outset" w:sz="6" w:space="0" w:color="auto"/>
              <w:bottom w:val="outset" w:sz="6" w:space="0" w:color="auto"/>
              <w:right w:val="outset" w:sz="6" w:space="0" w:color="auto"/>
            </w:tcBorders>
            <w:vAlign w:val="center"/>
          </w:tcPr>
          <w:p w:rsidR="00C73DC6" w:rsidRPr="00EF4023" w:rsidRDefault="00C73DC6" w:rsidP="00C77A40">
            <w:pPr>
              <w:jc w:val="center"/>
              <w:rPr>
                <w:szCs w:val="28"/>
              </w:rPr>
            </w:pPr>
            <w:r w:rsidRPr="00EF4023">
              <w:rPr>
                <w:b/>
                <w:bCs/>
                <w:sz w:val="28"/>
                <w:szCs w:val="28"/>
              </w:rPr>
              <w:t>I. Kādēļ normatīvais akts ir vajadzīgs</w:t>
            </w:r>
          </w:p>
        </w:tc>
      </w:tr>
      <w:tr w:rsidR="00C73DC6" w:rsidRPr="00EF4023" w:rsidTr="00C77A40">
        <w:trPr>
          <w:tblCellSpacing w:w="0" w:type="dxa"/>
        </w:trPr>
        <w:tc>
          <w:tcPr>
            <w:tcW w:w="2709"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rPr>
                <w:szCs w:val="28"/>
              </w:rPr>
            </w:pPr>
            <w:r w:rsidRPr="00EF4023">
              <w:rPr>
                <w:sz w:val="28"/>
                <w:szCs w:val="28"/>
              </w:rPr>
              <w:t> 1. Atsauce uz Deklarāciju par Ministru kabineta iecerēto darbību, politikas plānošanas dokumentu un citiem dokumentiem, kuros dots uzdevums izstrādāt normatīvā akta projektu</w:t>
            </w:r>
          </w:p>
        </w:tc>
        <w:tc>
          <w:tcPr>
            <w:tcW w:w="6378" w:type="dxa"/>
            <w:tcBorders>
              <w:top w:val="outset" w:sz="6" w:space="0" w:color="auto"/>
              <w:left w:val="outset" w:sz="6" w:space="0" w:color="auto"/>
              <w:bottom w:val="outset" w:sz="6" w:space="0" w:color="auto"/>
              <w:right w:val="outset" w:sz="6" w:space="0" w:color="auto"/>
            </w:tcBorders>
          </w:tcPr>
          <w:p w:rsidR="00DF4D5F" w:rsidRPr="00DF4D5F" w:rsidRDefault="00DF4D5F" w:rsidP="00DF4D5F">
            <w:pPr>
              <w:ind w:firstLine="167"/>
              <w:jc w:val="both"/>
              <w:outlineLvl w:val="0"/>
              <w:rPr>
                <w:bCs/>
                <w:color w:val="2A2A2A"/>
                <w:kern w:val="36"/>
                <w:szCs w:val="28"/>
              </w:rPr>
            </w:pPr>
            <w:r w:rsidRPr="00DF4D5F">
              <w:rPr>
                <w:bCs/>
                <w:color w:val="2A2A2A"/>
                <w:kern w:val="36"/>
                <w:sz w:val="28"/>
                <w:szCs w:val="28"/>
              </w:rPr>
              <w:t xml:space="preserve">Deklarācijas par Valda Dombrovska vadītā Ministru kabineta iecerēto darbību </w:t>
            </w:r>
            <w:r w:rsidRPr="00DF4D5F">
              <w:rPr>
                <w:color w:val="2A2A2A"/>
                <w:sz w:val="28"/>
                <w:szCs w:val="28"/>
              </w:rPr>
              <w:t>10.1.apakšpunkts – sekmēsim kvalitatīvu, pieejamu un resursefektīvu visu pakāpju izglītības un zinātnes attīstību valsts ilgtspējai un konkurētspējai.</w:t>
            </w:r>
          </w:p>
          <w:p w:rsidR="00C73DC6" w:rsidRDefault="00DF4D5F" w:rsidP="00074328">
            <w:pPr>
              <w:jc w:val="both"/>
              <w:rPr>
                <w:szCs w:val="28"/>
              </w:rPr>
            </w:pPr>
            <w:r>
              <w:rPr>
                <w:color w:val="000000"/>
                <w:sz w:val="28"/>
                <w:szCs w:val="28"/>
              </w:rPr>
              <w:t xml:space="preserve">  </w:t>
            </w:r>
            <w:r w:rsidR="00C73DC6" w:rsidRPr="00E25034">
              <w:rPr>
                <w:color w:val="000000"/>
                <w:sz w:val="28"/>
                <w:szCs w:val="28"/>
              </w:rPr>
              <w:t xml:space="preserve">Ministru kabineta </w:t>
            </w:r>
            <w:r w:rsidR="00C73DC6">
              <w:rPr>
                <w:color w:val="000000"/>
                <w:sz w:val="28"/>
                <w:szCs w:val="28"/>
              </w:rPr>
              <w:t xml:space="preserve">sēdes </w:t>
            </w:r>
            <w:r w:rsidR="00C73DC6" w:rsidRPr="00E25034">
              <w:rPr>
                <w:color w:val="000000"/>
                <w:sz w:val="28"/>
                <w:szCs w:val="28"/>
              </w:rPr>
              <w:t xml:space="preserve">protokollēmuma projekta </w:t>
            </w:r>
            <w:r w:rsidR="00C73DC6">
              <w:rPr>
                <w:color w:val="000000"/>
                <w:sz w:val="28"/>
                <w:szCs w:val="28"/>
              </w:rPr>
              <w:t>„</w:t>
            </w:r>
            <w:r w:rsidR="00C73DC6" w:rsidRPr="00E25034">
              <w:rPr>
                <w:bCs/>
                <w:color w:val="000000"/>
                <w:sz w:val="28"/>
                <w:szCs w:val="28"/>
              </w:rPr>
              <w:t>Par Ministru kabineta 2009.gada 8.septembra sēdes protokollēmuma (prot. Nr.56 78.</w:t>
            </w:r>
            <w:r w:rsidR="00C73DC6" w:rsidRPr="00E25034">
              <w:rPr>
                <w:sz w:val="28"/>
                <w:szCs w:val="28"/>
              </w:rPr>
              <w:t>§) „Par Sociālās drošības tīkla stratēģiju” 2.punktu</w:t>
            </w:r>
            <w:r w:rsidR="00C73DC6">
              <w:rPr>
                <w:sz w:val="28"/>
                <w:szCs w:val="28"/>
              </w:rPr>
              <w:t>”</w:t>
            </w:r>
            <w:r w:rsidR="00C73DC6" w:rsidRPr="00E25034">
              <w:rPr>
                <w:sz w:val="28"/>
                <w:szCs w:val="28"/>
              </w:rPr>
              <w:t xml:space="preserve"> (turpmāk – protokollēmuma projekts) izstrādes nepieciešamība izriet no </w:t>
            </w:r>
            <w:r w:rsidR="00C73DC6">
              <w:rPr>
                <w:sz w:val="28"/>
                <w:szCs w:val="28"/>
              </w:rPr>
              <w:t xml:space="preserve">Izglītības un zinātnes ministrijas izstrādātā un Ministru kabineta 2009.gada </w:t>
            </w:r>
            <w:r w:rsidR="00074328">
              <w:rPr>
                <w:sz w:val="28"/>
                <w:szCs w:val="28"/>
              </w:rPr>
              <w:t>29</w:t>
            </w:r>
            <w:r w:rsidR="00C73DC6">
              <w:rPr>
                <w:sz w:val="28"/>
                <w:szCs w:val="28"/>
              </w:rPr>
              <w:t xml:space="preserve">.septembra sēdē atbalstītā likumprojekta „Grozījumi </w:t>
            </w:r>
            <w:r w:rsidR="00C73DC6" w:rsidRPr="00E25034">
              <w:rPr>
                <w:sz w:val="28"/>
                <w:szCs w:val="28"/>
              </w:rPr>
              <w:t>Izglītības likum</w:t>
            </w:r>
            <w:r w:rsidR="00C73DC6">
              <w:rPr>
                <w:sz w:val="28"/>
                <w:szCs w:val="28"/>
              </w:rPr>
              <w:t>ā”.</w:t>
            </w:r>
          </w:p>
          <w:p w:rsidR="00DF4D5F" w:rsidRPr="00E25034" w:rsidRDefault="00DF4D5F" w:rsidP="00BC2D7A">
            <w:pPr>
              <w:jc w:val="both"/>
              <w:rPr>
                <w:szCs w:val="28"/>
              </w:rPr>
            </w:pPr>
            <w:r>
              <w:rPr>
                <w:sz w:val="28"/>
                <w:szCs w:val="28"/>
              </w:rPr>
              <w:t xml:space="preserve">  „Sociālās drošības tīkla stratēģij</w:t>
            </w:r>
            <w:r w:rsidR="00BC2D7A">
              <w:rPr>
                <w:sz w:val="28"/>
                <w:szCs w:val="28"/>
              </w:rPr>
              <w:t>a</w:t>
            </w:r>
            <w:r>
              <w:rPr>
                <w:sz w:val="28"/>
                <w:szCs w:val="28"/>
              </w:rPr>
              <w:t>”</w:t>
            </w:r>
            <w:r w:rsidR="00BC2D7A">
              <w:rPr>
                <w:sz w:val="28"/>
                <w:szCs w:val="28"/>
              </w:rPr>
              <w:t xml:space="preserve"> paredz, ka  2009.gada 1.septembrī visiem  piecgadīgiem un sešgadīgiem bērniem tiks nodrošināta iespēja apgūt zināšanas, prasmes kompetences.</w:t>
            </w:r>
          </w:p>
        </w:tc>
      </w:tr>
      <w:tr w:rsidR="00C73DC6" w:rsidRPr="00EF4023" w:rsidTr="00C77A40">
        <w:trPr>
          <w:tblCellSpacing w:w="0" w:type="dxa"/>
        </w:trPr>
        <w:tc>
          <w:tcPr>
            <w:tcW w:w="2709"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rPr>
                <w:szCs w:val="28"/>
              </w:rPr>
            </w:pPr>
            <w:r w:rsidRPr="00EF4023">
              <w:rPr>
                <w:sz w:val="28"/>
                <w:szCs w:val="28"/>
              </w:rPr>
              <w:t> 2. Pašreizējās situācijas raksturojums</w:t>
            </w:r>
          </w:p>
          <w:p w:rsidR="00C73DC6" w:rsidRPr="00EF4023" w:rsidRDefault="00C73DC6" w:rsidP="00C77A40">
            <w:pPr>
              <w:rPr>
                <w:szCs w:val="28"/>
              </w:rPr>
            </w:pPr>
            <w:r w:rsidRPr="00EF4023">
              <w:rPr>
                <w:sz w:val="28"/>
                <w:szCs w:val="28"/>
              </w:rPr>
              <w:t> </w:t>
            </w:r>
          </w:p>
          <w:p w:rsidR="00C73DC6" w:rsidRPr="00EF4023" w:rsidRDefault="00C73DC6" w:rsidP="00C77A40">
            <w:pPr>
              <w:rPr>
                <w:szCs w:val="28"/>
              </w:rPr>
            </w:pPr>
            <w:r w:rsidRPr="00EF4023">
              <w:rPr>
                <w:sz w:val="28"/>
                <w:szCs w:val="28"/>
              </w:rPr>
              <w:t> </w:t>
            </w:r>
          </w:p>
        </w:tc>
        <w:tc>
          <w:tcPr>
            <w:tcW w:w="6378" w:type="dxa"/>
            <w:tcBorders>
              <w:top w:val="outset" w:sz="6" w:space="0" w:color="auto"/>
              <w:left w:val="outset" w:sz="6" w:space="0" w:color="auto"/>
              <w:bottom w:val="outset" w:sz="6" w:space="0" w:color="auto"/>
              <w:right w:val="outset" w:sz="6" w:space="0" w:color="auto"/>
            </w:tcBorders>
          </w:tcPr>
          <w:p w:rsidR="00C73DC6" w:rsidRPr="00C73DC6" w:rsidRDefault="00C73DC6" w:rsidP="00C77A40">
            <w:pPr>
              <w:pStyle w:val="ListParagraph"/>
              <w:ind w:left="0"/>
              <w:jc w:val="both"/>
              <w:rPr>
                <w:color w:val="000000"/>
                <w:szCs w:val="28"/>
              </w:rPr>
            </w:pPr>
            <w:r>
              <w:rPr>
                <w:color w:val="000000"/>
                <w:sz w:val="28"/>
                <w:szCs w:val="28"/>
              </w:rPr>
              <w:t xml:space="preserve">   </w:t>
            </w:r>
            <w:r w:rsidRPr="00C73DC6">
              <w:rPr>
                <w:sz w:val="28"/>
                <w:szCs w:val="28"/>
              </w:rPr>
              <w:t>Sākot ar 2009.gada 1. jūliju tika atcelta piecgadīgo un sešgadīgo bērnu obligātā sagatavošana pamatizglītības apguvei, līdz ar to pieejamie valsts budžeta līdzekļi pašvaldību izglītības iestāžu pedagogu, kas īstenoja pirmsskolas izglītības programmas, sagatavojot piecgadīgos un sešgadīgos bērnus skolai, algām sākot ar 2009.gada 1.septembri netiek atvēlēti.</w:t>
            </w:r>
            <w:r>
              <w:rPr>
                <w:sz w:val="28"/>
                <w:szCs w:val="28"/>
              </w:rPr>
              <w:t xml:space="preserve"> </w:t>
            </w:r>
            <w:r w:rsidRPr="00C73DC6">
              <w:rPr>
                <w:sz w:val="28"/>
                <w:szCs w:val="28"/>
              </w:rPr>
              <w:t>Pašvaldībām ir problemātiski ar to rīcībā esošajiem ierobežotiem finanšu resursiem nodrošināt visu pirmsskolas izglītību un tajā skaitā (sākot ar 2009.gada 1.septembri) arī piecgadīgo un sešgadīgo bērnu sagatavošanu skolai.</w:t>
            </w:r>
          </w:p>
          <w:p w:rsidR="00C73DC6" w:rsidRDefault="00C73DC6" w:rsidP="00C77A40">
            <w:pPr>
              <w:pStyle w:val="ListParagraph"/>
              <w:ind w:left="0"/>
              <w:jc w:val="both"/>
              <w:rPr>
                <w:szCs w:val="28"/>
              </w:rPr>
            </w:pPr>
            <w:r>
              <w:rPr>
                <w:color w:val="000000"/>
                <w:sz w:val="28"/>
                <w:szCs w:val="28"/>
              </w:rPr>
              <w:t xml:space="preserve">  Grozījumi I</w:t>
            </w:r>
            <w:r w:rsidRPr="00EF4023">
              <w:rPr>
                <w:color w:val="000000"/>
                <w:sz w:val="28"/>
                <w:szCs w:val="28"/>
              </w:rPr>
              <w:t>zglītības likum</w:t>
            </w:r>
            <w:r>
              <w:rPr>
                <w:color w:val="000000"/>
                <w:sz w:val="28"/>
                <w:szCs w:val="28"/>
              </w:rPr>
              <w:t xml:space="preserve">a 4.pantā paredz noteikt obligātu </w:t>
            </w:r>
            <w:r>
              <w:rPr>
                <w:sz w:val="28"/>
                <w:szCs w:val="28"/>
              </w:rPr>
              <w:t>no piecu</w:t>
            </w:r>
            <w:r w:rsidRPr="004B2CE7">
              <w:rPr>
                <w:sz w:val="28"/>
                <w:szCs w:val="28"/>
              </w:rPr>
              <w:t xml:space="preserve"> </w:t>
            </w:r>
            <w:r>
              <w:rPr>
                <w:sz w:val="28"/>
                <w:szCs w:val="28"/>
              </w:rPr>
              <w:t xml:space="preserve">gadu vecuma </w:t>
            </w:r>
            <w:r w:rsidRPr="004B2CE7">
              <w:rPr>
                <w:sz w:val="28"/>
                <w:szCs w:val="28"/>
              </w:rPr>
              <w:t>bērnu sagatavošan</w:t>
            </w:r>
            <w:r>
              <w:rPr>
                <w:sz w:val="28"/>
                <w:szCs w:val="28"/>
              </w:rPr>
              <w:t>u</w:t>
            </w:r>
            <w:r w:rsidRPr="004B2CE7">
              <w:rPr>
                <w:sz w:val="28"/>
                <w:szCs w:val="28"/>
              </w:rPr>
              <w:t xml:space="preserve"> pamatizglītības </w:t>
            </w:r>
            <w:r>
              <w:rPr>
                <w:sz w:val="28"/>
                <w:szCs w:val="28"/>
              </w:rPr>
              <w:t>ie</w:t>
            </w:r>
            <w:r w:rsidRPr="004B2CE7">
              <w:rPr>
                <w:sz w:val="28"/>
                <w:szCs w:val="28"/>
              </w:rPr>
              <w:t>guvei</w:t>
            </w:r>
            <w:r>
              <w:rPr>
                <w:sz w:val="28"/>
                <w:szCs w:val="28"/>
              </w:rPr>
              <w:t>.</w:t>
            </w:r>
          </w:p>
          <w:p w:rsidR="00C73DC6" w:rsidRDefault="00C73DC6" w:rsidP="00C77A40">
            <w:pPr>
              <w:jc w:val="both"/>
              <w:rPr>
                <w:szCs w:val="28"/>
              </w:rPr>
            </w:pPr>
            <w:r>
              <w:rPr>
                <w:color w:val="000000"/>
                <w:sz w:val="28"/>
                <w:szCs w:val="28"/>
              </w:rPr>
              <w:t xml:space="preserve">   Grozījumi Izglītības likuma </w:t>
            </w:r>
            <w:r w:rsidRPr="00D61CF0">
              <w:rPr>
                <w:sz w:val="28"/>
                <w:szCs w:val="28"/>
              </w:rPr>
              <w:t>60.pant</w:t>
            </w:r>
            <w:r>
              <w:rPr>
                <w:sz w:val="28"/>
                <w:szCs w:val="28"/>
              </w:rPr>
              <w:t>a trešajā daļā cita starpā paredz noteikt, ka p</w:t>
            </w:r>
            <w:r w:rsidRPr="00097518">
              <w:rPr>
                <w:sz w:val="28"/>
                <w:szCs w:val="28"/>
              </w:rPr>
              <w:t>edagogu darba samaksa valsts vai pašvaldības izglītības iestādēs, tajā skaitā, bērnu</w:t>
            </w:r>
            <w:r>
              <w:rPr>
                <w:sz w:val="28"/>
                <w:szCs w:val="28"/>
              </w:rPr>
              <w:t xml:space="preserve"> no</w:t>
            </w:r>
            <w:r w:rsidRPr="00097518">
              <w:rPr>
                <w:sz w:val="28"/>
                <w:szCs w:val="28"/>
              </w:rPr>
              <w:t xml:space="preserve"> </w:t>
            </w:r>
            <w:r>
              <w:rPr>
                <w:sz w:val="28"/>
                <w:szCs w:val="28"/>
              </w:rPr>
              <w:t>piecu gadu vecuma</w:t>
            </w:r>
            <w:r w:rsidRPr="00097518">
              <w:rPr>
                <w:sz w:val="28"/>
                <w:szCs w:val="28"/>
              </w:rPr>
              <w:t xml:space="preserve"> </w:t>
            </w:r>
            <w:r>
              <w:rPr>
                <w:sz w:val="28"/>
                <w:szCs w:val="28"/>
              </w:rPr>
              <w:t xml:space="preserve">izglītošanā </w:t>
            </w:r>
            <w:r w:rsidRPr="00097518">
              <w:rPr>
                <w:sz w:val="28"/>
                <w:szCs w:val="28"/>
              </w:rPr>
              <w:t>nodarbināto pedagogu darba samaksa tiek nodrošināta no valsts budžeta līdzekļiem un valsts budžeta mērķdotācijām.</w:t>
            </w:r>
            <w:r>
              <w:rPr>
                <w:sz w:val="28"/>
                <w:szCs w:val="28"/>
              </w:rPr>
              <w:t xml:space="preserve"> </w:t>
            </w:r>
          </w:p>
          <w:p w:rsidR="00C73DC6" w:rsidRPr="009930E2" w:rsidRDefault="00C73DC6" w:rsidP="00C77A40">
            <w:pPr>
              <w:jc w:val="both"/>
              <w:rPr>
                <w:szCs w:val="28"/>
              </w:rPr>
            </w:pPr>
            <w:r>
              <w:rPr>
                <w:color w:val="000000"/>
                <w:sz w:val="28"/>
                <w:szCs w:val="28"/>
              </w:rPr>
              <w:t xml:space="preserve">   </w:t>
            </w:r>
            <w:r w:rsidRPr="009930E2">
              <w:rPr>
                <w:bCs/>
                <w:kern w:val="36"/>
                <w:sz w:val="28"/>
                <w:szCs w:val="28"/>
                <w:lang w:eastAsia="lv-LV"/>
              </w:rPr>
              <w:t xml:space="preserve">Saskaņā ar Ministru kabineta 2009.gada 8.septembra </w:t>
            </w:r>
            <w:r w:rsidRPr="009930E2">
              <w:rPr>
                <w:bCs/>
                <w:kern w:val="36"/>
                <w:sz w:val="28"/>
                <w:szCs w:val="28"/>
                <w:lang w:eastAsia="lv-LV"/>
              </w:rPr>
              <w:lastRenderedPageBreak/>
              <w:t xml:space="preserve">sēdes protokollēmuma (prot.Nr.56, 78.§) „Par Sociālās drošības tīkla stratēģiju” 2.punktu Sociālās drošības tīkla </w:t>
            </w:r>
            <w:r w:rsidRPr="009930E2">
              <w:rPr>
                <w:sz w:val="28"/>
                <w:szCs w:val="28"/>
              </w:rPr>
              <w:t xml:space="preserve">stratēģijas ieviešanas termiņš ir no 2009.gada 1.oktobra. </w:t>
            </w:r>
          </w:p>
        </w:tc>
      </w:tr>
      <w:tr w:rsidR="00C73DC6" w:rsidRPr="00EF4023" w:rsidTr="00C77A40">
        <w:trPr>
          <w:tblCellSpacing w:w="0" w:type="dxa"/>
        </w:trPr>
        <w:tc>
          <w:tcPr>
            <w:tcW w:w="2709"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rPr>
                <w:szCs w:val="28"/>
              </w:rPr>
            </w:pPr>
            <w:r w:rsidRPr="00EF4023">
              <w:rPr>
                <w:sz w:val="28"/>
                <w:szCs w:val="28"/>
              </w:rPr>
              <w:lastRenderedPageBreak/>
              <w:t> 3.  Normatīvā akta projekta būtība</w:t>
            </w:r>
          </w:p>
        </w:tc>
        <w:tc>
          <w:tcPr>
            <w:tcW w:w="6378"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jc w:val="both"/>
              <w:rPr>
                <w:szCs w:val="28"/>
              </w:rPr>
            </w:pPr>
            <w:r w:rsidRPr="00EF4023">
              <w:rPr>
                <w:sz w:val="28"/>
                <w:szCs w:val="28"/>
              </w:rPr>
              <w:t xml:space="preserve">    </w:t>
            </w:r>
            <w:r>
              <w:rPr>
                <w:sz w:val="28"/>
                <w:szCs w:val="28"/>
              </w:rPr>
              <w:t>P</w:t>
            </w:r>
            <w:r w:rsidRPr="00E25034">
              <w:rPr>
                <w:sz w:val="28"/>
                <w:szCs w:val="28"/>
              </w:rPr>
              <w:t>rotokollēmuma projekts</w:t>
            </w:r>
            <w:r>
              <w:rPr>
                <w:sz w:val="28"/>
                <w:szCs w:val="28"/>
              </w:rPr>
              <w:t xml:space="preserve"> nodrošinās p</w:t>
            </w:r>
            <w:r>
              <w:rPr>
                <w:color w:val="000000"/>
                <w:sz w:val="28"/>
                <w:szCs w:val="28"/>
              </w:rPr>
              <w:t xml:space="preserve">ašvaldību izglītības iestādēs strādājošo </w:t>
            </w:r>
            <w:r>
              <w:rPr>
                <w:sz w:val="28"/>
                <w:szCs w:val="28"/>
              </w:rPr>
              <w:t>pedagogu, kas sagatavos bērnus no piecu gadu vecuma, darba samaksu no valsts budžeta mērķdotācijas no 2009.gada 1.septembra.</w:t>
            </w:r>
          </w:p>
        </w:tc>
      </w:tr>
      <w:tr w:rsidR="00C73DC6" w:rsidRPr="00EF4023" w:rsidTr="00C77A40">
        <w:trPr>
          <w:tblCellSpacing w:w="0" w:type="dxa"/>
        </w:trPr>
        <w:tc>
          <w:tcPr>
            <w:tcW w:w="2709"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rPr>
                <w:szCs w:val="28"/>
              </w:rPr>
            </w:pPr>
            <w:r w:rsidRPr="00EF4023">
              <w:rPr>
                <w:sz w:val="28"/>
                <w:szCs w:val="28"/>
              </w:rPr>
              <w:t> 4. Cita informācija</w:t>
            </w:r>
          </w:p>
        </w:tc>
        <w:tc>
          <w:tcPr>
            <w:tcW w:w="6378"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jc w:val="both"/>
              <w:rPr>
                <w:szCs w:val="28"/>
              </w:rPr>
            </w:pPr>
            <w:r w:rsidRPr="00EF4023">
              <w:rPr>
                <w:sz w:val="28"/>
                <w:szCs w:val="28"/>
              </w:rPr>
              <w:t xml:space="preserve"> Nav attiecināms.</w:t>
            </w:r>
          </w:p>
        </w:tc>
      </w:tr>
    </w:tbl>
    <w:p w:rsidR="00C73DC6" w:rsidRDefault="00C73DC6" w:rsidP="00C73DC6"/>
    <w:tbl>
      <w:tblPr>
        <w:tblW w:w="908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087"/>
      </w:tblGrid>
      <w:tr w:rsidR="00C73DC6" w:rsidRPr="00EF4023" w:rsidTr="00C77A40">
        <w:trPr>
          <w:tblCellSpacing w:w="0" w:type="dxa"/>
        </w:trPr>
        <w:tc>
          <w:tcPr>
            <w:tcW w:w="9087"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jc w:val="center"/>
              <w:rPr>
                <w:szCs w:val="28"/>
              </w:rPr>
            </w:pPr>
            <w:r w:rsidRPr="00EF4023">
              <w:rPr>
                <w:sz w:val="28"/>
                <w:szCs w:val="28"/>
              </w:rPr>
              <w:t xml:space="preserve">Anotācijas </w:t>
            </w:r>
            <w:r>
              <w:rPr>
                <w:sz w:val="28"/>
                <w:szCs w:val="28"/>
              </w:rPr>
              <w:t>II</w:t>
            </w:r>
            <w:r w:rsidRPr="00EF4023">
              <w:rPr>
                <w:sz w:val="28"/>
                <w:szCs w:val="28"/>
              </w:rPr>
              <w:t xml:space="preserve"> </w:t>
            </w:r>
            <w:r>
              <w:rPr>
                <w:sz w:val="28"/>
                <w:szCs w:val="28"/>
              </w:rPr>
              <w:t xml:space="preserve">un III </w:t>
            </w:r>
            <w:r w:rsidRPr="00EF4023">
              <w:rPr>
                <w:sz w:val="28"/>
                <w:szCs w:val="28"/>
              </w:rPr>
              <w:t xml:space="preserve">sadaļa – </w:t>
            </w:r>
            <w:r>
              <w:rPr>
                <w:sz w:val="28"/>
                <w:szCs w:val="28"/>
              </w:rPr>
              <w:t>protokollēmuma</w:t>
            </w:r>
            <w:r w:rsidRPr="00EF4023">
              <w:rPr>
                <w:sz w:val="28"/>
                <w:szCs w:val="28"/>
              </w:rPr>
              <w:t xml:space="preserve"> projekts š</w:t>
            </w:r>
            <w:r>
              <w:rPr>
                <w:sz w:val="28"/>
                <w:szCs w:val="28"/>
              </w:rPr>
              <w:t>o</w:t>
            </w:r>
            <w:r w:rsidRPr="00EF4023">
              <w:rPr>
                <w:sz w:val="28"/>
                <w:szCs w:val="28"/>
              </w:rPr>
              <w:t xml:space="preserve"> jom</w:t>
            </w:r>
            <w:r>
              <w:rPr>
                <w:sz w:val="28"/>
                <w:szCs w:val="28"/>
              </w:rPr>
              <w:t>u</w:t>
            </w:r>
            <w:r w:rsidRPr="00EF4023">
              <w:rPr>
                <w:sz w:val="28"/>
                <w:szCs w:val="28"/>
              </w:rPr>
              <w:t xml:space="preserve"> neskar.</w:t>
            </w:r>
          </w:p>
        </w:tc>
      </w:tr>
    </w:tbl>
    <w:p w:rsidR="00C73DC6" w:rsidRPr="00EF4023" w:rsidRDefault="00C73DC6" w:rsidP="00C73DC6">
      <w:pPr>
        <w:rPr>
          <w:sz w:val="28"/>
          <w:szCs w:val="28"/>
        </w:rPr>
      </w:pPr>
    </w:p>
    <w:tbl>
      <w:tblPr>
        <w:tblW w:w="908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43"/>
        <w:gridCol w:w="5244"/>
      </w:tblGrid>
      <w:tr w:rsidR="00C73DC6" w:rsidRPr="00EF4023" w:rsidTr="00C77A40">
        <w:trPr>
          <w:tblCellSpacing w:w="0" w:type="dxa"/>
        </w:trPr>
        <w:tc>
          <w:tcPr>
            <w:tcW w:w="9087" w:type="dxa"/>
            <w:gridSpan w:val="2"/>
            <w:tcBorders>
              <w:top w:val="outset" w:sz="6" w:space="0" w:color="auto"/>
              <w:left w:val="outset" w:sz="6" w:space="0" w:color="auto"/>
              <w:bottom w:val="outset" w:sz="6" w:space="0" w:color="auto"/>
              <w:right w:val="outset" w:sz="6" w:space="0" w:color="auto"/>
            </w:tcBorders>
          </w:tcPr>
          <w:p w:rsidR="00C73DC6" w:rsidRPr="00EF4023" w:rsidRDefault="00C73DC6" w:rsidP="00C77A40">
            <w:pPr>
              <w:jc w:val="center"/>
              <w:rPr>
                <w:szCs w:val="28"/>
              </w:rPr>
            </w:pPr>
            <w:r w:rsidRPr="00EF4023">
              <w:rPr>
                <w:b/>
                <w:sz w:val="28"/>
                <w:szCs w:val="28"/>
              </w:rPr>
              <w:t>IV. Kāda var būt normatīvā akta ietekme uz</w:t>
            </w:r>
            <w:r w:rsidRPr="00EF4023">
              <w:rPr>
                <w:b/>
                <w:sz w:val="28"/>
                <w:szCs w:val="28"/>
              </w:rPr>
              <w:br/>
              <w:t>spēkā esošo tiesību normu sistēmu</w:t>
            </w:r>
          </w:p>
        </w:tc>
      </w:tr>
      <w:tr w:rsidR="00C73DC6" w:rsidRPr="00EF4023" w:rsidTr="00C77A40">
        <w:trPr>
          <w:tblCellSpacing w:w="0" w:type="dxa"/>
        </w:trPr>
        <w:tc>
          <w:tcPr>
            <w:tcW w:w="3843"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pStyle w:val="ParastaisWeb"/>
              <w:rPr>
                <w:szCs w:val="28"/>
                <w:lang w:val="lv-LV"/>
              </w:rPr>
            </w:pPr>
            <w:r w:rsidRPr="00EF4023">
              <w:rPr>
                <w:sz w:val="28"/>
                <w:szCs w:val="28"/>
                <w:lang w:val="lv-LV"/>
              </w:rPr>
              <w:t> </w:t>
            </w:r>
            <w:r w:rsidRPr="008D1D39">
              <w:rPr>
                <w:sz w:val="28"/>
                <w:szCs w:val="28"/>
                <w:lang w:val="lv-LV"/>
              </w:rPr>
              <w:t>1. Kādi normatīvie akti (likumi un Ministru kabineta noteikumi) papildus jāizdod un vai ir sagatavoti to projekti, to būtība, kā arī ministrija, kura ir atbildīga par tā sagatavošanu. Attiecībā uz Ministru kabineta noteikumiem (arī tiem, kuru izdošana ir paredzēta izstrādātajā likumprojektā) norāda to izdošanas mērķi un galvenos satura punktus, kā arī termiņu, kādā paredzēts šos noteikumus izstrādāt.</w:t>
            </w:r>
          </w:p>
        </w:tc>
        <w:tc>
          <w:tcPr>
            <w:tcW w:w="5244" w:type="dxa"/>
            <w:tcBorders>
              <w:top w:val="outset" w:sz="6" w:space="0" w:color="auto"/>
              <w:left w:val="outset" w:sz="6" w:space="0" w:color="auto"/>
              <w:bottom w:val="outset" w:sz="6" w:space="0" w:color="auto"/>
              <w:right w:val="outset" w:sz="6" w:space="0" w:color="auto"/>
            </w:tcBorders>
          </w:tcPr>
          <w:p w:rsidR="00C73DC6" w:rsidRDefault="00C73DC6" w:rsidP="00C77A40">
            <w:pPr>
              <w:jc w:val="both"/>
              <w:rPr>
                <w:szCs w:val="28"/>
              </w:rPr>
            </w:pPr>
            <w:r>
              <w:rPr>
                <w:sz w:val="28"/>
                <w:szCs w:val="28"/>
              </w:rPr>
              <w:t xml:space="preserve">   Protokollēmuma </w:t>
            </w:r>
            <w:r w:rsidRPr="00EF4023">
              <w:rPr>
                <w:sz w:val="28"/>
                <w:szCs w:val="28"/>
              </w:rPr>
              <w:t xml:space="preserve">projekts izskatāms Ministru kabineta sēdē pēc grozījumu </w:t>
            </w:r>
            <w:r>
              <w:rPr>
                <w:sz w:val="28"/>
                <w:szCs w:val="28"/>
              </w:rPr>
              <w:t>I</w:t>
            </w:r>
            <w:r w:rsidRPr="00EF4023">
              <w:rPr>
                <w:sz w:val="28"/>
                <w:szCs w:val="28"/>
              </w:rPr>
              <w:t>zglītības likumā pieņemšanas Saeimā.</w:t>
            </w:r>
          </w:p>
          <w:p w:rsidR="00C73DC6" w:rsidRPr="00EF4023" w:rsidRDefault="00C73DC6" w:rsidP="00C77A40">
            <w:pPr>
              <w:jc w:val="both"/>
              <w:rPr>
                <w:szCs w:val="28"/>
              </w:rPr>
            </w:pPr>
            <w:r>
              <w:rPr>
                <w:color w:val="000000"/>
                <w:sz w:val="28"/>
                <w:szCs w:val="28"/>
              </w:rPr>
              <w:t xml:space="preserve">    Papildu grozījumiem Izglītības likumā Izglītības un zinātnes ministrija ir izstrādājusi un kā Ministru kabineta lietu saskaņojusi Ministru kabineta noteikumu projektu par grozījumiem </w:t>
            </w:r>
            <w:r w:rsidRPr="00EF4023">
              <w:rPr>
                <w:color w:val="000000"/>
                <w:sz w:val="28"/>
                <w:szCs w:val="28"/>
              </w:rPr>
              <w:t>Ministru kabineta 200</w:t>
            </w:r>
            <w:r>
              <w:rPr>
                <w:color w:val="000000"/>
                <w:sz w:val="28"/>
                <w:szCs w:val="28"/>
              </w:rPr>
              <w:t>9</w:t>
            </w:r>
            <w:r w:rsidRPr="00EF4023">
              <w:rPr>
                <w:color w:val="000000"/>
                <w:sz w:val="28"/>
                <w:szCs w:val="28"/>
              </w:rPr>
              <w:t xml:space="preserve">.gada </w:t>
            </w:r>
            <w:r>
              <w:rPr>
                <w:color w:val="000000"/>
                <w:sz w:val="28"/>
                <w:szCs w:val="28"/>
              </w:rPr>
              <w:t>28</w:t>
            </w:r>
            <w:r w:rsidRPr="00EF4023">
              <w:rPr>
                <w:color w:val="000000"/>
                <w:sz w:val="28"/>
                <w:szCs w:val="28"/>
              </w:rPr>
              <w:t>.</w:t>
            </w:r>
            <w:r>
              <w:rPr>
                <w:color w:val="000000"/>
                <w:sz w:val="28"/>
                <w:szCs w:val="28"/>
              </w:rPr>
              <w:t>jūlija</w:t>
            </w:r>
            <w:r w:rsidRPr="00EF4023">
              <w:rPr>
                <w:color w:val="000000"/>
                <w:sz w:val="28"/>
                <w:szCs w:val="28"/>
              </w:rPr>
              <w:t xml:space="preserve"> noteikumos Nr.</w:t>
            </w:r>
            <w:r>
              <w:rPr>
                <w:color w:val="000000"/>
                <w:sz w:val="28"/>
                <w:szCs w:val="28"/>
              </w:rPr>
              <w:t>836</w:t>
            </w:r>
            <w:r w:rsidRPr="00EF4023">
              <w:rPr>
                <w:color w:val="000000"/>
                <w:sz w:val="28"/>
                <w:szCs w:val="28"/>
              </w:rPr>
              <w:t xml:space="preserve"> „</w:t>
            </w:r>
            <w:r>
              <w:rPr>
                <w:bCs/>
                <w:sz w:val="28"/>
                <w:szCs w:val="28"/>
              </w:rPr>
              <w:t>Pedagogu darba samaksas noteikumi</w:t>
            </w:r>
            <w:r w:rsidRPr="00EF4023">
              <w:rPr>
                <w:bCs/>
                <w:sz w:val="28"/>
                <w:szCs w:val="28"/>
              </w:rPr>
              <w:t>”</w:t>
            </w:r>
            <w:r>
              <w:rPr>
                <w:bCs/>
                <w:sz w:val="28"/>
                <w:szCs w:val="28"/>
              </w:rPr>
              <w:t xml:space="preserve">, kas paredz </w:t>
            </w:r>
            <w:r>
              <w:rPr>
                <w:sz w:val="28"/>
                <w:szCs w:val="28"/>
              </w:rPr>
              <w:t>nodrošināt p</w:t>
            </w:r>
            <w:r>
              <w:rPr>
                <w:color w:val="000000"/>
                <w:sz w:val="28"/>
                <w:szCs w:val="28"/>
              </w:rPr>
              <w:t xml:space="preserve">ašvaldību izglītības iestādēs strādājošo </w:t>
            </w:r>
            <w:r>
              <w:rPr>
                <w:sz w:val="28"/>
                <w:szCs w:val="28"/>
              </w:rPr>
              <w:t>pedagogu, kas sagatavos bērnus no piecu gadu vecuma, darba samaksu no valsts budžeta mērķdotācijas.</w:t>
            </w:r>
          </w:p>
        </w:tc>
      </w:tr>
      <w:tr w:rsidR="00C73DC6" w:rsidRPr="00EF4023" w:rsidTr="00C77A40">
        <w:trPr>
          <w:tblCellSpacing w:w="0" w:type="dxa"/>
        </w:trPr>
        <w:tc>
          <w:tcPr>
            <w:tcW w:w="3843"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pStyle w:val="ParastaisWeb"/>
              <w:rPr>
                <w:szCs w:val="28"/>
                <w:lang w:val="lv-LV"/>
              </w:rPr>
            </w:pPr>
            <w:r w:rsidRPr="00EF4023">
              <w:rPr>
                <w:sz w:val="28"/>
                <w:szCs w:val="28"/>
                <w:lang w:val="lv-LV"/>
              </w:rPr>
              <w:t> 2. Cita informācija</w:t>
            </w:r>
          </w:p>
        </w:tc>
        <w:tc>
          <w:tcPr>
            <w:tcW w:w="5244"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rPr>
                <w:szCs w:val="28"/>
              </w:rPr>
            </w:pPr>
            <w:r w:rsidRPr="00EF4023">
              <w:rPr>
                <w:sz w:val="28"/>
                <w:szCs w:val="28"/>
              </w:rPr>
              <w:t xml:space="preserve"> Nav attiecināms.</w:t>
            </w:r>
          </w:p>
        </w:tc>
      </w:tr>
    </w:tbl>
    <w:p w:rsidR="00C73DC6" w:rsidRPr="00EF4023" w:rsidRDefault="00C73DC6" w:rsidP="00C73DC6">
      <w:pPr>
        <w:rPr>
          <w:sz w:val="28"/>
          <w:szCs w:val="28"/>
        </w:rPr>
      </w:pPr>
    </w:p>
    <w:tbl>
      <w:tblPr>
        <w:tblW w:w="908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087"/>
      </w:tblGrid>
      <w:tr w:rsidR="00C73DC6" w:rsidRPr="00EF4023" w:rsidTr="00C77A40">
        <w:trPr>
          <w:tblCellSpacing w:w="0" w:type="dxa"/>
        </w:trPr>
        <w:tc>
          <w:tcPr>
            <w:tcW w:w="9087" w:type="dxa"/>
            <w:tcBorders>
              <w:top w:val="outset" w:sz="6" w:space="0" w:color="auto"/>
              <w:left w:val="outset" w:sz="6" w:space="0" w:color="auto"/>
              <w:bottom w:val="outset" w:sz="6" w:space="0" w:color="auto"/>
              <w:right w:val="outset" w:sz="6" w:space="0" w:color="auto"/>
            </w:tcBorders>
          </w:tcPr>
          <w:p w:rsidR="00C73DC6" w:rsidRPr="00EF4023" w:rsidRDefault="00C73DC6" w:rsidP="00C77A40">
            <w:pPr>
              <w:jc w:val="center"/>
              <w:rPr>
                <w:szCs w:val="28"/>
              </w:rPr>
            </w:pPr>
            <w:r w:rsidRPr="00EF4023">
              <w:rPr>
                <w:sz w:val="28"/>
                <w:szCs w:val="28"/>
              </w:rPr>
              <w:t>Anotācijas V</w:t>
            </w:r>
            <w:r>
              <w:rPr>
                <w:sz w:val="28"/>
                <w:szCs w:val="28"/>
              </w:rPr>
              <w:t>, VI un VII</w:t>
            </w:r>
            <w:r w:rsidRPr="00EF4023">
              <w:rPr>
                <w:sz w:val="28"/>
                <w:szCs w:val="28"/>
              </w:rPr>
              <w:t xml:space="preserve"> sadaļa – </w:t>
            </w:r>
            <w:r>
              <w:rPr>
                <w:sz w:val="28"/>
                <w:szCs w:val="28"/>
              </w:rPr>
              <w:t xml:space="preserve">protokollēmuma </w:t>
            </w:r>
            <w:r w:rsidRPr="00EF4023">
              <w:rPr>
                <w:sz w:val="28"/>
                <w:szCs w:val="28"/>
              </w:rPr>
              <w:t>projekts š</w:t>
            </w:r>
            <w:r>
              <w:rPr>
                <w:sz w:val="28"/>
                <w:szCs w:val="28"/>
              </w:rPr>
              <w:t>īs</w:t>
            </w:r>
            <w:r w:rsidRPr="00EF4023">
              <w:rPr>
                <w:sz w:val="28"/>
                <w:szCs w:val="28"/>
              </w:rPr>
              <w:t xml:space="preserve"> jom</w:t>
            </w:r>
            <w:r>
              <w:rPr>
                <w:sz w:val="28"/>
                <w:szCs w:val="28"/>
              </w:rPr>
              <w:t>as</w:t>
            </w:r>
            <w:r w:rsidRPr="00EF4023">
              <w:rPr>
                <w:sz w:val="28"/>
                <w:szCs w:val="28"/>
              </w:rPr>
              <w:t xml:space="preserve"> neskar.</w:t>
            </w:r>
          </w:p>
        </w:tc>
      </w:tr>
    </w:tbl>
    <w:p w:rsidR="00C73DC6" w:rsidRPr="00EF4023" w:rsidRDefault="00C73DC6" w:rsidP="00C73DC6">
      <w:pPr>
        <w:rPr>
          <w:sz w:val="28"/>
          <w:szCs w:val="28"/>
        </w:rPr>
      </w:pPr>
    </w:p>
    <w:p w:rsidR="00C73DC6" w:rsidRDefault="00C73DC6" w:rsidP="0008681B">
      <w:pPr>
        <w:rPr>
          <w:sz w:val="28"/>
          <w:szCs w:val="28"/>
        </w:rPr>
      </w:pPr>
      <w:r w:rsidRPr="00EF4023">
        <w:rPr>
          <w:sz w:val="28"/>
          <w:szCs w:val="28"/>
        </w:rPr>
        <w:t> </w:t>
      </w:r>
    </w:p>
    <w:p w:rsidR="00C73DC6" w:rsidRPr="00EF4023" w:rsidRDefault="00C73DC6" w:rsidP="00C73DC6">
      <w:pPr>
        <w:pStyle w:val="naisf"/>
        <w:spacing w:before="0" w:beforeAutospacing="0" w:after="0" w:afterAutospacing="0"/>
        <w:ind w:firstLine="720"/>
        <w:rPr>
          <w:sz w:val="28"/>
          <w:szCs w:val="28"/>
        </w:rPr>
      </w:pPr>
      <w:r>
        <w:rPr>
          <w:sz w:val="28"/>
          <w:szCs w:val="28"/>
        </w:rPr>
        <w:t xml:space="preserve">Iesniedzējs: </w:t>
      </w:r>
      <w:r w:rsidRPr="00EF4023">
        <w:rPr>
          <w:sz w:val="28"/>
          <w:szCs w:val="28"/>
        </w:rPr>
        <w:t>Izglītības un zinātnes ministr</w:t>
      </w:r>
      <w:r>
        <w:rPr>
          <w:sz w:val="28"/>
          <w:szCs w:val="28"/>
        </w:rPr>
        <w:t>e</w:t>
      </w:r>
      <w:r w:rsidRPr="00EF4023">
        <w:rPr>
          <w:sz w:val="28"/>
          <w:szCs w:val="28"/>
        </w:rPr>
        <w:tab/>
      </w:r>
      <w:r w:rsidRPr="00EF4023">
        <w:rPr>
          <w:sz w:val="28"/>
          <w:szCs w:val="28"/>
        </w:rPr>
        <w:tab/>
      </w:r>
      <w:r>
        <w:rPr>
          <w:sz w:val="28"/>
          <w:szCs w:val="28"/>
        </w:rPr>
        <w:t xml:space="preserve">                    T.Koķe</w:t>
      </w:r>
    </w:p>
    <w:p w:rsidR="00C73DC6" w:rsidRDefault="00C73DC6" w:rsidP="00C73DC6">
      <w:pPr>
        <w:rPr>
          <w:sz w:val="28"/>
          <w:szCs w:val="28"/>
        </w:rPr>
      </w:pPr>
    </w:p>
    <w:p w:rsidR="00C73DC6" w:rsidRPr="00EF4023" w:rsidRDefault="00C73DC6" w:rsidP="00C73DC6">
      <w:pPr>
        <w:rPr>
          <w:sz w:val="28"/>
          <w:szCs w:val="28"/>
        </w:rPr>
      </w:pPr>
    </w:p>
    <w:p w:rsidR="00C73DC6" w:rsidRPr="00EF4023" w:rsidRDefault="00C73DC6" w:rsidP="00C73DC6">
      <w:pPr>
        <w:rPr>
          <w:sz w:val="28"/>
          <w:szCs w:val="28"/>
        </w:rPr>
      </w:pPr>
    </w:p>
    <w:p w:rsidR="00C73DC6" w:rsidRDefault="00C73DC6" w:rsidP="00C73DC6">
      <w:pPr>
        <w:ind w:firstLine="720"/>
        <w:rPr>
          <w:sz w:val="28"/>
          <w:szCs w:val="28"/>
        </w:rPr>
      </w:pPr>
      <w:r w:rsidRPr="00EF4023">
        <w:rPr>
          <w:sz w:val="28"/>
          <w:szCs w:val="28"/>
        </w:rPr>
        <w:t>Vi</w:t>
      </w:r>
      <w:r>
        <w:rPr>
          <w:sz w:val="28"/>
          <w:szCs w:val="28"/>
        </w:rPr>
        <w:t>zē: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M.Gruškevics</w:t>
      </w:r>
    </w:p>
    <w:p w:rsidR="00C73DC6" w:rsidRPr="00EF4023" w:rsidRDefault="00C73DC6" w:rsidP="00C73DC6">
      <w:pPr>
        <w:ind w:firstLine="720"/>
        <w:rPr>
          <w:sz w:val="28"/>
          <w:szCs w:val="28"/>
        </w:rPr>
      </w:pPr>
      <w:r>
        <w:rPr>
          <w:sz w:val="28"/>
          <w:szCs w:val="28"/>
        </w:rPr>
        <w:tab/>
      </w:r>
    </w:p>
    <w:p w:rsidR="00C73DC6" w:rsidRPr="002F5107" w:rsidRDefault="00C73DC6" w:rsidP="00C73DC6">
      <w:pPr>
        <w:rPr>
          <w:sz w:val="20"/>
          <w:szCs w:val="20"/>
        </w:rPr>
      </w:pPr>
      <w:r>
        <w:rPr>
          <w:sz w:val="20"/>
          <w:szCs w:val="20"/>
        </w:rPr>
        <w:t>14.10</w:t>
      </w:r>
      <w:r w:rsidRPr="002F5107">
        <w:rPr>
          <w:sz w:val="20"/>
          <w:szCs w:val="20"/>
        </w:rPr>
        <w:t>.2009. 1</w:t>
      </w:r>
      <w:r w:rsidR="00174F88">
        <w:rPr>
          <w:sz w:val="20"/>
          <w:szCs w:val="20"/>
        </w:rPr>
        <w:t>1</w:t>
      </w:r>
      <w:r>
        <w:rPr>
          <w:sz w:val="20"/>
          <w:szCs w:val="20"/>
        </w:rPr>
        <w:t>:</w:t>
      </w:r>
      <w:r w:rsidR="00174F88">
        <w:rPr>
          <w:sz w:val="20"/>
          <w:szCs w:val="20"/>
        </w:rPr>
        <w:t>23</w:t>
      </w:r>
    </w:p>
    <w:p w:rsidR="00C73DC6" w:rsidRPr="002F5107" w:rsidRDefault="00174F88" w:rsidP="00C73DC6">
      <w:pPr>
        <w:rPr>
          <w:sz w:val="20"/>
          <w:szCs w:val="20"/>
        </w:rPr>
      </w:pPr>
      <w:r>
        <w:rPr>
          <w:sz w:val="20"/>
          <w:szCs w:val="20"/>
        </w:rPr>
        <w:t>510</w:t>
      </w:r>
    </w:p>
    <w:p w:rsidR="00C73DC6" w:rsidRPr="002F5107" w:rsidRDefault="00C73DC6" w:rsidP="00C73DC6">
      <w:pPr>
        <w:rPr>
          <w:sz w:val="20"/>
          <w:szCs w:val="20"/>
        </w:rPr>
      </w:pPr>
      <w:r>
        <w:rPr>
          <w:sz w:val="20"/>
          <w:szCs w:val="20"/>
        </w:rPr>
        <w:t>J.Glaudiņa</w:t>
      </w:r>
    </w:p>
    <w:p w:rsidR="00C73DC6" w:rsidRPr="002F5107" w:rsidRDefault="00C73DC6" w:rsidP="00C73DC6">
      <w:pPr>
        <w:rPr>
          <w:sz w:val="20"/>
          <w:szCs w:val="20"/>
        </w:rPr>
      </w:pPr>
      <w:r w:rsidRPr="002F5107">
        <w:rPr>
          <w:sz w:val="20"/>
          <w:szCs w:val="20"/>
        </w:rPr>
        <w:t>670479</w:t>
      </w:r>
      <w:r>
        <w:rPr>
          <w:sz w:val="20"/>
          <w:szCs w:val="20"/>
        </w:rPr>
        <w:t>56</w:t>
      </w:r>
      <w:r w:rsidRPr="002F5107">
        <w:rPr>
          <w:sz w:val="20"/>
          <w:szCs w:val="20"/>
        </w:rPr>
        <w:t>, fakss: 67047904</w:t>
      </w:r>
    </w:p>
    <w:p w:rsidR="006263F0" w:rsidRPr="00C73DC6" w:rsidRDefault="00FA7C3A" w:rsidP="00C73DC6">
      <w:hyperlink r:id="rId6" w:history="1">
        <w:r w:rsidR="0008681B" w:rsidRPr="00014851">
          <w:rPr>
            <w:rStyle w:val="Hyperlink"/>
            <w:sz w:val="20"/>
            <w:szCs w:val="20"/>
          </w:rPr>
          <w:t>jautrite.glaudina@izm.gov.lv</w:t>
        </w:r>
      </w:hyperlink>
      <w:r w:rsidR="0008681B">
        <w:rPr>
          <w:sz w:val="20"/>
          <w:szCs w:val="20"/>
        </w:rPr>
        <w:t xml:space="preserve"> </w:t>
      </w:r>
    </w:p>
    <w:sectPr w:rsidR="006263F0" w:rsidRPr="00C73DC6" w:rsidSect="00E65429">
      <w:headerReference w:type="default" r:id="rId7"/>
      <w:footerReference w:type="default" r:id="rId8"/>
      <w:footerReference w:type="first" r:id="rId9"/>
      <w:pgSz w:w="11906" w:h="16838"/>
      <w:pgMar w:top="993" w:right="1418"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67" w:rsidRDefault="00D50A67" w:rsidP="00CB1A57">
      <w:r>
        <w:separator/>
      </w:r>
    </w:p>
  </w:endnote>
  <w:endnote w:type="continuationSeparator" w:id="0">
    <w:p w:rsidR="00D50A67" w:rsidRDefault="00D50A67" w:rsidP="00CB1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34" w:rsidRDefault="00E25034" w:rsidP="00E25034">
    <w:pPr>
      <w:pStyle w:val="Footer"/>
    </w:pPr>
    <w:r>
      <w:rPr>
        <w:sz w:val="22"/>
        <w:szCs w:val="22"/>
      </w:rPr>
      <w:t xml:space="preserve">IZMAnot_141009_protokol; </w:t>
    </w:r>
    <w:r w:rsidRPr="00A9269A">
      <w:rPr>
        <w:bCs/>
        <w:color w:val="000000"/>
        <w:sz w:val="20"/>
        <w:szCs w:val="20"/>
      </w:rPr>
      <w:t>Par Ministru kabineta 2009.gada 8.septembra sēdes protokollēmuma (prot. Nr.56 78.</w:t>
    </w:r>
    <w:r w:rsidRPr="00A9269A">
      <w:rPr>
        <w:sz w:val="20"/>
        <w:szCs w:val="20"/>
      </w:rPr>
      <w:t>§) „Par Sociālās drošības tīkla stratēģiju” 2.punktu</w:t>
    </w:r>
  </w:p>
  <w:p w:rsidR="007A01BE" w:rsidRDefault="00D50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4" w:rsidRDefault="00D319D8">
    <w:pPr>
      <w:pStyle w:val="Footer"/>
    </w:pPr>
    <w:r>
      <w:rPr>
        <w:sz w:val="22"/>
        <w:szCs w:val="22"/>
      </w:rPr>
      <w:t>IZMAnot_</w:t>
    </w:r>
    <w:r w:rsidR="006F1F6C">
      <w:rPr>
        <w:sz w:val="22"/>
        <w:szCs w:val="22"/>
      </w:rPr>
      <w:t>14</w:t>
    </w:r>
    <w:r w:rsidR="00603748">
      <w:rPr>
        <w:sz w:val="22"/>
        <w:szCs w:val="22"/>
      </w:rPr>
      <w:t>10</w:t>
    </w:r>
    <w:r>
      <w:rPr>
        <w:sz w:val="22"/>
        <w:szCs w:val="22"/>
      </w:rPr>
      <w:t>09_</w:t>
    </w:r>
    <w:r w:rsidR="006F1F6C">
      <w:rPr>
        <w:sz w:val="22"/>
        <w:szCs w:val="22"/>
      </w:rPr>
      <w:t>protokol</w:t>
    </w:r>
    <w:r>
      <w:rPr>
        <w:sz w:val="22"/>
        <w:szCs w:val="22"/>
      </w:rPr>
      <w:t xml:space="preserve">; </w:t>
    </w:r>
    <w:r w:rsidR="006F1F6C" w:rsidRPr="00A9269A">
      <w:rPr>
        <w:bCs/>
        <w:color w:val="000000"/>
        <w:sz w:val="20"/>
        <w:szCs w:val="20"/>
      </w:rPr>
      <w:t>Par Ministru kabineta 2009.gada 8.septembra sēdes protokollēmuma (prot. Nr.56 78.</w:t>
    </w:r>
    <w:r w:rsidR="006F1F6C" w:rsidRPr="00A9269A">
      <w:rPr>
        <w:sz w:val="20"/>
        <w:szCs w:val="20"/>
      </w:rPr>
      <w:t>§) „Par Sociālās drošības tīkla stratēģiju” 2.punktu</w:t>
    </w:r>
  </w:p>
  <w:p w:rsidR="00B259D4" w:rsidRDefault="00D50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67" w:rsidRDefault="00D50A67" w:rsidP="00CB1A57">
      <w:r>
        <w:separator/>
      </w:r>
    </w:p>
  </w:footnote>
  <w:footnote w:type="continuationSeparator" w:id="0">
    <w:p w:rsidR="00D50A67" w:rsidRDefault="00D50A67" w:rsidP="00CB1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4644"/>
      <w:docPartObj>
        <w:docPartGallery w:val="Page Numbers (Top of Page)"/>
        <w:docPartUnique/>
      </w:docPartObj>
    </w:sdtPr>
    <w:sdtContent>
      <w:p w:rsidR="007A01BE" w:rsidRDefault="00FA7C3A">
        <w:pPr>
          <w:pStyle w:val="Header"/>
          <w:jc w:val="center"/>
        </w:pPr>
        <w:r>
          <w:fldChar w:fldCharType="begin"/>
        </w:r>
        <w:r w:rsidR="00560697">
          <w:instrText xml:space="preserve"> PAGE   \* MERGEFORMAT </w:instrText>
        </w:r>
        <w:r>
          <w:fldChar w:fldCharType="separate"/>
        </w:r>
        <w:r w:rsidR="00174F88">
          <w:rPr>
            <w:noProof/>
          </w:rPr>
          <w:t>2</w:t>
        </w:r>
        <w:r>
          <w:fldChar w:fldCharType="end"/>
        </w:r>
      </w:p>
    </w:sdtContent>
  </w:sdt>
  <w:p w:rsidR="007A01BE" w:rsidRDefault="00D50A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60697"/>
    <w:rsid w:val="00034BE1"/>
    <w:rsid w:val="000530F7"/>
    <w:rsid w:val="00053418"/>
    <w:rsid w:val="00065BC4"/>
    <w:rsid w:val="00072F4D"/>
    <w:rsid w:val="00074328"/>
    <w:rsid w:val="00084C21"/>
    <w:rsid w:val="0008681B"/>
    <w:rsid w:val="000B7AD0"/>
    <w:rsid w:val="001151C2"/>
    <w:rsid w:val="00174F88"/>
    <w:rsid w:val="001F5F7D"/>
    <w:rsid w:val="00217676"/>
    <w:rsid w:val="00221E05"/>
    <w:rsid w:val="002851E9"/>
    <w:rsid w:val="002A6421"/>
    <w:rsid w:val="002B5EC2"/>
    <w:rsid w:val="002D0ECF"/>
    <w:rsid w:val="003542A0"/>
    <w:rsid w:val="003565DD"/>
    <w:rsid w:val="003D6851"/>
    <w:rsid w:val="003E3131"/>
    <w:rsid w:val="004260C7"/>
    <w:rsid w:val="004500AD"/>
    <w:rsid w:val="00497836"/>
    <w:rsid w:val="004A2A72"/>
    <w:rsid w:val="004B24CE"/>
    <w:rsid w:val="004F3C18"/>
    <w:rsid w:val="005021F7"/>
    <w:rsid w:val="00504219"/>
    <w:rsid w:val="005053B8"/>
    <w:rsid w:val="005427EA"/>
    <w:rsid w:val="00560697"/>
    <w:rsid w:val="0057162F"/>
    <w:rsid w:val="005F12D5"/>
    <w:rsid w:val="00603748"/>
    <w:rsid w:val="006263F0"/>
    <w:rsid w:val="0064576C"/>
    <w:rsid w:val="006567D2"/>
    <w:rsid w:val="006D5650"/>
    <w:rsid w:val="006E1695"/>
    <w:rsid w:val="006F1F6C"/>
    <w:rsid w:val="006F7FD4"/>
    <w:rsid w:val="00742B45"/>
    <w:rsid w:val="0076550E"/>
    <w:rsid w:val="00780D04"/>
    <w:rsid w:val="00785D04"/>
    <w:rsid w:val="00794FDF"/>
    <w:rsid w:val="007B1F8C"/>
    <w:rsid w:val="007B54BE"/>
    <w:rsid w:val="007C160F"/>
    <w:rsid w:val="008106D6"/>
    <w:rsid w:val="0083746B"/>
    <w:rsid w:val="008923C9"/>
    <w:rsid w:val="0089605B"/>
    <w:rsid w:val="008A623D"/>
    <w:rsid w:val="008D0683"/>
    <w:rsid w:val="008D1D39"/>
    <w:rsid w:val="009079FE"/>
    <w:rsid w:val="00972016"/>
    <w:rsid w:val="0098141B"/>
    <w:rsid w:val="00991B35"/>
    <w:rsid w:val="00997B6B"/>
    <w:rsid w:val="00A03B6F"/>
    <w:rsid w:val="00A14E1A"/>
    <w:rsid w:val="00A42C70"/>
    <w:rsid w:val="00A46BA3"/>
    <w:rsid w:val="00AC72F6"/>
    <w:rsid w:val="00B01074"/>
    <w:rsid w:val="00B228B1"/>
    <w:rsid w:val="00B427AA"/>
    <w:rsid w:val="00B50C29"/>
    <w:rsid w:val="00B639A3"/>
    <w:rsid w:val="00B63DE7"/>
    <w:rsid w:val="00B906E1"/>
    <w:rsid w:val="00BA287F"/>
    <w:rsid w:val="00BC2D7A"/>
    <w:rsid w:val="00BD5CB0"/>
    <w:rsid w:val="00BF0732"/>
    <w:rsid w:val="00C017C3"/>
    <w:rsid w:val="00C476CB"/>
    <w:rsid w:val="00C73DC6"/>
    <w:rsid w:val="00CB1A57"/>
    <w:rsid w:val="00D319D8"/>
    <w:rsid w:val="00D4157C"/>
    <w:rsid w:val="00D44832"/>
    <w:rsid w:val="00D50A67"/>
    <w:rsid w:val="00D61CF0"/>
    <w:rsid w:val="00D951A3"/>
    <w:rsid w:val="00DC6FED"/>
    <w:rsid w:val="00DE4C3E"/>
    <w:rsid w:val="00DF4D5F"/>
    <w:rsid w:val="00E01E55"/>
    <w:rsid w:val="00E25034"/>
    <w:rsid w:val="00E31BB6"/>
    <w:rsid w:val="00E65429"/>
    <w:rsid w:val="00E82CC5"/>
    <w:rsid w:val="00EB2032"/>
    <w:rsid w:val="00EB513D"/>
    <w:rsid w:val="00EF2164"/>
    <w:rsid w:val="00EF4023"/>
    <w:rsid w:val="00EF5888"/>
    <w:rsid w:val="00EF69F6"/>
    <w:rsid w:val="00F033E9"/>
    <w:rsid w:val="00F17DEA"/>
    <w:rsid w:val="00FA7C3A"/>
    <w:rsid w:val="00FB1B7C"/>
    <w:rsid w:val="00FE442D"/>
    <w:rsid w:val="00FF36B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97"/>
    <w:pPr>
      <w:spacing w:after="0" w:line="240" w:lineRule="auto"/>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60697"/>
    <w:pPr>
      <w:spacing w:after="120" w:line="480" w:lineRule="auto"/>
    </w:pPr>
    <w:rPr>
      <w:rFonts w:ascii="Calibri" w:hAnsi="Calibri"/>
      <w:sz w:val="22"/>
      <w:szCs w:val="22"/>
      <w:lang w:eastAsia="lv-LV"/>
    </w:rPr>
  </w:style>
  <w:style w:type="character" w:customStyle="1" w:styleId="BodyText2Char">
    <w:name w:val="Body Text 2 Char"/>
    <w:basedOn w:val="DefaultParagraphFont"/>
    <w:link w:val="BodyText2"/>
    <w:rsid w:val="00560697"/>
    <w:rPr>
      <w:rFonts w:ascii="Calibri" w:eastAsia="Times New Roman" w:hAnsi="Calibri" w:cs="Times New Roman"/>
      <w:sz w:val="22"/>
      <w:lang w:eastAsia="lv-LV"/>
    </w:rPr>
  </w:style>
  <w:style w:type="paragraph" w:customStyle="1" w:styleId="naisf">
    <w:name w:val="naisf"/>
    <w:basedOn w:val="Normal"/>
    <w:rsid w:val="00560697"/>
    <w:pPr>
      <w:spacing w:before="100" w:beforeAutospacing="1" w:after="100" w:afterAutospacing="1"/>
    </w:pPr>
    <w:rPr>
      <w:lang w:eastAsia="lv-LV"/>
    </w:rPr>
  </w:style>
  <w:style w:type="paragraph" w:styleId="NormalWeb">
    <w:name w:val="Normal (Web)"/>
    <w:basedOn w:val="Normal"/>
    <w:uiPriority w:val="99"/>
    <w:rsid w:val="00560697"/>
    <w:pPr>
      <w:spacing w:before="100" w:beforeAutospacing="1" w:after="100" w:afterAutospacing="1"/>
    </w:pPr>
    <w:rPr>
      <w:lang w:eastAsia="lv-LV"/>
    </w:rPr>
  </w:style>
  <w:style w:type="paragraph" w:styleId="Header">
    <w:name w:val="header"/>
    <w:basedOn w:val="Normal"/>
    <w:link w:val="HeaderChar"/>
    <w:uiPriority w:val="99"/>
    <w:unhideWhenUsed/>
    <w:rsid w:val="00560697"/>
    <w:pPr>
      <w:tabs>
        <w:tab w:val="center" w:pos="4153"/>
        <w:tab w:val="right" w:pos="8306"/>
      </w:tabs>
    </w:pPr>
  </w:style>
  <w:style w:type="character" w:customStyle="1" w:styleId="HeaderChar">
    <w:name w:val="Header Char"/>
    <w:basedOn w:val="DefaultParagraphFont"/>
    <w:link w:val="Header"/>
    <w:uiPriority w:val="99"/>
    <w:rsid w:val="00560697"/>
    <w:rPr>
      <w:rFonts w:eastAsia="Times New Roman" w:cs="Times New Roman"/>
      <w:sz w:val="24"/>
      <w:szCs w:val="24"/>
    </w:rPr>
  </w:style>
  <w:style w:type="paragraph" w:styleId="Footer">
    <w:name w:val="footer"/>
    <w:basedOn w:val="Normal"/>
    <w:link w:val="FooterChar"/>
    <w:uiPriority w:val="99"/>
    <w:unhideWhenUsed/>
    <w:rsid w:val="00560697"/>
    <w:pPr>
      <w:tabs>
        <w:tab w:val="center" w:pos="4153"/>
        <w:tab w:val="right" w:pos="8306"/>
      </w:tabs>
    </w:pPr>
  </w:style>
  <w:style w:type="character" w:customStyle="1" w:styleId="FooterChar">
    <w:name w:val="Footer Char"/>
    <w:basedOn w:val="DefaultParagraphFont"/>
    <w:link w:val="Footer"/>
    <w:uiPriority w:val="99"/>
    <w:rsid w:val="00560697"/>
    <w:rPr>
      <w:rFonts w:eastAsia="Times New Roman" w:cs="Times New Roman"/>
      <w:sz w:val="24"/>
      <w:szCs w:val="24"/>
    </w:rPr>
  </w:style>
  <w:style w:type="paragraph" w:customStyle="1" w:styleId="ParastaisWeb">
    <w:name w:val="Parastais (Web)"/>
    <w:basedOn w:val="Normal"/>
    <w:rsid w:val="00E82CC5"/>
    <w:pPr>
      <w:spacing w:before="100" w:beforeAutospacing="1" w:after="100" w:afterAutospacing="1"/>
    </w:pPr>
    <w:rPr>
      <w:lang w:val="en-GB"/>
    </w:rPr>
  </w:style>
  <w:style w:type="paragraph" w:customStyle="1" w:styleId="naislab">
    <w:name w:val="naislab"/>
    <w:basedOn w:val="Normal"/>
    <w:rsid w:val="00D44832"/>
    <w:pPr>
      <w:spacing w:before="75" w:after="75"/>
      <w:jc w:val="right"/>
    </w:pPr>
    <w:rPr>
      <w:lang w:eastAsia="lv-LV"/>
    </w:rPr>
  </w:style>
  <w:style w:type="paragraph" w:customStyle="1" w:styleId="naisc">
    <w:name w:val="naisc"/>
    <w:basedOn w:val="Normal"/>
    <w:rsid w:val="00D44832"/>
    <w:pPr>
      <w:spacing w:before="450" w:after="300"/>
      <w:jc w:val="center"/>
    </w:pPr>
    <w:rPr>
      <w:sz w:val="26"/>
      <w:szCs w:val="26"/>
      <w:lang w:eastAsia="lv-LV"/>
    </w:rPr>
  </w:style>
  <w:style w:type="paragraph" w:styleId="BodyText3">
    <w:name w:val="Body Text 3"/>
    <w:basedOn w:val="Normal"/>
    <w:link w:val="BodyText3Char"/>
    <w:uiPriority w:val="99"/>
    <w:unhideWhenUsed/>
    <w:rsid w:val="006F1F6C"/>
    <w:pPr>
      <w:spacing w:after="120"/>
    </w:pPr>
    <w:rPr>
      <w:sz w:val="16"/>
      <w:szCs w:val="16"/>
      <w:lang w:val="en-US"/>
    </w:rPr>
  </w:style>
  <w:style w:type="character" w:customStyle="1" w:styleId="BodyText3Char">
    <w:name w:val="Body Text 3 Char"/>
    <w:basedOn w:val="DefaultParagraphFont"/>
    <w:link w:val="BodyText3"/>
    <w:uiPriority w:val="99"/>
    <w:rsid w:val="006F1F6C"/>
    <w:rPr>
      <w:rFonts w:eastAsia="Times New Roman" w:cs="Times New Roman"/>
      <w:sz w:val="16"/>
      <w:szCs w:val="16"/>
      <w:lang w:val="en-US"/>
    </w:rPr>
  </w:style>
  <w:style w:type="paragraph" w:styleId="ListParagraph">
    <w:name w:val="List Paragraph"/>
    <w:basedOn w:val="Normal"/>
    <w:qFormat/>
    <w:rsid w:val="00C73DC6"/>
    <w:pPr>
      <w:ind w:left="720"/>
    </w:pPr>
    <w:rPr>
      <w:rFonts w:eastAsia="Calibri"/>
    </w:rPr>
  </w:style>
  <w:style w:type="character" w:styleId="Hyperlink">
    <w:name w:val="Hyperlink"/>
    <w:basedOn w:val="DefaultParagraphFont"/>
    <w:uiPriority w:val="99"/>
    <w:unhideWhenUsed/>
    <w:rsid w:val="000868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utrite.glaudina@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528</Words>
  <Characters>3779</Characters>
  <Application>Microsoft Office Word</Application>
  <DocSecurity>0</DocSecurity>
  <Lines>125</Lines>
  <Paragraphs>38</Paragraphs>
  <ScaleCrop>false</ScaleCrop>
  <HeadingPairs>
    <vt:vector size="2" baseType="variant">
      <vt:variant>
        <vt:lpstr>Title</vt:lpstr>
      </vt:variant>
      <vt:variant>
        <vt:i4>1</vt:i4>
      </vt:variant>
    </vt:vector>
  </HeadingPairs>
  <TitlesOfParts>
    <vt:vector size="1" baseType="lpstr">
      <vt:lpstr>MK protokollēmuma projekts</vt:lpstr>
    </vt:vector>
  </TitlesOfParts>
  <Company>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protokollēmums</dc:subject>
  <dc:creator>Jautrīte Glaudina</dc:creator>
  <cp:keywords/>
  <dc:description>J.Glaudiņa, 67047956;
jautrite.glaudina@izm.gov.lv</dc:description>
  <cp:lastModifiedBy>jglaudina</cp:lastModifiedBy>
  <cp:revision>14</cp:revision>
  <cp:lastPrinted>2009-10-14T12:02:00Z</cp:lastPrinted>
  <dcterms:created xsi:type="dcterms:W3CDTF">2009-10-14T08:23:00Z</dcterms:created>
  <dcterms:modified xsi:type="dcterms:W3CDTF">2009-10-14T12:46:00Z</dcterms:modified>
  <cp:category>steidzami</cp:category>
</cp:coreProperties>
</file>