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38D" w:rsidRDefault="006D5621" w:rsidP="005F238D">
      <w:pPr>
        <w:spacing w:after="0" w:line="240" w:lineRule="auto"/>
        <w:jc w:val="center"/>
        <w:rPr>
          <w:rFonts w:ascii="Times New Roman" w:eastAsia="Times New Roman" w:hAnsi="Times New Roman" w:cs="Times New Roman"/>
          <w:b/>
          <w:sz w:val="28"/>
          <w:szCs w:val="28"/>
        </w:rPr>
      </w:pPr>
      <w:r w:rsidRPr="006D5621">
        <w:rPr>
          <w:rFonts w:ascii="Times New Roman" w:eastAsia="Times New Roman" w:hAnsi="Times New Roman" w:cs="Times New Roman"/>
          <w:b/>
          <w:sz w:val="28"/>
          <w:szCs w:val="28"/>
        </w:rPr>
        <w:t xml:space="preserve">Likumprojekta „Grozījums Izglītības likumā” </w:t>
      </w:r>
    </w:p>
    <w:p w:rsidR="006D5621" w:rsidRDefault="006D5621" w:rsidP="005F238D">
      <w:pPr>
        <w:spacing w:after="0" w:line="240" w:lineRule="auto"/>
        <w:jc w:val="center"/>
        <w:rPr>
          <w:rFonts w:ascii="Times New Roman" w:eastAsia="Times New Roman" w:hAnsi="Times New Roman" w:cs="Times New Roman"/>
          <w:b/>
          <w:sz w:val="28"/>
          <w:szCs w:val="28"/>
        </w:rPr>
      </w:pPr>
      <w:r w:rsidRPr="006D5621">
        <w:rPr>
          <w:rFonts w:ascii="Times New Roman" w:eastAsia="Times New Roman" w:hAnsi="Times New Roman" w:cs="Times New Roman"/>
          <w:b/>
          <w:sz w:val="28"/>
          <w:szCs w:val="28"/>
        </w:rPr>
        <w:t>sākotnējās ietekmes izvērtējuma ziņojums (anotācija)</w:t>
      </w:r>
    </w:p>
    <w:p w:rsidR="005F238D" w:rsidRPr="006D5621" w:rsidRDefault="005F238D" w:rsidP="005F238D">
      <w:pPr>
        <w:spacing w:after="0" w:line="240" w:lineRule="auto"/>
        <w:jc w:val="center"/>
        <w:rPr>
          <w:rFonts w:ascii="Times New Roman" w:eastAsia="Times New Roman" w:hAnsi="Times New Roman" w:cs="Times New Roman"/>
          <w:b/>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2"/>
        <w:gridCol w:w="3999"/>
        <w:gridCol w:w="5118"/>
      </w:tblGrid>
      <w:tr w:rsidR="006D5621" w:rsidRPr="006D5621" w:rsidTr="001C10F2">
        <w:trPr>
          <w:tblCellSpacing w:w="0" w:type="dxa"/>
        </w:trPr>
        <w:tc>
          <w:tcPr>
            <w:tcW w:w="9669" w:type="dxa"/>
            <w:gridSpan w:val="3"/>
            <w:tcBorders>
              <w:top w:val="outset" w:sz="6" w:space="0" w:color="auto"/>
              <w:left w:val="outset" w:sz="6" w:space="0" w:color="auto"/>
              <w:bottom w:val="outset" w:sz="6" w:space="0" w:color="auto"/>
              <w:right w:val="outset" w:sz="6" w:space="0" w:color="auto"/>
            </w:tcBorders>
            <w:vAlign w:val="center"/>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b/>
                <w:bCs/>
                <w:sz w:val="28"/>
                <w:szCs w:val="28"/>
              </w:rPr>
              <w:t> I. Tiesību akta projekta izstrādes nepieciešamība</w:t>
            </w:r>
          </w:p>
        </w:tc>
      </w:tr>
      <w:tr w:rsidR="00DF7383" w:rsidRPr="006D5621" w:rsidTr="001C10F2">
        <w:trPr>
          <w:trHeight w:val="630"/>
          <w:tblCellSpacing w:w="0" w:type="dxa"/>
        </w:trPr>
        <w:tc>
          <w:tcPr>
            <w:tcW w:w="552"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1.</w:t>
            </w:r>
          </w:p>
        </w:tc>
        <w:tc>
          <w:tcPr>
            <w:tcW w:w="3999"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Pamatojums</w:t>
            </w:r>
          </w:p>
        </w:tc>
        <w:tc>
          <w:tcPr>
            <w:tcW w:w="511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404F5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0B0EB1">
              <w:rPr>
                <w:rFonts w:ascii="Times New Roman" w:eastAsia="Times New Roman" w:hAnsi="Times New Roman" w:cs="Times New Roman"/>
                <w:sz w:val="28"/>
                <w:szCs w:val="28"/>
              </w:rPr>
              <w:t>Ministru kabineta 2011.gada 1.novembra protokollēmuma (protokols Nr.</w:t>
            </w:r>
            <w:r w:rsidR="00E607AC">
              <w:rPr>
                <w:rFonts w:ascii="Times New Roman" w:eastAsia="Times New Roman" w:hAnsi="Times New Roman" w:cs="Times New Roman"/>
                <w:sz w:val="28"/>
                <w:szCs w:val="28"/>
              </w:rPr>
              <w:t>6</w:t>
            </w:r>
            <w:r w:rsidR="000B0EB1">
              <w:rPr>
                <w:rFonts w:ascii="Times New Roman" w:eastAsia="Times New Roman" w:hAnsi="Times New Roman" w:cs="Times New Roman"/>
                <w:sz w:val="28"/>
                <w:szCs w:val="28"/>
              </w:rPr>
              <w:t>2 57.§) „Informatīvais ziņojums „Par valsts budžeta izdevumiem 2012.-2014.gadā”” 10.punkts</w:t>
            </w:r>
            <w:r w:rsidR="00E607AC">
              <w:rPr>
                <w:rFonts w:ascii="Times New Roman" w:eastAsia="Times New Roman" w:hAnsi="Times New Roman" w:cs="Times New Roman"/>
                <w:sz w:val="28"/>
                <w:szCs w:val="28"/>
              </w:rPr>
              <w:t xml:space="preserve">, kur noteikts uzdevums Izglītības un zinātnes ministrijai izstrādāt un iesniegt Ministru kabinetā  likumprojekta „Pat valsts budžetu 2012.gadam” paketē likumprojektu par grozījumiem Izglītības likumā ,paredzot, ka 2012.gadā attiecīgi pedagogiem, nemaksā prēmijas, bet viņu materiālo stimulēšanu </w:t>
            </w:r>
            <w:r w:rsidR="00D0604B">
              <w:rPr>
                <w:rFonts w:ascii="Times New Roman" w:eastAsia="Times New Roman" w:hAnsi="Times New Roman" w:cs="Times New Roman"/>
                <w:sz w:val="28"/>
                <w:szCs w:val="28"/>
              </w:rPr>
              <w:t>veic un pabalstus izmaksā saskaņā ar Valsts un pašvaldību institūciju amatpersonu un darbinieku atlīdzības likumu</w:t>
            </w:r>
            <w:r w:rsidR="000B0EB1">
              <w:rPr>
                <w:rFonts w:ascii="Times New Roman" w:eastAsia="Times New Roman" w:hAnsi="Times New Roman" w:cs="Times New Roman"/>
                <w:sz w:val="28"/>
                <w:szCs w:val="28"/>
              </w:rPr>
              <w:t xml:space="preserve">. </w:t>
            </w:r>
          </w:p>
        </w:tc>
      </w:tr>
      <w:tr w:rsidR="00DF7383" w:rsidRPr="00EB7753" w:rsidTr="001C10F2">
        <w:trPr>
          <w:trHeight w:val="472"/>
          <w:tblCellSpacing w:w="0" w:type="dxa"/>
        </w:trPr>
        <w:tc>
          <w:tcPr>
            <w:tcW w:w="552" w:type="dxa"/>
            <w:tcBorders>
              <w:top w:val="outset" w:sz="6" w:space="0" w:color="auto"/>
              <w:left w:val="outset" w:sz="6" w:space="0" w:color="auto"/>
              <w:bottom w:val="outset" w:sz="6" w:space="0" w:color="auto"/>
              <w:right w:val="outset" w:sz="6" w:space="0" w:color="auto"/>
            </w:tcBorders>
            <w:hideMark/>
          </w:tcPr>
          <w:p w:rsidR="006D5621" w:rsidRPr="00EB7753"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EB7753">
              <w:rPr>
                <w:rFonts w:ascii="Times New Roman" w:eastAsia="Times New Roman" w:hAnsi="Times New Roman" w:cs="Times New Roman"/>
                <w:sz w:val="28"/>
                <w:szCs w:val="28"/>
              </w:rPr>
              <w:t> 2.</w:t>
            </w:r>
          </w:p>
        </w:tc>
        <w:tc>
          <w:tcPr>
            <w:tcW w:w="3999" w:type="dxa"/>
            <w:tcBorders>
              <w:top w:val="outset" w:sz="6" w:space="0" w:color="auto"/>
              <w:left w:val="outset" w:sz="6" w:space="0" w:color="auto"/>
              <w:bottom w:val="outset" w:sz="6" w:space="0" w:color="auto"/>
              <w:right w:val="outset" w:sz="6" w:space="0" w:color="auto"/>
            </w:tcBorders>
            <w:hideMark/>
          </w:tcPr>
          <w:p w:rsidR="006D5621" w:rsidRPr="00EB7753"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EB7753">
              <w:rPr>
                <w:rFonts w:ascii="Times New Roman" w:eastAsia="Times New Roman" w:hAnsi="Times New Roman" w:cs="Times New Roman"/>
                <w:sz w:val="28"/>
                <w:szCs w:val="28"/>
              </w:rPr>
              <w:t> Pašreizējā situācija un problēmas</w:t>
            </w:r>
          </w:p>
        </w:tc>
        <w:tc>
          <w:tcPr>
            <w:tcW w:w="5118" w:type="dxa"/>
            <w:tcBorders>
              <w:top w:val="outset" w:sz="6" w:space="0" w:color="auto"/>
              <w:left w:val="outset" w:sz="6" w:space="0" w:color="auto"/>
              <w:bottom w:val="outset" w:sz="6" w:space="0" w:color="auto"/>
              <w:right w:val="outset" w:sz="6" w:space="0" w:color="auto"/>
            </w:tcBorders>
            <w:hideMark/>
          </w:tcPr>
          <w:p w:rsidR="006D5621" w:rsidRPr="00EB7753" w:rsidRDefault="00DF7383" w:rsidP="00EB7753">
            <w:pPr>
              <w:spacing w:after="0" w:line="240" w:lineRule="auto"/>
              <w:rPr>
                <w:rFonts w:ascii="Times New Roman" w:hAnsi="Times New Roman" w:cs="Times New Roman"/>
                <w:sz w:val="28"/>
                <w:szCs w:val="28"/>
              </w:rPr>
            </w:pPr>
            <w:r w:rsidRPr="00EB7753">
              <w:rPr>
                <w:rFonts w:ascii="Times New Roman" w:eastAsia="Times New Roman" w:hAnsi="Times New Roman" w:cs="Times New Roman"/>
                <w:sz w:val="28"/>
                <w:szCs w:val="28"/>
              </w:rPr>
              <w:t xml:space="preserve">Pašreiz Izglītības likuma Pārejas noteikumu 25.punktā ir noteikts, ka </w:t>
            </w:r>
            <w:r w:rsidRPr="00EB7753">
              <w:rPr>
                <w:rFonts w:ascii="Times New Roman" w:hAnsi="Times New Roman" w:cs="Times New Roman"/>
                <w:sz w:val="28"/>
                <w:szCs w:val="28"/>
              </w:rPr>
              <w:t>2011.gadā valsts un pašvaldību dibināto izglītības iestāžu pedagogiem nemaksā prēmijas, bet viņu materiālo stimulēšanu veic un pabalstus izmaksā saskaņā ar Valsts un pašvaldību institūciju amatpersonu un darbinieku atlīdzības likumu.</w:t>
            </w:r>
          </w:p>
          <w:p w:rsidR="00EB7753" w:rsidRPr="00EB7753" w:rsidRDefault="00EB7753" w:rsidP="008D60C1">
            <w:pPr>
              <w:pStyle w:val="NormalWeb"/>
              <w:spacing w:before="0" w:after="0"/>
              <w:ind w:firstLine="0"/>
              <w:rPr>
                <w:sz w:val="28"/>
                <w:szCs w:val="28"/>
              </w:rPr>
            </w:pPr>
          </w:p>
        </w:tc>
      </w:tr>
      <w:tr w:rsidR="00DF7383" w:rsidRPr="00EB7753" w:rsidTr="001C10F2">
        <w:trPr>
          <w:trHeight w:val="1071"/>
          <w:tblCellSpacing w:w="0" w:type="dxa"/>
        </w:trPr>
        <w:tc>
          <w:tcPr>
            <w:tcW w:w="552" w:type="dxa"/>
            <w:tcBorders>
              <w:top w:val="outset" w:sz="6" w:space="0" w:color="auto"/>
              <w:left w:val="outset" w:sz="6" w:space="0" w:color="auto"/>
              <w:bottom w:val="outset" w:sz="6" w:space="0" w:color="auto"/>
              <w:right w:val="outset" w:sz="6" w:space="0" w:color="auto"/>
            </w:tcBorders>
            <w:hideMark/>
          </w:tcPr>
          <w:p w:rsidR="006D5621" w:rsidRPr="00EB7753"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EB7753">
              <w:rPr>
                <w:rFonts w:ascii="Times New Roman" w:eastAsia="Times New Roman" w:hAnsi="Times New Roman" w:cs="Times New Roman"/>
                <w:sz w:val="28"/>
                <w:szCs w:val="28"/>
              </w:rPr>
              <w:t> 3.</w:t>
            </w:r>
          </w:p>
        </w:tc>
        <w:tc>
          <w:tcPr>
            <w:tcW w:w="3999" w:type="dxa"/>
            <w:tcBorders>
              <w:top w:val="outset" w:sz="6" w:space="0" w:color="auto"/>
              <w:left w:val="outset" w:sz="6" w:space="0" w:color="auto"/>
              <w:bottom w:val="outset" w:sz="6" w:space="0" w:color="auto"/>
              <w:right w:val="outset" w:sz="6" w:space="0" w:color="auto"/>
            </w:tcBorders>
            <w:hideMark/>
          </w:tcPr>
          <w:p w:rsidR="006D5621" w:rsidRPr="00EB7753"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EB7753">
              <w:rPr>
                <w:rFonts w:ascii="Times New Roman" w:eastAsia="Times New Roman" w:hAnsi="Times New Roman" w:cs="Times New Roman"/>
                <w:sz w:val="28"/>
                <w:szCs w:val="28"/>
              </w:rPr>
              <w:t> Saistītie politikas ietekmes novērtējumi un pētījumi</w:t>
            </w:r>
          </w:p>
        </w:tc>
        <w:tc>
          <w:tcPr>
            <w:tcW w:w="5118" w:type="dxa"/>
            <w:tcBorders>
              <w:top w:val="outset" w:sz="6" w:space="0" w:color="auto"/>
              <w:left w:val="outset" w:sz="6" w:space="0" w:color="auto"/>
              <w:bottom w:val="outset" w:sz="6" w:space="0" w:color="auto"/>
              <w:right w:val="outset" w:sz="6" w:space="0" w:color="auto"/>
            </w:tcBorders>
            <w:hideMark/>
          </w:tcPr>
          <w:p w:rsidR="006D5621" w:rsidRPr="00EB7753" w:rsidRDefault="000B0EB1" w:rsidP="00EB7753">
            <w:pPr>
              <w:spacing w:after="0" w:line="240" w:lineRule="auto"/>
              <w:rPr>
                <w:rFonts w:ascii="Times New Roman" w:eastAsia="Times New Roman" w:hAnsi="Times New Roman" w:cs="Times New Roman"/>
                <w:sz w:val="28"/>
                <w:szCs w:val="28"/>
              </w:rPr>
            </w:pPr>
            <w:r w:rsidRPr="00EB7753">
              <w:rPr>
                <w:rFonts w:ascii="Times New Roman" w:eastAsia="Times New Roman" w:hAnsi="Times New Roman" w:cs="Times New Roman"/>
                <w:sz w:val="28"/>
                <w:szCs w:val="28"/>
              </w:rPr>
              <w:t>Likumprojekts šo jomu neskar.</w:t>
            </w:r>
          </w:p>
        </w:tc>
      </w:tr>
      <w:tr w:rsidR="00DF7383" w:rsidRPr="00B325EB" w:rsidTr="001C10F2">
        <w:trPr>
          <w:trHeight w:val="384"/>
          <w:tblCellSpacing w:w="0" w:type="dxa"/>
        </w:trPr>
        <w:tc>
          <w:tcPr>
            <w:tcW w:w="552" w:type="dxa"/>
            <w:tcBorders>
              <w:top w:val="outset" w:sz="6" w:space="0" w:color="auto"/>
              <w:left w:val="outset" w:sz="6" w:space="0" w:color="auto"/>
              <w:bottom w:val="outset" w:sz="6" w:space="0" w:color="auto"/>
              <w:right w:val="outset" w:sz="6" w:space="0" w:color="auto"/>
            </w:tcBorders>
            <w:hideMark/>
          </w:tcPr>
          <w:p w:rsidR="006D5621" w:rsidRPr="00EB7753"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EB7753">
              <w:rPr>
                <w:rFonts w:ascii="Times New Roman" w:eastAsia="Times New Roman" w:hAnsi="Times New Roman" w:cs="Times New Roman"/>
                <w:sz w:val="28"/>
                <w:szCs w:val="28"/>
              </w:rPr>
              <w:t> 4.</w:t>
            </w:r>
          </w:p>
        </w:tc>
        <w:tc>
          <w:tcPr>
            <w:tcW w:w="3999" w:type="dxa"/>
            <w:tcBorders>
              <w:top w:val="outset" w:sz="6" w:space="0" w:color="auto"/>
              <w:left w:val="outset" w:sz="6" w:space="0" w:color="auto"/>
              <w:bottom w:val="outset" w:sz="6" w:space="0" w:color="auto"/>
              <w:right w:val="outset" w:sz="6" w:space="0" w:color="auto"/>
            </w:tcBorders>
            <w:hideMark/>
          </w:tcPr>
          <w:p w:rsidR="006D5621" w:rsidRPr="00EB7753"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EB7753">
              <w:rPr>
                <w:rFonts w:ascii="Times New Roman" w:eastAsia="Times New Roman" w:hAnsi="Times New Roman" w:cs="Times New Roman"/>
                <w:sz w:val="28"/>
                <w:szCs w:val="28"/>
              </w:rPr>
              <w:t> Tiesiskā regulējuma mērķis un būtība</w:t>
            </w:r>
          </w:p>
        </w:tc>
        <w:tc>
          <w:tcPr>
            <w:tcW w:w="5118" w:type="dxa"/>
            <w:tcBorders>
              <w:top w:val="outset" w:sz="6" w:space="0" w:color="auto"/>
              <w:left w:val="outset" w:sz="6" w:space="0" w:color="auto"/>
              <w:bottom w:val="outset" w:sz="6" w:space="0" w:color="auto"/>
              <w:right w:val="outset" w:sz="6" w:space="0" w:color="auto"/>
            </w:tcBorders>
            <w:hideMark/>
          </w:tcPr>
          <w:p w:rsidR="006D5621" w:rsidRPr="00B325EB" w:rsidRDefault="005F238D" w:rsidP="00B325EB">
            <w:pPr>
              <w:spacing w:after="0" w:line="240" w:lineRule="auto"/>
              <w:rPr>
                <w:rFonts w:ascii="Times New Roman" w:hAnsi="Times New Roman" w:cs="Times New Roman"/>
                <w:sz w:val="28"/>
                <w:szCs w:val="28"/>
              </w:rPr>
            </w:pPr>
            <w:r w:rsidRPr="00B325EB">
              <w:rPr>
                <w:rFonts w:ascii="Times New Roman" w:eastAsia="Times New Roman" w:hAnsi="Times New Roman" w:cs="Times New Roman"/>
                <w:sz w:val="28"/>
                <w:szCs w:val="28"/>
              </w:rPr>
              <w:t xml:space="preserve">Likumprojektā noteikts, ka 2012.gadā valsts un pašvaldību </w:t>
            </w:r>
            <w:r w:rsidRPr="00B325EB">
              <w:rPr>
                <w:rFonts w:ascii="Times New Roman" w:hAnsi="Times New Roman" w:cs="Times New Roman"/>
                <w:sz w:val="28"/>
                <w:szCs w:val="28"/>
              </w:rPr>
              <w:t>dibināto izglītības iestāžu pedagogiem nemaksā prēmijas, bet viņu materiālo stimulēšanu veic un pabalstus izmaksā saskaņā ar Valsts un pašvaldību institūciju amatpersonu un darbinieku atlīdzības likumu</w:t>
            </w:r>
            <w:r w:rsidR="00EB7753" w:rsidRPr="00B325EB">
              <w:rPr>
                <w:rFonts w:ascii="Times New Roman" w:hAnsi="Times New Roman" w:cs="Times New Roman"/>
                <w:sz w:val="28"/>
                <w:szCs w:val="28"/>
              </w:rPr>
              <w:t>.</w:t>
            </w:r>
          </w:p>
          <w:p w:rsidR="00EB7753" w:rsidRPr="00B325EB" w:rsidRDefault="00EB7753" w:rsidP="00E05972">
            <w:pPr>
              <w:spacing w:after="0" w:line="240" w:lineRule="auto"/>
              <w:rPr>
                <w:rFonts w:ascii="Times New Roman" w:eastAsia="Times New Roman" w:hAnsi="Times New Roman" w:cs="Times New Roman"/>
                <w:sz w:val="28"/>
                <w:szCs w:val="28"/>
              </w:rPr>
            </w:pPr>
          </w:p>
        </w:tc>
      </w:tr>
      <w:tr w:rsidR="00DF7383" w:rsidRPr="00B325EB" w:rsidTr="001C10F2">
        <w:trPr>
          <w:trHeight w:val="476"/>
          <w:tblCellSpacing w:w="0" w:type="dxa"/>
        </w:trPr>
        <w:tc>
          <w:tcPr>
            <w:tcW w:w="552" w:type="dxa"/>
            <w:tcBorders>
              <w:top w:val="outset" w:sz="6" w:space="0" w:color="auto"/>
              <w:left w:val="outset" w:sz="6" w:space="0" w:color="auto"/>
              <w:bottom w:val="outset" w:sz="6" w:space="0" w:color="auto"/>
              <w:right w:val="outset" w:sz="6" w:space="0" w:color="auto"/>
            </w:tcBorders>
            <w:hideMark/>
          </w:tcPr>
          <w:p w:rsidR="006D5621" w:rsidRPr="00EB7753"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EB7753">
              <w:rPr>
                <w:rFonts w:ascii="Times New Roman" w:eastAsia="Times New Roman" w:hAnsi="Times New Roman" w:cs="Times New Roman"/>
                <w:sz w:val="28"/>
                <w:szCs w:val="28"/>
              </w:rPr>
              <w:t> 5.</w:t>
            </w:r>
          </w:p>
        </w:tc>
        <w:tc>
          <w:tcPr>
            <w:tcW w:w="3999" w:type="dxa"/>
            <w:tcBorders>
              <w:top w:val="outset" w:sz="6" w:space="0" w:color="auto"/>
              <w:left w:val="outset" w:sz="6" w:space="0" w:color="auto"/>
              <w:bottom w:val="outset" w:sz="6" w:space="0" w:color="auto"/>
              <w:right w:val="outset" w:sz="6" w:space="0" w:color="auto"/>
            </w:tcBorders>
            <w:hideMark/>
          </w:tcPr>
          <w:p w:rsidR="006D5621" w:rsidRPr="00EB7753"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EB7753">
              <w:rPr>
                <w:rFonts w:ascii="Times New Roman" w:eastAsia="Times New Roman" w:hAnsi="Times New Roman" w:cs="Times New Roman"/>
                <w:sz w:val="28"/>
                <w:szCs w:val="28"/>
              </w:rPr>
              <w:t> Projekta izstrādē iesaistītās institūcijas</w:t>
            </w:r>
          </w:p>
        </w:tc>
        <w:tc>
          <w:tcPr>
            <w:tcW w:w="5118" w:type="dxa"/>
            <w:tcBorders>
              <w:top w:val="outset" w:sz="6" w:space="0" w:color="auto"/>
              <w:left w:val="outset" w:sz="6" w:space="0" w:color="auto"/>
              <w:bottom w:val="outset" w:sz="6" w:space="0" w:color="auto"/>
              <w:right w:val="outset" w:sz="6" w:space="0" w:color="auto"/>
            </w:tcBorders>
            <w:hideMark/>
          </w:tcPr>
          <w:p w:rsidR="006D5621" w:rsidRPr="00B325EB" w:rsidRDefault="006D5621" w:rsidP="00B325EB">
            <w:pPr>
              <w:spacing w:after="0" w:line="240" w:lineRule="auto"/>
              <w:rPr>
                <w:rFonts w:ascii="Times New Roman" w:eastAsia="Times New Roman" w:hAnsi="Times New Roman" w:cs="Times New Roman"/>
                <w:sz w:val="28"/>
                <w:szCs w:val="28"/>
              </w:rPr>
            </w:pPr>
            <w:r w:rsidRPr="00B325EB">
              <w:rPr>
                <w:rFonts w:ascii="Times New Roman" w:eastAsia="Times New Roman" w:hAnsi="Times New Roman" w:cs="Times New Roman"/>
                <w:sz w:val="28"/>
                <w:szCs w:val="28"/>
              </w:rPr>
              <w:t> </w:t>
            </w:r>
            <w:r w:rsidR="000B0EB1" w:rsidRPr="00B325EB">
              <w:rPr>
                <w:rFonts w:ascii="Times New Roman" w:eastAsia="Times New Roman" w:hAnsi="Times New Roman" w:cs="Times New Roman"/>
                <w:sz w:val="28"/>
                <w:szCs w:val="28"/>
              </w:rPr>
              <w:t>Izglītības un zinātnes ministrija</w:t>
            </w:r>
          </w:p>
        </w:tc>
      </w:tr>
      <w:tr w:rsidR="00DF7383" w:rsidRPr="00EB7753" w:rsidTr="001C10F2">
        <w:trPr>
          <w:trHeight w:val="1340"/>
          <w:tblCellSpacing w:w="0" w:type="dxa"/>
        </w:trPr>
        <w:tc>
          <w:tcPr>
            <w:tcW w:w="552" w:type="dxa"/>
            <w:tcBorders>
              <w:top w:val="outset" w:sz="6" w:space="0" w:color="auto"/>
              <w:left w:val="outset" w:sz="6" w:space="0" w:color="auto"/>
              <w:bottom w:val="outset" w:sz="6" w:space="0" w:color="auto"/>
              <w:right w:val="outset" w:sz="6" w:space="0" w:color="auto"/>
            </w:tcBorders>
            <w:hideMark/>
          </w:tcPr>
          <w:p w:rsidR="006D5621" w:rsidRPr="00EB7753"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EB7753">
              <w:rPr>
                <w:rFonts w:ascii="Times New Roman" w:eastAsia="Times New Roman" w:hAnsi="Times New Roman" w:cs="Times New Roman"/>
                <w:sz w:val="28"/>
                <w:szCs w:val="28"/>
              </w:rPr>
              <w:lastRenderedPageBreak/>
              <w:t> 6.</w:t>
            </w:r>
          </w:p>
        </w:tc>
        <w:tc>
          <w:tcPr>
            <w:tcW w:w="3999" w:type="dxa"/>
            <w:tcBorders>
              <w:top w:val="outset" w:sz="6" w:space="0" w:color="auto"/>
              <w:left w:val="outset" w:sz="6" w:space="0" w:color="auto"/>
              <w:bottom w:val="outset" w:sz="6" w:space="0" w:color="auto"/>
              <w:right w:val="outset" w:sz="6" w:space="0" w:color="auto"/>
            </w:tcBorders>
            <w:hideMark/>
          </w:tcPr>
          <w:p w:rsidR="006D5621" w:rsidRPr="00EB7753"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EB7753">
              <w:rPr>
                <w:rFonts w:ascii="Times New Roman" w:eastAsia="Times New Roman" w:hAnsi="Times New Roman" w:cs="Times New Roman"/>
                <w:sz w:val="28"/>
                <w:szCs w:val="28"/>
              </w:rPr>
              <w:t> Iemesli, kādēļ netika nodrošināta sabiedrības līdzdalība</w:t>
            </w:r>
          </w:p>
        </w:tc>
        <w:tc>
          <w:tcPr>
            <w:tcW w:w="5118" w:type="dxa"/>
            <w:tcBorders>
              <w:top w:val="outset" w:sz="6" w:space="0" w:color="auto"/>
              <w:left w:val="outset" w:sz="6" w:space="0" w:color="auto"/>
              <w:bottom w:val="outset" w:sz="6" w:space="0" w:color="auto"/>
              <w:right w:val="outset" w:sz="6" w:space="0" w:color="auto"/>
            </w:tcBorders>
            <w:hideMark/>
          </w:tcPr>
          <w:p w:rsidR="006D5621" w:rsidRPr="00EB7753" w:rsidRDefault="00D0604B" w:rsidP="006D5621">
            <w:pPr>
              <w:spacing w:before="100" w:beforeAutospacing="1" w:after="100" w:afterAutospacing="1" w:line="240" w:lineRule="auto"/>
              <w:rPr>
                <w:rFonts w:ascii="Times New Roman" w:eastAsia="Times New Roman" w:hAnsi="Times New Roman" w:cs="Times New Roman"/>
                <w:sz w:val="28"/>
                <w:szCs w:val="28"/>
              </w:rPr>
            </w:pPr>
            <w:r w:rsidRPr="00EB7753">
              <w:rPr>
                <w:rFonts w:ascii="Times New Roman" w:eastAsia="Times New Roman" w:hAnsi="Times New Roman" w:cs="Times New Roman"/>
                <w:sz w:val="28"/>
                <w:szCs w:val="28"/>
              </w:rPr>
              <w:t>Sabiedrības līdzdalība</w:t>
            </w:r>
            <w:r w:rsidR="00B325EB">
              <w:rPr>
                <w:rFonts w:ascii="Times New Roman" w:eastAsia="Times New Roman" w:hAnsi="Times New Roman" w:cs="Times New Roman"/>
                <w:sz w:val="28"/>
                <w:szCs w:val="28"/>
              </w:rPr>
              <w:t xml:space="preserve"> netika nodrošināta.</w:t>
            </w:r>
            <w:r w:rsidRPr="00EB7753">
              <w:rPr>
                <w:rFonts w:ascii="Times New Roman" w:eastAsia="Times New Roman" w:hAnsi="Times New Roman" w:cs="Times New Roman"/>
                <w:sz w:val="28"/>
                <w:szCs w:val="28"/>
              </w:rPr>
              <w:t xml:space="preserve"> </w:t>
            </w:r>
          </w:p>
        </w:tc>
      </w:tr>
      <w:tr w:rsidR="00DF7383" w:rsidRPr="00EB7753" w:rsidTr="001C10F2">
        <w:trPr>
          <w:tblCellSpacing w:w="0" w:type="dxa"/>
        </w:trPr>
        <w:tc>
          <w:tcPr>
            <w:tcW w:w="552" w:type="dxa"/>
            <w:tcBorders>
              <w:top w:val="outset" w:sz="6" w:space="0" w:color="auto"/>
              <w:left w:val="outset" w:sz="6" w:space="0" w:color="auto"/>
              <w:bottom w:val="outset" w:sz="6" w:space="0" w:color="auto"/>
              <w:right w:val="outset" w:sz="6" w:space="0" w:color="auto"/>
            </w:tcBorders>
            <w:hideMark/>
          </w:tcPr>
          <w:p w:rsidR="006D5621" w:rsidRPr="00EB7753"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EB7753">
              <w:rPr>
                <w:rFonts w:ascii="Times New Roman" w:eastAsia="Times New Roman" w:hAnsi="Times New Roman" w:cs="Times New Roman"/>
                <w:sz w:val="28"/>
                <w:szCs w:val="28"/>
              </w:rPr>
              <w:t> 7.</w:t>
            </w:r>
          </w:p>
        </w:tc>
        <w:tc>
          <w:tcPr>
            <w:tcW w:w="3999" w:type="dxa"/>
            <w:tcBorders>
              <w:top w:val="outset" w:sz="6" w:space="0" w:color="auto"/>
              <w:left w:val="outset" w:sz="6" w:space="0" w:color="auto"/>
              <w:bottom w:val="outset" w:sz="6" w:space="0" w:color="auto"/>
              <w:right w:val="outset" w:sz="6" w:space="0" w:color="auto"/>
            </w:tcBorders>
            <w:hideMark/>
          </w:tcPr>
          <w:p w:rsidR="006D5621" w:rsidRPr="00EB7753"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EB7753">
              <w:rPr>
                <w:rFonts w:ascii="Times New Roman" w:eastAsia="Times New Roman" w:hAnsi="Times New Roman" w:cs="Times New Roman"/>
                <w:sz w:val="28"/>
                <w:szCs w:val="28"/>
              </w:rPr>
              <w:t> Cita informācija</w:t>
            </w:r>
          </w:p>
        </w:tc>
        <w:tc>
          <w:tcPr>
            <w:tcW w:w="5118" w:type="dxa"/>
            <w:tcBorders>
              <w:top w:val="outset" w:sz="6" w:space="0" w:color="auto"/>
              <w:left w:val="outset" w:sz="6" w:space="0" w:color="auto"/>
              <w:bottom w:val="outset" w:sz="6" w:space="0" w:color="auto"/>
              <w:right w:val="outset" w:sz="6" w:space="0" w:color="auto"/>
            </w:tcBorders>
            <w:hideMark/>
          </w:tcPr>
          <w:p w:rsidR="006D5621" w:rsidRPr="00EB7753" w:rsidRDefault="006D5621" w:rsidP="000B0EB1">
            <w:pPr>
              <w:spacing w:before="100" w:beforeAutospacing="1" w:after="100" w:afterAutospacing="1" w:line="240" w:lineRule="auto"/>
              <w:rPr>
                <w:rFonts w:ascii="Times New Roman" w:eastAsia="Times New Roman" w:hAnsi="Times New Roman" w:cs="Times New Roman"/>
                <w:sz w:val="28"/>
                <w:szCs w:val="28"/>
              </w:rPr>
            </w:pPr>
            <w:r w:rsidRPr="00EB7753">
              <w:rPr>
                <w:rFonts w:ascii="Times New Roman" w:eastAsia="Times New Roman" w:hAnsi="Times New Roman" w:cs="Times New Roman"/>
                <w:sz w:val="28"/>
                <w:szCs w:val="28"/>
              </w:rPr>
              <w:t> Nav</w:t>
            </w:r>
          </w:p>
        </w:tc>
      </w:tr>
    </w:tbl>
    <w:p w:rsidR="006D5621" w:rsidRPr="00EB7753"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EB7753">
        <w:rPr>
          <w:rFonts w:ascii="Times New Roman" w:eastAsia="Times New Roman" w:hAnsi="Times New Roman" w:cs="Times New Roman"/>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5"/>
        <w:gridCol w:w="4738"/>
        <w:gridCol w:w="4386"/>
      </w:tblGrid>
      <w:tr w:rsidR="006D5621" w:rsidRPr="006D5621" w:rsidTr="006D5621">
        <w:trPr>
          <w:tblCellSpacing w:w="0" w:type="dxa"/>
        </w:trPr>
        <w:tc>
          <w:tcPr>
            <w:tcW w:w="9900" w:type="dxa"/>
            <w:gridSpan w:val="3"/>
            <w:tcBorders>
              <w:top w:val="outset" w:sz="6" w:space="0" w:color="auto"/>
              <w:left w:val="outset" w:sz="6" w:space="0" w:color="auto"/>
              <w:bottom w:val="outset" w:sz="6" w:space="0" w:color="auto"/>
              <w:right w:val="outset" w:sz="6" w:space="0" w:color="auto"/>
            </w:tcBorders>
            <w:vAlign w:val="center"/>
            <w:hideMark/>
          </w:tcPr>
          <w:p w:rsidR="006D5621" w:rsidRPr="00C2134F" w:rsidRDefault="006D5621" w:rsidP="006D5621">
            <w:pPr>
              <w:spacing w:before="100" w:beforeAutospacing="1" w:after="100" w:afterAutospacing="1" w:line="240" w:lineRule="auto"/>
              <w:rPr>
                <w:rFonts w:ascii="Times New Roman" w:eastAsia="Times New Roman" w:hAnsi="Times New Roman" w:cs="Times New Roman"/>
                <w:b/>
                <w:sz w:val="28"/>
                <w:szCs w:val="28"/>
              </w:rPr>
            </w:pPr>
            <w:r w:rsidRPr="006D5621">
              <w:rPr>
                <w:rFonts w:ascii="Times New Roman" w:eastAsia="Times New Roman" w:hAnsi="Times New Roman" w:cs="Times New Roman"/>
                <w:sz w:val="28"/>
                <w:szCs w:val="28"/>
              </w:rPr>
              <w:t> </w:t>
            </w:r>
            <w:r w:rsidRPr="00C2134F">
              <w:rPr>
                <w:rFonts w:ascii="Times New Roman" w:eastAsia="Times New Roman" w:hAnsi="Times New Roman" w:cs="Times New Roman"/>
                <w:b/>
                <w:sz w:val="28"/>
                <w:szCs w:val="28"/>
              </w:rPr>
              <w:t>II. Tiesību akta projekta ietekme uz sabiedrību</w:t>
            </w:r>
          </w:p>
        </w:tc>
      </w:tr>
      <w:tr w:rsidR="007B2769" w:rsidRPr="006D5621" w:rsidTr="006D5621">
        <w:trPr>
          <w:trHeight w:val="467"/>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1.</w:t>
            </w:r>
          </w:p>
        </w:tc>
        <w:tc>
          <w:tcPr>
            <w:tcW w:w="4860"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Sabiedrības mērķgrupa</w:t>
            </w:r>
          </w:p>
        </w:tc>
        <w:tc>
          <w:tcPr>
            <w:tcW w:w="4500" w:type="dxa"/>
            <w:tcBorders>
              <w:top w:val="outset" w:sz="6" w:space="0" w:color="auto"/>
              <w:left w:val="outset" w:sz="6" w:space="0" w:color="auto"/>
              <w:bottom w:val="outset" w:sz="6" w:space="0" w:color="auto"/>
              <w:right w:val="outset" w:sz="6" w:space="0" w:color="auto"/>
            </w:tcBorders>
            <w:hideMark/>
          </w:tcPr>
          <w:p w:rsidR="006D5621" w:rsidRPr="006D5621" w:rsidRDefault="00C36EFA" w:rsidP="005F238D">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Valsts un pašvaldību izglītības iestādēs </w:t>
            </w:r>
            <w:r w:rsidR="005F238D">
              <w:rPr>
                <w:rFonts w:ascii="Times New Roman" w:eastAsia="Times New Roman" w:hAnsi="Times New Roman" w:cs="Times New Roman"/>
                <w:sz w:val="28"/>
                <w:szCs w:val="28"/>
              </w:rPr>
              <w:t>nodarbinātie</w:t>
            </w:r>
            <w:r>
              <w:rPr>
                <w:rFonts w:ascii="Times New Roman" w:eastAsia="Times New Roman" w:hAnsi="Times New Roman" w:cs="Times New Roman"/>
                <w:sz w:val="28"/>
                <w:szCs w:val="28"/>
              </w:rPr>
              <w:t xml:space="preserve"> pedagogi</w:t>
            </w:r>
          </w:p>
        </w:tc>
      </w:tr>
      <w:tr w:rsidR="007B2769" w:rsidRPr="006D5621" w:rsidTr="006D5621">
        <w:trPr>
          <w:trHeight w:val="523"/>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2.</w:t>
            </w:r>
          </w:p>
        </w:tc>
        <w:tc>
          <w:tcPr>
            <w:tcW w:w="4860"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Citas sabiedrības grupas (bez mērķgrupas), kuras tiesiskais regulējums arī ietekmē vai varētu ietekmēt</w:t>
            </w:r>
          </w:p>
        </w:tc>
        <w:tc>
          <w:tcPr>
            <w:tcW w:w="4500" w:type="dxa"/>
            <w:tcBorders>
              <w:top w:val="outset" w:sz="6" w:space="0" w:color="auto"/>
              <w:left w:val="outset" w:sz="6" w:space="0" w:color="auto"/>
              <w:bottom w:val="outset" w:sz="6" w:space="0" w:color="auto"/>
              <w:right w:val="outset" w:sz="6" w:space="0" w:color="auto"/>
            </w:tcBorders>
            <w:hideMark/>
          </w:tcPr>
          <w:p w:rsidR="006D5621" w:rsidRPr="006D5621" w:rsidRDefault="006D5621" w:rsidP="005F238D">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7B2769">
              <w:rPr>
                <w:rFonts w:ascii="Times New Roman" w:eastAsia="Times New Roman" w:hAnsi="Times New Roman" w:cs="Times New Roman"/>
                <w:sz w:val="28"/>
                <w:szCs w:val="28"/>
              </w:rPr>
              <w:t>Valsts un pašvaldību izglītības iestā</w:t>
            </w:r>
            <w:r w:rsidR="005F238D">
              <w:rPr>
                <w:rFonts w:ascii="Times New Roman" w:eastAsia="Times New Roman" w:hAnsi="Times New Roman" w:cs="Times New Roman"/>
                <w:sz w:val="28"/>
                <w:szCs w:val="28"/>
              </w:rPr>
              <w:t>dēs nodarbinātie</w:t>
            </w:r>
            <w:r w:rsidR="007B2769">
              <w:rPr>
                <w:rFonts w:ascii="Times New Roman" w:eastAsia="Times New Roman" w:hAnsi="Times New Roman" w:cs="Times New Roman"/>
                <w:sz w:val="28"/>
                <w:szCs w:val="28"/>
              </w:rPr>
              <w:t xml:space="preserve"> </w:t>
            </w:r>
          </w:p>
        </w:tc>
      </w:tr>
      <w:tr w:rsidR="007B2769" w:rsidRPr="006D5621" w:rsidTr="006D5621">
        <w:trPr>
          <w:trHeight w:val="517"/>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3.</w:t>
            </w:r>
          </w:p>
        </w:tc>
        <w:tc>
          <w:tcPr>
            <w:tcW w:w="4860"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Tiesiskā regulējuma finansiālā ietekme</w:t>
            </w:r>
          </w:p>
        </w:tc>
        <w:tc>
          <w:tcPr>
            <w:tcW w:w="4500" w:type="dxa"/>
            <w:tcBorders>
              <w:top w:val="outset" w:sz="6" w:space="0" w:color="auto"/>
              <w:left w:val="outset" w:sz="6" w:space="0" w:color="auto"/>
              <w:bottom w:val="outset" w:sz="6" w:space="0" w:color="auto"/>
              <w:right w:val="outset" w:sz="6" w:space="0" w:color="auto"/>
            </w:tcBorders>
            <w:hideMark/>
          </w:tcPr>
          <w:p w:rsidR="006D5621" w:rsidRPr="006D5621" w:rsidRDefault="006D5621" w:rsidP="00405DCE">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B325EB">
              <w:rPr>
                <w:rFonts w:ascii="Times New Roman" w:eastAsia="Times New Roman" w:hAnsi="Times New Roman" w:cs="Times New Roman"/>
                <w:sz w:val="28"/>
                <w:szCs w:val="28"/>
              </w:rPr>
              <w:t>Ņemot vērā to, ka pašreiz spēkā esošais Izglītības likuma Pārejas noteikumu 25.punkts 2011.gadā paredz tādu pašu tiesisko regulējumu, pedagogu finansiālā situācija</w:t>
            </w:r>
            <w:r w:rsidR="00405DCE">
              <w:rPr>
                <w:rFonts w:ascii="Times New Roman" w:eastAsia="Times New Roman" w:hAnsi="Times New Roman" w:cs="Times New Roman"/>
                <w:sz w:val="28"/>
                <w:szCs w:val="28"/>
              </w:rPr>
              <w:t xml:space="preserve"> nemainās.</w:t>
            </w:r>
            <w:r w:rsidR="00B325EB">
              <w:rPr>
                <w:rFonts w:ascii="Times New Roman" w:eastAsia="Times New Roman" w:hAnsi="Times New Roman" w:cs="Times New Roman"/>
                <w:sz w:val="28"/>
                <w:szCs w:val="28"/>
              </w:rPr>
              <w:t xml:space="preserve">   </w:t>
            </w:r>
          </w:p>
        </w:tc>
      </w:tr>
      <w:tr w:rsidR="007B2769" w:rsidRPr="006D5621" w:rsidTr="006D5621">
        <w:trPr>
          <w:trHeight w:val="517"/>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4.</w:t>
            </w:r>
          </w:p>
        </w:tc>
        <w:tc>
          <w:tcPr>
            <w:tcW w:w="4860"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Tiesiskā regulējuma nefinansiālā ietekme</w:t>
            </w:r>
          </w:p>
        </w:tc>
        <w:tc>
          <w:tcPr>
            <w:tcW w:w="4500" w:type="dxa"/>
            <w:tcBorders>
              <w:top w:val="outset" w:sz="6" w:space="0" w:color="auto"/>
              <w:left w:val="outset" w:sz="6" w:space="0" w:color="auto"/>
              <w:bottom w:val="outset" w:sz="6" w:space="0" w:color="auto"/>
              <w:right w:val="outset" w:sz="6" w:space="0" w:color="auto"/>
            </w:tcBorders>
            <w:hideMark/>
          </w:tcPr>
          <w:p w:rsidR="006D5621" w:rsidRPr="006D5621" w:rsidRDefault="006D5621" w:rsidP="00702B19">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702B19">
              <w:rPr>
                <w:rFonts w:ascii="Times New Roman" w:eastAsia="Times New Roman" w:hAnsi="Times New Roman" w:cs="Times New Roman"/>
                <w:sz w:val="28"/>
                <w:szCs w:val="28"/>
              </w:rPr>
              <w:t>Nav attiecināms</w:t>
            </w:r>
          </w:p>
        </w:tc>
      </w:tr>
      <w:tr w:rsidR="007B2769" w:rsidRPr="006D5621" w:rsidTr="006D5621">
        <w:trPr>
          <w:trHeight w:val="531"/>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5.</w:t>
            </w:r>
          </w:p>
        </w:tc>
        <w:tc>
          <w:tcPr>
            <w:tcW w:w="4860"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Administratīvās procedūras raksturojums</w:t>
            </w:r>
          </w:p>
        </w:tc>
        <w:tc>
          <w:tcPr>
            <w:tcW w:w="4500" w:type="dxa"/>
            <w:tcBorders>
              <w:top w:val="outset" w:sz="6" w:space="0" w:color="auto"/>
              <w:left w:val="outset" w:sz="6" w:space="0" w:color="auto"/>
              <w:bottom w:val="outset" w:sz="6" w:space="0" w:color="auto"/>
              <w:right w:val="outset" w:sz="6" w:space="0" w:color="auto"/>
            </w:tcBorders>
            <w:hideMark/>
          </w:tcPr>
          <w:p w:rsidR="006D5621" w:rsidRPr="006D5621" w:rsidRDefault="006D5621" w:rsidP="00702B19">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702B19">
              <w:rPr>
                <w:rFonts w:ascii="Times New Roman" w:eastAsia="Times New Roman" w:hAnsi="Times New Roman" w:cs="Times New Roman"/>
                <w:sz w:val="28"/>
                <w:szCs w:val="28"/>
              </w:rPr>
              <w:t>Jaunas administratīvas procedūras nebūs nepieciešamas</w:t>
            </w:r>
          </w:p>
        </w:tc>
      </w:tr>
      <w:tr w:rsidR="007B2769" w:rsidRPr="006D5621" w:rsidTr="006D5621">
        <w:trPr>
          <w:trHeight w:val="357"/>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6.</w:t>
            </w:r>
          </w:p>
        </w:tc>
        <w:tc>
          <w:tcPr>
            <w:tcW w:w="4860"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Administratīvo izmaksu monetārs novērtējums</w:t>
            </w:r>
          </w:p>
        </w:tc>
        <w:tc>
          <w:tcPr>
            <w:tcW w:w="4500" w:type="dxa"/>
            <w:tcBorders>
              <w:top w:val="outset" w:sz="6" w:space="0" w:color="auto"/>
              <w:left w:val="outset" w:sz="6" w:space="0" w:color="auto"/>
              <w:bottom w:val="outset" w:sz="6" w:space="0" w:color="auto"/>
              <w:right w:val="outset" w:sz="6" w:space="0" w:color="auto"/>
            </w:tcBorders>
            <w:hideMark/>
          </w:tcPr>
          <w:p w:rsidR="006D5621" w:rsidRPr="006D5621" w:rsidRDefault="006D5621" w:rsidP="007B2769">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7B2769">
              <w:rPr>
                <w:rFonts w:ascii="Times New Roman" w:eastAsia="Times New Roman" w:hAnsi="Times New Roman" w:cs="Times New Roman"/>
                <w:sz w:val="28"/>
                <w:szCs w:val="28"/>
              </w:rPr>
              <w:t>Nav attiecināms</w:t>
            </w:r>
          </w:p>
        </w:tc>
      </w:tr>
      <w:tr w:rsidR="007B2769" w:rsidRPr="006D5621" w:rsidTr="006D5621">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7.</w:t>
            </w:r>
          </w:p>
        </w:tc>
        <w:tc>
          <w:tcPr>
            <w:tcW w:w="4860"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Cita informācija</w:t>
            </w:r>
          </w:p>
        </w:tc>
        <w:tc>
          <w:tcPr>
            <w:tcW w:w="4500" w:type="dxa"/>
            <w:tcBorders>
              <w:top w:val="outset" w:sz="6" w:space="0" w:color="auto"/>
              <w:left w:val="outset" w:sz="6" w:space="0" w:color="auto"/>
              <w:bottom w:val="outset" w:sz="6" w:space="0" w:color="auto"/>
              <w:right w:val="outset" w:sz="6" w:space="0" w:color="auto"/>
            </w:tcBorders>
            <w:hideMark/>
          </w:tcPr>
          <w:p w:rsidR="006D5621" w:rsidRPr="006D5621" w:rsidRDefault="006D5621" w:rsidP="00702B19">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Nav</w:t>
            </w:r>
          </w:p>
        </w:tc>
      </w:tr>
    </w:tbl>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p>
    <w:tbl>
      <w:tblPr>
        <w:tblW w:w="9639"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00"/>
        <w:gridCol w:w="1343"/>
        <w:gridCol w:w="1388"/>
        <w:gridCol w:w="1358"/>
        <w:gridCol w:w="1358"/>
        <w:gridCol w:w="1692"/>
      </w:tblGrid>
      <w:tr w:rsidR="006D5621" w:rsidRPr="006D5621" w:rsidTr="008D60C1">
        <w:trPr>
          <w:trHeight w:val="652"/>
          <w:tblCellSpacing w:w="0" w:type="dxa"/>
        </w:trPr>
        <w:tc>
          <w:tcPr>
            <w:tcW w:w="9639" w:type="dxa"/>
            <w:gridSpan w:val="6"/>
            <w:tcBorders>
              <w:top w:val="outset" w:sz="6" w:space="0" w:color="auto"/>
              <w:left w:val="outset" w:sz="6" w:space="0" w:color="auto"/>
              <w:bottom w:val="outset" w:sz="6" w:space="0" w:color="auto"/>
              <w:right w:val="outset" w:sz="6" w:space="0" w:color="auto"/>
            </w:tcBorders>
            <w:hideMark/>
          </w:tcPr>
          <w:p w:rsidR="006D5621" w:rsidRPr="00C2134F" w:rsidRDefault="006D5621" w:rsidP="006D5621">
            <w:pPr>
              <w:spacing w:before="100" w:beforeAutospacing="1" w:after="100" w:afterAutospacing="1" w:line="240" w:lineRule="auto"/>
              <w:rPr>
                <w:rFonts w:ascii="Times New Roman" w:eastAsia="Times New Roman" w:hAnsi="Times New Roman" w:cs="Times New Roman"/>
                <w:b/>
                <w:sz w:val="28"/>
                <w:szCs w:val="28"/>
              </w:rPr>
            </w:pPr>
            <w:r w:rsidRPr="00C2134F">
              <w:rPr>
                <w:rFonts w:ascii="Times New Roman" w:eastAsia="Times New Roman" w:hAnsi="Times New Roman" w:cs="Times New Roman"/>
                <w:b/>
                <w:sz w:val="28"/>
                <w:szCs w:val="28"/>
              </w:rPr>
              <w:t>III. Tiesību akta projekta ietekme uz valsts budžetu un pašvaldību budžetiem</w:t>
            </w:r>
          </w:p>
        </w:tc>
      </w:tr>
      <w:tr w:rsidR="006D5621" w:rsidRPr="006D5621" w:rsidTr="008D60C1">
        <w:trPr>
          <w:tblCellSpacing w:w="0" w:type="dxa"/>
        </w:trPr>
        <w:tc>
          <w:tcPr>
            <w:tcW w:w="2500" w:type="dxa"/>
            <w:vMerge w:val="restart"/>
            <w:tcBorders>
              <w:top w:val="outset" w:sz="6" w:space="0" w:color="auto"/>
              <w:left w:val="outset" w:sz="6" w:space="0" w:color="auto"/>
              <w:bottom w:val="outset" w:sz="6" w:space="0" w:color="auto"/>
              <w:right w:val="outset" w:sz="6" w:space="0" w:color="auto"/>
            </w:tcBorders>
            <w:vAlign w:val="center"/>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Pr="006D5621">
              <w:rPr>
                <w:rFonts w:ascii="Times New Roman" w:eastAsia="Times New Roman" w:hAnsi="Times New Roman" w:cs="Times New Roman"/>
                <w:b/>
                <w:bCs/>
                <w:sz w:val="28"/>
                <w:szCs w:val="28"/>
              </w:rPr>
              <w:t>Rādītāji</w:t>
            </w:r>
          </w:p>
        </w:tc>
        <w:tc>
          <w:tcPr>
            <w:tcW w:w="273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D5621" w:rsidRPr="006D5621" w:rsidRDefault="006D5621" w:rsidP="00D0604B">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D0604B">
              <w:rPr>
                <w:rFonts w:ascii="Times New Roman" w:eastAsia="Times New Roman" w:hAnsi="Times New Roman" w:cs="Times New Roman"/>
                <w:sz w:val="28"/>
                <w:szCs w:val="28"/>
              </w:rPr>
              <w:t>2011.gads</w:t>
            </w:r>
          </w:p>
        </w:tc>
        <w:tc>
          <w:tcPr>
            <w:tcW w:w="4408" w:type="dxa"/>
            <w:gridSpan w:val="3"/>
            <w:tcBorders>
              <w:top w:val="outset" w:sz="6" w:space="0" w:color="auto"/>
              <w:left w:val="outset" w:sz="6" w:space="0" w:color="auto"/>
              <w:bottom w:val="outset" w:sz="6" w:space="0" w:color="auto"/>
              <w:right w:val="outset" w:sz="6" w:space="0" w:color="auto"/>
            </w:tcBorders>
            <w:vAlign w:val="center"/>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Turpmākie trīs gadi (tūkst. latu)</w:t>
            </w:r>
          </w:p>
        </w:tc>
      </w:tr>
      <w:tr w:rsidR="006D5621" w:rsidRPr="006D5621" w:rsidTr="008D60C1">
        <w:trPr>
          <w:tblCellSpacing w:w="0" w:type="dxa"/>
        </w:trPr>
        <w:tc>
          <w:tcPr>
            <w:tcW w:w="2500" w:type="dxa"/>
            <w:vMerge/>
            <w:tcBorders>
              <w:top w:val="outset" w:sz="6" w:space="0" w:color="auto"/>
              <w:left w:val="outset" w:sz="6" w:space="0" w:color="auto"/>
              <w:bottom w:val="outset" w:sz="6" w:space="0" w:color="auto"/>
              <w:right w:val="outset" w:sz="6" w:space="0" w:color="auto"/>
            </w:tcBorders>
            <w:vAlign w:val="center"/>
            <w:hideMark/>
          </w:tcPr>
          <w:p w:rsidR="006D5621" w:rsidRPr="006D5621" w:rsidRDefault="006D5621" w:rsidP="006D5621">
            <w:pPr>
              <w:spacing w:after="0" w:line="240" w:lineRule="auto"/>
              <w:rPr>
                <w:rFonts w:ascii="Times New Roman" w:eastAsia="Times New Roman" w:hAnsi="Times New Roman" w:cs="Times New Roman"/>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D5621" w:rsidRPr="006D5621" w:rsidRDefault="006D5621" w:rsidP="006D5621">
            <w:pPr>
              <w:spacing w:after="0" w:line="240" w:lineRule="auto"/>
              <w:rPr>
                <w:rFonts w:ascii="Times New Roman" w:eastAsia="Times New Roman" w:hAnsi="Times New Roman" w:cs="Times New Roman"/>
                <w:sz w:val="28"/>
                <w:szCs w:val="28"/>
              </w:rPr>
            </w:pPr>
          </w:p>
        </w:tc>
        <w:tc>
          <w:tcPr>
            <w:tcW w:w="1358" w:type="dxa"/>
            <w:tcBorders>
              <w:top w:val="outset" w:sz="6" w:space="0" w:color="auto"/>
              <w:left w:val="outset" w:sz="6" w:space="0" w:color="auto"/>
              <w:bottom w:val="outset" w:sz="6" w:space="0" w:color="auto"/>
              <w:right w:val="outset" w:sz="6" w:space="0" w:color="auto"/>
            </w:tcBorders>
            <w:vAlign w:val="center"/>
            <w:hideMark/>
          </w:tcPr>
          <w:p w:rsidR="006D5621" w:rsidRPr="006D5621" w:rsidRDefault="006D5621" w:rsidP="00D0604B">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D0604B">
              <w:rPr>
                <w:rFonts w:ascii="Times New Roman" w:eastAsia="Times New Roman" w:hAnsi="Times New Roman" w:cs="Times New Roman"/>
                <w:sz w:val="28"/>
                <w:szCs w:val="28"/>
              </w:rPr>
              <w:t>2012.</w:t>
            </w:r>
          </w:p>
        </w:tc>
        <w:tc>
          <w:tcPr>
            <w:tcW w:w="1358" w:type="dxa"/>
            <w:tcBorders>
              <w:top w:val="outset" w:sz="6" w:space="0" w:color="auto"/>
              <w:left w:val="outset" w:sz="6" w:space="0" w:color="auto"/>
              <w:bottom w:val="outset" w:sz="6" w:space="0" w:color="auto"/>
              <w:right w:val="outset" w:sz="6" w:space="0" w:color="auto"/>
            </w:tcBorders>
            <w:vAlign w:val="center"/>
            <w:hideMark/>
          </w:tcPr>
          <w:p w:rsidR="006D5621" w:rsidRPr="006D5621" w:rsidRDefault="006D5621" w:rsidP="00D0604B">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D0604B">
              <w:rPr>
                <w:rFonts w:ascii="Times New Roman" w:eastAsia="Times New Roman" w:hAnsi="Times New Roman" w:cs="Times New Roman"/>
                <w:sz w:val="28"/>
                <w:szCs w:val="28"/>
              </w:rPr>
              <w:t>2013.</w:t>
            </w:r>
          </w:p>
        </w:tc>
        <w:tc>
          <w:tcPr>
            <w:tcW w:w="1692" w:type="dxa"/>
            <w:tcBorders>
              <w:top w:val="outset" w:sz="6" w:space="0" w:color="auto"/>
              <w:left w:val="outset" w:sz="6" w:space="0" w:color="auto"/>
              <w:bottom w:val="outset" w:sz="6" w:space="0" w:color="auto"/>
              <w:right w:val="outset" w:sz="6" w:space="0" w:color="auto"/>
            </w:tcBorders>
            <w:vAlign w:val="center"/>
            <w:hideMark/>
          </w:tcPr>
          <w:p w:rsidR="006D5621" w:rsidRPr="006D5621" w:rsidRDefault="006D5621" w:rsidP="00D0604B">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D0604B">
              <w:rPr>
                <w:rFonts w:ascii="Times New Roman" w:eastAsia="Times New Roman" w:hAnsi="Times New Roman" w:cs="Times New Roman"/>
                <w:sz w:val="28"/>
                <w:szCs w:val="28"/>
              </w:rPr>
              <w:t>2014.</w:t>
            </w:r>
          </w:p>
        </w:tc>
      </w:tr>
      <w:tr w:rsidR="006D5621" w:rsidRPr="006D5621" w:rsidTr="008D60C1">
        <w:trPr>
          <w:tblCellSpacing w:w="0" w:type="dxa"/>
        </w:trPr>
        <w:tc>
          <w:tcPr>
            <w:tcW w:w="2500" w:type="dxa"/>
            <w:vMerge/>
            <w:tcBorders>
              <w:top w:val="outset" w:sz="6" w:space="0" w:color="auto"/>
              <w:left w:val="outset" w:sz="6" w:space="0" w:color="auto"/>
              <w:bottom w:val="outset" w:sz="6" w:space="0" w:color="auto"/>
              <w:right w:val="outset" w:sz="6" w:space="0" w:color="auto"/>
            </w:tcBorders>
            <w:vAlign w:val="center"/>
            <w:hideMark/>
          </w:tcPr>
          <w:p w:rsidR="006D5621" w:rsidRPr="006D5621" w:rsidRDefault="006D5621" w:rsidP="006D5621">
            <w:pPr>
              <w:spacing w:after="0" w:line="240" w:lineRule="auto"/>
              <w:rPr>
                <w:rFonts w:ascii="Times New Roman" w:eastAsia="Times New Roman" w:hAnsi="Times New Roman" w:cs="Times New Roman"/>
                <w:sz w:val="28"/>
                <w:szCs w:val="28"/>
              </w:rPr>
            </w:pPr>
          </w:p>
        </w:tc>
        <w:tc>
          <w:tcPr>
            <w:tcW w:w="1343" w:type="dxa"/>
            <w:tcBorders>
              <w:top w:val="outset" w:sz="6" w:space="0" w:color="auto"/>
              <w:left w:val="outset" w:sz="6" w:space="0" w:color="auto"/>
              <w:bottom w:val="outset" w:sz="6" w:space="0" w:color="auto"/>
              <w:right w:val="outset" w:sz="6" w:space="0" w:color="auto"/>
            </w:tcBorders>
            <w:vAlign w:val="center"/>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Saskaņā ar valsts budžetu kārtējam gadam</w:t>
            </w:r>
          </w:p>
        </w:tc>
        <w:tc>
          <w:tcPr>
            <w:tcW w:w="1388" w:type="dxa"/>
            <w:tcBorders>
              <w:top w:val="outset" w:sz="6" w:space="0" w:color="auto"/>
              <w:left w:val="outset" w:sz="6" w:space="0" w:color="auto"/>
              <w:bottom w:val="outset" w:sz="6" w:space="0" w:color="auto"/>
              <w:right w:val="outset" w:sz="6" w:space="0" w:color="auto"/>
            </w:tcBorders>
            <w:vAlign w:val="center"/>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Izmaiņas kārtējā gadā, salīdzinot ar budžetu kārtējam gadam</w:t>
            </w:r>
          </w:p>
        </w:tc>
        <w:tc>
          <w:tcPr>
            <w:tcW w:w="1358" w:type="dxa"/>
            <w:tcBorders>
              <w:top w:val="outset" w:sz="6" w:space="0" w:color="auto"/>
              <w:left w:val="outset" w:sz="6" w:space="0" w:color="auto"/>
              <w:bottom w:val="outset" w:sz="6" w:space="0" w:color="auto"/>
              <w:right w:val="outset" w:sz="6" w:space="0" w:color="auto"/>
            </w:tcBorders>
            <w:vAlign w:val="center"/>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Izmaiņas, salīdzinot ar kārtējo (n) gadu</w:t>
            </w:r>
          </w:p>
        </w:tc>
        <w:tc>
          <w:tcPr>
            <w:tcW w:w="1358" w:type="dxa"/>
            <w:tcBorders>
              <w:top w:val="outset" w:sz="6" w:space="0" w:color="auto"/>
              <w:left w:val="outset" w:sz="6" w:space="0" w:color="auto"/>
              <w:bottom w:val="outset" w:sz="6" w:space="0" w:color="auto"/>
              <w:right w:val="outset" w:sz="6" w:space="0" w:color="auto"/>
            </w:tcBorders>
            <w:vAlign w:val="center"/>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Izmaiņas, salīdzinot ar kārtējo (n) gadu</w:t>
            </w:r>
          </w:p>
        </w:tc>
        <w:tc>
          <w:tcPr>
            <w:tcW w:w="1692" w:type="dxa"/>
            <w:tcBorders>
              <w:top w:val="outset" w:sz="6" w:space="0" w:color="auto"/>
              <w:left w:val="outset" w:sz="6" w:space="0" w:color="auto"/>
              <w:bottom w:val="outset" w:sz="6" w:space="0" w:color="auto"/>
              <w:right w:val="outset" w:sz="6" w:space="0" w:color="auto"/>
            </w:tcBorders>
            <w:vAlign w:val="center"/>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Izmaiņas, salīdzinot ar kārtējo (n) gadu</w:t>
            </w:r>
          </w:p>
        </w:tc>
      </w:tr>
      <w:tr w:rsidR="006D5621" w:rsidRPr="006D5621" w:rsidTr="008D60C1">
        <w:trPr>
          <w:tblCellSpacing w:w="0" w:type="dxa"/>
        </w:trPr>
        <w:tc>
          <w:tcPr>
            <w:tcW w:w="2500" w:type="dxa"/>
            <w:tcBorders>
              <w:top w:val="outset" w:sz="6" w:space="0" w:color="auto"/>
              <w:left w:val="outset" w:sz="6" w:space="0" w:color="auto"/>
              <w:bottom w:val="outset" w:sz="6" w:space="0" w:color="auto"/>
              <w:right w:val="outset" w:sz="6" w:space="0" w:color="auto"/>
            </w:tcBorders>
            <w:vAlign w:val="center"/>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1</w:t>
            </w:r>
          </w:p>
        </w:tc>
        <w:tc>
          <w:tcPr>
            <w:tcW w:w="1343" w:type="dxa"/>
            <w:tcBorders>
              <w:top w:val="outset" w:sz="6" w:space="0" w:color="auto"/>
              <w:left w:val="outset" w:sz="6" w:space="0" w:color="auto"/>
              <w:bottom w:val="outset" w:sz="6" w:space="0" w:color="auto"/>
              <w:right w:val="outset" w:sz="6" w:space="0" w:color="auto"/>
            </w:tcBorders>
            <w:vAlign w:val="center"/>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2</w:t>
            </w:r>
          </w:p>
        </w:tc>
        <w:tc>
          <w:tcPr>
            <w:tcW w:w="1388" w:type="dxa"/>
            <w:tcBorders>
              <w:top w:val="outset" w:sz="6" w:space="0" w:color="auto"/>
              <w:left w:val="outset" w:sz="6" w:space="0" w:color="auto"/>
              <w:bottom w:val="outset" w:sz="6" w:space="0" w:color="auto"/>
              <w:right w:val="outset" w:sz="6" w:space="0" w:color="auto"/>
            </w:tcBorders>
            <w:vAlign w:val="center"/>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3</w:t>
            </w:r>
          </w:p>
        </w:tc>
        <w:tc>
          <w:tcPr>
            <w:tcW w:w="1358" w:type="dxa"/>
            <w:tcBorders>
              <w:top w:val="outset" w:sz="6" w:space="0" w:color="auto"/>
              <w:left w:val="outset" w:sz="6" w:space="0" w:color="auto"/>
              <w:bottom w:val="outset" w:sz="6" w:space="0" w:color="auto"/>
              <w:right w:val="outset" w:sz="6" w:space="0" w:color="auto"/>
            </w:tcBorders>
            <w:vAlign w:val="center"/>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4</w:t>
            </w:r>
          </w:p>
        </w:tc>
        <w:tc>
          <w:tcPr>
            <w:tcW w:w="1358" w:type="dxa"/>
            <w:tcBorders>
              <w:top w:val="outset" w:sz="6" w:space="0" w:color="auto"/>
              <w:left w:val="outset" w:sz="6" w:space="0" w:color="auto"/>
              <w:bottom w:val="outset" w:sz="6" w:space="0" w:color="auto"/>
              <w:right w:val="outset" w:sz="6" w:space="0" w:color="auto"/>
            </w:tcBorders>
            <w:vAlign w:val="center"/>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5</w:t>
            </w:r>
          </w:p>
        </w:tc>
        <w:tc>
          <w:tcPr>
            <w:tcW w:w="1692" w:type="dxa"/>
            <w:tcBorders>
              <w:top w:val="outset" w:sz="6" w:space="0" w:color="auto"/>
              <w:left w:val="outset" w:sz="6" w:space="0" w:color="auto"/>
              <w:bottom w:val="outset" w:sz="6" w:space="0" w:color="auto"/>
              <w:right w:val="outset" w:sz="6" w:space="0" w:color="auto"/>
            </w:tcBorders>
            <w:vAlign w:val="center"/>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6</w:t>
            </w:r>
          </w:p>
        </w:tc>
      </w:tr>
      <w:tr w:rsidR="006D5621" w:rsidRPr="006D5621" w:rsidTr="008D60C1">
        <w:trPr>
          <w:tblCellSpacing w:w="0" w:type="dxa"/>
        </w:trPr>
        <w:tc>
          <w:tcPr>
            <w:tcW w:w="2500"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lastRenderedPageBreak/>
              <w:t> 1. Budžeta ieņēmumi:</w:t>
            </w:r>
          </w:p>
        </w:tc>
        <w:tc>
          <w:tcPr>
            <w:tcW w:w="1343"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8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692"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r>
      <w:tr w:rsidR="006D5621" w:rsidRPr="006D5621" w:rsidTr="008D60C1">
        <w:trPr>
          <w:tblCellSpacing w:w="0" w:type="dxa"/>
        </w:trPr>
        <w:tc>
          <w:tcPr>
            <w:tcW w:w="2500"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1.1. valsts pamatbudžets, tai skaitā ieņēmumi no maksas pakalpo-jumiem un citi pašu ieņēmumi</w:t>
            </w:r>
          </w:p>
        </w:tc>
        <w:tc>
          <w:tcPr>
            <w:tcW w:w="1343"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8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692"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r>
      <w:tr w:rsidR="006D5621" w:rsidRPr="006D5621" w:rsidTr="008D60C1">
        <w:trPr>
          <w:tblCellSpacing w:w="0" w:type="dxa"/>
        </w:trPr>
        <w:tc>
          <w:tcPr>
            <w:tcW w:w="2500"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1.2. valsts speciālais budžets</w:t>
            </w:r>
          </w:p>
        </w:tc>
        <w:tc>
          <w:tcPr>
            <w:tcW w:w="1343"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8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692"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r>
      <w:tr w:rsidR="006D5621" w:rsidRPr="006D5621" w:rsidTr="008D60C1">
        <w:trPr>
          <w:tblCellSpacing w:w="0" w:type="dxa"/>
        </w:trPr>
        <w:tc>
          <w:tcPr>
            <w:tcW w:w="2500"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1.3. pašvaldību budžets</w:t>
            </w:r>
          </w:p>
        </w:tc>
        <w:tc>
          <w:tcPr>
            <w:tcW w:w="1343"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8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692"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r>
      <w:tr w:rsidR="006D5621" w:rsidRPr="006D5621" w:rsidTr="008D60C1">
        <w:trPr>
          <w:tblCellSpacing w:w="0" w:type="dxa"/>
        </w:trPr>
        <w:tc>
          <w:tcPr>
            <w:tcW w:w="2500"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2. Budžeta izdevumi:</w:t>
            </w:r>
          </w:p>
        </w:tc>
        <w:tc>
          <w:tcPr>
            <w:tcW w:w="1343"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8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692"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r>
      <w:tr w:rsidR="006D5621" w:rsidRPr="006D5621" w:rsidTr="008D60C1">
        <w:trPr>
          <w:tblCellSpacing w:w="0" w:type="dxa"/>
        </w:trPr>
        <w:tc>
          <w:tcPr>
            <w:tcW w:w="2500"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2.1. valsts pamatbudžets</w:t>
            </w:r>
          </w:p>
        </w:tc>
        <w:tc>
          <w:tcPr>
            <w:tcW w:w="1343"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8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692"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r>
      <w:tr w:rsidR="006D5621" w:rsidRPr="006D5621" w:rsidTr="008D60C1">
        <w:trPr>
          <w:tblCellSpacing w:w="0" w:type="dxa"/>
        </w:trPr>
        <w:tc>
          <w:tcPr>
            <w:tcW w:w="2500"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2.2. valsts speciālais budžets</w:t>
            </w:r>
          </w:p>
        </w:tc>
        <w:tc>
          <w:tcPr>
            <w:tcW w:w="1343"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8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692"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r>
      <w:tr w:rsidR="006D5621" w:rsidRPr="006D5621" w:rsidTr="008D60C1">
        <w:trPr>
          <w:tblCellSpacing w:w="0" w:type="dxa"/>
        </w:trPr>
        <w:tc>
          <w:tcPr>
            <w:tcW w:w="2500"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2.3. pašvaldību budžets</w:t>
            </w:r>
          </w:p>
        </w:tc>
        <w:tc>
          <w:tcPr>
            <w:tcW w:w="1343"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8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692"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r>
      <w:tr w:rsidR="006D5621" w:rsidRPr="006D5621" w:rsidTr="008D60C1">
        <w:trPr>
          <w:tblCellSpacing w:w="0" w:type="dxa"/>
        </w:trPr>
        <w:tc>
          <w:tcPr>
            <w:tcW w:w="2500"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3. Finansiālā ietekme:</w:t>
            </w:r>
          </w:p>
        </w:tc>
        <w:tc>
          <w:tcPr>
            <w:tcW w:w="1343" w:type="dxa"/>
            <w:tcBorders>
              <w:top w:val="outset" w:sz="6" w:space="0" w:color="auto"/>
              <w:left w:val="outset" w:sz="6" w:space="0" w:color="auto"/>
              <w:bottom w:val="outset" w:sz="6" w:space="0" w:color="auto"/>
              <w:right w:val="outset" w:sz="6" w:space="0" w:color="auto"/>
            </w:tcBorders>
            <w:vAlign w:val="center"/>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8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692"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r>
      <w:tr w:rsidR="006D5621" w:rsidRPr="006D5621" w:rsidTr="008D60C1">
        <w:trPr>
          <w:tblCellSpacing w:w="0" w:type="dxa"/>
        </w:trPr>
        <w:tc>
          <w:tcPr>
            <w:tcW w:w="2500"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3.1. valsts pamatbudžets</w:t>
            </w:r>
          </w:p>
        </w:tc>
        <w:tc>
          <w:tcPr>
            <w:tcW w:w="1343"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8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692"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r>
      <w:tr w:rsidR="006D5621" w:rsidRPr="006D5621" w:rsidTr="008D60C1">
        <w:trPr>
          <w:tblCellSpacing w:w="0" w:type="dxa"/>
        </w:trPr>
        <w:tc>
          <w:tcPr>
            <w:tcW w:w="2500"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3.2. speciālais budžets</w:t>
            </w:r>
          </w:p>
        </w:tc>
        <w:tc>
          <w:tcPr>
            <w:tcW w:w="1343"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8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692"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r>
      <w:tr w:rsidR="006D5621" w:rsidRPr="006D5621" w:rsidTr="008D60C1">
        <w:trPr>
          <w:tblCellSpacing w:w="0" w:type="dxa"/>
        </w:trPr>
        <w:tc>
          <w:tcPr>
            <w:tcW w:w="2500"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3.3. pašvaldību budžets</w:t>
            </w:r>
          </w:p>
        </w:tc>
        <w:tc>
          <w:tcPr>
            <w:tcW w:w="1343"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8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692"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r>
      <w:tr w:rsidR="006D5621" w:rsidRPr="006D5621" w:rsidTr="008D60C1">
        <w:trPr>
          <w:tblCellSpacing w:w="0" w:type="dxa"/>
        </w:trPr>
        <w:tc>
          <w:tcPr>
            <w:tcW w:w="2500" w:type="dxa"/>
            <w:vMerge w:val="restart"/>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4. Finanšu līdzekļi papildu izde</w:t>
            </w:r>
            <w:r w:rsidRPr="006D5621">
              <w:rPr>
                <w:rFonts w:ascii="Times New Roman" w:eastAsia="Times New Roman" w:hAnsi="Times New Roman" w:cs="Times New Roman"/>
                <w:sz w:val="28"/>
                <w:szCs w:val="28"/>
              </w:rPr>
              <w:softHyphen/>
              <w:t>vumu finansēšanai (kompensējošu izdevumu samazinājumu norāda ar "+" zīmi)</w:t>
            </w:r>
          </w:p>
        </w:tc>
        <w:tc>
          <w:tcPr>
            <w:tcW w:w="1343" w:type="dxa"/>
            <w:vMerge w:val="restart"/>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X</w:t>
            </w:r>
          </w:p>
        </w:tc>
        <w:tc>
          <w:tcPr>
            <w:tcW w:w="138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692"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r>
      <w:tr w:rsidR="006D5621" w:rsidRPr="006D5621" w:rsidTr="008D60C1">
        <w:trPr>
          <w:tblCellSpacing w:w="0" w:type="dxa"/>
        </w:trPr>
        <w:tc>
          <w:tcPr>
            <w:tcW w:w="2500" w:type="dxa"/>
            <w:vMerge/>
            <w:tcBorders>
              <w:top w:val="outset" w:sz="6" w:space="0" w:color="auto"/>
              <w:left w:val="outset" w:sz="6" w:space="0" w:color="auto"/>
              <w:bottom w:val="outset" w:sz="6" w:space="0" w:color="auto"/>
              <w:right w:val="outset" w:sz="6" w:space="0" w:color="auto"/>
            </w:tcBorders>
            <w:vAlign w:val="center"/>
            <w:hideMark/>
          </w:tcPr>
          <w:p w:rsidR="006D5621" w:rsidRPr="006D5621" w:rsidRDefault="006D5621" w:rsidP="006D5621">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5621" w:rsidRPr="006D5621" w:rsidRDefault="006D5621" w:rsidP="006D5621">
            <w:pPr>
              <w:spacing w:after="0" w:line="240" w:lineRule="auto"/>
              <w:rPr>
                <w:rFonts w:ascii="Times New Roman" w:eastAsia="Times New Roman" w:hAnsi="Times New Roman" w:cs="Times New Roman"/>
                <w:sz w:val="28"/>
                <w:szCs w:val="28"/>
              </w:rPr>
            </w:pPr>
          </w:p>
        </w:tc>
        <w:tc>
          <w:tcPr>
            <w:tcW w:w="138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p>
        </w:tc>
        <w:tc>
          <w:tcPr>
            <w:tcW w:w="1692"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p>
        </w:tc>
      </w:tr>
      <w:tr w:rsidR="006D5621" w:rsidRPr="006D5621" w:rsidTr="008D60C1">
        <w:trPr>
          <w:tblCellSpacing w:w="0" w:type="dxa"/>
        </w:trPr>
        <w:tc>
          <w:tcPr>
            <w:tcW w:w="2500" w:type="dxa"/>
            <w:vMerge/>
            <w:tcBorders>
              <w:top w:val="outset" w:sz="6" w:space="0" w:color="auto"/>
              <w:left w:val="outset" w:sz="6" w:space="0" w:color="auto"/>
              <w:bottom w:val="outset" w:sz="6" w:space="0" w:color="auto"/>
              <w:right w:val="outset" w:sz="6" w:space="0" w:color="auto"/>
            </w:tcBorders>
            <w:vAlign w:val="center"/>
            <w:hideMark/>
          </w:tcPr>
          <w:p w:rsidR="006D5621" w:rsidRPr="006D5621" w:rsidRDefault="006D5621" w:rsidP="006D5621">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5621" w:rsidRPr="006D5621" w:rsidRDefault="006D5621" w:rsidP="006D5621">
            <w:pPr>
              <w:spacing w:after="0" w:line="240" w:lineRule="auto"/>
              <w:rPr>
                <w:rFonts w:ascii="Times New Roman" w:eastAsia="Times New Roman" w:hAnsi="Times New Roman" w:cs="Times New Roman"/>
                <w:sz w:val="28"/>
                <w:szCs w:val="28"/>
              </w:rPr>
            </w:pPr>
          </w:p>
        </w:tc>
        <w:tc>
          <w:tcPr>
            <w:tcW w:w="138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p>
        </w:tc>
        <w:tc>
          <w:tcPr>
            <w:tcW w:w="1692"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p>
        </w:tc>
      </w:tr>
      <w:tr w:rsidR="006D5621" w:rsidRPr="006D5621" w:rsidTr="008D60C1">
        <w:trPr>
          <w:tblCellSpacing w:w="0" w:type="dxa"/>
        </w:trPr>
        <w:tc>
          <w:tcPr>
            <w:tcW w:w="2500"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5. Precizēta finansiālā ietekme:</w:t>
            </w:r>
          </w:p>
        </w:tc>
        <w:tc>
          <w:tcPr>
            <w:tcW w:w="1343" w:type="dxa"/>
            <w:vMerge w:val="restart"/>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X</w:t>
            </w:r>
          </w:p>
        </w:tc>
        <w:tc>
          <w:tcPr>
            <w:tcW w:w="138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692"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r>
      <w:tr w:rsidR="006D5621" w:rsidRPr="006D5621" w:rsidTr="008D60C1">
        <w:trPr>
          <w:tblCellSpacing w:w="0" w:type="dxa"/>
        </w:trPr>
        <w:tc>
          <w:tcPr>
            <w:tcW w:w="2500"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5621" w:rsidRPr="006D5621" w:rsidRDefault="006D5621" w:rsidP="006D5621">
            <w:pPr>
              <w:spacing w:after="0" w:line="240" w:lineRule="auto"/>
              <w:rPr>
                <w:rFonts w:ascii="Times New Roman" w:eastAsia="Times New Roman" w:hAnsi="Times New Roman" w:cs="Times New Roman"/>
                <w:sz w:val="28"/>
                <w:szCs w:val="28"/>
              </w:rPr>
            </w:pPr>
          </w:p>
        </w:tc>
        <w:tc>
          <w:tcPr>
            <w:tcW w:w="138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692"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r>
      <w:tr w:rsidR="006D5621" w:rsidRPr="006D5621" w:rsidTr="008D60C1">
        <w:trPr>
          <w:tblCellSpacing w:w="0" w:type="dxa"/>
        </w:trPr>
        <w:tc>
          <w:tcPr>
            <w:tcW w:w="2500"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5621" w:rsidRPr="006D5621" w:rsidRDefault="006D5621" w:rsidP="006D5621">
            <w:pPr>
              <w:spacing w:after="0" w:line="240" w:lineRule="auto"/>
              <w:rPr>
                <w:rFonts w:ascii="Times New Roman" w:eastAsia="Times New Roman" w:hAnsi="Times New Roman" w:cs="Times New Roman"/>
                <w:sz w:val="28"/>
                <w:szCs w:val="28"/>
              </w:rPr>
            </w:pPr>
          </w:p>
        </w:tc>
        <w:tc>
          <w:tcPr>
            <w:tcW w:w="138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692"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r>
      <w:tr w:rsidR="006D5621" w:rsidRPr="006D5621" w:rsidTr="008D60C1">
        <w:trPr>
          <w:tblCellSpacing w:w="0" w:type="dxa"/>
        </w:trPr>
        <w:tc>
          <w:tcPr>
            <w:tcW w:w="2500"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xml:space="preserve"> 5.3. pašvaldību </w:t>
            </w:r>
            <w:r w:rsidRPr="006D5621">
              <w:rPr>
                <w:rFonts w:ascii="Times New Roman" w:eastAsia="Times New Roman" w:hAnsi="Times New Roman" w:cs="Times New Roman"/>
                <w:sz w:val="28"/>
                <w:szCs w:val="28"/>
              </w:rPr>
              <w:lastRenderedPageBreak/>
              <w: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5621" w:rsidRPr="006D5621" w:rsidRDefault="006D5621" w:rsidP="006D5621">
            <w:pPr>
              <w:spacing w:after="0" w:line="240" w:lineRule="auto"/>
              <w:rPr>
                <w:rFonts w:ascii="Times New Roman" w:eastAsia="Times New Roman" w:hAnsi="Times New Roman" w:cs="Times New Roman"/>
                <w:sz w:val="28"/>
                <w:szCs w:val="28"/>
              </w:rPr>
            </w:pPr>
          </w:p>
        </w:tc>
        <w:tc>
          <w:tcPr>
            <w:tcW w:w="138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35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c>
          <w:tcPr>
            <w:tcW w:w="1692"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A8194F">
              <w:rPr>
                <w:rFonts w:ascii="Times New Roman" w:eastAsia="Times New Roman" w:hAnsi="Times New Roman" w:cs="Times New Roman"/>
                <w:sz w:val="28"/>
                <w:szCs w:val="28"/>
              </w:rPr>
              <w:t>0</w:t>
            </w:r>
          </w:p>
        </w:tc>
      </w:tr>
      <w:tr w:rsidR="006D5621" w:rsidRPr="006D5621" w:rsidTr="008D60C1">
        <w:trPr>
          <w:tblCellSpacing w:w="0" w:type="dxa"/>
        </w:trPr>
        <w:tc>
          <w:tcPr>
            <w:tcW w:w="2500"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lastRenderedPageBreak/>
              <w:t> 6. Detalizēts ieņēmumu un izdevu</w:t>
            </w:r>
            <w:r w:rsidRPr="006D5621">
              <w:rPr>
                <w:rFonts w:ascii="Times New Roman" w:eastAsia="Times New Roman" w:hAnsi="Times New Roman" w:cs="Times New Roman"/>
                <w:sz w:val="28"/>
                <w:szCs w:val="28"/>
              </w:rPr>
              <w:softHyphen/>
              <w:t>mu aprēķins (ja nepieciešams, detalizētu ieņēmumu un izdevumu aprēķinu var pievienot anotācijas pielikumā):</w:t>
            </w:r>
          </w:p>
        </w:tc>
        <w:tc>
          <w:tcPr>
            <w:tcW w:w="7139" w:type="dxa"/>
            <w:gridSpan w:val="5"/>
            <w:vMerge w:val="restart"/>
            <w:tcBorders>
              <w:top w:val="outset" w:sz="6" w:space="0" w:color="auto"/>
              <w:left w:val="outset" w:sz="6" w:space="0" w:color="auto"/>
              <w:bottom w:val="outset" w:sz="6" w:space="0" w:color="auto"/>
              <w:right w:val="outset" w:sz="6" w:space="0" w:color="auto"/>
            </w:tcBorders>
            <w:vAlign w:val="center"/>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p>
        </w:tc>
      </w:tr>
      <w:tr w:rsidR="006D5621" w:rsidRPr="006D5621" w:rsidTr="008D60C1">
        <w:trPr>
          <w:tblCellSpacing w:w="0" w:type="dxa"/>
        </w:trPr>
        <w:tc>
          <w:tcPr>
            <w:tcW w:w="2500"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6.1. detalizēts ieņēmumu aprēķins</w:t>
            </w:r>
          </w:p>
        </w:tc>
        <w:tc>
          <w:tcPr>
            <w:tcW w:w="7139" w:type="dxa"/>
            <w:gridSpan w:val="5"/>
            <w:vMerge/>
            <w:tcBorders>
              <w:top w:val="outset" w:sz="6" w:space="0" w:color="auto"/>
              <w:left w:val="outset" w:sz="6" w:space="0" w:color="auto"/>
              <w:bottom w:val="outset" w:sz="6" w:space="0" w:color="auto"/>
              <w:right w:val="outset" w:sz="6" w:space="0" w:color="auto"/>
            </w:tcBorders>
            <w:vAlign w:val="center"/>
            <w:hideMark/>
          </w:tcPr>
          <w:p w:rsidR="006D5621" w:rsidRPr="006D5621" w:rsidRDefault="006D5621" w:rsidP="006D5621">
            <w:pPr>
              <w:spacing w:after="0" w:line="240" w:lineRule="auto"/>
              <w:rPr>
                <w:rFonts w:ascii="Times New Roman" w:eastAsia="Times New Roman" w:hAnsi="Times New Roman" w:cs="Times New Roman"/>
                <w:sz w:val="28"/>
                <w:szCs w:val="28"/>
              </w:rPr>
            </w:pPr>
          </w:p>
        </w:tc>
      </w:tr>
      <w:tr w:rsidR="006D5621" w:rsidRPr="006D5621" w:rsidTr="008D60C1">
        <w:trPr>
          <w:tblCellSpacing w:w="0" w:type="dxa"/>
        </w:trPr>
        <w:tc>
          <w:tcPr>
            <w:tcW w:w="2500"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6.2. detalizēts izdevumu aprēķins</w:t>
            </w:r>
          </w:p>
        </w:tc>
        <w:tc>
          <w:tcPr>
            <w:tcW w:w="7139" w:type="dxa"/>
            <w:gridSpan w:val="5"/>
            <w:vMerge/>
            <w:tcBorders>
              <w:top w:val="outset" w:sz="6" w:space="0" w:color="auto"/>
              <w:left w:val="outset" w:sz="6" w:space="0" w:color="auto"/>
              <w:bottom w:val="outset" w:sz="6" w:space="0" w:color="auto"/>
              <w:right w:val="outset" w:sz="6" w:space="0" w:color="auto"/>
            </w:tcBorders>
            <w:vAlign w:val="center"/>
            <w:hideMark/>
          </w:tcPr>
          <w:p w:rsidR="006D5621" w:rsidRPr="006D5621" w:rsidRDefault="006D5621" w:rsidP="006D5621">
            <w:pPr>
              <w:spacing w:after="0" w:line="240" w:lineRule="auto"/>
              <w:rPr>
                <w:rFonts w:ascii="Times New Roman" w:eastAsia="Times New Roman" w:hAnsi="Times New Roman" w:cs="Times New Roman"/>
                <w:sz w:val="28"/>
                <w:szCs w:val="28"/>
              </w:rPr>
            </w:pPr>
          </w:p>
        </w:tc>
      </w:tr>
      <w:tr w:rsidR="006D5621" w:rsidRPr="006D5621" w:rsidTr="008D60C1">
        <w:trPr>
          <w:tblCellSpacing w:w="0" w:type="dxa"/>
        </w:trPr>
        <w:tc>
          <w:tcPr>
            <w:tcW w:w="2500"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7. Cita informācija</w:t>
            </w:r>
          </w:p>
        </w:tc>
        <w:tc>
          <w:tcPr>
            <w:tcW w:w="7139" w:type="dxa"/>
            <w:gridSpan w:val="5"/>
            <w:tcBorders>
              <w:top w:val="outset" w:sz="6" w:space="0" w:color="auto"/>
              <w:left w:val="outset" w:sz="6" w:space="0" w:color="auto"/>
              <w:bottom w:val="outset" w:sz="6" w:space="0" w:color="auto"/>
              <w:right w:val="outset" w:sz="6" w:space="0" w:color="auto"/>
            </w:tcBorders>
            <w:hideMark/>
          </w:tcPr>
          <w:p w:rsidR="00E05972" w:rsidRDefault="00E05972" w:rsidP="00E059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Papildus budžeta līdzekļi 2012.gadam nav nepieciešami.</w:t>
            </w:r>
            <w:r w:rsidR="006D5621" w:rsidRPr="006D5621">
              <w:rPr>
                <w:rFonts w:ascii="Times New Roman" w:eastAsia="Times New Roman" w:hAnsi="Times New Roman" w:cs="Times New Roman"/>
                <w:sz w:val="28"/>
                <w:szCs w:val="28"/>
              </w:rPr>
              <w:t> </w:t>
            </w:r>
          </w:p>
          <w:p w:rsidR="006D5621" w:rsidRDefault="00613525" w:rsidP="00E059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Likumprojektā ietverto tiesību normu īstenošana tiks nodrošināta valsts budžet</w:t>
            </w:r>
            <w:r w:rsidR="00405DCE">
              <w:rPr>
                <w:rFonts w:ascii="Times New Roman" w:eastAsia="Times New Roman" w:hAnsi="Times New Roman" w:cs="Times New Roman"/>
                <w:sz w:val="28"/>
                <w:szCs w:val="28"/>
              </w:rPr>
              <w:t xml:space="preserve">ā paredzēto līdzekļu ietvaros. </w:t>
            </w:r>
            <w:r>
              <w:rPr>
                <w:rFonts w:ascii="Times New Roman" w:eastAsia="Times New Roman" w:hAnsi="Times New Roman" w:cs="Times New Roman"/>
                <w:sz w:val="28"/>
                <w:szCs w:val="28"/>
              </w:rPr>
              <w:t xml:space="preserve"> </w:t>
            </w:r>
          </w:p>
          <w:p w:rsidR="00A8194F" w:rsidRPr="006D5621" w:rsidRDefault="00A8194F" w:rsidP="00E05972">
            <w:pPr>
              <w:spacing w:after="0" w:line="240" w:lineRule="auto"/>
              <w:rPr>
                <w:rFonts w:ascii="Times New Roman" w:eastAsia="Times New Roman" w:hAnsi="Times New Roman" w:cs="Times New Roman"/>
                <w:sz w:val="28"/>
                <w:szCs w:val="28"/>
              </w:rPr>
            </w:pPr>
          </w:p>
        </w:tc>
      </w:tr>
    </w:tbl>
    <w:p w:rsidR="006D5621" w:rsidRPr="00506F57"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i/>
          <w:iCs/>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26"/>
        <w:gridCol w:w="4148"/>
        <w:gridCol w:w="4380"/>
      </w:tblGrid>
      <w:tr w:rsidR="006D5621" w:rsidRPr="006D5621" w:rsidTr="00EC5803">
        <w:trPr>
          <w:tblCellSpacing w:w="0" w:type="dxa"/>
        </w:trPr>
        <w:tc>
          <w:tcPr>
            <w:tcW w:w="9654" w:type="dxa"/>
            <w:gridSpan w:val="3"/>
            <w:tcBorders>
              <w:top w:val="outset" w:sz="6" w:space="0" w:color="auto"/>
              <w:left w:val="outset" w:sz="6" w:space="0" w:color="auto"/>
              <w:bottom w:val="outset" w:sz="6" w:space="0" w:color="auto"/>
              <w:right w:val="outset" w:sz="6" w:space="0" w:color="auto"/>
            </w:tcBorders>
            <w:hideMark/>
          </w:tcPr>
          <w:p w:rsidR="006D5621" w:rsidRPr="00C2134F" w:rsidRDefault="006D5621" w:rsidP="006D5621">
            <w:pPr>
              <w:spacing w:before="100" w:beforeAutospacing="1" w:after="100" w:afterAutospacing="1" w:line="240" w:lineRule="auto"/>
              <w:rPr>
                <w:rFonts w:ascii="Times New Roman" w:eastAsia="Times New Roman" w:hAnsi="Times New Roman" w:cs="Times New Roman"/>
                <w:b/>
                <w:sz w:val="28"/>
                <w:szCs w:val="28"/>
              </w:rPr>
            </w:pPr>
            <w:r w:rsidRPr="006D5621">
              <w:rPr>
                <w:rFonts w:ascii="Times New Roman" w:eastAsia="Times New Roman" w:hAnsi="Times New Roman" w:cs="Times New Roman"/>
                <w:sz w:val="28"/>
                <w:szCs w:val="28"/>
              </w:rPr>
              <w:t> </w:t>
            </w:r>
            <w:r w:rsidRPr="00C2134F">
              <w:rPr>
                <w:rFonts w:ascii="Times New Roman" w:eastAsia="Times New Roman" w:hAnsi="Times New Roman" w:cs="Times New Roman"/>
                <w:b/>
                <w:sz w:val="28"/>
                <w:szCs w:val="28"/>
              </w:rPr>
              <w:t>IV. Tiesību akta projekta ietekme uz spēkā esošo tiesību normu sistēmu</w:t>
            </w:r>
          </w:p>
        </w:tc>
      </w:tr>
      <w:tr w:rsidR="006D5621" w:rsidRPr="006D5621" w:rsidTr="00EC5803">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1.</w:t>
            </w:r>
          </w:p>
        </w:tc>
        <w:tc>
          <w:tcPr>
            <w:tcW w:w="414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Nepieciešamie saistītie tiesību aktu projekti</w:t>
            </w:r>
          </w:p>
        </w:tc>
        <w:tc>
          <w:tcPr>
            <w:tcW w:w="4380" w:type="dxa"/>
            <w:tcBorders>
              <w:top w:val="outset" w:sz="6" w:space="0" w:color="auto"/>
              <w:left w:val="outset" w:sz="6" w:space="0" w:color="auto"/>
              <w:bottom w:val="outset" w:sz="6" w:space="0" w:color="auto"/>
              <w:right w:val="outset" w:sz="6" w:space="0" w:color="auto"/>
            </w:tcBorders>
            <w:hideMark/>
          </w:tcPr>
          <w:p w:rsidR="006D5621" w:rsidRPr="006D5621" w:rsidRDefault="00E05972" w:rsidP="00E0597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Likumprojekts tiek virzīts vienā paketē ar likumprojektu „Par valsts budžetu 2012.gadam”.</w:t>
            </w:r>
          </w:p>
        </w:tc>
      </w:tr>
      <w:tr w:rsidR="006D5621" w:rsidRPr="006D5621" w:rsidTr="00EC5803">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2.</w:t>
            </w:r>
          </w:p>
        </w:tc>
        <w:tc>
          <w:tcPr>
            <w:tcW w:w="4148"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Cita informācija</w:t>
            </w:r>
          </w:p>
        </w:tc>
        <w:tc>
          <w:tcPr>
            <w:tcW w:w="4380" w:type="dxa"/>
            <w:tcBorders>
              <w:top w:val="outset" w:sz="6" w:space="0" w:color="auto"/>
              <w:left w:val="outset" w:sz="6" w:space="0" w:color="auto"/>
              <w:bottom w:val="outset" w:sz="6" w:space="0" w:color="auto"/>
              <w:right w:val="outset" w:sz="6" w:space="0" w:color="auto"/>
            </w:tcBorders>
            <w:hideMark/>
          </w:tcPr>
          <w:p w:rsidR="006D5621" w:rsidRPr="006D5621" w:rsidRDefault="006D5621" w:rsidP="00E05972">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Nav</w:t>
            </w:r>
            <w:r w:rsidR="00E05972">
              <w:rPr>
                <w:rFonts w:ascii="Times New Roman" w:eastAsia="Times New Roman" w:hAnsi="Times New Roman" w:cs="Times New Roman"/>
                <w:sz w:val="28"/>
                <w:szCs w:val="28"/>
              </w:rPr>
              <w:t>.</w:t>
            </w:r>
          </w:p>
        </w:tc>
      </w:tr>
    </w:tbl>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72341F">
        <w:rPr>
          <w:rFonts w:ascii="Times New Roman" w:eastAsia="Times New Roman" w:hAnsi="Times New Roman" w:cs="Times New Roman"/>
          <w:sz w:val="28"/>
          <w:szCs w:val="28"/>
        </w:rPr>
        <w:tab/>
        <w:t>Anotācijas V un VI sadaļa – l</w:t>
      </w:r>
      <w:r w:rsidR="00A8194F">
        <w:rPr>
          <w:rFonts w:ascii="Times New Roman" w:eastAsia="Times New Roman" w:hAnsi="Times New Roman" w:cs="Times New Roman"/>
          <w:sz w:val="28"/>
          <w:szCs w:val="28"/>
        </w:rPr>
        <w:t>ikumprojekts</w:t>
      </w:r>
      <w:r w:rsidR="0072341F">
        <w:rPr>
          <w:rFonts w:ascii="Times New Roman" w:eastAsia="Times New Roman" w:hAnsi="Times New Roman" w:cs="Times New Roman"/>
          <w:sz w:val="28"/>
          <w:szCs w:val="28"/>
        </w:rPr>
        <w:t xml:space="preserve"> šīs jomas neskar.</w:t>
      </w:r>
      <w:r w:rsidR="00A8194F">
        <w:rPr>
          <w:rFonts w:ascii="Times New Roman" w:eastAsia="Times New Roman" w:hAnsi="Times New Roman" w:cs="Times New Roman"/>
          <w:sz w:val="28"/>
          <w:szCs w:val="28"/>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2"/>
        <w:gridCol w:w="3633"/>
        <w:gridCol w:w="5539"/>
      </w:tblGrid>
      <w:tr w:rsidR="006D5621" w:rsidRPr="006D5621" w:rsidTr="00EC5803">
        <w:trPr>
          <w:tblCellSpacing w:w="0" w:type="dxa"/>
        </w:trPr>
        <w:tc>
          <w:tcPr>
            <w:tcW w:w="9654" w:type="dxa"/>
            <w:gridSpan w:val="3"/>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b/>
                <w:bCs/>
                <w:sz w:val="28"/>
                <w:szCs w:val="28"/>
              </w:rPr>
              <w:t> VII. Tiesību akta projekta izpildes nodrošināšana un tās ietekme uz institūcijām</w:t>
            </w:r>
          </w:p>
        </w:tc>
      </w:tr>
      <w:tr w:rsidR="006D5621" w:rsidRPr="006D5621" w:rsidTr="00EC5803">
        <w:trPr>
          <w:trHeight w:val="427"/>
          <w:tblCellSpacing w:w="0" w:type="dxa"/>
        </w:trPr>
        <w:tc>
          <w:tcPr>
            <w:tcW w:w="482"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1.</w:t>
            </w:r>
          </w:p>
        </w:tc>
        <w:tc>
          <w:tcPr>
            <w:tcW w:w="3633"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Projekta izpildē iesaistītās institūcijas</w:t>
            </w:r>
          </w:p>
        </w:tc>
        <w:tc>
          <w:tcPr>
            <w:tcW w:w="5539" w:type="dxa"/>
            <w:tcBorders>
              <w:top w:val="outset" w:sz="6" w:space="0" w:color="auto"/>
              <w:left w:val="outset" w:sz="6" w:space="0" w:color="auto"/>
              <w:bottom w:val="outset" w:sz="6" w:space="0" w:color="auto"/>
              <w:right w:val="outset" w:sz="6" w:space="0" w:color="auto"/>
            </w:tcBorders>
            <w:hideMark/>
          </w:tcPr>
          <w:p w:rsidR="006D5621" w:rsidRPr="006D5621" w:rsidRDefault="006D5621" w:rsidP="00C2134F">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C2134F">
              <w:rPr>
                <w:rFonts w:ascii="Times New Roman" w:eastAsia="Times New Roman" w:hAnsi="Times New Roman" w:cs="Times New Roman"/>
                <w:sz w:val="28"/>
                <w:szCs w:val="28"/>
              </w:rPr>
              <w:t>Likumprojekta izpildē būs iesaistīta Izglītības un zinātnes ministrija un valsts un pašvaldību dibinātās izglītības iestādes</w:t>
            </w:r>
          </w:p>
        </w:tc>
      </w:tr>
      <w:tr w:rsidR="006D5621" w:rsidRPr="006D5621" w:rsidTr="00EC5803">
        <w:trPr>
          <w:trHeight w:val="463"/>
          <w:tblCellSpacing w:w="0" w:type="dxa"/>
        </w:trPr>
        <w:tc>
          <w:tcPr>
            <w:tcW w:w="482"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2.</w:t>
            </w:r>
          </w:p>
        </w:tc>
        <w:tc>
          <w:tcPr>
            <w:tcW w:w="3633"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Projekta izpildes ietekme uz pārvaldes funkcijām</w:t>
            </w:r>
          </w:p>
        </w:tc>
        <w:tc>
          <w:tcPr>
            <w:tcW w:w="5539" w:type="dxa"/>
            <w:tcBorders>
              <w:top w:val="outset" w:sz="6" w:space="0" w:color="auto"/>
              <w:left w:val="outset" w:sz="6" w:space="0" w:color="auto"/>
              <w:bottom w:val="outset" w:sz="6" w:space="0" w:color="auto"/>
              <w:right w:val="outset" w:sz="6" w:space="0" w:color="auto"/>
            </w:tcBorders>
            <w:hideMark/>
          </w:tcPr>
          <w:p w:rsidR="006D5621" w:rsidRPr="006D5621" w:rsidRDefault="006D5621" w:rsidP="00C2134F">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C2134F">
              <w:rPr>
                <w:rFonts w:ascii="Times New Roman" w:eastAsia="Times New Roman" w:hAnsi="Times New Roman" w:cs="Times New Roman"/>
                <w:sz w:val="28"/>
                <w:szCs w:val="28"/>
              </w:rPr>
              <w:t xml:space="preserve">Likumprojekts šo jomu neskar. </w:t>
            </w:r>
          </w:p>
        </w:tc>
      </w:tr>
      <w:tr w:rsidR="006D5621" w:rsidRPr="006D5621" w:rsidTr="00EC5803">
        <w:trPr>
          <w:trHeight w:val="725"/>
          <w:tblCellSpacing w:w="0" w:type="dxa"/>
        </w:trPr>
        <w:tc>
          <w:tcPr>
            <w:tcW w:w="482"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3.</w:t>
            </w:r>
          </w:p>
        </w:tc>
        <w:tc>
          <w:tcPr>
            <w:tcW w:w="3633"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Projekta izpildes ietekme uz pārvaldes institucionālo struktūru.</w:t>
            </w:r>
          </w:p>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Jaunu institūciju izveide</w:t>
            </w:r>
          </w:p>
        </w:tc>
        <w:tc>
          <w:tcPr>
            <w:tcW w:w="5539" w:type="dxa"/>
            <w:tcBorders>
              <w:top w:val="outset" w:sz="6" w:space="0" w:color="auto"/>
              <w:left w:val="outset" w:sz="6" w:space="0" w:color="auto"/>
              <w:bottom w:val="outset" w:sz="6" w:space="0" w:color="auto"/>
              <w:right w:val="outset" w:sz="6" w:space="0" w:color="auto"/>
            </w:tcBorders>
            <w:hideMark/>
          </w:tcPr>
          <w:p w:rsidR="006D5621" w:rsidRPr="006D5621" w:rsidRDefault="006D5621" w:rsidP="00C2134F">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C2134F">
              <w:rPr>
                <w:rFonts w:ascii="Times New Roman" w:eastAsia="Times New Roman" w:hAnsi="Times New Roman" w:cs="Times New Roman"/>
                <w:sz w:val="28"/>
                <w:szCs w:val="28"/>
              </w:rPr>
              <w:t>Likumprojekts šo jomu neskar.</w:t>
            </w:r>
          </w:p>
        </w:tc>
      </w:tr>
      <w:tr w:rsidR="006D5621" w:rsidRPr="006D5621" w:rsidTr="00EC5803">
        <w:trPr>
          <w:trHeight w:val="780"/>
          <w:tblCellSpacing w:w="0" w:type="dxa"/>
        </w:trPr>
        <w:tc>
          <w:tcPr>
            <w:tcW w:w="482"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lastRenderedPageBreak/>
              <w:t> 4.</w:t>
            </w:r>
          </w:p>
        </w:tc>
        <w:tc>
          <w:tcPr>
            <w:tcW w:w="3633"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Projekta izpildes ietekme uz pārvaldes institucionālo struktūru.</w:t>
            </w:r>
          </w:p>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Esošu institūciju likvidācija</w:t>
            </w:r>
          </w:p>
        </w:tc>
        <w:tc>
          <w:tcPr>
            <w:tcW w:w="5539" w:type="dxa"/>
            <w:tcBorders>
              <w:top w:val="outset" w:sz="6" w:space="0" w:color="auto"/>
              <w:left w:val="outset" w:sz="6" w:space="0" w:color="auto"/>
              <w:bottom w:val="outset" w:sz="6" w:space="0" w:color="auto"/>
              <w:right w:val="outset" w:sz="6" w:space="0" w:color="auto"/>
            </w:tcBorders>
            <w:hideMark/>
          </w:tcPr>
          <w:p w:rsidR="006D5621" w:rsidRPr="006D5621" w:rsidRDefault="006D5621" w:rsidP="00C2134F">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C2134F">
              <w:rPr>
                <w:rFonts w:ascii="Times New Roman" w:eastAsia="Times New Roman" w:hAnsi="Times New Roman" w:cs="Times New Roman"/>
                <w:sz w:val="28"/>
                <w:szCs w:val="28"/>
              </w:rPr>
              <w:t>Likumprojekts šo jomu neskar.</w:t>
            </w:r>
          </w:p>
        </w:tc>
      </w:tr>
      <w:tr w:rsidR="006D5621" w:rsidRPr="006D5621" w:rsidTr="00EC5803">
        <w:trPr>
          <w:trHeight w:val="703"/>
          <w:tblCellSpacing w:w="0" w:type="dxa"/>
        </w:trPr>
        <w:tc>
          <w:tcPr>
            <w:tcW w:w="482"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5.</w:t>
            </w:r>
          </w:p>
        </w:tc>
        <w:tc>
          <w:tcPr>
            <w:tcW w:w="3633"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Projekta izpildes ietekme uz pārvaldes institucionālo struktūru.</w:t>
            </w:r>
          </w:p>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Esošu institūciju reorganizācija</w:t>
            </w:r>
          </w:p>
        </w:tc>
        <w:tc>
          <w:tcPr>
            <w:tcW w:w="5539" w:type="dxa"/>
            <w:tcBorders>
              <w:top w:val="outset" w:sz="6" w:space="0" w:color="auto"/>
              <w:left w:val="outset" w:sz="6" w:space="0" w:color="auto"/>
              <w:bottom w:val="outset" w:sz="6" w:space="0" w:color="auto"/>
              <w:right w:val="outset" w:sz="6" w:space="0" w:color="auto"/>
            </w:tcBorders>
            <w:hideMark/>
          </w:tcPr>
          <w:p w:rsidR="006D5621" w:rsidRPr="006D5621" w:rsidRDefault="006D5621" w:rsidP="00C2134F">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w:t>
            </w:r>
            <w:r w:rsidR="00C2134F">
              <w:rPr>
                <w:rFonts w:ascii="Times New Roman" w:eastAsia="Times New Roman" w:hAnsi="Times New Roman" w:cs="Times New Roman"/>
                <w:sz w:val="28"/>
                <w:szCs w:val="28"/>
              </w:rPr>
              <w:t>Likumprojekts šo jomu neskar.</w:t>
            </w:r>
          </w:p>
        </w:tc>
      </w:tr>
      <w:tr w:rsidR="006D5621" w:rsidRPr="006D5621" w:rsidTr="00EC5803">
        <w:trPr>
          <w:trHeight w:val="476"/>
          <w:tblCellSpacing w:w="0" w:type="dxa"/>
        </w:trPr>
        <w:tc>
          <w:tcPr>
            <w:tcW w:w="482"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6.</w:t>
            </w:r>
          </w:p>
        </w:tc>
        <w:tc>
          <w:tcPr>
            <w:tcW w:w="3633" w:type="dxa"/>
            <w:tcBorders>
              <w:top w:val="outset" w:sz="6" w:space="0" w:color="auto"/>
              <w:left w:val="outset" w:sz="6" w:space="0" w:color="auto"/>
              <w:bottom w:val="outset" w:sz="6" w:space="0" w:color="auto"/>
              <w:right w:val="outset" w:sz="6" w:space="0" w:color="auto"/>
            </w:tcBorders>
            <w:hideMark/>
          </w:tcPr>
          <w:p w:rsidR="006D5621" w:rsidRPr="006D5621" w:rsidRDefault="006D5621" w:rsidP="006D5621">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Cita informācija</w:t>
            </w:r>
          </w:p>
        </w:tc>
        <w:tc>
          <w:tcPr>
            <w:tcW w:w="5539" w:type="dxa"/>
            <w:tcBorders>
              <w:top w:val="outset" w:sz="6" w:space="0" w:color="auto"/>
              <w:left w:val="outset" w:sz="6" w:space="0" w:color="auto"/>
              <w:bottom w:val="outset" w:sz="6" w:space="0" w:color="auto"/>
              <w:right w:val="outset" w:sz="6" w:space="0" w:color="auto"/>
            </w:tcBorders>
            <w:hideMark/>
          </w:tcPr>
          <w:p w:rsidR="006D5621" w:rsidRPr="006D5621" w:rsidRDefault="006D5621" w:rsidP="00C2134F">
            <w:pPr>
              <w:spacing w:before="100" w:beforeAutospacing="1" w:after="100" w:afterAutospacing="1" w:line="240" w:lineRule="auto"/>
              <w:rPr>
                <w:rFonts w:ascii="Times New Roman" w:eastAsia="Times New Roman" w:hAnsi="Times New Roman" w:cs="Times New Roman"/>
                <w:sz w:val="28"/>
                <w:szCs w:val="28"/>
              </w:rPr>
            </w:pPr>
            <w:r w:rsidRPr="006D5621">
              <w:rPr>
                <w:rFonts w:ascii="Times New Roman" w:eastAsia="Times New Roman" w:hAnsi="Times New Roman" w:cs="Times New Roman"/>
                <w:sz w:val="28"/>
                <w:szCs w:val="28"/>
              </w:rPr>
              <w:t> Nav</w:t>
            </w:r>
          </w:p>
        </w:tc>
      </w:tr>
    </w:tbl>
    <w:p w:rsidR="0062213E" w:rsidRDefault="0062213E">
      <w:pPr>
        <w:rPr>
          <w:rFonts w:ascii="Times New Roman" w:hAnsi="Times New Roman" w:cs="Times New Roman"/>
          <w:sz w:val="28"/>
          <w:szCs w:val="28"/>
        </w:rPr>
      </w:pPr>
    </w:p>
    <w:p w:rsidR="00C2134F" w:rsidRDefault="00C2134F">
      <w:pPr>
        <w:rPr>
          <w:rFonts w:ascii="Times New Roman" w:hAnsi="Times New Roman" w:cs="Times New Roman"/>
          <w:sz w:val="28"/>
          <w:szCs w:val="28"/>
        </w:rPr>
      </w:pPr>
    </w:p>
    <w:p w:rsidR="00E77CB7" w:rsidRDefault="00E77CB7" w:rsidP="00E77CB7">
      <w:pPr>
        <w:ind w:firstLine="720"/>
        <w:rPr>
          <w:rFonts w:ascii="Times New Roman" w:hAnsi="Times New Roman" w:cs="Times New Roman"/>
          <w:sz w:val="28"/>
          <w:szCs w:val="28"/>
        </w:rPr>
      </w:pPr>
      <w:r>
        <w:rPr>
          <w:rFonts w:ascii="Times New Roman" w:hAnsi="Times New Roman" w:cs="Times New Roman"/>
          <w:sz w:val="28"/>
          <w:szCs w:val="28"/>
        </w:rPr>
        <w:t>Iesniedzējs: izglītības un zinātnes ministrs</w:t>
      </w:r>
      <w:r>
        <w:rPr>
          <w:rFonts w:ascii="Times New Roman" w:hAnsi="Times New Roman" w:cs="Times New Roman"/>
          <w:sz w:val="28"/>
          <w:szCs w:val="28"/>
        </w:rPr>
        <w:tab/>
      </w:r>
      <w:r>
        <w:rPr>
          <w:rFonts w:ascii="Times New Roman" w:hAnsi="Times New Roman" w:cs="Times New Roman"/>
          <w:sz w:val="28"/>
          <w:szCs w:val="28"/>
        </w:rPr>
        <w:tab/>
        <w:t xml:space="preserve">        R.Ķīlis</w:t>
      </w:r>
    </w:p>
    <w:p w:rsidR="00E77CB7" w:rsidRDefault="00E77CB7" w:rsidP="00E77CB7">
      <w:pPr>
        <w:rPr>
          <w:rFonts w:ascii="Times New Roman" w:hAnsi="Times New Roman" w:cs="Times New Roman"/>
          <w:sz w:val="28"/>
          <w:szCs w:val="28"/>
        </w:rPr>
      </w:pPr>
    </w:p>
    <w:p w:rsidR="00E77CB7" w:rsidRDefault="00E77CB7" w:rsidP="00E77CB7">
      <w:pPr>
        <w:ind w:firstLine="720"/>
        <w:rPr>
          <w:rFonts w:ascii="Times New Roman" w:hAnsi="Times New Roman" w:cs="Times New Roman"/>
          <w:sz w:val="28"/>
          <w:szCs w:val="28"/>
        </w:rPr>
      </w:pPr>
      <w:r>
        <w:rPr>
          <w:rFonts w:ascii="Times New Roman" w:hAnsi="Times New Roman" w:cs="Times New Roman"/>
          <w:sz w:val="28"/>
          <w:szCs w:val="28"/>
        </w:rPr>
        <w:t>Vīza: valsts sekretārs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M.Gruškevics</w:t>
      </w:r>
    </w:p>
    <w:p w:rsidR="00077F1E" w:rsidRDefault="00077F1E">
      <w:pPr>
        <w:rPr>
          <w:rFonts w:ascii="Times New Roman" w:hAnsi="Times New Roman" w:cs="Times New Roman"/>
          <w:sz w:val="28"/>
          <w:szCs w:val="28"/>
        </w:rPr>
      </w:pPr>
    </w:p>
    <w:p w:rsidR="00077F1E" w:rsidRDefault="00077F1E">
      <w:pPr>
        <w:rPr>
          <w:rFonts w:ascii="Times New Roman" w:hAnsi="Times New Roman" w:cs="Times New Roman"/>
          <w:sz w:val="28"/>
          <w:szCs w:val="28"/>
        </w:rPr>
      </w:pPr>
    </w:p>
    <w:p w:rsidR="00077F1E" w:rsidRDefault="00077F1E">
      <w:pPr>
        <w:rPr>
          <w:rFonts w:ascii="Times New Roman" w:hAnsi="Times New Roman" w:cs="Times New Roman"/>
          <w:sz w:val="28"/>
          <w:szCs w:val="28"/>
        </w:rPr>
      </w:pPr>
    </w:p>
    <w:p w:rsidR="00077F1E" w:rsidRDefault="00077F1E">
      <w:pPr>
        <w:rPr>
          <w:rFonts w:ascii="Times New Roman" w:hAnsi="Times New Roman" w:cs="Times New Roman"/>
          <w:sz w:val="28"/>
          <w:szCs w:val="28"/>
        </w:rPr>
      </w:pPr>
    </w:p>
    <w:p w:rsidR="00077F1E" w:rsidRDefault="00077F1E">
      <w:pPr>
        <w:rPr>
          <w:rFonts w:ascii="Times New Roman" w:hAnsi="Times New Roman" w:cs="Times New Roman"/>
          <w:sz w:val="28"/>
          <w:szCs w:val="28"/>
        </w:rPr>
      </w:pPr>
    </w:p>
    <w:p w:rsidR="00077F1E" w:rsidRDefault="00077F1E">
      <w:pPr>
        <w:rPr>
          <w:rFonts w:ascii="Times New Roman" w:hAnsi="Times New Roman" w:cs="Times New Roman"/>
          <w:sz w:val="28"/>
          <w:szCs w:val="28"/>
        </w:rPr>
      </w:pPr>
    </w:p>
    <w:p w:rsidR="00077F1E" w:rsidRPr="00592D21" w:rsidRDefault="00077F1E" w:rsidP="00077F1E">
      <w:pPr>
        <w:pStyle w:val="NoSpacing"/>
        <w:rPr>
          <w:sz w:val="20"/>
          <w:szCs w:val="20"/>
        </w:rPr>
      </w:pPr>
      <w:r>
        <w:rPr>
          <w:sz w:val="20"/>
          <w:szCs w:val="20"/>
        </w:rPr>
        <w:t>14</w:t>
      </w:r>
      <w:r w:rsidRPr="00592D21">
        <w:rPr>
          <w:sz w:val="20"/>
          <w:szCs w:val="20"/>
        </w:rPr>
        <w:t>.</w:t>
      </w:r>
      <w:r>
        <w:rPr>
          <w:sz w:val="20"/>
          <w:szCs w:val="20"/>
        </w:rPr>
        <w:t>11</w:t>
      </w:r>
      <w:r w:rsidRPr="00592D21">
        <w:rPr>
          <w:sz w:val="20"/>
          <w:szCs w:val="20"/>
        </w:rPr>
        <w:t>.201</w:t>
      </w:r>
      <w:r>
        <w:rPr>
          <w:sz w:val="20"/>
          <w:szCs w:val="20"/>
        </w:rPr>
        <w:t>1</w:t>
      </w:r>
      <w:r w:rsidRPr="00592D21">
        <w:rPr>
          <w:sz w:val="20"/>
          <w:szCs w:val="20"/>
        </w:rPr>
        <w:t xml:space="preserve">. </w:t>
      </w:r>
    </w:p>
    <w:p w:rsidR="00077F1E" w:rsidRPr="00592D21" w:rsidRDefault="00077F1E" w:rsidP="00077F1E">
      <w:pPr>
        <w:pStyle w:val="NoSpacing"/>
        <w:rPr>
          <w:sz w:val="20"/>
          <w:szCs w:val="20"/>
        </w:rPr>
      </w:pPr>
      <w:r>
        <w:rPr>
          <w:sz w:val="20"/>
          <w:szCs w:val="20"/>
        </w:rPr>
        <w:t>70</w:t>
      </w:r>
      <w:r w:rsidR="00E77CB7">
        <w:rPr>
          <w:sz w:val="20"/>
          <w:szCs w:val="20"/>
        </w:rPr>
        <w:t>5</w:t>
      </w:r>
    </w:p>
    <w:p w:rsidR="00077F1E" w:rsidRPr="00592D21" w:rsidRDefault="00077F1E" w:rsidP="00077F1E">
      <w:pPr>
        <w:pStyle w:val="NoSpacing"/>
        <w:rPr>
          <w:sz w:val="20"/>
          <w:szCs w:val="20"/>
        </w:rPr>
      </w:pPr>
      <w:r w:rsidRPr="00592D21">
        <w:rPr>
          <w:sz w:val="20"/>
          <w:szCs w:val="20"/>
        </w:rPr>
        <w:t>D.Bilmanis</w:t>
      </w:r>
    </w:p>
    <w:p w:rsidR="00077F1E" w:rsidRPr="00592D21" w:rsidRDefault="00077F1E" w:rsidP="00077F1E">
      <w:pPr>
        <w:pStyle w:val="NoSpacing"/>
        <w:rPr>
          <w:sz w:val="20"/>
          <w:szCs w:val="20"/>
        </w:rPr>
      </w:pPr>
      <w:r w:rsidRPr="00592D21">
        <w:rPr>
          <w:sz w:val="20"/>
          <w:szCs w:val="20"/>
        </w:rPr>
        <w:t>Politikas koordinācijas departamenta</w:t>
      </w:r>
    </w:p>
    <w:p w:rsidR="00077F1E" w:rsidRPr="00592D21" w:rsidRDefault="00077F1E" w:rsidP="00077F1E">
      <w:pPr>
        <w:pStyle w:val="NoSpacing"/>
        <w:rPr>
          <w:sz w:val="20"/>
          <w:szCs w:val="20"/>
        </w:rPr>
      </w:pPr>
      <w:r w:rsidRPr="00592D21">
        <w:rPr>
          <w:sz w:val="20"/>
          <w:szCs w:val="20"/>
        </w:rPr>
        <w:t>Politikas plānošanas nodaļas juriskonsults</w:t>
      </w:r>
    </w:p>
    <w:p w:rsidR="00077F1E" w:rsidRPr="00592D21" w:rsidRDefault="00077F1E" w:rsidP="00077F1E">
      <w:pPr>
        <w:pStyle w:val="NoSpacing"/>
        <w:rPr>
          <w:sz w:val="20"/>
          <w:szCs w:val="20"/>
        </w:rPr>
      </w:pPr>
      <w:r w:rsidRPr="00592D21">
        <w:rPr>
          <w:sz w:val="20"/>
          <w:szCs w:val="20"/>
        </w:rPr>
        <w:t xml:space="preserve">67047702, </w:t>
      </w:r>
      <w:hyperlink r:id="rId6" w:history="1">
        <w:r w:rsidRPr="00592D21">
          <w:rPr>
            <w:rStyle w:val="Hyperlink"/>
            <w:sz w:val="20"/>
            <w:szCs w:val="20"/>
          </w:rPr>
          <w:t>dainis.bilmanis@izm.gov.lv</w:t>
        </w:r>
      </w:hyperlink>
      <w:r w:rsidRPr="00592D21">
        <w:rPr>
          <w:sz w:val="20"/>
          <w:szCs w:val="20"/>
        </w:rPr>
        <w:t xml:space="preserve"> </w:t>
      </w:r>
    </w:p>
    <w:p w:rsidR="00077F1E" w:rsidRPr="006D5621" w:rsidRDefault="00077F1E">
      <w:pPr>
        <w:rPr>
          <w:rFonts w:ascii="Times New Roman" w:hAnsi="Times New Roman" w:cs="Times New Roman"/>
          <w:sz w:val="28"/>
          <w:szCs w:val="28"/>
        </w:rPr>
      </w:pPr>
    </w:p>
    <w:sectPr w:rsidR="00077F1E" w:rsidRPr="006D5621" w:rsidSect="001C10F2">
      <w:headerReference w:type="even" r:id="rId7"/>
      <w:headerReference w:type="default" r:id="rId8"/>
      <w:footerReference w:type="even" r:id="rId9"/>
      <w:footerReference w:type="default" r:id="rId10"/>
      <w:headerReference w:type="first" r:id="rId11"/>
      <w:footerReference w:type="first" r:id="rId12"/>
      <w:pgSz w:w="11906" w:h="16838"/>
      <w:pgMar w:top="1440" w:right="991" w:bottom="144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2BE" w:rsidRDefault="000D52BE" w:rsidP="000C2738">
      <w:pPr>
        <w:spacing w:after="0" w:line="240" w:lineRule="auto"/>
      </w:pPr>
      <w:r>
        <w:separator/>
      </w:r>
    </w:p>
  </w:endnote>
  <w:endnote w:type="continuationSeparator" w:id="1">
    <w:p w:rsidR="000D52BE" w:rsidRDefault="000D52BE" w:rsidP="000C2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46" w:rsidRDefault="003F74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738" w:rsidRPr="000C2738" w:rsidRDefault="000C2738" w:rsidP="000C2738">
    <w:pPr>
      <w:pStyle w:val="Footer"/>
      <w:rPr>
        <w:rFonts w:ascii="Times New Roman" w:hAnsi="Times New Roman" w:cs="Times New Roman"/>
        <w:sz w:val="20"/>
        <w:szCs w:val="20"/>
      </w:rPr>
    </w:pPr>
    <w:r w:rsidRPr="000C2738">
      <w:rPr>
        <w:rFonts w:ascii="Times New Roman" w:hAnsi="Times New Roman" w:cs="Times New Roman"/>
        <w:sz w:val="20"/>
        <w:szCs w:val="20"/>
      </w:rPr>
      <w:t>IZMAnot_141111_IL_groz; Likumprojekta „Grozījum</w:t>
    </w:r>
    <w:r w:rsidR="001D65ED">
      <w:rPr>
        <w:rFonts w:ascii="Times New Roman" w:hAnsi="Times New Roman" w:cs="Times New Roman"/>
        <w:sz w:val="20"/>
        <w:szCs w:val="20"/>
      </w:rPr>
      <w:t>s</w:t>
    </w:r>
    <w:r w:rsidRPr="000C2738">
      <w:rPr>
        <w:rFonts w:ascii="Times New Roman" w:hAnsi="Times New Roman" w:cs="Times New Roman"/>
        <w:sz w:val="20"/>
        <w:szCs w:val="20"/>
      </w:rPr>
      <w:t xml:space="preserve"> Izglītības likumā” sākotnējās ietekmes novērtējuma ziņojums (anotācija).  </w:t>
    </w:r>
  </w:p>
  <w:p w:rsidR="000C2738" w:rsidRPr="000C2738" w:rsidRDefault="000C2738" w:rsidP="000C27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46" w:rsidRPr="000C2738" w:rsidRDefault="003F7446" w:rsidP="003F7446">
    <w:pPr>
      <w:pStyle w:val="Footer"/>
      <w:rPr>
        <w:rFonts w:ascii="Times New Roman" w:hAnsi="Times New Roman" w:cs="Times New Roman"/>
        <w:sz w:val="20"/>
        <w:szCs w:val="20"/>
      </w:rPr>
    </w:pPr>
    <w:r w:rsidRPr="000C2738">
      <w:rPr>
        <w:rFonts w:ascii="Times New Roman" w:hAnsi="Times New Roman" w:cs="Times New Roman"/>
        <w:sz w:val="20"/>
        <w:szCs w:val="20"/>
      </w:rPr>
      <w:t>IZMAnot_141111_IL_groz; Likumprojekta „Grozījum</w:t>
    </w:r>
    <w:r w:rsidR="001D65ED">
      <w:rPr>
        <w:rFonts w:ascii="Times New Roman" w:hAnsi="Times New Roman" w:cs="Times New Roman"/>
        <w:sz w:val="20"/>
        <w:szCs w:val="20"/>
      </w:rPr>
      <w:t>s</w:t>
    </w:r>
    <w:r w:rsidRPr="000C2738">
      <w:rPr>
        <w:rFonts w:ascii="Times New Roman" w:hAnsi="Times New Roman" w:cs="Times New Roman"/>
        <w:sz w:val="20"/>
        <w:szCs w:val="20"/>
      </w:rPr>
      <w:t xml:space="preserve"> Izglītības likumā” sākotnējās ietekmes novērtējuma ziņojums (anotācija).  </w:t>
    </w:r>
  </w:p>
  <w:p w:rsidR="003F7446" w:rsidRDefault="003F74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2BE" w:rsidRDefault="000D52BE" w:rsidP="000C2738">
      <w:pPr>
        <w:spacing w:after="0" w:line="240" w:lineRule="auto"/>
      </w:pPr>
      <w:r>
        <w:separator/>
      </w:r>
    </w:p>
  </w:footnote>
  <w:footnote w:type="continuationSeparator" w:id="1">
    <w:p w:rsidR="000D52BE" w:rsidRDefault="000D52BE" w:rsidP="000C27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46" w:rsidRDefault="003F74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7844"/>
      <w:docPartObj>
        <w:docPartGallery w:val="Page Numbers (Top of Page)"/>
        <w:docPartUnique/>
      </w:docPartObj>
    </w:sdtPr>
    <w:sdtContent>
      <w:p w:rsidR="00930819" w:rsidRDefault="008C49BB">
        <w:pPr>
          <w:pStyle w:val="Header"/>
          <w:jc w:val="center"/>
        </w:pPr>
        <w:fldSimple w:instr=" PAGE   \* MERGEFORMAT ">
          <w:r w:rsidR="00404F51">
            <w:rPr>
              <w:noProof/>
            </w:rPr>
            <w:t>5</w:t>
          </w:r>
        </w:fldSimple>
      </w:p>
    </w:sdtContent>
  </w:sdt>
  <w:p w:rsidR="000C2738" w:rsidRDefault="000C27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46" w:rsidRDefault="003F74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D5621"/>
    <w:rsid w:val="00077F1E"/>
    <w:rsid w:val="000B0EB1"/>
    <w:rsid w:val="000C2738"/>
    <w:rsid w:val="000D52BE"/>
    <w:rsid w:val="001C10F2"/>
    <w:rsid w:val="001D65ED"/>
    <w:rsid w:val="00287625"/>
    <w:rsid w:val="002A6FC5"/>
    <w:rsid w:val="00391B15"/>
    <w:rsid w:val="003F7446"/>
    <w:rsid w:val="00404F51"/>
    <w:rsid w:val="00405DCE"/>
    <w:rsid w:val="00506F57"/>
    <w:rsid w:val="00582C4E"/>
    <w:rsid w:val="005C208A"/>
    <w:rsid w:val="005C3468"/>
    <w:rsid w:val="005F238D"/>
    <w:rsid w:val="00613525"/>
    <w:rsid w:val="0062213E"/>
    <w:rsid w:val="006A557A"/>
    <w:rsid w:val="006D5621"/>
    <w:rsid w:val="00702B19"/>
    <w:rsid w:val="0072341F"/>
    <w:rsid w:val="00753022"/>
    <w:rsid w:val="007B2769"/>
    <w:rsid w:val="00826E17"/>
    <w:rsid w:val="008C49BB"/>
    <w:rsid w:val="008D60C1"/>
    <w:rsid w:val="00930819"/>
    <w:rsid w:val="00950D5D"/>
    <w:rsid w:val="00962D35"/>
    <w:rsid w:val="009A558D"/>
    <w:rsid w:val="009B679F"/>
    <w:rsid w:val="009D3425"/>
    <w:rsid w:val="009F44BF"/>
    <w:rsid w:val="00A2457A"/>
    <w:rsid w:val="00A8194F"/>
    <w:rsid w:val="00B325EB"/>
    <w:rsid w:val="00BA6267"/>
    <w:rsid w:val="00BB078D"/>
    <w:rsid w:val="00BD4045"/>
    <w:rsid w:val="00C01180"/>
    <w:rsid w:val="00C2134F"/>
    <w:rsid w:val="00C36EFA"/>
    <w:rsid w:val="00C707D6"/>
    <w:rsid w:val="00D0604B"/>
    <w:rsid w:val="00DF7383"/>
    <w:rsid w:val="00E05972"/>
    <w:rsid w:val="00E607AC"/>
    <w:rsid w:val="00E77CB7"/>
    <w:rsid w:val="00EB7753"/>
    <w:rsid w:val="00EC5803"/>
    <w:rsid w:val="00ED0EE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0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6D56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6D56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lab">
    <w:name w:val="naislab"/>
    <w:basedOn w:val="Normal"/>
    <w:rsid w:val="006D56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6D56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Normal"/>
    <w:rsid w:val="006D562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B7753"/>
    <w:pPr>
      <w:spacing w:before="75" w:after="75" w:line="240" w:lineRule="auto"/>
      <w:ind w:firstLine="375"/>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27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2738"/>
  </w:style>
  <w:style w:type="paragraph" w:styleId="Footer">
    <w:name w:val="footer"/>
    <w:basedOn w:val="Normal"/>
    <w:link w:val="FooterChar"/>
    <w:uiPriority w:val="99"/>
    <w:semiHidden/>
    <w:unhideWhenUsed/>
    <w:rsid w:val="000C273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C2738"/>
  </w:style>
  <w:style w:type="character" w:styleId="Hyperlink">
    <w:name w:val="Hyperlink"/>
    <w:basedOn w:val="DefaultParagraphFont"/>
    <w:rsid w:val="00077F1E"/>
    <w:rPr>
      <w:color w:val="0000FF"/>
      <w:u w:val="single"/>
    </w:rPr>
  </w:style>
  <w:style w:type="paragraph" w:styleId="NoSpacing">
    <w:name w:val="No Spacing"/>
    <w:uiPriority w:val="1"/>
    <w:qFormat/>
    <w:rsid w:val="00077F1E"/>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4130064">
      <w:bodyDiv w:val="1"/>
      <w:marLeft w:val="0"/>
      <w:marRight w:val="0"/>
      <w:marTop w:val="0"/>
      <w:marBottom w:val="0"/>
      <w:divBdr>
        <w:top w:val="none" w:sz="0" w:space="0" w:color="auto"/>
        <w:left w:val="none" w:sz="0" w:space="0" w:color="auto"/>
        <w:bottom w:val="none" w:sz="0" w:space="0" w:color="auto"/>
        <w:right w:val="none" w:sz="0" w:space="0" w:color="auto"/>
      </w:divBdr>
    </w:div>
    <w:div w:id="152162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inis.bilmanis@iz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3608</Words>
  <Characters>2057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dbilmanis</dc:creator>
  <cp:keywords/>
  <dc:description/>
  <cp:lastModifiedBy>dbilmanis</cp:lastModifiedBy>
  <cp:revision>23</cp:revision>
  <dcterms:created xsi:type="dcterms:W3CDTF">2011-11-14T13:21:00Z</dcterms:created>
  <dcterms:modified xsi:type="dcterms:W3CDTF">2011-11-24T09:32:00Z</dcterms:modified>
</cp:coreProperties>
</file>