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D" w:rsidRDefault="006D5621" w:rsidP="005F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621">
        <w:rPr>
          <w:rFonts w:ascii="Times New Roman" w:eastAsia="Times New Roman" w:hAnsi="Times New Roman" w:cs="Times New Roman"/>
          <w:b/>
          <w:sz w:val="28"/>
          <w:szCs w:val="28"/>
        </w:rPr>
        <w:t xml:space="preserve">Likumprojekta „Grozījums </w:t>
      </w:r>
      <w:r w:rsidR="00AA6E28">
        <w:rPr>
          <w:rFonts w:ascii="Times New Roman" w:eastAsia="Times New Roman" w:hAnsi="Times New Roman" w:cs="Times New Roman"/>
          <w:b/>
          <w:sz w:val="28"/>
          <w:szCs w:val="28"/>
        </w:rPr>
        <w:t>Profesionālās i</w:t>
      </w:r>
      <w:r w:rsidRPr="006D5621">
        <w:rPr>
          <w:rFonts w:ascii="Times New Roman" w:eastAsia="Times New Roman" w:hAnsi="Times New Roman" w:cs="Times New Roman"/>
          <w:b/>
          <w:sz w:val="28"/>
          <w:szCs w:val="28"/>
        </w:rPr>
        <w:t xml:space="preserve">zglītības likumā” </w:t>
      </w:r>
    </w:p>
    <w:p w:rsidR="006D5621" w:rsidRDefault="006D5621" w:rsidP="005F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621">
        <w:rPr>
          <w:rFonts w:ascii="Times New Roman" w:eastAsia="Times New Roman" w:hAnsi="Times New Roman" w:cs="Times New Roman"/>
          <w:b/>
          <w:sz w:val="28"/>
          <w:szCs w:val="28"/>
        </w:rPr>
        <w:t>sākotnējās ietekmes izvērtējuma ziņojums (anotācija)</w:t>
      </w:r>
    </w:p>
    <w:p w:rsidR="005F238D" w:rsidRPr="006D5621" w:rsidRDefault="005F238D" w:rsidP="005F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999"/>
        <w:gridCol w:w="5118"/>
      </w:tblGrid>
      <w:tr w:rsidR="006D5621" w:rsidRPr="006D5621" w:rsidTr="001C10F2">
        <w:trPr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DF7383" w:rsidRPr="006D5621" w:rsidTr="001C10F2">
        <w:trPr>
          <w:trHeight w:val="630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Pamatojums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A2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0EB1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2011.gada 1.novembra protokollēmuma (protokols Nr.</w:t>
            </w:r>
            <w:r w:rsidR="00E607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B0EB1">
              <w:rPr>
                <w:rFonts w:ascii="Times New Roman" w:eastAsia="Times New Roman" w:hAnsi="Times New Roman" w:cs="Times New Roman"/>
                <w:sz w:val="28"/>
                <w:szCs w:val="28"/>
              </w:rPr>
              <w:t>2 57.§) „Informatīvais ziņojums „Par valsts budžeta izdevumiem 2012.-2014.gadā”” 10.punkts</w:t>
            </w:r>
            <w:r w:rsidR="00E60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kur noteikts uzdevums Izglītības un zinātnes ministrijai izstrādāt un iesniegt Ministru kabinetā  likumprojekta „Pat valsts budžetu 2012.gadam” paketē likumprojektu par grozījumiem 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</w:t>
            </w:r>
            <w:r w:rsidR="00E607AC">
              <w:rPr>
                <w:rFonts w:ascii="Times New Roman" w:eastAsia="Times New Roman" w:hAnsi="Times New Roman" w:cs="Times New Roman"/>
                <w:sz w:val="28"/>
                <w:szCs w:val="28"/>
              </w:rPr>
              <w:t>zglītības likumā,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0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paredzot, ka 2012.gadā attiecīgi pedagogiem, nemaksā prēmijas, bet viņu materiālo stimulēšanu </w:t>
            </w:r>
            <w:r w:rsidR="00D0604B">
              <w:rPr>
                <w:rFonts w:ascii="Times New Roman" w:eastAsia="Times New Roman" w:hAnsi="Times New Roman" w:cs="Times New Roman"/>
                <w:sz w:val="28"/>
                <w:szCs w:val="28"/>
              </w:rPr>
              <w:t>veic un pabalstus izmaksā saskaņā ar Valsts un pašvaldību institūciju amatpersonu un darbinieku atlīdzības likumu</w:t>
            </w:r>
            <w:r w:rsidR="000B0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7383" w:rsidRPr="00EB7753" w:rsidTr="001C10F2">
        <w:trPr>
          <w:trHeight w:val="472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Pašreizējā situācija un problēmas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753" w:rsidRPr="00AA6E28" w:rsidRDefault="00DF7383" w:rsidP="00AA6E28">
            <w:pPr>
              <w:pStyle w:val="NormalWeb"/>
              <w:spacing w:before="0" w:after="0"/>
              <w:ind w:firstLine="0"/>
              <w:rPr>
                <w:sz w:val="28"/>
                <w:szCs w:val="28"/>
              </w:rPr>
            </w:pPr>
            <w:r w:rsidRPr="00AA6E28">
              <w:rPr>
                <w:sz w:val="28"/>
                <w:szCs w:val="28"/>
              </w:rPr>
              <w:t xml:space="preserve">Pašreiz </w:t>
            </w:r>
            <w:r w:rsidR="00AA6E28">
              <w:rPr>
                <w:sz w:val="28"/>
                <w:szCs w:val="28"/>
              </w:rPr>
              <w:t>Profesionālās i</w:t>
            </w:r>
            <w:r w:rsidRPr="00AA6E28">
              <w:rPr>
                <w:sz w:val="28"/>
                <w:szCs w:val="28"/>
              </w:rPr>
              <w:t xml:space="preserve">zglītības likuma Pārejas noteikumu </w:t>
            </w:r>
            <w:r w:rsidR="00AA6E28" w:rsidRPr="00AA6E28">
              <w:rPr>
                <w:sz w:val="28"/>
                <w:szCs w:val="28"/>
              </w:rPr>
              <w:t>11</w:t>
            </w:r>
            <w:r w:rsidRPr="00AA6E28">
              <w:rPr>
                <w:sz w:val="28"/>
                <w:szCs w:val="28"/>
              </w:rPr>
              <w:t xml:space="preserve">.punktā ir noteikts, ka </w:t>
            </w:r>
            <w:r w:rsidR="00AA6E28" w:rsidRPr="00AA6E28">
              <w:rPr>
                <w:sz w:val="28"/>
                <w:szCs w:val="28"/>
              </w:rPr>
              <w:t xml:space="preserve">saskaņā ar šo likumu valsts un pašvaldību institūcijās noteikto atlīdzību (darba samaksu, prēmijas, naudas balvas, pabalstus u.c.) 2009.gadā nosaka atbilstoši likumam </w:t>
            </w:r>
            <w:r w:rsidR="00AA6E28">
              <w:rPr>
                <w:sz w:val="28"/>
                <w:szCs w:val="28"/>
              </w:rPr>
              <w:t>„</w:t>
            </w:r>
            <w:r w:rsidR="00AA6E28" w:rsidRPr="00AA6E28">
              <w:rPr>
                <w:sz w:val="28"/>
                <w:szCs w:val="28"/>
              </w:rPr>
              <w:t>Par valsts un pašvaldību institūciju amatpersonu un darbinieku atlīdzību 2009.gadā".</w:t>
            </w:r>
          </w:p>
        </w:tc>
      </w:tr>
      <w:tr w:rsidR="00DF7383" w:rsidRPr="00EB7753" w:rsidTr="001C10F2">
        <w:trPr>
          <w:trHeight w:val="107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Saistītie politikas ietekmes novērtējumi un pētījumi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0B0EB1" w:rsidP="00EB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Likumprojekts šo jomu neskar.</w:t>
            </w:r>
          </w:p>
        </w:tc>
      </w:tr>
      <w:tr w:rsidR="00DF7383" w:rsidRPr="00B325EB" w:rsidTr="001C10F2">
        <w:trPr>
          <w:trHeight w:val="384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Tiesiskā regulējuma mērķis un būtība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B325EB" w:rsidRDefault="005F238D" w:rsidP="00B32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Likumprojektā noteikts, ka 2012.gadā valsts un pašvaldību 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>institūcijās</w:t>
            </w:r>
            <w:r w:rsidRPr="00B325EB">
              <w:rPr>
                <w:rFonts w:ascii="Times New Roman" w:hAnsi="Times New Roman" w:cs="Times New Roman"/>
                <w:sz w:val="28"/>
                <w:szCs w:val="28"/>
              </w:rPr>
              <w:t xml:space="preserve"> pedagogiem nemaksā prēmijas, bet viņu materiālo stimulēšanu veic un pabalstus izmaksā saskaņā ar Valsts un pašvaldību institūciju amatpersonu un darbinieku atlīdzības likumu</w:t>
            </w:r>
            <w:r w:rsidR="00EB7753" w:rsidRPr="00B32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753" w:rsidRPr="00B325EB" w:rsidRDefault="00EB7753" w:rsidP="00E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383" w:rsidRPr="00B325EB" w:rsidTr="001C10F2">
        <w:trPr>
          <w:trHeight w:val="476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B325EB" w:rsidRDefault="006D5621" w:rsidP="00B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0EB1" w:rsidRPr="00B325EB">
              <w:rPr>
                <w:rFonts w:ascii="Times New Roman" w:eastAsia="Times New Roman" w:hAnsi="Times New Roman" w:cs="Times New Roman"/>
                <w:sz w:val="28"/>
                <w:szCs w:val="28"/>
              </w:rPr>
              <w:t>Izglītības un zinātnes ministrija</w:t>
            </w:r>
          </w:p>
        </w:tc>
      </w:tr>
      <w:tr w:rsidR="00DF7383" w:rsidRPr="00EB7753" w:rsidTr="001C10F2">
        <w:trPr>
          <w:trHeight w:val="1340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6.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Iemesli, kādēļ netika nodrošināta sabiedrības līdzdalība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D0604B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Sabiedrības līdzdalība</w:t>
            </w:r>
            <w:r w:rsidR="00B3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netika nodrošināta.</w:t>
            </w: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383" w:rsidRPr="00EB7753" w:rsidTr="001C10F2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Cita informācija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EB7753" w:rsidRDefault="006D5621" w:rsidP="000B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eastAsia="Times New Roman" w:hAnsi="Times New Roman" w:cs="Times New Roman"/>
                <w:sz w:val="28"/>
                <w:szCs w:val="28"/>
              </w:rPr>
              <w:t> Nav</w:t>
            </w:r>
          </w:p>
        </w:tc>
      </w:tr>
    </w:tbl>
    <w:p w:rsidR="006D5621" w:rsidRPr="00EB7753" w:rsidRDefault="006D5621" w:rsidP="006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75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4738"/>
        <w:gridCol w:w="4386"/>
      </w:tblGrid>
      <w:tr w:rsidR="006D5621" w:rsidRPr="006D5621" w:rsidTr="006D5621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C2134F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2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7B2769" w:rsidRPr="006D5621" w:rsidTr="006D5621">
        <w:trPr>
          <w:trHeight w:val="4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Sabiedrības mērķgrupa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C36EFA" w:rsidP="00AA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Valsts un pašvaldību 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>institūcijās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238D">
              <w:rPr>
                <w:rFonts w:ascii="Times New Roman" w:eastAsia="Times New Roman" w:hAnsi="Times New Roman" w:cs="Times New Roman"/>
                <w:sz w:val="28"/>
                <w:szCs w:val="28"/>
              </w:rPr>
              <w:t>nodarbinātie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pedagogi</w:t>
            </w:r>
          </w:p>
        </w:tc>
      </w:tr>
      <w:tr w:rsidR="007B2769" w:rsidRPr="006D5621" w:rsidTr="006D5621">
        <w:trPr>
          <w:trHeight w:val="52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Citas sabiedrības grupas (bez mērķgrupas), kuras tiesiskais regulējums arī ietekmē vai varētu ietekmēt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AA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2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Valsts un pašvaldību 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>institūcijās</w:t>
            </w:r>
            <w:r w:rsidR="005F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nodarbinātie</w:t>
            </w:r>
            <w:r w:rsidR="007B2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769" w:rsidRPr="006D5621" w:rsidTr="006D5621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Tiesiskā regulējuma 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AA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Valsts un pašvaldību institūcijās nodarbināto </w:t>
            </w:r>
            <w:r w:rsidR="00B325EB">
              <w:rPr>
                <w:rFonts w:ascii="Times New Roman" w:eastAsia="Times New Roman" w:hAnsi="Times New Roman" w:cs="Times New Roman"/>
                <w:sz w:val="28"/>
                <w:szCs w:val="28"/>
              </w:rPr>
              <w:t>pedagogu finansiālā situācija</w:t>
            </w:r>
            <w:r w:rsidR="0040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nemainās.</w:t>
            </w:r>
            <w:r w:rsidR="00B3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B2769" w:rsidRPr="006D5621" w:rsidTr="006D5621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Tiesiskā regulējuma nefinansiālā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702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2B19">
              <w:rPr>
                <w:rFonts w:ascii="Times New Roman" w:eastAsia="Times New Roman" w:hAnsi="Times New Roman" w:cs="Times New Roman"/>
                <w:sz w:val="28"/>
                <w:szCs w:val="28"/>
              </w:rPr>
              <w:t>Nav attiecināms</w:t>
            </w:r>
          </w:p>
        </w:tc>
      </w:tr>
      <w:tr w:rsidR="007B2769" w:rsidRPr="006D5621" w:rsidTr="006D5621">
        <w:trPr>
          <w:trHeight w:val="53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Administratīvās procedūras raksturojums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702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2B19">
              <w:rPr>
                <w:rFonts w:ascii="Times New Roman" w:eastAsia="Times New Roman" w:hAnsi="Times New Roman" w:cs="Times New Roman"/>
                <w:sz w:val="28"/>
                <w:szCs w:val="28"/>
              </w:rPr>
              <w:t>Jaunas administratīvas procedūras nebūs nepieciešamas</w:t>
            </w:r>
          </w:p>
        </w:tc>
      </w:tr>
      <w:tr w:rsidR="007B2769" w:rsidRPr="006D5621" w:rsidTr="006D5621">
        <w:trPr>
          <w:trHeight w:val="35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Administratīvo izmaksu monetārs novērtējums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7B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2769">
              <w:rPr>
                <w:rFonts w:ascii="Times New Roman" w:eastAsia="Times New Roman" w:hAnsi="Times New Roman" w:cs="Times New Roman"/>
                <w:sz w:val="28"/>
                <w:szCs w:val="28"/>
              </w:rPr>
              <w:t>Nav attiecināms</w:t>
            </w:r>
          </w:p>
        </w:tc>
      </w:tr>
      <w:tr w:rsidR="007B2769" w:rsidRPr="006D5621" w:rsidTr="006D562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Cita informācija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702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6D5621" w:rsidRPr="006D5621" w:rsidRDefault="006D5621" w:rsidP="006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2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1343"/>
        <w:gridCol w:w="1388"/>
        <w:gridCol w:w="1358"/>
        <w:gridCol w:w="1358"/>
        <w:gridCol w:w="1692"/>
      </w:tblGrid>
      <w:tr w:rsidR="006D5621" w:rsidRPr="006D5621" w:rsidTr="008D60C1">
        <w:trPr>
          <w:trHeight w:val="652"/>
          <w:tblCellSpacing w:w="0" w:type="dxa"/>
        </w:trPr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C2134F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27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D06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0604B">
              <w:rPr>
                <w:rFonts w:ascii="Times New Roman" w:eastAsia="Times New Roman" w:hAnsi="Times New Roman" w:cs="Times New Roman"/>
                <w:sz w:val="28"/>
                <w:szCs w:val="28"/>
              </w:rPr>
              <w:t>2011.gads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Turpmākie trīs gadi (tūkst. latu)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D06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0604B">
              <w:rPr>
                <w:rFonts w:ascii="Times New Roman" w:eastAsia="Times New Roman" w:hAnsi="Times New Roman" w:cs="Times New Roman"/>
                <w:sz w:val="28"/>
                <w:szCs w:val="28"/>
              </w:rPr>
              <w:t>2012.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D06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0604B">
              <w:rPr>
                <w:rFonts w:ascii="Times New Roman" w:eastAsia="Times New Roman" w:hAnsi="Times New Roman" w:cs="Times New Roman"/>
                <w:sz w:val="28"/>
                <w:szCs w:val="28"/>
              </w:rPr>
              <w:t>2013.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D06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0604B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Saskaņā ar valsts budžetu kārtējam gadam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Izmaiņas kārtējā gadā, salīdzinot ar budžetu kārtējam gadam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Izmaiņas, salīdzinot ar kārtējo (n) gadu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Izmaiņas, salīdzinot ar kārtējo (n) gadu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Izmaiņas, salīdzinot ar kārtējo (n) gadu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6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 Budžeta ieņēmumi: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1.1. valsts pamatbudžets, tai skaitā ieņēmumi no maksas pakalpo-jumiem un citi pašu ieņēmumi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1.2. valsts speciālais 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1.3. pašvaldību 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 Budžeta izdevumi: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2.1. valsts pamatbudžets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2.2. valsts speciālais 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2.3. pašvaldību 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3. Finansiālā ietekme: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3.1. valsts pamatbudžets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3.2. speciālais 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3.3. pašvaldību budžets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4. Finanšu līdzekļi papildu izde</w:t>
            </w: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X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5. Precizēta finansiālā ietekme: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X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81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6. Detalizēts </w:t>
            </w: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ieņēmumu un izdevu</w:t>
            </w: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1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</w:t>
            </w: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6.1. detalizēts ieņēmumu aprēķins</w:t>
            </w:r>
          </w:p>
        </w:tc>
        <w:tc>
          <w:tcPr>
            <w:tcW w:w="713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6.2. detalizēts izdevumu aprēķins</w:t>
            </w:r>
          </w:p>
        </w:tc>
        <w:tc>
          <w:tcPr>
            <w:tcW w:w="713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21" w:rsidRPr="006D5621" w:rsidRDefault="006D5621" w:rsidP="006D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5621" w:rsidRPr="006D5621" w:rsidTr="008D60C1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7. Cita informācija</w:t>
            </w:r>
          </w:p>
        </w:tc>
        <w:tc>
          <w:tcPr>
            <w:tcW w:w="71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972" w:rsidRDefault="00E05972" w:rsidP="00E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Papildus budžeta līdzekļi 2012.gadam nav nepieciešami.</w:t>
            </w:r>
            <w:r w:rsidR="006D5621"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5621" w:rsidRDefault="00613525" w:rsidP="00E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Likumprojektā ietverto tiesību normu īstenošana tiks nodrošināta valsts budžet</w:t>
            </w:r>
            <w:r w:rsidR="0040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ā paredzēto līdzekļu ietvaros.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94F" w:rsidRPr="006D5621" w:rsidRDefault="00A8194F" w:rsidP="00E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5621" w:rsidRPr="00506F57" w:rsidRDefault="006D5621" w:rsidP="006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2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4148"/>
        <w:gridCol w:w="4380"/>
      </w:tblGrid>
      <w:tr w:rsidR="006D5621" w:rsidRPr="006D5621" w:rsidTr="00EC5803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C2134F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2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D5621" w:rsidRPr="006D5621" w:rsidTr="00EC5803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Nepieciešamie saistītie tiesību aktu projekti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E05972" w:rsidP="00E0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Likumprojekts tiek virzīts vienā paketē ar likumprojektu „Par valsts budžetu 2012.gadam”.</w:t>
            </w:r>
          </w:p>
        </w:tc>
      </w:tr>
      <w:tr w:rsidR="006D5621" w:rsidRPr="006D5621" w:rsidTr="00EC5803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Cita informācija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E0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Nav</w:t>
            </w:r>
            <w:r w:rsidR="00E059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5621" w:rsidRPr="006D5621" w:rsidRDefault="006D5621" w:rsidP="006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341F">
        <w:rPr>
          <w:rFonts w:ascii="Times New Roman" w:eastAsia="Times New Roman" w:hAnsi="Times New Roman" w:cs="Times New Roman"/>
          <w:sz w:val="28"/>
          <w:szCs w:val="28"/>
        </w:rPr>
        <w:tab/>
        <w:t>Anotācijas V un VI sadaļa – l</w:t>
      </w:r>
      <w:r w:rsidR="00A8194F">
        <w:rPr>
          <w:rFonts w:ascii="Times New Roman" w:eastAsia="Times New Roman" w:hAnsi="Times New Roman" w:cs="Times New Roman"/>
          <w:sz w:val="28"/>
          <w:szCs w:val="28"/>
        </w:rPr>
        <w:t>ikumprojekts</w:t>
      </w:r>
      <w:r w:rsidR="0072341F">
        <w:rPr>
          <w:rFonts w:ascii="Times New Roman" w:eastAsia="Times New Roman" w:hAnsi="Times New Roman" w:cs="Times New Roman"/>
          <w:sz w:val="28"/>
          <w:szCs w:val="28"/>
        </w:rPr>
        <w:t xml:space="preserve"> šīs jomas neskar.</w:t>
      </w:r>
      <w:r w:rsidR="00A8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3633"/>
        <w:gridCol w:w="5539"/>
      </w:tblGrid>
      <w:tr w:rsidR="006D5621" w:rsidRPr="006D5621" w:rsidTr="00EC5803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VII. Tiesību akta projekta izpildes nodrošināšana un tās ietekme uz institūcijām</w:t>
            </w:r>
          </w:p>
        </w:tc>
      </w:tr>
      <w:tr w:rsidR="006D5621" w:rsidRPr="006D5621" w:rsidTr="00EC5803">
        <w:trPr>
          <w:trHeight w:val="42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AA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Likumprojekta izpildē būs iesaistīta Izglītības un zinātnes ministrija un valsts un pašvaldību </w:t>
            </w:r>
            <w:r w:rsidR="00AA6E28">
              <w:rPr>
                <w:rFonts w:ascii="Times New Roman" w:eastAsia="Times New Roman" w:hAnsi="Times New Roman" w:cs="Times New Roman"/>
                <w:sz w:val="28"/>
                <w:szCs w:val="28"/>
              </w:rPr>
              <w:t>institūcijas.</w:t>
            </w:r>
          </w:p>
        </w:tc>
      </w:tr>
      <w:tr w:rsidR="006D5621" w:rsidRPr="006D5621" w:rsidTr="00EC5803">
        <w:trPr>
          <w:trHeight w:val="463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Projekta izpildes ietekme uz pārvaldes funkcijām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C2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Likumprojekts šo jomu neskar. </w:t>
            </w:r>
          </w:p>
        </w:tc>
      </w:tr>
      <w:tr w:rsidR="006D5621" w:rsidRPr="006D5621" w:rsidTr="00EC5803">
        <w:trPr>
          <w:trHeight w:val="725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Projekta izpildes ietekme uz pārvaldes institucionālo struktūru.</w:t>
            </w:r>
          </w:p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Jaunu institūciju izveide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C2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34F">
              <w:rPr>
                <w:rFonts w:ascii="Times New Roman" w:eastAsia="Times New Roman" w:hAnsi="Times New Roman" w:cs="Times New Roman"/>
                <w:sz w:val="28"/>
                <w:szCs w:val="28"/>
              </w:rPr>
              <w:t>Likumprojekts šo jomu neskar.</w:t>
            </w:r>
          </w:p>
        </w:tc>
      </w:tr>
      <w:tr w:rsidR="006D5621" w:rsidRPr="006D5621" w:rsidTr="00EC5803">
        <w:trPr>
          <w:trHeight w:val="78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Projekta izpildes ietekme uz pārvaldes institucionālo </w:t>
            </w: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struktūru.</w:t>
            </w:r>
          </w:p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Esošu institūciju likvidācija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C2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C2134F">
              <w:rPr>
                <w:rFonts w:ascii="Times New Roman" w:eastAsia="Times New Roman" w:hAnsi="Times New Roman" w:cs="Times New Roman"/>
                <w:sz w:val="28"/>
                <w:szCs w:val="28"/>
              </w:rPr>
              <w:t>Likumprojekts šo jomu neskar.</w:t>
            </w:r>
          </w:p>
        </w:tc>
      </w:tr>
      <w:tr w:rsidR="006D5621" w:rsidRPr="006D5621" w:rsidTr="00EC5803">
        <w:trPr>
          <w:trHeight w:val="703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5.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Projekta izpildes ietekme uz pārvaldes institucionālo struktūru.</w:t>
            </w:r>
          </w:p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Esošu institūciju reorganizācija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C2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34F">
              <w:rPr>
                <w:rFonts w:ascii="Times New Roman" w:eastAsia="Times New Roman" w:hAnsi="Times New Roman" w:cs="Times New Roman"/>
                <w:sz w:val="28"/>
                <w:szCs w:val="28"/>
              </w:rPr>
              <w:t>Likumprojekts šo jomu neskar.</w:t>
            </w:r>
          </w:p>
        </w:tc>
      </w:tr>
      <w:tr w:rsidR="006D5621" w:rsidRPr="006D5621" w:rsidTr="00EC5803">
        <w:trPr>
          <w:trHeight w:val="47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6D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Cita informācija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21" w:rsidRPr="006D5621" w:rsidRDefault="006D5621" w:rsidP="00C2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621">
              <w:rPr>
                <w:rFonts w:ascii="Times New Roman" w:eastAsia="Times New Roman" w:hAnsi="Times New Roman" w:cs="Times New Roman"/>
                <w:sz w:val="28"/>
                <w:szCs w:val="28"/>
              </w:rPr>
              <w:t> Nav</w:t>
            </w:r>
          </w:p>
        </w:tc>
      </w:tr>
    </w:tbl>
    <w:p w:rsidR="0062213E" w:rsidRDefault="0062213E">
      <w:pPr>
        <w:rPr>
          <w:rFonts w:ascii="Times New Roman" w:hAnsi="Times New Roman" w:cs="Times New Roman"/>
          <w:sz w:val="28"/>
          <w:szCs w:val="28"/>
        </w:rPr>
      </w:pPr>
    </w:p>
    <w:p w:rsidR="00C2134F" w:rsidRDefault="00C2134F">
      <w:pPr>
        <w:rPr>
          <w:rFonts w:ascii="Times New Roman" w:hAnsi="Times New Roman" w:cs="Times New Roman"/>
          <w:sz w:val="28"/>
          <w:szCs w:val="28"/>
        </w:rPr>
      </w:pPr>
    </w:p>
    <w:p w:rsidR="0072118B" w:rsidRDefault="0072118B" w:rsidP="0072118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R.Ķīlis</w:t>
      </w:r>
    </w:p>
    <w:p w:rsidR="0072118B" w:rsidRDefault="0072118B" w:rsidP="0072118B">
      <w:pPr>
        <w:rPr>
          <w:rFonts w:ascii="Times New Roman" w:hAnsi="Times New Roman" w:cs="Times New Roman"/>
          <w:sz w:val="28"/>
          <w:szCs w:val="28"/>
        </w:rPr>
      </w:pPr>
    </w:p>
    <w:p w:rsidR="0072118B" w:rsidRDefault="0072118B" w:rsidP="0072118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627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M.Gruškevics</w:t>
      </w:r>
    </w:p>
    <w:p w:rsidR="00077F1E" w:rsidRDefault="00077F1E">
      <w:pPr>
        <w:rPr>
          <w:rFonts w:ascii="Times New Roman" w:hAnsi="Times New Roman" w:cs="Times New Roman"/>
          <w:sz w:val="28"/>
          <w:szCs w:val="28"/>
        </w:rPr>
      </w:pPr>
    </w:p>
    <w:p w:rsidR="00077F1E" w:rsidRDefault="00077F1E">
      <w:pPr>
        <w:rPr>
          <w:rFonts w:ascii="Times New Roman" w:hAnsi="Times New Roman" w:cs="Times New Roman"/>
          <w:sz w:val="28"/>
          <w:szCs w:val="28"/>
        </w:rPr>
      </w:pPr>
    </w:p>
    <w:p w:rsidR="00077F1E" w:rsidRDefault="00077F1E">
      <w:pPr>
        <w:rPr>
          <w:rFonts w:ascii="Times New Roman" w:hAnsi="Times New Roman" w:cs="Times New Roman"/>
          <w:sz w:val="28"/>
          <w:szCs w:val="28"/>
        </w:rPr>
      </w:pPr>
    </w:p>
    <w:p w:rsidR="00077F1E" w:rsidRDefault="00077F1E">
      <w:pPr>
        <w:rPr>
          <w:rFonts w:ascii="Times New Roman" w:hAnsi="Times New Roman" w:cs="Times New Roman"/>
          <w:sz w:val="28"/>
          <w:szCs w:val="28"/>
        </w:rPr>
      </w:pPr>
    </w:p>
    <w:p w:rsidR="00077F1E" w:rsidRDefault="00077F1E">
      <w:pPr>
        <w:rPr>
          <w:rFonts w:ascii="Times New Roman" w:hAnsi="Times New Roman" w:cs="Times New Roman"/>
          <w:sz w:val="28"/>
          <w:szCs w:val="28"/>
        </w:rPr>
      </w:pPr>
    </w:p>
    <w:p w:rsidR="00077F1E" w:rsidRDefault="00077F1E">
      <w:pPr>
        <w:rPr>
          <w:rFonts w:ascii="Times New Roman" w:hAnsi="Times New Roman" w:cs="Times New Roman"/>
          <w:sz w:val="28"/>
          <w:szCs w:val="28"/>
        </w:rPr>
      </w:pPr>
    </w:p>
    <w:p w:rsidR="00077F1E" w:rsidRPr="00592D21" w:rsidRDefault="00077F1E" w:rsidP="00077F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Pr="00592D21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592D21">
        <w:rPr>
          <w:sz w:val="20"/>
          <w:szCs w:val="20"/>
        </w:rPr>
        <w:t>.201</w:t>
      </w:r>
      <w:r>
        <w:rPr>
          <w:sz w:val="20"/>
          <w:szCs w:val="20"/>
        </w:rPr>
        <w:t>1</w:t>
      </w:r>
      <w:r w:rsidRPr="00592D21">
        <w:rPr>
          <w:sz w:val="20"/>
          <w:szCs w:val="20"/>
        </w:rPr>
        <w:t xml:space="preserve">. </w:t>
      </w:r>
    </w:p>
    <w:p w:rsidR="00077F1E" w:rsidRPr="00592D21" w:rsidRDefault="00AA6E28" w:rsidP="00077F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72118B">
        <w:rPr>
          <w:sz w:val="20"/>
          <w:szCs w:val="20"/>
        </w:rPr>
        <w:t>91</w:t>
      </w:r>
    </w:p>
    <w:p w:rsidR="00077F1E" w:rsidRPr="00592D21" w:rsidRDefault="00077F1E" w:rsidP="00077F1E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D.Bilmanis</w:t>
      </w:r>
    </w:p>
    <w:p w:rsidR="00077F1E" w:rsidRPr="00592D21" w:rsidRDefault="00077F1E" w:rsidP="00077F1E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Politikas koordinācijas departamenta</w:t>
      </w:r>
    </w:p>
    <w:p w:rsidR="00077F1E" w:rsidRPr="00592D21" w:rsidRDefault="00077F1E" w:rsidP="00077F1E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Politikas plānošanas nodaļas juriskonsults</w:t>
      </w:r>
    </w:p>
    <w:p w:rsidR="00077F1E" w:rsidRPr="00592D21" w:rsidRDefault="00077F1E" w:rsidP="00077F1E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 xml:space="preserve">67047702, </w:t>
      </w:r>
      <w:hyperlink r:id="rId6" w:history="1">
        <w:r w:rsidRPr="00592D21">
          <w:rPr>
            <w:rStyle w:val="Hyperlink"/>
            <w:sz w:val="20"/>
            <w:szCs w:val="20"/>
          </w:rPr>
          <w:t>dainis.bilmanis@izm.gov.lv</w:t>
        </w:r>
      </w:hyperlink>
      <w:r w:rsidRPr="00592D21">
        <w:rPr>
          <w:sz w:val="20"/>
          <w:szCs w:val="20"/>
        </w:rPr>
        <w:t xml:space="preserve"> </w:t>
      </w:r>
    </w:p>
    <w:p w:rsidR="00077F1E" w:rsidRPr="006D5621" w:rsidRDefault="00077F1E">
      <w:pPr>
        <w:rPr>
          <w:rFonts w:ascii="Times New Roman" w:hAnsi="Times New Roman" w:cs="Times New Roman"/>
          <w:sz w:val="28"/>
          <w:szCs w:val="28"/>
        </w:rPr>
      </w:pPr>
    </w:p>
    <w:sectPr w:rsidR="00077F1E" w:rsidRPr="006D5621" w:rsidSect="001C1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58" w:rsidRDefault="009C7558" w:rsidP="000C2738">
      <w:pPr>
        <w:spacing w:after="0" w:line="240" w:lineRule="auto"/>
      </w:pPr>
      <w:r>
        <w:separator/>
      </w:r>
    </w:p>
  </w:endnote>
  <w:endnote w:type="continuationSeparator" w:id="1">
    <w:p w:rsidR="009C7558" w:rsidRDefault="009C7558" w:rsidP="000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8" w:rsidRDefault="00AA6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38" w:rsidRPr="000C2738" w:rsidRDefault="000C2738" w:rsidP="000C2738">
    <w:pPr>
      <w:pStyle w:val="Footer"/>
      <w:rPr>
        <w:rFonts w:ascii="Times New Roman" w:hAnsi="Times New Roman" w:cs="Times New Roman"/>
        <w:sz w:val="20"/>
        <w:szCs w:val="20"/>
      </w:rPr>
    </w:pPr>
    <w:r w:rsidRPr="000C2738">
      <w:rPr>
        <w:rFonts w:ascii="Times New Roman" w:hAnsi="Times New Roman" w:cs="Times New Roman"/>
        <w:sz w:val="20"/>
        <w:szCs w:val="20"/>
      </w:rPr>
      <w:t>IZMAnot_141111_</w:t>
    </w:r>
    <w:r w:rsidR="00AA6E28">
      <w:rPr>
        <w:rFonts w:ascii="Times New Roman" w:hAnsi="Times New Roman" w:cs="Times New Roman"/>
        <w:sz w:val="20"/>
        <w:szCs w:val="20"/>
      </w:rPr>
      <w:t>P</w:t>
    </w:r>
    <w:r w:rsidRPr="000C2738">
      <w:rPr>
        <w:rFonts w:ascii="Times New Roman" w:hAnsi="Times New Roman" w:cs="Times New Roman"/>
        <w:sz w:val="20"/>
        <w:szCs w:val="20"/>
      </w:rPr>
      <w:t>IL_groz; Likumprojekta „Grozījum</w:t>
    </w:r>
    <w:r w:rsidR="00AA6E28">
      <w:rPr>
        <w:rFonts w:ascii="Times New Roman" w:hAnsi="Times New Roman" w:cs="Times New Roman"/>
        <w:sz w:val="20"/>
        <w:szCs w:val="20"/>
      </w:rPr>
      <w:t>s</w:t>
    </w:r>
    <w:r w:rsidRPr="000C2738">
      <w:rPr>
        <w:rFonts w:ascii="Times New Roman" w:hAnsi="Times New Roman" w:cs="Times New Roman"/>
        <w:sz w:val="20"/>
        <w:szCs w:val="20"/>
      </w:rPr>
      <w:t xml:space="preserve"> </w:t>
    </w:r>
    <w:r w:rsidR="00AA6E28">
      <w:rPr>
        <w:rFonts w:ascii="Times New Roman" w:hAnsi="Times New Roman" w:cs="Times New Roman"/>
        <w:sz w:val="20"/>
        <w:szCs w:val="20"/>
      </w:rPr>
      <w:t>Profesionālās i</w:t>
    </w:r>
    <w:r w:rsidRPr="000C2738">
      <w:rPr>
        <w:rFonts w:ascii="Times New Roman" w:hAnsi="Times New Roman" w:cs="Times New Roman"/>
        <w:sz w:val="20"/>
        <w:szCs w:val="20"/>
      </w:rPr>
      <w:t xml:space="preserve">zglītības likumā” sākotnējās ietekmes novērtējuma ziņojums (anotācija).  </w:t>
    </w:r>
  </w:p>
  <w:p w:rsidR="000C2738" w:rsidRPr="000C2738" w:rsidRDefault="000C2738" w:rsidP="000C27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8" w:rsidRPr="000C2738" w:rsidRDefault="00AA6E28" w:rsidP="00AA6E28">
    <w:pPr>
      <w:pStyle w:val="Footer"/>
      <w:rPr>
        <w:rFonts w:ascii="Times New Roman" w:hAnsi="Times New Roman" w:cs="Times New Roman"/>
        <w:sz w:val="20"/>
        <w:szCs w:val="20"/>
      </w:rPr>
    </w:pPr>
    <w:r w:rsidRPr="000C2738">
      <w:rPr>
        <w:rFonts w:ascii="Times New Roman" w:hAnsi="Times New Roman" w:cs="Times New Roman"/>
        <w:sz w:val="20"/>
        <w:szCs w:val="20"/>
      </w:rPr>
      <w:t>IZMAnot_141111_</w:t>
    </w:r>
    <w:r>
      <w:rPr>
        <w:rFonts w:ascii="Times New Roman" w:hAnsi="Times New Roman" w:cs="Times New Roman"/>
        <w:sz w:val="20"/>
        <w:szCs w:val="20"/>
      </w:rPr>
      <w:t>P</w:t>
    </w:r>
    <w:r w:rsidRPr="000C2738">
      <w:rPr>
        <w:rFonts w:ascii="Times New Roman" w:hAnsi="Times New Roman" w:cs="Times New Roman"/>
        <w:sz w:val="20"/>
        <w:szCs w:val="20"/>
      </w:rPr>
      <w:t>IL_groz; Likumprojekta „Grozījum</w:t>
    </w:r>
    <w:r>
      <w:rPr>
        <w:rFonts w:ascii="Times New Roman" w:hAnsi="Times New Roman" w:cs="Times New Roman"/>
        <w:sz w:val="20"/>
        <w:szCs w:val="20"/>
      </w:rPr>
      <w:t>s</w:t>
    </w:r>
    <w:r w:rsidRPr="000C273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Profesionālās i</w:t>
    </w:r>
    <w:r w:rsidRPr="000C2738">
      <w:rPr>
        <w:rFonts w:ascii="Times New Roman" w:hAnsi="Times New Roman" w:cs="Times New Roman"/>
        <w:sz w:val="20"/>
        <w:szCs w:val="20"/>
      </w:rPr>
      <w:t xml:space="preserve">zglītības likumā” sākotnējās ietekmes novērtējuma ziņojums (anotācija).  </w:t>
    </w:r>
  </w:p>
  <w:p w:rsidR="00AA6E28" w:rsidRDefault="00AA6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58" w:rsidRDefault="009C7558" w:rsidP="000C2738">
      <w:pPr>
        <w:spacing w:after="0" w:line="240" w:lineRule="auto"/>
      </w:pPr>
      <w:r>
        <w:separator/>
      </w:r>
    </w:p>
  </w:footnote>
  <w:footnote w:type="continuationSeparator" w:id="1">
    <w:p w:rsidR="009C7558" w:rsidRDefault="009C7558" w:rsidP="000C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8" w:rsidRDefault="00AA6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844"/>
      <w:docPartObj>
        <w:docPartGallery w:val="Page Numbers (Top of Page)"/>
        <w:docPartUnique/>
      </w:docPartObj>
    </w:sdtPr>
    <w:sdtContent>
      <w:p w:rsidR="00930819" w:rsidRDefault="008F339F">
        <w:pPr>
          <w:pStyle w:val="Header"/>
          <w:jc w:val="center"/>
        </w:pPr>
        <w:fldSimple w:instr=" PAGE   \* MERGEFORMAT ">
          <w:r w:rsidR="00A263B1">
            <w:rPr>
              <w:noProof/>
            </w:rPr>
            <w:t>5</w:t>
          </w:r>
        </w:fldSimple>
      </w:p>
    </w:sdtContent>
  </w:sdt>
  <w:p w:rsidR="000C2738" w:rsidRDefault="000C27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8" w:rsidRDefault="00AA6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621"/>
    <w:rsid w:val="00077F1E"/>
    <w:rsid w:val="000B0EB1"/>
    <w:rsid w:val="000C2738"/>
    <w:rsid w:val="001C10F2"/>
    <w:rsid w:val="00287625"/>
    <w:rsid w:val="00391B15"/>
    <w:rsid w:val="003E13CD"/>
    <w:rsid w:val="00405DCE"/>
    <w:rsid w:val="00482E81"/>
    <w:rsid w:val="00506F57"/>
    <w:rsid w:val="00582C4E"/>
    <w:rsid w:val="005C208A"/>
    <w:rsid w:val="005C3468"/>
    <w:rsid w:val="005F238D"/>
    <w:rsid w:val="00613525"/>
    <w:rsid w:val="0062213E"/>
    <w:rsid w:val="00675B3B"/>
    <w:rsid w:val="006A557A"/>
    <w:rsid w:val="006D5621"/>
    <w:rsid w:val="00702B19"/>
    <w:rsid w:val="0072118B"/>
    <w:rsid w:val="0072341F"/>
    <w:rsid w:val="007B2769"/>
    <w:rsid w:val="008003AD"/>
    <w:rsid w:val="008658F1"/>
    <w:rsid w:val="008928FB"/>
    <w:rsid w:val="008D60C1"/>
    <w:rsid w:val="008F339F"/>
    <w:rsid w:val="00930819"/>
    <w:rsid w:val="00950D5D"/>
    <w:rsid w:val="00962D35"/>
    <w:rsid w:val="009B46D3"/>
    <w:rsid w:val="009B679F"/>
    <w:rsid w:val="009C7558"/>
    <w:rsid w:val="009D3425"/>
    <w:rsid w:val="009F44BF"/>
    <w:rsid w:val="00A2457A"/>
    <w:rsid w:val="00A263B1"/>
    <w:rsid w:val="00A62745"/>
    <w:rsid w:val="00A8194F"/>
    <w:rsid w:val="00AA6E28"/>
    <w:rsid w:val="00B325EB"/>
    <w:rsid w:val="00BD4045"/>
    <w:rsid w:val="00C2134F"/>
    <w:rsid w:val="00C36EFA"/>
    <w:rsid w:val="00C707D6"/>
    <w:rsid w:val="00C96F8D"/>
    <w:rsid w:val="00D0604B"/>
    <w:rsid w:val="00DA5090"/>
    <w:rsid w:val="00DF7383"/>
    <w:rsid w:val="00E05972"/>
    <w:rsid w:val="00E607AC"/>
    <w:rsid w:val="00E75C05"/>
    <w:rsid w:val="00E95E3C"/>
    <w:rsid w:val="00EB7753"/>
    <w:rsid w:val="00EC5803"/>
    <w:rsid w:val="00ED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6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6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lab">
    <w:name w:val="naislab"/>
    <w:basedOn w:val="Normal"/>
    <w:rsid w:val="006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6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6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775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8"/>
  </w:style>
  <w:style w:type="paragraph" w:styleId="Footer">
    <w:name w:val="footer"/>
    <w:basedOn w:val="Normal"/>
    <w:link w:val="FooterChar"/>
    <w:uiPriority w:val="99"/>
    <w:semiHidden/>
    <w:unhideWhenUsed/>
    <w:rsid w:val="000C2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738"/>
  </w:style>
  <w:style w:type="character" w:styleId="Hyperlink">
    <w:name w:val="Hyperlink"/>
    <w:basedOn w:val="DefaultParagraphFont"/>
    <w:rsid w:val="00077F1E"/>
    <w:rPr>
      <w:color w:val="0000FF"/>
      <w:u w:val="single"/>
    </w:rPr>
  </w:style>
  <w:style w:type="paragraph" w:styleId="NoSpacing">
    <w:name w:val="No Spacing"/>
    <w:uiPriority w:val="1"/>
    <w:qFormat/>
    <w:rsid w:val="0007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3565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9</cp:revision>
  <dcterms:created xsi:type="dcterms:W3CDTF">2011-11-15T10:03:00Z</dcterms:created>
  <dcterms:modified xsi:type="dcterms:W3CDTF">2011-11-24T09:33:00Z</dcterms:modified>
</cp:coreProperties>
</file>