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79" w:rsidRPr="004C5312" w:rsidRDefault="00240879" w:rsidP="004C5312">
      <w:pPr>
        <w:pStyle w:val="naisc"/>
        <w:spacing w:before="0" w:after="0"/>
        <w:rPr>
          <w:b/>
          <w:bCs/>
          <w:sz w:val="26"/>
          <w:szCs w:val="26"/>
        </w:rPr>
      </w:pPr>
      <w:r w:rsidRPr="004C5312">
        <w:rPr>
          <w:b/>
          <w:bCs/>
          <w:sz w:val="26"/>
          <w:szCs w:val="26"/>
        </w:rPr>
        <w:t>Likumprojekta „Grozījums Vispārējās izglītības likumā”</w:t>
      </w:r>
    </w:p>
    <w:p w:rsidR="00240879" w:rsidRPr="004C5312" w:rsidRDefault="00240879" w:rsidP="004C5312">
      <w:pPr>
        <w:pStyle w:val="naislab"/>
        <w:spacing w:before="0" w:after="0"/>
        <w:jc w:val="center"/>
        <w:outlineLvl w:val="0"/>
        <w:rPr>
          <w:b/>
          <w:bCs/>
          <w:sz w:val="26"/>
          <w:szCs w:val="26"/>
        </w:rPr>
      </w:pPr>
      <w:r w:rsidRPr="004C5312">
        <w:rPr>
          <w:b/>
          <w:bCs/>
          <w:sz w:val="26"/>
          <w:szCs w:val="26"/>
        </w:rPr>
        <w:t>sākotnējās ietekmes novērtējuma ziņojums (anotācija)</w:t>
      </w:r>
    </w:p>
    <w:p w:rsidR="00240879" w:rsidRPr="004C5312" w:rsidRDefault="00240879" w:rsidP="004C5312">
      <w:pPr>
        <w:pStyle w:val="naislab"/>
        <w:spacing w:before="0" w:after="0"/>
        <w:jc w:val="center"/>
        <w:outlineLvl w:val="0"/>
        <w:rPr>
          <w:b/>
          <w:bCs/>
          <w:sz w:val="26"/>
          <w:szCs w:val="26"/>
        </w:rPr>
      </w:pPr>
    </w:p>
    <w:tbl>
      <w:tblPr>
        <w:tblpPr w:leftFromText="180" w:rightFromText="180" w:vertAnchor="text" w:horzAnchor="margin" w:tblpXSpec="center" w:tblpY="149"/>
        <w:tblW w:w="498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tblPr>
      <w:tblGrid>
        <w:gridCol w:w="594"/>
        <w:gridCol w:w="2311"/>
        <w:gridCol w:w="6195"/>
      </w:tblGrid>
      <w:tr w:rsidR="00240879" w:rsidRPr="004C5312" w:rsidTr="00E435A6">
        <w:tc>
          <w:tcPr>
            <w:tcW w:w="5000" w:type="pct"/>
            <w:gridSpan w:val="3"/>
            <w:vAlign w:val="center"/>
          </w:tcPr>
          <w:p w:rsidR="00240879" w:rsidRPr="004C5312" w:rsidRDefault="00240879" w:rsidP="004C5312">
            <w:pPr>
              <w:pStyle w:val="naisnod"/>
              <w:spacing w:before="0" w:after="0"/>
              <w:rPr>
                <w:sz w:val="26"/>
                <w:szCs w:val="26"/>
              </w:rPr>
            </w:pPr>
            <w:r w:rsidRPr="004C5312">
              <w:rPr>
                <w:sz w:val="26"/>
                <w:szCs w:val="26"/>
              </w:rPr>
              <w:t>I. Tiesību akta projekta izstrādes nepieciešamība</w:t>
            </w:r>
          </w:p>
        </w:tc>
      </w:tr>
      <w:tr w:rsidR="00240879" w:rsidRPr="004C5312" w:rsidTr="00E435A6">
        <w:trPr>
          <w:trHeight w:val="630"/>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1.</w:t>
            </w:r>
          </w:p>
        </w:tc>
        <w:tc>
          <w:tcPr>
            <w:tcW w:w="1270" w:type="pct"/>
            <w:vAlign w:val="center"/>
          </w:tcPr>
          <w:p w:rsidR="00240879" w:rsidRPr="004C5312" w:rsidRDefault="00240879" w:rsidP="004C5312">
            <w:pPr>
              <w:pStyle w:val="naiskr"/>
              <w:spacing w:before="0" w:after="0"/>
              <w:ind w:hanging="10"/>
              <w:rPr>
                <w:sz w:val="26"/>
                <w:szCs w:val="26"/>
              </w:rPr>
            </w:pPr>
            <w:r w:rsidRPr="004C5312">
              <w:rPr>
                <w:sz w:val="26"/>
                <w:szCs w:val="26"/>
              </w:rPr>
              <w:t>Pamatojums</w:t>
            </w:r>
          </w:p>
        </w:tc>
        <w:tc>
          <w:tcPr>
            <w:tcW w:w="3404" w:type="pct"/>
          </w:tcPr>
          <w:p w:rsidR="00240879" w:rsidRPr="004C5312" w:rsidRDefault="00240879" w:rsidP="004C5312">
            <w:pPr>
              <w:pStyle w:val="naiskr"/>
              <w:spacing w:before="0" w:after="0"/>
              <w:ind w:hanging="5"/>
              <w:jc w:val="both"/>
              <w:rPr>
                <w:sz w:val="26"/>
                <w:szCs w:val="26"/>
              </w:rPr>
            </w:pPr>
            <w:r w:rsidRPr="004C5312">
              <w:rPr>
                <w:sz w:val="26"/>
                <w:szCs w:val="26"/>
              </w:rPr>
              <w:t>Likumprojekts „Grozījums Vispārējās izglītības likumā” (turpmāk</w:t>
            </w:r>
            <w:r w:rsidR="00FB2A3C" w:rsidRPr="004C5312">
              <w:rPr>
                <w:sz w:val="26"/>
                <w:szCs w:val="26"/>
              </w:rPr>
              <w:t xml:space="preserve"> </w:t>
            </w:r>
            <w:r w:rsidRPr="004C5312">
              <w:rPr>
                <w:sz w:val="26"/>
                <w:szCs w:val="26"/>
              </w:rPr>
              <w:t xml:space="preserve">– </w:t>
            </w:r>
            <w:r w:rsidR="00FB2A3C" w:rsidRPr="004C5312">
              <w:rPr>
                <w:sz w:val="26"/>
                <w:szCs w:val="26"/>
              </w:rPr>
              <w:t xml:space="preserve">likumprojekts) </w:t>
            </w:r>
            <w:r w:rsidRPr="004C5312">
              <w:rPr>
                <w:sz w:val="26"/>
                <w:szCs w:val="26"/>
              </w:rPr>
              <w:t>izstrādāts</w:t>
            </w:r>
            <w:r w:rsidR="00DA1682" w:rsidRPr="004C5312">
              <w:rPr>
                <w:sz w:val="26"/>
                <w:szCs w:val="26"/>
              </w:rPr>
              <w:t>,</w:t>
            </w:r>
            <w:r w:rsidR="00946E23" w:rsidRPr="004C5312">
              <w:rPr>
                <w:sz w:val="26"/>
                <w:szCs w:val="26"/>
              </w:rPr>
              <w:t xml:space="preserve"> pamatojoties uz Ministru kabineta 2011.gada 4.oktobra sēdes </w:t>
            </w:r>
            <w:proofErr w:type="spellStart"/>
            <w:r w:rsidR="00FB2A3C" w:rsidRPr="004C5312">
              <w:rPr>
                <w:sz w:val="26"/>
                <w:szCs w:val="26"/>
              </w:rPr>
              <w:t>protokollēmuma</w:t>
            </w:r>
            <w:proofErr w:type="spellEnd"/>
            <w:r w:rsidR="00FB2A3C" w:rsidRPr="004C5312">
              <w:rPr>
                <w:sz w:val="26"/>
                <w:szCs w:val="26"/>
              </w:rPr>
              <w:t xml:space="preserve"> (prot. Nr.57 30.§) „Rīkojuma projekts "Par mērķdotāciju pašvaldībām - pašvaldību izglītības iestādēm - finansējuma sadalījumu"”</w:t>
            </w:r>
            <w:r w:rsidR="00FB2A3C" w:rsidRPr="004C5312">
              <w:rPr>
                <w:color w:val="000000"/>
                <w:sz w:val="26"/>
                <w:szCs w:val="26"/>
              </w:rPr>
              <w:t xml:space="preserve"> </w:t>
            </w:r>
            <w:r w:rsidR="00946E23" w:rsidRPr="004C5312">
              <w:rPr>
                <w:sz w:val="26"/>
                <w:szCs w:val="26"/>
              </w:rPr>
              <w:t xml:space="preserve">2.punktā </w:t>
            </w:r>
            <w:r w:rsidR="00FB2A3C" w:rsidRPr="004C5312">
              <w:rPr>
                <w:sz w:val="26"/>
                <w:szCs w:val="26"/>
              </w:rPr>
              <w:t>doto uzdevumu, kurā Izglītības un zinātnes ministrijai (turpmāk – ministrija) tika uzdots</w:t>
            </w:r>
            <w:r w:rsidR="00946E23" w:rsidRPr="004C5312">
              <w:rPr>
                <w:sz w:val="26"/>
                <w:szCs w:val="26"/>
              </w:rPr>
              <w:t xml:space="preserve"> sagatavot un noteiktā kārtībā iesniegt izskatīšanai Ministru kabinetā 2012.gada </w:t>
            </w:r>
            <w:r w:rsidR="00FB2A3C" w:rsidRPr="004C5312">
              <w:rPr>
                <w:sz w:val="26"/>
                <w:szCs w:val="26"/>
              </w:rPr>
              <w:t xml:space="preserve">valsts </w:t>
            </w:r>
            <w:r w:rsidR="00946E23" w:rsidRPr="004C5312">
              <w:rPr>
                <w:sz w:val="26"/>
                <w:szCs w:val="26"/>
              </w:rPr>
              <w:t>budžeta projekta sagatavošanas procesā priekšlikumus par grozījumiem normatīvajā regulējumā attiecībā uz mērķdotācijas piešķiršanas mehānismu privātajām izglītības iestādēm bērnu no piecu gadu vecuma izglītoš</w:t>
            </w:r>
            <w:r w:rsidR="00FB2A3C" w:rsidRPr="004C5312">
              <w:rPr>
                <w:sz w:val="26"/>
                <w:szCs w:val="26"/>
              </w:rPr>
              <w:t>anai</w:t>
            </w:r>
            <w:r w:rsidR="00946E23" w:rsidRPr="004C5312">
              <w:rPr>
                <w:sz w:val="26"/>
                <w:szCs w:val="26"/>
              </w:rPr>
              <w:t xml:space="preserve">. Uzdevuma mērķis ir </w:t>
            </w:r>
            <w:r w:rsidRPr="004C5312">
              <w:rPr>
                <w:sz w:val="26"/>
                <w:szCs w:val="26"/>
              </w:rPr>
              <w:t>uzlabo</w:t>
            </w:r>
            <w:r w:rsidR="00946E23" w:rsidRPr="004C5312">
              <w:rPr>
                <w:sz w:val="26"/>
                <w:szCs w:val="26"/>
              </w:rPr>
              <w:t>t</w:t>
            </w:r>
            <w:r w:rsidRPr="004C5312">
              <w:rPr>
                <w:sz w:val="26"/>
                <w:szCs w:val="26"/>
              </w:rPr>
              <w:t xml:space="preserve"> pedagogu darba samaksas principa „Nauda seko skolēnam” īstenošanu. Likumprojekts tiek virzīts kā 201</w:t>
            </w:r>
            <w:r w:rsidR="008122EE" w:rsidRPr="004C5312">
              <w:rPr>
                <w:sz w:val="26"/>
                <w:szCs w:val="26"/>
              </w:rPr>
              <w:t>2</w:t>
            </w:r>
            <w:r w:rsidRPr="004C5312">
              <w:rPr>
                <w:sz w:val="26"/>
                <w:szCs w:val="26"/>
              </w:rPr>
              <w:t xml:space="preserve">.gada </w:t>
            </w:r>
            <w:r w:rsidR="00FB2A3C" w:rsidRPr="004C5312">
              <w:rPr>
                <w:sz w:val="26"/>
                <w:szCs w:val="26"/>
              </w:rPr>
              <w:t xml:space="preserve">valsts </w:t>
            </w:r>
            <w:r w:rsidRPr="004C5312">
              <w:rPr>
                <w:sz w:val="26"/>
                <w:szCs w:val="26"/>
              </w:rPr>
              <w:t>budžeta likumprojekta pavadošais likumprojekts.</w:t>
            </w:r>
          </w:p>
        </w:tc>
      </w:tr>
      <w:tr w:rsidR="00240879" w:rsidRPr="004C5312" w:rsidTr="00E435A6">
        <w:trPr>
          <w:trHeight w:val="472"/>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2.</w:t>
            </w:r>
          </w:p>
        </w:tc>
        <w:tc>
          <w:tcPr>
            <w:tcW w:w="1270" w:type="pct"/>
            <w:vAlign w:val="center"/>
          </w:tcPr>
          <w:p w:rsidR="00240879" w:rsidRPr="004C5312" w:rsidRDefault="00240879" w:rsidP="004C5312">
            <w:pPr>
              <w:pStyle w:val="naiskr"/>
              <w:tabs>
                <w:tab w:val="left" w:pos="170"/>
              </w:tabs>
              <w:spacing w:before="0" w:after="0"/>
              <w:rPr>
                <w:sz w:val="26"/>
                <w:szCs w:val="26"/>
              </w:rPr>
            </w:pPr>
            <w:r w:rsidRPr="004C5312">
              <w:rPr>
                <w:sz w:val="26"/>
                <w:szCs w:val="26"/>
              </w:rPr>
              <w:t>Pašreizējā situācija un problēmas</w:t>
            </w:r>
          </w:p>
        </w:tc>
        <w:tc>
          <w:tcPr>
            <w:tcW w:w="3404" w:type="pct"/>
          </w:tcPr>
          <w:p w:rsidR="00240879" w:rsidRPr="004C5312" w:rsidRDefault="00240879" w:rsidP="004C5312">
            <w:pPr>
              <w:pStyle w:val="naiskr"/>
              <w:spacing w:before="0" w:after="0"/>
              <w:jc w:val="both"/>
              <w:rPr>
                <w:sz w:val="26"/>
                <w:szCs w:val="26"/>
              </w:rPr>
            </w:pPr>
            <w:r w:rsidRPr="004C5312">
              <w:rPr>
                <w:sz w:val="26"/>
                <w:szCs w:val="26"/>
              </w:rPr>
              <w:t xml:space="preserve">Izglītības likuma 59.panta otrā daļa nosaka, ka valsts piedalās privāto izglītības iestāžu pedagogu darba samaksas finansēšanā Ministru kabineta noteiktajā kārtībā, ja šajās izglītības iestādēs tiek īstenotas pirmsskolas izglītības programmas bērniem no piecu gadu vecuma līdz pamatizglītības ieguves uzsākšanai. </w:t>
            </w:r>
          </w:p>
          <w:p w:rsidR="00240879" w:rsidRPr="004C5312" w:rsidRDefault="00240879" w:rsidP="004C5312">
            <w:pPr>
              <w:pStyle w:val="naiskr"/>
              <w:spacing w:before="0" w:after="0"/>
              <w:jc w:val="both"/>
              <w:rPr>
                <w:sz w:val="26"/>
                <w:szCs w:val="26"/>
              </w:rPr>
            </w:pPr>
            <w:r w:rsidRPr="004C5312">
              <w:rPr>
                <w:sz w:val="26"/>
                <w:szCs w:val="26"/>
              </w:rPr>
              <w:t>Vispārējās izglītības likuma 4.panta 3.</w:t>
            </w:r>
            <w:r w:rsidRPr="004C5312">
              <w:rPr>
                <w:sz w:val="26"/>
                <w:szCs w:val="26"/>
                <w:vertAlign w:val="superscript"/>
              </w:rPr>
              <w:t>2</w:t>
            </w:r>
            <w:r w:rsidRPr="004C5312">
              <w:rPr>
                <w:sz w:val="26"/>
                <w:szCs w:val="26"/>
              </w:rPr>
              <w:t xml:space="preserve">punkts nosaka, ka Ministru kabinets nosaka kārtību, kādā aprēķina un sadala valsts budžeta mērķdotāciju pašvaldību un privātajām izglītības iestādēm bērnu no piecu gadu vecuma izglītošanā nodarbināto pirmsskolas izglītības pedagogu darba samaksai.  </w:t>
            </w:r>
          </w:p>
          <w:p w:rsidR="00240879" w:rsidRPr="004C5312" w:rsidRDefault="00240879" w:rsidP="004C5312">
            <w:pPr>
              <w:pStyle w:val="naiskr"/>
              <w:spacing w:before="0" w:after="0"/>
              <w:jc w:val="both"/>
              <w:rPr>
                <w:sz w:val="26"/>
                <w:szCs w:val="26"/>
              </w:rPr>
            </w:pPr>
            <w:r w:rsidRPr="004C5312">
              <w:rPr>
                <w:sz w:val="26"/>
                <w:szCs w:val="26"/>
              </w:rPr>
              <w:t>Ievērojot minēto,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00A20996" w:rsidRPr="004C5312">
              <w:rPr>
                <w:sz w:val="26"/>
                <w:szCs w:val="26"/>
              </w:rPr>
              <w:t xml:space="preserve"> (turpmāk – noteikumi Nr.1616)</w:t>
            </w:r>
            <w:r w:rsidRPr="004C5312">
              <w:rPr>
                <w:sz w:val="26"/>
                <w:szCs w:val="26"/>
              </w:rPr>
              <w:t xml:space="preserve"> ir iekļauts regulējums par valsts budžeta līdzekļu no valsts budžeta mērķdotācijas piešķiršanu privātajām izglītības iestādēm, kas</w:t>
            </w:r>
            <w:r w:rsidRPr="004C5312">
              <w:rPr>
                <w:b/>
                <w:bCs/>
                <w:sz w:val="26"/>
                <w:szCs w:val="26"/>
              </w:rPr>
              <w:t xml:space="preserve"> </w:t>
            </w:r>
            <w:r w:rsidRPr="004C5312">
              <w:rPr>
                <w:sz w:val="26"/>
                <w:szCs w:val="26"/>
              </w:rPr>
              <w:t>īsteno pirmsskolas izglītības programmas bērniem no piecu gadu vecuma.</w:t>
            </w:r>
          </w:p>
          <w:p w:rsidR="00240879" w:rsidRPr="004C5312" w:rsidRDefault="00240879" w:rsidP="004C5312">
            <w:pPr>
              <w:pStyle w:val="naiskr"/>
              <w:spacing w:before="0" w:after="0"/>
              <w:jc w:val="both"/>
              <w:rPr>
                <w:sz w:val="26"/>
                <w:szCs w:val="26"/>
              </w:rPr>
            </w:pPr>
            <w:r w:rsidRPr="004C5312">
              <w:rPr>
                <w:sz w:val="26"/>
                <w:szCs w:val="26"/>
              </w:rPr>
              <w:t xml:space="preserve">Privāto izglītības iestāžu finansēšanu nosaka arī Ministru kabineta 2010.gada 24.augusta noteikumi Nr.806 </w:t>
            </w:r>
            <w:r w:rsidRPr="004C5312">
              <w:rPr>
                <w:sz w:val="26"/>
                <w:szCs w:val="26"/>
              </w:rPr>
              <w:lastRenderedPageBreak/>
              <w:t>„Kārtība, kādā valsts finansē pamatizglītības un vidējās izglītības programmas, kuras īsteno privātās izglītības iestādes”, kas nosaka kārtību, kādā valsts finansē pamatizglītības un vidējās izglītības programmas, kuras īsteno privātās izglītības iestādes, paredzot finansējumu no valsts budžeta dotācijas.</w:t>
            </w:r>
          </w:p>
          <w:p w:rsidR="00240879" w:rsidRPr="004C5312" w:rsidRDefault="00240879" w:rsidP="004C5312">
            <w:pPr>
              <w:pStyle w:val="naiskr"/>
              <w:spacing w:before="0" w:after="0"/>
              <w:jc w:val="both"/>
              <w:rPr>
                <w:sz w:val="26"/>
                <w:szCs w:val="26"/>
              </w:rPr>
            </w:pPr>
            <w:r w:rsidRPr="004C5312">
              <w:rPr>
                <w:sz w:val="26"/>
                <w:szCs w:val="26"/>
              </w:rPr>
              <w:t>Ir izveidojusies situācija, ka privātā vispārējās izglītības iestāde valsts budžeta līdzekļus pedagogu darba samaksai par pirmsskolas izglītības programmas bērniem no piecu gadu vecuma īstenošanai saņem no valsts budžeta mērķdotācijas, kas tiek piešķirta pašvaldībai, un kuru pašvaldība piešķir privāta</w:t>
            </w:r>
            <w:r w:rsidR="00D50DDD" w:rsidRPr="004C5312">
              <w:rPr>
                <w:sz w:val="26"/>
                <w:szCs w:val="26"/>
              </w:rPr>
              <w:t>ja</w:t>
            </w:r>
            <w:r w:rsidRPr="004C5312">
              <w:rPr>
                <w:sz w:val="26"/>
                <w:szCs w:val="26"/>
              </w:rPr>
              <w:t>i izglītības iestādei. Savukārt valsts budžeta līdzekļus pedagogu, kas īsteno pamatizglītības un vidējās izglītības programmas, darba sam</w:t>
            </w:r>
            <w:r w:rsidR="00D50DDD" w:rsidRPr="004C5312">
              <w:rPr>
                <w:sz w:val="26"/>
                <w:szCs w:val="26"/>
              </w:rPr>
              <w:t>aksai privātā</w:t>
            </w:r>
            <w:r w:rsidRPr="004C5312">
              <w:rPr>
                <w:sz w:val="26"/>
                <w:szCs w:val="26"/>
              </w:rPr>
              <w:t xml:space="preserve"> vispārējās izglītības iestāde saņem no valsts budžeta dotācijas no ministrijas. </w:t>
            </w:r>
          </w:p>
          <w:p w:rsidR="00240879" w:rsidRPr="004C5312" w:rsidRDefault="00240879" w:rsidP="004C5312">
            <w:pPr>
              <w:pStyle w:val="naiskr"/>
              <w:spacing w:before="0" w:after="0"/>
              <w:jc w:val="both"/>
              <w:rPr>
                <w:sz w:val="26"/>
                <w:szCs w:val="26"/>
              </w:rPr>
            </w:pPr>
            <w:r w:rsidRPr="004C5312">
              <w:rPr>
                <w:sz w:val="26"/>
                <w:szCs w:val="26"/>
              </w:rPr>
              <w:t>Lai privāt</w:t>
            </w:r>
            <w:r w:rsidR="00D50DDD" w:rsidRPr="004C5312">
              <w:rPr>
                <w:sz w:val="26"/>
                <w:szCs w:val="26"/>
              </w:rPr>
              <w:t>ajā</w:t>
            </w:r>
            <w:r w:rsidRPr="004C5312">
              <w:rPr>
                <w:sz w:val="26"/>
                <w:szCs w:val="26"/>
              </w:rPr>
              <w:t xml:space="preserve">m izglītības iestādēm atvieglotu Izglītības likumā un Vispārējās izglītības likumā noteikto normu izpildi, par ko vairākkārt iestājusies arī Latvijas Privāto </w:t>
            </w:r>
            <w:proofErr w:type="spellStart"/>
            <w:r w:rsidR="00415468" w:rsidRPr="004C5312">
              <w:rPr>
                <w:sz w:val="26"/>
                <w:szCs w:val="26"/>
              </w:rPr>
              <w:t>pirmsskolu</w:t>
            </w:r>
            <w:proofErr w:type="spellEnd"/>
            <w:r w:rsidRPr="004C5312">
              <w:rPr>
                <w:sz w:val="26"/>
                <w:szCs w:val="26"/>
              </w:rPr>
              <w:t xml:space="preserve"> biedrība, likumprojekts paredz precizēt deleģ</w:t>
            </w:r>
            <w:r w:rsidR="000E5056" w:rsidRPr="004C5312">
              <w:rPr>
                <w:sz w:val="26"/>
                <w:szCs w:val="26"/>
              </w:rPr>
              <w:t>ējumu Ministru kabinetam, nosakot</w:t>
            </w:r>
            <w:r w:rsidRPr="004C5312">
              <w:rPr>
                <w:sz w:val="26"/>
                <w:szCs w:val="26"/>
              </w:rPr>
              <w:t xml:space="preserve"> kārtību, kādā valsts finansē pirmsskolas izglītības programmas bērniem no piecu gadu vecuma līdz pamatizglītības ieguves uzsākšanai, kuras īsteno privātās izglītības iestādes.</w:t>
            </w:r>
          </w:p>
        </w:tc>
      </w:tr>
      <w:tr w:rsidR="00240879" w:rsidRPr="004C5312" w:rsidTr="00A8597F">
        <w:trPr>
          <w:trHeight w:val="821"/>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lastRenderedPageBreak/>
              <w:t>3.</w:t>
            </w:r>
          </w:p>
        </w:tc>
        <w:tc>
          <w:tcPr>
            <w:tcW w:w="1270" w:type="pct"/>
            <w:vAlign w:val="center"/>
          </w:tcPr>
          <w:p w:rsidR="00240879" w:rsidRPr="004C5312" w:rsidRDefault="00240879" w:rsidP="004C5312">
            <w:pPr>
              <w:pStyle w:val="naiskr"/>
              <w:spacing w:before="0" w:after="0"/>
              <w:rPr>
                <w:sz w:val="26"/>
                <w:szCs w:val="26"/>
              </w:rPr>
            </w:pPr>
            <w:r w:rsidRPr="004C5312">
              <w:rPr>
                <w:sz w:val="26"/>
                <w:szCs w:val="26"/>
              </w:rPr>
              <w:t>Saistītie politikas ietekmes novērtējumi un pētījumi</w:t>
            </w:r>
          </w:p>
        </w:tc>
        <w:tc>
          <w:tcPr>
            <w:tcW w:w="3404" w:type="pct"/>
          </w:tcPr>
          <w:p w:rsidR="00240879" w:rsidRPr="004C5312" w:rsidRDefault="00A8597F" w:rsidP="004C5312">
            <w:pPr>
              <w:pStyle w:val="FootnoteText"/>
              <w:rPr>
                <w:sz w:val="26"/>
                <w:szCs w:val="26"/>
              </w:rPr>
            </w:pPr>
            <w:r w:rsidRPr="004C5312">
              <w:rPr>
                <w:sz w:val="26"/>
                <w:szCs w:val="26"/>
              </w:rPr>
              <w:t>Projekts šo jomu neskar.</w:t>
            </w:r>
          </w:p>
        </w:tc>
      </w:tr>
      <w:tr w:rsidR="00240879" w:rsidRPr="004C5312" w:rsidTr="00E435A6">
        <w:trPr>
          <w:trHeight w:val="384"/>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4.</w:t>
            </w:r>
          </w:p>
        </w:tc>
        <w:tc>
          <w:tcPr>
            <w:tcW w:w="1270" w:type="pct"/>
            <w:vAlign w:val="center"/>
          </w:tcPr>
          <w:p w:rsidR="00240879" w:rsidRPr="004C5312" w:rsidRDefault="00240879" w:rsidP="004C5312">
            <w:pPr>
              <w:pStyle w:val="naiskr"/>
              <w:spacing w:before="0" w:after="0"/>
              <w:rPr>
                <w:sz w:val="26"/>
                <w:szCs w:val="26"/>
              </w:rPr>
            </w:pPr>
            <w:r w:rsidRPr="004C5312">
              <w:rPr>
                <w:sz w:val="26"/>
                <w:szCs w:val="26"/>
              </w:rPr>
              <w:t>Tiesiskā regulējuma mērķis un būtība</w:t>
            </w:r>
          </w:p>
        </w:tc>
        <w:tc>
          <w:tcPr>
            <w:tcW w:w="3404" w:type="pct"/>
          </w:tcPr>
          <w:p w:rsidR="00240879" w:rsidRPr="004C5312" w:rsidRDefault="00240879" w:rsidP="004C5312">
            <w:pPr>
              <w:jc w:val="both"/>
              <w:rPr>
                <w:sz w:val="26"/>
                <w:szCs w:val="26"/>
              </w:rPr>
            </w:pPr>
            <w:r w:rsidRPr="004C5312">
              <w:rPr>
                <w:sz w:val="26"/>
                <w:szCs w:val="26"/>
              </w:rPr>
              <w:t>Likumprojekts paredz precizēt Ministru kabineta kompetenci, nosakot, ka:</w:t>
            </w:r>
          </w:p>
          <w:p w:rsidR="00240879" w:rsidRPr="004C5312" w:rsidRDefault="00240879" w:rsidP="004C5312">
            <w:pPr>
              <w:jc w:val="both"/>
              <w:rPr>
                <w:sz w:val="26"/>
                <w:szCs w:val="26"/>
              </w:rPr>
            </w:pPr>
            <w:r w:rsidRPr="004C5312">
              <w:rPr>
                <w:sz w:val="26"/>
                <w:szCs w:val="26"/>
              </w:rPr>
              <w:t>1) Ministru kabinets nosaka kārtību, kādā aprēķina un sadala valsts budžeta mērķdotāciju pašvaldību izglītības iestādēm bērnu no piecu gadu vecuma izglītošanā nodarbināto pirmsskolas izglītības pedagogu darba samaksai;</w:t>
            </w:r>
          </w:p>
          <w:p w:rsidR="00240879" w:rsidRPr="004C5312" w:rsidRDefault="00240879" w:rsidP="004C5312">
            <w:pPr>
              <w:jc w:val="both"/>
              <w:rPr>
                <w:sz w:val="26"/>
                <w:szCs w:val="26"/>
              </w:rPr>
            </w:pPr>
            <w:r w:rsidRPr="004C5312">
              <w:rPr>
                <w:sz w:val="26"/>
                <w:szCs w:val="26"/>
              </w:rPr>
              <w:t>2) Ministru kabinets nosaka kārtību, kādā valsts finansē pirmsskolas izglītības programmas bērniem no piecu gadu vecuma līdz pamatizglītības ieguves uzsākšanai, kuras īsteno privātās izglītības iestādes.</w:t>
            </w:r>
          </w:p>
        </w:tc>
      </w:tr>
      <w:tr w:rsidR="00240879" w:rsidRPr="004C5312" w:rsidTr="00E435A6">
        <w:trPr>
          <w:trHeight w:val="476"/>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5.</w:t>
            </w:r>
          </w:p>
        </w:tc>
        <w:tc>
          <w:tcPr>
            <w:tcW w:w="1270" w:type="pct"/>
            <w:vAlign w:val="center"/>
          </w:tcPr>
          <w:p w:rsidR="00240879" w:rsidRPr="004C5312" w:rsidRDefault="00240879" w:rsidP="004C5312">
            <w:pPr>
              <w:pStyle w:val="naiskr"/>
              <w:spacing w:before="0" w:after="0"/>
              <w:rPr>
                <w:sz w:val="26"/>
                <w:szCs w:val="26"/>
              </w:rPr>
            </w:pPr>
            <w:r w:rsidRPr="004C5312">
              <w:rPr>
                <w:sz w:val="26"/>
                <w:szCs w:val="26"/>
              </w:rPr>
              <w:t>Projekta izstrādē iesaistītās institūcijas</w:t>
            </w:r>
          </w:p>
        </w:tc>
        <w:tc>
          <w:tcPr>
            <w:tcW w:w="3404" w:type="pct"/>
          </w:tcPr>
          <w:p w:rsidR="00240879" w:rsidRPr="004C5312" w:rsidRDefault="00DA1682" w:rsidP="004C5312">
            <w:pPr>
              <w:pStyle w:val="naiskr"/>
              <w:spacing w:before="0" w:after="0"/>
              <w:rPr>
                <w:sz w:val="26"/>
                <w:szCs w:val="26"/>
              </w:rPr>
            </w:pPr>
            <w:r w:rsidRPr="004C5312">
              <w:rPr>
                <w:sz w:val="26"/>
                <w:szCs w:val="26"/>
              </w:rPr>
              <w:t xml:space="preserve"> M</w:t>
            </w:r>
            <w:r w:rsidR="00240879" w:rsidRPr="004C5312">
              <w:rPr>
                <w:sz w:val="26"/>
                <w:szCs w:val="26"/>
              </w:rPr>
              <w:t>inistrija</w:t>
            </w:r>
            <w:r w:rsidRPr="004C5312">
              <w:rPr>
                <w:sz w:val="26"/>
                <w:szCs w:val="26"/>
              </w:rPr>
              <w:t>.</w:t>
            </w:r>
          </w:p>
        </w:tc>
      </w:tr>
      <w:tr w:rsidR="00240879" w:rsidRPr="004C5312" w:rsidTr="00A8597F">
        <w:trPr>
          <w:trHeight w:val="813"/>
        </w:trPr>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6.</w:t>
            </w:r>
          </w:p>
        </w:tc>
        <w:tc>
          <w:tcPr>
            <w:tcW w:w="1270" w:type="pct"/>
            <w:vAlign w:val="center"/>
          </w:tcPr>
          <w:p w:rsidR="00240879" w:rsidRPr="004C5312" w:rsidRDefault="00240879" w:rsidP="004C5312">
            <w:pPr>
              <w:pStyle w:val="naiskr"/>
              <w:spacing w:before="0" w:after="0"/>
              <w:rPr>
                <w:i/>
                <w:iCs/>
                <w:sz w:val="26"/>
                <w:szCs w:val="26"/>
                <w:highlight w:val="yellow"/>
              </w:rPr>
            </w:pPr>
            <w:r w:rsidRPr="004C5312">
              <w:rPr>
                <w:sz w:val="26"/>
                <w:szCs w:val="26"/>
              </w:rPr>
              <w:t>Iemesli, kādēļ netika nodrošināta sabiedrības līdzdalība</w:t>
            </w:r>
          </w:p>
        </w:tc>
        <w:tc>
          <w:tcPr>
            <w:tcW w:w="3404" w:type="pct"/>
          </w:tcPr>
          <w:p w:rsidR="00240879" w:rsidRPr="004C5312" w:rsidRDefault="00E32DF3" w:rsidP="004C5312">
            <w:pPr>
              <w:pStyle w:val="FootnoteText"/>
              <w:jc w:val="both"/>
              <w:rPr>
                <w:sz w:val="26"/>
                <w:szCs w:val="26"/>
              </w:rPr>
            </w:pPr>
            <w:r w:rsidRPr="004C5312">
              <w:rPr>
                <w:sz w:val="26"/>
                <w:szCs w:val="26"/>
              </w:rPr>
              <w:t>Sabiedrības līdzdalība netika nodrošināta, jo noteikumu projekts neierobežo un nesašaurina nevienas personu grupas vai indivīda tiesības, kā arī nenosaka pienākumus sabiedrībai</w:t>
            </w:r>
            <w:r w:rsidRPr="004C5312">
              <w:rPr>
                <w:bCs/>
                <w:iCs/>
                <w:sz w:val="26"/>
                <w:szCs w:val="26"/>
              </w:rPr>
              <w:t>.</w:t>
            </w:r>
          </w:p>
        </w:tc>
      </w:tr>
      <w:tr w:rsidR="00240879" w:rsidRPr="004C5312" w:rsidTr="00E435A6">
        <w:tc>
          <w:tcPr>
            <w:tcW w:w="326" w:type="pct"/>
            <w:vAlign w:val="center"/>
          </w:tcPr>
          <w:p w:rsidR="00240879" w:rsidRPr="004C5312" w:rsidRDefault="00240879" w:rsidP="004C5312">
            <w:pPr>
              <w:pStyle w:val="naiskr"/>
              <w:spacing w:before="0" w:after="0"/>
              <w:jc w:val="center"/>
              <w:rPr>
                <w:sz w:val="26"/>
                <w:szCs w:val="26"/>
              </w:rPr>
            </w:pPr>
            <w:r w:rsidRPr="004C5312">
              <w:rPr>
                <w:sz w:val="26"/>
                <w:szCs w:val="26"/>
              </w:rPr>
              <w:t>7.</w:t>
            </w:r>
          </w:p>
        </w:tc>
        <w:tc>
          <w:tcPr>
            <w:tcW w:w="1270" w:type="pct"/>
            <w:vAlign w:val="center"/>
          </w:tcPr>
          <w:p w:rsidR="00240879" w:rsidRPr="004C5312" w:rsidRDefault="00240879" w:rsidP="004C5312">
            <w:pPr>
              <w:pStyle w:val="naiskr"/>
              <w:spacing w:before="0" w:after="0"/>
              <w:rPr>
                <w:sz w:val="26"/>
                <w:szCs w:val="26"/>
              </w:rPr>
            </w:pPr>
            <w:r w:rsidRPr="004C5312">
              <w:rPr>
                <w:sz w:val="26"/>
                <w:szCs w:val="26"/>
              </w:rPr>
              <w:t>Cita informācija</w:t>
            </w:r>
          </w:p>
        </w:tc>
        <w:tc>
          <w:tcPr>
            <w:tcW w:w="3404" w:type="pct"/>
          </w:tcPr>
          <w:p w:rsidR="00240879" w:rsidRPr="004C5312" w:rsidRDefault="00240879" w:rsidP="004C5312">
            <w:pPr>
              <w:pStyle w:val="naiskr"/>
              <w:spacing w:before="0" w:after="0"/>
              <w:rPr>
                <w:sz w:val="26"/>
                <w:szCs w:val="26"/>
              </w:rPr>
            </w:pPr>
            <w:r w:rsidRPr="004C5312">
              <w:rPr>
                <w:sz w:val="26"/>
                <w:szCs w:val="26"/>
              </w:rPr>
              <w:t>Nav</w:t>
            </w:r>
            <w:r w:rsidR="00274E2C" w:rsidRPr="004C5312">
              <w:rPr>
                <w:sz w:val="26"/>
                <w:szCs w:val="26"/>
              </w:rPr>
              <w:t>.</w:t>
            </w:r>
          </w:p>
        </w:tc>
      </w:tr>
    </w:tbl>
    <w:p w:rsidR="00240879" w:rsidRPr="004C5312" w:rsidRDefault="00240879" w:rsidP="004C5312">
      <w:pPr>
        <w:pStyle w:val="naisf"/>
        <w:spacing w:before="0" w:after="0"/>
        <w:rPr>
          <w:sz w:val="26"/>
          <w:szCs w:val="26"/>
        </w:rPr>
      </w:pPr>
    </w:p>
    <w:tbl>
      <w:tblPr>
        <w:tblpPr w:leftFromText="180" w:rightFromText="180" w:vertAnchor="text" w:horzAnchor="margin" w:tblpXSpec="center" w:tblpY="149"/>
        <w:tblW w:w="9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tblPr>
      <w:tblGrid>
        <w:gridCol w:w="595"/>
        <w:gridCol w:w="2268"/>
        <w:gridCol w:w="6237"/>
      </w:tblGrid>
      <w:tr w:rsidR="00240879" w:rsidRPr="004C5312" w:rsidTr="00E435A6">
        <w:tc>
          <w:tcPr>
            <w:tcW w:w="9100" w:type="dxa"/>
            <w:gridSpan w:val="3"/>
            <w:vAlign w:val="center"/>
          </w:tcPr>
          <w:p w:rsidR="00240879" w:rsidRPr="004C5312" w:rsidRDefault="00240879" w:rsidP="004C5312">
            <w:pPr>
              <w:pStyle w:val="naisnod"/>
              <w:spacing w:before="0" w:after="0"/>
              <w:rPr>
                <w:sz w:val="26"/>
                <w:szCs w:val="26"/>
              </w:rPr>
            </w:pPr>
            <w:r w:rsidRPr="004C5312">
              <w:rPr>
                <w:sz w:val="26"/>
                <w:szCs w:val="26"/>
              </w:rPr>
              <w:lastRenderedPageBreak/>
              <w:t>II. Tiesību akta projekta ietekme uz sabiedrību</w:t>
            </w:r>
          </w:p>
        </w:tc>
      </w:tr>
      <w:tr w:rsidR="00240879" w:rsidRPr="004C5312" w:rsidTr="00E435A6">
        <w:trPr>
          <w:trHeight w:val="467"/>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1.</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 xml:space="preserve">Sabiedrības </w:t>
            </w:r>
            <w:proofErr w:type="spellStart"/>
            <w:r w:rsidRPr="004C5312">
              <w:rPr>
                <w:sz w:val="26"/>
                <w:szCs w:val="26"/>
              </w:rPr>
              <w:t>mērķgrupa</w:t>
            </w:r>
            <w:proofErr w:type="spellEnd"/>
          </w:p>
        </w:tc>
        <w:tc>
          <w:tcPr>
            <w:tcW w:w="6237" w:type="dxa"/>
          </w:tcPr>
          <w:p w:rsidR="00240879" w:rsidRPr="004C5312" w:rsidRDefault="005A1E93" w:rsidP="004C5312">
            <w:pPr>
              <w:jc w:val="both"/>
              <w:rPr>
                <w:sz w:val="26"/>
                <w:szCs w:val="26"/>
              </w:rPr>
            </w:pPr>
            <w:r w:rsidRPr="004C5312">
              <w:rPr>
                <w:iCs/>
                <w:sz w:val="26"/>
                <w:szCs w:val="26"/>
              </w:rPr>
              <w:t xml:space="preserve">2011./2012.mācību gadā valstī </w:t>
            </w:r>
            <w:r w:rsidR="00E0345B" w:rsidRPr="004C5312">
              <w:rPr>
                <w:iCs/>
                <w:sz w:val="26"/>
                <w:szCs w:val="26"/>
              </w:rPr>
              <w:t>ir</w:t>
            </w:r>
            <w:r w:rsidRPr="004C5312">
              <w:rPr>
                <w:iCs/>
                <w:sz w:val="26"/>
                <w:szCs w:val="26"/>
              </w:rPr>
              <w:t xml:space="preserve"> 29 privātās vispārējās izglītības iestādes, kas saņ</w:t>
            </w:r>
            <w:r w:rsidR="00DA1682" w:rsidRPr="004C5312">
              <w:rPr>
                <w:iCs/>
                <w:sz w:val="26"/>
                <w:szCs w:val="26"/>
              </w:rPr>
              <w:t xml:space="preserve">em </w:t>
            </w:r>
            <w:r w:rsidRPr="004C5312">
              <w:rPr>
                <w:iCs/>
                <w:sz w:val="26"/>
                <w:szCs w:val="26"/>
              </w:rPr>
              <w:t>valsts budžeta dotāciju</w:t>
            </w:r>
            <w:r w:rsidRPr="004C5312">
              <w:rPr>
                <w:rFonts w:eastAsiaTheme="minorHAnsi"/>
                <w:sz w:val="26"/>
                <w:szCs w:val="26"/>
                <w:lang w:eastAsia="en-US"/>
              </w:rPr>
              <w:t xml:space="preserve"> pedagogu darba samaksai un valsts sociālās apdrošināšanas obligātajām iemaksām</w:t>
            </w:r>
            <w:r w:rsidR="00DA1682" w:rsidRPr="004C5312">
              <w:rPr>
                <w:rFonts w:eastAsiaTheme="minorHAnsi"/>
                <w:sz w:val="26"/>
                <w:szCs w:val="26"/>
                <w:lang w:eastAsia="en-US"/>
              </w:rPr>
              <w:t xml:space="preserve"> un</w:t>
            </w:r>
            <w:r w:rsidRPr="004C5312">
              <w:rPr>
                <w:rFonts w:eastAsiaTheme="minorHAnsi"/>
                <w:sz w:val="26"/>
                <w:szCs w:val="26"/>
                <w:lang w:eastAsia="en-US"/>
              </w:rPr>
              <w:t xml:space="preserve"> </w:t>
            </w:r>
            <w:r w:rsidR="00E0345B" w:rsidRPr="004C5312">
              <w:rPr>
                <w:rFonts w:eastAsiaTheme="minorHAnsi"/>
                <w:sz w:val="26"/>
                <w:szCs w:val="26"/>
                <w:lang w:eastAsia="en-US"/>
              </w:rPr>
              <w:t>71</w:t>
            </w:r>
            <w:r w:rsidR="00DA1682" w:rsidRPr="004C5312">
              <w:rPr>
                <w:rFonts w:eastAsiaTheme="minorHAnsi"/>
                <w:sz w:val="26"/>
                <w:szCs w:val="26"/>
                <w:lang w:eastAsia="en-US"/>
              </w:rPr>
              <w:t xml:space="preserve"> privātā izglītības iestāde</w:t>
            </w:r>
            <w:r w:rsidRPr="004C5312">
              <w:rPr>
                <w:rFonts w:eastAsiaTheme="minorHAnsi"/>
                <w:sz w:val="26"/>
                <w:szCs w:val="26"/>
                <w:lang w:eastAsia="en-US"/>
              </w:rPr>
              <w:t xml:space="preserve">, kas </w:t>
            </w:r>
            <w:r w:rsidR="00DA1682" w:rsidRPr="004C5312">
              <w:rPr>
                <w:rFonts w:eastAsiaTheme="minorHAnsi"/>
                <w:sz w:val="26"/>
                <w:szCs w:val="26"/>
                <w:lang w:eastAsia="en-US"/>
              </w:rPr>
              <w:t>saņem valsts mērķdotāciju bērnu no piecu gadu vecuma izglītošanā nodarbināto pedagogu darba samaksai un valsts  sociālās apdrošināšanas obligātajām iemaksām</w:t>
            </w:r>
            <w:r w:rsidRPr="004C5312">
              <w:rPr>
                <w:rFonts w:eastAsiaTheme="minorHAnsi"/>
                <w:sz w:val="26"/>
                <w:szCs w:val="26"/>
                <w:lang w:eastAsia="en-US"/>
              </w:rPr>
              <w:t>.</w:t>
            </w:r>
          </w:p>
        </w:tc>
      </w:tr>
      <w:tr w:rsidR="00240879" w:rsidRPr="004C5312" w:rsidTr="00E435A6">
        <w:trPr>
          <w:trHeight w:val="523"/>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2.</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 xml:space="preserve">Citas sabiedrības grupas (bez </w:t>
            </w:r>
            <w:proofErr w:type="spellStart"/>
            <w:r w:rsidRPr="004C5312">
              <w:rPr>
                <w:sz w:val="26"/>
                <w:szCs w:val="26"/>
              </w:rPr>
              <w:t>mērķgrupas</w:t>
            </w:r>
            <w:proofErr w:type="spellEnd"/>
            <w:r w:rsidRPr="004C5312">
              <w:rPr>
                <w:sz w:val="26"/>
                <w:szCs w:val="26"/>
              </w:rPr>
              <w:t>), kuras tiesiskais regulējums arī ietekmē vai varētu ietekmēt</w:t>
            </w:r>
          </w:p>
        </w:tc>
        <w:tc>
          <w:tcPr>
            <w:tcW w:w="6237" w:type="dxa"/>
          </w:tcPr>
          <w:p w:rsidR="00240879" w:rsidRPr="004C5312" w:rsidRDefault="00274E2C" w:rsidP="004C5312">
            <w:pPr>
              <w:pStyle w:val="naiskr"/>
              <w:spacing w:before="0" w:after="0"/>
              <w:rPr>
                <w:sz w:val="26"/>
                <w:szCs w:val="26"/>
              </w:rPr>
            </w:pPr>
            <w:r w:rsidRPr="004C5312">
              <w:rPr>
                <w:sz w:val="26"/>
                <w:szCs w:val="26"/>
              </w:rPr>
              <w:t>Projekts šo jomu neskar</w:t>
            </w:r>
            <w:r w:rsidRPr="004C5312">
              <w:rPr>
                <w:iCs/>
                <w:sz w:val="26"/>
                <w:szCs w:val="26"/>
              </w:rPr>
              <w:t>.</w:t>
            </w:r>
          </w:p>
        </w:tc>
      </w:tr>
      <w:tr w:rsidR="00240879" w:rsidRPr="004C5312" w:rsidTr="00E435A6">
        <w:trPr>
          <w:trHeight w:val="517"/>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3.</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Tiesiskā regulējuma finansiālā ietekme</w:t>
            </w:r>
          </w:p>
        </w:tc>
        <w:tc>
          <w:tcPr>
            <w:tcW w:w="6237" w:type="dxa"/>
          </w:tcPr>
          <w:p w:rsidR="00240879" w:rsidRPr="004C5312" w:rsidRDefault="00240879" w:rsidP="004C5312">
            <w:pPr>
              <w:pStyle w:val="naiskr"/>
              <w:spacing w:before="0" w:after="0"/>
              <w:jc w:val="both"/>
              <w:rPr>
                <w:sz w:val="26"/>
                <w:szCs w:val="26"/>
              </w:rPr>
            </w:pPr>
            <w:bookmarkStart w:id="0" w:name="OLE_LINK2"/>
            <w:bookmarkStart w:id="1" w:name="OLE_LINK3"/>
            <w:r w:rsidRPr="004C5312">
              <w:rPr>
                <w:sz w:val="26"/>
                <w:szCs w:val="26"/>
              </w:rPr>
              <w:t>Gatavojot priekšlikumus likumprojektam par valsts budžetu 201</w:t>
            </w:r>
            <w:r w:rsidR="00450036" w:rsidRPr="004C5312">
              <w:rPr>
                <w:sz w:val="26"/>
                <w:szCs w:val="26"/>
              </w:rPr>
              <w:t>2</w:t>
            </w:r>
            <w:r w:rsidRPr="004C5312">
              <w:rPr>
                <w:sz w:val="26"/>
                <w:szCs w:val="26"/>
              </w:rPr>
              <w:t xml:space="preserve">.gadam, ir nepieciešams palielināt piecgadīgo un sešgadīgo bērnu apmācībā nodarbināto pedagogu darba samaksai paredzēto valsts budžeta dotācijas apmēru, vienlaikus samazinot valsts budžeta mērķdotācijas apmēru. </w:t>
            </w:r>
          </w:p>
          <w:p w:rsidR="00240879" w:rsidRPr="004C5312" w:rsidRDefault="00240879" w:rsidP="004C5312">
            <w:pPr>
              <w:pStyle w:val="naiskr"/>
              <w:spacing w:before="0" w:after="0"/>
              <w:jc w:val="both"/>
              <w:rPr>
                <w:sz w:val="26"/>
                <w:szCs w:val="26"/>
              </w:rPr>
            </w:pPr>
            <w:r w:rsidRPr="004C5312">
              <w:rPr>
                <w:sz w:val="26"/>
                <w:szCs w:val="26"/>
              </w:rPr>
              <w:t xml:space="preserve">Likumprojekta izpildei nav nepieciešams papildu finansējums, proti, likumprojekts īstenojams pedagogu darba samaksai piešķirtā finansējuma ietvaros. </w:t>
            </w:r>
            <w:bookmarkEnd w:id="0"/>
            <w:bookmarkEnd w:id="1"/>
          </w:p>
        </w:tc>
      </w:tr>
      <w:tr w:rsidR="00240879" w:rsidRPr="004C5312" w:rsidTr="00E435A6">
        <w:trPr>
          <w:trHeight w:val="517"/>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4.</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Tiesiskā regulējuma nefinansiālā ietekme</w:t>
            </w:r>
          </w:p>
        </w:tc>
        <w:tc>
          <w:tcPr>
            <w:tcW w:w="6237" w:type="dxa"/>
          </w:tcPr>
          <w:p w:rsidR="00240879" w:rsidRPr="004C5312" w:rsidRDefault="00A82198" w:rsidP="004C5312">
            <w:pPr>
              <w:pStyle w:val="naiskr"/>
              <w:spacing w:before="0" w:after="0"/>
              <w:jc w:val="both"/>
              <w:rPr>
                <w:sz w:val="26"/>
                <w:szCs w:val="26"/>
              </w:rPr>
            </w:pPr>
            <w:r w:rsidRPr="004C5312">
              <w:rPr>
                <w:sz w:val="26"/>
                <w:szCs w:val="26"/>
              </w:rPr>
              <w:t>T</w:t>
            </w:r>
            <w:r w:rsidR="00240879" w:rsidRPr="004C5312">
              <w:rPr>
                <w:sz w:val="26"/>
                <w:szCs w:val="26"/>
              </w:rPr>
              <w:t xml:space="preserve">iks atvieglota finanšu līdzekļu pedagogu darba samaksai uzskaite </w:t>
            </w:r>
            <w:r w:rsidRPr="004C5312">
              <w:rPr>
                <w:sz w:val="26"/>
                <w:szCs w:val="26"/>
              </w:rPr>
              <w:t>privāt</w:t>
            </w:r>
            <w:r w:rsidR="00D50DDD" w:rsidRPr="004C5312">
              <w:rPr>
                <w:sz w:val="26"/>
                <w:szCs w:val="26"/>
              </w:rPr>
              <w:t>ajā</w:t>
            </w:r>
            <w:r w:rsidRPr="004C5312">
              <w:rPr>
                <w:sz w:val="26"/>
                <w:szCs w:val="26"/>
              </w:rPr>
              <w:t xml:space="preserve">m izglītības iestādēm </w:t>
            </w:r>
            <w:r w:rsidR="00240879" w:rsidRPr="004C5312">
              <w:rPr>
                <w:sz w:val="26"/>
                <w:szCs w:val="26"/>
              </w:rPr>
              <w:t>un tiks samazināts administratīvais slogs.</w:t>
            </w:r>
          </w:p>
        </w:tc>
      </w:tr>
      <w:tr w:rsidR="00240879" w:rsidRPr="004C5312" w:rsidTr="00E435A6">
        <w:trPr>
          <w:trHeight w:val="531"/>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5.</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Administratīvās procedūras raksturojums</w:t>
            </w:r>
          </w:p>
        </w:tc>
        <w:tc>
          <w:tcPr>
            <w:tcW w:w="6237" w:type="dxa"/>
          </w:tcPr>
          <w:p w:rsidR="00240879" w:rsidRPr="004C5312" w:rsidRDefault="00274E2C" w:rsidP="004C5312">
            <w:pPr>
              <w:pStyle w:val="naiskr"/>
              <w:spacing w:before="0" w:after="0"/>
              <w:rPr>
                <w:sz w:val="26"/>
                <w:szCs w:val="26"/>
              </w:rPr>
            </w:pPr>
            <w:r w:rsidRPr="004C5312">
              <w:rPr>
                <w:sz w:val="26"/>
                <w:szCs w:val="26"/>
              </w:rPr>
              <w:t>Projekts šo jomu neskar</w:t>
            </w:r>
            <w:r w:rsidRPr="004C5312">
              <w:rPr>
                <w:iCs/>
                <w:sz w:val="26"/>
                <w:szCs w:val="26"/>
              </w:rPr>
              <w:t>.</w:t>
            </w:r>
          </w:p>
        </w:tc>
      </w:tr>
      <w:tr w:rsidR="00240879" w:rsidRPr="004C5312" w:rsidTr="00E435A6">
        <w:trPr>
          <w:trHeight w:val="357"/>
        </w:trPr>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6.</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Administratīvo izmaksu monetārs novērtējums</w:t>
            </w:r>
          </w:p>
        </w:tc>
        <w:tc>
          <w:tcPr>
            <w:tcW w:w="6237" w:type="dxa"/>
          </w:tcPr>
          <w:p w:rsidR="00240879" w:rsidRPr="004C5312" w:rsidRDefault="00274E2C" w:rsidP="004C5312">
            <w:pPr>
              <w:pStyle w:val="naiskr"/>
              <w:spacing w:before="0" w:after="0"/>
              <w:rPr>
                <w:sz w:val="26"/>
                <w:szCs w:val="26"/>
              </w:rPr>
            </w:pPr>
            <w:r w:rsidRPr="004C5312">
              <w:rPr>
                <w:sz w:val="26"/>
                <w:szCs w:val="26"/>
              </w:rPr>
              <w:t>Projekts šo jomu neskar</w:t>
            </w:r>
            <w:r w:rsidRPr="004C5312">
              <w:rPr>
                <w:iCs/>
                <w:sz w:val="26"/>
                <w:szCs w:val="26"/>
              </w:rPr>
              <w:t>.</w:t>
            </w:r>
          </w:p>
        </w:tc>
      </w:tr>
      <w:tr w:rsidR="00240879" w:rsidRPr="004C5312" w:rsidTr="00E435A6">
        <w:tc>
          <w:tcPr>
            <w:tcW w:w="595" w:type="dxa"/>
            <w:vAlign w:val="center"/>
          </w:tcPr>
          <w:p w:rsidR="00240879" w:rsidRPr="004C5312" w:rsidRDefault="00240879" w:rsidP="004C5312">
            <w:pPr>
              <w:pStyle w:val="naiskr"/>
              <w:spacing w:before="0" w:after="0"/>
              <w:jc w:val="center"/>
              <w:rPr>
                <w:sz w:val="26"/>
                <w:szCs w:val="26"/>
              </w:rPr>
            </w:pPr>
            <w:r w:rsidRPr="004C5312">
              <w:rPr>
                <w:sz w:val="26"/>
                <w:szCs w:val="26"/>
              </w:rPr>
              <w:t>7.</w:t>
            </w:r>
          </w:p>
        </w:tc>
        <w:tc>
          <w:tcPr>
            <w:tcW w:w="2268" w:type="dxa"/>
            <w:vAlign w:val="center"/>
          </w:tcPr>
          <w:p w:rsidR="00240879" w:rsidRPr="004C5312" w:rsidRDefault="00240879" w:rsidP="004C5312">
            <w:pPr>
              <w:pStyle w:val="naiskr"/>
              <w:spacing w:before="0" w:after="0"/>
              <w:rPr>
                <w:sz w:val="26"/>
                <w:szCs w:val="26"/>
              </w:rPr>
            </w:pPr>
            <w:r w:rsidRPr="004C5312">
              <w:rPr>
                <w:sz w:val="26"/>
                <w:szCs w:val="26"/>
              </w:rPr>
              <w:t>Cita informācija</w:t>
            </w:r>
          </w:p>
        </w:tc>
        <w:tc>
          <w:tcPr>
            <w:tcW w:w="6237" w:type="dxa"/>
          </w:tcPr>
          <w:p w:rsidR="00240879" w:rsidRPr="004C5312" w:rsidRDefault="00240879" w:rsidP="004C5312">
            <w:pPr>
              <w:pStyle w:val="naiskr"/>
              <w:spacing w:before="0" w:after="0"/>
              <w:rPr>
                <w:sz w:val="26"/>
                <w:szCs w:val="26"/>
              </w:rPr>
            </w:pPr>
            <w:r w:rsidRPr="004C5312">
              <w:rPr>
                <w:sz w:val="26"/>
                <w:szCs w:val="26"/>
              </w:rPr>
              <w:t>Nav</w:t>
            </w:r>
            <w:r w:rsidR="00274E2C" w:rsidRPr="004C5312">
              <w:rPr>
                <w:sz w:val="26"/>
                <w:szCs w:val="26"/>
              </w:rPr>
              <w:t>.</w:t>
            </w:r>
          </w:p>
        </w:tc>
      </w:tr>
    </w:tbl>
    <w:p w:rsidR="00240879" w:rsidRPr="004C5312" w:rsidRDefault="00240879" w:rsidP="004C5312">
      <w:pPr>
        <w:pStyle w:val="naisf"/>
        <w:spacing w:before="0" w:after="0"/>
        <w:rPr>
          <w:sz w:val="26"/>
          <w:szCs w:val="26"/>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4"/>
        <w:gridCol w:w="1284"/>
        <w:gridCol w:w="1309"/>
        <w:gridCol w:w="1326"/>
        <w:gridCol w:w="1327"/>
        <w:gridCol w:w="1355"/>
      </w:tblGrid>
      <w:tr w:rsidR="009132FE" w:rsidRPr="004C5312" w:rsidTr="009132FE">
        <w:tc>
          <w:tcPr>
            <w:tcW w:w="5000" w:type="pct"/>
            <w:gridSpan w:val="6"/>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b/>
                <w:sz w:val="26"/>
                <w:szCs w:val="26"/>
              </w:rPr>
            </w:pPr>
            <w:r w:rsidRPr="004C5312">
              <w:rPr>
                <w:b/>
                <w:sz w:val="26"/>
                <w:szCs w:val="26"/>
              </w:rPr>
              <w:t>III. Tiesību akta projekta ietekme uz valsts budžetu un pašvaldību budžetiem</w:t>
            </w:r>
          </w:p>
        </w:tc>
      </w:tr>
      <w:tr w:rsidR="009132FE" w:rsidRPr="004C5312" w:rsidTr="009132FE">
        <w:tc>
          <w:tcPr>
            <w:tcW w:w="1395" w:type="pct"/>
            <w:vMerge w:val="restar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w:t>
            </w:r>
            <w:r w:rsidRPr="004C5312">
              <w:rPr>
                <w:b/>
                <w:bCs/>
                <w:sz w:val="26"/>
                <w:szCs w:val="26"/>
              </w:rPr>
              <w:t>Rādītāji</w:t>
            </w:r>
          </w:p>
        </w:tc>
        <w:tc>
          <w:tcPr>
            <w:tcW w:w="1416" w:type="pct"/>
            <w:gridSpan w:val="2"/>
            <w:vMerge w:val="restart"/>
            <w:tcBorders>
              <w:top w:val="single" w:sz="12" w:space="0" w:color="auto"/>
              <w:left w:val="single" w:sz="12" w:space="0" w:color="auto"/>
              <w:bottom w:val="single" w:sz="12" w:space="0" w:color="auto"/>
              <w:right w:val="single" w:sz="12" w:space="0" w:color="auto"/>
            </w:tcBorders>
            <w:vAlign w:val="center"/>
          </w:tcPr>
          <w:p w:rsidR="009132FE" w:rsidRPr="004C5312" w:rsidRDefault="009132FE" w:rsidP="004C5312">
            <w:pPr>
              <w:jc w:val="center"/>
              <w:rPr>
                <w:sz w:val="26"/>
                <w:szCs w:val="26"/>
              </w:rPr>
            </w:pPr>
            <w:r w:rsidRPr="004C5312">
              <w:rPr>
                <w:b/>
                <w:bCs/>
                <w:sz w:val="26"/>
                <w:szCs w:val="26"/>
              </w:rPr>
              <w:t>201</w:t>
            </w:r>
            <w:r w:rsidR="00C7067D" w:rsidRPr="004C5312">
              <w:rPr>
                <w:b/>
                <w:bCs/>
                <w:sz w:val="26"/>
                <w:szCs w:val="26"/>
              </w:rPr>
              <w:t>1</w:t>
            </w:r>
            <w:r w:rsidRPr="004C5312">
              <w:rPr>
                <w:b/>
                <w:bCs/>
                <w:sz w:val="26"/>
                <w:szCs w:val="26"/>
              </w:rPr>
              <w:t>.gads</w:t>
            </w:r>
          </w:p>
        </w:tc>
        <w:tc>
          <w:tcPr>
            <w:tcW w:w="2189" w:type="pct"/>
            <w:gridSpan w:val="3"/>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Turpmākie trīs gadi (tūkst</w:t>
            </w:r>
            <w:smartTag w:uri="schemas-tilde-lv/tildestengine" w:element="currency2">
              <w:smartTagPr>
                <w:attr w:name="currency_id" w:val="48"/>
                <w:attr w:name="currency_key" w:val="LVL"/>
                <w:attr w:name="currency_value" w:val="."/>
                <w:attr w:name="currency_text" w:val="latu"/>
              </w:smartTagPr>
              <w:r w:rsidRPr="004C5312">
                <w:rPr>
                  <w:sz w:val="26"/>
                  <w:szCs w:val="26"/>
                </w:rPr>
                <w:t>. latu</w:t>
              </w:r>
            </w:smartTag>
            <w:r w:rsidRPr="004C5312">
              <w:rPr>
                <w:sz w:val="26"/>
                <w:szCs w:val="26"/>
              </w:rPr>
              <w:t>)</w:t>
            </w:r>
          </w:p>
        </w:tc>
      </w:tr>
      <w:tr w:rsidR="009132FE" w:rsidRPr="004C5312" w:rsidTr="009132FE">
        <w:tc>
          <w:tcPr>
            <w:tcW w:w="1395"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c>
          <w:tcPr>
            <w:tcW w:w="1416" w:type="pct"/>
            <w:gridSpan w:val="2"/>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b/>
                <w:bCs/>
                <w:sz w:val="26"/>
                <w:szCs w:val="26"/>
              </w:rPr>
            </w:pPr>
            <w:r w:rsidRPr="004C5312">
              <w:rPr>
                <w:b/>
                <w:bCs/>
                <w:sz w:val="26"/>
                <w:szCs w:val="26"/>
              </w:rPr>
              <w:t> 201</w:t>
            </w:r>
            <w:r w:rsidR="00C7067D" w:rsidRPr="004C5312">
              <w:rPr>
                <w:b/>
                <w:bCs/>
                <w:sz w:val="26"/>
                <w:szCs w:val="26"/>
              </w:rPr>
              <w:t>2</w:t>
            </w:r>
            <w:r w:rsidRPr="004C5312">
              <w:rPr>
                <w:b/>
                <w:bCs/>
                <w:sz w:val="26"/>
                <w:szCs w:val="26"/>
              </w:rPr>
              <w:t>.</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b/>
                <w:bCs/>
                <w:sz w:val="26"/>
                <w:szCs w:val="26"/>
              </w:rPr>
            </w:pPr>
            <w:r w:rsidRPr="004C5312">
              <w:rPr>
                <w:b/>
                <w:bCs/>
                <w:sz w:val="26"/>
                <w:szCs w:val="26"/>
              </w:rPr>
              <w:t> 201</w:t>
            </w:r>
            <w:r w:rsidR="00C7067D" w:rsidRPr="004C5312">
              <w:rPr>
                <w:b/>
                <w:bCs/>
                <w:sz w:val="26"/>
                <w:szCs w:val="26"/>
              </w:rPr>
              <w:t>3</w:t>
            </w:r>
            <w:r w:rsidRPr="004C5312">
              <w:rPr>
                <w:b/>
                <w:bCs/>
                <w:sz w:val="26"/>
                <w:szCs w:val="26"/>
              </w:rPr>
              <w:t>.</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b/>
                <w:bCs/>
                <w:sz w:val="26"/>
                <w:szCs w:val="26"/>
              </w:rPr>
            </w:pPr>
            <w:r w:rsidRPr="004C5312">
              <w:rPr>
                <w:b/>
                <w:bCs/>
                <w:sz w:val="26"/>
                <w:szCs w:val="26"/>
              </w:rPr>
              <w:t> 201</w:t>
            </w:r>
            <w:r w:rsidR="00C7067D" w:rsidRPr="004C5312">
              <w:rPr>
                <w:b/>
                <w:bCs/>
                <w:sz w:val="26"/>
                <w:szCs w:val="26"/>
              </w:rPr>
              <w:t>4</w:t>
            </w:r>
            <w:r w:rsidRPr="004C5312">
              <w:rPr>
                <w:b/>
                <w:bCs/>
                <w:sz w:val="26"/>
                <w:szCs w:val="26"/>
              </w:rPr>
              <w:t>.</w:t>
            </w:r>
          </w:p>
        </w:tc>
      </w:tr>
      <w:tr w:rsidR="009132FE" w:rsidRPr="004C5312" w:rsidTr="009132FE">
        <w:tc>
          <w:tcPr>
            <w:tcW w:w="1395"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Saskaņā ar valsts budžetu kārtējam gadam</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Izmaiņas kārtējā gadā, salīdzinot ar budžetu kārtējam gadam</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Izmai</w:t>
            </w:r>
            <w:r w:rsidR="00E73D29" w:rsidRPr="004C5312">
              <w:rPr>
                <w:sz w:val="26"/>
                <w:szCs w:val="26"/>
              </w:rPr>
              <w:t>ņas, salīdzinot ar kārtējo (2011</w:t>
            </w:r>
            <w:r w:rsidRPr="004C5312">
              <w:rPr>
                <w:sz w:val="26"/>
                <w:szCs w:val="26"/>
              </w:rPr>
              <w:t>) gadu</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Izmai</w:t>
            </w:r>
            <w:r w:rsidR="00E73D29" w:rsidRPr="004C5312">
              <w:rPr>
                <w:sz w:val="26"/>
                <w:szCs w:val="26"/>
              </w:rPr>
              <w:t>ņas, salīdzinot ar kārtējo (2011</w:t>
            </w:r>
            <w:r w:rsidRPr="004C5312">
              <w:rPr>
                <w:sz w:val="26"/>
                <w:szCs w:val="26"/>
              </w:rPr>
              <w:t>) gadu</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Izmai</w:t>
            </w:r>
            <w:r w:rsidR="00E73D29" w:rsidRPr="004C5312">
              <w:rPr>
                <w:sz w:val="26"/>
                <w:szCs w:val="26"/>
              </w:rPr>
              <w:t>ņas, salīdzinot ar kārtējo (2011</w:t>
            </w:r>
            <w:r w:rsidRPr="004C5312">
              <w:rPr>
                <w:sz w:val="26"/>
                <w:szCs w:val="26"/>
              </w:rPr>
              <w:t>) gadu</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1</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2</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3</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4</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5</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 6</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b/>
                <w:sz w:val="26"/>
                <w:szCs w:val="26"/>
              </w:rPr>
            </w:pPr>
            <w:r w:rsidRPr="004C5312">
              <w:rPr>
                <w:b/>
                <w:sz w:val="26"/>
                <w:szCs w:val="26"/>
              </w:rPr>
              <w:t xml:space="preserve"> 1. Budžeta </w:t>
            </w:r>
            <w:r w:rsidRPr="004C5312">
              <w:rPr>
                <w:b/>
                <w:sz w:val="26"/>
                <w:szCs w:val="26"/>
              </w:rPr>
              <w:lastRenderedPageBreak/>
              <w:t>ieņēmumi:</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250"/>
              <w:jc w:val="center"/>
              <w:rPr>
                <w:b/>
                <w:sz w:val="26"/>
                <w:szCs w:val="26"/>
              </w:rPr>
            </w:pP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250"/>
              <w:jc w:val="center"/>
              <w:rPr>
                <w:b/>
                <w:sz w:val="26"/>
                <w:szCs w:val="26"/>
              </w:rPr>
            </w:pP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250"/>
              <w:jc w:val="center"/>
              <w:rPr>
                <w:b/>
                <w:sz w:val="26"/>
                <w:szCs w:val="26"/>
              </w:rPr>
            </w:pP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250"/>
              <w:jc w:val="center"/>
              <w:rPr>
                <w:b/>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lastRenderedPageBreak/>
              <w:t> 1.1. valsts pamatbudžets, tai skaitā ieņēmumi no maksas pakalpojumiem un citi pašu ieņēmumi</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1.2. valsts speciālais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1.3. pašvaldību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b/>
                <w:sz w:val="26"/>
                <w:szCs w:val="26"/>
              </w:rPr>
            </w:pPr>
            <w:r w:rsidRPr="004C5312">
              <w:rPr>
                <w:b/>
                <w:sz w:val="26"/>
                <w:szCs w:val="26"/>
              </w:rPr>
              <w:t> 2. Budžeta izdevumi:</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left="-42" w:firstLine="83"/>
              <w:jc w:val="center"/>
              <w:rPr>
                <w:b/>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2.1. valsts pamatbudžets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2.2. valsts speciālais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2.3. pašvaldību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b/>
                <w:sz w:val="26"/>
                <w:szCs w:val="26"/>
              </w:rPr>
            </w:pPr>
            <w:r w:rsidRPr="004C5312">
              <w:rPr>
                <w:b/>
                <w:sz w:val="26"/>
                <w:szCs w:val="26"/>
              </w:rPr>
              <w:t> 3. Finansiālā ietekme:</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b/>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3.1. valsts pamatbudžets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pStyle w:val="ListParagraph"/>
              <w:spacing w:before="0" w:after="0"/>
              <w:ind w:left="401" w:hanging="40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3.2. speciālais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3.3. pašvaldību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vMerge w:val="restar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4. Finanšu līdzekļi papildu izdevumu finansēšanai (kompensējošu izdevumu samazinājumu norāda ar "+" zīmi)</w:t>
            </w:r>
          </w:p>
        </w:tc>
        <w:tc>
          <w:tcPr>
            <w:tcW w:w="701" w:type="pct"/>
            <w:vMerge w:val="restar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X</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c>
          <w:tcPr>
            <w:tcW w:w="701"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c>
          <w:tcPr>
            <w:tcW w:w="701"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5. Precizēta finansiālā ietekme:</w:t>
            </w:r>
          </w:p>
        </w:tc>
        <w:tc>
          <w:tcPr>
            <w:tcW w:w="701" w:type="pct"/>
            <w:vMerge w:val="restar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X</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5.1. valsts pamatbudžets</w:t>
            </w:r>
          </w:p>
        </w:tc>
        <w:tc>
          <w:tcPr>
            <w:tcW w:w="701" w:type="pct"/>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ind w:firstLine="41"/>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5.2. speciālais budžets</w:t>
            </w:r>
          </w:p>
        </w:tc>
        <w:tc>
          <w:tcPr>
            <w:tcW w:w="701"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5.3. pašvaldību budžets</w:t>
            </w:r>
          </w:p>
        </w:tc>
        <w:tc>
          <w:tcPr>
            <w:tcW w:w="701" w:type="pct"/>
            <w:tcBorders>
              <w:top w:val="single" w:sz="12" w:space="0" w:color="auto"/>
              <w:left w:val="single" w:sz="12" w:space="0" w:color="auto"/>
              <w:bottom w:val="single" w:sz="12" w:space="0" w:color="auto"/>
              <w:right w:val="single" w:sz="12" w:space="0" w:color="auto"/>
            </w:tcBorders>
            <w:vAlign w:val="center"/>
          </w:tcPr>
          <w:p w:rsidR="009132FE" w:rsidRPr="004C5312" w:rsidRDefault="009132FE" w:rsidP="004C5312">
            <w:pPr>
              <w:jc w:val="center"/>
              <w:rPr>
                <w:sz w:val="26"/>
                <w:szCs w:val="26"/>
              </w:rPr>
            </w:pPr>
            <w:r w:rsidRPr="004C5312">
              <w:rPr>
                <w:sz w:val="26"/>
                <w:szCs w:val="26"/>
              </w:rPr>
              <w:t>0</w:t>
            </w:r>
          </w:p>
        </w:tc>
        <w:tc>
          <w:tcPr>
            <w:tcW w:w="715" w:type="pct"/>
            <w:tcBorders>
              <w:top w:val="single" w:sz="12" w:space="0" w:color="auto"/>
              <w:left w:val="single" w:sz="12" w:space="0" w:color="auto"/>
              <w:bottom w:val="single" w:sz="12" w:space="0" w:color="auto"/>
              <w:right w:val="single" w:sz="12" w:space="0" w:color="auto"/>
            </w:tcBorders>
            <w:vAlign w:val="center"/>
          </w:tcPr>
          <w:p w:rsidR="009132FE" w:rsidRPr="004C5312" w:rsidRDefault="009132FE" w:rsidP="004C5312">
            <w:pPr>
              <w:jc w:val="center"/>
              <w:rPr>
                <w:sz w:val="26"/>
                <w:szCs w:val="26"/>
              </w:rPr>
            </w:pPr>
            <w:r w:rsidRPr="004C5312">
              <w:rPr>
                <w:sz w:val="26"/>
                <w:szCs w:val="26"/>
              </w:rPr>
              <w:t>0</w:t>
            </w:r>
          </w:p>
        </w:tc>
        <w:tc>
          <w:tcPr>
            <w:tcW w:w="724"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2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c>
          <w:tcPr>
            <w:tcW w:w="740"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jc w:val="center"/>
              <w:rPr>
                <w:sz w:val="26"/>
                <w:szCs w:val="26"/>
              </w:rPr>
            </w:pPr>
            <w:r w:rsidRPr="004C5312">
              <w:rPr>
                <w:sz w:val="26"/>
                <w:szCs w:val="26"/>
              </w:rPr>
              <w:t>0</w:t>
            </w: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6. Detalizēts ieņēmumu un izdevu</w:t>
            </w:r>
            <w:r w:rsidRPr="004C5312">
              <w:rPr>
                <w:sz w:val="26"/>
                <w:szCs w:val="26"/>
              </w:rPr>
              <w:softHyphen/>
              <w:t xml:space="preserve">mu aprēķins (ja nepieciešams, </w:t>
            </w:r>
            <w:r w:rsidRPr="004C5312">
              <w:rPr>
                <w:sz w:val="26"/>
                <w:szCs w:val="26"/>
              </w:rPr>
              <w:lastRenderedPageBreak/>
              <w:t>detalizētu ieņēmumu un izdevumu aprēķinu var pievienot anotācijas pielikumā):</w:t>
            </w:r>
          </w:p>
        </w:tc>
        <w:tc>
          <w:tcPr>
            <w:tcW w:w="3605" w:type="pct"/>
            <w:gridSpan w:val="5"/>
            <w:vMerge w:val="restar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lastRenderedPageBreak/>
              <w:t> 6.1. detalizēts ieņēmumu aprēķins</w:t>
            </w:r>
          </w:p>
        </w:tc>
        <w:tc>
          <w:tcPr>
            <w:tcW w:w="3605" w:type="pct"/>
            <w:gridSpan w:val="5"/>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6.2. detalizēts izdevumu aprēķins</w:t>
            </w:r>
          </w:p>
        </w:tc>
        <w:tc>
          <w:tcPr>
            <w:tcW w:w="3605" w:type="pct"/>
            <w:gridSpan w:val="5"/>
            <w:vMerge/>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p>
        </w:tc>
      </w:tr>
      <w:tr w:rsidR="009132FE" w:rsidRPr="004C5312" w:rsidTr="009132FE">
        <w:tc>
          <w:tcPr>
            <w:tcW w:w="1395" w:type="pct"/>
            <w:tcBorders>
              <w:top w:val="single" w:sz="12" w:space="0" w:color="auto"/>
              <w:left w:val="single" w:sz="12" w:space="0" w:color="auto"/>
              <w:bottom w:val="single" w:sz="12" w:space="0" w:color="auto"/>
              <w:right w:val="single" w:sz="12" w:space="0" w:color="auto"/>
            </w:tcBorders>
          </w:tcPr>
          <w:p w:rsidR="009132FE" w:rsidRPr="004C5312" w:rsidRDefault="009132FE" w:rsidP="004C5312">
            <w:pPr>
              <w:rPr>
                <w:sz w:val="26"/>
                <w:szCs w:val="26"/>
              </w:rPr>
            </w:pPr>
            <w:r w:rsidRPr="004C5312">
              <w:rPr>
                <w:sz w:val="26"/>
                <w:szCs w:val="26"/>
              </w:rPr>
              <w:t> 7. Cita informācija</w:t>
            </w:r>
          </w:p>
        </w:tc>
        <w:tc>
          <w:tcPr>
            <w:tcW w:w="3605" w:type="pct"/>
            <w:gridSpan w:val="5"/>
            <w:tcBorders>
              <w:top w:val="single" w:sz="12" w:space="0" w:color="auto"/>
              <w:left w:val="single" w:sz="12" w:space="0" w:color="auto"/>
              <w:bottom w:val="single" w:sz="12" w:space="0" w:color="auto"/>
              <w:right w:val="single" w:sz="12" w:space="0" w:color="auto"/>
            </w:tcBorders>
          </w:tcPr>
          <w:p w:rsidR="00732F63" w:rsidRPr="004C5312" w:rsidRDefault="00732F63" w:rsidP="004C5312">
            <w:pPr>
              <w:pStyle w:val="naiskr"/>
              <w:spacing w:before="0" w:after="0"/>
              <w:jc w:val="both"/>
              <w:rPr>
                <w:sz w:val="26"/>
                <w:szCs w:val="26"/>
              </w:rPr>
            </w:pPr>
            <w:r w:rsidRPr="004C5312">
              <w:rPr>
                <w:sz w:val="26"/>
                <w:szCs w:val="26"/>
              </w:rPr>
              <w:t>Gatavojot priekšlikumus likumprojektam par valsts budžetu 2012.gadam, ir nepieciešams palielināt piecgadīgo un sešgadīgo bērnu apmācībā nodarbināto pedagogu darba samaksai paredzēto valsts budžeta dotācijas apmēru, vienlaikus samazinot valsts budžeta mērķdotācijas apmēru. Likumprojekta izpildei nav nepieciešams papildu finansējums, proti, likumprojekts īstenojams pedagogu darba samaksai piešķirtā finansējuma ietvaros.</w:t>
            </w:r>
          </w:p>
          <w:p w:rsidR="009938D7" w:rsidRPr="00452FA3" w:rsidRDefault="00E36F18" w:rsidP="004C5312">
            <w:pPr>
              <w:pStyle w:val="naiskr"/>
              <w:spacing w:before="0" w:after="0"/>
              <w:jc w:val="both"/>
              <w:rPr>
                <w:sz w:val="26"/>
                <w:szCs w:val="26"/>
              </w:rPr>
            </w:pPr>
            <w:r w:rsidRPr="00452FA3">
              <w:rPr>
                <w:sz w:val="26"/>
                <w:szCs w:val="26"/>
              </w:rPr>
              <w:t xml:space="preserve">Sagatavojot </w:t>
            </w:r>
            <w:r w:rsidR="00B92A43" w:rsidRPr="00452FA3">
              <w:rPr>
                <w:sz w:val="26"/>
                <w:szCs w:val="26"/>
              </w:rPr>
              <w:t xml:space="preserve">likumprojektu par valsts budžetu 2012.gadam, </w:t>
            </w:r>
            <w:r w:rsidR="00216955" w:rsidRPr="00452FA3">
              <w:rPr>
                <w:sz w:val="26"/>
                <w:szCs w:val="26"/>
              </w:rPr>
              <w:t xml:space="preserve">tiks veikta </w:t>
            </w:r>
            <w:proofErr w:type="spellStart"/>
            <w:r w:rsidR="00732F63" w:rsidRPr="00452FA3">
              <w:rPr>
                <w:sz w:val="26"/>
                <w:szCs w:val="26"/>
              </w:rPr>
              <w:t>apropriācijas</w:t>
            </w:r>
            <w:proofErr w:type="spellEnd"/>
            <w:r w:rsidR="00732F63" w:rsidRPr="00452FA3">
              <w:rPr>
                <w:sz w:val="26"/>
                <w:szCs w:val="26"/>
              </w:rPr>
              <w:t xml:space="preserve"> pārdale </w:t>
            </w:r>
            <w:r w:rsidR="00790414" w:rsidRPr="00452FA3">
              <w:rPr>
                <w:sz w:val="26"/>
                <w:szCs w:val="26"/>
              </w:rPr>
              <w:t>278 460 latu apmērā no 62.resora „Mērķdo</w:t>
            </w:r>
            <w:r w:rsidR="00FD6E92" w:rsidRPr="00452FA3">
              <w:rPr>
                <w:sz w:val="26"/>
                <w:szCs w:val="26"/>
              </w:rPr>
              <w:t>tācija pašvaldībām” programmas 10</w:t>
            </w:r>
            <w:r w:rsidR="00790414" w:rsidRPr="00452FA3">
              <w:rPr>
                <w:sz w:val="26"/>
                <w:szCs w:val="26"/>
              </w:rPr>
              <w:t>.00.00 „Mērķdotācijas pašvaldībām – pašvaldību izglītības i</w:t>
            </w:r>
            <w:r w:rsidR="00FD6E92" w:rsidRPr="00452FA3">
              <w:rPr>
                <w:sz w:val="26"/>
                <w:szCs w:val="26"/>
              </w:rPr>
              <w:t xml:space="preserve">estādēs piecgadīgo un sešgadīgo bērnu apmācībā nodarbināto </w:t>
            </w:r>
            <w:r w:rsidR="00790414" w:rsidRPr="00452FA3">
              <w:rPr>
                <w:sz w:val="26"/>
                <w:szCs w:val="26"/>
              </w:rPr>
              <w:t>pedagogu darba samaksai un valsts sociālās apdrošināšanas obligātajām iem</w:t>
            </w:r>
            <w:r w:rsidR="00DA1682" w:rsidRPr="00452FA3">
              <w:rPr>
                <w:sz w:val="26"/>
                <w:szCs w:val="26"/>
              </w:rPr>
              <w:t>aksām” uz</w:t>
            </w:r>
            <w:r w:rsidR="00790414" w:rsidRPr="00452FA3">
              <w:rPr>
                <w:sz w:val="26"/>
                <w:szCs w:val="26"/>
              </w:rPr>
              <w:t xml:space="preserve"> ministrijas budžeta apakšprogrammu 01.05.00 „Dotācija privātajām mācību iestādēm”.</w:t>
            </w:r>
          </w:p>
          <w:p w:rsidR="00422900" w:rsidRPr="00452FA3" w:rsidRDefault="00422900" w:rsidP="004C5312">
            <w:pPr>
              <w:pStyle w:val="naiskr"/>
              <w:spacing w:before="0" w:after="0"/>
              <w:jc w:val="both"/>
              <w:rPr>
                <w:sz w:val="26"/>
                <w:szCs w:val="26"/>
              </w:rPr>
            </w:pPr>
            <w:r w:rsidRPr="00452FA3">
              <w:rPr>
                <w:sz w:val="26"/>
                <w:szCs w:val="26"/>
              </w:rPr>
              <w:t>Aprēķins, kas pamato pārdalāmā finansējuma 278 460 latu apm</w:t>
            </w:r>
            <w:r w:rsidR="00D0783A" w:rsidRPr="00452FA3">
              <w:rPr>
                <w:sz w:val="26"/>
                <w:szCs w:val="26"/>
              </w:rPr>
              <w:t>ēru, veikts pamatojoties uz noteikumos Nr.1616 noteikto kārtību.</w:t>
            </w:r>
          </w:p>
          <w:p w:rsidR="00422900" w:rsidRPr="00452FA3" w:rsidRDefault="00422900" w:rsidP="004C5312">
            <w:pPr>
              <w:pStyle w:val="naiskr"/>
              <w:spacing w:before="0" w:after="0"/>
              <w:jc w:val="both"/>
              <w:rPr>
                <w:sz w:val="26"/>
                <w:szCs w:val="26"/>
              </w:rPr>
            </w:pPr>
            <w:r w:rsidRPr="00452FA3">
              <w:rPr>
                <w:sz w:val="26"/>
                <w:szCs w:val="26"/>
              </w:rPr>
              <w:t>2011./2012.mācību gadā, saskaņā ar pašvaldību apstiprināto informāciju Valsts izglītības informācijas sistēmā, privātajās izglītības iestādēs mācās 930 bērni no piecu gadu vecu</w:t>
            </w:r>
            <w:r w:rsidR="004C5312" w:rsidRPr="00452FA3">
              <w:rPr>
                <w:sz w:val="26"/>
                <w:szCs w:val="26"/>
              </w:rPr>
              <w:t>ma līdz pamatizglītības ieguvei</w:t>
            </w:r>
            <w:r w:rsidR="00D0783A" w:rsidRPr="00452FA3">
              <w:rPr>
                <w:sz w:val="26"/>
                <w:szCs w:val="26"/>
              </w:rPr>
              <w:t xml:space="preserve"> (pilsētās – 727 </w:t>
            </w:r>
            <w:r w:rsidRPr="00452FA3">
              <w:rPr>
                <w:sz w:val="26"/>
                <w:szCs w:val="26"/>
              </w:rPr>
              <w:t>t.sk. 2 bērni mācās pēc speciālās izglītības programmas</w:t>
            </w:r>
            <w:r w:rsidR="00D0783A" w:rsidRPr="00452FA3">
              <w:rPr>
                <w:sz w:val="26"/>
                <w:szCs w:val="26"/>
              </w:rPr>
              <w:t xml:space="preserve"> un novados – 203 bērni)</w:t>
            </w:r>
            <w:r w:rsidRPr="00452FA3">
              <w:rPr>
                <w:sz w:val="26"/>
                <w:szCs w:val="26"/>
              </w:rPr>
              <w:t>.</w:t>
            </w:r>
            <w:r w:rsidR="005B09DF" w:rsidRPr="00452FA3">
              <w:rPr>
                <w:sz w:val="26"/>
                <w:szCs w:val="26"/>
              </w:rPr>
              <w:t xml:space="preserve"> </w:t>
            </w:r>
          </w:p>
          <w:p w:rsidR="005B09DF" w:rsidRPr="00452FA3" w:rsidRDefault="005B09DF" w:rsidP="004C5312">
            <w:pPr>
              <w:pStyle w:val="naiskr"/>
              <w:tabs>
                <w:tab w:val="left" w:pos="315"/>
              </w:tabs>
              <w:spacing w:before="0" w:after="0"/>
              <w:jc w:val="both"/>
              <w:rPr>
                <w:sz w:val="26"/>
                <w:szCs w:val="26"/>
              </w:rPr>
            </w:pPr>
            <w:r w:rsidRPr="00452FA3">
              <w:rPr>
                <w:sz w:val="26"/>
                <w:szCs w:val="26"/>
              </w:rPr>
              <w:t>1. Aprēķināts normētais skolēnu skaits, piemērojot koeficientus:</w:t>
            </w:r>
          </w:p>
          <w:p w:rsidR="005B09DF" w:rsidRPr="00452FA3" w:rsidRDefault="005B09DF" w:rsidP="004C5312">
            <w:pPr>
              <w:pStyle w:val="naiskr"/>
              <w:spacing w:before="0" w:after="0"/>
              <w:jc w:val="both"/>
              <w:rPr>
                <w:sz w:val="26"/>
                <w:szCs w:val="26"/>
              </w:rPr>
            </w:pPr>
            <w:r w:rsidRPr="00452FA3">
              <w:rPr>
                <w:sz w:val="26"/>
                <w:szCs w:val="26"/>
              </w:rPr>
              <w:t>2*0,75*1,6 = 3 bērni</w:t>
            </w:r>
          </w:p>
          <w:p w:rsidR="005B09DF" w:rsidRPr="00452FA3" w:rsidRDefault="005B09DF" w:rsidP="004C5312">
            <w:pPr>
              <w:pStyle w:val="naiskr"/>
              <w:spacing w:before="0" w:after="0"/>
              <w:jc w:val="both"/>
              <w:rPr>
                <w:sz w:val="26"/>
                <w:szCs w:val="26"/>
              </w:rPr>
            </w:pPr>
            <w:r w:rsidRPr="00452FA3">
              <w:rPr>
                <w:sz w:val="26"/>
                <w:szCs w:val="26"/>
              </w:rPr>
              <w:t>725*0,75 = 544 bērni</w:t>
            </w:r>
          </w:p>
          <w:p w:rsidR="005B09DF" w:rsidRPr="00452FA3" w:rsidRDefault="005B09DF" w:rsidP="004C5312">
            <w:pPr>
              <w:pStyle w:val="naiskr"/>
              <w:spacing w:before="0" w:after="0"/>
              <w:jc w:val="both"/>
              <w:rPr>
                <w:sz w:val="26"/>
                <w:szCs w:val="26"/>
              </w:rPr>
            </w:pPr>
            <w:r w:rsidRPr="00452FA3">
              <w:rPr>
                <w:sz w:val="26"/>
                <w:szCs w:val="26"/>
              </w:rPr>
              <w:t>203*0,75 = 153 bērni</w:t>
            </w:r>
          </w:p>
          <w:p w:rsidR="005B09DF" w:rsidRPr="00452FA3" w:rsidRDefault="005B09DF" w:rsidP="004C5312">
            <w:pPr>
              <w:pStyle w:val="naiskr"/>
              <w:spacing w:before="0" w:after="0"/>
              <w:jc w:val="both"/>
              <w:rPr>
                <w:sz w:val="26"/>
                <w:szCs w:val="26"/>
              </w:rPr>
            </w:pPr>
            <w:r w:rsidRPr="00452FA3">
              <w:rPr>
                <w:sz w:val="26"/>
                <w:szCs w:val="26"/>
              </w:rPr>
              <w:t>2. Aprēķin</w:t>
            </w:r>
            <w:r w:rsidR="002652DD" w:rsidRPr="00452FA3">
              <w:rPr>
                <w:sz w:val="26"/>
                <w:szCs w:val="26"/>
              </w:rPr>
              <w:t>āts likmju skaits</w:t>
            </w:r>
            <w:r w:rsidRPr="00452FA3">
              <w:rPr>
                <w:sz w:val="26"/>
                <w:szCs w:val="26"/>
              </w:rPr>
              <w:t>:</w:t>
            </w:r>
          </w:p>
          <w:p w:rsidR="005B09DF" w:rsidRPr="00452FA3" w:rsidRDefault="005B09DF" w:rsidP="004C5312">
            <w:pPr>
              <w:pStyle w:val="naiskr"/>
              <w:spacing w:before="0" w:after="0"/>
              <w:jc w:val="both"/>
              <w:rPr>
                <w:sz w:val="26"/>
                <w:szCs w:val="26"/>
              </w:rPr>
            </w:pPr>
            <w:r w:rsidRPr="00452FA3">
              <w:rPr>
                <w:sz w:val="26"/>
                <w:szCs w:val="26"/>
              </w:rPr>
              <w:t>(3+544)/10,2</w:t>
            </w:r>
            <w:r w:rsidR="00D0783A" w:rsidRPr="00452FA3">
              <w:rPr>
                <w:sz w:val="26"/>
                <w:szCs w:val="26"/>
              </w:rPr>
              <w:t xml:space="preserve"> (bērnu skaita attiecība pret vienu pedagoga mēneša darba algas likmi </w:t>
            </w:r>
            <w:r w:rsidR="002652DD" w:rsidRPr="00452FA3">
              <w:rPr>
                <w:sz w:val="26"/>
                <w:szCs w:val="26"/>
              </w:rPr>
              <w:t>pilsētās ir 10,2</w:t>
            </w:r>
            <w:r w:rsidR="00D0783A" w:rsidRPr="00452FA3">
              <w:rPr>
                <w:sz w:val="26"/>
                <w:szCs w:val="26"/>
              </w:rPr>
              <w:t xml:space="preserve"> : 1) </w:t>
            </w:r>
            <w:r w:rsidRPr="00452FA3">
              <w:rPr>
                <w:sz w:val="26"/>
                <w:szCs w:val="26"/>
              </w:rPr>
              <w:t>= 54 likmes</w:t>
            </w:r>
          </w:p>
          <w:p w:rsidR="005B09DF" w:rsidRPr="00452FA3" w:rsidRDefault="005B09DF" w:rsidP="004C5312">
            <w:pPr>
              <w:pStyle w:val="naiskr"/>
              <w:spacing w:before="0" w:after="0"/>
              <w:jc w:val="both"/>
              <w:rPr>
                <w:sz w:val="26"/>
                <w:szCs w:val="26"/>
              </w:rPr>
            </w:pPr>
            <w:r w:rsidRPr="00452FA3">
              <w:rPr>
                <w:sz w:val="26"/>
                <w:szCs w:val="26"/>
              </w:rPr>
              <w:t>153/8</w:t>
            </w:r>
            <w:r w:rsidR="002652DD" w:rsidRPr="00452FA3">
              <w:rPr>
                <w:sz w:val="26"/>
                <w:szCs w:val="26"/>
              </w:rPr>
              <w:t xml:space="preserve"> </w:t>
            </w:r>
            <w:r w:rsidR="00D0783A" w:rsidRPr="00452FA3">
              <w:rPr>
                <w:sz w:val="26"/>
                <w:szCs w:val="26"/>
              </w:rPr>
              <w:t xml:space="preserve">(bērnu skaita attiecība pret vienu pedagoga mēneša darba algas likmi novados ir </w:t>
            </w:r>
            <w:r w:rsidR="002652DD" w:rsidRPr="00452FA3">
              <w:rPr>
                <w:sz w:val="26"/>
                <w:szCs w:val="26"/>
              </w:rPr>
              <w:t>8</w:t>
            </w:r>
            <w:r w:rsidR="00D0783A" w:rsidRPr="00452FA3">
              <w:rPr>
                <w:sz w:val="26"/>
                <w:szCs w:val="26"/>
              </w:rPr>
              <w:t xml:space="preserve"> : 1) </w:t>
            </w:r>
            <w:r w:rsidRPr="00452FA3">
              <w:rPr>
                <w:sz w:val="26"/>
                <w:szCs w:val="26"/>
              </w:rPr>
              <w:t>= 19 likmes</w:t>
            </w:r>
          </w:p>
          <w:p w:rsidR="005B09DF" w:rsidRPr="00452FA3" w:rsidRDefault="005B09DF" w:rsidP="004C5312">
            <w:pPr>
              <w:pStyle w:val="naiskr"/>
              <w:spacing w:before="0" w:after="0"/>
              <w:jc w:val="both"/>
              <w:rPr>
                <w:sz w:val="26"/>
                <w:szCs w:val="26"/>
              </w:rPr>
            </w:pPr>
            <w:r w:rsidRPr="00452FA3">
              <w:rPr>
                <w:sz w:val="26"/>
                <w:szCs w:val="26"/>
              </w:rPr>
              <w:t>Kopā: 54+19 = 73 likmes</w:t>
            </w:r>
          </w:p>
          <w:p w:rsidR="005B09DF" w:rsidRPr="00452FA3" w:rsidRDefault="005B09DF" w:rsidP="004C5312">
            <w:pPr>
              <w:pStyle w:val="naiskr"/>
              <w:spacing w:before="0" w:after="0"/>
              <w:jc w:val="both"/>
              <w:rPr>
                <w:sz w:val="26"/>
                <w:szCs w:val="26"/>
              </w:rPr>
            </w:pPr>
            <w:r w:rsidRPr="00452FA3">
              <w:rPr>
                <w:sz w:val="26"/>
                <w:szCs w:val="26"/>
              </w:rPr>
              <w:t xml:space="preserve">3. </w:t>
            </w:r>
            <w:r w:rsidR="002652DD" w:rsidRPr="00452FA3">
              <w:rPr>
                <w:sz w:val="26"/>
                <w:szCs w:val="26"/>
              </w:rPr>
              <w:t>Aprēķināts algas fonds vienam mēnesim:</w:t>
            </w:r>
          </w:p>
          <w:p w:rsidR="002652DD" w:rsidRPr="00452FA3" w:rsidRDefault="002652DD" w:rsidP="004C5312">
            <w:pPr>
              <w:pStyle w:val="naiskr"/>
              <w:spacing w:before="0" w:after="0"/>
              <w:jc w:val="both"/>
              <w:rPr>
                <w:b/>
                <w:sz w:val="26"/>
                <w:szCs w:val="26"/>
              </w:rPr>
            </w:pPr>
            <w:r w:rsidRPr="00452FA3">
              <w:rPr>
                <w:sz w:val="26"/>
                <w:szCs w:val="26"/>
              </w:rPr>
              <w:t>73*255 (zemākā pedagoga mēneša darba algas likme pedagogam ar dar</w:t>
            </w:r>
            <w:r w:rsidR="007313C0" w:rsidRPr="00452FA3">
              <w:rPr>
                <w:sz w:val="26"/>
                <w:szCs w:val="26"/>
              </w:rPr>
              <w:t>ba stāžu lielāku par 10 gadiem) *</w:t>
            </w:r>
            <w:r w:rsidR="008D6407" w:rsidRPr="00452FA3">
              <w:rPr>
                <w:sz w:val="26"/>
                <w:szCs w:val="26"/>
              </w:rPr>
              <w:t>0,45</w:t>
            </w:r>
            <w:r w:rsidRPr="00452FA3">
              <w:rPr>
                <w:sz w:val="26"/>
                <w:szCs w:val="26"/>
              </w:rPr>
              <w:t xml:space="preserve">% </w:t>
            </w:r>
            <w:r w:rsidRPr="00452FA3">
              <w:rPr>
                <w:sz w:val="26"/>
                <w:szCs w:val="26"/>
              </w:rPr>
              <w:lastRenderedPageBreak/>
              <w:t>(papildus pedag</w:t>
            </w:r>
            <w:r w:rsidR="007313C0" w:rsidRPr="00452FA3">
              <w:rPr>
                <w:sz w:val="26"/>
                <w:szCs w:val="26"/>
              </w:rPr>
              <w:t>ogu pienākumu nodrošināšanai)*</w:t>
            </w:r>
            <w:r w:rsidRPr="00452FA3">
              <w:rPr>
                <w:sz w:val="26"/>
                <w:szCs w:val="26"/>
              </w:rPr>
              <w:t xml:space="preserve">24,09 % (VSAOI) = </w:t>
            </w:r>
            <w:r w:rsidRPr="00452FA3">
              <w:rPr>
                <w:b/>
                <w:sz w:val="26"/>
                <w:szCs w:val="26"/>
              </w:rPr>
              <w:t>23 205 Ls</w:t>
            </w:r>
          </w:p>
          <w:p w:rsidR="002652DD" w:rsidRPr="00452FA3" w:rsidRDefault="002652DD" w:rsidP="004C5312">
            <w:pPr>
              <w:pStyle w:val="naiskr"/>
              <w:spacing w:before="0" w:after="0"/>
              <w:jc w:val="both"/>
              <w:rPr>
                <w:sz w:val="26"/>
                <w:szCs w:val="26"/>
              </w:rPr>
            </w:pPr>
            <w:r w:rsidRPr="00452FA3">
              <w:rPr>
                <w:sz w:val="26"/>
                <w:szCs w:val="26"/>
              </w:rPr>
              <w:t xml:space="preserve">4. Nepieciešamais dotācijas apmērs pedagogu darba samaksai </w:t>
            </w:r>
            <w:r w:rsidR="00552085" w:rsidRPr="00452FA3">
              <w:rPr>
                <w:sz w:val="26"/>
                <w:szCs w:val="26"/>
              </w:rPr>
              <w:t xml:space="preserve">2012. gadam </w:t>
            </w:r>
            <w:r w:rsidR="007313C0" w:rsidRPr="00452FA3">
              <w:rPr>
                <w:sz w:val="26"/>
                <w:szCs w:val="26"/>
              </w:rPr>
              <w:t>= 23 205</w:t>
            </w:r>
            <w:r w:rsidRPr="00452FA3">
              <w:rPr>
                <w:sz w:val="26"/>
                <w:szCs w:val="26"/>
              </w:rPr>
              <w:t xml:space="preserve">*12 = </w:t>
            </w:r>
            <w:r w:rsidR="00552085" w:rsidRPr="00452FA3">
              <w:rPr>
                <w:b/>
                <w:sz w:val="26"/>
                <w:szCs w:val="26"/>
              </w:rPr>
              <w:t>278 460 Ls</w:t>
            </w:r>
          </w:p>
          <w:p w:rsidR="00FD6E92" w:rsidRPr="004C5312" w:rsidRDefault="00FD6E92" w:rsidP="004C5312">
            <w:pPr>
              <w:pStyle w:val="naiskr"/>
              <w:spacing w:before="0" w:after="0"/>
              <w:jc w:val="both"/>
              <w:rPr>
                <w:sz w:val="26"/>
                <w:szCs w:val="26"/>
              </w:rPr>
            </w:pPr>
            <w:r w:rsidRPr="00452FA3">
              <w:rPr>
                <w:sz w:val="26"/>
                <w:szCs w:val="26"/>
              </w:rPr>
              <w:t>Likumprojekts 2012.gadā un turpmākajos gados tiks īstenots ministrijas esošo valsts budžeta līdzekļu ietvaros.</w:t>
            </w:r>
          </w:p>
        </w:tc>
      </w:tr>
    </w:tbl>
    <w:p w:rsidR="00240879" w:rsidRPr="004C5312" w:rsidRDefault="00240879" w:rsidP="004C5312">
      <w:pPr>
        <w:pStyle w:val="naiskr"/>
        <w:tabs>
          <w:tab w:val="left" w:pos="2628"/>
        </w:tabs>
        <w:spacing w:before="0" w:after="0"/>
        <w:rPr>
          <w:sz w:val="26"/>
          <w:szCs w:val="26"/>
        </w:rPr>
      </w:pPr>
    </w:p>
    <w:tbl>
      <w:tblPr>
        <w:tblW w:w="4942" w:type="pct"/>
        <w:jc w:val="center"/>
        <w:tblInd w:w="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11"/>
        <w:gridCol w:w="1898"/>
        <w:gridCol w:w="6870"/>
      </w:tblGrid>
      <w:tr w:rsidR="00240879" w:rsidRPr="004C5312" w:rsidTr="00E0345B">
        <w:trPr>
          <w:jc w:val="center"/>
        </w:trPr>
        <w:tc>
          <w:tcPr>
            <w:tcW w:w="5000" w:type="pct"/>
            <w:gridSpan w:val="3"/>
          </w:tcPr>
          <w:p w:rsidR="00240879" w:rsidRPr="004C5312" w:rsidRDefault="00240879" w:rsidP="004C5312">
            <w:pPr>
              <w:pStyle w:val="naisnod"/>
              <w:spacing w:before="0" w:after="0"/>
              <w:rPr>
                <w:sz w:val="26"/>
                <w:szCs w:val="26"/>
              </w:rPr>
            </w:pPr>
            <w:r w:rsidRPr="004C5312">
              <w:rPr>
                <w:sz w:val="26"/>
                <w:szCs w:val="26"/>
              </w:rPr>
              <w:t>IV. Tiesību akta projekta ietekme uz spēkā esošo tiesību normu sistēmu</w:t>
            </w:r>
          </w:p>
        </w:tc>
      </w:tr>
      <w:tr w:rsidR="00240879" w:rsidRPr="004C5312" w:rsidTr="00E0345B">
        <w:trPr>
          <w:jc w:val="center"/>
        </w:trPr>
        <w:tc>
          <w:tcPr>
            <w:tcW w:w="216" w:type="pct"/>
            <w:vAlign w:val="center"/>
          </w:tcPr>
          <w:p w:rsidR="00240879" w:rsidRPr="004C5312" w:rsidRDefault="00240879" w:rsidP="004C5312">
            <w:pPr>
              <w:pStyle w:val="naiskr"/>
              <w:tabs>
                <w:tab w:val="left" w:pos="2628"/>
              </w:tabs>
              <w:spacing w:before="0" w:after="0"/>
              <w:rPr>
                <w:sz w:val="26"/>
                <w:szCs w:val="26"/>
              </w:rPr>
            </w:pPr>
            <w:r w:rsidRPr="004C5312">
              <w:rPr>
                <w:sz w:val="26"/>
                <w:szCs w:val="26"/>
              </w:rPr>
              <w:t>1.</w:t>
            </w:r>
          </w:p>
        </w:tc>
        <w:tc>
          <w:tcPr>
            <w:tcW w:w="1038" w:type="pct"/>
            <w:vAlign w:val="center"/>
          </w:tcPr>
          <w:p w:rsidR="00240879" w:rsidRPr="004C5312" w:rsidRDefault="00240879" w:rsidP="004C5312">
            <w:pPr>
              <w:pStyle w:val="naiskr"/>
              <w:tabs>
                <w:tab w:val="left" w:pos="2628"/>
              </w:tabs>
              <w:spacing w:before="0" w:after="0"/>
              <w:rPr>
                <w:sz w:val="26"/>
                <w:szCs w:val="26"/>
              </w:rPr>
            </w:pPr>
            <w:r w:rsidRPr="004C5312">
              <w:rPr>
                <w:sz w:val="26"/>
                <w:szCs w:val="26"/>
              </w:rPr>
              <w:t>Nepieciešamie saistītie tiesību aktu projekti</w:t>
            </w:r>
          </w:p>
        </w:tc>
        <w:tc>
          <w:tcPr>
            <w:tcW w:w="3746" w:type="pct"/>
          </w:tcPr>
          <w:p w:rsidR="00240879" w:rsidRPr="004C5312" w:rsidRDefault="00240879" w:rsidP="004C5312">
            <w:pPr>
              <w:jc w:val="both"/>
              <w:rPr>
                <w:sz w:val="26"/>
                <w:szCs w:val="26"/>
              </w:rPr>
            </w:pPr>
            <w:r w:rsidRPr="004C5312">
              <w:rPr>
                <w:sz w:val="26"/>
                <w:szCs w:val="26"/>
              </w:rPr>
              <w:t xml:space="preserve">1. Jāizdara 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svītrojot normas, kas attiecas uz valsts budžeta mērķdotācijas aprēķināšanu un sadali privātajām izglītības iestādēm. </w:t>
            </w:r>
          </w:p>
          <w:p w:rsidR="00240879" w:rsidRPr="004C5312" w:rsidRDefault="00240879" w:rsidP="004C5312">
            <w:pPr>
              <w:jc w:val="both"/>
              <w:rPr>
                <w:sz w:val="26"/>
                <w:szCs w:val="26"/>
              </w:rPr>
            </w:pPr>
            <w:r w:rsidRPr="004C5312">
              <w:rPr>
                <w:sz w:val="26"/>
                <w:szCs w:val="26"/>
              </w:rPr>
              <w:t>2. Jāizdod Ministru kabineta noteikumi par kārtību, kādā valsts finansē pamatizglītības un vidējās izglītības programmas, kā arī pirmsskolas izglītības programmas bērniem no piecu gadu vecuma līdz pamatizglītības ieguves uzsākšanai, kuras īsteno privātās izglītības iestādes.</w:t>
            </w:r>
          </w:p>
          <w:p w:rsidR="00240879" w:rsidRPr="004C5312" w:rsidRDefault="00240879" w:rsidP="004C5312">
            <w:pPr>
              <w:jc w:val="both"/>
              <w:rPr>
                <w:sz w:val="26"/>
                <w:szCs w:val="26"/>
              </w:rPr>
            </w:pPr>
            <w:r w:rsidRPr="004C5312">
              <w:rPr>
                <w:sz w:val="26"/>
                <w:szCs w:val="26"/>
              </w:rPr>
              <w:t>Atbildīga par minēto noteikumu izstrādi ir ministrija.</w:t>
            </w:r>
            <w:r w:rsidR="00DA1682" w:rsidRPr="004C5312">
              <w:rPr>
                <w:sz w:val="26"/>
                <w:szCs w:val="26"/>
              </w:rPr>
              <w:t xml:space="preserve"> </w:t>
            </w:r>
            <w:r w:rsidR="00A24EFF" w:rsidRPr="004C5312">
              <w:rPr>
                <w:sz w:val="26"/>
                <w:szCs w:val="26"/>
              </w:rPr>
              <w:t>Minētie n</w:t>
            </w:r>
            <w:r w:rsidR="00DA1682" w:rsidRPr="004C5312">
              <w:rPr>
                <w:sz w:val="26"/>
                <w:szCs w:val="26"/>
              </w:rPr>
              <w:t>oteikumu projekti ir izstrād</w:t>
            </w:r>
            <w:r w:rsidR="00D060F8" w:rsidRPr="004C5312">
              <w:rPr>
                <w:sz w:val="26"/>
                <w:szCs w:val="26"/>
              </w:rPr>
              <w:t xml:space="preserve">āti. </w:t>
            </w:r>
          </w:p>
        </w:tc>
      </w:tr>
      <w:tr w:rsidR="00240879" w:rsidRPr="004C5312" w:rsidTr="00E0345B">
        <w:trPr>
          <w:jc w:val="center"/>
        </w:trPr>
        <w:tc>
          <w:tcPr>
            <w:tcW w:w="216" w:type="pct"/>
            <w:vAlign w:val="center"/>
          </w:tcPr>
          <w:p w:rsidR="00240879" w:rsidRPr="004C5312" w:rsidRDefault="00240879" w:rsidP="004C5312">
            <w:pPr>
              <w:pStyle w:val="naiskr"/>
              <w:tabs>
                <w:tab w:val="left" w:pos="2628"/>
              </w:tabs>
              <w:spacing w:before="0" w:after="0"/>
              <w:rPr>
                <w:sz w:val="26"/>
                <w:szCs w:val="26"/>
              </w:rPr>
            </w:pPr>
            <w:r w:rsidRPr="004C5312">
              <w:rPr>
                <w:sz w:val="26"/>
                <w:szCs w:val="26"/>
              </w:rPr>
              <w:t>2.</w:t>
            </w:r>
          </w:p>
        </w:tc>
        <w:tc>
          <w:tcPr>
            <w:tcW w:w="1038" w:type="pct"/>
            <w:vAlign w:val="center"/>
          </w:tcPr>
          <w:p w:rsidR="00240879" w:rsidRPr="004C5312" w:rsidRDefault="00240879" w:rsidP="004C5312">
            <w:pPr>
              <w:pStyle w:val="naiskr"/>
              <w:tabs>
                <w:tab w:val="left" w:pos="2628"/>
              </w:tabs>
              <w:spacing w:before="0" w:after="0"/>
              <w:rPr>
                <w:sz w:val="26"/>
                <w:szCs w:val="26"/>
              </w:rPr>
            </w:pPr>
            <w:r w:rsidRPr="004C5312">
              <w:rPr>
                <w:sz w:val="26"/>
                <w:szCs w:val="26"/>
              </w:rPr>
              <w:t>Cita informācija</w:t>
            </w:r>
          </w:p>
        </w:tc>
        <w:tc>
          <w:tcPr>
            <w:tcW w:w="3746" w:type="pct"/>
          </w:tcPr>
          <w:p w:rsidR="00240879" w:rsidRPr="004C5312" w:rsidRDefault="00D060F8" w:rsidP="004C5312">
            <w:pPr>
              <w:pStyle w:val="naiskr"/>
              <w:tabs>
                <w:tab w:val="left" w:pos="2628"/>
              </w:tabs>
              <w:spacing w:before="0" w:after="0"/>
              <w:jc w:val="both"/>
              <w:rPr>
                <w:sz w:val="26"/>
                <w:szCs w:val="26"/>
              </w:rPr>
            </w:pPr>
            <w:r w:rsidRPr="004C5312">
              <w:rPr>
                <w:sz w:val="26"/>
                <w:szCs w:val="26"/>
              </w:rPr>
              <w:t>Šīs anotācijas sadaļas 1.punktā minētie noteikumu projekti tiks virzīti izskatīšanai Ministru kabineta sēdē pēc likumprojekta pieņemšanas Saeimā.</w:t>
            </w:r>
          </w:p>
        </w:tc>
      </w:tr>
    </w:tbl>
    <w:p w:rsidR="00240879" w:rsidRPr="004C5312" w:rsidRDefault="00240879" w:rsidP="004C5312">
      <w:pPr>
        <w:pStyle w:val="naiskr"/>
        <w:tabs>
          <w:tab w:val="left" w:pos="2628"/>
        </w:tabs>
        <w:spacing w:before="0" w:after="0"/>
        <w:rPr>
          <w:sz w:val="26"/>
          <w:szCs w:val="26"/>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7"/>
      </w:tblGrid>
      <w:tr w:rsidR="00DA1682" w:rsidRPr="004C5312" w:rsidTr="00E20AD4">
        <w:trPr>
          <w:jc w:val="center"/>
        </w:trPr>
        <w:tc>
          <w:tcPr>
            <w:tcW w:w="5000" w:type="pct"/>
          </w:tcPr>
          <w:p w:rsidR="00DA1682" w:rsidRPr="004C5312" w:rsidRDefault="00DA1682" w:rsidP="004C5312">
            <w:pPr>
              <w:pStyle w:val="naisnod"/>
              <w:spacing w:before="0" w:after="0"/>
              <w:rPr>
                <w:sz w:val="26"/>
                <w:szCs w:val="26"/>
              </w:rPr>
            </w:pPr>
            <w:r w:rsidRPr="004C5312">
              <w:rPr>
                <w:sz w:val="26"/>
                <w:szCs w:val="26"/>
              </w:rPr>
              <w:t>V. Tiesību akta projekta atbilstība Latvijas Republikas starptautiskajām saistībām</w:t>
            </w:r>
          </w:p>
        </w:tc>
      </w:tr>
      <w:tr w:rsidR="00DA1682" w:rsidRPr="004C5312" w:rsidTr="00E20AD4">
        <w:trPr>
          <w:jc w:val="center"/>
        </w:trPr>
        <w:tc>
          <w:tcPr>
            <w:tcW w:w="5000" w:type="pct"/>
          </w:tcPr>
          <w:p w:rsidR="00DA1682" w:rsidRPr="004C5312" w:rsidRDefault="00DA1682" w:rsidP="004C5312">
            <w:pPr>
              <w:pStyle w:val="naisnod"/>
              <w:spacing w:before="0" w:after="0"/>
              <w:rPr>
                <w:b w:val="0"/>
                <w:bCs w:val="0"/>
                <w:sz w:val="26"/>
                <w:szCs w:val="26"/>
              </w:rPr>
            </w:pPr>
            <w:r w:rsidRPr="004C5312">
              <w:rPr>
                <w:b w:val="0"/>
                <w:bCs w:val="0"/>
                <w:sz w:val="26"/>
                <w:szCs w:val="26"/>
              </w:rPr>
              <w:t>Projekts šo jomu neskar</w:t>
            </w:r>
          </w:p>
        </w:tc>
      </w:tr>
    </w:tbl>
    <w:p w:rsidR="00DA1682" w:rsidRPr="004C5312" w:rsidRDefault="00DA1682" w:rsidP="004C5312">
      <w:pPr>
        <w:rPr>
          <w:sz w:val="26"/>
          <w:szCs w:val="26"/>
        </w:rPr>
      </w:pPr>
    </w:p>
    <w:p w:rsidR="00D060F8" w:rsidRPr="004C5312" w:rsidRDefault="00D060F8" w:rsidP="004C5312">
      <w:pPr>
        <w:rPr>
          <w:sz w:val="26"/>
          <w:szCs w:val="26"/>
        </w:rPr>
      </w:pPr>
    </w:p>
    <w:tbl>
      <w:tblPr>
        <w:tblW w:w="511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9307"/>
      </w:tblGrid>
      <w:tr w:rsidR="00DA1682" w:rsidRPr="004C5312" w:rsidTr="00E20AD4">
        <w:trPr>
          <w:jc w:val="center"/>
        </w:trPr>
        <w:tc>
          <w:tcPr>
            <w:tcW w:w="5000" w:type="pct"/>
          </w:tcPr>
          <w:p w:rsidR="00DA1682" w:rsidRPr="004C5312" w:rsidRDefault="00DA1682" w:rsidP="004C5312">
            <w:pPr>
              <w:pStyle w:val="naisnod"/>
              <w:spacing w:before="0" w:after="0"/>
              <w:ind w:left="57" w:right="57"/>
              <w:rPr>
                <w:sz w:val="26"/>
                <w:szCs w:val="26"/>
              </w:rPr>
            </w:pPr>
            <w:r w:rsidRPr="004C5312">
              <w:rPr>
                <w:sz w:val="26"/>
                <w:szCs w:val="26"/>
              </w:rPr>
              <w:t>VI. Sabiedrības līdzdalība un šīs līdzdalības rezultāti</w:t>
            </w:r>
          </w:p>
        </w:tc>
      </w:tr>
      <w:tr w:rsidR="00DA1682" w:rsidRPr="004C5312" w:rsidTr="00E20AD4">
        <w:tblPrEx>
          <w:tblCellMar>
            <w:left w:w="108" w:type="dxa"/>
            <w:right w:w="108" w:type="dxa"/>
          </w:tblCellMar>
          <w:tblLook w:val="01E0"/>
        </w:tblPrEx>
        <w:trPr>
          <w:jc w:val="center"/>
        </w:trPr>
        <w:tc>
          <w:tcPr>
            <w:tcW w:w="5000" w:type="pct"/>
          </w:tcPr>
          <w:p w:rsidR="00DA1682" w:rsidRPr="004C5312" w:rsidRDefault="00DA1682" w:rsidP="004C5312">
            <w:pPr>
              <w:pStyle w:val="naisnod"/>
              <w:spacing w:before="0" w:after="0"/>
              <w:rPr>
                <w:b w:val="0"/>
                <w:bCs w:val="0"/>
                <w:sz w:val="26"/>
                <w:szCs w:val="26"/>
              </w:rPr>
            </w:pPr>
            <w:r w:rsidRPr="004C5312">
              <w:rPr>
                <w:b w:val="0"/>
                <w:bCs w:val="0"/>
                <w:sz w:val="26"/>
                <w:szCs w:val="26"/>
              </w:rPr>
              <w:t>Projekts šo jomu neskar</w:t>
            </w:r>
          </w:p>
        </w:tc>
      </w:tr>
    </w:tbl>
    <w:p w:rsidR="00EA023C" w:rsidRPr="004C5312" w:rsidRDefault="00EA023C" w:rsidP="004C5312">
      <w:pPr>
        <w:ind w:firstLine="375"/>
        <w:jc w:val="center"/>
        <w:rPr>
          <w:sz w:val="26"/>
          <w:szCs w:val="26"/>
        </w:rPr>
      </w:pPr>
    </w:p>
    <w:p w:rsidR="00E435A6" w:rsidRPr="004C5312" w:rsidRDefault="00E435A6" w:rsidP="004C5312">
      <w:pPr>
        <w:ind w:firstLine="375"/>
        <w:jc w:val="center"/>
        <w:rPr>
          <w:b/>
          <w:sz w:val="26"/>
          <w:szCs w:val="26"/>
        </w:rPr>
      </w:pPr>
    </w:p>
    <w:tbl>
      <w:tblPr>
        <w:tblpPr w:leftFromText="180" w:rightFromText="180" w:vertAnchor="text" w:horzAnchor="margin" w:tblpXSpec="center" w:tblpY="-179"/>
        <w:tblW w:w="92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021"/>
        <w:gridCol w:w="3784"/>
      </w:tblGrid>
      <w:tr w:rsidR="00E435A6" w:rsidRPr="004C5312" w:rsidTr="00E0345B">
        <w:trPr>
          <w:tblCellSpacing w:w="0" w:type="dxa"/>
        </w:trPr>
        <w:tc>
          <w:tcPr>
            <w:tcW w:w="9238" w:type="dxa"/>
            <w:gridSpan w:val="3"/>
            <w:vAlign w:val="center"/>
          </w:tcPr>
          <w:p w:rsidR="00E435A6" w:rsidRPr="004C5312" w:rsidRDefault="00E435A6" w:rsidP="004C5312">
            <w:pPr>
              <w:pStyle w:val="naisnod"/>
              <w:spacing w:before="0" w:after="0"/>
              <w:rPr>
                <w:sz w:val="26"/>
                <w:szCs w:val="26"/>
              </w:rPr>
            </w:pPr>
            <w:r w:rsidRPr="004C5312">
              <w:rPr>
                <w:sz w:val="26"/>
                <w:szCs w:val="26"/>
              </w:rPr>
              <w:t>VII. Tiesību akta projekta izpildes nodrošināšana un tās ietekme uz institūcijām</w:t>
            </w:r>
          </w:p>
        </w:tc>
      </w:tr>
      <w:tr w:rsidR="00E435A6" w:rsidRPr="004C5312" w:rsidTr="00E0345B">
        <w:trPr>
          <w:trHeight w:val="671"/>
          <w:tblCellSpacing w:w="0" w:type="dxa"/>
        </w:trPr>
        <w:tc>
          <w:tcPr>
            <w:tcW w:w="433" w:type="dxa"/>
            <w:vAlign w:val="center"/>
          </w:tcPr>
          <w:p w:rsidR="00E435A6" w:rsidRPr="004C5312" w:rsidRDefault="00E435A6" w:rsidP="004C5312">
            <w:pPr>
              <w:pStyle w:val="naisnod"/>
              <w:spacing w:before="0" w:after="0"/>
              <w:ind w:left="180" w:hanging="180"/>
              <w:jc w:val="both"/>
              <w:rPr>
                <w:b w:val="0"/>
                <w:sz w:val="26"/>
                <w:szCs w:val="26"/>
              </w:rPr>
            </w:pPr>
            <w:r w:rsidRPr="004C5312">
              <w:rPr>
                <w:b w:val="0"/>
                <w:sz w:val="26"/>
                <w:szCs w:val="26"/>
              </w:rPr>
              <w:t>1.</w:t>
            </w:r>
          </w:p>
        </w:tc>
        <w:tc>
          <w:tcPr>
            <w:tcW w:w="5021" w:type="dxa"/>
            <w:vAlign w:val="center"/>
          </w:tcPr>
          <w:p w:rsidR="00E435A6" w:rsidRPr="004C5312" w:rsidRDefault="00E435A6" w:rsidP="004C5312">
            <w:pPr>
              <w:pStyle w:val="naisf"/>
              <w:spacing w:before="0" w:after="0"/>
              <w:ind w:firstLine="0"/>
              <w:rPr>
                <w:sz w:val="26"/>
                <w:szCs w:val="26"/>
              </w:rPr>
            </w:pPr>
            <w:r w:rsidRPr="004C5312">
              <w:rPr>
                <w:sz w:val="26"/>
                <w:szCs w:val="26"/>
              </w:rPr>
              <w:t xml:space="preserve">Projekta izpildē iesaistītās institūcijas </w:t>
            </w:r>
          </w:p>
        </w:tc>
        <w:tc>
          <w:tcPr>
            <w:tcW w:w="3784" w:type="dxa"/>
            <w:vAlign w:val="center"/>
          </w:tcPr>
          <w:p w:rsidR="00E435A6" w:rsidRPr="004C5312" w:rsidRDefault="00DA1682" w:rsidP="004C5312">
            <w:pPr>
              <w:pStyle w:val="naisnod"/>
              <w:spacing w:before="0" w:after="0"/>
              <w:jc w:val="both"/>
              <w:rPr>
                <w:b w:val="0"/>
                <w:sz w:val="26"/>
                <w:szCs w:val="26"/>
              </w:rPr>
            </w:pPr>
            <w:r w:rsidRPr="004C5312">
              <w:rPr>
                <w:b w:val="0"/>
                <w:sz w:val="26"/>
                <w:szCs w:val="26"/>
              </w:rPr>
              <w:t>M</w:t>
            </w:r>
            <w:r w:rsidR="00E435A6" w:rsidRPr="004C5312">
              <w:rPr>
                <w:b w:val="0"/>
                <w:sz w:val="26"/>
                <w:szCs w:val="26"/>
              </w:rPr>
              <w:t>inistrija un privātās izglītības iestādes.</w:t>
            </w:r>
          </w:p>
        </w:tc>
      </w:tr>
      <w:tr w:rsidR="00E435A6" w:rsidRPr="004C5312" w:rsidTr="00E0345B">
        <w:trPr>
          <w:trHeight w:val="539"/>
          <w:tblCellSpacing w:w="0" w:type="dxa"/>
        </w:trPr>
        <w:tc>
          <w:tcPr>
            <w:tcW w:w="433"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2.</w:t>
            </w:r>
          </w:p>
        </w:tc>
        <w:tc>
          <w:tcPr>
            <w:tcW w:w="5021" w:type="dxa"/>
            <w:vAlign w:val="center"/>
          </w:tcPr>
          <w:p w:rsidR="00E435A6" w:rsidRPr="004C5312" w:rsidRDefault="00E435A6" w:rsidP="004C5312">
            <w:pPr>
              <w:pStyle w:val="naisf"/>
              <w:spacing w:before="0" w:after="0"/>
              <w:ind w:firstLine="0"/>
              <w:rPr>
                <w:sz w:val="26"/>
                <w:szCs w:val="26"/>
              </w:rPr>
            </w:pPr>
            <w:r w:rsidRPr="004C5312">
              <w:rPr>
                <w:sz w:val="26"/>
                <w:szCs w:val="26"/>
              </w:rPr>
              <w:t xml:space="preserve">Projekta izpildes ietekme uz pārvaldes funkcijām </w:t>
            </w:r>
          </w:p>
        </w:tc>
        <w:tc>
          <w:tcPr>
            <w:tcW w:w="3784"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Projekts šo jomu neskar</w:t>
            </w:r>
            <w:r w:rsidRPr="004C5312">
              <w:rPr>
                <w:b w:val="0"/>
                <w:iCs/>
                <w:sz w:val="26"/>
                <w:szCs w:val="26"/>
              </w:rPr>
              <w:t>.</w:t>
            </w:r>
          </w:p>
        </w:tc>
      </w:tr>
      <w:tr w:rsidR="00E435A6" w:rsidRPr="004C5312" w:rsidTr="00E0345B">
        <w:trPr>
          <w:trHeight w:val="703"/>
          <w:tblCellSpacing w:w="0" w:type="dxa"/>
        </w:trPr>
        <w:tc>
          <w:tcPr>
            <w:tcW w:w="433"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3.</w:t>
            </w:r>
          </w:p>
        </w:tc>
        <w:tc>
          <w:tcPr>
            <w:tcW w:w="5021" w:type="dxa"/>
            <w:vAlign w:val="center"/>
          </w:tcPr>
          <w:p w:rsidR="00E435A6" w:rsidRPr="004C5312" w:rsidRDefault="00E435A6" w:rsidP="004C5312">
            <w:pPr>
              <w:pStyle w:val="naisf"/>
              <w:spacing w:before="0" w:after="0"/>
              <w:ind w:firstLine="0"/>
              <w:rPr>
                <w:sz w:val="26"/>
                <w:szCs w:val="26"/>
              </w:rPr>
            </w:pPr>
            <w:r w:rsidRPr="004C5312">
              <w:rPr>
                <w:sz w:val="26"/>
                <w:szCs w:val="26"/>
              </w:rPr>
              <w:t>Projekta izpildes ietekme uz pārvaldes institucionālo struktūru. Jaunu institūciju izveide.</w:t>
            </w:r>
          </w:p>
        </w:tc>
        <w:tc>
          <w:tcPr>
            <w:tcW w:w="3784"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Normatīvā akta izpilde tiks nodrošināta esošo institūciju ietvaros.</w:t>
            </w:r>
          </w:p>
        </w:tc>
      </w:tr>
      <w:tr w:rsidR="00E435A6" w:rsidRPr="004C5312" w:rsidTr="00E0345B">
        <w:trPr>
          <w:trHeight w:val="816"/>
          <w:tblCellSpacing w:w="0" w:type="dxa"/>
        </w:trPr>
        <w:tc>
          <w:tcPr>
            <w:tcW w:w="433"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lastRenderedPageBreak/>
              <w:t>4.</w:t>
            </w:r>
          </w:p>
        </w:tc>
        <w:tc>
          <w:tcPr>
            <w:tcW w:w="5021" w:type="dxa"/>
            <w:vAlign w:val="center"/>
          </w:tcPr>
          <w:p w:rsidR="00E435A6" w:rsidRPr="004C5312" w:rsidRDefault="00E435A6" w:rsidP="004C5312">
            <w:pPr>
              <w:pStyle w:val="naisf"/>
              <w:spacing w:before="0" w:after="0"/>
              <w:ind w:firstLine="0"/>
              <w:rPr>
                <w:sz w:val="26"/>
                <w:szCs w:val="26"/>
              </w:rPr>
            </w:pPr>
            <w:r w:rsidRPr="004C5312">
              <w:rPr>
                <w:sz w:val="26"/>
                <w:szCs w:val="26"/>
              </w:rPr>
              <w:t>Projekta izpildes ietekme uz pārvaldes institucionālo struktūru. Esošu institūciju likvidācija.</w:t>
            </w:r>
          </w:p>
        </w:tc>
        <w:tc>
          <w:tcPr>
            <w:tcW w:w="3784"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Projekts šo jomu neskar</w:t>
            </w:r>
            <w:r w:rsidRPr="004C5312">
              <w:rPr>
                <w:b w:val="0"/>
                <w:iCs/>
                <w:sz w:val="26"/>
                <w:szCs w:val="26"/>
              </w:rPr>
              <w:t>.</w:t>
            </w:r>
          </w:p>
        </w:tc>
      </w:tr>
      <w:tr w:rsidR="00E435A6" w:rsidRPr="004C5312" w:rsidTr="00E0345B">
        <w:trPr>
          <w:trHeight w:val="829"/>
          <w:tblCellSpacing w:w="0" w:type="dxa"/>
        </w:trPr>
        <w:tc>
          <w:tcPr>
            <w:tcW w:w="433"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5.</w:t>
            </w:r>
          </w:p>
        </w:tc>
        <w:tc>
          <w:tcPr>
            <w:tcW w:w="5021" w:type="dxa"/>
            <w:vAlign w:val="center"/>
          </w:tcPr>
          <w:p w:rsidR="00E435A6" w:rsidRPr="004C5312" w:rsidRDefault="00E435A6" w:rsidP="004C5312">
            <w:pPr>
              <w:pStyle w:val="naisf"/>
              <w:spacing w:before="0" w:after="0"/>
              <w:ind w:firstLine="0"/>
              <w:rPr>
                <w:sz w:val="26"/>
                <w:szCs w:val="26"/>
              </w:rPr>
            </w:pPr>
            <w:r w:rsidRPr="004C5312">
              <w:rPr>
                <w:sz w:val="26"/>
                <w:szCs w:val="26"/>
              </w:rPr>
              <w:t>Projekta izpildes ietekme uz pārvaldes institucionālo struktūru. Esošu institūciju reorganizācija.</w:t>
            </w:r>
          </w:p>
        </w:tc>
        <w:tc>
          <w:tcPr>
            <w:tcW w:w="3784" w:type="dxa"/>
            <w:vAlign w:val="center"/>
          </w:tcPr>
          <w:p w:rsidR="00E435A6" w:rsidRPr="004C5312" w:rsidRDefault="00E435A6" w:rsidP="004C5312">
            <w:pPr>
              <w:pStyle w:val="naisnod"/>
              <w:spacing w:before="0" w:after="0"/>
              <w:jc w:val="both"/>
              <w:rPr>
                <w:b w:val="0"/>
                <w:sz w:val="26"/>
                <w:szCs w:val="26"/>
              </w:rPr>
            </w:pPr>
            <w:r w:rsidRPr="004C5312">
              <w:rPr>
                <w:b w:val="0"/>
                <w:sz w:val="26"/>
                <w:szCs w:val="26"/>
              </w:rPr>
              <w:t>Projekts šo jomu neskar</w:t>
            </w:r>
            <w:r w:rsidRPr="004C5312">
              <w:rPr>
                <w:b w:val="0"/>
                <w:iCs/>
                <w:sz w:val="26"/>
                <w:szCs w:val="26"/>
              </w:rPr>
              <w:t>.</w:t>
            </w:r>
          </w:p>
        </w:tc>
      </w:tr>
      <w:tr w:rsidR="00E435A6" w:rsidRPr="004C5312" w:rsidTr="00E0345B">
        <w:trPr>
          <w:trHeight w:val="476"/>
          <w:tblCellSpacing w:w="0" w:type="dxa"/>
        </w:trPr>
        <w:tc>
          <w:tcPr>
            <w:tcW w:w="433" w:type="dxa"/>
            <w:vAlign w:val="center"/>
          </w:tcPr>
          <w:p w:rsidR="00E435A6" w:rsidRPr="004C5312" w:rsidRDefault="00E435A6" w:rsidP="004C5312">
            <w:pPr>
              <w:pStyle w:val="naiskr"/>
              <w:spacing w:before="0" w:after="0"/>
              <w:rPr>
                <w:sz w:val="26"/>
                <w:szCs w:val="26"/>
              </w:rPr>
            </w:pPr>
            <w:r w:rsidRPr="004C5312">
              <w:rPr>
                <w:sz w:val="26"/>
                <w:szCs w:val="26"/>
              </w:rPr>
              <w:t>6.</w:t>
            </w:r>
          </w:p>
        </w:tc>
        <w:tc>
          <w:tcPr>
            <w:tcW w:w="5021" w:type="dxa"/>
            <w:vAlign w:val="center"/>
          </w:tcPr>
          <w:p w:rsidR="00E435A6" w:rsidRPr="004C5312" w:rsidRDefault="00E435A6" w:rsidP="004C5312">
            <w:pPr>
              <w:pStyle w:val="naiskr"/>
              <w:spacing w:before="0" w:after="0"/>
              <w:rPr>
                <w:sz w:val="26"/>
                <w:szCs w:val="26"/>
              </w:rPr>
            </w:pPr>
            <w:r w:rsidRPr="004C5312">
              <w:rPr>
                <w:sz w:val="26"/>
                <w:szCs w:val="26"/>
              </w:rPr>
              <w:t>Cita informācija.</w:t>
            </w:r>
          </w:p>
        </w:tc>
        <w:tc>
          <w:tcPr>
            <w:tcW w:w="3784" w:type="dxa"/>
            <w:vAlign w:val="center"/>
          </w:tcPr>
          <w:p w:rsidR="00E435A6" w:rsidRPr="004C5312" w:rsidRDefault="00E435A6" w:rsidP="004C5312">
            <w:pPr>
              <w:pStyle w:val="naiskr"/>
              <w:spacing w:before="0" w:after="0"/>
              <w:rPr>
                <w:sz w:val="26"/>
                <w:szCs w:val="26"/>
              </w:rPr>
            </w:pPr>
            <w:r w:rsidRPr="004C5312">
              <w:rPr>
                <w:sz w:val="26"/>
                <w:szCs w:val="26"/>
              </w:rPr>
              <w:t>Nav.</w:t>
            </w:r>
          </w:p>
        </w:tc>
      </w:tr>
    </w:tbl>
    <w:p w:rsidR="00A75358" w:rsidRPr="004C5312" w:rsidRDefault="00A75358" w:rsidP="004C5312">
      <w:pPr>
        <w:ind w:firstLine="720"/>
        <w:rPr>
          <w:sz w:val="26"/>
          <w:szCs w:val="26"/>
        </w:rPr>
      </w:pPr>
    </w:p>
    <w:p w:rsidR="00E670A1" w:rsidRPr="004C5312" w:rsidRDefault="00E670A1" w:rsidP="004C5312">
      <w:pPr>
        <w:ind w:firstLine="720"/>
        <w:rPr>
          <w:sz w:val="26"/>
          <w:szCs w:val="26"/>
        </w:rPr>
      </w:pPr>
    </w:p>
    <w:p w:rsidR="00240879" w:rsidRPr="004C5312" w:rsidRDefault="00240879" w:rsidP="004C5312">
      <w:pPr>
        <w:ind w:firstLine="720"/>
        <w:rPr>
          <w:sz w:val="26"/>
          <w:szCs w:val="26"/>
        </w:rPr>
      </w:pPr>
      <w:r w:rsidRPr="004C5312">
        <w:rPr>
          <w:sz w:val="26"/>
          <w:szCs w:val="26"/>
        </w:rPr>
        <w:t>Iesniedzējs:</w:t>
      </w:r>
      <w:r w:rsidRPr="004C5312">
        <w:rPr>
          <w:b/>
          <w:bCs/>
          <w:color w:val="FF0000"/>
          <w:sz w:val="26"/>
          <w:szCs w:val="26"/>
        </w:rPr>
        <w:t xml:space="preserve"> </w:t>
      </w:r>
      <w:r w:rsidRPr="004C5312">
        <w:rPr>
          <w:sz w:val="26"/>
          <w:szCs w:val="26"/>
        </w:rPr>
        <w:t>Izglītības un zinātnes ministrs</w:t>
      </w:r>
      <w:r w:rsidRPr="004C5312">
        <w:rPr>
          <w:sz w:val="26"/>
          <w:szCs w:val="26"/>
        </w:rPr>
        <w:tab/>
      </w:r>
      <w:r w:rsidRPr="004C5312">
        <w:rPr>
          <w:sz w:val="26"/>
          <w:szCs w:val="26"/>
        </w:rPr>
        <w:tab/>
      </w:r>
      <w:r w:rsidRPr="004C5312">
        <w:rPr>
          <w:sz w:val="26"/>
          <w:szCs w:val="26"/>
        </w:rPr>
        <w:tab/>
        <w:t xml:space="preserve">      R.</w:t>
      </w:r>
      <w:r w:rsidR="00B2528E" w:rsidRPr="004C5312">
        <w:rPr>
          <w:sz w:val="26"/>
          <w:szCs w:val="26"/>
        </w:rPr>
        <w:t>Ķīlis</w:t>
      </w:r>
    </w:p>
    <w:p w:rsidR="00240879" w:rsidRPr="004C5312" w:rsidRDefault="00240879" w:rsidP="004C5312">
      <w:pPr>
        <w:rPr>
          <w:sz w:val="26"/>
          <w:szCs w:val="26"/>
        </w:rPr>
      </w:pPr>
    </w:p>
    <w:p w:rsidR="00240879" w:rsidRPr="004C5312" w:rsidRDefault="00240879" w:rsidP="004C5312">
      <w:pPr>
        <w:rPr>
          <w:sz w:val="26"/>
          <w:szCs w:val="26"/>
        </w:rPr>
      </w:pPr>
    </w:p>
    <w:p w:rsidR="00240879" w:rsidRPr="004C5312" w:rsidRDefault="00E84771" w:rsidP="004C5312">
      <w:pPr>
        <w:rPr>
          <w:sz w:val="26"/>
          <w:szCs w:val="26"/>
        </w:rPr>
      </w:pPr>
      <w:r w:rsidRPr="004C5312">
        <w:rPr>
          <w:sz w:val="26"/>
          <w:szCs w:val="26"/>
        </w:rPr>
        <w:tab/>
        <w:t xml:space="preserve">Vizē: Valsts sekretārs </w:t>
      </w:r>
      <w:r w:rsidRPr="004C5312">
        <w:rPr>
          <w:sz w:val="26"/>
          <w:szCs w:val="26"/>
        </w:rPr>
        <w:tab/>
      </w:r>
      <w:r w:rsidRPr="004C5312">
        <w:rPr>
          <w:sz w:val="26"/>
          <w:szCs w:val="26"/>
        </w:rPr>
        <w:tab/>
      </w:r>
      <w:r w:rsidRPr="004C5312">
        <w:rPr>
          <w:sz w:val="26"/>
          <w:szCs w:val="26"/>
        </w:rPr>
        <w:tab/>
      </w:r>
      <w:r w:rsidR="00240879" w:rsidRPr="004C5312">
        <w:rPr>
          <w:sz w:val="26"/>
          <w:szCs w:val="26"/>
        </w:rPr>
        <w:tab/>
      </w:r>
      <w:r w:rsidR="00240879" w:rsidRPr="004C5312">
        <w:rPr>
          <w:sz w:val="26"/>
          <w:szCs w:val="26"/>
        </w:rPr>
        <w:tab/>
        <w:t xml:space="preserve">      </w:t>
      </w:r>
      <w:proofErr w:type="spellStart"/>
      <w:r w:rsidR="00240879" w:rsidRPr="004C5312">
        <w:rPr>
          <w:sz w:val="26"/>
          <w:szCs w:val="26"/>
        </w:rPr>
        <w:t>M.Gruškevics</w:t>
      </w:r>
      <w:proofErr w:type="spellEnd"/>
    </w:p>
    <w:p w:rsidR="00240879" w:rsidRPr="004C5312" w:rsidRDefault="00240879" w:rsidP="004C5312">
      <w:pPr>
        <w:jc w:val="both"/>
        <w:rPr>
          <w:sz w:val="26"/>
          <w:szCs w:val="26"/>
        </w:rPr>
      </w:pPr>
    </w:p>
    <w:p w:rsidR="00AE6BE0" w:rsidRPr="004C5312" w:rsidRDefault="00AE6BE0" w:rsidP="004C5312">
      <w:pPr>
        <w:jc w:val="both"/>
        <w:rPr>
          <w:sz w:val="26"/>
          <w:szCs w:val="26"/>
        </w:rPr>
      </w:pPr>
    </w:p>
    <w:p w:rsidR="00AE6BE0" w:rsidRPr="004C5312" w:rsidRDefault="00AE6BE0" w:rsidP="004C5312">
      <w:pPr>
        <w:jc w:val="both"/>
        <w:rPr>
          <w:sz w:val="26"/>
          <w:szCs w:val="26"/>
        </w:rPr>
      </w:pPr>
    </w:p>
    <w:p w:rsidR="00AE6BE0" w:rsidRPr="004C5312" w:rsidRDefault="00AE6BE0" w:rsidP="004C5312">
      <w:pPr>
        <w:jc w:val="both"/>
        <w:rPr>
          <w:sz w:val="26"/>
          <w:szCs w:val="26"/>
        </w:rPr>
      </w:pPr>
    </w:p>
    <w:p w:rsidR="00240879" w:rsidRPr="004C5312" w:rsidRDefault="008111B4" w:rsidP="004C5312">
      <w:pPr>
        <w:ind w:firstLine="709"/>
        <w:jc w:val="both"/>
        <w:rPr>
          <w:sz w:val="22"/>
          <w:szCs w:val="22"/>
        </w:rPr>
      </w:pPr>
      <w:r w:rsidRPr="004C5312">
        <w:rPr>
          <w:sz w:val="22"/>
          <w:szCs w:val="22"/>
        </w:rPr>
        <w:t>1</w:t>
      </w:r>
      <w:r w:rsidR="004C5312">
        <w:rPr>
          <w:sz w:val="22"/>
          <w:szCs w:val="22"/>
        </w:rPr>
        <w:t>4</w:t>
      </w:r>
      <w:r w:rsidR="00E73D29" w:rsidRPr="004C5312">
        <w:rPr>
          <w:sz w:val="22"/>
          <w:szCs w:val="22"/>
        </w:rPr>
        <w:t>.11</w:t>
      </w:r>
      <w:r w:rsidR="00B32314" w:rsidRPr="004C5312">
        <w:rPr>
          <w:sz w:val="22"/>
          <w:szCs w:val="22"/>
        </w:rPr>
        <w:t>.201</w:t>
      </w:r>
      <w:r w:rsidR="00305D35" w:rsidRPr="004C5312">
        <w:rPr>
          <w:sz w:val="22"/>
          <w:szCs w:val="22"/>
        </w:rPr>
        <w:t>1</w:t>
      </w:r>
      <w:r w:rsidR="00B32314" w:rsidRPr="004C5312">
        <w:rPr>
          <w:sz w:val="22"/>
          <w:szCs w:val="22"/>
        </w:rPr>
        <w:t xml:space="preserve"> </w:t>
      </w:r>
      <w:r w:rsidR="004C5312">
        <w:rPr>
          <w:sz w:val="22"/>
          <w:szCs w:val="22"/>
        </w:rPr>
        <w:t>10:29</w:t>
      </w:r>
    </w:p>
    <w:p w:rsidR="00240879" w:rsidRPr="004C5312" w:rsidRDefault="009132FE" w:rsidP="004C5312">
      <w:pPr>
        <w:ind w:firstLine="709"/>
        <w:jc w:val="both"/>
        <w:rPr>
          <w:sz w:val="22"/>
          <w:szCs w:val="22"/>
        </w:rPr>
      </w:pPr>
      <w:r w:rsidRPr="004C5312">
        <w:rPr>
          <w:sz w:val="22"/>
          <w:szCs w:val="22"/>
        </w:rPr>
        <w:t>1</w:t>
      </w:r>
      <w:r w:rsidR="00C27976" w:rsidRPr="004C5312">
        <w:rPr>
          <w:sz w:val="22"/>
          <w:szCs w:val="22"/>
        </w:rPr>
        <w:t> </w:t>
      </w:r>
      <w:r w:rsidR="007313C0" w:rsidRPr="004C5312">
        <w:rPr>
          <w:sz w:val="22"/>
          <w:szCs w:val="22"/>
        </w:rPr>
        <w:t>492</w:t>
      </w:r>
    </w:p>
    <w:p w:rsidR="00E435A6" w:rsidRPr="004C5312" w:rsidRDefault="00B2528E" w:rsidP="004C5312">
      <w:pPr>
        <w:ind w:firstLine="709"/>
        <w:jc w:val="both"/>
        <w:rPr>
          <w:sz w:val="22"/>
          <w:szCs w:val="22"/>
        </w:rPr>
      </w:pPr>
      <w:bookmarkStart w:id="2" w:name="OLE_LINK1"/>
      <w:bookmarkStart w:id="3" w:name="OLE_LINK7"/>
      <w:r w:rsidRPr="004C5312">
        <w:rPr>
          <w:sz w:val="22"/>
          <w:szCs w:val="22"/>
        </w:rPr>
        <w:t>A.Koleda</w:t>
      </w:r>
      <w:r w:rsidR="00E435A6" w:rsidRPr="004C5312">
        <w:rPr>
          <w:sz w:val="22"/>
          <w:szCs w:val="22"/>
        </w:rPr>
        <w:t xml:space="preserve">, </w:t>
      </w:r>
      <w:r w:rsidRPr="004C5312">
        <w:rPr>
          <w:sz w:val="22"/>
          <w:szCs w:val="22"/>
        </w:rPr>
        <w:t>67047841</w:t>
      </w:r>
      <w:r w:rsidR="00240879" w:rsidRPr="004C5312">
        <w:rPr>
          <w:sz w:val="22"/>
          <w:szCs w:val="22"/>
        </w:rPr>
        <w:t xml:space="preserve"> </w:t>
      </w:r>
    </w:p>
    <w:p w:rsidR="00240879" w:rsidRPr="004C5312" w:rsidRDefault="00B2528E" w:rsidP="004C5312">
      <w:pPr>
        <w:ind w:firstLine="709"/>
        <w:jc w:val="both"/>
        <w:rPr>
          <w:sz w:val="22"/>
          <w:szCs w:val="22"/>
        </w:rPr>
      </w:pPr>
      <w:r w:rsidRPr="004C5312">
        <w:rPr>
          <w:sz w:val="22"/>
          <w:szCs w:val="22"/>
        </w:rPr>
        <w:t>alise.koleda</w:t>
      </w:r>
      <w:r w:rsidR="00240879" w:rsidRPr="004C5312">
        <w:rPr>
          <w:sz w:val="22"/>
          <w:szCs w:val="22"/>
        </w:rPr>
        <w:t>@izm.gov.lv</w:t>
      </w:r>
      <w:bookmarkEnd w:id="2"/>
      <w:bookmarkEnd w:id="3"/>
    </w:p>
    <w:sectPr w:rsidR="00240879" w:rsidRPr="004C5312" w:rsidSect="004C5312">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7C" w:rsidRDefault="00592F7C">
      <w:r>
        <w:separator/>
      </w:r>
    </w:p>
  </w:endnote>
  <w:endnote w:type="continuationSeparator" w:id="0">
    <w:p w:rsidR="00592F7C" w:rsidRDefault="00592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79" w:rsidRPr="00274E2C" w:rsidRDefault="008940BA">
    <w:pPr>
      <w:pStyle w:val="Footer"/>
    </w:pPr>
    <w:r w:rsidRPr="00274E2C">
      <w:t>IZMAnot_</w:t>
    </w:r>
    <w:r w:rsidR="008111B4">
      <w:t>1</w:t>
    </w:r>
    <w:r w:rsidR="004C5312">
      <w:t>4</w:t>
    </w:r>
    <w:r w:rsidR="00E73D29">
      <w:t>11</w:t>
    </w:r>
    <w:r w:rsidR="00240879" w:rsidRPr="00274E2C">
      <w:t>1</w:t>
    </w:r>
    <w:r w:rsidRPr="00274E2C">
      <w:t>1</w:t>
    </w:r>
    <w:r w:rsidR="00240879" w:rsidRPr="00274E2C">
      <w:t>_VIL; Likumprojekts „Grozījums Vispārējās izglītības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79" w:rsidRPr="00274E2C" w:rsidRDefault="008940BA" w:rsidP="009819C1">
    <w:pPr>
      <w:pStyle w:val="Footer"/>
    </w:pPr>
    <w:r w:rsidRPr="00274E2C">
      <w:t>IZMAnot_</w:t>
    </w:r>
    <w:r w:rsidR="008111B4">
      <w:t>1</w:t>
    </w:r>
    <w:r w:rsidR="004C5312">
      <w:t>4</w:t>
    </w:r>
    <w:r w:rsidR="00E73D29">
      <w:t>11</w:t>
    </w:r>
    <w:r w:rsidR="00240879" w:rsidRPr="00274E2C">
      <w:t>1</w:t>
    </w:r>
    <w:r w:rsidRPr="00274E2C">
      <w:t>1</w:t>
    </w:r>
    <w:r w:rsidR="00240879" w:rsidRPr="00274E2C">
      <w:t xml:space="preserve">_VIL; Likumprojekts </w:t>
    </w:r>
    <w:r w:rsidR="00B32314" w:rsidRPr="00274E2C">
      <w:t>„</w:t>
    </w:r>
    <w:r w:rsidR="00240879" w:rsidRPr="00274E2C">
      <w:t>Grozījumi Vispārējās izglītības likumā</w:t>
    </w:r>
    <w:r w:rsidR="00B32314" w:rsidRPr="00274E2C">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7C" w:rsidRDefault="00592F7C">
      <w:r>
        <w:separator/>
      </w:r>
    </w:p>
  </w:footnote>
  <w:footnote w:type="continuationSeparator" w:id="0">
    <w:p w:rsidR="00592F7C" w:rsidRDefault="0059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79" w:rsidRDefault="00974DE5" w:rsidP="003C449B">
    <w:pPr>
      <w:pStyle w:val="Header"/>
      <w:framePr w:wrap="auto" w:vAnchor="text" w:hAnchor="margin" w:xAlign="center" w:y="1"/>
      <w:rPr>
        <w:rStyle w:val="PageNumber"/>
      </w:rPr>
    </w:pPr>
    <w:r>
      <w:rPr>
        <w:rStyle w:val="PageNumber"/>
      </w:rPr>
      <w:fldChar w:fldCharType="begin"/>
    </w:r>
    <w:r w:rsidR="00240879">
      <w:rPr>
        <w:rStyle w:val="PageNumber"/>
      </w:rPr>
      <w:instrText xml:space="preserve">PAGE  </w:instrText>
    </w:r>
    <w:r>
      <w:rPr>
        <w:rStyle w:val="PageNumber"/>
      </w:rPr>
      <w:fldChar w:fldCharType="separate"/>
    </w:r>
    <w:r w:rsidR="00542D01">
      <w:rPr>
        <w:rStyle w:val="PageNumber"/>
        <w:noProof/>
      </w:rPr>
      <w:t>2</w:t>
    </w:r>
    <w:r>
      <w:rPr>
        <w:rStyle w:val="PageNumber"/>
      </w:rPr>
      <w:fldChar w:fldCharType="end"/>
    </w:r>
  </w:p>
  <w:p w:rsidR="00240879" w:rsidRDefault="00240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start w:val="1"/>
      <w:numFmt w:val="bullet"/>
      <w:lvlText w:val="▌"/>
      <w:lvlJc w:val="left"/>
      <w:pPr>
        <w:tabs>
          <w:tab w:val="num" w:pos="1440"/>
        </w:tabs>
        <w:ind w:left="1440" w:hanging="360"/>
      </w:pPr>
      <w:rPr>
        <w:rFonts w:ascii="Times New Roman" w:hAnsi="Times New Roman" w:hint="default"/>
      </w:rPr>
    </w:lvl>
    <w:lvl w:ilvl="2" w:tplc="4F526626">
      <w:start w:val="1"/>
      <w:numFmt w:val="bullet"/>
      <w:lvlText w:val="▌"/>
      <w:lvlJc w:val="left"/>
      <w:pPr>
        <w:tabs>
          <w:tab w:val="num" w:pos="2160"/>
        </w:tabs>
        <w:ind w:left="2160" w:hanging="360"/>
      </w:pPr>
      <w:rPr>
        <w:rFonts w:ascii="Times New Roman" w:hAnsi="Times New Roman" w:hint="default"/>
      </w:rPr>
    </w:lvl>
    <w:lvl w:ilvl="3" w:tplc="514077EE">
      <w:start w:val="1"/>
      <w:numFmt w:val="bullet"/>
      <w:lvlText w:val="▌"/>
      <w:lvlJc w:val="left"/>
      <w:pPr>
        <w:tabs>
          <w:tab w:val="num" w:pos="2880"/>
        </w:tabs>
        <w:ind w:left="2880" w:hanging="360"/>
      </w:pPr>
      <w:rPr>
        <w:rFonts w:ascii="Times New Roman" w:hAnsi="Times New Roman" w:hint="default"/>
      </w:rPr>
    </w:lvl>
    <w:lvl w:ilvl="4" w:tplc="6974FBCC">
      <w:start w:val="1"/>
      <w:numFmt w:val="bullet"/>
      <w:lvlText w:val="▌"/>
      <w:lvlJc w:val="left"/>
      <w:pPr>
        <w:tabs>
          <w:tab w:val="num" w:pos="3600"/>
        </w:tabs>
        <w:ind w:left="3600" w:hanging="360"/>
      </w:pPr>
      <w:rPr>
        <w:rFonts w:ascii="Times New Roman" w:hAnsi="Times New Roman" w:hint="default"/>
      </w:rPr>
    </w:lvl>
    <w:lvl w:ilvl="5" w:tplc="898671BE">
      <w:start w:val="1"/>
      <w:numFmt w:val="bullet"/>
      <w:lvlText w:val="▌"/>
      <w:lvlJc w:val="left"/>
      <w:pPr>
        <w:tabs>
          <w:tab w:val="num" w:pos="4320"/>
        </w:tabs>
        <w:ind w:left="4320" w:hanging="360"/>
      </w:pPr>
      <w:rPr>
        <w:rFonts w:ascii="Times New Roman" w:hAnsi="Times New Roman" w:hint="default"/>
      </w:rPr>
    </w:lvl>
    <w:lvl w:ilvl="6" w:tplc="E9B8FA78">
      <w:start w:val="1"/>
      <w:numFmt w:val="bullet"/>
      <w:lvlText w:val="▌"/>
      <w:lvlJc w:val="left"/>
      <w:pPr>
        <w:tabs>
          <w:tab w:val="num" w:pos="5040"/>
        </w:tabs>
        <w:ind w:left="5040" w:hanging="360"/>
      </w:pPr>
      <w:rPr>
        <w:rFonts w:ascii="Times New Roman" w:hAnsi="Times New Roman" w:hint="default"/>
      </w:rPr>
    </w:lvl>
    <w:lvl w:ilvl="7" w:tplc="83A62104">
      <w:start w:val="1"/>
      <w:numFmt w:val="bullet"/>
      <w:lvlText w:val="▌"/>
      <w:lvlJc w:val="left"/>
      <w:pPr>
        <w:tabs>
          <w:tab w:val="num" w:pos="5760"/>
        </w:tabs>
        <w:ind w:left="5760" w:hanging="360"/>
      </w:pPr>
      <w:rPr>
        <w:rFonts w:ascii="Times New Roman" w:hAnsi="Times New Roman" w:hint="default"/>
      </w:rPr>
    </w:lvl>
    <w:lvl w:ilvl="8" w:tplc="EC16CDEA">
      <w:start w:val="1"/>
      <w:numFmt w:val="bullet"/>
      <w:lvlText w:val="▌"/>
      <w:lvlJc w:val="left"/>
      <w:pPr>
        <w:tabs>
          <w:tab w:val="num" w:pos="6480"/>
        </w:tabs>
        <w:ind w:left="6480" w:hanging="360"/>
      </w:pPr>
      <w:rPr>
        <w:rFonts w:ascii="Times New Roman" w:hAnsi="Times New Roman" w:hint="default"/>
      </w:rPr>
    </w:lvl>
  </w:abstractNum>
  <w:abstractNum w:abstractNumId="1">
    <w:nsid w:val="092453C4"/>
    <w:multiLevelType w:val="hybridMultilevel"/>
    <w:tmpl w:val="8EFA8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start w:val="1"/>
      <w:numFmt w:val="bullet"/>
      <w:lvlText w:val="▌"/>
      <w:lvlJc w:val="left"/>
      <w:pPr>
        <w:tabs>
          <w:tab w:val="num" w:pos="1440"/>
        </w:tabs>
        <w:ind w:left="1440" w:hanging="360"/>
      </w:pPr>
      <w:rPr>
        <w:rFonts w:ascii="Times New Roman" w:hAnsi="Times New Roman" w:hint="default"/>
      </w:rPr>
    </w:lvl>
    <w:lvl w:ilvl="2" w:tplc="57B2DCBC">
      <w:start w:val="1"/>
      <w:numFmt w:val="bullet"/>
      <w:lvlText w:val="▌"/>
      <w:lvlJc w:val="left"/>
      <w:pPr>
        <w:tabs>
          <w:tab w:val="num" w:pos="2160"/>
        </w:tabs>
        <w:ind w:left="2160" w:hanging="360"/>
      </w:pPr>
      <w:rPr>
        <w:rFonts w:ascii="Times New Roman" w:hAnsi="Times New Roman" w:hint="default"/>
      </w:rPr>
    </w:lvl>
    <w:lvl w:ilvl="3" w:tplc="B7C0F6DE">
      <w:start w:val="1"/>
      <w:numFmt w:val="bullet"/>
      <w:lvlText w:val="▌"/>
      <w:lvlJc w:val="left"/>
      <w:pPr>
        <w:tabs>
          <w:tab w:val="num" w:pos="2880"/>
        </w:tabs>
        <w:ind w:left="2880" w:hanging="360"/>
      </w:pPr>
      <w:rPr>
        <w:rFonts w:ascii="Times New Roman" w:hAnsi="Times New Roman" w:hint="default"/>
      </w:rPr>
    </w:lvl>
    <w:lvl w:ilvl="4" w:tplc="46F245F6">
      <w:start w:val="1"/>
      <w:numFmt w:val="bullet"/>
      <w:lvlText w:val="▌"/>
      <w:lvlJc w:val="left"/>
      <w:pPr>
        <w:tabs>
          <w:tab w:val="num" w:pos="3600"/>
        </w:tabs>
        <w:ind w:left="3600" w:hanging="360"/>
      </w:pPr>
      <w:rPr>
        <w:rFonts w:ascii="Times New Roman" w:hAnsi="Times New Roman" w:hint="default"/>
      </w:rPr>
    </w:lvl>
    <w:lvl w:ilvl="5" w:tplc="81541756">
      <w:start w:val="1"/>
      <w:numFmt w:val="bullet"/>
      <w:lvlText w:val="▌"/>
      <w:lvlJc w:val="left"/>
      <w:pPr>
        <w:tabs>
          <w:tab w:val="num" w:pos="4320"/>
        </w:tabs>
        <w:ind w:left="4320" w:hanging="360"/>
      </w:pPr>
      <w:rPr>
        <w:rFonts w:ascii="Times New Roman" w:hAnsi="Times New Roman" w:hint="default"/>
      </w:rPr>
    </w:lvl>
    <w:lvl w:ilvl="6" w:tplc="A18C1E8E">
      <w:start w:val="1"/>
      <w:numFmt w:val="bullet"/>
      <w:lvlText w:val="▌"/>
      <w:lvlJc w:val="left"/>
      <w:pPr>
        <w:tabs>
          <w:tab w:val="num" w:pos="5040"/>
        </w:tabs>
        <w:ind w:left="5040" w:hanging="360"/>
      </w:pPr>
      <w:rPr>
        <w:rFonts w:ascii="Times New Roman" w:hAnsi="Times New Roman" w:hint="default"/>
      </w:rPr>
    </w:lvl>
    <w:lvl w:ilvl="7" w:tplc="A496BFFA">
      <w:start w:val="1"/>
      <w:numFmt w:val="bullet"/>
      <w:lvlText w:val="▌"/>
      <w:lvlJc w:val="left"/>
      <w:pPr>
        <w:tabs>
          <w:tab w:val="num" w:pos="5760"/>
        </w:tabs>
        <w:ind w:left="5760" w:hanging="360"/>
      </w:pPr>
      <w:rPr>
        <w:rFonts w:ascii="Times New Roman" w:hAnsi="Times New Roman" w:hint="default"/>
      </w:rPr>
    </w:lvl>
    <w:lvl w:ilvl="8" w:tplc="65C6F5CC">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start w:val="1"/>
      <w:numFmt w:val="bullet"/>
      <w:lvlText w:val="▌"/>
      <w:lvlJc w:val="left"/>
      <w:pPr>
        <w:tabs>
          <w:tab w:val="num" w:pos="1440"/>
        </w:tabs>
        <w:ind w:left="1440" w:hanging="360"/>
      </w:pPr>
      <w:rPr>
        <w:rFonts w:ascii="Times New Roman" w:hAnsi="Times New Roman" w:hint="default"/>
      </w:rPr>
    </w:lvl>
    <w:lvl w:ilvl="2" w:tplc="D062EAA8">
      <w:start w:val="1"/>
      <w:numFmt w:val="bullet"/>
      <w:lvlText w:val="▌"/>
      <w:lvlJc w:val="left"/>
      <w:pPr>
        <w:tabs>
          <w:tab w:val="num" w:pos="2160"/>
        </w:tabs>
        <w:ind w:left="2160" w:hanging="360"/>
      </w:pPr>
      <w:rPr>
        <w:rFonts w:ascii="Times New Roman" w:hAnsi="Times New Roman" w:hint="default"/>
      </w:rPr>
    </w:lvl>
    <w:lvl w:ilvl="3" w:tplc="B268E700">
      <w:start w:val="1"/>
      <w:numFmt w:val="bullet"/>
      <w:lvlText w:val="▌"/>
      <w:lvlJc w:val="left"/>
      <w:pPr>
        <w:tabs>
          <w:tab w:val="num" w:pos="2880"/>
        </w:tabs>
        <w:ind w:left="2880" w:hanging="360"/>
      </w:pPr>
      <w:rPr>
        <w:rFonts w:ascii="Times New Roman" w:hAnsi="Times New Roman" w:hint="default"/>
      </w:rPr>
    </w:lvl>
    <w:lvl w:ilvl="4" w:tplc="9DA64F58">
      <w:start w:val="1"/>
      <w:numFmt w:val="bullet"/>
      <w:lvlText w:val="▌"/>
      <w:lvlJc w:val="left"/>
      <w:pPr>
        <w:tabs>
          <w:tab w:val="num" w:pos="3600"/>
        </w:tabs>
        <w:ind w:left="3600" w:hanging="360"/>
      </w:pPr>
      <w:rPr>
        <w:rFonts w:ascii="Times New Roman" w:hAnsi="Times New Roman" w:hint="default"/>
      </w:rPr>
    </w:lvl>
    <w:lvl w:ilvl="5" w:tplc="59B84090">
      <w:start w:val="1"/>
      <w:numFmt w:val="bullet"/>
      <w:lvlText w:val="▌"/>
      <w:lvlJc w:val="left"/>
      <w:pPr>
        <w:tabs>
          <w:tab w:val="num" w:pos="4320"/>
        </w:tabs>
        <w:ind w:left="4320" w:hanging="360"/>
      </w:pPr>
      <w:rPr>
        <w:rFonts w:ascii="Times New Roman" w:hAnsi="Times New Roman" w:hint="default"/>
      </w:rPr>
    </w:lvl>
    <w:lvl w:ilvl="6" w:tplc="4B742512">
      <w:start w:val="1"/>
      <w:numFmt w:val="bullet"/>
      <w:lvlText w:val="▌"/>
      <w:lvlJc w:val="left"/>
      <w:pPr>
        <w:tabs>
          <w:tab w:val="num" w:pos="5040"/>
        </w:tabs>
        <w:ind w:left="5040" w:hanging="360"/>
      </w:pPr>
      <w:rPr>
        <w:rFonts w:ascii="Times New Roman" w:hAnsi="Times New Roman" w:hint="default"/>
      </w:rPr>
    </w:lvl>
    <w:lvl w:ilvl="7" w:tplc="72A6DB4C">
      <w:start w:val="1"/>
      <w:numFmt w:val="bullet"/>
      <w:lvlText w:val="▌"/>
      <w:lvlJc w:val="left"/>
      <w:pPr>
        <w:tabs>
          <w:tab w:val="num" w:pos="5760"/>
        </w:tabs>
        <w:ind w:left="5760" w:hanging="360"/>
      </w:pPr>
      <w:rPr>
        <w:rFonts w:ascii="Times New Roman" w:hAnsi="Times New Roman" w:hint="default"/>
      </w:rPr>
    </w:lvl>
    <w:lvl w:ilvl="8" w:tplc="B16C29DA">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start w:val="1"/>
      <w:numFmt w:val="bullet"/>
      <w:lvlText w:val="▌"/>
      <w:lvlJc w:val="left"/>
      <w:pPr>
        <w:tabs>
          <w:tab w:val="num" w:pos="1440"/>
        </w:tabs>
        <w:ind w:left="1440" w:hanging="360"/>
      </w:pPr>
      <w:rPr>
        <w:rFonts w:ascii="Times New Roman" w:hAnsi="Times New Roman" w:hint="default"/>
      </w:rPr>
    </w:lvl>
    <w:lvl w:ilvl="2" w:tplc="9CC81F1C">
      <w:start w:val="1"/>
      <w:numFmt w:val="bullet"/>
      <w:lvlText w:val="▌"/>
      <w:lvlJc w:val="left"/>
      <w:pPr>
        <w:tabs>
          <w:tab w:val="num" w:pos="2160"/>
        </w:tabs>
        <w:ind w:left="2160" w:hanging="360"/>
      </w:pPr>
      <w:rPr>
        <w:rFonts w:ascii="Times New Roman" w:hAnsi="Times New Roman" w:hint="default"/>
      </w:rPr>
    </w:lvl>
    <w:lvl w:ilvl="3" w:tplc="E894F8A2">
      <w:start w:val="1"/>
      <w:numFmt w:val="bullet"/>
      <w:lvlText w:val="▌"/>
      <w:lvlJc w:val="left"/>
      <w:pPr>
        <w:tabs>
          <w:tab w:val="num" w:pos="2880"/>
        </w:tabs>
        <w:ind w:left="2880" w:hanging="360"/>
      </w:pPr>
      <w:rPr>
        <w:rFonts w:ascii="Times New Roman" w:hAnsi="Times New Roman" w:hint="default"/>
      </w:rPr>
    </w:lvl>
    <w:lvl w:ilvl="4" w:tplc="EB4EA872">
      <w:start w:val="1"/>
      <w:numFmt w:val="bullet"/>
      <w:lvlText w:val="▌"/>
      <w:lvlJc w:val="left"/>
      <w:pPr>
        <w:tabs>
          <w:tab w:val="num" w:pos="3600"/>
        </w:tabs>
        <w:ind w:left="3600" w:hanging="360"/>
      </w:pPr>
      <w:rPr>
        <w:rFonts w:ascii="Times New Roman" w:hAnsi="Times New Roman" w:hint="default"/>
      </w:rPr>
    </w:lvl>
    <w:lvl w:ilvl="5" w:tplc="89F4E01C">
      <w:start w:val="1"/>
      <w:numFmt w:val="bullet"/>
      <w:lvlText w:val="▌"/>
      <w:lvlJc w:val="left"/>
      <w:pPr>
        <w:tabs>
          <w:tab w:val="num" w:pos="4320"/>
        </w:tabs>
        <w:ind w:left="4320" w:hanging="360"/>
      </w:pPr>
      <w:rPr>
        <w:rFonts w:ascii="Times New Roman" w:hAnsi="Times New Roman" w:hint="default"/>
      </w:rPr>
    </w:lvl>
    <w:lvl w:ilvl="6" w:tplc="4CF4ADE6">
      <w:start w:val="1"/>
      <w:numFmt w:val="bullet"/>
      <w:lvlText w:val="▌"/>
      <w:lvlJc w:val="left"/>
      <w:pPr>
        <w:tabs>
          <w:tab w:val="num" w:pos="5040"/>
        </w:tabs>
        <w:ind w:left="5040" w:hanging="360"/>
      </w:pPr>
      <w:rPr>
        <w:rFonts w:ascii="Times New Roman" w:hAnsi="Times New Roman" w:hint="default"/>
      </w:rPr>
    </w:lvl>
    <w:lvl w:ilvl="7" w:tplc="C7661D1E">
      <w:start w:val="1"/>
      <w:numFmt w:val="bullet"/>
      <w:lvlText w:val="▌"/>
      <w:lvlJc w:val="left"/>
      <w:pPr>
        <w:tabs>
          <w:tab w:val="num" w:pos="5760"/>
        </w:tabs>
        <w:ind w:left="5760" w:hanging="360"/>
      </w:pPr>
      <w:rPr>
        <w:rFonts w:ascii="Times New Roman" w:hAnsi="Times New Roman" w:hint="default"/>
      </w:rPr>
    </w:lvl>
    <w:lvl w:ilvl="8" w:tplc="8E6C581E">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cs="Wingdings" w:hint="default"/>
      </w:rPr>
    </w:lvl>
    <w:lvl w:ilvl="1" w:tplc="04260003">
      <w:start w:val="1"/>
      <w:numFmt w:val="bullet"/>
      <w:lvlText w:val="o"/>
      <w:lvlJc w:val="left"/>
      <w:pPr>
        <w:tabs>
          <w:tab w:val="num" w:pos="1506"/>
        </w:tabs>
        <w:ind w:left="1506" w:hanging="360"/>
      </w:pPr>
      <w:rPr>
        <w:rFonts w:ascii="Courier New" w:hAnsi="Courier New" w:cs="Courier New" w:hint="default"/>
      </w:rPr>
    </w:lvl>
    <w:lvl w:ilvl="2" w:tplc="04260005">
      <w:start w:val="1"/>
      <w:numFmt w:val="bullet"/>
      <w:lvlText w:val=""/>
      <w:lvlJc w:val="left"/>
      <w:pPr>
        <w:tabs>
          <w:tab w:val="num" w:pos="2226"/>
        </w:tabs>
        <w:ind w:left="2226" w:hanging="360"/>
      </w:pPr>
      <w:rPr>
        <w:rFonts w:ascii="Wingdings" w:hAnsi="Wingdings" w:cs="Wingdings" w:hint="default"/>
      </w:rPr>
    </w:lvl>
    <w:lvl w:ilvl="3" w:tplc="04260001">
      <w:start w:val="1"/>
      <w:numFmt w:val="bullet"/>
      <w:lvlText w:val=""/>
      <w:lvlJc w:val="left"/>
      <w:pPr>
        <w:tabs>
          <w:tab w:val="num" w:pos="2946"/>
        </w:tabs>
        <w:ind w:left="2946" w:hanging="360"/>
      </w:pPr>
      <w:rPr>
        <w:rFonts w:ascii="Symbol" w:hAnsi="Symbol" w:cs="Symbol" w:hint="default"/>
      </w:rPr>
    </w:lvl>
    <w:lvl w:ilvl="4" w:tplc="04260003">
      <w:start w:val="1"/>
      <w:numFmt w:val="bullet"/>
      <w:lvlText w:val="o"/>
      <w:lvlJc w:val="left"/>
      <w:pPr>
        <w:tabs>
          <w:tab w:val="num" w:pos="3666"/>
        </w:tabs>
        <w:ind w:left="3666" w:hanging="360"/>
      </w:pPr>
      <w:rPr>
        <w:rFonts w:ascii="Courier New" w:hAnsi="Courier New" w:cs="Courier New" w:hint="default"/>
      </w:rPr>
    </w:lvl>
    <w:lvl w:ilvl="5" w:tplc="04260005">
      <w:start w:val="1"/>
      <w:numFmt w:val="bullet"/>
      <w:lvlText w:val=""/>
      <w:lvlJc w:val="left"/>
      <w:pPr>
        <w:tabs>
          <w:tab w:val="num" w:pos="4386"/>
        </w:tabs>
        <w:ind w:left="4386" w:hanging="360"/>
      </w:pPr>
      <w:rPr>
        <w:rFonts w:ascii="Wingdings" w:hAnsi="Wingdings" w:cs="Wingdings" w:hint="default"/>
      </w:rPr>
    </w:lvl>
    <w:lvl w:ilvl="6" w:tplc="04260001">
      <w:start w:val="1"/>
      <w:numFmt w:val="bullet"/>
      <w:lvlText w:val=""/>
      <w:lvlJc w:val="left"/>
      <w:pPr>
        <w:tabs>
          <w:tab w:val="num" w:pos="5106"/>
        </w:tabs>
        <w:ind w:left="5106" w:hanging="360"/>
      </w:pPr>
      <w:rPr>
        <w:rFonts w:ascii="Symbol" w:hAnsi="Symbol" w:cs="Symbol" w:hint="default"/>
      </w:rPr>
    </w:lvl>
    <w:lvl w:ilvl="7" w:tplc="04260003">
      <w:start w:val="1"/>
      <w:numFmt w:val="bullet"/>
      <w:lvlText w:val="o"/>
      <w:lvlJc w:val="left"/>
      <w:pPr>
        <w:tabs>
          <w:tab w:val="num" w:pos="5826"/>
        </w:tabs>
        <w:ind w:left="5826" w:hanging="360"/>
      </w:pPr>
      <w:rPr>
        <w:rFonts w:ascii="Courier New" w:hAnsi="Courier New" w:cs="Courier New" w:hint="default"/>
      </w:rPr>
    </w:lvl>
    <w:lvl w:ilvl="8" w:tplc="04260005">
      <w:start w:val="1"/>
      <w:numFmt w:val="bullet"/>
      <w:lvlText w:val=""/>
      <w:lvlJc w:val="left"/>
      <w:pPr>
        <w:tabs>
          <w:tab w:val="num" w:pos="6546"/>
        </w:tabs>
        <w:ind w:left="6546" w:hanging="360"/>
      </w:pPr>
      <w:rPr>
        <w:rFonts w:ascii="Wingdings" w:hAnsi="Wingdings" w:cs="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cs="Times New Roman" w:hint="default"/>
      </w:rPr>
    </w:lvl>
    <w:lvl w:ilvl="1" w:tplc="056C3BCA">
      <w:start w:val="1"/>
      <w:numFmt w:val="bullet"/>
      <w:lvlText w:val="▌"/>
      <w:lvlJc w:val="left"/>
      <w:pPr>
        <w:tabs>
          <w:tab w:val="num" w:pos="1440"/>
        </w:tabs>
        <w:ind w:left="1440" w:hanging="360"/>
      </w:pPr>
      <w:rPr>
        <w:rFonts w:ascii="Times New Roman" w:hAnsi="Times New Roman" w:cs="Times New Roman" w:hint="default"/>
      </w:rPr>
    </w:lvl>
    <w:lvl w:ilvl="2" w:tplc="3CFAB368">
      <w:start w:val="1"/>
      <w:numFmt w:val="bullet"/>
      <w:lvlText w:val="▌"/>
      <w:lvlJc w:val="left"/>
      <w:pPr>
        <w:tabs>
          <w:tab w:val="num" w:pos="2160"/>
        </w:tabs>
        <w:ind w:left="2160" w:hanging="360"/>
      </w:pPr>
      <w:rPr>
        <w:rFonts w:ascii="Times New Roman" w:hAnsi="Times New Roman" w:cs="Times New Roman" w:hint="default"/>
      </w:rPr>
    </w:lvl>
    <w:lvl w:ilvl="3" w:tplc="1DE063A6">
      <w:start w:val="1"/>
      <w:numFmt w:val="bullet"/>
      <w:lvlText w:val="▌"/>
      <w:lvlJc w:val="left"/>
      <w:pPr>
        <w:tabs>
          <w:tab w:val="num" w:pos="2880"/>
        </w:tabs>
        <w:ind w:left="2880" w:hanging="360"/>
      </w:pPr>
      <w:rPr>
        <w:rFonts w:ascii="Times New Roman" w:hAnsi="Times New Roman" w:cs="Times New Roman" w:hint="default"/>
      </w:rPr>
    </w:lvl>
    <w:lvl w:ilvl="4" w:tplc="3BA0E0DC">
      <w:start w:val="1"/>
      <w:numFmt w:val="bullet"/>
      <w:lvlText w:val="▌"/>
      <w:lvlJc w:val="left"/>
      <w:pPr>
        <w:tabs>
          <w:tab w:val="num" w:pos="3600"/>
        </w:tabs>
        <w:ind w:left="3600" w:hanging="360"/>
      </w:pPr>
      <w:rPr>
        <w:rFonts w:ascii="Times New Roman" w:hAnsi="Times New Roman" w:cs="Times New Roman" w:hint="default"/>
      </w:rPr>
    </w:lvl>
    <w:lvl w:ilvl="5" w:tplc="E618B692">
      <w:start w:val="1"/>
      <w:numFmt w:val="bullet"/>
      <w:lvlText w:val="▌"/>
      <w:lvlJc w:val="left"/>
      <w:pPr>
        <w:tabs>
          <w:tab w:val="num" w:pos="4320"/>
        </w:tabs>
        <w:ind w:left="4320" w:hanging="360"/>
      </w:pPr>
      <w:rPr>
        <w:rFonts w:ascii="Times New Roman" w:hAnsi="Times New Roman" w:cs="Times New Roman" w:hint="default"/>
      </w:rPr>
    </w:lvl>
    <w:lvl w:ilvl="6" w:tplc="911C8CF2">
      <w:start w:val="1"/>
      <w:numFmt w:val="bullet"/>
      <w:lvlText w:val="▌"/>
      <w:lvlJc w:val="left"/>
      <w:pPr>
        <w:tabs>
          <w:tab w:val="num" w:pos="5040"/>
        </w:tabs>
        <w:ind w:left="5040" w:hanging="360"/>
      </w:pPr>
      <w:rPr>
        <w:rFonts w:ascii="Times New Roman" w:hAnsi="Times New Roman" w:cs="Times New Roman" w:hint="default"/>
      </w:rPr>
    </w:lvl>
    <w:lvl w:ilvl="7" w:tplc="B6346DD6">
      <w:start w:val="1"/>
      <w:numFmt w:val="bullet"/>
      <w:lvlText w:val="▌"/>
      <w:lvlJc w:val="left"/>
      <w:pPr>
        <w:tabs>
          <w:tab w:val="num" w:pos="5760"/>
        </w:tabs>
        <w:ind w:left="5760" w:hanging="360"/>
      </w:pPr>
      <w:rPr>
        <w:rFonts w:ascii="Times New Roman" w:hAnsi="Times New Roman" w:cs="Times New Roman" w:hint="default"/>
      </w:rPr>
    </w:lvl>
    <w:lvl w:ilvl="8" w:tplc="24BA4D6C">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12"/>
  </w:num>
  <w:num w:numId="3">
    <w:abstractNumId w:val="4"/>
  </w:num>
  <w:num w:numId="4">
    <w:abstractNumId w:val="2"/>
  </w:num>
  <w:num w:numId="5">
    <w:abstractNumId w:val="0"/>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C5649"/>
    <w:rsid w:val="00001E17"/>
    <w:rsid w:val="00011D24"/>
    <w:rsid w:val="00013FF4"/>
    <w:rsid w:val="00020FE1"/>
    <w:rsid w:val="00022E13"/>
    <w:rsid w:val="00032388"/>
    <w:rsid w:val="00035CE2"/>
    <w:rsid w:val="000428B2"/>
    <w:rsid w:val="00044294"/>
    <w:rsid w:val="0005553B"/>
    <w:rsid w:val="000604D2"/>
    <w:rsid w:val="0006525B"/>
    <w:rsid w:val="00074984"/>
    <w:rsid w:val="00085461"/>
    <w:rsid w:val="0009005E"/>
    <w:rsid w:val="00090A96"/>
    <w:rsid w:val="00092BBE"/>
    <w:rsid w:val="000941C5"/>
    <w:rsid w:val="00095C5A"/>
    <w:rsid w:val="00095F02"/>
    <w:rsid w:val="000A6451"/>
    <w:rsid w:val="000B064E"/>
    <w:rsid w:val="000B69CF"/>
    <w:rsid w:val="000B7F84"/>
    <w:rsid w:val="000C790C"/>
    <w:rsid w:val="000E3F4D"/>
    <w:rsid w:val="000E5056"/>
    <w:rsid w:val="000E7E14"/>
    <w:rsid w:val="000F061D"/>
    <w:rsid w:val="000F4794"/>
    <w:rsid w:val="000F65A4"/>
    <w:rsid w:val="00105349"/>
    <w:rsid w:val="001242D8"/>
    <w:rsid w:val="00124F12"/>
    <w:rsid w:val="0012553E"/>
    <w:rsid w:val="00131F3B"/>
    <w:rsid w:val="001343EE"/>
    <w:rsid w:val="00141E0C"/>
    <w:rsid w:val="00144E3A"/>
    <w:rsid w:val="0014563C"/>
    <w:rsid w:val="0015060C"/>
    <w:rsid w:val="00151FF1"/>
    <w:rsid w:val="00155C3F"/>
    <w:rsid w:val="0016018A"/>
    <w:rsid w:val="00161F0E"/>
    <w:rsid w:val="00170E2A"/>
    <w:rsid w:val="00174E5A"/>
    <w:rsid w:val="001760A7"/>
    <w:rsid w:val="00177394"/>
    <w:rsid w:val="001801EA"/>
    <w:rsid w:val="00182B04"/>
    <w:rsid w:val="00182C18"/>
    <w:rsid w:val="00182CFB"/>
    <w:rsid w:val="00183CC2"/>
    <w:rsid w:val="001862FC"/>
    <w:rsid w:val="0018635E"/>
    <w:rsid w:val="001900E4"/>
    <w:rsid w:val="00190F88"/>
    <w:rsid w:val="001A4066"/>
    <w:rsid w:val="001A5C22"/>
    <w:rsid w:val="001A6AE4"/>
    <w:rsid w:val="001B01FD"/>
    <w:rsid w:val="001B45ED"/>
    <w:rsid w:val="001B4A71"/>
    <w:rsid w:val="001B6C47"/>
    <w:rsid w:val="001C444B"/>
    <w:rsid w:val="001C7D32"/>
    <w:rsid w:val="001D5B54"/>
    <w:rsid w:val="001D6C0B"/>
    <w:rsid w:val="001E1DBF"/>
    <w:rsid w:val="001E4639"/>
    <w:rsid w:val="001E4A7D"/>
    <w:rsid w:val="001E5A61"/>
    <w:rsid w:val="001F43A8"/>
    <w:rsid w:val="001F4CFF"/>
    <w:rsid w:val="001F5CD6"/>
    <w:rsid w:val="00201BBE"/>
    <w:rsid w:val="0021263D"/>
    <w:rsid w:val="00213F0C"/>
    <w:rsid w:val="00214094"/>
    <w:rsid w:val="0021592D"/>
    <w:rsid w:val="00216955"/>
    <w:rsid w:val="00220243"/>
    <w:rsid w:val="00222D76"/>
    <w:rsid w:val="00223922"/>
    <w:rsid w:val="00223EB1"/>
    <w:rsid w:val="00225735"/>
    <w:rsid w:val="00225A66"/>
    <w:rsid w:val="00225E06"/>
    <w:rsid w:val="00230B90"/>
    <w:rsid w:val="00231344"/>
    <w:rsid w:val="002332A2"/>
    <w:rsid w:val="0023436E"/>
    <w:rsid w:val="002347C0"/>
    <w:rsid w:val="00240879"/>
    <w:rsid w:val="00241A6C"/>
    <w:rsid w:val="00242D2B"/>
    <w:rsid w:val="002437F5"/>
    <w:rsid w:val="00251094"/>
    <w:rsid w:val="002623AA"/>
    <w:rsid w:val="00262E2B"/>
    <w:rsid w:val="002652DD"/>
    <w:rsid w:val="00270429"/>
    <w:rsid w:val="00270534"/>
    <w:rsid w:val="002723E9"/>
    <w:rsid w:val="002747DA"/>
    <w:rsid w:val="00274E2C"/>
    <w:rsid w:val="00275B4E"/>
    <w:rsid w:val="00276681"/>
    <w:rsid w:val="00277929"/>
    <w:rsid w:val="00283B82"/>
    <w:rsid w:val="002846E9"/>
    <w:rsid w:val="00284C34"/>
    <w:rsid w:val="0029066C"/>
    <w:rsid w:val="002B364E"/>
    <w:rsid w:val="002B50DB"/>
    <w:rsid w:val="002C12AB"/>
    <w:rsid w:val="002C2C28"/>
    <w:rsid w:val="002C795A"/>
    <w:rsid w:val="002C7CAC"/>
    <w:rsid w:val="002D1FB8"/>
    <w:rsid w:val="002D3306"/>
    <w:rsid w:val="002D48AA"/>
    <w:rsid w:val="002D7BAA"/>
    <w:rsid w:val="002D7F54"/>
    <w:rsid w:val="002E3FF4"/>
    <w:rsid w:val="002F78C8"/>
    <w:rsid w:val="00301CF3"/>
    <w:rsid w:val="00305D35"/>
    <w:rsid w:val="00307396"/>
    <w:rsid w:val="0032715C"/>
    <w:rsid w:val="00337CA5"/>
    <w:rsid w:val="0034326C"/>
    <w:rsid w:val="00362478"/>
    <w:rsid w:val="00363083"/>
    <w:rsid w:val="00366C0C"/>
    <w:rsid w:val="003750E9"/>
    <w:rsid w:val="00375B25"/>
    <w:rsid w:val="003868DA"/>
    <w:rsid w:val="00387AD8"/>
    <w:rsid w:val="003948E3"/>
    <w:rsid w:val="00396528"/>
    <w:rsid w:val="00396542"/>
    <w:rsid w:val="0039685B"/>
    <w:rsid w:val="003A0C17"/>
    <w:rsid w:val="003A31A6"/>
    <w:rsid w:val="003A364E"/>
    <w:rsid w:val="003A426D"/>
    <w:rsid w:val="003A7F0C"/>
    <w:rsid w:val="003A7F79"/>
    <w:rsid w:val="003B2433"/>
    <w:rsid w:val="003B3BAC"/>
    <w:rsid w:val="003B6404"/>
    <w:rsid w:val="003C449B"/>
    <w:rsid w:val="003C5160"/>
    <w:rsid w:val="003D21FF"/>
    <w:rsid w:val="003E0C20"/>
    <w:rsid w:val="003F0112"/>
    <w:rsid w:val="003F071A"/>
    <w:rsid w:val="003F160B"/>
    <w:rsid w:val="00400032"/>
    <w:rsid w:val="00400B5B"/>
    <w:rsid w:val="00405A00"/>
    <w:rsid w:val="00406992"/>
    <w:rsid w:val="00414A00"/>
    <w:rsid w:val="00415468"/>
    <w:rsid w:val="00420870"/>
    <w:rsid w:val="00421E3A"/>
    <w:rsid w:val="00422900"/>
    <w:rsid w:val="004258F3"/>
    <w:rsid w:val="004263DB"/>
    <w:rsid w:val="004329B4"/>
    <w:rsid w:val="0043322B"/>
    <w:rsid w:val="0043791B"/>
    <w:rsid w:val="00441483"/>
    <w:rsid w:val="00441BCB"/>
    <w:rsid w:val="00444B91"/>
    <w:rsid w:val="00450036"/>
    <w:rsid w:val="0045176A"/>
    <w:rsid w:val="00452FA3"/>
    <w:rsid w:val="00456332"/>
    <w:rsid w:val="00461826"/>
    <w:rsid w:val="004800F9"/>
    <w:rsid w:val="0049134A"/>
    <w:rsid w:val="004A58CB"/>
    <w:rsid w:val="004B1795"/>
    <w:rsid w:val="004B56DD"/>
    <w:rsid w:val="004B6E8B"/>
    <w:rsid w:val="004C020F"/>
    <w:rsid w:val="004C1AFD"/>
    <w:rsid w:val="004C5312"/>
    <w:rsid w:val="004C558B"/>
    <w:rsid w:val="004C5E95"/>
    <w:rsid w:val="004D4BAF"/>
    <w:rsid w:val="004E14CA"/>
    <w:rsid w:val="004E4EFB"/>
    <w:rsid w:val="004F1F88"/>
    <w:rsid w:val="004F5F1B"/>
    <w:rsid w:val="00502374"/>
    <w:rsid w:val="00502C45"/>
    <w:rsid w:val="005030A9"/>
    <w:rsid w:val="00505ED0"/>
    <w:rsid w:val="005060A1"/>
    <w:rsid w:val="00507F9B"/>
    <w:rsid w:val="00514517"/>
    <w:rsid w:val="00514E26"/>
    <w:rsid w:val="00516072"/>
    <w:rsid w:val="005332EC"/>
    <w:rsid w:val="005333A4"/>
    <w:rsid w:val="00534418"/>
    <w:rsid w:val="005353AB"/>
    <w:rsid w:val="00542D01"/>
    <w:rsid w:val="00552085"/>
    <w:rsid w:val="005560BC"/>
    <w:rsid w:val="005573BE"/>
    <w:rsid w:val="00572700"/>
    <w:rsid w:val="0057678B"/>
    <w:rsid w:val="00576A2C"/>
    <w:rsid w:val="00577575"/>
    <w:rsid w:val="00580468"/>
    <w:rsid w:val="0058603B"/>
    <w:rsid w:val="00591F4C"/>
    <w:rsid w:val="00592F7C"/>
    <w:rsid w:val="0059431B"/>
    <w:rsid w:val="00594D55"/>
    <w:rsid w:val="005A1E93"/>
    <w:rsid w:val="005A39CC"/>
    <w:rsid w:val="005B09DF"/>
    <w:rsid w:val="005B4730"/>
    <w:rsid w:val="005B53DB"/>
    <w:rsid w:val="005B716B"/>
    <w:rsid w:val="005B7274"/>
    <w:rsid w:val="005C7BE4"/>
    <w:rsid w:val="005E05D7"/>
    <w:rsid w:val="005E41E7"/>
    <w:rsid w:val="005E450F"/>
    <w:rsid w:val="005E7B7C"/>
    <w:rsid w:val="006033C6"/>
    <w:rsid w:val="00604CBB"/>
    <w:rsid w:val="006154E3"/>
    <w:rsid w:val="00620691"/>
    <w:rsid w:val="0062298A"/>
    <w:rsid w:val="00626514"/>
    <w:rsid w:val="00626589"/>
    <w:rsid w:val="0063182D"/>
    <w:rsid w:val="006339A0"/>
    <w:rsid w:val="00633AE5"/>
    <w:rsid w:val="006413A8"/>
    <w:rsid w:val="00642E56"/>
    <w:rsid w:val="00651996"/>
    <w:rsid w:val="00651E00"/>
    <w:rsid w:val="00652665"/>
    <w:rsid w:val="00661632"/>
    <w:rsid w:val="00674572"/>
    <w:rsid w:val="00682A4F"/>
    <w:rsid w:val="0068365E"/>
    <w:rsid w:val="00687763"/>
    <w:rsid w:val="00692B0D"/>
    <w:rsid w:val="006933B5"/>
    <w:rsid w:val="00693E0E"/>
    <w:rsid w:val="00694ED7"/>
    <w:rsid w:val="006A1AE3"/>
    <w:rsid w:val="006A4976"/>
    <w:rsid w:val="006C30E1"/>
    <w:rsid w:val="006C4607"/>
    <w:rsid w:val="006D1E94"/>
    <w:rsid w:val="006D48F1"/>
    <w:rsid w:val="006F2C0D"/>
    <w:rsid w:val="006F45BE"/>
    <w:rsid w:val="006F57F1"/>
    <w:rsid w:val="007004FC"/>
    <w:rsid w:val="00706670"/>
    <w:rsid w:val="007141A3"/>
    <w:rsid w:val="0072417C"/>
    <w:rsid w:val="007313C0"/>
    <w:rsid w:val="00732F63"/>
    <w:rsid w:val="00734450"/>
    <w:rsid w:val="00745F67"/>
    <w:rsid w:val="0075039E"/>
    <w:rsid w:val="00752D9D"/>
    <w:rsid w:val="00754784"/>
    <w:rsid w:val="007555F4"/>
    <w:rsid w:val="007560E6"/>
    <w:rsid w:val="00757C6E"/>
    <w:rsid w:val="00762BDA"/>
    <w:rsid w:val="00775E15"/>
    <w:rsid w:val="0077784C"/>
    <w:rsid w:val="0078022A"/>
    <w:rsid w:val="007805FD"/>
    <w:rsid w:val="00784422"/>
    <w:rsid w:val="00790414"/>
    <w:rsid w:val="00794099"/>
    <w:rsid w:val="00796734"/>
    <w:rsid w:val="007A28DF"/>
    <w:rsid w:val="007B3B54"/>
    <w:rsid w:val="007B3FA0"/>
    <w:rsid w:val="007C0F2C"/>
    <w:rsid w:val="007C2BCC"/>
    <w:rsid w:val="007C417A"/>
    <w:rsid w:val="007C4EF0"/>
    <w:rsid w:val="007D099D"/>
    <w:rsid w:val="007D1E2C"/>
    <w:rsid w:val="007D282F"/>
    <w:rsid w:val="007D5E71"/>
    <w:rsid w:val="007E2664"/>
    <w:rsid w:val="007E3ABF"/>
    <w:rsid w:val="007E4AB4"/>
    <w:rsid w:val="007E5BFA"/>
    <w:rsid w:val="007E6689"/>
    <w:rsid w:val="007E72FA"/>
    <w:rsid w:val="007E731C"/>
    <w:rsid w:val="007F05C9"/>
    <w:rsid w:val="007F0A03"/>
    <w:rsid w:val="007F4737"/>
    <w:rsid w:val="007F4EFB"/>
    <w:rsid w:val="0080227C"/>
    <w:rsid w:val="00804A3C"/>
    <w:rsid w:val="00807A94"/>
    <w:rsid w:val="00810040"/>
    <w:rsid w:val="008111B4"/>
    <w:rsid w:val="008122EE"/>
    <w:rsid w:val="00815337"/>
    <w:rsid w:val="0082023A"/>
    <w:rsid w:val="00821A7A"/>
    <w:rsid w:val="00824070"/>
    <w:rsid w:val="008253F8"/>
    <w:rsid w:val="00825F27"/>
    <w:rsid w:val="008325E4"/>
    <w:rsid w:val="00832A2B"/>
    <w:rsid w:val="00841148"/>
    <w:rsid w:val="00845811"/>
    <w:rsid w:val="00846994"/>
    <w:rsid w:val="00847E3E"/>
    <w:rsid w:val="00850451"/>
    <w:rsid w:val="00852042"/>
    <w:rsid w:val="008534C9"/>
    <w:rsid w:val="00853501"/>
    <w:rsid w:val="0085599D"/>
    <w:rsid w:val="00862680"/>
    <w:rsid w:val="0086330D"/>
    <w:rsid w:val="0087510C"/>
    <w:rsid w:val="00890EA0"/>
    <w:rsid w:val="008940BA"/>
    <w:rsid w:val="0089738E"/>
    <w:rsid w:val="008B5FDB"/>
    <w:rsid w:val="008B7DCB"/>
    <w:rsid w:val="008C50F4"/>
    <w:rsid w:val="008C5649"/>
    <w:rsid w:val="008C71FB"/>
    <w:rsid w:val="008C7AFA"/>
    <w:rsid w:val="008D058A"/>
    <w:rsid w:val="008D6407"/>
    <w:rsid w:val="008D6D3C"/>
    <w:rsid w:val="008E44A2"/>
    <w:rsid w:val="008E697D"/>
    <w:rsid w:val="008E6EE4"/>
    <w:rsid w:val="008F6ACF"/>
    <w:rsid w:val="00903263"/>
    <w:rsid w:val="0090626A"/>
    <w:rsid w:val="00906A21"/>
    <w:rsid w:val="009079C3"/>
    <w:rsid w:val="00910462"/>
    <w:rsid w:val="009123EE"/>
    <w:rsid w:val="009132FE"/>
    <w:rsid w:val="00915AB1"/>
    <w:rsid w:val="00917532"/>
    <w:rsid w:val="00921323"/>
    <w:rsid w:val="009235BA"/>
    <w:rsid w:val="00924023"/>
    <w:rsid w:val="00924CE2"/>
    <w:rsid w:val="00925B9F"/>
    <w:rsid w:val="00931AED"/>
    <w:rsid w:val="009417B0"/>
    <w:rsid w:val="00946E23"/>
    <w:rsid w:val="009476A3"/>
    <w:rsid w:val="0095334F"/>
    <w:rsid w:val="00965897"/>
    <w:rsid w:val="0096765C"/>
    <w:rsid w:val="00971C53"/>
    <w:rsid w:val="009727E4"/>
    <w:rsid w:val="00974DE5"/>
    <w:rsid w:val="009819C1"/>
    <w:rsid w:val="00987D8C"/>
    <w:rsid w:val="00992D7C"/>
    <w:rsid w:val="009934C5"/>
    <w:rsid w:val="009938D7"/>
    <w:rsid w:val="00994C0F"/>
    <w:rsid w:val="009A6D9E"/>
    <w:rsid w:val="009B22D7"/>
    <w:rsid w:val="009B4DDE"/>
    <w:rsid w:val="009B72ED"/>
    <w:rsid w:val="009C2B70"/>
    <w:rsid w:val="009C6DEB"/>
    <w:rsid w:val="009C78DF"/>
    <w:rsid w:val="009D6504"/>
    <w:rsid w:val="009E12D7"/>
    <w:rsid w:val="009E32B5"/>
    <w:rsid w:val="009E661A"/>
    <w:rsid w:val="00A06781"/>
    <w:rsid w:val="00A074C3"/>
    <w:rsid w:val="00A1509C"/>
    <w:rsid w:val="00A17E62"/>
    <w:rsid w:val="00A20996"/>
    <w:rsid w:val="00A24EFF"/>
    <w:rsid w:val="00A34260"/>
    <w:rsid w:val="00A42CC1"/>
    <w:rsid w:val="00A54E94"/>
    <w:rsid w:val="00A6300E"/>
    <w:rsid w:val="00A70CFD"/>
    <w:rsid w:val="00A71A6D"/>
    <w:rsid w:val="00A72A0B"/>
    <w:rsid w:val="00A75358"/>
    <w:rsid w:val="00A81E42"/>
    <w:rsid w:val="00A82198"/>
    <w:rsid w:val="00A83435"/>
    <w:rsid w:val="00A8597F"/>
    <w:rsid w:val="00A864FE"/>
    <w:rsid w:val="00A86F41"/>
    <w:rsid w:val="00A87D04"/>
    <w:rsid w:val="00A950C5"/>
    <w:rsid w:val="00A96862"/>
    <w:rsid w:val="00AA1D25"/>
    <w:rsid w:val="00AB2B1A"/>
    <w:rsid w:val="00AB397F"/>
    <w:rsid w:val="00AB5832"/>
    <w:rsid w:val="00AC4629"/>
    <w:rsid w:val="00AC51F2"/>
    <w:rsid w:val="00AC670E"/>
    <w:rsid w:val="00AD09DF"/>
    <w:rsid w:val="00AD11DB"/>
    <w:rsid w:val="00AE2147"/>
    <w:rsid w:val="00AE5066"/>
    <w:rsid w:val="00AE5E24"/>
    <w:rsid w:val="00AE61B7"/>
    <w:rsid w:val="00AE6BE0"/>
    <w:rsid w:val="00AE6CBA"/>
    <w:rsid w:val="00AE79AD"/>
    <w:rsid w:val="00AF35E4"/>
    <w:rsid w:val="00AF5CDE"/>
    <w:rsid w:val="00B11A57"/>
    <w:rsid w:val="00B211C3"/>
    <w:rsid w:val="00B2528E"/>
    <w:rsid w:val="00B25597"/>
    <w:rsid w:val="00B267B9"/>
    <w:rsid w:val="00B27055"/>
    <w:rsid w:val="00B32314"/>
    <w:rsid w:val="00B33E09"/>
    <w:rsid w:val="00B475F3"/>
    <w:rsid w:val="00B50708"/>
    <w:rsid w:val="00B50C68"/>
    <w:rsid w:val="00B51293"/>
    <w:rsid w:val="00B52B1E"/>
    <w:rsid w:val="00B55481"/>
    <w:rsid w:val="00B56C32"/>
    <w:rsid w:val="00B57ACF"/>
    <w:rsid w:val="00B62ABA"/>
    <w:rsid w:val="00B64BB1"/>
    <w:rsid w:val="00B704AF"/>
    <w:rsid w:val="00B73166"/>
    <w:rsid w:val="00B76909"/>
    <w:rsid w:val="00B777F3"/>
    <w:rsid w:val="00B8426C"/>
    <w:rsid w:val="00B91B8D"/>
    <w:rsid w:val="00B92A43"/>
    <w:rsid w:val="00B94E90"/>
    <w:rsid w:val="00BB0A82"/>
    <w:rsid w:val="00BB7C94"/>
    <w:rsid w:val="00BC0A9D"/>
    <w:rsid w:val="00BC2770"/>
    <w:rsid w:val="00BC395F"/>
    <w:rsid w:val="00BC6232"/>
    <w:rsid w:val="00BE05EB"/>
    <w:rsid w:val="00BE3F70"/>
    <w:rsid w:val="00BF199D"/>
    <w:rsid w:val="00BF40ED"/>
    <w:rsid w:val="00BF42FF"/>
    <w:rsid w:val="00BF5BC2"/>
    <w:rsid w:val="00C105A5"/>
    <w:rsid w:val="00C1133D"/>
    <w:rsid w:val="00C11EC1"/>
    <w:rsid w:val="00C13229"/>
    <w:rsid w:val="00C23A33"/>
    <w:rsid w:val="00C241F8"/>
    <w:rsid w:val="00C27976"/>
    <w:rsid w:val="00C27A08"/>
    <w:rsid w:val="00C31312"/>
    <w:rsid w:val="00C326C6"/>
    <w:rsid w:val="00C35295"/>
    <w:rsid w:val="00C36ADD"/>
    <w:rsid w:val="00C36E74"/>
    <w:rsid w:val="00C40595"/>
    <w:rsid w:val="00C41621"/>
    <w:rsid w:val="00C4453A"/>
    <w:rsid w:val="00C449FA"/>
    <w:rsid w:val="00C5252A"/>
    <w:rsid w:val="00C5384F"/>
    <w:rsid w:val="00C53E4D"/>
    <w:rsid w:val="00C54BF2"/>
    <w:rsid w:val="00C56964"/>
    <w:rsid w:val="00C656D5"/>
    <w:rsid w:val="00C67103"/>
    <w:rsid w:val="00C7067D"/>
    <w:rsid w:val="00C71BB9"/>
    <w:rsid w:val="00C744D7"/>
    <w:rsid w:val="00C83E57"/>
    <w:rsid w:val="00C94507"/>
    <w:rsid w:val="00C94C28"/>
    <w:rsid w:val="00CA370D"/>
    <w:rsid w:val="00CA5CF7"/>
    <w:rsid w:val="00CB0247"/>
    <w:rsid w:val="00CB234D"/>
    <w:rsid w:val="00CB3440"/>
    <w:rsid w:val="00CC0496"/>
    <w:rsid w:val="00CC1692"/>
    <w:rsid w:val="00CC5F5B"/>
    <w:rsid w:val="00CD138B"/>
    <w:rsid w:val="00CD3E31"/>
    <w:rsid w:val="00CD748B"/>
    <w:rsid w:val="00CD74A3"/>
    <w:rsid w:val="00CE0527"/>
    <w:rsid w:val="00CE22F3"/>
    <w:rsid w:val="00CE5B23"/>
    <w:rsid w:val="00CF60B8"/>
    <w:rsid w:val="00CF70AD"/>
    <w:rsid w:val="00CF7729"/>
    <w:rsid w:val="00D00059"/>
    <w:rsid w:val="00D060F8"/>
    <w:rsid w:val="00D0783A"/>
    <w:rsid w:val="00D107FA"/>
    <w:rsid w:val="00D12275"/>
    <w:rsid w:val="00D12766"/>
    <w:rsid w:val="00D15163"/>
    <w:rsid w:val="00D15273"/>
    <w:rsid w:val="00D20FF4"/>
    <w:rsid w:val="00D2161E"/>
    <w:rsid w:val="00D216D2"/>
    <w:rsid w:val="00D22D14"/>
    <w:rsid w:val="00D24D2C"/>
    <w:rsid w:val="00D35881"/>
    <w:rsid w:val="00D41D98"/>
    <w:rsid w:val="00D460E7"/>
    <w:rsid w:val="00D50DDD"/>
    <w:rsid w:val="00D6462F"/>
    <w:rsid w:val="00D64648"/>
    <w:rsid w:val="00D65F5B"/>
    <w:rsid w:val="00D66D0C"/>
    <w:rsid w:val="00D679A2"/>
    <w:rsid w:val="00DA1682"/>
    <w:rsid w:val="00DA7DA5"/>
    <w:rsid w:val="00DB073B"/>
    <w:rsid w:val="00DB0F9D"/>
    <w:rsid w:val="00DB1F22"/>
    <w:rsid w:val="00DB76F1"/>
    <w:rsid w:val="00DB78F0"/>
    <w:rsid w:val="00DC2E43"/>
    <w:rsid w:val="00DD095C"/>
    <w:rsid w:val="00DD1020"/>
    <w:rsid w:val="00DD1330"/>
    <w:rsid w:val="00DD5DBE"/>
    <w:rsid w:val="00DE0B83"/>
    <w:rsid w:val="00DE1A81"/>
    <w:rsid w:val="00DE1C13"/>
    <w:rsid w:val="00DE20C5"/>
    <w:rsid w:val="00DE4E10"/>
    <w:rsid w:val="00DE5EF2"/>
    <w:rsid w:val="00DF6792"/>
    <w:rsid w:val="00DF7094"/>
    <w:rsid w:val="00E00A55"/>
    <w:rsid w:val="00E02ABF"/>
    <w:rsid w:val="00E0345B"/>
    <w:rsid w:val="00E10E92"/>
    <w:rsid w:val="00E14995"/>
    <w:rsid w:val="00E179CD"/>
    <w:rsid w:val="00E20AD4"/>
    <w:rsid w:val="00E237F3"/>
    <w:rsid w:val="00E23E8D"/>
    <w:rsid w:val="00E25781"/>
    <w:rsid w:val="00E2707A"/>
    <w:rsid w:val="00E27800"/>
    <w:rsid w:val="00E32DF3"/>
    <w:rsid w:val="00E36F18"/>
    <w:rsid w:val="00E37F98"/>
    <w:rsid w:val="00E435A6"/>
    <w:rsid w:val="00E46559"/>
    <w:rsid w:val="00E6670C"/>
    <w:rsid w:val="00E670A1"/>
    <w:rsid w:val="00E73D29"/>
    <w:rsid w:val="00E745D3"/>
    <w:rsid w:val="00E75AEC"/>
    <w:rsid w:val="00E776E8"/>
    <w:rsid w:val="00E84771"/>
    <w:rsid w:val="00E86391"/>
    <w:rsid w:val="00E92C1F"/>
    <w:rsid w:val="00E95D4B"/>
    <w:rsid w:val="00E96B19"/>
    <w:rsid w:val="00EA023C"/>
    <w:rsid w:val="00EB199F"/>
    <w:rsid w:val="00EB3DE5"/>
    <w:rsid w:val="00EC0A48"/>
    <w:rsid w:val="00EC1975"/>
    <w:rsid w:val="00EC23F7"/>
    <w:rsid w:val="00EC3FAA"/>
    <w:rsid w:val="00EC4463"/>
    <w:rsid w:val="00EC4BD8"/>
    <w:rsid w:val="00EC63EB"/>
    <w:rsid w:val="00EC642F"/>
    <w:rsid w:val="00ED0D02"/>
    <w:rsid w:val="00ED412F"/>
    <w:rsid w:val="00EE3DE5"/>
    <w:rsid w:val="00EF36B2"/>
    <w:rsid w:val="00EF5CD8"/>
    <w:rsid w:val="00F05A82"/>
    <w:rsid w:val="00F201EC"/>
    <w:rsid w:val="00F208A9"/>
    <w:rsid w:val="00F41D75"/>
    <w:rsid w:val="00F43658"/>
    <w:rsid w:val="00F5139D"/>
    <w:rsid w:val="00F55921"/>
    <w:rsid w:val="00F63DAC"/>
    <w:rsid w:val="00F70806"/>
    <w:rsid w:val="00F7454F"/>
    <w:rsid w:val="00F77154"/>
    <w:rsid w:val="00F77988"/>
    <w:rsid w:val="00F77F48"/>
    <w:rsid w:val="00F814F6"/>
    <w:rsid w:val="00F938F6"/>
    <w:rsid w:val="00F963AE"/>
    <w:rsid w:val="00F96746"/>
    <w:rsid w:val="00FB244B"/>
    <w:rsid w:val="00FB2A3C"/>
    <w:rsid w:val="00FB30F1"/>
    <w:rsid w:val="00FB53E7"/>
    <w:rsid w:val="00FB6704"/>
    <w:rsid w:val="00FD4E76"/>
    <w:rsid w:val="00FD6E92"/>
    <w:rsid w:val="00FE2422"/>
    <w:rsid w:val="00FF38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68365E"/>
    <w:rPr>
      <w:sz w:val="24"/>
      <w:szCs w:val="24"/>
    </w:rPr>
  </w:style>
  <w:style w:type="character" w:styleId="PageNumber">
    <w:name w:val="page number"/>
    <w:basedOn w:val="DefaultParagraphFont"/>
    <w:uiPriority w:val="99"/>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b/>
      <w:bCs/>
      <w:color w:val="auto"/>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65E"/>
    <w:rPr>
      <w:sz w:val="2"/>
      <w:szCs w:val="2"/>
    </w:rPr>
  </w:style>
  <w:style w:type="table" w:styleId="TableGrid">
    <w:name w:val="Table Grid"/>
    <w:basedOn w:val="TableNormal"/>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68365E"/>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68365E"/>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sz w:val="24"/>
      <w:szCs w:val="24"/>
      <w:lang w:val="lv-LV" w:eastAsia="lv-LV"/>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365E"/>
    <w:rPr>
      <w:sz w:val="2"/>
      <w:szCs w:val="2"/>
    </w:rPr>
  </w:style>
  <w:style w:type="character" w:styleId="Strong">
    <w:name w:val="Strong"/>
    <w:basedOn w:val="DefaultParagraphFont"/>
    <w:uiPriority w:val="99"/>
    <w:qFormat/>
    <w:rsid w:val="003E0C20"/>
    <w:rPr>
      <w:b/>
      <w:bCs/>
    </w:rPr>
  </w:style>
  <w:style w:type="character" w:customStyle="1" w:styleId="google-src-text1">
    <w:name w:val="google-src-text1"/>
    <w:basedOn w:val="DefaultParagraphFont"/>
    <w:uiPriority w:val="99"/>
    <w:rsid w:val="003E0C20"/>
    <w:rPr>
      <w:vanish/>
    </w:rPr>
  </w:style>
  <w:style w:type="paragraph" w:styleId="BodyText">
    <w:name w:val="Body Text"/>
    <w:basedOn w:val="Normal"/>
    <w:link w:val="BodyTextChar"/>
    <w:uiPriority w:val="99"/>
    <w:rsid w:val="00BF42FF"/>
    <w:pPr>
      <w:spacing w:after="120"/>
    </w:pPr>
    <w:rPr>
      <w:sz w:val="28"/>
      <w:szCs w:val="28"/>
      <w:lang w:eastAsia="en-US"/>
    </w:rPr>
  </w:style>
  <w:style w:type="character" w:customStyle="1" w:styleId="BodyTextChar">
    <w:name w:val="Body Text Char"/>
    <w:basedOn w:val="DefaultParagraphFont"/>
    <w:link w:val="BodyText"/>
    <w:uiPriority w:val="99"/>
    <w:locked/>
    <w:rsid w:val="00BF42FF"/>
    <w:rPr>
      <w:sz w:val="28"/>
      <w:szCs w:val="28"/>
      <w:lang w:eastAsia="en-US"/>
    </w:rPr>
  </w:style>
  <w:style w:type="character" w:customStyle="1" w:styleId="spelle">
    <w:name w:val="spelle"/>
    <w:basedOn w:val="DefaultParagraphFont"/>
    <w:uiPriority w:val="99"/>
    <w:rsid w:val="00BF42FF"/>
  </w:style>
  <w:style w:type="paragraph" w:styleId="ListParagraph">
    <w:name w:val="List Paragraph"/>
    <w:basedOn w:val="Normal"/>
    <w:uiPriority w:val="34"/>
    <w:qFormat/>
    <w:rsid w:val="009132FE"/>
    <w:pPr>
      <w:spacing w:before="75" w:after="75"/>
      <w:ind w:left="720"/>
      <w:contextualSpacing/>
    </w:pPr>
  </w:style>
  <w:style w:type="paragraph" w:styleId="NormalWeb">
    <w:name w:val="Normal (Web)"/>
    <w:basedOn w:val="Normal"/>
    <w:unhideWhenUsed/>
    <w:rsid w:val="00732F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522D-104B-4471-84FE-3802E1DD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7569</Words>
  <Characters>4315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Grozījums Vispārējās izglītības likumā </vt:lpstr>
    </vt:vector>
  </TitlesOfParts>
  <Manager>Jānis Gaigals</Manager>
  <Company>Izglītības un zinātnes ministrija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Vispārējās izglītības likumā </dc:title>
  <dc:subject>Likumprojekta anotācija </dc:subject>
  <dc:creator>Alise Koleda</dc:creator>
  <cp:keywords/>
  <dc:description>67047841, alise.koleda@izm.gov.lv</dc:description>
  <cp:lastModifiedBy>akoleda</cp:lastModifiedBy>
  <cp:revision>11</cp:revision>
  <cp:lastPrinted>2011-10-26T07:00:00Z</cp:lastPrinted>
  <dcterms:created xsi:type="dcterms:W3CDTF">2011-11-11T09:24:00Z</dcterms:created>
  <dcterms:modified xsi:type="dcterms:W3CDTF">2011-11-17T09:47:00Z</dcterms:modified>
</cp:coreProperties>
</file>