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81110E" w:rsidRDefault="005D6B8A" w:rsidP="005D6B8A">
      <w:pPr>
        <w:jc w:val="center"/>
        <w:rPr>
          <w:b/>
          <w:sz w:val="25"/>
          <w:szCs w:val="25"/>
        </w:rPr>
      </w:pPr>
      <w:bookmarkStart w:id="0" w:name="OLE_LINK3"/>
      <w:bookmarkStart w:id="1" w:name="OLE_LINK4"/>
      <w:bookmarkStart w:id="2" w:name="OLE_LINK1"/>
      <w:r w:rsidRPr="0081110E">
        <w:rPr>
          <w:b/>
          <w:sz w:val="25"/>
          <w:szCs w:val="25"/>
        </w:rPr>
        <w:t>Ministru kabineta rīkojuma projekta</w:t>
      </w:r>
    </w:p>
    <w:p w:rsidR="00585B7B" w:rsidRPr="0081110E" w:rsidRDefault="005D6B8A" w:rsidP="005D6B8A">
      <w:pPr>
        <w:jc w:val="center"/>
        <w:rPr>
          <w:b/>
          <w:sz w:val="25"/>
          <w:szCs w:val="25"/>
        </w:rPr>
      </w:pPr>
      <w:r w:rsidRPr="0081110E">
        <w:rPr>
          <w:b/>
          <w:sz w:val="25"/>
          <w:szCs w:val="25"/>
        </w:rPr>
        <w:t xml:space="preserve">„Par finanšu līdzekļu piešķiršanu no valsts budžeta programmas „Līdzekļi neparedzētiem gadījumiem”” </w:t>
      </w:r>
      <w:r w:rsidR="00585B7B" w:rsidRPr="0081110E">
        <w:rPr>
          <w:b/>
          <w:sz w:val="25"/>
          <w:szCs w:val="25"/>
        </w:rPr>
        <w:t xml:space="preserve">sākotnējās ietekmes novērtējuma </w:t>
      </w:r>
      <w:smartTag w:uri="schemas-tilde-lv/tildestengine" w:element="veidnes">
        <w:smartTagPr>
          <w:attr w:name="id" w:val="-1"/>
          <w:attr w:name="baseform" w:val="ziņojums"/>
          <w:attr w:name="text" w:val="ziņojums"/>
        </w:smartTagPr>
        <w:r w:rsidR="00585B7B" w:rsidRPr="0081110E">
          <w:rPr>
            <w:b/>
            <w:sz w:val="25"/>
            <w:szCs w:val="25"/>
          </w:rPr>
          <w:t>ziņojums</w:t>
        </w:r>
      </w:smartTag>
      <w:r w:rsidR="00585B7B" w:rsidRPr="0081110E">
        <w:rPr>
          <w:b/>
          <w:sz w:val="25"/>
          <w:szCs w:val="25"/>
        </w:rPr>
        <w:t xml:space="preserve"> (anotācija)</w:t>
      </w:r>
    </w:p>
    <w:p w:rsidR="00055608" w:rsidRPr="0081110E" w:rsidRDefault="00055608" w:rsidP="005D6B8A">
      <w:pPr>
        <w:jc w:val="center"/>
        <w:rPr>
          <w:b/>
          <w:sz w:val="25"/>
          <w:szCs w:val="25"/>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81110E" w:rsidTr="002637C0">
        <w:tc>
          <w:tcPr>
            <w:tcW w:w="10197" w:type="dxa"/>
            <w:gridSpan w:val="3"/>
            <w:vAlign w:val="center"/>
          </w:tcPr>
          <w:bookmarkEnd w:id="0"/>
          <w:bookmarkEnd w:id="1"/>
          <w:bookmarkEnd w:id="2"/>
          <w:p w:rsidR="00585B7B" w:rsidRPr="0081110E" w:rsidRDefault="00585B7B" w:rsidP="00194A0F">
            <w:pPr>
              <w:pStyle w:val="naisnod"/>
              <w:spacing w:before="0" w:after="0"/>
              <w:rPr>
                <w:sz w:val="25"/>
                <w:szCs w:val="25"/>
              </w:rPr>
            </w:pPr>
            <w:r w:rsidRPr="0081110E">
              <w:rPr>
                <w:sz w:val="25"/>
                <w:szCs w:val="25"/>
              </w:rPr>
              <w:t>I. Tiesību akta projekta izstrādes nepieciešamība</w:t>
            </w:r>
          </w:p>
        </w:tc>
      </w:tr>
      <w:tr w:rsidR="00585B7B" w:rsidRPr="0081110E" w:rsidTr="002637C0">
        <w:trPr>
          <w:trHeight w:val="630"/>
        </w:trPr>
        <w:tc>
          <w:tcPr>
            <w:tcW w:w="998" w:type="dxa"/>
          </w:tcPr>
          <w:p w:rsidR="00585B7B" w:rsidRPr="0081110E" w:rsidRDefault="00585B7B" w:rsidP="00BD696A">
            <w:pPr>
              <w:pStyle w:val="naiskr"/>
              <w:spacing w:before="0" w:after="0"/>
              <w:jc w:val="center"/>
              <w:rPr>
                <w:sz w:val="25"/>
                <w:szCs w:val="25"/>
              </w:rPr>
            </w:pPr>
            <w:r w:rsidRPr="0081110E">
              <w:rPr>
                <w:sz w:val="25"/>
                <w:szCs w:val="25"/>
              </w:rPr>
              <w:t>1.</w:t>
            </w:r>
          </w:p>
        </w:tc>
        <w:tc>
          <w:tcPr>
            <w:tcW w:w="2693" w:type="dxa"/>
          </w:tcPr>
          <w:p w:rsidR="00585B7B" w:rsidRPr="0081110E" w:rsidRDefault="00585B7B" w:rsidP="00916055">
            <w:pPr>
              <w:pStyle w:val="naiskr"/>
              <w:spacing w:before="0" w:after="0"/>
              <w:ind w:left="141" w:hanging="10"/>
              <w:rPr>
                <w:sz w:val="25"/>
                <w:szCs w:val="25"/>
              </w:rPr>
            </w:pPr>
            <w:r w:rsidRPr="0081110E">
              <w:rPr>
                <w:sz w:val="25"/>
                <w:szCs w:val="25"/>
              </w:rPr>
              <w:t>Pamatojums</w:t>
            </w:r>
          </w:p>
        </w:tc>
        <w:tc>
          <w:tcPr>
            <w:tcW w:w="6506" w:type="dxa"/>
          </w:tcPr>
          <w:p w:rsidR="00466E6C" w:rsidRPr="0081110E" w:rsidRDefault="00FE0E03" w:rsidP="008E3516">
            <w:pPr>
              <w:ind w:left="142" w:right="127"/>
              <w:jc w:val="both"/>
              <w:rPr>
                <w:sz w:val="25"/>
                <w:szCs w:val="25"/>
              </w:rPr>
            </w:pPr>
            <w:r w:rsidRPr="0081110E">
              <w:rPr>
                <w:sz w:val="25"/>
                <w:szCs w:val="25"/>
              </w:rPr>
              <w:t>1</w:t>
            </w:r>
            <w:r w:rsidR="00466E6C" w:rsidRPr="0081110E">
              <w:rPr>
                <w:sz w:val="25"/>
                <w:szCs w:val="25"/>
              </w:rPr>
              <w:t xml:space="preserve">) </w:t>
            </w:r>
            <w:r w:rsidR="008431E8" w:rsidRPr="0081110E">
              <w:rPr>
                <w:sz w:val="25"/>
                <w:szCs w:val="25"/>
              </w:rPr>
              <w:t>Ministru kabineta 2009.gada 22.decembra noteikumu Nr.1644 „Kārtība, kādā pieprasa un izlieto budžeta programmas „Līdzekļi neparedzētiem gadījumiem</w:t>
            </w:r>
            <w:r w:rsidR="00AB1ED1" w:rsidRPr="0081110E">
              <w:rPr>
                <w:sz w:val="25"/>
                <w:szCs w:val="25"/>
              </w:rPr>
              <w:t>”</w:t>
            </w:r>
            <w:r w:rsidR="008431E8" w:rsidRPr="0081110E">
              <w:rPr>
                <w:sz w:val="25"/>
                <w:szCs w:val="25"/>
              </w:rPr>
              <w:t xml:space="preserve"> līdzekļus” 2.punkts.</w:t>
            </w:r>
          </w:p>
          <w:p w:rsidR="00466E6C" w:rsidRPr="0081110E" w:rsidRDefault="00730CDA" w:rsidP="00F3570F">
            <w:pPr>
              <w:ind w:left="142" w:right="127"/>
              <w:jc w:val="both"/>
              <w:rPr>
                <w:sz w:val="25"/>
                <w:szCs w:val="25"/>
              </w:rPr>
            </w:pPr>
            <w:r w:rsidRPr="0081110E">
              <w:rPr>
                <w:sz w:val="25"/>
                <w:szCs w:val="25"/>
              </w:rPr>
              <w:t>2</w:t>
            </w:r>
            <w:r w:rsidR="00D05152" w:rsidRPr="0081110E">
              <w:rPr>
                <w:sz w:val="25"/>
                <w:szCs w:val="25"/>
              </w:rPr>
              <w:t>) N</w:t>
            </w:r>
            <w:r w:rsidR="002E5DFE" w:rsidRPr="0081110E">
              <w:rPr>
                <w:sz w:val="25"/>
                <w:szCs w:val="25"/>
              </w:rPr>
              <w:t>epieciešamība piešķirt papildu valsts budžeta līdzfinansējumu biedrībai „Latvijas Augstskolu sporta savienība”, lai nodrošinātu Latvijas</w:t>
            </w:r>
            <w:r w:rsidR="00AA3666" w:rsidRPr="0081110E">
              <w:rPr>
                <w:sz w:val="25"/>
                <w:szCs w:val="25"/>
              </w:rPr>
              <w:t xml:space="preserve"> studentu vīriešu hokeja</w:t>
            </w:r>
            <w:r w:rsidR="002E5DFE" w:rsidRPr="0081110E">
              <w:rPr>
                <w:sz w:val="25"/>
                <w:szCs w:val="25"/>
              </w:rPr>
              <w:t xml:space="preserve"> izlases </w:t>
            </w:r>
            <w:r w:rsidR="00DF040B">
              <w:rPr>
                <w:sz w:val="25"/>
                <w:szCs w:val="25"/>
              </w:rPr>
              <w:t xml:space="preserve">sagatavošanos un </w:t>
            </w:r>
            <w:r w:rsidR="002E5DFE" w:rsidRPr="0081110E">
              <w:rPr>
                <w:sz w:val="25"/>
                <w:szCs w:val="25"/>
              </w:rPr>
              <w:t xml:space="preserve">dalību </w:t>
            </w:r>
            <w:r w:rsidR="00004F0D" w:rsidRPr="0081110E">
              <w:rPr>
                <w:sz w:val="25"/>
                <w:szCs w:val="25"/>
              </w:rPr>
              <w:t xml:space="preserve">2013.gada </w:t>
            </w:r>
            <w:r w:rsidR="002E5DFE" w:rsidRPr="0081110E">
              <w:rPr>
                <w:sz w:val="25"/>
                <w:szCs w:val="25"/>
              </w:rPr>
              <w:t xml:space="preserve">pasaules </w:t>
            </w:r>
            <w:r w:rsidR="00540871" w:rsidRPr="0081110E">
              <w:rPr>
                <w:sz w:val="25"/>
                <w:szCs w:val="25"/>
              </w:rPr>
              <w:t>Ziemas</w:t>
            </w:r>
            <w:r w:rsidR="002E5DFE" w:rsidRPr="0081110E">
              <w:rPr>
                <w:sz w:val="25"/>
                <w:szCs w:val="25"/>
              </w:rPr>
              <w:t xml:space="preserve"> Universiādē </w:t>
            </w:r>
            <w:r w:rsidR="00540871" w:rsidRPr="0081110E">
              <w:rPr>
                <w:sz w:val="25"/>
                <w:szCs w:val="25"/>
              </w:rPr>
              <w:t>Trentīno</w:t>
            </w:r>
            <w:r w:rsidR="002E5DFE" w:rsidRPr="0081110E">
              <w:rPr>
                <w:sz w:val="25"/>
                <w:szCs w:val="25"/>
              </w:rPr>
              <w:t xml:space="preserve"> (</w:t>
            </w:r>
            <w:r w:rsidR="00F3570F" w:rsidRPr="0081110E">
              <w:rPr>
                <w:sz w:val="25"/>
                <w:szCs w:val="25"/>
              </w:rPr>
              <w:t>Itālija</w:t>
            </w:r>
            <w:r w:rsidR="002E5DFE" w:rsidRPr="0081110E">
              <w:rPr>
                <w:sz w:val="25"/>
                <w:szCs w:val="25"/>
              </w:rPr>
              <w:t>)</w:t>
            </w:r>
            <w:r w:rsidR="00540871" w:rsidRPr="0081110E">
              <w:rPr>
                <w:sz w:val="25"/>
                <w:szCs w:val="25"/>
              </w:rPr>
              <w:t xml:space="preserve"> un biedrībai „Latvijas Volejbola federācija”, lai  nodrošinātu </w:t>
            </w:r>
            <w:bookmarkStart w:id="3" w:name="OLE_LINK2"/>
            <w:bookmarkStart w:id="4" w:name="OLE_LINK5"/>
            <w:r w:rsidR="00540871" w:rsidRPr="0081110E">
              <w:rPr>
                <w:sz w:val="25"/>
                <w:szCs w:val="25"/>
              </w:rPr>
              <w:t>Latvijas nacionālās sieviešu volejbola izlases dalību 2014.gada pasaules č</w:t>
            </w:r>
            <w:r w:rsidR="00AA3666" w:rsidRPr="0081110E">
              <w:rPr>
                <w:sz w:val="25"/>
                <w:szCs w:val="25"/>
              </w:rPr>
              <w:t>empionāta kvalifikācijas turnīra otrajā kārtā</w:t>
            </w:r>
            <w:r w:rsidR="00540871" w:rsidRPr="0081110E">
              <w:rPr>
                <w:sz w:val="25"/>
                <w:szCs w:val="25"/>
              </w:rPr>
              <w:t xml:space="preserve"> Raananā (Izraēla)</w:t>
            </w:r>
            <w:bookmarkEnd w:id="3"/>
            <w:bookmarkEnd w:id="4"/>
            <w:r w:rsidR="00540871" w:rsidRPr="0081110E">
              <w:rPr>
                <w:sz w:val="25"/>
                <w:szCs w:val="25"/>
              </w:rPr>
              <w:t>.</w:t>
            </w:r>
          </w:p>
        </w:tc>
      </w:tr>
      <w:tr w:rsidR="00585B7B" w:rsidRPr="0081110E" w:rsidTr="00795000">
        <w:trPr>
          <w:trHeight w:val="1128"/>
        </w:trPr>
        <w:tc>
          <w:tcPr>
            <w:tcW w:w="998" w:type="dxa"/>
          </w:tcPr>
          <w:p w:rsidR="00585B7B" w:rsidRPr="0081110E" w:rsidRDefault="00585B7B" w:rsidP="00BD696A">
            <w:pPr>
              <w:pStyle w:val="naiskr"/>
              <w:spacing w:before="0" w:after="0"/>
              <w:jc w:val="center"/>
              <w:rPr>
                <w:sz w:val="25"/>
                <w:szCs w:val="25"/>
              </w:rPr>
            </w:pPr>
            <w:r w:rsidRPr="0081110E">
              <w:rPr>
                <w:sz w:val="25"/>
                <w:szCs w:val="25"/>
              </w:rPr>
              <w:t>2.</w:t>
            </w:r>
          </w:p>
        </w:tc>
        <w:tc>
          <w:tcPr>
            <w:tcW w:w="2693" w:type="dxa"/>
          </w:tcPr>
          <w:p w:rsidR="00585B7B" w:rsidRPr="0081110E" w:rsidRDefault="00585B7B" w:rsidP="00916055">
            <w:pPr>
              <w:pStyle w:val="naiskr"/>
              <w:tabs>
                <w:tab w:val="left" w:pos="170"/>
              </w:tabs>
              <w:spacing w:before="0" w:after="0"/>
              <w:ind w:left="141"/>
              <w:rPr>
                <w:sz w:val="25"/>
                <w:szCs w:val="25"/>
              </w:rPr>
            </w:pPr>
            <w:r w:rsidRPr="0081110E">
              <w:rPr>
                <w:sz w:val="25"/>
                <w:szCs w:val="25"/>
              </w:rPr>
              <w:t>Pašreizējā situācija un problēmas</w:t>
            </w:r>
          </w:p>
        </w:tc>
        <w:tc>
          <w:tcPr>
            <w:tcW w:w="6506" w:type="dxa"/>
          </w:tcPr>
          <w:p w:rsidR="0086390D" w:rsidRPr="0081110E" w:rsidRDefault="006A2D60" w:rsidP="00730CDA">
            <w:pPr>
              <w:ind w:left="142" w:right="127"/>
              <w:jc w:val="both"/>
              <w:rPr>
                <w:sz w:val="25"/>
                <w:szCs w:val="25"/>
              </w:rPr>
            </w:pPr>
            <w:r w:rsidRPr="0081110E">
              <w:rPr>
                <w:sz w:val="25"/>
                <w:szCs w:val="25"/>
              </w:rPr>
              <w:t>Izglītības un zinātnes ministrija (turpmāk – ministrija), kura saskaņā ar Sporta likuma 5.panta pirmo daļu pilda valsts pārvaldes funkcijas sporta nozarē, saskaņā ar Ministru kabineta 2003.gada 16.septembra noteikumu Nr.528 „Izglītības un zinātnes ministrijas nolikums” 5.21.</w:t>
            </w:r>
            <w:r w:rsidRPr="0081110E">
              <w:rPr>
                <w:sz w:val="25"/>
                <w:szCs w:val="25"/>
                <w:vertAlign w:val="superscript"/>
              </w:rPr>
              <w:t>5</w:t>
            </w:r>
            <w:r w:rsidRPr="0081110E">
              <w:rPr>
                <w:sz w:val="25"/>
                <w:szCs w:val="25"/>
              </w:rPr>
              <w:t xml:space="preserve"> punktu atbilstoši likumā par valsts budžetu kārtējam gadam piešķirtajai apropriācijai administrē sportam piešķirtos valsts budžeta līdzekļus, kā arī saskaņā ar Ministru kabineta 2003.gada 9.jūlija noteikumu Nr.422 „Latvijas Nacionālās sporta padomes nolikums” 15.punktu nodrošina Latvijas Nacionālās sporta padomes sekretariāta   pienākumu izpildi, ir</w:t>
            </w:r>
            <w:r w:rsidR="00730CDA" w:rsidRPr="0081110E">
              <w:rPr>
                <w:sz w:val="25"/>
                <w:szCs w:val="25"/>
              </w:rPr>
              <w:t xml:space="preserve"> </w:t>
            </w:r>
            <w:r w:rsidR="00403794" w:rsidRPr="0081110E">
              <w:rPr>
                <w:sz w:val="25"/>
                <w:szCs w:val="25"/>
              </w:rPr>
              <w:t xml:space="preserve">saņēmusi </w:t>
            </w:r>
            <w:r w:rsidR="00F3570F" w:rsidRPr="0081110E">
              <w:rPr>
                <w:sz w:val="25"/>
                <w:szCs w:val="25"/>
              </w:rPr>
              <w:t xml:space="preserve">(1) </w:t>
            </w:r>
            <w:r w:rsidR="00403794" w:rsidRPr="0081110E">
              <w:rPr>
                <w:sz w:val="25"/>
                <w:szCs w:val="25"/>
              </w:rPr>
              <w:t>biedr</w:t>
            </w:r>
            <w:r w:rsidR="00B95D33" w:rsidRPr="0081110E">
              <w:rPr>
                <w:sz w:val="25"/>
                <w:szCs w:val="25"/>
              </w:rPr>
              <w:t xml:space="preserve">ības „Latvijas </w:t>
            </w:r>
            <w:r w:rsidR="00D05152" w:rsidRPr="0081110E">
              <w:rPr>
                <w:sz w:val="25"/>
                <w:szCs w:val="25"/>
              </w:rPr>
              <w:t>Augstskolu sporta savien</w:t>
            </w:r>
            <w:r w:rsidR="002D40DF" w:rsidRPr="0081110E">
              <w:rPr>
                <w:sz w:val="25"/>
                <w:szCs w:val="25"/>
              </w:rPr>
              <w:t>ība</w:t>
            </w:r>
            <w:r w:rsidR="00B95D33" w:rsidRPr="0081110E">
              <w:rPr>
                <w:sz w:val="25"/>
                <w:szCs w:val="25"/>
              </w:rPr>
              <w:t xml:space="preserve">” </w:t>
            </w:r>
            <w:r w:rsidR="002D40DF" w:rsidRPr="0081110E">
              <w:rPr>
                <w:sz w:val="25"/>
                <w:szCs w:val="25"/>
              </w:rPr>
              <w:t>(turpmāk – LAS</w:t>
            </w:r>
            <w:r w:rsidR="00B206C4" w:rsidRPr="0081110E">
              <w:rPr>
                <w:sz w:val="25"/>
                <w:szCs w:val="25"/>
              </w:rPr>
              <w:t>S) finanšu pieprasījumu</w:t>
            </w:r>
            <w:r w:rsidR="00F3570F" w:rsidRPr="0081110E">
              <w:rPr>
                <w:sz w:val="25"/>
                <w:szCs w:val="25"/>
              </w:rPr>
              <w:t xml:space="preserve"> (2013.gada</w:t>
            </w:r>
            <w:r w:rsidR="008257D3" w:rsidRPr="0081110E">
              <w:rPr>
                <w:sz w:val="25"/>
                <w:szCs w:val="25"/>
              </w:rPr>
              <w:t xml:space="preserve"> 9.septembra vēstule, turpm</w:t>
            </w:r>
            <w:r w:rsidR="00C3104E" w:rsidRPr="0081110E">
              <w:rPr>
                <w:sz w:val="25"/>
                <w:szCs w:val="25"/>
              </w:rPr>
              <w:t>āk LASS p</w:t>
            </w:r>
            <w:r w:rsidR="008257D3" w:rsidRPr="0081110E">
              <w:rPr>
                <w:sz w:val="25"/>
                <w:szCs w:val="25"/>
              </w:rPr>
              <w:t>ieprasījums)</w:t>
            </w:r>
            <w:r w:rsidR="00403794" w:rsidRPr="0081110E">
              <w:rPr>
                <w:sz w:val="25"/>
                <w:szCs w:val="25"/>
              </w:rPr>
              <w:t xml:space="preserve">, kurā </w:t>
            </w:r>
            <w:r w:rsidR="00B95D33" w:rsidRPr="0081110E">
              <w:rPr>
                <w:sz w:val="25"/>
                <w:szCs w:val="25"/>
              </w:rPr>
              <w:t xml:space="preserve"> </w:t>
            </w:r>
            <w:r w:rsidR="0085329C" w:rsidRPr="0081110E">
              <w:rPr>
                <w:sz w:val="25"/>
                <w:szCs w:val="25"/>
              </w:rPr>
              <w:t>ministrijai tiek lūgts</w:t>
            </w:r>
            <w:r w:rsidR="00403794" w:rsidRPr="0081110E">
              <w:rPr>
                <w:sz w:val="25"/>
                <w:szCs w:val="25"/>
              </w:rPr>
              <w:t xml:space="preserve"> finansiāl</w:t>
            </w:r>
            <w:r w:rsidR="0085329C" w:rsidRPr="0081110E">
              <w:rPr>
                <w:sz w:val="25"/>
                <w:szCs w:val="25"/>
              </w:rPr>
              <w:t>s</w:t>
            </w:r>
            <w:r w:rsidR="00403794" w:rsidRPr="0081110E">
              <w:rPr>
                <w:sz w:val="25"/>
                <w:szCs w:val="25"/>
              </w:rPr>
              <w:t xml:space="preserve"> atbalst</w:t>
            </w:r>
            <w:r w:rsidR="0085329C" w:rsidRPr="0081110E">
              <w:rPr>
                <w:sz w:val="25"/>
                <w:szCs w:val="25"/>
              </w:rPr>
              <w:t>s</w:t>
            </w:r>
            <w:r w:rsidR="00403794" w:rsidRPr="0081110E">
              <w:rPr>
                <w:sz w:val="25"/>
                <w:szCs w:val="25"/>
              </w:rPr>
              <w:t xml:space="preserve"> </w:t>
            </w:r>
            <w:r w:rsidR="00F3570F" w:rsidRPr="0081110E">
              <w:rPr>
                <w:sz w:val="25"/>
                <w:szCs w:val="25"/>
              </w:rPr>
              <w:t>28</w:t>
            </w:r>
            <w:r w:rsidR="00B206C4" w:rsidRPr="0081110E">
              <w:rPr>
                <w:sz w:val="25"/>
                <w:szCs w:val="25"/>
              </w:rPr>
              <w:t>`</w:t>
            </w:r>
            <w:r w:rsidR="00F3570F" w:rsidRPr="0081110E">
              <w:rPr>
                <w:sz w:val="25"/>
                <w:szCs w:val="25"/>
              </w:rPr>
              <w:t>200</w:t>
            </w:r>
            <w:r w:rsidR="00403794" w:rsidRPr="0081110E">
              <w:rPr>
                <w:sz w:val="25"/>
                <w:szCs w:val="25"/>
              </w:rPr>
              <w:t xml:space="preserve"> latu apmērā, lai segtu izdevumus, kas saistīti ar </w:t>
            </w:r>
            <w:r w:rsidR="00B206C4" w:rsidRPr="0081110E">
              <w:rPr>
                <w:sz w:val="25"/>
                <w:szCs w:val="25"/>
              </w:rPr>
              <w:t xml:space="preserve"> Latvijas </w:t>
            </w:r>
            <w:r w:rsidR="00AA3666" w:rsidRPr="0081110E">
              <w:rPr>
                <w:sz w:val="25"/>
                <w:szCs w:val="25"/>
              </w:rPr>
              <w:t xml:space="preserve">studentu vīriešu hokeja </w:t>
            </w:r>
            <w:r w:rsidR="00B206C4" w:rsidRPr="0081110E">
              <w:rPr>
                <w:sz w:val="25"/>
                <w:szCs w:val="25"/>
              </w:rPr>
              <w:t>izlases</w:t>
            </w:r>
            <w:r w:rsidR="00DF040B">
              <w:rPr>
                <w:sz w:val="25"/>
                <w:szCs w:val="25"/>
              </w:rPr>
              <w:t xml:space="preserve"> sagatavošanos un</w:t>
            </w:r>
            <w:r w:rsidR="00B206C4" w:rsidRPr="0081110E">
              <w:rPr>
                <w:sz w:val="25"/>
                <w:szCs w:val="25"/>
              </w:rPr>
              <w:t xml:space="preserve"> dalību </w:t>
            </w:r>
            <w:r w:rsidR="002D40DF" w:rsidRPr="0081110E">
              <w:rPr>
                <w:sz w:val="25"/>
                <w:szCs w:val="25"/>
              </w:rPr>
              <w:t xml:space="preserve">2013.gada </w:t>
            </w:r>
            <w:r w:rsidR="006D21F5" w:rsidRPr="0081110E">
              <w:rPr>
                <w:sz w:val="25"/>
                <w:szCs w:val="25"/>
              </w:rPr>
              <w:t xml:space="preserve"> pasaules </w:t>
            </w:r>
            <w:r w:rsidR="00F3570F" w:rsidRPr="0081110E">
              <w:rPr>
                <w:sz w:val="25"/>
                <w:szCs w:val="25"/>
              </w:rPr>
              <w:t>Ziemas</w:t>
            </w:r>
            <w:r w:rsidR="00B206C4" w:rsidRPr="0081110E">
              <w:rPr>
                <w:sz w:val="25"/>
                <w:szCs w:val="25"/>
              </w:rPr>
              <w:t xml:space="preserve"> Universiādē </w:t>
            </w:r>
            <w:r w:rsidR="00F3570F" w:rsidRPr="0081110E">
              <w:rPr>
                <w:sz w:val="25"/>
                <w:szCs w:val="25"/>
              </w:rPr>
              <w:t>Trentīno</w:t>
            </w:r>
            <w:r w:rsidR="00B206C4" w:rsidRPr="0081110E">
              <w:rPr>
                <w:sz w:val="25"/>
                <w:szCs w:val="25"/>
              </w:rPr>
              <w:t xml:space="preserve"> (</w:t>
            </w:r>
            <w:r w:rsidR="00F3570F" w:rsidRPr="0081110E">
              <w:rPr>
                <w:sz w:val="25"/>
                <w:szCs w:val="25"/>
              </w:rPr>
              <w:t>Itālija</w:t>
            </w:r>
            <w:r w:rsidR="00B206C4" w:rsidRPr="0081110E">
              <w:rPr>
                <w:sz w:val="25"/>
                <w:szCs w:val="25"/>
              </w:rPr>
              <w:t>)</w:t>
            </w:r>
            <w:r w:rsidR="00403794" w:rsidRPr="0081110E">
              <w:rPr>
                <w:sz w:val="25"/>
                <w:szCs w:val="25"/>
              </w:rPr>
              <w:t xml:space="preserve"> no </w:t>
            </w:r>
            <w:r w:rsidR="00F3570F" w:rsidRPr="0081110E">
              <w:rPr>
                <w:sz w:val="25"/>
                <w:szCs w:val="25"/>
              </w:rPr>
              <w:t>10</w:t>
            </w:r>
            <w:r w:rsidR="002D40DF" w:rsidRPr="0081110E">
              <w:rPr>
                <w:sz w:val="25"/>
                <w:szCs w:val="25"/>
              </w:rPr>
              <w:t>.</w:t>
            </w:r>
            <w:r w:rsidR="00403794" w:rsidRPr="0081110E">
              <w:rPr>
                <w:sz w:val="25"/>
                <w:szCs w:val="25"/>
              </w:rPr>
              <w:t xml:space="preserve"> līdz </w:t>
            </w:r>
            <w:r w:rsidR="00F3570F" w:rsidRPr="0081110E">
              <w:rPr>
                <w:sz w:val="25"/>
                <w:szCs w:val="25"/>
              </w:rPr>
              <w:t>21</w:t>
            </w:r>
            <w:r w:rsidR="002D40DF" w:rsidRPr="0081110E">
              <w:rPr>
                <w:sz w:val="25"/>
                <w:szCs w:val="25"/>
              </w:rPr>
              <w:t>.</w:t>
            </w:r>
            <w:r w:rsidR="00F3570F" w:rsidRPr="0081110E">
              <w:rPr>
                <w:sz w:val="25"/>
                <w:szCs w:val="25"/>
              </w:rPr>
              <w:t>decembrim</w:t>
            </w:r>
            <w:r w:rsidR="008257D3" w:rsidRPr="0081110E">
              <w:rPr>
                <w:sz w:val="25"/>
                <w:szCs w:val="25"/>
              </w:rPr>
              <w:t>, un (2) biedrības „Latvijas Volejbola federācija” (turpmāk – LVF) finanšu pieprasījumu (2013.gada 19.jūlija vēstule Nr. 1-3/134, turpmāk LVF</w:t>
            </w:r>
            <w:r w:rsidR="00C3104E" w:rsidRPr="0081110E">
              <w:rPr>
                <w:sz w:val="25"/>
                <w:szCs w:val="25"/>
              </w:rPr>
              <w:t xml:space="preserve"> p</w:t>
            </w:r>
            <w:r w:rsidR="008257D3" w:rsidRPr="0081110E">
              <w:rPr>
                <w:sz w:val="25"/>
                <w:szCs w:val="25"/>
              </w:rPr>
              <w:t xml:space="preserve">ieprasījums), kurā  ministrijai tiek lūgts finansiāls atbalsts 29`197 latu apmērā, lai segtu izdevumus, kas saistīti ar  Latvijas nacionālās sieviešu volejbola izlases dalību 2014.gada pasaules čempionāta kvalifikācijas turnīrā Raananā (Izraēla) no 2. līdz 6.oktobrim. </w:t>
            </w:r>
            <w:r w:rsidR="00403794" w:rsidRPr="0081110E">
              <w:rPr>
                <w:sz w:val="25"/>
                <w:szCs w:val="25"/>
              </w:rPr>
              <w:t xml:space="preserve">  </w:t>
            </w:r>
            <w:r w:rsidR="0060231D" w:rsidRPr="0081110E">
              <w:rPr>
                <w:sz w:val="25"/>
                <w:szCs w:val="25"/>
              </w:rPr>
              <w:t xml:space="preserve"> </w:t>
            </w:r>
          </w:p>
          <w:p w:rsidR="00730CDA" w:rsidRPr="0081110E" w:rsidRDefault="00730CDA" w:rsidP="00730CDA">
            <w:pPr>
              <w:ind w:left="142" w:right="127"/>
              <w:jc w:val="both"/>
              <w:rPr>
                <w:sz w:val="25"/>
                <w:szCs w:val="25"/>
              </w:rPr>
            </w:pPr>
          </w:p>
          <w:p w:rsidR="00EE4748" w:rsidRPr="0081110E" w:rsidRDefault="00ED0ED2" w:rsidP="002B0072">
            <w:pPr>
              <w:ind w:left="142" w:right="141" w:firstLine="25"/>
              <w:jc w:val="both"/>
              <w:rPr>
                <w:sz w:val="25"/>
                <w:szCs w:val="25"/>
              </w:rPr>
            </w:pPr>
            <w:r w:rsidRPr="0081110E">
              <w:rPr>
                <w:sz w:val="25"/>
                <w:szCs w:val="25"/>
              </w:rPr>
              <w:t>Ar ministrijas 2013.gada 10.marta rīkojumu Nr.14 „Par Izglītības un zinātnes ministrijas 2013.gada valsts budžeta programmas 09.00.00 „Sports” apakšprogrammas 09.21.00 „Augstas klases sasniegumu sports” līdzekļu sadalījumu</w:t>
            </w:r>
            <w:r w:rsidR="00020924" w:rsidRPr="0081110E">
              <w:rPr>
                <w:sz w:val="25"/>
                <w:szCs w:val="25"/>
              </w:rPr>
              <w:t>”</w:t>
            </w:r>
            <w:r w:rsidRPr="0081110E">
              <w:rPr>
                <w:sz w:val="25"/>
                <w:szCs w:val="25"/>
              </w:rPr>
              <w:t xml:space="preserve"> biedrībai „Latvijas Sporta federāciju padome” tika piešķirts </w:t>
            </w:r>
            <w:r w:rsidRPr="0081110E">
              <w:rPr>
                <w:sz w:val="25"/>
                <w:szCs w:val="25"/>
              </w:rPr>
              <w:lastRenderedPageBreak/>
              <w:t>valsts budžeta finansējums 9`000 latu apmērā</w:t>
            </w:r>
            <w:r w:rsidR="001643CF" w:rsidRPr="0081110E">
              <w:rPr>
                <w:sz w:val="25"/>
                <w:szCs w:val="25"/>
              </w:rPr>
              <w:t xml:space="preserve"> ar dalību 2013.gada pasaules Ziemas un 2013.gada pasaules Vasaras Universiādē saistīto izdevumu segšanai</w:t>
            </w:r>
            <w:r w:rsidR="00DF040B">
              <w:rPr>
                <w:sz w:val="25"/>
                <w:szCs w:val="25"/>
              </w:rPr>
              <w:t xml:space="preserve">. Papildus ir norādāms, ka </w:t>
            </w:r>
            <w:r w:rsidR="006F54D6">
              <w:rPr>
                <w:sz w:val="25"/>
                <w:szCs w:val="25"/>
              </w:rPr>
              <w:t xml:space="preserve">minētie </w:t>
            </w:r>
            <w:r w:rsidR="0081110E">
              <w:rPr>
                <w:sz w:val="25"/>
                <w:szCs w:val="25"/>
              </w:rPr>
              <w:t>9`000 lati</w:t>
            </w:r>
            <w:r w:rsidR="00FA4E62" w:rsidRPr="0081110E">
              <w:rPr>
                <w:sz w:val="25"/>
                <w:szCs w:val="25"/>
              </w:rPr>
              <w:t xml:space="preserve"> </w:t>
            </w:r>
            <w:r w:rsidR="006F54D6">
              <w:rPr>
                <w:sz w:val="25"/>
                <w:szCs w:val="25"/>
              </w:rPr>
              <w:t xml:space="preserve">tika </w:t>
            </w:r>
            <w:r w:rsidR="00FA4E62" w:rsidRPr="0081110E">
              <w:rPr>
                <w:sz w:val="25"/>
                <w:szCs w:val="25"/>
              </w:rPr>
              <w:t>novirz</w:t>
            </w:r>
            <w:r w:rsidR="0081110E">
              <w:rPr>
                <w:sz w:val="25"/>
                <w:szCs w:val="25"/>
              </w:rPr>
              <w:t>īti</w:t>
            </w:r>
            <w:r w:rsidR="00FA4E62" w:rsidRPr="0081110E">
              <w:rPr>
                <w:sz w:val="25"/>
                <w:szCs w:val="25"/>
              </w:rPr>
              <w:t xml:space="preserve"> </w:t>
            </w:r>
            <w:r w:rsidR="00DF040B">
              <w:rPr>
                <w:sz w:val="25"/>
                <w:szCs w:val="25"/>
              </w:rPr>
              <w:t xml:space="preserve">izmaksām, kas saistītas ar </w:t>
            </w:r>
            <w:r w:rsidR="006F54D6">
              <w:rPr>
                <w:sz w:val="25"/>
                <w:szCs w:val="25"/>
              </w:rPr>
              <w:t xml:space="preserve">Latvijas izlases </w:t>
            </w:r>
            <w:r w:rsidR="00DF040B">
              <w:rPr>
                <w:sz w:val="25"/>
                <w:szCs w:val="25"/>
              </w:rPr>
              <w:t>dalību</w:t>
            </w:r>
            <w:r w:rsidR="007A7C28" w:rsidRPr="0081110E">
              <w:rPr>
                <w:sz w:val="25"/>
                <w:szCs w:val="25"/>
              </w:rPr>
              <w:t xml:space="preserve"> </w:t>
            </w:r>
            <w:r w:rsidR="00FA4E62" w:rsidRPr="0081110E">
              <w:rPr>
                <w:sz w:val="25"/>
                <w:szCs w:val="25"/>
              </w:rPr>
              <w:t>2013.gada pasaules Vasaras Universiād</w:t>
            </w:r>
            <w:r w:rsidR="007A7C28" w:rsidRPr="0081110E">
              <w:rPr>
                <w:sz w:val="25"/>
                <w:szCs w:val="25"/>
              </w:rPr>
              <w:t>ē</w:t>
            </w:r>
            <w:r w:rsidR="006F54D6">
              <w:rPr>
                <w:sz w:val="25"/>
                <w:szCs w:val="25"/>
              </w:rPr>
              <w:t xml:space="preserve"> Kazaņā (Krievija)</w:t>
            </w:r>
            <w:r w:rsidR="007A7C28" w:rsidRPr="0081110E">
              <w:rPr>
                <w:sz w:val="25"/>
                <w:szCs w:val="25"/>
              </w:rPr>
              <w:t>.</w:t>
            </w:r>
            <w:r w:rsidR="00DF040B">
              <w:rPr>
                <w:sz w:val="25"/>
                <w:szCs w:val="25"/>
              </w:rPr>
              <w:t xml:space="preserve"> Šim mērķim LASS </w:t>
            </w:r>
            <w:r w:rsidR="00DF040B" w:rsidRPr="0081110E">
              <w:rPr>
                <w:sz w:val="25"/>
                <w:szCs w:val="25"/>
              </w:rPr>
              <w:t>saistībā ar</w:t>
            </w:r>
            <w:r w:rsidR="00DF040B">
              <w:rPr>
                <w:sz w:val="25"/>
                <w:szCs w:val="25"/>
              </w:rPr>
              <w:t xml:space="preserve"> </w:t>
            </w:r>
            <w:r w:rsidR="00DF040B" w:rsidRPr="0081110E">
              <w:rPr>
                <w:sz w:val="25"/>
                <w:szCs w:val="25"/>
              </w:rPr>
              <w:t>Latvijas delegācijas sast</w:t>
            </w:r>
            <w:r w:rsidR="00DF040B">
              <w:rPr>
                <w:sz w:val="25"/>
                <w:szCs w:val="25"/>
              </w:rPr>
              <w:t>āva palielināšanu</w:t>
            </w:r>
            <w:r w:rsidR="006F54D6">
              <w:rPr>
                <w:sz w:val="25"/>
                <w:szCs w:val="25"/>
              </w:rPr>
              <w:t xml:space="preserve">, iekļaujot tajā arī </w:t>
            </w:r>
            <w:r w:rsidR="006F54D6">
              <w:t xml:space="preserve"> </w:t>
            </w:r>
            <w:r w:rsidR="006F54D6" w:rsidRPr="006F54D6">
              <w:rPr>
                <w:sz w:val="25"/>
                <w:szCs w:val="25"/>
              </w:rPr>
              <w:t>Latvijas vīriešu handbola izlasi un Latvijas vīriešu regbija izlasi</w:t>
            </w:r>
            <w:r w:rsidR="006F54D6">
              <w:rPr>
                <w:sz w:val="25"/>
                <w:szCs w:val="25"/>
              </w:rPr>
              <w:t>, ar Ministru kabineta 2013.gada 29.maija rīkojumu Nr.211 „</w:t>
            </w:r>
            <w:r w:rsidR="006F54D6" w:rsidRPr="006F54D6">
              <w:rPr>
                <w:sz w:val="25"/>
                <w:szCs w:val="25"/>
              </w:rPr>
              <w:t>Par finanšu līdzekļu piešķiršan</w:t>
            </w:r>
            <w:r w:rsidR="006F54D6">
              <w:rPr>
                <w:sz w:val="25"/>
                <w:szCs w:val="25"/>
              </w:rPr>
              <w:t>u no valsts budžeta programmas „</w:t>
            </w:r>
            <w:r w:rsidR="006F54D6" w:rsidRPr="006F54D6">
              <w:rPr>
                <w:sz w:val="25"/>
                <w:szCs w:val="25"/>
              </w:rPr>
              <w:t>Lī</w:t>
            </w:r>
            <w:r w:rsidR="006F54D6">
              <w:rPr>
                <w:sz w:val="25"/>
                <w:szCs w:val="25"/>
              </w:rPr>
              <w:t>dzekļi neparedzētiem gadījumiem”” tika piešķirts finansējums 10`000 latu apmēr</w:t>
            </w:r>
            <w:r w:rsidR="002B0072">
              <w:rPr>
                <w:sz w:val="25"/>
                <w:szCs w:val="25"/>
              </w:rPr>
              <w:t xml:space="preserve">ā. </w:t>
            </w:r>
            <w:r w:rsidR="00AA3C86" w:rsidRPr="0081110E">
              <w:rPr>
                <w:sz w:val="25"/>
                <w:szCs w:val="25"/>
              </w:rPr>
              <w:t>Tāpat</w:t>
            </w:r>
            <w:r w:rsidR="00556CF1" w:rsidRPr="0081110E">
              <w:rPr>
                <w:sz w:val="25"/>
                <w:szCs w:val="25"/>
              </w:rPr>
              <w:t xml:space="preserve"> valsts finansiālais atbalsts </w:t>
            </w:r>
            <w:r w:rsidR="00264CAF" w:rsidRPr="0081110E">
              <w:rPr>
                <w:sz w:val="25"/>
                <w:szCs w:val="25"/>
              </w:rPr>
              <w:t>15`000</w:t>
            </w:r>
            <w:r w:rsidR="00556CF1" w:rsidRPr="0081110E">
              <w:rPr>
                <w:sz w:val="25"/>
                <w:szCs w:val="25"/>
              </w:rPr>
              <w:t xml:space="preserve"> latu apmērā (t.sk. 5`000 latu 2013.gada pasaules Ziemas Universiādei)</w:t>
            </w:r>
            <w:r w:rsidRPr="0081110E">
              <w:rPr>
                <w:sz w:val="25"/>
                <w:szCs w:val="25"/>
              </w:rPr>
              <w:t xml:space="preserve"> </w:t>
            </w:r>
            <w:r w:rsidR="001643CF" w:rsidRPr="0081110E">
              <w:rPr>
                <w:sz w:val="25"/>
                <w:szCs w:val="25"/>
              </w:rPr>
              <w:t>LASS</w:t>
            </w:r>
            <w:r w:rsidRPr="0081110E">
              <w:rPr>
                <w:sz w:val="25"/>
                <w:szCs w:val="25"/>
              </w:rPr>
              <w:t xml:space="preserve"> </w:t>
            </w:r>
            <w:r w:rsidR="001643CF" w:rsidRPr="0081110E">
              <w:rPr>
                <w:sz w:val="25"/>
                <w:szCs w:val="25"/>
              </w:rPr>
              <w:t>darbības nodrošināšanai 2013</w:t>
            </w:r>
            <w:r w:rsidRPr="0081110E">
              <w:rPr>
                <w:sz w:val="25"/>
                <w:szCs w:val="25"/>
              </w:rPr>
              <w:t>.gadā ir ticis piešķirts no biedrībai „Latvijas Sporta federāciju pado</w:t>
            </w:r>
            <w:r w:rsidR="0093066B" w:rsidRPr="0081110E">
              <w:rPr>
                <w:sz w:val="25"/>
                <w:szCs w:val="25"/>
              </w:rPr>
              <w:t>me”</w:t>
            </w:r>
            <w:r w:rsidR="00B021BF" w:rsidRPr="0081110E">
              <w:rPr>
                <w:sz w:val="25"/>
                <w:szCs w:val="25"/>
              </w:rPr>
              <w:t xml:space="preserve"> (turpmāk – LSFP)</w:t>
            </w:r>
            <w:r w:rsidR="0093066B" w:rsidRPr="0081110E">
              <w:rPr>
                <w:sz w:val="25"/>
                <w:szCs w:val="25"/>
              </w:rPr>
              <w:t xml:space="preserve"> piešķirtās valsts dotācijas </w:t>
            </w:r>
            <w:r w:rsidR="00A74AE1" w:rsidRPr="0081110E">
              <w:rPr>
                <w:sz w:val="25"/>
                <w:szCs w:val="25"/>
              </w:rPr>
              <w:t>(</w:t>
            </w:r>
            <w:r w:rsidR="0093066B" w:rsidRPr="0081110E">
              <w:rPr>
                <w:sz w:val="25"/>
                <w:szCs w:val="25"/>
              </w:rPr>
              <w:t>ministrij</w:t>
            </w:r>
            <w:r w:rsidR="00020924" w:rsidRPr="0081110E">
              <w:rPr>
                <w:sz w:val="25"/>
                <w:szCs w:val="25"/>
              </w:rPr>
              <w:t>as 2013.gada 10.janvāra rīkojums</w:t>
            </w:r>
            <w:r w:rsidR="0093066B" w:rsidRPr="0081110E">
              <w:rPr>
                <w:sz w:val="25"/>
                <w:szCs w:val="25"/>
              </w:rPr>
              <w:t xml:space="preserve"> Nr.12  „Par Izglītības un zinātnes ministrijas 2013.gada valsts budžeta programmas 09.00.00 „Sports” apakšprogrammas 09.09.00 „Sporta federācijas un sporta pasākumi” līdzekļu sadalījumu”</w:t>
            </w:r>
            <w:r w:rsidR="00A74AE1" w:rsidRPr="0081110E">
              <w:rPr>
                <w:sz w:val="25"/>
                <w:szCs w:val="25"/>
              </w:rPr>
              <w:t>)</w:t>
            </w:r>
            <w:r w:rsidR="0093066B" w:rsidRPr="0081110E">
              <w:rPr>
                <w:sz w:val="25"/>
                <w:szCs w:val="25"/>
              </w:rPr>
              <w:t>.</w:t>
            </w:r>
            <w:r w:rsidRPr="0081110E">
              <w:rPr>
                <w:sz w:val="25"/>
                <w:szCs w:val="25"/>
              </w:rPr>
              <w:t xml:space="preserve"> </w:t>
            </w:r>
            <w:r w:rsidR="0093066B" w:rsidRPr="0081110E">
              <w:rPr>
                <w:sz w:val="25"/>
                <w:szCs w:val="25"/>
              </w:rPr>
              <w:t>Ņ</w:t>
            </w:r>
            <w:r w:rsidRPr="0081110E">
              <w:rPr>
                <w:sz w:val="25"/>
                <w:szCs w:val="25"/>
              </w:rPr>
              <w:t xml:space="preserve">emot vērā faktu, ka </w:t>
            </w:r>
            <w:r w:rsidR="00C3104E" w:rsidRPr="0081110E">
              <w:rPr>
                <w:sz w:val="25"/>
                <w:szCs w:val="25"/>
              </w:rPr>
              <w:t>LASS piešķirtie</w:t>
            </w:r>
            <w:r w:rsidRPr="0081110E">
              <w:rPr>
                <w:sz w:val="25"/>
                <w:szCs w:val="25"/>
              </w:rPr>
              <w:t xml:space="preserve"> līdzekļi</w:t>
            </w:r>
            <w:r w:rsidR="00C3104E" w:rsidRPr="0081110E">
              <w:rPr>
                <w:sz w:val="25"/>
                <w:szCs w:val="25"/>
              </w:rPr>
              <w:t xml:space="preserve"> ir paredzēti arī citu izmaksu segšanai</w:t>
            </w:r>
            <w:r w:rsidRPr="0081110E">
              <w:rPr>
                <w:sz w:val="25"/>
                <w:szCs w:val="25"/>
              </w:rPr>
              <w:t xml:space="preserve">, tie </w:t>
            </w:r>
            <w:r w:rsidR="00C3104E" w:rsidRPr="0081110E">
              <w:rPr>
                <w:sz w:val="25"/>
                <w:szCs w:val="25"/>
              </w:rPr>
              <w:t>tikai daļēji sedz LASS pieprasījumu</w:t>
            </w:r>
            <w:r w:rsidR="00B57455" w:rsidRPr="0081110E">
              <w:rPr>
                <w:sz w:val="25"/>
                <w:szCs w:val="25"/>
              </w:rPr>
              <w:t>.</w:t>
            </w:r>
            <w:r w:rsidR="00D5519C" w:rsidRPr="0081110E">
              <w:rPr>
                <w:sz w:val="25"/>
                <w:szCs w:val="25"/>
              </w:rPr>
              <w:t xml:space="preserve">  Vienlaikus ir norādāms, ka LASS finanšu pieprasījums 2013.gadam </w:t>
            </w:r>
            <w:r w:rsidR="0081110E">
              <w:rPr>
                <w:sz w:val="25"/>
                <w:szCs w:val="25"/>
              </w:rPr>
              <w:t xml:space="preserve">dažādu </w:t>
            </w:r>
            <w:r w:rsidR="00D5519C" w:rsidRPr="0081110E">
              <w:rPr>
                <w:sz w:val="25"/>
                <w:szCs w:val="25"/>
              </w:rPr>
              <w:t>programmu un pasākumu īstenošanai bija 70`354 latu apmērā.</w:t>
            </w:r>
          </w:p>
          <w:p w:rsidR="00C3104E" w:rsidRPr="0081110E" w:rsidRDefault="00C3104E" w:rsidP="00A74AE1">
            <w:pPr>
              <w:ind w:left="142" w:right="141" w:firstLine="25"/>
              <w:jc w:val="both"/>
              <w:rPr>
                <w:sz w:val="25"/>
                <w:szCs w:val="25"/>
              </w:rPr>
            </w:pPr>
          </w:p>
          <w:p w:rsidR="00796A21" w:rsidRPr="0081110E" w:rsidRDefault="00C3104E" w:rsidP="00D74F94">
            <w:pPr>
              <w:ind w:left="142" w:right="141" w:firstLine="25"/>
              <w:jc w:val="both"/>
              <w:rPr>
                <w:sz w:val="25"/>
                <w:szCs w:val="25"/>
              </w:rPr>
            </w:pPr>
            <w:r w:rsidRPr="0081110E">
              <w:rPr>
                <w:sz w:val="25"/>
                <w:szCs w:val="25"/>
              </w:rPr>
              <w:t>Saskaņā ar Sporta likuma 13.panta piekto daļu valsts finansiāli nodrošina valsts izlases komandu sporta spēlēs sagatavošanos un piedalīšanos Eiropas un pasaules čempionātu un Olimpisko spēļu atlases turnīros un finālsacensībās Ministru kabineta noteiktajā kārtībā. Minētā kārtība ir noteikta Ministru kabineta 2009.gada 28.jūlija noteikumos Nr.819 „Kārtība, kādā valsts finansiāli nodrošina valsts izlases komandu sporta spēlēs sagatavošanos un piedalīšanos Eiropas un pasaules čempionātu un olimpisko spēļu atlases turnīros un finālsacensībās”. Finansējuma avots, lai nodrošinātu valsts izlases komandu sporta spēlēs gatavošanos un piedalīšanos  Eiropas un pasaules čempionātu un olimpisko spēļu atlases turnīros un finālsacensībās, ir ministrijas valsts budžeta programmas 09.00.00 „Sports” apakšprogramma 09.17.00 „Dotācija komandu sporta spēļu izlašu nodrošināšanai”. Ar ministrijas 201</w:t>
            </w:r>
            <w:r w:rsidR="001E353A" w:rsidRPr="0081110E">
              <w:rPr>
                <w:sz w:val="25"/>
                <w:szCs w:val="25"/>
              </w:rPr>
              <w:t>3</w:t>
            </w:r>
            <w:r w:rsidRPr="0081110E">
              <w:rPr>
                <w:sz w:val="25"/>
                <w:szCs w:val="25"/>
              </w:rPr>
              <w:t xml:space="preserve">.gada </w:t>
            </w:r>
            <w:r w:rsidR="001E353A" w:rsidRPr="0081110E">
              <w:rPr>
                <w:sz w:val="25"/>
                <w:szCs w:val="25"/>
              </w:rPr>
              <w:t>6.februāra</w:t>
            </w:r>
            <w:r w:rsidRPr="0081110E">
              <w:rPr>
                <w:sz w:val="25"/>
                <w:szCs w:val="25"/>
              </w:rPr>
              <w:t xml:space="preserve"> lēmumu Nr.</w:t>
            </w:r>
            <w:r w:rsidR="001E353A" w:rsidRPr="0081110E">
              <w:rPr>
                <w:sz w:val="25"/>
                <w:szCs w:val="25"/>
              </w:rPr>
              <w:t>01-09.4/21</w:t>
            </w:r>
            <w:r w:rsidRPr="0081110E">
              <w:rPr>
                <w:sz w:val="25"/>
                <w:szCs w:val="25"/>
              </w:rPr>
              <w:t xml:space="preserve"> </w:t>
            </w:r>
            <w:r w:rsidR="001E353A" w:rsidRPr="0081110E">
              <w:rPr>
                <w:sz w:val="25"/>
                <w:szCs w:val="25"/>
              </w:rPr>
              <w:t>LVF</w:t>
            </w:r>
            <w:r w:rsidRPr="0081110E">
              <w:rPr>
                <w:sz w:val="25"/>
                <w:szCs w:val="25"/>
              </w:rPr>
              <w:t xml:space="preserve"> no ministrijas 201</w:t>
            </w:r>
            <w:r w:rsidR="001E353A" w:rsidRPr="0081110E">
              <w:rPr>
                <w:sz w:val="25"/>
                <w:szCs w:val="25"/>
              </w:rPr>
              <w:t>3</w:t>
            </w:r>
            <w:r w:rsidRPr="0081110E">
              <w:rPr>
                <w:sz w:val="25"/>
                <w:szCs w:val="25"/>
              </w:rPr>
              <w:t xml:space="preserve">.gada valsts budžeta programmas 09.00.00 „Sports” apakšprogrammas </w:t>
            </w:r>
            <w:r w:rsidR="001E353A" w:rsidRPr="0081110E">
              <w:rPr>
                <w:sz w:val="25"/>
                <w:szCs w:val="25"/>
              </w:rPr>
              <w:t>09.17.00 „Dotācija komandu sporta spēļu izlašu nodrošināšanai”</w:t>
            </w:r>
            <w:r w:rsidRPr="0081110E">
              <w:rPr>
                <w:sz w:val="25"/>
                <w:szCs w:val="25"/>
              </w:rPr>
              <w:t xml:space="preserve"> visu </w:t>
            </w:r>
            <w:r w:rsidR="0081110E">
              <w:rPr>
                <w:sz w:val="25"/>
                <w:szCs w:val="25"/>
              </w:rPr>
              <w:t>volejbola</w:t>
            </w:r>
            <w:r w:rsidRPr="0081110E">
              <w:rPr>
                <w:sz w:val="25"/>
                <w:szCs w:val="25"/>
              </w:rPr>
              <w:t xml:space="preserve"> izlašu (jauniešu, junioru un pieaugušo) darbības nodrošināšanai tika piešķirts finansējums </w:t>
            </w:r>
            <w:r w:rsidR="00E85789" w:rsidRPr="0081110E">
              <w:rPr>
                <w:sz w:val="25"/>
                <w:szCs w:val="25"/>
              </w:rPr>
              <w:t>63`</w:t>
            </w:r>
            <w:r w:rsidR="001E353A" w:rsidRPr="0081110E">
              <w:rPr>
                <w:sz w:val="25"/>
                <w:szCs w:val="25"/>
              </w:rPr>
              <w:t>562</w:t>
            </w:r>
            <w:r w:rsidRPr="0081110E">
              <w:rPr>
                <w:sz w:val="25"/>
                <w:szCs w:val="25"/>
              </w:rPr>
              <w:t xml:space="preserve"> latu apmērā. Vienlaikus ir norādāms, ka L</w:t>
            </w:r>
            <w:r w:rsidR="001423E5" w:rsidRPr="0081110E">
              <w:rPr>
                <w:sz w:val="25"/>
                <w:szCs w:val="25"/>
              </w:rPr>
              <w:t>VF</w:t>
            </w:r>
            <w:r w:rsidRPr="0081110E">
              <w:rPr>
                <w:sz w:val="25"/>
                <w:szCs w:val="25"/>
              </w:rPr>
              <w:t xml:space="preserve"> finanšu pieprasījums 201</w:t>
            </w:r>
            <w:r w:rsidR="001E353A" w:rsidRPr="0081110E">
              <w:rPr>
                <w:sz w:val="25"/>
                <w:szCs w:val="25"/>
              </w:rPr>
              <w:t>3</w:t>
            </w:r>
            <w:r w:rsidRPr="0081110E">
              <w:rPr>
                <w:sz w:val="25"/>
                <w:szCs w:val="25"/>
              </w:rPr>
              <w:t xml:space="preserve">.gadam visu </w:t>
            </w:r>
            <w:r w:rsidR="001423E5" w:rsidRPr="0081110E">
              <w:rPr>
                <w:sz w:val="25"/>
                <w:szCs w:val="25"/>
              </w:rPr>
              <w:t>volejbola</w:t>
            </w:r>
            <w:r w:rsidRPr="0081110E">
              <w:rPr>
                <w:sz w:val="25"/>
                <w:szCs w:val="25"/>
              </w:rPr>
              <w:t xml:space="preserve"> izlašu (jauniešu, </w:t>
            </w:r>
            <w:r w:rsidRPr="0081110E">
              <w:rPr>
                <w:sz w:val="25"/>
                <w:szCs w:val="25"/>
              </w:rPr>
              <w:lastRenderedPageBreak/>
              <w:t xml:space="preserve">junioru un pieaugušo) darbības nodrošināšanai bija </w:t>
            </w:r>
            <w:r w:rsidR="001E353A" w:rsidRPr="0081110E">
              <w:rPr>
                <w:sz w:val="25"/>
                <w:szCs w:val="25"/>
              </w:rPr>
              <w:t>240`300 latu apmērā.</w:t>
            </w:r>
            <w:r w:rsidR="001423E5" w:rsidRPr="0081110E">
              <w:rPr>
                <w:sz w:val="25"/>
                <w:szCs w:val="25"/>
              </w:rPr>
              <w:t xml:space="preserve"> Papildus minētam</w:t>
            </w:r>
            <w:r w:rsidR="00796A21" w:rsidRPr="0081110E">
              <w:rPr>
                <w:sz w:val="25"/>
                <w:szCs w:val="25"/>
              </w:rPr>
              <w:t xml:space="preserve"> valsts budžeta finansējums LVF darbības nodrošināšanai  ir ticis piešķirts arī no </w:t>
            </w:r>
            <w:r w:rsidR="0081110E">
              <w:rPr>
                <w:sz w:val="25"/>
                <w:szCs w:val="25"/>
              </w:rPr>
              <w:t>LSFP</w:t>
            </w:r>
            <w:r w:rsidR="00796A21" w:rsidRPr="0081110E">
              <w:rPr>
                <w:sz w:val="25"/>
                <w:szCs w:val="25"/>
              </w:rPr>
              <w:t xml:space="preserve"> piešķirtajiem </w:t>
            </w:r>
            <w:r w:rsidR="00B021BF" w:rsidRPr="0081110E">
              <w:rPr>
                <w:sz w:val="25"/>
                <w:szCs w:val="25"/>
              </w:rPr>
              <w:t xml:space="preserve">valsts budžeta </w:t>
            </w:r>
            <w:r w:rsidR="00796A21" w:rsidRPr="0081110E">
              <w:rPr>
                <w:sz w:val="25"/>
                <w:szCs w:val="25"/>
              </w:rPr>
              <w:t>līdzekļiem</w:t>
            </w:r>
            <w:r w:rsidR="00B021BF" w:rsidRPr="0081110E">
              <w:rPr>
                <w:sz w:val="25"/>
                <w:szCs w:val="25"/>
              </w:rPr>
              <w:t xml:space="preserve">, kuri paredzēti </w:t>
            </w:r>
            <w:r w:rsidR="00796A21" w:rsidRPr="0081110E">
              <w:rPr>
                <w:sz w:val="25"/>
                <w:szCs w:val="25"/>
              </w:rPr>
              <w:t xml:space="preserve">sadalei atzītajām sporta federācijām atbilstoši LSFP izstrādātiem un ar ministriju saskaņotiem kritērijiem. </w:t>
            </w:r>
            <w:r w:rsidR="001423E5" w:rsidRPr="0081110E">
              <w:rPr>
                <w:sz w:val="25"/>
                <w:szCs w:val="25"/>
              </w:rPr>
              <w:t xml:space="preserve"> </w:t>
            </w:r>
            <w:r w:rsidR="00796A21" w:rsidRPr="0081110E">
              <w:rPr>
                <w:sz w:val="25"/>
                <w:szCs w:val="25"/>
              </w:rPr>
              <w:t xml:space="preserve">Pamatojoties uz LSFP valdes 2013.gada 13.februāra sēdē nolemto (prot. Nr.2, 2.1. un 2.2. apakšpunkts), LSFP prezidents A.Kalniņš 2013.gada 26.februārī apstiprināja LSFP piešķirtās dotācijas </w:t>
            </w:r>
            <w:r w:rsidR="00B021BF" w:rsidRPr="0081110E">
              <w:rPr>
                <w:sz w:val="25"/>
                <w:szCs w:val="25"/>
              </w:rPr>
              <w:t>sadalījumu, saskaņā ar kuru</w:t>
            </w:r>
            <w:r w:rsidR="00796A21" w:rsidRPr="0081110E">
              <w:rPr>
                <w:sz w:val="25"/>
                <w:szCs w:val="25"/>
              </w:rPr>
              <w:t xml:space="preserve"> L</w:t>
            </w:r>
            <w:r w:rsidR="00B021BF" w:rsidRPr="0081110E">
              <w:rPr>
                <w:sz w:val="25"/>
                <w:szCs w:val="25"/>
              </w:rPr>
              <w:t>V</w:t>
            </w:r>
            <w:r w:rsidR="00796A21" w:rsidRPr="0081110E">
              <w:rPr>
                <w:sz w:val="25"/>
                <w:szCs w:val="25"/>
              </w:rPr>
              <w:t>F</w:t>
            </w:r>
            <w:r w:rsidR="00B021BF" w:rsidRPr="0081110E">
              <w:rPr>
                <w:sz w:val="25"/>
                <w:szCs w:val="25"/>
              </w:rPr>
              <w:t xml:space="preserve"> (1)</w:t>
            </w:r>
            <w:r w:rsidR="00796A21" w:rsidRPr="0081110E">
              <w:rPr>
                <w:sz w:val="25"/>
                <w:szCs w:val="25"/>
              </w:rPr>
              <w:t xml:space="preserve"> tika piešķirta dotācija </w:t>
            </w:r>
            <w:r w:rsidR="00B021BF" w:rsidRPr="0081110E">
              <w:rPr>
                <w:sz w:val="25"/>
                <w:szCs w:val="25"/>
              </w:rPr>
              <w:t>11</w:t>
            </w:r>
            <w:r w:rsidR="00796A21" w:rsidRPr="0081110E">
              <w:rPr>
                <w:sz w:val="25"/>
                <w:szCs w:val="25"/>
              </w:rPr>
              <w:t>`</w:t>
            </w:r>
            <w:r w:rsidR="00B021BF" w:rsidRPr="0081110E">
              <w:rPr>
                <w:sz w:val="25"/>
                <w:szCs w:val="25"/>
              </w:rPr>
              <w:t>662</w:t>
            </w:r>
            <w:r w:rsidR="00796A21" w:rsidRPr="0081110E">
              <w:rPr>
                <w:sz w:val="25"/>
                <w:szCs w:val="25"/>
              </w:rPr>
              <w:t xml:space="preserve"> latu apmēra, ievērojot LSFP aktivitāšu un augstu sasniegumu sporta kritērijus; (2) </w:t>
            </w:r>
            <w:r w:rsidR="00B021BF" w:rsidRPr="0081110E">
              <w:rPr>
                <w:sz w:val="25"/>
                <w:szCs w:val="25"/>
              </w:rPr>
              <w:t>dotācija 9`438 latu apmērā</w:t>
            </w:r>
            <w:r w:rsidR="00796A21" w:rsidRPr="0081110E">
              <w:rPr>
                <w:sz w:val="25"/>
                <w:szCs w:val="25"/>
              </w:rPr>
              <w:t xml:space="preserve">, ievērojot LSFP kritērijus pasaules un Eiropas mēroga sacensību </w:t>
            </w:r>
            <w:r w:rsidR="00B021BF" w:rsidRPr="0081110E">
              <w:rPr>
                <w:sz w:val="25"/>
                <w:szCs w:val="25"/>
              </w:rPr>
              <w:t>rīkošanai Latvijā 2013.gadā. Ņemot vērā faktu, ka minētie līdzekļi izmantojami dažādu LVF programmu un pasākumu īstenošanai, tie nav uzskatāmi par iezīmētu mērķfinansējumu LVF pieprasījumā norādītajam mērķim.</w:t>
            </w:r>
          </w:p>
          <w:p w:rsidR="00D74F94" w:rsidRPr="0081110E" w:rsidRDefault="00D74F94" w:rsidP="00D74F94">
            <w:pPr>
              <w:ind w:right="141"/>
              <w:jc w:val="both"/>
              <w:rPr>
                <w:sz w:val="25"/>
                <w:szCs w:val="25"/>
              </w:rPr>
            </w:pPr>
          </w:p>
          <w:p w:rsidR="00DD6BBF" w:rsidRPr="0081110E" w:rsidRDefault="00D74F94" w:rsidP="00D74F94">
            <w:pPr>
              <w:ind w:left="142" w:right="141" w:hanging="142"/>
              <w:jc w:val="both"/>
              <w:rPr>
                <w:sz w:val="25"/>
                <w:szCs w:val="25"/>
              </w:rPr>
            </w:pPr>
            <w:r w:rsidRPr="0081110E">
              <w:rPr>
                <w:sz w:val="25"/>
                <w:szCs w:val="25"/>
              </w:rPr>
              <w:t xml:space="preserve">  </w:t>
            </w:r>
            <w:r w:rsidR="00DD6BBF" w:rsidRPr="0081110E">
              <w:rPr>
                <w:sz w:val="25"/>
                <w:szCs w:val="25"/>
              </w:rPr>
              <w:t xml:space="preserve">Izvērtējot LASS pieprasījumu,  neparedzētā gadījuma attiecināšana pamatojama ar faktu, ka LASS, </w:t>
            </w:r>
            <w:r w:rsidR="00417C9F" w:rsidRPr="0081110E">
              <w:rPr>
                <w:sz w:val="25"/>
                <w:szCs w:val="25"/>
              </w:rPr>
              <w:t xml:space="preserve">2012.gadā </w:t>
            </w:r>
            <w:r w:rsidR="00250560">
              <w:rPr>
                <w:sz w:val="25"/>
                <w:szCs w:val="25"/>
              </w:rPr>
              <w:t>plānojot</w:t>
            </w:r>
            <w:r w:rsidR="00625349">
              <w:rPr>
                <w:sz w:val="25"/>
                <w:szCs w:val="25"/>
              </w:rPr>
              <w:t xml:space="preserve"> izdevumus, kas saistīti ar</w:t>
            </w:r>
            <w:r w:rsidR="00DB3473" w:rsidRPr="0081110E">
              <w:rPr>
                <w:sz w:val="25"/>
                <w:szCs w:val="25"/>
              </w:rPr>
              <w:t xml:space="preserve"> Latvijas </w:t>
            </w:r>
            <w:r w:rsidR="00250560">
              <w:rPr>
                <w:sz w:val="25"/>
                <w:szCs w:val="25"/>
              </w:rPr>
              <w:t>delegācijas</w:t>
            </w:r>
            <w:r w:rsidR="00DB3473" w:rsidRPr="0081110E">
              <w:rPr>
                <w:sz w:val="25"/>
                <w:szCs w:val="25"/>
              </w:rPr>
              <w:t xml:space="preserve"> </w:t>
            </w:r>
            <w:r w:rsidR="00DA266F">
              <w:rPr>
                <w:sz w:val="25"/>
                <w:szCs w:val="25"/>
              </w:rPr>
              <w:t xml:space="preserve">sagatavošanos un </w:t>
            </w:r>
            <w:r w:rsidR="00250560">
              <w:rPr>
                <w:sz w:val="25"/>
                <w:szCs w:val="25"/>
              </w:rPr>
              <w:t>dalību</w:t>
            </w:r>
            <w:r w:rsidR="00DB3473" w:rsidRPr="0081110E">
              <w:rPr>
                <w:sz w:val="25"/>
                <w:szCs w:val="25"/>
              </w:rPr>
              <w:t xml:space="preserve"> 2013.gada  pasaules </w:t>
            </w:r>
            <w:r w:rsidR="007E7B36" w:rsidRPr="0081110E">
              <w:rPr>
                <w:sz w:val="25"/>
                <w:szCs w:val="25"/>
              </w:rPr>
              <w:t>Ziemas</w:t>
            </w:r>
            <w:r w:rsidR="00250560">
              <w:rPr>
                <w:sz w:val="25"/>
                <w:szCs w:val="25"/>
              </w:rPr>
              <w:t xml:space="preserve"> Universiādē </w:t>
            </w:r>
            <w:r w:rsidR="003465DD">
              <w:rPr>
                <w:sz w:val="25"/>
                <w:szCs w:val="25"/>
              </w:rPr>
              <w:t>(</w:t>
            </w:r>
            <w:r w:rsidR="007E7B36" w:rsidRPr="0081110E">
              <w:rPr>
                <w:sz w:val="25"/>
                <w:szCs w:val="25"/>
              </w:rPr>
              <w:t>un 2013.gada budžeta izdevumus</w:t>
            </w:r>
            <w:r w:rsidR="00250560">
              <w:rPr>
                <w:sz w:val="25"/>
                <w:szCs w:val="25"/>
              </w:rPr>
              <w:t xml:space="preserve"> kopumā</w:t>
            </w:r>
            <w:r w:rsidR="003465DD">
              <w:rPr>
                <w:sz w:val="25"/>
                <w:szCs w:val="25"/>
              </w:rPr>
              <w:t>)</w:t>
            </w:r>
            <w:r w:rsidR="00DD6BBF" w:rsidRPr="0081110E">
              <w:rPr>
                <w:sz w:val="25"/>
                <w:szCs w:val="25"/>
              </w:rPr>
              <w:t>, nebija iespējams paredzēt, ka</w:t>
            </w:r>
            <w:r w:rsidR="00DB3473" w:rsidRPr="0081110E">
              <w:rPr>
                <w:sz w:val="25"/>
                <w:szCs w:val="25"/>
              </w:rPr>
              <w:t xml:space="preserve"> </w:t>
            </w:r>
            <w:r w:rsidR="007E7B36" w:rsidRPr="0081110E">
              <w:rPr>
                <w:sz w:val="25"/>
                <w:szCs w:val="25"/>
              </w:rPr>
              <w:t>Starptautiskā Augstskolu sporta savienība (FISU –</w:t>
            </w:r>
            <w:r w:rsidR="00250560">
              <w:t xml:space="preserve"> </w:t>
            </w:r>
            <w:r w:rsidR="00250560" w:rsidRPr="00250560">
              <w:rPr>
                <w:i/>
                <w:sz w:val="25"/>
                <w:szCs w:val="25"/>
              </w:rPr>
              <w:t>Fédération Internationale du Sport Universitaire</w:t>
            </w:r>
            <w:r w:rsidR="007E7B36" w:rsidRPr="0081110E">
              <w:rPr>
                <w:sz w:val="25"/>
                <w:szCs w:val="25"/>
              </w:rPr>
              <w:t xml:space="preserve">), izvērtējot </w:t>
            </w:r>
            <w:r w:rsidR="003465DD">
              <w:rPr>
                <w:sz w:val="25"/>
                <w:szCs w:val="25"/>
              </w:rPr>
              <w:t xml:space="preserve">arī </w:t>
            </w:r>
            <w:r w:rsidR="003465DD">
              <w:t xml:space="preserve"> </w:t>
            </w:r>
            <w:r w:rsidR="003465DD" w:rsidRPr="003465DD">
              <w:rPr>
                <w:sz w:val="25"/>
                <w:szCs w:val="25"/>
              </w:rPr>
              <w:t>citu vecuma Latvijas nacionālo hokeja izlašu rezultātus</w:t>
            </w:r>
            <w:r w:rsidR="007E7B36" w:rsidRPr="0081110E">
              <w:rPr>
                <w:sz w:val="25"/>
                <w:szCs w:val="25"/>
              </w:rPr>
              <w:t>, pieņems lēmumu</w:t>
            </w:r>
            <w:r w:rsidR="00DB3473" w:rsidRPr="0081110E">
              <w:rPr>
                <w:sz w:val="25"/>
                <w:szCs w:val="25"/>
              </w:rPr>
              <w:t xml:space="preserve"> </w:t>
            </w:r>
            <w:r w:rsidR="007E7B36" w:rsidRPr="0081110E">
              <w:rPr>
                <w:sz w:val="25"/>
                <w:szCs w:val="25"/>
              </w:rPr>
              <w:t>par</w:t>
            </w:r>
            <w:r w:rsidR="00DB3473" w:rsidRPr="0081110E">
              <w:rPr>
                <w:sz w:val="25"/>
                <w:szCs w:val="25"/>
              </w:rPr>
              <w:t xml:space="preserve"> Latvijas </w:t>
            </w:r>
            <w:r w:rsidR="007E7B36" w:rsidRPr="0081110E">
              <w:rPr>
                <w:sz w:val="25"/>
                <w:szCs w:val="25"/>
              </w:rPr>
              <w:t>studentu</w:t>
            </w:r>
            <w:r w:rsidR="003F380C" w:rsidRPr="0081110E">
              <w:rPr>
                <w:sz w:val="25"/>
                <w:szCs w:val="25"/>
              </w:rPr>
              <w:t xml:space="preserve"> vīriešu </w:t>
            </w:r>
            <w:r w:rsidR="007E7B36" w:rsidRPr="0081110E">
              <w:rPr>
                <w:sz w:val="25"/>
                <w:szCs w:val="25"/>
              </w:rPr>
              <w:t>hokeja izlases</w:t>
            </w:r>
            <w:r w:rsidR="00DB3473" w:rsidRPr="0081110E">
              <w:rPr>
                <w:sz w:val="25"/>
                <w:szCs w:val="25"/>
              </w:rPr>
              <w:t xml:space="preserve"> </w:t>
            </w:r>
            <w:r w:rsidR="007E7B36" w:rsidRPr="0081110E">
              <w:rPr>
                <w:sz w:val="25"/>
                <w:szCs w:val="25"/>
              </w:rPr>
              <w:t>dalību 2013.gada pasaules Ziemas Universiādē</w:t>
            </w:r>
            <w:r w:rsidR="00DD6BBF" w:rsidRPr="0081110E">
              <w:rPr>
                <w:sz w:val="25"/>
                <w:szCs w:val="25"/>
              </w:rPr>
              <w:t xml:space="preserve">. </w:t>
            </w:r>
            <w:r w:rsidR="007E7B36" w:rsidRPr="0081110E">
              <w:rPr>
                <w:sz w:val="25"/>
                <w:szCs w:val="25"/>
              </w:rPr>
              <w:t>Papildus ir norādāms, ka FISU lēm</w:t>
            </w:r>
            <w:r w:rsidR="003465DD">
              <w:rPr>
                <w:sz w:val="25"/>
                <w:szCs w:val="25"/>
              </w:rPr>
              <w:t xml:space="preserve">umu pieņēma 2013.gada 31.jūlijā, pirms tam veicot atlases procedūru (līdz 2013.gada 6.jūnijam), par pamatu ņemot LASS nodomu vēstuli (iesūtīta 2013.gada janvārī). </w:t>
            </w:r>
            <w:r w:rsidR="007E7B36" w:rsidRPr="0081110E">
              <w:rPr>
                <w:sz w:val="25"/>
                <w:szCs w:val="25"/>
              </w:rPr>
              <w:t xml:space="preserve"> </w:t>
            </w:r>
            <w:r w:rsidR="00DD6BBF" w:rsidRPr="0081110E">
              <w:rPr>
                <w:sz w:val="25"/>
                <w:szCs w:val="25"/>
              </w:rPr>
              <w:t xml:space="preserve">Līdz ar to, lai </w:t>
            </w:r>
            <w:r w:rsidR="00DB3473" w:rsidRPr="0081110E">
              <w:rPr>
                <w:sz w:val="25"/>
                <w:szCs w:val="25"/>
              </w:rPr>
              <w:t xml:space="preserve">segtu deficītu, kas radies ar </w:t>
            </w:r>
            <w:r w:rsidR="00250560" w:rsidRPr="0081110E">
              <w:rPr>
                <w:sz w:val="25"/>
                <w:szCs w:val="25"/>
              </w:rPr>
              <w:t xml:space="preserve"> Latvijas studentu vīriešu hokeja izlases</w:t>
            </w:r>
            <w:r w:rsidR="00DB3473" w:rsidRPr="0081110E">
              <w:rPr>
                <w:sz w:val="25"/>
                <w:szCs w:val="25"/>
              </w:rPr>
              <w:t xml:space="preserve"> </w:t>
            </w:r>
            <w:r w:rsidR="002B0072">
              <w:rPr>
                <w:sz w:val="25"/>
                <w:szCs w:val="25"/>
              </w:rPr>
              <w:t xml:space="preserve">sagatavošanos un </w:t>
            </w:r>
            <w:r w:rsidR="00DB3473" w:rsidRPr="0081110E">
              <w:rPr>
                <w:sz w:val="25"/>
                <w:szCs w:val="25"/>
              </w:rPr>
              <w:t xml:space="preserve">dalību 2013.gada pasaules </w:t>
            </w:r>
            <w:r w:rsidR="007E7B36" w:rsidRPr="0081110E">
              <w:rPr>
                <w:sz w:val="25"/>
                <w:szCs w:val="25"/>
              </w:rPr>
              <w:t>Ziemas Universiādē</w:t>
            </w:r>
            <w:r w:rsidR="00DD6BBF" w:rsidRPr="0081110E">
              <w:rPr>
                <w:sz w:val="25"/>
                <w:szCs w:val="25"/>
              </w:rPr>
              <w:t>, L</w:t>
            </w:r>
            <w:r w:rsidR="00DB3473" w:rsidRPr="0081110E">
              <w:rPr>
                <w:sz w:val="25"/>
                <w:szCs w:val="25"/>
              </w:rPr>
              <w:t>ASS</w:t>
            </w:r>
            <w:r w:rsidR="00020924" w:rsidRPr="0081110E">
              <w:rPr>
                <w:sz w:val="25"/>
                <w:szCs w:val="25"/>
              </w:rPr>
              <w:t xml:space="preserve"> nepieciešams papildu</w:t>
            </w:r>
            <w:r w:rsidR="00DD6BBF" w:rsidRPr="0081110E">
              <w:rPr>
                <w:sz w:val="25"/>
                <w:szCs w:val="25"/>
              </w:rPr>
              <w:t xml:space="preserve"> finansējums</w:t>
            </w:r>
            <w:r w:rsidR="00DB3473" w:rsidRPr="0081110E">
              <w:rPr>
                <w:sz w:val="25"/>
                <w:szCs w:val="25"/>
              </w:rPr>
              <w:t xml:space="preserve"> </w:t>
            </w:r>
            <w:r w:rsidR="007E7B36" w:rsidRPr="0081110E">
              <w:rPr>
                <w:sz w:val="25"/>
                <w:szCs w:val="25"/>
              </w:rPr>
              <w:t>28</w:t>
            </w:r>
            <w:r w:rsidR="00DB3473" w:rsidRPr="0081110E">
              <w:rPr>
                <w:sz w:val="25"/>
                <w:szCs w:val="25"/>
              </w:rPr>
              <w:t>`</w:t>
            </w:r>
            <w:r w:rsidR="007E7B36" w:rsidRPr="0081110E">
              <w:rPr>
                <w:sz w:val="25"/>
                <w:szCs w:val="25"/>
              </w:rPr>
              <w:t>200</w:t>
            </w:r>
            <w:r w:rsidR="00DB3473" w:rsidRPr="0081110E">
              <w:rPr>
                <w:sz w:val="25"/>
                <w:szCs w:val="25"/>
              </w:rPr>
              <w:t xml:space="preserve"> latu apmērā.</w:t>
            </w:r>
          </w:p>
          <w:p w:rsidR="007E7B36" w:rsidRPr="0081110E" w:rsidRDefault="007E7B36" w:rsidP="007E7B36">
            <w:pPr>
              <w:ind w:left="142" w:right="141"/>
              <w:jc w:val="both"/>
              <w:rPr>
                <w:sz w:val="25"/>
                <w:szCs w:val="25"/>
              </w:rPr>
            </w:pPr>
          </w:p>
          <w:p w:rsidR="00EE4748" w:rsidRPr="0081110E" w:rsidRDefault="007E7B36" w:rsidP="00825CDD">
            <w:pPr>
              <w:ind w:left="142" w:right="141"/>
              <w:jc w:val="both"/>
              <w:rPr>
                <w:sz w:val="25"/>
                <w:szCs w:val="25"/>
              </w:rPr>
            </w:pPr>
            <w:r w:rsidRPr="0081110E">
              <w:rPr>
                <w:sz w:val="25"/>
                <w:szCs w:val="25"/>
              </w:rPr>
              <w:t>Izvērtējot LVF pieprasījumu,</w:t>
            </w:r>
            <w:r w:rsidR="00CB3DF6" w:rsidRPr="0081110E">
              <w:rPr>
                <w:sz w:val="25"/>
                <w:szCs w:val="25"/>
              </w:rPr>
              <w:t xml:space="preserve"> </w:t>
            </w:r>
            <w:r w:rsidRPr="0081110E">
              <w:rPr>
                <w:sz w:val="25"/>
                <w:szCs w:val="25"/>
              </w:rPr>
              <w:t xml:space="preserve">neparedzētā gadījuma attiecināšana pamatojama ar faktu, ka </w:t>
            </w:r>
            <w:r w:rsidR="00DE5946" w:rsidRPr="0081110E">
              <w:rPr>
                <w:sz w:val="25"/>
                <w:szCs w:val="25"/>
              </w:rPr>
              <w:t xml:space="preserve">LVF, plānojot nacionālo izlašu darba plānu 2013.gadam un attiecīgu finansējumu (t.sk. valsts budžeta), nebija zināms, ka Latvijas nacionālās sieviešu volejbola izlase 2014.gada pasaules čempionāta kvalifikācijas turnīra pirmajā kārtā, kas norisinājās 2013.gadā no 24. – 26.maijam Latvijā, izcīnīs tiesības piedalīties 2014.gada pasaules čempionāta kvalifikācijas turnīra otrajā kārtā Raananā (Izraēla).  Līdz ar to, lai segtu deficītu, kas radies ar  Latvijas nacionālās sieviešu volejbola izlase </w:t>
            </w:r>
            <w:r w:rsidR="00CB3DF6" w:rsidRPr="0081110E">
              <w:rPr>
                <w:sz w:val="25"/>
                <w:szCs w:val="25"/>
              </w:rPr>
              <w:t xml:space="preserve">dalību </w:t>
            </w:r>
            <w:r w:rsidR="00DE5946" w:rsidRPr="0081110E">
              <w:rPr>
                <w:sz w:val="25"/>
                <w:szCs w:val="25"/>
              </w:rPr>
              <w:t xml:space="preserve">2014.gada pasaules čempionāta kvalifikācijas turnīra </w:t>
            </w:r>
            <w:r w:rsidR="00CB3DF6" w:rsidRPr="0081110E">
              <w:rPr>
                <w:sz w:val="25"/>
                <w:szCs w:val="25"/>
              </w:rPr>
              <w:t>otrajā</w:t>
            </w:r>
            <w:r w:rsidR="00DE5946" w:rsidRPr="0081110E">
              <w:rPr>
                <w:sz w:val="25"/>
                <w:szCs w:val="25"/>
              </w:rPr>
              <w:t xml:space="preserve"> kārtā, L</w:t>
            </w:r>
            <w:r w:rsidR="00CB3DF6" w:rsidRPr="0081110E">
              <w:rPr>
                <w:sz w:val="25"/>
                <w:szCs w:val="25"/>
              </w:rPr>
              <w:t>VF</w:t>
            </w:r>
            <w:r w:rsidR="00DE5946" w:rsidRPr="0081110E">
              <w:rPr>
                <w:sz w:val="25"/>
                <w:szCs w:val="25"/>
              </w:rPr>
              <w:t xml:space="preserve"> nepieciešams papildu finansējums </w:t>
            </w:r>
            <w:r w:rsidR="00250560">
              <w:rPr>
                <w:sz w:val="25"/>
                <w:szCs w:val="25"/>
              </w:rPr>
              <w:t>8`340</w:t>
            </w:r>
            <w:r w:rsidR="00DE5946" w:rsidRPr="0081110E">
              <w:rPr>
                <w:sz w:val="25"/>
                <w:szCs w:val="25"/>
              </w:rPr>
              <w:t xml:space="preserve"> latu apmērā</w:t>
            </w:r>
            <w:r w:rsidR="00CB3DF6" w:rsidRPr="0081110E">
              <w:rPr>
                <w:sz w:val="25"/>
                <w:szCs w:val="25"/>
              </w:rPr>
              <w:t>.</w:t>
            </w:r>
          </w:p>
          <w:p w:rsidR="00135577" w:rsidRPr="0081110E" w:rsidRDefault="002D77A9" w:rsidP="00905F07">
            <w:pPr>
              <w:ind w:left="142" w:right="141" w:firstLine="25"/>
              <w:jc w:val="both"/>
              <w:rPr>
                <w:sz w:val="25"/>
                <w:szCs w:val="25"/>
              </w:rPr>
            </w:pPr>
            <w:r w:rsidRPr="0081110E">
              <w:rPr>
                <w:sz w:val="25"/>
                <w:szCs w:val="25"/>
              </w:rPr>
              <w:lastRenderedPageBreak/>
              <w:t>M</w:t>
            </w:r>
            <w:r w:rsidR="00135577" w:rsidRPr="0081110E">
              <w:rPr>
                <w:sz w:val="25"/>
                <w:szCs w:val="25"/>
              </w:rPr>
              <w:t>inistrijas rīcībā nav nepieciešamie līdzekļ</w:t>
            </w:r>
            <w:r w:rsidR="00AA3C86" w:rsidRPr="0081110E">
              <w:rPr>
                <w:sz w:val="25"/>
                <w:szCs w:val="25"/>
              </w:rPr>
              <w:t>i, jo visi finanšu līdzekļi 2013</w:t>
            </w:r>
            <w:r w:rsidR="00135577" w:rsidRPr="0081110E">
              <w:rPr>
                <w:sz w:val="25"/>
                <w:szCs w:val="25"/>
              </w:rPr>
              <w:t>.gadam valsts budžeta programmā 09.00.00 „Sports”, t.sk. apakšprogrammā 09.09.00 „Sporta federācijas un sporta pasākumi”</w:t>
            </w:r>
            <w:r w:rsidR="00DF7568" w:rsidRPr="0081110E">
              <w:rPr>
                <w:sz w:val="25"/>
                <w:szCs w:val="25"/>
              </w:rPr>
              <w:t xml:space="preserve">,  apakšprogrammā 09.17.00 „Dotācija komandu sporta spēļu izlašu nodrošināšanai” </w:t>
            </w:r>
            <w:r w:rsidR="00730CDA" w:rsidRPr="0081110E">
              <w:rPr>
                <w:sz w:val="25"/>
                <w:szCs w:val="25"/>
              </w:rPr>
              <w:t xml:space="preserve"> </w:t>
            </w:r>
            <w:r w:rsidR="00135577" w:rsidRPr="0081110E">
              <w:rPr>
                <w:sz w:val="25"/>
                <w:szCs w:val="25"/>
              </w:rPr>
              <w:t xml:space="preserve">un </w:t>
            </w:r>
            <w:r w:rsidR="00DF7568" w:rsidRPr="0081110E">
              <w:rPr>
                <w:sz w:val="25"/>
                <w:szCs w:val="25"/>
              </w:rPr>
              <w:t xml:space="preserve"> apakšprogrammā </w:t>
            </w:r>
            <w:r w:rsidR="00135577" w:rsidRPr="0081110E">
              <w:rPr>
                <w:sz w:val="25"/>
                <w:szCs w:val="25"/>
              </w:rPr>
              <w:t>09.21.00 „Augstas klases sasniegumu sports”, ir sadalīti un attiecīgi noslēgti līgumi par valsts budžeta finanšu līdzekļu (dotācijas) piešķiršanu. Noslēgtie līgumi neparedz finansējuma piešķīrēja –</w:t>
            </w:r>
            <w:r w:rsidR="003E53EB" w:rsidRPr="0081110E">
              <w:rPr>
                <w:sz w:val="25"/>
                <w:szCs w:val="25"/>
              </w:rPr>
              <w:t xml:space="preserve"> </w:t>
            </w:r>
            <w:r w:rsidR="00135577" w:rsidRPr="0081110E">
              <w:rPr>
                <w:sz w:val="25"/>
                <w:szCs w:val="25"/>
              </w:rPr>
              <w:t>ministrijas – tiesības samazināt piešķirto finanšu līdzekļu apmēru līdzekļu pārdales gadījumā citām sporta federācijām (līgums paredz ministrijas tiesības samazināt līguma summu tikai tad, ja tiek izdarīti grozījumi</w:t>
            </w:r>
            <w:r w:rsidR="00862337" w:rsidRPr="0081110E">
              <w:rPr>
                <w:sz w:val="25"/>
                <w:szCs w:val="25"/>
              </w:rPr>
              <w:t xml:space="preserve"> likumā „Par valsts budžetu 2013</w:t>
            </w:r>
            <w:r w:rsidR="00135577" w:rsidRPr="0081110E">
              <w:rPr>
                <w:sz w:val="25"/>
                <w:szCs w:val="25"/>
              </w:rPr>
              <w:t>.gadam”, vai sporta federācija neievēro pielīgtās saistības). Papildus finansējuma pārdale no citām ministrijas pamatbudžeta apakšprogrammām nav iespējama, jo tādejādi finansējuma nepietiekamība izveidotos citu ministrijas nodrošināto valsts pamatfunkciju īstenošanai.</w:t>
            </w:r>
          </w:p>
          <w:p w:rsidR="00FC328D" w:rsidRPr="0081110E" w:rsidRDefault="00FC328D" w:rsidP="00905F07">
            <w:pPr>
              <w:ind w:left="142" w:right="141" w:firstLine="25"/>
              <w:jc w:val="both"/>
              <w:rPr>
                <w:sz w:val="25"/>
                <w:szCs w:val="25"/>
              </w:rPr>
            </w:pPr>
          </w:p>
          <w:p w:rsidR="00AA3666" w:rsidRPr="0081110E" w:rsidRDefault="00FC328D" w:rsidP="00905F07">
            <w:pPr>
              <w:ind w:left="142" w:right="141" w:firstLine="25"/>
              <w:jc w:val="both"/>
              <w:rPr>
                <w:sz w:val="25"/>
                <w:szCs w:val="25"/>
              </w:rPr>
            </w:pPr>
            <w:r w:rsidRPr="0081110E">
              <w:rPr>
                <w:sz w:val="25"/>
                <w:szCs w:val="25"/>
              </w:rPr>
              <w:t xml:space="preserve">Jautājums par atbalstu </w:t>
            </w:r>
            <w:r w:rsidR="00CB3DF6" w:rsidRPr="0081110E">
              <w:rPr>
                <w:sz w:val="25"/>
                <w:szCs w:val="25"/>
              </w:rPr>
              <w:t>LASS un LVF pieprasījumam</w:t>
            </w:r>
            <w:r w:rsidRPr="0081110E">
              <w:rPr>
                <w:sz w:val="25"/>
                <w:szCs w:val="25"/>
              </w:rPr>
              <w:t xml:space="preserve">  tika izskatīts  Latvijas Nacionālās sporta padomes 2013.gada </w:t>
            </w:r>
            <w:r w:rsidR="00CB3DF6" w:rsidRPr="0081110E">
              <w:rPr>
                <w:sz w:val="25"/>
                <w:szCs w:val="25"/>
              </w:rPr>
              <w:t>25.septembra</w:t>
            </w:r>
            <w:r w:rsidRPr="0081110E">
              <w:rPr>
                <w:sz w:val="25"/>
                <w:szCs w:val="25"/>
              </w:rPr>
              <w:t xml:space="preserve">  (prot. Nr. </w:t>
            </w:r>
            <w:r w:rsidR="00CB3DF6" w:rsidRPr="0081110E">
              <w:rPr>
                <w:sz w:val="25"/>
                <w:szCs w:val="25"/>
              </w:rPr>
              <w:t>3</w:t>
            </w:r>
            <w:r w:rsidRPr="0081110E">
              <w:rPr>
                <w:sz w:val="25"/>
                <w:szCs w:val="25"/>
              </w:rPr>
              <w:t xml:space="preserve"> </w:t>
            </w:r>
            <w:r w:rsidR="00CB3DF6" w:rsidRPr="0081110E">
              <w:rPr>
                <w:sz w:val="25"/>
                <w:szCs w:val="25"/>
              </w:rPr>
              <w:t>7. un 8.punkts</w:t>
            </w:r>
            <w:r w:rsidRPr="0081110E">
              <w:rPr>
                <w:sz w:val="25"/>
                <w:szCs w:val="25"/>
              </w:rPr>
              <w:t>) sēdē, uzklausot arī L</w:t>
            </w:r>
            <w:r w:rsidR="00CB3DF6" w:rsidRPr="0081110E">
              <w:rPr>
                <w:sz w:val="25"/>
                <w:szCs w:val="25"/>
              </w:rPr>
              <w:t>VF</w:t>
            </w:r>
            <w:r w:rsidRPr="0081110E">
              <w:rPr>
                <w:sz w:val="25"/>
                <w:szCs w:val="25"/>
              </w:rPr>
              <w:t xml:space="preserve"> </w:t>
            </w:r>
            <w:r w:rsidR="00CB3DF6" w:rsidRPr="0081110E">
              <w:rPr>
                <w:sz w:val="25"/>
                <w:szCs w:val="25"/>
              </w:rPr>
              <w:t>valdes sekretāra</w:t>
            </w:r>
            <w:r w:rsidRPr="0081110E">
              <w:rPr>
                <w:sz w:val="25"/>
                <w:szCs w:val="25"/>
              </w:rPr>
              <w:t xml:space="preserve"> A.</w:t>
            </w:r>
            <w:r w:rsidR="00CB3DF6" w:rsidRPr="0081110E">
              <w:rPr>
                <w:sz w:val="25"/>
                <w:szCs w:val="25"/>
              </w:rPr>
              <w:t>Ludvika</w:t>
            </w:r>
            <w:r w:rsidRPr="0081110E">
              <w:rPr>
                <w:sz w:val="25"/>
                <w:szCs w:val="25"/>
              </w:rPr>
              <w:t xml:space="preserve"> viedokli</w:t>
            </w:r>
            <w:r w:rsidR="00AA3666" w:rsidRPr="0081110E">
              <w:rPr>
                <w:sz w:val="25"/>
                <w:szCs w:val="25"/>
              </w:rPr>
              <w:t xml:space="preserve"> (LASS pārstāvim klāt neesot)</w:t>
            </w:r>
            <w:r w:rsidRPr="0081110E">
              <w:rPr>
                <w:sz w:val="25"/>
                <w:szCs w:val="25"/>
              </w:rPr>
              <w:t xml:space="preserve">, kā rezultātā tika nolemts (prot. Nr. </w:t>
            </w:r>
            <w:r w:rsidR="00CE6279" w:rsidRPr="0081110E">
              <w:rPr>
                <w:sz w:val="25"/>
                <w:szCs w:val="25"/>
              </w:rPr>
              <w:t>3</w:t>
            </w:r>
            <w:r w:rsidRPr="0081110E">
              <w:rPr>
                <w:sz w:val="25"/>
                <w:szCs w:val="25"/>
              </w:rPr>
              <w:t xml:space="preserve"> </w:t>
            </w:r>
            <w:r w:rsidR="00CE6279" w:rsidRPr="0081110E">
              <w:rPr>
                <w:sz w:val="25"/>
                <w:szCs w:val="25"/>
              </w:rPr>
              <w:t>7.2</w:t>
            </w:r>
            <w:r w:rsidRPr="0081110E">
              <w:rPr>
                <w:sz w:val="25"/>
                <w:szCs w:val="25"/>
              </w:rPr>
              <w:t>. apakšpunkts)</w:t>
            </w:r>
            <w:r w:rsidR="00AA3666" w:rsidRPr="0081110E">
              <w:rPr>
                <w:sz w:val="25"/>
                <w:szCs w:val="25"/>
              </w:rPr>
              <w:t xml:space="preserve"> aicināt Ministru kabinetu no 2013.gada valsts budžeta programmas 02.00.00 „Līdzekļi neparedzētiem gadījumiem” piešķirt LVF 8`340 latus, lai nodrošinātu Latvijas nacionālās sieviešu volejbola izlases dalību pasaules čempionāta kvalifikācijas turnīra 2.kārtā Izraēlā no 2013.gada 2. – 6.oktobrim, kā arī tika nolemts (prot. Nr. 3 8.2. apakšpunkts)  aicināt Ministru kabinetu no 2013.gada valsts budžeta programmas 02.00.00 „Līdzekļi neparedzētiem gadījumiem” piešķirt LASS līdz 28`200 latiem, lai nodrošinātu Latvijas studentu vīriešu hokeja izlases sagatavošanos un dalību 26.Pasaules Ziemas Universiādē Trentīno (Itālija) no 2013.gada 10.–21.decembrim. </w:t>
            </w:r>
            <w:r w:rsidRPr="0081110E">
              <w:rPr>
                <w:sz w:val="25"/>
                <w:szCs w:val="25"/>
              </w:rPr>
              <w:t xml:space="preserve">  </w:t>
            </w:r>
          </w:p>
          <w:p w:rsidR="000E2AA3" w:rsidRPr="0081110E" w:rsidRDefault="000E2AA3" w:rsidP="003F380C">
            <w:pPr>
              <w:ind w:right="141"/>
              <w:jc w:val="both"/>
              <w:rPr>
                <w:sz w:val="25"/>
                <w:szCs w:val="25"/>
              </w:rPr>
            </w:pPr>
          </w:p>
          <w:p w:rsidR="00F0730F" w:rsidRPr="0081110E" w:rsidRDefault="003F380C" w:rsidP="001E6863">
            <w:pPr>
              <w:ind w:left="142" w:right="141"/>
              <w:jc w:val="both"/>
              <w:rPr>
                <w:sz w:val="25"/>
                <w:szCs w:val="25"/>
              </w:rPr>
            </w:pPr>
            <w:r w:rsidRPr="0081110E">
              <w:rPr>
                <w:sz w:val="25"/>
                <w:szCs w:val="25"/>
              </w:rPr>
              <w:t xml:space="preserve">Starptautiskās Volejbola federācijas (FIVB – </w:t>
            </w:r>
            <w:r w:rsidRPr="0081110E">
              <w:rPr>
                <w:i/>
                <w:sz w:val="25"/>
                <w:szCs w:val="25"/>
              </w:rPr>
              <w:t>Fédération Internationale de Volleyball</w:t>
            </w:r>
            <w:r w:rsidRPr="0081110E">
              <w:rPr>
                <w:sz w:val="25"/>
                <w:szCs w:val="25"/>
              </w:rPr>
              <w:t xml:space="preserve">) noteikumi paredz, ka dalībvalstis, kas </w:t>
            </w:r>
            <w:r w:rsidR="001E6863" w:rsidRPr="0081110E">
              <w:rPr>
                <w:sz w:val="25"/>
                <w:szCs w:val="25"/>
              </w:rPr>
              <w:t xml:space="preserve">jau </w:t>
            </w:r>
            <w:r w:rsidRPr="0081110E">
              <w:rPr>
                <w:sz w:val="25"/>
                <w:szCs w:val="25"/>
              </w:rPr>
              <w:t xml:space="preserve">ir uzsākušas kvalifikācijas turnīrus, nedrīkst </w:t>
            </w:r>
            <w:r w:rsidR="001E6863" w:rsidRPr="0081110E">
              <w:rPr>
                <w:sz w:val="25"/>
                <w:szCs w:val="25"/>
              </w:rPr>
              <w:t>atsaukt dalību no turnīra tālākajām kārtām. Šādos gadījumos</w:t>
            </w:r>
            <w:r w:rsidR="00250560">
              <w:rPr>
                <w:sz w:val="25"/>
                <w:szCs w:val="25"/>
              </w:rPr>
              <w:t xml:space="preserve"> (atsaukšanas)</w:t>
            </w:r>
            <w:r w:rsidR="001E6863" w:rsidRPr="0081110E">
              <w:rPr>
                <w:sz w:val="25"/>
                <w:szCs w:val="25"/>
              </w:rPr>
              <w:t xml:space="preserve"> FIVB var piemērot sankcijas (visu izla</w:t>
            </w:r>
            <w:r w:rsidR="00345224">
              <w:rPr>
                <w:sz w:val="25"/>
                <w:szCs w:val="25"/>
              </w:rPr>
              <w:t>šu diskvalifikāciju, naudas sods nacionālajai federācijai</w:t>
            </w:r>
            <w:r w:rsidR="001E6863" w:rsidRPr="0081110E">
              <w:rPr>
                <w:sz w:val="25"/>
                <w:szCs w:val="25"/>
              </w:rPr>
              <w:t>, starptautiskās reputāc</w:t>
            </w:r>
            <w:r w:rsidR="002B0072">
              <w:rPr>
                <w:sz w:val="25"/>
                <w:szCs w:val="25"/>
              </w:rPr>
              <w:t>ijas pazemināšanās utt.). P</w:t>
            </w:r>
            <w:r w:rsidR="001E6863" w:rsidRPr="0081110E">
              <w:rPr>
                <w:sz w:val="25"/>
                <w:szCs w:val="25"/>
              </w:rPr>
              <w:t>astāv</w:t>
            </w:r>
            <w:r w:rsidR="002B0072">
              <w:rPr>
                <w:sz w:val="25"/>
                <w:szCs w:val="25"/>
              </w:rPr>
              <w:t xml:space="preserve"> </w:t>
            </w:r>
            <w:r w:rsidR="001E6863" w:rsidRPr="0081110E">
              <w:rPr>
                <w:sz w:val="25"/>
                <w:szCs w:val="25"/>
              </w:rPr>
              <w:t xml:space="preserve">risks </w:t>
            </w:r>
            <w:r w:rsidR="00457282" w:rsidRPr="0081110E">
              <w:rPr>
                <w:sz w:val="25"/>
                <w:szCs w:val="25"/>
              </w:rPr>
              <w:t>sporta sacensību rīkotājiem</w:t>
            </w:r>
            <w:r w:rsidR="001E6863" w:rsidRPr="0081110E">
              <w:rPr>
                <w:sz w:val="25"/>
                <w:szCs w:val="25"/>
              </w:rPr>
              <w:t xml:space="preserve"> (piemēram, FISU)</w:t>
            </w:r>
            <w:r w:rsidR="00457282" w:rsidRPr="0081110E">
              <w:rPr>
                <w:sz w:val="25"/>
                <w:szCs w:val="25"/>
              </w:rPr>
              <w:t xml:space="preserve"> veikt neparedzētas izmaiņas</w:t>
            </w:r>
            <w:r w:rsidR="00FB266A" w:rsidRPr="0081110E">
              <w:rPr>
                <w:sz w:val="25"/>
                <w:szCs w:val="25"/>
              </w:rPr>
              <w:t xml:space="preserve"> (gadījumā, ja netiek nodrošināta  Latvijas studentu vīriešu hokeja izlases dalība sacensībās) </w:t>
            </w:r>
            <w:r w:rsidR="00457282" w:rsidRPr="0081110E">
              <w:rPr>
                <w:sz w:val="25"/>
                <w:szCs w:val="25"/>
              </w:rPr>
              <w:t xml:space="preserve"> sacensību izspēles kārtībā </w:t>
            </w:r>
            <w:r w:rsidR="00345224">
              <w:rPr>
                <w:sz w:val="25"/>
                <w:szCs w:val="25"/>
              </w:rPr>
              <w:t>u.tml.</w:t>
            </w:r>
            <w:r w:rsidR="002B0072">
              <w:rPr>
                <w:sz w:val="25"/>
                <w:szCs w:val="25"/>
              </w:rPr>
              <w:t xml:space="preserve"> Tāpat pastāv risks LASS zaudēt 2013.gada </w:t>
            </w:r>
            <w:r w:rsidR="002B0072" w:rsidRPr="002B0072">
              <w:rPr>
                <w:sz w:val="25"/>
                <w:szCs w:val="25"/>
              </w:rPr>
              <w:t xml:space="preserve">6. jūnijā </w:t>
            </w:r>
            <w:r w:rsidR="002B0072">
              <w:rPr>
                <w:sz w:val="25"/>
                <w:szCs w:val="25"/>
              </w:rPr>
              <w:t>FISU iemaksāto</w:t>
            </w:r>
            <w:r w:rsidR="002B0072" w:rsidRPr="002B0072">
              <w:rPr>
                <w:sz w:val="25"/>
                <w:szCs w:val="25"/>
              </w:rPr>
              <w:t xml:space="preserve"> depozītu jeb drošības naudu 5000 </w:t>
            </w:r>
            <w:r w:rsidR="002B0072">
              <w:rPr>
                <w:i/>
                <w:sz w:val="25"/>
                <w:szCs w:val="25"/>
              </w:rPr>
              <w:t>euro</w:t>
            </w:r>
            <w:r w:rsidR="002B0072" w:rsidRPr="002B0072">
              <w:rPr>
                <w:sz w:val="25"/>
                <w:szCs w:val="25"/>
              </w:rPr>
              <w:t xml:space="preserve"> </w:t>
            </w:r>
            <w:r w:rsidR="00E3756C">
              <w:rPr>
                <w:sz w:val="25"/>
                <w:szCs w:val="25"/>
              </w:rPr>
              <w:t>(3`514 latus)</w:t>
            </w:r>
            <w:r w:rsidR="00E3756C" w:rsidRPr="002B0072">
              <w:rPr>
                <w:sz w:val="25"/>
                <w:szCs w:val="25"/>
              </w:rPr>
              <w:t xml:space="preserve"> </w:t>
            </w:r>
            <w:r w:rsidR="002B0072">
              <w:rPr>
                <w:sz w:val="25"/>
                <w:szCs w:val="25"/>
              </w:rPr>
              <w:t>apmērā</w:t>
            </w:r>
            <w:r w:rsidR="00E3756C">
              <w:rPr>
                <w:sz w:val="25"/>
                <w:szCs w:val="25"/>
              </w:rPr>
              <w:t xml:space="preserve"> (veikts no </w:t>
            </w:r>
            <w:r w:rsidR="00E3756C">
              <w:rPr>
                <w:sz w:val="25"/>
                <w:szCs w:val="25"/>
              </w:rPr>
              <w:lastRenderedPageBreak/>
              <w:t xml:space="preserve">LASS konta SEB bankā), kas ir </w:t>
            </w:r>
            <w:r w:rsidR="00DA266F">
              <w:rPr>
                <w:sz w:val="25"/>
                <w:szCs w:val="25"/>
              </w:rPr>
              <w:t>kā maksājums</w:t>
            </w:r>
            <w:r w:rsidR="002B0072">
              <w:rPr>
                <w:sz w:val="25"/>
                <w:szCs w:val="25"/>
              </w:rPr>
              <w:t xml:space="preserve"> </w:t>
            </w:r>
            <w:r w:rsidR="002B0072" w:rsidRPr="002B0072">
              <w:rPr>
                <w:sz w:val="25"/>
                <w:szCs w:val="25"/>
              </w:rPr>
              <w:t xml:space="preserve">par Latvijas </w:t>
            </w:r>
            <w:r w:rsidR="00E3756C">
              <w:rPr>
                <w:sz w:val="25"/>
                <w:szCs w:val="25"/>
              </w:rPr>
              <w:t xml:space="preserve">studentu vīriešu hokeja </w:t>
            </w:r>
            <w:r w:rsidR="002B0072" w:rsidRPr="002B0072">
              <w:rPr>
                <w:sz w:val="25"/>
                <w:szCs w:val="25"/>
              </w:rPr>
              <w:t>izlases pielaišanu komandu atlases procedūrai</w:t>
            </w:r>
            <w:r w:rsidR="00E3756C">
              <w:rPr>
                <w:sz w:val="25"/>
                <w:szCs w:val="25"/>
              </w:rPr>
              <w:t xml:space="preserve">. </w:t>
            </w:r>
            <w:r w:rsidR="00345224">
              <w:rPr>
                <w:sz w:val="25"/>
                <w:szCs w:val="25"/>
              </w:rPr>
              <w:t xml:space="preserve">Minētie gadījumi </w:t>
            </w:r>
            <w:r w:rsidR="00054553" w:rsidRPr="0081110E">
              <w:rPr>
                <w:sz w:val="25"/>
                <w:szCs w:val="25"/>
              </w:rPr>
              <w:t>var negatīvi ietekmēt Latvijas tēlu Eiropas un pasaules sporta sacensību apritē</w:t>
            </w:r>
            <w:r w:rsidR="001E6863" w:rsidRPr="0081110E">
              <w:rPr>
                <w:sz w:val="25"/>
                <w:szCs w:val="25"/>
              </w:rPr>
              <w:t>. Līdz ar to</w:t>
            </w:r>
            <w:r w:rsidR="00BD6CDF" w:rsidRPr="0081110E">
              <w:rPr>
                <w:sz w:val="25"/>
                <w:szCs w:val="25"/>
              </w:rPr>
              <w:t xml:space="preserve"> </w:t>
            </w:r>
            <w:r w:rsidR="00853B4B" w:rsidRPr="0081110E">
              <w:rPr>
                <w:sz w:val="25"/>
                <w:szCs w:val="25"/>
              </w:rPr>
              <w:t>ministrija atz</w:t>
            </w:r>
            <w:r w:rsidR="002239AB" w:rsidRPr="0081110E">
              <w:rPr>
                <w:sz w:val="25"/>
                <w:szCs w:val="25"/>
              </w:rPr>
              <w:t xml:space="preserve">īst nepieciešamību </w:t>
            </w:r>
            <w:r w:rsidR="004A6E2E" w:rsidRPr="0081110E">
              <w:rPr>
                <w:sz w:val="25"/>
                <w:szCs w:val="25"/>
              </w:rPr>
              <w:t>meklēt iespējamos risin</w:t>
            </w:r>
            <w:r w:rsidR="00EE4FC1" w:rsidRPr="0081110E">
              <w:rPr>
                <w:sz w:val="25"/>
                <w:szCs w:val="25"/>
              </w:rPr>
              <w:t xml:space="preserve">ājuma variantus, lai varētu </w:t>
            </w:r>
            <w:r w:rsidR="00B5360F" w:rsidRPr="0081110E">
              <w:rPr>
                <w:sz w:val="25"/>
                <w:szCs w:val="25"/>
              </w:rPr>
              <w:t xml:space="preserve">kompensēt </w:t>
            </w:r>
            <w:r w:rsidR="00730CDA" w:rsidRPr="0081110E">
              <w:rPr>
                <w:sz w:val="25"/>
                <w:szCs w:val="25"/>
              </w:rPr>
              <w:t>LASS</w:t>
            </w:r>
            <w:r w:rsidRPr="0081110E">
              <w:rPr>
                <w:sz w:val="25"/>
                <w:szCs w:val="25"/>
              </w:rPr>
              <w:t xml:space="preserve"> un LVF</w:t>
            </w:r>
            <w:r w:rsidR="00BF5486" w:rsidRPr="0081110E">
              <w:rPr>
                <w:sz w:val="25"/>
                <w:szCs w:val="25"/>
              </w:rPr>
              <w:t xml:space="preserve"> izdevumus saistībā ar </w:t>
            </w:r>
            <w:r w:rsidR="00AA3C86" w:rsidRPr="0081110E">
              <w:rPr>
                <w:sz w:val="25"/>
                <w:szCs w:val="25"/>
              </w:rPr>
              <w:t>Latvijas</w:t>
            </w:r>
            <w:r w:rsidR="00006D42" w:rsidRPr="0081110E">
              <w:rPr>
                <w:sz w:val="25"/>
                <w:szCs w:val="25"/>
              </w:rPr>
              <w:t xml:space="preserve"> izla</w:t>
            </w:r>
            <w:r w:rsidRPr="0081110E">
              <w:rPr>
                <w:sz w:val="25"/>
                <w:szCs w:val="25"/>
              </w:rPr>
              <w:t>šu</w:t>
            </w:r>
            <w:r w:rsidR="00006D42" w:rsidRPr="0081110E">
              <w:rPr>
                <w:sz w:val="25"/>
                <w:szCs w:val="25"/>
              </w:rPr>
              <w:t xml:space="preserve"> </w:t>
            </w:r>
            <w:r w:rsidR="009F2628" w:rsidRPr="0081110E">
              <w:rPr>
                <w:sz w:val="25"/>
                <w:szCs w:val="25"/>
              </w:rPr>
              <w:t xml:space="preserve">dalību  </w:t>
            </w:r>
            <w:r w:rsidRPr="0081110E">
              <w:rPr>
                <w:sz w:val="25"/>
                <w:szCs w:val="25"/>
              </w:rPr>
              <w:t>minētājās sporta sacensībās</w:t>
            </w:r>
            <w:r w:rsidR="00967D62" w:rsidRPr="0081110E">
              <w:rPr>
                <w:sz w:val="25"/>
                <w:szCs w:val="25"/>
              </w:rPr>
              <w:t>.</w:t>
            </w:r>
            <w:r w:rsidR="000846E7" w:rsidRPr="0081110E">
              <w:rPr>
                <w:sz w:val="25"/>
                <w:szCs w:val="25"/>
              </w:rPr>
              <w:t xml:space="preserve"> Īpašu nozīmi šiem </w:t>
            </w:r>
            <w:r w:rsidR="00345224">
              <w:rPr>
                <w:sz w:val="25"/>
                <w:szCs w:val="25"/>
              </w:rPr>
              <w:t xml:space="preserve">sporta </w:t>
            </w:r>
            <w:r w:rsidR="000846E7" w:rsidRPr="0081110E">
              <w:rPr>
                <w:sz w:val="25"/>
                <w:szCs w:val="25"/>
              </w:rPr>
              <w:t xml:space="preserve">pasākumiem piešķir </w:t>
            </w:r>
            <w:r w:rsidR="00345224">
              <w:rPr>
                <w:sz w:val="25"/>
                <w:szCs w:val="25"/>
              </w:rPr>
              <w:t xml:space="preserve">arī </w:t>
            </w:r>
            <w:r w:rsidR="000846E7" w:rsidRPr="0081110E">
              <w:rPr>
                <w:sz w:val="25"/>
                <w:szCs w:val="25"/>
              </w:rPr>
              <w:t xml:space="preserve">to </w:t>
            </w:r>
            <w:r w:rsidR="00345224">
              <w:rPr>
                <w:sz w:val="25"/>
                <w:szCs w:val="25"/>
              </w:rPr>
              <w:t xml:space="preserve">augstais </w:t>
            </w:r>
            <w:r w:rsidR="000846E7" w:rsidRPr="0081110E">
              <w:rPr>
                <w:sz w:val="25"/>
                <w:szCs w:val="25"/>
              </w:rPr>
              <w:t xml:space="preserve">statuss – kvalifikācijas turnīrs dalībai pasaules čempionāta finālturnīram Olimpiskajā sporta veidā (LVF pieprasījums) un pasaulē lielākais studentu sporta forums  Olimpiskajos sporta veidos.   </w:t>
            </w:r>
          </w:p>
          <w:p w:rsidR="003E53EB" w:rsidRPr="0081110E" w:rsidRDefault="003E53EB" w:rsidP="00905F07">
            <w:pPr>
              <w:ind w:right="127"/>
              <w:jc w:val="both"/>
              <w:rPr>
                <w:sz w:val="25"/>
                <w:szCs w:val="25"/>
              </w:rPr>
            </w:pPr>
          </w:p>
          <w:p w:rsidR="00CA41C9" w:rsidRPr="0081110E" w:rsidRDefault="00CA41C9" w:rsidP="00CA41C9">
            <w:pPr>
              <w:ind w:left="142" w:right="127"/>
              <w:jc w:val="both"/>
              <w:rPr>
                <w:sz w:val="25"/>
                <w:szCs w:val="25"/>
              </w:rPr>
            </w:pPr>
            <w:r w:rsidRPr="0081110E">
              <w:rPr>
                <w:sz w:val="25"/>
                <w:szCs w:val="25"/>
              </w:rPr>
              <w:t xml:space="preserve">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apropriācijās neparedzētiem izdevumiem katastrofu un dabas stihiju seku novēršanai, to radīto zaudējumu kompensēšanai, </w:t>
            </w:r>
            <w:r w:rsidRPr="0081110E">
              <w:rPr>
                <w:sz w:val="25"/>
                <w:szCs w:val="25"/>
                <w:u w:val="single"/>
              </w:rPr>
              <w:t>citiem neparedzētiem gadījumiem un valstiski īpaši nozīmīgiem pasākumiem</w:t>
            </w:r>
            <w:r w:rsidRPr="0081110E">
              <w:rPr>
                <w:sz w:val="25"/>
                <w:szCs w:val="25"/>
              </w:rPr>
              <w:t xml:space="preserve">. </w:t>
            </w:r>
            <w:r w:rsidR="001E6863" w:rsidRPr="0081110E">
              <w:rPr>
                <w:sz w:val="25"/>
                <w:szCs w:val="25"/>
              </w:rPr>
              <w:t>Minētie gadījumi ir attiecināmi</w:t>
            </w:r>
            <w:r w:rsidR="009F2628" w:rsidRPr="0081110E">
              <w:rPr>
                <w:sz w:val="25"/>
                <w:szCs w:val="25"/>
              </w:rPr>
              <w:t xml:space="preserve"> uz šīm pazīmēm</w:t>
            </w:r>
            <w:r w:rsidRPr="0081110E">
              <w:rPr>
                <w:sz w:val="25"/>
                <w:szCs w:val="25"/>
              </w:rPr>
              <w:t>.</w:t>
            </w:r>
          </w:p>
          <w:p w:rsidR="00D142B6" w:rsidRPr="0081110E" w:rsidRDefault="00D142B6" w:rsidP="003E53EB">
            <w:pPr>
              <w:ind w:right="141"/>
              <w:jc w:val="both"/>
              <w:rPr>
                <w:sz w:val="25"/>
                <w:szCs w:val="25"/>
              </w:rPr>
            </w:pPr>
          </w:p>
          <w:p w:rsidR="00214413" w:rsidRPr="0081110E" w:rsidRDefault="001E6E40" w:rsidP="003E53EB">
            <w:pPr>
              <w:ind w:left="142" w:right="127"/>
              <w:jc w:val="both"/>
              <w:rPr>
                <w:sz w:val="25"/>
                <w:szCs w:val="25"/>
              </w:rPr>
            </w:pPr>
            <w:r w:rsidRPr="0081110E">
              <w:rPr>
                <w:sz w:val="25"/>
                <w:szCs w:val="25"/>
              </w:rPr>
              <w:t xml:space="preserve">Ņemot vērā </w:t>
            </w:r>
            <w:r w:rsidR="00795000" w:rsidRPr="0081110E">
              <w:rPr>
                <w:sz w:val="25"/>
                <w:szCs w:val="25"/>
              </w:rPr>
              <w:t xml:space="preserve">iepriekš minēto, </w:t>
            </w:r>
            <w:r w:rsidR="003014C2" w:rsidRPr="0081110E">
              <w:rPr>
                <w:sz w:val="25"/>
                <w:szCs w:val="25"/>
              </w:rPr>
              <w:t xml:space="preserve">ministrija </w:t>
            </w:r>
            <w:r w:rsidR="008E4101" w:rsidRPr="0081110E">
              <w:rPr>
                <w:sz w:val="25"/>
                <w:szCs w:val="25"/>
              </w:rPr>
              <w:t xml:space="preserve">ir sagatavojusi </w:t>
            </w:r>
            <w:r w:rsidRPr="0081110E">
              <w:rPr>
                <w:sz w:val="25"/>
                <w:szCs w:val="25"/>
              </w:rPr>
              <w:t>Ministru kabineta rīkojuma projekt</w:t>
            </w:r>
            <w:r w:rsidR="003014C2" w:rsidRPr="0081110E">
              <w:rPr>
                <w:sz w:val="25"/>
                <w:szCs w:val="25"/>
              </w:rPr>
              <w:t>u</w:t>
            </w:r>
            <w:r w:rsidR="00FF19DC" w:rsidRPr="0081110E">
              <w:rPr>
                <w:sz w:val="25"/>
                <w:szCs w:val="25"/>
              </w:rPr>
              <w:t xml:space="preserve"> „Par finanšu līdzekļu piešķiršanu no valsts budžeta programmas „Līdzekļi neparedzētiem gadījumiem”” (turpmāk – Rīkojuma projekts)</w:t>
            </w:r>
            <w:r w:rsidR="002E40BB" w:rsidRPr="0081110E">
              <w:rPr>
                <w:sz w:val="25"/>
                <w:szCs w:val="25"/>
              </w:rPr>
              <w:t>.</w:t>
            </w:r>
          </w:p>
        </w:tc>
      </w:tr>
      <w:tr w:rsidR="00585B7B" w:rsidRPr="0081110E" w:rsidTr="00825CDD">
        <w:trPr>
          <w:trHeight w:val="847"/>
        </w:trPr>
        <w:tc>
          <w:tcPr>
            <w:tcW w:w="998" w:type="dxa"/>
          </w:tcPr>
          <w:p w:rsidR="00585B7B" w:rsidRPr="0081110E" w:rsidRDefault="00585B7B" w:rsidP="00BD696A">
            <w:pPr>
              <w:pStyle w:val="naiskr"/>
              <w:spacing w:before="0" w:after="0"/>
              <w:jc w:val="center"/>
              <w:rPr>
                <w:sz w:val="25"/>
                <w:szCs w:val="25"/>
              </w:rPr>
            </w:pPr>
            <w:r w:rsidRPr="0081110E">
              <w:rPr>
                <w:sz w:val="25"/>
                <w:szCs w:val="25"/>
              </w:rPr>
              <w:lastRenderedPageBreak/>
              <w:t>3.</w:t>
            </w:r>
          </w:p>
        </w:tc>
        <w:tc>
          <w:tcPr>
            <w:tcW w:w="2693" w:type="dxa"/>
          </w:tcPr>
          <w:p w:rsidR="00585B7B" w:rsidRPr="0081110E" w:rsidRDefault="00585B7B" w:rsidP="00916055">
            <w:pPr>
              <w:pStyle w:val="naiskr"/>
              <w:spacing w:before="0" w:after="0"/>
              <w:ind w:left="141"/>
              <w:rPr>
                <w:sz w:val="25"/>
                <w:szCs w:val="25"/>
              </w:rPr>
            </w:pPr>
            <w:r w:rsidRPr="0081110E">
              <w:rPr>
                <w:sz w:val="25"/>
                <w:szCs w:val="25"/>
              </w:rPr>
              <w:t>Saistītie politikas ietekmes novērtējumi un pētījumi</w:t>
            </w:r>
          </w:p>
        </w:tc>
        <w:tc>
          <w:tcPr>
            <w:tcW w:w="6506" w:type="dxa"/>
          </w:tcPr>
          <w:p w:rsidR="00585B7B" w:rsidRPr="0081110E" w:rsidRDefault="00585B7B" w:rsidP="00131A15">
            <w:pPr>
              <w:pStyle w:val="FootnoteText"/>
              <w:ind w:firstLine="82"/>
              <w:rPr>
                <w:sz w:val="25"/>
                <w:szCs w:val="25"/>
              </w:rPr>
            </w:pPr>
            <w:r w:rsidRPr="0081110E">
              <w:rPr>
                <w:sz w:val="25"/>
                <w:szCs w:val="25"/>
              </w:rPr>
              <w:t>Nav attiecināms</w:t>
            </w:r>
          </w:p>
        </w:tc>
      </w:tr>
      <w:tr w:rsidR="00585B7B" w:rsidRPr="0081110E" w:rsidTr="005F3AA1">
        <w:trPr>
          <w:trHeight w:val="410"/>
        </w:trPr>
        <w:tc>
          <w:tcPr>
            <w:tcW w:w="998" w:type="dxa"/>
          </w:tcPr>
          <w:p w:rsidR="00585B7B" w:rsidRPr="0081110E" w:rsidRDefault="00585B7B" w:rsidP="00BD696A">
            <w:pPr>
              <w:pStyle w:val="naiskr"/>
              <w:spacing w:before="0" w:after="0"/>
              <w:jc w:val="center"/>
              <w:rPr>
                <w:sz w:val="25"/>
                <w:szCs w:val="25"/>
              </w:rPr>
            </w:pPr>
            <w:r w:rsidRPr="0081110E">
              <w:rPr>
                <w:sz w:val="25"/>
                <w:szCs w:val="25"/>
              </w:rPr>
              <w:t>4.</w:t>
            </w:r>
          </w:p>
        </w:tc>
        <w:tc>
          <w:tcPr>
            <w:tcW w:w="2693" w:type="dxa"/>
          </w:tcPr>
          <w:p w:rsidR="00585B7B" w:rsidRPr="0081110E" w:rsidRDefault="00585B7B" w:rsidP="00916055">
            <w:pPr>
              <w:pStyle w:val="naiskr"/>
              <w:spacing w:before="0" w:after="0"/>
              <w:ind w:left="141"/>
              <w:rPr>
                <w:sz w:val="25"/>
                <w:szCs w:val="25"/>
              </w:rPr>
            </w:pPr>
            <w:r w:rsidRPr="0081110E">
              <w:rPr>
                <w:sz w:val="25"/>
                <w:szCs w:val="25"/>
              </w:rPr>
              <w:t>Tiesiskā regulējuma mērķis un būtība</w:t>
            </w:r>
          </w:p>
        </w:tc>
        <w:tc>
          <w:tcPr>
            <w:tcW w:w="6506" w:type="dxa"/>
          </w:tcPr>
          <w:p w:rsidR="009D5CF1" w:rsidRPr="0081110E" w:rsidRDefault="00B96B6E" w:rsidP="001B1F71">
            <w:pPr>
              <w:ind w:left="82" w:right="141"/>
              <w:jc w:val="both"/>
              <w:rPr>
                <w:rFonts w:eastAsia="Times New Roman"/>
                <w:color w:val="000000"/>
                <w:sz w:val="25"/>
                <w:szCs w:val="25"/>
              </w:rPr>
            </w:pPr>
            <w:r w:rsidRPr="0081110E">
              <w:rPr>
                <w:rFonts w:eastAsia="Times New Roman"/>
                <w:color w:val="000000"/>
                <w:sz w:val="25"/>
                <w:szCs w:val="25"/>
              </w:rPr>
              <w:t xml:space="preserve">Rīkojuma projekts paredz uzdevumu </w:t>
            </w:r>
            <w:r w:rsidR="00FB266A" w:rsidRPr="0081110E">
              <w:rPr>
                <w:sz w:val="25"/>
                <w:szCs w:val="25"/>
              </w:rPr>
              <w:t xml:space="preserve"> </w:t>
            </w:r>
            <w:r w:rsidR="00FB266A" w:rsidRPr="0081110E">
              <w:rPr>
                <w:rFonts w:eastAsia="Times New Roman"/>
                <w:color w:val="000000"/>
                <w:sz w:val="25"/>
                <w:szCs w:val="25"/>
              </w:rPr>
              <w:t>Finanšu ministrijai no valsts budžeta programmas 02.00.00 „Līdzekļi neparedzētiem gadījumiem” piešķirt ministrijai 36`</w:t>
            </w:r>
            <w:r w:rsidR="004D6D19">
              <w:rPr>
                <w:rFonts w:eastAsia="Times New Roman"/>
                <w:color w:val="000000"/>
                <w:sz w:val="25"/>
                <w:szCs w:val="25"/>
              </w:rPr>
              <w:t>5</w:t>
            </w:r>
            <w:r w:rsidR="00FB266A" w:rsidRPr="0081110E">
              <w:rPr>
                <w:rFonts w:eastAsia="Times New Roman"/>
                <w:color w:val="000000"/>
                <w:sz w:val="25"/>
                <w:szCs w:val="25"/>
              </w:rPr>
              <w:t xml:space="preserve">40 latus, t.sk., 8`340 latus pārskaitīšanai </w:t>
            </w:r>
            <w:r w:rsidR="001B1F71" w:rsidRPr="0081110E">
              <w:rPr>
                <w:rFonts w:eastAsia="Times New Roman"/>
                <w:color w:val="000000"/>
                <w:sz w:val="25"/>
                <w:szCs w:val="25"/>
              </w:rPr>
              <w:t>LVF</w:t>
            </w:r>
            <w:r w:rsidR="00FB266A" w:rsidRPr="0081110E">
              <w:rPr>
                <w:rFonts w:eastAsia="Times New Roman"/>
                <w:color w:val="000000"/>
                <w:sz w:val="25"/>
                <w:szCs w:val="25"/>
              </w:rPr>
              <w:t>, lai segtu izdevumus, kas saistīti ar Latvijas nacionālās sieviešu volejbola izlases dalību 2014.gada pasaules čempionāta kvalifikācijas turnīra</w:t>
            </w:r>
            <w:r w:rsidR="00345224">
              <w:rPr>
                <w:rFonts w:eastAsia="Times New Roman"/>
                <w:color w:val="000000"/>
                <w:sz w:val="25"/>
                <w:szCs w:val="25"/>
              </w:rPr>
              <w:t xml:space="preserve"> otrajā kārtā Raananā (Izraēla) </w:t>
            </w:r>
            <w:r w:rsidR="001B1F71" w:rsidRPr="0081110E">
              <w:rPr>
                <w:rFonts w:eastAsia="Times New Roman"/>
                <w:color w:val="000000"/>
                <w:sz w:val="25"/>
                <w:szCs w:val="25"/>
              </w:rPr>
              <w:t xml:space="preserve">un </w:t>
            </w:r>
            <w:r w:rsidR="00FB266A" w:rsidRPr="0081110E">
              <w:rPr>
                <w:rFonts w:eastAsia="Times New Roman"/>
                <w:color w:val="000000"/>
                <w:sz w:val="25"/>
                <w:szCs w:val="25"/>
              </w:rPr>
              <w:t>28</w:t>
            </w:r>
            <w:r w:rsidR="001B1F71" w:rsidRPr="0081110E">
              <w:rPr>
                <w:rFonts w:eastAsia="Times New Roman"/>
                <w:color w:val="000000"/>
                <w:sz w:val="25"/>
                <w:szCs w:val="25"/>
              </w:rPr>
              <w:t>`</w:t>
            </w:r>
            <w:r w:rsidR="00FB266A" w:rsidRPr="0081110E">
              <w:rPr>
                <w:rFonts w:eastAsia="Times New Roman"/>
                <w:color w:val="000000"/>
                <w:sz w:val="25"/>
                <w:szCs w:val="25"/>
              </w:rPr>
              <w:t xml:space="preserve"> 200 latus pārskaitīšanai </w:t>
            </w:r>
            <w:r w:rsidR="001B1F71" w:rsidRPr="0081110E">
              <w:rPr>
                <w:rFonts w:eastAsia="Times New Roman"/>
                <w:color w:val="000000"/>
                <w:sz w:val="25"/>
                <w:szCs w:val="25"/>
              </w:rPr>
              <w:t>LASS</w:t>
            </w:r>
            <w:r w:rsidR="00FB266A" w:rsidRPr="0081110E">
              <w:rPr>
                <w:rFonts w:eastAsia="Times New Roman"/>
                <w:color w:val="000000"/>
                <w:sz w:val="25"/>
                <w:szCs w:val="25"/>
              </w:rPr>
              <w:t xml:space="preserve">, lai segtu izdevumus, kas saistīti ar </w:t>
            </w:r>
            <w:r w:rsidR="001B1F71" w:rsidRPr="0081110E">
              <w:rPr>
                <w:sz w:val="25"/>
                <w:szCs w:val="25"/>
              </w:rPr>
              <w:t xml:space="preserve"> </w:t>
            </w:r>
            <w:r w:rsidR="001B1F71" w:rsidRPr="0081110E">
              <w:rPr>
                <w:rFonts w:eastAsia="Times New Roman"/>
                <w:color w:val="000000"/>
                <w:sz w:val="25"/>
                <w:szCs w:val="25"/>
              </w:rPr>
              <w:t>Latvijas studentu vīriešu hokeja izlases</w:t>
            </w:r>
            <w:r w:rsidR="00FB266A" w:rsidRPr="0081110E">
              <w:rPr>
                <w:rFonts w:eastAsia="Times New Roman"/>
                <w:color w:val="000000"/>
                <w:sz w:val="25"/>
                <w:szCs w:val="25"/>
              </w:rPr>
              <w:t xml:space="preserve"> </w:t>
            </w:r>
            <w:r w:rsidR="00DA266F">
              <w:rPr>
                <w:rFonts w:eastAsia="Times New Roman"/>
                <w:color w:val="000000"/>
                <w:sz w:val="25"/>
                <w:szCs w:val="25"/>
              </w:rPr>
              <w:t xml:space="preserve">sagatavošanos un </w:t>
            </w:r>
            <w:r w:rsidR="00FB266A" w:rsidRPr="0081110E">
              <w:rPr>
                <w:rFonts w:eastAsia="Times New Roman"/>
                <w:color w:val="000000"/>
                <w:sz w:val="25"/>
                <w:szCs w:val="25"/>
              </w:rPr>
              <w:t>dalību 2013.gada pasaules Ziemas Universiādē Trentīno (Itālija)</w:t>
            </w:r>
            <w:r w:rsidR="00E71B3B" w:rsidRPr="0081110E">
              <w:rPr>
                <w:rFonts w:eastAsia="Times New Roman"/>
                <w:color w:val="000000"/>
                <w:sz w:val="25"/>
                <w:szCs w:val="25"/>
              </w:rPr>
              <w:t>.</w:t>
            </w:r>
          </w:p>
          <w:p w:rsidR="00730CDA" w:rsidRPr="0081110E" w:rsidRDefault="00730CDA" w:rsidP="00730CDA">
            <w:pPr>
              <w:ind w:left="82" w:right="141"/>
              <w:jc w:val="both"/>
              <w:rPr>
                <w:rFonts w:eastAsia="Times New Roman"/>
                <w:color w:val="000000"/>
                <w:sz w:val="25"/>
                <w:szCs w:val="25"/>
              </w:rPr>
            </w:pPr>
          </w:p>
          <w:p w:rsidR="00033013" w:rsidRPr="0081110E" w:rsidRDefault="002E011D" w:rsidP="00131A15">
            <w:pPr>
              <w:ind w:left="82" w:right="141"/>
              <w:jc w:val="both"/>
              <w:rPr>
                <w:rFonts w:eastAsia="Times New Roman"/>
                <w:color w:val="000000"/>
                <w:sz w:val="25"/>
                <w:szCs w:val="25"/>
              </w:rPr>
            </w:pPr>
            <w:r w:rsidRPr="0081110E">
              <w:rPr>
                <w:color w:val="000000"/>
                <w:sz w:val="25"/>
                <w:szCs w:val="25"/>
              </w:rPr>
              <w:t xml:space="preserve">Anotācijas I sadaļas 2.punktā </w:t>
            </w:r>
            <w:r w:rsidR="00033013" w:rsidRPr="0081110E">
              <w:rPr>
                <w:color w:val="000000"/>
                <w:sz w:val="25"/>
                <w:szCs w:val="25"/>
              </w:rPr>
              <w:t>minētā problēma tiks atrisināta pilnībā.</w:t>
            </w:r>
          </w:p>
        </w:tc>
      </w:tr>
      <w:tr w:rsidR="00585B7B" w:rsidRPr="0081110E" w:rsidTr="00CB5F57">
        <w:trPr>
          <w:trHeight w:val="476"/>
        </w:trPr>
        <w:tc>
          <w:tcPr>
            <w:tcW w:w="998" w:type="dxa"/>
          </w:tcPr>
          <w:p w:rsidR="00585B7B" w:rsidRPr="0081110E" w:rsidRDefault="00585B7B" w:rsidP="00BD696A">
            <w:pPr>
              <w:pStyle w:val="naiskr"/>
              <w:spacing w:before="0" w:after="0"/>
              <w:jc w:val="center"/>
              <w:rPr>
                <w:sz w:val="25"/>
                <w:szCs w:val="25"/>
              </w:rPr>
            </w:pPr>
            <w:r w:rsidRPr="0081110E">
              <w:rPr>
                <w:sz w:val="25"/>
                <w:szCs w:val="25"/>
              </w:rPr>
              <w:t>5.</w:t>
            </w:r>
          </w:p>
        </w:tc>
        <w:tc>
          <w:tcPr>
            <w:tcW w:w="2693" w:type="dxa"/>
          </w:tcPr>
          <w:p w:rsidR="00585B7B" w:rsidRPr="0081110E" w:rsidRDefault="00585B7B" w:rsidP="00916055">
            <w:pPr>
              <w:pStyle w:val="naiskr"/>
              <w:spacing w:before="0" w:after="0"/>
              <w:ind w:left="141"/>
              <w:rPr>
                <w:sz w:val="25"/>
                <w:szCs w:val="25"/>
              </w:rPr>
            </w:pPr>
            <w:r w:rsidRPr="0081110E">
              <w:rPr>
                <w:sz w:val="25"/>
                <w:szCs w:val="25"/>
              </w:rPr>
              <w:t>Projekta izstrādē iesaistītās institūcijas</w:t>
            </w:r>
          </w:p>
        </w:tc>
        <w:tc>
          <w:tcPr>
            <w:tcW w:w="6506" w:type="dxa"/>
          </w:tcPr>
          <w:p w:rsidR="00585B7B" w:rsidRPr="0081110E" w:rsidRDefault="00033013" w:rsidP="00D726E1">
            <w:pPr>
              <w:ind w:left="82" w:right="141"/>
              <w:jc w:val="both"/>
              <w:rPr>
                <w:sz w:val="25"/>
                <w:szCs w:val="25"/>
              </w:rPr>
            </w:pPr>
            <w:r w:rsidRPr="0081110E">
              <w:rPr>
                <w:sz w:val="25"/>
                <w:szCs w:val="25"/>
              </w:rPr>
              <w:t>Izglītības un zinātnes ministrija</w:t>
            </w:r>
            <w:r w:rsidR="001B1F71" w:rsidRPr="0081110E">
              <w:rPr>
                <w:sz w:val="25"/>
                <w:szCs w:val="25"/>
              </w:rPr>
              <w:t>,</w:t>
            </w:r>
            <w:r w:rsidR="00D726E1" w:rsidRPr="0081110E">
              <w:rPr>
                <w:sz w:val="25"/>
                <w:szCs w:val="25"/>
              </w:rPr>
              <w:t xml:space="preserve"> </w:t>
            </w:r>
            <w:r w:rsidR="00255BAD" w:rsidRPr="0081110E">
              <w:rPr>
                <w:rFonts w:eastAsia="Times New Roman"/>
                <w:color w:val="000000"/>
                <w:sz w:val="25"/>
                <w:szCs w:val="25"/>
              </w:rPr>
              <w:t xml:space="preserve">biedrība </w:t>
            </w:r>
            <w:r w:rsidR="0017384A" w:rsidRPr="0081110E">
              <w:rPr>
                <w:rFonts w:eastAsia="Times New Roman"/>
                <w:color w:val="000000"/>
                <w:sz w:val="25"/>
                <w:szCs w:val="25"/>
              </w:rPr>
              <w:t xml:space="preserve">„Latvijas </w:t>
            </w:r>
            <w:r w:rsidR="000E2AA3" w:rsidRPr="0081110E">
              <w:rPr>
                <w:rFonts w:eastAsia="Times New Roman"/>
                <w:color w:val="000000"/>
                <w:sz w:val="25"/>
                <w:szCs w:val="25"/>
              </w:rPr>
              <w:t>Augstskolu sporta savienība</w:t>
            </w:r>
            <w:r w:rsidR="0017384A" w:rsidRPr="0081110E">
              <w:rPr>
                <w:rFonts w:eastAsia="Times New Roman"/>
                <w:color w:val="000000"/>
                <w:sz w:val="25"/>
                <w:szCs w:val="25"/>
              </w:rPr>
              <w:t>”</w:t>
            </w:r>
            <w:r w:rsidR="001B1F71" w:rsidRPr="0081110E">
              <w:rPr>
                <w:rFonts w:eastAsia="Times New Roman"/>
                <w:color w:val="000000"/>
                <w:sz w:val="25"/>
                <w:szCs w:val="25"/>
              </w:rPr>
              <w:t xml:space="preserve">, biedrība „Latvijas Volejbola federācija” un biedrība „Latvijas Hokeja federācija”. </w:t>
            </w:r>
          </w:p>
        </w:tc>
      </w:tr>
      <w:tr w:rsidR="00585B7B" w:rsidRPr="0081110E" w:rsidTr="002637C0">
        <w:trPr>
          <w:trHeight w:val="416"/>
        </w:trPr>
        <w:tc>
          <w:tcPr>
            <w:tcW w:w="998" w:type="dxa"/>
          </w:tcPr>
          <w:p w:rsidR="00585B7B" w:rsidRPr="0081110E" w:rsidRDefault="00585B7B" w:rsidP="00BD696A">
            <w:pPr>
              <w:pStyle w:val="naiskr"/>
              <w:spacing w:before="0" w:after="0"/>
              <w:jc w:val="center"/>
              <w:rPr>
                <w:sz w:val="25"/>
                <w:szCs w:val="25"/>
              </w:rPr>
            </w:pPr>
            <w:r w:rsidRPr="0081110E">
              <w:rPr>
                <w:sz w:val="25"/>
                <w:szCs w:val="25"/>
              </w:rPr>
              <w:t>6.</w:t>
            </w:r>
          </w:p>
        </w:tc>
        <w:tc>
          <w:tcPr>
            <w:tcW w:w="2693" w:type="dxa"/>
          </w:tcPr>
          <w:p w:rsidR="00585B7B" w:rsidRPr="0081110E" w:rsidRDefault="00585B7B" w:rsidP="00916055">
            <w:pPr>
              <w:pStyle w:val="naiskr"/>
              <w:spacing w:before="0" w:after="0"/>
              <w:ind w:left="141"/>
              <w:rPr>
                <w:i/>
                <w:sz w:val="25"/>
                <w:szCs w:val="25"/>
                <w:highlight w:val="yellow"/>
              </w:rPr>
            </w:pPr>
            <w:r w:rsidRPr="0081110E">
              <w:rPr>
                <w:sz w:val="25"/>
                <w:szCs w:val="25"/>
              </w:rPr>
              <w:t>Iemesli, kādēļ netika nodrošināta sabiedrības līdzdalība</w:t>
            </w:r>
          </w:p>
        </w:tc>
        <w:tc>
          <w:tcPr>
            <w:tcW w:w="6506" w:type="dxa"/>
          </w:tcPr>
          <w:p w:rsidR="00585B7B" w:rsidRPr="0081110E" w:rsidRDefault="00E72ADF" w:rsidP="00E72ADF">
            <w:pPr>
              <w:pStyle w:val="FootnoteText"/>
              <w:ind w:left="142" w:right="127" w:hanging="60"/>
              <w:jc w:val="both"/>
              <w:rPr>
                <w:sz w:val="25"/>
                <w:szCs w:val="25"/>
              </w:rPr>
            </w:pPr>
            <w:r w:rsidRPr="0081110E">
              <w:rPr>
                <w:sz w:val="25"/>
                <w:szCs w:val="25"/>
              </w:rPr>
              <w:t xml:space="preserve"> Jautājums par papildus valsts budžeta līdzekļu piešķiršanu LVF un LASS izskatīts Latvijas Nacionālās sporta padomes 2013.gada 25.septembra sēdē, tāpēc atkārtota sabiedrības </w:t>
            </w:r>
            <w:r w:rsidRPr="0081110E">
              <w:rPr>
                <w:sz w:val="25"/>
                <w:szCs w:val="25"/>
              </w:rPr>
              <w:lastRenderedPageBreak/>
              <w:t>līdzdalība Rīkojuma projekta izstrādē nebija nepieciešama.</w:t>
            </w:r>
          </w:p>
        </w:tc>
      </w:tr>
      <w:tr w:rsidR="00585B7B" w:rsidRPr="0081110E" w:rsidTr="002637C0">
        <w:tc>
          <w:tcPr>
            <w:tcW w:w="998" w:type="dxa"/>
          </w:tcPr>
          <w:p w:rsidR="00585B7B" w:rsidRPr="0081110E" w:rsidRDefault="00585B7B" w:rsidP="00BD696A">
            <w:pPr>
              <w:pStyle w:val="naiskr"/>
              <w:spacing w:before="0" w:after="0"/>
              <w:jc w:val="center"/>
              <w:rPr>
                <w:sz w:val="25"/>
                <w:szCs w:val="25"/>
              </w:rPr>
            </w:pPr>
            <w:r w:rsidRPr="0081110E">
              <w:rPr>
                <w:sz w:val="25"/>
                <w:szCs w:val="25"/>
              </w:rPr>
              <w:lastRenderedPageBreak/>
              <w:t>7.</w:t>
            </w:r>
          </w:p>
        </w:tc>
        <w:tc>
          <w:tcPr>
            <w:tcW w:w="2693" w:type="dxa"/>
          </w:tcPr>
          <w:p w:rsidR="00585B7B" w:rsidRPr="0081110E" w:rsidRDefault="00585B7B" w:rsidP="00916055">
            <w:pPr>
              <w:pStyle w:val="naiskr"/>
              <w:spacing w:before="0" w:after="0"/>
              <w:ind w:left="141"/>
              <w:rPr>
                <w:sz w:val="25"/>
                <w:szCs w:val="25"/>
              </w:rPr>
            </w:pPr>
            <w:r w:rsidRPr="0081110E">
              <w:rPr>
                <w:sz w:val="25"/>
                <w:szCs w:val="25"/>
              </w:rPr>
              <w:t>Cita informācija</w:t>
            </w:r>
          </w:p>
        </w:tc>
        <w:tc>
          <w:tcPr>
            <w:tcW w:w="6506" w:type="dxa"/>
          </w:tcPr>
          <w:p w:rsidR="00585B7B" w:rsidRPr="0081110E" w:rsidRDefault="00E5461A" w:rsidP="00457282">
            <w:pPr>
              <w:ind w:left="142" w:right="127"/>
              <w:jc w:val="both"/>
              <w:rPr>
                <w:sz w:val="25"/>
                <w:szCs w:val="25"/>
              </w:rPr>
            </w:pPr>
            <w:r w:rsidRPr="0081110E">
              <w:rPr>
                <w:sz w:val="25"/>
                <w:szCs w:val="25"/>
              </w:rPr>
              <w:t>Rīkojuma projekts tiešā veidā attiecas uz tūrisma, sporta un brīvā laika politiku.</w:t>
            </w:r>
          </w:p>
        </w:tc>
      </w:tr>
    </w:tbl>
    <w:p w:rsidR="002F25B0" w:rsidRPr="0081110E" w:rsidRDefault="005C3A56" w:rsidP="005C3A56">
      <w:pPr>
        <w:pStyle w:val="naisf"/>
        <w:tabs>
          <w:tab w:val="left" w:pos="3819"/>
        </w:tabs>
        <w:spacing w:before="0" w:after="0"/>
        <w:rPr>
          <w:sz w:val="25"/>
          <w:szCs w:val="25"/>
        </w:rPr>
      </w:pPr>
      <w:r w:rsidRPr="0081110E">
        <w:rPr>
          <w:sz w:val="25"/>
          <w:szCs w:val="25"/>
        </w:rPr>
        <w:tab/>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07"/>
      </w:tblGrid>
      <w:tr w:rsidR="00585B7B" w:rsidRPr="0081110E" w:rsidTr="00ED6681">
        <w:tc>
          <w:tcPr>
            <w:tcW w:w="10207" w:type="dxa"/>
            <w:vAlign w:val="center"/>
          </w:tcPr>
          <w:p w:rsidR="00585B7B" w:rsidRPr="0081110E" w:rsidRDefault="00585B7B" w:rsidP="00194A0F">
            <w:pPr>
              <w:pStyle w:val="naisnod"/>
              <w:spacing w:before="0" w:after="0"/>
              <w:rPr>
                <w:sz w:val="25"/>
                <w:szCs w:val="25"/>
              </w:rPr>
            </w:pPr>
            <w:r w:rsidRPr="0081110E">
              <w:rPr>
                <w:sz w:val="25"/>
                <w:szCs w:val="25"/>
              </w:rPr>
              <w:t>II. Tiesību akta projekta ietekme uz sabiedrību</w:t>
            </w:r>
          </w:p>
        </w:tc>
      </w:tr>
      <w:tr w:rsidR="00585B7B" w:rsidRPr="0081110E" w:rsidTr="00ED6681">
        <w:tc>
          <w:tcPr>
            <w:tcW w:w="10207" w:type="dxa"/>
            <w:vAlign w:val="center"/>
          </w:tcPr>
          <w:p w:rsidR="00585B7B" w:rsidRPr="0081110E" w:rsidRDefault="00585B7B" w:rsidP="00194A0F">
            <w:pPr>
              <w:pStyle w:val="naisnod"/>
              <w:spacing w:before="0" w:after="0"/>
              <w:rPr>
                <w:sz w:val="25"/>
                <w:szCs w:val="25"/>
              </w:rPr>
            </w:pPr>
            <w:r w:rsidRPr="0081110E">
              <w:rPr>
                <w:b w:val="0"/>
                <w:sz w:val="25"/>
                <w:szCs w:val="25"/>
              </w:rPr>
              <w:t>Nav attiecināms</w:t>
            </w:r>
          </w:p>
        </w:tc>
      </w:tr>
    </w:tbl>
    <w:p w:rsidR="00585B7B" w:rsidRPr="0081110E" w:rsidRDefault="00585B7B" w:rsidP="00D96FCD">
      <w:pPr>
        <w:pStyle w:val="naisf"/>
        <w:spacing w:before="0" w:after="0"/>
        <w:rPr>
          <w:sz w:val="25"/>
          <w:szCs w:val="25"/>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81110E" w:rsidTr="00916055">
        <w:trPr>
          <w:trHeight w:val="496"/>
          <w:jc w:val="center"/>
        </w:trPr>
        <w:tc>
          <w:tcPr>
            <w:tcW w:w="10077" w:type="dxa"/>
            <w:gridSpan w:val="6"/>
          </w:tcPr>
          <w:p w:rsidR="00DA30DA" w:rsidRPr="0081110E" w:rsidRDefault="00DA30DA" w:rsidP="00916055">
            <w:pPr>
              <w:pStyle w:val="naisnod"/>
              <w:spacing w:before="0" w:after="0"/>
              <w:rPr>
                <w:i/>
                <w:sz w:val="25"/>
                <w:szCs w:val="25"/>
              </w:rPr>
            </w:pPr>
            <w:r w:rsidRPr="0081110E">
              <w:rPr>
                <w:sz w:val="25"/>
                <w:szCs w:val="25"/>
              </w:rPr>
              <w:br w:type="page"/>
              <w:t>III. Tiesību akta projekta ietekme uz valsts budžetu un pašvaldību budžetiem</w:t>
            </w:r>
          </w:p>
        </w:tc>
      </w:tr>
      <w:tr w:rsidR="00DA30DA" w:rsidRPr="0081110E" w:rsidTr="00DA30DA">
        <w:trPr>
          <w:jc w:val="center"/>
        </w:trPr>
        <w:tc>
          <w:tcPr>
            <w:tcW w:w="2853" w:type="dxa"/>
            <w:vMerge w:val="restart"/>
            <w:vAlign w:val="center"/>
          </w:tcPr>
          <w:p w:rsidR="00DA30DA" w:rsidRPr="0081110E" w:rsidRDefault="00DA30DA" w:rsidP="00831A72">
            <w:pPr>
              <w:pStyle w:val="naisf"/>
              <w:spacing w:before="0" w:after="0"/>
              <w:ind w:firstLine="0"/>
              <w:jc w:val="center"/>
              <w:rPr>
                <w:b/>
                <w:sz w:val="25"/>
                <w:szCs w:val="25"/>
              </w:rPr>
            </w:pPr>
            <w:r w:rsidRPr="0081110E">
              <w:rPr>
                <w:b/>
                <w:sz w:val="25"/>
                <w:szCs w:val="25"/>
              </w:rPr>
              <w:t>Rādītāji</w:t>
            </w:r>
          </w:p>
        </w:tc>
        <w:tc>
          <w:tcPr>
            <w:tcW w:w="2703" w:type="dxa"/>
            <w:gridSpan w:val="2"/>
            <w:vMerge w:val="restart"/>
            <w:vAlign w:val="center"/>
          </w:tcPr>
          <w:p w:rsidR="00DA30DA" w:rsidRPr="0081110E" w:rsidRDefault="00DA30DA" w:rsidP="00942D3A">
            <w:pPr>
              <w:pStyle w:val="naisf"/>
              <w:spacing w:before="0" w:after="0"/>
              <w:ind w:firstLine="0"/>
              <w:jc w:val="center"/>
              <w:rPr>
                <w:b/>
                <w:sz w:val="25"/>
                <w:szCs w:val="25"/>
              </w:rPr>
            </w:pPr>
            <w:r w:rsidRPr="0081110E">
              <w:rPr>
                <w:b/>
                <w:sz w:val="25"/>
                <w:szCs w:val="25"/>
              </w:rPr>
              <w:t>201</w:t>
            </w:r>
            <w:r w:rsidR="00457282" w:rsidRPr="0081110E">
              <w:rPr>
                <w:b/>
                <w:sz w:val="25"/>
                <w:szCs w:val="25"/>
              </w:rPr>
              <w:t>3</w:t>
            </w:r>
            <w:r w:rsidRPr="0081110E">
              <w:rPr>
                <w:b/>
                <w:sz w:val="25"/>
                <w:szCs w:val="25"/>
              </w:rPr>
              <w:t>.gads</w:t>
            </w:r>
          </w:p>
        </w:tc>
        <w:tc>
          <w:tcPr>
            <w:tcW w:w="4521" w:type="dxa"/>
            <w:gridSpan w:val="3"/>
            <w:vAlign w:val="center"/>
          </w:tcPr>
          <w:p w:rsidR="00DA30DA" w:rsidRPr="0081110E" w:rsidRDefault="00DA30DA" w:rsidP="00831A72">
            <w:pPr>
              <w:pStyle w:val="naisf"/>
              <w:spacing w:before="0" w:after="0"/>
              <w:ind w:firstLine="0"/>
              <w:jc w:val="center"/>
              <w:rPr>
                <w:b/>
                <w:i/>
                <w:sz w:val="25"/>
                <w:szCs w:val="25"/>
              </w:rPr>
            </w:pPr>
            <w:r w:rsidRPr="0081110E">
              <w:rPr>
                <w:sz w:val="25"/>
                <w:szCs w:val="25"/>
              </w:rPr>
              <w:t>Turpmākie trīs gadi (tūkst</w:t>
            </w:r>
            <w:smartTag w:uri="schemas-tilde-lv/tildestengine" w:element="currency2">
              <w:smartTagPr>
                <w:attr w:name="currency_id" w:val="48"/>
                <w:attr w:name="currency_key" w:val="LVL"/>
                <w:attr w:name="currency_value" w:val="."/>
                <w:attr w:name="currency_text" w:val="latu"/>
              </w:smartTagPr>
              <w:r w:rsidRPr="0081110E">
                <w:rPr>
                  <w:sz w:val="25"/>
                  <w:szCs w:val="25"/>
                </w:rPr>
                <w:t>. latu</w:t>
              </w:r>
            </w:smartTag>
            <w:r w:rsidRPr="0081110E">
              <w:rPr>
                <w:sz w:val="25"/>
                <w:szCs w:val="25"/>
              </w:rPr>
              <w:t>)</w:t>
            </w:r>
          </w:p>
        </w:tc>
      </w:tr>
      <w:tr w:rsidR="00DA30DA" w:rsidRPr="0081110E" w:rsidTr="00DA30DA">
        <w:trPr>
          <w:jc w:val="center"/>
        </w:trPr>
        <w:tc>
          <w:tcPr>
            <w:tcW w:w="2853" w:type="dxa"/>
            <w:vMerge/>
            <w:vAlign w:val="center"/>
          </w:tcPr>
          <w:p w:rsidR="00DA30DA" w:rsidRPr="0081110E" w:rsidRDefault="00DA30DA" w:rsidP="00831A72">
            <w:pPr>
              <w:pStyle w:val="naisf"/>
              <w:spacing w:before="0" w:after="0"/>
              <w:ind w:firstLine="0"/>
              <w:jc w:val="center"/>
              <w:rPr>
                <w:b/>
                <w:i/>
                <w:sz w:val="25"/>
                <w:szCs w:val="25"/>
              </w:rPr>
            </w:pPr>
          </w:p>
        </w:tc>
        <w:tc>
          <w:tcPr>
            <w:tcW w:w="2703" w:type="dxa"/>
            <w:gridSpan w:val="2"/>
            <w:vMerge/>
            <w:vAlign w:val="center"/>
          </w:tcPr>
          <w:p w:rsidR="00DA30DA" w:rsidRPr="0081110E" w:rsidRDefault="00DA30DA" w:rsidP="00831A72">
            <w:pPr>
              <w:pStyle w:val="naisf"/>
              <w:spacing w:before="0" w:after="0"/>
              <w:ind w:firstLine="0"/>
              <w:jc w:val="center"/>
              <w:rPr>
                <w:b/>
                <w:i/>
                <w:sz w:val="25"/>
                <w:szCs w:val="25"/>
              </w:rPr>
            </w:pPr>
          </w:p>
        </w:tc>
        <w:tc>
          <w:tcPr>
            <w:tcW w:w="1507" w:type="dxa"/>
            <w:vAlign w:val="center"/>
          </w:tcPr>
          <w:p w:rsidR="00DA30DA" w:rsidRPr="0081110E" w:rsidRDefault="00DA30DA" w:rsidP="00942D3A">
            <w:pPr>
              <w:pStyle w:val="naisf"/>
              <w:spacing w:before="0" w:after="0"/>
              <w:ind w:firstLine="0"/>
              <w:jc w:val="center"/>
              <w:rPr>
                <w:b/>
                <w:i/>
                <w:sz w:val="25"/>
                <w:szCs w:val="25"/>
              </w:rPr>
            </w:pPr>
            <w:r w:rsidRPr="0081110E">
              <w:rPr>
                <w:b/>
                <w:bCs/>
                <w:sz w:val="25"/>
                <w:szCs w:val="25"/>
              </w:rPr>
              <w:t>201</w:t>
            </w:r>
            <w:r w:rsidR="00457282" w:rsidRPr="0081110E">
              <w:rPr>
                <w:b/>
                <w:bCs/>
                <w:sz w:val="25"/>
                <w:szCs w:val="25"/>
              </w:rPr>
              <w:t>4</w:t>
            </w:r>
          </w:p>
        </w:tc>
        <w:tc>
          <w:tcPr>
            <w:tcW w:w="1507" w:type="dxa"/>
            <w:vAlign w:val="center"/>
          </w:tcPr>
          <w:p w:rsidR="00DA30DA" w:rsidRPr="0081110E" w:rsidRDefault="00DA30DA" w:rsidP="00942D3A">
            <w:pPr>
              <w:pStyle w:val="naisf"/>
              <w:spacing w:before="0" w:after="0"/>
              <w:ind w:firstLine="0"/>
              <w:jc w:val="center"/>
              <w:rPr>
                <w:b/>
                <w:i/>
                <w:sz w:val="25"/>
                <w:szCs w:val="25"/>
              </w:rPr>
            </w:pPr>
            <w:r w:rsidRPr="0081110E">
              <w:rPr>
                <w:b/>
                <w:bCs/>
                <w:sz w:val="25"/>
                <w:szCs w:val="25"/>
              </w:rPr>
              <w:t>201</w:t>
            </w:r>
            <w:r w:rsidR="00457282" w:rsidRPr="0081110E">
              <w:rPr>
                <w:b/>
                <w:bCs/>
                <w:sz w:val="25"/>
                <w:szCs w:val="25"/>
              </w:rPr>
              <w:t>5</w:t>
            </w:r>
          </w:p>
        </w:tc>
        <w:tc>
          <w:tcPr>
            <w:tcW w:w="1507" w:type="dxa"/>
            <w:vAlign w:val="center"/>
          </w:tcPr>
          <w:p w:rsidR="00DA30DA" w:rsidRPr="0081110E" w:rsidRDefault="00DA30DA" w:rsidP="00942D3A">
            <w:pPr>
              <w:pStyle w:val="naisf"/>
              <w:spacing w:before="0" w:after="0"/>
              <w:ind w:firstLine="0"/>
              <w:jc w:val="center"/>
              <w:rPr>
                <w:b/>
                <w:i/>
                <w:sz w:val="25"/>
                <w:szCs w:val="25"/>
              </w:rPr>
            </w:pPr>
            <w:r w:rsidRPr="0081110E">
              <w:rPr>
                <w:b/>
                <w:bCs/>
                <w:sz w:val="25"/>
                <w:szCs w:val="25"/>
              </w:rPr>
              <w:t>201</w:t>
            </w:r>
            <w:r w:rsidR="00457282" w:rsidRPr="0081110E">
              <w:rPr>
                <w:b/>
                <w:bCs/>
                <w:sz w:val="25"/>
                <w:szCs w:val="25"/>
              </w:rPr>
              <w:t>6</w:t>
            </w:r>
          </w:p>
        </w:tc>
      </w:tr>
      <w:tr w:rsidR="00DA30DA" w:rsidRPr="0081110E" w:rsidTr="00DA30DA">
        <w:trPr>
          <w:jc w:val="center"/>
        </w:trPr>
        <w:tc>
          <w:tcPr>
            <w:tcW w:w="2853" w:type="dxa"/>
            <w:vMerge/>
            <w:vAlign w:val="center"/>
          </w:tcPr>
          <w:p w:rsidR="00DA30DA" w:rsidRPr="0081110E" w:rsidRDefault="00DA30DA" w:rsidP="00831A72">
            <w:pPr>
              <w:pStyle w:val="naisf"/>
              <w:spacing w:before="0" w:after="0"/>
              <w:ind w:firstLine="0"/>
              <w:jc w:val="center"/>
              <w:rPr>
                <w:b/>
                <w:i/>
                <w:sz w:val="25"/>
                <w:szCs w:val="25"/>
              </w:rPr>
            </w:pPr>
          </w:p>
        </w:tc>
        <w:tc>
          <w:tcPr>
            <w:tcW w:w="1194" w:type="dxa"/>
            <w:vAlign w:val="center"/>
          </w:tcPr>
          <w:p w:rsidR="00DA30DA" w:rsidRPr="0081110E" w:rsidRDefault="00DA30DA" w:rsidP="00831A72">
            <w:pPr>
              <w:pStyle w:val="naisf"/>
              <w:spacing w:before="0" w:after="0"/>
              <w:ind w:firstLine="0"/>
              <w:jc w:val="center"/>
              <w:rPr>
                <w:b/>
                <w:i/>
                <w:sz w:val="25"/>
                <w:szCs w:val="25"/>
              </w:rPr>
            </w:pPr>
            <w:r w:rsidRPr="0081110E">
              <w:rPr>
                <w:sz w:val="25"/>
                <w:szCs w:val="25"/>
              </w:rPr>
              <w:t>Saskaņā ar valsts budžetu kārtējam gadam</w:t>
            </w:r>
          </w:p>
        </w:tc>
        <w:tc>
          <w:tcPr>
            <w:tcW w:w="1509" w:type="dxa"/>
            <w:vAlign w:val="center"/>
          </w:tcPr>
          <w:p w:rsidR="00DA30DA" w:rsidRPr="0081110E" w:rsidRDefault="00DA30DA" w:rsidP="00831A72">
            <w:pPr>
              <w:pStyle w:val="naisf"/>
              <w:spacing w:before="0" w:after="0"/>
              <w:ind w:firstLine="0"/>
              <w:jc w:val="center"/>
              <w:rPr>
                <w:b/>
                <w:i/>
                <w:sz w:val="25"/>
                <w:szCs w:val="25"/>
              </w:rPr>
            </w:pPr>
            <w:r w:rsidRPr="0081110E">
              <w:rPr>
                <w:sz w:val="25"/>
                <w:szCs w:val="25"/>
              </w:rPr>
              <w:t>Izmaiņas kārtējā gadā, salīdzinot ar budžetu kārtējam gadam</w:t>
            </w:r>
          </w:p>
        </w:tc>
        <w:tc>
          <w:tcPr>
            <w:tcW w:w="1507" w:type="dxa"/>
            <w:vAlign w:val="center"/>
          </w:tcPr>
          <w:p w:rsidR="00DA30DA" w:rsidRPr="0081110E" w:rsidRDefault="00DA30DA" w:rsidP="00831A72">
            <w:pPr>
              <w:pStyle w:val="naisf"/>
              <w:spacing w:before="0" w:after="0"/>
              <w:ind w:firstLine="0"/>
              <w:jc w:val="center"/>
              <w:rPr>
                <w:sz w:val="25"/>
                <w:szCs w:val="25"/>
              </w:rPr>
            </w:pPr>
            <w:r w:rsidRPr="0081110E">
              <w:rPr>
                <w:sz w:val="25"/>
                <w:szCs w:val="25"/>
              </w:rPr>
              <w:t>Izmaiņas, salīdzinot ar kārtējo (20</w:t>
            </w:r>
            <w:r w:rsidR="00554CE1" w:rsidRPr="0081110E">
              <w:rPr>
                <w:sz w:val="25"/>
                <w:szCs w:val="25"/>
              </w:rPr>
              <w:t>1</w:t>
            </w:r>
            <w:r w:rsidR="00471C51">
              <w:rPr>
                <w:sz w:val="25"/>
                <w:szCs w:val="25"/>
              </w:rPr>
              <w:t>3</w:t>
            </w:r>
            <w:r w:rsidRPr="0081110E">
              <w:rPr>
                <w:sz w:val="25"/>
                <w:szCs w:val="25"/>
              </w:rPr>
              <w:t>)</w:t>
            </w:r>
          </w:p>
          <w:p w:rsidR="00DA30DA" w:rsidRPr="0081110E" w:rsidRDefault="00DA30DA" w:rsidP="00831A72">
            <w:pPr>
              <w:pStyle w:val="naisf"/>
              <w:spacing w:before="0" w:after="0"/>
              <w:ind w:firstLine="0"/>
              <w:jc w:val="center"/>
              <w:rPr>
                <w:b/>
                <w:i/>
                <w:sz w:val="25"/>
                <w:szCs w:val="25"/>
              </w:rPr>
            </w:pPr>
            <w:r w:rsidRPr="0081110E">
              <w:rPr>
                <w:sz w:val="25"/>
                <w:szCs w:val="25"/>
              </w:rPr>
              <w:t>gadu</w:t>
            </w:r>
          </w:p>
        </w:tc>
        <w:tc>
          <w:tcPr>
            <w:tcW w:w="1507" w:type="dxa"/>
            <w:vAlign w:val="center"/>
          </w:tcPr>
          <w:p w:rsidR="00DA30DA" w:rsidRPr="0081110E" w:rsidRDefault="00DA30DA" w:rsidP="00831A72">
            <w:pPr>
              <w:pStyle w:val="naisf"/>
              <w:spacing w:before="0" w:after="0"/>
              <w:ind w:firstLine="0"/>
              <w:jc w:val="center"/>
              <w:rPr>
                <w:sz w:val="25"/>
                <w:szCs w:val="25"/>
              </w:rPr>
            </w:pPr>
            <w:r w:rsidRPr="0081110E">
              <w:rPr>
                <w:sz w:val="25"/>
                <w:szCs w:val="25"/>
              </w:rPr>
              <w:t>Izmaiņas, salīdzinot ar kārtējo (201</w:t>
            </w:r>
            <w:r w:rsidR="00471C51">
              <w:rPr>
                <w:sz w:val="25"/>
                <w:szCs w:val="25"/>
              </w:rPr>
              <w:t>3</w:t>
            </w:r>
            <w:r w:rsidRPr="0081110E">
              <w:rPr>
                <w:sz w:val="25"/>
                <w:szCs w:val="25"/>
              </w:rPr>
              <w:t>)</w:t>
            </w:r>
          </w:p>
          <w:p w:rsidR="00DA30DA" w:rsidRPr="0081110E" w:rsidRDefault="00DA30DA" w:rsidP="00831A72">
            <w:pPr>
              <w:pStyle w:val="naisf"/>
              <w:spacing w:before="0" w:after="0"/>
              <w:ind w:firstLine="0"/>
              <w:jc w:val="center"/>
              <w:rPr>
                <w:b/>
                <w:i/>
                <w:sz w:val="25"/>
                <w:szCs w:val="25"/>
              </w:rPr>
            </w:pPr>
            <w:r w:rsidRPr="0081110E">
              <w:rPr>
                <w:sz w:val="25"/>
                <w:szCs w:val="25"/>
              </w:rPr>
              <w:t>gadu</w:t>
            </w:r>
          </w:p>
        </w:tc>
        <w:tc>
          <w:tcPr>
            <w:tcW w:w="1507" w:type="dxa"/>
            <w:vAlign w:val="center"/>
          </w:tcPr>
          <w:p w:rsidR="00DA30DA" w:rsidRPr="0081110E" w:rsidRDefault="00DA30DA" w:rsidP="00831A72">
            <w:pPr>
              <w:pStyle w:val="naisf"/>
              <w:spacing w:before="0" w:after="0"/>
              <w:ind w:firstLine="0"/>
              <w:jc w:val="center"/>
              <w:rPr>
                <w:sz w:val="25"/>
                <w:szCs w:val="25"/>
              </w:rPr>
            </w:pPr>
            <w:r w:rsidRPr="0081110E">
              <w:rPr>
                <w:sz w:val="25"/>
                <w:szCs w:val="25"/>
              </w:rPr>
              <w:t>Izmaiņas, salīdzinot ar kārtējo (201</w:t>
            </w:r>
            <w:r w:rsidR="00471C51">
              <w:rPr>
                <w:sz w:val="25"/>
                <w:szCs w:val="25"/>
              </w:rPr>
              <w:t>3</w:t>
            </w:r>
            <w:r w:rsidRPr="0081110E">
              <w:rPr>
                <w:sz w:val="25"/>
                <w:szCs w:val="25"/>
              </w:rPr>
              <w:t>)</w:t>
            </w:r>
          </w:p>
          <w:p w:rsidR="00DA30DA" w:rsidRPr="0081110E" w:rsidRDefault="00DA30DA" w:rsidP="00831A72">
            <w:pPr>
              <w:pStyle w:val="naisf"/>
              <w:spacing w:before="0" w:after="0"/>
              <w:ind w:firstLine="0"/>
              <w:jc w:val="center"/>
              <w:rPr>
                <w:b/>
                <w:i/>
                <w:sz w:val="25"/>
                <w:szCs w:val="25"/>
              </w:rPr>
            </w:pPr>
            <w:r w:rsidRPr="0081110E">
              <w:rPr>
                <w:sz w:val="25"/>
                <w:szCs w:val="25"/>
              </w:rPr>
              <w:t>gadu</w:t>
            </w:r>
          </w:p>
        </w:tc>
      </w:tr>
      <w:tr w:rsidR="00DA30DA" w:rsidRPr="0081110E" w:rsidTr="00DA30DA">
        <w:trPr>
          <w:jc w:val="center"/>
        </w:trPr>
        <w:tc>
          <w:tcPr>
            <w:tcW w:w="2853" w:type="dxa"/>
            <w:vAlign w:val="center"/>
          </w:tcPr>
          <w:p w:rsidR="00DA30DA" w:rsidRPr="0081110E" w:rsidRDefault="00DA30DA" w:rsidP="00831A72">
            <w:pPr>
              <w:pStyle w:val="naisf"/>
              <w:spacing w:before="0" w:after="0"/>
              <w:ind w:firstLine="0"/>
              <w:jc w:val="center"/>
              <w:rPr>
                <w:bCs/>
                <w:sz w:val="25"/>
                <w:szCs w:val="25"/>
              </w:rPr>
            </w:pPr>
            <w:r w:rsidRPr="0081110E">
              <w:rPr>
                <w:bCs/>
                <w:sz w:val="25"/>
                <w:szCs w:val="25"/>
              </w:rPr>
              <w:t>1</w:t>
            </w:r>
          </w:p>
        </w:tc>
        <w:tc>
          <w:tcPr>
            <w:tcW w:w="1194" w:type="dxa"/>
            <w:vAlign w:val="center"/>
          </w:tcPr>
          <w:p w:rsidR="00DA30DA" w:rsidRPr="0081110E" w:rsidRDefault="00DA30DA" w:rsidP="00831A72">
            <w:pPr>
              <w:pStyle w:val="naisf"/>
              <w:spacing w:before="0" w:after="0"/>
              <w:ind w:firstLine="0"/>
              <w:jc w:val="center"/>
              <w:rPr>
                <w:bCs/>
                <w:sz w:val="25"/>
                <w:szCs w:val="25"/>
              </w:rPr>
            </w:pPr>
            <w:r w:rsidRPr="0081110E">
              <w:rPr>
                <w:bCs/>
                <w:sz w:val="25"/>
                <w:szCs w:val="25"/>
              </w:rPr>
              <w:t>2</w:t>
            </w:r>
          </w:p>
        </w:tc>
        <w:tc>
          <w:tcPr>
            <w:tcW w:w="1509" w:type="dxa"/>
            <w:vAlign w:val="center"/>
          </w:tcPr>
          <w:p w:rsidR="00DA30DA" w:rsidRPr="0081110E" w:rsidRDefault="00DA30DA" w:rsidP="00831A72">
            <w:pPr>
              <w:pStyle w:val="naisf"/>
              <w:spacing w:before="0" w:after="0"/>
              <w:ind w:firstLine="0"/>
              <w:jc w:val="center"/>
              <w:rPr>
                <w:bCs/>
                <w:sz w:val="25"/>
                <w:szCs w:val="25"/>
              </w:rPr>
            </w:pPr>
            <w:r w:rsidRPr="0081110E">
              <w:rPr>
                <w:bCs/>
                <w:sz w:val="25"/>
                <w:szCs w:val="25"/>
              </w:rPr>
              <w:t>3</w:t>
            </w:r>
          </w:p>
        </w:tc>
        <w:tc>
          <w:tcPr>
            <w:tcW w:w="1507" w:type="dxa"/>
            <w:vAlign w:val="center"/>
          </w:tcPr>
          <w:p w:rsidR="00DA30DA" w:rsidRPr="0081110E" w:rsidRDefault="00DA30DA" w:rsidP="00831A72">
            <w:pPr>
              <w:pStyle w:val="naisf"/>
              <w:spacing w:before="0" w:after="0"/>
              <w:ind w:firstLine="0"/>
              <w:jc w:val="center"/>
              <w:rPr>
                <w:bCs/>
                <w:sz w:val="25"/>
                <w:szCs w:val="25"/>
              </w:rPr>
            </w:pPr>
            <w:r w:rsidRPr="0081110E">
              <w:rPr>
                <w:bCs/>
                <w:sz w:val="25"/>
                <w:szCs w:val="25"/>
              </w:rPr>
              <w:t>4</w:t>
            </w:r>
          </w:p>
        </w:tc>
        <w:tc>
          <w:tcPr>
            <w:tcW w:w="1507" w:type="dxa"/>
            <w:vAlign w:val="center"/>
          </w:tcPr>
          <w:p w:rsidR="00DA30DA" w:rsidRPr="0081110E" w:rsidRDefault="00DA30DA" w:rsidP="00831A72">
            <w:pPr>
              <w:pStyle w:val="naisf"/>
              <w:spacing w:before="0" w:after="0"/>
              <w:ind w:firstLine="0"/>
              <w:jc w:val="center"/>
              <w:rPr>
                <w:bCs/>
                <w:sz w:val="25"/>
                <w:szCs w:val="25"/>
              </w:rPr>
            </w:pPr>
            <w:r w:rsidRPr="0081110E">
              <w:rPr>
                <w:bCs/>
                <w:sz w:val="25"/>
                <w:szCs w:val="25"/>
              </w:rPr>
              <w:t>5</w:t>
            </w:r>
          </w:p>
        </w:tc>
        <w:tc>
          <w:tcPr>
            <w:tcW w:w="1507" w:type="dxa"/>
            <w:vAlign w:val="center"/>
          </w:tcPr>
          <w:p w:rsidR="00DA30DA" w:rsidRPr="0081110E" w:rsidRDefault="00DA30DA" w:rsidP="00831A72">
            <w:pPr>
              <w:pStyle w:val="naisf"/>
              <w:spacing w:before="0" w:after="0"/>
              <w:ind w:firstLine="0"/>
              <w:jc w:val="center"/>
              <w:rPr>
                <w:bCs/>
                <w:sz w:val="25"/>
                <w:szCs w:val="25"/>
              </w:rPr>
            </w:pPr>
            <w:r w:rsidRPr="0081110E">
              <w:rPr>
                <w:bCs/>
                <w:sz w:val="25"/>
                <w:szCs w:val="25"/>
              </w:rPr>
              <w:t>6</w:t>
            </w:r>
          </w:p>
        </w:tc>
      </w:tr>
      <w:tr w:rsidR="00DA30DA" w:rsidRPr="0081110E" w:rsidTr="00DA30DA">
        <w:trPr>
          <w:jc w:val="center"/>
        </w:trPr>
        <w:tc>
          <w:tcPr>
            <w:tcW w:w="2853" w:type="dxa"/>
          </w:tcPr>
          <w:p w:rsidR="00DA30DA" w:rsidRPr="0081110E" w:rsidRDefault="00DA30DA" w:rsidP="00831A72">
            <w:pPr>
              <w:pStyle w:val="naisf"/>
              <w:spacing w:before="0" w:after="0"/>
              <w:ind w:firstLine="0"/>
              <w:rPr>
                <w:i/>
                <w:sz w:val="25"/>
                <w:szCs w:val="25"/>
              </w:rPr>
            </w:pPr>
            <w:r w:rsidRPr="0081110E">
              <w:rPr>
                <w:sz w:val="25"/>
                <w:szCs w:val="25"/>
              </w:rPr>
              <w:t>1. Budžeta ieņēmumi:</w:t>
            </w:r>
          </w:p>
        </w:tc>
        <w:tc>
          <w:tcPr>
            <w:tcW w:w="1194" w:type="dxa"/>
          </w:tcPr>
          <w:p w:rsidR="00DA30DA" w:rsidRPr="0081110E" w:rsidRDefault="00DF040B" w:rsidP="009E39D6">
            <w:pPr>
              <w:pStyle w:val="naisf"/>
              <w:spacing w:before="0" w:after="0"/>
              <w:ind w:firstLine="0"/>
              <w:jc w:val="center"/>
              <w:rPr>
                <w:b/>
                <w:sz w:val="25"/>
                <w:szCs w:val="25"/>
              </w:rPr>
            </w:pPr>
            <w:r>
              <w:rPr>
                <w:b/>
                <w:sz w:val="25"/>
                <w:szCs w:val="25"/>
              </w:rPr>
              <w:t>11</w:t>
            </w:r>
            <w:r w:rsidR="00DE7852" w:rsidRPr="0081110E">
              <w:rPr>
                <w:b/>
                <w:sz w:val="25"/>
                <w:szCs w:val="25"/>
              </w:rPr>
              <w:t>8,6</w:t>
            </w:r>
          </w:p>
        </w:tc>
        <w:tc>
          <w:tcPr>
            <w:tcW w:w="1509" w:type="dxa"/>
          </w:tcPr>
          <w:p w:rsidR="00DA30DA" w:rsidRPr="0081110E" w:rsidRDefault="00DA30DA" w:rsidP="00831A72">
            <w:pPr>
              <w:pStyle w:val="naisf"/>
              <w:spacing w:before="0" w:after="0"/>
              <w:ind w:firstLine="0"/>
              <w:jc w:val="center"/>
              <w:rPr>
                <w:b/>
                <w:sz w:val="25"/>
                <w:szCs w:val="25"/>
              </w:rPr>
            </w:pPr>
            <w:r w:rsidRPr="0081110E">
              <w:rPr>
                <w:b/>
                <w:sz w:val="25"/>
                <w:szCs w:val="25"/>
              </w:rPr>
              <w:t>0</w:t>
            </w:r>
          </w:p>
        </w:tc>
        <w:tc>
          <w:tcPr>
            <w:tcW w:w="1507" w:type="dxa"/>
          </w:tcPr>
          <w:p w:rsidR="00DA30DA" w:rsidRPr="0081110E" w:rsidRDefault="00DA30DA" w:rsidP="00831A72">
            <w:pPr>
              <w:pStyle w:val="naisf"/>
              <w:spacing w:before="0" w:after="0"/>
              <w:ind w:firstLine="0"/>
              <w:jc w:val="center"/>
              <w:rPr>
                <w:b/>
                <w:i/>
                <w:sz w:val="25"/>
                <w:szCs w:val="25"/>
              </w:rPr>
            </w:pPr>
            <w:r w:rsidRPr="0081110E">
              <w:rPr>
                <w:b/>
                <w:sz w:val="25"/>
                <w:szCs w:val="25"/>
              </w:rPr>
              <w:t>0</w:t>
            </w:r>
          </w:p>
        </w:tc>
        <w:tc>
          <w:tcPr>
            <w:tcW w:w="1507" w:type="dxa"/>
          </w:tcPr>
          <w:p w:rsidR="00DA30DA" w:rsidRPr="0081110E" w:rsidRDefault="00DA30DA" w:rsidP="00831A72">
            <w:pPr>
              <w:pStyle w:val="naisf"/>
              <w:spacing w:before="0" w:after="0"/>
              <w:ind w:firstLine="0"/>
              <w:jc w:val="center"/>
              <w:rPr>
                <w:b/>
                <w:i/>
                <w:sz w:val="25"/>
                <w:szCs w:val="25"/>
              </w:rPr>
            </w:pPr>
            <w:r w:rsidRPr="0081110E">
              <w:rPr>
                <w:b/>
                <w:sz w:val="25"/>
                <w:szCs w:val="25"/>
              </w:rPr>
              <w:t>0</w:t>
            </w:r>
          </w:p>
        </w:tc>
        <w:tc>
          <w:tcPr>
            <w:tcW w:w="1507" w:type="dxa"/>
          </w:tcPr>
          <w:p w:rsidR="00DA30DA" w:rsidRPr="0081110E" w:rsidRDefault="00DA30DA" w:rsidP="00831A72">
            <w:pPr>
              <w:pStyle w:val="naisf"/>
              <w:spacing w:before="0" w:after="0"/>
              <w:ind w:firstLine="0"/>
              <w:jc w:val="center"/>
              <w:rPr>
                <w:b/>
                <w:i/>
                <w:sz w:val="25"/>
                <w:szCs w:val="25"/>
              </w:rPr>
            </w:pPr>
            <w:r w:rsidRPr="0081110E">
              <w:rPr>
                <w:b/>
                <w:sz w:val="25"/>
                <w:szCs w:val="25"/>
              </w:rPr>
              <w:t>0</w:t>
            </w:r>
          </w:p>
        </w:tc>
      </w:tr>
      <w:tr w:rsidR="00DA30DA" w:rsidRPr="0081110E" w:rsidTr="00B06326">
        <w:trPr>
          <w:trHeight w:val="1403"/>
          <w:jc w:val="center"/>
        </w:trPr>
        <w:tc>
          <w:tcPr>
            <w:tcW w:w="2853" w:type="dxa"/>
          </w:tcPr>
          <w:p w:rsidR="00DA30DA" w:rsidRPr="0081110E" w:rsidRDefault="00DA30DA" w:rsidP="00B06326">
            <w:pPr>
              <w:pStyle w:val="naisf"/>
              <w:spacing w:before="0" w:after="0"/>
              <w:ind w:firstLine="0"/>
              <w:rPr>
                <w:i/>
                <w:sz w:val="25"/>
                <w:szCs w:val="25"/>
              </w:rPr>
            </w:pPr>
            <w:r w:rsidRPr="0081110E">
              <w:rPr>
                <w:sz w:val="25"/>
                <w:szCs w:val="25"/>
              </w:rPr>
              <w:t>1.1. valsts pamatbudžets, tai skaitā ieņēmumi no maksas pakalpojumiem un citi pašu ieņēmumi</w:t>
            </w:r>
          </w:p>
        </w:tc>
        <w:tc>
          <w:tcPr>
            <w:tcW w:w="1194" w:type="dxa"/>
          </w:tcPr>
          <w:p w:rsidR="00DA30DA" w:rsidRPr="0081110E" w:rsidRDefault="00DA30DA" w:rsidP="00831A72">
            <w:pPr>
              <w:pStyle w:val="naisf"/>
              <w:spacing w:before="0" w:after="0"/>
              <w:ind w:firstLine="0"/>
              <w:jc w:val="center"/>
              <w:rPr>
                <w:i/>
                <w:sz w:val="25"/>
                <w:szCs w:val="25"/>
              </w:rPr>
            </w:pPr>
          </w:p>
          <w:p w:rsidR="00DA30DA" w:rsidRPr="0081110E" w:rsidRDefault="00DA30DA" w:rsidP="00831A72">
            <w:pPr>
              <w:pStyle w:val="naisf"/>
              <w:spacing w:before="0" w:after="0"/>
              <w:ind w:firstLine="0"/>
              <w:jc w:val="center"/>
              <w:rPr>
                <w:i/>
                <w:sz w:val="25"/>
                <w:szCs w:val="25"/>
              </w:rPr>
            </w:pPr>
          </w:p>
          <w:p w:rsidR="00DA30DA" w:rsidRPr="0081110E" w:rsidRDefault="00D726E1" w:rsidP="00D726E1">
            <w:pPr>
              <w:pStyle w:val="naisf"/>
              <w:spacing w:before="0" w:after="0"/>
              <w:ind w:firstLine="0"/>
              <w:jc w:val="center"/>
              <w:rPr>
                <w:i/>
                <w:sz w:val="25"/>
                <w:szCs w:val="25"/>
              </w:rPr>
            </w:pPr>
            <w:r w:rsidRPr="0081110E">
              <w:rPr>
                <w:sz w:val="25"/>
                <w:szCs w:val="25"/>
              </w:rPr>
              <w:t>24</w:t>
            </w:r>
          </w:p>
        </w:tc>
        <w:tc>
          <w:tcPr>
            <w:tcW w:w="1509" w:type="dxa"/>
          </w:tcPr>
          <w:p w:rsidR="00DA30DA" w:rsidRPr="0081110E" w:rsidRDefault="00DA30DA" w:rsidP="00831A72">
            <w:pPr>
              <w:jc w:val="center"/>
              <w:rPr>
                <w:i/>
                <w:sz w:val="25"/>
                <w:szCs w:val="25"/>
              </w:rPr>
            </w:pPr>
          </w:p>
          <w:p w:rsidR="00DA30DA" w:rsidRPr="0081110E" w:rsidRDefault="00DA30DA" w:rsidP="00831A72">
            <w:pPr>
              <w:jc w:val="center"/>
              <w:rPr>
                <w:i/>
                <w:sz w:val="25"/>
                <w:szCs w:val="25"/>
              </w:rPr>
            </w:pPr>
          </w:p>
          <w:p w:rsidR="00DA30DA" w:rsidRPr="0081110E" w:rsidRDefault="00B06326" w:rsidP="00831A72">
            <w:pPr>
              <w:jc w:val="center"/>
              <w:rPr>
                <w:sz w:val="25"/>
                <w:szCs w:val="25"/>
              </w:rPr>
            </w:pPr>
            <w:r w:rsidRPr="0081110E">
              <w:rPr>
                <w:sz w:val="25"/>
                <w:szCs w:val="25"/>
              </w:rPr>
              <w:t>0</w:t>
            </w:r>
          </w:p>
        </w:tc>
        <w:tc>
          <w:tcPr>
            <w:tcW w:w="1507" w:type="dxa"/>
          </w:tcPr>
          <w:p w:rsidR="00DA30DA" w:rsidRPr="0081110E" w:rsidRDefault="00DA30DA" w:rsidP="00831A72">
            <w:pPr>
              <w:jc w:val="center"/>
              <w:rPr>
                <w:i/>
                <w:sz w:val="25"/>
                <w:szCs w:val="25"/>
              </w:rPr>
            </w:pPr>
          </w:p>
          <w:p w:rsidR="00DA30DA" w:rsidRPr="0081110E" w:rsidRDefault="00DA30DA" w:rsidP="00831A72">
            <w:pPr>
              <w:jc w:val="center"/>
              <w:rPr>
                <w:sz w:val="25"/>
                <w:szCs w:val="25"/>
              </w:rPr>
            </w:pPr>
          </w:p>
          <w:p w:rsidR="00B06326" w:rsidRPr="0081110E" w:rsidRDefault="00B06326" w:rsidP="00831A72">
            <w:pPr>
              <w:jc w:val="center"/>
              <w:rPr>
                <w:sz w:val="25"/>
                <w:szCs w:val="25"/>
              </w:rPr>
            </w:pPr>
            <w:r w:rsidRPr="0081110E">
              <w:rPr>
                <w:sz w:val="25"/>
                <w:szCs w:val="25"/>
              </w:rPr>
              <w:t>0</w:t>
            </w:r>
          </w:p>
        </w:tc>
        <w:tc>
          <w:tcPr>
            <w:tcW w:w="1507" w:type="dxa"/>
          </w:tcPr>
          <w:p w:rsidR="00DA30DA" w:rsidRPr="0081110E" w:rsidRDefault="00DA30DA" w:rsidP="00831A72">
            <w:pPr>
              <w:jc w:val="center"/>
              <w:rPr>
                <w:sz w:val="25"/>
                <w:szCs w:val="25"/>
              </w:rPr>
            </w:pPr>
          </w:p>
          <w:p w:rsidR="00B06326" w:rsidRPr="0081110E" w:rsidRDefault="00B06326" w:rsidP="00831A72">
            <w:pPr>
              <w:jc w:val="center"/>
              <w:rPr>
                <w:sz w:val="25"/>
                <w:szCs w:val="25"/>
              </w:rPr>
            </w:pPr>
          </w:p>
          <w:p w:rsidR="00DA30DA" w:rsidRPr="0081110E" w:rsidRDefault="00B06326" w:rsidP="00831A72">
            <w:pPr>
              <w:jc w:val="center"/>
              <w:rPr>
                <w:sz w:val="25"/>
                <w:szCs w:val="25"/>
              </w:rPr>
            </w:pPr>
            <w:r w:rsidRPr="0081110E">
              <w:rPr>
                <w:sz w:val="25"/>
                <w:szCs w:val="25"/>
              </w:rPr>
              <w:t>0</w:t>
            </w:r>
          </w:p>
        </w:tc>
        <w:tc>
          <w:tcPr>
            <w:tcW w:w="1507" w:type="dxa"/>
          </w:tcPr>
          <w:p w:rsidR="00DA30DA" w:rsidRPr="0081110E" w:rsidRDefault="00DA30DA" w:rsidP="00831A72">
            <w:pPr>
              <w:jc w:val="center"/>
              <w:rPr>
                <w:sz w:val="25"/>
                <w:szCs w:val="25"/>
              </w:rPr>
            </w:pPr>
          </w:p>
          <w:p w:rsidR="00B06326" w:rsidRPr="0081110E" w:rsidRDefault="00B06326" w:rsidP="00831A72">
            <w:pPr>
              <w:jc w:val="center"/>
              <w:rPr>
                <w:sz w:val="25"/>
                <w:szCs w:val="25"/>
              </w:rPr>
            </w:pPr>
          </w:p>
          <w:p w:rsidR="00DA30DA" w:rsidRPr="0081110E" w:rsidRDefault="00B06326" w:rsidP="00831A72">
            <w:pPr>
              <w:jc w:val="center"/>
              <w:rPr>
                <w:sz w:val="25"/>
                <w:szCs w:val="25"/>
              </w:rPr>
            </w:pPr>
            <w:r w:rsidRPr="0081110E">
              <w:rPr>
                <w:sz w:val="25"/>
                <w:szCs w:val="25"/>
              </w:rPr>
              <w:t>0</w:t>
            </w:r>
          </w:p>
        </w:tc>
      </w:tr>
      <w:tr w:rsidR="00B06326" w:rsidRPr="0081110E" w:rsidTr="00B06326">
        <w:trPr>
          <w:jc w:val="center"/>
        </w:trPr>
        <w:tc>
          <w:tcPr>
            <w:tcW w:w="2853" w:type="dxa"/>
          </w:tcPr>
          <w:p w:rsidR="00B06326" w:rsidRPr="0081110E" w:rsidRDefault="00B06326" w:rsidP="00831A72">
            <w:pPr>
              <w:pStyle w:val="naisf"/>
              <w:spacing w:before="0" w:after="0"/>
              <w:ind w:firstLine="0"/>
              <w:rPr>
                <w:i/>
                <w:sz w:val="25"/>
                <w:szCs w:val="25"/>
              </w:rPr>
            </w:pPr>
            <w:r w:rsidRPr="0081110E">
              <w:rPr>
                <w:sz w:val="25"/>
                <w:szCs w:val="25"/>
              </w:rPr>
              <w:t>1.2. valsts speciālais budžets</w:t>
            </w:r>
          </w:p>
        </w:tc>
        <w:tc>
          <w:tcPr>
            <w:tcW w:w="1194" w:type="dxa"/>
            <w:vAlign w:val="center"/>
          </w:tcPr>
          <w:p w:rsidR="00B06326" w:rsidRPr="0081110E" w:rsidRDefault="00B06326" w:rsidP="00B06326">
            <w:pPr>
              <w:jc w:val="center"/>
              <w:rPr>
                <w:sz w:val="25"/>
                <w:szCs w:val="25"/>
              </w:rPr>
            </w:pPr>
            <w:r w:rsidRPr="0081110E">
              <w:rPr>
                <w:sz w:val="25"/>
                <w:szCs w:val="25"/>
              </w:rPr>
              <w:t>0</w:t>
            </w:r>
          </w:p>
        </w:tc>
        <w:tc>
          <w:tcPr>
            <w:tcW w:w="1509" w:type="dxa"/>
            <w:vAlign w:val="center"/>
          </w:tcPr>
          <w:p w:rsidR="00B06326" w:rsidRPr="0081110E" w:rsidRDefault="00B06326" w:rsidP="00B06326">
            <w:pPr>
              <w:jc w:val="center"/>
              <w:rPr>
                <w:sz w:val="25"/>
                <w:szCs w:val="25"/>
              </w:rPr>
            </w:pPr>
            <w:r w:rsidRPr="0081110E">
              <w:rPr>
                <w:sz w:val="25"/>
                <w:szCs w:val="25"/>
              </w:rPr>
              <w:t>0</w:t>
            </w:r>
          </w:p>
        </w:tc>
        <w:tc>
          <w:tcPr>
            <w:tcW w:w="1507" w:type="dxa"/>
            <w:vAlign w:val="center"/>
          </w:tcPr>
          <w:p w:rsidR="00B06326" w:rsidRPr="0081110E" w:rsidRDefault="00B06326" w:rsidP="00B06326">
            <w:pPr>
              <w:jc w:val="center"/>
              <w:rPr>
                <w:sz w:val="25"/>
                <w:szCs w:val="25"/>
              </w:rPr>
            </w:pPr>
            <w:r w:rsidRPr="0081110E">
              <w:rPr>
                <w:sz w:val="25"/>
                <w:szCs w:val="25"/>
              </w:rPr>
              <w:t>0</w:t>
            </w:r>
          </w:p>
        </w:tc>
        <w:tc>
          <w:tcPr>
            <w:tcW w:w="1507" w:type="dxa"/>
            <w:vAlign w:val="center"/>
          </w:tcPr>
          <w:p w:rsidR="00B06326" w:rsidRPr="0081110E" w:rsidRDefault="00B06326" w:rsidP="00B06326">
            <w:pPr>
              <w:jc w:val="center"/>
              <w:rPr>
                <w:sz w:val="25"/>
                <w:szCs w:val="25"/>
              </w:rPr>
            </w:pPr>
            <w:r w:rsidRPr="0081110E">
              <w:rPr>
                <w:sz w:val="25"/>
                <w:szCs w:val="25"/>
              </w:rPr>
              <w:t>0</w:t>
            </w:r>
          </w:p>
        </w:tc>
        <w:tc>
          <w:tcPr>
            <w:tcW w:w="1507" w:type="dxa"/>
            <w:vAlign w:val="center"/>
          </w:tcPr>
          <w:p w:rsidR="00B06326" w:rsidRPr="0081110E" w:rsidRDefault="00B06326" w:rsidP="00B06326">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pStyle w:val="naisf"/>
              <w:spacing w:before="0" w:after="0"/>
              <w:ind w:firstLine="0"/>
              <w:rPr>
                <w:i/>
                <w:sz w:val="25"/>
                <w:szCs w:val="25"/>
              </w:rPr>
            </w:pPr>
            <w:r w:rsidRPr="0081110E">
              <w:rPr>
                <w:sz w:val="25"/>
                <w:szCs w:val="25"/>
              </w:rPr>
              <w:t>1.3. pašvaldību budžets</w:t>
            </w:r>
          </w:p>
        </w:tc>
        <w:tc>
          <w:tcPr>
            <w:tcW w:w="1194" w:type="dxa"/>
            <w:vAlign w:val="center"/>
          </w:tcPr>
          <w:p w:rsidR="00B06326" w:rsidRPr="0081110E" w:rsidRDefault="00B06326" w:rsidP="00E34D42">
            <w:pPr>
              <w:jc w:val="center"/>
              <w:rPr>
                <w:sz w:val="25"/>
                <w:szCs w:val="25"/>
              </w:rPr>
            </w:pPr>
            <w:r w:rsidRPr="0081110E">
              <w:rPr>
                <w:sz w:val="25"/>
                <w:szCs w:val="25"/>
              </w:rPr>
              <w:t>0</w:t>
            </w: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DE7852" w:rsidRPr="0081110E" w:rsidTr="00DA30DA">
        <w:trPr>
          <w:jc w:val="center"/>
        </w:trPr>
        <w:tc>
          <w:tcPr>
            <w:tcW w:w="2853" w:type="dxa"/>
          </w:tcPr>
          <w:p w:rsidR="00DE7852" w:rsidRPr="0081110E" w:rsidRDefault="00DE7852" w:rsidP="00831A72">
            <w:pPr>
              <w:rPr>
                <w:sz w:val="25"/>
                <w:szCs w:val="25"/>
              </w:rPr>
            </w:pPr>
            <w:r w:rsidRPr="0081110E">
              <w:rPr>
                <w:sz w:val="25"/>
                <w:szCs w:val="25"/>
              </w:rPr>
              <w:t>2. Budžeta izdevumi:</w:t>
            </w:r>
          </w:p>
        </w:tc>
        <w:tc>
          <w:tcPr>
            <w:tcW w:w="1194" w:type="dxa"/>
          </w:tcPr>
          <w:p w:rsidR="00DE7852" w:rsidRPr="0081110E" w:rsidRDefault="00DF040B" w:rsidP="00DE7852">
            <w:pPr>
              <w:jc w:val="center"/>
              <w:rPr>
                <w:sz w:val="25"/>
                <w:szCs w:val="25"/>
              </w:rPr>
            </w:pPr>
            <w:r>
              <w:rPr>
                <w:b/>
                <w:sz w:val="25"/>
                <w:szCs w:val="25"/>
              </w:rPr>
              <w:t>11</w:t>
            </w:r>
            <w:r w:rsidR="00DE7852" w:rsidRPr="0081110E">
              <w:rPr>
                <w:b/>
                <w:sz w:val="25"/>
                <w:szCs w:val="25"/>
              </w:rPr>
              <w:t>8,6</w:t>
            </w:r>
          </w:p>
        </w:tc>
        <w:tc>
          <w:tcPr>
            <w:tcW w:w="1509" w:type="dxa"/>
          </w:tcPr>
          <w:p w:rsidR="00DE7852" w:rsidRPr="0081110E" w:rsidRDefault="00DE7852" w:rsidP="00DE7852">
            <w:pPr>
              <w:pStyle w:val="naisf"/>
              <w:spacing w:before="0" w:after="0"/>
              <w:ind w:firstLine="0"/>
              <w:jc w:val="center"/>
              <w:rPr>
                <w:b/>
                <w:sz w:val="25"/>
                <w:szCs w:val="25"/>
              </w:rPr>
            </w:pPr>
            <w:r w:rsidRPr="0081110E">
              <w:rPr>
                <w:b/>
                <w:sz w:val="25"/>
                <w:szCs w:val="25"/>
              </w:rPr>
              <w:t>+36,5</w:t>
            </w:r>
          </w:p>
        </w:tc>
        <w:tc>
          <w:tcPr>
            <w:tcW w:w="1507" w:type="dxa"/>
          </w:tcPr>
          <w:p w:rsidR="00DE7852" w:rsidRPr="0081110E" w:rsidRDefault="00DE7852" w:rsidP="00831A72">
            <w:pPr>
              <w:pStyle w:val="naisf"/>
              <w:spacing w:before="0" w:after="0"/>
              <w:ind w:firstLine="0"/>
              <w:jc w:val="center"/>
              <w:rPr>
                <w:b/>
                <w:i/>
                <w:sz w:val="25"/>
                <w:szCs w:val="25"/>
              </w:rPr>
            </w:pPr>
            <w:r w:rsidRPr="0081110E">
              <w:rPr>
                <w:b/>
                <w:sz w:val="25"/>
                <w:szCs w:val="25"/>
              </w:rPr>
              <w:t>0</w:t>
            </w:r>
          </w:p>
        </w:tc>
        <w:tc>
          <w:tcPr>
            <w:tcW w:w="1507" w:type="dxa"/>
          </w:tcPr>
          <w:p w:rsidR="00DE7852" w:rsidRPr="0081110E" w:rsidRDefault="00DE7852" w:rsidP="00831A72">
            <w:pPr>
              <w:pStyle w:val="naisf"/>
              <w:spacing w:before="0" w:after="0"/>
              <w:ind w:firstLine="0"/>
              <w:jc w:val="center"/>
              <w:rPr>
                <w:b/>
                <w:i/>
                <w:sz w:val="25"/>
                <w:szCs w:val="25"/>
              </w:rPr>
            </w:pPr>
            <w:r w:rsidRPr="0081110E">
              <w:rPr>
                <w:b/>
                <w:sz w:val="25"/>
                <w:szCs w:val="25"/>
              </w:rPr>
              <w:t>0</w:t>
            </w:r>
          </w:p>
        </w:tc>
        <w:tc>
          <w:tcPr>
            <w:tcW w:w="1507" w:type="dxa"/>
          </w:tcPr>
          <w:p w:rsidR="00DE7852" w:rsidRPr="0081110E" w:rsidRDefault="00DE7852" w:rsidP="00831A72">
            <w:pPr>
              <w:pStyle w:val="naisf"/>
              <w:spacing w:before="0" w:after="0"/>
              <w:ind w:firstLine="0"/>
              <w:jc w:val="center"/>
              <w:rPr>
                <w:b/>
                <w:i/>
                <w:sz w:val="25"/>
                <w:szCs w:val="25"/>
              </w:rPr>
            </w:pPr>
            <w:r w:rsidRPr="0081110E">
              <w:rPr>
                <w:b/>
                <w:sz w:val="25"/>
                <w:szCs w:val="25"/>
              </w:rPr>
              <w:t>0</w:t>
            </w:r>
          </w:p>
        </w:tc>
      </w:tr>
      <w:tr w:rsidR="00DE7852" w:rsidRPr="0081110E" w:rsidTr="00E34D42">
        <w:trPr>
          <w:jc w:val="center"/>
        </w:trPr>
        <w:tc>
          <w:tcPr>
            <w:tcW w:w="2853" w:type="dxa"/>
          </w:tcPr>
          <w:p w:rsidR="00DE7852" w:rsidRPr="0081110E" w:rsidRDefault="00DE7852" w:rsidP="00831A72">
            <w:pPr>
              <w:rPr>
                <w:sz w:val="25"/>
                <w:szCs w:val="25"/>
              </w:rPr>
            </w:pPr>
            <w:r w:rsidRPr="0081110E">
              <w:rPr>
                <w:sz w:val="25"/>
                <w:szCs w:val="25"/>
              </w:rPr>
              <w:t>2.1. valsts pamatbudžets</w:t>
            </w:r>
          </w:p>
        </w:tc>
        <w:tc>
          <w:tcPr>
            <w:tcW w:w="1194" w:type="dxa"/>
          </w:tcPr>
          <w:p w:rsidR="00DE7852" w:rsidRPr="0081110E" w:rsidRDefault="00DF040B" w:rsidP="00DE7852">
            <w:pPr>
              <w:jc w:val="center"/>
              <w:rPr>
                <w:sz w:val="25"/>
                <w:szCs w:val="25"/>
              </w:rPr>
            </w:pPr>
            <w:r>
              <w:rPr>
                <w:sz w:val="25"/>
                <w:szCs w:val="25"/>
              </w:rPr>
              <w:t>11</w:t>
            </w:r>
            <w:r w:rsidR="00DE7852" w:rsidRPr="0081110E">
              <w:rPr>
                <w:sz w:val="25"/>
                <w:szCs w:val="25"/>
              </w:rPr>
              <w:t>8,6</w:t>
            </w:r>
          </w:p>
        </w:tc>
        <w:tc>
          <w:tcPr>
            <w:tcW w:w="1509" w:type="dxa"/>
          </w:tcPr>
          <w:p w:rsidR="00DE7852" w:rsidRPr="0081110E" w:rsidRDefault="00DE7852" w:rsidP="00DE7852">
            <w:pPr>
              <w:pStyle w:val="naisf"/>
              <w:spacing w:before="0" w:after="0"/>
              <w:ind w:firstLine="0"/>
              <w:jc w:val="center"/>
              <w:rPr>
                <w:sz w:val="25"/>
                <w:szCs w:val="25"/>
              </w:rPr>
            </w:pPr>
            <w:r w:rsidRPr="0081110E">
              <w:rPr>
                <w:sz w:val="25"/>
                <w:szCs w:val="25"/>
              </w:rPr>
              <w:t>+36,5</w:t>
            </w:r>
          </w:p>
        </w:tc>
        <w:tc>
          <w:tcPr>
            <w:tcW w:w="1507" w:type="dxa"/>
            <w:vAlign w:val="center"/>
          </w:tcPr>
          <w:p w:rsidR="00DE7852" w:rsidRPr="0081110E" w:rsidRDefault="00DE7852" w:rsidP="00E34D42">
            <w:pPr>
              <w:jc w:val="center"/>
              <w:rPr>
                <w:sz w:val="25"/>
                <w:szCs w:val="25"/>
              </w:rPr>
            </w:pPr>
            <w:r w:rsidRPr="0081110E">
              <w:rPr>
                <w:sz w:val="25"/>
                <w:szCs w:val="25"/>
              </w:rPr>
              <w:t>0</w:t>
            </w:r>
          </w:p>
        </w:tc>
        <w:tc>
          <w:tcPr>
            <w:tcW w:w="1507" w:type="dxa"/>
            <w:vAlign w:val="center"/>
          </w:tcPr>
          <w:p w:rsidR="00DE7852" w:rsidRPr="0081110E" w:rsidRDefault="00DE7852" w:rsidP="00E34D42">
            <w:pPr>
              <w:jc w:val="center"/>
              <w:rPr>
                <w:sz w:val="25"/>
                <w:szCs w:val="25"/>
              </w:rPr>
            </w:pPr>
            <w:r w:rsidRPr="0081110E">
              <w:rPr>
                <w:sz w:val="25"/>
                <w:szCs w:val="25"/>
              </w:rPr>
              <w:t>0</w:t>
            </w:r>
          </w:p>
        </w:tc>
        <w:tc>
          <w:tcPr>
            <w:tcW w:w="1507" w:type="dxa"/>
            <w:vAlign w:val="center"/>
          </w:tcPr>
          <w:p w:rsidR="00DE7852" w:rsidRPr="0081110E" w:rsidRDefault="00DE7852"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2.2. valsts speciālais budžets</w:t>
            </w:r>
          </w:p>
        </w:tc>
        <w:tc>
          <w:tcPr>
            <w:tcW w:w="1194" w:type="dxa"/>
            <w:vAlign w:val="center"/>
          </w:tcPr>
          <w:p w:rsidR="00B06326" w:rsidRPr="0081110E" w:rsidRDefault="00B06326" w:rsidP="00E34D42">
            <w:pPr>
              <w:jc w:val="center"/>
              <w:rPr>
                <w:sz w:val="25"/>
                <w:szCs w:val="25"/>
              </w:rPr>
            </w:pPr>
            <w:r w:rsidRPr="0081110E">
              <w:rPr>
                <w:sz w:val="25"/>
                <w:szCs w:val="25"/>
              </w:rPr>
              <w:t>0</w:t>
            </w: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 xml:space="preserve">2.3. pašvaldību budžets </w:t>
            </w:r>
          </w:p>
        </w:tc>
        <w:tc>
          <w:tcPr>
            <w:tcW w:w="1194" w:type="dxa"/>
            <w:vAlign w:val="center"/>
          </w:tcPr>
          <w:p w:rsidR="00B06326" w:rsidRPr="0081110E" w:rsidRDefault="00B06326" w:rsidP="00E34D42">
            <w:pPr>
              <w:jc w:val="center"/>
              <w:rPr>
                <w:sz w:val="25"/>
                <w:szCs w:val="25"/>
              </w:rPr>
            </w:pPr>
            <w:r w:rsidRPr="0081110E">
              <w:rPr>
                <w:sz w:val="25"/>
                <w:szCs w:val="25"/>
              </w:rPr>
              <w:t>0</w:t>
            </w: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3. Finansiālā ietekme:</w:t>
            </w:r>
          </w:p>
        </w:tc>
        <w:tc>
          <w:tcPr>
            <w:tcW w:w="1194" w:type="dxa"/>
            <w:shd w:val="clear" w:color="auto" w:fill="auto"/>
            <w:vAlign w:val="center"/>
          </w:tcPr>
          <w:p w:rsidR="00B06326" w:rsidRPr="0081110E" w:rsidRDefault="00B06326" w:rsidP="00E34D42">
            <w:pPr>
              <w:jc w:val="center"/>
              <w:rPr>
                <w:sz w:val="25"/>
                <w:szCs w:val="25"/>
              </w:rPr>
            </w:pPr>
            <w:r w:rsidRPr="0081110E">
              <w:rPr>
                <w:sz w:val="25"/>
                <w:szCs w:val="25"/>
              </w:rPr>
              <w:t>0</w:t>
            </w:r>
          </w:p>
        </w:tc>
        <w:tc>
          <w:tcPr>
            <w:tcW w:w="1509" w:type="dxa"/>
            <w:vAlign w:val="center"/>
          </w:tcPr>
          <w:p w:rsidR="00B06326" w:rsidRPr="0081110E" w:rsidRDefault="00B06326" w:rsidP="00DE7852">
            <w:pPr>
              <w:jc w:val="center"/>
              <w:rPr>
                <w:b/>
                <w:sz w:val="25"/>
                <w:szCs w:val="25"/>
              </w:rPr>
            </w:pPr>
            <w:r w:rsidRPr="0081110E">
              <w:rPr>
                <w:b/>
                <w:sz w:val="25"/>
                <w:szCs w:val="25"/>
              </w:rPr>
              <w:t>-</w:t>
            </w:r>
            <w:r w:rsidR="00DE7852" w:rsidRPr="0081110E">
              <w:rPr>
                <w:b/>
                <w:sz w:val="25"/>
                <w:szCs w:val="25"/>
              </w:rPr>
              <w:t>36,5</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3.1. valsts pamatbudžets</w:t>
            </w:r>
          </w:p>
        </w:tc>
        <w:tc>
          <w:tcPr>
            <w:tcW w:w="1194" w:type="dxa"/>
            <w:shd w:val="clear" w:color="auto" w:fill="auto"/>
            <w:vAlign w:val="center"/>
          </w:tcPr>
          <w:p w:rsidR="00B06326" w:rsidRPr="0081110E" w:rsidRDefault="00B06326" w:rsidP="00E34D42">
            <w:pPr>
              <w:jc w:val="center"/>
              <w:rPr>
                <w:sz w:val="25"/>
                <w:szCs w:val="25"/>
              </w:rPr>
            </w:pPr>
            <w:r w:rsidRPr="0081110E">
              <w:rPr>
                <w:sz w:val="25"/>
                <w:szCs w:val="25"/>
              </w:rPr>
              <w:t>0</w:t>
            </w:r>
          </w:p>
        </w:tc>
        <w:tc>
          <w:tcPr>
            <w:tcW w:w="1509" w:type="dxa"/>
            <w:vAlign w:val="center"/>
          </w:tcPr>
          <w:p w:rsidR="00B06326" w:rsidRPr="0081110E" w:rsidRDefault="00B06326" w:rsidP="00DE7852">
            <w:pPr>
              <w:jc w:val="center"/>
              <w:rPr>
                <w:sz w:val="25"/>
                <w:szCs w:val="25"/>
              </w:rPr>
            </w:pPr>
            <w:r w:rsidRPr="0081110E">
              <w:rPr>
                <w:sz w:val="25"/>
                <w:szCs w:val="25"/>
              </w:rPr>
              <w:t>-</w:t>
            </w:r>
            <w:r w:rsidR="00DE7852" w:rsidRPr="0081110E">
              <w:rPr>
                <w:sz w:val="25"/>
                <w:szCs w:val="25"/>
              </w:rPr>
              <w:t>36,5</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3.2. speciālais budžets</w:t>
            </w:r>
          </w:p>
        </w:tc>
        <w:tc>
          <w:tcPr>
            <w:tcW w:w="1194" w:type="dxa"/>
            <w:shd w:val="clear" w:color="auto" w:fill="auto"/>
            <w:vAlign w:val="center"/>
          </w:tcPr>
          <w:p w:rsidR="00B06326" w:rsidRPr="0081110E" w:rsidRDefault="00B06326" w:rsidP="00E34D42">
            <w:pPr>
              <w:jc w:val="center"/>
              <w:rPr>
                <w:sz w:val="25"/>
                <w:szCs w:val="25"/>
              </w:rPr>
            </w:pPr>
            <w:r w:rsidRPr="0081110E">
              <w:rPr>
                <w:sz w:val="25"/>
                <w:szCs w:val="25"/>
              </w:rPr>
              <w:t>0</w:t>
            </w: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 xml:space="preserve">3.3. pašvaldību budžets </w:t>
            </w:r>
          </w:p>
        </w:tc>
        <w:tc>
          <w:tcPr>
            <w:tcW w:w="1194" w:type="dxa"/>
            <w:shd w:val="clear" w:color="auto" w:fill="auto"/>
            <w:vAlign w:val="center"/>
          </w:tcPr>
          <w:p w:rsidR="00B06326" w:rsidRPr="0081110E" w:rsidRDefault="00B06326" w:rsidP="00E34D42">
            <w:pPr>
              <w:jc w:val="center"/>
              <w:rPr>
                <w:sz w:val="25"/>
                <w:szCs w:val="25"/>
              </w:rPr>
            </w:pPr>
            <w:r w:rsidRPr="0081110E">
              <w:rPr>
                <w:sz w:val="25"/>
                <w:szCs w:val="25"/>
              </w:rPr>
              <w:t>0</w:t>
            </w: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vMerge w:val="restart"/>
          </w:tcPr>
          <w:p w:rsidR="00B06326" w:rsidRPr="0081110E" w:rsidRDefault="00B06326" w:rsidP="00831A72">
            <w:pPr>
              <w:rPr>
                <w:sz w:val="25"/>
                <w:szCs w:val="25"/>
              </w:rPr>
            </w:pPr>
            <w:r w:rsidRPr="0081110E">
              <w:rPr>
                <w:sz w:val="25"/>
                <w:szCs w:val="25"/>
              </w:rPr>
              <w:t>4. Finanšu līdzekļi papildu izde</w:t>
            </w:r>
            <w:r w:rsidRPr="0081110E">
              <w:rPr>
                <w:sz w:val="25"/>
                <w:szCs w:val="25"/>
              </w:rPr>
              <w:softHyphen/>
              <w:t>vumu finansēšanai (kompensējošu izdevumu samazinājumu norāda ar "+" zīmi)</w:t>
            </w:r>
          </w:p>
        </w:tc>
        <w:tc>
          <w:tcPr>
            <w:tcW w:w="1194" w:type="dxa"/>
            <w:vMerge w:val="restart"/>
          </w:tcPr>
          <w:p w:rsidR="00B06326" w:rsidRPr="0081110E" w:rsidRDefault="00B06326" w:rsidP="00831A72">
            <w:pPr>
              <w:pStyle w:val="naisf"/>
              <w:spacing w:before="0" w:after="0"/>
              <w:ind w:firstLine="0"/>
              <w:jc w:val="center"/>
              <w:rPr>
                <w:i/>
                <w:sz w:val="25"/>
                <w:szCs w:val="25"/>
              </w:rPr>
            </w:pPr>
            <w:r w:rsidRPr="0081110E">
              <w:rPr>
                <w:sz w:val="25"/>
                <w:szCs w:val="25"/>
              </w:rPr>
              <w:t>X</w:t>
            </w:r>
          </w:p>
        </w:tc>
        <w:tc>
          <w:tcPr>
            <w:tcW w:w="1509" w:type="dxa"/>
            <w:vAlign w:val="center"/>
          </w:tcPr>
          <w:p w:rsidR="00B06326" w:rsidRPr="0081110E" w:rsidRDefault="00B06326" w:rsidP="00DE7852">
            <w:pPr>
              <w:jc w:val="center"/>
              <w:rPr>
                <w:b/>
                <w:sz w:val="25"/>
                <w:szCs w:val="25"/>
              </w:rPr>
            </w:pPr>
            <w:r w:rsidRPr="0081110E">
              <w:rPr>
                <w:b/>
                <w:sz w:val="25"/>
                <w:szCs w:val="25"/>
              </w:rPr>
              <w:t>+</w:t>
            </w:r>
            <w:r w:rsidR="00DE7852" w:rsidRPr="0081110E">
              <w:rPr>
                <w:b/>
                <w:sz w:val="25"/>
                <w:szCs w:val="25"/>
              </w:rPr>
              <w:t>36,5</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vMerge/>
          </w:tcPr>
          <w:p w:rsidR="00B06326" w:rsidRPr="0081110E" w:rsidRDefault="00B06326" w:rsidP="00831A72">
            <w:pPr>
              <w:rPr>
                <w:sz w:val="25"/>
                <w:szCs w:val="25"/>
              </w:rPr>
            </w:pPr>
          </w:p>
        </w:tc>
        <w:tc>
          <w:tcPr>
            <w:tcW w:w="1194" w:type="dxa"/>
            <w:vMerge/>
          </w:tcPr>
          <w:p w:rsidR="00B06326" w:rsidRPr="0081110E" w:rsidRDefault="00B06326" w:rsidP="00831A72">
            <w:pPr>
              <w:pStyle w:val="naisf"/>
              <w:spacing w:before="0" w:after="0"/>
              <w:ind w:firstLine="0"/>
              <w:jc w:val="center"/>
              <w:rPr>
                <w:i/>
                <w:sz w:val="25"/>
                <w:szCs w:val="25"/>
              </w:rPr>
            </w:pP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vMerge/>
          </w:tcPr>
          <w:p w:rsidR="00B06326" w:rsidRPr="0081110E" w:rsidRDefault="00B06326" w:rsidP="00831A72">
            <w:pPr>
              <w:rPr>
                <w:sz w:val="25"/>
                <w:szCs w:val="25"/>
              </w:rPr>
            </w:pPr>
          </w:p>
        </w:tc>
        <w:tc>
          <w:tcPr>
            <w:tcW w:w="1194" w:type="dxa"/>
            <w:vMerge/>
          </w:tcPr>
          <w:p w:rsidR="00B06326" w:rsidRPr="0081110E" w:rsidRDefault="00B06326" w:rsidP="00831A72">
            <w:pPr>
              <w:pStyle w:val="naisf"/>
              <w:spacing w:before="0" w:after="0"/>
              <w:ind w:firstLine="0"/>
              <w:jc w:val="center"/>
              <w:rPr>
                <w:i/>
                <w:sz w:val="25"/>
                <w:szCs w:val="25"/>
              </w:rPr>
            </w:pP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5. Precizēta finansiālā ietekme:</w:t>
            </w:r>
          </w:p>
        </w:tc>
        <w:tc>
          <w:tcPr>
            <w:tcW w:w="1194" w:type="dxa"/>
            <w:vMerge w:val="restart"/>
          </w:tcPr>
          <w:p w:rsidR="00B06326" w:rsidRPr="0081110E" w:rsidRDefault="00B06326" w:rsidP="00831A72">
            <w:pPr>
              <w:pStyle w:val="naisf"/>
              <w:spacing w:before="0" w:after="0"/>
              <w:ind w:firstLine="0"/>
              <w:jc w:val="center"/>
              <w:rPr>
                <w:i/>
                <w:sz w:val="25"/>
                <w:szCs w:val="25"/>
              </w:rPr>
            </w:pPr>
            <w:r w:rsidRPr="0081110E">
              <w:rPr>
                <w:sz w:val="25"/>
                <w:szCs w:val="25"/>
              </w:rPr>
              <w:t>X</w:t>
            </w: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5.1. valsts pamatbudžets</w:t>
            </w:r>
          </w:p>
        </w:tc>
        <w:tc>
          <w:tcPr>
            <w:tcW w:w="1194" w:type="dxa"/>
            <w:vMerge/>
            <w:vAlign w:val="center"/>
          </w:tcPr>
          <w:p w:rsidR="00B06326" w:rsidRPr="0081110E" w:rsidRDefault="00B06326" w:rsidP="00831A72">
            <w:pPr>
              <w:pStyle w:val="naisf"/>
              <w:spacing w:before="0" w:after="0"/>
              <w:ind w:firstLine="0"/>
              <w:jc w:val="center"/>
              <w:rPr>
                <w:i/>
                <w:sz w:val="25"/>
                <w:szCs w:val="25"/>
              </w:rPr>
            </w:pP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5.2. speciālais budžets</w:t>
            </w:r>
          </w:p>
        </w:tc>
        <w:tc>
          <w:tcPr>
            <w:tcW w:w="1194" w:type="dxa"/>
            <w:vMerge/>
            <w:vAlign w:val="center"/>
          </w:tcPr>
          <w:p w:rsidR="00B06326" w:rsidRPr="0081110E" w:rsidRDefault="00B06326" w:rsidP="00831A72">
            <w:pPr>
              <w:pStyle w:val="naisf"/>
              <w:spacing w:before="0" w:after="0"/>
              <w:ind w:firstLine="0"/>
              <w:jc w:val="center"/>
              <w:rPr>
                <w:i/>
                <w:sz w:val="25"/>
                <w:szCs w:val="25"/>
              </w:rPr>
            </w:pP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B06326" w:rsidRPr="0081110E" w:rsidTr="00E34D42">
        <w:trPr>
          <w:jc w:val="center"/>
        </w:trPr>
        <w:tc>
          <w:tcPr>
            <w:tcW w:w="2853" w:type="dxa"/>
          </w:tcPr>
          <w:p w:rsidR="00B06326" w:rsidRPr="0081110E" w:rsidRDefault="00B06326" w:rsidP="00831A72">
            <w:pPr>
              <w:rPr>
                <w:sz w:val="25"/>
                <w:szCs w:val="25"/>
              </w:rPr>
            </w:pPr>
            <w:r w:rsidRPr="0081110E">
              <w:rPr>
                <w:sz w:val="25"/>
                <w:szCs w:val="25"/>
              </w:rPr>
              <w:t xml:space="preserve">5.3. pašvaldību budžets </w:t>
            </w:r>
          </w:p>
        </w:tc>
        <w:tc>
          <w:tcPr>
            <w:tcW w:w="1194" w:type="dxa"/>
            <w:vMerge/>
            <w:vAlign w:val="center"/>
          </w:tcPr>
          <w:p w:rsidR="00B06326" w:rsidRPr="0081110E" w:rsidRDefault="00B06326" w:rsidP="00831A72">
            <w:pPr>
              <w:pStyle w:val="naisf"/>
              <w:spacing w:before="0" w:after="0"/>
              <w:ind w:firstLine="0"/>
              <w:jc w:val="center"/>
              <w:rPr>
                <w:i/>
                <w:sz w:val="25"/>
                <w:szCs w:val="25"/>
              </w:rPr>
            </w:pPr>
          </w:p>
        </w:tc>
        <w:tc>
          <w:tcPr>
            <w:tcW w:w="1509"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c>
          <w:tcPr>
            <w:tcW w:w="1507" w:type="dxa"/>
            <w:vAlign w:val="center"/>
          </w:tcPr>
          <w:p w:rsidR="00B06326" w:rsidRPr="0081110E" w:rsidRDefault="00B06326" w:rsidP="00E34D42">
            <w:pPr>
              <w:jc w:val="center"/>
              <w:rPr>
                <w:sz w:val="25"/>
                <w:szCs w:val="25"/>
              </w:rPr>
            </w:pPr>
            <w:r w:rsidRPr="0081110E">
              <w:rPr>
                <w:sz w:val="25"/>
                <w:szCs w:val="25"/>
              </w:rPr>
              <w:t>0</w:t>
            </w:r>
          </w:p>
        </w:tc>
      </w:tr>
      <w:tr w:rsidR="00DA30DA" w:rsidRPr="0081110E" w:rsidTr="00DA30DA">
        <w:trPr>
          <w:jc w:val="center"/>
        </w:trPr>
        <w:tc>
          <w:tcPr>
            <w:tcW w:w="2853" w:type="dxa"/>
          </w:tcPr>
          <w:p w:rsidR="00DA30DA" w:rsidRPr="0081110E" w:rsidRDefault="00DA30DA" w:rsidP="00831A72">
            <w:pPr>
              <w:rPr>
                <w:sz w:val="25"/>
                <w:szCs w:val="25"/>
              </w:rPr>
            </w:pPr>
            <w:r w:rsidRPr="0081110E">
              <w:rPr>
                <w:sz w:val="25"/>
                <w:szCs w:val="25"/>
              </w:rPr>
              <w:t>6. Detalizēts ieņēmumu un izdevu</w:t>
            </w:r>
            <w:r w:rsidRPr="0081110E">
              <w:rPr>
                <w:sz w:val="25"/>
                <w:szCs w:val="25"/>
              </w:rPr>
              <w:softHyphen/>
              <w:t xml:space="preserve">mu aprēķins (ja </w:t>
            </w:r>
            <w:r w:rsidRPr="0081110E">
              <w:rPr>
                <w:sz w:val="25"/>
                <w:szCs w:val="25"/>
              </w:rPr>
              <w:lastRenderedPageBreak/>
              <w:t>nepieciešams, detalizētu ieņēmumu un izdevumu aprēķinu var pievienot anotācijas pielikumā):</w:t>
            </w:r>
          </w:p>
        </w:tc>
        <w:tc>
          <w:tcPr>
            <w:tcW w:w="7224" w:type="dxa"/>
            <w:gridSpan w:val="5"/>
            <w:vMerge w:val="restart"/>
          </w:tcPr>
          <w:p w:rsidR="00DE7852" w:rsidRPr="0081110E" w:rsidRDefault="00DE7852" w:rsidP="00AB4997">
            <w:pPr>
              <w:pStyle w:val="naisf"/>
              <w:spacing w:before="0" w:after="0"/>
              <w:ind w:firstLine="0"/>
              <w:rPr>
                <w:sz w:val="25"/>
                <w:szCs w:val="25"/>
              </w:rPr>
            </w:pPr>
            <w:bookmarkStart w:id="5" w:name="OLE_LINK6"/>
            <w:bookmarkStart w:id="6" w:name="OLE_LINK8"/>
            <w:r w:rsidRPr="0081110E">
              <w:rPr>
                <w:sz w:val="25"/>
                <w:szCs w:val="25"/>
              </w:rPr>
              <w:lastRenderedPageBreak/>
              <w:t xml:space="preserve">Skatīt Ministru kabineta rīkojuma projekta „Par finanšu līdzekļu piešķiršanu no valsts budžeta programmas „Līdzekļi neparedzētiem </w:t>
            </w:r>
            <w:r w:rsidRPr="0081110E">
              <w:rPr>
                <w:sz w:val="25"/>
                <w:szCs w:val="25"/>
              </w:rPr>
              <w:lastRenderedPageBreak/>
              <w:t>gadījumiem”” sākotnējās ietekmes novērtējuma ziņojuma (anotācijas)</w:t>
            </w:r>
            <w:bookmarkEnd w:id="5"/>
            <w:bookmarkEnd w:id="6"/>
            <w:r w:rsidRPr="0081110E">
              <w:rPr>
                <w:sz w:val="25"/>
                <w:szCs w:val="25"/>
              </w:rPr>
              <w:t xml:space="preserve"> I sadaļas „Tiesību akta projekta izstrādes nepieciešamība” 2.punktā norādīto informāciju par LVF un LASS ieņēmumiem.</w:t>
            </w:r>
          </w:p>
          <w:p w:rsidR="00AB4997" w:rsidRPr="0081110E" w:rsidRDefault="00AB4997" w:rsidP="00AB4997">
            <w:pPr>
              <w:pStyle w:val="naisf"/>
              <w:spacing w:before="0" w:after="0"/>
              <w:ind w:firstLine="0"/>
              <w:rPr>
                <w:sz w:val="25"/>
                <w:szCs w:val="25"/>
              </w:rPr>
            </w:pPr>
          </w:p>
          <w:p w:rsidR="00AB4997" w:rsidRPr="0081110E" w:rsidRDefault="00DE7852" w:rsidP="00AB4997">
            <w:pPr>
              <w:pStyle w:val="naisf"/>
              <w:spacing w:before="0" w:after="0"/>
              <w:ind w:firstLine="0"/>
              <w:rPr>
                <w:sz w:val="25"/>
                <w:szCs w:val="25"/>
              </w:rPr>
            </w:pPr>
            <w:r w:rsidRPr="0081110E">
              <w:rPr>
                <w:sz w:val="25"/>
                <w:szCs w:val="25"/>
              </w:rPr>
              <w:t>Papildus pieprasītā finansējuma (36`540 latu apmērā) sadalījums atbilstoši tam paredzētam mērķim:</w:t>
            </w:r>
          </w:p>
          <w:p w:rsidR="00AB4997" w:rsidRPr="0081110E" w:rsidRDefault="00AB4997" w:rsidP="00AB4997">
            <w:pPr>
              <w:pStyle w:val="naisf"/>
              <w:spacing w:before="0" w:after="0"/>
              <w:ind w:firstLine="0"/>
              <w:rPr>
                <w:sz w:val="25"/>
                <w:szCs w:val="25"/>
              </w:rPr>
            </w:pPr>
          </w:p>
          <w:p w:rsidR="00AB4997" w:rsidRDefault="00A15300" w:rsidP="00AB4997">
            <w:pPr>
              <w:pStyle w:val="naisf"/>
              <w:spacing w:before="0" w:after="0"/>
              <w:ind w:firstLine="0"/>
              <w:rPr>
                <w:sz w:val="25"/>
                <w:szCs w:val="25"/>
              </w:rPr>
            </w:pPr>
            <w:r w:rsidRPr="0081110E">
              <w:rPr>
                <w:sz w:val="25"/>
                <w:szCs w:val="25"/>
              </w:rPr>
              <w:t xml:space="preserve">Latvijas izlases </w:t>
            </w:r>
            <w:r w:rsidR="00DA266F">
              <w:rPr>
                <w:sz w:val="25"/>
                <w:szCs w:val="25"/>
              </w:rPr>
              <w:t xml:space="preserve">sagatavošanās un </w:t>
            </w:r>
            <w:r w:rsidRPr="0081110E">
              <w:rPr>
                <w:sz w:val="25"/>
                <w:szCs w:val="25"/>
              </w:rPr>
              <w:t>dalīb</w:t>
            </w:r>
            <w:r w:rsidR="00984C14" w:rsidRPr="0081110E">
              <w:rPr>
                <w:sz w:val="25"/>
                <w:szCs w:val="25"/>
              </w:rPr>
              <w:t>a</w:t>
            </w:r>
            <w:r w:rsidRPr="0081110E">
              <w:rPr>
                <w:sz w:val="25"/>
                <w:szCs w:val="25"/>
              </w:rPr>
              <w:t xml:space="preserve"> 2013.gada pasaules </w:t>
            </w:r>
            <w:r w:rsidR="00AB4997" w:rsidRPr="0081110E">
              <w:rPr>
                <w:sz w:val="25"/>
                <w:szCs w:val="25"/>
              </w:rPr>
              <w:t>Ziemas</w:t>
            </w:r>
            <w:r w:rsidRPr="0081110E">
              <w:rPr>
                <w:sz w:val="25"/>
                <w:szCs w:val="25"/>
              </w:rPr>
              <w:t xml:space="preserve"> Universiādē</w:t>
            </w:r>
            <w:r w:rsidR="00A960A0" w:rsidRPr="0081110E">
              <w:rPr>
                <w:sz w:val="25"/>
                <w:szCs w:val="25"/>
              </w:rPr>
              <w:t xml:space="preserve"> – </w:t>
            </w:r>
            <w:r w:rsidR="00AB4997" w:rsidRPr="0081110E">
              <w:rPr>
                <w:sz w:val="25"/>
                <w:szCs w:val="25"/>
                <w:u w:val="single"/>
              </w:rPr>
              <w:t>28</w:t>
            </w:r>
            <w:r w:rsidRPr="0081110E">
              <w:rPr>
                <w:sz w:val="25"/>
                <w:szCs w:val="25"/>
                <w:u w:val="single"/>
              </w:rPr>
              <w:t>`</w:t>
            </w:r>
            <w:r w:rsidR="00AB4997" w:rsidRPr="0081110E">
              <w:rPr>
                <w:sz w:val="25"/>
                <w:szCs w:val="25"/>
                <w:u w:val="single"/>
              </w:rPr>
              <w:t>2</w:t>
            </w:r>
            <w:r w:rsidR="00730CDA" w:rsidRPr="0081110E">
              <w:rPr>
                <w:sz w:val="25"/>
                <w:szCs w:val="25"/>
                <w:u w:val="single"/>
              </w:rPr>
              <w:t>00</w:t>
            </w:r>
            <w:r w:rsidR="00A960A0" w:rsidRPr="0081110E">
              <w:rPr>
                <w:sz w:val="25"/>
                <w:szCs w:val="25"/>
                <w:u w:val="single"/>
              </w:rPr>
              <w:t xml:space="preserve"> lati</w:t>
            </w:r>
            <w:r w:rsidR="00A960A0" w:rsidRPr="0081110E">
              <w:rPr>
                <w:sz w:val="25"/>
                <w:szCs w:val="25"/>
              </w:rPr>
              <w:t xml:space="preserve">: </w:t>
            </w:r>
            <w:r w:rsidR="00AB4997" w:rsidRPr="0081110E">
              <w:rPr>
                <w:sz w:val="25"/>
                <w:szCs w:val="25"/>
              </w:rPr>
              <w:t xml:space="preserve">transporta </w:t>
            </w:r>
            <w:r w:rsidR="00F02B38">
              <w:rPr>
                <w:sz w:val="25"/>
                <w:szCs w:val="25"/>
              </w:rPr>
              <w:t>un avio</w:t>
            </w:r>
            <w:r w:rsidR="00AB4997" w:rsidRPr="0081110E">
              <w:rPr>
                <w:sz w:val="25"/>
                <w:szCs w:val="25"/>
              </w:rPr>
              <w:t>pakalpojumi</w:t>
            </w:r>
            <w:r w:rsidR="00F02B38">
              <w:rPr>
                <w:sz w:val="25"/>
                <w:szCs w:val="25"/>
              </w:rPr>
              <w:t xml:space="preserve"> hokeja komandai</w:t>
            </w:r>
            <w:r w:rsidR="00581679">
              <w:rPr>
                <w:sz w:val="25"/>
                <w:szCs w:val="25"/>
              </w:rPr>
              <w:t xml:space="preserve"> – 5`500 lati (t.sk. </w:t>
            </w:r>
            <w:r w:rsidR="00AB4997" w:rsidRPr="0081110E">
              <w:rPr>
                <w:sz w:val="25"/>
                <w:szCs w:val="25"/>
              </w:rPr>
              <w:t xml:space="preserve">inventāra </w:t>
            </w:r>
            <w:r w:rsidR="00F02B38">
              <w:rPr>
                <w:sz w:val="25"/>
                <w:szCs w:val="25"/>
              </w:rPr>
              <w:t xml:space="preserve">un ekipējuma </w:t>
            </w:r>
            <w:r w:rsidR="00581679">
              <w:rPr>
                <w:sz w:val="25"/>
                <w:szCs w:val="25"/>
              </w:rPr>
              <w:t>transportēšana – 1`265 lati, aviobiļešu iegāde – 4`009 lati,</w:t>
            </w:r>
            <w:r w:rsidR="00AB4997" w:rsidRPr="0081110E">
              <w:rPr>
                <w:sz w:val="25"/>
                <w:szCs w:val="25"/>
              </w:rPr>
              <w:t xml:space="preserve"> komandējumu izdevumi</w:t>
            </w:r>
            <w:r w:rsidR="00F02B38">
              <w:rPr>
                <w:sz w:val="25"/>
                <w:szCs w:val="25"/>
              </w:rPr>
              <w:t xml:space="preserve"> ekipējuma menedžerim</w:t>
            </w:r>
            <w:r w:rsidR="00581679">
              <w:rPr>
                <w:sz w:val="25"/>
                <w:szCs w:val="25"/>
              </w:rPr>
              <w:t xml:space="preserve"> – 226 lati);</w:t>
            </w:r>
            <w:r w:rsidR="00AB4997" w:rsidRPr="0081110E">
              <w:rPr>
                <w:sz w:val="25"/>
                <w:szCs w:val="25"/>
              </w:rPr>
              <w:t xml:space="preserve"> uzturēšanas izdevumi</w:t>
            </w:r>
            <w:r w:rsidR="00F02B38">
              <w:rPr>
                <w:sz w:val="25"/>
                <w:szCs w:val="25"/>
              </w:rPr>
              <w:t xml:space="preserve"> (</w:t>
            </w:r>
            <w:r w:rsidR="003F18D3">
              <w:rPr>
                <w:sz w:val="25"/>
                <w:szCs w:val="25"/>
              </w:rPr>
              <w:t>14 dienas 27 sportistiem)</w:t>
            </w:r>
            <w:r w:rsidR="00AB4997" w:rsidRPr="0081110E">
              <w:rPr>
                <w:sz w:val="25"/>
                <w:szCs w:val="25"/>
              </w:rPr>
              <w:t xml:space="preserve"> – 15</w:t>
            </w:r>
            <w:r w:rsidR="004F417A">
              <w:rPr>
                <w:sz w:val="25"/>
                <w:szCs w:val="25"/>
              </w:rPr>
              <w:t>`</w:t>
            </w:r>
            <w:r w:rsidR="003F18D3">
              <w:rPr>
                <w:sz w:val="25"/>
                <w:szCs w:val="25"/>
              </w:rPr>
              <w:t>940 lati; akreditācijas izdevumi</w:t>
            </w:r>
            <w:r w:rsidR="00AB4997" w:rsidRPr="0081110E">
              <w:rPr>
                <w:sz w:val="25"/>
                <w:szCs w:val="25"/>
              </w:rPr>
              <w:t xml:space="preserve"> – 379 lati; </w:t>
            </w:r>
            <w:r w:rsidR="003F18D3">
              <w:rPr>
                <w:sz w:val="25"/>
                <w:szCs w:val="25"/>
              </w:rPr>
              <w:t>sagatavošanās process</w:t>
            </w:r>
            <w:r w:rsidR="00581679">
              <w:rPr>
                <w:sz w:val="25"/>
                <w:szCs w:val="25"/>
              </w:rPr>
              <w:t xml:space="preserve"> – 4`881 lati (t.sk. ledus laukuma īre – 3`673 lati,</w:t>
            </w:r>
            <w:r w:rsidR="003F18D3">
              <w:rPr>
                <w:sz w:val="25"/>
                <w:szCs w:val="25"/>
              </w:rPr>
              <w:t xml:space="preserve"> </w:t>
            </w:r>
            <w:r w:rsidR="00AB4997" w:rsidRPr="0081110E">
              <w:rPr>
                <w:sz w:val="25"/>
                <w:szCs w:val="25"/>
              </w:rPr>
              <w:t xml:space="preserve"> </w:t>
            </w:r>
            <w:r w:rsidR="003F18D3">
              <w:rPr>
                <w:sz w:val="25"/>
                <w:szCs w:val="25"/>
              </w:rPr>
              <w:t>ģērbtuves un žāvētavas īre</w:t>
            </w:r>
            <w:r w:rsidR="00AB4997" w:rsidRPr="0081110E">
              <w:rPr>
                <w:sz w:val="25"/>
                <w:szCs w:val="25"/>
              </w:rPr>
              <w:t xml:space="preserve"> – </w:t>
            </w:r>
            <w:r w:rsidR="00581679">
              <w:rPr>
                <w:sz w:val="25"/>
                <w:szCs w:val="25"/>
              </w:rPr>
              <w:t>508 lati,</w:t>
            </w:r>
            <w:r w:rsidR="003F18D3">
              <w:rPr>
                <w:sz w:val="25"/>
                <w:szCs w:val="25"/>
              </w:rPr>
              <w:t xml:space="preserve"> pārbaudes spēļu organizēšanas un norises izdevumi</w:t>
            </w:r>
            <w:r w:rsidR="00AB4997" w:rsidRPr="0081110E">
              <w:rPr>
                <w:sz w:val="25"/>
                <w:szCs w:val="25"/>
              </w:rPr>
              <w:t xml:space="preserve"> – 700 lati</w:t>
            </w:r>
            <w:r w:rsidR="00581679">
              <w:rPr>
                <w:sz w:val="25"/>
                <w:szCs w:val="25"/>
              </w:rPr>
              <w:t>)</w:t>
            </w:r>
            <w:r w:rsidR="00AB4997" w:rsidRPr="0081110E">
              <w:rPr>
                <w:sz w:val="25"/>
                <w:szCs w:val="25"/>
              </w:rPr>
              <w:t xml:space="preserve">; Starptautiskās </w:t>
            </w:r>
            <w:r w:rsidR="005D4417">
              <w:rPr>
                <w:sz w:val="25"/>
                <w:szCs w:val="25"/>
              </w:rPr>
              <w:t xml:space="preserve">Ledus </w:t>
            </w:r>
            <w:r w:rsidR="00DB424C">
              <w:rPr>
                <w:sz w:val="25"/>
                <w:szCs w:val="25"/>
              </w:rPr>
              <w:t>h</w:t>
            </w:r>
            <w:r w:rsidR="00AB4997" w:rsidRPr="0081110E">
              <w:rPr>
                <w:sz w:val="25"/>
                <w:szCs w:val="25"/>
              </w:rPr>
              <w:t>okeja federācijas tienešu izmaksas – 1`500 lati.</w:t>
            </w:r>
            <w:r w:rsidR="00D726E1" w:rsidRPr="0081110E">
              <w:rPr>
                <w:sz w:val="25"/>
                <w:szCs w:val="25"/>
              </w:rPr>
              <w:t xml:space="preserve"> Detalizēta izdevumu tāme pievienota pielikumā.</w:t>
            </w:r>
          </w:p>
          <w:p w:rsidR="00DA266F" w:rsidRPr="0081110E" w:rsidRDefault="00DA266F" w:rsidP="00AB4997">
            <w:pPr>
              <w:pStyle w:val="naisf"/>
              <w:spacing w:before="0" w:after="0"/>
              <w:ind w:firstLine="0"/>
              <w:rPr>
                <w:sz w:val="25"/>
                <w:szCs w:val="25"/>
              </w:rPr>
            </w:pPr>
          </w:p>
          <w:p w:rsidR="00AB4997" w:rsidRPr="0081110E" w:rsidRDefault="00AB4997" w:rsidP="00AE3FF2">
            <w:pPr>
              <w:pStyle w:val="naisf"/>
              <w:spacing w:before="0" w:after="0"/>
              <w:ind w:firstLine="0"/>
              <w:rPr>
                <w:sz w:val="25"/>
                <w:szCs w:val="25"/>
              </w:rPr>
            </w:pPr>
            <w:r w:rsidRPr="0081110E">
              <w:rPr>
                <w:sz w:val="25"/>
                <w:szCs w:val="25"/>
              </w:rPr>
              <w:t xml:space="preserve">Latvijas nacionālās sieviešu volejbola izlases dalība 2014.gada pasaules čempionāta kvalifikācijas turnīrā Raananā (Izraēla) – </w:t>
            </w:r>
            <w:r w:rsidRPr="0081110E">
              <w:rPr>
                <w:sz w:val="25"/>
                <w:szCs w:val="25"/>
                <w:u w:val="single"/>
              </w:rPr>
              <w:t>8`340 lati</w:t>
            </w:r>
            <w:r w:rsidRPr="0081110E">
              <w:rPr>
                <w:sz w:val="25"/>
                <w:szCs w:val="25"/>
              </w:rPr>
              <w:t xml:space="preserve"> (t.sk.: </w:t>
            </w:r>
            <w:r w:rsidR="00AE3FF2" w:rsidRPr="0081110E">
              <w:rPr>
                <w:sz w:val="25"/>
                <w:szCs w:val="25"/>
              </w:rPr>
              <w:t xml:space="preserve">ar </w:t>
            </w:r>
            <w:r w:rsidRPr="0081110E">
              <w:rPr>
                <w:sz w:val="25"/>
                <w:szCs w:val="25"/>
              </w:rPr>
              <w:t>ārvalstu komandējumi</w:t>
            </w:r>
            <w:r w:rsidR="00AE3FF2" w:rsidRPr="0081110E">
              <w:rPr>
                <w:sz w:val="25"/>
                <w:szCs w:val="25"/>
              </w:rPr>
              <w:t>em saistītās izmaksas</w:t>
            </w:r>
            <w:r w:rsidRPr="0081110E">
              <w:rPr>
                <w:sz w:val="25"/>
                <w:szCs w:val="25"/>
              </w:rPr>
              <w:t xml:space="preserve"> – </w:t>
            </w:r>
            <w:r w:rsidR="00AE3FF2" w:rsidRPr="0081110E">
              <w:rPr>
                <w:sz w:val="25"/>
                <w:szCs w:val="25"/>
              </w:rPr>
              <w:t>7`140</w:t>
            </w:r>
            <w:r w:rsidRPr="0081110E">
              <w:rPr>
                <w:sz w:val="25"/>
                <w:szCs w:val="25"/>
              </w:rPr>
              <w:t xml:space="preserve"> lati;</w:t>
            </w:r>
            <w:r w:rsidR="00AE3FF2" w:rsidRPr="0081110E">
              <w:rPr>
                <w:sz w:val="25"/>
                <w:szCs w:val="25"/>
              </w:rPr>
              <w:t xml:space="preserve"> citi pakalpojumi – 1`100 lati, apbalvojumi – 100 lati. Detalizēta izdevumu tāme pievienota pielikumā.</w:t>
            </w:r>
          </w:p>
        </w:tc>
      </w:tr>
      <w:tr w:rsidR="00DA30DA" w:rsidRPr="0081110E" w:rsidTr="00DA30DA">
        <w:trPr>
          <w:jc w:val="center"/>
        </w:trPr>
        <w:tc>
          <w:tcPr>
            <w:tcW w:w="2853" w:type="dxa"/>
          </w:tcPr>
          <w:p w:rsidR="00DA30DA" w:rsidRPr="0081110E" w:rsidRDefault="00DA30DA" w:rsidP="00831A72">
            <w:pPr>
              <w:rPr>
                <w:sz w:val="25"/>
                <w:szCs w:val="25"/>
              </w:rPr>
            </w:pPr>
            <w:r w:rsidRPr="0081110E">
              <w:rPr>
                <w:sz w:val="25"/>
                <w:szCs w:val="25"/>
              </w:rPr>
              <w:lastRenderedPageBreak/>
              <w:t>6.1. detalizēts ieņēmumu aprēķins</w:t>
            </w:r>
          </w:p>
        </w:tc>
        <w:tc>
          <w:tcPr>
            <w:tcW w:w="7224" w:type="dxa"/>
            <w:gridSpan w:val="5"/>
            <w:vMerge/>
          </w:tcPr>
          <w:p w:rsidR="00DA30DA" w:rsidRPr="0081110E" w:rsidRDefault="00DA30DA" w:rsidP="00831A72">
            <w:pPr>
              <w:pStyle w:val="naisf"/>
              <w:spacing w:before="0" w:after="0"/>
              <w:ind w:firstLine="0"/>
              <w:rPr>
                <w:b/>
                <w:i/>
                <w:sz w:val="25"/>
                <w:szCs w:val="25"/>
              </w:rPr>
            </w:pPr>
          </w:p>
        </w:tc>
      </w:tr>
      <w:tr w:rsidR="00DA30DA" w:rsidRPr="0081110E" w:rsidTr="00DA30DA">
        <w:trPr>
          <w:jc w:val="center"/>
        </w:trPr>
        <w:tc>
          <w:tcPr>
            <w:tcW w:w="2853" w:type="dxa"/>
          </w:tcPr>
          <w:p w:rsidR="00DA30DA" w:rsidRPr="0081110E" w:rsidRDefault="00DA30DA" w:rsidP="00831A72">
            <w:pPr>
              <w:rPr>
                <w:sz w:val="25"/>
                <w:szCs w:val="25"/>
              </w:rPr>
            </w:pPr>
            <w:r w:rsidRPr="0081110E">
              <w:rPr>
                <w:sz w:val="25"/>
                <w:szCs w:val="25"/>
              </w:rPr>
              <w:t>6.2. detalizēts izdevumu aprēķins</w:t>
            </w:r>
          </w:p>
        </w:tc>
        <w:tc>
          <w:tcPr>
            <w:tcW w:w="7224" w:type="dxa"/>
            <w:gridSpan w:val="5"/>
            <w:vMerge/>
          </w:tcPr>
          <w:p w:rsidR="00DA30DA" w:rsidRPr="0081110E" w:rsidRDefault="00DA30DA" w:rsidP="00831A72">
            <w:pPr>
              <w:pStyle w:val="naisf"/>
              <w:spacing w:before="0" w:after="0"/>
              <w:ind w:firstLine="0"/>
              <w:rPr>
                <w:b/>
                <w:i/>
                <w:sz w:val="25"/>
                <w:szCs w:val="25"/>
              </w:rPr>
            </w:pPr>
          </w:p>
        </w:tc>
      </w:tr>
      <w:tr w:rsidR="00DA30DA" w:rsidRPr="0081110E" w:rsidTr="00DA30DA">
        <w:trPr>
          <w:jc w:val="center"/>
        </w:trPr>
        <w:tc>
          <w:tcPr>
            <w:tcW w:w="2853" w:type="dxa"/>
          </w:tcPr>
          <w:p w:rsidR="00DA30DA" w:rsidRPr="0081110E" w:rsidRDefault="00DA30DA" w:rsidP="00831A72">
            <w:pPr>
              <w:rPr>
                <w:sz w:val="25"/>
                <w:szCs w:val="25"/>
              </w:rPr>
            </w:pPr>
            <w:r w:rsidRPr="0081110E">
              <w:rPr>
                <w:sz w:val="25"/>
                <w:szCs w:val="25"/>
              </w:rPr>
              <w:t>7. Cita informācija</w:t>
            </w:r>
          </w:p>
        </w:tc>
        <w:tc>
          <w:tcPr>
            <w:tcW w:w="7224" w:type="dxa"/>
            <w:gridSpan w:val="5"/>
          </w:tcPr>
          <w:p w:rsidR="00DA30DA" w:rsidRPr="0081110E" w:rsidRDefault="0054456F" w:rsidP="00707D91">
            <w:pPr>
              <w:pStyle w:val="naisf"/>
              <w:tabs>
                <w:tab w:val="left" w:pos="4644"/>
              </w:tabs>
              <w:spacing w:before="0" w:after="0"/>
              <w:ind w:firstLine="0"/>
              <w:rPr>
                <w:color w:val="000000"/>
                <w:sz w:val="25"/>
                <w:szCs w:val="25"/>
              </w:rPr>
            </w:pPr>
            <w:r w:rsidRPr="0081110E">
              <w:rPr>
                <w:color w:val="000000"/>
                <w:sz w:val="25"/>
                <w:szCs w:val="25"/>
              </w:rPr>
              <w:t>I</w:t>
            </w:r>
            <w:r w:rsidR="00272248" w:rsidRPr="0081110E">
              <w:rPr>
                <w:color w:val="000000"/>
                <w:sz w:val="25"/>
                <w:szCs w:val="25"/>
              </w:rPr>
              <w:t xml:space="preserve">zdevumus sedz no </w:t>
            </w:r>
            <w:r w:rsidRPr="0081110E">
              <w:rPr>
                <w:color w:val="000000"/>
                <w:sz w:val="25"/>
                <w:szCs w:val="25"/>
              </w:rPr>
              <w:t>valsts budžeta programmas 02.00.00 „Līdzekļi neparedzētiem gadījumiem”</w:t>
            </w:r>
            <w:r w:rsidR="00272248" w:rsidRPr="0081110E">
              <w:rPr>
                <w:color w:val="000000"/>
                <w:sz w:val="25"/>
                <w:szCs w:val="25"/>
              </w:rPr>
              <w:t>.</w:t>
            </w:r>
          </w:p>
          <w:p w:rsidR="0016142A" w:rsidRPr="0081110E" w:rsidRDefault="0016142A" w:rsidP="00707D91">
            <w:pPr>
              <w:pStyle w:val="naisf"/>
              <w:tabs>
                <w:tab w:val="left" w:pos="4644"/>
              </w:tabs>
              <w:spacing w:before="0" w:after="0"/>
              <w:ind w:firstLine="0"/>
              <w:rPr>
                <w:color w:val="000000"/>
                <w:sz w:val="25"/>
                <w:szCs w:val="25"/>
              </w:rPr>
            </w:pPr>
          </w:p>
          <w:p w:rsidR="0016142A" w:rsidRPr="0081110E" w:rsidRDefault="0016142A" w:rsidP="00707D91">
            <w:pPr>
              <w:pStyle w:val="naisf"/>
              <w:tabs>
                <w:tab w:val="left" w:pos="4644"/>
              </w:tabs>
              <w:spacing w:before="0" w:after="0"/>
              <w:ind w:firstLine="0"/>
              <w:rPr>
                <w:sz w:val="25"/>
                <w:szCs w:val="25"/>
              </w:rPr>
            </w:pPr>
            <w:r w:rsidRPr="0081110E">
              <w:rPr>
                <w:sz w:val="25"/>
                <w:szCs w:val="25"/>
              </w:rPr>
              <w:t>Informāciju par apropriācijas izmaiņām likuma par valsts budžetu attiecīgajam gadam pielikumā „Valsts pamatbudžeta ieņēmumu un izdevumu atšifrējums pa programmām un apakšprogrammām” (veidlapa APRO) ministrija iesniegs Finanšu ministrijā pēc Rīkojuma projekta pieņemšanas Ministru kabinetā.</w:t>
            </w:r>
          </w:p>
        </w:tc>
      </w:tr>
    </w:tbl>
    <w:p w:rsidR="00DA30DA" w:rsidRPr="0081110E" w:rsidRDefault="00DA30DA" w:rsidP="00D96FCD">
      <w:pPr>
        <w:pStyle w:val="naisf"/>
        <w:spacing w:before="0" w:after="0"/>
        <w:rPr>
          <w:sz w:val="25"/>
          <w:szCs w:val="25"/>
        </w:rPr>
      </w:pPr>
    </w:p>
    <w:p w:rsidR="001F23A6" w:rsidRPr="0081110E" w:rsidRDefault="001F23A6" w:rsidP="001F23A6">
      <w:pPr>
        <w:rPr>
          <w:sz w:val="25"/>
          <w:szCs w:val="25"/>
        </w:rPr>
      </w:pPr>
      <w:r w:rsidRPr="0081110E">
        <w:rPr>
          <w:sz w:val="25"/>
          <w:szCs w:val="25"/>
        </w:rPr>
        <w:t>Anotācijas IV – VII sadaļa – Rīkojuma projekts šīs jomas neskar.</w:t>
      </w:r>
    </w:p>
    <w:p w:rsidR="00585B7B" w:rsidRPr="0081110E" w:rsidRDefault="00585B7B" w:rsidP="00D96FCD">
      <w:pPr>
        <w:rPr>
          <w:sz w:val="25"/>
          <w:szCs w:val="25"/>
        </w:rPr>
      </w:pPr>
    </w:p>
    <w:p w:rsidR="001F23A6" w:rsidRPr="0081110E" w:rsidRDefault="001F23A6" w:rsidP="00D96FCD">
      <w:pPr>
        <w:rPr>
          <w:sz w:val="25"/>
          <w:szCs w:val="25"/>
        </w:rPr>
      </w:pPr>
    </w:p>
    <w:p w:rsidR="00933D0C" w:rsidRPr="0081110E" w:rsidRDefault="00933D0C" w:rsidP="00933D0C">
      <w:pPr>
        <w:pStyle w:val="BodyText2"/>
        <w:spacing w:after="0" w:line="240" w:lineRule="auto"/>
        <w:ind w:firstLine="709"/>
        <w:jc w:val="both"/>
        <w:rPr>
          <w:sz w:val="25"/>
          <w:szCs w:val="25"/>
        </w:rPr>
      </w:pPr>
      <w:r w:rsidRPr="0081110E">
        <w:rPr>
          <w:sz w:val="25"/>
          <w:szCs w:val="25"/>
        </w:rPr>
        <w:t xml:space="preserve">Izglītības un zinātnes ministrs                 </w:t>
      </w:r>
      <w:r w:rsidR="0081110E">
        <w:rPr>
          <w:sz w:val="25"/>
          <w:szCs w:val="25"/>
        </w:rPr>
        <w:t xml:space="preserve">                              </w:t>
      </w:r>
      <w:r w:rsidR="0059458A" w:rsidRPr="0081110E">
        <w:rPr>
          <w:sz w:val="25"/>
          <w:szCs w:val="25"/>
        </w:rPr>
        <w:t xml:space="preserve">V.Dombrovskis </w:t>
      </w:r>
    </w:p>
    <w:p w:rsidR="004560F5" w:rsidRPr="0081110E" w:rsidRDefault="004560F5" w:rsidP="00D96FCD">
      <w:pPr>
        <w:rPr>
          <w:sz w:val="25"/>
          <w:szCs w:val="25"/>
        </w:rPr>
      </w:pPr>
    </w:p>
    <w:p w:rsidR="008431E8" w:rsidRPr="0081110E" w:rsidRDefault="00585B7B" w:rsidP="00C7220E">
      <w:pPr>
        <w:ind w:firstLine="720"/>
        <w:rPr>
          <w:sz w:val="25"/>
          <w:szCs w:val="25"/>
        </w:rPr>
      </w:pPr>
      <w:r w:rsidRPr="0081110E">
        <w:rPr>
          <w:sz w:val="25"/>
          <w:szCs w:val="25"/>
        </w:rPr>
        <w:t>Vizē:</w:t>
      </w:r>
    </w:p>
    <w:p w:rsidR="00585B7B" w:rsidRPr="0081110E" w:rsidRDefault="005C1BC7" w:rsidP="00984C14">
      <w:pPr>
        <w:ind w:firstLine="720"/>
        <w:rPr>
          <w:sz w:val="25"/>
          <w:szCs w:val="25"/>
        </w:rPr>
      </w:pPr>
      <w:r w:rsidRPr="0081110E">
        <w:rPr>
          <w:sz w:val="25"/>
          <w:szCs w:val="25"/>
        </w:rPr>
        <w:t>V</w:t>
      </w:r>
      <w:r w:rsidR="00984C14" w:rsidRPr="0081110E">
        <w:rPr>
          <w:sz w:val="25"/>
          <w:szCs w:val="25"/>
        </w:rPr>
        <w:t>alsts sekretāre                                                                           S.Liepiņa</w:t>
      </w:r>
    </w:p>
    <w:p w:rsidR="00080CC1" w:rsidRPr="0081110E" w:rsidRDefault="00080CC1" w:rsidP="00D96FCD">
      <w:pPr>
        <w:jc w:val="both"/>
        <w:rPr>
          <w:sz w:val="25"/>
          <w:szCs w:val="25"/>
        </w:rPr>
      </w:pPr>
    </w:p>
    <w:p w:rsidR="00CF7C34" w:rsidRPr="00055608" w:rsidRDefault="00CF7C34" w:rsidP="00D96FCD">
      <w:pPr>
        <w:jc w:val="both"/>
        <w:rPr>
          <w:sz w:val="22"/>
          <w:szCs w:val="22"/>
        </w:rPr>
      </w:pPr>
    </w:p>
    <w:p w:rsidR="00942D3A" w:rsidRPr="0081110E" w:rsidRDefault="000337AB" w:rsidP="00942D3A">
      <w:pPr>
        <w:ind w:left="720"/>
        <w:rPr>
          <w:sz w:val="21"/>
          <w:szCs w:val="21"/>
        </w:rPr>
      </w:pPr>
      <w:r>
        <w:rPr>
          <w:sz w:val="21"/>
          <w:szCs w:val="21"/>
        </w:rPr>
        <w:t>17</w:t>
      </w:r>
      <w:r w:rsidR="00BB3EF5" w:rsidRPr="0081110E">
        <w:rPr>
          <w:sz w:val="21"/>
          <w:szCs w:val="21"/>
        </w:rPr>
        <w:t>.10</w:t>
      </w:r>
      <w:r w:rsidR="00984C14" w:rsidRPr="0081110E">
        <w:rPr>
          <w:sz w:val="21"/>
          <w:szCs w:val="21"/>
        </w:rPr>
        <w:t>.2013.</w:t>
      </w:r>
      <w:r w:rsidR="00BB3EF5" w:rsidRPr="0081110E">
        <w:rPr>
          <w:sz w:val="21"/>
          <w:szCs w:val="21"/>
        </w:rPr>
        <w:t>1</w:t>
      </w:r>
      <w:r>
        <w:rPr>
          <w:sz w:val="21"/>
          <w:szCs w:val="21"/>
        </w:rPr>
        <w:t>4</w:t>
      </w:r>
      <w:r w:rsidR="00942D3A" w:rsidRPr="0081110E">
        <w:rPr>
          <w:sz w:val="21"/>
          <w:szCs w:val="21"/>
        </w:rPr>
        <w:t>:</w:t>
      </w:r>
      <w:bookmarkStart w:id="7" w:name="_GoBack"/>
      <w:bookmarkEnd w:id="7"/>
      <w:r>
        <w:rPr>
          <w:sz w:val="21"/>
          <w:szCs w:val="21"/>
        </w:rPr>
        <w:t>00</w:t>
      </w:r>
    </w:p>
    <w:p w:rsidR="00942D3A" w:rsidRPr="0081110E" w:rsidRDefault="00E8398D" w:rsidP="00942D3A">
      <w:pPr>
        <w:ind w:left="720"/>
        <w:rPr>
          <w:sz w:val="21"/>
          <w:szCs w:val="21"/>
        </w:rPr>
      </w:pPr>
      <w:fldSimple w:instr=" NUMWORDS   \* MERGEFORMAT ">
        <w:r w:rsidR="00F45D03" w:rsidRPr="00F45D03">
          <w:rPr>
            <w:noProof/>
            <w:sz w:val="21"/>
            <w:szCs w:val="21"/>
          </w:rPr>
          <w:t>2134</w:t>
        </w:r>
      </w:fldSimple>
    </w:p>
    <w:p w:rsidR="00942D3A" w:rsidRPr="0081110E" w:rsidRDefault="00942D3A" w:rsidP="00942D3A">
      <w:pPr>
        <w:ind w:left="720"/>
        <w:rPr>
          <w:sz w:val="21"/>
          <w:szCs w:val="21"/>
        </w:rPr>
      </w:pPr>
      <w:bookmarkStart w:id="8" w:name="OLE_LINK7"/>
      <w:r w:rsidRPr="0081110E">
        <w:rPr>
          <w:sz w:val="21"/>
          <w:szCs w:val="21"/>
        </w:rPr>
        <w:t>Izglītības un zinātnes ministrijas</w:t>
      </w:r>
    </w:p>
    <w:p w:rsidR="00942D3A" w:rsidRPr="0081110E" w:rsidRDefault="00942D3A" w:rsidP="00942D3A">
      <w:pPr>
        <w:ind w:left="720"/>
        <w:rPr>
          <w:sz w:val="21"/>
          <w:szCs w:val="21"/>
        </w:rPr>
      </w:pPr>
      <w:r w:rsidRPr="0081110E">
        <w:rPr>
          <w:sz w:val="21"/>
          <w:szCs w:val="21"/>
        </w:rPr>
        <w:t xml:space="preserve">Sporta </w:t>
      </w:r>
      <w:r w:rsidR="000B3147" w:rsidRPr="0081110E">
        <w:rPr>
          <w:sz w:val="21"/>
          <w:szCs w:val="21"/>
        </w:rPr>
        <w:t>un jaunatnes departamenta</w:t>
      </w:r>
    </w:p>
    <w:p w:rsidR="00942D3A" w:rsidRPr="0081110E" w:rsidRDefault="00942D3A" w:rsidP="00942D3A">
      <w:pPr>
        <w:ind w:left="720"/>
        <w:rPr>
          <w:sz w:val="21"/>
          <w:szCs w:val="21"/>
        </w:rPr>
      </w:pPr>
      <w:r w:rsidRPr="0081110E">
        <w:rPr>
          <w:sz w:val="21"/>
          <w:szCs w:val="21"/>
        </w:rPr>
        <w:t>vecākais referents K.Randohs</w:t>
      </w:r>
    </w:p>
    <w:p w:rsidR="00942D3A" w:rsidRPr="0081110E" w:rsidRDefault="00942D3A" w:rsidP="00942D3A">
      <w:pPr>
        <w:ind w:left="720"/>
        <w:rPr>
          <w:color w:val="000000"/>
          <w:sz w:val="21"/>
          <w:szCs w:val="21"/>
        </w:rPr>
      </w:pPr>
      <w:r w:rsidRPr="0081110E">
        <w:rPr>
          <w:sz w:val="21"/>
          <w:szCs w:val="21"/>
        </w:rPr>
        <w:t>67047982, kaspars.randohs@izm.gov.lv</w:t>
      </w:r>
      <w:bookmarkEnd w:id="8"/>
    </w:p>
    <w:p w:rsidR="00585B7B" w:rsidRPr="0081110E" w:rsidRDefault="00585B7B" w:rsidP="00942D3A">
      <w:pPr>
        <w:ind w:firstLine="720"/>
        <w:rPr>
          <w:sz w:val="21"/>
          <w:szCs w:val="21"/>
        </w:rPr>
      </w:pPr>
    </w:p>
    <w:sectPr w:rsidR="00585B7B" w:rsidRPr="0081110E" w:rsidSect="00C13B05">
      <w:headerReference w:type="default" r:id="rId7"/>
      <w:footerReference w:type="default" r:id="rId8"/>
      <w:footerReference w:type="first" r:id="rId9"/>
      <w:pgSz w:w="11906" w:h="16838" w:code="9"/>
      <w:pgMar w:top="1134" w:right="1134" w:bottom="1134" w:left="1701" w:header="567"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BB" w:rsidRDefault="00B276BB" w:rsidP="00123E9B">
      <w:r>
        <w:separator/>
      </w:r>
    </w:p>
  </w:endnote>
  <w:endnote w:type="continuationSeparator" w:id="0">
    <w:p w:rsidR="00B276BB" w:rsidRDefault="00B276BB"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60" w:rsidRPr="009849CF" w:rsidRDefault="00250560" w:rsidP="00D726E1">
    <w:pPr>
      <w:pStyle w:val="Footer"/>
      <w:jc w:val="both"/>
      <w:rPr>
        <w:szCs w:val="22"/>
      </w:rPr>
    </w:pPr>
    <w:r w:rsidRPr="00DE1B77">
      <w:rPr>
        <w:sz w:val="22"/>
        <w:szCs w:val="22"/>
      </w:rPr>
      <w:t>IZMAnot_</w:t>
    </w:r>
    <w:r w:rsidR="000337AB">
      <w:rPr>
        <w:sz w:val="22"/>
        <w:szCs w:val="22"/>
      </w:rPr>
      <w:t>17</w:t>
    </w:r>
    <w:r>
      <w:rPr>
        <w:sz w:val="22"/>
        <w:szCs w:val="22"/>
      </w:rPr>
      <w:t>1013_VolStud</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60" w:rsidRPr="00DE1B77" w:rsidRDefault="00250560" w:rsidP="00055608">
    <w:pPr>
      <w:ind w:left="-360" w:right="-262"/>
      <w:jc w:val="both"/>
      <w:rPr>
        <w:sz w:val="22"/>
        <w:szCs w:val="22"/>
      </w:rPr>
    </w:pPr>
    <w:r w:rsidRPr="00DE1B77">
      <w:rPr>
        <w:sz w:val="22"/>
        <w:szCs w:val="22"/>
      </w:rPr>
      <w:t>IZMAnot_</w:t>
    </w:r>
    <w:r w:rsidR="000337AB">
      <w:rPr>
        <w:sz w:val="22"/>
        <w:szCs w:val="22"/>
      </w:rPr>
      <w:t>17</w:t>
    </w:r>
    <w:r>
      <w:rPr>
        <w:sz w:val="22"/>
        <w:szCs w:val="22"/>
      </w:rPr>
      <w:t>1013</w:t>
    </w:r>
    <w:r w:rsidRPr="00DE1B77">
      <w:rPr>
        <w:sz w:val="22"/>
        <w:szCs w:val="22"/>
      </w:rPr>
      <w:t>_</w:t>
    </w:r>
    <w:r>
      <w:rPr>
        <w:sz w:val="22"/>
        <w:szCs w:val="22"/>
      </w:rPr>
      <w:t>VolStud</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BB" w:rsidRDefault="00B276BB" w:rsidP="00123E9B">
      <w:r>
        <w:separator/>
      </w:r>
    </w:p>
  </w:footnote>
  <w:footnote w:type="continuationSeparator" w:id="0">
    <w:p w:rsidR="00B276BB" w:rsidRDefault="00B276BB"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60" w:rsidRDefault="00E8398D">
    <w:pPr>
      <w:pStyle w:val="Header"/>
      <w:jc w:val="center"/>
    </w:pPr>
    <w:fldSimple w:instr=" PAGE   \* MERGEFORMAT ">
      <w:r w:rsidR="000337AB">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3490"/>
  </w:hdrShapeDefaults>
  <w:footnotePr>
    <w:footnote w:id="-1"/>
    <w:footnote w:id="0"/>
  </w:footnotePr>
  <w:endnotePr>
    <w:endnote w:id="-1"/>
    <w:endnote w:id="0"/>
  </w:endnotePr>
  <w:compat/>
  <w:rsids>
    <w:rsidRoot w:val="00D96FCD"/>
    <w:rsid w:val="00000DEA"/>
    <w:rsid w:val="000039DD"/>
    <w:rsid w:val="00004F0D"/>
    <w:rsid w:val="0000524B"/>
    <w:rsid w:val="00006D42"/>
    <w:rsid w:val="00010140"/>
    <w:rsid w:val="00010590"/>
    <w:rsid w:val="000120DA"/>
    <w:rsid w:val="00012EAE"/>
    <w:rsid w:val="000138B2"/>
    <w:rsid w:val="000151EB"/>
    <w:rsid w:val="00020924"/>
    <w:rsid w:val="00027F00"/>
    <w:rsid w:val="00033013"/>
    <w:rsid w:val="000337AB"/>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CA2"/>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2A2"/>
    <w:rsid w:val="00074405"/>
    <w:rsid w:val="00074B8C"/>
    <w:rsid w:val="00076F56"/>
    <w:rsid w:val="00080CC1"/>
    <w:rsid w:val="00081CEB"/>
    <w:rsid w:val="000846E7"/>
    <w:rsid w:val="000849C2"/>
    <w:rsid w:val="00084C38"/>
    <w:rsid w:val="00090BFF"/>
    <w:rsid w:val="000934D5"/>
    <w:rsid w:val="00094F13"/>
    <w:rsid w:val="00095EBB"/>
    <w:rsid w:val="00097B46"/>
    <w:rsid w:val="000A2237"/>
    <w:rsid w:val="000A4403"/>
    <w:rsid w:val="000B201C"/>
    <w:rsid w:val="000B3147"/>
    <w:rsid w:val="000B3B3C"/>
    <w:rsid w:val="000B62CA"/>
    <w:rsid w:val="000C0BAF"/>
    <w:rsid w:val="000C1819"/>
    <w:rsid w:val="000C36BE"/>
    <w:rsid w:val="000D00F8"/>
    <w:rsid w:val="000E058D"/>
    <w:rsid w:val="000E0815"/>
    <w:rsid w:val="000E2489"/>
    <w:rsid w:val="000E2AA3"/>
    <w:rsid w:val="000E3B94"/>
    <w:rsid w:val="000E4A2A"/>
    <w:rsid w:val="000E5FDF"/>
    <w:rsid w:val="000F1AC0"/>
    <w:rsid w:val="000F3894"/>
    <w:rsid w:val="0010198A"/>
    <w:rsid w:val="00103760"/>
    <w:rsid w:val="00103A3D"/>
    <w:rsid w:val="00111709"/>
    <w:rsid w:val="00114C20"/>
    <w:rsid w:val="00115EB8"/>
    <w:rsid w:val="00116669"/>
    <w:rsid w:val="0012123A"/>
    <w:rsid w:val="00123E9B"/>
    <w:rsid w:val="0012448A"/>
    <w:rsid w:val="0012704D"/>
    <w:rsid w:val="0012791B"/>
    <w:rsid w:val="00131A15"/>
    <w:rsid w:val="00132D10"/>
    <w:rsid w:val="00134CEC"/>
    <w:rsid w:val="001350A6"/>
    <w:rsid w:val="00135577"/>
    <w:rsid w:val="001376F8"/>
    <w:rsid w:val="00137FAC"/>
    <w:rsid w:val="001413A9"/>
    <w:rsid w:val="001423E5"/>
    <w:rsid w:val="00147D9A"/>
    <w:rsid w:val="00150D62"/>
    <w:rsid w:val="00156760"/>
    <w:rsid w:val="00157F12"/>
    <w:rsid w:val="0016142A"/>
    <w:rsid w:val="001643CF"/>
    <w:rsid w:val="001673FC"/>
    <w:rsid w:val="00172A25"/>
    <w:rsid w:val="0017384A"/>
    <w:rsid w:val="00174AEB"/>
    <w:rsid w:val="00175071"/>
    <w:rsid w:val="00175317"/>
    <w:rsid w:val="00181D00"/>
    <w:rsid w:val="001824F8"/>
    <w:rsid w:val="0018329D"/>
    <w:rsid w:val="00184814"/>
    <w:rsid w:val="00186DF5"/>
    <w:rsid w:val="001904B3"/>
    <w:rsid w:val="00194724"/>
    <w:rsid w:val="00194A0F"/>
    <w:rsid w:val="001A142F"/>
    <w:rsid w:val="001A290D"/>
    <w:rsid w:val="001A2EC1"/>
    <w:rsid w:val="001A31E1"/>
    <w:rsid w:val="001A34F0"/>
    <w:rsid w:val="001A351A"/>
    <w:rsid w:val="001A3996"/>
    <w:rsid w:val="001A6E9C"/>
    <w:rsid w:val="001B1189"/>
    <w:rsid w:val="001B15B5"/>
    <w:rsid w:val="001B1F71"/>
    <w:rsid w:val="001B32BB"/>
    <w:rsid w:val="001C15CD"/>
    <w:rsid w:val="001C20B9"/>
    <w:rsid w:val="001C2FDE"/>
    <w:rsid w:val="001C403D"/>
    <w:rsid w:val="001C4BA3"/>
    <w:rsid w:val="001C60B1"/>
    <w:rsid w:val="001D17EA"/>
    <w:rsid w:val="001D1F6A"/>
    <w:rsid w:val="001D4A15"/>
    <w:rsid w:val="001D7C74"/>
    <w:rsid w:val="001E353A"/>
    <w:rsid w:val="001E6863"/>
    <w:rsid w:val="001E6E40"/>
    <w:rsid w:val="001F0A3C"/>
    <w:rsid w:val="001F23A6"/>
    <w:rsid w:val="001F2EBF"/>
    <w:rsid w:val="001F373F"/>
    <w:rsid w:val="001F4319"/>
    <w:rsid w:val="002005CA"/>
    <w:rsid w:val="0020083C"/>
    <w:rsid w:val="00203A19"/>
    <w:rsid w:val="002054CB"/>
    <w:rsid w:val="0021163A"/>
    <w:rsid w:val="0021426A"/>
    <w:rsid w:val="00214413"/>
    <w:rsid w:val="0021458D"/>
    <w:rsid w:val="00214AE5"/>
    <w:rsid w:val="00217F61"/>
    <w:rsid w:val="002239AB"/>
    <w:rsid w:val="00224F0F"/>
    <w:rsid w:val="00225615"/>
    <w:rsid w:val="0022669E"/>
    <w:rsid w:val="00232B87"/>
    <w:rsid w:val="002334AD"/>
    <w:rsid w:val="002339F0"/>
    <w:rsid w:val="00237289"/>
    <w:rsid w:val="00241061"/>
    <w:rsid w:val="00244807"/>
    <w:rsid w:val="00246FEA"/>
    <w:rsid w:val="00250560"/>
    <w:rsid w:val="0025457B"/>
    <w:rsid w:val="0025458A"/>
    <w:rsid w:val="0025500E"/>
    <w:rsid w:val="00255BAD"/>
    <w:rsid w:val="002637C0"/>
    <w:rsid w:val="00264CAF"/>
    <w:rsid w:val="00266356"/>
    <w:rsid w:val="00270E39"/>
    <w:rsid w:val="00272248"/>
    <w:rsid w:val="00273D63"/>
    <w:rsid w:val="00274E8A"/>
    <w:rsid w:val="002761F4"/>
    <w:rsid w:val="002819CC"/>
    <w:rsid w:val="0028791A"/>
    <w:rsid w:val="00290940"/>
    <w:rsid w:val="0029164A"/>
    <w:rsid w:val="002918AC"/>
    <w:rsid w:val="00291A48"/>
    <w:rsid w:val="00295345"/>
    <w:rsid w:val="00295C4A"/>
    <w:rsid w:val="00296136"/>
    <w:rsid w:val="002975AC"/>
    <w:rsid w:val="002A1E5B"/>
    <w:rsid w:val="002A41DA"/>
    <w:rsid w:val="002A6F37"/>
    <w:rsid w:val="002B0072"/>
    <w:rsid w:val="002B03B2"/>
    <w:rsid w:val="002B4D56"/>
    <w:rsid w:val="002B5C0B"/>
    <w:rsid w:val="002B6351"/>
    <w:rsid w:val="002B6933"/>
    <w:rsid w:val="002C0946"/>
    <w:rsid w:val="002C2590"/>
    <w:rsid w:val="002C2C3F"/>
    <w:rsid w:val="002C43BB"/>
    <w:rsid w:val="002C50CA"/>
    <w:rsid w:val="002D40DF"/>
    <w:rsid w:val="002D77A9"/>
    <w:rsid w:val="002E011D"/>
    <w:rsid w:val="002E0B47"/>
    <w:rsid w:val="002E0BB9"/>
    <w:rsid w:val="002E40BB"/>
    <w:rsid w:val="002E5DFE"/>
    <w:rsid w:val="002E6A3D"/>
    <w:rsid w:val="002F25B0"/>
    <w:rsid w:val="002F4472"/>
    <w:rsid w:val="002F5EAC"/>
    <w:rsid w:val="003014C2"/>
    <w:rsid w:val="003028DB"/>
    <w:rsid w:val="00307A0E"/>
    <w:rsid w:val="00312022"/>
    <w:rsid w:val="0031483B"/>
    <w:rsid w:val="00326649"/>
    <w:rsid w:val="003268E2"/>
    <w:rsid w:val="00326FFD"/>
    <w:rsid w:val="00331B78"/>
    <w:rsid w:val="00335F59"/>
    <w:rsid w:val="00337EF4"/>
    <w:rsid w:val="003445A2"/>
    <w:rsid w:val="00345224"/>
    <w:rsid w:val="003465DD"/>
    <w:rsid w:val="003478B4"/>
    <w:rsid w:val="00350D8D"/>
    <w:rsid w:val="00351AA0"/>
    <w:rsid w:val="00352F47"/>
    <w:rsid w:val="0035463A"/>
    <w:rsid w:val="00357A2C"/>
    <w:rsid w:val="00367957"/>
    <w:rsid w:val="00372812"/>
    <w:rsid w:val="00376CEF"/>
    <w:rsid w:val="00383F46"/>
    <w:rsid w:val="00386F10"/>
    <w:rsid w:val="003900A2"/>
    <w:rsid w:val="003906FF"/>
    <w:rsid w:val="00397AA4"/>
    <w:rsid w:val="003A0BA4"/>
    <w:rsid w:val="003A193D"/>
    <w:rsid w:val="003A1A94"/>
    <w:rsid w:val="003A6F5B"/>
    <w:rsid w:val="003B0922"/>
    <w:rsid w:val="003B1A4F"/>
    <w:rsid w:val="003B2930"/>
    <w:rsid w:val="003B2B5A"/>
    <w:rsid w:val="003B465C"/>
    <w:rsid w:val="003C691E"/>
    <w:rsid w:val="003D4908"/>
    <w:rsid w:val="003E53EB"/>
    <w:rsid w:val="003F18D3"/>
    <w:rsid w:val="003F380C"/>
    <w:rsid w:val="003F43C8"/>
    <w:rsid w:val="003F75A6"/>
    <w:rsid w:val="003F786B"/>
    <w:rsid w:val="004020E4"/>
    <w:rsid w:val="00403794"/>
    <w:rsid w:val="0040414A"/>
    <w:rsid w:val="00404DD8"/>
    <w:rsid w:val="00406BFE"/>
    <w:rsid w:val="004076BF"/>
    <w:rsid w:val="00411191"/>
    <w:rsid w:val="00411CF0"/>
    <w:rsid w:val="00412E8E"/>
    <w:rsid w:val="00415F7B"/>
    <w:rsid w:val="00416FC9"/>
    <w:rsid w:val="00417538"/>
    <w:rsid w:val="004177B4"/>
    <w:rsid w:val="0041793F"/>
    <w:rsid w:val="00417C9F"/>
    <w:rsid w:val="00420504"/>
    <w:rsid w:val="00424E6F"/>
    <w:rsid w:val="0042540D"/>
    <w:rsid w:val="004310C7"/>
    <w:rsid w:val="004331E9"/>
    <w:rsid w:val="00443FE3"/>
    <w:rsid w:val="00450BED"/>
    <w:rsid w:val="00451063"/>
    <w:rsid w:val="004513C2"/>
    <w:rsid w:val="00453435"/>
    <w:rsid w:val="0045399A"/>
    <w:rsid w:val="00454E29"/>
    <w:rsid w:val="004560F5"/>
    <w:rsid w:val="004569F4"/>
    <w:rsid w:val="00456BC1"/>
    <w:rsid w:val="00457282"/>
    <w:rsid w:val="00463FD8"/>
    <w:rsid w:val="00466E6C"/>
    <w:rsid w:val="00471C51"/>
    <w:rsid w:val="00472637"/>
    <w:rsid w:val="0047336E"/>
    <w:rsid w:val="004763AC"/>
    <w:rsid w:val="00476508"/>
    <w:rsid w:val="00476573"/>
    <w:rsid w:val="004804CE"/>
    <w:rsid w:val="0048376B"/>
    <w:rsid w:val="00484301"/>
    <w:rsid w:val="00486A8A"/>
    <w:rsid w:val="004925F7"/>
    <w:rsid w:val="004940B7"/>
    <w:rsid w:val="0049673D"/>
    <w:rsid w:val="004A1976"/>
    <w:rsid w:val="004A2074"/>
    <w:rsid w:val="004A5933"/>
    <w:rsid w:val="004A6A93"/>
    <w:rsid w:val="004A6E2E"/>
    <w:rsid w:val="004B0198"/>
    <w:rsid w:val="004B259A"/>
    <w:rsid w:val="004B3DE6"/>
    <w:rsid w:val="004B617C"/>
    <w:rsid w:val="004C673C"/>
    <w:rsid w:val="004C6E14"/>
    <w:rsid w:val="004C7662"/>
    <w:rsid w:val="004C7BA3"/>
    <w:rsid w:val="004D202D"/>
    <w:rsid w:val="004D40E3"/>
    <w:rsid w:val="004D6A71"/>
    <w:rsid w:val="004D6D19"/>
    <w:rsid w:val="004E4B60"/>
    <w:rsid w:val="004E607D"/>
    <w:rsid w:val="004F14C5"/>
    <w:rsid w:val="004F417A"/>
    <w:rsid w:val="00504DBF"/>
    <w:rsid w:val="00507BC2"/>
    <w:rsid w:val="00507E5D"/>
    <w:rsid w:val="00513D01"/>
    <w:rsid w:val="00514C25"/>
    <w:rsid w:val="00516733"/>
    <w:rsid w:val="0052372C"/>
    <w:rsid w:val="00524879"/>
    <w:rsid w:val="0052503E"/>
    <w:rsid w:val="00526BBC"/>
    <w:rsid w:val="005303DD"/>
    <w:rsid w:val="005306CD"/>
    <w:rsid w:val="00530EBE"/>
    <w:rsid w:val="005333E2"/>
    <w:rsid w:val="00533BE9"/>
    <w:rsid w:val="005344F2"/>
    <w:rsid w:val="00534712"/>
    <w:rsid w:val="00540871"/>
    <w:rsid w:val="005431CC"/>
    <w:rsid w:val="0054456F"/>
    <w:rsid w:val="005511F9"/>
    <w:rsid w:val="00551AA8"/>
    <w:rsid w:val="00554CE1"/>
    <w:rsid w:val="00556CF1"/>
    <w:rsid w:val="00557E2F"/>
    <w:rsid w:val="00560101"/>
    <w:rsid w:val="005637B7"/>
    <w:rsid w:val="00564A7F"/>
    <w:rsid w:val="00565777"/>
    <w:rsid w:val="005714B2"/>
    <w:rsid w:val="00573C60"/>
    <w:rsid w:val="00581679"/>
    <w:rsid w:val="00585B7B"/>
    <w:rsid w:val="00587C74"/>
    <w:rsid w:val="00590DD0"/>
    <w:rsid w:val="00591268"/>
    <w:rsid w:val="0059354C"/>
    <w:rsid w:val="0059458A"/>
    <w:rsid w:val="00594DEF"/>
    <w:rsid w:val="005A02DC"/>
    <w:rsid w:val="005A03DE"/>
    <w:rsid w:val="005A077D"/>
    <w:rsid w:val="005A0EAC"/>
    <w:rsid w:val="005A7608"/>
    <w:rsid w:val="005B1E9C"/>
    <w:rsid w:val="005B4B22"/>
    <w:rsid w:val="005B5C5C"/>
    <w:rsid w:val="005C1641"/>
    <w:rsid w:val="005C1BC7"/>
    <w:rsid w:val="005C278A"/>
    <w:rsid w:val="005C3A56"/>
    <w:rsid w:val="005C5513"/>
    <w:rsid w:val="005C5DB9"/>
    <w:rsid w:val="005C5E85"/>
    <w:rsid w:val="005C7471"/>
    <w:rsid w:val="005D2C19"/>
    <w:rsid w:val="005D4417"/>
    <w:rsid w:val="005D4A0C"/>
    <w:rsid w:val="005D64B0"/>
    <w:rsid w:val="005D6B61"/>
    <w:rsid w:val="005D6B8A"/>
    <w:rsid w:val="005E0468"/>
    <w:rsid w:val="005E4159"/>
    <w:rsid w:val="005E4DF4"/>
    <w:rsid w:val="005F22A7"/>
    <w:rsid w:val="005F3AA1"/>
    <w:rsid w:val="005F6A42"/>
    <w:rsid w:val="0060231D"/>
    <w:rsid w:val="00605A33"/>
    <w:rsid w:val="006107D6"/>
    <w:rsid w:val="0061090E"/>
    <w:rsid w:val="00615FD8"/>
    <w:rsid w:val="00616477"/>
    <w:rsid w:val="00620CAE"/>
    <w:rsid w:val="0062334B"/>
    <w:rsid w:val="006234D3"/>
    <w:rsid w:val="00624591"/>
    <w:rsid w:val="00625349"/>
    <w:rsid w:val="00625948"/>
    <w:rsid w:val="00625AC4"/>
    <w:rsid w:val="00626634"/>
    <w:rsid w:val="00631D5F"/>
    <w:rsid w:val="00632290"/>
    <w:rsid w:val="00633098"/>
    <w:rsid w:val="006337E8"/>
    <w:rsid w:val="00640C60"/>
    <w:rsid w:val="00642ABF"/>
    <w:rsid w:val="0064591A"/>
    <w:rsid w:val="00653952"/>
    <w:rsid w:val="00654274"/>
    <w:rsid w:val="0065692E"/>
    <w:rsid w:val="00664540"/>
    <w:rsid w:val="0066504D"/>
    <w:rsid w:val="00666844"/>
    <w:rsid w:val="00667079"/>
    <w:rsid w:val="00672827"/>
    <w:rsid w:val="00676453"/>
    <w:rsid w:val="00676573"/>
    <w:rsid w:val="00682170"/>
    <w:rsid w:val="00685380"/>
    <w:rsid w:val="00693071"/>
    <w:rsid w:val="00693E2C"/>
    <w:rsid w:val="006A20B2"/>
    <w:rsid w:val="006A2D60"/>
    <w:rsid w:val="006A344F"/>
    <w:rsid w:val="006A5B29"/>
    <w:rsid w:val="006A7A10"/>
    <w:rsid w:val="006B01F8"/>
    <w:rsid w:val="006B2095"/>
    <w:rsid w:val="006B232C"/>
    <w:rsid w:val="006B5FDC"/>
    <w:rsid w:val="006B76EE"/>
    <w:rsid w:val="006C1D18"/>
    <w:rsid w:val="006D21F5"/>
    <w:rsid w:val="006D531B"/>
    <w:rsid w:val="006D5A81"/>
    <w:rsid w:val="006D6BB4"/>
    <w:rsid w:val="006D759A"/>
    <w:rsid w:val="006D7BDE"/>
    <w:rsid w:val="006E2009"/>
    <w:rsid w:val="006E6160"/>
    <w:rsid w:val="006E768C"/>
    <w:rsid w:val="006F3DD2"/>
    <w:rsid w:val="006F54D6"/>
    <w:rsid w:val="00700411"/>
    <w:rsid w:val="007044ED"/>
    <w:rsid w:val="007052C3"/>
    <w:rsid w:val="00705BB4"/>
    <w:rsid w:val="00706CAC"/>
    <w:rsid w:val="00707D91"/>
    <w:rsid w:val="00710206"/>
    <w:rsid w:val="00712406"/>
    <w:rsid w:val="0071318F"/>
    <w:rsid w:val="00713888"/>
    <w:rsid w:val="00714715"/>
    <w:rsid w:val="007213F1"/>
    <w:rsid w:val="00721827"/>
    <w:rsid w:val="007247C1"/>
    <w:rsid w:val="00724AF2"/>
    <w:rsid w:val="007263F1"/>
    <w:rsid w:val="00726C59"/>
    <w:rsid w:val="00730CDA"/>
    <w:rsid w:val="00732686"/>
    <w:rsid w:val="00732A32"/>
    <w:rsid w:val="00733E34"/>
    <w:rsid w:val="007351BE"/>
    <w:rsid w:val="00736CAE"/>
    <w:rsid w:val="007370A4"/>
    <w:rsid w:val="00740E42"/>
    <w:rsid w:val="007442E2"/>
    <w:rsid w:val="007459D5"/>
    <w:rsid w:val="0075045D"/>
    <w:rsid w:val="00754101"/>
    <w:rsid w:val="007558B7"/>
    <w:rsid w:val="00762F8F"/>
    <w:rsid w:val="00763461"/>
    <w:rsid w:val="0076557F"/>
    <w:rsid w:val="00765AA8"/>
    <w:rsid w:val="0077133D"/>
    <w:rsid w:val="00773B13"/>
    <w:rsid w:val="00774453"/>
    <w:rsid w:val="00775647"/>
    <w:rsid w:val="0077649E"/>
    <w:rsid w:val="00776B8D"/>
    <w:rsid w:val="00776EE1"/>
    <w:rsid w:val="00781BCE"/>
    <w:rsid w:val="00783A02"/>
    <w:rsid w:val="00783B51"/>
    <w:rsid w:val="00791E64"/>
    <w:rsid w:val="0079317A"/>
    <w:rsid w:val="00794345"/>
    <w:rsid w:val="00795000"/>
    <w:rsid w:val="0079616C"/>
    <w:rsid w:val="00796A21"/>
    <w:rsid w:val="00797264"/>
    <w:rsid w:val="007A4B92"/>
    <w:rsid w:val="007A51FA"/>
    <w:rsid w:val="007A70F7"/>
    <w:rsid w:val="007A7C28"/>
    <w:rsid w:val="007A7D3A"/>
    <w:rsid w:val="007A7E67"/>
    <w:rsid w:val="007B1544"/>
    <w:rsid w:val="007B25D4"/>
    <w:rsid w:val="007B3D22"/>
    <w:rsid w:val="007B47C2"/>
    <w:rsid w:val="007C05FF"/>
    <w:rsid w:val="007C0F2C"/>
    <w:rsid w:val="007C221B"/>
    <w:rsid w:val="007C231C"/>
    <w:rsid w:val="007C34AD"/>
    <w:rsid w:val="007C5877"/>
    <w:rsid w:val="007C590D"/>
    <w:rsid w:val="007D3B9F"/>
    <w:rsid w:val="007E2464"/>
    <w:rsid w:val="007E36FC"/>
    <w:rsid w:val="007E6314"/>
    <w:rsid w:val="007E7B36"/>
    <w:rsid w:val="007E7F9D"/>
    <w:rsid w:val="007F1F1C"/>
    <w:rsid w:val="007F3911"/>
    <w:rsid w:val="007F676E"/>
    <w:rsid w:val="007F6D6B"/>
    <w:rsid w:val="0080017B"/>
    <w:rsid w:val="008034B4"/>
    <w:rsid w:val="00803645"/>
    <w:rsid w:val="00804094"/>
    <w:rsid w:val="00804959"/>
    <w:rsid w:val="00804B8C"/>
    <w:rsid w:val="0081110E"/>
    <w:rsid w:val="0081704B"/>
    <w:rsid w:val="008212A7"/>
    <w:rsid w:val="0082231A"/>
    <w:rsid w:val="008257D3"/>
    <w:rsid w:val="00825CDD"/>
    <w:rsid w:val="00831A72"/>
    <w:rsid w:val="00833325"/>
    <w:rsid w:val="00833D7A"/>
    <w:rsid w:val="00834B1C"/>
    <w:rsid w:val="0084066D"/>
    <w:rsid w:val="00842544"/>
    <w:rsid w:val="008431E8"/>
    <w:rsid w:val="00844660"/>
    <w:rsid w:val="00846518"/>
    <w:rsid w:val="00853066"/>
    <w:rsid w:val="0085329C"/>
    <w:rsid w:val="00853B4B"/>
    <w:rsid w:val="00854DCF"/>
    <w:rsid w:val="0086173C"/>
    <w:rsid w:val="00862337"/>
    <w:rsid w:val="008634F5"/>
    <w:rsid w:val="0086390D"/>
    <w:rsid w:val="00865F4A"/>
    <w:rsid w:val="0086671A"/>
    <w:rsid w:val="008723BF"/>
    <w:rsid w:val="008736C0"/>
    <w:rsid w:val="00873AFB"/>
    <w:rsid w:val="0088273C"/>
    <w:rsid w:val="0088346E"/>
    <w:rsid w:val="00887353"/>
    <w:rsid w:val="00892CEB"/>
    <w:rsid w:val="00892DC2"/>
    <w:rsid w:val="0089323C"/>
    <w:rsid w:val="00893CD2"/>
    <w:rsid w:val="008A17E9"/>
    <w:rsid w:val="008A60A4"/>
    <w:rsid w:val="008B27B1"/>
    <w:rsid w:val="008B53EA"/>
    <w:rsid w:val="008C06F7"/>
    <w:rsid w:val="008C28CD"/>
    <w:rsid w:val="008D1C7C"/>
    <w:rsid w:val="008D28DE"/>
    <w:rsid w:val="008D2C97"/>
    <w:rsid w:val="008D7B3A"/>
    <w:rsid w:val="008D7D52"/>
    <w:rsid w:val="008E08B5"/>
    <w:rsid w:val="008E120E"/>
    <w:rsid w:val="008E2F5F"/>
    <w:rsid w:val="008E3516"/>
    <w:rsid w:val="008E4101"/>
    <w:rsid w:val="008F240C"/>
    <w:rsid w:val="008F245F"/>
    <w:rsid w:val="008F62DB"/>
    <w:rsid w:val="008F643F"/>
    <w:rsid w:val="00901B63"/>
    <w:rsid w:val="00905F07"/>
    <w:rsid w:val="009063BF"/>
    <w:rsid w:val="00907E6F"/>
    <w:rsid w:val="00910FB5"/>
    <w:rsid w:val="009122A7"/>
    <w:rsid w:val="00913388"/>
    <w:rsid w:val="0091488B"/>
    <w:rsid w:val="00916055"/>
    <w:rsid w:val="009179FA"/>
    <w:rsid w:val="00920AFE"/>
    <w:rsid w:val="009212E2"/>
    <w:rsid w:val="00921F54"/>
    <w:rsid w:val="00923486"/>
    <w:rsid w:val="009254BE"/>
    <w:rsid w:val="0093066B"/>
    <w:rsid w:val="00930905"/>
    <w:rsid w:val="009321E2"/>
    <w:rsid w:val="00933D0C"/>
    <w:rsid w:val="009343C2"/>
    <w:rsid w:val="00935F6C"/>
    <w:rsid w:val="00942D3A"/>
    <w:rsid w:val="00943700"/>
    <w:rsid w:val="00943C3C"/>
    <w:rsid w:val="00944333"/>
    <w:rsid w:val="00944E24"/>
    <w:rsid w:val="0095432B"/>
    <w:rsid w:val="0095616A"/>
    <w:rsid w:val="00957BFE"/>
    <w:rsid w:val="00961924"/>
    <w:rsid w:val="0096294C"/>
    <w:rsid w:val="009629C7"/>
    <w:rsid w:val="00962C97"/>
    <w:rsid w:val="009631D8"/>
    <w:rsid w:val="009667F8"/>
    <w:rsid w:val="00967D62"/>
    <w:rsid w:val="00970D16"/>
    <w:rsid w:val="00976CDB"/>
    <w:rsid w:val="009849CF"/>
    <w:rsid w:val="00984C14"/>
    <w:rsid w:val="00987CF4"/>
    <w:rsid w:val="00991790"/>
    <w:rsid w:val="0099370A"/>
    <w:rsid w:val="009950B3"/>
    <w:rsid w:val="00995D97"/>
    <w:rsid w:val="009A3FD2"/>
    <w:rsid w:val="009B09FE"/>
    <w:rsid w:val="009B2854"/>
    <w:rsid w:val="009B49A0"/>
    <w:rsid w:val="009C4A7C"/>
    <w:rsid w:val="009C6731"/>
    <w:rsid w:val="009C69D5"/>
    <w:rsid w:val="009D008F"/>
    <w:rsid w:val="009D0AD7"/>
    <w:rsid w:val="009D358C"/>
    <w:rsid w:val="009D45E8"/>
    <w:rsid w:val="009D482E"/>
    <w:rsid w:val="009D5283"/>
    <w:rsid w:val="009D5CF1"/>
    <w:rsid w:val="009E0E18"/>
    <w:rsid w:val="009E39D6"/>
    <w:rsid w:val="009E4529"/>
    <w:rsid w:val="009E55EE"/>
    <w:rsid w:val="009E5842"/>
    <w:rsid w:val="009E7179"/>
    <w:rsid w:val="009F0A4C"/>
    <w:rsid w:val="009F1F3A"/>
    <w:rsid w:val="009F2628"/>
    <w:rsid w:val="009F41FE"/>
    <w:rsid w:val="009F5244"/>
    <w:rsid w:val="009F5B27"/>
    <w:rsid w:val="009F641D"/>
    <w:rsid w:val="009F6AC7"/>
    <w:rsid w:val="00A070C0"/>
    <w:rsid w:val="00A07D34"/>
    <w:rsid w:val="00A10BB0"/>
    <w:rsid w:val="00A1339D"/>
    <w:rsid w:val="00A13445"/>
    <w:rsid w:val="00A13CB9"/>
    <w:rsid w:val="00A15252"/>
    <w:rsid w:val="00A15300"/>
    <w:rsid w:val="00A176FD"/>
    <w:rsid w:val="00A2036F"/>
    <w:rsid w:val="00A208FB"/>
    <w:rsid w:val="00A21DDA"/>
    <w:rsid w:val="00A22F12"/>
    <w:rsid w:val="00A24920"/>
    <w:rsid w:val="00A354B5"/>
    <w:rsid w:val="00A36173"/>
    <w:rsid w:val="00A373E1"/>
    <w:rsid w:val="00A400FE"/>
    <w:rsid w:val="00A43A10"/>
    <w:rsid w:val="00A43A41"/>
    <w:rsid w:val="00A444EC"/>
    <w:rsid w:val="00A45BBB"/>
    <w:rsid w:val="00A46C40"/>
    <w:rsid w:val="00A51F07"/>
    <w:rsid w:val="00A524B8"/>
    <w:rsid w:val="00A57753"/>
    <w:rsid w:val="00A631A3"/>
    <w:rsid w:val="00A63284"/>
    <w:rsid w:val="00A6352E"/>
    <w:rsid w:val="00A6630D"/>
    <w:rsid w:val="00A720FA"/>
    <w:rsid w:val="00A7341A"/>
    <w:rsid w:val="00A739AB"/>
    <w:rsid w:val="00A74AE1"/>
    <w:rsid w:val="00A8706A"/>
    <w:rsid w:val="00A877FE"/>
    <w:rsid w:val="00A920A1"/>
    <w:rsid w:val="00A9391C"/>
    <w:rsid w:val="00A960A0"/>
    <w:rsid w:val="00AA0527"/>
    <w:rsid w:val="00AA2CC8"/>
    <w:rsid w:val="00AA3666"/>
    <w:rsid w:val="00AA3C68"/>
    <w:rsid w:val="00AA3C86"/>
    <w:rsid w:val="00AA5CA7"/>
    <w:rsid w:val="00AB1ED1"/>
    <w:rsid w:val="00AB3339"/>
    <w:rsid w:val="00AB4997"/>
    <w:rsid w:val="00AB4FC8"/>
    <w:rsid w:val="00AB7722"/>
    <w:rsid w:val="00AC624B"/>
    <w:rsid w:val="00AC727F"/>
    <w:rsid w:val="00AD02C1"/>
    <w:rsid w:val="00AD1E01"/>
    <w:rsid w:val="00AD32CE"/>
    <w:rsid w:val="00AD4674"/>
    <w:rsid w:val="00AD4F07"/>
    <w:rsid w:val="00AE3049"/>
    <w:rsid w:val="00AE38F5"/>
    <w:rsid w:val="00AE3FF2"/>
    <w:rsid w:val="00AE4B54"/>
    <w:rsid w:val="00AE5461"/>
    <w:rsid w:val="00AF0996"/>
    <w:rsid w:val="00AF3580"/>
    <w:rsid w:val="00B002F8"/>
    <w:rsid w:val="00B010A9"/>
    <w:rsid w:val="00B021BF"/>
    <w:rsid w:val="00B039A9"/>
    <w:rsid w:val="00B06326"/>
    <w:rsid w:val="00B106F1"/>
    <w:rsid w:val="00B109B1"/>
    <w:rsid w:val="00B10B0B"/>
    <w:rsid w:val="00B1425E"/>
    <w:rsid w:val="00B206C4"/>
    <w:rsid w:val="00B2112D"/>
    <w:rsid w:val="00B244D4"/>
    <w:rsid w:val="00B2464D"/>
    <w:rsid w:val="00B25F1D"/>
    <w:rsid w:val="00B276BB"/>
    <w:rsid w:val="00B2782A"/>
    <w:rsid w:val="00B336D8"/>
    <w:rsid w:val="00B34576"/>
    <w:rsid w:val="00B34BFA"/>
    <w:rsid w:val="00B356A4"/>
    <w:rsid w:val="00B411EC"/>
    <w:rsid w:val="00B429CA"/>
    <w:rsid w:val="00B455BC"/>
    <w:rsid w:val="00B45EDD"/>
    <w:rsid w:val="00B45F3D"/>
    <w:rsid w:val="00B50F81"/>
    <w:rsid w:val="00B5360F"/>
    <w:rsid w:val="00B57455"/>
    <w:rsid w:val="00B61F69"/>
    <w:rsid w:val="00B6216C"/>
    <w:rsid w:val="00B80C47"/>
    <w:rsid w:val="00B81322"/>
    <w:rsid w:val="00B862CD"/>
    <w:rsid w:val="00B94951"/>
    <w:rsid w:val="00B95D33"/>
    <w:rsid w:val="00B96B6E"/>
    <w:rsid w:val="00B96CA3"/>
    <w:rsid w:val="00B97591"/>
    <w:rsid w:val="00BA006C"/>
    <w:rsid w:val="00BA20B0"/>
    <w:rsid w:val="00BA372F"/>
    <w:rsid w:val="00BA7940"/>
    <w:rsid w:val="00BB302C"/>
    <w:rsid w:val="00BB3EF5"/>
    <w:rsid w:val="00BC0D9F"/>
    <w:rsid w:val="00BC6786"/>
    <w:rsid w:val="00BC7009"/>
    <w:rsid w:val="00BD1AD6"/>
    <w:rsid w:val="00BD1DB2"/>
    <w:rsid w:val="00BD41A8"/>
    <w:rsid w:val="00BD696A"/>
    <w:rsid w:val="00BD6CDF"/>
    <w:rsid w:val="00BE072E"/>
    <w:rsid w:val="00BE13F2"/>
    <w:rsid w:val="00BE2B40"/>
    <w:rsid w:val="00BE3D54"/>
    <w:rsid w:val="00BE70E1"/>
    <w:rsid w:val="00BF0C10"/>
    <w:rsid w:val="00BF1719"/>
    <w:rsid w:val="00BF29D7"/>
    <w:rsid w:val="00BF4049"/>
    <w:rsid w:val="00BF482E"/>
    <w:rsid w:val="00BF4B8B"/>
    <w:rsid w:val="00BF5486"/>
    <w:rsid w:val="00BF6FE8"/>
    <w:rsid w:val="00BF7C57"/>
    <w:rsid w:val="00C06955"/>
    <w:rsid w:val="00C13B05"/>
    <w:rsid w:val="00C17D8F"/>
    <w:rsid w:val="00C221FB"/>
    <w:rsid w:val="00C23CCC"/>
    <w:rsid w:val="00C24859"/>
    <w:rsid w:val="00C25CDA"/>
    <w:rsid w:val="00C301CF"/>
    <w:rsid w:val="00C3104E"/>
    <w:rsid w:val="00C31183"/>
    <w:rsid w:val="00C31C0D"/>
    <w:rsid w:val="00C33847"/>
    <w:rsid w:val="00C40D08"/>
    <w:rsid w:val="00C41BA9"/>
    <w:rsid w:val="00C42121"/>
    <w:rsid w:val="00C46F8F"/>
    <w:rsid w:val="00C54FEB"/>
    <w:rsid w:val="00C55762"/>
    <w:rsid w:val="00C60214"/>
    <w:rsid w:val="00C6605B"/>
    <w:rsid w:val="00C7220E"/>
    <w:rsid w:val="00C77DF4"/>
    <w:rsid w:val="00C8314D"/>
    <w:rsid w:val="00C84C2B"/>
    <w:rsid w:val="00C87AEC"/>
    <w:rsid w:val="00C92FD7"/>
    <w:rsid w:val="00C93F04"/>
    <w:rsid w:val="00C94CAC"/>
    <w:rsid w:val="00C9721C"/>
    <w:rsid w:val="00C979E0"/>
    <w:rsid w:val="00CA2CEA"/>
    <w:rsid w:val="00CA41C9"/>
    <w:rsid w:val="00CA6985"/>
    <w:rsid w:val="00CB15EC"/>
    <w:rsid w:val="00CB3DF6"/>
    <w:rsid w:val="00CB483C"/>
    <w:rsid w:val="00CB5545"/>
    <w:rsid w:val="00CB5F57"/>
    <w:rsid w:val="00CB6605"/>
    <w:rsid w:val="00CB7A72"/>
    <w:rsid w:val="00CC3E80"/>
    <w:rsid w:val="00CC49D6"/>
    <w:rsid w:val="00CC6C75"/>
    <w:rsid w:val="00CD39F8"/>
    <w:rsid w:val="00CD7C93"/>
    <w:rsid w:val="00CE0B01"/>
    <w:rsid w:val="00CE133F"/>
    <w:rsid w:val="00CE2B81"/>
    <w:rsid w:val="00CE6279"/>
    <w:rsid w:val="00CF04D1"/>
    <w:rsid w:val="00CF4589"/>
    <w:rsid w:val="00CF465D"/>
    <w:rsid w:val="00CF60BA"/>
    <w:rsid w:val="00CF7601"/>
    <w:rsid w:val="00CF7C34"/>
    <w:rsid w:val="00D048D2"/>
    <w:rsid w:val="00D0513F"/>
    <w:rsid w:val="00D05152"/>
    <w:rsid w:val="00D06790"/>
    <w:rsid w:val="00D142B6"/>
    <w:rsid w:val="00D152FB"/>
    <w:rsid w:val="00D215ED"/>
    <w:rsid w:val="00D23061"/>
    <w:rsid w:val="00D24CBA"/>
    <w:rsid w:val="00D30434"/>
    <w:rsid w:val="00D312C9"/>
    <w:rsid w:val="00D323CD"/>
    <w:rsid w:val="00D32A64"/>
    <w:rsid w:val="00D34CD2"/>
    <w:rsid w:val="00D364D3"/>
    <w:rsid w:val="00D4125D"/>
    <w:rsid w:val="00D43C39"/>
    <w:rsid w:val="00D50C0B"/>
    <w:rsid w:val="00D51380"/>
    <w:rsid w:val="00D5519C"/>
    <w:rsid w:val="00D551F2"/>
    <w:rsid w:val="00D714BA"/>
    <w:rsid w:val="00D726E1"/>
    <w:rsid w:val="00D74F94"/>
    <w:rsid w:val="00D75260"/>
    <w:rsid w:val="00D75B70"/>
    <w:rsid w:val="00D820D1"/>
    <w:rsid w:val="00D82401"/>
    <w:rsid w:val="00D82AE2"/>
    <w:rsid w:val="00D850A4"/>
    <w:rsid w:val="00D85715"/>
    <w:rsid w:val="00D934BA"/>
    <w:rsid w:val="00D93950"/>
    <w:rsid w:val="00D93B7E"/>
    <w:rsid w:val="00D96230"/>
    <w:rsid w:val="00D96853"/>
    <w:rsid w:val="00D96FCD"/>
    <w:rsid w:val="00DA20D6"/>
    <w:rsid w:val="00DA266F"/>
    <w:rsid w:val="00DA2B2B"/>
    <w:rsid w:val="00DA30DA"/>
    <w:rsid w:val="00DA4D63"/>
    <w:rsid w:val="00DA77B4"/>
    <w:rsid w:val="00DA7BE4"/>
    <w:rsid w:val="00DB16B2"/>
    <w:rsid w:val="00DB3473"/>
    <w:rsid w:val="00DB424C"/>
    <w:rsid w:val="00DB6BB3"/>
    <w:rsid w:val="00DB7AA7"/>
    <w:rsid w:val="00DC11F3"/>
    <w:rsid w:val="00DC4DFE"/>
    <w:rsid w:val="00DC5E40"/>
    <w:rsid w:val="00DC7BFF"/>
    <w:rsid w:val="00DD07FE"/>
    <w:rsid w:val="00DD162F"/>
    <w:rsid w:val="00DD6BBF"/>
    <w:rsid w:val="00DE1B77"/>
    <w:rsid w:val="00DE3025"/>
    <w:rsid w:val="00DE463E"/>
    <w:rsid w:val="00DE56CB"/>
    <w:rsid w:val="00DE5946"/>
    <w:rsid w:val="00DE7852"/>
    <w:rsid w:val="00DE7C0F"/>
    <w:rsid w:val="00DF040B"/>
    <w:rsid w:val="00DF44D5"/>
    <w:rsid w:val="00DF5003"/>
    <w:rsid w:val="00DF5932"/>
    <w:rsid w:val="00DF7568"/>
    <w:rsid w:val="00E06F19"/>
    <w:rsid w:val="00E10EA9"/>
    <w:rsid w:val="00E1136E"/>
    <w:rsid w:val="00E1182B"/>
    <w:rsid w:val="00E167E0"/>
    <w:rsid w:val="00E16A35"/>
    <w:rsid w:val="00E216EA"/>
    <w:rsid w:val="00E21B4B"/>
    <w:rsid w:val="00E27F1F"/>
    <w:rsid w:val="00E33A6E"/>
    <w:rsid w:val="00E33CDF"/>
    <w:rsid w:val="00E34D42"/>
    <w:rsid w:val="00E3681A"/>
    <w:rsid w:val="00E3756C"/>
    <w:rsid w:val="00E379F0"/>
    <w:rsid w:val="00E37D81"/>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1B3B"/>
    <w:rsid w:val="00E72113"/>
    <w:rsid w:val="00E72ADF"/>
    <w:rsid w:val="00E73974"/>
    <w:rsid w:val="00E73AE3"/>
    <w:rsid w:val="00E81CA7"/>
    <w:rsid w:val="00E8398D"/>
    <w:rsid w:val="00E85789"/>
    <w:rsid w:val="00E86C41"/>
    <w:rsid w:val="00E87358"/>
    <w:rsid w:val="00E91DF4"/>
    <w:rsid w:val="00E973B3"/>
    <w:rsid w:val="00EA6347"/>
    <w:rsid w:val="00EA709C"/>
    <w:rsid w:val="00EB3208"/>
    <w:rsid w:val="00EB7D72"/>
    <w:rsid w:val="00EC0598"/>
    <w:rsid w:val="00EC0869"/>
    <w:rsid w:val="00EC44B4"/>
    <w:rsid w:val="00EC6941"/>
    <w:rsid w:val="00EC7BBC"/>
    <w:rsid w:val="00ED0ED2"/>
    <w:rsid w:val="00ED29EB"/>
    <w:rsid w:val="00ED6681"/>
    <w:rsid w:val="00EE4748"/>
    <w:rsid w:val="00EE47BE"/>
    <w:rsid w:val="00EE4FC1"/>
    <w:rsid w:val="00EE676B"/>
    <w:rsid w:val="00EE7D3E"/>
    <w:rsid w:val="00F00F9F"/>
    <w:rsid w:val="00F01660"/>
    <w:rsid w:val="00F02B38"/>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3570F"/>
    <w:rsid w:val="00F4156C"/>
    <w:rsid w:val="00F4276E"/>
    <w:rsid w:val="00F432AB"/>
    <w:rsid w:val="00F43A06"/>
    <w:rsid w:val="00F4465A"/>
    <w:rsid w:val="00F458C8"/>
    <w:rsid w:val="00F45C61"/>
    <w:rsid w:val="00F45D03"/>
    <w:rsid w:val="00F463E3"/>
    <w:rsid w:val="00F47AD8"/>
    <w:rsid w:val="00F51549"/>
    <w:rsid w:val="00F52A24"/>
    <w:rsid w:val="00F535A5"/>
    <w:rsid w:val="00F5649E"/>
    <w:rsid w:val="00F57B67"/>
    <w:rsid w:val="00F6047E"/>
    <w:rsid w:val="00F63024"/>
    <w:rsid w:val="00F7002F"/>
    <w:rsid w:val="00F70A6B"/>
    <w:rsid w:val="00F71637"/>
    <w:rsid w:val="00F71E34"/>
    <w:rsid w:val="00F72CE7"/>
    <w:rsid w:val="00F81A9F"/>
    <w:rsid w:val="00F83581"/>
    <w:rsid w:val="00F8549E"/>
    <w:rsid w:val="00F85AF0"/>
    <w:rsid w:val="00F85BE4"/>
    <w:rsid w:val="00F862B1"/>
    <w:rsid w:val="00F8736F"/>
    <w:rsid w:val="00F90CFE"/>
    <w:rsid w:val="00F951E3"/>
    <w:rsid w:val="00FA1C8C"/>
    <w:rsid w:val="00FA2563"/>
    <w:rsid w:val="00FA3C12"/>
    <w:rsid w:val="00FA4E62"/>
    <w:rsid w:val="00FB266A"/>
    <w:rsid w:val="00FB4613"/>
    <w:rsid w:val="00FB5595"/>
    <w:rsid w:val="00FB6841"/>
    <w:rsid w:val="00FC328D"/>
    <w:rsid w:val="00FC4C7F"/>
    <w:rsid w:val="00FC6855"/>
    <w:rsid w:val="00FC73D9"/>
    <w:rsid w:val="00FC7A5E"/>
    <w:rsid w:val="00FD681B"/>
    <w:rsid w:val="00FD7331"/>
    <w:rsid w:val="00FE0E03"/>
    <w:rsid w:val="00FE3414"/>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webSettings.xml><?xml version="1.0" encoding="utf-8"?>
<w:webSettings xmlns:r="http://schemas.openxmlformats.org/officeDocument/2006/relationships" xmlns:w="http://schemas.openxmlformats.org/wordprocessingml/2006/main">
  <w:divs>
    <w:div w:id="31911599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662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7</Pages>
  <Words>11075</Words>
  <Characters>6313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
  <cp:lastModifiedBy>krandohs</cp:lastModifiedBy>
  <cp:revision>69</cp:revision>
  <cp:lastPrinted>2013-10-04T08:37:00Z</cp:lastPrinted>
  <dcterms:created xsi:type="dcterms:W3CDTF">2013-04-08T11:55:00Z</dcterms:created>
  <dcterms:modified xsi:type="dcterms:W3CDTF">2013-10-17T11:00:00Z</dcterms:modified>
</cp:coreProperties>
</file>