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E6" w:rsidRPr="00003B50" w:rsidRDefault="007C18D9" w:rsidP="0038555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Rīkojuma „Grozījumi darbības programmas „</w:t>
      </w:r>
      <w:r w:rsidR="008B64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Infrastruktūra un pakalpojumi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 papildinājumā”</w:t>
      </w:r>
      <w:r w:rsidR="00003B50" w:rsidRPr="00003B5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projekta sākotnējās ietekmes novērtējuma ziņojums (anotācija)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87"/>
        <w:gridCol w:w="6413"/>
      </w:tblGrid>
      <w:tr w:rsidR="00003B50" w:rsidRPr="003019A7" w:rsidTr="00901469">
        <w:tc>
          <w:tcPr>
            <w:tcW w:w="5000" w:type="pct"/>
            <w:gridSpan w:val="3"/>
            <w:hideMark/>
          </w:tcPr>
          <w:bookmarkEnd w:id="0"/>
          <w:bookmarkEnd w:id="1"/>
          <w:p w:rsidR="00003B50" w:rsidRPr="003019A7" w:rsidRDefault="00003B50" w:rsidP="00B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03B50" w:rsidRPr="003019A7" w:rsidTr="00901469">
        <w:trPr>
          <w:trHeight w:val="3612"/>
        </w:trPr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29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27" w:type="pct"/>
            <w:hideMark/>
          </w:tcPr>
          <w:p w:rsidR="002078BE" w:rsidRPr="003019A7" w:rsidRDefault="00183F01" w:rsidP="008B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8D9">
              <w:rPr>
                <w:rFonts w:ascii="Times New Roman" w:hAnsi="Times New Roman"/>
                <w:sz w:val="28"/>
                <w:szCs w:val="28"/>
              </w:rPr>
              <w:t>Grozījumi darbības programmas „</w:t>
            </w:r>
            <w:r w:rsidR="008B6417">
              <w:rPr>
                <w:rFonts w:ascii="Times New Roman" w:hAnsi="Times New Roman"/>
                <w:sz w:val="28"/>
                <w:szCs w:val="28"/>
              </w:rPr>
              <w:t>Infrastrukt</w:t>
            </w:r>
            <w:r w:rsidR="008641F4">
              <w:rPr>
                <w:rFonts w:ascii="Times New Roman" w:hAnsi="Times New Roman"/>
                <w:sz w:val="28"/>
                <w:szCs w:val="28"/>
              </w:rPr>
              <w:t>ūra un paka</w:t>
            </w:r>
            <w:r w:rsidR="008B6417">
              <w:rPr>
                <w:rFonts w:ascii="Times New Roman" w:hAnsi="Times New Roman"/>
                <w:sz w:val="28"/>
                <w:szCs w:val="28"/>
              </w:rPr>
              <w:t>lpojumi</w:t>
            </w:r>
            <w:r w:rsidRPr="007C18D9">
              <w:rPr>
                <w:rFonts w:ascii="Times New Roman" w:hAnsi="Times New Roman"/>
                <w:sz w:val="28"/>
                <w:szCs w:val="28"/>
              </w:rPr>
              <w:t xml:space="preserve">” papildinājumā ir izstrādāti saskaņā ar </w:t>
            </w:r>
            <w:r w:rsidRPr="00183F01">
              <w:rPr>
                <w:rFonts w:ascii="Times New Roman" w:hAnsi="Times New Roman"/>
                <w:sz w:val="28"/>
                <w:szCs w:val="28"/>
              </w:rPr>
              <w:t>Ministru kabineta 2007.gada 26.jūnija noteikumu Nr.419 „Kārtība, kādā Eiropas Savienības struktūrfondu vadībā iesaistītās institūcijas nodrošina plānošanas dokumentu sagatavošanu un šo fondu ieviešanu” 9.punktu, kas</w:t>
            </w:r>
            <w:r w:rsidRPr="007C18D9">
              <w:rPr>
                <w:rFonts w:ascii="Times New Roman" w:hAnsi="Times New Roman"/>
                <w:sz w:val="28"/>
                <w:szCs w:val="28"/>
              </w:rPr>
              <w:t xml:space="preserve"> paredz, ka vadošā iestāde sadarbībā ar Eiropas Savienības struktūrfondu vadībā iesaistītajām institūcijām izstrādā un iesniedz apstiprināšanai Ministru kabinetā darbības programmas papildinājumu, bet attiecīgā atbildīgā iestāde darbības programmas papildinājuma grozījumus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3B50" w:rsidRPr="003019A7" w:rsidTr="00C638AD">
        <w:trPr>
          <w:trHeight w:val="254"/>
        </w:trPr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29" w:type="pct"/>
            <w:hideMark/>
          </w:tcPr>
          <w:p w:rsidR="00003B50" w:rsidRPr="008641F4" w:rsidRDefault="00003B50" w:rsidP="00864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641F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427" w:type="pct"/>
            <w:hideMark/>
          </w:tcPr>
          <w:p w:rsidR="003C1DF9" w:rsidRPr="003C1DF9" w:rsidRDefault="008641F4" w:rsidP="003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8641F4">
              <w:rPr>
                <w:rFonts w:ascii="Times New Roman" w:hAnsi="Times New Roman"/>
                <w:sz w:val="28"/>
                <w:szCs w:val="28"/>
              </w:rPr>
              <w:t>Ar Ministru kabineta 2010.gada 18.marta rīkojumu Nr.153</w:t>
            </w:r>
            <w:r w:rsidR="00B15885">
              <w:rPr>
                <w:rFonts w:ascii="Times New Roman" w:hAnsi="Times New Roman"/>
                <w:sz w:val="28"/>
                <w:szCs w:val="28"/>
              </w:rPr>
              <w:t xml:space="preserve"> (turpmāk – MK rīkojums Nr.153)</w:t>
            </w:r>
            <w:r w:rsidRPr="008641F4">
              <w:rPr>
                <w:rFonts w:ascii="Times New Roman" w:hAnsi="Times New Roman"/>
                <w:sz w:val="28"/>
                <w:szCs w:val="28"/>
              </w:rPr>
              <w:t xml:space="preserve"> tika apstiprināti grozījumi darbības programmas „Infrastruktūra </w:t>
            </w:r>
            <w:r w:rsidRPr="003C1DF9">
              <w:rPr>
                <w:rFonts w:ascii="Times New Roman" w:hAnsi="Times New Roman"/>
                <w:sz w:val="28"/>
                <w:szCs w:val="28"/>
              </w:rPr>
              <w:t xml:space="preserve">un pakalpojumi” papildinājumā, kas </w:t>
            </w:r>
            <w:r w:rsidRPr="003C1DF9">
              <w:rPr>
                <w:rFonts w:ascii="Times New Roman" w:hAnsi="Times New Roman"/>
                <w:color w:val="000000"/>
                <w:sz w:val="28"/>
                <w:szCs w:val="28"/>
              </w:rPr>
              <w:t>3.1.3.3.1.apakšaktivitātei</w:t>
            </w:r>
            <w:r w:rsidR="000B4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</w:t>
            </w:r>
            <w:r w:rsidR="003C1DF9" w:rsidRPr="003C1DF9">
              <w:rPr>
                <w:rFonts w:ascii="Times New Roman" w:hAnsi="Times New Roman"/>
                <w:color w:val="000000"/>
                <w:sz w:val="28"/>
                <w:szCs w:val="28"/>
              </w:rPr>
              <w:t>Speciālās izglītības iestāžu infrastru</w:t>
            </w:r>
            <w:r w:rsidR="000B46D2">
              <w:rPr>
                <w:rFonts w:ascii="Times New Roman" w:hAnsi="Times New Roman"/>
                <w:color w:val="000000"/>
                <w:sz w:val="28"/>
                <w:szCs w:val="28"/>
              </w:rPr>
              <w:t>ktūras un aprīkojuma uzlabošana”</w:t>
            </w:r>
            <w:r w:rsidR="003C1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(turpmāk – 3.1.3.3.1.apakšaktivitāte)</w:t>
            </w:r>
            <w:r w:rsidRPr="003C1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noteica 100% Eiropas Reģionālās attīstības fonda finansējumu</w:t>
            </w:r>
            <w:r w:rsidR="007E3D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(turpmāk – ERAF)</w:t>
            </w:r>
            <w:r w:rsidRPr="003C1DF9">
              <w:rPr>
                <w:rFonts w:ascii="Times New Roman" w:hAnsi="Times New Roman"/>
                <w:color w:val="000000"/>
                <w:sz w:val="28"/>
                <w:szCs w:val="28"/>
              </w:rPr>
              <w:t>, svītrojot nacionālo publisko</w:t>
            </w:r>
            <w:r w:rsidRPr="00864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līdzfinansējumu. </w:t>
            </w:r>
            <w:r w:rsidRPr="008641F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Rezultātā 3.1.3.3.1.apakšaktivitātes kopē</w:t>
            </w:r>
            <w:r w:rsidR="003C1DF9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jais finansējums samazinājās uz</w:t>
            </w:r>
            <w:r w:rsidR="0069574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7 559 999 eiro</w:t>
            </w:r>
            <w:r w:rsidR="003C1DF9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69574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(</w:t>
            </w:r>
            <w:r w:rsidRPr="008641F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5 313 198 latiem</w:t>
            </w:r>
            <w:r w:rsidR="0069574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  <w:r w:rsidRPr="008641F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, ko veido</w:t>
            </w:r>
            <w:r w:rsid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ja</w:t>
            </w:r>
            <w:r w:rsidRPr="008641F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tai pieejamie </w:t>
            </w:r>
            <w:r w:rsidR="007E3D0A">
              <w:rPr>
                <w:rFonts w:ascii="Times New Roman" w:hAnsi="Times New Roman"/>
                <w:color w:val="000000"/>
                <w:sz w:val="28"/>
                <w:szCs w:val="28"/>
              </w:rPr>
              <w:t>ERAF</w:t>
            </w:r>
            <w:r w:rsidRPr="003C1DF9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līdzekļi bez nacionāl</w:t>
            </w:r>
            <w:r w:rsidR="003C1DF9" w:rsidRPr="003C1DF9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ā līdzfinansējuma.</w:t>
            </w:r>
          </w:p>
          <w:p w:rsidR="002B453E" w:rsidRDefault="00FA4940" w:rsidP="003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Saskaņā ar Ministru kabineta 2011.gada 23.marta rīkojumu Nr.118 ir 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precizēt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 darbības programmas </w:t>
            </w:r>
            <w:r w:rsidRPr="008B6417">
              <w:rPr>
                <w:rFonts w:ascii="Times New Roman" w:hAnsi="Times New Roman"/>
                <w:sz w:val="28"/>
                <w:szCs w:val="28"/>
                <w:lang w:eastAsia="lv-LV"/>
              </w:rPr>
              <w:t>„Infrastruktūr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 un pakalpojumi” papildinājuma </w:t>
            </w:r>
            <w:r w:rsidRPr="008B6417">
              <w:rPr>
                <w:rFonts w:ascii="Times New Roman" w:hAnsi="Times New Roman"/>
                <w:sz w:val="28"/>
                <w:szCs w:val="28"/>
                <w:lang w:eastAsia="lv-LV"/>
              </w:rPr>
              <w:t>3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.1.3.pasākuma „</w:t>
            </w:r>
            <w:r w:rsidRPr="008B64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Izglītības infrastruktūra vispārējo prasmju nodrošināšanai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tabula „Finanšu plāns”, pārdalot 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.1.3.1.aktivitātes</w:t>
            </w:r>
            <w:r w:rsidR="00EC4F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4F07">
              <w:rPr>
                <w:rFonts w:ascii="Times New Roman" w:hAnsi="Times New Roman"/>
                <w:color w:val="000000"/>
                <w:sz w:val="28"/>
                <w:szCs w:val="28"/>
              </w:rPr>
              <w:t>„</w:t>
            </w:r>
            <w:r w:rsidR="00EC4F07" w:rsidRPr="00533D1C">
              <w:rPr>
                <w:rFonts w:ascii="Times New Roman" w:hAnsi="Times New Roman"/>
                <w:sz w:val="28"/>
                <w:szCs w:val="28"/>
              </w:rPr>
              <w:t xml:space="preserve">Kvalitatīvai dabaszinātņu </w:t>
            </w:r>
            <w:r w:rsidR="00EC4F07" w:rsidRPr="00EC4F07">
              <w:rPr>
                <w:rFonts w:ascii="Times New Roman" w:hAnsi="Times New Roman"/>
                <w:sz w:val="28"/>
                <w:szCs w:val="28"/>
              </w:rPr>
              <w:t>apguvei atbilstošas materiālās bāzes nodrošināšana</w:t>
            </w:r>
            <w:r w:rsidR="00EC4F07" w:rsidRPr="00EC4F07">
              <w:rPr>
                <w:rFonts w:ascii="Times New Roman" w:hAnsi="Times New Roman"/>
                <w:color w:val="000000"/>
                <w:sz w:val="28"/>
                <w:szCs w:val="28"/>
              </w:rPr>
              <w:t>” (turpmāk</w:t>
            </w:r>
            <w:r w:rsidR="00EC4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EC4F07">
              <w:rPr>
                <w:rFonts w:ascii="Times New Roman" w:hAnsi="Times New Roman"/>
                <w:bCs/>
                <w:sz w:val="28"/>
                <w:szCs w:val="28"/>
              </w:rPr>
              <w:t xml:space="preserve">3.1.3.1.aktivitāte) </w:t>
            </w:r>
            <w:r w:rsidRPr="008B6417">
              <w:rPr>
                <w:rFonts w:ascii="Times New Roman" w:hAnsi="Times New Roman"/>
                <w:b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3.1.3.3.2.apakš</w:t>
            </w:r>
            <w:r w:rsidR="00EC4F0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C4F07">
              <w:rPr>
                <w:rFonts w:ascii="Times New Roman" w:hAnsi="Times New Roman"/>
                <w:bCs/>
                <w:sz w:val="28"/>
                <w:szCs w:val="28"/>
              </w:rPr>
              <w:t>aktivitātes</w:t>
            </w:r>
            <w:r w:rsidR="00EC4F07" w:rsidRPr="00EC4F07">
              <w:rPr>
                <w:rFonts w:ascii="Times New Roman" w:hAnsi="Times New Roman"/>
                <w:bCs/>
                <w:sz w:val="28"/>
                <w:szCs w:val="28"/>
              </w:rPr>
              <w:t xml:space="preserve"> „Vispārējās izglītības iestāžu infrastruktūras uzlabošana izglītojamiem ar funkcionāliem traucējumiem”</w:t>
            </w:r>
            <w:r w:rsidR="00EC4F07">
              <w:rPr>
                <w:rFonts w:ascii="Times New Roman" w:hAnsi="Times New Roman"/>
                <w:bCs/>
                <w:sz w:val="28"/>
                <w:szCs w:val="28"/>
              </w:rPr>
              <w:t xml:space="preserve"> (turpmāk – 3.1.3.3.2.apakšaktivitāte)</w:t>
            </w:r>
            <w:r w:rsidRPr="00EC4F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F07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etvaros noslēgto līgumu un vienošanās rezultātā radušos ERAF finansējuma atlikumu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412 117 eiro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 xml:space="preserve">(289 638 </w:t>
            </w:r>
            <w:r w:rsidRPr="00826CEA">
              <w:rPr>
                <w:rFonts w:ascii="Times New Roman" w:hAnsi="Times New Roman"/>
                <w:sz w:val="28"/>
                <w:szCs w:val="28"/>
                <w:lang w:eastAsia="lv-LV"/>
              </w:rPr>
              <w:t>latu)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apmērā 3.1.3.3.1.apakšaktivitātei, tādejādi</w:t>
            </w:r>
            <w:r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1588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lv-LV"/>
              </w:rPr>
              <w:t>daļēji nosedzot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tās ietvaros radušos finansējuma iztrūkumu ar pašvaldībām </w:t>
            </w:r>
            <w:r w:rsidRPr="00F879AD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noslēgtajās vienošanās</w:t>
            </w:r>
            <w:r w:rsid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un nosakot 3.1.3.3.1.</w:t>
            </w:r>
            <w:r w:rsidR="00546ABB" w:rsidRP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apakšaktivitātei </w:t>
            </w:r>
            <w:r w:rsid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>opēj</w:t>
            </w:r>
            <w:r w:rsidR="00546ABB">
              <w:rPr>
                <w:rFonts w:ascii="Times New Roman" w:hAnsi="Times New Roman"/>
                <w:sz w:val="28"/>
                <w:szCs w:val="28"/>
              </w:rPr>
              <w:t>o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 xml:space="preserve"> ierobežotās atlases ietvaros pieejam</w:t>
            </w:r>
            <w:r w:rsidR="00546ABB">
              <w:rPr>
                <w:rFonts w:ascii="Times New Roman" w:hAnsi="Times New Roman"/>
                <w:sz w:val="28"/>
                <w:szCs w:val="28"/>
              </w:rPr>
              <w:t>o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ABB">
              <w:rPr>
                <w:rFonts w:ascii="Times New Roman" w:hAnsi="Times New Roman"/>
                <w:sz w:val="28"/>
                <w:szCs w:val="28"/>
              </w:rPr>
              <w:t>ERAF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 xml:space="preserve"> finansējum</w:t>
            </w:r>
            <w:r w:rsidR="00546ABB">
              <w:rPr>
                <w:rFonts w:ascii="Times New Roman" w:hAnsi="Times New Roman"/>
                <w:sz w:val="28"/>
                <w:szCs w:val="28"/>
              </w:rPr>
              <w:t>u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7 972 117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747">
              <w:rPr>
                <w:rFonts w:ascii="Times New Roman" w:hAnsi="Times New Roman"/>
                <w:sz w:val="28"/>
                <w:szCs w:val="28"/>
              </w:rPr>
              <w:t>(</w:t>
            </w:r>
            <w:r w:rsidR="00546ABB" w:rsidRPr="00546ABB">
              <w:rPr>
                <w:rFonts w:ascii="Times New Roman" w:hAnsi="Times New Roman"/>
                <w:sz w:val="28"/>
                <w:szCs w:val="28"/>
              </w:rPr>
              <w:t>5 602 835 lat</w:t>
            </w:r>
            <w:r w:rsidR="00546ABB">
              <w:rPr>
                <w:rFonts w:ascii="Times New Roman" w:hAnsi="Times New Roman"/>
                <w:sz w:val="28"/>
                <w:szCs w:val="28"/>
              </w:rPr>
              <w:t>u</w:t>
            </w:r>
            <w:r w:rsidR="00695747">
              <w:rPr>
                <w:rFonts w:ascii="Times New Roman" w:hAnsi="Times New Roman"/>
                <w:sz w:val="28"/>
                <w:szCs w:val="28"/>
              </w:rPr>
              <w:t>)</w:t>
            </w:r>
            <w:r w:rsidR="00546ABB">
              <w:rPr>
                <w:rFonts w:ascii="Times New Roman" w:hAnsi="Times New Roman"/>
                <w:sz w:val="28"/>
                <w:szCs w:val="28"/>
              </w:rPr>
              <w:t xml:space="preserve"> apmērā</w:t>
            </w:r>
            <w:r w:rsidRP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  <w:p w:rsidR="008641F4" w:rsidRDefault="00546ABB" w:rsidP="00B5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Ņemot vērā, ka noslēgto vienošanos kopējā attiecināmā summa ir </w:t>
            </w:r>
            <w:r w:rsidR="00A646A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8 223</w:t>
            </w:r>
            <w:r w:rsidR="00AC79D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 </w:t>
            </w:r>
            <w:r w:rsidR="00A646A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24</w:t>
            </w:r>
            <w:r w:rsidR="00AC79D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  <w:r w:rsidR="00A646A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eiro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5 779 330 latu</w:t>
            </w:r>
            <w:r w:rsidR="00A646A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apmērā un 3.1.3.3.1.</w:t>
            </w:r>
            <w:r w:rsidRP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apakšaktivitāte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</w:t>
            </w:r>
            <w:r w:rsidRPr="00546AB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</w:t>
            </w:r>
            <w:r w:rsidRPr="00546ABB">
              <w:rPr>
                <w:rFonts w:ascii="Times New Roman" w:hAnsi="Times New Roman"/>
                <w:sz w:val="28"/>
                <w:szCs w:val="28"/>
              </w:rPr>
              <w:t>opēj</w:t>
            </w:r>
            <w:r>
              <w:rPr>
                <w:rFonts w:ascii="Times New Roman" w:hAnsi="Times New Roman"/>
                <w:sz w:val="28"/>
                <w:szCs w:val="28"/>
              </w:rPr>
              <w:t>ais</w:t>
            </w:r>
            <w:r w:rsidRPr="00546ABB">
              <w:rPr>
                <w:rFonts w:ascii="Times New Roman" w:hAnsi="Times New Roman"/>
                <w:sz w:val="28"/>
                <w:szCs w:val="28"/>
              </w:rPr>
              <w:t xml:space="preserve"> ierobežotās atlases ietvaros pieejam</w:t>
            </w:r>
            <w:r>
              <w:rPr>
                <w:rFonts w:ascii="Times New Roman" w:hAnsi="Times New Roman"/>
                <w:sz w:val="28"/>
                <w:szCs w:val="28"/>
              </w:rPr>
              <w:t>ais</w:t>
            </w:r>
            <w:r w:rsidRPr="00546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ERAF</w:t>
            </w:r>
            <w:r w:rsidRPr="00546ABB">
              <w:rPr>
                <w:rFonts w:ascii="Times New Roman" w:hAnsi="Times New Roman"/>
                <w:sz w:val="28"/>
                <w:szCs w:val="28"/>
              </w:rPr>
              <w:t xml:space="preserve"> finansējum</w:t>
            </w:r>
            <w:r>
              <w:rPr>
                <w:rFonts w:ascii="Times New Roman" w:hAnsi="Times New Roman"/>
                <w:sz w:val="28"/>
                <w:szCs w:val="28"/>
              </w:rPr>
              <w:t>s ir</w:t>
            </w:r>
            <w:r w:rsidR="00A646A0">
              <w:rPr>
                <w:rFonts w:ascii="Times New Roman" w:hAnsi="Times New Roman"/>
                <w:sz w:val="28"/>
                <w:szCs w:val="28"/>
              </w:rPr>
              <w:t xml:space="preserve"> 7 972 117 eiro (</w:t>
            </w:r>
            <w:r w:rsidRPr="00546ABB">
              <w:rPr>
                <w:rFonts w:ascii="Times New Roman" w:hAnsi="Times New Roman"/>
                <w:sz w:val="28"/>
                <w:szCs w:val="28"/>
              </w:rPr>
              <w:t xml:space="preserve">5 602 835 </w:t>
            </w:r>
            <w:r>
              <w:rPr>
                <w:rFonts w:ascii="Times New Roman" w:hAnsi="Times New Roman"/>
                <w:sz w:val="28"/>
                <w:szCs w:val="28"/>
              </w:rPr>
              <w:t>lati</w:t>
            </w:r>
            <w:r w:rsidR="00A646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r</w:t>
            </w:r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ezu</w:t>
            </w:r>
            <w:r w:rsidR="007E3D0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ltātā </w:t>
            </w:r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3.1.3.3.1.apakšaktivitātē pieejamais finansējums </w:t>
            </w:r>
            <w:r w:rsidR="008641F4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nenosedz ar pašvaldībām noslēgto vienošanos apmēru</w:t>
            </w:r>
            <w:bookmarkStart w:id="2" w:name="OLE_LINK1"/>
            <w:bookmarkStart w:id="3" w:name="OLE_LINK2"/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, veidojot </w:t>
            </w:r>
            <w:r w:rsidR="008641F4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iztrūkstoš</w:t>
            </w:r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o finansējumu </w:t>
            </w:r>
            <w:r w:rsidR="00AC79D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251 129 eiro (176</w:t>
            </w:r>
            <w:r w:rsidR="00B15885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 </w:t>
            </w:r>
            <w:r w:rsidR="00AC79D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494</w:t>
            </w:r>
            <w:r w:rsidR="00B15885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8641F4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lat</w:t>
            </w:r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u</w:t>
            </w:r>
            <w:r w:rsidR="00A646A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  <w:r w:rsidR="00B55917" w:rsidRPr="00B559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apmērā.</w:t>
            </w:r>
          </w:p>
          <w:p w:rsidR="00B15885" w:rsidRDefault="00B15885" w:rsidP="00B1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Informējam, ka 3.1.3.3.1.apakšaktivitātes ietvaros ir noslēgti 44 projekti,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no kuriem 21 projektiem ir veikti grozījumi, nodrošinot MK rīkojuma Nr.153 izpildi, bet 23 projektiem vēl nepieciešams veikt</w:t>
            </w:r>
            <w:r w:rsidR="00CA5CFE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atbilstošus grozījumus.</w:t>
            </w:r>
          </w:p>
          <w:bookmarkEnd w:id="2"/>
          <w:bookmarkEnd w:id="3"/>
          <w:p w:rsidR="00586073" w:rsidRPr="00944641" w:rsidRDefault="00B55917" w:rsidP="00B55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17">
              <w:rPr>
                <w:rFonts w:ascii="Times New Roman" w:hAnsi="Times New Roman"/>
                <w:bCs/>
                <w:sz w:val="28"/>
                <w:szCs w:val="28"/>
              </w:rPr>
              <w:t>Lai nodrošinātu finansējum</w:t>
            </w:r>
            <w:r w:rsidR="00A646A0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Pr="00B55917">
              <w:rPr>
                <w:rFonts w:ascii="Times New Roman" w:hAnsi="Times New Roman"/>
                <w:bCs/>
                <w:sz w:val="28"/>
                <w:szCs w:val="28"/>
              </w:rPr>
              <w:t xml:space="preserve"> saņēmēju tiesiskās paļāvības principu un </w:t>
            </w:r>
            <w:r w:rsidRPr="00B559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finansējuma saņēmējiem ERAF noslēgto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vienošanās</w:t>
            </w:r>
            <w:r w:rsidRPr="00B559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summas nosegtu pilnā apmērā, nepieciešams iztrūkstošo finansējumu pārdalīt no citu Izglītības un zinātnes ministrijas pārziņā esošo </w:t>
            </w:r>
            <w:r w:rsidRPr="00B55917">
              <w:rPr>
                <w:rFonts w:ascii="Times New Roman" w:hAnsi="Times New Roman"/>
                <w:sz w:val="28"/>
                <w:szCs w:val="28"/>
                <w:lang w:eastAsia="lv-LV"/>
              </w:rPr>
              <w:t>darbības programmas „Infrastruktūr</w:t>
            </w:r>
            <w:r w:rsidR="0094160E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 un pakalpojumi” papildinājuma </w:t>
            </w:r>
            <w:r w:rsidRPr="00B55917">
              <w:rPr>
                <w:rFonts w:ascii="Times New Roman" w:hAnsi="Times New Roman"/>
                <w:sz w:val="28"/>
                <w:szCs w:val="28"/>
                <w:lang w:eastAsia="lv-LV"/>
              </w:rPr>
              <w:t>3</w:t>
            </w:r>
            <w:r w:rsidRPr="00B55917">
              <w:rPr>
                <w:rFonts w:ascii="Times New Roman" w:hAnsi="Times New Roman"/>
                <w:sz w:val="28"/>
                <w:szCs w:val="28"/>
              </w:rPr>
              <w:t>.1.3.pasākuma „</w:t>
            </w:r>
            <w:r w:rsidRPr="00B559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Izglītības infrastruktūra vispārējo prasmju nodrošināšanai</w:t>
            </w:r>
            <w:r w:rsidRPr="00B5591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944641">
              <w:rPr>
                <w:rFonts w:ascii="Times New Roman" w:hAnsi="Times New Roman"/>
                <w:sz w:val="28"/>
                <w:szCs w:val="28"/>
              </w:rPr>
              <w:t>aktivitāšu ietvaros radušajiem ietaupījumiem.</w:t>
            </w:r>
          </w:p>
          <w:p w:rsidR="00695747" w:rsidRDefault="00CC1AF6" w:rsidP="0069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641">
              <w:rPr>
                <w:rFonts w:ascii="Times New Roman" w:hAnsi="Times New Roman"/>
                <w:bCs/>
                <w:sz w:val="28"/>
                <w:szCs w:val="28"/>
              </w:rPr>
              <w:t>Darbības programmas „</w:t>
            </w:r>
            <w:r w:rsidRPr="00944641">
              <w:rPr>
                <w:rFonts w:ascii="Times New Roman" w:hAnsi="Times New Roman"/>
                <w:sz w:val="28"/>
                <w:szCs w:val="28"/>
                <w:lang w:eastAsia="lv-LV"/>
              </w:rPr>
              <w:t>Infrastruktūra un pakalpojumi</w:t>
            </w:r>
            <w:r w:rsidRPr="00944641">
              <w:rPr>
                <w:rFonts w:ascii="Times New Roman" w:hAnsi="Times New Roman"/>
                <w:bCs/>
                <w:sz w:val="28"/>
                <w:szCs w:val="28"/>
              </w:rPr>
              <w:t xml:space="preserve">” </w:t>
            </w:r>
            <w:r w:rsidR="00630CAA">
              <w:rPr>
                <w:rFonts w:ascii="Times New Roman" w:hAnsi="Times New Roman"/>
                <w:bCs/>
                <w:sz w:val="28"/>
                <w:szCs w:val="28"/>
              </w:rPr>
              <w:t>papildinājums paredz, ka</w:t>
            </w:r>
            <w:r w:rsidR="009416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160E">
              <w:rPr>
                <w:rFonts w:ascii="Times New Roman" w:hAnsi="Times New Roman"/>
                <w:bCs/>
                <w:sz w:val="28"/>
                <w:szCs w:val="28"/>
              </w:rPr>
              <w:t>3.1.3.3.2.apakšaktiv</w:t>
            </w:r>
            <w:r w:rsidR="0094160E">
              <w:rPr>
                <w:rFonts w:ascii="Times New Roman" w:hAnsi="Times New Roman"/>
                <w:bCs/>
                <w:sz w:val="28"/>
                <w:szCs w:val="28"/>
              </w:rPr>
              <w:t xml:space="preserve">itātē </w:t>
            </w:r>
            <w:r w:rsidR="0094160E" w:rsidRPr="0094160E">
              <w:rPr>
                <w:rFonts w:ascii="Times New Roman" w:hAnsi="Times New Roman"/>
                <w:bCs/>
                <w:sz w:val="28"/>
                <w:szCs w:val="28"/>
              </w:rPr>
              <w:t xml:space="preserve">pieejamais finansējums ir </w:t>
            </w:r>
            <w:r w:rsidR="0094160E">
              <w:rPr>
                <w:rFonts w:ascii="Times New Roman" w:hAnsi="Times New Roman"/>
                <w:sz w:val="28"/>
                <w:szCs w:val="28"/>
              </w:rPr>
              <w:t>5</w:t>
            </w:r>
            <w:r w:rsidR="00FA4940">
              <w:rPr>
                <w:rFonts w:ascii="Times New Roman" w:hAnsi="Times New Roman"/>
                <w:sz w:val="28"/>
                <w:szCs w:val="28"/>
              </w:rPr>
              <w:t> 012 525</w:t>
            </w:r>
            <w:r w:rsidR="0094160E" w:rsidRPr="0094160E">
              <w:rPr>
                <w:rFonts w:ascii="Times New Roman" w:hAnsi="Times New Roman"/>
                <w:sz w:val="28"/>
                <w:szCs w:val="28"/>
              </w:rPr>
              <w:t xml:space="preserve"> eiro</w:t>
            </w:r>
            <w:r w:rsidR="00C060B7">
              <w:rPr>
                <w:rFonts w:ascii="Times New Roman" w:hAnsi="Times New Roman"/>
                <w:sz w:val="28"/>
                <w:szCs w:val="28"/>
              </w:rPr>
              <w:t xml:space="preserve"> (3 522 822 lati)</w:t>
            </w:r>
            <w:r w:rsidR="0094160E" w:rsidRPr="0094160E">
              <w:rPr>
                <w:rFonts w:ascii="Times New Roman" w:hAnsi="Times New Roman"/>
                <w:sz w:val="28"/>
                <w:szCs w:val="28"/>
              </w:rPr>
              <w:t xml:space="preserve">, ko veido </w:t>
            </w:r>
            <w:r w:rsidR="00C060B7" w:rsidRPr="0094160E">
              <w:rPr>
                <w:rFonts w:ascii="Times New Roman" w:hAnsi="Times New Roman"/>
                <w:sz w:val="28"/>
                <w:szCs w:val="28"/>
              </w:rPr>
              <w:t xml:space="preserve">ERAF finansējums </w:t>
            </w:r>
            <w:r w:rsidR="0094160E">
              <w:rPr>
                <w:rFonts w:ascii="Times New Roman" w:hAnsi="Times New Roman"/>
                <w:sz w:val="28"/>
                <w:szCs w:val="28"/>
              </w:rPr>
              <w:t>4 </w:t>
            </w:r>
            <w:r w:rsidR="000B46D2">
              <w:rPr>
                <w:rFonts w:ascii="Times New Roman" w:hAnsi="Times New Roman"/>
                <w:sz w:val="28"/>
                <w:szCs w:val="28"/>
              </w:rPr>
              <w:t>2</w:t>
            </w:r>
            <w:r w:rsidR="0094160E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0B46D2">
              <w:rPr>
                <w:rFonts w:ascii="Times New Roman" w:hAnsi="Times New Roman"/>
                <w:sz w:val="28"/>
                <w:szCs w:val="28"/>
              </w:rPr>
              <w:t>63</w:t>
            </w:r>
            <w:r w:rsidR="00FA4940">
              <w:rPr>
                <w:rFonts w:ascii="Times New Roman" w:hAnsi="Times New Roman"/>
                <w:sz w:val="28"/>
                <w:szCs w:val="28"/>
              </w:rPr>
              <w:t>4</w:t>
            </w:r>
            <w:r w:rsidR="0094160E" w:rsidRPr="0094160E">
              <w:rPr>
                <w:rFonts w:ascii="Times New Roman" w:hAnsi="Times New Roman"/>
                <w:sz w:val="28"/>
                <w:szCs w:val="28"/>
              </w:rPr>
              <w:t xml:space="preserve"> eiro</w:t>
            </w:r>
            <w:r w:rsidR="00C060B7">
              <w:rPr>
                <w:rFonts w:ascii="Times New Roman" w:hAnsi="Times New Roman"/>
                <w:sz w:val="28"/>
                <w:szCs w:val="28"/>
              </w:rPr>
              <w:t xml:space="preserve"> (2 </w:t>
            </w:r>
            <w:r w:rsidR="00C060B7" w:rsidRPr="00C060B7">
              <w:rPr>
                <w:rFonts w:ascii="Times New Roman" w:hAnsi="Times New Roman"/>
                <w:sz w:val="28"/>
                <w:szCs w:val="28"/>
              </w:rPr>
              <w:t>994 390 latu) apmērā</w:t>
            </w:r>
            <w:r w:rsidR="0094160E" w:rsidRPr="00C060B7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C060B7" w:rsidRPr="00C060B7">
              <w:rPr>
                <w:rFonts w:ascii="Times New Roman" w:hAnsi="Times New Roman"/>
                <w:sz w:val="28"/>
                <w:szCs w:val="28"/>
              </w:rPr>
              <w:t xml:space="preserve">nacionālais publiskais finansējums </w:t>
            </w:r>
            <w:r w:rsidR="000B46D2" w:rsidRPr="00C060B7">
              <w:rPr>
                <w:rFonts w:ascii="Times New Roman" w:hAnsi="Times New Roman"/>
                <w:sz w:val="28"/>
                <w:szCs w:val="28"/>
              </w:rPr>
              <w:t>751 891</w:t>
            </w:r>
            <w:r w:rsidR="0094160E" w:rsidRPr="00C060B7">
              <w:rPr>
                <w:rFonts w:ascii="Times New Roman" w:hAnsi="Times New Roman"/>
                <w:sz w:val="28"/>
                <w:szCs w:val="28"/>
              </w:rPr>
              <w:t xml:space="preserve"> eiro</w:t>
            </w:r>
            <w:r w:rsidR="00C060B7" w:rsidRPr="00C060B7">
              <w:rPr>
                <w:rFonts w:ascii="Times New Roman" w:hAnsi="Times New Roman"/>
                <w:sz w:val="28"/>
                <w:szCs w:val="28"/>
              </w:rPr>
              <w:t xml:space="preserve"> (528 432 latu) apmērā</w:t>
            </w:r>
            <w:r w:rsidR="0094160E" w:rsidRPr="00C060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0B7" w:rsidRPr="00695747" w:rsidRDefault="00C060B7" w:rsidP="0069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060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95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.1.3.3.2.apakšaktivitātes </w:t>
            </w:r>
            <w:r w:rsidRPr="00695747">
              <w:rPr>
                <w:rFonts w:ascii="Times New Roman" w:hAnsi="Times New Roman"/>
                <w:sz w:val="28"/>
                <w:szCs w:val="28"/>
              </w:rPr>
              <w:t>ierobežotas projektu iesniegumu atlases kārtas rezultātā par apstiprināto 32 projektu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(noslēgtie projekti – 31, projekta īstenošana pārtraukta – 1)</w:t>
            </w:r>
            <w:r w:rsidRPr="00695747">
              <w:rPr>
                <w:rFonts w:ascii="Times New Roman" w:hAnsi="Times New Roman"/>
                <w:sz w:val="28"/>
                <w:szCs w:val="28"/>
              </w:rPr>
              <w:t xml:space="preserve"> īstenošanu 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>noslēdzot līgumus ar kopējo attiecināmo finansējumu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4059C9">
              <w:rPr>
                <w:rFonts w:ascii="Times New Roman" w:hAnsi="Times New Roman"/>
                <w:sz w:val="28"/>
                <w:szCs w:val="28"/>
              </w:rPr>
              <w:t> 550 509,77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eiro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747">
              <w:rPr>
                <w:rFonts w:ascii="Times New Roman" w:hAnsi="Times New Roman"/>
                <w:sz w:val="28"/>
                <w:szCs w:val="28"/>
              </w:rPr>
              <w:t>(</w:t>
            </w:r>
            <w:r w:rsidR="004059C9">
              <w:rPr>
                <w:rFonts w:ascii="Times New Roman" w:hAnsi="Times New Roman"/>
                <w:sz w:val="28"/>
                <w:szCs w:val="28"/>
              </w:rPr>
              <w:t>3 198 116,47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latu</w:t>
            </w:r>
            <w:r w:rsidR="00695747">
              <w:rPr>
                <w:rFonts w:ascii="Times New Roman" w:hAnsi="Times New Roman"/>
                <w:sz w:val="28"/>
                <w:szCs w:val="28"/>
              </w:rPr>
              <w:t>)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apmērā (tai skaitā ERAF finansējumu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059C9">
              <w:rPr>
                <w:rFonts w:ascii="Times New Roman" w:hAnsi="Times New Roman"/>
                <w:sz w:val="28"/>
                <w:szCs w:val="28"/>
              </w:rPr>
              <w:t> 867 928,55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eiro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747">
              <w:rPr>
                <w:rFonts w:ascii="Times New Roman" w:hAnsi="Times New Roman"/>
                <w:sz w:val="28"/>
                <w:szCs w:val="28"/>
              </w:rPr>
              <w:t>(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>2</w:t>
            </w:r>
            <w:r w:rsidR="004059C9">
              <w:rPr>
                <w:rFonts w:ascii="Times New Roman" w:hAnsi="Times New Roman"/>
                <w:sz w:val="28"/>
                <w:szCs w:val="28"/>
              </w:rPr>
              <w:t> 718 395,66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latu</w:t>
            </w:r>
            <w:r w:rsidR="00695747">
              <w:rPr>
                <w:rFonts w:ascii="Times New Roman" w:hAnsi="Times New Roman"/>
                <w:sz w:val="28"/>
                <w:szCs w:val="28"/>
              </w:rPr>
              <w:t>)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apmērā),</w:t>
            </w:r>
            <w:r w:rsidR="00695747" w:rsidRPr="00695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projektu īstenošanas laikā </w:t>
            </w:r>
            <w:r w:rsidR="00695747" w:rsidRPr="00AC79D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uz 2011.gada </w:t>
            </w:r>
            <w:r w:rsidR="004059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17</w:t>
            </w:r>
            <w:r w:rsidR="00AC79D4" w:rsidRPr="00AC79D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.novembri</w:t>
            </w:r>
            <w:r w:rsidR="00695747" w:rsidRPr="00695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ir izveidojies </w:t>
            </w:r>
            <w:r w:rsidR="00AC79D4">
              <w:rPr>
                <w:rFonts w:ascii="Times New Roman" w:hAnsi="Times New Roman"/>
                <w:sz w:val="28"/>
                <w:szCs w:val="28"/>
              </w:rPr>
              <w:t xml:space="preserve">ERAF 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finansējuma atlikums (neizlietotie līdzekļi jeb ietaupījums) </w:t>
            </w:r>
            <w:r w:rsidR="00AC79D4">
              <w:rPr>
                <w:rFonts w:ascii="Times New Roman" w:hAnsi="Times New Roman"/>
                <w:sz w:val="28"/>
                <w:szCs w:val="28"/>
              </w:rPr>
              <w:t>392 705</w:t>
            </w:r>
            <w:r w:rsidR="0069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48B">
              <w:rPr>
                <w:rFonts w:ascii="Times New Roman" w:hAnsi="Times New Roman"/>
                <w:sz w:val="28"/>
                <w:szCs w:val="28"/>
              </w:rPr>
              <w:t xml:space="preserve">eiro </w:t>
            </w:r>
            <w:r w:rsidR="00695747">
              <w:rPr>
                <w:rFonts w:ascii="Times New Roman" w:hAnsi="Times New Roman"/>
                <w:sz w:val="28"/>
                <w:szCs w:val="28"/>
              </w:rPr>
              <w:t>(</w:t>
            </w:r>
            <w:r w:rsidR="00AC79D4">
              <w:rPr>
                <w:rFonts w:ascii="Times New Roman" w:hAnsi="Times New Roman"/>
                <w:sz w:val="28"/>
                <w:szCs w:val="28"/>
              </w:rPr>
              <w:t>275 994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latu</w:t>
            </w:r>
            <w:r w:rsidR="00695747">
              <w:rPr>
                <w:rFonts w:ascii="Times New Roman" w:hAnsi="Times New Roman"/>
                <w:sz w:val="28"/>
                <w:szCs w:val="28"/>
              </w:rPr>
              <w:t>)</w:t>
            </w:r>
            <w:r w:rsidR="00695747" w:rsidRPr="00695747">
              <w:rPr>
                <w:rFonts w:ascii="Times New Roman" w:hAnsi="Times New Roman"/>
                <w:sz w:val="28"/>
                <w:szCs w:val="28"/>
              </w:rPr>
              <w:t xml:space="preserve"> apmērā</w:t>
            </w:r>
            <w:r w:rsidR="00AC79D4">
              <w:rPr>
                <w:rFonts w:ascii="Times New Roman" w:hAnsi="Times New Roman"/>
                <w:sz w:val="28"/>
                <w:szCs w:val="28"/>
              </w:rPr>
              <w:t xml:space="preserve"> un nacionālā publiskā finansējuma atlikums 69 395 eiro (48 711 latu) apmērā</w:t>
            </w:r>
            <w:r w:rsidRPr="006957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48FC" w:rsidRDefault="00026B12" w:rsidP="00831314">
            <w:pPr>
              <w:pStyle w:val="ListParagraph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bCs/>
                <w:sz w:val="28"/>
                <w:szCs w:val="28"/>
              </w:rPr>
              <w:t xml:space="preserve">Ņemot vērā, ka </w:t>
            </w:r>
            <w:r w:rsidRPr="00826CEA">
              <w:rPr>
                <w:bCs/>
                <w:sz w:val="28"/>
                <w:szCs w:val="28"/>
              </w:rPr>
              <w:t>3.1.3.3.1.apakšaktivitātei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26CEA">
              <w:rPr>
                <w:bCs/>
                <w:sz w:val="28"/>
                <w:szCs w:val="28"/>
              </w:rPr>
              <w:t>noteikts 100% ERAF finansējums</w:t>
            </w:r>
            <w:r>
              <w:rPr>
                <w:bCs/>
                <w:sz w:val="28"/>
                <w:szCs w:val="28"/>
              </w:rPr>
              <w:t>,</w:t>
            </w:r>
            <w:r w:rsidRPr="00826CEA">
              <w:rPr>
                <w:bCs/>
                <w:sz w:val="28"/>
                <w:szCs w:val="28"/>
              </w:rPr>
              <w:t xml:space="preserve"> </w:t>
            </w:r>
            <w:r w:rsidR="000B46D2">
              <w:rPr>
                <w:bCs/>
                <w:sz w:val="28"/>
                <w:szCs w:val="28"/>
              </w:rPr>
              <w:t>3.1.3.3.2.apakš</w:t>
            </w:r>
            <w:r w:rsidR="001F2E68" w:rsidRPr="00826CEA">
              <w:rPr>
                <w:bCs/>
                <w:sz w:val="28"/>
                <w:szCs w:val="28"/>
              </w:rPr>
              <w:t>aktivitā</w:t>
            </w:r>
            <w:r w:rsidR="000B46D2">
              <w:rPr>
                <w:bCs/>
                <w:sz w:val="28"/>
                <w:szCs w:val="28"/>
              </w:rPr>
              <w:t>tes</w:t>
            </w:r>
            <w:r w:rsidR="001F2E68" w:rsidRPr="00826CEA">
              <w:rPr>
                <w:bCs/>
                <w:sz w:val="28"/>
                <w:szCs w:val="28"/>
              </w:rPr>
              <w:t xml:space="preserve"> ietvaros izveidojuš</w:t>
            </w:r>
            <w:r w:rsidR="00831314">
              <w:rPr>
                <w:bCs/>
                <w:sz w:val="28"/>
                <w:szCs w:val="28"/>
              </w:rPr>
              <w:t>ā</w:t>
            </w:r>
            <w:r w:rsidR="001F2E68" w:rsidRPr="00826CEA">
              <w:rPr>
                <w:bCs/>
                <w:sz w:val="28"/>
                <w:szCs w:val="28"/>
              </w:rPr>
              <w:t xml:space="preserve"> </w:t>
            </w:r>
            <w:r w:rsidR="00C42068">
              <w:rPr>
                <w:bCs/>
                <w:sz w:val="28"/>
                <w:szCs w:val="28"/>
              </w:rPr>
              <w:t xml:space="preserve">ERAF </w:t>
            </w:r>
            <w:r w:rsidR="001F2E68" w:rsidRPr="00826CEA">
              <w:rPr>
                <w:bCs/>
                <w:sz w:val="28"/>
                <w:szCs w:val="28"/>
              </w:rPr>
              <w:t>finansējuma atlikum</w:t>
            </w:r>
            <w:r w:rsidR="00831314">
              <w:rPr>
                <w:bCs/>
                <w:sz w:val="28"/>
                <w:szCs w:val="28"/>
              </w:rPr>
              <w:t>a daļu</w:t>
            </w:r>
            <w:r w:rsidR="001F2E68" w:rsidRPr="00826CEA">
              <w:rPr>
                <w:bCs/>
                <w:sz w:val="28"/>
                <w:szCs w:val="28"/>
              </w:rPr>
              <w:t xml:space="preserve"> </w:t>
            </w:r>
            <w:r w:rsidR="00C060B7">
              <w:rPr>
                <w:sz w:val="28"/>
                <w:szCs w:val="28"/>
                <w:lang w:eastAsia="lv-LV"/>
              </w:rPr>
              <w:t>251 129</w:t>
            </w:r>
            <w:r w:rsidR="000541E6">
              <w:rPr>
                <w:sz w:val="28"/>
                <w:szCs w:val="28"/>
                <w:lang w:eastAsia="lv-LV"/>
              </w:rPr>
              <w:t xml:space="preserve"> </w:t>
            </w:r>
            <w:r w:rsidR="00826CEA" w:rsidRPr="00826CEA">
              <w:rPr>
                <w:sz w:val="28"/>
                <w:szCs w:val="28"/>
                <w:lang w:eastAsia="lv-LV"/>
              </w:rPr>
              <w:t xml:space="preserve">eiro </w:t>
            </w:r>
            <w:r w:rsidR="005F3DA4">
              <w:rPr>
                <w:sz w:val="28"/>
                <w:szCs w:val="28"/>
                <w:lang w:eastAsia="lv-LV"/>
              </w:rPr>
              <w:t>(176 49</w:t>
            </w:r>
            <w:r w:rsidR="00C80AE4">
              <w:rPr>
                <w:sz w:val="28"/>
                <w:szCs w:val="28"/>
                <w:lang w:eastAsia="lv-LV"/>
              </w:rPr>
              <w:t>4</w:t>
            </w:r>
            <w:r w:rsidR="005F3DA4">
              <w:rPr>
                <w:sz w:val="28"/>
                <w:szCs w:val="28"/>
                <w:lang w:eastAsia="lv-LV"/>
              </w:rPr>
              <w:t xml:space="preserve"> latu) </w:t>
            </w:r>
            <w:r w:rsidR="001F2E68" w:rsidRPr="00826CEA">
              <w:rPr>
                <w:bCs/>
                <w:sz w:val="28"/>
                <w:szCs w:val="28"/>
              </w:rPr>
              <w:t xml:space="preserve">apmērā </w:t>
            </w:r>
            <w:r w:rsidR="00831314">
              <w:rPr>
                <w:bCs/>
                <w:sz w:val="28"/>
                <w:szCs w:val="28"/>
              </w:rPr>
              <w:t xml:space="preserve">ir nepieciešams </w:t>
            </w:r>
            <w:r w:rsidR="001F2E68" w:rsidRPr="00826CEA">
              <w:rPr>
                <w:bCs/>
                <w:sz w:val="28"/>
                <w:szCs w:val="28"/>
              </w:rPr>
              <w:t>pārdalīt 3.1.3.3.1.apakšaktivitātei</w:t>
            </w:r>
            <w:r w:rsidR="000B46D2">
              <w:rPr>
                <w:bCs/>
                <w:sz w:val="28"/>
                <w:szCs w:val="28"/>
              </w:rPr>
              <w:t>, l</w:t>
            </w:r>
            <w:r w:rsidR="008B7A1C" w:rsidRPr="00026B12">
              <w:rPr>
                <w:color w:val="000000"/>
                <w:sz w:val="28"/>
                <w:szCs w:val="28"/>
              </w:rPr>
              <w:t xml:space="preserve">ai </w:t>
            </w:r>
            <w:r w:rsidR="008B7A1C" w:rsidRPr="00831314">
              <w:rPr>
                <w:color w:val="000000"/>
                <w:sz w:val="28"/>
                <w:szCs w:val="28"/>
                <w:u w:val="single"/>
              </w:rPr>
              <w:t>pilnībā nosegtu</w:t>
            </w:r>
            <w:r w:rsidR="008B7A1C" w:rsidRPr="00026B12">
              <w:rPr>
                <w:color w:val="000000"/>
                <w:sz w:val="28"/>
                <w:szCs w:val="28"/>
              </w:rPr>
              <w:t xml:space="preserve"> pārējo iztrūkstošā </w:t>
            </w:r>
            <w:r w:rsidR="00C42068">
              <w:rPr>
                <w:color w:val="000000"/>
                <w:sz w:val="28"/>
                <w:szCs w:val="28"/>
              </w:rPr>
              <w:t xml:space="preserve">ERAF </w:t>
            </w:r>
            <w:r w:rsidR="008B7A1C" w:rsidRPr="00026B12">
              <w:rPr>
                <w:color w:val="000000"/>
                <w:sz w:val="28"/>
                <w:szCs w:val="28"/>
              </w:rPr>
              <w:t>finansējuma</w:t>
            </w:r>
            <w:r w:rsidR="008B7A1C" w:rsidRPr="00DE69FF">
              <w:rPr>
                <w:color w:val="000000"/>
                <w:sz w:val="28"/>
                <w:szCs w:val="28"/>
              </w:rPr>
              <w:t xml:space="preserve"> </w:t>
            </w:r>
            <w:r w:rsidR="008B7A1C">
              <w:rPr>
                <w:color w:val="000000"/>
                <w:sz w:val="28"/>
                <w:szCs w:val="28"/>
                <w:lang w:eastAsia="lv-LV"/>
              </w:rPr>
              <w:t>apmērā</w:t>
            </w:r>
            <w:r w:rsidR="008B7A1C" w:rsidRPr="00DE69FF">
              <w:rPr>
                <w:color w:val="000000"/>
                <w:sz w:val="28"/>
                <w:szCs w:val="28"/>
                <w:lang w:eastAsia="lv-LV"/>
              </w:rPr>
              <w:t xml:space="preserve"> daļu</w:t>
            </w:r>
            <w:r w:rsidR="00EC4F07">
              <w:rPr>
                <w:color w:val="000000"/>
                <w:sz w:val="28"/>
                <w:szCs w:val="28"/>
                <w:lang w:eastAsia="lv-LV"/>
              </w:rPr>
              <w:t>.</w:t>
            </w:r>
          </w:p>
          <w:p w:rsidR="005648FC" w:rsidRPr="008B7A1C" w:rsidRDefault="005648FC" w:rsidP="005648FC">
            <w:pPr>
              <w:pStyle w:val="ListParagraph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 xml:space="preserve">Savukārt, nacionālā publiskā finansējuma </w:t>
            </w:r>
            <w:r w:rsidR="00001E5C">
              <w:rPr>
                <w:color w:val="000000"/>
                <w:sz w:val="28"/>
                <w:szCs w:val="28"/>
                <w:lang w:eastAsia="lv-LV"/>
              </w:rPr>
              <w:t>atlikuma daļu 44 331 eiro (31 1</w:t>
            </w:r>
            <w:r>
              <w:rPr>
                <w:color w:val="000000"/>
                <w:sz w:val="28"/>
                <w:szCs w:val="28"/>
                <w:lang w:eastAsia="lv-LV"/>
              </w:rPr>
              <w:t>5</w:t>
            </w:r>
            <w:r w:rsidR="00001E5C">
              <w:rPr>
                <w:color w:val="000000"/>
                <w:sz w:val="28"/>
                <w:szCs w:val="28"/>
                <w:lang w:eastAsia="lv-LV"/>
              </w:rPr>
              <w:t>6</w:t>
            </w:r>
            <w:r>
              <w:rPr>
                <w:color w:val="000000"/>
                <w:sz w:val="28"/>
                <w:szCs w:val="28"/>
                <w:lang w:eastAsia="lv-LV"/>
              </w:rPr>
              <w:t xml:space="preserve"> latu) apmērā pārdalīt 3.1.1.1.aktivitātei „</w:t>
            </w:r>
            <w:r w:rsidRPr="000B5E78">
              <w:rPr>
                <w:bCs/>
                <w:sz w:val="28"/>
                <w:szCs w:val="28"/>
              </w:rPr>
              <w:t>Mācību aprīkojuma modernizācija un infrastruktūras uzlabošana profesionālās izglītības programmu īstenošanai</w:t>
            </w:r>
            <w:r w:rsidRPr="000B5E78">
              <w:rPr>
                <w:color w:val="000000"/>
                <w:sz w:val="28"/>
                <w:szCs w:val="28"/>
                <w:lang w:eastAsia="lv-LV"/>
              </w:rPr>
              <w:t>”</w:t>
            </w:r>
            <w:r>
              <w:rPr>
                <w:color w:val="000000"/>
                <w:sz w:val="28"/>
                <w:szCs w:val="28"/>
                <w:lang w:eastAsia="lv-LV"/>
              </w:rPr>
              <w:t xml:space="preserve"> (turpmāk – 3.1.1.1.aktivitāte), 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>ņem</w:t>
            </w:r>
            <w:r>
              <w:rPr>
                <w:rFonts w:eastAsia="Calibri"/>
                <w:color w:val="000000"/>
                <w:sz w:val="28"/>
                <w:szCs w:val="28"/>
              </w:rPr>
              <w:t>ot vērā informatīvajā ziņojumā „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>Par reformu norisi profesionālajā izglītībā</w:t>
            </w:r>
            <w:r>
              <w:rPr>
                <w:rFonts w:eastAsia="Calibri"/>
                <w:color w:val="000000"/>
                <w:sz w:val="28"/>
                <w:szCs w:val="28"/>
              </w:rPr>
              <w:t>”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 xml:space="preserve"> sniegto problēmu aprakstu un pamatojumu papildu finansējuma nepieciešamībai </w:t>
            </w:r>
            <w:r w:rsidRPr="00533D1C">
              <w:rPr>
                <w:rFonts w:eastAsia="Calibri"/>
                <w:color w:val="000000"/>
                <w:sz w:val="28"/>
                <w:szCs w:val="28"/>
              </w:rPr>
              <w:t>profesionālās izglītības reformu turpināšanai</w:t>
            </w:r>
            <w:r w:rsidRPr="00533D1C">
              <w:rPr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003B50" w:rsidRPr="003019A7" w:rsidTr="00901469"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29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427" w:type="pct"/>
            <w:hideMark/>
          </w:tcPr>
          <w:p w:rsidR="00003B50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03B50" w:rsidRPr="003019A7" w:rsidTr="00901469"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29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427" w:type="pct"/>
            <w:hideMark/>
          </w:tcPr>
          <w:p w:rsidR="00F24948" w:rsidRDefault="00DC71B0" w:rsidP="00001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>Rīkojuma projekts paredz</w:t>
            </w:r>
            <w:r w:rsidR="00F2494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5E78" w:rsidRDefault="00F24948" w:rsidP="00F24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0B5E78">
              <w:rPr>
                <w:rFonts w:ascii="Times New Roman" w:hAnsi="Times New Roman"/>
                <w:sz w:val="28"/>
                <w:szCs w:val="28"/>
              </w:rPr>
              <w:t xml:space="preserve">precizēt darbības programmas </w:t>
            </w:r>
            <w:r w:rsidRPr="000B5E7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„Infrastruktūra un pakalpojumi” papildinājuma </w:t>
            </w:r>
            <w:r w:rsidRPr="000B5E78">
              <w:rPr>
                <w:rFonts w:ascii="Times New Roman" w:hAnsi="Times New Roman"/>
                <w:sz w:val="28"/>
                <w:szCs w:val="28"/>
              </w:rPr>
              <w:t>3.1.1.pasākuma „</w:t>
            </w:r>
            <w:r w:rsidRPr="000B5E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Profesionālās izglītības infrastruktūra</w:t>
            </w:r>
            <w:r w:rsidRPr="000B5E78">
              <w:rPr>
                <w:rFonts w:ascii="Times New Roman" w:hAnsi="Times New Roman"/>
                <w:sz w:val="28"/>
                <w:szCs w:val="28"/>
              </w:rPr>
              <w:t xml:space="preserve">” tabulu „Finanšu plāns”, palielinot 3.1.1.1.aktivitei pieejamo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nacionālo publisko </w:t>
            </w:r>
            <w:r w:rsidRPr="000B5E78">
              <w:rPr>
                <w:rFonts w:ascii="Times New Roman" w:hAnsi="Times New Roman"/>
                <w:sz w:val="28"/>
                <w:szCs w:val="28"/>
              </w:rPr>
              <w:t xml:space="preserve">finansējumu par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44 331</w:t>
            </w:r>
            <w:r w:rsidRPr="000B5E78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eiro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(31 156 latiem) no 3.1.3.3.2.apakšaktivitātes 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>ietvaros noslēgto līgumu un vienošanās rezultātā radušo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 finansējuma atlikum</w:t>
            </w:r>
            <w:r>
              <w:rPr>
                <w:rFonts w:ascii="Times New Roman" w:hAnsi="Times New Roman"/>
                <w:sz w:val="28"/>
                <w:szCs w:val="28"/>
              </w:rPr>
              <w:t>a;</w:t>
            </w:r>
          </w:p>
          <w:p w:rsidR="00F24948" w:rsidRPr="000B5E78" w:rsidRDefault="00F24948" w:rsidP="00F24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- 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precizēt darbības programmas </w:t>
            </w:r>
            <w:r w:rsidRPr="005F3DA4">
              <w:rPr>
                <w:rFonts w:ascii="Times New Roman" w:hAnsi="Times New Roman"/>
                <w:sz w:val="28"/>
                <w:szCs w:val="28"/>
                <w:lang w:eastAsia="lv-LV"/>
              </w:rPr>
              <w:t>„Infrastruktūra un pakalpojumi” papildinājuma 3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>.1.3.pasākuma „</w:t>
            </w:r>
            <w:r w:rsidRPr="005F3D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Izglītības infrastruktūra vispārējo prasmju nodrošināšanai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” tabulu „Finanšu plāns”, </w:t>
            </w:r>
            <w:r w:rsidRPr="005F3DA4">
              <w:rPr>
                <w:rFonts w:ascii="Times New Roman" w:hAnsi="Times New Roman"/>
                <w:bCs/>
                <w:sz w:val="28"/>
                <w:szCs w:val="28"/>
              </w:rPr>
              <w:t xml:space="preserve">3.1.3.3.2.apakšaktivitātes 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 ietvaros noslēgto līgumu un vienošanās rezultātā radušos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ERAF 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finansējuma atlikumu </w:t>
            </w:r>
            <w:r w:rsidRPr="005F3DA4">
              <w:rPr>
                <w:rFonts w:ascii="Times New Roman" w:hAnsi="Times New Roman"/>
                <w:sz w:val="28"/>
                <w:szCs w:val="28"/>
                <w:lang w:eastAsia="lv-LV"/>
              </w:rPr>
              <w:t>251 1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30</w:t>
            </w:r>
            <w:r w:rsidRPr="005F3DA4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eiro (176 49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5</w:t>
            </w:r>
            <w:r w:rsidRPr="005F3DA4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latu)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5F3DA4">
              <w:rPr>
                <w:rFonts w:ascii="Times New Roman" w:hAnsi="Times New Roman"/>
                <w:sz w:val="28"/>
                <w:szCs w:val="28"/>
              </w:rPr>
              <w:t xml:space="preserve">apmērā </w:t>
            </w:r>
            <w:r w:rsidRPr="005F3DA4">
              <w:rPr>
                <w:rFonts w:ascii="Times New Roman" w:hAnsi="Times New Roman"/>
                <w:sz w:val="28"/>
                <w:szCs w:val="28"/>
                <w:lang w:eastAsia="lv-LV"/>
              </w:rPr>
              <w:t>novirzot 3.1.3.3.1.apakšaktivitātei, tādejādi</w:t>
            </w:r>
            <w:r w:rsidRPr="005F3DA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pilnībā nosedzot tās ietvaros radušos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ERAF </w:t>
            </w:r>
            <w:r w:rsidRPr="005F3DA4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finansējuma iztrūkumu ar pašvaldībām noslēgtajās vienošanās</w:t>
            </w:r>
            <w:r w:rsidRPr="000B5E78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003B50" w:rsidRPr="003019A7" w:rsidTr="00901469"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329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27" w:type="pct"/>
            <w:hideMark/>
          </w:tcPr>
          <w:p w:rsidR="00003B50" w:rsidRPr="003019A7" w:rsidRDefault="000B5E78" w:rsidP="000B5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03B50" w:rsidRPr="003019A7" w:rsidTr="00901469"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29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427" w:type="pct"/>
            <w:hideMark/>
          </w:tcPr>
          <w:p w:rsidR="00003B50" w:rsidRPr="000B5E78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B5E78">
              <w:rPr>
                <w:rFonts w:ascii="Times New Roman" w:hAnsi="Times New Roman"/>
                <w:color w:val="000000"/>
                <w:sz w:val="28"/>
                <w:szCs w:val="28"/>
              </w:rPr>
              <w:t>Noteikumu projekts neierobežo sabiedrības pārstāvju tiesības</w:t>
            </w:r>
            <w:r w:rsidRPr="000B5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3B50" w:rsidRPr="003019A7" w:rsidTr="00901469">
        <w:tc>
          <w:tcPr>
            <w:tcW w:w="244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29" w:type="pct"/>
            <w:hideMark/>
          </w:tcPr>
          <w:p w:rsidR="00003B50" w:rsidRPr="00DE69FF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DE69F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27" w:type="pct"/>
            <w:hideMark/>
          </w:tcPr>
          <w:p w:rsidR="00003B50" w:rsidRPr="00DE69FF" w:rsidRDefault="00717C70" w:rsidP="000E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255807" w:rsidRPr="00717C70" w:rsidRDefault="00255807" w:rsidP="00144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7C70" w:rsidRPr="00717C70" w:rsidRDefault="00717C70" w:rsidP="00144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C70">
        <w:rPr>
          <w:rFonts w:ascii="Times New Roman" w:hAnsi="Times New Roman"/>
          <w:sz w:val="28"/>
          <w:szCs w:val="28"/>
        </w:rPr>
        <w:t>Anotācijas II un III – projekts šīs jomas neskar.</w:t>
      </w:r>
    </w:p>
    <w:p w:rsidR="00717C70" w:rsidRPr="00717C70" w:rsidRDefault="00717C70" w:rsidP="00144B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7"/>
        <w:gridCol w:w="6379"/>
      </w:tblGrid>
      <w:tr w:rsidR="00717C70" w:rsidRPr="00717C70" w:rsidTr="00717C7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717C70" w:rsidRPr="00717C70" w:rsidRDefault="00717C70" w:rsidP="00717C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7C70">
              <w:rPr>
                <w:rFonts w:ascii="Times New Roman" w:hAnsi="Times New Roman"/>
                <w:sz w:val="28"/>
                <w:szCs w:val="28"/>
              </w:rPr>
              <w:t> </w:t>
            </w:r>
            <w:r w:rsidRPr="00717C70">
              <w:rPr>
                <w:rFonts w:ascii="Times New Roman" w:hAnsi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717C70" w:rsidRPr="00717C70" w:rsidTr="00717C70"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C70" w:rsidRPr="00717C70" w:rsidRDefault="00717C70" w:rsidP="00717C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7C70">
              <w:rPr>
                <w:rFonts w:ascii="Times New Roman" w:hAnsi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C70" w:rsidRPr="000B56D5" w:rsidRDefault="00717C70" w:rsidP="000B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6D5">
              <w:rPr>
                <w:rFonts w:ascii="Times New Roman" w:hAnsi="Times New Roman"/>
                <w:sz w:val="28"/>
                <w:szCs w:val="28"/>
              </w:rPr>
              <w:t>Ir nepieciešams veikt grozījumus:</w:t>
            </w:r>
          </w:p>
          <w:p w:rsidR="000B56D5" w:rsidRPr="000B56D5" w:rsidRDefault="00717C70" w:rsidP="000B56D5">
            <w:pPr>
              <w:pStyle w:val="ListParagraph"/>
              <w:numPr>
                <w:ilvl w:val="0"/>
                <w:numId w:val="5"/>
              </w:numPr>
              <w:ind w:left="23" w:firstLine="337"/>
              <w:rPr>
                <w:bCs/>
                <w:sz w:val="28"/>
                <w:szCs w:val="28"/>
              </w:rPr>
            </w:pPr>
            <w:r w:rsidRPr="000B56D5">
              <w:rPr>
                <w:sz w:val="28"/>
                <w:szCs w:val="28"/>
              </w:rPr>
              <w:t>Ministru kabineta 2008.gada 11.novembra noteikumos Nr. 940 „</w:t>
            </w:r>
            <w:r w:rsidRPr="000B56D5">
              <w:rPr>
                <w:bCs/>
                <w:sz w:val="28"/>
                <w:szCs w:val="28"/>
              </w:rPr>
              <w:t>Noteikumi par darbības programmas „Infrastruktūra un pakalpojumi” papildinājuma 3.1.3.3.1.apakšaktivitāti „Speciālās izglītības iestāžu infrastruktūras un aprīkojuma uzlabošana”</w:t>
            </w:r>
            <w:r w:rsidRPr="000B56D5">
              <w:rPr>
                <w:sz w:val="28"/>
                <w:szCs w:val="28"/>
              </w:rPr>
              <w:t>” (turpmāk – MK noteikumi Nr.940);</w:t>
            </w:r>
          </w:p>
          <w:p w:rsidR="000B56D5" w:rsidRPr="009E5233" w:rsidRDefault="00717C70" w:rsidP="000B56D5">
            <w:pPr>
              <w:pStyle w:val="ListParagraph"/>
              <w:numPr>
                <w:ilvl w:val="0"/>
                <w:numId w:val="5"/>
              </w:numPr>
              <w:ind w:left="23" w:firstLine="337"/>
              <w:rPr>
                <w:bCs/>
                <w:sz w:val="28"/>
                <w:szCs w:val="28"/>
              </w:rPr>
            </w:pPr>
            <w:r w:rsidRPr="000B56D5">
              <w:rPr>
                <w:sz w:val="28"/>
                <w:szCs w:val="28"/>
              </w:rPr>
              <w:t>Ministru kabineta 2008.gada 8.aprīļa noteikumos Nr.259 „</w:t>
            </w:r>
            <w:r w:rsidRPr="000B56D5">
              <w:rPr>
                <w:bCs/>
                <w:sz w:val="28"/>
                <w:szCs w:val="28"/>
              </w:rPr>
              <w:t>Noteikumi par darbības programmas „Infrastruktūra un pakalpojumi” papildinājuma 3.1.3.3.2.apakšaktivitāti „Vispārējās izglītības iestāžu infrastruktūras uzlabošana izglītojamiem ar funkcionāliem traucējumiem”</w:t>
            </w:r>
            <w:r w:rsidRPr="000B56D5">
              <w:rPr>
                <w:sz w:val="28"/>
                <w:szCs w:val="28"/>
              </w:rPr>
              <w:t>” (turpmāk – MK noteikumi Nr.259);</w:t>
            </w:r>
          </w:p>
          <w:p w:rsidR="009E5233" w:rsidRPr="000B56D5" w:rsidRDefault="009E5233" w:rsidP="009E5233">
            <w:pPr>
              <w:pStyle w:val="ListParagraph"/>
              <w:numPr>
                <w:ilvl w:val="0"/>
                <w:numId w:val="5"/>
              </w:numPr>
              <w:ind w:left="23" w:firstLine="337"/>
              <w:rPr>
                <w:sz w:val="28"/>
                <w:szCs w:val="28"/>
              </w:rPr>
            </w:pPr>
            <w:r w:rsidRPr="000B56D5">
              <w:rPr>
                <w:sz w:val="28"/>
                <w:szCs w:val="28"/>
              </w:rPr>
              <w:t>Ministru kabineta 2008.gada 11.novembra noteikumos Nr.939 „</w:t>
            </w:r>
            <w:r w:rsidRPr="000B56D5">
              <w:rPr>
                <w:bCs/>
                <w:sz w:val="28"/>
                <w:szCs w:val="28"/>
              </w:rPr>
              <w:t>Noteikumi par darbības programmas „Infrastruktūra un pakalpojumi” papildinājuma 3.1.1.1.aktivitāti „Mācību aprīkojuma modernizācija un infrastruktūras uzlabošana profesionālās izglītības programmu īstenošanai”</w:t>
            </w:r>
            <w:r w:rsidRPr="000B56D5">
              <w:rPr>
                <w:sz w:val="28"/>
                <w:szCs w:val="28"/>
              </w:rPr>
              <w:t>” (turpmāk – MK noteikumi Nr.939).</w:t>
            </w:r>
          </w:p>
          <w:p w:rsidR="000B56D5" w:rsidRPr="000B56D5" w:rsidRDefault="00717C70" w:rsidP="000B56D5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6D5">
              <w:rPr>
                <w:rFonts w:ascii="Times New Roman" w:hAnsi="Times New Roman"/>
                <w:sz w:val="28"/>
                <w:szCs w:val="28"/>
              </w:rPr>
              <w:t>Par iepriekšminēto tiesību aktu projektu izstrādi ir atbildīga Izglītības un zinātnes ministrija.</w:t>
            </w:r>
          </w:p>
          <w:p w:rsidR="00717C70" w:rsidRPr="000B56D5" w:rsidRDefault="00717C70" w:rsidP="005533B2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6D5">
              <w:rPr>
                <w:rFonts w:ascii="Times New Roman" w:hAnsi="Times New Roman"/>
                <w:sz w:val="28"/>
                <w:szCs w:val="28"/>
              </w:rPr>
              <w:t>Grozījumi MK noteikumos Nr.940</w:t>
            </w:r>
            <w:r w:rsidR="005533B2">
              <w:rPr>
                <w:rFonts w:ascii="Times New Roman" w:hAnsi="Times New Roman"/>
                <w:sz w:val="28"/>
                <w:szCs w:val="28"/>
              </w:rPr>
              <w:t xml:space="preserve"> un</w:t>
            </w:r>
            <w:r w:rsidR="000B5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D5">
              <w:rPr>
                <w:rFonts w:ascii="Times New Roman" w:hAnsi="Times New Roman"/>
                <w:sz w:val="28"/>
                <w:szCs w:val="28"/>
              </w:rPr>
              <w:t>MK noteikumos Nr.259 ir izstrādāti un tiks virzīti izskatīšanai MK sēdē vienlaicīgi ar rīkojuma projektu</w:t>
            </w:r>
            <w:r w:rsidR="009E52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5233" w:rsidRPr="000B56D5">
              <w:rPr>
                <w:rFonts w:ascii="Times New Roman" w:hAnsi="Times New Roman"/>
                <w:sz w:val="28"/>
                <w:szCs w:val="28"/>
              </w:rPr>
              <w:t xml:space="preserve">savukārt grozījumi MK noteikumos Nr.939 </w:t>
            </w:r>
            <w:r w:rsidR="009E5233" w:rsidRPr="000B56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tiks izstrādāti un virzīti izskatīšanai MK sēdē vienlaikus ar citiem grozījumiem šajos noteikumos</w:t>
            </w:r>
            <w:r w:rsidR="009E523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saskaņā ar Ministru kabineta protokollēmuma projektā „</w:t>
            </w:r>
            <w:r w:rsidR="009E5233" w:rsidRPr="009E5233">
              <w:rPr>
                <w:rFonts w:ascii="Times New Roman" w:hAnsi="Times New Roman"/>
                <w:sz w:val="28"/>
                <w:szCs w:val="28"/>
              </w:rPr>
              <w:t xml:space="preserve">Par Ministru kabineta </w:t>
            </w:r>
            <w:r w:rsidR="009E5233" w:rsidRPr="009E5233">
              <w:rPr>
                <w:rFonts w:ascii="Times New Roman" w:hAnsi="Times New Roman"/>
                <w:sz w:val="28"/>
                <w:szCs w:val="28"/>
              </w:rPr>
              <w:lastRenderedPageBreak/>
              <w:t>rīkojuma projektu „Grozījumi darbības programmas „Infrastruktūra un pakalpojumi” papildinājumā”</w:t>
            </w:r>
            <w:r w:rsidR="009E5233">
              <w:rPr>
                <w:rFonts w:ascii="Times New Roman" w:hAnsi="Times New Roman"/>
                <w:sz w:val="28"/>
                <w:szCs w:val="28"/>
              </w:rPr>
              <w:t>” noteikto</w:t>
            </w:r>
            <w:r w:rsidR="003C60E5" w:rsidRPr="009E523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717C70" w:rsidRPr="00717C70" w:rsidTr="00717C70"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C70" w:rsidRPr="00717C70" w:rsidRDefault="00717C70" w:rsidP="00717C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7C70">
              <w:rPr>
                <w:rFonts w:ascii="Times New Roman" w:hAnsi="Times New Roman"/>
                <w:sz w:val="28"/>
                <w:szCs w:val="28"/>
              </w:rPr>
              <w:lastRenderedPageBreak/>
              <w:t>Cita informācija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C70" w:rsidRPr="00717C70" w:rsidRDefault="00717C70" w:rsidP="00717C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C70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p w:rsidR="00717C70" w:rsidRDefault="00717C70" w:rsidP="00144B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717C70" w:rsidRPr="00717C70" w:rsidRDefault="00717C70" w:rsidP="00144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C70">
        <w:rPr>
          <w:rFonts w:ascii="Times New Roman" w:hAnsi="Times New Roman"/>
          <w:sz w:val="28"/>
          <w:szCs w:val="28"/>
        </w:rPr>
        <w:t xml:space="preserve">Anotācijas </w:t>
      </w:r>
      <w:r>
        <w:rPr>
          <w:rFonts w:ascii="Times New Roman" w:hAnsi="Times New Roman"/>
          <w:sz w:val="28"/>
          <w:szCs w:val="28"/>
        </w:rPr>
        <w:t>V</w:t>
      </w:r>
      <w:r w:rsidRPr="00717C70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V</w:t>
      </w:r>
      <w:r w:rsidRPr="00717C70">
        <w:rPr>
          <w:rFonts w:ascii="Times New Roman" w:hAnsi="Times New Roman"/>
          <w:sz w:val="28"/>
          <w:szCs w:val="28"/>
        </w:rPr>
        <w:t>I – projekts šīs jomas neskar.</w:t>
      </w:r>
    </w:p>
    <w:p w:rsidR="00460C58" w:rsidRPr="00003B50" w:rsidRDefault="00003B50" w:rsidP="00144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03B50">
        <w:rPr>
          <w:rFonts w:ascii="Times New Roman" w:eastAsia="Times New Roman" w:hAnsi="Times New Roman"/>
          <w:sz w:val="28"/>
          <w:szCs w:val="28"/>
          <w:lang w:eastAsia="lv-LV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16"/>
        <w:gridCol w:w="4645"/>
      </w:tblGrid>
      <w:tr w:rsidR="00003B50" w:rsidRPr="003019A7" w:rsidTr="003019A7">
        <w:tc>
          <w:tcPr>
            <w:tcW w:w="0" w:type="auto"/>
            <w:gridSpan w:val="3"/>
            <w:hideMark/>
          </w:tcPr>
          <w:p w:rsidR="00003B50" w:rsidRPr="003019A7" w:rsidRDefault="00003B50" w:rsidP="00B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417964" w:rsidRPr="003019A7" w:rsidTr="000B5E78">
        <w:tc>
          <w:tcPr>
            <w:tcW w:w="229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270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00" w:type="pct"/>
            <w:hideMark/>
          </w:tcPr>
          <w:p w:rsidR="00003B50" w:rsidRPr="003019A7" w:rsidRDefault="0099263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projekta izpildi nodrošinās Iz</w:t>
            </w:r>
            <w:r w:rsidR="005A6982"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glītības un zinātnes ministrija un</w:t>
            </w: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Valsts izglītības attīstības aģentūra</w:t>
            </w:r>
            <w:r w:rsidR="00683925"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0B5E78" w:rsidRPr="003019A7" w:rsidTr="000B5E78">
        <w:tc>
          <w:tcPr>
            <w:tcW w:w="229" w:type="pct"/>
            <w:hideMark/>
          </w:tcPr>
          <w:p w:rsidR="000B5E78" w:rsidRPr="003019A7" w:rsidRDefault="000B5E78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270" w:type="pct"/>
            <w:hideMark/>
          </w:tcPr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500" w:type="pct"/>
            <w:hideMark/>
          </w:tcPr>
          <w:p w:rsidR="000B5E78" w:rsidRDefault="000B5E78">
            <w:r w:rsidRPr="00546C4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B5E78" w:rsidRPr="003019A7" w:rsidTr="000B5E78">
        <w:tc>
          <w:tcPr>
            <w:tcW w:w="229" w:type="pct"/>
            <w:hideMark/>
          </w:tcPr>
          <w:p w:rsidR="000B5E78" w:rsidRPr="003019A7" w:rsidRDefault="000B5E78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270" w:type="pct"/>
            <w:hideMark/>
          </w:tcPr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2500" w:type="pct"/>
            <w:hideMark/>
          </w:tcPr>
          <w:p w:rsidR="000B5E78" w:rsidRDefault="000B5E78">
            <w:r w:rsidRPr="00546C4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B5E78" w:rsidRPr="003019A7" w:rsidTr="000B5E78">
        <w:tc>
          <w:tcPr>
            <w:tcW w:w="229" w:type="pct"/>
            <w:hideMark/>
          </w:tcPr>
          <w:p w:rsidR="000B5E78" w:rsidRPr="003019A7" w:rsidRDefault="000B5E78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270" w:type="pct"/>
            <w:hideMark/>
          </w:tcPr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2500" w:type="pct"/>
            <w:hideMark/>
          </w:tcPr>
          <w:p w:rsidR="000B5E78" w:rsidRDefault="000B5E78">
            <w:r w:rsidRPr="00546C4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B5E78" w:rsidRPr="003019A7" w:rsidTr="000B5E78">
        <w:tc>
          <w:tcPr>
            <w:tcW w:w="229" w:type="pct"/>
            <w:hideMark/>
          </w:tcPr>
          <w:p w:rsidR="000B5E78" w:rsidRPr="003019A7" w:rsidRDefault="000B5E78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270" w:type="pct"/>
            <w:hideMark/>
          </w:tcPr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B5E78" w:rsidRPr="003019A7" w:rsidRDefault="000B5E78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2500" w:type="pct"/>
            <w:hideMark/>
          </w:tcPr>
          <w:p w:rsidR="000B5E78" w:rsidRDefault="000B5E78">
            <w:r w:rsidRPr="00546C4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417964" w:rsidRPr="003019A7" w:rsidTr="000B5E78">
        <w:trPr>
          <w:trHeight w:val="15"/>
        </w:trPr>
        <w:tc>
          <w:tcPr>
            <w:tcW w:w="229" w:type="pct"/>
            <w:hideMark/>
          </w:tcPr>
          <w:p w:rsidR="00003B50" w:rsidRPr="003019A7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270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00" w:type="pct"/>
            <w:hideMark/>
          </w:tcPr>
          <w:p w:rsidR="00003B50" w:rsidRPr="003019A7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683925" w:rsidRPr="003019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D463DD" w:rsidRDefault="00D463DD" w:rsidP="00144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248" w:rsidRDefault="00F51248" w:rsidP="00144BE9">
      <w:pPr>
        <w:pStyle w:val="naisf"/>
        <w:spacing w:before="0" w:after="0"/>
        <w:rPr>
          <w:sz w:val="28"/>
          <w:szCs w:val="28"/>
          <w:lang w:val="lv-LV"/>
        </w:rPr>
      </w:pPr>
    </w:p>
    <w:p w:rsidR="003142A8" w:rsidRPr="0025625C" w:rsidRDefault="003142A8" w:rsidP="0025625C">
      <w:pPr>
        <w:pStyle w:val="naisf"/>
        <w:spacing w:before="0" w:after="0"/>
        <w:rPr>
          <w:sz w:val="28"/>
          <w:szCs w:val="28"/>
          <w:lang w:val="lv-LV"/>
        </w:rPr>
      </w:pPr>
      <w:r w:rsidRPr="00E82508">
        <w:rPr>
          <w:sz w:val="28"/>
          <w:szCs w:val="28"/>
          <w:lang w:val="lv-LV"/>
        </w:rPr>
        <w:t>Izglītības un zinātnes ministr</w:t>
      </w:r>
      <w:r w:rsidR="00D061BA">
        <w:rPr>
          <w:sz w:val="28"/>
          <w:szCs w:val="28"/>
          <w:lang w:val="lv-LV"/>
        </w:rPr>
        <w:t>s</w:t>
      </w:r>
      <w:r w:rsidRPr="00E82508">
        <w:rPr>
          <w:sz w:val="28"/>
          <w:szCs w:val="28"/>
          <w:lang w:val="lv-LV"/>
        </w:rPr>
        <w:tab/>
      </w:r>
      <w:r w:rsidR="0025625C" w:rsidRPr="0025625C">
        <w:rPr>
          <w:sz w:val="28"/>
          <w:szCs w:val="28"/>
          <w:lang w:val="lv-LV"/>
        </w:rPr>
        <w:tab/>
      </w:r>
      <w:r w:rsidR="0025625C">
        <w:rPr>
          <w:sz w:val="28"/>
          <w:szCs w:val="28"/>
          <w:lang w:val="lv-LV"/>
        </w:rPr>
        <w:tab/>
      </w:r>
      <w:r w:rsidR="0025625C" w:rsidRPr="0025625C">
        <w:rPr>
          <w:sz w:val="28"/>
          <w:szCs w:val="28"/>
          <w:lang w:val="lv-LV"/>
        </w:rPr>
        <w:tab/>
      </w:r>
      <w:r w:rsidR="0025625C" w:rsidRPr="0025625C">
        <w:rPr>
          <w:sz w:val="28"/>
          <w:szCs w:val="28"/>
          <w:lang w:val="lv-LV"/>
        </w:rPr>
        <w:tab/>
      </w:r>
      <w:r w:rsidR="0025625C" w:rsidRPr="0025625C">
        <w:rPr>
          <w:sz w:val="28"/>
          <w:szCs w:val="28"/>
          <w:lang w:val="lv-LV"/>
        </w:rPr>
        <w:tab/>
      </w:r>
      <w:r w:rsidR="00843ACC">
        <w:rPr>
          <w:sz w:val="28"/>
          <w:szCs w:val="28"/>
        </w:rPr>
        <w:t>R.Ķīlis</w:t>
      </w:r>
      <w:r w:rsidRPr="0025625C">
        <w:rPr>
          <w:sz w:val="28"/>
          <w:szCs w:val="28"/>
          <w:lang w:val="lv-LV"/>
        </w:rPr>
        <w:tab/>
      </w:r>
    </w:p>
    <w:p w:rsidR="003142A8" w:rsidRPr="003142A8" w:rsidRDefault="003142A8" w:rsidP="00144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2A8">
        <w:rPr>
          <w:rFonts w:ascii="Times New Roman" w:hAnsi="Times New Roman"/>
          <w:sz w:val="28"/>
          <w:szCs w:val="28"/>
        </w:rPr>
        <w:br/>
      </w:r>
    </w:p>
    <w:p w:rsidR="00BB6BD2" w:rsidRDefault="0025625C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 w:rsidRPr="00BB6BD2">
        <w:rPr>
          <w:rFonts w:ascii="Times New Roman" w:hAnsi="Times New Roman"/>
          <w:sz w:val="28"/>
          <w:szCs w:val="28"/>
        </w:rPr>
        <w:t xml:space="preserve">Vīza: </w:t>
      </w:r>
      <w:r w:rsidR="007C4EE6">
        <w:rPr>
          <w:rFonts w:ascii="Times New Roman" w:hAnsi="Times New Roman"/>
          <w:bCs/>
          <w:color w:val="000000"/>
          <w:sz w:val="28"/>
          <w:szCs w:val="28"/>
          <w:lang w:eastAsia="lv-LV"/>
        </w:rPr>
        <w:t>V</w:t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>alsts sekretārs</w:t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A65F4D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  <w:t>M.Gruškevics</w:t>
      </w:r>
    </w:p>
    <w:p w:rsidR="005533B2" w:rsidRDefault="005533B2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9E5233" w:rsidRDefault="009E5233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9E5233" w:rsidRDefault="009E5233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9E5233" w:rsidRDefault="009E5233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9E5233" w:rsidRDefault="009E5233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CA5CFE" w:rsidRDefault="00CA5CFE" w:rsidP="00A6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C07B58" w:rsidRDefault="00A85092" w:rsidP="00144B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E523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.11.2011 1</w:t>
      </w:r>
      <w:r w:rsidR="009E523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:</w:t>
      </w:r>
      <w:r w:rsidR="009E5233">
        <w:rPr>
          <w:rFonts w:ascii="Times New Roman" w:hAnsi="Times New Roman"/>
          <w:sz w:val="20"/>
          <w:szCs w:val="20"/>
        </w:rPr>
        <w:t>09</w:t>
      </w:r>
    </w:p>
    <w:p w:rsidR="003142A8" w:rsidRPr="00901469" w:rsidRDefault="009E5233" w:rsidP="00144B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1026</w:t>
      </w:r>
    </w:p>
    <w:p w:rsidR="003142A8" w:rsidRPr="00901469" w:rsidRDefault="00FA4940" w:rsidP="00144B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J.Sviridenkova</w:t>
      </w:r>
    </w:p>
    <w:p w:rsidR="003142A8" w:rsidRPr="00901469" w:rsidRDefault="003142A8" w:rsidP="00144B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1469">
        <w:rPr>
          <w:rFonts w:ascii="Times New Roman" w:hAnsi="Times New Roman"/>
          <w:sz w:val="20"/>
          <w:szCs w:val="20"/>
        </w:rPr>
        <w:t>tālr.:67047</w:t>
      </w:r>
      <w:r w:rsidR="00FA4940">
        <w:rPr>
          <w:rFonts w:ascii="Times New Roman" w:hAnsi="Times New Roman"/>
          <w:sz w:val="20"/>
          <w:szCs w:val="20"/>
        </w:rPr>
        <w:t>774</w:t>
      </w:r>
    </w:p>
    <w:p w:rsidR="00CB2D16" w:rsidRPr="00D061BA" w:rsidRDefault="00FA4940" w:rsidP="002A6C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jevgenija.sviridenkova</w:t>
      </w:r>
      <w:r w:rsidR="003142A8" w:rsidRPr="00901469">
        <w:rPr>
          <w:rFonts w:ascii="Times New Roman" w:hAnsi="Times New Roman"/>
          <w:sz w:val="20"/>
          <w:szCs w:val="20"/>
        </w:rPr>
        <w:t>@izm.gov.lv</w:t>
      </w:r>
      <w:r w:rsidR="00C14596" w:rsidRPr="00901469">
        <w:rPr>
          <w:rFonts w:ascii="Times New Roman" w:hAnsi="Times New Roman"/>
          <w:sz w:val="20"/>
          <w:szCs w:val="20"/>
        </w:rPr>
        <w:tab/>
      </w:r>
    </w:p>
    <w:sectPr w:rsidR="00CB2D16" w:rsidRPr="00D061BA" w:rsidSect="0025625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48" w:rsidRDefault="00F24948" w:rsidP="002F2C35">
      <w:pPr>
        <w:spacing w:after="0" w:line="240" w:lineRule="auto"/>
      </w:pPr>
      <w:r>
        <w:separator/>
      </w:r>
    </w:p>
  </w:endnote>
  <w:endnote w:type="continuationSeparator" w:id="0">
    <w:p w:rsidR="00F24948" w:rsidRDefault="00F24948" w:rsidP="002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48" w:rsidRPr="00D061BA" w:rsidRDefault="00F24948" w:rsidP="00D061BA">
    <w:pPr>
      <w:pStyle w:val="Footer"/>
      <w:jc w:val="both"/>
    </w:pPr>
    <w:r>
      <w:rPr>
        <w:rFonts w:ascii="Times New Roman" w:hAnsi="Times New Roman"/>
        <w:sz w:val="20"/>
        <w:szCs w:val="20"/>
      </w:rPr>
      <w:t>IZMAnot_171111_3</w:t>
    </w:r>
    <w:r w:rsidRPr="00D061BA">
      <w:rPr>
        <w:rFonts w:ascii="Times New Roman" w:hAnsi="Times New Roman"/>
        <w:sz w:val="20"/>
        <w:szCs w:val="20"/>
      </w:rPr>
      <w:t xml:space="preserve">DPP; Rīkojuma projekta </w:t>
    </w:r>
    <w:r w:rsidRPr="00D061BA">
      <w:rPr>
        <w:rFonts w:ascii="Times New Roman" w:eastAsia="Times New Roman" w:hAnsi="Times New Roman"/>
        <w:bCs/>
        <w:sz w:val="20"/>
        <w:szCs w:val="20"/>
        <w:lang w:eastAsia="lv-LV"/>
      </w:rPr>
      <w:t>„Grozījumi darbības programmas „</w:t>
    </w:r>
    <w:r>
      <w:rPr>
        <w:rFonts w:ascii="Times New Roman" w:eastAsia="Times New Roman" w:hAnsi="Times New Roman"/>
        <w:bCs/>
        <w:sz w:val="20"/>
        <w:szCs w:val="20"/>
        <w:lang w:eastAsia="lv-LV"/>
      </w:rPr>
      <w:t>Infrastruktūra un pakalpojumi</w:t>
    </w:r>
    <w:r w:rsidRPr="00D061BA">
      <w:rPr>
        <w:rFonts w:ascii="Times New Roman" w:eastAsia="Times New Roman" w:hAnsi="Times New Roman"/>
        <w:bCs/>
        <w:sz w:val="20"/>
        <w:szCs w:val="20"/>
        <w:lang w:eastAsia="lv-LV"/>
      </w:rPr>
      <w:t>” papildinājumā” projekta sākotnējās ietekmes novērtējuma ziņojums</w:t>
    </w:r>
    <w:r w:rsidRPr="00D061BA">
      <w:rPr>
        <w:rFonts w:ascii="Times New Roman" w:hAnsi="Times New Roman"/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48" w:rsidRPr="00D061BA" w:rsidRDefault="00F24948" w:rsidP="008B6417">
    <w:pPr>
      <w:pStyle w:val="Footer"/>
      <w:jc w:val="both"/>
    </w:pPr>
    <w:r>
      <w:rPr>
        <w:rFonts w:ascii="Times New Roman" w:hAnsi="Times New Roman"/>
        <w:sz w:val="20"/>
        <w:szCs w:val="20"/>
      </w:rPr>
      <w:t>IZMAnot_171111_3</w:t>
    </w:r>
    <w:r w:rsidRPr="00D061BA">
      <w:rPr>
        <w:rFonts w:ascii="Times New Roman" w:hAnsi="Times New Roman"/>
        <w:sz w:val="20"/>
        <w:szCs w:val="20"/>
      </w:rPr>
      <w:t xml:space="preserve">DPP; Rīkojuma projekta </w:t>
    </w:r>
    <w:r w:rsidRPr="00D061BA">
      <w:rPr>
        <w:rFonts w:ascii="Times New Roman" w:eastAsia="Times New Roman" w:hAnsi="Times New Roman"/>
        <w:bCs/>
        <w:sz w:val="20"/>
        <w:szCs w:val="20"/>
        <w:lang w:eastAsia="lv-LV"/>
      </w:rPr>
      <w:t>„Grozījumi darbības programmas „</w:t>
    </w:r>
    <w:r>
      <w:rPr>
        <w:rFonts w:ascii="Times New Roman" w:eastAsia="Times New Roman" w:hAnsi="Times New Roman"/>
        <w:bCs/>
        <w:sz w:val="20"/>
        <w:szCs w:val="20"/>
        <w:lang w:eastAsia="lv-LV"/>
      </w:rPr>
      <w:t>Infrastruktūra un pakalpojumi</w:t>
    </w:r>
    <w:r w:rsidRPr="00D061BA">
      <w:rPr>
        <w:rFonts w:ascii="Times New Roman" w:eastAsia="Times New Roman" w:hAnsi="Times New Roman"/>
        <w:bCs/>
        <w:sz w:val="20"/>
        <w:szCs w:val="20"/>
        <w:lang w:eastAsia="lv-LV"/>
      </w:rPr>
      <w:t>” papildinājumā” projekta sākotnējās ietekmes novērtējuma ziņojums</w:t>
    </w:r>
    <w:r w:rsidRPr="00D061BA">
      <w:rPr>
        <w:rFonts w:ascii="Times New Roman" w:hAnsi="Times New Roman"/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48" w:rsidRDefault="00F24948" w:rsidP="002F2C35">
      <w:pPr>
        <w:spacing w:after="0" w:line="240" w:lineRule="auto"/>
      </w:pPr>
      <w:r>
        <w:separator/>
      </w:r>
    </w:p>
  </w:footnote>
  <w:footnote w:type="continuationSeparator" w:id="0">
    <w:p w:rsidR="00F24948" w:rsidRDefault="00F24948" w:rsidP="002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48" w:rsidRPr="0025625C" w:rsidRDefault="00F24948" w:rsidP="0025625C">
    <w:pPr>
      <w:pStyle w:val="Header"/>
      <w:jc w:val="center"/>
      <w:rPr>
        <w:rFonts w:ascii="Times New Roman" w:hAnsi="Times New Roman"/>
        <w:sz w:val="24"/>
        <w:szCs w:val="24"/>
      </w:rPr>
    </w:pPr>
    <w:r w:rsidRPr="00ED29FD">
      <w:rPr>
        <w:rFonts w:ascii="Times New Roman" w:hAnsi="Times New Roman"/>
        <w:sz w:val="24"/>
        <w:szCs w:val="24"/>
      </w:rPr>
      <w:fldChar w:fldCharType="begin"/>
    </w:r>
    <w:r w:rsidRPr="00ED29FD">
      <w:rPr>
        <w:rFonts w:ascii="Times New Roman" w:hAnsi="Times New Roman"/>
        <w:sz w:val="24"/>
        <w:szCs w:val="24"/>
      </w:rPr>
      <w:instrText xml:space="preserve"> PAGE   \* MERGEFORMAT </w:instrText>
    </w:r>
    <w:r w:rsidRPr="00ED29FD">
      <w:rPr>
        <w:rFonts w:ascii="Times New Roman" w:hAnsi="Times New Roman"/>
        <w:sz w:val="24"/>
        <w:szCs w:val="24"/>
      </w:rPr>
      <w:fldChar w:fldCharType="separate"/>
    </w:r>
    <w:r w:rsidR="009E5233">
      <w:rPr>
        <w:rFonts w:ascii="Times New Roman" w:hAnsi="Times New Roman"/>
        <w:noProof/>
        <w:sz w:val="24"/>
        <w:szCs w:val="24"/>
      </w:rPr>
      <w:t>5</w:t>
    </w:r>
    <w:r w:rsidRPr="00ED29F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90"/>
    <w:multiLevelType w:val="hybridMultilevel"/>
    <w:tmpl w:val="27E24FD6"/>
    <w:lvl w:ilvl="0" w:tplc="3476E17A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FC5064"/>
    <w:multiLevelType w:val="hybridMultilevel"/>
    <w:tmpl w:val="A046354C"/>
    <w:lvl w:ilvl="0" w:tplc="3476E1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68B362A7"/>
    <w:multiLevelType w:val="hybridMultilevel"/>
    <w:tmpl w:val="DA4082DA"/>
    <w:lvl w:ilvl="0" w:tplc="7B9A2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6F91"/>
    <w:multiLevelType w:val="hybridMultilevel"/>
    <w:tmpl w:val="C428E6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6F24"/>
    <w:multiLevelType w:val="hybridMultilevel"/>
    <w:tmpl w:val="AC780258"/>
    <w:lvl w:ilvl="0" w:tplc="3B7C8EB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50"/>
    <w:rsid w:val="00001E5C"/>
    <w:rsid w:val="00003B50"/>
    <w:rsid w:val="000118CD"/>
    <w:rsid w:val="00011D3C"/>
    <w:rsid w:val="00015E9C"/>
    <w:rsid w:val="0002610B"/>
    <w:rsid w:val="00026B12"/>
    <w:rsid w:val="00031F59"/>
    <w:rsid w:val="000330AB"/>
    <w:rsid w:val="00034151"/>
    <w:rsid w:val="00050F18"/>
    <w:rsid w:val="000541E6"/>
    <w:rsid w:val="00060D7B"/>
    <w:rsid w:val="00063D65"/>
    <w:rsid w:val="00065F59"/>
    <w:rsid w:val="0007347C"/>
    <w:rsid w:val="00073F04"/>
    <w:rsid w:val="00087204"/>
    <w:rsid w:val="0009632C"/>
    <w:rsid w:val="000B46D2"/>
    <w:rsid w:val="000B56D5"/>
    <w:rsid w:val="000B5E78"/>
    <w:rsid w:val="000C26D2"/>
    <w:rsid w:val="000C48A8"/>
    <w:rsid w:val="000C6301"/>
    <w:rsid w:val="000D313B"/>
    <w:rsid w:val="000D351E"/>
    <w:rsid w:val="000E16C5"/>
    <w:rsid w:val="000E360B"/>
    <w:rsid w:val="000E3AE2"/>
    <w:rsid w:val="000E51EF"/>
    <w:rsid w:val="000F5AE0"/>
    <w:rsid w:val="00107882"/>
    <w:rsid w:val="00111770"/>
    <w:rsid w:val="00112D53"/>
    <w:rsid w:val="00125897"/>
    <w:rsid w:val="00130BB2"/>
    <w:rsid w:val="0013413B"/>
    <w:rsid w:val="00144A98"/>
    <w:rsid w:val="00144BE9"/>
    <w:rsid w:val="00145F11"/>
    <w:rsid w:val="00157E51"/>
    <w:rsid w:val="001627BA"/>
    <w:rsid w:val="00183F01"/>
    <w:rsid w:val="00192868"/>
    <w:rsid w:val="001944C2"/>
    <w:rsid w:val="00195307"/>
    <w:rsid w:val="001A2325"/>
    <w:rsid w:val="001A2912"/>
    <w:rsid w:val="001A2C09"/>
    <w:rsid w:val="001B0314"/>
    <w:rsid w:val="001B62BF"/>
    <w:rsid w:val="001D1B70"/>
    <w:rsid w:val="001E2369"/>
    <w:rsid w:val="001E55FE"/>
    <w:rsid w:val="001F2E68"/>
    <w:rsid w:val="001F65F3"/>
    <w:rsid w:val="002029D5"/>
    <w:rsid w:val="002078BE"/>
    <w:rsid w:val="00210863"/>
    <w:rsid w:val="00211AB7"/>
    <w:rsid w:val="00211DD1"/>
    <w:rsid w:val="00216B97"/>
    <w:rsid w:val="00224978"/>
    <w:rsid w:val="00224FFE"/>
    <w:rsid w:val="00226CAD"/>
    <w:rsid w:val="00227457"/>
    <w:rsid w:val="0023406A"/>
    <w:rsid w:val="002341F2"/>
    <w:rsid w:val="00235A22"/>
    <w:rsid w:val="00240CC3"/>
    <w:rsid w:val="0024494A"/>
    <w:rsid w:val="002507B5"/>
    <w:rsid w:val="00255807"/>
    <w:rsid w:val="0025625C"/>
    <w:rsid w:val="00257DF4"/>
    <w:rsid w:val="002607F7"/>
    <w:rsid w:val="00267AB8"/>
    <w:rsid w:val="002747F2"/>
    <w:rsid w:val="00285EA9"/>
    <w:rsid w:val="002A6C48"/>
    <w:rsid w:val="002A7425"/>
    <w:rsid w:val="002B0765"/>
    <w:rsid w:val="002B0FBC"/>
    <w:rsid w:val="002B453E"/>
    <w:rsid w:val="002B4745"/>
    <w:rsid w:val="002B5A3A"/>
    <w:rsid w:val="002C6B95"/>
    <w:rsid w:val="002D4BCA"/>
    <w:rsid w:val="002D6FA9"/>
    <w:rsid w:val="002E74A0"/>
    <w:rsid w:val="002F2C35"/>
    <w:rsid w:val="003018E7"/>
    <w:rsid w:val="003019A7"/>
    <w:rsid w:val="00302D0B"/>
    <w:rsid w:val="003052FC"/>
    <w:rsid w:val="003142A8"/>
    <w:rsid w:val="0034291B"/>
    <w:rsid w:val="00347DBD"/>
    <w:rsid w:val="003514AA"/>
    <w:rsid w:val="0036381A"/>
    <w:rsid w:val="00366D28"/>
    <w:rsid w:val="003702AC"/>
    <w:rsid w:val="0037216C"/>
    <w:rsid w:val="00373C28"/>
    <w:rsid w:val="00374470"/>
    <w:rsid w:val="00385557"/>
    <w:rsid w:val="003964F5"/>
    <w:rsid w:val="00396CB4"/>
    <w:rsid w:val="003A0F87"/>
    <w:rsid w:val="003A2F80"/>
    <w:rsid w:val="003A35FC"/>
    <w:rsid w:val="003B2EFB"/>
    <w:rsid w:val="003C1DF9"/>
    <w:rsid w:val="003C60E5"/>
    <w:rsid w:val="003C6CA5"/>
    <w:rsid w:val="003D14B5"/>
    <w:rsid w:val="00401F41"/>
    <w:rsid w:val="004059C9"/>
    <w:rsid w:val="00417964"/>
    <w:rsid w:val="00420D52"/>
    <w:rsid w:val="004413EF"/>
    <w:rsid w:val="0046017B"/>
    <w:rsid w:val="00460C58"/>
    <w:rsid w:val="0047046A"/>
    <w:rsid w:val="00480B73"/>
    <w:rsid w:val="004955E2"/>
    <w:rsid w:val="004A7A29"/>
    <w:rsid w:val="004B0517"/>
    <w:rsid w:val="004C652C"/>
    <w:rsid w:val="004C6724"/>
    <w:rsid w:val="004E4898"/>
    <w:rsid w:val="004F2167"/>
    <w:rsid w:val="00505473"/>
    <w:rsid w:val="0050593B"/>
    <w:rsid w:val="00505A6A"/>
    <w:rsid w:val="00514EE0"/>
    <w:rsid w:val="00516A71"/>
    <w:rsid w:val="00533D1C"/>
    <w:rsid w:val="005346EF"/>
    <w:rsid w:val="005371DF"/>
    <w:rsid w:val="0054492F"/>
    <w:rsid w:val="00546ABB"/>
    <w:rsid w:val="00547C1B"/>
    <w:rsid w:val="005533B2"/>
    <w:rsid w:val="005628F8"/>
    <w:rsid w:val="005632ED"/>
    <w:rsid w:val="005648FC"/>
    <w:rsid w:val="0056693D"/>
    <w:rsid w:val="00571535"/>
    <w:rsid w:val="0057228F"/>
    <w:rsid w:val="0057466F"/>
    <w:rsid w:val="005772C5"/>
    <w:rsid w:val="005807D2"/>
    <w:rsid w:val="00580BC6"/>
    <w:rsid w:val="00586073"/>
    <w:rsid w:val="00590E03"/>
    <w:rsid w:val="00591936"/>
    <w:rsid w:val="00596B2E"/>
    <w:rsid w:val="005A6982"/>
    <w:rsid w:val="005B2F6F"/>
    <w:rsid w:val="005C7044"/>
    <w:rsid w:val="005D3492"/>
    <w:rsid w:val="005F05AF"/>
    <w:rsid w:val="005F0A9A"/>
    <w:rsid w:val="005F3DA4"/>
    <w:rsid w:val="006002F3"/>
    <w:rsid w:val="00600D6B"/>
    <w:rsid w:val="006040B4"/>
    <w:rsid w:val="0060422D"/>
    <w:rsid w:val="006144F3"/>
    <w:rsid w:val="0062706C"/>
    <w:rsid w:val="00630CAA"/>
    <w:rsid w:val="0063373B"/>
    <w:rsid w:val="00634094"/>
    <w:rsid w:val="00645541"/>
    <w:rsid w:val="0066292C"/>
    <w:rsid w:val="00663328"/>
    <w:rsid w:val="00671FCA"/>
    <w:rsid w:val="00673F83"/>
    <w:rsid w:val="00683925"/>
    <w:rsid w:val="00687DAC"/>
    <w:rsid w:val="00692369"/>
    <w:rsid w:val="006935A1"/>
    <w:rsid w:val="00695747"/>
    <w:rsid w:val="00695C54"/>
    <w:rsid w:val="006C19CD"/>
    <w:rsid w:val="006C39AF"/>
    <w:rsid w:val="006C3B81"/>
    <w:rsid w:val="006C44F5"/>
    <w:rsid w:val="006E26C6"/>
    <w:rsid w:val="006E7748"/>
    <w:rsid w:val="006F7C31"/>
    <w:rsid w:val="00700E35"/>
    <w:rsid w:val="00701E3E"/>
    <w:rsid w:val="00712339"/>
    <w:rsid w:val="00717C70"/>
    <w:rsid w:val="00723E2F"/>
    <w:rsid w:val="00726D6C"/>
    <w:rsid w:val="00731710"/>
    <w:rsid w:val="00731CDE"/>
    <w:rsid w:val="00736189"/>
    <w:rsid w:val="00745C51"/>
    <w:rsid w:val="00745C70"/>
    <w:rsid w:val="007522DF"/>
    <w:rsid w:val="00765614"/>
    <w:rsid w:val="00765683"/>
    <w:rsid w:val="007846BE"/>
    <w:rsid w:val="0079625F"/>
    <w:rsid w:val="00796595"/>
    <w:rsid w:val="007967F3"/>
    <w:rsid w:val="007C18D9"/>
    <w:rsid w:val="007C4EE6"/>
    <w:rsid w:val="007D3E72"/>
    <w:rsid w:val="007D4AFE"/>
    <w:rsid w:val="007D5B03"/>
    <w:rsid w:val="007E0320"/>
    <w:rsid w:val="007E3D0A"/>
    <w:rsid w:val="007F15E2"/>
    <w:rsid w:val="007F7DB2"/>
    <w:rsid w:val="008134B8"/>
    <w:rsid w:val="00826CEA"/>
    <w:rsid w:val="00831314"/>
    <w:rsid w:val="00843ACC"/>
    <w:rsid w:val="008507F5"/>
    <w:rsid w:val="008628E6"/>
    <w:rsid w:val="008641F4"/>
    <w:rsid w:val="0086575B"/>
    <w:rsid w:val="00866DA3"/>
    <w:rsid w:val="0088112B"/>
    <w:rsid w:val="008843C3"/>
    <w:rsid w:val="008A0882"/>
    <w:rsid w:val="008A64AC"/>
    <w:rsid w:val="008B6417"/>
    <w:rsid w:val="008B7A1C"/>
    <w:rsid w:val="008E3AE2"/>
    <w:rsid w:val="00901469"/>
    <w:rsid w:val="009115BD"/>
    <w:rsid w:val="00916EA5"/>
    <w:rsid w:val="00921072"/>
    <w:rsid w:val="00922CBD"/>
    <w:rsid w:val="00925196"/>
    <w:rsid w:val="00936E00"/>
    <w:rsid w:val="0094160E"/>
    <w:rsid w:val="00944641"/>
    <w:rsid w:val="0099077C"/>
    <w:rsid w:val="00992638"/>
    <w:rsid w:val="009964A8"/>
    <w:rsid w:val="009969F6"/>
    <w:rsid w:val="009A3F46"/>
    <w:rsid w:val="009A766A"/>
    <w:rsid w:val="009E5233"/>
    <w:rsid w:val="009E641F"/>
    <w:rsid w:val="009F64D7"/>
    <w:rsid w:val="00A004C7"/>
    <w:rsid w:val="00A0193A"/>
    <w:rsid w:val="00A0458F"/>
    <w:rsid w:val="00A149D2"/>
    <w:rsid w:val="00A22A21"/>
    <w:rsid w:val="00A33EAF"/>
    <w:rsid w:val="00A37606"/>
    <w:rsid w:val="00A45713"/>
    <w:rsid w:val="00A512FD"/>
    <w:rsid w:val="00A572BD"/>
    <w:rsid w:val="00A62740"/>
    <w:rsid w:val="00A646A0"/>
    <w:rsid w:val="00A65F4D"/>
    <w:rsid w:val="00A7425C"/>
    <w:rsid w:val="00A8470F"/>
    <w:rsid w:val="00A85092"/>
    <w:rsid w:val="00A968D8"/>
    <w:rsid w:val="00AA269A"/>
    <w:rsid w:val="00AA6056"/>
    <w:rsid w:val="00AB77CC"/>
    <w:rsid w:val="00AB7BCC"/>
    <w:rsid w:val="00AC3EF5"/>
    <w:rsid w:val="00AC79D4"/>
    <w:rsid w:val="00AE7A4F"/>
    <w:rsid w:val="00AF64DD"/>
    <w:rsid w:val="00AF7835"/>
    <w:rsid w:val="00B00044"/>
    <w:rsid w:val="00B02683"/>
    <w:rsid w:val="00B11A6F"/>
    <w:rsid w:val="00B11DBB"/>
    <w:rsid w:val="00B141B9"/>
    <w:rsid w:val="00B15885"/>
    <w:rsid w:val="00B46960"/>
    <w:rsid w:val="00B55917"/>
    <w:rsid w:val="00B63F85"/>
    <w:rsid w:val="00B751FD"/>
    <w:rsid w:val="00B757D4"/>
    <w:rsid w:val="00B81BDE"/>
    <w:rsid w:val="00B90591"/>
    <w:rsid w:val="00B948A5"/>
    <w:rsid w:val="00B95315"/>
    <w:rsid w:val="00BA35CE"/>
    <w:rsid w:val="00BA3C8A"/>
    <w:rsid w:val="00BA6465"/>
    <w:rsid w:val="00BB538E"/>
    <w:rsid w:val="00BB6BD2"/>
    <w:rsid w:val="00BC589D"/>
    <w:rsid w:val="00BD47EB"/>
    <w:rsid w:val="00BF6736"/>
    <w:rsid w:val="00BF7DEB"/>
    <w:rsid w:val="00C0149E"/>
    <w:rsid w:val="00C060B7"/>
    <w:rsid w:val="00C07B58"/>
    <w:rsid w:val="00C14596"/>
    <w:rsid w:val="00C31E4C"/>
    <w:rsid w:val="00C42068"/>
    <w:rsid w:val="00C42384"/>
    <w:rsid w:val="00C537E8"/>
    <w:rsid w:val="00C53AA1"/>
    <w:rsid w:val="00C638AD"/>
    <w:rsid w:val="00C7427E"/>
    <w:rsid w:val="00C80AE4"/>
    <w:rsid w:val="00C858AF"/>
    <w:rsid w:val="00CA5CFE"/>
    <w:rsid w:val="00CB2D16"/>
    <w:rsid w:val="00CB348B"/>
    <w:rsid w:val="00CC1AF6"/>
    <w:rsid w:val="00CC30A0"/>
    <w:rsid w:val="00CD071D"/>
    <w:rsid w:val="00CE65CA"/>
    <w:rsid w:val="00D061BA"/>
    <w:rsid w:val="00D154D8"/>
    <w:rsid w:val="00D207FB"/>
    <w:rsid w:val="00D21A55"/>
    <w:rsid w:val="00D2278B"/>
    <w:rsid w:val="00D3692F"/>
    <w:rsid w:val="00D463DD"/>
    <w:rsid w:val="00D46813"/>
    <w:rsid w:val="00D56EB4"/>
    <w:rsid w:val="00D56ED3"/>
    <w:rsid w:val="00D614C6"/>
    <w:rsid w:val="00D85075"/>
    <w:rsid w:val="00D971C3"/>
    <w:rsid w:val="00DA3C29"/>
    <w:rsid w:val="00DA5E1B"/>
    <w:rsid w:val="00DB61D5"/>
    <w:rsid w:val="00DB6759"/>
    <w:rsid w:val="00DC387D"/>
    <w:rsid w:val="00DC71B0"/>
    <w:rsid w:val="00DD4104"/>
    <w:rsid w:val="00DD4A21"/>
    <w:rsid w:val="00DE053D"/>
    <w:rsid w:val="00DE40E4"/>
    <w:rsid w:val="00DE61BE"/>
    <w:rsid w:val="00DE69FF"/>
    <w:rsid w:val="00E17611"/>
    <w:rsid w:val="00E3435C"/>
    <w:rsid w:val="00E3653C"/>
    <w:rsid w:val="00E423A1"/>
    <w:rsid w:val="00E54E61"/>
    <w:rsid w:val="00E56EC0"/>
    <w:rsid w:val="00E66493"/>
    <w:rsid w:val="00E709E5"/>
    <w:rsid w:val="00E770AE"/>
    <w:rsid w:val="00E82508"/>
    <w:rsid w:val="00E91A50"/>
    <w:rsid w:val="00E92C66"/>
    <w:rsid w:val="00E97AF1"/>
    <w:rsid w:val="00EB3FA9"/>
    <w:rsid w:val="00EB77D2"/>
    <w:rsid w:val="00EC4F07"/>
    <w:rsid w:val="00EC5164"/>
    <w:rsid w:val="00ED2846"/>
    <w:rsid w:val="00ED29FD"/>
    <w:rsid w:val="00EE182C"/>
    <w:rsid w:val="00EF4FA1"/>
    <w:rsid w:val="00EF7C14"/>
    <w:rsid w:val="00F00BC6"/>
    <w:rsid w:val="00F20D64"/>
    <w:rsid w:val="00F2295C"/>
    <w:rsid w:val="00F24948"/>
    <w:rsid w:val="00F33EF9"/>
    <w:rsid w:val="00F352EB"/>
    <w:rsid w:val="00F352EE"/>
    <w:rsid w:val="00F47836"/>
    <w:rsid w:val="00F51248"/>
    <w:rsid w:val="00F66957"/>
    <w:rsid w:val="00F75FE6"/>
    <w:rsid w:val="00F7748F"/>
    <w:rsid w:val="00F81AFF"/>
    <w:rsid w:val="00F879AD"/>
    <w:rsid w:val="00FA4940"/>
    <w:rsid w:val="00FA79CF"/>
    <w:rsid w:val="00FB325E"/>
    <w:rsid w:val="00FC4980"/>
    <w:rsid w:val="00FD01D2"/>
    <w:rsid w:val="00FE39EA"/>
    <w:rsid w:val="00FE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D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03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3B5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03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2F2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C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C3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35"/>
    <w:rPr>
      <w:rFonts w:ascii="Tahoma" w:hAnsi="Tahoma" w:cs="Tahoma"/>
      <w:sz w:val="16"/>
      <w:szCs w:val="16"/>
      <w:lang w:eastAsia="en-US"/>
    </w:rPr>
  </w:style>
  <w:style w:type="character" w:customStyle="1" w:styleId="EE-paragrChar">
    <w:name w:val="EE-paragr Char"/>
    <w:basedOn w:val="DefaultParagraphFont"/>
    <w:link w:val="EE-paragr"/>
    <w:locked/>
    <w:rsid w:val="00A33EAF"/>
    <w:rPr>
      <w:rFonts w:ascii="Times New Roman" w:hAnsi="Times New Roman"/>
      <w:sz w:val="28"/>
      <w:szCs w:val="28"/>
      <w:lang w:eastAsia="en-US"/>
    </w:rPr>
  </w:style>
  <w:style w:type="paragraph" w:customStyle="1" w:styleId="EE-paragr">
    <w:name w:val="EE-paragr"/>
    <w:basedOn w:val="Normal"/>
    <w:link w:val="EE-paragrChar"/>
    <w:autoRedefine/>
    <w:rsid w:val="00A33EAF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naisf">
    <w:name w:val="naisf"/>
    <w:basedOn w:val="Normal"/>
    <w:rsid w:val="002D6FA9"/>
    <w:pPr>
      <w:spacing w:before="100" w:after="100" w:line="240" w:lineRule="auto"/>
      <w:jc w:val="both"/>
    </w:pPr>
    <w:rPr>
      <w:rFonts w:ascii="Times New Roman" w:eastAsia="Arial Unicode MS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0E360B"/>
    <w:rPr>
      <w:color w:val="AA1317"/>
      <w:u w:val="single"/>
    </w:rPr>
  </w:style>
  <w:style w:type="paragraph" w:customStyle="1" w:styleId="Default">
    <w:name w:val="Default"/>
    <w:rsid w:val="007C1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D46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13"/>
    <w:rPr>
      <w:b/>
      <w:bCs/>
    </w:rPr>
  </w:style>
  <w:style w:type="paragraph" w:styleId="NoSpacing">
    <w:name w:val="No Spacing"/>
    <w:uiPriority w:val="1"/>
    <w:qFormat/>
    <w:rsid w:val="00EC5164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145F1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0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V1-bold">
    <w:name w:val="V1-bold"/>
    <w:basedOn w:val="Normal"/>
    <w:rsid w:val="00026B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5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0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04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36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5728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„Grozījumi darbības programmas „Infrastruktūra un pakalpojumi” papildinājumā” projekta sākotnējās ietekmes novērtējuma ziņojums (anotācija)</vt:lpstr>
    </vt:vector>
  </TitlesOfParts>
  <Company> 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„Grozījumi darbības programmas „Infrastruktūra un pakalpojumi” papildinājumā” projekta sākotnējās ietekmes novērtējuma ziņojums (anotācija)</dc:title>
  <dc:subject>Anotācija</dc:subject>
  <dc:creator>J.Sviridenkova</dc:creator>
  <cp:keywords/>
  <dc:description>jevgenija.sviridenkova@izm.gov.lv, 67047975</dc:description>
  <cp:lastModifiedBy>jsviridenkova</cp:lastModifiedBy>
  <cp:revision>26</cp:revision>
  <cp:lastPrinted>2010-02-09T11:28:00Z</cp:lastPrinted>
  <dcterms:created xsi:type="dcterms:W3CDTF">2011-10-10T12:41:00Z</dcterms:created>
  <dcterms:modified xsi:type="dcterms:W3CDTF">2011-11-17T12:09:00Z</dcterms:modified>
  <cp:category>IZM</cp:category>
</cp:coreProperties>
</file>