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7D" w:rsidRPr="009E43F0" w:rsidRDefault="00475B7D" w:rsidP="00FF0A26">
      <w:pPr>
        <w:jc w:val="center"/>
        <w:rPr>
          <w:b/>
          <w:bCs/>
          <w:noProof/>
          <w:sz w:val="27"/>
          <w:szCs w:val="27"/>
        </w:rPr>
      </w:pPr>
      <w:bookmarkStart w:id="0" w:name="OLE_LINK3"/>
      <w:bookmarkStart w:id="1" w:name="OLE_LINK4"/>
      <w:bookmarkStart w:id="2" w:name="OLE_LINK20"/>
      <w:bookmarkStart w:id="3" w:name="OLE_LINK21"/>
      <w:bookmarkStart w:id="4" w:name="OLE_LINK32"/>
      <w:bookmarkStart w:id="5" w:name="OLE_LINK46"/>
      <w:r w:rsidRPr="009E43F0">
        <w:rPr>
          <w:b/>
          <w:bCs/>
          <w:noProof/>
          <w:sz w:val="27"/>
          <w:szCs w:val="27"/>
        </w:rPr>
        <w:t>Ministru kabineta noteikumu projekta</w:t>
      </w:r>
    </w:p>
    <w:p w:rsidR="00475B7D" w:rsidRPr="009E43F0" w:rsidRDefault="00475B7D" w:rsidP="00FF0A26">
      <w:pPr>
        <w:jc w:val="center"/>
        <w:rPr>
          <w:b/>
          <w:bCs/>
          <w:noProof/>
          <w:sz w:val="27"/>
          <w:szCs w:val="27"/>
        </w:rPr>
      </w:pPr>
      <w:r w:rsidRPr="009E43F0">
        <w:rPr>
          <w:b/>
          <w:bCs/>
          <w:noProof/>
          <w:sz w:val="27"/>
          <w:szCs w:val="27"/>
        </w:rPr>
        <w:t>„</w:t>
      </w:r>
      <w:bookmarkStart w:id="6" w:name="OLE_LINK6"/>
      <w:bookmarkStart w:id="7" w:name="OLE_LINK5"/>
      <w:r w:rsidR="00DC2A68" w:rsidRPr="009E43F0">
        <w:rPr>
          <w:b/>
          <w:bCs/>
          <w:noProof/>
          <w:sz w:val="27"/>
          <w:szCs w:val="27"/>
        </w:rPr>
        <w:fldChar w:fldCharType="begin"/>
      </w:r>
      <w:r w:rsidRPr="009E43F0">
        <w:rPr>
          <w:b/>
          <w:bCs/>
          <w:noProof/>
          <w:sz w:val="27"/>
          <w:szCs w:val="27"/>
        </w:rPr>
        <w:instrText xml:space="preserve"> TITLE  </w:instrText>
      </w:r>
      <w:r w:rsidR="00DC2A68" w:rsidRPr="009E43F0">
        <w:rPr>
          <w:b/>
          <w:bCs/>
          <w:noProof/>
          <w:sz w:val="27"/>
          <w:szCs w:val="27"/>
        </w:rPr>
        <w:fldChar w:fldCharType="separate"/>
      </w:r>
      <w:r w:rsidRPr="009E43F0">
        <w:rPr>
          <w:b/>
          <w:bCs/>
          <w:noProof/>
          <w:sz w:val="27"/>
          <w:szCs w:val="27"/>
        </w:rPr>
        <w:t xml:space="preserve">Noteikumi par darbības programmas „Infrastruktūra un pakalpojumi” papildinājuma 3.1.1.1.aktivitātes „Mācību aprīkojuma modernizācija un infrastruktūras uzlabošana profesionālās izglītības programmu īstenošanai” </w:t>
      </w:r>
      <w:r w:rsidR="00DC2A68" w:rsidRPr="009E43F0">
        <w:rPr>
          <w:b/>
          <w:bCs/>
          <w:noProof/>
          <w:sz w:val="27"/>
          <w:szCs w:val="27"/>
        </w:rPr>
        <w:fldChar w:fldCharType="end"/>
      </w:r>
      <w:bookmarkEnd w:id="6"/>
      <w:bookmarkEnd w:id="7"/>
      <w:r w:rsidRPr="009E43F0">
        <w:rPr>
          <w:b/>
          <w:bCs/>
          <w:noProof/>
          <w:sz w:val="27"/>
          <w:szCs w:val="27"/>
        </w:rPr>
        <w:t xml:space="preserve"> otrās projektu iesniegumu atlases kārtas īstenošanu” sākotnējās ietekmes novērtējuma ziņojums (anotācija</w:t>
      </w:r>
      <w:bookmarkEnd w:id="0"/>
      <w:bookmarkEnd w:id="1"/>
      <w:r w:rsidRPr="009E43F0">
        <w:rPr>
          <w:b/>
          <w:bCs/>
          <w:noProof/>
          <w:sz w:val="27"/>
          <w:szCs w:val="27"/>
        </w:rPr>
        <w:t>)</w:t>
      </w:r>
    </w:p>
    <w:bookmarkEnd w:id="2"/>
    <w:bookmarkEnd w:id="3"/>
    <w:bookmarkEnd w:id="4"/>
    <w:bookmarkEnd w:id="5"/>
    <w:p w:rsidR="00475B7D" w:rsidRPr="009E43F0" w:rsidRDefault="00475B7D" w:rsidP="00FF0A26">
      <w:pPr>
        <w:jc w:val="center"/>
        <w:rPr>
          <w:b/>
          <w:bCs/>
          <w:noProof/>
          <w:sz w:val="27"/>
          <w:szCs w:val="27"/>
        </w:rPr>
      </w:pPr>
    </w:p>
    <w:tbl>
      <w:tblPr>
        <w:tblW w:w="4934" w:type="pct"/>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25"/>
        <w:gridCol w:w="2283"/>
        <w:gridCol w:w="6302"/>
      </w:tblGrid>
      <w:tr w:rsidR="00475B7D" w:rsidRPr="009E43F0">
        <w:tc>
          <w:tcPr>
            <w:tcW w:w="5000" w:type="pct"/>
            <w:gridSpan w:val="3"/>
            <w:tcBorders>
              <w:top w:val="single" w:sz="6" w:space="0" w:color="auto"/>
              <w:left w:val="single" w:sz="6" w:space="0" w:color="auto"/>
              <w:bottom w:val="outset" w:sz="6" w:space="0" w:color="000000"/>
              <w:right w:val="single" w:sz="6" w:space="0" w:color="auto"/>
            </w:tcBorders>
            <w:vAlign w:val="center"/>
          </w:tcPr>
          <w:p w:rsidR="00475B7D" w:rsidRPr="009E43F0" w:rsidRDefault="00475B7D" w:rsidP="00FF0A26">
            <w:pPr>
              <w:jc w:val="center"/>
              <w:rPr>
                <w:b/>
                <w:bCs/>
                <w:noProof/>
                <w:sz w:val="27"/>
                <w:szCs w:val="27"/>
              </w:rPr>
            </w:pPr>
            <w:r w:rsidRPr="009E43F0">
              <w:rPr>
                <w:b/>
                <w:bCs/>
                <w:noProof/>
                <w:sz w:val="27"/>
                <w:szCs w:val="27"/>
              </w:rPr>
              <w:t>I. Tiesību akta projekta izstrādes nepieciešamība</w:t>
            </w:r>
          </w:p>
        </w:tc>
      </w:tr>
      <w:tr w:rsidR="00475B7D" w:rsidRPr="009B4E9B">
        <w:trPr>
          <w:trHeight w:val="479"/>
        </w:trPr>
        <w:tc>
          <w:tcPr>
            <w:tcW w:w="236" w:type="pct"/>
            <w:tcBorders>
              <w:top w:val="outset" w:sz="6" w:space="0" w:color="000000"/>
              <w:bottom w:val="outset" w:sz="6" w:space="0" w:color="000000"/>
              <w:right w:val="outset" w:sz="6" w:space="0" w:color="000000"/>
            </w:tcBorders>
          </w:tcPr>
          <w:p w:rsidR="00475B7D" w:rsidRPr="009B4E9B" w:rsidRDefault="00475B7D" w:rsidP="00FF0A26">
            <w:pPr>
              <w:rPr>
                <w:noProof/>
                <w:sz w:val="27"/>
                <w:szCs w:val="27"/>
              </w:rPr>
            </w:pPr>
            <w:r w:rsidRPr="009B4E9B">
              <w:rPr>
                <w:noProof/>
                <w:sz w:val="27"/>
                <w:szCs w:val="27"/>
              </w:rPr>
              <w:t>1.</w:t>
            </w:r>
          </w:p>
        </w:tc>
        <w:tc>
          <w:tcPr>
            <w:tcW w:w="1267" w:type="pct"/>
            <w:tcBorders>
              <w:top w:val="outset" w:sz="6" w:space="0" w:color="000000"/>
              <w:left w:val="outset" w:sz="6" w:space="0" w:color="000000"/>
              <w:bottom w:val="outset" w:sz="6" w:space="0" w:color="000000"/>
              <w:right w:val="outset" w:sz="6" w:space="0" w:color="000000"/>
            </w:tcBorders>
          </w:tcPr>
          <w:p w:rsidR="00475B7D" w:rsidRPr="009B4E9B" w:rsidRDefault="00475B7D" w:rsidP="00FF0A26">
            <w:pPr>
              <w:rPr>
                <w:noProof/>
                <w:sz w:val="27"/>
                <w:szCs w:val="27"/>
              </w:rPr>
            </w:pPr>
            <w:r w:rsidRPr="009B4E9B">
              <w:rPr>
                <w:noProof/>
                <w:sz w:val="27"/>
                <w:szCs w:val="27"/>
              </w:rPr>
              <w:t>Pamatojums</w:t>
            </w:r>
          </w:p>
        </w:tc>
        <w:tc>
          <w:tcPr>
            <w:tcW w:w="3497" w:type="pct"/>
            <w:tcBorders>
              <w:top w:val="outset" w:sz="6" w:space="0" w:color="000000"/>
              <w:left w:val="outset" w:sz="6" w:space="0" w:color="000000"/>
              <w:bottom w:val="outset" w:sz="6" w:space="0" w:color="000000"/>
            </w:tcBorders>
          </w:tcPr>
          <w:p w:rsidR="00475B7D" w:rsidRPr="009B4E9B" w:rsidRDefault="00475B7D" w:rsidP="00FF0A26">
            <w:pPr>
              <w:ind w:left="97" w:right="198"/>
              <w:jc w:val="both"/>
              <w:rPr>
                <w:noProof/>
                <w:sz w:val="27"/>
                <w:szCs w:val="27"/>
              </w:rPr>
            </w:pPr>
            <w:r w:rsidRPr="009B4E9B">
              <w:rPr>
                <w:noProof/>
                <w:sz w:val="27"/>
                <w:szCs w:val="27"/>
              </w:rPr>
              <w:t>1) Ministru kabineta noteikumu projekts „</w:t>
            </w:r>
            <w:r w:rsidR="00DC2A68" w:rsidRPr="009B4E9B">
              <w:rPr>
                <w:noProof/>
                <w:sz w:val="27"/>
                <w:szCs w:val="27"/>
              </w:rPr>
              <w:fldChar w:fldCharType="begin"/>
            </w:r>
            <w:r w:rsidRPr="009B4E9B">
              <w:rPr>
                <w:noProof/>
                <w:sz w:val="27"/>
                <w:szCs w:val="27"/>
              </w:rPr>
              <w:instrText xml:space="preserve"> TITLE  </w:instrText>
            </w:r>
            <w:r w:rsidR="00DC2A68" w:rsidRPr="009B4E9B">
              <w:rPr>
                <w:noProof/>
                <w:sz w:val="27"/>
                <w:szCs w:val="27"/>
              </w:rPr>
              <w:fldChar w:fldCharType="separate"/>
            </w:r>
            <w:r w:rsidRPr="009B4E9B">
              <w:rPr>
                <w:noProof/>
                <w:sz w:val="27"/>
                <w:szCs w:val="27"/>
              </w:rPr>
              <w:t xml:space="preserve">Noteikumi par darbības programmas „Infrastruktūra un pakalpojumi” papildinājuma 3.1.1.1.aktivitātes „Mācību aprīkojuma modernizācija un infrastruktūras uzlabošana profesionālās izglītības programmu īstenošanai” </w:t>
            </w:r>
            <w:r w:rsidR="00DC2A68" w:rsidRPr="009B4E9B">
              <w:rPr>
                <w:noProof/>
                <w:sz w:val="27"/>
                <w:szCs w:val="27"/>
              </w:rPr>
              <w:fldChar w:fldCharType="end"/>
            </w:r>
            <w:r w:rsidRPr="009B4E9B">
              <w:rPr>
                <w:noProof/>
                <w:sz w:val="27"/>
                <w:szCs w:val="27"/>
              </w:rPr>
              <w:t>otrās projektu iesniegumu atlases kārtas īstenošanu” (turpmāk – noteikumu projekts) izstrādāts, lai izpildītu Ministru kabineta 2012.gada 13.marta sēdes protokollēmuma (prot. Nr.14 32.§) „Informatīvais ziņojums „Par Darbības programmas „Infrastruktūra un pakalpojumi” papildinājuma 3.1.1.1.aktivitātes „Mācību aprīkojuma modernizācija un infrastruktūras uzlabošana profesionālās izglītības programmu īstenošanai” ieviešanu”” (turpmāk – informatīvais ziņojums) 7.2.</w:t>
            </w:r>
            <w:r w:rsidR="00BD09DC" w:rsidRPr="009B4E9B">
              <w:rPr>
                <w:noProof/>
                <w:sz w:val="27"/>
                <w:szCs w:val="27"/>
              </w:rPr>
              <w:t xml:space="preserve">apakšpunktā noteikto, ka </w:t>
            </w:r>
            <w:r w:rsidR="005F2D62" w:rsidRPr="009B4E9B">
              <w:rPr>
                <w:noProof/>
                <w:sz w:val="27"/>
                <w:szCs w:val="27"/>
              </w:rPr>
              <w:t>darbības programmas „Infrastruktūra un pakalpojumi” papildinājuma 3.1.1.1.aktivitātes „Mācību aprīkojuma modernizācija un infrastruktūras uzlabošana profesionālās izglītības programmu īstenošanai”  otrās projektu iesniegumu atlases kārtas (turpmāk – 3.1.1.1.aktivitātes otrā</w:t>
            </w:r>
            <w:r w:rsidR="00BD09DC" w:rsidRPr="009B4E9B">
              <w:rPr>
                <w:noProof/>
                <w:sz w:val="27"/>
                <w:szCs w:val="27"/>
              </w:rPr>
              <w:t xml:space="preserve"> </w:t>
            </w:r>
            <w:r w:rsidR="00E930F7" w:rsidRPr="009B4E9B">
              <w:rPr>
                <w:noProof/>
                <w:sz w:val="27"/>
                <w:szCs w:val="27"/>
              </w:rPr>
              <w:t xml:space="preserve">projektu iesniegumu </w:t>
            </w:r>
            <w:r w:rsidR="00BD09DC" w:rsidRPr="009B4E9B">
              <w:rPr>
                <w:noProof/>
                <w:sz w:val="27"/>
                <w:szCs w:val="27"/>
              </w:rPr>
              <w:t>atlases kārta</w:t>
            </w:r>
            <w:r w:rsidR="005F2D62" w:rsidRPr="009B4E9B">
              <w:rPr>
                <w:noProof/>
                <w:sz w:val="27"/>
                <w:szCs w:val="27"/>
              </w:rPr>
              <w:t xml:space="preserve">) </w:t>
            </w:r>
            <w:r w:rsidR="00BD09DC" w:rsidRPr="009B4E9B">
              <w:rPr>
                <w:noProof/>
                <w:sz w:val="27"/>
                <w:szCs w:val="27"/>
              </w:rPr>
              <w:t xml:space="preserve">īstenošana jāplāno ierobežotas projektu iesniegumu atlases veidā, uzaicinot projektus iesniegt tās profesionālās izglītības iestādes, kas atbilstoši "Profesionālās izglītības iestāžu tīkla optimizācijas pamatnostādnēm 2010. – 2015.gadam" kvalificējas dalībai 3.1.1.1.aktivitātes otrajā </w:t>
            </w:r>
            <w:r w:rsidR="00E930F7" w:rsidRPr="009B4E9B">
              <w:rPr>
                <w:noProof/>
                <w:sz w:val="27"/>
                <w:szCs w:val="27"/>
              </w:rPr>
              <w:t xml:space="preserve">projektu iesniegumu </w:t>
            </w:r>
            <w:r w:rsidR="00BD09DC" w:rsidRPr="009B4E9B">
              <w:rPr>
                <w:noProof/>
                <w:sz w:val="27"/>
                <w:szCs w:val="27"/>
              </w:rPr>
              <w:t xml:space="preserve">atlases kārtā, un 7.3.apakšpunktā </w:t>
            </w:r>
            <w:r w:rsidR="000B3967" w:rsidRPr="009B4E9B">
              <w:rPr>
                <w:noProof/>
                <w:sz w:val="27"/>
                <w:szCs w:val="27"/>
              </w:rPr>
              <w:t>noteikto „ne vēlāk kā divu mēnešu laikā pēc šī protokollēmuma 7.</w:t>
            </w:r>
            <w:r w:rsidR="008D2A2C" w:rsidRPr="009B4E9B">
              <w:rPr>
                <w:noProof/>
                <w:sz w:val="27"/>
                <w:szCs w:val="27"/>
              </w:rPr>
              <w:t>1.apakšpunktā minēto grozījumu „</w:t>
            </w:r>
            <w:r w:rsidR="000B3967" w:rsidRPr="009B4E9B">
              <w:rPr>
                <w:noProof/>
                <w:sz w:val="27"/>
                <w:szCs w:val="27"/>
              </w:rPr>
              <w:t>Profesionālās izglītības iestāžu tīkla optimizācijas pa</w:t>
            </w:r>
            <w:r w:rsidR="008D2A2C" w:rsidRPr="009B4E9B">
              <w:rPr>
                <w:noProof/>
                <w:sz w:val="27"/>
                <w:szCs w:val="27"/>
              </w:rPr>
              <w:t>matnostādnēs 2010. – 2015.gadam”</w:t>
            </w:r>
            <w:r w:rsidR="000B3967" w:rsidRPr="009B4E9B">
              <w:rPr>
                <w:noProof/>
                <w:sz w:val="27"/>
                <w:szCs w:val="27"/>
              </w:rPr>
              <w:t xml:space="preserve"> spēkā stāšanās izstrādāt 3.1.1.1.aktivitātes otrās projektu iesniegumu atlases kārtas projektu iesniegumu vērtēšanas kritērijus, virzot tos izskatīšanai un apstiprināšanai Eiropas Savienības struktūrfondu un Kohēzijas fonda uzraudzības komitejā, un Ministru kabineta noteikumu projektu par </w:t>
            </w:r>
            <w:r w:rsidR="000B3967" w:rsidRPr="009B4E9B">
              <w:rPr>
                <w:noProof/>
                <w:sz w:val="27"/>
                <w:szCs w:val="27"/>
              </w:rPr>
              <w:lastRenderedPageBreak/>
              <w:t>3.1.1.1.aktivitātes otrās atlases kārtas īstenošanu un iesniegt to Valsts kancelejā izskatīšanai Ministru kabinetā”.</w:t>
            </w:r>
          </w:p>
          <w:p w:rsidR="00475B7D" w:rsidRPr="009B4E9B" w:rsidRDefault="000B3967" w:rsidP="00FF0A26">
            <w:pPr>
              <w:ind w:left="97" w:right="198"/>
              <w:jc w:val="both"/>
              <w:rPr>
                <w:noProof/>
                <w:sz w:val="27"/>
                <w:szCs w:val="27"/>
              </w:rPr>
            </w:pPr>
            <w:r w:rsidRPr="009B4E9B">
              <w:rPr>
                <w:noProof/>
                <w:sz w:val="27"/>
                <w:szCs w:val="27"/>
              </w:rPr>
              <w:t>2) Izglītības un zinātnes ministrija ir izpildījusi protokollēmuma 7.1.apakšpunktā uzdoto –</w:t>
            </w:r>
            <w:r w:rsidR="00CB2C26" w:rsidRPr="009B4E9B">
              <w:rPr>
                <w:noProof/>
                <w:sz w:val="27"/>
                <w:szCs w:val="27"/>
              </w:rPr>
              <w:t xml:space="preserve"> </w:t>
            </w:r>
            <w:r w:rsidRPr="009B4E9B">
              <w:rPr>
                <w:noProof/>
                <w:sz w:val="27"/>
                <w:szCs w:val="27"/>
              </w:rPr>
              <w:t>2012.gada 25.jūnijā ir stājies spēkā Ministru kabineta rīkojums Nr. 276 „Grozījumi Profesionālās izglītības iestāžu tīkla optimizācijas p</w:t>
            </w:r>
            <w:r w:rsidR="00B34A9A" w:rsidRPr="009B4E9B">
              <w:rPr>
                <w:noProof/>
                <w:sz w:val="27"/>
                <w:szCs w:val="27"/>
              </w:rPr>
              <w:t>amatnostādnēs 2010.–2015.gadam”, kā arī protokollēmuma 7.3.apakšpunktā uzdoto – Eiropas Savienības struktūrfondu un Kohēzijas fonda uzraudzības komitej</w:t>
            </w:r>
            <w:r w:rsidR="00B57E77" w:rsidRPr="009B4E9B">
              <w:rPr>
                <w:noProof/>
                <w:sz w:val="27"/>
                <w:szCs w:val="27"/>
              </w:rPr>
              <w:t>a</w:t>
            </w:r>
            <w:r w:rsidR="009572F6" w:rsidRPr="009B4E9B">
              <w:rPr>
                <w:noProof/>
                <w:sz w:val="27"/>
                <w:szCs w:val="27"/>
              </w:rPr>
              <w:t xml:space="preserve"> 2012.gada 31.maijā </w:t>
            </w:r>
            <w:r w:rsidR="00B34A9A" w:rsidRPr="009B4E9B">
              <w:rPr>
                <w:noProof/>
                <w:sz w:val="27"/>
                <w:szCs w:val="27"/>
              </w:rPr>
              <w:t>apstiprinā</w:t>
            </w:r>
            <w:r w:rsidR="00B57E77" w:rsidRPr="009B4E9B">
              <w:rPr>
                <w:noProof/>
                <w:sz w:val="27"/>
                <w:szCs w:val="27"/>
              </w:rPr>
              <w:t>ja</w:t>
            </w:r>
            <w:r w:rsidR="00B34A9A" w:rsidRPr="009B4E9B">
              <w:rPr>
                <w:noProof/>
                <w:sz w:val="27"/>
                <w:szCs w:val="27"/>
              </w:rPr>
              <w:t xml:space="preserve"> 3.1.1.1.aktivitātes otrās </w:t>
            </w:r>
            <w:r w:rsidR="00E930F7" w:rsidRPr="009B4E9B">
              <w:rPr>
                <w:noProof/>
                <w:sz w:val="27"/>
                <w:szCs w:val="27"/>
              </w:rPr>
              <w:t xml:space="preserve">projektu iesniegumu </w:t>
            </w:r>
            <w:r w:rsidR="00B34A9A" w:rsidRPr="009B4E9B">
              <w:rPr>
                <w:noProof/>
                <w:sz w:val="27"/>
                <w:szCs w:val="27"/>
              </w:rPr>
              <w:t>atlases kārtas projektu iesniegumu vērtēšanas kritērij</w:t>
            </w:r>
            <w:r w:rsidR="00B57E77" w:rsidRPr="009B4E9B">
              <w:rPr>
                <w:noProof/>
                <w:sz w:val="27"/>
                <w:szCs w:val="27"/>
              </w:rPr>
              <w:t>us</w:t>
            </w:r>
            <w:r w:rsidR="00B34A9A" w:rsidRPr="009B4E9B">
              <w:rPr>
                <w:noProof/>
                <w:sz w:val="27"/>
                <w:szCs w:val="27"/>
              </w:rPr>
              <w:t>.</w:t>
            </w:r>
          </w:p>
          <w:p w:rsidR="00A11FF8" w:rsidRPr="004D5BCC" w:rsidRDefault="00406088" w:rsidP="004D5BCC">
            <w:pPr>
              <w:autoSpaceDE w:val="0"/>
              <w:autoSpaceDN w:val="0"/>
              <w:adjustRightInd w:val="0"/>
              <w:jc w:val="both"/>
              <w:rPr>
                <w:rFonts w:ascii="Arial" w:hAnsi="Arial" w:cs="Arial"/>
                <w:color w:val="000000"/>
                <w:lang w:eastAsia="zh-CN"/>
              </w:rPr>
            </w:pPr>
            <w:r w:rsidRPr="009B4E9B">
              <w:rPr>
                <w:noProof/>
                <w:sz w:val="27"/>
                <w:szCs w:val="27"/>
              </w:rPr>
              <w:t>Izstrādājot noteikumu projektu par 3.1.1.1.aktivitātes otrā</w:t>
            </w:r>
            <w:r w:rsidR="00B816E7" w:rsidRPr="009B4E9B">
              <w:rPr>
                <w:noProof/>
                <w:sz w:val="27"/>
                <w:szCs w:val="27"/>
              </w:rPr>
              <w:t>s</w:t>
            </w:r>
            <w:r w:rsidRPr="009B4E9B">
              <w:rPr>
                <w:noProof/>
                <w:sz w:val="27"/>
                <w:szCs w:val="27"/>
              </w:rPr>
              <w:t xml:space="preserve"> projektu iesniegumu atlases kārtas īstenošanu, ir ņemts vērā M</w:t>
            </w:r>
            <w:r w:rsidR="009816FA" w:rsidRPr="009B4E9B">
              <w:rPr>
                <w:noProof/>
                <w:sz w:val="27"/>
                <w:szCs w:val="27"/>
              </w:rPr>
              <w:t xml:space="preserve">inistru kabineta </w:t>
            </w:r>
            <w:r w:rsidR="009816FA" w:rsidRPr="004D5BCC">
              <w:rPr>
                <w:noProof/>
                <w:sz w:val="27"/>
                <w:szCs w:val="27"/>
              </w:rPr>
              <w:t xml:space="preserve">2012.gada </w:t>
            </w:r>
            <w:r w:rsidR="00522658" w:rsidRPr="004D5BCC">
              <w:rPr>
                <w:noProof/>
                <w:sz w:val="27"/>
                <w:szCs w:val="27"/>
              </w:rPr>
              <w:t>4.decembra</w:t>
            </w:r>
            <w:r w:rsidR="009816FA" w:rsidRPr="004D5BCC">
              <w:rPr>
                <w:noProof/>
                <w:sz w:val="27"/>
                <w:szCs w:val="27"/>
              </w:rPr>
              <w:t xml:space="preserve"> </w:t>
            </w:r>
            <w:r w:rsidR="00522658" w:rsidRPr="004D5BCC">
              <w:rPr>
                <w:noProof/>
                <w:sz w:val="27"/>
                <w:szCs w:val="27"/>
              </w:rPr>
              <w:t>sēdes protokollēmuma (prot. Nr.6</w:t>
            </w:r>
            <w:r w:rsidR="009816FA" w:rsidRPr="004D5BCC">
              <w:rPr>
                <w:noProof/>
                <w:sz w:val="27"/>
                <w:szCs w:val="27"/>
              </w:rPr>
              <w:t>8 </w:t>
            </w:r>
            <w:r w:rsidR="00522658" w:rsidRPr="004D5BCC">
              <w:rPr>
                <w:noProof/>
                <w:sz w:val="27"/>
                <w:szCs w:val="27"/>
              </w:rPr>
              <w:t>34.§) 2.</w:t>
            </w:r>
            <w:r w:rsidRPr="004D5BCC">
              <w:rPr>
                <w:noProof/>
                <w:sz w:val="27"/>
                <w:szCs w:val="27"/>
              </w:rPr>
              <w:t>punkts</w:t>
            </w:r>
            <w:r w:rsidR="009816FA" w:rsidRPr="004D5BCC">
              <w:rPr>
                <w:noProof/>
                <w:sz w:val="27"/>
                <w:szCs w:val="27"/>
              </w:rPr>
              <w:t>,</w:t>
            </w:r>
            <w:r w:rsidR="009816FA" w:rsidRPr="009B4E9B">
              <w:rPr>
                <w:noProof/>
                <w:sz w:val="27"/>
                <w:szCs w:val="27"/>
              </w:rPr>
              <w:t xml:space="preserve"> kas nosaka maksimālo virssaistību finansējumu </w:t>
            </w:r>
            <w:r w:rsidR="00E930F7" w:rsidRPr="009B4E9B">
              <w:rPr>
                <w:noProof/>
                <w:sz w:val="27"/>
                <w:szCs w:val="27"/>
              </w:rPr>
              <w:t>3.1.1.1.aktivitātes otr</w:t>
            </w:r>
            <w:r w:rsidRPr="009B4E9B">
              <w:rPr>
                <w:noProof/>
                <w:sz w:val="27"/>
                <w:szCs w:val="27"/>
              </w:rPr>
              <w:t>ajai</w:t>
            </w:r>
            <w:r w:rsidR="00E930F7" w:rsidRPr="009B4E9B">
              <w:rPr>
                <w:noProof/>
                <w:sz w:val="27"/>
                <w:szCs w:val="27"/>
              </w:rPr>
              <w:t xml:space="preserve"> projektu iesniegumu atlases kārtai</w:t>
            </w:r>
            <w:r w:rsidR="003D3E8A" w:rsidRPr="009B4E9B">
              <w:rPr>
                <w:noProof/>
                <w:sz w:val="27"/>
                <w:szCs w:val="27"/>
              </w:rPr>
              <w:t xml:space="preserve"> ne vairāk kā 43 509 857 </w:t>
            </w:r>
            <w:r w:rsidR="009816FA" w:rsidRPr="009B4E9B">
              <w:rPr>
                <w:noProof/>
                <w:sz w:val="27"/>
                <w:szCs w:val="27"/>
              </w:rPr>
              <w:t>latu apmērā</w:t>
            </w:r>
            <w:r w:rsidR="00A11FF8">
              <w:rPr>
                <w:noProof/>
                <w:sz w:val="27"/>
                <w:szCs w:val="27"/>
              </w:rPr>
              <w:t xml:space="preserve">. </w:t>
            </w:r>
            <w:r w:rsidR="00A11FF8" w:rsidRPr="004D5BCC">
              <w:rPr>
                <w:noProof/>
                <w:sz w:val="27"/>
                <w:szCs w:val="27"/>
              </w:rPr>
              <w:t>Pieejamais finansējums nav pietiekams, lai atbilstoši projektu iesniegumu vērtēšanas kritērijos noteiktajam nodrošinātu profesionālās izglītības iestāžu pilnīgu infrastruktūras sakārtošanu un aprīkošanu. Tāpēc Izglītības un zinātnes ministrija ir izvērtējusi ar Ministru kabineta 2012.gada 4.decembra sēdes protokollēmumu (prot. Nr.68 34.§) apstiprināto Izglītības un zinātnes ministrijai pieejamo kopējo virssaistību apmēru un  virssaistību dalījumu pa aktivitātēm.  I</w:t>
            </w:r>
            <w:r w:rsidR="00DE0C0B" w:rsidRPr="004D5BCC">
              <w:rPr>
                <w:noProof/>
                <w:sz w:val="27"/>
                <w:szCs w:val="27"/>
              </w:rPr>
              <w:t>evērojot, ka 3.1.1.1.aktivitāte</w:t>
            </w:r>
            <w:r w:rsidR="00A11FF8" w:rsidRPr="004D5BCC">
              <w:rPr>
                <w:noProof/>
                <w:sz w:val="27"/>
                <w:szCs w:val="27"/>
              </w:rPr>
              <w:t xml:space="preserve"> tāpat kā darbības programmas „Cilvēkresursi un nodarbinātība” papildinājuma 1.2.2.2.1.apakšaktivitāte „Profesionālās orientācijas un karjeras izglītības attīstība izglītības sistēmā” (turpmāk – 1.2.2.2.1.apakšaktivitāte) ir</w:t>
            </w:r>
            <w:r w:rsidR="00DE0C0B" w:rsidRPr="004D5BCC">
              <w:rPr>
                <w:noProof/>
                <w:sz w:val="27"/>
                <w:szCs w:val="27"/>
              </w:rPr>
              <w:t xml:space="preserve"> arī</w:t>
            </w:r>
            <w:r w:rsidR="00A11FF8" w:rsidRPr="004D5BCC">
              <w:rPr>
                <w:noProof/>
                <w:sz w:val="27"/>
                <w:szCs w:val="27"/>
              </w:rPr>
              <w:t xml:space="preserve"> vērsta uz jauniešu bezdarba problēmu risināšanu</w:t>
            </w:r>
            <w:r w:rsidR="004D5BCC" w:rsidRPr="004D5BCC">
              <w:rPr>
                <w:noProof/>
                <w:sz w:val="27"/>
                <w:szCs w:val="27"/>
              </w:rPr>
              <w:t xml:space="preserve"> </w:t>
            </w:r>
            <w:r w:rsidR="004D5BCC" w:rsidRPr="004D5BCC">
              <w:rPr>
                <w:color w:val="000000"/>
                <w:sz w:val="27"/>
                <w:szCs w:val="27"/>
                <w:lang w:eastAsia="zh-CN"/>
              </w:rPr>
              <w:t>(ja tiek sakārtota profesionālās izglītības iestādes infrastruktūra, ir pieejama moderna mācību bāze, profesionālās izglītības iestāde ir pievilcīga potenciālajiem audzēkņiem kā mācību vieta, bet absolventu potenciālajiem darba devējiem tā ir  kvalitatīvas izglītības iegūšanas vieta, kuras absolventi ir atbilstoši darba tirgus vajadzībām)</w:t>
            </w:r>
            <w:r w:rsidR="00A11FF8" w:rsidRPr="004D5BCC">
              <w:rPr>
                <w:noProof/>
                <w:sz w:val="27"/>
                <w:szCs w:val="27"/>
              </w:rPr>
              <w:t>, Izglītības un zinātnes ministrija ir secinājusi, ka</w:t>
            </w:r>
            <w:r w:rsidR="00DE0C0B" w:rsidRPr="004D5BCC">
              <w:rPr>
                <w:noProof/>
                <w:sz w:val="27"/>
                <w:szCs w:val="27"/>
              </w:rPr>
              <w:t>,</w:t>
            </w:r>
            <w:r w:rsidR="00A11FF8" w:rsidRPr="004D5BCC">
              <w:rPr>
                <w:noProof/>
                <w:sz w:val="27"/>
                <w:szCs w:val="27"/>
              </w:rPr>
              <w:t xml:space="preserve"> ņemot vērā 1.2.2.2.1.apakšaktivitātes šī brīža ieviešanas gatavību, ir iespējams pārstrukturizēt šajā apakšaktivitātē plānotās</w:t>
            </w:r>
            <w:r w:rsidR="00A11FF8" w:rsidRPr="004D5BCC">
              <w:rPr>
                <w:b/>
                <w:noProof/>
                <w:sz w:val="27"/>
                <w:szCs w:val="27"/>
              </w:rPr>
              <w:t xml:space="preserve"> </w:t>
            </w:r>
            <w:r w:rsidR="00A11FF8" w:rsidRPr="004D5BCC">
              <w:rPr>
                <w:noProof/>
                <w:sz w:val="27"/>
                <w:szCs w:val="27"/>
              </w:rPr>
              <w:t xml:space="preserve">darbības tā, lai apakšaktivitātē izvirzītos mērķus </w:t>
            </w:r>
            <w:r w:rsidR="00A11FF8" w:rsidRPr="004D5BCC">
              <w:rPr>
                <w:noProof/>
                <w:sz w:val="27"/>
                <w:szCs w:val="27"/>
              </w:rPr>
              <w:lastRenderedPageBreak/>
              <w:t xml:space="preserve">sasniegtu ar mazāku finansiālo ieguldījumu un radušos ietaupījumu novirzītu 3.1.1.1.aktivitātes otrās projektu iesniegumu atlases kārtas īstenošanai. Tādejādi 3.1.1.1. aktivitātes otrās projektu iesniegumu atlases kārtas īstenošanai tiek palielināts virssaistību apmērs par 218 739 latiem, paredzot to 43 728 596 latu apmērā; atbilstoši </w:t>
            </w:r>
            <w:r w:rsidR="00AD4D23" w:rsidRPr="004D5BCC">
              <w:rPr>
                <w:noProof/>
                <w:sz w:val="27"/>
                <w:szCs w:val="27"/>
              </w:rPr>
              <w:t xml:space="preserve">tiek samazināts virssaistību apmērs 1.2.2.2.1.apakšaktivitātes īstenošanai </w:t>
            </w:r>
            <w:r w:rsidR="00A11FF8" w:rsidRPr="004D5BCC">
              <w:rPr>
                <w:noProof/>
                <w:sz w:val="27"/>
                <w:szCs w:val="27"/>
              </w:rPr>
              <w:t xml:space="preserve">par 218 739 latiem, paredzot to 1 781 261 latu apmērā. </w:t>
            </w:r>
          </w:p>
          <w:p w:rsidR="00522658" w:rsidRPr="00A11FF8" w:rsidRDefault="00A11FF8" w:rsidP="004D5BCC">
            <w:pPr>
              <w:tabs>
                <w:tab w:val="left" w:pos="565"/>
              </w:tabs>
              <w:ind w:right="143"/>
              <w:jc w:val="both"/>
              <w:rPr>
                <w:b/>
                <w:color w:val="000000"/>
                <w:sz w:val="27"/>
                <w:szCs w:val="27"/>
              </w:rPr>
            </w:pPr>
            <w:r w:rsidRPr="004D5BCC">
              <w:rPr>
                <w:noProof/>
                <w:sz w:val="27"/>
                <w:szCs w:val="27"/>
              </w:rPr>
              <w:t>Tāpat</w:t>
            </w:r>
            <w:r w:rsidR="00DE0C0B" w:rsidRPr="004D5BCC">
              <w:rPr>
                <w:noProof/>
                <w:sz w:val="27"/>
                <w:szCs w:val="27"/>
              </w:rPr>
              <w:t>,</w:t>
            </w:r>
            <w:r w:rsidRPr="004D5BCC">
              <w:rPr>
                <w:noProof/>
                <w:sz w:val="27"/>
                <w:szCs w:val="27"/>
              </w:rPr>
              <w:t xml:space="preserve"> izstrādājot noteikumu projektu par 3.1.1.1.aktivitātes otrās projektu iesniegumu atlases kārtas īstenošanu, ir ņemts vērā </w:t>
            </w:r>
            <w:r w:rsidR="009B4E9B" w:rsidRPr="004D5BCC">
              <w:rPr>
                <w:sz w:val="27"/>
                <w:szCs w:val="27"/>
              </w:rPr>
              <w:t>Ministru kabineta 2012.gada 16.oktobra sēdes protokollēmuma (prot. Nr.58 29.§) 6.punkts, atbalstot, ka 3.1.1.1.aktivitātes otrās projektu iesniegumu atlases kārtas ietvaros tiek izstrādāts un īstenots Austrumlatgales Profesionālās vidusskolas infrastruktūras modernizēšanas projekts, kas paredz 1.kārtas būvdarbu veikšanu un aprīkojuma iegādi, izvērtējot iespēju īstenot arī būvdarbu turpmākās kārtas un nodrošinot projektā plānoto darbību atbilstību 3.1.1.1.aktivitātes otrās projektu iesniegumu atlases kārtas vērtēšanas kritērijiem.</w:t>
            </w:r>
            <w:r w:rsidR="009B4E9B" w:rsidRPr="009B4E9B">
              <w:rPr>
                <w:b/>
                <w:color w:val="000000"/>
                <w:sz w:val="27"/>
                <w:szCs w:val="27"/>
              </w:rPr>
              <w:t xml:space="preserve"> </w:t>
            </w:r>
            <w:r w:rsidR="00522658">
              <w:rPr>
                <w:color w:val="000000"/>
                <w:sz w:val="27"/>
                <w:szCs w:val="27"/>
              </w:rPr>
              <w:t xml:space="preserve"> </w:t>
            </w:r>
          </w:p>
        </w:tc>
      </w:tr>
      <w:tr w:rsidR="00475B7D" w:rsidRPr="009E43F0">
        <w:tc>
          <w:tcPr>
            <w:tcW w:w="236" w:type="pct"/>
            <w:tcBorders>
              <w:top w:val="outset" w:sz="6" w:space="0" w:color="000000"/>
              <w:bottom w:val="outset" w:sz="6" w:space="0" w:color="000000"/>
              <w:right w:val="outset" w:sz="6" w:space="0" w:color="000000"/>
            </w:tcBorders>
          </w:tcPr>
          <w:p w:rsidR="00475B7D" w:rsidRPr="004D5BCC" w:rsidRDefault="00475B7D" w:rsidP="00FF0A26">
            <w:pPr>
              <w:rPr>
                <w:noProof/>
                <w:sz w:val="27"/>
                <w:szCs w:val="27"/>
              </w:rPr>
            </w:pPr>
            <w:r w:rsidRPr="004D5BCC">
              <w:rPr>
                <w:noProof/>
                <w:sz w:val="27"/>
                <w:szCs w:val="27"/>
              </w:rPr>
              <w:lastRenderedPageBreak/>
              <w:t>2.</w:t>
            </w:r>
          </w:p>
        </w:tc>
        <w:tc>
          <w:tcPr>
            <w:tcW w:w="1267" w:type="pct"/>
            <w:tcBorders>
              <w:top w:val="outset" w:sz="6" w:space="0" w:color="000000"/>
              <w:left w:val="outset" w:sz="6" w:space="0" w:color="000000"/>
              <w:bottom w:val="outset" w:sz="6" w:space="0" w:color="000000"/>
              <w:right w:val="outset" w:sz="6" w:space="0" w:color="000000"/>
            </w:tcBorders>
          </w:tcPr>
          <w:p w:rsidR="00475B7D" w:rsidRPr="004D5BCC" w:rsidRDefault="00475B7D" w:rsidP="00FF0A26">
            <w:pPr>
              <w:rPr>
                <w:noProof/>
                <w:sz w:val="27"/>
                <w:szCs w:val="27"/>
              </w:rPr>
            </w:pPr>
            <w:r w:rsidRPr="004D5BCC">
              <w:rPr>
                <w:noProof/>
                <w:sz w:val="27"/>
                <w:szCs w:val="27"/>
              </w:rPr>
              <w:t>Pašreizējā situācija un problēmas</w:t>
            </w:r>
          </w:p>
        </w:tc>
        <w:tc>
          <w:tcPr>
            <w:tcW w:w="3497" w:type="pct"/>
            <w:tcBorders>
              <w:top w:val="outset" w:sz="6" w:space="0" w:color="000000"/>
              <w:left w:val="outset" w:sz="6" w:space="0" w:color="000000"/>
              <w:bottom w:val="outset" w:sz="6" w:space="0" w:color="000000"/>
            </w:tcBorders>
          </w:tcPr>
          <w:p w:rsidR="00475B7D" w:rsidRPr="004D5BCC" w:rsidRDefault="00475B7D" w:rsidP="00FF0A26">
            <w:pPr>
              <w:ind w:left="97" w:right="198"/>
              <w:jc w:val="both"/>
              <w:rPr>
                <w:noProof/>
                <w:sz w:val="27"/>
                <w:szCs w:val="27"/>
              </w:rPr>
            </w:pPr>
            <w:r w:rsidRPr="004D5BCC">
              <w:rPr>
                <w:noProof/>
                <w:sz w:val="27"/>
                <w:szCs w:val="27"/>
              </w:rPr>
              <w:t>Ministru kabineta 2012.gada 13.marta sēdē tika izskatīts informatīvais ziņojums un Ministru kabinets nolēma, ka 3.1.1.1.aktivitātes „Mācību aprīkojuma modernizācija un infrastruktūras uzlabošana profesionālās iz</w:t>
            </w:r>
            <w:r w:rsidR="005F2D62" w:rsidRPr="004D5BCC">
              <w:rPr>
                <w:noProof/>
                <w:sz w:val="27"/>
                <w:szCs w:val="27"/>
              </w:rPr>
              <w:t xml:space="preserve">glītības programmu īstenošanai” </w:t>
            </w:r>
            <w:r w:rsidRPr="004D5BCC">
              <w:rPr>
                <w:noProof/>
                <w:sz w:val="27"/>
                <w:szCs w:val="27"/>
              </w:rPr>
              <w:t>pirmās kārtas ietvaros projektus pabeidz īstenot 15 profesionālās izglītības iestādes, bet pārējās 18 profesionālās izglītības iestādes projektu īstenošanu pārtrauc, izpildot vai izbeidzot projektos līdz 2011.gada 27.decembrim uzņemtās līgumsaistības</w:t>
            </w:r>
            <w:r w:rsidR="00CB2C26" w:rsidRPr="004D5BCC">
              <w:rPr>
                <w:noProof/>
                <w:sz w:val="27"/>
                <w:szCs w:val="27"/>
              </w:rPr>
              <w:t xml:space="preserve"> (prot. Nr.14 32.§)</w:t>
            </w:r>
            <w:r w:rsidRPr="004D5BCC">
              <w:rPr>
                <w:noProof/>
                <w:sz w:val="27"/>
                <w:szCs w:val="27"/>
              </w:rPr>
              <w:t>.</w:t>
            </w:r>
          </w:p>
          <w:p w:rsidR="00475B7D" w:rsidRPr="004D5BCC" w:rsidRDefault="00475B7D" w:rsidP="00FF0A26">
            <w:pPr>
              <w:ind w:left="97" w:right="198"/>
              <w:jc w:val="both"/>
              <w:rPr>
                <w:noProof/>
                <w:sz w:val="27"/>
                <w:szCs w:val="27"/>
              </w:rPr>
            </w:pPr>
            <w:r w:rsidRPr="004D5BCC">
              <w:rPr>
                <w:noProof/>
                <w:sz w:val="27"/>
                <w:szCs w:val="27"/>
              </w:rPr>
              <w:t xml:space="preserve">Šāds situācijas risinājums tika piemērots, jo, izvērtējot projektu </w:t>
            </w:r>
            <w:r w:rsidR="0088044F" w:rsidRPr="004D5BCC">
              <w:rPr>
                <w:noProof/>
                <w:sz w:val="27"/>
                <w:szCs w:val="27"/>
              </w:rPr>
              <w:t>īstenošanas</w:t>
            </w:r>
            <w:r w:rsidRPr="004D5BCC">
              <w:rPr>
                <w:noProof/>
                <w:sz w:val="27"/>
                <w:szCs w:val="27"/>
              </w:rPr>
              <w:t xml:space="preserve"> gaitu, tika secināts, ka ar pašreizējo finansējuma sadalījumu, ņemot vērā būvdarbu iepirkumu rezultātā radušos neplānotu sadārdzinājumu projektos, kā arī 2011.gadā notikušo izglītības iestāžu reorganizāciju, kas radījusi izmaiņas sākotnēji apstiprinātajos projektos, daļai projektu nav iespējams nodrošināt projektos plānoto mērķu sasniegšanu, kā rezultātā pastāv nopietns risks veikto izmaksu neattiecināmībai no ES fondu līdzekļiem. Izvērtējuma rezultātā Izglītības un zinātnes ministrija </w:t>
            </w:r>
            <w:r w:rsidRPr="004D5BCC">
              <w:rPr>
                <w:noProof/>
                <w:sz w:val="27"/>
                <w:szCs w:val="27"/>
              </w:rPr>
              <w:lastRenderedPageBreak/>
              <w:t>secināja, ka daļu no projektiem ir iespējams turpināt pirmās projektu iesniegumu atlases kārtas ietvaros, pabeidzot uzņemtās līgumsaistības projektu ietvaros un sasniedzot sākotnēji plānotos mērķus, savukārt daļa projektu ir pilnībā apturami, un nepieciešama jauna projektu iesniegumu atlases kārta, vienlaikus koncentrējot ES fondu līdzekļus mazākā izglītības iestāžu skaitā, lai tiktu nodrošināta atbalstāmo profesionālās izglītības iestāžu infrastruktūras pilnīga sakārtošana, plānoto darbību pabeigtība un izmaksu attiecināmība no ES fondu līdzekļiem.</w:t>
            </w:r>
          </w:p>
          <w:p w:rsidR="00475B7D" w:rsidRPr="004D5BCC" w:rsidRDefault="00475B7D" w:rsidP="00FF0A26">
            <w:pPr>
              <w:ind w:left="97" w:right="198"/>
              <w:jc w:val="both"/>
              <w:rPr>
                <w:noProof/>
                <w:sz w:val="27"/>
                <w:szCs w:val="27"/>
              </w:rPr>
            </w:pPr>
            <w:r w:rsidRPr="004D5BCC">
              <w:rPr>
                <w:noProof/>
                <w:sz w:val="27"/>
                <w:szCs w:val="27"/>
              </w:rPr>
              <w:t>Vienlaikus minētajā Ministru kabineta sēdē Ministru kabinets uzdeva Izglītības un zinātnes ministrijai organizēt aktivitātes otro projektu iesniegumu atlases kārtu. Lai atlasītu profesionālās izglītības iestādes, kas var kvalificēties dalībai aktivitātes otrās projektu iesniegumu atlases kārtas ietvaros, Ministru kabinets saskaņoja profesionālās izglītības iestāžu vērtēšanas principus pretendentu atlasei ES fondu 3.1.1.1.aktivitātes otrās atlases kārtas ietvaros. Izglītības un zinātnes ministrija, iesaistot darba devēju un atbilstošo pašvaldību pārstā</w:t>
            </w:r>
            <w:r w:rsidR="009572F6" w:rsidRPr="004D5BCC">
              <w:rPr>
                <w:noProof/>
                <w:sz w:val="27"/>
                <w:szCs w:val="27"/>
              </w:rPr>
              <w:t>vjus, ir izvērtējusi 18 </w:t>
            </w:r>
            <w:r w:rsidRPr="004D5BCC">
              <w:rPr>
                <w:noProof/>
                <w:sz w:val="27"/>
                <w:szCs w:val="27"/>
              </w:rPr>
              <w:t>profesionālās izglītības iestādes, kas aktivitātes pirmās projektu iesniegumu atlases kārtas ietvaros pārtrauca projektu īstenošanu, un ir noteikusi profesionālās izglītības iestādes, kas ir ieguvušas augstāku novērtējumu, saņēmušas nozaru atbalstu un kas kvalificējas dalībai 3.1.1.1.aktivitātes otrajā atlases kārtā.</w:t>
            </w:r>
          </w:p>
          <w:p w:rsidR="00475B7D" w:rsidRPr="004D5BCC" w:rsidRDefault="00F51453" w:rsidP="00FF0A26">
            <w:pPr>
              <w:ind w:left="97" w:right="198"/>
              <w:jc w:val="both"/>
              <w:rPr>
                <w:noProof/>
                <w:sz w:val="27"/>
                <w:szCs w:val="27"/>
              </w:rPr>
            </w:pPr>
            <w:r w:rsidRPr="004D5BCC">
              <w:rPr>
                <w:noProof/>
                <w:sz w:val="27"/>
                <w:szCs w:val="27"/>
              </w:rPr>
              <w:t>Profesionālās izglītības iestāžu tīkla optimizācijas pamatnostādnēs 2010.–2015.gadam</w:t>
            </w:r>
            <w:r w:rsidR="0093461E" w:rsidRPr="004D5BCC">
              <w:rPr>
                <w:noProof/>
                <w:sz w:val="27"/>
                <w:szCs w:val="27"/>
              </w:rPr>
              <w:t xml:space="preserve">, pēc Ministru kabineta rīkojuma Nr.276 </w:t>
            </w:r>
            <w:r w:rsidRPr="004D5BCC">
              <w:rPr>
                <w:noProof/>
                <w:sz w:val="27"/>
                <w:szCs w:val="27"/>
              </w:rPr>
              <w:t xml:space="preserve"> </w:t>
            </w:r>
            <w:r w:rsidR="0093461E" w:rsidRPr="004D5BCC">
              <w:rPr>
                <w:noProof/>
                <w:sz w:val="27"/>
                <w:szCs w:val="27"/>
              </w:rPr>
              <w:t xml:space="preserve">„Grozījumi Profesionālās izglītības iestāžu tīkla optimizācijas pamatnostādnēs 2010.–2015.gadam” spēkā stāšanās 2012.gada 25.jūnijā, ir </w:t>
            </w:r>
            <w:r w:rsidR="00475B7D" w:rsidRPr="004D5BCC">
              <w:rPr>
                <w:noProof/>
                <w:sz w:val="27"/>
                <w:szCs w:val="27"/>
              </w:rPr>
              <w:t xml:space="preserve">nosauktas 11 profesionālās izglītības iestādes, </w:t>
            </w:r>
            <w:r w:rsidR="00416352" w:rsidRPr="004D5BCC">
              <w:rPr>
                <w:noProof/>
                <w:sz w:val="27"/>
                <w:szCs w:val="27"/>
              </w:rPr>
              <w:t>kas</w:t>
            </w:r>
            <w:r w:rsidR="00475B7D" w:rsidRPr="004D5BCC">
              <w:rPr>
                <w:noProof/>
                <w:sz w:val="27"/>
                <w:szCs w:val="27"/>
              </w:rPr>
              <w:t xml:space="preserve"> var kvalificēties atbalsta saņemšanai pretendentu</w:t>
            </w:r>
            <w:r w:rsidR="00A66E68" w:rsidRPr="004D5BCC">
              <w:rPr>
                <w:noProof/>
                <w:sz w:val="27"/>
                <w:szCs w:val="27"/>
              </w:rPr>
              <w:t xml:space="preserve"> </w:t>
            </w:r>
            <w:r w:rsidR="00475B7D" w:rsidRPr="004D5BCC">
              <w:rPr>
                <w:noProof/>
                <w:sz w:val="27"/>
                <w:szCs w:val="27"/>
              </w:rPr>
              <w:t>atlasei aktivitātes otrās projektu iesniegumu atlases kārtas ietvaros.</w:t>
            </w:r>
          </w:p>
          <w:p w:rsidR="000459D8" w:rsidRPr="004D5BCC" w:rsidRDefault="00F46332" w:rsidP="00A7759C">
            <w:pPr>
              <w:ind w:left="97" w:right="198"/>
              <w:jc w:val="both"/>
              <w:rPr>
                <w:noProof/>
                <w:sz w:val="27"/>
                <w:szCs w:val="27"/>
              </w:rPr>
            </w:pPr>
            <w:r w:rsidRPr="004D5BCC">
              <w:rPr>
                <w:noProof/>
                <w:sz w:val="27"/>
                <w:szCs w:val="27"/>
              </w:rPr>
              <w:t xml:space="preserve">Izglītības un </w:t>
            </w:r>
            <w:r w:rsidR="008B480A" w:rsidRPr="004D5BCC">
              <w:rPr>
                <w:noProof/>
                <w:sz w:val="27"/>
                <w:szCs w:val="27"/>
              </w:rPr>
              <w:t xml:space="preserve">zinātnes ministrija laika posmā no 2012.gada </w:t>
            </w:r>
            <w:r w:rsidR="00976664" w:rsidRPr="004D5BCC">
              <w:rPr>
                <w:noProof/>
                <w:sz w:val="27"/>
                <w:szCs w:val="27"/>
              </w:rPr>
              <w:t>aprīļa</w:t>
            </w:r>
            <w:r w:rsidR="008B480A" w:rsidRPr="004D5BCC">
              <w:rPr>
                <w:noProof/>
                <w:sz w:val="27"/>
                <w:szCs w:val="27"/>
              </w:rPr>
              <w:t xml:space="preserve"> līdz 2012.gada oktobrim ir izvērtējusi un </w:t>
            </w:r>
            <w:r w:rsidR="005862A1" w:rsidRPr="004D5BCC">
              <w:rPr>
                <w:noProof/>
                <w:sz w:val="27"/>
                <w:szCs w:val="27"/>
              </w:rPr>
              <w:t>saskaņojusi</w:t>
            </w:r>
            <w:r w:rsidR="008B480A" w:rsidRPr="004D5BCC">
              <w:rPr>
                <w:noProof/>
                <w:sz w:val="27"/>
                <w:szCs w:val="27"/>
              </w:rPr>
              <w:t xml:space="preserve"> augstāk minēto profesionālo izglītības iestāžu investīciju un attīstības stratēģijas</w:t>
            </w:r>
            <w:r w:rsidR="005862A1" w:rsidRPr="004D5BCC">
              <w:rPr>
                <w:noProof/>
                <w:sz w:val="27"/>
                <w:szCs w:val="27"/>
              </w:rPr>
              <w:t xml:space="preserve">, nosakot katrai profesionālās izglītības iestādei nepieciešamo investīciju apmēru infrastruktūras uzlabošanai un izglītības iestādei </w:t>
            </w:r>
            <w:r w:rsidR="00481ACD" w:rsidRPr="004D5BCC">
              <w:rPr>
                <w:noProof/>
                <w:sz w:val="27"/>
                <w:szCs w:val="27"/>
              </w:rPr>
              <w:t>3.1.1.1.</w:t>
            </w:r>
            <w:r w:rsidR="005862A1" w:rsidRPr="004D5BCC">
              <w:rPr>
                <w:noProof/>
                <w:sz w:val="27"/>
                <w:szCs w:val="27"/>
              </w:rPr>
              <w:t xml:space="preserve">aktivitātes otrās kārtas </w:t>
            </w:r>
            <w:r w:rsidR="005862A1" w:rsidRPr="004D5BCC">
              <w:rPr>
                <w:noProof/>
                <w:sz w:val="27"/>
                <w:szCs w:val="27"/>
              </w:rPr>
              <w:lastRenderedPageBreak/>
              <w:t>ietvaros pieejamā finansējuma apmēru.</w:t>
            </w:r>
          </w:p>
          <w:p w:rsidR="009E19FE" w:rsidRPr="004D5BCC" w:rsidRDefault="009E19FE" w:rsidP="009E19FE">
            <w:pPr>
              <w:ind w:left="97" w:right="198"/>
              <w:jc w:val="both"/>
              <w:rPr>
                <w:bCs/>
                <w:noProof/>
                <w:sz w:val="27"/>
                <w:szCs w:val="27"/>
              </w:rPr>
            </w:pPr>
            <w:r w:rsidRPr="004D5BCC">
              <w:rPr>
                <w:bCs/>
                <w:noProof/>
                <w:sz w:val="27"/>
                <w:szCs w:val="27"/>
              </w:rPr>
              <w:t>Ievērojot Ministru kabineta 2012.gada 16.oktobra sēdes protokollēmuma (prot. Nr.58 29</w:t>
            </w:r>
            <w:r w:rsidR="00A60948" w:rsidRPr="004D5BCC">
              <w:rPr>
                <w:bCs/>
                <w:noProof/>
                <w:sz w:val="27"/>
                <w:szCs w:val="27"/>
              </w:rPr>
              <w:t>.</w:t>
            </w:r>
            <w:r w:rsidRPr="004D5BCC">
              <w:rPr>
                <w:bCs/>
                <w:noProof/>
                <w:sz w:val="27"/>
                <w:szCs w:val="27"/>
              </w:rPr>
              <w:t>§) 6.punktā noteikto, Austrumlatgales Profesionālās vidusskolas infrastruktūras modernizēšanas projekts ir sadalīts posmos, 1.posmā paredzot veikt  būvdarbus un aprīkojuma iegādi tajās darbības programmas „Infrastruktūra un pakalpojumi” papildinājumā noteiktajās prioritārajās izglītības tematiskajās jomās un programmu grupās, kuru turpmākā īstenošana ir atbalstīta saskaņā ar apstiprināto Austrumlatgales Profesionālās vidusskolas investīciju un attīstības stratēģiju, lai  nodrošinātu projektā plānoto darbību atbilstību 3.1.1.1.aktivitātes otrās projektu iesniegumu atlases kārtas vērtēšanas kritērijiem. Austrumlatgales Profesionālās vidusskolas investīciju un attīstības stratēģija ir saskaņota Izglītības un zinātnes ministrijā, paredzot, ka skolas 3.1.1.1.aktivitātes otrās projektu iesniegumu atlases kārtas projekts nodrošina pilnīgu infrastruktūras sakārtošanu un aprīkošanu profesionālās izglītības programmās šādās darbības programmas „Infrastruktūra un pakalpojumi” papildinājumā noteiktajās prioritārajās izglītības tematiskajās jomās un programmu grupās:</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pārtikas ražošanas tehnoloģijas un izstrādājumu izgatavošana;</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kokapstrādes tehnoloģijas un izstrādājumu izgatavošana;</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būvniecība un civilā celtniecība;</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individuālie pakalpojumi (tūrisma un atpūtas organizācija vai viesnīcu un restorānu serviss);</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mašīnzinības;</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māksla (radošās industrijas);</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enerģētika;</w:t>
            </w:r>
          </w:p>
          <w:p w:rsidR="009E19FE" w:rsidRPr="004D5BCC" w:rsidRDefault="009E19FE" w:rsidP="00A60948">
            <w:pPr>
              <w:numPr>
                <w:ilvl w:val="0"/>
                <w:numId w:val="18"/>
              </w:numPr>
              <w:ind w:left="439" w:right="198" w:hanging="265"/>
              <w:jc w:val="both"/>
              <w:rPr>
                <w:bCs/>
                <w:noProof/>
                <w:sz w:val="27"/>
                <w:szCs w:val="27"/>
              </w:rPr>
            </w:pPr>
            <w:r w:rsidRPr="004D5BCC">
              <w:rPr>
                <w:bCs/>
                <w:noProof/>
                <w:sz w:val="27"/>
                <w:szCs w:val="27"/>
              </w:rPr>
              <w:t>būvniecība un civilā celtniecība.</w:t>
            </w:r>
          </w:p>
          <w:p w:rsidR="009E19FE" w:rsidRPr="004D5BCC" w:rsidRDefault="009E19FE" w:rsidP="00611742">
            <w:pPr>
              <w:ind w:left="14" w:right="198"/>
              <w:jc w:val="both"/>
              <w:rPr>
                <w:bCs/>
                <w:noProof/>
                <w:sz w:val="27"/>
                <w:szCs w:val="27"/>
              </w:rPr>
            </w:pPr>
            <w:r w:rsidRPr="004D5BCC">
              <w:rPr>
                <w:bCs/>
                <w:noProof/>
                <w:sz w:val="27"/>
                <w:szCs w:val="27"/>
              </w:rPr>
              <w:t xml:space="preserve">Uz 2.posmu ir novirzītas Austrumlatgales Profesionālās vidusskolas īstenotās profesionālās izglītības programmas „Zivkopība” un „Autotransports”, kuru  turpmāko īstenošanu nepieciešams pārskatīt, tai skaitā pārskatot </w:t>
            </w:r>
            <w:r w:rsidR="00D60FBF" w:rsidRPr="004D5BCC">
              <w:rPr>
                <w:bCs/>
                <w:noProof/>
                <w:sz w:val="27"/>
                <w:szCs w:val="27"/>
              </w:rPr>
              <w:t xml:space="preserve">to </w:t>
            </w:r>
            <w:r w:rsidRPr="004D5BCC">
              <w:rPr>
                <w:bCs/>
                <w:noProof/>
                <w:sz w:val="27"/>
                <w:szCs w:val="27"/>
              </w:rPr>
              <w:t>īstenošanas vietas, programmu veidu un saturu</w:t>
            </w:r>
            <w:r w:rsidR="008D6FA6" w:rsidRPr="004D5BCC">
              <w:rPr>
                <w:bCs/>
                <w:noProof/>
                <w:sz w:val="27"/>
                <w:szCs w:val="27"/>
              </w:rPr>
              <w:t xml:space="preserve"> un</w:t>
            </w:r>
            <w:r w:rsidRPr="004D5BCC">
              <w:rPr>
                <w:bCs/>
                <w:noProof/>
                <w:sz w:val="27"/>
                <w:szCs w:val="27"/>
              </w:rPr>
              <w:t xml:space="preserve"> saskaņojot to ar nozaru </w:t>
            </w:r>
            <w:r w:rsidR="00D60FBF" w:rsidRPr="004D5BCC">
              <w:rPr>
                <w:bCs/>
                <w:noProof/>
                <w:sz w:val="27"/>
                <w:szCs w:val="27"/>
              </w:rPr>
              <w:t xml:space="preserve">sadarbības </w:t>
            </w:r>
            <w:r w:rsidRPr="004D5BCC">
              <w:rPr>
                <w:bCs/>
                <w:noProof/>
                <w:sz w:val="27"/>
                <w:szCs w:val="27"/>
              </w:rPr>
              <w:t xml:space="preserve">partneriem, </w:t>
            </w:r>
            <w:r w:rsidR="00D60FBF" w:rsidRPr="004D5BCC">
              <w:rPr>
                <w:bCs/>
                <w:noProof/>
                <w:sz w:val="27"/>
                <w:szCs w:val="27"/>
              </w:rPr>
              <w:t xml:space="preserve">tādējādi nodrošinot </w:t>
            </w:r>
            <w:r w:rsidR="009E02A7" w:rsidRPr="004D5BCC">
              <w:rPr>
                <w:bCs/>
                <w:noProof/>
                <w:sz w:val="27"/>
                <w:szCs w:val="27"/>
              </w:rPr>
              <w:t>programmu</w:t>
            </w:r>
            <w:r w:rsidR="00D60FBF" w:rsidRPr="004D5BCC">
              <w:rPr>
                <w:bCs/>
                <w:noProof/>
                <w:sz w:val="27"/>
                <w:szCs w:val="27"/>
              </w:rPr>
              <w:t xml:space="preserve"> </w:t>
            </w:r>
            <w:r w:rsidRPr="004D5BCC">
              <w:rPr>
                <w:bCs/>
                <w:noProof/>
                <w:sz w:val="27"/>
                <w:szCs w:val="27"/>
              </w:rPr>
              <w:t xml:space="preserve">ilgtspējīgu attīstību. Šo profesionālās izglītības programmu modernizēšana un Austrumlatgales Profesionālās vidusskolas jaunatveramo profesionālās izglītības </w:t>
            </w:r>
            <w:r w:rsidRPr="004D5BCC">
              <w:rPr>
                <w:bCs/>
                <w:noProof/>
                <w:sz w:val="27"/>
                <w:szCs w:val="27"/>
              </w:rPr>
              <w:lastRenderedPageBreak/>
              <w:t>programmu infrastruktūras izveidošana vai pielāgošana plānota laika posmā no 2014.-2020.gadam.</w:t>
            </w:r>
          </w:p>
          <w:p w:rsidR="00D2237B" w:rsidRPr="004D5BCC" w:rsidRDefault="00D2237B" w:rsidP="00C8404D">
            <w:pPr>
              <w:ind w:left="14" w:right="198"/>
              <w:jc w:val="both"/>
              <w:rPr>
                <w:bCs/>
                <w:noProof/>
                <w:sz w:val="27"/>
                <w:szCs w:val="27"/>
              </w:rPr>
            </w:pPr>
            <w:r w:rsidRPr="004D5BCC">
              <w:rPr>
                <w:bCs/>
                <w:noProof/>
                <w:sz w:val="27"/>
                <w:szCs w:val="27"/>
              </w:rPr>
              <w:t>Izglītības un zinātnes ministrija ir izstrādājusi Ministru kabineta protokollēmuma projektu, ar kuru tajā skaitā Izglītības un zinātnes ministrijai uzdots  Profesionālās izglītības iestāžu attīstības un investīciju stratēģiju 2010.-2015.gadam vērtēšanas komisijas sastāvā iekļaut Zemkopības ministrijas pārstāvi, lai izglītības iestāžu stratēģijas un ES fondu ieguldījumi infrastruktūras attīstīb</w:t>
            </w:r>
            <w:r w:rsidR="000F0694" w:rsidRPr="004D5BCC">
              <w:rPr>
                <w:bCs/>
                <w:noProof/>
                <w:sz w:val="27"/>
                <w:szCs w:val="27"/>
              </w:rPr>
              <w:t>ā</w:t>
            </w:r>
            <w:r w:rsidRPr="004D5BCC">
              <w:rPr>
                <w:bCs/>
                <w:noProof/>
                <w:sz w:val="27"/>
                <w:szCs w:val="27"/>
              </w:rPr>
              <w:t xml:space="preserve"> būtu maksimāli atbilstoši </w:t>
            </w:r>
            <w:r w:rsidR="00C8404D" w:rsidRPr="004D5BCC">
              <w:rPr>
                <w:bCs/>
                <w:noProof/>
                <w:sz w:val="27"/>
                <w:szCs w:val="27"/>
              </w:rPr>
              <w:t xml:space="preserve">tautsaimniecības </w:t>
            </w:r>
            <w:r w:rsidRPr="004D5BCC">
              <w:rPr>
                <w:bCs/>
                <w:noProof/>
                <w:sz w:val="27"/>
                <w:szCs w:val="27"/>
              </w:rPr>
              <w:t>nozaru vajadzībām</w:t>
            </w:r>
            <w:r w:rsidR="000F0694" w:rsidRPr="004D5BCC">
              <w:rPr>
                <w:bCs/>
                <w:noProof/>
                <w:sz w:val="27"/>
                <w:szCs w:val="27"/>
              </w:rPr>
              <w:t xml:space="preserve"> un tās </w:t>
            </w:r>
            <w:r w:rsidRPr="004D5BCC">
              <w:rPr>
                <w:bCs/>
                <w:noProof/>
                <w:sz w:val="27"/>
                <w:szCs w:val="27"/>
              </w:rPr>
              <w:t xml:space="preserve">attīstības </w:t>
            </w:r>
            <w:r w:rsidR="000F0694" w:rsidRPr="004D5BCC">
              <w:rPr>
                <w:bCs/>
                <w:noProof/>
                <w:sz w:val="27"/>
                <w:szCs w:val="27"/>
              </w:rPr>
              <w:t>tendencēm</w:t>
            </w:r>
            <w:r w:rsidRPr="004D5BCC">
              <w:rPr>
                <w:bCs/>
                <w:noProof/>
                <w:sz w:val="27"/>
                <w:szCs w:val="27"/>
              </w:rPr>
              <w:t>.</w:t>
            </w:r>
          </w:p>
          <w:p w:rsidR="0039412D" w:rsidRPr="004D5BCC" w:rsidRDefault="0039412D" w:rsidP="00FE6012">
            <w:pPr>
              <w:ind w:left="14" w:right="198"/>
              <w:jc w:val="both"/>
              <w:rPr>
                <w:sz w:val="27"/>
                <w:szCs w:val="27"/>
              </w:rPr>
            </w:pPr>
            <w:r w:rsidRPr="004D5BCC">
              <w:rPr>
                <w:sz w:val="27"/>
                <w:szCs w:val="27"/>
              </w:rPr>
              <w:t>Papildu tam vēršam uzmanību, ka atbilstoši 3.1.1.1.aktivitātes otrās atlases kārtas projektu iesniegumu vērtēšanas kritērijiem projektos plānotais iegādājamā aprīkojuma un iekārtu saraksts ir jāsaskaņo ar projekta ietvaros modernizējamo profesionālās izglītības mācību programmu nozaru organizācijām pirms projekta iesnieguma iesniegšanas atbildīgajā iestādē</w:t>
            </w:r>
            <w:r w:rsidR="00FE6012" w:rsidRPr="004D5BCC">
              <w:rPr>
                <w:sz w:val="27"/>
                <w:szCs w:val="27"/>
              </w:rPr>
              <w:t xml:space="preserve">, tādējādi nodrošinot, ka tiek iegādāts </w:t>
            </w:r>
            <w:r w:rsidR="00FE6012" w:rsidRPr="004D5BCC">
              <w:rPr>
                <w:bCs/>
                <w:color w:val="222222"/>
                <w:sz w:val="27"/>
                <w:szCs w:val="27"/>
              </w:rPr>
              <w:t>darba tirgus prasībām</w:t>
            </w:r>
            <w:r w:rsidR="00FE6012" w:rsidRPr="004D5BCC">
              <w:rPr>
                <w:sz w:val="27"/>
                <w:szCs w:val="27"/>
              </w:rPr>
              <w:t xml:space="preserve"> </w:t>
            </w:r>
            <w:r w:rsidR="00FE6012" w:rsidRPr="004D5BCC">
              <w:rPr>
                <w:bCs/>
                <w:color w:val="222222"/>
                <w:sz w:val="27"/>
                <w:szCs w:val="27"/>
              </w:rPr>
              <w:t xml:space="preserve">atbilstošs </w:t>
            </w:r>
            <w:r w:rsidR="00FE6012" w:rsidRPr="004D5BCC">
              <w:rPr>
                <w:sz w:val="27"/>
                <w:szCs w:val="27"/>
              </w:rPr>
              <w:t xml:space="preserve">aprīkojums. </w:t>
            </w:r>
          </w:p>
        </w:tc>
      </w:tr>
      <w:tr w:rsidR="00475B7D" w:rsidRPr="009E43F0">
        <w:tc>
          <w:tcPr>
            <w:tcW w:w="236" w:type="pct"/>
            <w:tcBorders>
              <w:top w:val="outset" w:sz="6" w:space="0" w:color="000000"/>
              <w:bottom w:val="outset" w:sz="6" w:space="0" w:color="000000"/>
              <w:right w:val="outset" w:sz="6" w:space="0" w:color="000000"/>
            </w:tcBorders>
          </w:tcPr>
          <w:p w:rsidR="00475B7D" w:rsidRPr="004D5BCC" w:rsidRDefault="00475B7D" w:rsidP="00FF0A26">
            <w:pPr>
              <w:rPr>
                <w:noProof/>
                <w:sz w:val="27"/>
                <w:szCs w:val="27"/>
              </w:rPr>
            </w:pPr>
            <w:r w:rsidRPr="004D5BCC">
              <w:rPr>
                <w:noProof/>
                <w:sz w:val="27"/>
                <w:szCs w:val="27"/>
              </w:rPr>
              <w:lastRenderedPageBreak/>
              <w:t>3.</w:t>
            </w:r>
          </w:p>
        </w:tc>
        <w:tc>
          <w:tcPr>
            <w:tcW w:w="1267" w:type="pct"/>
            <w:tcBorders>
              <w:top w:val="outset" w:sz="6" w:space="0" w:color="000000"/>
              <w:left w:val="outset" w:sz="6" w:space="0" w:color="000000"/>
              <w:bottom w:val="outset" w:sz="6" w:space="0" w:color="000000"/>
              <w:right w:val="outset" w:sz="6" w:space="0" w:color="000000"/>
            </w:tcBorders>
          </w:tcPr>
          <w:p w:rsidR="00475B7D" w:rsidRPr="004D5BCC" w:rsidRDefault="00475B7D" w:rsidP="00FF0A26">
            <w:pPr>
              <w:rPr>
                <w:noProof/>
                <w:sz w:val="27"/>
                <w:szCs w:val="27"/>
              </w:rPr>
            </w:pPr>
            <w:r w:rsidRPr="004D5BCC">
              <w:rPr>
                <w:noProof/>
                <w:sz w:val="27"/>
                <w:szCs w:val="27"/>
              </w:rPr>
              <w:t>Saistītie politikas ietekmes novērtējumi un pētījumi</w:t>
            </w:r>
          </w:p>
        </w:tc>
        <w:tc>
          <w:tcPr>
            <w:tcW w:w="3497" w:type="pct"/>
            <w:tcBorders>
              <w:top w:val="outset" w:sz="6" w:space="0" w:color="000000"/>
              <w:left w:val="outset" w:sz="6" w:space="0" w:color="000000"/>
              <w:bottom w:val="outset" w:sz="6" w:space="0" w:color="000000"/>
            </w:tcBorders>
          </w:tcPr>
          <w:p w:rsidR="00475B7D" w:rsidRPr="004D5BCC" w:rsidRDefault="00475B7D" w:rsidP="00FF0A26">
            <w:pPr>
              <w:ind w:left="97" w:right="198"/>
              <w:rPr>
                <w:noProof/>
                <w:sz w:val="27"/>
                <w:szCs w:val="27"/>
              </w:rPr>
            </w:pPr>
            <w:r w:rsidRPr="004D5BCC">
              <w:rPr>
                <w:noProof/>
                <w:sz w:val="27"/>
                <w:szCs w:val="27"/>
              </w:rPr>
              <w:t>Noteikumu projekts šo jomu neskar.</w:t>
            </w:r>
          </w:p>
        </w:tc>
      </w:tr>
      <w:tr w:rsidR="00475B7D" w:rsidRPr="009E43F0">
        <w:tc>
          <w:tcPr>
            <w:tcW w:w="236" w:type="pct"/>
            <w:tcBorders>
              <w:top w:val="outset" w:sz="6" w:space="0" w:color="000000"/>
              <w:bottom w:val="outset" w:sz="6" w:space="0" w:color="000000"/>
              <w:right w:val="outset" w:sz="6" w:space="0" w:color="000000"/>
            </w:tcBorders>
          </w:tcPr>
          <w:p w:rsidR="00475B7D" w:rsidRPr="004D5BCC" w:rsidRDefault="00475B7D" w:rsidP="00FF0A26">
            <w:pPr>
              <w:rPr>
                <w:noProof/>
                <w:sz w:val="27"/>
                <w:szCs w:val="27"/>
              </w:rPr>
            </w:pPr>
            <w:r w:rsidRPr="004D5BCC">
              <w:rPr>
                <w:noProof/>
                <w:sz w:val="27"/>
                <w:szCs w:val="27"/>
              </w:rPr>
              <w:t>4.</w:t>
            </w:r>
          </w:p>
        </w:tc>
        <w:tc>
          <w:tcPr>
            <w:tcW w:w="1267" w:type="pct"/>
            <w:tcBorders>
              <w:top w:val="outset" w:sz="6" w:space="0" w:color="000000"/>
              <w:left w:val="outset" w:sz="6" w:space="0" w:color="000000"/>
              <w:bottom w:val="outset" w:sz="6" w:space="0" w:color="000000"/>
              <w:right w:val="outset" w:sz="6" w:space="0" w:color="000000"/>
            </w:tcBorders>
          </w:tcPr>
          <w:p w:rsidR="00475B7D" w:rsidRPr="004D5BCC" w:rsidRDefault="00475B7D" w:rsidP="00FF0A26">
            <w:pPr>
              <w:rPr>
                <w:noProof/>
                <w:sz w:val="27"/>
                <w:szCs w:val="27"/>
              </w:rPr>
            </w:pPr>
            <w:r w:rsidRPr="004D5BCC">
              <w:rPr>
                <w:noProof/>
                <w:sz w:val="27"/>
                <w:szCs w:val="27"/>
              </w:rPr>
              <w:t>Tiesiskā regulējuma mērķis un būtība</w:t>
            </w:r>
          </w:p>
        </w:tc>
        <w:tc>
          <w:tcPr>
            <w:tcW w:w="3497" w:type="pct"/>
            <w:tcBorders>
              <w:top w:val="outset" w:sz="6" w:space="0" w:color="000000"/>
              <w:left w:val="outset" w:sz="6" w:space="0" w:color="000000"/>
              <w:bottom w:val="outset" w:sz="6" w:space="0" w:color="000000"/>
            </w:tcBorders>
          </w:tcPr>
          <w:p w:rsidR="00475B7D" w:rsidRPr="004D5BCC" w:rsidRDefault="00475B7D" w:rsidP="00FF0A26">
            <w:pPr>
              <w:ind w:left="97" w:right="198"/>
              <w:jc w:val="both"/>
              <w:rPr>
                <w:noProof/>
                <w:sz w:val="27"/>
                <w:szCs w:val="27"/>
              </w:rPr>
            </w:pPr>
            <w:r w:rsidRPr="004D5BCC">
              <w:rPr>
                <w:noProof/>
                <w:sz w:val="27"/>
                <w:szCs w:val="27"/>
              </w:rPr>
              <w:t>Noteikumu projekts nosaka kārtību, kādā īsteno aktivitāti, projektu iesniegumu vērtēšanas kritērijus, prasības projekta iesnieguma iesniedzējam, atbildīgo iestādi un sadarbības iestādi, kompetences sadalījumu starp šīm iestādēm un sadarbības kārtību, atbildīgās iestādes un sadarbības iestādes funkcionālās padotības formu, kā arī Eiropas Reģionālās attīs</w:t>
            </w:r>
            <w:r w:rsidR="009A287C" w:rsidRPr="004D5BCC">
              <w:rPr>
                <w:noProof/>
                <w:sz w:val="27"/>
                <w:szCs w:val="27"/>
              </w:rPr>
              <w:t>tības fonda pieejamo finansējuma apmēru</w:t>
            </w:r>
            <w:r w:rsidRPr="004D5BCC">
              <w:rPr>
                <w:noProof/>
                <w:sz w:val="27"/>
                <w:szCs w:val="27"/>
              </w:rPr>
              <w:t xml:space="preserve"> </w:t>
            </w:r>
            <w:r w:rsidR="009A287C" w:rsidRPr="004D5BCC">
              <w:rPr>
                <w:noProof/>
                <w:sz w:val="27"/>
                <w:szCs w:val="27"/>
              </w:rPr>
              <w:t>3.1.1.1.</w:t>
            </w:r>
            <w:r w:rsidRPr="004D5BCC">
              <w:rPr>
                <w:noProof/>
                <w:sz w:val="27"/>
                <w:szCs w:val="27"/>
              </w:rPr>
              <w:t>aktivitātes otrās atlases kārtas ietvaros</w:t>
            </w:r>
            <w:r w:rsidR="009A287C" w:rsidRPr="004D5BCC">
              <w:rPr>
                <w:noProof/>
                <w:sz w:val="27"/>
                <w:szCs w:val="27"/>
              </w:rPr>
              <w:t xml:space="preserve">, kā arī </w:t>
            </w:r>
            <w:r w:rsidR="00713D91" w:rsidRPr="004D5BCC">
              <w:rPr>
                <w:noProof/>
                <w:sz w:val="27"/>
                <w:szCs w:val="27"/>
              </w:rPr>
              <w:t>m</w:t>
            </w:r>
            <w:r w:rsidR="009A287C" w:rsidRPr="004D5BCC">
              <w:rPr>
                <w:noProof/>
                <w:sz w:val="27"/>
                <w:szCs w:val="27"/>
              </w:rPr>
              <w:t>aksimāli pieejamā ERAF un valsts budžeta finansējuma apmēra</w:t>
            </w:r>
            <w:r w:rsidR="00713D91" w:rsidRPr="004D5BCC">
              <w:rPr>
                <w:noProof/>
                <w:sz w:val="27"/>
                <w:szCs w:val="27"/>
              </w:rPr>
              <w:t xml:space="preserve"> sadalījumu</w:t>
            </w:r>
            <w:r w:rsidRPr="004D5BCC">
              <w:rPr>
                <w:noProof/>
                <w:sz w:val="27"/>
                <w:szCs w:val="27"/>
              </w:rPr>
              <w:t xml:space="preserve">. </w:t>
            </w:r>
            <w:r w:rsidR="008D4694" w:rsidRPr="004D5BCC">
              <w:rPr>
                <w:noProof/>
                <w:sz w:val="27"/>
                <w:szCs w:val="27"/>
              </w:rPr>
              <w:t>Ar noteikumu projektu regulētās aktivitātes</w:t>
            </w:r>
            <w:r w:rsidRPr="004D5BCC">
              <w:rPr>
                <w:noProof/>
                <w:sz w:val="27"/>
                <w:szCs w:val="27"/>
              </w:rPr>
              <w:t xml:space="preserve">  mērķis ir uzlabot profesionālās izglītības programmu īstenošanu nodrošinošo infrastruktūru, piešķirot finansējumu konkurētspējīgākajām profesionālās izglītības iestādēm, kuras saskaņā ar informatīvajā ziņojumā ietvertajiem vērtēšanas principiem ir ieguvušas augstāku novērtējumu, saņēmušas nozaru atbalstu, kvalificējas dalībai 3.1.1.1.aktivitātes otrajā atlases kārtā un kuras ir nosauktas Profesionālās izglītības iestāžu tīkla optimizācijas pamatnostādnēs 2010.–2015.gadam.</w:t>
            </w:r>
          </w:p>
          <w:p w:rsidR="00475B7D" w:rsidRPr="004D5BCC" w:rsidRDefault="00475B7D" w:rsidP="00FF0A26">
            <w:pPr>
              <w:ind w:left="97" w:right="198"/>
              <w:jc w:val="both"/>
              <w:rPr>
                <w:noProof/>
                <w:sz w:val="27"/>
                <w:szCs w:val="27"/>
              </w:rPr>
            </w:pPr>
            <w:r w:rsidRPr="004D5BCC">
              <w:rPr>
                <w:noProof/>
                <w:sz w:val="27"/>
                <w:szCs w:val="27"/>
              </w:rPr>
              <w:lastRenderedPageBreak/>
              <w:t xml:space="preserve">Aktivitātes otrā projektu iesniegumu atlases kārta tiek organizēta ierobežotas atlases veidā, sniedzot iespēju projektu iesniegumu iesniegt </w:t>
            </w:r>
            <w:r w:rsidR="00224E47" w:rsidRPr="004D5BCC">
              <w:rPr>
                <w:noProof/>
                <w:color w:val="000000"/>
                <w:sz w:val="27"/>
                <w:szCs w:val="27"/>
              </w:rPr>
              <w:t>tad</w:t>
            </w:r>
            <w:r w:rsidRPr="004D5BCC">
              <w:rPr>
                <w:noProof/>
                <w:color w:val="000000"/>
                <w:sz w:val="27"/>
                <w:szCs w:val="27"/>
              </w:rPr>
              <w:t>, kad projektam ir augsta gatavība uzsākšanai – ir izstrādāts un būvvaldē saskaņots tehniskais projekts profesionālās izglītības iestādes visu prioritāro izglītības programmu infrastruktūras pilnīgai sakārtošanai un veikts attiecīgs būvdarbu iepirkums, ir sagatavots un pamatots iepērkamā aprīkojuma saraksts, veikts aprīkojuma iegādes izmaksu aprēķins.</w:t>
            </w:r>
          </w:p>
          <w:p w:rsidR="00475B7D" w:rsidRPr="004D5BCC" w:rsidRDefault="00475B7D" w:rsidP="00FF0A26">
            <w:pPr>
              <w:ind w:left="97" w:right="198"/>
              <w:jc w:val="both"/>
              <w:rPr>
                <w:noProof/>
                <w:sz w:val="27"/>
                <w:szCs w:val="27"/>
              </w:rPr>
            </w:pPr>
            <w:r w:rsidRPr="004D5BCC">
              <w:rPr>
                <w:noProof/>
                <w:sz w:val="27"/>
                <w:szCs w:val="27"/>
              </w:rPr>
              <w:t>Maksimāli pieļaujamais Eiropas Savienības fonda finansējuma apmērs ir 86 procenti no kopējās projekta attiecināmo izmaksu kopsummas. Valsts, pašvaldības vai citu juridisku personu dibināta profesionālās izglītības iestāde, kas reģistrēta Latvijas Republikas Izglītības iestāžu reģistrā, vai ir tās dibinātājs, īstenojot projektu, nodrošina līdzfinansējumu vismaz 14</w:t>
            </w:r>
            <w:r w:rsidR="00B973EC" w:rsidRPr="004D5BCC">
              <w:rPr>
                <w:noProof/>
                <w:sz w:val="27"/>
                <w:szCs w:val="27"/>
              </w:rPr>
              <w:t> </w:t>
            </w:r>
            <w:r w:rsidRPr="004D5BCC">
              <w:rPr>
                <w:noProof/>
                <w:sz w:val="27"/>
                <w:szCs w:val="27"/>
              </w:rPr>
              <w:t>procentu apjomā no projekta attiecināmo izmaksu kopsummas.</w:t>
            </w:r>
          </w:p>
          <w:p w:rsidR="00475B7D" w:rsidRPr="004D5BCC" w:rsidRDefault="00475B7D" w:rsidP="00FF0A26">
            <w:pPr>
              <w:ind w:left="97" w:right="198"/>
              <w:jc w:val="both"/>
              <w:rPr>
                <w:noProof/>
                <w:sz w:val="27"/>
                <w:szCs w:val="27"/>
              </w:rPr>
            </w:pPr>
            <w:r w:rsidRPr="004D5BCC">
              <w:rPr>
                <w:noProof/>
                <w:sz w:val="27"/>
                <w:szCs w:val="27"/>
              </w:rPr>
              <w:t>Noteikumu projekta pieņemšana ir saistīta ar Eiropas Parlamenta un Padomes 2006.gada 5.jūlija regulas (EK) Nr. 1080/2006 par Eiropas Reģionālās attīstības fondu un Regulas (EK) Nr.1783/1999 atcelšanu un Padomes 2006.gada 11.jūlija regulas (EK) Nr.1083/2006, ar ko paredz vispārīgus noteikumus par Eiropas Reģionālās attīstības fondu, Eiropas Sociālo fondu un Kohēzijas fondu un atceļ Regulu (EK) Nr. 1260/1999, piemērošanu.</w:t>
            </w:r>
          </w:p>
        </w:tc>
      </w:tr>
      <w:tr w:rsidR="00475B7D" w:rsidRPr="009E43F0">
        <w:tc>
          <w:tcPr>
            <w:tcW w:w="236"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lastRenderedPageBreak/>
              <w:t>5.</w:t>
            </w:r>
          </w:p>
        </w:tc>
        <w:tc>
          <w:tcPr>
            <w:tcW w:w="1267"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Projekta izstrādē iesaistītās institūcijas</w:t>
            </w:r>
          </w:p>
        </w:tc>
        <w:tc>
          <w:tcPr>
            <w:tcW w:w="3497" w:type="pct"/>
            <w:tcBorders>
              <w:top w:val="outset" w:sz="6" w:space="0" w:color="000000"/>
              <w:left w:val="outset" w:sz="6" w:space="0" w:color="000000"/>
              <w:bottom w:val="outset" w:sz="6" w:space="0" w:color="000000"/>
            </w:tcBorders>
          </w:tcPr>
          <w:p w:rsidR="00475B7D" w:rsidRPr="009E43F0" w:rsidRDefault="00475B7D" w:rsidP="00FF0A26">
            <w:pPr>
              <w:ind w:left="97" w:right="198"/>
              <w:rPr>
                <w:noProof/>
                <w:sz w:val="27"/>
                <w:szCs w:val="27"/>
              </w:rPr>
            </w:pPr>
            <w:r w:rsidRPr="009E43F0">
              <w:rPr>
                <w:noProof/>
                <w:sz w:val="27"/>
                <w:szCs w:val="27"/>
              </w:rPr>
              <w:t>Izglītības un zinātnes ministrija.</w:t>
            </w:r>
          </w:p>
        </w:tc>
      </w:tr>
      <w:tr w:rsidR="00475B7D" w:rsidRPr="009E43F0">
        <w:tc>
          <w:tcPr>
            <w:tcW w:w="236"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6.</w:t>
            </w:r>
          </w:p>
        </w:tc>
        <w:tc>
          <w:tcPr>
            <w:tcW w:w="1267"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Iemesli, kādēļ netika nodrošināta sabiedrības līdzdalība</w:t>
            </w:r>
          </w:p>
        </w:tc>
        <w:tc>
          <w:tcPr>
            <w:tcW w:w="3497" w:type="pct"/>
            <w:tcBorders>
              <w:top w:val="outset" w:sz="6" w:space="0" w:color="000000"/>
              <w:left w:val="outset" w:sz="6" w:space="0" w:color="000000"/>
              <w:bottom w:val="outset" w:sz="6" w:space="0" w:color="000000"/>
            </w:tcBorders>
          </w:tcPr>
          <w:p w:rsidR="00475B7D" w:rsidRPr="009E43F0" w:rsidRDefault="00475B7D" w:rsidP="00FF0A26">
            <w:pPr>
              <w:autoSpaceDE w:val="0"/>
              <w:autoSpaceDN w:val="0"/>
              <w:adjustRightInd w:val="0"/>
              <w:ind w:left="97" w:right="198"/>
              <w:jc w:val="both"/>
              <w:rPr>
                <w:noProof/>
                <w:sz w:val="27"/>
                <w:szCs w:val="27"/>
              </w:rPr>
            </w:pPr>
            <w:r w:rsidRPr="009E43F0">
              <w:rPr>
                <w:noProof/>
                <w:color w:val="000000"/>
                <w:sz w:val="27"/>
                <w:szCs w:val="27"/>
              </w:rPr>
              <w:t>Noteikumu projekts neierobežo sabiedrības pārstāvju tiesības.</w:t>
            </w:r>
          </w:p>
        </w:tc>
      </w:tr>
      <w:tr w:rsidR="00475B7D" w:rsidRPr="009E43F0">
        <w:tc>
          <w:tcPr>
            <w:tcW w:w="236"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7.</w:t>
            </w:r>
          </w:p>
        </w:tc>
        <w:tc>
          <w:tcPr>
            <w:tcW w:w="1267"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Cita informācija</w:t>
            </w:r>
          </w:p>
        </w:tc>
        <w:tc>
          <w:tcPr>
            <w:tcW w:w="3497" w:type="pct"/>
            <w:tcBorders>
              <w:top w:val="outset" w:sz="6" w:space="0" w:color="000000"/>
              <w:left w:val="outset" w:sz="6" w:space="0" w:color="000000"/>
              <w:bottom w:val="outset" w:sz="6" w:space="0" w:color="000000"/>
            </w:tcBorders>
          </w:tcPr>
          <w:p w:rsidR="00475B7D" w:rsidRPr="009E43F0" w:rsidRDefault="00475B7D" w:rsidP="00FF0A26">
            <w:pPr>
              <w:ind w:left="97" w:right="198"/>
              <w:rPr>
                <w:noProof/>
                <w:sz w:val="27"/>
                <w:szCs w:val="27"/>
              </w:rPr>
            </w:pPr>
            <w:r w:rsidRPr="009E43F0">
              <w:rPr>
                <w:noProof/>
                <w:sz w:val="27"/>
                <w:szCs w:val="27"/>
              </w:rPr>
              <w:t>Nav.</w:t>
            </w:r>
          </w:p>
        </w:tc>
      </w:tr>
    </w:tbl>
    <w:p w:rsidR="00475B7D" w:rsidRPr="009E43F0" w:rsidRDefault="00475B7D" w:rsidP="00FF0A26">
      <w:pPr>
        <w:rPr>
          <w:noProof/>
          <w:sz w:val="27"/>
          <w:szCs w:val="27"/>
        </w:rPr>
      </w:pPr>
      <w:r w:rsidRPr="009E43F0">
        <w:rPr>
          <w:noProof/>
          <w:sz w:val="27"/>
          <w:szCs w:val="27"/>
        </w:rPr>
        <w:t> </w:t>
      </w:r>
    </w:p>
    <w:tbl>
      <w:tblPr>
        <w:tblW w:w="480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270"/>
        <w:gridCol w:w="6233"/>
      </w:tblGrid>
      <w:tr w:rsidR="00475B7D" w:rsidRPr="009E43F0">
        <w:tc>
          <w:tcPr>
            <w:tcW w:w="5000" w:type="pct"/>
            <w:gridSpan w:val="3"/>
          </w:tcPr>
          <w:p w:rsidR="00475B7D" w:rsidRPr="009E43F0" w:rsidRDefault="00475B7D" w:rsidP="00FF0A26">
            <w:pPr>
              <w:jc w:val="center"/>
              <w:rPr>
                <w:b/>
                <w:bCs/>
                <w:noProof/>
                <w:sz w:val="27"/>
                <w:szCs w:val="27"/>
              </w:rPr>
            </w:pPr>
            <w:r w:rsidRPr="009E43F0">
              <w:rPr>
                <w:b/>
                <w:bCs/>
                <w:noProof/>
                <w:sz w:val="27"/>
                <w:szCs w:val="27"/>
              </w:rPr>
              <w:t>II. Tiesību akta projekta ietekme uz sabiedrību</w:t>
            </w:r>
          </w:p>
        </w:tc>
      </w:tr>
      <w:tr w:rsidR="00475B7D" w:rsidRPr="009E43F0">
        <w:tc>
          <w:tcPr>
            <w:tcW w:w="239" w:type="pct"/>
          </w:tcPr>
          <w:p w:rsidR="00475B7D" w:rsidRPr="009E43F0" w:rsidRDefault="00475B7D" w:rsidP="00FF0A26">
            <w:pPr>
              <w:rPr>
                <w:noProof/>
                <w:sz w:val="27"/>
                <w:szCs w:val="27"/>
              </w:rPr>
            </w:pPr>
            <w:r w:rsidRPr="009E43F0">
              <w:rPr>
                <w:noProof/>
                <w:sz w:val="27"/>
                <w:szCs w:val="27"/>
              </w:rPr>
              <w:t>1.</w:t>
            </w:r>
          </w:p>
        </w:tc>
        <w:tc>
          <w:tcPr>
            <w:tcW w:w="1271" w:type="pct"/>
          </w:tcPr>
          <w:p w:rsidR="00475B7D" w:rsidRPr="009E43F0" w:rsidRDefault="00475B7D" w:rsidP="00FF0A26">
            <w:pPr>
              <w:jc w:val="both"/>
              <w:rPr>
                <w:noProof/>
                <w:sz w:val="27"/>
                <w:szCs w:val="27"/>
              </w:rPr>
            </w:pPr>
            <w:r w:rsidRPr="009E43F0">
              <w:rPr>
                <w:noProof/>
                <w:sz w:val="27"/>
                <w:szCs w:val="27"/>
              </w:rPr>
              <w:t>Sabiedrības mērķgrupa</w:t>
            </w:r>
          </w:p>
        </w:tc>
        <w:tc>
          <w:tcPr>
            <w:tcW w:w="3490" w:type="pct"/>
          </w:tcPr>
          <w:p w:rsidR="00475B7D" w:rsidRPr="009E43F0" w:rsidRDefault="00475B7D" w:rsidP="00FF0A26">
            <w:pPr>
              <w:jc w:val="both"/>
              <w:rPr>
                <w:noProof/>
                <w:sz w:val="27"/>
                <w:szCs w:val="27"/>
              </w:rPr>
            </w:pPr>
            <w:r w:rsidRPr="009E43F0">
              <w:rPr>
                <w:noProof/>
                <w:sz w:val="27"/>
                <w:szCs w:val="27"/>
              </w:rPr>
              <w:t>Profesionālās izglītības iestāžu tīkla optimizācijas pamatnostādnēs 2010.–2015.gadam nosauk</w:t>
            </w:r>
            <w:r w:rsidR="00D677BC" w:rsidRPr="009E43F0">
              <w:rPr>
                <w:noProof/>
                <w:sz w:val="27"/>
                <w:szCs w:val="27"/>
              </w:rPr>
              <w:t>tās 11 </w:t>
            </w:r>
            <w:r w:rsidRPr="009E43F0">
              <w:rPr>
                <w:noProof/>
                <w:sz w:val="27"/>
                <w:szCs w:val="27"/>
              </w:rPr>
              <w:t>profesionālās izglītības iestādes, to audzēkņi un pedagogi.</w:t>
            </w:r>
          </w:p>
        </w:tc>
      </w:tr>
      <w:tr w:rsidR="00475B7D" w:rsidRPr="009E43F0">
        <w:tc>
          <w:tcPr>
            <w:tcW w:w="239" w:type="pct"/>
          </w:tcPr>
          <w:p w:rsidR="00475B7D" w:rsidRPr="009E43F0" w:rsidRDefault="00475B7D" w:rsidP="00FF0A26">
            <w:pPr>
              <w:rPr>
                <w:noProof/>
                <w:sz w:val="27"/>
                <w:szCs w:val="27"/>
              </w:rPr>
            </w:pPr>
            <w:r w:rsidRPr="009E43F0">
              <w:rPr>
                <w:noProof/>
                <w:sz w:val="27"/>
                <w:szCs w:val="27"/>
              </w:rPr>
              <w:t>2.</w:t>
            </w:r>
          </w:p>
        </w:tc>
        <w:tc>
          <w:tcPr>
            <w:tcW w:w="1271" w:type="pct"/>
          </w:tcPr>
          <w:p w:rsidR="00475B7D" w:rsidRPr="009E43F0" w:rsidRDefault="00475B7D" w:rsidP="00FF0A26">
            <w:pPr>
              <w:jc w:val="both"/>
              <w:rPr>
                <w:noProof/>
                <w:sz w:val="27"/>
                <w:szCs w:val="27"/>
              </w:rPr>
            </w:pPr>
            <w:r w:rsidRPr="009E43F0">
              <w:rPr>
                <w:noProof/>
                <w:sz w:val="27"/>
                <w:szCs w:val="27"/>
              </w:rPr>
              <w:t xml:space="preserve">Citas sabiedrības grupas (bez mērķgrupas), </w:t>
            </w:r>
            <w:r w:rsidRPr="009E43F0">
              <w:rPr>
                <w:noProof/>
                <w:sz w:val="27"/>
                <w:szCs w:val="27"/>
              </w:rPr>
              <w:lastRenderedPageBreak/>
              <w:t>kuras tiesiskais regulējums arī ietekmē vai varētu ietekmēt</w:t>
            </w:r>
          </w:p>
        </w:tc>
        <w:tc>
          <w:tcPr>
            <w:tcW w:w="3490" w:type="pct"/>
          </w:tcPr>
          <w:p w:rsidR="00475B7D" w:rsidRPr="009E43F0" w:rsidRDefault="00475B7D" w:rsidP="00FF0A26">
            <w:pPr>
              <w:jc w:val="both"/>
              <w:rPr>
                <w:noProof/>
                <w:sz w:val="27"/>
                <w:szCs w:val="27"/>
              </w:rPr>
            </w:pPr>
            <w:r w:rsidRPr="009E43F0">
              <w:rPr>
                <w:noProof/>
                <w:sz w:val="27"/>
                <w:szCs w:val="27"/>
              </w:rPr>
              <w:lastRenderedPageBreak/>
              <w:t xml:space="preserve">Noteikumu projekts šo jomu neskar. </w:t>
            </w:r>
          </w:p>
        </w:tc>
      </w:tr>
      <w:tr w:rsidR="00475B7D" w:rsidRPr="009E43F0">
        <w:tc>
          <w:tcPr>
            <w:tcW w:w="239" w:type="pct"/>
          </w:tcPr>
          <w:p w:rsidR="00475B7D" w:rsidRPr="009E43F0" w:rsidRDefault="00475B7D" w:rsidP="00FF0A26">
            <w:pPr>
              <w:rPr>
                <w:noProof/>
                <w:sz w:val="27"/>
                <w:szCs w:val="27"/>
              </w:rPr>
            </w:pPr>
            <w:r w:rsidRPr="009E43F0">
              <w:rPr>
                <w:noProof/>
                <w:sz w:val="27"/>
                <w:szCs w:val="27"/>
              </w:rPr>
              <w:lastRenderedPageBreak/>
              <w:t>3.</w:t>
            </w:r>
          </w:p>
        </w:tc>
        <w:tc>
          <w:tcPr>
            <w:tcW w:w="1271" w:type="pct"/>
          </w:tcPr>
          <w:p w:rsidR="00475B7D" w:rsidRPr="009E43F0" w:rsidRDefault="00475B7D" w:rsidP="00FF0A26">
            <w:pPr>
              <w:jc w:val="both"/>
              <w:rPr>
                <w:noProof/>
                <w:sz w:val="27"/>
                <w:szCs w:val="27"/>
              </w:rPr>
            </w:pPr>
            <w:r w:rsidRPr="009E43F0">
              <w:rPr>
                <w:noProof/>
                <w:sz w:val="27"/>
                <w:szCs w:val="27"/>
              </w:rPr>
              <w:t>Tiesiskā regulējuma finansiālā ietekme</w:t>
            </w:r>
          </w:p>
        </w:tc>
        <w:tc>
          <w:tcPr>
            <w:tcW w:w="3490" w:type="pct"/>
          </w:tcPr>
          <w:p w:rsidR="00475B7D" w:rsidRPr="009E43F0" w:rsidRDefault="00475B7D" w:rsidP="00FF0A26">
            <w:pPr>
              <w:jc w:val="both"/>
              <w:rPr>
                <w:noProof/>
                <w:sz w:val="27"/>
                <w:szCs w:val="27"/>
              </w:rPr>
            </w:pPr>
            <w:r w:rsidRPr="009E43F0">
              <w:rPr>
                <w:noProof/>
                <w:sz w:val="27"/>
                <w:szCs w:val="27"/>
              </w:rPr>
              <w:t>Noteikumu projekts šo jomu neskar.</w:t>
            </w:r>
          </w:p>
        </w:tc>
      </w:tr>
      <w:tr w:rsidR="00475B7D" w:rsidRPr="009E43F0">
        <w:tc>
          <w:tcPr>
            <w:tcW w:w="239" w:type="pct"/>
          </w:tcPr>
          <w:p w:rsidR="00475B7D" w:rsidRPr="009E43F0" w:rsidRDefault="00475B7D" w:rsidP="00FF0A26">
            <w:pPr>
              <w:rPr>
                <w:noProof/>
                <w:sz w:val="27"/>
                <w:szCs w:val="27"/>
              </w:rPr>
            </w:pPr>
            <w:r w:rsidRPr="009E43F0">
              <w:rPr>
                <w:noProof/>
                <w:sz w:val="27"/>
                <w:szCs w:val="27"/>
              </w:rPr>
              <w:t>4.</w:t>
            </w:r>
          </w:p>
        </w:tc>
        <w:tc>
          <w:tcPr>
            <w:tcW w:w="1271" w:type="pct"/>
          </w:tcPr>
          <w:p w:rsidR="00475B7D" w:rsidRPr="009E43F0" w:rsidRDefault="00475B7D" w:rsidP="00FF0A26">
            <w:pPr>
              <w:jc w:val="both"/>
              <w:rPr>
                <w:noProof/>
                <w:sz w:val="27"/>
                <w:szCs w:val="27"/>
              </w:rPr>
            </w:pPr>
            <w:r w:rsidRPr="009E43F0">
              <w:rPr>
                <w:noProof/>
                <w:sz w:val="27"/>
                <w:szCs w:val="27"/>
              </w:rPr>
              <w:t>Tiesiskā regulējuma nefinansiālā ietekme</w:t>
            </w:r>
          </w:p>
        </w:tc>
        <w:tc>
          <w:tcPr>
            <w:tcW w:w="3490" w:type="pct"/>
          </w:tcPr>
          <w:p w:rsidR="00475B7D" w:rsidRPr="009E43F0" w:rsidRDefault="00475B7D" w:rsidP="00FF0A26">
            <w:pPr>
              <w:jc w:val="both"/>
              <w:rPr>
                <w:noProof/>
                <w:sz w:val="27"/>
                <w:szCs w:val="27"/>
              </w:rPr>
            </w:pPr>
            <w:r w:rsidRPr="009E43F0">
              <w:rPr>
                <w:noProof/>
                <w:sz w:val="27"/>
                <w:szCs w:val="27"/>
              </w:rPr>
              <w:t xml:space="preserve">Modernizējot profesionālās izglītības programmu nodrošinošo infrastruktūru, tiks sekmēta darba tirgus prasībām atbilstošu speciālistu sagatavošana, kas ilgtermiņā varētu mazināt jauniešu bezdarbu Latvijā. </w:t>
            </w:r>
          </w:p>
        </w:tc>
      </w:tr>
      <w:tr w:rsidR="00475B7D" w:rsidRPr="009E43F0">
        <w:tc>
          <w:tcPr>
            <w:tcW w:w="239" w:type="pct"/>
          </w:tcPr>
          <w:p w:rsidR="00475B7D" w:rsidRPr="009E43F0" w:rsidRDefault="00475B7D" w:rsidP="00FF0A26">
            <w:pPr>
              <w:rPr>
                <w:noProof/>
                <w:sz w:val="27"/>
                <w:szCs w:val="27"/>
              </w:rPr>
            </w:pPr>
            <w:r w:rsidRPr="009E43F0">
              <w:rPr>
                <w:noProof/>
                <w:sz w:val="27"/>
                <w:szCs w:val="27"/>
              </w:rPr>
              <w:t>5.</w:t>
            </w:r>
          </w:p>
        </w:tc>
        <w:tc>
          <w:tcPr>
            <w:tcW w:w="1271" w:type="pct"/>
          </w:tcPr>
          <w:p w:rsidR="00475B7D" w:rsidRPr="009E43F0" w:rsidRDefault="00475B7D" w:rsidP="00FF0A26">
            <w:pPr>
              <w:jc w:val="both"/>
              <w:rPr>
                <w:noProof/>
                <w:sz w:val="27"/>
                <w:szCs w:val="27"/>
              </w:rPr>
            </w:pPr>
            <w:r w:rsidRPr="009E43F0">
              <w:rPr>
                <w:noProof/>
                <w:sz w:val="27"/>
                <w:szCs w:val="27"/>
              </w:rPr>
              <w:t>Administratīvās procedūras raksturojums</w:t>
            </w:r>
          </w:p>
        </w:tc>
        <w:tc>
          <w:tcPr>
            <w:tcW w:w="3490" w:type="pct"/>
          </w:tcPr>
          <w:p w:rsidR="00475B7D" w:rsidRPr="009E43F0" w:rsidRDefault="00475B7D" w:rsidP="00FF0A26">
            <w:pPr>
              <w:jc w:val="both"/>
              <w:rPr>
                <w:noProof/>
                <w:sz w:val="27"/>
                <w:szCs w:val="27"/>
              </w:rPr>
            </w:pPr>
            <w:r w:rsidRPr="009E43F0">
              <w:rPr>
                <w:noProof/>
                <w:sz w:val="27"/>
                <w:szCs w:val="27"/>
              </w:rPr>
              <w:t>Noteikumu projekts šo jomu neskar.</w:t>
            </w:r>
          </w:p>
        </w:tc>
      </w:tr>
      <w:tr w:rsidR="00475B7D" w:rsidRPr="009E43F0">
        <w:tc>
          <w:tcPr>
            <w:tcW w:w="239" w:type="pct"/>
          </w:tcPr>
          <w:p w:rsidR="00475B7D" w:rsidRPr="009E43F0" w:rsidRDefault="00475B7D" w:rsidP="00FF0A26">
            <w:pPr>
              <w:rPr>
                <w:noProof/>
                <w:sz w:val="27"/>
                <w:szCs w:val="27"/>
              </w:rPr>
            </w:pPr>
            <w:r w:rsidRPr="009E43F0">
              <w:rPr>
                <w:noProof/>
                <w:sz w:val="27"/>
                <w:szCs w:val="27"/>
              </w:rPr>
              <w:t>6.</w:t>
            </w:r>
          </w:p>
        </w:tc>
        <w:tc>
          <w:tcPr>
            <w:tcW w:w="1271" w:type="pct"/>
          </w:tcPr>
          <w:p w:rsidR="00475B7D" w:rsidRPr="009E43F0" w:rsidRDefault="00475B7D" w:rsidP="00FF0A26">
            <w:pPr>
              <w:jc w:val="both"/>
              <w:rPr>
                <w:noProof/>
                <w:sz w:val="27"/>
                <w:szCs w:val="27"/>
              </w:rPr>
            </w:pPr>
            <w:r w:rsidRPr="009E43F0">
              <w:rPr>
                <w:noProof/>
                <w:sz w:val="27"/>
                <w:szCs w:val="27"/>
              </w:rPr>
              <w:t>Administratīvo izmaksu monetārs novērtējums</w:t>
            </w:r>
          </w:p>
        </w:tc>
        <w:tc>
          <w:tcPr>
            <w:tcW w:w="3490" w:type="pct"/>
          </w:tcPr>
          <w:p w:rsidR="00475B7D" w:rsidRPr="009E43F0" w:rsidRDefault="00475B7D" w:rsidP="00FF0A26">
            <w:pPr>
              <w:jc w:val="both"/>
              <w:rPr>
                <w:noProof/>
                <w:sz w:val="27"/>
                <w:szCs w:val="27"/>
              </w:rPr>
            </w:pPr>
            <w:r w:rsidRPr="009E43F0">
              <w:rPr>
                <w:noProof/>
                <w:sz w:val="27"/>
                <w:szCs w:val="27"/>
              </w:rPr>
              <w:t>Noteikumu projekts šo jomu neskar.</w:t>
            </w:r>
          </w:p>
        </w:tc>
      </w:tr>
      <w:tr w:rsidR="00475B7D" w:rsidRPr="009E43F0">
        <w:tc>
          <w:tcPr>
            <w:tcW w:w="239" w:type="pct"/>
          </w:tcPr>
          <w:p w:rsidR="00475B7D" w:rsidRPr="009E43F0" w:rsidRDefault="00475B7D" w:rsidP="00FF0A26">
            <w:pPr>
              <w:rPr>
                <w:noProof/>
                <w:sz w:val="27"/>
                <w:szCs w:val="27"/>
              </w:rPr>
            </w:pPr>
            <w:r w:rsidRPr="009E43F0">
              <w:rPr>
                <w:noProof/>
                <w:sz w:val="27"/>
                <w:szCs w:val="27"/>
              </w:rPr>
              <w:t>7.</w:t>
            </w:r>
          </w:p>
        </w:tc>
        <w:tc>
          <w:tcPr>
            <w:tcW w:w="1271" w:type="pct"/>
          </w:tcPr>
          <w:p w:rsidR="00475B7D" w:rsidRPr="009E43F0" w:rsidRDefault="00475B7D" w:rsidP="00FF0A26">
            <w:pPr>
              <w:jc w:val="both"/>
              <w:rPr>
                <w:noProof/>
                <w:sz w:val="27"/>
                <w:szCs w:val="27"/>
              </w:rPr>
            </w:pPr>
            <w:r w:rsidRPr="009E43F0">
              <w:rPr>
                <w:noProof/>
                <w:sz w:val="27"/>
                <w:szCs w:val="27"/>
              </w:rPr>
              <w:t>Cita informācija</w:t>
            </w:r>
          </w:p>
        </w:tc>
        <w:tc>
          <w:tcPr>
            <w:tcW w:w="3490" w:type="pct"/>
          </w:tcPr>
          <w:p w:rsidR="00475B7D" w:rsidRPr="009E43F0" w:rsidRDefault="00475B7D" w:rsidP="00FF0A26">
            <w:pPr>
              <w:jc w:val="both"/>
              <w:rPr>
                <w:noProof/>
                <w:sz w:val="27"/>
                <w:szCs w:val="27"/>
              </w:rPr>
            </w:pPr>
            <w:r w:rsidRPr="009E43F0">
              <w:rPr>
                <w:noProof/>
                <w:sz w:val="27"/>
                <w:szCs w:val="27"/>
              </w:rPr>
              <w:t>Nav</w:t>
            </w:r>
          </w:p>
        </w:tc>
      </w:tr>
    </w:tbl>
    <w:p w:rsidR="00475B7D" w:rsidRPr="009E43F0" w:rsidRDefault="00475B7D" w:rsidP="00FF0A26">
      <w:pPr>
        <w:rPr>
          <w:noProof/>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632"/>
        <w:gridCol w:w="1372"/>
        <w:gridCol w:w="1266"/>
        <w:gridCol w:w="1479"/>
        <w:gridCol w:w="1266"/>
        <w:gridCol w:w="1266"/>
      </w:tblGrid>
      <w:tr w:rsidR="00DF749E" w:rsidRPr="009E43F0" w:rsidTr="00DF749E">
        <w:trPr>
          <w:trHeight w:val="432"/>
        </w:trPr>
        <w:tc>
          <w:tcPr>
            <w:tcW w:w="5000" w:type="pct"/>
            <w:gridSpan w:val="6"/>
            <w:vAlign w:val="center"/>
          </w:tcPr>
          <w:p w:rsidR="00DF749E" w:rsidRPr="009E43F0" w:rsidRDefault="00DF749E" w:rsidP="00FF0A26">
            <w:pPr>
              <w:jc w:val="both"/>
              <w:rPr>
                <w:b/>
                <w:noProof/>
                <w:sz w:val="27"/>
                <w:szCs w:val="27"/>
              </w:rPr>
            </w:pPr>
            <w:r w:rsidRPr="009E43F0">
              <w:rPr>
                <w:b/>
                <w:noProof/>
                <w:sz w:val="27"/>
                <w:szCs w:val="27"/>
              </w:rPr>
              <w:br w:type="page"/>
              <w:t>III. Tiesību akta projekta ietekme uz valsts budžetu un pašvaldību budžetiem</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Merge w:val="restart"/>
            <w:vAlign w:val="center"/>
          </w:tcPr>
          <w:p w:rsidR="00DF749E" w:rsidRPr="009E43F0" w:rsidRDefault="00DF749E" w:rsidP="00FF0A26">
            <w:pPr>
              <w:jc w:val="both"/>
              <w:rPr>
                <w:b/>
                <w:noProof/>
                <w:sz w:val="27"/>
                <w:szCs w:val="27"/>
              </w:rPr>
            </w:pPr>
            <w:r w:rsidRPr="009E43F0">
              <w:rPr>
                <w:b/>
                <w:noProof/>
                <w:sz w:val="27"/>
                <w:szCs w:val="27"/>
              </w:rPr>
              <w:t>Rādītāji</w:t>
            </w:r>
          </w:p>
        </w:tc>
        <w:tc>
          <w:tcPr>
            <w:tcW w:w="1421" w:type="pct"/>
            <w:gridSpan w:val="2"/>
            <w:vMerge w:val="restart"/>
            <w:vAlign w:val="center"/>
          </w:tcPr>
          <w:p w:rsidR="00DF749E" w:rsidRPr="009E43F0" w:rsidRDefault="00DF749E" w:rsidP="00FF0A26">
            <w:pPr>
              <w:jc w:val="both"/>
              <w:rPr>
                <w:b/>
                <w:noProof/>
                <w:sz w:val="27"/>
                <w:szCs w:val="27"/>
              </w:rPr>
            </w:pPr>
            <w:r w:rsidRPr="009E43F0">
              <w:rPr>
                <w:b/>
                <w:noProof/>
                <w:sz w:val="27"/>
                <w:szCs w:val="27"/>
              </w:rPr>
              <w:t>2012.</w:t>
            </w:r>
          </w:p>
        </w:tc>
        <w:tc>
          <w:tcPr>
            <w:tcW w:w="2161" w:type="pct"/>
            <w:gridSpan w:val="3"/>
            <w:vAlign w:val="center"/>
          </w:tcPr>
          <w:p w:rsidR="00DF749E" w:rsidRPr="009E43F0" w:rsidRDefault="00DF749E" w:rsidP="00FF0A26">
            <w:pPr>
              <w:jc w:val="both"/>
              <w:rPr>
                <w:b/>
                <w:i/>
                <w:noProof/>
                <w:sz w:val="27"/>
                <w:szCs w:val="27"/>
              </w:rPr>
            </w:pPr>
            <w:r w:rsidRPr="009E43F0">
              <w:rPr>
                <w:noProof/>
                <w:sz w:val="27"/>
                <w:szCs w:val="27"/>
              </w:rPr>
              <w:t>Turpmākie trīs gadi (tūkst</w:t>
            </w:r>
            <w:smartTag w:uri="schemas-tilde-lv/tildestengine" w:element="currency2">
              <w:smartTagPr>
                <w:attr w:name="currency_text" w:val="latu"/>
                <w:attr w:name="currency_value" w:val="."/>
                <w:attr w:name="currency_key" w:val="LVL"/>
                <w:attr w:name="currency_id" w:val="48"/>
              </w:smartTagPr>
              <w:r w:rsidRPr="009E43F0">
                <w:rPr>
                  <w:noProof/>
                  <w:sz w:val="27"/>
                  <w:szCs w:val="27"/>
                </w:rPr>
                <w:t>. latu</w:t>
              </w:r>
            </w:smartTag>
            <w:r w:rsidRPr="009E43F0">
              <w:rPr>
                <w:noProof/>
                <w:sz w:val="27"/>
                <w:szCs w:val="27"/>
              </w:rPr>
              <w:t>)</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Merge/>
            <w:vAlign w:val="center"/>
          </w:tcPr>
          <w:p w:rsidR="00DF749E" w:rsidRPr="009E43F0" w:rsidRDefault="00DF749E" w:rsidP="00FF0A26">
            <w:pPr>
              <w:jc w:val="both"/>
              <w:rPr>
                <w:b/>
                <w:i/>
                <w:noProof/>
                <w:sz w:val="27"/>
                <w:szCs w:val="27"/>
              </w:rPr>
            </w:pPr>
          </w:p>
        </w:tc>
        <w:tc>
          <w:tcPr>
            <w:tcW w:w="1421" w:type="pct"/>
            <w:gridSpan w:val="2"/>
            <w:vMerge/>
            <w:vAlign w:val="center"/>
          </w:tcPr>
          <w:p w:rsidR="00DF749E" w:rsidRPr="009E43F0" w:rsidRDefault="00DF749E" w:rsidP="00FF0A26">
            <w:pPr>
              <w:jc w:val="both"/>
              <w:rPr>
                <w:b/>
                <w:i/>
                <w:noProof/>
                <w:sz w:val="27"/>
                <w:szCs w:val="27"/>
              </w:rPr>
            </w:pPr>
          </w:p>
        </w:tc>
        <w:tc>
          <w:tcPr>
            <w:tcW w:w="797" w:type="pct"/>
            <w:vAlign w:val="center"/>
          </w:tcPr>
          <w:p w:rsidR="00DF749E" w:rsidRPr="009E43F0" w:rsidRDefault="00DF749E" w:rsidP="00FF0A26">
            <w:pPr>
              <w:jc w:val="both"/>
              <w:rPr>
                <w:b/>
                <w:i/>
                <w:noProof/>
                <w:sz w:val="27"/>
                <w:szCs w:val="27"/>
              </w:rPr>
            </w:pPr>
            <w:r w:rsidRPr="009E43F0">
              <w:rPr>
                <w:b/>
                <w:bCs/>
                <w:noProof/>
                <w:sz w:val="27"/>
                <w:szCs w:val="27"/>
              </w:rPr>
              <w:t>2013.</w:t>
            </w:r>
          </w:p>
        </w:tc>
        <w:tc>
          <w:tcPr>
            <w:tcW w:w="682" w:type="pct"/>
            <w:vAlign w:val="center"/>
          </w:tcPr>
          <w:p w:rsidR="00DF749E" w:rsidRPr="009E43F0" w:rsidRDefault="00DF749E" w:rsidP="00FF0A26">
            <w:pPr>
              <w:jc w:val="both"/>
              <w:rPr>
                <w:b/>
                <w:i/>
                <w:noProof/>
                <w:sz w:val="27"/>
                <w:szCs w:val="27"/>
              </w:rPr>
            </w:pPr>
            <w:r w:rsidRPr="009E43F0">
              <w:rPr>
                <w:b/>
                <w:bCs/>
                <w:noProof/>
                <w:sz w:val="27"/>
                <w:szCs w:val="27"/>
              </w:rPr>
              <w:t>2014.</w:t>
            </w:r>
          </w:p>
        </w:tc>
        <w:tc>
          <w:tcPr>
            <w:tcW w:w="682" w:type="pct"/>
            <w:vAlign w:val="center"/>
          </w:tcPr>
          <w:p w:rsidR="00DF749E" w:rsidRPr="009E43F0" w:rsidRDefault="00DF749E" w:rsidP="00FF0A26">
            <w:pPr>
              <w:jc w:val="both"/>
              <w:rPr>
                <w:b/>
                <w:i/>
                <w:noProof/>
                <w:sz w:val="27"/>
                <w:szCs w:val="27"/>
              </w:rPr>
            </w:pPr>
            <w:r w:rsidRPr="009E43F0">
              <w:rPr>
                <w:b/>
                <w:bCs/>
                <w:noProof/>
                <w:sz w:val="27"/>
                <w:szCs w:val="27"/>
              </w:rPr>
              <w:t>2015.</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Merge/>
            <w:vAlign w:val="center"/>
          </w:tcPr>
          <w:p w:rsidR="00DF749E" w:rsidRPr="009E43F0" w:rsidRDefault="00DF749E" w:rsidP="00FF0A26">
            <w:pPr>
              <w:jc w:val="both"/>
              <w:rPr>
                <w:b/>
                <w:i/>
                <w:noProof/>
                <w:sz w:val="27"/>
                <w:szCs w:val="27"/>
              </w:rPr>
            </w:pPr>
          </w:p>
        </w:tc>
        <w:tc>
          <w:tcPr>
            <w:tcW w:w="739" w:type="pct"/>
            <w:vAlign w:val="center"/>
          </w:tcPr>
          <w:p w:rsidR="00DF749E" w:rsidRPr="009E43F0" w:rsidRDefault="00DF749E" w:rsidP="00FF0A26">
            <w:pPr>
              <w:jc w:val="both"/>
              <w:rPr>
                <w:b/>
                <w:i/>
                <w:noProof/>
                <w:sz w:val="27"/>
                <w:szCs w:val="27"/>
              </w:rPr>
            </w:pPr>
            <w:r w:rsidRPr="009E43F0">
              <w:rPr>
                <w:noProof/>
                <w:sz w:val="27"/>
                <w:szCs w:val="27"/>
              </w:rPr>
              <w:t>Saskaņā ar valsts budžetu kārtējam gadam</w:t>
            </w:r>
          </w:p>
        </w:tc>
        <w:tc>
          <w:tcPr>
            <w:tcW w:w="682" w:type="pct"/>
            <w:vAlign w:val="center"/>
          </w:tcPr>
          <w:p w:rsidR="00DF749E" w:rsidRPr="009E43F0" w:rsidRDefault="00DF749E" w:rsidP="00FF0A26">
            <w:pPr>
              <w:jc w:val="both"/>
              <w:rPr>
                <w:b/>
                <w:i/>
                <w:noProof/>
                <w:sz w:val="27"/>
                <w:szCs w:val="27"/>
              </w:rPr>
            </w:pPr>
            <w:r w:rsidRPr="009E43F0">
              <w:rPr>
                <w:noProof/>
                <w:sz w:val="27"/>
                <w:szCs w:val="27"/>
              </w:rPr>
              <w:t>Izmaiņas kārtējā gadā, salīdzinot ar budžetu kārtējam gadam</w:t>
            </w:r>
          </w:p>
        </w:tc>
        <w:tc>
          <w:tcPr>
            <w:tcW w:w="797" w:type="pct"/>
            <w:vAlign w:val="center"/>
          </w:tcPr>
          <w:p w:rsidR="00DF749E" w:rsidRPr="009E43F0" w:rsidRDefault="00DF749E" w:rsidP="00FF0A26">
            <w:pPr>
              <w:jc w:val="both"/>
              <w:rPr>
                <w:b/>
                <w:i/>
                <w:noProof/>
                <w:sz w:val="27"/>
                <w:szCs w:val="27"/>
              </w:rPr>
            </w:pPr>
            <w:r w:rsidRPr="009E43F0">
              <w:rPr>
                <w:noProof/>
                <w:sz w:val="27"/>
                <w:szCs w:val="27"/>
              </w:rPr>
              <w:t>Izmaiņas, salīdzinot ar kārtējo (n) gadu</w:t>
            </w:r>
          </w:p>
        </w:tc>
        <w:tc>
          <w:tcPr>
            <w:tcW w:w="682" w:type="pct"/>
            <w:vAlign w:val="center"/>
          </w:tcPr>
          <w:p w:rsidR="00DF749E" w:rsidRPr="009E43F0" w:rsidRDefault="00DF749E" w:rsidP="00FF0A26">
            <w:pPr>
              <w:jc w:val="both"/>
              <w:rPr>
                <w:b/>
                <w:i/>
                <w:noProof/>
                <w:sz w:val="27"/>
                <w:szCs w:val="27"/>
              </w:rPr>
            </w:pPr>
            <w:r w:rsidRPr="009E43F0">
              <w:rPr>
                <w:noProof/>
                <w:sz w:val="27"/>
                <w:szCs w:val="27"/>
              </w:rPr>
              <w:t>Izmaiņas, salīdzinot ar kārtējo (n) gadu</w:t>
            </w:r>
          </w:p>
        </w:tc>
        <w:tc>
          <w:tcPr>
            <w:tcW w:w="682" w:type="pct"/>
            <w:vAlign w:val="center"/>
          </w:tcPr>
          <w:p w:rsidR="00DF749E" w:rsidRPr="009E43F0" w:rsidRDefault="00DF749E" w:rsidP="00FF0A26">
            <w:pPr>
              <w:jc w:val="both"/>
              <w:rPr>
                <w:b/>
                <w:i/>
                <w:noProof/>
                <w:sz w:val="27"/>
                <w:szCs w:val="27"/>
              </w:rPr>
            </w:pPr>
            <w:r w:rsidRPr="009E43F0">
              <w:rPr>
                <w:noProof/>
                <w:sz w:val="27"/>
                <w:szCs w:val="27"/>
              </w:rPr>
              <w:t>Izmaiņas, salīdzinot ar kārtējo (n) gadu</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Align w:val="center"/>
          </w:tcPr>
          <w:p w:rsidR="00DF749E" w:rsidRPr="009E43F0" w:rsidRDefault="00DF749E" w:rsidP="00FF0A26">
            <w:pPr>
              <w:jc w:val="both"/>
              <w:rPr>
                <w:bCs/>
                <w:noProof/>
                <w:sz w:val="27"/>
                <w:szCs w:val="27"/>
              </w:rPr>
            </w:pPr>
            <w:r w:rsidRPr="009E43F0">
              <w:rPr>
                <w:bCs/>
                <w:noProof/>
                <w:sz w:val="27"/>
                <w:szCs w:val="27"/>
              </w:rPr>
              <w:t>1</w:t>
            </w:r>
          </w:p>
        </w:tc>
        <w:tc>
          <w:tcPr>
            <w:tcW w:w="739" w:type="pct"/>
            <w:vAlign w:val="center"/>
          </w:tcPr>
          <w:p w:rsidR="00DF749E" w:rsidRPr="009E43F0" w:rsidRDefault="00DF749E" w:rsidP="00FF0A26">
            <w:pPr>
              <w:jc w:val="both"/>
              <w:rPr>
                <w:bCs/>
                <w:noProof/>
                <w:sz w:val="27"/>
                <w:szCs w:val="27"/>
              </w:rPr>
            </w:pPr>
            <w:r w:rsidRPr="009E43F0">
              <w:rPr>
                <w:bCs/>
                <w:noProof/>
                <w:sz w:val="27"/>
                <w:szCs w:val="27"/>
              </w:rPr>
              <w:t>2</w:t>
            </w:r>
          </w:p>
        </w:tc>
        <w:tc>
          <w:tcPr>
            <w:tcW w:w="682" w:type="pct"/>
            <w:vAlign w:val="center"/>
          </w:tcPr>
          <w:p w:rsidR="00DF749E" w:rsidRPr="009E43F0" w:rsidRDefault="00DF749E" w:rsidP="00FF0A26">
            <w:pPr>
              <w:jc w:val="both"/>
              <w:rPr>
                <w:bCs/>
                <w:noProof/>
                <w:sz w:val="27"/>
                <w:szCs w:val="27"/>
              </w:rPr>
            </w:pPr>
            <w:r w:rsidRPr="009E43F0">
              <w:rPr>
                <w:bCs/>
                <w:noProof/>
                <w:sz w:val="27"/>
                <w:szCs w:val="27"/>
              </w:rPr>
              <w:t>3</w:t>
            </w:r>
          </w:p>
        </w:tc>
        <w:tc>
          <w:tcPr>
            <w:tcW w:w="797" w:type="pct"/>
            <w:vAlign w:val="center"/>
          </w:tcPr>
          <w:p w:rsidR="00DF749E" w:rsidRPr="009E43F0" w:rsidRDefault="00DF749E" w:rsidP="00FF0A26">
            <w:pPr>
              <w:jc w:val="both"/>
              <w:rPr>
                <w:bCs/>
                <w:noProof/>
                <w:sz w:val="27"/>
                <w:szCs w:val="27"/>
              </w:rPr>
            </w:pPr>
            <w:r w:rsidRPr="009E43F0">
              <w:rPr>
                <w:bCs/>
                <w:noProof/>
                <w:sz w:val="27"/>
                <w:szCs w:val="27"/>
              </w:rPr>
              <w:t>4</w:t>
            </w:r>
          </w:p>
        </w:tc>
        <w:tc>
          <w:tcPr>
            <w:tcW w:w="682" w:type="pct"/>
            <w:vAlign w:val="center"/>
          </w:tcPr>
          <w:p w:rsidR="00DF749E" w:rsidRPr="009E43F0" w:rsidRDefault="00DF749E" w:rsidP="00FF0A26">
            <w:pPr>
              <w:jc w:val="both"/>
              <w:rPr>
                <w:bCs/>
                <w:noProof/>
                <w:sz w:val="27"/>
                <w:szCs w:val="27"/>
              </w:rPr>
            </w:pPr>
            <w:r w:rsidRPr="009E43F0">
              <w:rPr>
                <w:bCs/>
                <w:noProof/>
                <w:sz w:val="27"/>
                <w:szCs w:val="27"/>
              </w:rPr>
              <w:t>5</w:t>
            </w:r>
          </w:p>
        </w:tc>
        <w:tc>
          <w:tcPr>
            <w:tcW w:w="682" w:type="pct"/>
            <w:vAlign w:val="center"/>
          </w:tcPr>
          <w:p w:rsidR="00DF749E" w:rsidRPr="009E43F0" w:rsidRDefault="00DF749E" w:rsidP="00FF0A26">
            <w:pPr>
              <w:jc w:val="both"/>
              <w:rPr>
                <w:bCs/>
                <w:noProof/>
                <w:sz w:val="27"/>
                <w:szCs w:val="27"/>
              </w:rPr>
            </w:pPr>
            <w:r w:rsidRPr="009E43F0">
              <w:rPr>
                <w:bCs/>
                <w:noProof/>
                <w:sz w:val="27"/>
                <w:szCs w:val="27"/>
              </w:rPr>
              <w:t>6</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i/>
                <w:noProof/>
                <w:sz w:val="27"/>
                <w:szCs w:val="27"/>
              </w:rPr>
            </w:pPr>
            <w:r w:rsidRPr="009E43F0">
              <w:rPr>
                <w:noProof/>
                <w:sz w:val="27"/>
                <w:szCs w:val="27"/>
              </w:rPr>
              <w:t>1. Budžeta ieņēmumi:</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i/>
                <w:noProof/>
                <w:sz w:val="27"/>
                <w:szCs w:val="27"/>
              </w:rPr>
            </w:pPr>
            <w:r w:rsidRPr="009E43F0">
              <w:rPr>
                <w:noProof/>
                <w:sz w:val="27"/>
                <w:szCs w:val="27"/>
              </w:rPr>
              <w:t>1.1. valsts pamatbudžets, tai skaitā ieņēmumi no maksas pakalpojumiem un citi pašu ieņēmumi</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i/>
                <w:noProof/>
                <w:sz w:val="27"/>
                <w:szCs w:val="27"/>
              </w:rPr>
            </w:pPr>
            <w:r w:rsidRPr="009E43F0">
              <w:rPr>
                <w:noProof/>
                <w:sz w:val="27"/>
                <w:szCs w:val="27"/>
              </w:rPr>
              <w:t>1.2. valsts speciālais budžets</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i/>
                <w:noProof/>
                <w:sz w:val="27"/>
                <w:szCs w:val="27"/>
              </w:rPr>
            </w:pPr>
            <w:r w:rsidRPr="009E43F0">
              <w:rPr>
                <w:noProof/>
                <w:sz w:val="27"/>
                <w:szCs w:val="27"/>
              </w:rPr>
              <w:t>1.3. pašvaldību budžets</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2. Budžeta izdevumi:</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 xml:space="preserve">2.1. valsts </w:t>
            </w:r>
            <w:r w:rsidRPr="009E43F0">
              <w:rPr>
                <w:noProof/>
                <w:sz w:val="27"/>
                <w:szCs w:val="27"/>
              </w:rPr>
              <w:lastRenderedPageBreak/>
              <w:t>pamatbudžets</w:t>
            </w:r>
          </w:p>
        </w:tc>
        <w:tc>
          <w:tcPr>
            <w:tcW w:w="739" w:type="pct"/>
            <w:vAlign w:val="center"/>
          </w:tcPr>
          <w:p w:rsidR="00DF749E" w:rsidRPr="009E43F0" w:rsidRDefault="00DF749E" w:rsidP="00FF0A26">
            <w:pPr>
              <w:jc w:val="both"/>
              <w:rPr>
                <w:noProof/>
                <w:sz w:val="27"/>
                <w:szCs w:val="27"/>
              </w:rPr>
            </w:pPr>
            <w:r w:rsidRPr="009E43F0">
              <w:rPr>
                <w:noProof/>
                <w:sz w:val="27"/>
                <w:szCs w:val="27"/>
              </w:rPr>
              <w:lastRenderedPageBreak/>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lastRenderedPageBreak/>
              <w:t>2.2. valsts speciālais budžets</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 xml:space="preserve">2.3. pašvaldību budžets </w:t>
            </w:r>
          </w:p>
        </w:tc>
        <w:tc>
          <w:tcPr>
            <w:tcW w:w="739"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3. Finansiālā ietekme:</w:t>
            </w:r>
          </w:p>
        </w:tc>
        <w:tc>
          <w:tcPr>
            <w:tcW w:w="739" w:type="pct"/>
            <w:shd w:val="clear" w:color="auto" w:fill="auto"/>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3.1. valsts pamatbudžets</w:t>
            </w:r>
          </w:p>
        </w:tc>
        <w:tc>
          <w:tcPr>
            <w:tcW w:w="739" w:type="pct"/>
            <w:shd w:val="clear" w:color="auto" w:fill="auto"/>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3.2. speciālais budžets</w:t>
            </w:r>
          </w:p>
        </w:tc>
        <w:tc>
          <w:tcPr>
            <w:tcW w:w="739" w:type="pct"/>
            <w:shd w:val="clear" w:color="auto" w:fill="auto"/>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 xml:space="preserve">3.3. pašvaldību budžets </w:t>
            </w:r>
          </w:p>
        </w:tc>
        <w:tc>
          <w:tcPr>
            <w:tcW w:w="739" w:type="pct"/>
            <w:shd w:val="clear" w:color="auto" w:fill="auto"/>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Merge w:val="restart"/>
          </w:tcPr>
          <w:p w:rsidR="00DF749E" w:rsidRPr="009E43F0" w:rsidRDefault="00DF749E" w:rsidP="00FF0A26">
            <w:pPr>
              <w:jc w:val="both"/>
              <w:rPr>
                <w:noProof/>
                <w:sz w:val="27"/>
                <w:szCs w:val="27"/>
              </w:rPr>
            </w:pPr>
            <w:r w:rsidRPr="009E43F0">
              <w:rPr>
                <w:noProof/>
                <w:sz w:val="27"/>
                <w:szCs w:val="27"/>
              </w:rPr>
              <w:t>4. Finanšu līdzekļi papildu izdevumu finansēšanai (kompensējošu izdevumu samazinājumu norāda ar "+" zīmi)</w:t>
            </w:r>
          </w:p>
        </w:tc>
        <w:tc>
          <w:tcPr>
            <w:tcW w:w="739" w:type="pct"/>
            <w:vMerge w:val="restart"/>
            <w:vAlign w:val="center"/>
          </w:tcPr>
          <w:p w:rsidR="00DF749E" w:rsidRPr="009E43F0" w:rsidRDefault="00DF749E" w:rsidP="00FF0A26">
            <w:pPr>
              <w:jc w:val="both"/>
              <w:rPr>
                <w:noProof/>
                <w:sz w:val="27"/>
                <w:szCs w:val="27"/>
              </w:rPr>
            </w:pPr>
            <w:r w:rsidRPr="009E43F0">
              <w:rPr>
                <w:noProof/>
                <w:sz w:val="27"/>
                <w:szCs w:val="27"/>
              </w:rPr>
              <w:t>X</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c>
          <w:tcPr>
            <w:tcW w:w="682" w:type="pct"/>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Merge/>
          </w:tcPr>
          <w:p w:rsidR="00DF749E" w:rsidRPr="009E43F0" w:rsidRDefault="00DF749E" w:rsidP="00FF0A26">
            <w:pPr>
              <w:jc w:val="both"/>
              <w:rPr>
                <w:noProof/>
                <w:sz w:val="27"/>
                <w:szCs w:val="27"/>
              </w:rPr>
            </w:pPr>
          </w:p>
        </w:tc>
        <w:tc>
          <w:tcPr>
            <w:tcW w:w="739" w:type="pct"/>
            <w:vMerge/>
            <w:vAlign w:val="center"/>
          </w:tcPr>
          <w:p w:rsidR="00DF749E" w:rsidRPr="009E43F0" w:rsidRDefault="00DF749E" w:rsidP="00FF0A26">
            <w:pPr>
              <w:jc w:val="both"/>
              <w:rPr>
                <w:noProof/>
                <w:sz w:val="27"/>
                <w:szCs w:val="27"/>
              </w:rPr>
            </w:pP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vMerge/>
          </w:tcPr>
          <w:p w:rsidR="00DF749E" w:rsidRPr="009E43F0" w:rsidRDefault="00DF749E" w:rsidP="00FF0A26">
            <w:pPr>
              <w:jc w:val="both"/>
              <w:rPr>
                <w:noProof/>
                <w:sz w:val="27"/>
                <w:szCs w:val="27"/>
              </w:rPr>
            </w:pPr>
          </w:p>
        </w:tc>
        <w:tc>
          <w:tcPr>
            <w:tcW w:w="739" w:type="pct"/>
            <w:vMerge/>
            <w:vAlign w:val="center"/>
          </w:tcPr>
          <w:p w:rsidR="00DF749E" w:rsidRPr="009E43F0" w:rsidRDefault="00DF749E" w:rsidP="00FF0A26">
            <w:pPr>
              <w:jc w:val="both"/>
              <w:rPr>
                <w:noProof/>
                <w:sz w:val="27"/>
                <w:szCs w:val="27"/>
              </w:rPr>
            </w:pP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5. Precizēta finansiālā ietekme:</w:t>
            </w:r>
          </w:p>
        </w:tc>
        <w:tc>
          <w:tcPr>
            <w:tcW w:w="739" w:type="pct"/>
            <w:vMerge w:val="restart"/>
            <w:vAlign w:val="center"/>
          </w:tcPr>
          <w:p w:rsidR="00DF749E" w:rsidRPr="009E43F0" w:rsidRDefault="00DF749E" w:rsidP="00FF0A26">
            <w:pPr>
              <w:jc w:val="both"/>
              <w:rPr>
                <w:noProof/>
                <w:sz w:val="27"/>
                <w:szCs w:val="27"/>
              </w:rPr>
            </w:pPr>
            <w:r w:rsidRPr="009E43F0">
              <w:rPr>
                <w:noProof/>
                <w:sz w:val="27"/>
                <w:szCs w:val="27"/>
              </w:rPr>
              <w:t>X</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5.1. valsts pamatbudžets</w:t>
            </w:r>
          </w:p>
        </w:tc>
        <w:tc>
          <w:tcPr>
            <w:tcW w:w="739" w:type="pct"/>
            <w:vMerge/>
            <w:vAlign w:val="center"/>
          </w:tcPr>
          <w:p w:rsidR="00DF749E" w:rsidRPr="009E43F0" w:rsidRDefault="00DF749E" w:rsidP="00FF0A26">
            <w:pPr>
              <w:jc w:val="both"/>
              <w:rPr>
                <w:i/>
                <w:noProof/>
                <w:sz w:val="27"/>
                <w:szCs w:val="27"/>
              </w:rPr>
            </w:pP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797"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c>
          <w:tcPr>
            <w:tcW w:w="682" w:type="pct"/>
            <w:vAlign w:val="center"/>
          </w:tcPr>
          <w:p w:rsidR="00DF749E" w:rsidRPr="009E43F0" w:rsidRDefault="00DF749E" w:rsidP="00FF0A26">
            <w:pPr>
              <w:jc w:val="both"/>
              <w:rPr>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5.2. speciālais budžets</w:t>
            </w:r>
          </w:p>
        </w:tc>
        <w:tc>
          <w:tcPr>
            <w:tcW w:w="739" w:type="pct"/>
            <w:vMerge/>
            <w:vAlign w:val="center"/>
          </w:tcPr>
          <w:p w:rsidR="00DF749E" w:rsidRPr="009E43F0" w:rsidRDefault="00DF749E" w:rsidP="00FF0A26">
            <w:pPr>
              <w:jc w:val="both"/>
              <w:rPr>
                <w:i/>
                <w:noProof/>
                <w:sz w:val="27"/>
                <w:szCs w:val="27"/>
              </w:rPr>
            </w:pPr>
          </w:p>
        </w:tc>
        <w:tc>
          <w:tcPr>
            <w:tcW w:w="682" w:type="pct"/>
            <w:vAlign w:val="center"/>
          </w:tcPr>
          <w:p w:rsidR="00DF749E" w:rsidRPr="009E43F0" w:rsidRDefault="00DF749E" w:rsidP="00FF0A26">
            <w:pPr>
              <w:jc w:val="both"/>
              <w:rPr>
                <w:b/>
                <w:noProof/>
                <w:sz w:val="27"/>
                <w:szCs w:val="27"/>
              </w:rPr>
            </w:pPr>
            <w:r w:rsidRPr="009E43F0">
              <w:rPr>
                <w:noProof/>
                <w:sz w:val="27"/>
                <w:szCs w:val="27"/>
              </w:rPr>
              <w:t>0</w:t>
            </w:r>
          </w:p>
        </w:tc>
        <w:tc>
          <w:tcPr>
            <w:tcW w:w="797" w:type="pct"/>
            <w:vAlign w:val="center"/>
          </w:tcPr>
          <w:p w:rsidR="00DF749E" w:rsidRPr="009E43F0" w:rsidRDefault="00DF749E" w:rsidP="00FF0A26">
            <w:pPr>
              <w:jc w:val="both"/>
              <w:rPr>
                <w:b/>
                <w:noProof/>
                <w:sz w:val="27"/>
                <w:szCs w:val="27"/>
              </w:rPr>
            </w:pPr>
            <w:r w:rsidRPr="009E43F0">
              <w:rPr>
                <w:noProof/>
                <w:sz w:val="27"/>
                <w:szCs w:val="27"/>
              </w:rPr>
              <w:t>0</w:t>
            </w:r>
          </w:p>
        </w:tc>
        <w:tc>
          <w:tcPr>
            <w:tcW w:w="682" w:type="pct"/>
            <w:vAlign w:val="center"/>
          </w:tcPr>
          <w:p w:rsidR="00DF749E" w:rsidRPr="009E43F0" w:rsidRDefault="00DF749E" w:rsidP="00FF0A26">
            <w:pPr>
              <w:jc w:val="both"/>
              <w:rPr>
                <w:b/>
                <w:noProof/>
                <w:sz w:val="27"/>
                <w:szCs w:val="27"/>
              </w:rPr>
            </w:pPr>
            <w:r w:rsidRPr="009E43F0">
              <w:rPr>
                <w:noProof/>
                <w:sz w:val="27"/>
                <w:szCs w:val="27"/>
              </w:rPr>
              <w:t>0</w:t>
            </w:r>
          </w:p>
        </w:tc>
        <w:tc>
          <w:tcPr>
            <w:tcW w:w="682" w:type="pct"/>
            <w:vAlign w:val="center"/>
          </w:tcPr>
          <w:p w:rsidR="00DF749E" w:rsidRPr="009E43F0" w:rsidRDefault="00DF749E" w:rsidP="00FF0A26">
            <w:pPr>
              <w:jc w:val="both"/>
              <w:rPr>
                <w:b/>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 xml:space="preserve">5.3. pašvaldību budžets </w:t>
            </w:r>
          </w:p>
        </w:tc>
        <w:tc>
          <w:tcPr>
            <w:tcW w:w="739" w:type="pct"/>
            <w:vMerge/>
            <w:vAlign w:val="center"/>
          </w:tcPr>
          <w:p w:rsidR="00DF749E" w:rsidRPr="009E43F0" w:rsidRDefault="00DF749E" w:rsidP="00FF0A26">
            <w:pPr>
              <w:jc w:val="both"/>
              <w:rPr>
                <w:i/>
                <w:noProof/>
                <w:sz w:val="27"/>
                <w:szCs w:val="27"/>
              </w:rPr>
            </w:pPr>
          </w:p>
        </w:tc>
        <w:tc>
          <w:tcPr>
            <w:tcW w:w="682" w:type="pct"/>
            <w:vAlign w:val="center"/>
          </w:tcPr>
          <w:p w:rsidR="00DF749E" w:rsidRPr="009E43F0" w:rsidRDefault="00DF749E" w:rsidP="00FF0A26">
            <w:pPr>
              <w:jc w:val="both"/>
              <w:rPr>
                <w:b/>
                <w:noProof/>
                <w:sz w:val="27"/>
                <w:szCs w:val="27"/>
              </w:rPr>
            </w:pPr>
            <w:r w:rsidRPr="009E43F0">
              <w:rPr>
                <w:noProof/>
                <w:sz w:val="27"/>
                <w:szCs w:val="27"/>
              </w:rPr>
              <w:t>0</w:t>
            </w:r>
          </w:p>
        </w:tc>
        <w:tc>
          <w:tcPr>
            <w:tcW w:w="797" w:type="pct"/>
            <w:vAlign w:val="center"/>
          </w:tcPr>
          <w:p w:rsidR="00DF749E" w:rsidRPr="009E43F0" w:rsidRDefault="00DF749E" w:rsidP="00FF0A26">
            <w:pPr>
              <w:jc w:val="both"/>
              <w:rPr>
                <w:b/>
                <w:noProof/>
                <w:sz w:val="27"/>
                <w:szCs w:val="27"/>
              </w:rPr>
            </w:pPr>
            <w:r w:rsidRPr="009E43F0">
              <w:rPr>
                <w:noProof/>
                <w:sz w:val="27"/>
                <w:szCs w:val="27"/>
              </w:rPr>
              <w:t>0</w:t>
            </w:r>
          </w:p>
        </w:tc>
        <w:tc>
          <w:tcPr>
            <w:tcW w:w="682" w:type="pct"/>
            <w:vAlign w:val="center"/>
          </w:tcPr>
          <w:p w:rsidR="00DF749E" w:rsidRPr="009E43F0" w:rsidRDefault="00DF749E" w:rsidP="00FF0A26">
            <w:pPr>
              <w:jc w:val="both"/>
              <w:rPr>
                <w:b/>
                <w:noProof/>
                <w:sz w:val="27"/>
                <w:szCs w:val="27"/>
              </w:rPr>
            </w:pPr>
            <w:r w:rsidRPr="009E43F0">
              <w:rPr>
                <w:noProof/>
                <w:sz w:val="27"/>
                <w:szCs w:val="27"/>
              </w:rPr>
              <w:t>0</w:t>
            </w:r>
          </w:p>
        </w:tc>
        <w:tc>
          <w:tcPr>
            <w:tcW w:w="682" w:type="pct"/>
            <w:vAlign w:val="center"/>
          </w:tcPr>
          <w:p w:rsidR="00DF749E" w:rsidRPr="009E43F0" w:rsidRDefault="00DF749E" w:rsidP="00FF0A26">
            <w:pPr>
              <w:jc w:val="both"/>
              <w:rPr>
                <w:b/>
                <w:noProof/>
                <w:sz w:val="27"/>
                <w:szCs w:val="27"/>
              </w:rPr>
            </w:pPr>
            <w:r w:rsidRPr="009E43F0">
              <w:rPr>
                <w:noProof/>
                <w:sz w:val="27"/>
                <w:szCs w:val="27"/>
              </w:rPr>
              <w:t>0</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6. Detalizēts ieņēmumu un izdevu</w:t>
            </w:r>
            <w:r w:rsidRPr="009E43F0">
              <w:rPr>
                <w:noProof/>
                <w:sz w:val="27"/>
                <w:szCs w:val="27"/>
              </w:rPr>
              <w:softHyphen/>
              <w:t>mu aprēķins (ja nepieciešams, detalizētu ieņēmumu un izdevumu aprēķinu var pievienot anotācijas pielikumā):</w:t>
            </w:r>
          </w:p>
        </w:tc>
        <w:tc>
          <w:tcPr>
            <w:tcW w:w="3582" w:type="pct"/>
            <w:gridSpan w:val="5"/>
            <w:vMerge w:val="restart"/>
            <w:vAlign w:val="center"/>
          </w:tcPr>
          <w:p w:rsidR="00DF749E" w:rsidRPr="009E43F0" w:rsidRDefault="001264F4" w:rsidP="00FF0A26">
            <w:pPr>
              <w:jc w:val="both"/>
              <w:rPr>
                <w:noProof/>
                <w:sz w:val="27"/>
                <w:szCs w:val="27"/>
              </w:rPr>
            </w:pPr>
            <w:r w:rsidRPr="009E43F0">
              <w:rPr>
                <w:noProof/>
                <w:sz w:val="27"/>
                <w:szCs w:val="27"/>
              </w:rPr>
              <w:t xml:space="preserve">3.1.1.1.aktivitātes </w:t>
            </w:r>
            <w:r w:rsidR="00DF749E" w:rsidRPr="009E43F0">
              <w:rPr>
                <w:noProof/>
                <w:sz w:val="27"/>
                <w:szCs w:val="27"/>
              </w:rPr>
              <w:t xml:space="preserve">otrajai projektu iesniegumu atlases kārtai pieejamais publiskais finansējums ir </w:t>
            </w:r>
            <w:r w:rsidR="005E4C2B" w:rsidRPr="004D5BCC">
              <w:rPr>
                <w:b/>
                <w:sz w:val="27"/>
                <w:szCs w:val="27"/>
              </w:rPr>
              <w:t>90 708 240</w:t>
            </w:r>
            <w:r w:rsidR="005E4C2B" w:rsidRPr="00703E67">
              <w:t> </w:t>
            </w:r>
            <w:r w:rsidRPr="009E43F0">
              <w:rPr>
                <w:noProof/>
                <w:sz w:val="27"/>
                <w:szCs w:val="27"/>
              </w:rPr>
              <w:t>lati</w:t>
            </w:r>
            <w:r w:rsidR="00DF749E" w:rsidRPr="009E43F0">
              <w:rPr>
                <w:noProof/>
                <w:sz w:val="27"/>
                <w:szCs w:val="27"/>
              </w:rPr>
              <w:t xml:space="preserve">, ko veido </w:t>
            </w:r>
            <w:r w:rsidR="000E1135" w:rsidRPr="009E43F0">
              <w:rPr>
                <w:noProof/>
                <w:sz w:val="27"/>
                <w:szCs w:val="27"/>
              </w:rPr>
              <w:t xml:space="preserve">3.1.1.1.aktivitātes </w:t>
            </w:r>
            <w:r w:rsidR="00DF749E" w:rsidRPr="009E43F0">
              <w:rPr>
                <w:noProof/>
                <w:sz w:val="27"/>
                <w:szCs w:val="27"/>
              </w:rPr>
              <w:t xml:space="preserve">pirmās atlases kārtas </w:t>
            </w:r>
            <w:r w:rsidR="00DA6FE8" w:rsidRPr="009E43F0">
              <w:rPr>
                <w:noProof/>
                <w:sz w:val="27"/>
                <w:szCs w:val="27"/>
              </w:rPr>
              <w:t>ERAF līdz</w:t>
            </w:r>
            <w:r w:rsidR="00DF749E" w:rsidRPr="009E43F0">
              <w:rPr>
                <w:noProof/>
                <w:sz w:val="27"/>
                <w:szCs w:val="27"/>
              </w:rPr>
              <w:t xml:space="preserve">finansējuma atlikums </w:t>
            </w:r>
            <w:r w:rsidR="000E1135" w:rsidRPr="009E43F0">
              <w:rPr>
                <w:noProof/>
                <w:sz w:val="27"/>
                <w:szCs w:val="27"/>
              </w:rPr>
              <w:t>40</w:t>
            </w:r>
            <w:r w:rsidR="00DF749E" w:rsidRPr="009E43F0">
              <w:rPr>
                <w:noProof/>
                <w:sz w:val="27"/>
                <w:szCs w:val="27"/>
              </w:rPr>
              <w:t> </w:t>
            </w:r>
            <w:r w:rsidR="000E1135" w:rsidRPr="009E43F0">
              <w:rPr>
                <w:noProof/>
                <w:sz w:val="27"/>
                <w:szCs w:val="27"/>
              </w:rPr>
              <w:t>806</w:t>
            </w:r>
            <w:r w:rsidR="00DF749E" w:rsidRPr="009E43F0">
              <w:rPr>
                <w:noProof/>
                <w:sz w:val="27"/>
                <w:szCs w:val="27"/>
              </w:rPr>
              <w:t> </w:t>
            </w:r>
            <w:r w:rsidR="000E1135" w:rsidRPr="009E43F0">
              <w:rPr>
                <w:noProof/>
                <w:sz w:val="27"/>
                <w:szCs w:val="27"/>
              </w:rPr>
              <w:t>159 latu apmērā</w:t>
            </w:r>
            <w:r w:rsidR="002F2D32" w:rsidRPr="009E43F0">
              <w:rPr>
                <w:noProof/>
                <w:sz w:val="27"/>
                <w:szCs w:val="27"/>
              </w:rPr>
              <w:t>, valsts budžeta līdzfinansējums 6 173 485 latu apmēr</w:t>
            </w:r>
            <w:r w:rsidR="00E92C49" w:rsidRPr="009E43F0">
              <w:rPr>
                <w:noProof/>
                <w:sz w:val="27"/>
                <w:szCs w:val="27"/>
              </w:rPr>
              <w:t>ā</w:t>
            </w:r>
            <w:r w:rsidR="000E1135" w:rsidRPr="009E43F0">
              <w:rPr>
                <w:noProof/>
                <w:sz w:val="27"/>
                <w:szCs w:val="27"/>
              </w:rPr>
              <w:t xml:space="preserve"> un virssaistības</w:t>
            </w:r>
            <w:r w:rsidR="00663EDB" w:rsidRPr="009E43F0">
              <w:rPr>
                <w:noProof/>
                <w:sz w:val="27"/>
                <w:szCs w:val="27"/>
              </w:rPr>
              <w:t xml:space="preserve"> </w:t>
            </w:r>
            <w:r w:rsidR="005E4C2B" w:rsidRPr="004D5BCC">
              <w:rPr>
                <w:b/>
                <w:noProof/>
                <w:sz w:val="27"/>
                <w:szCs w:val="27"/>
              </w:rPr>
              <w:t>43 728 596</w:t>
            </w:r>
            <w:r w:rsidR="00663EDB" w:rsidRPr="009E43F0">
              <w:rPr>
                <w:noProof/>
                <w:sz w:val="27"/>
                <w:szCs w:val="27"/>
              </w:rPr>
              <w:t> </w:t>
            </w:r>
            <w:r w:rsidR="00DF749E" w:rsidRPr="009E43F0">
              <w:rPr>
                <w:noProof/>
                <w:sz w:val="27"/>
                <w:szCs w:val="27"/>
              </w:rPr>
              <w:t xml:space="preserve">latu apmērā. </w:t>
            </w:r>
          </w:p>
          <w:p w:rsidR="00DF749E" w:rsidRPr="009E43F0" w:rsidRDefault="00DF749E" w:rsidP="00FF0A26">
            <w:pPr>
              <w:jc w:val="both"/>
              <w:rPr>
                <w:noProof/>
                <w:sz w:val="27"/>
                <w:szCs w:val="27"/>
              </w:rPr>
            </w:pPr>
            <w:r w:rsidRPr="009E43F0">
              <w:rPr>
                <w:noProof/>
                <w:sz w:val="27"/>
                <w:szCs w:val="27"/>
              </w:rPr>
              <w:t xml:space="preserve">Virssaistības šai gadījumā nozīmē atļauju apstiprināt un īstenot papildu projektus un noslēgt līgumus par lielāku summu, nekā 3.1.1.1.aktivitātei noteiktais finansējums darbības programmas „Infrastruktūra un pakalpojumi” papildinājumā. </w:t>
            </w:r>
          </w:p>
          <w:p w:rsidR="00DF749E" w:rsidRPr="009E43F0" w:rsidRDefault="00DF749E" w:rsidP="00FF0A26">
            <w:pPr>
              <w:jc w:val="both"/>
              <w:rPr>
                <w:noProof/>
                <w:sz w:val="27"/>
                <w:szCs w:val="27"/>
              </w:rPr>
            </w:pPr>
            <w:r w:rsidRPr="009E43F0">
              <w:rPr>
                <w:noProof/>
                <w:sz w:val="27"/>
                <w:szCs w:val="27"/>
              </w:rPr>
              <w:t xml:space="preserve">Nepieciešamais finansējums maksājumu veikšanai finansējuma saņēmējiem tiks pieprasīts normatīvajos aktos noteiktajā kārtībā no budžeta programmas 80.00.00 „Nesadalītais finansējums Eiropas Savienības politiku instrumentu un pārējās ārvalstu finanšu palīdzības līdzfinansēto projektu un pasākumu īstenošanai”, un pēc attiecīgas </w:t>
            </w:r>
            <w:r w:rsidRPr="00B0360F">
              <w:rPr>
                <w:noProof/>
                <w:sz w:val="27"/>
                <w:szCs w:val="27"/>
              </w:rPr>
              <w:t>pārdales maksājumi finansējuma saņēmējiem tiks veikti no Izglītības un zinātnes ministrijas budžeta apakšprogrammas 6</w:t>
            </w:r>
            <w:r w:rsidR="00B0360F">
              <w:rPr>
                <w:noProof/>
                <w:sz w:val="27"/>
                <w:szCs w:val="27"/>
              </w:rPr>
              <w:t>2</w:t>
            </w:r>
            <w:r w:rsidRPr="00B0360F">
              <w:rPr>
                <w:noProof/>
                <w:sz w:val="27"/>
                <w:szCs w:val="27"/>
              </w:rPr>
              <w:t xml:space="preserve">.00.00 „Eiropas </w:t>
            </w:r>
            <w:r w:rsidR="00594D57" w:rsidRPr="00B0360F">
              <w:rPr>
                <w:noProof/>
                <w:sz w:val="27"/>
                <w:szCs w:val="27"/>
              </w:rPr>
              <w:t>Reģionālās attīstības</w:t>
            </w:r>
            <w:r w:rsidRPr="00B0360F">
              <w:rPr>
                <w:noProof/>
                <w:sz w:val="27"/>
                <w:szCs w:val="27"/>
              </w:rPr>
              <w:t xml:space="preserve"> </w:t>
            </w:r>
            <w:r w:rsidRPr="00B0360F">
              <w:rPr>
                <w:noProof/>
                <w:sz w:val="27"/>
                <w:szCs w:val="27"/>
              </w:rPr>
              <w:lastRenderedPageBreak/>
              <w:t>fonda (E</w:t>
            </w:r>
            <w:r w:rsidR="00594D57" w:rsidRPr="00B0360F">
              <w:rPr>
                <w:noProof/>
                <w:sz w:val="27"/>
                <w:szCs w:val="27"/>
              </w:rPr>
              <w:t>RA</w:t>
            </w:r>
            <w:r w:rsidRPr="00B0360F">
              <w:rPr>
                <w:noProof/>
                <w:sz w:val="27"/>
                <w:szCs w:val="27"/>
              </w:rPr>
              <w:t>F) projektu un pasākumu īstenošana”.</w:t>
            </w:r>
          </w:p>
          <w:p w:rsidR="00DF749E" w:rsidRPr="009E43F0" w:rsidRDefault="00DF749E" w:rsidP="00FF0A26">
            <w:pPr>
              <w:jc w:val="both"/>
              <w:rPr>
                <w:noProof/>
                <w:sz w:val="27"/>
                <w:szCs w:val="27"/>
              </w:rPr>
            </w:pPr>
            <w:r w:rsidRPr="009E43F0">
              <w:rPr>
                <w:noProof/>
                <w:sz w:val="27"/>
                <w:szCs w:val="27"/>
              </w:rPr>
              <w:t xml:space="preserve">Aktivitātes otrās atlases kārtas projektu īstenošanas </w:t>
            </w:r>
            <w:r w:rsidR="003F1ECE" w:rsidRPr="009E43F0">
              <w:rPr>
                <w:noProof/>
                <w:sz w:val="27"/>
                <w:szCs w:val="27"/>
              </w:rPr>
              <w:t>beigu</w:t>
            </w:r>
            <w:r w:rsidRPr="009E43F0">
              <w:rPr>
                <w:noProof/>
                <w:sz w:val="27"/>
                <w:szCs w:val="27"/>
              </w:rPr>
              <w:t xml:space="preserve"> termiņš ir 2015.gada 31.augusts. Līgumus</w:t>
            </w:r>
            <w:r w:rsidR="007D00B6">
              <w:rPr>
                <w:noProof/>
                <w:sz w:val="27"/>
                <w:szCs w:val="27"/>
              </w:rPr>
              <w:t xml:space="preserve"> un vienošanās</w:t>
            </w:r>
            <w:r w:rsidRPr="009E43F0">
              <w:rPr>
                <w:noProof/>
                <w:sz w:val="27"/>
                <w:szCs w:val="27"/>
              </w:rPr>
              <w:t xml:space="preserve"> par projektu īstenošanu plānots noslēgt 2013.gadā par visu piešķirto virssaistību apjomu.</w:t>
            </w:r>
          </w:p>
          <w:p w:rsidR="00DF749E" w:rsidRPr="009E43F0" w:rsidRDefault="00DF749E" w:rsidP="00FF0A26">
            <w:pPr>
              <w:jc w:val="both"/>
              <w:rPr>
                <w:noProof/>
                <w:sz w:val="27"/>
                <w:szCs w:val="27"/>
              </w:rPr>
            </w:pPr>
            <w:r w:rsidRPr="009E43F0">
              <w:rPr>
                <w:noProof/>
                <w:sz w:val="27"/>
                <w:szCs w:val="27"/>
              </w:rPr>
              <w:t>Aktivitātes otrās atlases kārtas ietvaros finansējuma sadalījums pa gadiem var mainīties, ņemot vērā faktiski izlietot</w:t>
            </w:r>
            <w:r w:rsidR="003F1ECE" w:rsidRPr="009E43F0">
              <w:rPr>
                <w:noProof/>
                <w:sz w:val="27"/>
                <w:szCs w:val="27"/>
              </w:rPr>
              <w:t>ā finansējuma apmēru</w:t>
            </w:r>
            <w:r w:rsidRPr="009E43F0">
              <w:rPr>
                <w:noProof/>
                <w:sz w:val="27"/>
                <w:szCs w:val="27"/>
              </w:rPr>
              <w:t xml:space="preserve">. </w:t>
            </w: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t>6.1. detalizēts ieņēmumu aprēķins</w:t>
            </w:r>
          </w:p>
        </w:tc>
        <w:tc>
          <w:tcPr>
            <w:tcW w:w="3582" w:type="pct"/>
            <w:gridSpan w:val="5"/>
            <w:vMerge/>
          </w:tcPr>
          <w:p w:rsidR="00DF749E" w:rsidRPr="009E43F0" w:rsidRDefault="00DF749E" w:rsidP="00FF0A26">
            <w:pPr>
              <w:jc w:val="both"/>
              <w:rPr>
                <w:b/>
                <w:i/>
                <w:noProof/>
                <w:sz w:val="27"/>
                <w:szCs w:val="27"/>
              </w:rPr>
            </w:pPr>
          </w:p>
        </w:tc>
      </w:tr>
      <w:tr w:rsidR="00DF749E" w:rsidRPr="009E43F0" w:rsidTr="00DF749E">
        <w:tblPrEx>
          <w:jc w:val="center"/>
          <w:tblCellMar>
            <w:top w:w="0" w:type="dxa"/>
            <w:left w:w="108" w:type="dxa"/>
            <w:bottom w:w="0" w:type="dxa"/>
            <w:right w:w="108" w:type="dxa"/>
          </w:tblCellMar>
          <w:tblLook w:val="01E0"/>
        </w:tblPrEx>
        <w:trPr>
          <w:trHeight w:val="943"/>
          <w:jc w:val="center"/>
        </w:trPr>
        <w:tc>
          <w:tcPr>
            <w:tcW w:w="1418" w:type="pct"/>
          </w:tcPr>
          <w:p w:rsidR="00DF749E" w:rsidRPr="009E43F0" w:rsidRDefault="00DF749E" w:rsidP="00FF0A26">
            <w:pPr>
              <w:jc w:val="both"/>
              <w:rPr>
                <w:noProof/>
                <w:sz w:val="27"/>
                <w:szCs w:val="27"/>
              </w:rPr>
            </w:pPr>
            <w:r w:rsidRPr="009E43F0">
              <w:rPr>
                <w:noProof/>
                <w:sz w:val="27"/>
                <w:szCs w:val="27"/>
              </w:rPr>
              <w:t>6.2. detalizēts izdevumu aprēķins</w:t>
            </w:r>
          </w:p>
        </w:tc>
        <w:tc>
          <w:tcPr>
            <w:tcW w:w="3582" w:type="pct"/>
            <w:gridSpan w:val="5"/>
            <w:vMerge/>
          </w:tcPr>
          <w:p w:rsidR="00DF749E" w:rsidRPr="009E43F0" w:rsidRDefault="00DF749E" w:rsidP="00FF0A26">
            <w:pPr>
              <w:jc w:val="both"/>
              <w:rPr>
                <w:b/>
                <w:i/>
                <w:noProof/>
                <w:sz w:val="27"/>
                <w:szCs w:val="27"/>
              </w:rPr>
            </w:pPr>
          </w:p>
        </w:tc>
      </w:tr>
      <w:tr w:rsidR="00DF749E" w:rsidRPr="009E43F0" w:rsidTr="00DF749E">
        <w:tblPrEx>
          <w:jc w:val="center"/>
          <w:tblCellMar>
            <w:top w:w="0" w:type="dxa"/>
            <w:left w:w="108" w:type="dxa"/>
            <w:bottom w:w="0" w:type="dxa"/>
            <w:right w:w="108" w:type="dxa"/>
          </w:tblCellMar>
          <w:tblLook w:val="01E0"/>
        </w:tblPrEx>
        <w:trPr>
          <w:jc w:val="center"/>
        </w:trPr>
        <w:tc>
          <w:tcPr>
            <w:tcW w:w="1418" w:type="pct"/>
          </w:tcPr>
          <w:p w:rsidR="00DF749E" w:rsidRPr="009E43F0" w:rsidRDefault="00DF749E" w:rsidP="00FF0A26">
            <w:pPr>
              <w:jc w:val="both"/>
              <w:rPr>
                <w:noProof/>
                <w:sz w:val="27"/>
                <w:szCs w:val="27"/>
              </w:rPr>
            </w:pPr>
            <w:r w:rsidRPr="009E43F0">
              <w:rPr>
                <w:noProof/>
                <w:sz w:val="27"/>
                <w:szCs w:val="27"/>
              </w:rPr>
              <w:lastRenderedPageBreak/>
              <w:t>7. Cita informācija</w:t>
            </w:r>
          </w:p>
        </w:tc>
        <w:tc>
          <w:tcPr>
            <w:tcW w:w="3582" w:type="pct"/>
            <w:gridSpan w:val="5"/>
          </w:tcPr>
          <w:p w:rsidR="00654799" w:rsidRPr="009E43F0" w:rsidRDefault="00DF749E" w:rsidP="005E4C2B">
            <w:pPr>
              <w:jc w:val="both"/>
              <w:rPr>
                <w:noProof/>
                <w:color w:val="000000"/>
                <w:sz w:val="27"/>
                <w:szCs w:val="27"/>
                <w:lang w:eastAsia="zh-CN"/>
              </w:rPr>
            </w:pPr>
            <w:r w:rsidRPr="009E43F0">
              <w:rPr>
                <w:noProof/>
                <w:sz w:val="27"/>
                <w:szCs w:val="27"/>
              </w:rPr>
              <w:t xml:space="preserve">Virssaistības tiks deklarētas Eiropas Komisijai pēc attiecināmo izdevumu rašanās. Plānotais virssaistību apmēra </w:t>
            </w:r>
            <w:r w:rsidR="005E4857" w:rsidRPr="009E43F0">
              <w:rPr>
                <w:noProof/>
                <w:sz w:val="27"/>
                <w:szCs w:val="27"/>
              </w:rPr>
              <w:t xml:space="preserve">sadalījums pa gadiem: </w:t>
            </w:r>
            <w:r w:rsidR="00337E6E" w:rsidRPr="009E43F0">
              <w:rPr>
                <w:noProof/>
                <w:sz w:val="27"/>
                <w:szCs w:val="27"/>
              </w:rPr>
              <w:t xml:space="preserve">2013.gadā – </w:t>
            </w:r>
            <w:r w:rsidR="002C6CC1" w:rsidRPr="009E43F0">
              <w:rPr>
                <w:noProof/>
                <w:sz w:val="27"/>
                <w:szCs w:val="27"/>
              </w:rPr>
              <w:t>2,2 </w:t>
            </w:r>
            <w:r w:rsidR="008B7155" w:rsidRPr="009E43F0">
              <w:rPr>
                <w:noProof/>
                <w:sz w:val="27"/>
                <w:szCs w:val="27"/>
              </w:rPr>
              <w:t>milj</w:t>
            </w:r>
            <w:r w:rsidR="002C6CC1" w:rsidRPr="009E43F0">
              <w:rPr>
                <w:noProof/>
                <w:sz w:val="27"/>
                <w:szCs w:val="27"/>
              </w:rPr>
              <w:t>. </w:t>
            </w:r>
            <w:r w:rsidR="008B7155" w:rsidRPr="009E43F0">
              <w:rPr>
                <w:noProof/>
                <w:sz w:val="27"/>
                <w:szCs w:val="27"/>
              </w:rPr>
              <w:t>LVL</w:t>
            </w:r>
            <w:r w:rsidR="00337E6E" w:rsidRPr="009E43F0">
              <w:rPr>
                <w:noProof/>
                <w:sz w:val="27"/>
                <w:szCs w:val="27"/>
              </w:rPr>
              <w:t xml:space="preserve">; </w:t>
            </w:r>
            <w:r w:rsidR="00654799" w:rsidRPr="009E43F0">
              <w:rPr>
                <w:noProof/>
                <w:sz w:val="27"/>
                <w:szCs w:val="27"/>
              </w:rPr>
              <w:t>2014.g</w:t>
            </w:r>
            <w:r w:rsidR="005E4857" w:rsidRPr="009E43F0">
              <w:rPr>
                <w:noProof/>
                <w:sz w:val="27"/>
                <w:szCs w:val="27"/>
              </w:rPr>
              <w:t>adā</w:t>
            </w:r>
            <w:r w:rsidR="00654799" w:rsidRPr="009E43F0">
              <w:rPr>
                <w:noProof/>
                <w:sz w:val="27"/>
                <w:szCs w:val="27"/>
              </w:rPr>
              <w:t xml:space="preserve"> </w:t>
            </w:r>
            <w:r w:rsidR="008B7155" w:rsidRPr="009E43F0">
              <w:rPr>
                <w:noProof/>
                <w:sz w:val="27"/>
                <w:szCs w:val="27"/>
              </w:rPr>
              <w:t>–</w:t>
            </w:r>
            <w:r w:rsidR="00654799" w:rsidRPr="009E43F0">
              <w:rPr>
                <w:noProof/>
                <w:sz w:val="27"/>
                <w:szCs w:val="27"/>
              </w:rPr>
              <w:t xml:space="preserve"> 17</w:t>
            </w:r>
            <w:r w:rsidR="008B7155" w:rsidRPr="009E43F0">
              <w:rPr>
                <w:noProof/>
                <w:sz w:val="27"/>
                <w:szCs w:val="27"/>
              </w:rPr>
              <w:t>,</w:t>
            </w:r>
            <w:r w:rsidR="005E4C2B" w:rsidRPr="004D5BCC">
              <w:rPr>
                <w:noProof/>
                <w:sz w:val="27"/>
                <w:szCs w:val="27"/>
              </w:rPr>
              <w:t>6</w:t>
            </w:r>
            <w:r w:rsidR="002C6CC1" w:rsidRPr="009E43F0">
              <w:rPr>
                <w:noProof/>
                <w:sz w:val="27"/>
                <w:szCs w:val="27"/>
              </w:rPr>
              <w:t> milj. </w:t>
            </w:r>
            <w:r w:rsidR="00654799" w:rsidRPr="009E43F0">
              <w:rPr>
                <w:noProof/>
                <w:sz w:val="27"/>
                <w:szCs w:val="27"/>
              </w:rPr>
              <w:t>LVL</w:t>
            </w:r>
            <w:r w:rsidR="005E4857" w:rsidRPr="009E43F0">
              <w:rPr>
                <w:noProof/>
                <w:sz w:val="27"/>
                <w:szCs w:val="27"/>
              </w:rPr>
              <w:t>, 2015.gadā</w:t>
            </w:r>
            <w:r w:rsidR="005E4C2B">
              <w:rPr>
                <w:noProof/>
                <w:sz w:val="27"/>
                <w:szCs w:val="27"/>
              </w:rPr>
              <w:t xml:space="preserve"> – 23,</w:t>
            </w:r>
            <w:r w:rsidR="002C6CC1" w:rsidRPr="009E43F0">
              <w:rPr>
                <w:noProof/>
                <w:sz w:val="27"/>
                <w:szCs w:val="27"/>
              </w:rPr>
              <w:t>9 milj. </w:t>
            </w:r>
            <w:r w:rsidR="00654799" w:rsidRPr="009E43F0">
              <w:rPr>
                <w:noProof/>
                <w:sz w:val="27"/>
                <w:szCs w:val="27"/>
              </w:rPr>
              <w:t>LVL</w:t>
            </w:r>
            <w:r w:rsidR="005E4857" w:rsidRPr="009E43F0">
              <w:rPr>
                <w:noProof/>
                <w:sz w:val="27"/>
                <w:szCs w:val="27"/>
              </w:rPr>
              <w:t>.</w:t>
            </w:r>
          </w:p>
        </w:tc>
      </w:tr>
    </w:tbl>
    <w:p w:rsidR="00475B7D" w:rsidRPr="009E43F0" w:rsidRDefault="00475B7D" w:rsidP="00FF0A26">
      <w:pPr>
        <w:jc w:val="both"/>
        <w:rPr>
          <w:noProof/>
          <w:sz w:val="27"/>
          <w:szCs w:val="27"/>
        </w:rPr>
      </w:pPr>
    </w:p>
    <w:tbl>
      <w:tblPr>
        <w:tblW w:w="4906" w:type="pct"/>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25"/>
        <w:gridCol w:w="2268"/>
        <w:gridCol w:w="6266"/>
      </w:tblGrid>
      <w:tr w:rsidR="00475B7D" w:rsidRPr="009E43F0">
        <w:tc>
          <w:tcPr>
            <w:tcW w:w="5000" w:type="pct"/>
            <w:gridSpan w:val="3"/>
            <w:tcBorders>
              <w:top w:val="single" w:sz="6" w:space="0" w:color="auto"/>
              <w:left w:val="single" w:sz="6" w:space="0" w:color="auto"/>
              <w:bottom w:val="outset" w:sz="6" w:space="0" w:color="000000"/>
              <w:right w:val="single" w:sz="6" w:space="0" w:color="auto"/>
            </w:tcBorders>
          </w:tcPr>
          <w:p w:rsidR="00475B7D" w:rsidRPr="009E43F0" w:rsidRDefault="00475B7D" w:rsidP="00FF0A26">
            <w:pPr>
              <w:spacing w:before="100" w:beforeAutospacing="1" w:after="100" w:afterAutospacing="1"/>
              <w:jc w:val="center"/>
              <w:rPr>
                <w:b/>
                <w:bCs/>
                <w:noProof/>
                <w:sz w:val="27"/>
                <w:szCs w:val="27"/>
              </w:rPr>
            </w:pPr>
            <w:r w:rsidRPr="009E43F0">
              <w:rPr>
                <w:noProof/>
                <w:sz w:val="27"/>
                <w:szCs w:val="27"/>
              </w:rPr>
              <w:t> </w:t>
            </w:r>
            <w:r w:rsidRPr="009E43F0">
              <w:rPr>
                <w:b/>
                <w:bCs/>
                <w:noProof/>
                <w:sz w:val="27"/>
                <w:szCs w:val="27"/>
              </w:rPr>
              <w:t>IV. Tiesību akta projekta ietekme uz spēkā esošo tiesību normu sistēmu</w:t>
            </w:r>
          </w:p>
        </w:tc>
      </w:tr>
      <w:tr w:rsidR="00475B7D" w:rsidRPr="009E43F0">
        <w:tc>
          <w:tcPr>
            <w:tcW w:w="237" w:type="pct"/>
            <w:tcBorders>
              <w:top w:val="outset" w:sz="6" w:space="0" w:color="000000"/>
              <w:bottom w:val="outset" w:sz="6" w:space="0" w:color="000000"/>
              <w:right w:val="outset" w:sz="6" w:space="0" w:color="000000"/>
            </w:tcBorders>
          </w:tcPr>
          <w:p w:rsidR="00475B7D" w:rsidRPr="009E43F0" w:rsidRDefault="00475B7D" w:rsidP="00FF0A26">
            <w:pPr>
              <w:spacing w:before="100" w:beforeAutospacing="1" w:after="100" w:afterAutospacing="1"/>
              <w:rPr>
                <w:noProof/>
                <w:sz w:val="27"/>
                <w:szCs w:val="27"/>
              </w:rPr>
            </w:pPr>
            <w:r w:rsidRPr="009E43F0">
              <w:rPr>
                <w:noProof/>
                <w:sz w:val="27"/>
                <w:szCs w:val="27"/>
              </w:rPr>
              <w:t>1.</w:t>
            </w:r>
          </w:p>
        </w:tc>
        <w:tc>
          <w:tcPr>
            <w:tcW w:w="126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spacing w:before="100" w:beforeAutospacing="1" w:after="100" w:afterAutospacing="1"/>
              <w:rPr>
                <w:noProof/>
                <w:sz w:val="27"/>
                <w:szCs w:val="27"/>
              </w:rPr>
            </w:pPr>
            <w:r w:rsidRPr="009E43F0">
              <w:rPr>
                <w:noProof/>
                <w:sz w:val="27"/>
                <w:szCs w:val="27"/>
              </w:rPr>
              <w:t>Nepieciešamie saistītie tiesību aktu projekti</w:t>
            </w:r>
          </w:p>
        </w:tc>
        <w:tc>
          <w:tcPr>
            <w:tcW w:w="3497" w:type="pct"/>
            <w:tcBorders>
              <w:top w:val="outset" w:sz="6" w:space="0" w:color="000000"/>
              <w:left w:val="outset" w:sz="6" w:space="0" w:color="000000"/>
              <w:bottom w:val="outset" w:sz="6" w:space="0" w:color="000000"/>
            </w:tcBorders>
          </w:tcPr>
          <w:p w:rsidR="00475B7D" w:rsidRPr="004D5BCC" w:rsidRDefault="00351EFF" w:rsidP="00FF0A26">
            <w:pPr>
              <w:pStyle w:val="ListParagraph"/>
              <w:spacing w:after="0" w:line="240" w:lineRule="auto"/>
              <w:ind w:left="112" w:right="140"/>
              <w:jc w:val="both"/>
              <w:rPr>
                <w:rFonts w:ascii="Times New Roman" w:hAnsi="Times New Roman" w:cs="Times New Roman"/>
                <w:noProof/>
                <w:sz w:val="27"/>
                <w:szCs w:val="27"/>
                <w:lang w:eastAsia="lv-LV"/>
              </w:rPr>
            </w:pPr>
            <w:r w:rsidRPr="004D5BCC">
              <w:rPr>
                <w:rFonts w:ascii="Times New Roman" w:hAnsi="Times New Roman" w:cs="Times New Roman"/>
                <w:noProof/>
                <w:sz w:val="27"/>
                <w:szCs w:val="27"/>
                <w:lang w:eastAsia="lv-LV"/>
              </w:rPr>
              <w:t xml:space="preserve">Saistībā ar noteikumu projektu ir izstrādāti un Ministru kabinetā pieņemti </w:t>
            </w:r>
            <w:r w:rsidR="00505002" w:rsidRPr="004D5BCC">
              <w:rPr>
                <w:rFonts w:ascii="Times New Roman" w:hAnsi="Times New Roman" w:cs="Times New Roman"/>
                <w:noProof/>
                <w:sz w:val="27"/>
                <w:szCs w:val="27"/>
                <w:lang w:eastAsia="lv-LV"/>
              </w:rPr>
              <w:t xml:space="preserve">visi </w:t>
            </w:r>
            <w:r w:rsidR="00F32AEF" w:rsidRPr="004D5BCC">
              <w:rPr>
                <w:rFonts w:ascii="Times New Roman" w:hAnsi="Times New Roman" w:cs="Times New Roman"/>
                <w:noProof/>
                <w:sz w:val="27"/>
                <w:szCs w:val="27"/>
                <w:lang w:eastAsia="lv-LV"/>
              </w:rPr>
              <w:t xml:space="preserve">nepieciešamie </w:t>
            </w:r>
            <w:r w:rsidR="00505002" w:rsidRPr="004D5BCC">
              <w:rPr>
                <w:rFonts w:ascii="Times New Roman" w:hAnsi="Times New Roman" w:cs="Times New Roman"/>
                <w:noProof/>
                <w:sz w:val="27"/>
                <w:szCs w:val="27"/>
                <w:lang w:eastAsia="lv-LV"/>
              </w:rPr>
              <w:t xml:space="preserve">saistītie </w:t>
            </w:r>
            <w:r w:rsidR="00475B7D" w:rsidRPr="004D5BCC">
              <w:rPr>
                <w:rFonts w:ascii="Times New Roman" w:hAnsi="Times New Roman" w:cs="Times New Roman"/>
                <w:noProof/>
                <w:sz w:val="27"/>
                <w:szCs w:val="27"/>
                <w:lang w:eastAsia="lv-LV"/>
              </w:rPr>
              <w:t>grozījum</w:t>
            </w:r>
            <w:r w:rsidRPr="004D5BCC">
              <w:rPr>
                <w:rFonts w:ascii="Times New Roman" w:hAnsi="Times New Roman" w:cs="Times New Roman"/>
                <w:noProof/>
                <w:sz w:val="27"/>
                <w:szCs w:val="27"/>
                <w:lang w:eastAsia="lv-LV"/>
              </w:rPr>
              <w:t>i</w:t>
            </w:r>
            <w:r w:rsidR="00475B7D" w:rsidRPr="004D5BCC">
              <w:rPr>
                <w:rFonts w:ascii="Times New Roman" w:hAnsi="Times New Roman" w:cs="Times New Roman"/>
                <w:noProof/>
                <w:sz w:val="27"/>
                <w:szCs w:val="27"/>
                <w:lang w:eastAsia="lv-LV"/>
              </w:rPr>
              <w:t xml:space="preserve"> šādos tiesību aktos: </w:t>
            </w:r>
          </w:p>
          <w:p w:rsidR="00475B7D" w:rsidRPr="009E43F0" w:rsidRDefault="00475B7D" w:rsidP="00FF0A26">
            <w:pPr>
              <w:pStyle w:val="ListParagraph"/>
              <w:widowControl w:val="0"/>
              <w:tabs>
                <w:tab w:val="left" w:pos="396"/>
              </w:tabs>
              <w:spacing w:before="60" w:after="0" w:line="240" w:lineRule="auto"/>
              <w:ind w:left="112" w:right="140"/>
              <w:jc w:val="both"/>
              <w:rPr>
                <w:rFonts w:ascii="Times New Roman" w:hAnsi="Times New Roman" w:cs="Times New Roman"/>
                <w:noProof/>
                <w:sz w:val="27"/>
                <w:szCs w:val="27"/>
                <w:lang w:eastAsia="lv-LV"/>
              </w:rPr>
            </w:pPr>
            <w:r w:rsidRPr="009E43F0">
              <w:rPr>
                <w:rFonts w:ascii="Times New Roman" w:hAnsi="Times New Roman" w:cs="Times New Roman"/>
                <w:noProof/>
                <w:sz w:val="27"/>
                <w:szCs w:val="27"/>
                <w:lang w:eastAsia="lv-LV"/>
              </w:rPr>
              <w:t>1. Ministru kabineta 2008.gada 11.novembra noteikumos Nr.939 „Noteikumi par darbības programmas „Infrastruktūra un pakalpojumi” papildinājuma 3.1.1.1.aktivitāti „Mācību aprīkojuma modernizācija un infrastruktūras uzlabošana profesionālās izglītības programmu īstenošanai”, 1) precizējot, ka šie noteikumi attiecināmi uz pirmo projektu iesniegumu atlases kārtu; 2) precizējot 3.1.1.1.aktivitātes pirmās projektu iesniegumu atlases kārtai pieejamo finansējumu, t.sk., plānošanas reģioniem noteiktās finansējuma kvotas; 3) precizējot 3.1.1.1.aktivitātes pirmās projektu iesniegumu atlases kārtas ietvaros sasniedzamo uzraudzības iznākuma rādītāju skaitlisko apmēru, t.sk., plānošanas reģioniem noteiktās profesionālās izglītības iestāžu kvotas; 4) nosakot kārtību, kādā var tikt veikta finansējuma pārdale starp viena finansējuma saņēmēja projektiem, nepārsniedzot šajos noteikumos noteiktos finansējuma ierobežojumus; 5) atceļot pienākumu Izglītības un zinātnes ministrijai noteikt projekta īstenošanas periodu tās padotībā esošajām profesionālās izglītības iestādēm;</w:t>
            </w:r>
          </w:p>
          <w:p w:rsidR="00475B7D" w:rsidRPr="009E43F0" w:rsidRDefault="006E64B1" w:rsidP="00FF0A26">
            <w:pPr>
              <w:pStyle w:val="ListParagraph"/>
              <w:widowControl w:val="0"/>
              <w:tabs>
                <w:tab w:val="left" w:pos="396"/>
              </w:tabs>
              <w:spacing w:before="60" w:after="0" w:line="240" w:lineRule="auto"/>
              <w:ind w:left="112" w:right="140"/>
              <w:jc w:val="both"/>
              <w:rPr>
                <w:rFonts w:ascii="Times New Roman" w:hAnsi="Times New Roman" w:cs="Times New Roman"/>
                <w:noProof/>
                <w:sz w:val="27"/>
                <w:szCs w:val="27"/>
                <w:lang w:eastAsia="lv-LV"/>
              </w:rPr>
            </w:pPr>
            <w:r w:rsidRPr="009E43F0">
              <w:rPr>
                <w:rFonts w:ascii="Times New Roman" w:hAnsi="Times New Roman" w:cs="Times New Roman"/>
                <w:noProof/>
                <w:sz w:val="27"/>
                <w:szCs w:val="27"/>
                <w:lang w:eastAsia="lv-LV"/>
              </w:rPr>
              <w:t>2</w:t>
            </w:r>
            <w:r w:rsidR="00475B7D" w:rsidRPr="009E43F0">
              <w:rPr>
                <w:rFonts w:ascii="Times New Roman" w:hAnsi="Times New Roman" w:cs="Times New Roman"/>
                <w:noProof/>
                <w:sz w:val="27"/>
                <w:szCs w:val="27"/>
                <w:lang w:eastAsia="lv-LV"/>
              </w:rPr>
              <w:t xml:space="preserve">. Ministru kabineta 2008.gada 25.marta noteikumos Nr.200 „Noteikumi par darbības programmas „Infrastruktūra un pakalpojumi” papildinājuma 3.1.3.1.aktivitāti „Kvalitatīvai dabaszinātņu apguvei atbilstošas materiālās bāzes nodrošināšana””, samazinot aktivitātei pieejamo kopējā publiskā </w:t>
            </w:r>
            <w:r w:rsidR="00475B7D" w:rsidRPr="009E43F0">
              <w:rPr>
                <w:rFonts w:ascii="Times New Roman" w:hAnsi="Times New Roman" w:cs="Times New Roman"/>
                <w:noProof/>
                <w:sz w:val="27"/>
                <w:szCs w:val="27"/>
                <w:lang w:eastAsia="lv-LV"/>
              </w:rPr>
              <w:lastRenderedPageBreak/>
              <w:t>finansējuma apmēru;</w:t>
            </w:r>
          </w:p>
          <w:p w:rsidR="00475B7D" w:rsidRPr="009E43F0" w:rsidRDefault="006E64B1" w:rsidP="00FF0A26">
            <w:pPr>
              <w:pStyle w:val="ListParagraph"/>
              <w:widowControl w:val="0"/>
              <w:tabs>
                <w:tab w:val="left" w:pos="396"/>
              </w:tabs>
              <w:spacing w:before="60" w:after="0" w:line="240" w:lineRule="auto"/>
              <w:ind w:left="112" w:right="140"/>
              <w:jc w:val="both"/>
              <w:rPr>
                <w:rFonts w:ascii="Times New Roman" w:hAnsi="Times New Roman" w:cs="Times New Roman"/>
                <w:noProof/>
                <w:sz w:val="27"/>
                <w:szCs w:val="27"/>
                <w:lang w:eastAsia="lv-LV"/>
              </w:rPr>
            </w:pPr>
            <w:r w:rsidRPr="009E43F0">
              <w:rPr>
                <w:rFonts w:ascii="Times New Roman" w:hAnsi="Times New Roman" w:cs="Times New Roman"/>
                <w:noProof/>
                <w:sz w:val="27"/>
                <w:szCs w:val="27"/>
                <w:lang w:eastAsia="lv-LV"/>
              </w:rPr>
              <w:t>3</w:t>
            </w:r>
            <w:r w:rsidR="00475B7D" w:rsidRPr="009E43F0">
              <w:rPr>
                <w:rFonts w:ascii="Times New Roman" w:hAnsi="Times New Roman" w:cs="Times New Roman"/>
                <w:noProof/>
                <w:sz w:val="27"/>
                <w:szCs w:val="27"/>
                <w:lang w:eastAsia="lv-LV"/>
              </w:rPr>
              <w:t>. Ministru kabineta 2008.gada 11.novembra noteikumos Nr.940 „Noteikumi par darbības programmas „Infrastruktūra un pakalpojumi” papildinājuma 3.1.3.3.1.apakšaktivitāti „Speciālās izglītības iestāžu infrastruktūras un aprīkojuma uzlabošana””, samazinot aktivitātei pieejamo kopējā publiskā finansējuma apmēru;</w:t>
            </w:r>
          </w:p>
          <w:p w:rsidR="006E64B1" w:rsidRPr="00505002" w:rsidRDefault="006E64B1" w:rsidP="00505002">
            <w:pPr>
              <w:pStyle w:val="ListParagraph"/>
              <w:widowControl w:val="0"/>
              <w:tabs>
                <w:tab w:val="left" w:pos="396"/>
              </w:tabs>
              <w:spacing w:before="60" w:after="0" w:line="240" w:lineRule="auto"/>
              <w:ind w:left="112" w:right="140"/>
              <w:jc w:val="both"/>
              <w:rPr>
                <w:rFonts w:ascii="Times New Roman" w:hAnsi="Times New Roman" w:cs="Times New Roman"/>
                <w:noProof/>
                <w:sz w:val="27"/>
                <w:szCs w:val="27"/>
                <w:lang w:eastAsia="lv-LV"/>
              </w:rPr>
            </w:pPr>
            <w:r w:rsidRPr="009E43F0">
              <w:rPr>
                <w:rFonts w:ascii="Times New Roman" w:hAnsi="Times New Roman" w:cs="Times New Roman"/>
                <w:noProof/>
                <w:sz w:val="27"/>
                <w:szCs w:val="27"/>
                <w:lang w:eastAsia="lv-LV"/>
              </w:rPr>
              <w:t>4</w:t>
            </w:r>
            <w:r w:rsidR="00475B7D" w:rsidRPr="009E43F0">
              <w:rPr>
                <w:rFonts w:ascii="Times New Roman" w:hAnsi="Times New Roman" w:cs="Times New Roman"/>
                <w:noProof/>
                <w:sz w:val="27"/>
                <w:szCs w:val="27"/>
                <w:lang w:eastAsia="lv-LV"/>
              </w:rPr>
              <w:t>. Ministru kabineta 2008.gada 8.aprīļa noteikumos Nr.259 „Noteikumi par darbības programmas „Infrastruktūra un pakalpojumi” papildinājuma 3.1.3.3.2.apakšaktivitāti „Vispārējās izglītības iestāžu infrastruktūras uzlabošana izglītojamiem ar funkcionāliem traucējumiem””</w:t>
            </w:r>
            <w:r w:rsidRPr="009E43F0">
              <w:rPr>
                <w:rFonts w:ascii="Times New Roman" w:hAnsi="Times New Roman" w:cs="Times New Roman"/>
                <w:noProof/>
                <w:sz w:val="27"/>
                <w:szCs w:val="27"/>
                <w:lang w:eastAsia="lv-LV"/>
              </w:rPr>
              <w:t>,</w:t>
            </w:r>
            <w:r w:rsidR="00475B7D" w:rsidRPr="009E43F0">
              <w:rPr>
                <w:rFonts w:ascii="Times New Roman" w:hAnsi="Times New Roman" w:cs="Times New Roman"/>
                <w:noProof/>
                <w:sz w:val="27"/>
                <w:szCs w:val="27"/>
                <w:lang w:eastAsia="lv-LV"/>
              </w:rPr>
              <w:t xml:space="preserve"> samazinot aktivitātei pieejamo kopējā publiskā finansējuma apmēru.</w:t>
            </w:r>
          </w:p>
        </w:tc>
      </w:tr>
      <w:tr w:rsidR="00475B7D" w:rsidRPr="009E43F0">
        <w:tc>
          <w:tcPr>
            <w:tcW w:w="237" w:type="pct"/>
            <w:tcBorders>
              <w:top w:val="outset" w:sz="6" w:space="0" w:color="000000"/>
              <w:bottom w:val="outset" w:sz="6" w:space="0" w:color="000000"/>
              <w:right w:val="outset" w:sz="6" w:space="0" w:color="000000"/>
            </w:tcBorders>
          </w:tcPr>
          <w:p w:rsidR="00475B7D" w:rsidRPr="009E43F0" w:rsidRDefault="00475B7D" w:rsidP="00FF0A26">
            <w:pPr>
              <w:spacing w:before="100" w:beforeAutospacing="1" w:after="100" w:afterAutospacing="1"/>
              <w:rPr>
                <w:noProof/>
                <w:sz w:val="27"/>
                <w:szCs w:val="27"/>
              </w:rPr>
            </w:pPr>
            <w:r w:rsidRPr="009E43F0">
              <w:rPr>
                <w:noProof/>
                <w:sz w:val="27"/>
                <w:szCs w:val="27"/>
              </w:rPr>
              <w:lastRenderedPageBreak/>
              <w:t>2.</w:t>
            </w:r>
          </w:p>
        </w:tc>
        <w:tc>
          <w:tcPr>
            <w:tcW w:w="126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spacing w:before="100" w:beforeAutospacing="1" w:after="100" w:afterAutospacing="1"/>
              <w:rPr>
                <w:noProof/>
                <w:sz w:val="27"/>
                <w:szCs w:val="27"/>
              </w:rPr>
            </w:pPr>
            <w:r w:rsidRPr="009E43F0">
              <w:rPr>
                <w:noProof/>
                <w:sz w:val="27"/>
                <w:szCs w:val="27"/>
              </w:rPr>
              <w:t>Cita informācija</w:t>
            </w:r>
          </w:p>
        </w:tc>
        <w:tc>
          <w:tcPr>
            <w:tcW w:w="3497" w:type="pct"/>
            <w:tcBorders>
              <w:top w:val="outset" w:sz="6" w:space="0" w:color="000000"/>
              <w:left w:val="outset" w:sz="6" w:space="0" w:color="000000"/>
              <w:bottom w:val="outset" w:sz="6" w:space="0" w:color="000000"/>
            </w:tcBorders>
          </w:tcPr>
          <w:p w:rsidR="00475B7D" w:rsidRPr="009E43F0" w:rsidRDefault="00750DE1" w:rsidP="00750DE1">
            <w:pPr>
              <w:spacing w:before="100" w:beforeAutospacing="1" w:after="100" w:afterAutospacing="1"/>
              <w:jc w:val="both"/>
              <w:rPr>
                <w:noProof/>
                <w:sz w:val="27"/>
                <w:szCs w:val="27"/>
              </w:rPr>
            </w:pPr>
            <w:r>
              <w:rPr>
                <w:noProof/>
                <w:sz w:val="27"/>
                <w:szCs w:val="27"/>
              </w:rPr>
              <w:t xml:space="preserve"> Nav.</w:t>
            </w:r>
          </w:p>
        </w:tc>
      </w:tr>
    </w:tbl>
    <w:p w:rsidR="00475B7D" w:rsidRPr="009E43F0" w:rsidRDefault="00475B7D" w:rsidP="00004A00">
      <w:pPr>
        <w:jc w:val="both"/>
        <w:rPr>
          <w:noProof/>
          <w:sz w:val="27"/>
          <w:szCs w:val="27"/>
        </w:rPr>
      </w:pPr>
    </w:p>
    <w:p w:rsidR="00475B7D" w:rsidRPr="009E43F0" w:rsidRDefault="00475B7D" w:rsidP="00004A00">
      <w:pPr>
        <w:jc w:val="both"/>
        <w:rPr>
          <w:noProof/>
          <w:sz w:val="27"/>
          <w:szCs w:val="27"/>
        </w:rPr>
      </w:pPr>
      <w:r w:rsidRPr="009E43F0">
        <w:rPr>
          <w:noProof/>
          <w:sz w:val="27"/>
          <w:szCs w:val="27"/>
        </w:rPr>
        <w:t>Anotācijas V un VI sadaļa – noteikumu projekts šīs jomas neskar.</w:t>
      </w:r>
    </w:p>
    <w:p w:rsidR="00475B7D" w:rsidRPr="009E43F0" w:rsidRDefault="00475B7D" w:rsidP="00004A00">
      <w:pPr>
        <w:jc w:val="both"/>
        <w:rPr>
          <w:noProof/>
          <w:sz w:val="27"/>
          <w:szCs w:val="27"/>
        </w:rPr>
      </w:pPr>
    </w:p>
    <w:tbl>
      <w:tblPr>
        <w:tblW w:w="4890" w:type="pct"/>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25"/>
        <w:gridCol w:w="2565"/>
        <w:gridCol w:w="5940"/>
      </w:tblGrid>
      <w:tr w:rsidR="00475B7D" w:rsidRPr="009E43F0">
        <w:tc>
          <w:tcPr>
            <w:tcW w:w="5000" w:type="pct"/>
            <w:gridSpan w:val="3"/>
            <w:tcBorders>
              <w:top w:val="outset" w:sz="6" w:space="0" w:color="000000"/>
              <w:bottom w:val="outset" w:sz="6" w:space="0" w:color="000000"/>
            </w:tcBorders>
          </w:tcPr>
          <w:p w:rsidR="00475B7D" w:rsidRPr="009E43F0" w:rsidRDefault="00475B7D" w:rsidP="00FF0A26">
            <w:pPr>
              <w:jc w:val="center"/>
              <w:rPr>
                <w:b/>
                <w:bCs/>
                <w:noProof/>
                <w:sz w:val="27"/>
                <w:szCs w:val="27"/>
              </w:rPr>
            </w:pPr>
            <w:r w:rsidRPr="009E43F0">
              <w:rPr>
                <w:b/>
                <w:bCs/>
                <w:noProof/>
                <w:sz w:val="27"/>
                <w:szCs w:val="27"/>
              </w:rPr>
              <w:t>VII. Tiesību akta projekta izpildes nodrošināšana un tās ietekme uz institūcijām</w:t>
            </w:r>
          </w:p>
        </w:tc>
      </w:tr>
      <w:tr w:rsidR="00475B7D" w:rsidRPr="009E43F0">
        <w:tc>
          <w:tcPr>
            <w:tcW w:w="238"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1.</w:t>
            </w:r>
          </w:p>
        </w:tc>
        <w:tc>
          <w:tcPr>
            <w:tcW w:w="143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Projekta izpildē iesaistītās institūcijas</w:t>
            </w:r>
          </w:p>
        </w:tc>
        <w:tc>
          <w:tcPr>
            <w:tcW w:w="3326" w:type="pct"/>
            <w:tcBorders>
              <w:top w:val="outset" w:sz="6" w:space="0" w:color="000000"/>
              <w:left w:val="outset" w:sz="6" w:space="0" w:color="000000"/>
              <w:bottom w:val="outset" w:sz="6" w:space="0" w:color="000000"/>
            </w:tcBorders>
          </w:tcPr>
          <w:p w:rsidR="00475B7D" w:rsidRPr="009E43F0" w:rsidRDefault="00475B7D" w:rsidP="005F374E">
            <w:pPr>
              <w:ind w:left="15" w:right="53"/>
              <w:jc w:val="both"/>
              <w:rPr>
                <w:noProof/>
                <w:sz w:val="27"/>
                <w:szCs w:val="27"/>
              </w:rPr>
            </w:pPr>
            <w:r w:rsidRPr="009E43F0">
              <w:rPr>
                <w:noProof/>
                <w:sz w:val="27"/>
                <w:szCs w:val="27"/>
              </w:rPr>
              <w:t>Izglītības un zinātnes ministrija, Valsts izglītības attīstības aģentūra, Zemkopības ministrija un</w:t>
            </w:r>
            <w:r w:rsidRPr="009E43F0">
              <w:rPr>
                <w:noProof/>
                <w:color w:val="000000"/>
                <w:sz w:val="27"/>
                <w:szCs w:val="27"/>
              </w:rPr>
              <w:t xml:space="preserve"> Vides aizsardzības un reģionālās attīstības ministrija.</w:t>
            </w:r>
          </w:p>
        </w:tc>
      </w:tr>
      <w:tr w:rsidR="00475B7D" w:rsidRPr="009E43F0">
        <w:tc>
          <w:tcPr>
            <w:tcW w:w="238"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2.</w:t>
            </w:r>
          </w:p>
        </w:tc>
        <w:tc>
          <w:tcPr>
            <w:tcW w:w="143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Projekta izpildes ietekme uz pārvaldes funkcijām</w:t>
            </w:r>
          </w:p>
        </w:tc>
        <w:tc>
          <w:tcPr>
            <w:tcW w:w="3326" w:type="pct"/>
            <w:tcBorders>
              <w:top w:val="outset" w:sz="6" w:space="0" w:color="000000"/>
              <w:left w:val="outset" w:sz="6" w:space="0" w:color="000000"/>
              <w:bottom w:val="outset" w:sz="6" w:space="0" w:color="000000"/>
            </w:tcBorders>
          </w:tcPr>
          <w:p w:rsidR="00DE22E8" w:rsidRPr="009E43F0" w:rsidRDefault="00DE22E8" w:rsidP="00DE22E8">
            <w:pPr>
              <w:ind w:left="18" w:right="111"/>
              <w:jc w:val="both"/>
              <w:rPr>
                <w:noProof/>
                <w:sz w:val="27"/>
                <w:szCs w:val="27"/>
              </w:rPr>
            </w:pPr>
            <w:r w:rsidRPr="009E43F0">
              <w:rPr>
                <w:noProof/>
                <w:sz w:val="27"/>
                <w:szCs w:val="27"/>
              </w:rPr>
              <w:t>Netiek paplašinātas esošo institūciju funkcijas. Vienlaikus noteikumu projekts Valsts izglītības attīstības aģentūrai (turpmāk – VIAA) kā ES fondu sadarbības iestādei uzliek par pienākumu nodrošināt pastiprinātu projektu uzraudzību un īstenot risku vadību, veicot šādas darbības:</w:t>
            </w:r>
          </w:p>
          <w:p w:rsidR="00DE22E8" w:rsidRPr="009E43F0" w:rsidRDefault="00DE22E8" w:rsidP="00DE22E8">
            <w:pPr>
              <w:numPr>
                <w:ilvl w:val="0"/>
                <w:numId w:val="15"/>
              </w:numPr>
              <w:ind w:left="302" w:right="111" w:hanging="283"/>
              <w:jc w:val="both"/>
              <w:rPr>
                <w:noProof/>
                <w:sz w:val="27"/>
                <w:szCs w:val="27"/>
              </w:rPr>
            </w:pPr>
            <w:r w:rsidRPr="009E43F0">
              <w:rPr>
                <w:noProof/>
                <w:sz w:val="27"/>
                <w:szCs w:val="27"/>
              </w:rPr>
              <w:t>pirms projektu iesniegumu iesniegšanas atbildīgajā iestādē veikt visu projektu būvdarbu tehniskās dokumentācijas izstrādes iepirkumu un būvdarbu veikšanas iepirkumu dokumentācijas pirmspārbaudi, šo iepirkumu procedūru norises pirmspārbaudi un sniegt atzinumu šo noteikumu 19. un 20.punktā noteiktajā kārtībā;</w:t>
            </w:r>
          </w:p>
          <w:p w:rsidR="00DE22E8" w:rsidRPr="009E43F0" w:rsidRDefault="00DE22E8" w:rsidP="00DE22E8">
            <w:pPr>
              <w:numPr>
                <w:ilvl w:val="0"/>
                <w:numId w:val="15"/>
              </w:numPr>
              <w:ind w:left="302" w:right="111" w:hanging="283"/>
              <w:jc w:val="both"/>
              <w:rPr>
                <w:bCs/>
                <w:noProof/>
                <w:sz w:val="27"/>
                <w:szCs w:val="27"/>
              </w:rPr>
            </w:pPr>
            <w:r w:rsidRPr="009E43F0">
              <w:rPr>
                <w:noProof/>
                <w:sz w:val="27"/>
                <w:szCs w:val="27"/>
              </w:rPr>
              <w:t>konsultēt projekta iesniedzējus</w:t>
            </w:r>
            <w:r w:rsidRPr="009E43F0">
              <w:rPr>
                <w:bCs/>
                <w:noProof/>
                <w:sz w:val="27"/>
                <w:szCs w:val="27"/>
              </w:rPr>
              <w:t xml:space="preserve"> par projekta </w:t>
            </w:r>
            <w:r w:rsidR="0088044F" w:rsidRPr="009E43F0">
              <w:rPr>
                <w:bCs/>
                <w:noProof/>
                <w:sz w:val="27"/>
                <w:szCs w:val="27"/>
              </w:rPr>
              <w:t>īstenošanu</w:t>
            </w:r>
            <w:r w:rsidRPr="009E43F0">
              <w:rPr>
                <w:bCs/>
                <w:noProof/>
                <w:sz w:val="27"/>
                <w:szCs w:val="27"/>
              </w:rPr>
              <w:t xml:space="preserve"> atbilstoši publisko iepirkumu un būvniecību reglamentējošajiem normatīvajiem aktiem;</w:t>
            </w:r>
          </w:p>
          <w:p w:rsidR="00DE22E8" w:rsidRPr="009E43F0" w:rsidRDefault="00DE22E8" w:rsidP="00DE22E8">
            <w:pPr>
              <w:numPr>
                <w:ilvl w:val="0"/>
                <w:numId w:val="15"/>
              </w:numPr>
              <w:ind w:left="302" w:right="111" w:hanging="283"/>
              <w:jc w:val="both"/>
              <w:rPr>
                <w:bCs/>
                <w:noProof/>
                <w:sz w:val="27"/>
                <w:szCs w:val="27"/>
              </w:rPr>
            </w:pPr>
            <w:r w:rsidRPr="009E43F0">
              <w:rPr>
                <w:bCs/>
                <w:noProof/>
                <w:sz w:val="27"/>
                <w:szCs w:val="27"/>
              </w:rPr>
              <w:t xml:space="preserve">pārbaudīt izmaksu attaisnojošo dokumentāciju pirms finansējuma saņēmējs, kas ir valsts dibināta izglītības iestāde, veic maksājumu izpildītājam vai </w:t>
            </w:r>
            <w:r w:rsidRPr="009E43F0">
              <w:rPr>
                <w:bCs/>
                <w:noProof/>
                <w:sz w:val="27"/>
                <w:szCs w:val="27"/>
              </w:rPr>
              <w:lastRenderedPageBreak/>
              <w:t>piegādātājam;</w:t>
            </w:r>
          </w:p>
          <w:p w:rsidR="00DE22E8" w:rsidRPr="009E43F0" w:rsidRDefault="00DE22E8" w:rsidP="001F1935">
            <w:pPr>
              <w:numPr>
                <w:ilvl w:val="0"/>
                <w:numId w:val="15"/>
              </w:numPr>
              <w:spacing w:after="60"/>
              <w:ind w:left="301" w:right="113" w:hanging="284"/>
              <w:jc w:val="both"/>
              <w:rPr>
                <w:bCs/>
                <w:noProof/>
                <w:sz w:val="27"/>
                <w:szCs w:val="27"/>
              </w:rPr>
            </w:pPr>
            <w:r w:rsidRPr="009E43F0">
              <w:rPr>
                <w:bCs/>
                <w:noProof/>
                <w:sz w:val="27"/>
                <w:szCs w:val="27"/>
              </w:rPr>
              <w:t xml:space="preserve">uzraudzīt projekta sagatavošanas un </w:t>
            </w:r>
            <w:r w:rsidR="0088044F" w:rsidRPr="009E43F0">
              <w:rPr>
                <w:bCs/>
                <w:noProof/>
                <w:sz w:val="27"/>
                <w:szCs w:val="27"/>
              </w:rPr>
              <w:t>īstenošanas</w:t>
            </w:r>
            <w:r w:rsidRPr="009E43F0">
              <w:rPr>
                <w:bCs/>
                <w:noProof/>
                <w:sz w:val="27"/>
                <w:szCs w:val="27"/>
              </w:rPr>
              <w:t xml:space="preserve"> laikā noslēgto būvdarbu tehniskās dokumentācijas izstrādes, būvuzraudzības un būvniecības līgumu izpildi.</w:t>
            </w:r>
          </w:p>
          <w:p w:rsidR="00231F71" w:rsidRPr="009E43F0" w:rsidRDefault="00DE22E8" w:rsidP="00DE0C0B">
            <w:pPr>
              <w:ind w:left="99" w:right="111"/>
              <w:jc w:val="both"/>
              <w:rPr>
                <w:noProof/>
                <w:sz w:val="27"/>
                <w:szCs w:val="27"/>
                <w:highlight w:val="yellow"/>
              </w:rPr>
            </w:pPr>
            <w:r w:rsidRPr="009E43F0">
              <w:rPr>
                <w:noProof/>
                <w:sz w:val="27"/>
                <w:szCs w:val="27"/>
              </w:rPr>
              <w:t xml:space="preserve">Lai nodrošinātu VIAA pārziņā esošo ES fondu aktivitāšu uzraudzības funkciju izpildi, t.sk. profesionālās izglītības iestāžu īstenoto aktivitāšu uzraudzību, ES fondu tehniskās  palīdzības ietvaros, veicot rezerves finansējuma sadali ar grozījumiem Ministru kabineta 2011.gada 6.septembra noteikumos Nr.694 </w:t>
            </w:r>
            <w:r w:rsidRPr="009E43F0">
              <w:rPr>
                <w:i/>
                <w:noProof/>
                <w:sz w:val="27"/>
                <w:szCs w:val="27"/>
              </w:rPr>
              <w:t>„Noteikumi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Pr="009E43F0">
              <w:rPr>
                <w:noProof/>
                <w:sz w:val="27"/>
                <w:szCs w:val="27"/>
              </w:rPr>
              <w:t xml:space="preserve">, </w:t>
            </w:r>
            <w:r w:rsidR="00DE0C0B" w:rsidRPr="004D5BCC">
              <w:rPr>
                <w:noProof/>
                <w:sz w:val="27"/>
                <w:szCs w:val="27"/>
              </w:rPr>
              <w:t>ir rasta iespēja piešķirt</w:t>
            </w:r>
            <w:r w:rsidR="000067DA" w:rsidRPr="004D5BCC">
              <w:rPr>
                <w:noProof/>
                <w:sz w:val="27"/>
                <w:szCs w:val="27"/>
              </w:rPr>
              <w:t xml:space="preserve"> p</w:t>
            </w:r>
            <w:r w:rsidRPr="004D5BCC">
              <w:rPr>
                <w:noProof/>
                <w:sz w:val="27"/>
                <w:szCs w:val="27"/>
              </w:rPr>
              <w:t>apildu</w:t>
            </w:r>
            <w:r w:rsidR="00DE0C0B" w:rsidRPr="004D5BCC">
              <w:rPr>
                <w:noProof/>
                <w:sz w:val="27"/>
                <w:szCs w:val="27"/>
              </w:rPr>
              <w:t xml:space="preserve">s finansējumu </w:t>
            </w:r>
            <w:r w:rsidRPr="004D5BCC">
              <w:rPr>
                <w:noProof/>
                <w:sz w:val="27"/>
                <w:szCs w:val="27"/>
              </w:rPr>
              <w:t xml:space="preserve">VIAA, </w:t>
            </w:r>
            <w:r w:rsidR="000067DA" w:rsidRPr="004D5BCC">
              <w:rPr>
                <w:noProof/>
                <w:sz w:val="27"/>
                <w:szCs w:val="27"/>
              </w:rPr>
              <w:t>palielino</w:t>
            </w:r>
            <w:r w:rsidRPr="004D5BCC">
              <w:rPr>
                <w:noProof/>
                <w:sz w:val="27"/>
                <w:szCs w:val="27"/>
              </w:rPr>
              <w:t>t VIAA tehniskās palīdzības projekta kopējo attiecināmo finansējumu, tai skaitā palielinot darbinieku vai ierēdņu amata vietu skaitu</w:t>
            </w:r>
            <w:r w:rsidR="00DE0C0B" w:rsidRPr="004D5BCC">
              <w:rPr>
                <w:noProof/>
                <w:sz w:val="27"/>
                <w:szCs w:val="27"/>
              </w:rPr>
              <w:t xml:space="preserve">. Sagatavotos grozījumus MK noteikumos Nr.694 </w:t>
            </w:r>
            <w:r w:rsidR="00462664" w:rsidRPr="004D5BCC">
              <w:rPr>
                <w:noProof/>
                <w:sz w:val="27"/>
                <w:szCs w:val="27"/>
              </w:rPr>
              <w:t>i</w:t>
            </w:r>
            <w:r w:rsidR="00DE0C0B" w:rsidRPr="004D5BCC">
              <w:rPr>
                <w:noProof/>
                <w:sz w:val="27"/>
                <w:szCs w:val="27"/>
              </w:rPr>
              <w:t>r plānots apstiprināt</w:t>
            </w:r>
            <w:r w:rsidR="00462664" w:rsidRPr="004D5BCC">
              <w:rPr>
                <w:noProof/>
                <w:sz w:val="27"/>
                <w:szCs w:val="27"/>
              </w:rPr>
              <w:t xml:space="preserve"> Ministru kabineta 2013.gada </w:t>
            </w:r>
            <w:r w:rsidR="00DE0C0B" w:rsidRPr="004D5BCC">
              <w:rPr>
                <w:noProof/>
                <w:sz w:val="27"/>
                <w:szCs w:val="27"/>
              </w:rPr>
              <w:t>22</w:t>
            </w:r>
            <w:r w:rsidR="00462664" w:rsidRPr="004D5BCC">
              <w:rPr>
                <w:noProof/>
                <w:sz w:val="27"/>
                <w:szCs w:val="27"/>
              </w:rPr>
              <w:t>.janvār</w:t>
            </w:r>
            <w:r w:rsidR="00DE0C0B" w:rsidRPr="004D5BCC">
              <w:rPr>
                <w:noProof/>
                <w:sz w:val="27"/>
                <w:szCs w:val="27"/>
              </w:rPr>
              <w:t>a sēdē</w:t>
            </w:r>
            <w:r w:rsidRPr="004D5BCC">
              <w:rPr>
                <w:noProof/>
                <w:sz w:val="27"/>
                <w:szCs w:val="27"/>
              </w:rPr>
              <w:t>.</w:t>
            </w:r>
            <w:r w:rsidR="007666DC" w:rsidRPr="009E43F0">
              <w:rPr>
                <w:noProof/>
                <w:sz w:val="27"/>
                <w:szCs w:val="27"/>
              </w:rPr>
              <w:t xml:space="preserve"> </w:t>
            </w:r>
          </w:p>
        </w:tc>
      </w:tr>
      <w:tr w:rsidR="00475B7D" w:rsidRPr="009E43F0">
        <w:tc>
          <w:tcPr>
            <w:tcW w:w="238"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lastRenderedPageBreak/>
              <w:t>3.</w:t>
            </w:r>
          </w:p>
        </w:tc>
        <w:tc>
          <w:tcPr>
            <w:tcW w:w="143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Projekta izpildes ietekme uz pārvaldes institucionālo struktūru.</w:t>
            </w:r>
          </w:p>
          <w:p w:rsidR="00475B7D" w:rsidRPr="009E43F0" w:rsidRDefault="00475B7D" w:rsidP="00FF0A26">
            <w:pPr>
              <w:rPr>
                <w:noProof/>
                <w:sz w:val="27"/>
                <w:szCs w:val="27"/>
              </w:rPr>
            </w:pPr>
            <w:r w:rsidRPr="009E43F0">
              <w:rPr>
                <w:noProof/>
                <w:sz w:val="27"/>
                <w:szCs w:val="27"/>
              </w:rPr>
              <w:t>Jaunu institūciju izveide</w:t>
            </w:r>
          </w:p>
        </w:tc>
        <w:tc>
          <w:tcPr>
            <w:tcW w:w="3326" w:type="pct"/>
            <w:tcBorders>
              <w:top w:val="outset" w:sz="6" w:space="0" w:color="000000"/>
              <w:left w:val="outset" w:sz="6" w:space="0" w:color="000000"/>
              <w:bottom w:val="outset" w:sz="6" w:space="0" w:color="000000"/>
            </w:tcBorders>
          </w:tcPr>
          <w:p w:rsidR="00475B7D" w:rsidRPr="009E43F0" w:rsidRDefault="00475B7D" w:rsidP="00FF0A26">
            <w:pPr>
              <w:ind w:left="99" w:right="111"/>
              <w:rPr>
                <w:noProof/>
                <w:sz w:val="27"/>
                <w:szCs w:val="27"/>
              </w:rPr>
            </w:pPr>
            <w:r w:rsidRPr="009E43F0">
              <w:rPr>
                <w:noProof/>
                <w:sz w:val="27"/>
                <w:szCs w:val="27"/>
              </w:rPr>
              <w:t>Noteikumu projekts šo jomu neskar.</w:t>
            </w:r>
          </w:p>
        </w:tc>
      </w:tr>
      <w:tr w:rsidR="00475B7D" w:rsidRPr="009E43F0">
        <w:tc>
          <w:tcPr>
            <w:tcW w:w="238"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4.</w:t>
            </w:r>
          </w:p>
        </w:tc>
        <w:tc>
          <w:tcPr>
            <w:tcW w:w="143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Projekta izpildes ietekme uz pārvaldes institucionālo struktūru.</w:t>
            </w:r>
          </w:p>
          <w:p w:rsidR="00475B7D" w:rsidRPr="009E43F0" w:rsidRDefault="00475B7D" w:rsidP="00FF0A26">
            <w:pPr>
              <w:rPr>
                <w:noProof/>
                <w:sz w:val="27"/>
                <w:szCs w:val="27"/>
              </w:rPr>
            </w:pPr>
            <w:r w:rsidRPr="009E43F0">
              <w:rPr>
                <w:noProof/>
                <w:sz w:val="27"/>
                <w:szCs w:val="27"/>
              </w:rPr>
              <w:t>Esošu institūciju likvidācija</w:t>
            </w:r>
          </w:p>
        </w:tc>
        <w:tc>
          <w:tcPr>
            <w:tcW w:w="3326" w:type="pct"/>
            <w:tcBorders>
              <w:top w:val="outset" w:sz="6" w:space="0" w:color="000000"/>
              <w:left w:val="outset" w:sz="6" w:space="0" w:color="000000"/>
              <w:bottom w:val="outset" w:sz="6" w:space="0" w:color="000000"/>
            </w:tcBorders>
          </w:tcPr>
          <w:p w:rsidR="00475B7D" w:rsidRPr="009E43F0" w:rsidRDefault="00475B7D" w:rsidP="00FF0A26">
            <w:pPr>
              <w:ind w:left="99" w:right="111"/>
              <w:rPr>
                <w:noProof/>
                <w:sz w:val="27"/>
                <w:szCs w:val="27"/>
              </w:rPr>
            </w:pPr>
            <w:r w:rsidRPr="009E43F0">
              <w:rPr>
                <w:noProof/>
                <w:sz w:val="27"/>
                <w:szCs w:val="27"/>
              </w:rPr>
              <w:t>Noteikumu projekts šo jomu neskar.</w:t>
            </w:r>
          </w:p>
        </w:tc>
      </w:tr>
      <w:tr w:rsidR="00475B7D" w:rsidRPr="009E43F0">
        <w:tc>
          <w:tcPr>
            <w:tcW w:w="238"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lastRenderedPageBreak/>
              <w:t>5.</w:t>
            </w:r>
          </w:p>
        </w:tc>
        <w:tc>
          <w:tcPr>
            <w:tcW w:w="143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Projekta izpildes ietekme uz pārvaldes institucionālo struktūru.</w:t>
            </w:r>
          </w:p>
          <w:p w:rsidR="00475B7D" w:rsidRPr="009E43F0" w:rsidRDefault="00475B7D" w:rsidP="00FF0A26">
            <w:pPr>
              <w:rPr>
                <w:noProof/>
                <w:sz w:val="27"/>
                <w:szCs w:val="27"/>
              </w:rPr>
            </w:pPr>
            <w:r w:rsidRPr="009E43F0">
              <w:rPr>
                <w:noProof/>
                <w:sz w:val="27"/>
                <w:szCs w:val="27"/>
              </w:rPr>
              <w:t>Esošu institūciju reorganizācija</w:t>
            </w:r>
          </w:p>
        </w:tc>
        <w:tc>
          <w:tcPr>
            <w:tcW w:w="3326" w:type="pct"/>
            <w:tcBorders>
              <w:top w:val="outset" w:sz="6" w:space="0" w:color="000000"/>
              <w:left w:val="outset" w:sz="6" w:space="0" w:color="000000"/>
              <w:bottom w:val="outset" w:sz="6" w:space="0" w:color="000000"/>
            </w:tcBorders>
          </w:tcPr>
          <w:p w:rsidR="00475B7D" w:rsidRPr="009E43F0" w:rsidRDefault="00475B7D" w:rsidP="00FF0A26">
            <w:pPr>
              <w:rPr>
                <w:noProof/>
                <w:sz w:val="27"/>
                <w:szCs w:val="27"/>
              </w:rPr>
            </w:pPr>
            <w:r w:rsidRPr="009E43F0">
              <w:rPr>
                <w:noProof/>
                <w:sz w:val="27"/>
                <w:szCs w:val="27"/>
              </w:rPr>
              <w:t>Noteikumu projekts šo jomu neskar.</w:t>
            </w:r>
          </w:p>
        </w:tc>
      </w:tr>
      <w:tr w:rsidR="00475B7D" w:rsidRPr="009E43F0">
        <w:tc>
          <w:tcPr>
            <w:tcW w:w="238" w:type="pct"/>
            <w:tcBorders>
              <w:top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6.</w:t>
            </w:r>
          </w:p>
        </w:tc>
        <w:tc>
          <w:tcPr>
            <w:tcW w:w="1436" w:type="pct"/>
            <w:tcBorders>
              <w:top w:val="outset" w:sz="6" w:space="0" w:color="000000"/>
              <w:left w:val="outset" w:sz="6" w:space="0" w:color="000000"/>
              <w:bottom w:val="outset" w:sz="6" w:space="0" w:color="000000"/>
              <w:right w:val="outset" w:sz="6" w:space="0" w:color="000000"/>
            </w:tcBorders>
          </w:tcPr>
          <w:p w:rsidR="00475B7D" w:rsidRPr="009E43F0" w:rsidRDefault="00475B7D" w:rsidP="00FF0A26">
            <w:pPr>
              <w:rPr>
                <w:noProof/>
                <w:sz w:val="27"/>
                <w:szCs w:val="27"/>
              </w:rPr>
            </w:pPr>
            <w:r w:rsidRPr="009E43F0">
              <w:rPr>
                <w:noProof/>
                <w:sz w:val="27"/>
                <w:szCs w:val="27"/>
              </w:rPr>
              <w:t>Cita informācija</w:t>
            </w:r>
          </w:p>
        </w:tc>
        <w:tc>
          <w:tcPr>
            <w:tcW w:w="3326" w:type="pct"/>
            <w:tcBorders>
              <w:top w:val="outset" w:sz="6" w:space="0" w:color="000000"/>
              <w:left w:val="outset" w:sz="6" w:space="0" w:color="000000"/>
              <w:bottom w:val="outset" w:sz="6" w:space="0" w:color="000000"/>
            </w:tcBorders>
          </w:tcPr>
          <w:p w:rsidR="00475B7D" w:rsidRPr="009E43F0" w:rsidRDefault="00475B7D" w:rsidP="00FF0A26">
            <w:pPr>
              <w:rPr>
                <w:noProof/>
                <w:sz w:val="27"/>
                <w:szCs w:val="27"/>
              </w:rPr>
            </w:pPr>
            <w:r w:rsidRPr="009E43F0">
              <w:rPr>
                <w:noProof/>
                <w:sz w:val="27"/>
                <w:szCs w:val="27"/>
              </w:rPr>
              <w:t>Nav.</w:t>
            </w:r>
          </w:p>
        </w:tc>
      </w:tr>
    </w:tbl>
    <w:p w:rsidR="00475B7D" w:rsidRPr="009E43F0" w:rsidRDefault="00475B7D" w:rsidP="00FF0A26">
      <w:pPr>
        <w:jc w:val="both"/>
        <w:rPr>
          <w:noProof/>
          <w:sz w:val="27"/>
          <w:szCs w:val="27"/>
        </w:rPr>
      </w:pPr>
    </w:p>
    <w:p w:rsidR="00475B7D" w:rsidRPr="009E43F0" w:rsidRDefault="00475B7D" w:rsidP="00FF0A26">
      <w:pPr>
        <w:jc w:val="both"/>
        <w:rPr>
          <w:noProof/>
          <w:sz w:val="27"/>
          <w:szCs w:val="27"/>
        </w:rPr>
      </w:pPr>
    </w:p>
    <w:p w:rsidR="00EE3582" w:rsidRPr="00EE3582" w:rsidRDefault="008333DE" w:rsidP="008333DE">
      <w:pPr>
        <w:pStyle w:val="Heading1"/>
        <w:spacing w:before="0" w:after="0"/>
        <w:rPr>
          <w:rFonts w:ascii="Times New Roman" w:hAnsi="Times New Roman" w:cs="Times New Roman"/>
          <w:b w:val="0"/>
          <w:bCs w:val="0"/>
          <w:noProof/>
          <w:sz w:val="28"/>
          <w:szCs w:val="28"/>
        </w:rPr>
      </w:pPr>
      <w:r>
        <w:rPr>
          <w:rFonts w:ascii="Times New Roman" w:hAnsi="Times New Roman" w:cs="Times New Roman"/>
          <w:b w:val="0"/>
          <w:bCs w:val="0"/>
          <w:noProof/>
          <w:sz w:val="28"/>
          <w:szCs w:val="28"/>
        </w:rPr>
        <w:t>Izglītības un zinātnes ministrs</w:t>
      </w:r>
      <w:r w:rsidR="00EE3582" w:rsidRPr="00EE3582">
        <w:rPr>
          <w:rFonts w:ascii="Times New Roman" w:hAnsi="Times New Roman" w:cs="Times New Roman"/>
          <w:b w:val="0"/>
          <w:bCs w:val="0"/>
          <w:noProof/>
          <w:sz w:val="28"/>
          <w:szCs w:val="28"/>
        </w:rPr>
        <w:t xml:space="preserve"> </w:t>
      </w:r>
      <w:r>
        <w:rPr>
          <w:rFonts w:ascii="Times New Roman" w:hAnsi="Times New Roman" w:cs="Times New Roman"/>
          <w:b w:val="0"/>
          <w:bCs w:val="0"/>
          <w:noProof/>
          <w:sz w:val="28"/>
          <w:szCs w:val="28"/>
        </w:rPr>
        <w:tab/>
      </w:r>
      <w:r>
        <w:rPr>
          <w:rFonts w:ascii="Times New Roman" w:hAnsi="Times New Roman" w:cs="Times New Roman"/>
          <w:b w:val="0"/>
          <w:bCs w:val="0"/>
          <w:noProof/>
          <w:sz w:val="28"/>
          <w:szCs w:val="28"/>
        </w:rPr>
        <w:tab/>
      </w:r>
      <w:r>
        <w:rPr>
          <w:rFonts w:ascii="Times New Roman" w:hAnsi="Times New Roman" w:cs="Times New Roman"/>
          <w:b w:val="0"/>
          <w:bCs w:val="0"/>
          <w:noProof/>
          <w:sz w:val="28"/>
          <w:szCs w:val="28"/>
        </w:rPr>
        <w:tab/>
      </w:r>
      <w:r>
        <w:rPr>
          <w:rFonts w:ascii="Times New Roman" w:hAnsi="Times New Roman" w:cs="Times New Roman"/>
          <w:b w:val="0"/>
          <w:bCs w:val="0"/>
          <w:noProof/>
          <w:sz w:val="28"/>
          <w:szCs w:val="28"/>
        </w:rPr>
        <w:tab/>
      </w:r>
      <w:r>
        <w:rPr>
          <w:rFonts w:ascii="Times New Roman" w:hAnsi="Times New Roman" w:cs="Times New Roman"/>
          <w:b w:val="0"/>
          <w:bCs w:val="0"/>
          <w:noProof/>
          <w:sz w:val="28"/>
          <w:szCs w:val="28"/>
        </w:rPr>
        <w:tab/>
        <w:t>R.Ķīlis</w:t>
      </w:r>
    </w:p>
    <w:p w:rsidR="00EE3582" w:rsidRPr="00EE3582" w:rsidRDefault="00EE3582" w:rsidP="00EE3582">
      <w:pPr>
        <w:pStyle w:val="Heading1"/>
        <w:spacing w:before="0" w:after="0"/>
        <w:rPr>
          <w:rFonts w:ascii="Times New Roman" w:hAnsi="Times New Roman" w:cs="Times New Roman"/>
          <w:b w:val="0"/>
          <w:bCs w:val="0"/>
          <w:noProof/>
          <w:sz w:val="28"/>
          <w:szCs w:val="28"/>
        </w:rPr>
      </w:pPr>
    </w:p>
    <w:p w:rsidR="00475B7D" w:rsidRPr="00EE3582" w:rsidRDefault="00475B7D" w:rsidP="00EE3582">
      <w:pPr>
        <w:pStyle w:val="Heading1"/>
        <w:spacing w:before="0" w:after="0"/>
        <w:rPr>
          <w:rFonts w:ascii="Times New Roman" w:hAnsi="Times New Roman" w:cs="Times New Roman"/>
          <w:b w:val="0"/>
          <w:bCs w:val="0"/>
          <w:noProof/>
          <w:sz w:val="28"/>
          <w:szCs w:val="28"/>
        </w:rPr>
      </w:pPr>
    </w:p>
    <w:p w:rsidR="00475B7D" w:rsidRPr="00925A81" w:rsidRDefault="00475B7D" w:rsidP="00F64059">
      <w:pPr>
        <w:jc w:val="both"/>
        <w:rPr>
          <w:noProof/>
          <w:sz w:val="28"/>
          <w:szCs w:val="28"/>
        </w:rPr>
      </w:pPr>
    </w:p>
    <w:p w:rsidR="00475B7D" w:rsidRPr="00925A81" w:rsidRDefault="00475B7D" w:rsidP="00FF0A26">
      <w:pPr>
        <w:pStyle w:val="Heading1"/>
        <w:spacing w:before="0" w:after="0"/>
        <w:rPr>
          <w:rFonts w:ascii="Times New Roman" w:hAnsi="Times New Roman" w:cs="Times New Roman"/>
          <w:b w:val="0"/>
          <w:bCs w:val="0"/>
          <w:noProof/>
          <w:sz w:val="28"/>
          <w:szCs w:val="28"/>
        </w:rPr>
      </w:pPr>
      <w:r w:rsidRPr="00925A81">
        <w:rPr>
          <w:rFonts w:ascii="Times New Roman" w:hAnsi="Times New Roman" w:cs="Times New Roman"/>
          <w:b w:val="0"/>
          <w:bCs w:val="0"/>
          <w:noProof/>
          <w:sz w:val="28"/>
          <w:szCs w:val="28"/>
        </w:rPr>
        <w:t xml:space="preserve">Vizē: </w:t>
      </w:r>
      <w:r w:rsidRPr="00925A81">
        <w:rPr>
          <w:rFonts w:ascii="Times New Roman" w:hAnsi="Times New Roman" w:cs="Times New Roman"/>
          <w:b w:val="0"/>
          <w:bCs w:val="0"/>
          <w:noProof/>
          <w:sz w:val="28"/>
          <w:szCs w:val="28"/>
        </w:rPr>
        <w:tab/>
        <w:t xml:space="preserve">Valsts sekretāra vietniece – </w:t>
      </w:r>
    </w:p>
    <w:p w:rsidR="00475B7D" w:rsidRPr="00925A81" w:rsidRDefault="00475B7D" w:rsidP="00FF0A26">
      <w:pPr>
        <w:pStyle w:val="Heading1"/>
        <w:spacing w:before="0" w:after="0"/>
        <w:rPr>
          <w:rFonts w:ascii="Times New Roman" w:hAnsi="Times New Roman" w:cs="Times New Roman"/>
          <w:b w:val="0"/>
          <w:bCs w:val="0"/>
          <w:noProof/>
          <w:sz w:val="28"/>
          <w:szCs w:val="28"/>
        </w:rPr>
      </w:pPr>
      <w:r w:rsidRPr="00925A81">
        <w:rPr>
          <w:rFonts w:ascii="Times New Roman" w:hAnsi="Times New Roman" w:cs="Times New Roman"/>
          <w:b w:val="0"/>
          <w:bCs w:val="0"/>
          <w:noProof/>
          <w:sz w:val="28"/>
          <w:szCs w:val="28"/>
        </w:rPr>
        <w:t>Struktūrfondu un starptautisko finanšu</w:t>
      </w:r>
    </w:p>
    <w:p w:rsidR="00475B7D" w:rsidRPr="00925A81" w:rsidRDefault="00475B7D" w:rsidP="00FF0A26">
      <w:pPr>
        <w:pStyle w:val="Heading1"/>
        <w:spacing w:before="0" w:after="0"/>
        <w:rPr>
          <w:rFonts w:ascii="Times New Roman" w:hAnsi="Times New Roman" w:cs="Times New Roman"/>
          <w:b w:val="0"/>
          <w:bCs w:val="0"/>
          <w:noProof/>
          <w:sz w:val="28"/>
          <w:szCs w:val="28"/>
        </w:rPr>
      </w:pPr>
      <w:r w:rsidRPr="00925A81">
        <w:rPr>
          <w:rFonts w:ascii="Times New Roman" w:hAnsi="Times New Roman" w:cs="Times New Roman"/>
          <w:b w:val="0"/>
          <w:bCs w:val="0"/>
          <w:noProof/>
          <w:sz w:val="28"/>
          <w:szCs w:val="28"/>
        </w:rPr>
        <w:t>instrumentu departamenta direktore,</w:t>
      </w:r>
    </w:p>
    <w:p w:rsidR="00475B7D" w:rsidRPr="00925A81" w:rsidRDefault="00475B7D" w:rsidP="00FF0A26">
      <w:pPr>
        <w:pStyle w:val="Heading1"/>
        <w:spacing w:before="0" w:after="0"/>
        <w:rPr>
          <w:rFonts w:ascii="Times New Roman" w:hAnsi="Times New Roman" w:cs="Times New Roman"/>
          <w:b w:val="0"/>
          <w:bCs w:val="0"/>
          <w:noProof/>
          <w:sz w:val="28"/>
          <w:szCs w:val="28"/>
        </w:rPr>
      </w:pPr>
      <w:r w:rsidRPr="00925A81">
        <w:rPr>
          <w:rFonts w:ascii="Times New Roman" w:hAnsi="Times New Roman" w:cs="Times New Roman"/>
          <w:b w:val="0"/>
          <w:bCs w:val="0"/>
          <w:noProof/>
          <w:sz w:val="28"/>
          <w:szCs w:val="28"/>
        </w:rPr>
        <w:t xml:space="preserve">valsts sekretāra pienākumu izpildītāja </w:t>
      </w:r>
      <w:r w:rsidRPr="00925A81">
        <w:rPr>
          <w:rFonts w:ascii="Times New Roman" w:hAnsi="Times New Roman" w:cs="Times New Roman"/>
          <w:b w:val="0"/>
          <w:bCs w:val="0"/>
          <w:noProof/>
          <w:sz w:val="28"/>
          <w:szCs w:val="28"/>
        </w:rPr>
        <w:tab/>
      </w:r>
      <w:r w:rsidRPr="00925A81">
        <w:rPr>
          <w:rFonts w:ascii="Times New Roman" w:hAnsi="Times New Roman" w:cs="Times New Roman"/>
          <w:b w:val="0"/>
          <w:bCs w:val="0"/>
          <w:noProof/>
          <w:sz w:val="28"/>
          <w:szCs w:val="28"/>
        </w:rPr>
        <w:tab/>
      </w:r>
      <w:r w:rsidRPr="00925A81">
        <w:rPr>
          <w:rFonts w:ascii="Times New Roman" w:hAnsi="Times New Roman" w:cs="Times New Roman"/>
          <w:b w:val="0"/>
          <w:bCs w:val="0"/>
          <w:noProof/>
          <w:sz w:val="28"/>
          <w:szCs w:val="28"/>
        </w:rPr>
        <w:tab/>
      </w:r>
      <w:r w:rsidRPr="00925A81">
        <w:rPr>
          <w:rFonts w:ascii="Times New Roman" w:hAnsi="Times New Roman" w:cs="Times New Roman"/>
          <w:b w:val="0"/>
          <w:bCs w:val="0"/>
          <w:noProof/>
          <w:sz w:val="28"/>
          <w:szCs w:val="28"/>
        </w:rPr>
        <w:tab/>
        <w:t>L.Sīka</w:t>
      </w:r>
    </w:p>
    <w:p w:rsidR="00C71FF1" w:rsidRPr="00925A81" w:rsidRDefault="00C71FF1" w:rsidP="00FF0A26">
      <w:pPr>
        <w:ind w:firstLine="720"/>
        <w:jc w:val="both"/>
        <w:rPr>
          <w:noProof/>
          <w:sz w:val="28"/>
          <w:szCs w:val="28"/>
        </w:rPr>
      </w:pPr>
    </w:p>
    <w:p w:rsidR="00C169DD" w:rsidRDefault="00C169DD" w:rsidP="00FF0A26">
      <w:pPr>
        <w:ind w:firstLine="720"/>
        <w:jc w:val="both"/>
        <w:rPr>
          <w:noProof/>
          <w:sz w:val="27"/>
          <w:szCs w:val="27"/>
        </w:rPr>
      </w:pPr>
    </w:p>
    <w:p w:rsidR="00925A81" w:rsidRDefault="00925A81" w:rsidP="00FF0A26">
      <w:pPr>
        <w:ind w:firstLine="720"/>
        <w:jc w:val="both"/>
        <w:rPr>
          <w:noProof/>
          <w:sz w:val="27"/>
          <w:szCs w:val="27"/>
        </w:rPr>
      </w:pPr>
    </w:p>
    <w:p w:rsidR="00925A81" w:rsidRDefault="00925A81" w:rsidP="00FF0A26">
      <w:pPr>
        <w:ind w:firstLine="720"/>
        <w:jc w:val="both"/>
        <w:rPr>
          <w:noProof/>
          <w:sz w:val="27"/>
          <w:szCs w:val="27"/>
        </w:rPr>
      </w:pPr>
    </w:p>
    <w:p w:rsidR="009F1D56" w:rsidRDefault="008333DE" w:rsidP="00FF0A26">
      <w:pPr>
        <w:ind w:firstLine="720"/>
        <w:jc w:val="both"/>
        <w:rPr>
          <w:noProof/>
          <w:sz w:val="22"/>
          <w:szCs w:val="27"/>
        </w:rPr>
      </w:pPr>
      <w:r>
        <w:rPr>
          <w:noProof/>
          <w:sz w:val="22"/>
          <w:szCs w:val="27"/>
        </w:rPr>
        <w:t>1</w:t>
      </w:r>
      <w:r w:rsidR="00795B91">
        <w:rPr>
          <w:noProof/>
          <w:sz w:val="22"/>
          <w:szCs w:val="27"/>
        </w:rPr>
        <w:t>8</w:t>
      </w:r>
      <w:r>
        <w:rPr>
          <w:noProof/>
          <w:sz w:val="22"/>
          <w:szCs w:val="27"/>
        </w:rPr>
        <w:t>.01.2013</w:t>
      </w:r>
      <w:r w:rsidR="00EE3582">
        <w:rPr>
          <w:noProof/>
          <w:sz w:val="22"/>
          <w:szCs w:val="27"/>
        </w:rPr>
        <w:t xml:space="preserve"> </w:t>
      </w:r>
      <w:r>
        <w:rPr>
          <w:noProof/>
          <w:sz w:val="22"/>
          <w:szCs w:val="27"/>
        </w:rPr>
        <w:t>1</w:t>
      </w:r>
      <w:r w:rsidR="00795B91">
        <w:rPr>
          <w:noProof/>
          <w:sz w:val="22"/>
          <w:szCs w:val="27"/>
        </w:rPr>
        <w:t>0</w:t>
      </w:r>
      <w:r w:rsidR="009F1D56" w:rsidRPr="00925A81">
        <w:rPr>
          <w:noProof/>
          <w:sz w:val="22"/>
          <w:szCs w:val="27"/>
        </w:rPr>
        <w:t>:</w:t>
      </w:r>
      <w:r>
        <w:rPr>
          <w:noProof/>
          <w:sz w:val="22"/>
          <w:szCs w:val="27"/>
        </w:rPr>
        <w:t>34</w:t>
      </w:r>
    </w:p>
    <w:p w:rsidR="006C46F2" w:rsidRPr="00925A81" w:rsidRDefault="004D5BCC" w:rsidP="00FF0A26">
      <w:pPr>
        <w:ind w:firstLine="720"/>
        <w:jc w:val="both"/>
        <w:rPr>
          <w:noProof/>
          <w:sz w:val="22"/>
          <w:szCs w:val="27"/>
        </w:rPr>
      </w:pPr>
      <w:r>
        <w:rPr>
          <w:noProof/>
          <w:sz w:val="22"/>
          <w:szCs w:val="27"/>
        </w:rPr>
        <w:t>2828</w:t>
      </w:r>
    </w:p>
    <w:p w:rsidR="004D5BCC" w:rsidRDefault="004D5BCC" w:rsidP="004D5BCC">
      <w:pPr>
        <w:ind w:firstLine="720"/>
        <w:rPr>
          <w:noProof/>
          <w:sz w:val="22"/>
          <w:szCs w:val="27"/>
        </w:rPr>
      </w:pPr>
      <w:r>
        <w:rPr>
          <w:noProof/>
          <w:sz w:val="22"/>
          <w:szCs w:val="27"/>
        </w:rPr>
        <w:t>I.Griķe</w:t>
      </w:r>
    </w:p>
    <w:p w:rsidR="004D5BCC" w:rsidRDefault="004D5BCC" w:rsidP="004D5BCC">
      <w:pPr>
        <w:ind w:firstLine="720"/>
        <w:rPr>
          <w:noProof/>
          <w:sz w:val="22"/>
          <w:szCs w:val="27"/>
        </w:rPr>
      </w:pPr>
      <w:r>
        <w:rPr>
          <w:noProof/>
          <w:sz w:val="22"/>
          <w:szCs w:val="27"/>
        </w:rPr>
        <w:t xml:space="preserve">67047826, </w:t>
      </w:r>
      <w:r w:rsidRPr="004D5BCC">
        <w:rPr>
          <w:noProof/>
          <w:sz w:val="22"/>
          <w:szCs w:val="27"/>
        </w:rPr>
        <w:t>inga.grike@izm.gov.lv</w:t>
      </w:r>
    </w:p>
    <w:p w:rsidR="00475B7D" w:rsidRPr="00925A81" w:rsidRDefault="00475B7D" w:rsidP="004D5BCC">
      <w:pPr>
        <w:ind w:firstLine="720"/>
        <w:rPr>
          <w:noProof/>
          <w:sz w:val="22"/>
          <w:szCs w:val="27"/>
        </w:rPr>
      </w:pPr>
      <w:r w:rsidRPr="00925A81">
        <w:rPr>
          <w:noProof/>
          <w:sz w:val="22"/>
          <w:szCs w:val="27"/>
        </w:rPr>
        <w:t>M.Meženiece</w:t>
      </w:r>
    </w:p>
    <w:p w:rsidR="00475B7D" w:rsidRDefault="00475B7D" w:rsidP="00FF0A26">
      <w:pPr>
        <w:ind w:firstLine="720"/>
        <w:rPr>
          <w:noProof/>
          <w:sz w:val="22"/>
          <w:szCs w:val="27"/>
        </w:rPr>
      </w:pPr>
      <w:r w:rsidRPr="00925A81">
        <w:rPr>
          <w:noProof/>
          <w:sz w:val="22"/>
          <w:szCs w:val="27"/>
        </w:rPr>
        <w:t xml:space="preserve">67047974, </w:t>
      </w:r>
      <w:bookmarkStart w:id="8" w:name="OLE_LINK1"/>
      <w:bookmarkStart w:id="9" w:name="OLE_LINK2"/>
      <w:r w:rsidRPr="004D5BCC">
        <w:rPr>
          <w:noProof/>
          <w:sz w:val="22"/>
          <w:szCs w:val="27"/>
        </w:rPr>
        <w:t>marta.mezeniece@izm.gov.lv</w:t>
      </w:r>
      <w:bookmarkEnd w:id="8"/>
      <w:bookmarkEnd w:id="9"/>
    </w:p>
    <w:p w:rsidR="008333DE" w:rsidRPr="00925A81" w:rsidRDefault="008333DE" w:rsidP="00FF0A26">
      <w:pPr>
        <w:ind w:firstLine="720"/>
        <w:rPr>
          <w:noProof/>
          <w:sz w:val="22"/>
          <w:szCs w:val="27"/>
        </w:rPr>
      </w:pPr>
    </w:p>
    <w:sectPr w:rsidR="008333DE" w:rsidRPr="00925A81" w:rsidSect="009E43F0">
      <w:headerReference w:type="default" r:id="rId8"/>
      <w:footerReference w:type="default" r:id="rId9"/>
      <w:footerReference w:type="first" r:id="rId10"/>
      <w:pgSz w:w="11906" w:h="16838"/>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2D" w:rsidRDefault="0016562D">
      <w:r>
        <w:separator/>
      </w:r>
    </w:p>
  </w:endnote>
  <w:endnote w:type="continuationSeparator" w:id="0">
    <w:p w:rsidR="0016562D" w:rsidRDefault="00165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FE" w:rsidRPr="001F2DC7" w:rsidRDefault="009E19FE" w:rsidP="001F2DC7">
    <w:pPr>
      <w:jc w:val="both"/>
      <w:rPr>
        <w:sz w:val="20"/>
        <w:szCs w:val="20"/>
      </w:rPr>
    </w:pPr>
    <w:r w:rsidRPr="0021723A">
      <w:rPr>
        <w:sz w:val="20"/>
        <w:szCs w:val="20"/>
      </w:rPr>
      <w:t>IZMAnot_</w:t>
    </w:r>
    <w:r w:rsidR="00420B60">
      <w:rPr>
        <w:sz w:val="20"/>
        <w:szCs w:val="20"/>
      </w:rPr>
      <w:t>1</w:t>
    </w:r>
    <w:r w:rsidR="00795B91">
      <w:rPr>
        <w:sz w:val="20"/>
        <w:szCs w:val="20"/>
      </w:rPr>
      <w:t>8</w:t>
    </w:r>
    <w:r w:rsidR="00420B60">
      <w:rPr>
        <w:sz w:val="20"/>
        <w:szCs w:val="20"/>
      </w:rPr>
      <w:t>0113</w:t>
    </w:r>
    <w:r w:rsidRPr="0021723A">
      <w:rPr>
        <w:sz w:val="20"/>
        <w:szCs w:val="20"/>
      </w:rPr>
      <w:t>_</w:t>
    </w:r>
    <w:r>
      <w:rPr>
        <w:sz w:val="20"/>
        <w:szCs w:val="20"/>
      </w:rPr>
      <w:t>3111_2.k</w:t>
    </w:r>
    <w:r w:rsidRPr="0048436B">
      <w:rPr>
        <w:sz w:val="20"/>
        <w:szCs w:val="20"/>
      </w:rPr>
      <w:t xml:space="preserve">; </w:t>
    </w:r>
    <w:bookmarkStart w:id="10" w:name="OLE_LINK7"/>
    <w:bookmarkStart w:id="11" w:name="OLE_LINK8"/>
    <w:r w:rsidRPr="002D192E">
      <w:rPr>
        <w:sz w:val="20"/>
        <w:szCs w:val="20"/>
      </w:rPr>
      <w:t>Ministru kabineta noteikumu projekta</w:t>
    </w:r>
    <w:r>
      <w:rPr>
        <w:sz w:val="20"/>
        <w:szCs w:val="20"/>
      </w:rPr>
      <w:t xml:space="preserve"> </w:t>
    </w:r>
    <w:r w:rsidRPr="002D192E">
      <w:rPr>
        <w:sz w:val="20"/>
        <w:szCs w:val="20"/>
      </w:rPr>
      <w:t>„</w:t>
    </w:r>
    <w:r w:rsidR="00DC2A68" w:rsidRPr="002D192E">
      <w:rPr>
        <w:sz w:val="20"/>
        <w:szCs w:val="20"/>
      </w:rPr>
      <w:fldChar w:fldCharType="begin"/>
    </w:r>
    <w:r w:rsidRPr="002D192E">
      <w:rPr>
        <w:sz w:val="20"/>
        <w:szCs w:val="20"/>
      </w:rPr>
      <w:instrText xml:space="preserve"> TITLE  </w:instrText>
    </w:r>
    <w:r w:rsidR="00DC2A68" w:rsidRPr="002D192E">
      <w:rPr>
        <w:sz w:val="20"/>
        <w:szCs w:val="20"/>
      </w:rPr>
      <w:fldChar w:fldCharType="separate"/>
    </w:r>
    <w:r>
      <w:rPr>
        <w:sz w:val="20"/>
        <w:szCs w:val="20"/>
      </w:rPr>
      <w:t>Ministru kabineta noteikumu projekta „Noteikumi par darbības programmas „Infrastruktūra un pakalpojumi” papildinājuma 3.1.1.1.aktivitātes „Mācību aprīkojuma modernizācija un infrastruktūras uzlabošana profesionālās izglītības programmu īstenošanai” otrās</w:t>
    </w:r>
    <w:r w:rsidR="00DC2A68" w:rsidRPr="002D192E">
      <w:rPr>
        <w:sz w:val="20"/>
        <w:szCs w:val="20"/>
      </w:rPr>
      <w:fldChar w:fldCharType="end"/>
    </w:r>
    <w:r w:rsidRPr="002D192E">
      <w:rPr>
        <w:sz w:val="20"/>
        <w:szCs w:val="20"/>
      </w:rPr>
      <w:t xml:space="preserve"> projektu iesniegumu atlases kārtas īstenošanu” sākotnējās ietekmes novērtējuma ziņojums (anotācija</w:t>
    </w:r>
    <w:r w:rsidRPr="005426FB">
      <w:rPr>
        <w:sz w:val="20"/>
        <w:szCs w:val="20"/>
      </w:rPr>
      <w:t>)</w:t>
    </w:r>
    <w:bookmarkEnd w:id="10"/>
    <w:bookmarkEnd w:id="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FE" w:rsidRPr="00493619" w:rsidRDefault="009E19FE" w:rsidP="002D192E">
    <w:pPr>
      <w:jc w:val="both"/>
      <w:rPr>
        <w:sz w:val="20"/>
        <w:szCs w:val="20"/>
      </w:rPr>
    </w:pPr>
    <w:r w:rsidRPr="0021723A">
      <w:rPr>
        <w:sz w:val="20"/>
        <w:szCs w:val="20"/>
      </w:rPr>
      <w:t>IZMAnot_</w:t>
    </w:r>
    <w:r w:rsidR="004D5BCC">
      <w:rPr>
        <w:sz w:val="20"/>
        <w:szCs w:val="20"/>
      </w:rPr>
      <w:t>1</w:t>
    </w:r>
    <w:r w:rsidR="00795B91">
      <w:rPr>
        <w:sz w:val="20"/>
        <w:szCs w:val="20"/>
      </w:rPr>
      <w:t>8</w:t>
    </w:r>
    <w:r w:rsidR="0018568C">
      <w:rPr>
        <w:sz w:val="20"/>
        <w:szCs w:val="20"/>
      </w:rPr>
      <w:t>0113</w:t>
    </w:r>
    <w:r w:rsidRPr="0021723A">
      <w:rPr>
        <w:sz w:val="20"/>
        <w:szCs w:val="20"/>
      </w:rPr>
      <w:t>_</w:t>
    </w:r>
    <w:r>
      <w:rPr>
        <w:sz w:val="20"/>
        <w:szCs w:val="20"/>
      </w:rPr>
      <w:t>3111_2.k</w:t>
    </w:r>
    <w:r w:rsidRPr="0048436B">
      <w:rPr>
        <w:sz w:val="20"/>
        <w:szCs w:val="20"/>
      </w:rPr>
      <w:t xml:space="preserve">; </w:t>
    </w:r>
    <w:r w:rsidRPr="002D192E">
      <w:rPr>
        <w:sz w:val="20"/>
        <w:szCs w:val="20"/>
      </w:rPr>
      <w:t>Ministru kabineta noteikumu projekta</w:t>
    </w:r>
    <w:r>
      <w:rPr>
        <w:sz w:val="20"/>
        <w:szCs w:val="20"/>
      </w:rPr>
      <w:t xml:space="preserve"> </w:t>
    </w:r>
    <w:r w:rsidRPr="002D192E">
      <w:rPr>
        <w:sz w:val="20"/>
        <w:szCs w:val="20"/>
      </w:rPr>
      <w:t>„</w:t>
    </w:r>
    <w:r w:rsidR="00DC2A68" w:rsidRPr="002D192E">
      <w:rPr>
        <w:sz w:val="20"/>
        <w:szCs w:val="20"/>
      </w:rPr>
      <w:fldChar w:fldCharType="begin"/>
    </w:r>
    <w:r w:rsidRPr="002D192E">
      <w:rPr>
        <w:sz w:val="20"/>
        <w:szCs w:val="20"/>
      </w:rPr>
      <w:instrText xml:space="preserve"> TITLE  </w:instrText>
    </w:r>
    <w:r w:rsidR="00DC2A68" w:rsidRPr="002D192E">
      <w:rPr>
        <w:sz w:val="20"/>
        <w:szCs w:val="20"/>
      </w:rPr>
      <w:fldChar w:fldCharType="separate"/>
    </w:r>
    <w:r>
      <w:rPr>
        <w:sz w:val="20"/>
        <w:szCs w:val="20"/>
      </w:rPr>
      <w:t>Ministru kabineta noteikumu projekta „Noteikumi par darbības programmas „Infrastruktūra un pakalpojumi” papildinājuma 3.1.1.1.aktivitātes „Mācību aprīkojuma modernizācija un infrastruktūras uzlabošana profesionālās izglītības programmu īstenošanai” otrās</w:t>
    </w:r>
    <w:r w:rsidR="00DC2A68" w:rsidRPr="002D192E">
      <w:rPr>
        <w:sz w:val="20"/>
        <w:szCs w:val="20"/>
      </w:rPr>
      <w:fldChar w:fldCharType="end"/>
    </w:r>
    <w:r w:rsidRPr="002D192E">
      <w:rPr>
        <w:sz w:val="20"/>
        <w:szCs w:val="20"/>
      </w:rPr>
      <w:t xml:space="preserve"> projektu iesniegumu atlases kārtas īstenošanu” sākotnējās ietekmes novērtējuma ziņojums (anotācija</w:t>
    </w:r>
    <w:r w:rsidRPr="005426FB">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2D" w:rsidRDefault="0016562D">
      <w:r>
        <w:separator/>
      </w:r>
    </w:p>
  </w:footnote>
  <w:footnote w:type="continuationSeparator" w:id="0">
    <w:p w:rsidR="0016562D" w:rsidRDefault="00165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FE" w:rsidRDefault="00DC2A68" w:rsidP="00224E47">
    <w:pPr>
      <w:pStyle w:val="Header"/>
      <w:spacing w:after="120"/>
      <w:jc w:val="center"/>
    </w:pPr>
    <w:fldSimple w:instr=" PAGE   \* MERGEFORMAT ">
      <w:r w:rsidR="00A7791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751"/>
    <w:multiLevelType w:val="hybridMultilevel"/>
    <w:tmpl w:val="29A4F632"/>
    <w:lvl w:ilvl="0" w:tplc="04260001">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
    <w:nsid w:val="0AFA3B62"/>
    <w:multiLevelType w:val="hybridMultilevel"/>
    <w:tmpl w:val="BD24865E"/>
    <w:lvl w:ilvl="0" w:tplc="3282107C">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19660172"/>
    <w:multiLevelType w:val="hybridMultilevel"/>
    <w:tmpl w:val="DF44F24A"/>
    <w:lvl w:ilvl="0" w:tplc="04260011">
      <w:start w:val="1"/>
      <w:numFmt w:val="decimal"/>
      <w:lvlText w:val="%1)"/>
      <w:lvlJc w:val="left"/>
      <w:pPr>
        <w:ind w:left="870" w:hanging="360"/>
      </w:pPr>
      <w:rPr>
        <w:rFonts w:hint="default"/>
      </w:rPr>
    </w:lvl>
    <w:lvl w:ilvl="1" w:tplc="04260003">
      <w:start w:val="1"/>
      <w:numFmt w:val="bullet"/>
      <w:lvlText w:val="o"/>
      <w:lvlJc w:val="left"/>
      <w:pPr>
        <w:ind w:left="1590" w:hanging="360"/>
      </w:pPr>
      <w:rPr>
        <w:rFonts w:ascii="Courier New" w:hAnsi="Courier New" w:cs="Courier New" w:hint="default"/>
      </w:rPr>
    </w:lvl>
    <w:lvl w:ilvl="2" w:tplc="04260005">
      <w:start w:val="1"/>
      <w:numFmt w:val="bullet"/>
      <w:lvlText w:val=""/>
      <w:lvlJc w:val="left"/>
      <w:pPr>
        <w:ind w:left="2310" w:hanging="360"/>
      </w:pPr>
      <w:rPr>
        <w:rFonts w:ascii="Wingdings" w:hAnsi="Wingdings" w:cs="Wingdings" w:hint="default"/>
      </w:rPr>
    </w:lvl>
    <w:lvl w:ilvl="3" w:tplc="04260001">
      <w:start w:val="1"/>
      <w:numFmt w:val="bullet"/>
      <w:lvlText w:val=""/>
      <w:lvlJc w:val="left"/>
      <w:pPr>
        <w:ind w:left="3030" w:hanging="360"/>
      </w:pPr>
      <w:rPr>
        <w:rFonts w:ascii="Symbol" w:hAnsi="Symbol" w:cs="Symbol" w:hint="default"/>
      </w:rPr>
    </w:lvl>
    <w:lvl w:ilvl="4" w:tplc="04260003">
      <w:start w:val="1"/>
      <w:numFmt w:val="bullet"/>
      <w:lvlText w:val="o"/>
      <w:lvlJc w:val="left"/>
      <w:pPr>
        <w:ind w:left="3750" w:hanging="360"/>
      </w:pPr>
      <w:rPr>
        <w:rFonts w:ascii="Courier New" w:hAnsi="Courier New" w:cs="Courier New" w:hint="default"/>
      </w:rPr>
    </w:lvl>
    <w:lvl w:ilvl="5" w:tplc="04260005">
      <w:start w:val="1"/>
      <w:numFmt w:val="bullet"/>
      <w:lvlText w:val=""/>
      <w:lvlJc w:val="left"/>
      <w:pPr>
        <w:ind w:left="4470" w:hanging="360"/>
      </w:pPr>
      <w:rPr>
        <w:rFonts w:ascii="Wingdings" w:hAnsi="Wingdings" w:cs="Wingdings" w:hint="default"/>
      </w:rPr>
    </w:lvl>
    <w:lvl w:ilvl="6" w:tplc="04260001">
      <w:start w:val="1"/>
      <w:numFmt w:val="bullet"/>
      <w:lvlText w:val=""/>
      <w:lvlJc w:val="left"/>
      <w:pPr>
        <w:ind w:left="5190" w:hanging="360"/>
      </w:pPr>
      <w:rPr>
        <w:rFonts w:ascii="Symbol" w:hAnsi="Symbol" w:cs="Symbol" w:hint="default"/>
      </w:rPr>
    </w:lvl>
    <w:lvl w:ilvl="7" w:tplc="04260003">
      <w:start w:val="1"/>
      <w:numFmt w:val="bullet"/>
      <w:lvlText w:val="o"/>
      <w:lvlJc w:val="left"/>
      <w:pPr>
        <w:ind w:left="5910" w:hanging="360"/>
      </w:pPr>
      <w:rPr>
        <w:rFonts w:ascii="Courier New" w:hAnsi="Courier New" w:cs="Courier New" w:hint="default"/>
      </w:rPr>
    </w:lvl>
    <w:lvl w:ilvl="8" w:tplc="04260005">
      <w:start w:val="1"/>
      <w:numFmt w:val="bullet"/>
      <w:lvlText w:val=""/>
      <w:lvlJc w:val="left"/>
      <w:pPr>
        <w:ind w:left="6630" w:hanging="360"/>
      </w:pPr>
      <w:rPr>
        <w:rFonts w:ascii="Wingdings" w:hAnsi="Wingdings" w:cs="Wingdings" w:hint="default"/>
      </w:rPr>
    </w:lvl>
  </w:abstractNum>
  <w:abstractNum w:abstractNumId="3">
    <w:nsid w:val="22141908"/>
    <w:multiLevelType w:val="hybridMultilevel"/>
    <w:tmpl w:val="7FE608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6C2613F"/>
    <w:multiLevelType w:val="hybridMultilevel"/>
    <w:tmpl w:val="5D8413C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95E0DE4"/>
    <w:multiLevelType w:val="hybridMultilevel"/>
    <w:tmpl w:val="06B48976"/>
    <w:lvl w:ilvl="0" w:tplc="F934C55E">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6">
    <w:nsid w:val="3BDE7F1B"/>
    <w:multiLevelType w:val="hybridMultilevel"/>
    <w:tmpl w:val="F8C42E3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nsid w:val="3FA901FF"/>
    <w:multiLevelType w:val="hybridMultilevel"/>
    <w:tmpl w:val="2E26B30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nsid w:val="41F80096"/>
    <w:multiLevelType w:val="hybridMultilevel"/>
    <w:tmpl w:val="1A8A8C5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1E3C60"/>
    <w:multiLevelType w:val="hybridMultilevel"/>
    <w:tmpl w:val="DB3C4606"/>
    <w:lvl w:ilvl="0" w:tplc="3282107C">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4FB63124"/>
    <w:multiLevelType w:val="hybridMultilevel"/>
    <w:tmpl w:val="E9062B6E"/>
    <w:lvl w:ilvl="0" w:tplc="3282107C">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2">
    <w:nsid w:val="561702D5"/>
    <w:multiLevelType w:val="hybridMultilevel"/>
    <w:tmpl w:val="A3BCEA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603B7688"/>
    <w:multiLevelType w:val="hybridMultilevel"/>
    <w:tmpl w:val="21A4DE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1D57CBE"/>
    <w:multiLevelType w:val="hybridMultilevel"/>
    <w:tmpl w:val="5DF2A7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B362A7"/>
    <w:multiLevelType w:val="hybridMultilevel"/>
    <w:tmpl w:val="84345B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EFC799F"/>
    <w:multiLevelType w:val="hybridMultilevel"/>
    <w:tmpl w:val="52C8195A"/>
    <w:lvl w:ilvl="0" w:tplc="7AFCA14C">
      <w:start w:val="1"/>
      <w:numFmt w:val="decimal"/>
      <w:lvlText w:val="%1)"/>
      <w:lvlJc w:val="left"/>
      <w:pPr>
        <w:ind w:left="490" w:hanging="360"/>
      </w:pPr>
      <w:rPr>
        <w:rFonts w:hint="default"/>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start w:val="1"/>
      <w:numFmt w:val="lowerLetter"/>
      <w:lvlText w:val="%5."/>
      <w:lvlJc w:val="left"/>
      <w:pPr>
        <w:ind w:left="3370" w:hanging="360"/>
      </w:pPr>
    </w:lvl>
    <w:lvl w:ilvl="5" w:tplc="0426001B">
      <w:start w:val="1"/>
      <w:numFmt w:val="lowerRoman"/>
      <w:lvlText w:val="%6."/>
      <w:lvlJc w:val="right"/>
      <w:pPr>
        <w:ind w:left="4090" w:hanging="180"/>
      </w:pPr>
    </w:lvl>
    <w:lvl w:ilvl="6" w:tplc="0426000F">
      <w:start w:val="1"/>
      <w:numFmt w:val="decimal"/>
      <w:lvlText w:val="%7."/>
      <w:lvlJc w:val="left"/>
      <w:pPr>
        <w:ind w:left="4810" w:hanging="360"/>
      </w:pPr>
    </w:lvl>
    <w:lvl w:ilvl="7" w:tplc="04260019">
      <w:start w:val="1"/>
      <w:numFmt w:val="lowerLetter"/>
      <w:lvlText w:val="%8."/>
      <w:lvlJc w:val="left"/>
      <w:pPr>
        <w:ind w:left="5530" w:hanging="360"/>
      </w:pPr>
    </w:lvl>
    <w:lvl w:ilvl="8" w:tplc="0426001B">
      <w:start w:val="1"/>
      <w:numFmt w:val="lowerRoman"/>
      <w:lvlText w:val="%9."/>
      <w:lvlJc w:val="right"/>
      <w:pPr>
        <w:ind w:left="6250" w:hanging="180"/>
      </w:pPr>
    </w:lvl>
  </w:abstractNum>
  <w:abstractNum w:abstractNumId="17">
    <w:nsid w:val="76026CA2"/>
    <w:multiLevelType w:val="hybridMultilevel"/>
    <w:tmpl w:val="C8202E88"/>
    <w:lvl w:ilvl="0" w:tplc="F934C55E">
      <w:start w:val="1"/>
      <w:numFmt w:val="bullet"/>
      <w:lvlText w:val=""/>
      <w:lvlJc w:val="left"/>
      <w:pPr>
        <w:ind w:left="819" w:hanging="360"/>
      </w:pPr>
      <w:rPr>
        <w:rFonts w:ascii="Symbol" w:hAnsi="Symbol"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9"/>
  </w:num>
  <w:num w:numId="2">
    <w:abstractNumId w:val="3"/>
  </w:num>
  <w:num w:numId="3">
    <w:abstractNumId w:val="4"/>
  </w:num>
  <w:num w:numId="4">
    <w:abstractNumId w:val="12"/>
  </w:num>
  <w:num w:numId="5">
    <w:abstractNumId w:val="10"/>
  </w:num>
  <w:num w:numId="6">
    <w:abstractNumId w:val="13"/>
  </w:num>
  <w:num w:numId="7">
    <w:abstractNumId w:val="7"/>
  </w:num>
  <w:num w:numId="8">
    <w:abstractNumId w:val="1"/>
  </w:num>
  <w:num w:numId="9">
    <w:abstractNumId w:val="11"/>
  </w:num>
  <w:num w:numId="10">
    <w:abstractNumId w:val="2"/>
  </w:num>
  <w:num w:numId="11">
    <w:abstractNumId w:val="6"/>
  </w:num>
  <w:num w:numId="12">
    <w:abstractNumId w:val="15"/>
  </w:num>
  <w:num w:numId="13">
    <w:abstractNumId w:val="8"/>
  </w:num>
  <w:num w:numId="14">
    <w:abstractNumId w:val="16"/>
  </w:num>
  <w:num w:numId="15">
    <w:abstractNumId w:val="17"/>
  </w:num>
  <w:num w:numId="16">
    <w:abstractNumId w:val="14"/>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457F5"/>
    <w:rsid w:val="00000E3A"/>
    <w:rsid w:val="0000188E"/>
    <w:rsid w:val="00001D6E"/>
    <w:rsid w:val="00004A00"/>
    <w:rsid w:val="000067DA"/>
    <w:rsid w:val="00010472"/>
    <w:rsid w:val="00010A8D"/>
    <w:rsid w:val="00015B54"/>
    <w:rsid w:val="000202C8"/>
    <w:rsid w:val="0002253B"/>
    <w:rsid w:val="000266FD"/>
    <w:rsid w:val="00027603"/>
    <w:rsid w:val="00031C26"/>
    <w:rsid w:val="00031F56"/>
    <w:rsid w:val="000333DF"/>
    <w:rsid w:val="00037D21"/>
    <w:rsid w:val="0004263E"/>
    <w:rsid w:val="00042F7C"/>
    <w:rsid w:val="00045890"/>
    <w:rsid w:val="000459D8"/>
    <w:rsid w:val="0004682B"/>
    <w:rsid w:val="000548C2"/>
    <w:rsid w:val="00064253"/>
    <w:rsid w:val="00065C1D"/>
    <w:rsid w:val="000679C1"/>
    <w:rsid w:val="00070675"/>
    <w:rsid w:val="00070BBE"/>
    <w:rsid w:val="00071CCD"/>
    <w:rsid w:val="00072B5B"/>
    <w:rsid w:val="0007412D"/>
    <w:rsid w:val="0007483E"/>
    <w:rsid w:val="00080993"/>
    <w:rsid w:val="00080C8B"/>
    <w:rsid w:val="00086BA7"/>
    <w:rsid w:val="000879F2"/>
    <w:rsid w:val="00090B42"/>
    <w:rsid w:val="000923D8"/>
    <w:rsid w:val="00093C27"/>
    <w:rsid w:val="00096D06"/>
    <w:rsid w:val="00096F28"/>
    <w:rsid w:val="00097572"/>
    <w:rsid w:val="0009785C"/>
    <w:rsid w:val="000B3967"/>
    <w:rsid w:val="000B564B"/>
    <w:rsid w:val="000C3090"/>
    <w:rsid w:val="000C33F3"/>
    <w:rsid w:val="000C3C05"/>
    <w:rsid w:val="000D3A50"/>
    <w:rsid w:val="000D7213"/>
    <w:rsid w:val="000E0FCF"/>
    <w:rsid w:val="000E1135"/>
    <w:rsid w:val="000E25B6"/>
    <w:rsid w:val="000E288A"/>
    <w:rsid w:val="000E5B40"/>
    <w:rsid w:val="000F0694"/>
    <w:rsid w:val="000F0829"/>
    <w:rsid w:val="000F0C56"/>
    <w:rsid w:val="000F0FD3"/>
    <w:rsid w:val="000F1937"/>
    <w:rsid w:val="000F1D2C"/>
    <w:rsid w:val="000F6CF4"/>
    <w:rsid w:val="00100200"/>
    <w:rsid w:val="00104EFF"/>
    <w:rsid w:val="00110A2F"/>
    <w:rsid w:val="00111C93"/>
    <w:rsid w:val="00112777"/>
    <w:rsid w:val="00115F0E"/>
    <w:rsid w:val="0011720E"/>
    <w:rsid w:val="00121AB8"/>
    <w:rsid w:val="0012243D"/>
    <w:rsid w:val="00122E7C"/>
    <w:rsid w:val="001264F4"/>
    <w:rsid w:val="00130797"/>
    <w:rsid w:val="001307AD"/>
    <w:rsid w:val="00133F26"/>
    <w:rsid w:val="00137ACA"/>
    <w:rsid w:val="00141BB4"/>
    <w:rsid w:val="001457F5"/>
    <w:rsid w:val="00145E64"/>
    <w:rsid w:val="001509A7"/>
    <w:rsid w:val="001560B0"/>
    <w:rsid w:val="00164C2C"/>
    <w:rsid w:val="001652E4"/>
    <w:rsid w:val="0016562D"/>
    <w:rsid w:val="00167B5C"/>
    <w:rsid w:val="001706AE"/>
    <w:rsid w:val="00172B80"/>
    <w:rsid w:val="00172EF6"/>
    <w:rsid w:val="001747A9"/>
    <w:rsid w:val="00175679"/>
    <w:rsid w:val="001769FE"/>
    <w:rsid w:val="00177EC8"/>
    <w:rsid w:val="0018154E"/>
    <w:rsid w:val="00181757"/>
    <w:rsid w:val="00185220"/>
    <w:rsid w:val="0018568C"/>
    <w:rsid w:val="00185E2A"/>
    <w:rsid w:val="0018668F"/>
    <w:rsid w:val="00191511"/>
    <w:rsid w:val="001947AD"/>
    <w:rsid w:val="00195C8F"/>
    <w:rsid w:val="00197892"/>
    <w:rsid w:val="001979A9"/>
    <w:rsid w:val="001A0CE5"/>
    <w:rsid w:val="001A1164"/>
    <w:rsid w:val="001A5357"/>
    <w:rsid w:val="001A685A"/>
    <w:rsid w:val="001A688D"/>
    <w:rsid w:val="001A68DD"/>
    <w:rsid w:val="001A7A17"/>
    <w:rsid w:val="001B2883"/>
    <w:rsid w:val="001B32B1"/>
    <w:rsid w:val="001B780D"/>
    <w:rsid w:val="001C492A"/>
    <w:rsid w:val="001C5207"/>
    <w:rsid w:val="001C74FD"/>
    <w:rsid w:val="001C75FB"/>
    <w:rsid w:val="001C7F37"/>
    <w:rsid w:val="001D19A2"/>
    <w:rsid w:val="001D1A28"/>
    <w:rsid w:val="001D21E8"/>
    <w:rsid w:val="001D331D"/>
    <w:rsid w:val="001D3DF8"/>
    <w:rsid w:val="001D3EAD"/>
    <w:rsid w:val="001D5304"/>
    <w:rsid w:val="001D74CF"/>
    <w:rsid w:val="001E5A04"/>
    <w:rsid w:val="001E6DA6"/>
    <w:rsid w:val="001F1935"/>
    <w:rsid w:val="001F1FC6"/>
    <w:rsid w:val="001F21C8"/>
    <w:rsid w:val="001F2DC7"/>
    <w:rsid w:val="001F6339"/>
    <w:rsid w:val="001F65B5"/>
    <w:rsid w:val="001F6F35"/>
    <w:rsid w:val="001F773C"/>
    <w:rsid w:val="001F7F25"/>
    <w:rsid w:val="00203A10"/>
    <w:rsid w:val="00211D7C"/>
    <w:rsid w:val="00212DD3"/>
    <w:rsid w:val="0021480F"/>
    <w:rsid w:val="002164EB"/>
    <w:rsid w:val="0021723A"/>
    <w:rsid w:val="002177CE"/>
    <w:rsid w:val="00221FF9"/>
    <w:rsid w:val="00224E47"/>
    <w:rsid w:val="00224F5C"/>
    <w:rsid w:val="00227C7F"/>
    <w:rsid w:val="00231F71"/>
    <w:rsid w:val="002365D1"/>
    <w:rsid w:val="002366B2"/>
    <w:rsid w:val="0024262E"/>
    <w:rsid w:val="00242C64"/>
    <w:rsid w:val="00244489"/>
    <w:rsid w:val="00251F4E"/>
    <w:rsid w:val="00252724"/>
    <w:rsid w:val="00253102"/>
    <w:rsid w:val="00253BFB"/>
    <w:rsid w:val="0025461E"/>
    <w:rsid w:val="0026004F"/>
    <w:rsid w:val="00261E2F"/>
    <w:rsid w:val="00262912"/>
    <w:rsid w:val="002634C4"/>
    <w:rsid w:val="00265527"/>
    <w:rsid w:val="00265882"/>
    <w:rsid w:val="00272F07"/>
    <w:rsid w:val="0027350A"/>
    <w:rsid w:val="0027693E"/>
    <w:rsid w:val="0028624E"/>
    <w:rsid w:val="002874BB"/>
    <w:rsid w:val="00287C0F"/>
    <w:rsid w:val="002A3775"/>
    <w:rsid w:val="002A67E2"/>
    <w:rsid w:val="002A69F3"/>
    <w:rsid w:val="002B0AB2"/>
    <w:rsid w:val="002B60B1"/>
    <w:rsid w:val="002B690C"/>
    <w:rsid w:val="002C22BC"/>
    <w:rsid w:val="002C3B47"/>
    <w:rsid w:val="002C5F62"/>
    <w:rsid w:val="002C6A83"/>
    <w:rsid w:val="002C6CC1"/>
    <w:rsid w:val="002D192E"/>
    <w:rsid w:val="002D2C70"/>
    <w:rsid w:val="002D4E41"/>
    <w:rsid w:val="002D63CC"/>
    <w:rsid w:val="002E00C7"/>
    <w:rsid w:val="002E10C6"/>
    <w:rsid w:val="002E1A31"/>
    <w:rsid w:val="002E208C"/>
    <w:rsid w:val="002E273C"/>
    <w:rsid w:val="002E2D20"/>
    <w:rsid w:val="002E75B0"/>
    <w:rsid w:val="002F2D32"/>
    <w:rsid w:val="002F3E81"/>
    <w:rsid w:val="002F5D7C"/>
    <w:rsid w:val="002F6FC6"/>
    <w:rsid w:val="00301392"/>
    <w:rsid w:val="00306FBF"/>
    <w:rsid w:val="00307D34"/>
    <w:rsid w:val="00312877"/>
    <w:rsid w:val="0032324F"/>
    <w:rsid w:val="00324897"/>
    <w:rsid w:val="0033010E"/>
    <w:rsid w:val="00331ED3"/>
    <w:rsid w:val="00337E6E"/>
    <w:rsid w:val="00340C74"/>
    <w:rsid w:val="00341FE3"/>
    <w:rsid w:val="00343358"/>
    <w:rsid w:val="00345A49"/>
    <w:rsid w:val="00346305"/>
    <w:rsid w:val="00346B60"/>
    <w:rsid w:val="0034791E"/>
    <w:rsid w:val="00350C00"/>
    <w:rsid w:val="00351EFF"/>
    <w:rsid w:val="003558E0"/>
    <w:rsid w:val="00360B8E"/>
    <w:rsid w:val="0036415F"/>
    <w:rsid w:val="00364313"/>
    <w:rsid w:val="00367B84"/>
    <w:rsid w:val="00372339"/>
    <w:rsid w:val="00372CDD"/>
    <w:rsid w:val="00373F9B"/>
    <w:rsid w:val="00376728"/>
    <w:rsid w:val="00381AB8"/>
    <w:rsid w:val="00381E1C"/>
    <w:rsid w:val="00383933"/>
    <w:rsid w:val="00384894"/>
    <w:rsid w:val="003869B6"/>
    <w:rsid w:val="00386FAA"/>
    <w:rsid w:val="00392976"/>
    <w:rsid w:val="00393622"/>
    <w:rsid w:val="00393A78"/>
    <w:rsid w:val="0039412D"/>
    <w:rsid w:val="003971B9"/>
    <w:rsid w:val="0039795F"/>
    <w:rsid w:val="003A0F33"/>
    <w:rsid w:val="003A0F8F"/>
    <w:rsid w:val="003A28B6"/>
    <w:rsid w:val="003A2B22"/>
    <w:rsid w:val="003A37CB"/>
    <w:rsid w:val="003A7FA7"/>
    <w:rsid w:val="003B0B42"/>
    <w:rsid w:val="003B5B68"/>
    <w:rsid w:val="003C0428"/>
    <w:rsid w:val="003C32CC"/>
    <w:rsid w:val="003C6DC5"/>
    <w:rsid w:val="003D16F4"/>
    <w:rsid w:val="003D199F"/>
    <w:rsid w:val="003D1B4E"/>
    <w:rsid w:val="003D33A1"/>
    <w:rsid w:val="003D3E8A"/>
    <w:rsid w:val="003D6F17"/>
    <w:rsid w:val="003E0C6A"/>
    <w:rsid w:val="003F1ECE"/>
    <w:rsid w:val="003F3AB9"/>
    <w:rsid w:val="003F5248"/>
    <w:rsid w:val="00400AA2"/>
    <w:rsid w:val="00401491"/>
    <w:rsid w:val="00402428"/>
    <w:rsid w:val="00403A58"/>
    <w:rsid w:val="00404413"/>
    <w:rsid w:val="00404BE4"/>
    <w:rsid w:val="00406088"/>
    <w:rsid w:val="00410B1D"/>
    <w:rsid w:val="00411E18"/>
    <w:rsid w:val="0041405C"/>
    <w:rsid w:val="00416352"/>
    <w:rsid w:val="004172D6"/>
    <w:rsid w:val="00420B60"/>
    <w:rsid w:val="00422B65"/>
    <w:rsid w:val="0042441E"/>
    <w:rsid w:val="00424947"/>
    <w:rsid w:val="00424AEE"/>
    <w:rsid w:val="00426242"/>
    <w:rsid w:val="00426A8D"/>
    <w:rsid w:val="004306FD"/>
    <w:rsid w:val="00431D8A"/>
    <w:rsid w:val="00435EE8"/>
    <w:rsid w:val="00441E3F"/>
    <w:rsid w:val="00443E7B"/>
    <w:rsid w:val="00444EDC"/>
    <w:rsid w:val="00445EA0"/>
    <w:rsid w:val="0045313C"/>
    <w:rsid w:val="00453EC2"/>
    <w:rsid w:val="004607AB"/>
    <w:rsid w:val="00460DDC"/>
    <w:rsid w:val="00462664"/>
    <w:rsid w:val="00462B40"/>
    <w:rsid w:val="00464363"/>
    <w:rsid w:val="004719C5"/>
    <w:rsid w:val="00472073"/>
    <w:rsid w:val="00473325"/>
    <w:rsid w:val="00475B7D"/>
    <w:rsid w:val="00476B86"/>
    <w:rsid w:val="00481ACD"/>
    <w:rsid w:val="004820F6"/>
    <w:rsid w:val="00483781"/>
    <w:rsid w:val="0048436B"/>
    <w:rsid w:val="00486561"/>
    <w:rsid w:val="00486947"/>
    <w:rsid w:val="00487182"/>
    <w:rsid w:val="00490CA5"/>
    <w:rsid w:val="00492B59"/>
    <w:rsid w:val="00493619"/>
    <w:rsid w:val="0049463A"/>
    <w:rsid w:val="00496B07"/>
    <w:rsid w:val="004A1646"/>
    <w:rsid w:val="004A3D34"/>
    <w:rsid w:val="004A62B7"/>
    <w:rsid w:val="004A708F"/>
    <w:rsid w:val="004A720D"/>
    <w:rsid w:val="004B2408"/>
    <w:rsid w:val="004B34C2"/>
    <w:rsid w:val="004B3697"/>
    <w:rsid w:val="004B791E"/>
    <w:rsid w:val="004C290D"/>
    <w:rsid w:val="004C35E9"/>
    <w:rsid w:val="004C4CDA"/>
    <w:rsid w:val="004D5BCC"/>
    <w:rsid w:val="004D609A"/>
    <w:rsid w:val="004E05B1"/>
    <w:rsid w:val="004E4425"/>
    <w:rsid w:val="004E601E"/>
    <w:rsid w:val="004E68C3"/>
    <w:rsid w:val="004E6CA1"/>
    <w:rsid w:val="004E77B3"/>
    <w:rsid w:val="004E78C1"/>
    <w:rsid w:val="004F2528"/>
    <w:rsid w:val="004F4A13"/>
    <w:rsid w:val="004F5CB6"/>
    <w:rsid w:val="00500F48"/>
    <w:rsid w:val="00505002"/>
    <w:rsid w:val="005129ED"/>
    <w:rsid w:val="0051394A"/>
    <w:rsid w:val="00515E51"/>
    <w:rsid w:val="00521BAA"/>
    <w:rsid w:val="005224FC"/>
    <w:rsid w:val="00522658"/>
    <w:rsid w:val="00525715"/>
    <w:rsid w:val="00526E69"/>
    <w:rsid w:val="005300C0"/>
    <w:rsid w:val="00532A5D"/>
    <w:rsid w:val="00535B0B"/>
    <w:rsid w:val="00541000"/>
    <w:rsid w:val="0054122B"/>
    <w:rsid w:val="005426FB"/>
    <w:rsid w:val="0054301C"/>
    <w:rsid w:val="005506CE"/>
    <w:rsid w:val="00550802"/>
    <w:rsid w:val="00551C32"/>
    <w:rsid w:val="00552572"/>
    <w:rsid w:val="0055265E"/>
    <w:rsid w:val="00554E41"/>
    <w:rsid w:val="00555B2C"/>
    <w:rsid w:val="00556960"/>
    <w:rsid w:val="00560A27"/>
    <w:rsid w:val="005650EC"/>
    <w:rsid w:val="005668FB"/>
    <w:rsid w:val="00566BE8"/>
    <w:rsid w:val="00570F2C"/>
    <w:rsid w:val="005719AE"/>
    <w:rsid w:val="00575493"/>
    <w:rsid w:val="00581109"/>
    <w:rsid w:val="0058304E"/>
    <w:rsid w:val="005832DA"/>
    <w:rsid w:val="00586020"/>
    <w:rsid w:val="005862A1"/>
    <w:rsid w:val="0059261B"/>
    <w:rsid w:val="00593020"/>
    <w:rsid w:val="00594D57"/>
    <w:rsid w:val="005A21DF"/>
    <w:rsid w:val="005A3FBB"/>
    <w:rsid w:val="005B4127"/>
    <w:rsid w:val="005B5D32"/>
    <w:rsid w:val="005B711F"/>
    <w:rsid w:val="005C0001"/>
    <w:rsid w:val="005C20CC"/>
    <w:rsid w:val="005C434B"/>
    <w:rsid w:val="005C4B80"/>
    <w:rsid w:val="005C5E19"/>
    <w:rsid w:val="005D0907"/>
    <w:rsid w:val="005D0B00"/>
    <w:rsid w:val="005E38E9"/>
    <w:rsid w:val="005E4857"/>
    <w:rsid w:val="005E4C2B"/>
    <w:rsid w:val="005F2A00"/>
    <w:rsid w:val="005F2D62"/>
    <w:rsid w:val="005F374E"/>
    <w:rsid w:val="005F73BB"/>
    <w:rsid w:val="00604088"/>
    <w:rsid w:val="0060425F"/>
    <w:rsid w:val="006047E6"/>
    <w:rsid w:val="00605857"/>
    <w:rsid w:val="00611358"/>
    <w:rsid w:val="00611742"/>
    <w:rsid w:val="0061267F"/>
    <w:rsid w:val="006127A7"/>
    <w:rsid w:val="006160DE"/>
    <w:rsid w:val="006213B4"/>
    <w:rsid w:val="00622024"/>
    <w:rsid w:val="00625FEE"/>
    <w:rsid w:val="00631BFE"/>
    <w:rsid w:val="00631FBA"/>
    <w:rsid w:val="0064195A"/>
    <w:rsid w:val="0064280A"/>
    <w:rsid w:val="0065045D"/>
    <w:rsid w:val="00653E39"/>
    <w:rsid w:val="00654799"/>
    <w:rsid w:val="00656384"/>
    <w:rsid w:val="0065645D"/>
    <w:rsid w:val="00663EDB"/>
    <w:rsid w:val="006710A6"/>
    <w:rsid w:val="006735B9"/>
    <w:rsid w:val="00674232"/>
    <w:rsid w:val="00674484"/>
    <w:rsid w:val="00680204"/>
    <w:rsid w:val="00680240"/>
    <w:rsid w:val="006804A7"/>
    <w:rsid w:val="006821C9"/>
    <w:rsid w:val="00682402"/>
    <w:rsid w:val="00684990"/>
    <w:rsid w:val="0068654E"/>
    <w:rsid w:val="00690C82"/>
    <w:rsid w:val="00691A42"/>
    <w:rsid w:val="006920F2"/>
    <w:rsid w:val="00694208"/>
    <w:rsid w:val="006952FA"/>
    <w:rsid w:val="00696558"/>
    <w:rsid w:val="00697BD9"/>
    <w:rsid w:val="006A0D72"/>
    <w:rsid w:val="006A56EB"/>
    <w:rsid w:val="006A5C2F"/>
    <w:rsid w:val="006A7A08"/>
    <w:rsid w:val="006B259B"/>
    <w:rsid w:val="006B2C2B"/>
    <w:rsid w:val="006B339C"/>
    <w:rsid w:val="006B7E81"/>
    <w:rsid w:val="006C33E4"/>
    <w:rsid w:val="006C3531"/>
    <w:rsid w:val="006C46F2"/>
    <w:rsid w:val="006C5464"/>
    <w:rsid w:val="006C6236"/>
    <w:rsid w:val="006D1125"/>
    <w:rsid w:val="006D5E2F"/>
    <w:rsid w:val="006D6167"/>
    <w:rsid w:val="006D7863"/>
    <w:rsid w:val="006D7B92"/>
    <w:rsid w:val="006E0CD7"/>
    <w:rsid w:val="006E5EE8"/>
    <w:rsid w:val="006E64B1"/>
    <w:rsid w:val="006E7C57"/>
    <w:rsid w:val="006E7F60"/>
    <w:rsid w:val="006F5813"/>
    <w:rsid w:val="0070254E"/>
    <w:rsid w:val="00703181"/>
    <w:rsid w:val="007043CB"/>
    <w:rsid w:val="0070465C"/>
    <w:rsid w:val="00705622"/>
    <w:rsid w:val="007065EE"/>
    <w:rsid w:val="00706AF8"/>
    <w:rsid w:val="007101B2"/>
    <w:rsid w:val="0071398F"/>
    <w:rsid w:val="00713D75"/>
    <w:rsid w:val="00713D91"/>
    <w:rsid w:val="007158B3"/>
    <w:rsid w:val="0071707B"/>
    <w:rsid w:val="0072152C"/>
    <w:rsid w:val="0072408A"/>
    <w:rsid w:val="00727D95"/>
    <w:rsid w:val="007303F8"/>
    <w:rsid w:val="00741DDA"/>
    <w:rsid w:val="00742DD2"/>
    <w:rsid w:val="00746BDE"/>
    <w:rsid w:val="00747253"/>
    <w:rsid w:val="00750D49"/>
    <w:rsid w:val="00750DE1"/>
    <w:rsid w:val="0075613E"/>
    <w:rsid w:val="00762B7D"/>
    <w:rsid w:val="007666DC"/>
    <w:rsid w:val="007720F7"/>
    <w:rsid w:val="00774A66"/>
    <w:rsid w:val="007757BB"/>
    <w:rsid w:val="00777C8A"/>
    <w:rsid w:val="007814F4"/>
    <w:rsid w:val="0078399D"/>
    <w:rsid w:val="00791967"/>
    <w:rsid w:val="007951F7"/>
    <w:rsid w:val="00795B91"/>
    <w:rsid w:val="007A0290"/>
    <w:rsid w:val="007A207D"/>
    <w:rsid w:val="007A30E3"/>
    <w:rsid w:val="007A5524"/>
    <w:rsid w:val="007A6DB9"/>
    <w:rsid w:val="007B1108"/>
    <w:rsid w:val="007B17BB"/>
    <w:rsid w:val="007B2932"/>
    <w:rsid w:val="007B2A0D"/>
    <w:rsid w:val="007B4D09"/>
    <w:rsid w:val="007B58D8"/>
    <w:rsid w:val="007C1277"/>
    <w:rsid w:val="007C1FBA"/>
    <w:rsid w:val="007C25F2"/>
    <w:rsid w:val="007C2877"/>
    <w:rsid w:val="007C5CDB"/>
    <w:rsid w:val="007D00B6"/>
    <w:rsid w:val="007E04D8"/>
    <w:rsid w:val="007E6371"/>
    <w:rsid w:val="007E6EFC"/>
    <w:rsid w:val="007E7DBD"/>
    <w:rsid w:val="007F08E8"/>
    <w:rsid w:val="007F3390"/>
    <w:rsid w:val="007F4C96"/>
    <w:rsid w:val="007F5EB0"/>
    <w:rsid w:val="008005B4"/>
    <w:rsid w:val="00802AAC"/>
    <w:rsid w:val="0080778B"/>
    <w:rsid w:val="00812170"/>
    <w:rsid w:val="0081361A"/>
    <w:rsid w:val="008147F4"/>
    <w:rsid w:val="0081628B"/>
    <w:rsid w:val="00824590"/>
    <w:rsid w:val="008262F0"/>
    <w:rsid w:val="008306F1"/>
    <w:rsid w:val="0083298A"/>
    <w:rsid w:val="008333DE"/>
    <w:rsid w:val="00836D99"/>
    <w:rsid w:val="008400C0"/>
    <w:rsid w:val="008452AC"/>
    <w:rsid w:val="008454AB"/>
    <w:rsid w:val="00847F78"/>
    <w:rsid w:val="00851428"/>
    <w:rsid w:val="00853103"/>
    <w:rsid w:val="008536F1"/>
    <w:rsid w:val="00853ED7"/>
    <w:rsid w:val="00853F6C"/>
    <w:rsid w:val="0085601E"/>
    <w:rsid w:val="00860E3D"/>
    <w:rsid w:val="00861514"/>
    <w:rsid w:val="0086323B"/>
    <w:rsid w:val="00864939"/>
    <w:rsid w:val="00866DB1"/>
    <w:rsid w:val="00871A81"/>
    <w:rsid w:val="00871A92"/>
    <w:rsid w:val="008750C7"/>
    <w:rsid w:val="00875ECA"/>
    <w:rsid w:val="00877960"/>
    <w:rsid w:val="0088044F"/>
    <w:rsid w:val="00882246"/>
    <w:rsid w:val="008906BE"/>
    <w:rsid w:val="00891617"/>
    <w:rsid w:val="0089431F"/>
    <w:rsid w:val="00894EBE"/>
    <w:rsid w:val="0089561D"/>
    <w:rsid w:val="00895621"/>
    <w:rsid w:val="008969E6"/>
    <w:rsid w:val="008A0144"/>
    <w:rsid w:val="008A3CF6"/>
    <w:rsid w:val="008A70B0"/>
    <w:rsid w:val="008A7CBC"/>
    <w:rsid w:val="008B480A"/>
    <w:rsid w:val="008B61BB"/>
    <w:rsid w:val="008B7155"/>
    <w:rsid w:val="008C0074"/>
    <w:rsid w:val="008C1FDE"/>
    <w:rsid w:val="008C34FF"/>
    <w:rsid w:val="008C3705"/>
    <w:rsid w:val="008C3A3B"/>
    <w:rsid w:val="008C5A22"/>
    <w:rsid w:val="008D2A2C"/>
    <w:rsid w:val="008D4694"/>
    <w:rsid w:val="008D520C"/>
    <w:rsid w:val="008D5D72"/>
    <w:rsid w:val="008D6FA6"/>
    <w:rsid w:val="008D718A"/>
    <w:rsid w:val="008E1AEB"/>
    <w:rsid w:val="008E53B2"/>
    <w:rsid w:val="008E542E"/>
    <w:rsid w:val="008E6445"/>
    <w:rsid w:val="008F1075"/>
    <w:rsid w:val="008F512E"/>
    <w:rsid w:val="008F5BE4"/>
    <w:rsid w:val="0090256D"/>
    <w:rsid w:val="00911065"/>
    <w:rsid w:val="00911F92"/>
    <w:rsid w:val="00911FD7"/>
    <w:rsid w:val="00914675"/>
    <w:rsid w:val="00917409"/>
    <w:rsid w:val="009177B9"/>
    <w:rsid w:val="00925695"/>
    <w:rsid w:val="00925A81"/>
    <w:rsid w:val="00931BEC"/>
    <w:rsid w:val="0093461E"/>
    <w:rsid w:val="00935CA9"/>
    <w:rsid w:val="00936E55"/>
    <w:rsid w:val="00945801"/>
    <w:rsid w:val="00946C5B"/>
    <w:rsid w:val="00954659"/>
    <w:rsid w:val="00955177"/>
    <w:rsid w:val="009572F6"/>
    <w:rsid w:val="00960678"/>
    <w:rsid w:val="00962CB4"/>
    <w:rsid w:val="00964A39"/>
    <w:rsid w:val="00971CDE"/>
    <w:rsid w:val="00975103"/>
    <w:rsid w:val="00976664"/>
    <w:rsid w:val="00977785"/>
    <w:rsid w:val="0098144C"/>
    <w:rsid w:val="009816FA"/>
    <w:rsid w:val="00981757"/>
    <w:rsid w:val="00983863"/>
    <w:rsid w:val="009838B7"/>
    <w:rsid w:val="00985630"/>
    <w:rsid w:val="00987888"/>
    <w:rsid w:val="00991D30"/>
    <w:rsid w:val="00995884"/>
    <w:rsid w:val="00996139"/>
    <w:rsid w:val="009A09B0"/>
    <w:rsid w:val="009A159E"/>
    <w:rsid w:val="009A1B3D"/>
    <w:rsid w:val="009A287C"/>
    <w:rsid w:val="009A64EA"/>
    <w:rsid w:val="009A6DE0"/>
    <w:rsid w:val="009B0FC6"/>
    <w:rsid w:val="009B15CC"/>
    <w:rsid w:val="009B45E7"/>
    <w:rsid w:val="009B4E9B"/>
    <w:rsid w:val="009B720D"/>
    <w:rsid w:val="009C0045"/>
    <w:rsid w:val="009C41EE"/>
    <w:rsid w:val="009D06CE"/>
    <w:rsid w:val="009D11CF"/>
    <w:rsid w:val="009D21CA"/>
    <w:rsid w:val="009D26ED"/>
    <w:rsid w:val="009D5AAD"/>
    <w:rsid w:val="009D6333"/>
    <w:rsid w:val="009D6570"/>
    <w:rsid w:val="009E02A7"/>
    <w:rsid w:val="009E19FE"/>
    <w:rsid w:val="009E3FE2"/>
    <w:rsid w:val="009E43F0"/>
    <w:rsid w:val="009E50B0"/>
    <w:rsid w:val="009F0CBF"/>
    <w:rsid w:val="009F1D56"/>
    <w:rsid w:val="009F217F"/>
    <w:rsid w:val="009F4EDE"/>
    <w:rsid w:val="00A0169E"/>
    <w:rsid w:val="00A11FF8"/>
    <w:rsid w:val="00A13F86"/>
    <w:rsid w:val="00A15049"/>
    <w:rsid w:val="00A167F5"/>
    <w:rsid w:val="00A174BA"/>
    <w:rsid w:val="00A20B22"/>
    <w:rsid w:val="00A238F4"/>
    <w:rsid w:val="00A27EE6"/>
    <w:rsid w:val="00A31407"/>
    <w:rsid w:val="00A317D1"/>
    <w:rsid w:val="00A35C1B"/>
    <w:rsid w:val="00A41BB5"/>
    <w:rsid w:val="00A44EFA"/>
    <w:rsid w:val="00A471A0"/>
    <w:rsid w:val="00A5170B"/>
    <w:rsid w:val="00A54924"/>
    <w:rsid w:val="00A55EA0"/>
    <w:rsid w:val="00A6002F"/>
    <w:rsid w:val="00A60948"/>
    <w:rsid w:val="00A64264"/>
    <w:rsid w:val="00A66E68"/>
    <w:rsid w:val="00A67D93"/>
    <w:rsid w:val="00A72ED6"/>
    <w:rsid w:val="00A746F4"/>
    <w:rsid w:val="00A7509E"/>
    <w:rsid w:val="00A75CAC"/>
    <w:rsid w:val="00A7759C"/>
    <w:rsid w:val="00A77915"/>
    <w:rsid w:val="00A77BA1"/>
    <w:rsid w:val="00A862F3"/>
    <w:rsid w:val="00A86570"/>
    <w:rsid w:val="00A87433"/>
    <w:rsid w:val="00A9177D"/>
    <w:rsid w:val="00A94662"/>
    <w:rsid w:val="00A94A06"/>
    <w:rsid w:val="00A957C5"/>
    <w:rsid w:val="00AA000D"/>
    <w:rsid w:val="00AA037D"/>
    <w:rsid w:val="00AA0B69"/>
    <w:rsid w:val="00AA11FD"/>
    <w:rsid w:val="00AA1EDB"/>
    <w:rsid w:val="00AA2FBA"/>
    <w:rsid w:val="00AA6227"/>
    <w:rsid w:val="00AA66D3"/>
    <w:rsid w:val="00AB2B0E"/>
    <w:rsid w:val="00AB67C8"/>
    <w:rsid w:val="00AB7A65"/>
    <w:rsid w:val="00AC1EBC"/>
    <w:rsid w:val="00AC2E18"/>
    <w:rsid w:val="00AC3AA6"/>
    <w:rsid w:val="00AC4246"/>
    <w:rsid w:val="00AD10BD"/>
    <w:rsid w:val="00AD1390"/>
    <w:rsid w:val="00AD2099"/>
    <w:rsid w:val="00AD2849"/>
    <w:rsid w:val="00AD3772"/>
    <w:rsid w:val="00AD498C"/>
    <w:rsid w:val="00AD4D23"/>
    <w:rsid w:val="00AD73C9"/>
    <w:rsid w:val="00AD7B46"/>
    <w:rsid w:val="00AD7C4F"/>
    <w:rsid w:val="00AE220D"/>
    <w:rsid w:val="00AE23BF"/>
    <w:rsid w:val="00AE2B4C"/>
    <w:rsid w:val="00AE320D"/>
    <w:rsid w:val="00AE6AF9"/>
    <w:rsid w:val="00AF1007"/>
    <w:rsid w:val="00AF269C"/>
    <w:rsid w:val="00AF5A36"/>
    <w:rsid w:val="00AF706E"/>
    <w:rsid w:val="00AF753A"/>
    <w:rsid w:val="00B0360F"/>
    <w:rsid w:val="00B078FD"/>
    <w:rsid w:val="00B10596"/>
    <w:rsid w:val="00B127A7"/>
    <w:rsid w:val="00B1428F"/>
    <w:rsid w:val="00B15883"/>
    <w:rsid w:val="00B160E6"/>
    <w:rsid w:val="00B1735E"/>
    <w:rsid w:val="00B21DFF"/>
    <w:rsid w:val="00B22753"/>
    <w:rsid w:val="00B22B37"/>
    <w:rsid w:val="00B2565F"/>
    <w:rsid w:val="00B32C96"/>
    <w:rsid w:val="00B34174"/>
    <w:rsid w:val="00B345F8"/>
    <w:rsid w:val="00B34A9A"/>
    <w:rsid w:val="00B35355"/>
    <w:rsid w:val="00B40211"/>
    <w:rsid w:val="00B421E1"/>
    <w:rsid w:val="00B50D33"/>
    <w:rsid w:val="00B52C6E"/>
    <w:rsid w:val="00B53C52"/>
    <w:rsid w:val="00B5693C"/>
    <w:rsid w:val="00B5787A"/>
    <w:rsid w:val="00B57E77"/>
    <w:rsid w:val="00B617AA"/>
    <w:rsid w:val="00B6233A"/>
    <w:rsid w:val="00B634A0"/>
    <w:rsid w:val="00B70B98"/>
    <w:rsid w:val="00B72771"/>
    <w:rsid w:val="00B74831"/>
    <w:rsid w:val="00B816E7"/>
    <w:rsid w:val="00B81903"/>
    <w:rsid w:val="00B81CF1"/>
    <w:rsid w:val="00B83FC7"/>
    <w:rsid w:val="00B84E7A"/>
    <w:rsid w:val="00B860B4"/>
    <w:rsid w:val="00B9246B"/>
    <w:rsid w:val="00B939F7"/>
    <w:rsid w:val="00B95A78"/>
    <w:rsid w:val="00B973EC"/>
    <w:rsid w:val="00BA1040"/>
    <w:rsid w:val="00BA2BBD"/>
    <w:rsid w:val="00BA74B1"/>
    <w:rsid w:val="00BB2E2D"/>
    <w:rsid w:val="00BB2FA9"/>
    <w:rsid w:val="00BB4971"/>
    <w:rsid w:val="00BB4D0E"/>
    <w:rsid w:val="00BB5EAB"/>
    <w:rsid w:val="00BB6909"/>
    <w:rsid w:val="00BC15EB"/>
    <w:rsid w:val="00BC44D7"/>
    <w:rsid w:val="00BC5FBA"/>
    <w:rsid w:val="00BD09DC"/>
    <w:rsid w:val="00BD1905"/>
    <w:rsid w:val="00BD49E4"/>
    <w:rsid w:val="00BE5368"/>
    <w:rsid w:val="00BE57D9"/>
    <w:rsid w:val="00BE7E59"/>
    <w:rsid w:val="00BF0840"/>
    <w:rsid w:val="00BF14EF"/>
    <w:rsid w:val="00BF73D6"/>
    <w:rsid w:val="00C011F0"/>
    <w:rsid w:val="00C01E21"/>
    <w:rsid w:val="00C02E31"/>
    <w:rsid w:val="00C04B2E"/>
    <w:rsid w:val="00C12040"/>
    <w:rsid w:val="00C169DD"/>
    <w:rsid w:val="00C17969"/>
    <w:rsid w:val="00C2123C"/>
    <w:rsid w:val="00C218BC"/>
    <w:rsid w:val="00C30C42"/>
    <w:rsid w:val="00C31F12"/>
    <w:rsid w:val="00C32234"/>
    <w:rsid w:val="00C32E7E"/>
    <w:rsid w:val="00C3334F"/>
    <w:rsid w:val="00C347F8"/>
    <w:rsid w:val="00C34957"/>
    <w:rsid w:val="00C35E0C"/>
    <w:rsid w:val="00C374DB"/>
    <w:rsid w:val="00C412F0"/>
    <w:rsid w:val="00C44A4D"/>
    <w:rsid w:val="00C44F37"/>
    <w:rsid w:val="00C47EC4"/>
    <w:rsid w:val="00C50906"/>
    <w:rsid w:val="00C518F2"/>
    <w:rsid w:val="00C53A29"/>
    <w:rsid w:val="00C53C57"/>
    <w:rsid w:val="00C70B15"/>
    <w:rsid w:val="00C71EAE"/>
    <w:rsid w:val="00C71FF1"/>
    <w:rsid w:val="00C73479"/>
    <w:rsid w:val="00C73D4C"/>
    <w:rsid w:val="00C773F2"/>
    <w:rsid w:val="00C77BF7"/>
    <w:rsid w:val="00C827CC"/>
    <w:rsid w:val="00C8404D"/>
    <w:rsid w:val="00C87094"/>
    <w:rsid w:val="00C93220"/>
    <w:rsid w:val="00C94F6E"/>
    <w:rsid w:val="00CA684E"/>
    <w:rsid w:val="00CA7AC9"/>
    <w:rsid w:val="00CB2510"/>
    <w:rsid w:val="00CB2731"/>
    <w:rsid w:val="00CB2C26"/>
    <w:rsid w:val="00CB4CD2"/>
    <w:rsid w:val="00CB7333"/>
    <w:rsid w:val="00CC3272"/>
    <w:rsid w:val="00CC3B63"/>
    <w:rsid w:val="00CC498E"/>
    <w:rsid w:val="00CC59D7"/>
    <w:rsid w:val="00CC61DA"/>
    <w:rsid w:val="00CC76E5"/>
    <w:rsid w:val="00CC7AAE"/>
    <w:rsid w:val="00CD0944"/>
    <w:rsid w:val="00CD265C"/>
    <w:rsid w:val="00CD54A9"/>
    <w:rsid w:val="00CD6FB6"/>
    <w:rsid w:val="00CE030E"/>
    <w:rsid w:val="00CE0716"/>
    <w:rsid w:val="00CE299F"/>
    <w:rsid w:val="00CE3FF8"/>
    <w:rsid w:val="00CE47D7"/>
    <w:rsid w:val="00CE55F5"/>
    <w:rsid w:val="00CE78A8"/>
    <w:rsid w:val="00CE79A2"/>
    <w:rsid w:val="00CF6A7D"/>
    <w:rsid w:val="00CF753F"/>
    <w:rsid w:val="00D02313"/>
    <w:rsid w:val="00D047FD"/>
    <w:rsid w:val="00D05FB6"/>
    <w:rsid w:val="00D12764"/>
    <w:rsid w:val="00D12B0E"/>
    <w:rsid w:val="00D1307C"/>
    <w:rsid w:val="00D1489A"/>
    <w:rsid w:val="00D2017C"/>
    <w:rsid w:val="00D209E9"/>
    <w:rsid w:val="00D21726"/>
    <w:rsid w:val="00D219F5"/>
    <w:rsid w:val="00D2237B"/>
    <w:rsid w:val="00D223B5"/>
    <w:rsid w:val="00D23263"/>
    <w:rsid w:val="00D24346"/>
    <w:rsid w:val="00D24AEB"/>
    <w:rsid w:val="00D438C2"/>
    <w:rsid w:val="00D4591B"/>
    <w:rsid w:val="00D47336"/>
    <w:rsid w:val="00D47D1E"/>
    <w:rsid w:val="00D51473"/>
    <w:rsid w:val="00D56AD1"/>
    <w:rsid w:val="00D57AC8"/>
    <w:rsid w:val="00D60FBF"/>
    <w:rsid w:val="00D6195B"/>
    <w:rsid w:val="00D6421F"/>
    <w:rsid w:val="00D64E41"/>
    <w:rsid w:val="00D658EF"/>
    <w:rsid w:val="00D677BC"/>
    <w:rsid w:val="00D704A7"/>
    <w:rsid w:val="00D73ED2"/>
    <w:rsid w:val="00D76B1F"/>
    <w:rsid w:val="00D819EC"/>
    <w:rsid w:val="00D834B8"/>
    <w:rsid w:val="00D84303"/>
    <w:rsid w:val="00D844F0"/>
    <w:rsid w:val="00D87339"/>
    <w:rsid w:val="00DA0968"/>
    <w:rsid w:val="00DA55D0"/>
    <w:rsid w:val="00DA6785"/>
    <w:rsid w:val="00DA6F9C"/>
    <w:rsid w:val="00DA6FE8"/>
    <w:rsid w:val="00DA7AD5"/>
    <w:rsid w:val="00DB2850"/>
    <w:rsid w:val="00DB35A5"/>
    <w:rsid w:val="00DB5168"/>
    <w:rsid w:val="00DB51F8"/>
    <w:rsid w:val="00DB556B"/>
    <w:rsid w:val="00DB55CD"/>
    <w:rsid w:val="00DC09A0"/>
    <w:rsid w:val="00DC0FED"/>
    <w:rsid w:val="00DC2A68"/>
    <w:rsid w:val="00DC2B2A"/>
    <w:rsid w:val="00DC4624"/>
    <w:rsid w:val="00DC674F"/>
    <w:rsid w:val="00DC6AEF"/>
    <w:rsid w:val="00DD1AAB"/>
    <w:rsid w:val="00DD3CF0"/>
    <w:rsid w:val="00DE07B6"/>
    <w:rsid w:val="00DE0C0B"/>
    <w:rsid w:val="00DE22E8"/>
    <w:rsid w:val="00DE5050"/>
    <w:rsid w:val="00DE5822"/>
    <w:rsid w:val="00DF3103"/>
    <w:rsid w:val="00DF5718"/>
    <w:rsid w:val="00DF749E"/>
    <w:rsid w:val="00E04ED3"/>
    <w:rsid w:val="00E0568E"/>
    <w:rsid w:val="00E057B2"/>
    <w:rsid w:val="00E06894"/>
    <w:rsid w:val="00E07155"/>
    <w:rsid w:val="00E11F9D"/>
    <w:rsid w:val="00E134B3"/>
    <w:rsid w:val="00E24DAB"/>
    <w:rsid w:val="00E25154"/>
    <w:rsid w:val="00E252F0"/>
    <w:rsid w:val="00E25838"/>
    <w:rsid w:val="00E2792D"/>
    <w:rsid w:val="00E3072A"/>
    <w:rsid w:val="00E3512F"/>
    <w:rsid w:val="00E3655C"/>
    <w:rsid w:val="00E36F11"/>
    <w:rsid w:val="00E415C0"/>
    <w:rsid w:val="00E44E48"/>
    <w:rsid w:val="00E44EBF"/>
    <w:rsid w:val="00E46AF3"/>
    <w:rsid w:val="00E47901"/>
    <w:rsid w:val="00E50438"/>
    <w:rsid w:val="00E52DDB"/>
    <w:rsid w:val="00E551DF"/>
    <w:rsid w:val="00E552CB"/>
    <w:rsid w:val="00E572B3"/>
    <w:rsid w:val="00E5774F"/>
    <w:rsid w:val="00E643AF"/>
    <w:rsid w:val="00E6555E"/>
    <w:rsid w:val="00E70522"/>
    <w:rsid w:val="00E726A8"/>
    <w:rsid w:val="00E7279E"/>
    <w:rsid w:val="00E729B9"/>
    <w:rsid w:val="00E7590C"/>
    <w:rsid w:val="00E764AA"/>
    <w:rsid w:val="00E766DF"/>
    <w:rsid w:val="00E91E74"/>
    <w:rsid w:val="00E92C49"/>
    <w:rsid w:val="00E930F7"/>
    <w:rsid w:val="00E96317"/>
    <w:rsid w:val="00EA28D2"/>
    <w:rsid w:val="00EA48E1"/>
    <w:rsid w:val="00EA607F"/>
    <w:rsid w:val="00EB117F"/>
    <w:rsid w:val="00EB2D16"/>
    <w:rsid w:val="00EB6365"/>
    <w:rsid w:val="00EB71BE"/>
    <w:rsid w:val="00EB72D1"/>
    <w:rsid w:val="00EC0791"/>
    <w:rsid w:val="00EC53FA"/>
    <w:rsid w:val="00EC59EF"/>
    <w:rsid w:val="00ED112A"/>
    <w:rsid w:val="00ED134E"/>
    <w:rsid w:val="00ED17F8"/>
    <w:rsid w:val="00ED2821"/>
    <w:rsid w:val="00ED46BA"/>
    <w:rsid w:val="00ED7ED1"/>
    <w:rsid w:val="00EE073D"/>
    <w:rsid w:val="00EE1677"/>
    <w:rsid w:val="00EE3582"/>
    <w:rsid w:val="00EE45F5"/>
    <w:rsid w:val="00EE5DF0"/>
    <w:rsid w:val="00EE6083"/>
    <w:rsid w:val="00EE7C30"/>
    <w:rsid w:val="00EF355B"/>
    <w:rsid w:val="00EF415E"/>
    <w:rsid w:val="00EF54E5"/>
    <w:rsid w:val="00EF5BD4"/>
    <w:rsid w:val="00EF6070"/>
    <w:rsid w:val="00EF6F82"/>
    <w:rsid w:val="00F01AC9"/>
    <w:rsid w:val="00F028B2"/>
    <w:rsid w:val="00F05CF9"/>
    <w:rsid w:val="00F07E4D"/>
    <w:rsid w:val="00F132D1"/>
    <w:rsid w:val="00F1719C"/>
    <w:rsid w:val="00F17973"/>
    <w:rsid w:val="00F213C6"/>
    <w:rsid w:val="00F26DA3"/>
    <w:rsid w:val="00F32AEF"/>
    <w:rsid w:val="00F33CEE"/>
    <w:rsid w:val="00F37720"/>
    <w:rsid w:val="00F4075C"/>
    <w:rsid w:val="00F409A8"/>
    <w:rsid w:val="00F42D3D"/>
    <w:rsid w:val="00F4540B"/>
    <w:rsid w:val="00F4546D"/>
    <w:rsid w:val="00F46332"/>
    <w:rsid w:val="00F46D65"/>
    <w:rsid w:val="00F51453"/>
    <w:rsid w:val="00F5264E"/>
    <w:rsid w:val="00F53F39"/>
    <w:rsid w:val="00F541B0"/>
    <w:rsid w:val="00F5488F"/>
    <w:rsid w:val="00F611B3"/>
    <w:rsid w:val="00F62FD7"/>
    <w:rsid w:val="00F633EF"/>
    <w:rsid w:val="00F64059"/>
    <w:rsid w:val="00F649E3"/>
    <w:rsid w:val="00F65E8E"/>
    <w:rsid w:val="00F664A5"/>
    <w:rsid w:val="00F6728C"/>
    <w:rsid w:val="00F70317"/>
    <w:rsid w:val="00F72604"/>
    <w:rsid w:val="00F72C95"/>
    <w:rsid w:val="00F737E4"/>
    <w:rsid w:val="00F7627D"/>
    <w:rsid w:val="00F8016E"/>
    <w:rsid w:val="00F82A63"/>
    <w:rsid w:val="00F84919"/>
    <w:rsid w:val="00F87E48"/>
    <w:rsid w:val="00F90A85"/>
    <w:rsid w:val="00F90F86"/>
    <w:rsid w:val="00FA6183"/>
    <w:rsid w:val="00FA663A"/>
    <w:rsid w:val="00FB738F"/>
    <w:rsid w:val="00FC349F"/>
    <w:rsid w:val="00FC3D6B"/>
    <w:rsid w:val="00FC4A93"/>
    <w:rsid w:val="00FD2558"/>
    <w:rsid w:val="00FD29CD"/>
    <w:rsid w:val="00FD3BC7"/>
    <w:rsid w:val="00FD719F"/>
    <w:rsid w:val="00FE0D09"/>
    <w:rsid w:val="00FE111C"/>
    <w:rsid w:val="00FE35D4"/>
    <w:rsid w:val="00FE43ED"/>
    <w:rsid w:val="00FE6012"/>
    <w:rsid w:val="00FE6BC5"/>
    <w:rsid w:val="00FF0A26"/>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11"/>
    <w:rPr>
      <w:sz w:val="24"/>
      <w:szCs w:val="24"/>
      <w:lang w:eastAsia="lv-LV"/>
    </w:rPr>
  </w:style>
  <w:style w:type="paragraph" w:styleId="Heading1">
    <w:name w:val="heading 1"/>
    <w:basedOn w:val="Normal"/>
    <w:next w:val="Normal"/>
    <w:link w:val="Heading1Char"/>
    <w:uiPriority w:val="99"/>
    <w:qFormat/>
    <w:rsid w:val="00CF753F"/>
    <w:pPr>
      <w:keepNext/>
      <w:suppressAutoHyphens/>
      <w:spacing w:before="240" w:after="60"/>
      <w:ind w:firstLine="720"/>
      <w:jc w:val="both"/>
      <w:outlineLvl w:val="0"/>
    </w:pPr>
    <w:rPr>
      <w:rFonts w:ascii="Cambria" w:hAnsi="Cambria" w:cs="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53F"/>
    <w:rPr>
      <w:rFonts w:ascii="Cambria" w:hAnsi="Cambria" w:cs="Cambria"/>
      <w:b/>
      <w:bCs/>
      <w:kern w:val="32"/>
      <w:sz w:val="32"/>
      <w:szCs w:val="32"/>
      <w:lang w:eastAsia="ar-SA" w:bidi="ar-SA"/>
    </w:rPr>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customStyle="1" w:styleId="HeaderChar">
    <w:name w:val="Header Char"/>
    <w:basedOn w:val="DefaultParagraphFont"/>
    <w:link w:val="Header"/>
    <w:uiPriority w:val="99"/>
    <w:locked/>
    <w:rsid w:val="00E726A8"/>
    <w:rPr>
      <w:sz w:val="24"/>
      <w:szCs w:val="24"/>
    </w:rPr>
  </w:style>
  <w:style w:type="character" w:styleId="Hyperlink">
    <w:name w:val="Hyperlink"/>
    <w:basedOn w:val="DefaultParagraphFont"/>
    <w:uiPriority w:val="99"/>
    <w:rsid w:val="00444EDC"/>
    <w:rPr>
      <w:color w:val="0000FF"/>
      <w:u w:val="single"/>
    </w:rPr>
  </w:style>
  <w:style w:type="paragraph" w:styleId="Footer">
    <w:name w:val="footer"/>
    <w:basedOn w:val="Normal"/>
    <w:link w:val="FooterChar"/>
    <w:uiPriority w:val="99"/>
    <w:rsid w:val="005224FC"/>
    <w:pPr>
      <w:tabs>
        <w:tab w:val="center" w:pos="4153"/>
        <w:tab w:val="right" w:pos="8306"/>
      </w:tabs>
    </w:pPr>
  </w:style>
  <w:style w:type="character" w:customStyle="1" w:styleId="FooterChar">
    <w:name w:val="Footer Char"/>
    <w:basedOn w:val="DefaultParagraphFont"/>
    <w:link w:val="Footer"/>
    <w:uiPriority w:val="99"/>
    <w:semiHidden/>
    <w:rsid w:val="00872578"/>
    <w:rPr>
      <w:sz w:val="24"/>
      <w:szCs w:val="24"/>
    </w:r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894"/>
    <w:rPr>
      <w:rFonts w:ascii="Tahoma" w:hAnsi="Tahoma" w:cs="Tahoma"/>
      <w:sz w:val="16"/>
      <w:szCs w:val="16"/>
    </w:rPr>
  </w:style>
  <w:style w:type="paragraph" w:styleId="NormalWeb">
    <w:name w:val="Normal (Web)"/>
    <w:basedOn w:val="Normal"/>
    <w:uiPriority w:val="99"/>
    <w:rsid w:val="00AE6AF9"/>
    <w:pPr>
      <w:spacing w:before="100" w:beforeAutospacing="1" w:after="100" w:afterAutospacing="1"/>
    </w:pPr>
    <w:rPr>
      <w:lang w:val="en-GB" w:eastAsia="en-US"/>
    </w:rPr>
  </w:style>
  <w:style w:type="paragraph" w:styleId="BodyText">
    <w:name w:val="Body Text"/>
    <w:basedOn w:val="Normal"/>
    <w:link w:val="BodyTextChar"/>
    <w:uiPriority w:val="99"/>
    <w:rsid w:val="004B2408"/>
    <w:pPr>
      <w:spacing w:after="120"/>
    </w:pPr>
  </w:style>
  <w:style w:type="character" w:customStyle="1" w:styleId="BodyTextChar">
    <w:name w:val="Body Text Char"/>
    <w:basedOn w:val="DefaultParagraphFont"/>
    <w:link w:val="BodyText"/>
    <w:uiPriority w:val="99"/>
    <w:locked/>
    <w:rsid w:val="004B2408"/>
    <w:rPr>
      <w:sz w:val="24"/>
      <w:szCs w:val="24"/>
    </w:rPr>
  </w:style>
  <w:style w:type="paragraph" w:customStyle="1" w:styleId="naisf">
    <w:name w:val="naisf"/>
    <w:basedOn w:val="Normal"/>
    <w:uiPriority w:val="99"/>
    <w:rsid w:val="001D1A28"/>
    <w:pPr>
      <w:spacing w:before="75" w:after="75"/>
      <w:ind w:firstLine="375"/>
      <w:jc w:val="both"/>
    </w:pPr>
  </w:style>
  <w:style w:type="paragraph" w:styleId="ListParagraph">
    <w:name w:val="List Paragraph"/>
    <w:basedOn w:val="Normal"/>
    <w:uiPriority w:val="99"/>
    <w:qFormat/>
    <w:rsid w:val="00DA6F9C"/>
    <w:pPr>
      <w:spacing w:after="200" w:line="276" w:lineRule="auto"/>
      <w:ind w:left="720"/>
    </w:pPr>
    <w:rPr>
      <w:rFonts w:ascii="Calibri" w:hAnsi="Calibri" w:cs="Calibri"/>
      <w:sz w:val="22"/>
      <w:szCs w:val="22"/>
      <w:lang w:eastAsia="en-US"/>
    </w:rPr>
  </w:style>
  <w:style w:type="character" w:styleId="Emphasis">
    <w:name w:val="Emphasis"/>
    <w:basedOn w:val="DefaultParagraphFont"/>
    <w:uiPriority w:val="20"/>
    <w:qFormat/>
    <w:rsid w:val="00AA11FD"/>
    <w:rPr>
      <w:b/>
      <w:bCs/>
    </w:rPr>
  </w:style>
  <w:style w:type="character" w:customStyle="1" w:styleId="st">
    <w:name w:val="st"/>
    <w:basedOn w:val="DefaultParagraphFont"/>
    <w:uiPriority w:val="99"/>
    <w:rsid w:val="00AA11FD"/>
  </w:style>
  <w:style w:type="paragraph" w:styleId="Date">
    <w:name w:val="Date"/>
    <w:basedOn w:val="Normal"/>
    <w:next w:val="Normal"/>
    <w:link w:val="DateChar"/>
    <w:uiPriority w:val="99"/>
    <w:rsid w:val="00C44A4D"/>
  </w:style>
  <w:style w:type="character" w:customStyle="1" w:styleId="DateChar">
    <w:name w:val="Date Char"/>
    <w:basedOn w:val="DefaultParagraphFont"/>
    <w:link w:val="Date"/>
    <w:uiPriority w:val="99"/>
    <w:locked/>
    <w:rsid w:val="00C44A4D"/>
    <w:rPr>
      <w:sz w:val="24"/>
      <w:szCs w:val="24"/>
    </w:rPr>
  </w:style>
  <w:style w:type="paragraph" w:customStyle="1" w:styleId="RakstzRakstz3">
    <w:name w:val="Rakstz. Rakstz.3"/>
    <w:basedOn w:val="Normal"/>
    <w:next w:val="BlockText"/>
    <w:uiPriority w:val="99"/>
    <w:rsid w:val="00DB5168"/>
    <w:pPr>
      <w:spacing w:before="120" w:after="160" w:line="240" w:lineRule="exact"/>
      <w:ind w:firstLine="720"/>
      <w:jc w:val="both"/>
    </w:pPr>
    <w:rPr>
      <w:lang w:val="en-US" w:eastAsia="en-US"/>
    </w:rPr>
  </w:style>
  <w:style w:type="paragraph" w:styleId="BlockText">
    <w:name w:val="Block Text"/>
    <w:basedOn w:val="Normal"/>
    <w:uiPriority w:val="99"/>
    <w:rsid w:val="00DB516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table" w:styleId="TableGrid">
    <w:name w:val="Table Grid"/>
    <w:basedOn w:val="TableNormal"/>
    <w:uiPriority w:val="99"/>
    <w:rsid w:val="00CE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3781"/>
    <w:rPr>
      <w:sz w:val="16"/>
      <w:szCs w:val="16"/>
    </w:rPr>
  </w:style>
  <w:style w:type="paragraph" w:styleId="CommentText">
    <w:name w:val="annotation text"/>
    <w:basedOn w:val="Normal"/>
    <w:link w:val="CommentTextChar"/>
    <w:uiPriority w:val="99"/>
    <w:semiHidden/>
    <w:unhideWhenUsed/>
    <w:rsid w:val="00483781"/>
    <w:rPr>
      <w:sz w:val="20"/>
      <w:szCs w:val="20"/>
    </w:rPr>
  </w:style>
  <w:style w:type="character" w:customStyle="1" w:styleId="CommentTextChar">
    <w:name w:val="Comment Text Char"/>
    <w:basedOn w:val="DefaultParagraphFont"/>
    <w:link w:val="CommentText"/>
    <w:uiPriority w:val="99"/>
    <w:semiHidden/>
    <w:rsid w:val="00483781"/>
  </w:style>
  <w:style w:type="paragraph" w:styleId="CommentSubject">
    <w:name w:val="annotation subject"/>
    <w:basedOn w:val="CommentText"/>
    <w:next w:val="CommentText"/>
    <w:link w:val="CommentSubjectChar"/>
    <w:uiPriority w:val="99"/>
    <w:semiHidden/>
    <w:unhideWhenUsed/>
    <w:rsid w:val="00483781"/>
    <w:rPr>
      <w:b/>
      <w:bCs/>
    </w:rPr>
  </w:style>
  <w:style w:type="character" w:customStyle="1" w:styleId="CommentSubjectChar">
    <w:name w:val="Comment Subject Char"/>
    <w:basedOn w:val="CommentTextChar"/>
    <w:link w:val="CommentSubject"/>
    <w:uiPriority w:val="99"/>
    <w:semiHidden/>
    <w:rsid w:val="00483781"/>
    <w:rPr>
      <w:b/>
      <w:bCs/>
    </w:rPr>
  </w:style>
</w:styles>
</file>

<file path=word/webSettings.xml><?xml version="1.0" encoding="utf-8"?>
<w:webSettings xmlns:r="http://schemas.openxmlformats.org/officeDocument/2006/relationships" xmlns:w="http://schemas.openxmlformats.org/wordprocessingml/2006/main">
  <w:divs>
    <w:div w:id="493036891">
      <w:marLeft w:val="45"/>
      <w:marRight w:val="45"/>
      <w:marTop w:val="90"/>
      <w:marBottom w:val="90"/>
      <w:divBdr>
        <w:top w:val="none" w:sz="0" w:space="0" w:color="auto"/>
        <w:left w:val="none" w:sz="0" w:space="0" w:color="auto"/>
        <w:bottom w:val="none" w:sz="0" w:space="0" w:color="auto"/>
        <w:right w:val="none" w:sz="0" w:space="0" w:color="auto"/>
      </w:divBdr>
      <w:divsChild>
        <w:div w:id="493036890">
          <w:marLeft w:val="0"/>
          <w:marRight w:val="0"/>
          <w:marTop w:val="240"/>
          <w:marBottom w:val="0"/>
          <w:divBdr>
            <w:top w:val="none" w:sz="0" w:space="0" w:color="auto"/>
            <w:left w:val="none" w:sz="0" w:space="0" w:color="auto"/>
            <w:bottom w:val="none" w:sz="0" w:space="0" w:color="auto"/>
            <w:right w:val="none" w:sz="0" w:space="0" w:color="auto"/>
          </w:divBdr>
        </w:div>
      </w:divsChild>
    </w:div>
    <w:div w:id="493036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52A24-D588-462F-8406-DF16E886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2828</Words>
  <Characters>21800</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„Infrastruktūra un pakalpojumi” papildinājuma 3.1.1.1.aktivitātes „Mācību aprīkojuma modernizācija un infrastruktūras uzlabošana profesionālās izglītības programmu īstenošanai” otrās</vt:lpstr>
    </vt:vector>
  </TitlesOfParts>
  <Company>Microsoft Corporation</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„Infrastruktūra un pakalpojumi” papildinājuma 3.1.1.1.aktivitātes „Mācību aprīkojuma modernizācija un infrastruktūras uzlabošana profesionālās izglītības programmu īstenošanai” otrās</dc:title>
  <dc:subject>Anotācija</dc:subject>
  <dc:creator>Marta Meženiece, Inga Griķe</dc:creator>
  <dc:description>tālr. 67047974, marta.mezeniece@izm.gov.lv
tālr. 67047826, inga.grike@izm.gov.lv</dc:description>
  <cp:lastModifiedBy>garaja</cp:lastModifiedBy>
  <cp:revision>4</cp:revision>
  <cp:lastPrinted>2012-12-06T08:21:00Z</cp:lastPrinted>
  <dcterms:created xsi:type="dcterms:W3CDTF">2013-01-18T09:10:00Z</dcterms:created>
  <dcterms:modified xsi:type="dcterms:W3CDTF">2013-01-18T09:12:00Z</dcterms:modified>
</cp:coreProperties>
</file>