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20A" w:rsidRPr="00EA466D" w:rsidRDefault="00EA466D" w:rsidP="001B3AAB">
      <w:pPr>
        <w:spacing w:after="0" w:line="240" w:lineRule="auto"/>
        <w:jc w:val="center"/>
        <w:rPr>
          <w:rFonts w:ascii="Times New Roman" w:hAnsi="Times New Roman" w:cs="Times New Roman"/>
          <w:b/>
          <w:sz w:val="28"/>
          <w:szCs w:val="28"/>
        </w:rPr>
      </w:pPr>
      <w:bookmarkStart w:id="0" w:name="OLE_LINK1"/>
      <w:bookmarkStart w:id="1" w:name="OLE_LINK2"/>
      <w:bookmarkStart w:id="2" w:name="OLE_LINK8"/>
      <w:bookmarkStart w:id="3" w:name="OLE_LINK9"/>
      <w:bookmarkStart w:id="4" w:name="OLE_LINK10"/>
      <w:bookmarkStart w:id="5" w:name="OLE_LINK16"/>
      <w:bookmarkStart w:id="6" w:name="OLE_LINK11"/>
      <w:r w:rsidRPr="00EA466D">
        <w:rPr>
          <w:rFonts w:ascii="Times New Roman" w:hAnsi="Times New Roman" w:cs="Times New Roman"/>
          <w:b/>
          <w:sz w:val="28"/>
          <w:szCs w:val="28"/>
        </w:rPr>
        <w:t>Ministru kabineta noteikumu projekta „</w:t>
      </w:r>
      <w:bookmarkStart w:id="7" w:name="OLE_LINK12"/>
      <w:bookmarkStart w:id="8" w:name="OLE_LINK13"/>
      <w:r w:rsidR="00B26C96">
        <w:rPr>
          <w:rFonts w:ascii="Times New Roman" w:hAnsi="Times New Roman" w:cs="Times New Roman"/>
          <w:b/>
          <w:sz w:val="28"/>
          <w:szCs w:val="28"/>
        </w:rPr>
        <w:t xml:space="preserve">Grozījums </w:t>
      </w:r>
      <w:r w:rsidR="00126B58">
        <w:rPr>
          <w:rFonts w:ascii="Times New Roman" w:hAnsi="Times New Roman" w:cs="Times New Roman"/>
          <w:b/>
          <w:sz w:val="28"/>
          <w:szCs w:val="28"/>
        </w:rPr>
        <w:t>2009.gada 17.februāra</w:t>
      </w:r>
      <w:r w:rsidRPr="00EA466D">
        <w:rPr>
          <w:rFonts w:ascii="Times New Roman" w:hAnsi="Times New Roman" w:cs="Times New Roman"/>
          <w:b/>
          <w:sz w:val="28"/>
          <w:szCs w:val="28"/>
        </w:rPr>
        <w:t xml:space="preserve"> noteikumos Nr.151 „Noteikumi par darbības programmas „Cilvēkresursi un nodarbinātība” papildinājuma 1.2.1.1.2.apakšaktivitāti „Profesionālajā izglītībā iesaistīto pedagogu kompetences paaugstināšana</w:t>
      </w:r>
      <w:r w:rsidRPr="00EA466D">
        <w:rPr>
          <w:rFonts w:ascii="Times New Roman" w:hAnsi="Times New Roman" w:cs="Times New Roman"/>
          <w:b/>
          <w:bCs/>
          <w:sz w:val="28"/>
          <w:szCs w:val="28"/>
        </w:rPr>
        <w:t>”</w:t>
      </w:r>
      <w:bookmarkEnd w:id="7"/>
      <w:bookmarkEnd w:id="8"/>
      <w:r w:rsidRPr="00EA466D">
        <w:rPr>
          <w:rFonts w:ascii="Times New Roman" w:hAnsi="Times New Roman" w:cs="Times New Roman"/>
          <w:b/>
          <w:bCs/>
          <w:sz w:val="28"/>
          <w:szCs w:val="28"/>
        </w:rPr>
        <w:t xml:space="preserve">” </w:t>
      </w:r>
      <w:r w:rsidRPr="00EA466D">
        <w:rPr>
          <w:rFonts w:ascii="Times New Roman" w:hAnsi="Times New Roman" w:cs="Times New Roman"/>
          <w:b/>
          <w:sz w:val="28"/>
          <w:szCs w:val="28"/>
        </w:rPr>
        <w:t>sākotnējās ietekmes novērtējuma ziņojums (anotācija)</w:t>
      </w:r>
      <w:bookmarkEnd w:id="0"/>
      <w:bookmarkEnd w:id="1"/>
      <w:bookmarkEnd w:id="2"/>
      <w:bookmarkEnd w:id="3"/>
      <w:bookmarkEnd w:id="4"/>
      <w:bookmarkEnd w:id="5"/>
      <w:bookmarkEnd w:id="6"/>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96"/>
        <w:gridCol w:w="1841"/>
        <w:gridCol w:w="6874"/>
      </w:tblGrid>
      <w:tr w:rsidR="00EA466D" w:rsidRPr="00EA466D" w:rsidTr="00EA466D">
        <w:trPr>
          <w:tblCellSpacing w:w="15" w:type="dxa"/>
        </w:trPr>
        <w:tc>
          <w:tcPr>
            <w:tcW w:w="0" w:type="auto"/>
            <w:gridSpan w:val="3"/>
            <w:tcBorders>
              <w:top w:val="single" w:sz="4" w:space="0" w:color="auto"/>
              <w:left w:val="single" w:sz="4" w:space="0" w:color="auto"/>
              <w:bottom w:val="outset" w:sz="6" w:space="0" w:color="auto"/>
              <w:right w:val="single" w:sz="4" w:space="0" w:color="auto"/>
            </w:tcBorders>
            <w:vAlign w:val="center"/>
            <w:hideMark/>
          </w:tcPr>
          <w:p w:rsidR="00EA466D" w:rsidRPr="00EA466D" w:rsidRDefault="00EA466D" w:rsidP="00EA466D">
            <w:pPr>
              <w:spacing w:after="0" w:line="240" w:lineRule="auto"/>
              <w:ind w:firstLine="250"/>
              <w:jc w:val="center"/>
              <w:rPr>
                <w:rFonts w:ascii="Times New Roman" w:eastAsia="Times New Roman" w:hAnsi="Times New Roman" w:cs="Times New Roman"/>
                <w:b/>
                <w:bCs/>
                <w:sz w:val="28"/>
                <w:szCs w:val="28"/>
                <w:lang w:eastAsia="lv-LV"/>
              </w:rPr>
            </w:pPr>
            <w:r w:rsidRPr="00EA466D">
              <w:rPr>
                <w:rFonts w:ascii="Times New Roman" w:eastAsia="Times New Roman" w:hAnsi="Times New Roman" w:cs="Times New Roman"/>
                <w:b/>
                <w:bCs/>
                <w:sz w:val="28"/>
                <w:szCs w:val="28"/>
                <w:lang w:eastAsia="lv-LV"/>
              </w:rPr>
              <w:t>I. Tiesību akta projekta izstrādes nepieciešamība</w:t>
            </w:r>
          </w:p>
        </w:tc>
      </w:tr>
      <w:tr w:rsidR="00EA466D" w:rsidRPr="00EA466D" w:rsidTr="001B3AAB">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EA466D" w:rsidRPr="00EA466D" w:rsidRDefault="00EA466D" w:rsidP="00EA466D">
            <w:pPr>
              <w:spacing w:after="0" w:line="240" w:lineRule="auto"/>
              <w:ind w:hanging="5"/>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1.</w:t>
            </w:r>
          </w:p>
        </w:tc>
        <w:tc>
          <w:tcPr>
            <w:tcW w:w="983" w:type="pct"/>
            <w:tcBorders>
              <w:top w:val="outset" w:sz="6" w:space="0" w:color="auto"/>
              <w:left w:val="outset" w:sz="6" w:space="0" w:color="auto"/>
              <w:bottom w:val="outset" w:sz="6" w:space="0" w:color="auto"/>
              <w:right w:val="outset" w:sz="6" w:space="0" w:color="auto"/>
            </w:tcBorders>
            <w:hideMark/>
          </w:tcPr>
          <w:p w:rsidR="00EA466D" w:rsidRPr="00EA466D" w:rsidRDefault="00EA466D" w:rsidP="00EA466D">
            <w:pPr>
              <w:spacing w:after="0" w:line="240" w:lineRule="auto"/>
              <w:jc w:val="both"/>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Pamatojums</w:t>
            </w:r>
          </w:p>
        </w:tc>
        <w:tc>
          <w:tcPr>
            <w:tcW w:w="3707" w:type="pct"/>
            <w:tcBorders>
              <w:top w:val="outset" w:sz="6" w:space="0" w:color="auto"/>
              <w:left w:val="outset" w:sz="6" w:space="0" w:color="auto"/>
              <w:bottom w:val="outset" w:sz="6" w:space="0" w:color="auto"/>
              <w:right w:val="outset" w:sz="6" w:space="0" w:color="auto"/>
            </w:tcBorders>
            <w:hideMark/>
          </w:tcPr>
          <w:p w:rsidR="00EA466D" w:rsidRPr="00EA466D" w:rsidRDefault="00EA466D" w:rsidP="00EA466D">
            <w:pPr>
              <w:spacing w:after="0" w:line="240" w:lineRule="auto"/>
              <w:jc w:val="both"/>
              <w:rPr>
                <w:rFonts w:ascii="Times New Roman" w:eastAsia="Times New Roman" w:hAnsi="Times New Roman" w:cs="Times New Roman"/>
                <w:sz w:val="28"/>
                <w:szCs w:val="28"/>
                <w:lang w:eastAsia="lv-LV"/>
              </w:rPr>
            </w:pPr>
            <w:r w:rsidRPr="00EA466D">
              <w:rPr>
                <w:rFonts w:ascii="Times New Roman" w:hAnsi="Times New Roman" w:cs="Times New Roman"/>
                <w:sz w:val="28"/>
                <w:szCs w:val="28"/>
              </w:rPr>
              <w:t xml:space="preserve">Ministru kabineta noteikumu projekts „Grozījums Ministru </w:t>
            </w:r>
            <w:r w:rsidR="00126B58">
              <w:rPr>
                <w:rFonts w:ascii="Times New Roman" w:hAnsi="Times New Roman" w:cs="Times New Roman"/>
                <w:sz w:val="28"/>
                <w:szCs w:val="28"/>
              </w:rPr>
              <w:t>2009.gada 17.februāra</w:t>
            </w:r>
            <w:r w:rsidRPr="00EA466D">
              <w:rPr>
                <w:rFonts w:ascii="Times New Roman" w:hAnsi="Times New Roman" w:cs="Times New Roman"/>
                <w:sz w:val="28"/>
                <w:szCs w:val="28"/>
              </w:rPr>
              <w:t xml:space="preserve"> noteikumos Nr.151 „Noteikumi par darbības programmas „Cilvēkresursi un nodarbinātība” papildinājuma 1.2.1.1.2.apakšaktivitāti „Profesionālajā izglītībā iesaistīto pedagogu kompetences paaugstināšana”” (turpmāk – noteikumu projekts) sagatavots saskaņā ar Eiropas Savienības struktūrfondu un Kohēzijas fonda vadības likuma 18.panta 10.punktu.</w:t>
            </w:r>
          </w:p>
        </w:tc>
      </w:tr>
      <w:tr w:rsidR="00EA466D" w:rsidRPr="00EA466D" w:rsidTr="001B3AAB">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EA466D" w:rsidRPr="00EA466D" w:rsidRDefault="00EA466D" w:rsidP="00EA466D">
            <w:pPr>
              <w:spacing w:after="0" w:line="240" w:lineRule="auto"/>
              <w:ind w:hanging="5"/>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2.</w:t>
            </w:r>
          </w:p>
        </w:tc>
        <w:tc>
          <w:tcPr>
            <w:tcW w:w="983" w:type="pct"/>
            <w:tcBorders>
              <w:top w:val="outset" w:sz="6" w:space="0" w:color="auto"/>
              <w:left w:val="outset" w:sz="6" w:space="0" w:color="auto"/>
              <w:bottom w:val="outset" w:sz="6" w:space="0" w:color="auto"/>
              <w:right w:val="outset" w:sz="6" w:space="0" w:color="auto"/>
            </w:tcBorders>
            <w:hideMark/>
          </w:tcPr>
          <w:p w:rsidR="00EA466D" w:rsidRPr="00EA466D" w:rsidRDefault="00EA466D" w:rsidP="003E6FE6">
            <w:pPr>
              <w:spacing w:after="0" w:line="240" w:lineRule="auto"/>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Pašreizējā situācija un problēmas</w:t>
            </w:r>
          </w:p>
        </w:tc>
        <w:tc>
          <w:tcPr>
            <w:tcW w:w="3707" w:type="pct"/>
            <w:tcBorders>
              <w:top w:val="outset" w:sz="6" w:space="0" w:color="auto"/>
              <w:left w:val="outset" w:sz="6" w:space="0" w:color="auto"/>
              <w:bottom w:val="outset" w:sz="6" w:space="0" w:color="auto"/>
              <w:right w:val="outset" w:sz="6" w:space="0" w:color="auto"/>
            </w:tcBorders>
            <w:hideMark/>
          </w:tcPr>
          <w:p w:rsidR="00EA466D" w:rsidRPr="00FC72BF" w:rsidRDefault="00EA466D" w:rsidP="001C385C">
            <w:pPr>
              <w:tabs>
                <w:tab w:val="left" w:pos="381"/>
              </w:tabs>
              <w:spacing w:after="0" w:line="240" w:lineRule="auto"/>
              <w:jc w:val="both"/>
              <w:rPr>
                <w:rFonts w:ascii="Times New Roman" w:hAnsi="Times New Roman" w:cs="Times New Roman"/>
                <w:sz w:val="28"/>
                <w:szCs w:val="28"/>
              </w:rPr>
            </w:pPr>
            <w:r w:rsidRPr="00EA466D">
              <w:rPr>
                <w:rFonts w:ascii="Times New Roman" w:hAnsi="Times New Roman" w:cs="Times New Roman"/>
                <w:sz w:val="28"/>
                <w:szCs w:val="28"/>
              </w:rPr>
              <w:t>Ministr</w:t>
            </w:r>
            <w:r w:rsidR="00126B58">
              <w:rPr>
                <w:rFonts w:ascii="Times New Roman" w:hAnsi="Times New Roman" w:cs="Times New Roman"/>
                <w:sz w:val="28"/>
                <w:szCs w:val="28"/>
              </w:rPr>
              <w:t>u kabineta 2009.gada 17.februāra</w:t>
            </w:r>
            <w:r w:rsidR="0087620A">
              <w:rPr>
                <w:rFonts w:ascii="Times New Roman" w:hAnsi="Times New Roman" w:cs="Times New Roman"/>
                <w:sz w:val="28"/>
                <w:szCs w:val="28"/>
              </w:rPr>
              <w:t xml:space="preserve"> noteikumu</w:t>
            </w:r>
            <w:r w:rsidRPr="00EA466D">
              <w:rPr>
                <w:rFonts w:ascii="Times New Roman" w:hAnsi="Times New Roman" w:cs="Times New Roman"/>
                <w:sz w:val="28"/>
                <w:szCs w:val="28"/>
              </w:rPr>
              <w:t xml:space="preserve"> Nr.151 „Noteikumi par darbības programmas „Cilvēkresursi un nodarbinātība” papildinājuma 1.2.1.1.2.apakšaktivitāti „Profesionālajā izglītībā iesaistīto pedagogu kompetences paaugstināšana”” (turpmāk – n</w:t>
            </w:r>
            <w:r w:rsidR="00FC72BF">
              <w:rPr>
                <w:rFonts w:ascii="Times New Roman" w:hAnsi="Times New Roman" w:cs="Times New Roman"/>
                <w:sz w:val="28"/>
                <w:szCs w:val="28"/>
              </w:rPr>
              <w:t>oteikumi Nr.151) 7.punkts noteic</w:t>
            </w:r>
            <w:r w:rsidRPr="00EA466D">
              <w:rPr>
                <w:rFonts w:ascii="Times New Roman" w:hAnsi="Times New Roman" w:cs="Times New Roman"/>
                <w:sz w:val="28"/>
                <w:szCs w:val="28"/>
              </w:rPr>
              <w:t>, ka 1.2.1.1.2.apakšaktivitāt</w:t>
            </w:r>
            <w:r w:rsidRPr="00EA466D">
              <w:rPr>
                <w:rFonts w:ascii="Times New Roman" w:hAnsi="Times New Roman" w:cs="Times New Roman"/>
                <w:bCs/>
                <w:sz w:val="28"/>
                <w:szCs w:val="28"/>
              </w:rPr>
              <w:t xml:space="preserve">es </w:t>
            </w:r>
            <w:r w:rsidR="00FC72BF" w:rsidRPr="00EA466D">
              <w:rPr>
                <w:rFonts w:ascii="Times New Roman" w:hAnsi="Times New Roman" w:cs="Times New Roman"/>
                <w:sz w:val="28"/>
                <w:szCs w:val="28"/>
              </w:rPr>
              <w:t>„Profesionālajā izglītībā iesaistīto pedagogu kompetences paaugstināšana”</w:t>
            </w:r>
            <w:r w:rsidR="00FC72BF">
              <w:rPr>
                <w:rFonts w:ascii="Times New Roman" w:hAnsi="Times New Roman" w:cs="Times New Roman"/>
                <w:sz w:val="28"/>
                <w:szCs w:val="28"/>
              </w:rPr>
              <w:t xml:space="preserve"> (turpmāk – 1.2.1.1.2.apakšaktivitāte) </w:t>
            </w:r>
            <w:r w:rsidRPr="00EA466D">
              <w:rPr>
                <w:rFonts w:ascii="Times New Roman" w:hAnsi="Times New Roman" w:cs="Times New Roman"/>
                <w:sz w:val="28"/>
                <w:szCs w:val="28"/>
              </w:rPr>
              <w:t>kopējais pieejamais publiskais finansējums ir 6 382 398 lati, ko veido Eiropas Sociālā fonda (turpmāk – ESF) finansējums 5 425 034 latu apmērā un nacionālais publiskais finansējums 957 364 latu apmērā.</w:t>
            </w:r>
            <w:r w:rsidR="00FC72BF">
              <w:rPr>
                <w:rFonts w:ascii="Times New Roman" w:hAnsi="Times New Roman" w:cs="Times New Roman"/>
                <w:sz w:val="28"/>
                <w:szCs w:val="28"/>
              </w:rPr>
              <w:t xml:space="preserve"> 1.2.1.1.2.apakšaktivitātē pieejamais brīvais finansējums ir </w:t>
            </w:r>
            <w:r w:rsidR="00E34868">
              <w:rPr>
                <w:rFonts w:ascii="Times New Roman" w:hAnsi="Times New Roman" w:cs="Times New Roman"/>
                <w:sz w:val="28"/>
                <w:szCs w:val="28"/>
              </w:rPr>
              <w:t>393 977 lati</w:t>
            </w:r>
            <w:r w:rsidR="00FC72BF">
              <w:rPr>
                <w:rFonts w:ascii="Times New Roman" w:hAnsi="Times New Roman" w:cs="Times New Roman"/>
                <w:sz w:val="28"/>
                <w:szCs w:val="28"/>
              </w:rPr>
              <w:t xml:space="preserve">, ko veido </w:t>
            </w:r>
            <w:r w:rsidR="00FC72BF" w:rsidRPr="00EA466D">
              <w:rPr>
                <w:rFonts w:ascii="Times New Roman" w:hAnsi="Times New Roman" w:cs="Times New Roman"/>
                <w:sz w:val="28"/>
                <w:szCs w:val="28"/>
              </w:rPr>
              <w:t xml:space="preserve">ESF </w:t>
            </w:r>
            <w:r w:rsidR="00FC72BF">
              <w:rPr>
                <w:rFonts w:ascii="Times New Roman" w:hAnsi="Times New Roman" w:cs="Times New Roman"/>
                <w:sz w:val="28"/>
                <w:szCs w:val="28"/>
              </w:rPr>
              <w:t>finansējums</w:t>
            </w:r>
            <w:r w:rsidR="00FC72BF" w:rsidRPr="00EA466D">
              <w:rPr>
                <w:rFonts w:ascii="Times New Roman" w:hAnsi="Times New Roman" w:cs="Times New Roman"/>
                <w:sz w:val="28"/>
                <w:szCs w:val="28"/>
              </w:rPr>
              <w:t xml:space="preserve"> 334 880 latu apmē</w:t>
            </w:r>
            <w:r w:rsidR="00FC72BF">
              <w:rPr>
                <w:rFonts w:ascii="Times New Roman" w:hAnsi="Times New Roman" w:cs="Times New Roman"/>
                <w:sz w:val="28"/>
                <w:szCs w:val="28"/>
              </w:rPr>
              <w:t>rā un nacionālais publiskais finansējums</w:t>
            </w:r>
            <w:r w:rsidR="00FC72BF" w:rsidRPr="00EA466D">
              <w:rPr>
                <w:rFonts w:ascii="Times New Roman" w:hAnsi="Times New Roman" w:cs="Times New Roman"/>
                <w:sz w:val="28"/>
                <w:szCs w:val="28"/>
              </w:rPr>
              <w:t xml:space="preserve"> 59 097 latu apmērā</w:t>
            </w:r>
            <w:r w:rsidR="00FC72BF">
              <w:rPr>
                <w:rFonts w:ascii="Times New Roman" w:hAnsi="Times New Roman" w:cs="Times New Roman"/>
                <w:sz w:val="28"/>
                <w:szCs w:val="28"/>
              </w:rPr>
              <w:t>.</w:t>
            </w:r>
            <w:r w:rsidR="00E34868">
              <w:rPr>
                <w:rFonts w:ascii="Times New Roman" w:hAnsi="Times New Roman" w:cs="Times New Roman"/>
                <w:sz w:val="28"/>
                <w:szCs w:val="28"/>
              </w:rPr>
              <w:t xml:space="preserve"> </w:t>
            </w:r>
            <w:r w:rsidR="007578E7" w:rsidRPr="00EA466D">
              <w:rPr>
                <w:rFonts w:ascii="Times New Roman" w:hAnsi="Times New Roman" w:cs="Times New Roman"/>
                <w:sz w:val="28"/>
                <w:szCs w:val="28"/>
              </w:rPr>
              <w:t>A</w:t>
            </w:r>
            <w:r w:rsidR="00FC72BF">
              <w:rPr>
                <w:rFonts w:ascii="Times New Roman" w:hAnsi="Times New Roman" w:cs="Times New Roman"/>
                <w:sz w:val="28"/>
                <w:szCs w:val="28"/>
              </w:rPr>
              <w:t>tbilstoši Ministru kabineta 2013</w:t>
            </w:r>
            <w:r w:rsidR="007578E7" w:rsidRPr="00EA466D">
              <w:rPr>
                <w:rFonts w:ascii="Times New Roman" w:hAnsi="Times New Roman" w:cs="Times New Roman"/>
                <w:sz w:val="28"/>
                <w:szCs w:val="28"/>
              </w:rPr>
              <w:t xml:space="preserve">.gada 20.augusta sēdes </w:t>
            </w:r>
            <w:proofErr w:type="spellStart"/>
            <w:r w:rsidR="007578E7" w:rsidRPr="00EA466D">
              <w:rPr>
                <w:rFonts w:ascii="Times New Roman" w:hAnsi="Times New Roman" w:cs="Times New Roman"/>
                <w:sz w:val="28"/>
                <w:szCs w:val="28"/>
              </w:rPr>
              <w:t>protokollēmuma</w:t>
            </w:r>
            <w:proofErr w:type="spellEnd"/>
            <w:r w:rsidR="007578E7" w:rsidRPr="00EA466D">
              <w:rPr>
                <w:rFonts w:ascii="Times New Roman" w:hAnsi="Times New Roman" w:cs="Times New Roman"/>
                <w:sz w:val="28"/>
                <w:szCs w:val="28"/>
              </w:rPr>
              <w:t xml:space="preserve"> (protokols Nr.45 97.§) 10.5.apakšpunktā noteiktajam </w:t>
            </w:r>
            <w:r w:rsidR="007578E7" w:rsidRPr="00EA466D">
              <w:rPr>
                <w:rFonts w:ascii="Times New Roman" w:hAnsi="Times New Roman" w:cs="Times New Roman"/>
                <w:bCs/>
                <w:sz w:val="28"/>
                <w:szCs w:val="28"/>
              </w:rPr>
              <w:t xml:space="preserve">atbalstīta finansējuma </w:t>
            </w:r>
            <w:r w:rsidR="007578E7" w:rsidRPr="00EA466D">
              <w:rPr>
                <w:rFonts w:ascii="Times New Roman" w:hAnsi="Times New Roman" w:cs="Times New Roman"/>
                <w:sz w:val="28"/>
                <w:szCs w:val="28"/>
              </w:rPr>
              <w:t>pārdale</w:t>
            </w:r>
            <w:r w:rsidR="009F7204">
              <w:rPr>
                <w:rFonts w:ascii="Times New Roman" w:hAnsi="Times New Roman" w:cs="Times New Roman"/>
                <w:sz w:val="28"/>
                <w:szCs w:val="28"/>
              </w:rPr>
              <w:t xml:space="preserve"> 4 817 998 latu apmērā</w:t>
            </w:r>
            <w:r w:rsidR="007578E7" w:rsidRPr="00EA466D">
              <w:rPr>
                <w:rFonts w:ascii="Times New Roman" w:hAnsi="Times New Roman" w:cs="Times New Roman"/>
                <w:sz w:val="28"/>
                <w:szCs w:val="28"/>
              </w:rPr>
              <w:t xml:space="preserve"> </w:t>
            </w:r>
            <w:r w:rsidR="009F7204" w:rsidRPr="00EA466D">
              <w:rPr>
                <w:rFonts w:ascii="Times New Roman" w:hAnsi="Times New Roman" w:cs="Times New Roman"/>
                <w:sz w:val="28"/>
                <w:szCs w:val="28"/>
              </w:rPr>
              <w:t xml:space="preserve">1.2.1.1.4.apakšaktivitātei  „Sākotnējās profesionālās izglītības pievilcības veicināšana”  (turpmāk - 1.2.1.1.4.apakšaktivitāte) </w:t>
            </w:r>
            <w:proofErr w:type="spellStart"/>
            <w:r w:rsidR="009F7204" w:rsidRPr="00EA466D">
              <w:rPr>
                <w:rFonts w:ascii="Times New Roman" w:hAnsi="Times New Roman" w:cs="Times New Roman"/>
                <w:sz w:val="28"/>
                <w:szCs w:val="28"/>
              </w:rPr>
              <w:t>mērķstipendiju</w:t>
            </w:r>
            <w:proofErr w:type="spellEnd"/>
            <w:r w:rsidR="009F7204" w:rsidRPr="00EA466D">
              <w:rPr>
                <w:rFonts w:ascii="Times New Roman" w:hAnsi="Times New Roman" w:cs="Times New Roman"/>
                <w:sz w:val="28"/>
                <w:szCs w:val="28"/>
              </w:rPr>
              <w:t xml:space="preserve"> izmaksas turp</w:t>
            </w:r>
            <w:r w:rsidR="009F7204">
              <w:rPr>
                <w:rFonts w:ascii="Times New Roman" w:hAnsi="Times New Roman" w:cs="Times New Roman"/>
                <w:sz w:val="28"/>
                <w:szCs w:val="28"/>
              </w:rPr>
              <w:t>ināšanai 2013./2014.mācību gadā.</w:t>
            </w:r>
            <w:r w:rsidR="009F7204" w:rsidRPr="00EA466D">
              <w:rPr>
                <w:rFonts w:ascii="Times New Roman" w:hAnsi="Times New Roman" w:cs="Times New Roman"/>
                <w:sz w:val="28"/>
                <w:szCs w:val="28"/>
              </w:rPr>
              <w:t xml:space="preserve"> </w:t>
            </w:r>
            <w:r w:rsidR="001C385C">
              <w:rPr>
                <w:rFonts w:ascii="Times New Roman" w:hAnsi="Times New Roman" w:cs="Times New Roman"/>
                <w:sz w:val="28"/>
                <w:szCs w:val="28"/>
              </w:rPr>
              <w:t>Ņemot vērā, ka pārdalāmā</w:t>
            </w:r>
            <w:r w:rsidR="00E34868">
              <w:rPr>
                <w:rFonts w:ascii="Times New Roman" w:hAnsi="Times New Roman" w:cs="Times New Roman"/>
                <w:sz w:val="28"/>
                <w:szCs w:val="28"/>
              </w:rPr>
              <w:t xml:space="preserve"> finansējuma apmēru</w:t>
            </w:r>
            <w:r w:rsidR="009F7204">
              <w:rPr>
                <w:rFonts w:ascii="Times New Roman" w:hAnsi="Times New Roman" w:cs="Times New Roman"/>
                <w:sz w:val="28"/>
                <w:szCs w:val="28"/>
              </w:rPr>
              <w:t xml:space="preserve"> </w:t>
            </w:r>
            <w:r w:rsidR="00E34868">
              <w:rPr>
                <w:rFonts w:ascii="Times New Roman" w:hAnsi="Times New Roman" w:cs="Times New Roman"/>
                <w:sz w:val="28"/>
                <w:szCs w:val="28"/>
              </w:rPr>
              <w:t>veido</w:t>
            </w:r>
            <w:r w:rsidR="009F7204">
              <w:rPr>
                <w:rFonts w:ascii="Times New Roman" w:hAnsi="Times New Roman" w:cs="Times New Roman"/>
                <w:sz w:val="28"/>
                <w:szCs w:val="28"/>
              </w:rPr>
              <w:t xml:space="preserve">  </w:t>
            </w:r>
            <w:r w:rsidR="007578E7" w:rsidRPr="00EA466D">
              <w:rPr>
                <w:rFonts w:ascii="Times New Roman" w:hAnsi="Times New Roman" w:cs="Times New Roman"/>
                <w:sz w:val="28"/>
                <w:szCs w:val="28"/>
              </w:rPr>
              <w:t xml:space="preserve">Izglītības un zinātnes ministrijas </w:t>
            </w:r>
            <w:proofErr w:type="spellStart"/>
            <w:r w:rsidR="007578E7" w:rsidRPr="00EA466D">
              <w:rPr>
                <w:rFonts w:ascii="Times New Roman" w:hAnsi="Times New Roman" w:cs="Times New Roman"/>
                <w:sz w:val="28"/>
                <w:szCs w:val="28"/>
              </w:rPr>
              <w:t>pārziņā</w:t>
            </w:r>
            <w:proofErr w:type="spellEnd"/>
            <w:r w:rsidR="007578E7" w:rsidRPr="00EA466D">
              <w:rPr>
                <w:rFonts w:ascii="Times New Roman" w:hAnsi="Times New Roman" w:cs="Times New Roman"/>
                <w:sz w:val="28"/>
                <w:szCs w:val="28"/>
              </w:rPr>
              <w:t xml:space="preserve"> esošo Eiropas Savienības struktūrfondu </w:t>
            </w:r>
            <w:r w:rsidR="00E34868">
              <w:rPr>
                <w:rFonts w:ascii="Times New Roman" w:hAnsi="Times New Roman" w:cs="Times New Roman"/>
                <w:sz w:val="28"/>
                <w:szCs w:val="28"/>
              </w:rPr>
              <w:t>aktivitāšu</w:t>
            </w:r>
            <w:r w:rsidR="001C385C">
              <w:rPr>
                <w:rFonts w:ascii="Times New Roman" w:hAnsi="Times New Roman" w:cs="Times New Roman"/>
                <w:sz w:val="28"/>
                <w:szCs w:val="28"/>
              </w:rPr>
              <w:t>,</w:t>
            </w:r>
            <w:r w:rsidR="00E34868">
              <w:rPr>
                <w:rFonts w:ascii="Times New Roman" w:hAnsi="Times New Roman" w:cs="Times New Roman"/>
                <w:sz w:val="28"/>
                <w:szCs w:val="28"/>
              </w:rPr>
              <w:t xml:space="preserve"> </w:t>
            </w:r>
            <w:r w:rsidR="001C385C">
              <w:rPr>
                <w:rFonts w:ascii="Times New Roman" w:hAnsi="Times New Roman" w:cs="Times New Roman"/>
                <w:sz w:val="28"/>
                <w:szCs w:val="28"/>
              </w:rPr>
              <w:t xml:space="preserve">tai skaitā 1.2.1.1.2.apakšaktivitātes, </w:t>
            </w:r>
            <w:r w:rsidR="00E34868">
              <w:rPr>
                <w:rFonts w:ascii="Times New Roman" w:hAnsi="Times New Roman" w:cs="Times New Roman"/>
                <w:sz w:val="28"/>
                <w:szCs w:val="28"/>
              </w:rPr>
              <w:t>ietvaros pieejamais brīvais finansējums</w:t>
            </w:r>
            <w:r w:rsidR="00FC72BF">
              <w:rPr>
                <w:rFonts w:ascii="Times New Roman" w:hAnsi="Times New Roman" w:cs="Times New Roman"/>
                <w:sz w:val="28"/>
                <w:szCs w:val="28"/>
              </w:rPr>
              <w:t xml:space="preserve">, </w:t>
            </w:r>
            <w:r w:rsidR="007578E7" w:rsidRPr="00EA466D">
              <w:rPr>
                <w:rFonts w:ascii="Times New Roman" w:hAnsi="Times New Roman" w:cs="Times New Roman"/>
                <w:sz w:val="28"/>
                <w:szCs w:val="28"/>
              </w:rPr>
              <w:t xml:space="preserve">noteikumos Nr.151 nepieciešams aktualizēt 1.2.1.1.2.apakšaktivitātei pieejamā kopējā publiskā finansējuma, ESF finansējuma un nacionālā publiskā </w:t>
            </w:r>
            <w:r w:rsidR="007578E7" w:rsidRPr="00EA466D">
              <w:rPr>
                <w:rFonts w:ascii="Times New Roman" w:hAnsi="Times New Roman" w:cs="Times New Roman"/>
                <w:sz w:val="28"/>
                <w:szCs w:val="28"/>
              </w:rPr>
              <w:lastRenderedPageBreak/>
              <w:t xml:space="preserve">finansējuma apmēru. </w:t>
            </w:r>
          </w:p>
        </w:tc>
      </w:tr>
      <w:tr w:rsidR="00EA466D" w:rsidRPr="00EA466D" w:rsidTr="001B3AAB">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EA466D" w:rsidRPr="00EA466D" w:rsidRDefault="00EA466D" w:rsidP="00EA466D">
            <w:pPr>
              <w:spacing w:after="0" w:line="240" w:lineRule="auto"/>
              <w:ind w:hanging="5"/>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lastRenderedPageBreak/>
              <w:t>3.</w:t>
            </w:r>
          </w:p>
        </w:tc>
        <w:tc>
          <w:tcPr>
            <w:tcW w:w="983" w:type="pct"/>
            <w:tcBorders>
              <w:top w:val="outset" w:sz="6" w:space="0" w:color="auto"/>
              <w:left w:val="outset" w:sz="6" w:space="0" w:color="auto"/>
              <w:bottom w:val="outset" w:sz="6" w:space="0" w:color="auto"/>
              <w:right w:val="outset" w:sz="6" w:space="0" w:color="auto"/>
            </w:tcBorders>
            <w:hideMark/>
          </w:tcPr>
          <w:p w:rsidR="00EA466D" w:rsidRPr="00EA466D" w:rsidRDefault="00EA466D" w:rsidP="003E6FE6">
            <w:pPr>
              <w:spacing w:after="0" w:line="240" w:lineRule="auto"/>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Saistītie politikas ietekmes novērtējumi un pētījumi</w:t>
            </w:r>
          </w:p>
        </w:tc>
        <w:tc>
          <w:tcPr>
            <w:tcW w:w="3707" w:type="pct"/>
            <w:tcBorders>
              <w:top w:val="outset" w:sz="6" w:space="0" w:color="auto"/>
              <w:left w:val="outset" w:sz="6" w:space="0" w:color="auto"/>
              <w:bottom w:val="outset" w:sz="6" w:space="0" w:color="auto"/>
              <w:right w:val="outset" w:sz="6" w:space="0" w:color="auto"/>
            </w:tcBorders>
            <w:hideMark/>
          </w:tcPr>
          <w:p w:rsidR="00EA466D" w:rsidRPr="00EA466D" w:rsidRDefault="00EA466D" w:rsidP="00EA466D">
            <w:pPr>
              <w:spacing w:after="0" w:line="240" w:lineRule="auto"/>
              <w:jc w:val="both"/>
              <w:rPr>
                <w:rFonts w:ascii="Times New Roman" w:eastAsia="Times New Roman" w:hAnsi="Times New Roman" w:cs="Times New Roman"/>
                <w:sz w:val="28"/>
                <w:szCs w:val="28"/>
                <w:lang w:eastAsia="lv-LV"/>
              </w:rPr>
            </w:pPr>
            <w:r w:rsidRPr="00EA466D">
              <w:rPr>
                <w:rFonts w:ascii="Times New Roman" w:hAnsi="Times New Roman" w:cs="Times New Roman"/>
                <w:sz w:val="28"/>
                <w:szCs w:val="28"/>
              </w:rPr>
              <w:t>Noteikumu projekts šo jomu neskar.</w:t>
            </w:r>
          </w:p>
        </w:tc>
      </w:tr>
      <w:tr w:rsidR="00EA466D" w:rsidRPr="00EA466D" w:rsidTr="001B3AAB">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EA466D" w:rsidRPr="00EA466D" w:rsidRDefault="00EA466D" w:rsidP="00EA466D">
            <w:pPr>
              <w:spacing w:after="0" w:line="240" w:lineRule="auto"/>
              <w:ind w:hanging="5"/>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4.</w:t>
            </w:r>
          </w:p>
        </w:tc>
        <w:tc>
          <w:tcPr>
            <w:tcW w:w="983" w:type="pct"/>
            <w:tcBorders>
              <w:top w:val="outset" w:sz="6" w:space="0" w:color="auto"/>
              <w:left w:val="outset" w:sz="6" w:space="0" w:color="auto"/>
              <w:bottom w:val="outset" w:sz="6" w:space="0" w:color="auto"/>
              <w:right w:val="outset" w:sz="6" w:space="0" w:color="auto"/>
            </w:tcBorders>
            <w:hideMark/>
          </w:tcPr>
          <w:p w:rsidR="00EA466D" w:rsidRPr="00EA466D" w:rsidRDefault="00EA466D" w:rsidP="00EA466D">
            <w:pPr>
              <w:spacing w:after="0" w:line="240" w:lineRule="auto"/>
              <w:jc w:val="both"/>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Tiesiskā regulējuma mērķis un būtība</w:t>
            </w:r>
          </w:p>
        </w:tc>
        <w:tc>
          <w:tcPr>
            <w:tcW w:w="3707" w:type="pct"/>
            <w:tcBorders>
              <w:top w:val="outset" w:sz="6" w:space="0" w:color="auto"/>
              <w:left w:val="outset" w:sz="6" w:space="0" w:color="auto"/>
              <w:bottom w:val="outset" w:sz="6" w:space="0" w:color="auto"/>
              <w:right w:val="outset" w:sz="6" w:space="0" w:color="auto"/>
            </w:tcBorders>
            <w:hideMark/>
          </w:tcPr>
          <w:p w:rsidR="00EA466D" w:rsidRPr="00EA466D" w:rsidRDefault="00EA466D" w:rsidP="00EA466D">
            <w:pPr>
              <w:spacing w:after="0" w:line="240" w:lineRule="auto"/>
              <w:jc w:val="both"/>
              <w:rPr>
                <w:rFonts w:ascii="Times New Roman" w:eastAsia="Times New Roman" w:hAnsi="Times New Roman" w:cs="Times New Roman"/>
                <w:sz w:val="28"/>
                <w:szCs w:val="28"/>
                <w:lang w:eastAsia="lv-LV"/>
              </w:rPr>
            </w:pPr>
            <w:r w:rsidRPr="00EA466D">
              <w:rPr>
                <w:rFonts w:ascii="Times New Roman" w:hAnsi="Times New Roman" w:cs="Times New Roman"/>
                <w:sz w:val="28"/>
                <w:szCs w:val="28"/>
              </w:rPr>
              <w:t>Noteikumu projekts paredz precizēt 1.2.1.1.2.apakšaktivitātei pieejamā finansējuma apmēru, samazinot kopējo publisko finansējumu par 393 977 latiem no 6 38</w:t>
            </w:r>
            <w:r w:rsidR="002862A0">
              <w:rPr>
                <w:rFonts w:ascii="Times New Roman" w:hAnsi="Times New Roman" w:cs="Times New Roman"/>
                <w:sz w:val="28"/>
                <w:szCs w:val="28"/>
              </w:rPr>
              <w:t>2 398 latiem uz 5 988 421 latu</w:t>
            </w:r>
            <w:r w:rsidRPr="00EA466D">
              <w:rPr>
                <w:rFonts w:ascii="Times New Roman" w:hAnsi="Times New Roman" w:cs="Times New Roman"/>
                <w:sz w:val="28"/>
                <w:szCs w:val="28"/>
              </w:rPr>
              <w:t>, ko veido ESF finansējums 5 090 154  latu apmērā un nacionālais publiskais finansējums 898 267 latu apmērā.</w:t>
            </w:r>
          </w:p>
        </w:tc>
      </w:tr>
      <w:tr w:rsidR="00EA466D" w:rsidRPr="00EA466D" w:rsidTr="001B3AAB">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EA466D" w:rsidRPr="00EA466D" w:rsidRDefault="00EA466D" w:rsidP="00EA466D">
            <w:pPr>
              <w:spacing w:after="0" w:line="240" w:lineRule="auto"/>
              <w:ind w:hanging="5"/>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5.</w:t>
            </w:r>
          </w:p>
        </w:tc>
        <w:tc>
          <w:tcPr>
            <w:tcW w:w="983" w:type="pct"/>
            <w:tcBorders>
              <w:top w:val="outset" w:sz="6" w:space="0" w:color="auto"/>
              <w:left w:val="outset" w:sz="6" w:space="0" w:color="auto"/>
              <w:bottom w:val="outset" w:sz="6" w:space="0" w:color="auto"/>
              <w:right w:val="outset" w:sz="6" w:space="0" w:color="auto"/>
            </w:tcBorders>
            <w:hideMark/>
          </w:tcPr>
          <w:p w:rsidR="00EA466D" w:rsidRPr="00EA466D" w:rsidRDefault="00EA466D" w:rsidP="00EA466D">
            <w:pPr>
              <w:spacing w:after="0" w:line="240" w:lineRule="auto"/>
              <w:jc w:val="both"/>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Projekta izstrādē iesaistītās institūcijas</w:t>
            </w:r>
          </w:p>
        </w:tc>
        <w:tc>
          <w:tcPr>
            <w:tcW w:w="3707" w:type="pct"/>
            <w:tcBorders>
              <w:top w:val="outset" w:sz="6" w:space="0" w:color="auto"/>
              <w:left w:val="outset" w:sz="6" w:space="0" w:color="auto"/>
              <w:bottom w:val="outset" w:sz="6" w:space="0" w:color="auto"/>
              <w:right w:val="outset" w:sz="6" w:space="0" w:color="auto"/>
            </w:tcBorders>
            <w:hideMark/>
          </w:tcPr>
          <w:p w:rsidR="00EA466D" w:rsidRPr="00EA466D" w:rsidRDefault="00EA466D" w:rsidP="00EA466D">
            <w:pPr>
              <w:spacing w:after="0" w:line="240" w:lineRule="auto"/>
              <w:jc w:val="both"/>
              <w:rPr>
                <w:rFonts w:ascii="Times New Roman" w:eastAsia="Times New Roman" w:hAnsi="Times New Roman" w:cs="Times New Roman"/>
                <w:sz w:val="28"/>
                <w:szCs w:val="28"/>
                <w:lang w:eastAsia="lv-LV"/>
              </w:rPr>
            </w:pPr>
            <w:r w:rsidRPr="00EA466D">
              <w:rPr>
                <w:rFonts w:ascii="Times New Roman" w:hAnsi="Times New Roman" w:cs="Times New Roman"/>
                <w:sz w:val="28"/>
                <w:szCs w:val="28"/>
              </w:rPr>
              <w:t>IZM.</w:t>
            </w:r>
          </w:p>
        </w:tc>
      </w:tr>
      <w:tr w:rsidR="00EA466D" w:rsidRPr="00EA466D" w:rsidTr="001B3AAB">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EA466D" w:rsidRPr="00EA466D" w:rsidRDefault="00EA466D" w:rsidP="00EA466D">
            <w:pPr>
              <w:spacing w:after="0" w:line="240" w:lineRule="auto"/>
              <w:ind w:hanging="5"/>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6.</w:t>
            </w:r>
          </w:p>
        </w:tc>
        <w:tc>
          <w:tcPr>
            <w:tcW w:w="983" w:type="pct"/>
            <w:tcBorders>
              <w:top w:val="outset" w:sz="6" w:space="0" w:color="auto"/>
              <w:left w:val="outset" w:sz="6" w:space="0" w:color="auto"/>
              <w:bottom w:val="outset" w:sz="6" w:space="0" w:color="auto"/>
              <w:right w:val="outset" w:sz="6" w:space="0" w:color="auto"/>
            </w:tcBorders>
            <w:hideMark/>
          </w:tcPr>
          <w:p w:rsidR="00EA466D" w:rsidRPr="00EA466D" w:rsidRDefault="00EA466D" w:rsidP="00EA466D">
            <w:pPr>
              <w:spacing w:after="0" w:line="240" w:lineRule="auto"/>
              <w:jc w:val="both"/>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Iemesli, kādēļ netika nodrošināta sabiedrības līdzdalība</w:t>
            </w:r>
          </w:p>
        </w:tc>
        <w:tc>
          <w:tcPr>
            <w:tcW w:w="3707" w:type="pct"/>
            <w:tcBorders>
              <w:top w:val="outset" w:sz="6" w:space="0" w:color="auto"/>
              <w:left w:val="outset" w:sz="6" w:space="0" w:color="auto"/>
              <w:bottom w:val="outset" w:sz="6" w:space="0" w:color="auto"/>
              <w:right w:val="outset" w:sz="6" w:space="0" w:color="auto"/>
            </w:tcBorders>
            <w:hideMark/>
          </w:tcPr>
          <w:p w:rsidR="00EA466D" w:rsidRPr="00EA466D" w:rsidRDefault="00EA466D" w:rsidP="00EA466D">
            <w:pPr>
              <w:spacing w:after="0" w:line="240" w:lineRule="auto"/>
              <w:jc w:val="both"/>
              <w:rPr>
                <w:rFonts w:ascii="Times New Roman" w:eastAsia="Times New Roman" w:hAnsi="Times New Roman" w:cs="Times New Roman"/>
                <w:sz w:val="28"/>
                <w:szCs w:val="28"/>
                <w:lang w:eastAsia="lv-LV"/>
              </w:rPr>
            </w:pPr>
            <w:r w:rsidRPr="00EA466D">
              <w:rPr>
                <w:rFonts w:ascii="Times New Roman" w:hAnsi="Times New Roman" w:cs="Times New Roman"/>
                <w:sz w:val="28"/>
                <w:szCs w:val="28"/>
              </w:rPr>
              <w:t>Noteikumu projekts neierobežo sabiedrības pārstāvju tiesības.</w:t>
            </w:r>
          </w:p>
        </w:tc>
      </w:tr>
      <w:tr w:rsidR="00EA466D" w:rsidRPr="00EA466D" w:rsidTr="001B3AAB">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EA466D" w:rsidRPr="00EA466D" w:rsidRDefault="00EA466D" w:rsidP="00EA466D">
            <w:pPr>
              <w:spacing w:after="0" w:line="240" w:lineRule="auto"/>
              <w:ind w:hanging="5"/>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7.</w:t>
            </w:r>
          </w:p>
        </w:tc>
        <w:tc>
          <w:tcPr>
            <w:tcW w:w="983" w:type="pct"/>
            <w:tcBorders>
              <w:top w:val="outset" w:sz="6" w:space="0" w:color="auto"/>
              <w:left w:val="outset" w:sz="6" w:space="0" w:color="auto"/>
              <w:bottom w:val="outset" w:sz="6" w:space="0" w:color="auto"/>
              <w:right w:val="outset" w:sz="6" w:space="0" w:color="auto"/>
            </w:tcBorders>
            <w:hideMark/>
          </w:tcPr>
          <w:p w:rsidR="00EA466D" w:rsidRPr="00EA466D" w:rsidRDefault="00EA466D" w:rsidP="00EA466D">
            <w:pPr>
              <w:spacing w:after="0" w:line="240" w:lineRule="auto"/>
              <w:jc w:val="both"/>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Cita informācija</w:t>
            </w:r>
          </w:p>
        </w:tc>
        <w:tc>
          <w:tcPr>
            <w:tcW w:w="3707" w:type="pct"/>
            <w:tcBorders>
              <w:top w:val="outset" w:sz="6" w:space="0" w:color="auto"/>
              <w:left w:val="outset" w:sz="6" w:space="0" w:color="auto"/>
              <w:bottom w:val="outset" w:sz="6" w:space="0" w:color="auto"/>
              <w:right w:val="outset" w:sz="6" w:space="0" w:color="auto"/>
            </w:tcBorders>
            <w:hideMark/>
          </w:tcPr>
          <w:p w:rsidR="00EA466D" w:rsidRPr="00EA466D" w:rsidRDefault="00EA466D" w:rsidP="00EA466D">
            <w:pPr>
              <w:spacing w:after="0" w:line="240" w:lineRule="auto"/>
              <w:jc w:val="both"/>
              <w:rPr>
                <w:rFonts w:ascii="Times New Roman" w:eastAsia="Times New Roman" w:hAnsi="Times New Roman" w:cs="Times New Roman"/>
                <w:sz w:val="28"/>
                <w:szCs w:val="28"/>
                <w:lang w:eastAsia="lv-LV"/>
              </w:rPr>
            </w:pPr>
            <w:r w:rsidRPr="00EA466D">
              <w:rPr>
                <w:rFonts w:ascii="Times New Roman" w:hAnsi="Times New Roman" w:cs="Times New Roman"/>
                <w:sz w:val="28"/>
                <w:szCs w:val="28"/>
              </w:rPr>
              <w:t>Nav.</w:t>
            </w:r>
          </w:p>
        </w:tc>
      </w:tr>
    </w:tbl>
    <w:p w:rsidR="00EA466D" w:rsidRPr="00EA466D" w:rsidRDefault="00EA466D" w:rsidP="00EA466D">
      <w:pPr>
        <w:spacing w:after="0" w:line="240" w:lineRule="auto"/>
        <w:rPr>
          <w:rFonts w:ascii="Times New Roman" w:eastAsia="Times New Roman" w:hAnsi="Times New Roman" w:cs="Times New Roman"/>
          <w:vanish/>
          <w:sz w:val="28"/>
          <w:szCs w:val="28"/>
          <w:lang w:eastAsia="lv-LV"/>
        </w:rPr>
      </w:pPr>
    </w:p>
    <w:tbl>
      <w:tblPr>
        <w:tblW w:w="499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93"/>
        <w:gridCol w:w="2358"/>
        <w:gridCol w:w="6347"/>
      </w:tblGrid>
      <w:tr w:rsidR="00EA466D" w:rsidRPr="00EA466D" w:rsidTr="000D5E6C">
        <w:trPr>
          <w:tblCellSpacing w:w="15" w:type="dxa"/>
        </w:trPr>
        <w:tc>
          <w:tcPr>
            <w:tcW w:w="4967" w:type="pct"/>
            <w:gridSpan w:val="3"/>
            <w:tcBorders>
              <w:top w:val="single" w:sz="4" w:space="0" w:color="auto"/>
              <w:left w:val="single" w:sz="4" w:space="0" w:color="auto"/>
              <w:bottom w:val="outset" w:sz="6" w:space="0" w:color="auto"/>
              <w:right w:val="single" w:sz="4" w:space="0" w:color="auto"/>
            </w:tcBorders>
            <w:vAlign w:val="center"/>
            <w:hideMark/>
          </w:tcPr>
          <w:p w:rsidR="00EA466D" w:rsidRPr="00EA466D" w:rsidRDefault="00EA466D" w:rsidP="00EA466D">
            <w:pPr>
              <w:spacing w:after="0" w:line="240" w:lineRule="auto"/>
              <w:ind w:firstLine="250"/>
              <w:jc w:val="center"/>
              <w:rPr>
                <w:rFonts w:ascii="Times New Roman" w:eastAsia="Times New Roman" w:hAnsi="Times New Roman" w:cs="Times New Roman"/>
                <w:b/>
                <w:bCs/>
                <w:sz w:val="28"/>
                <w:szCs w:val="28"/>
                <w:lang w:eastAsia="lv-LV"/>
              </w:rPr>
            </w:pPr>
            <w:r w:rsidRPr="00EA466D">
              <w:rPr>
                <w:rFonts w:ascii="Times New Roman" w:eastAsia="Times New Roman" w:hAnsi="Times New Roman" w:cs="Times New Roman"/>
                <w:b/>
                <w:bCs/>
                <w:sz w:val="28"/>
                <w:szCs w:val="28"/>
                <w:lang w:eastAsia="lv-LV"/>
              </w:rPr>
              <w:t>II. Tiesību akta projekta ietekme uz sabiedrību</w:t>
            </w:r>
          </w:p>
        </w:tc>
      </w:tr>
      <w:tr w:rsidR="00EA466D" w:rsidRPr="00EA466D" w:rsidTr="001B3AAB">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EA466D" w:rsidRPr="00EA466D" w:rsidRDefault="00EA466D" w:rsidP="00EA466D">
            <w:pPr>
              <w:spacing w:after="0" w:line="240" w:lineRule="auto"/>
              <w:ind w:hanging="5"/>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1.</w:t>
            </w:r>
          </w:p>
        </w:tc>
        <w:tc>
          <w:tcPr>
            <w:tcW w:w="1274" w:type="pct"/>
            <w:tcBorders>
              <w:top w:val="outset" w:sz="6" w:space="0" w:color="auto"/>
              <w:left w:val="outset" w:sz="6" w:space="0" w:color="auto"/>
              <w:bottom w:val="outset" w:sz="6" w:space="0" w:color="auto"/>
              <w:right w:val="outset" w:sz="6" w:space="0" w:color="auto"/>
            </w:tcBorders>
            <w:hideMark/>
          </w:tcPr>
          <w:p w:rsidR="00EA466D" w:rsidRPr="00EA466D" w:rsidRDefault="00EA466D" w:rsidP="00EA466D">
            <w:pPr>
              <w:spacing w:after="0" w:line="240" w:lineRule="auto"/>
              <w:jc w:val="both"/>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Sabiedrības mērķgrupa</w:t>
            </w:r>
          </w:p>
        </w:tc>
        <w:tc>
          <w:tcPr>
            <w:tcW w:w="3416" w:type="pct"/>
            <w:tcBorders>
              <w:top w:val="outset" w:sz="6" w:space="0" w:color="auto"/>
              <w:left w:val="outset" w:sz="6" w:space="0" w:color="auto"/>
              <w:bottom w:val="outset" w:sz="6" w:space="0" w:color="auto"/>
              <w:right w:val="outset" w:sz="6" w:space="0" w:color="auto"/>
            </w:tcBorders>
            <w:hideMark/>
          </w:tcPr>
          <w:p w:rsidR="00EA466D" w:rsidRPr="00EA466D" w:rsidRDefault="00EA466D" w:rsidP="00EA466D">
            <w:pPr>
              <w:spacing w:after="0" w:line="240" w:lineRule="auto"/>
              <w:jc w:val="both"/>
              <w:rPr>
                <w:rFonts w:ascii="Times New Roman" w:eastAsia="Times New Roman" w:hAnsi="Times New Roman" w:cs="Times New Roman"/>
                <w:sz w:val="28"/>
                <w:szCs w:val="28"/>
                <w:lang w:eastAsia="lv-LV"/>
              </w:rPr>
            </w:pPr>
            <w:r w:rsidRPr="00EA466D">
              <w:rPr>
                <w:rFonts w:ascii="Times New Roman" w:hAnsi="Times New Roman" w:cs="Times New Roman"/>
                <w:sz w:val="28"/>
                <w:szCs w:val="28"/>
              </w:rPr>
              <w:t>Profesionālās</w:t>
            </w:r>
            <w:r w:rsidRPr="00EA466D">
              <w:rPr>
                <w:rFonts w:ascii="Times New Roman" w:hAnsi="Times New Roman" w:cs="Times New Roman"/>
                <w:bCs/>
                <w:sz w:val="28"/>
                <w:szCs w:val="28"/>
              </w:rPr>
              <w:t xml:space="preserve"> </w:t>
            </w:r>
            <w:r w:rsidRPr="00EA466D">
              <w:rPr>
                <w:rFonts w:ascii="Times New Roman" w:hAnsi="Times New Roman" w:cs="Times New Roman"/>
                <w:sz w:val="28"/>
                <w:szCs w:val="28"/>
              </w:rPr>
              <w:t xml:space="preserve">izglītības iestāžu izglītojamie, kuri saņem ESF atbalstu </w:t>
            </w:r>
            <w:proofErr w:type="spellStart"/>
            <w:r w:rsidRPr="00EA466D">
              <w:rPr>
                <w:rFonts w:ascii="Times New Roman" w:hAnsi="Times New Roman" w:cs="Times New Roman"/>
                <w:sz w:val="28"/>
                <w:szCs w:val="28"/>
              </w:rPr>
              <w:t>mērķstipendijas</w:t>
            </w:r>
            <w:proofErr w:type="spellEnd"/>
            <w:r w:rsidRPr="00EA466D">
              <w:rPr>
                <w:rFonts w:ascii="Times New Roman" w:hAnsi="Times New Roman" w:cs="Times New Roman"/>
                <w:sz w:val="28"/>
                <w:szCs w:val="28"/>
              </w:rPr>
              <w:t xml:space="preserve"> veidā 1.2.1.1.4.apakšaktivitātes ietvaros.</w:t>
            </w:r>
          </w:p>
        </w:tc>
      </w:tr>
      <w:tr w:rsidR="00EA466D" w:rsidRPr="00EA466D" w:rsidTr="001B3AAB">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EA466D" w:rsidRPr="00EA466D" w:rsidRDefault="00EA466D" w:rsidP="00EA466D">
            <w:pPr>
              <w:spacing w:after="0" w:line="240" w:lineRule="auto"/>
              <w:ind w:hanging="5"/>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2.</w:t>
            </w:r>
          </w:p>
        </w:tc>
        <w:tc>
          <w:tcPr>
            <w:tcW w:w="1274" w:type="pct"/>
            <w:tcBorders>
              <w:top w:val="outset" w:sz="6" w:space="0" w:color="auto"/>
              <w:left w:val="outset" w:sz="6" w:space="0" w:color="auto"/>
              <w:bottom w:val="outset" w:sz="6" w:space="0" w:color="auto"/>
              <w:right w:val="outset" w:sz="6" w:space="0" w:color="auto"/>
            </w:tcBorders>
            <w:hideMark/>
          </w:tcPr>
          <w:p w:rsidR="00EA466D" w:rsidRPr="00EA466D" w:rsidRDefault="00EA466D" w:rsidP="00EA466D">
            <w:pPr>
              <w:spacing w:after="0" w:line="240" w:lineRule="auto"/>
              <w:jc w:val="both"/>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Citas sabiedrības grupas (bez mērķgrupas), kuras tiesiskais regulējums arī ietekmē vai varētu ietekmēt</w:t>
            </w:r>
          </w:p>
        </w:tc>
        <w:tc>
          <w:tcPr>
            <w:tcW w:w="3416" w:type="pct"/>
            <w:tcBorders>
              <w:top w:val="outset" w:sz="6" w:space="0" w:color="auto"/>
              <w:left w:val="outset" w:sz="6" w:space="0" w:color="auto"/>
              <w:bottom w:val="outset" w:sz="6" w:space="0" w:color="auto"/>
              <w:right w:val="outset" w:sz="6" w:space="0" w:color="auto"/>
            </w:tcBorders>
            <w:hideMark/>
          </w:tcPr>
          <w:p w:rsidR="00EA466D" w:rsidRPr="00EA466D" w:rsidRDefault="00EA466D" w:rsidP="00EA466D">
            <w:pPr>
              <w:spacing w:after="0" w:line="240" w:lineRule="auto"/>
              <w:ind w:hanging="52"/>
              <w:jc w:val="both"/>
              <w:rPr>
                <w:rFonts w:ascii="Times New Roman" w:eastAsia="Times New Roman" w:hAnsi="Times New Roman" w:cs="Times New Roman"/>
                <w:sz w:val="28"/>
                <w:szCs w:val="28"/>
                <w:lang w:eastAsia="lv-LV"/>
              </w:rPr>
            </w:pPr>
            <w:r w:rsidRPr="00EA466D">
              <w:rPr>
                <w:rFonts w:ascii="Times New Roman" w:hAnsi="Times New Roman" w:cs="Times New Roman"/>
                <w:sz w:val="28"/>
                <w:szCs w:val="28"/>
              </w:rPr>
              <w:t>Noteikumu projekts šo jomu neskar.</w:t>
            </w:r>
          </w:p>
        </w:tc>
      </w:tr>
      <w:tr w:rsidR="00EA466D" w:rsidRPr="00EA466D" w:rsidTr="001B3AAB">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EA466D" w:rsidRPr="00EA466D" w:rsidRDefault="00EA466D" w:rsidP="00EA466D">
            <w:pPr>
              <w:spacing w:after="0" w:line="240" w:lineRule="auto"/>
              <w:ind w:hanging="5"/>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3.</w:t>
            </w:r>
          </w:p>
        </w:tc>
        <w:tc>
          <w:tcPr>
            <w:tcW w:w="1274" w:type="pct"/>
            <w:tcBorders>
              <w:top w:val="outset" w:sz="6" w:space="0" w:color="auto"/>
              <w:left w:val="outset" w:sz="6" w:space="0" w:color="auto"/>
              <w:bottom w:val="outset" w:sz="6" w:space="0" w:color="auto"/>
              <w:right w:val="outset" w:sz="6" w:space="0" w:color="auto"/>
            </w:tcBorders>
            <w:hideMark/>
          </w:tcPr>
          <w:p w:rsidR="00EA466D" w:rsidRPr="00EA466D" w:rsidRDefault="00EA466D" w:rsidP="00EA466D">
            <w:pPr>
              <w:spacing w:after="0" w:line="240" w:lineRule="auto"/>
              <w:jc w:val="both"/>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Tiesiskā regulējuma finansiālā ietekme</w:t>
            </w:r>
          </w:p>
        </w:tc>
        <w:tc>
          <w:tcPr>
            <w:tcW w:w="3416" w:type="pct"/>
            <w:tcBorders>
              <w:top w:val="outset" w:sz="6" w:space="0" w:color="auto"/>
              <w:left w:val="outset" w:sz="6" w:space="0" w:color="auto"/>
              <w:bottom w:val="outset" w:sz="6" w:space="0" w:color="auto"/>
              <w:right w:val="outset" w:sz="6" w:space="0" w:color="auto"/>
            </w:tcBorders>
            <w:hideMark/>
          </w:tcPr>
          <w:p w:rsidR="00EA466D" w:rsidRPr="00EA466D" w:rsidRDefault="00EA466D" w:rsidP="00EA466D">
            <w:pPr>
              <w:spacing w:after="0" w:line="240" w:lineRule="auto"/>
              <w:jc w:val="both"/>
              <w:rPr>
                <w:rFonts w:ascii="Times New Roman" w:eastAsia="Times New Roman" w:hAnsi="Times New Roman" w:cs="Times New Roman"/>
                <w:sz w:val="28"/>
                <w:szCs w:val="28"/>
                <w:lang w:eastAsia="lv-LV"/>
              </w:rPr>
            </w:pPr>
            <w:r w:rsidRPr="00EA466D">
              <w:rPr>
                <w:rFonts w:ascii="Times New Roman" w:hAnsi="Times New Roman" w:cs="Times New Roman"/>
                <w:sz w:val="28"/>
                <w:szCs w:val="28"/>
              </w:rPr>
              <w:t>Noteikumu projektam ir pozitīva ietekme, ievērojot to, ka profesionālās</w:t>
            </w:r>
            <w:r w:rsidRPr="00EA466D">
              <w:rPr>
                <w:rFonts w:ascii="Times New Roman" w:hAnsi="Times New Roman" w:cs="Times New Roman"/>
                <w:bCs/>
                <w:sz w:val="28"/>
                <w:szCs w:val="28"/>
              </w:rPr>
              <w:t xml:space="preserve"> </w:t>
            </w:r>
            <w:r w:rsidRPr="00EA466D">
              <w:rPr>
                <w:rFonts w:ascii="Times New Roman" w:hAnsi="Times New Roman" w:cs="Times New Roman"/>
                <w:sz w:val="28"/>
                <w:szCs w:val="28"/>
              </w:rPr>
              <w:t xml:space="preserve">izglītības iestāžu izglītojamajiem tiek nodrošināta iespēja saņemt ESF atbalstu </w:t>
            </w:r>
            <w:proofErr w:type="spellStart"/>
            <w:r w:rsidRPr="00EA466D">
              <w:rPr>
                <w:rFonts w:ascii="Times New Roman" w:hAnsi="Times New Roman" w:cs="Times New Roman"/>
                <w:sz w:val="28"/>
                <w:szCs w:val="28"/>
              </w:rPr>
              <w:t>mērķstipendijas</w:t>
            </w:r>
            <w:proofErr w:type="spellEnd"/>
            <w:r w:rsidRPr="00EA466D">
              <w:rPr>
                <w:rFonts w:ascii="Times New Roman" w:hAnsi="Times New Roman" w:cs="Times New Roman"/>
                <w:sz w:val="28"/>
                <w:szCs w:val="28"/>
              </w:rPr>
              <w:t xml:space="preserve"> veidā, tādējādi veicinot profesionālās izglītības pievilcību un sekmējot jauniešu iesaisti </w:t>
            </w:r>
            <w:r w:rsidRPr="00EA466D">
              <w:rPr>
                <w:rFonts w:ascii="Times New Roman" w:hAnsi="Times New Roman" w:cs="Times New Roman"/>
                <w:sz w:val="28"/>
                <w:szCs w:val="28"/>
              </w:rPr>
              <w:lastRenderedPageBreak/>
              <w:t>izglītības sistēmā kā rezultātā, izglītojamajiem saņemot profesionālo kvalifikāciju, tiek veicināta jauniešu konkurētspēja darba tirgū.</w:t>
            </w:r>
          </w:p>
        </w:tc>
      </w:tr>
      <w:tr w:rsidR="00EA466D" w:rsidRPr="00EA466D" w:rsidTr="001B3AAB">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EA466D" w:rsidRPr="00EA466D" w:rsidRDefault="00EA466D" w:rsidP="00EA466D">
            <w:pPr>
              <w:spacing w:after="0" w:line="240" w:lineRule="auto"/>
              <w:ind w:hanging="5"/>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lastRenderedPageBreak/>
              <w:t>4.</w:t>
            </w:r>
          </w:p>
        </w:tc>
        <w:tc>
          <w:tcPr>
            <w:tcW w:w="1274" w:type="pct"/>
            <w:tcBorders>
              <w:top w:val="outset" w:sz="6" w:space="0" w:color="auto"/>
              <w:left w:val="outset" w:sz="6" w:space="0" w:color="auto"/>
              <w:bottom w:val="outset" w:sz="6" w:space="0" w:color="auto"/>
              <w:right w:val="outset" w:sz="6" w:space="0" w:color="auto"/>
            </w:tcBorders>
            <w:hideMark/>
          </w:tcPr>
          <w:p w:rsidR="00EA466D" w:rsidRPr="00EA466D" w:rsidRDefault="00EA466D" w:rsidP="00EA466D">
            <w:pPr>
              <w:spacing w:after="0" w:line="240" w:lineRule="auto"/>
              <w:jc w:val="both"/>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Tiesiskā regulējuma nefinansiālā ietekme</w:t>
            </w:r>
          </w:p>
        </w:tc>
        <w:tc>
          <w:tcPr>
            <w:tcW w:w="3416" w:type="pct"/>
            <w:tcBorders>
              <w:top w:val="outset" w:sz="6" w:space="0" w:color="auto"/>
              <w:left w:val="outset" w:sz="6" w:space="0" w:color="auto"/>
              <w:bottom w:val="outset" w:sz="6" w:space="0" w:color="auto"/>
              <w:right w:val="outset" w:sz="6" w:space="0" w:color="auto"/>
            </w:tcBorders>
            <w:hideMark/>
          </w:tcPr>
          <w:p w:rsidR="00EA466D" w:rsidRPr="00EA466D" w:rsidRDefault="00EA466D" w:rsidP="00EA466D">
            <w:pPr>
              <w:spacing w:after="0" w:line="240" w:lineRule="auto"/>
              <w:ind w:firstLine="5"/>
              <w:jc w:val="both"/>
              <w:rPr>
                <w:rFonts w:ascii="Times New Roman" w:eastAsia="Times New Roman" w:hAnsi="Times New Roman" w:cs="Times New Roman"/>
                <w:sz w:val="28"/>
                <w:szCs w:val="28"/>
                <w:lang w:eastAsia="lv-LV"/>
              </w:rPr>
            </w:pPr>
            <w:r w:rsidRPr="00EA466D">
              <w:rPr>
                <w:rFonts w:ascii="Times New Roman" w:hAnsi="Times New Roman" w:cs="Times New Roman"/>
                <w:sz w:val="28"/>
                <w:szCs w:val="28"/>
              </w:rPr>
              <w:t>Noteikumu projekts šo jomu neskar.</w:t>
            </w:r>
          </w:p>
        </w:tc>
      </w:tr>
      <w:tr w:rsidR="00EA466D" w:rsidRPr="00EA466D" w:rsidTr="001B3AAB">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EA466D" w:rsidRPr="00EA466D" w:rsidRDefault="00EA466D" w:rsidP="00922B91">
            <w:pPr>
              <w:spacing w:after="0" w:line="240" w:lineRule="auto"/>
              <w:ind w:hanging="5"/>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5.</w:t>
            </w:r>
          </w:p>
        </w:tc>
        <w:tc>
          <w:tcPr>
            <w:tcW w:w="1274" w:type="pct"/>
            <w:tcBorders>
              <w:top w:val="outset" w:sz="6" w:space="0" w:color="auto"/>
              <w:left w:val="outset" w:sz="6" w:space="0" w:color="auto"/>
              <w:bottom w:val="outset" w:sz="6" w:space="0" w:color="auto"/>
              <w:right w:val="outset" w:sz="6" w:space="0" w:color="auto"/>
            </w:tcBorders>
            <w:hideMark/>
          </w:tcPr>
          <w:p w:rsidR="00EA466D" w:rsidRPr="00EA466D" w:rsidRDefault="00EA466D" w:rsidP="00922B91">
            <w:pPr>
              <w:spacing w:after="0" w:line="240" w:lineRule="auto"/>
              <w:jc w:val="both"/>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Administratīvās procedūras raksturojums</w:t>
            </w:r>
          </w:p>
        </w:tc>
        <w:tc>
          <w:tcPr>
            <w:tcW w:w="3416" w:type="pct"/>
            <w:tcBorders>
              <w:top w:val="outset" w:sz="6" w:space="0" w:color="auto"/>
              <w:left w:val="outset" w:sz="6" w:space="0" w:color="auto"/>
              <w:bottom w:val="outset" w:sz="6" w:space="0" w:color="auto"/>
              <w:right w:val="outset" w:sz="6" w:space="0" w:color="auto"/>
            </w:tcBorders>
            <w:hideMark/>
          </w:tcPr>
          <w:p w:rsidR="00EA466D" w:rsidRPr="00EA466D" w:rsidRDefault="00EA466D" w:rsidP="00922B91">
            <w:pPr>
              <w:spacing w:after="0" w:line="240" w:lineRule="auto"/>
              <w:ind w:firstLine="5"/>
              <w:jc w:val="both"/>
              <w:rPr>
                <w:rFonts w:ascii="Times New Roman" w:eastAsia="Times New Roman" w:hAnsi="Times New Roman" w:cs="Times New Roman"/>
                <w:sz w:val="28"/>
                <w:szCs w:val="28"/>
                <w:lang w:eastAsia="lv-LV"/>
              </w:rPr>
            </w:pPr>
            <w:r w:rsidRPr="00EA466D">
              <w:rPr>
                <w:rFonts w:ascii="Times New Roman" w:hAnsi="Times New Roman" w:cs="Times New Roman"/>
                <w:sz w:val="28"/>
                <w:szCs w:val="28"/>
              </w:rPr>
              <w:t>Noteikumu projekts šo jomu neskar.</w:t>
            </w:r>
          </w:p>
        </w:tc>
      </w:tr>
      <w:tr w:rsidR="00EA466D" w:rsidRPr="00EA466D" w:rsidTr="001B3AAB">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EA466D" w:rsidRPr="00EA466D" w:rsidRDefault="00EA466D" w:rsidP="00922B91">
            <w:pPr>
              <w:spacing w:after="0" w:line="240" w:lineRule="auto"/>
              <w:ind w:hanging="5"/>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6.</w:t>
            </w:r>
          </w:p>
        </w:tc>
        <w:tc>
          <w:tcPr>
            <w:tcW w:w="1274" w:type="pct"/>
            <w:tcBorders>
              <w:top w:val="outset" w:sz="6" w:space="0" w:color="auto"/>
              <w:left w:val="outset" w:sz="6" w:space="0" w:color="auto"/>
              <w:bottom w:val="outset" w:sz="6" w:space="0" w:color="auto"/>
              <w:right w:val="outset" w:sz="6" w:space="0" w:color="auto"/>
            </w:tcBorders>
            <w:hideMark/>
          </w:tcPr>
          <w:p w:rsidR="00EA466D" w:rsidRPr="00EA466D" w:rsidRDefault="00EA466D" w:rsidP="00922B91">
            <w:pPr>
              <w:spacing w:after="0" w:line="240" w:lineRule="auto"/>
              <w:jc w:val="both"/>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Administratīvo izmaksu monetārs novērtējums</w:t>
            </w:r>
          </w:p>
        </w:tc>
        <w:tc>
          <w:tcPr>
            <w:tcW w:w="3416" w:type="pct"/>
            <w:tcBorders>
              <w:top w:val="outset" w:sz="6" w:space="0" w:color="auto"/>
              <w:left w:val="outset" w:sz="6" w:space="0" w:color="auto"/>
              <w:bottom w:val="outset" w:sz="6" w:space="0" w:color="auto"/>
              <w:right w:val="outset" w:sz="6" w:space="0" w:color="auto"/>
            </w:tcBorders>
            <w:hideMark/>
          </w:tcPr>
          <w:p w:rsidR="00EA466D" w:rsidRPr="00EA466D" w:rsidRDefault="00EA466D" w:rsidP="00922B91">
            <w:pPr>
              <w:spacing w:after="0" w:line="240" w:lineRule="auto"/>
              <w:ind w:firstLine="5"/>
              <w:jc w:val="both"/>
              <w:rPr>
                <w:rFonts w:ascii="Times New Roman" w:eastAsia="Times New Roman" w:hAnsi="Times New Roman" w:cs="Times New Roman"/>
                <w:sz w:val="28"/>
                <w:szCs w:val="28"/>
                <w:lang w:eastAsia="lv-LV"/>
              </w:rPr>
            </w:pPr>
            <w:r w:rsidRPr="00EA466D">
              <w:rPr>
                <w:rFonts w:ascii="Times New Roman" w:hAnsi="Times New Roman" w:cs="Times New Roman"/>
                <w:sz w:val="28"/>
                <w:szCs w:val="28"/>
              </w:rPr>
              <w:t>Noteikumu projekts šo jomu neskar.</w:t>
            </w:r>
          </w:p>
        </w:tc>
      </w:tr>
      <w:tr w:rsidR="00EA466D" w:rsidRPr="00EA466D" w:rsidTr="001B3AAB">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EA466D" w:rsidRPr="00EA466D" w:rsidRDefault="00EA466D" w:rsidP="00922B91">
            <w:pPr>
              <w:spacing w:after="0" w:line="240" w:lineRule="auto"/>
              <w:ind w:hanging="5"/>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7.</w:t>
            </w:r>
          </w:p>
        </w:tc>
        <w:tc>
          <w:tcPr>
            <w:tcW w:w="1274" w:type="pct"/>
            <w:tcBorders>
              <w:top w:val="outset" w:sz="6" w:space="0" w:color="auto"/>
              <w:left w:val="outset" w:sz="6" w:space="0" w:color="auto"/>
              <w:bottom w:val="outset" w:sz="6" w:space="0" w:color="auto"/>
              <w:right w:val="outset" w:sz="6" w:space="0" w:color="auto"/>
            </w:tcBorders>
            <w:hideMark/>
          </w:tcPr>
          <w:p w:rsidR="00EA466D" w:rsidRPr="00EA466D" w:rsidRDefault="00EA466D" w:rsidP="00922B91">
            <w:pPr>
              <w:spacing w:after="0" w:line="240" w:lineRule="auto"/>
              <w:jc w:val="both"/>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Cita informācija</w:t>
            </w:r>
          </w:p>
        </w:tc>
        <w:tc>
          <w:tcPr>
            <w:tcW w:w="3416" w:type="pct"/>
            <w:tcBorders>
              <w:top w:val="outset" w:sz="6" w:space="0" w:color="auto"/>
              <w:left w:val="outset" w:sz="6" w:space="0" w:color="auto"/>
              <w:bottom w:val="outset" w:sz="6" w:space="0" w:color="auto"/>
              <w:right w:val="outset" w:sz="6" w:space="0" w:color="auto"/>
            </w:tcBorders>
            <w:hideMark/>
          </w:tcPr>
          <w:p w:rsidR="00EA466D" w:rsidRPr="00EA466D" w:rsidRDefault="00EA466D" w:rsidP="00922B91">
            <w:pPr>
              <w:spacing w:after="0" w:line="240" w:lineRule="auto"/>
              <w:ind w:firstLine="5"/>
              <w:jc w:val="both"/>
              <w:rPr>
                <w:rFonts w:ascii="Times New Roman" w:eastAsia="Times New Roman" w:hAnsi="Times New Roman" w:cs="Times New Roman"/>
                <w:sz w:val="28"/>
                <w:szCs w:val="28"/>
                <w:lang w:eastAsia="lv-LV"/>
              </w:rPr>
            </w:pPr>
            <w:r w:rsidRPr="00EA466D">
              <w:rPr>
                <w:rFonts w:ascii="Times New Roman" w:hAnsi="Times New Roman" w:cs="Times New Roman"/>
                <w:sz w:val="28"/>
                <w:szCs w:val="28"/>
              </w:rPr>
              <w:t>Nav.</w:t>
            </w:r>
          </w:p>
        </w:tc>
      </w:tr>
    </w:tbl>
    <w:p w:rsidR="00922B91" w:rsidRDefault="00922B91" w:rsidP="00EA466D">
      <w:pPr>
        <w:spacing w:after="0" w:line="240" w:lineRule="auto"/>
        <w:jc w:val="both"/>
        <w:rPr>
          <w:rFonts w:ascii="Times New Roman" w:hAnsi="Times New Roman" w:cs="Times New Roman"/>
          <w:sz w:val="28"/>
          <w:szCs w:val="28"/>
        </w:rPr>
      </w:pPr>
    </w:p>
    <w:p w:rsidR="0087620A" w:rsidRDefault="00EA466D" w:rsidP="003E6FE6">
      <w:pPr>
        <w:spacing w:after="0" w:line="240" w:lineRule="auto"/>
        <w:jc w:val="both"/>
        <w:rPr>
          <w:rFonts w:ascii="Times New Roman" w:hAnsi="Times New Roman" w:cs="Times New Roman"/>
          <w:sz w:val="28"/>
          <w:szCs w:val="28"/>
        </w:rPr>
      </w:pPr>
      <w:r w:rsidRPr="00EA466D">
        <w:rPr>
          <w:rFonts w:ascii="Times New Roman" w:hAnsi="Times New Roman" w:cs="Times New Roman"/>
          <w:sz w:val="28"/>
          <w:szCs w:val="28"/>
        </w:rPr>
        <w:t>Anotācijas III</w:t>
      </w:r>
      <w:r w:rsidR="0087620A">
        <w:rPr>
          <w:rFonts w:ascii="Times New Roman" w:hAnsi="Times New Roman" w:cs="Times New Roman"/>
          <w:sz w:val="28"/>
          <w:szCs w:val="28"/>
        </w:rPr>
        <w:t xml:space="preserve"> sadaļa – noteikumu projekts šo jomu neskar.</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90"/>
        <w:gridCol w:w="2172"/>
        <w:gridCol w:w="6549"/>
      </w:tblGrid>
      <w:tr w:rsidR="0087620A" w:rsidTr="0087620A">
        <w:trPr>
          <w:tblCellSpacing w:w="15" w:type="dxa"/>
        </w:trPr>
        <w:tc>
          <w:tcPr>
            <w:tcW w:w="0" w:type="auto"/>
            <w:gridSpan w:val="3"/>
            <w:tcBorders>
              <w:top w:val="single" w:sz="4" w:space="0" w:color="auto"/>
              <w:left w:val="single" w:sz="4" w:space="0" w:color="auto"/>
              <w:bottom w:val="outset" w:sz="6" w:space="0" w:color="auto"/>
              <w:right w:val="single" w:sz="4" w:space="0" w:color="auto"/>
            </w:tcBorders>
            <w:hideMark/>
          </w:tcPr>
          <w:p w:rsidR="0087620A" w:rsidRPr="0087620A" w:rsidRDefault="0087620A">
            <w:pPr>
              <w:spacing w:after="0" w:line="240" w:lineRule="auto"/>
              <w:ind w:firstLine="249"/>
              <w:jc w:val="center"/>
              <w:rPr>
                <w:rFonts w:ascii="Times New Roman" w:eastAsia="Times New Roman" w:hAnsi="Times New Roman" w:cs="Times New Roman"/>
                <w:b/>
                <w:bCs/>
                <w:sz w:val="28"/>
                <w:szCs w:val="28"/>
                <w:lang w:eastAsia="lv-LV"/>
              </w:rPr>
            </w:pPr>
            <w:r w:rsidRPr="0087620A">
              <w:rPr>
                <w:rFonts w:ascii="Times New Roman" w:eastAsia="Times New Roman" w:hAnsi="Times New Roman" w:cs="Times New Roman"/>
                <w:b/>
                <w:bCs/>
                <w:sz w:val="28"/>
                <w:szCs w:val="28"/>
                <w:lang w:eastAsia="lv-LV"/>
              </w:rPr>
              <w:t>IV. Tiesību akta projekta ietekme uz spēkā esošo tiesību normu sistēmu</w:t>
            </w:r>
          </w:p>
        </w:tc>
      </w:tr>
      <w:tr w:rsidR="0087620A" w:rsidTr="0087620A">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87620A" w:rsidRPr="0087620A" w:rsidRDefault="0087620A">
            <w:pPr>
              <w:spacing w:after="0" w:line="240" w:lineRule="auto"/>
              <w:ind w:hanging="5"/>
              <w:rPr>
                <w:rFonts w:ascii="Times New Roman" w:eastAsia="Times New Roman" w:hAnsi="Times New Roman" w:cs="Times New Roman"/>
                <w:sz w:val="28"/>
                <w:szCs w:val="28"/>
                <w:lang w:eastAsia="lv-LV"/>
              </w:rPr>
            </w:pPr>
            <w:r w:rsidRPr="0087620A">
              <w:rPr>
                <w:rFonts w:ascii="Times New Roman" w:eastAsia="Times New Roman" w:hAnsi="Times New Roman" w:cs="Times New Roman"/>
                <w:sz w:val="28"/>
                <w:szCs w:val="28"/>
                <w:lang w:eastAsia="lv-LV"/>
              </w:rPr>
              <w:t>1.</w:t>
            </w:r>
          </w:p>
        </w:tc>
        <w:tc>
          <w:tcPr>
            <w:tcW w:w="1178" w:type="pct"/>
            <w:tcBorders>
              <w:top w:val="outset" w:sz="6" w:space="0" w:color="auto"/>
              <w:left w:val="outset" w:sz="6" w:space="0" w:color="auto"/>
              <w:bottom w:val="outset" w:sz="6" w:space="0" w:color="auto"/>
              <w:right w:val="outset" w:sz="6" w:space="0" w:color="auto"/>
            </w:tcBorders>
            <w:hideMark/>
          </w:tcPr>
          <w:p w:rsidR="0087620A" w:rsidRPr="0087620A" w:rsidRDefault="0087620A">
            <w:pPr>
              <w:spacing w:after="0" w:line="240" w:lineRule="auto"/>
              <w:rPr>
                <w:rFonts w:ascii="Times New Roman" w:eastAsia="Times New Roman" w:hAnsi="Times New Roman" w:cs="Times New Roman"/>
                <w:sz w:val="28"/>
                <w:szCs w:val="28"/>
                <w:lang w:eastAsia="lv-LV"/>
              </w:rPr>
            </w:pPr>
            <w:r w:rsidRPr="0087620A">
              <w:rPr>
                <w:rFonts w:ascii="Times New Roman" w:eastAsia="Times New Roman" w:hAnsi="Times New Roman" w:cs="Times New Roman"/>
                <w:sz w:val="28"/>
                <w:szCs w:val="28"/>
                <w:lang w:eastAsia="lv-LV"/>
              </w:rPr>
              <w:t>Nepieciešamie saistītie tiesību aktu projekti</w:t>
            </w:r>
          </w:p>
        </w:tc>
        <w:tc>
          <w:tcPr>
            <w:tcW w:w="0" w:type="auto"/>
            <w:tcBorders>
              <w:top w:val="outset" w:sz="6" w:space="0" w:color="auto"/>
              <w:left w:val="outset" w:sz="6" w:space="0" w:color="auto"/>
              <w:bottom w:val="outset" w:sz="6" w:space="0" w:color="auto"/>
              <w:right w:val="outset" w:sz="6" w:space="0" w:color="auto"/>
            </w:tcBorders>
            <w:hideMark/>
          </w:tcPr>
          <w:p w:rsidR="002F01AC" w:rsidRPr="002F01AC" w:rsidRDefault="002F01AC" w:rsidP="002F01AC">
            <w:pPr>
              <w:pStyle w:val="ListParagraph"/>
              <w:spacing w:before="0" w:after="0" w:line="240" w:lineRule="auto"/>
              <w:ind w:left="0" w:firstLine="42"/>
              <w:rPr>
                <w:sz w:val="28"/>
                <w:szCs w:val="28"/>
                <w:lang w:val="lv-LV"/>
              </w:rPr>
            </w:pPr>
            <w:r w:rsidRPr="002F01AC">
              <w:rPr>
                <w:sz w:val="28"/>
                <w:szCs w:val="28"/>
                <w:lang w:val="lv-LV"/>
              </w:rPr>
              <w:t xml:space="preserve">Lai nodrošinātu Ministru kabineta 2013.gada 20.augusta sēdes </w:t>
            </w:r>
            <w:proofErr w:type="spellStart"/>
            <w:r w:rsidRPr="002F01AC">
              <w:rPr>
                <w:sz w:val="28"/>
                <w:szCs w:val="28"/>
                <w:lang w:val="lv-LV"/>
              </w:rPr>
              <w:t>protokollēmuma</w:t>
            </w:r>
            <w:proofErr w:type="spellEnd"/>
            <w:r w:rsidRPr="002F01AC">
              <w:rPr>
                <w:sz w:val="28"/>
                <w:szCs w:val="28"/>
                <w:lang w:val="lv-LV"/>
              </w:rPr>
              <w:t xml:space="preserve"> (protokols Nr.45 97.§) 10.5.apakšpunktā dotā uzdevuma izpildi, vienlaikus Ministru kabineta sēdē izskatāmi šādi IZM izstrādātie tiesību akti:</w:t>
            </w:r>
          </w:p>
          <w:p w:rsidR="002F01AC" w:rsidRPr="002F01AC" w:rsidRDefault="002F01AC" w:rsidP="002F01AC">
            <w:pPr>
              <w:numPr>
                <w:ilvl w:val="0"/>
                <w:numId w:val="1"/>
              </w:numPr>
              <w:tabs>
                <w:tab w:val="left" w:pos="396"/>
              </w:tabs>
              <w:autoSpaceDE w:val="0"/>
              <w:autoSpaceDN w:val="0"/>
              <w:adjustRightInd w:val="0"/>
              <w:spacing w:after="0" w:line="240" w:lineRule="auto"/>
              <w:ind w:left="0" w:firstLine="0"/>
              <w:jc w:val="both"/>
              <w:rPr>
                <w:rFonts w:ascii="Times New Roman" w:hAnsi="Times New Roman" w:cs="Times New Roman"/>
                <w:sz w:val="28"/>
                <w:szCs w:val="28"/>
              </w:rPr>
            </w:pPr>
            <w:r w:rsidRPr="002F01AC">
              <w:rPr>
                <w:rFonts w:ascii="Times New Roman" w:hAnsi="Times New Roman" w:cs="Times New Roman"/>
                <w:sz w:val="28"/>
                <w:szCs w:val="28"/>
              </w:rPr>
              <w:t>grozījumi Ministru kabineta 2008.gada 21.jūlija noteikumos Nr.578 „Noteikumi par darbības programmas „Cilvēkresursi un nodarbinātība” papildinājuma 1.2.1.1.4.apakšaktivitāti „Sākotnējās profesionālās izglītības pievilcības veicināšana”;</w:t>
            </w:r>
          </w:p>
          <w:p w:rsidR="002F01AC" w:rsidRPr="002F01AC" w:rsidRDefault="002F01AC" w:rsidP="002F01AC">
            <w:pPr>
              <w:numPr>
                <w:ilvl w:val="0"/>
                <w:numId w:val="1"/>
              </w:numPr>
              <w:tabs>
                <w:tab w:val="left" w:pos="396"/>
              </w:tabs>
              <w:autoSpaceDE w:val="0"/>
              <w:autoSpaceDN w:val="0"/>
              <w:adjustRightInd w:val="0"/>
              <w:spacing w:after="0" w:line="240" w:lineRule="auto"/>
              <w:ind w:left="0" w:firstLine="0"/>
              <w:jc w:val="both"/>
              <w:rPr>
                <w:rFonts w:ascii="Times New Roman" w:hAnsi="Times New Roman" w:cs="Times New Roman"/>
                <w:sz w:val="28"/>
                <w:szCs w:val="28"/>
              </w:rPr>
            </w:pPr>
            <w:r w:rsidRPr="002F01AC">
              <w:rPr>
                <w:rFonts w:ascii="Times New Roman" w:hAnsi="Times New Roman" w:cs="Times New Roman"/>
                <w:sz w:val="28"/>
                <w:szCs w:val="28"/>
              </w:rPr>
              <w:t>grozījumi Ministru kabineta 2008.gada 5.februāra noteikumos Nr.71 „Noteikumi par darbības programmas „Cilvēkresursi un nodarbinātība” papildinājuma 1.2.1.2.2.apakšaktivitātes „Atbalsts vispārējās izglītības pedagogu nodrošināšanai prioritārajos mācību priekšmetos” īstenošanas kārtību””;</w:t>
            </w:r>
          </w:p>
          <w:p w:rsidR="002F01AC" w:rsidRPr="002F01AC" w:rsidRDefault="002F01AC" w:rsidP="002F01AC">
            <w:pPr>
              <w:numPr>
                <w:ilvl w:val="0"/>
                <w:numId w:val="1"/>
              </w:numPr>
              <w:tabs>
                <w:tab w:val="left" w:pos="396"/>
              </w:tabs>
              <w:autoSpaceDE w:val="0"/>
              <w:autoSpaceDN w:val="0"/>
              <w:adjustRightInd w:val="0"/>
              <w:spacing w:after="0" w:line="240" w:lineRule="auto"/>
              <w:ind w:left="-30" w:firstLine="0"/>
              <w:jc w:val="both"/>
              <w:rPr>
                <w:rFonts w:ascii="Times New Roman" w:hAnsi="Times New Roman" w:cs="Times New Roman"/>
                <w:sz w:val="28"/>
                <w:szCs w:val="28"/>
              </w:rPr>
            </w:pPr>
            <w:r w:rsidRPr="002F01AC">
              <w:rPr>
                <w:rFonts w:ascii="Times New Roman" w:hAnsi="Times New Roman" w:cs="Times New Roman"/>
                <w:sz w:val="28"/>
                <w:szCs w:val="28"/>
              </w:rPr>
              <w:t>grozījumi Ministru kabineta 2009.gada 17.februāra noteikumos Nr.150 „Noteikumi par darbības programmas „Cilvēkresursi un nodarbinātība” papildinājuma 1.2.2.4.2.apakšaktivitāti „Atbalsta pasākumu īstenošana jauniešu sociālās atstumtības riska mazināšanai un jauniešu ar funkcionālajiem traucējumiem integrācijai izglītībā””;</w:t>
            </w:r>
          </w:p>
          <w:p w:rsidR="002F01AC" w:rsidRPr="002F01AC" w:rsidRDefault="002F01AC" w:rsidP="002F01AC">
            <w:pPr>
              <w:numPr>
                <w:ilvl w:val="0"/>
                <w:numId w:val="1"/>
              </w:numPr>
              <w:tabs>
                <w:tab w:val="left" w:pos="396"/>
              </w:tabs>
              <w:autoSpaceDE w:val="0"/>
              <w:autoSpaceDN w:val="0"/>
              <w:adjustRightInd w:val="0"/>
              <w:spacing w:after="0" w:line="240" w:lineRule="auto"/>
              <w:ind w:left="-28" w:firstLine="0"/>
              <w:jc w:val="both"/>
              <w:rPr>
                <w:rFonts w:ascii="Times New Roman" w:hAnsi="Times New Roman" w:cs="Times New Roman"/>
                <w:sz w:val="28"/>
                <w:szCs w:val="28"/>
              </w:rPr>
            </w:pPr>
            <w:r w:rsidRPr="002F01AC">
              <w:rPr>
                <w:rFonts w:ascii="Times New Roman" w:hAnsi="Times New Roman" w:cs="Times New Roman"/>
                <w:sz w:val="28"/>
                <w:szCs w:val="28"/>
              </w:rPr>
              <w:lastRenderedPageBreak/>
              <w:t>grozījumi Ministru kabineta 2010.gada 28.septembra noteikumos Nr.922 „Noteikumi par darbības programmas „Cilvēkresursi un nodarbinātība” papildinājuma 1.2.1.1.3.apakšaktivitātes „Atbalsts sākotnējās profesionālās izglītības programmu īstenošanas kvalitātes uzlabošanai un īstenošanai” otro projekta iesnieguma atlases kārtu”;</w:t>
            </w:r>
          </w:p>
          <w:p w:rsidR="002F01AC" w:rsidRPr="002F01AC" w:rsidRDefault="002F01AC" w:rsidP="002F01AC">
            <w:pPr>
              <w:numPr>
                <w:ilvl w:val="0"/>
                <w:numId w:val="1"/>
              </w:numPr>
              <w:tabs>
                <w:tab w:val="left" w:pos="396"/>
              </w:tabs>
              <w:autoSpaceDE w:val="0"/>
              <w:autoSpaceDN w:val="0"/>
              <w:adjustRightInd w:val="0"/>
              <w:spacing w:after="0" w:line="240" w:lineRule="auto"/>
              <w:ind w:left="-28" w:firstLine="0"/>
              <w:jc w:val="both"/>
              <w:rPr>
                <w:rFonts w:ascii="Times New Roman" w:hAnsi="Times New Roman" w:cs="Times New Roman"/>
                <w:sz w:val="28"/>
                <w:szCs w:val="28"/>
              </w:rPr>
            </w:pPr>
            <w:r w:rsidRPr="002F01AC">
              <w:rPr>
                <w:rFonts w:ascii="Times New Roman" w:hAnsi="Times New Roman" w:cs="Times New Roman"/>
                <w:sz w:val="28"/>
                <w:szCs w:val="28"/>
              </w:rPr>
              <w:t>grozījumi Ministru kabineta 2008.gada 25.marta noteikumos Nr.200 „Noteikumi par darbības programmas „Infrastruktūra un pakalpojumi” papildinājuma 3.1.3.1.aktivitāti „Kvalitatīvai dabaszinātņu apguvei atbilstošas materiālās bāzes nodrošināšana”;</w:t>
            </w:r>
          </w:p>
          <w:p w:rsidR="002F01AC" w:rsidRPr="002F01AC" w:rsidRDefault="002F01AC" w:rsidP="002F01AC">
            <w:pPr>
              <w:numPr>
                <w:ilvl w:val="0"/>
                <w:numId w:val="1"/>
              </w:numPr>
              <w:tabs>
                <w:tab w:val="left" w:pos="396"/>
              </w:tabs>
              <w:autoSpaceDE w:val="0"/>
              <w:autoSpaceDN w:val="0"/>
              <w:adjustRightInd w:val="0"/>
              <w:spacing w:after="0" w:line="240" w:lineRule="auto"/>
              <w:ind w:left="-28" w:firstLine="0"/>
              <w:jc w:val="both"/>
              <w:rPr>
                <w:rFonts w:ascii="Times New Roman" w:hAnsi="Times New Roman" w:cs="Times New Roman"/>
                <w:sz w:val="28"/>
                <w:szCs w:val="28"/>
              </w:rPr>
            </w:pPr>
            <w:r w:rsidRPr="002F01AC">
              <w:rPr>
                <w:rFonts w:ascii="Times New Roman" w:hAnsi="Times New Roman" w:cs="Times New Roman"/>
                <w:sz w:val="28"/>
                <w:szCs w:val="28"/>
              </w:rPr>
              <w:t>grozījumi Ministru kabineta 2013.gada 22.janvāra noteikumos Nr.51 „Noteikumi par darbības programmas „Infrastruktūra un pakalpojumi” papildinājuma 3.1.1.1.aktivitātes „Mācību aprīkojuma modernizācija un infrastruktūras uzlabošana profesionālās izglītības programmu īstenošanai” otrās projektu iesniegumu atlases kārtas īstenošanu”;</w:t>
            </w:r>
          </w:p>
          <w:p w:rsidR="002F01AC" w:rsidRPr="002F01AC" w:rsidRDefault="002F01AC" w:rsidP="002F01AC">
            <w:pPr>
              <w:numPr>
                <w:ilvl w:val="0"/>
                <w:numId w:val="1"/>
              </w:numPr>
              <w:tabs>
                <w:tab w:val="left" w:pos="396"/>
              </w:tabs>
              <w:autoSpaceDE w:val="0"/>
              <w:autoSpaceDN w:val="0"/>
              <w:adjustRightInd w:val="0"/>
              <w:spacing w:after="0" w:line="240" w:lineRule="auto"/>
              <w:ind w:left="-28" w:firstLine="0"/>
              <w:jc w:val="both"/>
              <w:rPr>
                <w:rFonts w:ascii="Times New Roman" w:hAnsi="Times New Roman" w:cs="Times New Roman"/>
                <w:sz w:val="28"/>
                <w:szCs w:val="28"/>
              </w:rPr>
            </w:pPr>
            <w:r w:rsidRPr="002F01AC">
              <w:rPr>
                <w:rFonts w:ascii="Times New Roman" w:hAnsi="Times New Roman" w:cs="Times New Roman"/>
                <w:sz w:val="28"/>
                <w:szCs w:val="28"/>
              </w:rPr>
              <w:t>grozījumi darbības programmas „Infrastruktūra un pakalpojumi” papildinājumā.</w:t>
            </w:r>
          </w:p>
          <w:p w:rsidR="0087620A" w:rsidRPr="0087620A" w:rsidRDefault="00AE41A9">
            <w:pPr>
              <w:spacing w:after="0" w:line="240" w:lineRule="auto"/>
              <w:jc w:val="both"/>
              <w:rPr>
                <w:rFonts w:ascii="Times New Roman" w:eastAsia="Times New Roman" w:hAnsi="Times New Roman" w:cs="Times New Roman"/>
                <w:sz w:val="28"/>
                <w:szCs w:val="28"/>
                <w:lang w:eastAsia="lv-LV"/>
              </w:rPr>
            </w:pPr>
            <w:r>
              <w:rPr>
                <w:rFonts w:ascii="Times New Roman" w:hAnsi="Times New Roman" w:cs="Times New Roman"/>
                <w:sz w:val="28"/>
                <w:szCs w:val="28"/>
              </w:rPr>
              <w:t>Par iepriekšminēto tiesību aktu projektu</w:t>
            </w:r>
            <w:r w:rsidRPr="00DC72F4">
              <w:rPr>
                <w:rFonts w:ascii="Times New Roman" w:hAnsi="Times New Roman" w:cs="Times New Roman"/>
                <w:sz w:val="28"/>
                <w:szCs w:val="28"/>
              </w:rPr>
              <w:t xml:space="preserve"> izstrādi ir atbildīga Izglītības un zinātnes ministrija.</w:t>
            </w:r>
          </w:p>
        </w:tc>
      </w:tr>
      <w:tr w:rsidR="0087620A" w:rsidTr="0087620A">
        <w:trPr>
          <w:tblCellSpacing w:w="15" w:type="dxa"/>
        </w:trPr>
        <w:tc>
          <w:tcPr>
            <w:tcW w:w="245" w:type="pct"/>
            <w:tcBorders>
              <w:top w:val="outset" w:sz="6" w:space="0" w:color="auto"/>
              <w:left w:val="outset" w:sz="6" w:space="0" w:color="auto"/>
              <w:bottom w:val="outset" w:sz="6" w:space="0" w:color="auto"/>
              <w:right w:val="outset" w:sz="6" w:space="0" w:color="auto"/>
            </w:tcBorders>
            <w:hideMark/>
          </w:tcPr>
          <w:p w:rsidR="0087620A" w:rsidRPr="0087620A" w:rsidRDefault="0087620A">
            <w:pPr>
              <w:spacing w:after="0" w:line="240" w:lineRule="auto"/>
              <w:ind w:hanging="5"/>
              <w:rPr>
                <w:rFonts w:ascii="Times New Roman" w:eastAsia="Times New Roman" w:hAnsi="Times New Roman" w:cs="Times New Roman"/>
                <w:sz w:val="28"/>
                <w:szCs w:val="28"/>
                <w:lang w:eastAsia="lv-LV"/>
              </w:rPr>
            </w:pPr>
            <w:r w:rsidRPr="0087620A">
              <w:rPr>
                <w:rFonts w:ascii="Times New Roman" w:eastAsia="Times New Roman" w:hAnsi="Times New Roman" w:cs="Times New Roman"/>
                <w:sz w:val="28"/>
                <w:szCs w:val="28"/>
                <w:lang w:eastAsia="lv-LV"/>
              </w:rPr>
              <w:lastRenderedPageBreak/>
              <w:t>2.</w:t>
            </w:r>
          </w:p>
        </w:tc>
        <w:tc>
          <w:tcPr>
            <w:tcW w:w="1178" w:type="pct"/>
            <w:tcBorders>
              <w:top w:val="outset" w:sz="6" w:space="0" w:color="auto"/>
              <w:left w:val="outset" w:sz="6" w:space="0" w:color="auto"/>
              <w:bottom w:val="outset" w:sz="6" w:space="0" w:color="auto"/>
              <w:right w:val="outset" w:sz="6" w:space="0" w:color="auto"/>
            </w:tcBorders>
            <w:hideMark/>
          </w:tcPr>
          <w:p w:rsidR="0087620A" w:rsidRPr="0087620A" w:rsidRDefault="0087620A">
            <w:pPr>
              <w:spacing w:after="0" w:line="240" w:lineRule="auto"/>
              <w:rPr>
                <w:rFonts w:ascii="Times New Roman" w:eastAsia="Times New Roman" w:hAnsi="Times New Roman" w:cs="Times New Roman"/>
                <w:sz w:val="28"/>
                <w:szCs w:val="28"/>
                <w:lang w:eastAsia="lv-LV"/>
              </w:rPr>
            </w:pPr>
            <w:r w:rsidRPr="0087620A">
              <w:rPr>
                <w:rFonts w:ascii="Times New Roman" w:eastAsia="Times New Roman" w:hAnsi="Times New Roman" w:cs="Times New Roman"/>
                <w:sz w:val="28"/>
                <w:szCs w:val="28"/>
                <w:lang w:eastAsia="lv-LV"/>
              </w:rPr>
              <w:t>Cita informācija</w:t>
            </w:r>
          </w:p>
        </w:tc>
        <w:tc>
          <w:tcPr>
            <w:tcW w:w="0" w:type="auto"/>
            <w:tcBorders>
              <w:top w:val="outset" w:sz="6" w:space="0" w:color="auto"/>
              <w:left w:val="outset" w:sz="6" w:space="0" w:color="auto"/>
              <w:bottom w:val="outset" w:sz="6" w:space="0" w:color="auto"/>
              <w:right w:val="outset" w:sz="6" w:space="0" w:color="auto"/>
            </w:tcBorders>
            <w:hideMark/>
          </w:tcPr>
          <w:p w:rsidR="0087620A" w:rsidRPr="0087620A" w:rsidRDefault="0087620A">
            <w:pPr>
              <w:spacing w:after="0" w:line="240" w:lineRule="auto"/>
              <w:rPr>
                <w:rFonts w:ascii="Times New Roman" w:eastAsia="Times New Roman" w:hAnsi="Times New Roman" w:cs="Times New Roman"/>
                <w:sz w:val="28"/>
                <w:szCs w:val="28"/>
                <w:lang w:eastAsia="lv-LV"/>
              </w:rPr>
            </w:pPr>
            <w:r w:rsidRPr="0087620A">
              <w:rPr>
                <w:rFonts w:ascii="Times New Roman" w:eastAsia="Times New Roman" w:hAnsi="Times New Roman" w:cs="Times New Roman"/>
                <w:sz w:val="28"/>
                <w:szCs w:val="28"/>
                <w:lang w:eastAsia="lv-LV"/>
              </w:rPr>
              <w:t>Nav.</w:t>
            </w:r>
          </w:p>
        </w:tc>
      </w:tr>
    </w:tbl>
    <w:p w:rsidR="0087620A" w:rsidRDefault="0087620A" w:rsidP="003E6FE6">
      <w:pPr>
        <w:spacing w:after="0" w:line="240" w:lineRule="auto"/>
        <w:jc w:val="both"/>
        <w:rPr>
          <w:rFonts w:ascii="Times New Roman" w:hAnsi="Times New Roman" w:cs="Times New Roman"/>
          <w:sz w:val="28"/>
          <w:szCs w:val="28"/>
        </w:rPr>
      </w:pPr>
    </w:p>
    <w:p w:rsidR="00EA466D" w:rsidRPr="00EA466D" w:rsidRDefault="003E6FE6" w:rsidP="003E6F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 un VI sadaļa – noteikumu projekts šīs jomas</w:t>
      </w:r>
      <w:r w:rsidR="00EA466D" w:rsidRPr="00EA466D">
        <w:rPr>
          <w:rFonts w:ascii="Times New Roman" w:hAnsi="Times New Roman" w:cs="Times New Roman"/>
          <w:sz w:val="28"/>
          <w:szCs w:val="28"/>
        </w:rPr>
        <w:t xml:space="preserve"> neskar</w:t>
      </w:r>
      <w:r>
        <w:rPr>
          <w:rFonts w:ascii="Times New Roman" w:hAnsi="Times New Roman" w:cs="Times New Roman"/>
          <w:sz w:val="28"/>
          <w:szCs w:val="28"/>
        </w:rPr>
        <w:t>.</w:t>
      </w:r>
    </w:p>
    <w:tbl>
      <w:tblPr>
        <w:tblW w:w="499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97"/>
        <w:gridCol w:w="4111"/>
        <w:gridCol w:w="4611"/>
      </w:tblGrid>
      <w:tr w:rsidR="00EA466D" w:rsidRPr="00EA466D" w:rsidTr="003E6FE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hideMark/>
          </w:tcPr>
          <w:p w:rsidR="00EA466D" w:rsidRPr="00EA466D" w:rsidRDefault="00EA466D" w:rsidP="00EA466D">
            <w:pPr>
              <w:spacing w:after="0" w:line="240" w:lineRule="auto"/>
              <w:ind w:firstLine="250"/>
              <w:jc w:val="center"/>
              <w:rPr>
                <w:rFonts w:ascii="Times New Roman" w:eastAsia="Times New Roman" w:hAnsi="Times New Roman" w:cs="Times New Roman"/>
                <w:b/>
                <w:bCs/>
                <w:sz w:val="28"/>
                <w:szCs w:val="28"/>
                <w:lang w:eastAsia="lv-LV"/>
              </w:rPr>
            </w:pPr>
            <w:r w:rsidRPr="00EA466D">
              <w:rPr>
                <w:rFonts w:ascii="Times New Roman" w:eastAsia="Times New Roman" w:hAnsi="Times New Roman" w:cs="Times New Roman"/>
                <w:b/>
                <w:bCs/>
                <w:sz w:val="28"/>
                <w:szCs w:val="28"/>
                <w:lang w:eastAsia="lv-LV"/>
              </w:rPr>
              <w:t>VII. Tiesību akta projekta izpildes nodrošināšana un tās ietekme uz institūcijām</w:t>
            </w:r>
          </w:p>
        </w:tc>
      </w:tr>
      <w:tr w:rsidR="00922B91" w:rsidRPr="00EA466D" w:rsidTr="001B3AAB">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922B91" w:rsidRPr="00922B91" w:rsidRDefault="00922B91" w:rsidP="00922B91">
            <w:pPr>
              <w:spacing w:after="0" w:line="240" w:lineRule="auto"/>
              <w:rPr>
                <w:rFonts w:ascii="Times New Roman" w:hAnsi="Times New Roman" w:cs="Times New Roman"/>
                <w:sz w:val="28"/>
                <w:szCs w:val="28"/>
              </w:rPr>
            </w:pPr>
            <w:r w:rsidRPr="00922B91">
              <w:rPr>
                <w:rFonts w:ascii="Times New Roman" w:hAnsi="Times New Roman" w:cs="Times New Roman"/>
                <w:sz w:val="28"/>
                <w:szCs w:val="28"/>
              </w:rPr>
              <w:t>1.</w:t>
            </w:r>
          </w:p>
        </w:tc>
        <w:tc>
          <w:tcPr>
            <w:tcW w:w="2228" w:type="pct"/>
            <w:tcBorders>
              <w:top w:val="outset" w:sz="6" w:space="0" w:color="auto"/>
              <w:left w:val="outset" w:sz="6" w:space="0" w:color="auto"/>
              <w:bottom w:val="outset" w:sz="6" w:space="0" w:color="auto"/>
              <w:right w:val="outset" w:sz="6" w:space="0" w:color="auto"/>
            </w:tcBorders>
            <w:hideMark/>
          </w:tcPr>
          <w:p w:rsidR="00922B91" w:rsidRPr="00922B91" w:rsidRDefault="00922B91" w:rsidP="00922B91">
            <w:pPr>
              <w:spacing w:after="0" w:line="240" w:lineRule="auto"/>
              <w:rPr>
                <w:rFonts w:ascii="Times New Roman" w:hAnsi="Times New Roman" w:cs="Times New Roman"/>
                <w:sz w:val="28"/>
                <w:szCs w:val="28"/>
              </w:rPr>
            </w:pPr>
            <w:r w:rsidRPr="00922B91">
              <w:rPr>
                <w:rFonts w:ascii="Times New Roman" w:hAnsi="Times New Roman" w:cs="Times New Roman"/>
                <w:sz w:val="28"/>
                <w:szCs w:val="28"/>
              </w:rPr>
              <w:t>Projekta izpildē iesaistītās institūcijas</w:t>
            </w:r>
          </w:p>
        </w:tc>
        <w:tc>
          <w:tcPr>
            <w:tcW w:w="2460" w:type="pct"/>
            <w:tcBorders>
              <w:top w:val="outset" w:sz="6" w:space="0" w:color="auto"/>
              <w:left w:val="outset" w:sz="6" w:space="0" w:color="auto"/>
              <w:bottom w:val="outset" w:sz="6" w:space="0" w:color="auto"/>
              <w:right w:val="outset" w:sz="6" w:space="0" w:color="auto"/>
            </w:tcBorders>
            <w:hideMark/>
          </w:tcPr>
          <w:p w:rsidR="00922B91" w:rsidRPr="00922B91" w:rsidRDefault="00922B91" w:rsidP="00922B91">
            <w:pPr>
              <w:spacing w:after="0" w:line="240" w:lineRule="auto"/>
              <w:jc w:val="both"/>
              <w:rPr>
                <w:rFonts w:ascii="Times New Roman" w:hAnsi="Times New Roman" w:cs="Times New Roman"/>
                <w:sz w:val="28"/>
                <w:szCs w:val="28"/>
                <w:highlight w:val="lightGray"/>
              </w:rPr>
            </w:pPr>
            <w:r w:rsidRPr="00922B91">
              <w:rPr>
                <w:rFonts w:ascii="Times New Roman" w:hAnsi="Times New Roman" w:cs="Times New Roman"/>
                <w:iCs/>
                <w:sz w:val="28"/>
                <w:szCs w:val="28"/>
              </w:rPr>
              <w:t>IZM.</w:t>
            </w:r>
          </w:p>
        </w:tc>
      </w:tr>
      <w:tr w:rsidR="00922B91" w:rsidRPr="00EA466D" w:rsidTr="001B3AAB">
        <w:trPr>
          <w:trHeight w:val="786"/>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922B91" w:rsidRPr="00EA466D" w:rsidRDefault="00922B91" w:rsidP="00922B91">
            <w:pPr>
              <w:spacing w:after="0" w:line="240" w:lineRule="auto"/>
              <w:ind w:right="-74"/>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2.</w:t>
            </w:r>
          </w:p>
        </w:tc>
        <w:tc>
          <w:tcPr>
            <w:tcW w:w="2228" w:type="pct"/>
            <w:tcBorders>
              <w:top w:val="outset" w:sz="6" w:space="0" w:color="auto"/>
              <w:left w:val="outset" w:sz="6" w:space="0" w:color="auto"/>
              <w:bottom w:val="outset" w:sz="6" w:space="0" w:color="auto"/>
              <w:right w:val="outset" w:sz="6" w:space="0" w:color="auto"/>
            </w:tcBorders>
            <w:hideMark/>
          </w:tcPr>
          <w:p w:rsidR="00922B91" w:rsidRPr="00EA466D" w:rsidRDefault="00922B91" w:rsidP="003E6FE6">
            <w:pPr>
              <w:spacing w:after="0" w:line="240" w:lineRule="auto"/>
              <w:ind w:hanging="46"/>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Projekta izpildes ietekme uz pārvaldes funkcijām</w:t>
            </w:r>
          </w:p>
        </w:tc>
        <w:tc>
          <w:tcPr>
            <w:tcW w:w="2460" w:type="pct"/>
            <w:tcBorders>
              <w:top w:val="outset" w:sz="6" w:space="0" w:color="auto"/>
              <w:left w:val="outset" w:sz="6" w:space="0" w:color="auto"/>
              <w:bottom w:val="outset" w:sz="6" w:space="0" w:color="auto"/>
              <w:right w:val="outset" w:sz="6" w:space="0" w:color="auto"/>
            </w:tcBorders>
            <w:hideMark/>
          </w:tcPr>
          <w:p w:rsidR="003E6FE6" w:rsidRPr="003E6FE6" w:rsidRDefault="00922B91" w:rsidP="003E6FE6">
            <w:pPr>
              <w:spacing w:after="0" w:line="240" w:lineRule="auto"/>
              <w:rPr>
                <w:rFonts w:ascii="Times New Roman" w:hAnsi="Times New Roman" w:cs="Times New Roman"/>
                <w:sz w:val="28"/>
                <w:szCs w:val="28"/>
              </w:rPr>
            </w:pPr>
            <w:r w:rsidRPr="00922B91">
              <w:rPr>
                <w:rFonts w:ascii="Times New Roman" w:hAnsi="Times New Roman" w:cs="Times New Roman"/>
                <w:sz w:val="28"/>
                <w:szCs w:val="28"/>
              </w:rPr>
              <w:t>Netiek paplašinātas esošo institūciju funkcijas.</w:t>
            </w:r>
          </w:p>
        </w:tc>
      </w:tr>
      <w:tr w:rsidR="00922B91" w:rsidRPr="00EA466D" w:rsidTr="001B3AAB">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922B91" w:rsidRPr="00EA466D" w:rsidRDefault="00922B91" w:rsidP="00922B91">
            <w:pPr>
              <w:spacing w:after="0" w:line="240" w:lineRule="auto"/>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3.</w:t>
            </w:r>
          </w:p>
        </w:tc>
        <w:tc>
          <w:tcPr>
            <w:tcW w:w="2228" w:type="pct"/>
            <w:tcBorders>
              <w:top w:val="outset" w:sz="6" w:space="0" w:color="auto"/>
              <w:left w:val="outset" w:sz="6" w:space="0" w:color="auto"/>
              <w:bottom w:val="outset" w:sz="6" w:space="0" w:color="auto"/>
              <w:right w:val="outset" w:sz="6" w:space="0" w:color="auto"/>
            </w:tcBorders>
            <w:hideMark/>
          </w:tcPr>
          <w:p w:rsidR="00922B91" w:rsidRPr="00EA466D" w:rsidRDefault="00922B91" w:rsidP="00922B91">
            <w:pPr>
              <w:spacing w:after="0" w:line="240" w:lineRule="auto"/>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Projekta izpildes ietekme uz pārvaldes institucionālo struktūru.</w:t>
            </w:r>
          </w:p>
          <w:p w:rsidR="00922B91" w:rsidRPr="00EA466D" w:rsidRDefault="00922B91" w:rsidP="00922B91">
            <w:pPr>
              <w:spacing w:after="0" w:line="240" w:lineRule="auto"/>
              <w:ind w:hanging="51"/>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Jaunu institūciju izveide</w:t>
            </w:r>
          </w:p>
        </w:tc>
        <w:tc>
          <w:tcPr>
            <w:tcW w:w="2460" w:type="pct"/>
            <w:tcBorders>
              <w:top w:val="outset" w:sz="6" w:space="0" w:color="auto"/>
              <w:left w:val="outset" w:sz="6" w:space="0" w:color="auto"/>
              <w:bottom w:val="outset" w:sz="6" w:space="0" w:color="auto"/>
              <w:right w:val="outset" w:sz="6" w:space="0" w:color="auto"/>
            </w:tcBorders>
            <w:hideMark/>
          </w:tcPr>
          <w:p w:rsidR="00922B91" w:rsidRPr="00922B91" w:rsidRDefault="00922B91" w:rsidP="00FC72BF">
            <w:pPr>
              <w:rPr>
                <w:rFonts w:ascii="Times New Roman" w:hAnsi="Times New Roman" w:cs="Times New Roman"/>
                <w:sz w:val="28"/>
                <w:szCs w:val="28"/>
              </w:rPr>
            </w:pPr>
            <w:r w:rsidRPr="00922B91">
              <w:rPr>
                <w:rFonts w:ascii="Times New Roman" w:hAnsi="Times New Roman" w:cs="Times New Roman"/>
                <w:sz w:val="28"/>
                <w:szCs w:val="28"/>
              </w:rPr>
              <w:t>Noteikumu projekts šo jomu neskar.</w:t>
            </w:r>
          </w:p>
        </w:tc>
      </w:tr>
      <w:tr w:rsidR="00922B91" w:rsidRPr="00EA466D" w:rsidTr="001B3AAB">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922B91" w:rsidRPr="00EA466D" w:rsidRDefault="00922B91" w:rsidP="00922B91">
            <w:pPr>
              <w:spacing w:after="0" w:line="240" w:lineRule="auto"/>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4.</w:t>
            </w:r>
          </w:p>
        </w:tc>
        <w:tc>
          <w:tcPr>
            <w:tcW w:w="2228" w:type="pct"/>
            <w:tcBorders>
              <w:top w:val="outset" w:sz="6" w:space="0" w:color="auto"/>
              <w:left w:val="outset" w:sz="6" w:space="0" w:color="auto"/>
              <w:bottom w:val="outset" w:sz="6" w:space="0" w:color="auto"/>
              <w:right w:val="outset" w:sz="6" w:space="0" w:color="auto"/>
            </w:tcBorders>
            <w:hideMark/>
          </w:tcPr>
          <w:p w:rsidR="00922B91" w:rsidRPr="00EA466D" w:rsidRDefault="00922B91" w:rsidP="00922B91">
            <w:pPr>
              <w:spacing w:after="0" w:line="240" w:lineRule="auto"/>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Projekta izpildes ietekme uz pārvaldes institucionālo struktūru.</w:t>
            </w:r>
          </w:p>
          <w:p w:rsidR="00922B91" w:rsidRPr="00EA466D" w:rsidRDefault="00922B91" w:rsidP="00922B91">
            <w:pPr>
              <w:spacing w:after="0" w:line="240" w:lineRule="auto"/>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Esošu institūciju likvidācija</w:t>
            </w:r>
          </w:p>
        </w:tc>
        <w:tc>
          <w:tcPr>
            <w:tcW w:w="2460" w:type="pct"/>
            <w:tcBorders>
              <w:top w:val="outset" w:sz="6" w:space="0" w:color="auto"/>
              <w:left w:val="outset" w:sz="6" w:space="0" w:color="auto"/>
              <w:bottom w:val="outset" w:sz="6" w:space="0" w:color="auto"/>
              <w:right w:val="outset" w:sz="6" w:space="0" w:color="auto"/>
            </w:tcBorders>
            <w:hideMark/>
          </w:tcPr>
          <w:p w:rsidR="00922B91" w:rsidRPr="00922B91" w:rsidRDefault="00922B91" w:rsidP="00FC72BF">
            <w:pPr>
              <w:rPr>
                <w:rFonts w:ascii="Times New Roman" w:hAnsi="Times New Roman" w:cs="Times New Roman"/>
                <w:sz w:val="28"/>
                <w:szCs w:val="28"/>
              </w:rPr>
            </w:pPr>
            <w:r w:rsidRPr="00922B91">
              <w:rPr>
                <w:rFonts w:ascii="Times New Roman" w:hAnsi="Times New Roman" w:cs="Times New Roman"/>
                <w:sz w:val="28"/>
                <w:szCs w:val="28"/>
              </w:rPr>
              <w:t>Noteikumu projekts šo jomu neskar.</w:t>
            </w:r>
          </w:p>
        </w:tc>
      </w:tr>
      <w:tr w:rsidR="00922B91" w:rsidRPr="00EA466D" w:rsidTr="001B3AAB">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922B91" w:rsidRPr="00EA466D" w:rsidRDefault="00922B91" w:rsidP="00922B91">
            <w:pPr>
              <w:spacing w:after="0" w:line="240" w:lineRule="auto"/>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lastRenderedPageBreak/>
              <w:t>5.</w:t>
            </w:r>
          </w:p>
        </w:tc>
        <w:tc>
          <w:tcPr>
            <w:tcW w:w="2228" w:type="pct"/>
            <w:tcBorders>
              <w:top w:val="outset" w:sz="6" w:space="0" w:color="auto"/>
              <w:left w:val="outset" w:sz="6" w:space="0" w:color="auto"/>
              <w:bottom w:val="outset" w:sz="6" w:space="0" w:color="auto"/>
              <w:right w:val="outset" w:sz="6" w:space="0" w:color="auto"/>
            </w:tcBorders>
            <w:hideMark/>
          </w:tcPr>
          <w:p w:rsidR="00922B91" w:rsidRPr="00EA466D" w:rsidRDefault="00922B91" w:rsidP="00922B91">
            <w:pPr>
              <w:spacing w:after="0" w:line="240" w:lineRule="auto"/>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Projekta izpildes ietekme uz pārvaldes institucionālo struktūru.</w:t>
            </w:r>
          </w:p>
          <w:p w:rsidR="00922B91" w:rsidRPr="00EA466D" w:rsidRDefault="00922B91" w:rsidP="00922B91">
            <w:pPr>
              <w:spacing w:after="0" w:line="240" w:lineRule="auto"/>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Esošu institūciju reorganizācija</w:t>
            </w:r>
          </w:p>
        </w:tc>
        <w:tc>
          <w:tcPr>
            <w:tcW w:w="2460" w:type="pct"/>
            <w:tcBorders>
              <w:top w:val="outset" w:sz="6" w:space="0" w:color="auto"/>
              <w:left w:val="outset" w:sz="6" w:space="0" w:color="auto"/>
              <w:bottom w:val="outset" w:sz="6" w:space="0" w:color="auto"/>
              <w:right w:val="outset" w:sz="6" w:space="0" w:color="auto"/>
            </w:tcBorders>
            <w:hideMark/>
          </w:tcPr>
          <w:p w:rsidR="00922B91" w:rsidRPr="00922B91" w:rsidRDefault="00922B91" w:rsidP="00FC72BF">
            <w:pPr>
              <w:rPr>
                <w:rFonts w:ascii="Times New Roman" w:hAnsi="Times New Roman" w:cs="Times New Roman"/>
                <w:sz w:val="28"/>
                <w:szCs w:val="28"/>
              </w:rPr>
            </w:pPr>
            <w:r w:rsidRPr="00922B91">
              <w:rPr>
                <w:rFonts w:ascii="Times New Roman" w:hAnsi="Times New Roman" w:cs="Times New Roman"/>
                <w:sz w:val="28"/>
                <w:szCs w:val="28"/>
              </w:rPr>
              <w:t>Noteikumu projekts šo jomu neskar.</w:t>
            </w:r>
          </w:p>
        </w:tc>
      </w:tr>
      <w:tr w:rsidR="00922B91" w:rsidRPr="00EA466D" w:rsidTr="001B3AAB">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922B91" w:rsidRPr="00EA466D" w:rsidRDefault="00922B91" w:rsidP="00922B91">
            <w:pPr>
              <w:spacing w:after="0" w:line="240" w:lineRule="auto"/>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6.</w:t>
            </w:r>
          </w:p>
        </w:tc>
        <w:tc>
          <w:tcPr>
            <w:tcW w:w="2228" w:type="pct"/>
            <w:tcBorders>
              <w:top w:val="outset" w:sz="6" w:space="0" w:color="auto"/>
              <w:left w:val="outset" w:sz="6" w:space="0" w:color="auto"/>
              <w:bottom w:val="outset" w:sz="6" w:space="0" w:color="auto"/>
              <w:right w:val="outset" w:sz="6" w:space="0" w:color="auto"/>
            </w:tcBorders>
            <w:hideMark/>
          </w:tcPr>
          <w:p w:rsidR="00922B91" w:rsidRPr="00EA466D" w:rsidRDefault="00922B91" w:rsidP="003E6FE6">
            <w:pPr>
              <w:spacing w:after="0" w:line="240" w:lineRule="auto"/>
              <w:rPr>
                <w:rFonts w:ascii="Times New Roman" w:eastAsia="Times New Roman" w:hAnsi="Times New Roman" w:cs="Times New Roman"/>
                <w:sz w:val="28"/>
                <w:szCs w:val="28"/>
                <w:lang w:eastAsia="lv-LV"/>
              </w:rPr>
            </w:pPr>
            <w:r w:rsidRPr="00EA466D">
              <w:rPr>
                <w:rFonts w:ascii="Times New Roman" w:eastAsia="Times New Roman" w:hAnsi="Times New Roman" w:cs="Times New Roman"/>
                <w:sz w:val="28"/>
                <w:szCs w:val="28"/>
                <w:lang w:eastAsia="lv-LV"/>
              </w:rPr>
              <w:t>Cita informācija</w:t>
            </w:r>
          </w:p>
        </w:tc>
        <w:tc>
          <w:tcPr>
            <w:tcW w:w="2460" w:type="pct"/>
            <w:tcBorders>
              <w:top w:val="outset" w:sz="6" w:space="0" w:color="auto"/>
              <w:left w:val="outset" w:sz="6" w:space="0" w:color="auto"/>
              <w:bottom w:val="outset" w:sz="6" w:space="0" w:color="auto"/>
              <w:right w:val="outset" w:sz="6" w:space="0" w:color="auto"/>
            </w:tcBorders>
            <w:hideMark/>
          </w:tcPr>
          <w:p w:rsidR="00922B91" w:rsidRPr="00922B91" w:rsidRDefault="00922B91" w:rsidP="003E6FE6">
            <w:pPr>
              <w:spacing w:after="0" w:line="240" w:lineRule="auto"/>
              <w:rPr>
                <w:rFonts w:ascii="Times New Roman" w:hAnsi="Times New Roman" w:cs="Times New Roman"/>
                <w:sz w:val="28"/>
                <w:szCs w:val="28"/>
              </w:rPr>
            </w:pPr>
            <w:r w:rsidRPr="00922B91">
              <w:rPr>
                <w:rFonts w:ascii="Times New Roman" w:hAnsi="Times New Roman" w:cs="Times New Roman"/>
                <w:sz w:val="28"/>
                <w:szCs w:val="28"/>
              </w:rPr>
              <w:t>Nav.</w:t>
            </w:r>
          </w:p>
        </w:tc>
      </w:tr>
    </w:tbl>
    <w:p w:rsidR="00EA466D" w:rsidRPr="00EA466D" w:rsidRDefault="00EA466D" w:rsidP="00EA466D">
      <w:pPr>
        <w:spacing w:after="0" w:line="240" w:lineRule="auto"/>
        <w:rPr>
          <w:rFonts w:ascii="Times New Roman" w:hAnsi="Times New Roman" w:cs="Times New Roman"/>
          <w:sz w:val="28"/>
          <w:szCs w:val="28"/>
        </w:rPr>
      </w:pPr>
    </w:p>
    <w:p w:rsidR="00EA466D" w:rsidRPr="00EA466D" w:rsidRDefault="00EA466D" w:rsidP="00EA466D">
      <w:pPr>
        <w:spacing w:after="0" w:line="240" w:lineRule="auto"/>
        <w:rPr>
          <w:rFonts w:ascii="Times New Roman" w:hAnsi="Times New Roman" w:cs="Times New Roman"/>
          <w:sz w:val="28"/>
          <w:szCs w:val="28"/>
        </w:rPr>
      </w:pPr>
    </w:p>
    <w:p w:rsidR="00EA466D" w:rsidRPr="00EA466D" w:rsidRDefault="00EA466D" w:rsidP="00922B91">
      <w:pPr>
        <w:spacing w:after="0" w:line="240" w:lineRule="auto"/>
        <w:ind w:firstLine="709"/>
        <w:jc w:val="both"/>
        <w:rPr>
          <w:rFonts w:ascii="Times New Roman" w:hAnsi="Times New Roman" w:cs="Times New Roman"/>
          <w:sz w:val="28"/>
          <w:szCs w:val="28"/>
        </w:rPr>
      </w:pPr>
      <w:r w:rsidRPr="00EA466D">
        <w:rPr>
          <w:rFonts w:ascii="Times New Roman" w:hAnsi="Times New Roman" w:cs="Times New Roman"/>
          <w:sz w:val="28"/>
          <w:szCs w:val="28"/>
        </w:rPr>
        <w:t xml:space="preserve">Izglītības </w:t>
      </w:r>
      <w:r w:rsidR="00922B91">
        <w:rPr>
          <w:rFonts w:ascii="Times New Roman" w:hAnsi="Times New Roman" w:cs="Times New Roman"/>
          <w:sz w:val="28"/>
          <w:szCs w:val="28"/>
        </w:rPr>
        <w:t>un zinātnes ministrs</w:t>
      </w:r>
      <w:r w:rsidR="00922B91">
        <w:rPr>
          <w:rFonts w:ascii="Times New Roman" w:hAnsi="Times New Roman" w:cs="Times New Roman"/>
          <w:sz w:val="28"/>
          <w:szCs w:val="28"/>
        </w:rPr>
        <w:tab/>
      </w:r>
      <w:r w:rsidR="00922B91">
        <w:rPr>
          <w:rFonts w:ascii="Times New Roman" w:hAnsi="Times New Roman" w:cs="Times New Roman"/>
          <w:sz w:val="28"/>
          <w:szCs w:val="28"/>
        </w:rPr>
        <w:tab/>
      </w:r>
      <w:r w:rsidR="00922B91">
        <w:rPr>
          <w:rFonts w:ascii="Times New Roman" w:hAnsi="Times New Roman" w:cs="Times New Roman"/>
          <w:sz w:val="28"/>
          <w:szCs w:val="28"/>
        </w:rPr>
        <w:tab/>
      </w:r>
      <w:proofErr w:type="spellStart"/>
      <w:r w:rsidRPr="00EA466D">
        <w:rPr>
          <w:rFonts w:ascii="Times New Roman" w:hAnsi="Times New Roman" w:cs="Times New Roman"/>
          <w:sz w:val="28"/>
          <w:szCs w:val="28"/>
        </w:rPr>
        <w:t>Vj.Dombrovskis</w:t>
      </w:r>
      <w:proofErr w:type="spellEnd"/>
    </w:p>
    <w:p w:rsidR="00EA466D" w:rsidRPr="00EA466D" w:rsidRDefault="00EA466D" w:rsidP="00EA466D">
      <w:pPr>
        <w:tabs>
          <w:tab w:val="left" w:pos="6804"/>
        </w:tabs>
        <w:spacing w:after="0" w:line="240" w:lineRule="auto"/>
        <w:ind w:firstLine="720"/>
        <w:jc w:val="both"/>
        <w:rPr>
          <w:rFonts w:ascii="Times New Roman" w:hAnsi="Times New Roman" w:cs="Times New Roman"/>
          <w:sz w:val="28"/>
          <w:szCs w:val="28"/>
        </w:rPr>
      </w:pPr>
    </w:p>
    <w:p w:rsidR="00EA466D" w:rsidRPr="00EA466D" w:rsidRDefault="00EA466D" w:rsidP="00EA466D">
      <w:pPr>
        <w:tabs>
          <w:tab w:val="left" w:pos="4545"/>
          <w:tab w:val="left" w:pos="6804"/>
        </w:tabs>
        <w:spacing w:after="0" w:line="240" w:lineRule="auto"/>
        <w:ind w:firstLine="720"/>
        <w:jc w:val="both"/>
        <w:rPr>
          <w:rFonts w:ascii="Times New Roman" w:hAnsi="Times New Roman" w:cs="Times New Roman"/>
          <w:sz w:val="28"/>
          <w:szCs w:val="28"/>
        </w:rPr>
      </w:pPr>
    </w:p>
    <w:p w:rsidR="00922B91" w:rsidRPr="00EA466D" w:rsidRDefault="00EA466D" w:rsidP="008A0EE3">
      <w:pPr>
        <w:spacing w:after="0" w:line="240" w:lineRule="auto"/>
        <w:ind w:left="709"/>
        <w:jc w:val="both"/>
        <w:rPr>
          <w:rFonts w:ascii="Times New Roman" w:hAnsi="Times New Roman" w:cs="Times New Roman"/>
          <w:sz w:val="28"/>
          <w:szCs w:val="28"/>
        </w:rPr>
      </w:pPr>
      <w:r w:rsidRPr="00EA466D">
        <w:rPr>
          <w:rFonts w:ascii="Times New Roman" w:hAnsi="Times New Roman" w:cs="Times New Roman"/>
          <w:sz w:val="28"/>
          <w:szCs w:val="28"/>
        </w:rPr>
        <w:t>Valsts sekretār</w:t>
      </w:r>
      <w:r w:rsidR="00922B91">
        <w:rPr>
          <w:rFonts w:ascii="Times New Roman" w:hAnsi="Times New Roman" w:cs="Times New Roman"/>
          <w:sz w:val="28"/>
          <w:szCs w:val="28"/>
        </w:rPr>
        <w:t>e</w:t>
      </w:r>
      <w:r w:rsidR="00922B91">
        <w:rPr>
          <w:rFonts w:ascii="Times New Roman" w:hAnsi="Times New Roman" w:cs="Times New Roman"/>
          <w:sz w:val="28"/>
          <w:szCs w:val="28"/>
        </w:rPr>
        <w:tab/>
      </w:r>
      <w:r w:rsidR="00922B91">
        <w:rPr>
          <w:rFonts w:ascii="Times New Roman" w:hAnsi="Times New Roman" w:cs="Times New Roman"/>
          <w:sz w:val="28"/>
          <w:szCs w:val="28"/>
        </w:rPr>
        <w:tab/>
      </w:r>
      <w:r w:rsidR="00922B91">
        <w:rPr>
          <w:rFonts w:ascii="Times New Roman" w:hAnsi="Times New Roman" w:cs="Times New Roman"/>
          <w:sz w:val="28"/>
          <w:szCs w:val="28"/>
        </w:rPr>
        <w:tab/>
      </w:r>
      <w:r w:rsidR="00922B91">
        <w:rPr>
          <w:rFonts w:ascii="Times New Roman" w:hAnsi="Times New Roman" w:cs="Times New Roman"/>
          <w:sz w:val="28"/>
          <w:szCs w:val="28"/>
        </w:rPr>
        <w:tab/>
      </w:r>
      <w:r w:rsidR="00922B91">
        <w:rPr>
          <w:rFonts w:ascii="Times New Roman" w:hAnsi="Times New Roman" w:cs="Times New Roman"/>
          <w:sz w:val="28"/>
          <w:szCs w:val="28"/>
        </w:rPr>
        <w:tab/>
      </w:r>
      <w:r w:rsidRPr="00EA466D">
        <w:rPr>
          <w:rFonts w:ascii="Times New Roman" w:hAnsi="Times New Roman" w:cs="Times New Roman"/>
          <w:sz w:val="28"/>
          <w:szCs w:val="28"/>
        </w:rPr>
        <w:t>S.Liepiņa</w:t>
      </w:r>
    </w:p>
    <w:p w:rsidR="003E6FE6" w:rsidRDefault="003E6FE6" w:rsidP="00EA466D">
      <w:pPr>
        <w:spacing w:after="0" w:line="240" w:lineRule="auto"/>
        <w:ind w:firstLine="720"/>
        <w:jc w:val="both"/>
        <w:rPr>
          <w:rFonts w:ascii="Times New Roman" w:hAnsi="Times New Roman" w:cs="Times New Roman"/>
        </w:rPr>
      </w:pPr>
    </w:p>
    <w:p w:rsidR="007C2C93" w:rsidRDefault="007C2C93" w:rsidP="00EA466D">
      <w:pPr>
        <w:spacing w:after="0" w:line="240" w:lineRule="auto"/>
        <w:ind w:firstLine="720"/>
        <w:jc w:val="both"/>
        <w:rPr>
          <w:rFonts w:ascii="Times New Roman" w:hAnsi="Times New Roman" w:cs="Times New Roman"/>
        </w:rPr>
      </w:pPr>
    </w:p>
    <w:p w:rsidR="007C2C93" w:rsidRDefault="007C2C93" w:rsidP="00EA466D">
      <w:pPr>
        <w:spacing w:after="0" w:line="240" w:lineRule="auto"/>
        <w:ind w:firstLine="720"/>
        <w:jc w:val="both"/>
        <w:rPr>
          <w:rFonts w:ascii="Times New Roman" w:hAnsi="Times New Roman" w:cs="Times New Roman"/>
        </w:rPr>
      </w:pPr>
    </w:p>
    <w:p w:rsidR="001B3AAB" w:rsidRDefault="001B3AAB" w:rsidP="00EA466D">
      <w:pPr>
        <w:spacing w:after="0" w:line="240" w:lineRule="auto"/>
        <w:ind w:firstLine="720"/>
        <w:jc w:val="both"/>
        <w:rPr>
          <w:rFonts w:ascii="Times New Roman" w:hAnsi="Times New Roman" w:cs="Times New Roman"/>
        </w:rPr>
      </w:pPr>
    </w:p>
    <w:p w:rsidR="001B3AAB" w:rsidRDefault="001B3AAB" w:rsidP="00EA466D">
      <w:pPr>
        <w:spacing w:after="0" w:line="240" w:lineRule="auto"/>
        <w:ind w:firstLine="720"/>
        <w:jc w:val="both"/>
        <w:rPr>
          <w:rFonts w:ascii="Times New Roman" w:hAnsi="Times New Roman" w:cs="Times New Roman"/>
        </w:rPr>
      </w:pPr>
    </w:p>
    <w:p w:rsidR="001B3AAB" w:rsidRDefault="001B3AAB" w:rsidP="00EA466D">
      <w:pPr>
        <w:spacing w:after="0" w:line="240" w:lineRule="auto"/>
        <w:ind w:firstLine="720"/>
        <w:jc w:val="both"/>
        <w:rPr>
          <w:rFonts w:ascii="Times New Roman" w:hAnsi="Times New Roman" w:cs="Times New Roman"/>
        </w:rPr>
      </w:pPr>
    </w:p>
    <w:p w:rsidR="001B3AAB" w:rsidRDefault="001B3AAB" w:rsidP="00EA466D">
      <w:pPr>
        <w:spacing w:after="0" w:line="240" w:lineRule="auto"/>
        <w:ind w:firstLine="720"/>
        <w:jc w:val="both"/>
        <w:rPr>
          <w:rFonts w:ascii="Times New Roman" w:hAnsi="Times New Roman" w:cs="Times New Roman"/>
        </w:rPr>
      </w:pPr>
    </w:p>
    <w:p w:rsidR="001B3AAB" w:rsidRDefault="001B3AAB" w:rsidP="00EA466D">
      <w:pPr>
        <w:spacing w:after="0" w:line="240" w:lineRule="auto"/>
        <w:ind w:firstLine="720"/>
        <w:jc w:val="both"/>
        <w:rPr>
          <w:rFonts w:ascii="Times New Roman" w:hAnsi="Times New Roman" w:cs="Times New Roman"/>
        </w:rPr>
      </w:pPr>
    </w:p>
    <w:p w:rsidR="001B3AAB" w:rsidRDefault="001B3AAB" w:rsidP="00EA466D">
      <w:pPr>
        <w:spacing w:after="0" w:line="240" w:lineRule="auto"/>
        <w:ind w:firstLine="720"/>
        <w:jc w:val="both"/>
        <w:rPr>
          <w:rFonts w:ascii="Times New Roman" w:hAnsi="Times New Roman" w:cs="Times New Roman"/>
        </w:rPr>
      </w:pPr>
    </w:p>
    <w:p w:rsidR="000E605F" w:rsidRDefault="000E605F" w:rsidP="00EA466D">
      <w:pPr>
        <w:spacing w:after="0" w:line="240" w:lineRule="auto"/>
        <w:ind w:firstLine="720"/>
        <w:jc w:val="both"/>
        <w:rPr>
          <w:rFonts w:ascii="Times New Roman" w:hAnsi="Times New Roman" w:cs="Times New Roman"/>
        </w:rPr>
      </w:pPr>
    </w:p>
    <w:p w:rsidR="000E605F" w:rsidRDefault="000E605F" w:rsidP="00EA466D">
      <w:pPr>
        <w:spacing w:after="0" w:line="240" w:lineRule="auto"/>
        <w:ind w:firstLine="720"/>
        <w:jc w:val="both"/>
        <w:rPr>
          <w:rFonts w:ascii="Times New Roman" w:hAnsi="Times New Roman" w:cs="Times New Roman"/>
        </w:rPr>
      </w:pPr>
    </w:p>
    <w:p w:rsidR="000E605F" w:rsidRDefault="000E605F" w:rsidP="00EA466D">
      <w:pPr>
        <w:spacing w:after="0" w:line="240" w:lineRule="auto"/>
        <w:ind w:firstLine="720"/>
        <w:jc w:val="both"/>
        <w:rPr>
          <w:rFonts w:ascii="Times New Roman" w:hAnsi="Times New Roman" w:cs="Times New Roman"/>
        </w:rPr>
      </w:pPr>
    </w:p>
    <w:p w:rsidR="000E605F" w:rsidRDefault="000E605F" w:rsidP="00EA466D">
      <w:pPr>
        <w:spacing w:after="0" w:line="240" w:lineRule="auto"/>
        <w:ind w:firstLine="720"/>
        <w:jc w:val="both"/>
        <w:rPr>
          <w:rFonts w:ascii="Times New Roman" w:hAnsi="Times New Roman" w:cs="Times New Roman"/>
        </w:rPr>
      </w:pPr>
    </w:p>
    <w:p w:rsidR="000E605F" w:rsidRDefault="000E605F" w:rsidP="00EA466D">
      <w:pPr>
        <w:spacing w:after="0" w:line="240" w:lineRule="auto"/>
        <w:ind w:firstLine="720"/>
        <w:jc w:val="both"/>
        <w:rPr>
          <w:rFonts w:ascii="Times New Roman" w:hAnsi="Times New Roman" w:cs="Times New Roman"/>
        </w:rPr>
      </w:pPr>
    </w:p>
    <w:p w:rsidR="000E605F" w:rsidRDefault="000E605F" w:rsidP="00EA466D">
      <w:pPr>
        <w:spacing w:after="0" w:line="240" w:lineRule="auto"/>
        <w:ind w:firstLine="720"/>
        <w:jc w:val="both"/>
        <w:rPr>
          <w:rFonts w:ascii="Times New Roman" w:hAnsi="Times New Roman" w:cs="Times New Roman"/>
        </w:rPr>
      </w:pPr>
    </w:p>
    <w:p w:rsidR="000E605F" w:rsidRDefault="000E605F" w:rsidP="00EA466D">
      <w:pPr>
        <w:spacing w:after="0" w:line="240" w:lineRule="auto"/>
        <w:ind w:firstLine="720"/>
        <w:jc w:val="both"/>
        <w:rPr>
          <w:rFonts w:ascii="Times New Roman" w:hAnsi="Times New Roman" w:cs="Times New Roman"/>
        </w:rPr>
      </w:pPr>
    </w:p>
    <w:p w:rsidR="000E605F" w:rsidRDefault="000E605F" w:rsidP="00EA466D">
      <w:pPr>
        <w:spacing w:after="0" w:line="240" w:lineRule="auto"/>
        <w:ind w:firstLine="720"/>
        <w:jc w:val="both"/>
        <w:rPr>
          <w:rFonts w:ascii="Times New Roman" w:hAnsi="Times New Roman" w:cs="Times New Roman"/>
        </w:rPr>
      </w:pPr>
    </w:p>
    <w:p w:rsidR="000E605F" w:rsidRDefault="000E605F" w:rsidP="00EA466D">
      <w:pPr>
        <w:spacing w:after="0" w:line="240" w:lineRule="auto"/>
        <w:ind w:firstLine="720"/>
        <w:jc w:val="both"/>
        <w:rPr>
          <w:rFonts w:ascii="Times New Roman" w:hAnsi="Times New Roman" w:cs="Times New Roman"/>
        </w:rPr>
      </w:pPr>
    </w:p>
    <w:p w:rsidR="000E605F" w:rsidRDefault="000E605F" w:rsidP="00EA466D">
      <w:pPr>
        <w:spacing w:after="0" w:line="240" w:lineRule="auto"/>
        <w:ind w:firstLine="720"/>
        <w:jc w:val="both"/>
        <w:rPr>
          <w:rFonts w:ascii="Times New Roman" w:hAnsi="Times New Roman" w:cs="Times New Roman"/>
        </w:rPr>
      </w:pPr>
    </w:p>
    <w:p w:rsidR="000E605F" w:rsidRDefault="000E605F" w:rsidP="00EA466D">
      <w:pPr>
        <w:spacing w:after="0" w:line="240" w:lineRule="auto"/>
        <w:ind w:firstLine="720"/>
        <w:jc w:val="both"/>
        <w:rPr>
          <w:rFonts w:ascii="Times New Roman" w:hAnsi="Times New Roman" w:cs="Times New Roman"/>
        </w:rPr>
      </w:pPr>
    </w:p>
    <w:p w:rsidR="001B3AAB" w:rsidRDefault="001B3AAB" w:rsidP="00EA466D">
      <w:pPr>
        <w:spacing w:after="0" w:line="240" w:lineRule="auto"/>
        <w:ind w:firstLine="720"/>
        <w:jc w:val="both"/>
        <w:rPr>
          <w:rFonts w:ascii="Times New Roman" w:hAnsi="Times New Roman" w:cs="Times New Roman"/>
        </w:rPr>
      </w:pPr>
    </w:p>
    <w:p w:rsidR="001B3AAB" w:rsidRDefault="001B3AAB" w:rsidP="00EA466D">
      <w:pPr>
        <w:spacing w:after="0" w:line="240" w:lineRule="auto"/>
        <w:ind w:firstLine="720"/>
        <w:jc w:val="both"/>
        <w:rPr>
          <w:rFonts w:ascii="Times New Roman" w:hAnsi="Times New Roman" w:cs="Times New Roman"/>
        </w:rPr>
      </w:pPr>
    </w:p>
    <w:p w:rsidR="001B3AAB" w:rsidRDefault="001B3AAB" w:rsidP="00EA466D">
      <w:pPr>
        <w:spacing w:after="0" w:line="240" w:lineRule="auto"/>
        <w:ind w:firstLine="720"/>
        <w:jc w:val="both"/>
        <w:rPr>
          <w:rFonts w:ascii="Times New Roman" w:hAnsi="Times New Roman" w:cs="Times New Roman"/>
        </w:rPr>
      </w:pPr>
    </w:p>
    <w:p w:rsidR="00EA466D" w:rsidRPr="003E6FE6" w:rsidRDefault="002F01AC" w:rsidP="00EA466D">
      <w:pPr>
        <w:spacing w:after="0" w:line="240" w:lineRule="auto"/>
        <w:ind w:firstLine="720"/>
        <w:jc w:val="both"/>
        <w:rPr>
          <w:rFonts w:ascii="Times New Roman" w:hAnsi="Times New Roman" w:cs="Times New Roman"/>
        </w:rPr>
      </w:pPr>
      <w:r>
        <w:rPr>
          <w:rFonts w:ascii="Times New Roman" w:hAnsi="Times New Roman" w:cs="Times New Roman"/>
        </w:rPr>
        <w:t>18</w:t>
      </w:r>
      <w:r w:rsidR="00995CCF" w:rsidRPr="003E6FE6">
        <w:rPr>
          <w:rFonts w:ascii="Times New Roman" w:hAnsi="Times New Roman" w:cs="Times New Roman"/>
        </w:rPr>
        <w:t>.</w:t>
      </w:r>
      <w:r w:rsidR="00B9661F">
        <w:rPr>
          <w:rFonts w:ascii="Times New Roman" w:hAnsi="Times New Roman" w:cs="Times New Roman"/>
        </w:rPr>
        <w:t>10</w:t>
      </w:r>
      <w:r w:rsidR="00EA466D" w:rsidRPr="003E6FE6">
        <w:rPr>
          <w:rFonts w:ascii="Times New Roman" w:hAnsi="Times New Roman" w:cs="Times New Roman"/>
        </w:rPr>
        <w:t xml:space="preserve">.2013 </w:t>
      </w:r>
      <w:r>
        <w:rPr>
          <w:rFonts w:ascii="Times New Roman" w:hAnsi="Times New Roman" w:cs="Times New Roman"/>
        </w:rPr>
        <w:t>10:3</w:t>
      </w:r>
      <w:r w:rsidR="00A63DF3">
        <w:rPr>
          <w:rFonts w:ascii="Times New Roman" w:hAnsi="Times New Roman" w:cs="Times New Roman"/>
        </w:rPr>
        <w:t>4</w:t>
      </w:r>
    </w:p>
    <w:p w:rsidR="00EA466D" w:rsidRPr="003E6FE6" w:rsidRDefault="00A63DF3" w:rsidP="00EA466D">
      <w:pPr>
        <w:spacing w:after="0" w:line="240" w:lineRule="auto"/>
        <w:ind w:firstLine="720"/>
        <w:jc w:val="both"/>
        <w:rPr>
          <w:rFonts w:ascii="Times New Roman" w:hAnsi="Times New Roman" w:cs="Times New Roman"/>
        </w:rPr>
      </w:pPr>
      <w:r>
        <w:rPr>
          <w:rFonts w:ascii="Times New Roman" w:hAnsi="Times New Roman" w:cs="Times New Roman"/>
        </w:rPr>
        <w:t>801</w:t>
      </w:r>
    </w:p>
    <w:p w:rsidR="00EA466D" w:rsidRPr="003E6FE6" w:rsidRDefault="00553CD9" w:rsidP="00EA466D">
      <w:pPr>
        <w:spacing w:after="0" w:line="240" w:lineRule="auto"/>
        <w:ind w:firstLine="709"/>
        <w:rPr>
          <w:rFonts w:ascii="Times New Roman" w:hAnsi="Times New Roman" w:cs="Times New Roman"/>
        </w:rPr>
      </w:pPr>
      <w:proofErr w:type="spellStart"/>
      <w:r>
        <w:rPr>
          <w:rFonts w:ascii="Times New Roman" w:hAnsi="Times New Roman" w:cs="Times New Roman"/>
        </w:rPr>
        <w:t>K.Grundmane</w:t>
      </w:r>
      <w:proofErr w:type="spellEnd"/>
    </w:p>
    <w:p w:rsidR="00EA466D" w:rsidRPr="003E6FE6" w:rsidRDefault="00553CD9" w:rsidP="003E6FE6">
      <w:pPr>
        <w:spacing w:after="0" w:line="240" w:lineRule="auto"/>
        <w:ind w:firstLine="709"/>
        <w:rPr>
          <w:rFonts w:ascii="Times New Roman" w:hAnsi="Times New Roman" w:cs="Times New Roman"/>
        </w:rPr>
      </w:pPr>
      <w:r>
        <w:rPr>
          <w:rFonts w:ascii="Times New Roman" w:hAnsi="Times New Roman" w:cs="Times New Roman"/>
        </w:rPr>
        <w:t>67047943</w:t>
      </w:r>
      <w:r w:rsidR="00EA466D" w:rsidRPr="003E6FE6">
        <w:rPr>
          <w:rFonts w:ascii="Times New Roman" w:hAnsi="Times New Roman" w:cs="Times New Roman"/>
        </w:rPr>
        <w:t xml:space="preserve">, </w:t>
      </w:r>
      <w:hyperlink r:id="rId8" w:history="1">
        <w:r w:rsidRPr="009E0DA7">
          <w:rPr>
            <w:rStyle w:val="Hyperlink"/>
            <w:rFonts w:ascii="Times New Roman" w:hAnsi="Times New Roman"/>
          </w:rPr>
          <w:t>kristine.grundmane@izm.gov.lv</w:t>
        </w:r>
      </w:hyperlink>
    </w:p>
    <w:sectPr w:rsidR="00EA466D" w:rsidRPr="003E6FE6" w:rsidSect="00995CCF">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868" w:rsidRDefault="00E34868" w:rsidP="00EA466D">
      <w:pPr>
        <w:spacing w:after="0" w:line="240" w:lineRule="auto"/>
      </w:pPr>
      <w:r>
        <w:separator/>
      </w:r>
    </w:p>
  </w:endnote>
  <w:endnote w:type="continuationSeparator" w:id="0">
    <w:p w:rsidR="00E34868" w:rsidRDefault="00E34868" w:rsidP="00EA46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868" w:rsidRPr="00995CCF" w:rsidRDefault="00E34868" w:rsidP="00995CCF">
    <w:pPr>
      <w:spacing w:after="0" w:line="240" w:lineRule="auto"/>
      <w:jc w:val="both"/>
      <w:rPr>
        <w:rFonts w:ascii="Times New Roman" w:hAnsi="Times New Roman" w:cs="Times New Roman"/>
        <w:sz w:val="20"/>
        <w:szCs w:val="20"/>
      </w:rPr>
    </w:pPr>
    <w:r w:rsidRPr="00922B91">
      <w:rPr>
        <w:rFonts w:ascii="Times New Roman" w:hAnsi="Times New Roman" w:cs="Times New Roman"/>
        <w:sz w:val="20"/>
        <w:szCs w:val="20"/>
      </w:rPr>
      <w:t>IZMAnot_</w:t>
    </w:r>
    <w:r w:rsidR="002F01AC">
      <w:rPr>
        <w:rFonts w:ascii="Times New Roman" w:hAnsi="Times New Roman" w:cs="Times New Roman"/>
        <w:sz w:val="20"/>
        <w:szCs w:val="20"/>
      </w:rPr>
      <w:t>18</w:t>
    </w:r>
    <w:r w:rsidR="00B9661F">
      <w:rPr>
        <w:rFonts w:ascii="Times New Roman" w:hAnsi="Times New Roman" w:cs="Times New Roman"/>
        <w:sz w:val="20"/>
        <w:szCs w:val="20"/>
      </w:rPr>
      <w:t>10</w:t>
    </w:r>
    <w:r w:rsidRPr="00922B91">
      <w:rPr>
        <w:rFonts w:ascii="Times New Roman" w:hAnsi="Times New Roman" w:cs="Times New Roman"/>
        <w:sz w:val="20"/>
        <w:szCs w:val="20"/>
      </w:rPr>
      <w:t xml:space="preserve">13_groz12112; </w:t>
    </w:r>
    <w:bookmarkStart w:id="9" w:name="OLE_LINK3"/>
    <w:bookmarkStart w:id="10" w:name="OLE_LINK4"/>
    <w:r w:rsidRPr="00922B91">
      <w:rPr>
        <w:rFonts w:ascii="Times New Roman" w:hAnsi="Times New Roman" w:cs="Times New Roman"/>
        <w:sz w:val="20"/>
        <w:szCs w:val="20"/>
      </w:rPr>
      <w:t>Ministru kabineta noteikumu projekta „Grozījums Ministr</w:t>
    </w:r>
    <w:r>
      <w:rPr>
        <w:rFonts w:ascii="Times New Roman" w:hAnsi="Times New Roman" w:cs="Times New Roman"/>
        <w:sz w:val="20"/>
        <w:szCs w:val="20"/>
      </w:rPr>
      <w:t>u kabineta 2009.gada 17.februāra</w:t>
    </w:r>
    <w:r w:rsidRPr="00922B91">
      <w:rPr>
        <w:rFonts w:ascii="Times New Roman" w:hAnsi="Times New Roman" w:cs="Times New Roman"/>
        <w:sz w:val="20"/>
        <w:szCs w:val="20"/>
      </w:rPr>
      <w:t xml:space="preserve"> noteikumos Nr.151 „Noteikumi par darbības programmas „Cilvēkresursi un nodarbinātība” papildinājuma 1.2.1.1.2.apakšaktivitāti „Profesionālajā izglītībā iesaistīto pedagogu kompetences paaugstināšana”” sākotnējās ietekmes novērtējuma ziņojums (anotācija)</w:t>
    </w:r>
    <w:bookmarkEnd w:id="9"/>
    <w:bookmarkEnd w:id="10"/>
    <w:r w:rsidRPr="00922B91">
      <w:rPr>
        <w:rFonts w:ascii="Times New Roman" w:hAnsi="Times New Roman" w:cs="Times New Roman"/>
        <w:sz w:val="20"/>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868" w:rsidRDefault="00E34868" w:rsidP="001B3AAB">
    <w:pPr>
      <w:pStyle w:val="Footer"/>
      <w:jc w:val="both"/>
    </w:pPr>
    <w:r w:rsidRPr="00922B91">
      <w:rPr>
        <w:rFonts w:ascii="Times New Roman" w:hAnsi="Times New Roman" w:cs="Times New Roman"/>
        <w:sz w:val="20"/>
        <w:szCs w:val="20"/>
      </w:rPr>
      <w:t>IZMAnot_</w:t>
    </w:r>
    <w:r w:rsidR="002F01AC">
      <w:rPr>
        <w:rFonts w:ascii="Times New Roman" w:hAnsi="Times New Roman" w:cs="Times New Roman"/>
        <w:sz w:val="20"/>
        <w:szCs w:val="20"/>
      </w:rPr>
      <w:t>18</w:t>
    </w:r>
    <w:r w:rsidR="00B9661F">
      <w:rPr>
        <w:rFonts w:ascii="Times New Roman" w:hAnsi="Times New Roman" w:cs="Times New Roman"/>
        <w:sz w:val="20"/>
        <w:szCs w:val="20"/>
      </w:rPr>
      <w:t>10</w:t>
    </w:r>
    <w:r w:rsidRPr="00922B91">
      <w:rPr>
        <w:rFonts w:ascii="Times New Roman" w:hAnsi="Times New Roman" w:cs="Times New Roman"/>
        <w:sz w:val="20"/>
        <w:szCs w:val="20"/>
      </w:rPr>
      <w:t>13_groz12112; Ministru kabineta noteikumu projekta „Grozījums Ministr</w:t>
    </w:r>
    <w:r>
      <w:rPr>
        <w:rFonts w:ascii="Times New Roman" w:hAnsi="Times New Roman" w:cs="Times New Roman"/>
        <w:sz w:val="20"/>
        <w:szCs w:val="20"/>
      </w:rPr>
      <w:t>u kabineta 2009.gada 17.februāra</w:t>
    </w:r>
    <w:r w:rsidRPr="00922B91">
      <w:rPr>
        <w:rFonts w:ascii="Times New Roman" w:hAnsi="Times New Roman" w:cs="Times New Roman"/>
        <w:sz w:val="20"/>
        <w:szCs w:val="20"/>
      </w:rPr>
      <w:t xml:space="preserve"> noteikumos Nr.151 „Noteikumi par darbības programmas „Cilvēkresursi un nodarbinātība” papildinājuma 1.2.1.1.2.apakšaktivitāti „Profesionālajā izglītībā iesaistīto pedagogu kompetences paaugstināšana””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868" w:rsidRDefault="00E34868" w:rsidP="00EA466D">
      <w:pPr>
        <w:spacing w:after="0" w:line="240" w:lineRule="auto"/>
      </w:pPr>
      <w:r>
        <w:separator/>
      </w:r>
    </w:p>
  </w:footnote>
  <w:footnote w:type="continuationSeparator" w:id="0">
    <w:p w:rsidR="00E34868" w:rsidRDefault="00E34868" w:rsidP="00EA46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79837"/>
      <w:docPartObj>
        <w:docPartGallery w:val="Page Numbers (Top of Page)"/>
        <w:docPartUnique/>
      </w:docPartObj>
    </w:sdtPr>
    <w:sdtContent>
      <w:p w:rsidR="00E34868" w:rsidRDefault="00F7519C">
        <w:pPr>
          <w:pStyle w:val="Header"/>
          <w:jc w:val="center"/>
        </w:pPr>
        <w:r w:rsidRPr="00995CCF">
          <w:rPr>
            <w:rFonts w:ascii="Times New Roman" w:hAnsi="Times New Roman" w:cs="Times New Roman"/>
          </w:rPr>
          <w:fldChar w:fldCharType="begin"/>
        </w:r>
        <w:r w:rsidR="00E34868" w:rsidRPr="00995CCF">
          <w:rPr>
            <w:rFonts w:ascii="Times New Roman" w:hAnsi="Times New Roman" w:cs="Times New Roman"/>
          </w:rPr>
          <w:instrText xml:space="preserve"> PAGE   \* MERGEFORMAT </w:instrText>
        </w:r>
        <w:r w:rsidRPr="00995CCF">
          <w:rPr>
            <w:rFonts w:ascii="Times New Roman" w:hAnsi="Times New Roman" w:cs="Times New Roman"/>
          </w:rPr>
          <w:fldChar w:fldCharType="separate"/>
        </w:r>
        <w:r w:rsidR="00A63DF3">
          <w:rPr>
            <w:rFonts w:ascii="Times New Roman" w:hAnsi="Times New Roman" w:cs="Times New Roman"/>
            <w:noProof/>
          </w:rPr>
          <w:t>5</w:t>
        </w:r>
        <w:r w:rsidRPr="00995CCF">
          <w:rPr>
            <w:rFonts w:ascii="Times New Roman" w:hAnsi="Times New Roman" w:cs="Times New Roman"/>
          </w:rPr>
          <w:fldChar w:fldCharType="end"/>
        </w:r>
      </w:p>
    </w:sdtContent>
  </w:sdt>
  <w:p w:rsidR="00E34868" w:rsidRDefault="00E348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26961"/>
    <w:multiLevelType w:val="hybridMultilevel"/>
    <w:tmpl w:val="3AA2B4E2"/>
    <w:lvl w:ilvl="0" w:tplc="D6BC95B2">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rsids>
    <w:rsidRoot w:val="00EA466D"/>
    <w:rsid w:val="00077282"/>
    <w:rsid w:val="00087B1E"/>
    <w:rsid w:val="000D5E6C"/>
    <w:rsid w:val="000E605F"/>
    <w:rsid w:val="000F3A55"/>
    <w:rsid w:val="0011466D"/>
    <w:rsid w:val="00126B58"/>
    <w:rsid w:val="00196C4F"/>
    <w:rsid w:val="001B3AAB"/>
    <w:rsid w:val="001C385C"/>
    <w:rsid w:val="001E04A7"/>
    <w:rsid w:val="001E5B95"/>
    <w:rsid w:val="002342CA"/>
    <w:rsid w:val="00255D41"/>
    <w:rsid w:val="00270764"/>
    <w:rsid w:val="002862A0"/>
    <w:rsid w:val="002F01AC"/>
    <w:rsid w:val="0039269B"/>
    <w:rsid w:val="003E6FE6"/>
    <w:rsid w:val="003F20F0"/>
    <w:rsid w:val="00486B91"/>
    <w:rsid w:val="004B6CEC"/>
    <w:rsid w:val="004E6CA4"/>
    <w:rsid w:val="00553CD9"/>
    <w:rsid w:val="00631A40"/>
    <w:rsid w:val="007578E7"/>
    <w:rsid w:val="00786B40"/>
    <w:rsid w:val="007B1DB6"/>
    <w:rsid w:val="007C2C93"/>
    <w:rsid w:val="00830A78"/>
    <w:rsid w:val="0087620A"/>
    <w:rsid w:val="008A0EE3"/>
    <w:rsid w:val="008C4692"/>
    <w:rsid w:val="008F531B"/>
    <w:rsid w:val="00922B91"/>
    <w:rsid w:val="00995CCF"/>
    <w:rsid w:val="009A310E"/>
    <w:rsid w:val="009C5C7A"/>
    <w:rsid w:val="009F7204"/>
    <w:rsid w:val="00A310E7"/>
    <w:rsid w:val="00A364BD"/>
    <w:rsid w:val="00A63DF3"/>
    <w:rsid w:val="00AE41A9"/>
    <w:rsid w:val="00B26C96"/>
    <w:rsid w:val="00B329AE"/>
    <w:rsid w:val="00B376D5"/>
    <w:rsid w:val="00B90DAF"/>
    <w:rsid w:val="00B9661F"/>
    <w:rsid w:val="00BB5320"/>
    <w:rsid w:val="00BD3F22"/>
    <w:rsid w:val="00C154E8"/>
    <w:rsid w:val="00CA3E85"/>
    <w:rsid w:val="00CE13CF"/>
    <w:rsid w:val="00DA048A"/>
    <w:rsid w:val="00E34868"/>
    <w:rsid w:val="00EA466D"/>
    <w:rsid w:val="00F7519C"/>
    <w:rsid w:val="00FC72B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A466D"/>
    <w:pPr>
      <w:widowControl w:val="0"/>
      <w:spacing w:before="60" w:after="60" w:line="360" w:lineRule="auto"/>
      <w:ind w:left="720" w:firstLine="720"/>
      <w:contextualSpacing/>
      <w:jc w:val="both"/>
    </w:pPr>
    <w:rPr>
      <w:rFonts w:ascii="Times New Roman" w:eastAsia="Times New Roman" w:hAnsi="Times New Roman" w:cs="Times New Roman"/>
      <w:sz w:val="26"/>
      <w:szCs w:val="20"/>
      <w:lang w:val="en-AU"/>
    </w:rPr>
  </w:style>
  <w:style w:type="character" w:styleId="Hyperlink">
    <w:name w:val="Hyperlink"/>
    <w:basedOn w:val="DefaultParagraphFont"/>
    <w:rsid w:val="00EA466D"/>
    <w:rPr>
      <w:rFonts w:cs="Times New Roman"/>
      <w:color w:val="0000FF"/>
      <w:u w:val="single"/>
    </w:rPr>
  </w:style>
  <w:style w:type="paragraph" w:styleId="Header">
    <w:name w:val="header"/>
    <w:basedOn w:val="Normal"/>
    <w:link w:val="HeaderChar"/>
    <w:uiPriority w:val="99"/>
    <w:unhideWhenUsed/>
    <w:rsid w:val="00EA466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466D"/>
  </w:style>
  <w:style w:type="paragraph" w:styleId="Footer">
    <w:name w:val="footer"/>
    <w:basedOn w:val="Normal"/>
    <w:link w:val="FooterChar"/>
    <w:uiPriority w:val="99"/>
    <w:semiHidden/>
    <w:unhideWhenUsed/>
    <w:rsid w:val="00EA466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EA466D"/>
  </w:style>
</w:styles>
</file>

<file path=word/webSettings.xml><?xml version="1.0" encoding="utf-8"?>
<w:webSettings xmlns:r="http://schemas.openxmlformats.org/officeDocument/2006/relationships" xmlns:w="http://schemas.openxmlformats.org/wordprocessingml/2006/main">
  <w:divs>
    <w:div w:id="1340812742">
      <w:bodyDiv w:val="1"/>
      <w:marLeft w:val="0"/>
      <w:marRight w:val="0"/>
      <w:marTop w:val="0"/>
      <w:marBottom w:val="0"/>
      <w:divBdr>
        <w:top w:val="none" w:sz="0" w:space="0" w:color="auto"/>
        <w:left w:val="none" w:sz="0" w:space="0" w:color="auto"/>
        <w:bottom w:val="none" w:sz="0" w:space="0" w:color="auto"/>
        <w:right w:val="none" w:sz="0" w:space="0" w:color="auto"/>
      </w:divBdr>
    </w:div>
    <w:div w:id="1399934860">
      <w:bodyDiv w:val="1"/>
      <w:marLeft w:val="0"/>
      <w:marRight w:val="0"/>
      <w:marTop w:val="0"/>
      <w:marBottom w:val="0"/>
      <w:divBdr>
        <w:top w:val="none" w:sz="0" w:space="0" w:color="auto"/>
        <w:left w:val="none" w:sz="0" w:space="0" w:color="auto"/>
        <w:bottom w:val="none" w:sz="0" w:space="0" w:color="auto"/>
        <w:right w:val="none" w:sz="0" w:space="0" w:color="auto"/>
      </w:divBdr>
      <w:divsChild>
        <w:div w:id="1898278118">
          <w:marLeft w:val="0"/>
          <w:marRight w:val="0"/>
          <w:marTop w:val="0"/>
          <w:marBottom w:val="0"/>
          <w:divBdr>
            <w:top w:val="none" w:sz="0" w:space="0" w:color="auto"/>
            <w:left w:val="none" w:sz="0" w:space="0" w:color="auto"/>
            <w:bottom w:val="none" w:sz="0" w:space="0" w:color="auto"/>
            <w:right w:val="none" w:sz="0" w:space="0" w:color="auto"/>
          </w:divBdr>
          <w:divsChild>
            <w:div w:id="2081512651">
              <w:marLeft w:val="0"/>
              <w:marRight w:val="0"/>
              <w:marTop w:val="0"/>
              <w:marBottom w:val="0"/>
              <w:divBdr>
                <w:top w:val="none" w:sz="0" w:space="0" w:color="auto"/>
                <w:left w:val="none" w:sz="0" w:space="0" w:color="auto"/>
                <w:bottom w:val="none" w:sz="0" w:space="0" w:color="auto"/>
                <w:right w:val="none" w:sz="0" w:space="0" w:color="auto"/>
              </w:divBdr>
              <w:divsChild>
                <w:div w:id="1811434911">
                  <w:marLeft w:val="0"/>
                  <w:marRight w:val="0"/>
                  <w:marTop w:val="0"/>
                  <w:marBottom w:val="0"/>
                  <w:divBdr>
                    <w:top w:val="none" w:sz="0" w:space="0" w:color="auto"/>
                    <w:left w:val="none" w:sz="0" w:space="0" w:color="auto"/>
                    <w:bottom w:val="none" w:sz="0" w:space="0" w:color="auto"/>
                    <w:right w:val="none" w:sz="0" w:space="0" w:color="auto"/>
                  </w:divBdr>
                  <w:divsChild>
                    <w:div w:id="1169056010">
                      <w:marLeft w:val="0"/>
                      <w:marRight w:val="0"/>
                      <w:marTop w:val="0"/>
                      <w:marBottom w:val="0"/>
                      <w:divBdr>
                        <w:top w:val="none" w:sz="0" w:space="0" w:color="auto"/>
                        <w:left w:val="none" w:sz="0" w:space="0" w:color="auto"/>
                        <w:bottom w:val="none" w:sz="0" w:space="0" w:color="auto"/>
                        <w:right w:val="none" w:sz="0" w:space="0" w:color="auto"/>
                      </w:divBdr>
                      <w:divsChild>
                        <w:div w:id="27534140">
                          <w:marLeft w:val="0"/>
                          <w:marRight w:val="0"/>
                          <w:marTop w:val="0"/>
                          <w:marBottom w:val="0"/>
                          <w:divBdr>
                            <w:top w:val="none" w:sz="0" w:space="0" w:color="auto"/>
                            <w:left w:val="none" w:sz="0" w:space="0" w:color="auto"/>
                            <w:bottom w:val="none" w:sz="0" w:space="0" w:color="auto"/>
                            <w:right w:val="none" w:sz="0" w:space="0" w:color="auto"/>
                          </w:divBdr>
                          <w:divsChild>
                            <w:div w:id="20039252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ine.grundman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23B25-F3A3-4AF7-8C0E-F5902DE4A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812</Words>
  <Characters>6583</Characters>
  <Application>Microsoft Office Word</Application>
  <DocSecurity>0</DocSecurity>
  <Lines>263</Lines>
  <Paragraphs>101</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2009.gada 17.februāra noteikumos Nr.151 „Noteikumi par darbības programmas „Cilvēkresursi un nodarbinātība” papildinājuma 1.2.1.1.2.apakšaktivitāti „Profesionālajā izglītībā iesaistīto peda</vt:lpstr>
    </vt:vector>
  </TitlesOfParts>
  <Company>IZM</Company>
  <LinksUpToDate>false</LinksUpToDate>
  <CharactersWithSpaces>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2009.gada 17.februāra noteikumos Nr.151 „Noteikumi par darbības programmas „Cilvēkresursi un nodarbinātība” papildinājuma 1.2.1.1.2.apakšaktivitāti „Profesionālajā izglītībā iesaistīto pedagogu kompetences paaugstināšana”” sākotnējās ietekmes novērtējuma ziņojums (anotācija)</dc:title>
  <dc:subject>Anotācija</dc:subject>
  <dc:creator>K.Grundmane</dc:creator>
  <dc:description>kristine.grundmane@izm.gov.lv, 67047943</dc:description>
  <cp:lastModifiedBy>kgrundmane</cp:lastModifiedBy>
  <cp:revision>39</cp:revision>
  <dcterms:created xsi:type="dcterms:W3CDTF">2013-09-11T12:29:00Z</dcterms:created>
  <dcterms:modified xsi:type="dcterms:W3CDTF">2013-10-18T07:34:00Z</dcterms:modified>
  <cp:category>IZM</cp:category>
</cp:coreProperties>
</file>