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E6" w:rsidRDefault="007C18D9" w:rsidP="00385557">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Rīkojuma </w:t>
      </w:r>
      <w:r w:rsidR="00225B14">
        <w:rPr>
          <w:rFonts w:ascii="Times New Roman" w:eastAsia="Times New Roman" w:hAnsi="Times New Roman"/>
          <w:b/>
          <w:bCs/>
          <w:sz w:val="28"/>
          <w:szCs w:val="28"/>
          <w:lang w:eastAsia="lv-LV" w:bidi="he-IL"/>
        </w:rPr>
        <w:t>"</w:t>
      </w:r>
      <w:r>
        <w:rPr>
          <w:rFonts w:ascii="Times New Roman" w:eastAsia="Times New Roman" w:hAnsi="Times New Roman"/>
          <w:b/>
          <w:bCs/>
          <w:sz w:val="28"/>
          <w:szCs w:val="28"/>
          <w:lang w:eastAsia="lv-LV"/>
        </w:rPr>
        <w:t xml:space="preserve">Grozījumi darbības programmas </w:t>
      </w:r>
      <w:r w:rsidR="00225B14">
        <w:rPr>
          <w:rFonts w:ascii="Times New Roman" w:eastAsia="Times New Roman" w:hAnsi="Times New Roman"/>
          <w:b/>
          <w:bCs/>
          <w:sz w:val="28"/>
          <w:szCs w:val="28"/>
          <w:lang w:eastAsia="lv-LV" w:bidi="he-IL"/>
        </w:rPr>
        <w:t>"</w:t>
      </w:r>
      <w:r w:rsidR="001D2922">
        <w:rPr>
          <w:rFonts w:ascii="Times New Roman" w:eastAsia="Times New Roman" w:hAnsi="Times New Roman"/>
          <w:b/>
          <w:bCs/>
          <w:sz w:val="28"/>
          <w:szCs w:val="28"/>
          <w:lang w:eastAsia="lv-LV"/>
        </w:rPr>
        <w:t>Uzņēmējdarbība un inovācijas</w:t>
      </w:r>
      <w:r w:rsidR="00225B14">
        <w:rPr>
          <w:rFonts w:ascii="Times New Roman" w:eastAsia="Times New Roman" w:hAnsi="Times New Roman"/>
          <w:b/>
          <w:bCs/>
          <w:sz w:val="28"/>
          <w:szCs w:val="28"/>
          <w:lang w:eastAsia="lv-LV" w:bidi="he-IL"/>
        </w:rPr>
        <w:t>"</w:t>
      </w:r>
      <w:r>
        <w:rPr>
          <w:rFonts w:ascii="Times New Roman" w:eastAsia="Times New Roman" w:hAnsi="Times New Roman"/>
          <w:b/>
          <w:bCs/>
          <w:sz w:val="28"/>
          <w:szCs w:val="28"/>
          <w:lang w:eastAsia="lv-LV"/>
        </w:rPr>
        <w:t xml:space="preserve"> papildinājumā</w:t>
      </w:r>
      <w:r w:rsidR="00225B14">
        <w:rPr>
          <w:rFonts w:ascii="Times New Roman" w:eastAsia="Times New Roman" w:hAnsi="Times New Roman"/>
          <w:b/>
          <w:bCs/>
          <w:sz w:val="28"/>
          <w:szCs w:val="28"/>
          <w:lang w:eastAsia="lv-LV" w:bidi="he-IL"/>
        </w:rPr>
        <w:t>"</w:t>
      </w:r>
      <w:r w:rsidR="00003B50" w:rsidRPr="00003B50">
        <w:rPr>
          <w:rFonts w:ascii="Times New Roman" w:eastAsia="Times New Roman" w:hAnsi="Times New Roman"/>
          <w:b/>
          <w:bCs/>
          <w:sz w:val="28"/>
          <w:szCs w:val="28"/>
          <w:lang w:eastAsia="lv-LV"/>
        </w:rPr>
        <w:t xml:space="preserve"> projekta sākotnējās ietekmes novērtējuma ziņojums (anotācija)</w:t>
      </w:r>
    </w:p>
    <w:p w:rsidR="001D2922" w:rsidRPr="00003B50" w:rsidRDefault="001D2922" w:rsidP="00385557">
      <w:pPr>
        <w:spacing w:after="0" w:line="240" w:lineRule="auto"/>
        <w:jc w:val="center"/>
        <w:outlineLvl w:val="3"/>
        <w:rPr>
          <w:rFonts w:ascii="Times New Roman" w:eastAsia="Times New Roman" w:hAnsi="Times New Roman"/>
          <w:b/>
          <w:bCs/>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97"/>
        <w:gridCol w:w="1674"/>
        <w:gridCol w:w="7118"/>
      </w:tblGrid>
      <w:tr w:rsidR="00003B50" w:rsidRPr="003A5040" w:rsidTr="008A0882">
        <w:trPr>
          <w:tblCellSpacing w:w="15" w:type="dxa"/>
        </w:trPr>
        <w:tc>
          <w:tcPr>
            <w:tcW w:w="4968" w:type="pct"/>
            <w:gridSpan w:val="3"/>
            <w:vAlign w:val="center"/>
            <w:hideMark/>
          </w:tcPr>
          <w:p w:rsidR="00003B50" w:rsidRPr="003A5040" w:rsidRDefault="00003B50" w:rsidP="009E641F">
            <w:pPr>
              <w:spacing w:after="0" w:line="240" w:lineRule="auto"/>
              <w:jc w:val="center"/>
              <w:rPr>
                <w:rFonts w:ascii="Times New Roman" w:eastAsia="Times New Roman" w:hAnsi="Times New Roman"/>
                <w:b/>
                <w:bCs/>
                <w:sz w:val="26"/>
                <w:szCs w:val="26"/>
                <w:lang w:eastAsia="lv-LV"/>
              </w:rPr>
            </w:pPr>
            <w:r w:rsidRPr="003A5040">
              <w:rPr>
                <w:rFonts w:ascii="Times New Roman" w:eastAsia="Times New Roman" w:hAnsi="Times New Roman"/>
                <w:b/>
                <w:bCs/>
                <w:sz w:val="26"/>
                <w:szCs w:val="26"/>
                <w:lang w:eastAsia="lv-LV"/>
              </w:rPr>
              <w:t>I. Tiesību akta projekta izstrādes nepieciešamība</w:t>
            </w:r>
          </w:p>
        </w:tc>
      </w:tr>
      <w:tr w:rsidR="00003B50" w:rsidRPr="003A5040" w:rsidTr="003A5040">
        <w:trPr>
          <w:trHeight w:val="3034"/>
          <w:tblCellSpacing w:w="15" w:type="dxa"/>
        </w:trPr>
        <w:tc>
          <w:tcPr>
            <w:tcW w:w="245" w:type="pct"/>
            <w:hideMark/>
          </w:tcPr>
          <w:p w:rsidR="00003B50" w:rsidRPr="003A5040" w:rsidRDefault="00003B50" w:rsidP="00144BE9">
            <w:pPr>
              <w:spacing w:after="0" w:line="240" w:lineRule="auto"/>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1.</w:t>
            </w:r>
          </w:p>
        </w:tc>
        <w:tc>
          <w:tcPr>
            <w:tcW w:w="891"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Pamatojums</w:t>
            </w:r>
          </w:p>
        </w:tc>
        <w:tc>
          <w:tcPr>
            <w:tcW w:w="3799" w:type="pct"/>
            <w:hideMark/>
          </w:tcPr>
          <w:p w:rsidR="007D5B03" w:rsidRPr="003A5040" w:rsidRDefault="007C18D9" w:rsidP="00225B14">
            <w:pPr>
              <w:spacing w:after="0" w:line="240" w:lineRule="auto"/>
              <w:jc w:val="both"/>
              <w:rPr>
                <w:rFonts w:ascii="Times New Roman" w:hAnsi="Times New Roman"/>
                <w:sz w:val="26"/>
                <w:szCs w:val="26"/>
              </w:rPr>
            </w:pPr>
            <w:r w:rsidRPr="003A5040">
              <w:rPr>
                <w:rFonts w:ascii="Times New Roman" w:hAnsi="Times New Roman"/>
                <w:sz w:val="26"/>
                <w:szCs w:val="26"/>
              </w:rPr>
              <w:t xml:space="preserve">Grozījumi darbības programmas </w:t>
            </w:r>
            <w:r w:rsidR="00225B14" w:rsidRPr="003A5040">
              <w:rPr>
                <w:rFonts w:ascii="Times New Roman" w:hAnsi="Times New Roman"/>
                <w:sz w:val="26"/>
                <w:szCs w:val="26"/>
                <w:lang w:bidi="he-IL"/>
              </w:rPr>
              <w:t>"</w:t>
            </w:r>
            <w:r w:rsidR="00291CD9" w:rsidRPr="003A5040">
              <w:rPr>
                <w:rFonts w:ascii="Times New Roman" w:hAnsi="Times New Roman"/>
                <w:sz w:val="26"/>
                <w:szCs w:val="26"/>
              </w:rPr>
              <w:t>Uzņēmējdarbība un inovācijas</w:t>
            </w:r>
            <w:r w:rsidR="00225B14" w:rsidRPr="003A5040">
              <w:rPr>
                <w:rFonts w:ascii="Times New Roman" w:hAnsi="Times New Roman"/>
                <w:sz w:val="26"/>
                <w:szCs w:val="26"/>
                <w:lang w:bidi="he-IL"/>
              </w:rPr>
              <w:t xml:space="preserve">" </w:t>
            </w:r>
            <w:r w:rsidRPr="003A5040">
              <w:rPr>
                <w:rFonts w:ascii="Times New Roman" w:hAnsi="Times New Roman"/>
                <w:sz w:val="26"/>
                <w:szCs w:val="26"/>
              </w:rPr>
              <w:t xml:space="preserve">papildinājumā ir izstrādāti saskaņā ar Ministru kabineta 2007.gada 26.jūnija noteikumu Nr.419 </w:t>
            </w:r>
            <w:r w:rsidR="00225B14" w:rsidRPr="003A5040">
              <w:rPr>
                <w:rFonts w:ascii="Times New Roman" w:hAnsi="Times New Roman"/>
                <w:sz w:val="26"/>
                <w:szCs w:val="26"/>
                <w:lang w:bidi="he-IL"/>
              </w:rPr>
              <w:t>"</w:t>
            </w:r>
            <w:r w:rsidRPr="003A5040">
              <w:rPr>
                <w:rFonts w:ascii="Times New Roman" w:hAnsi="Times New Roman"/>
                <w:sz w:val="26"/>
                <w:szCs w:val="26"/>
              </w:rPr>
              <w:t>Kārtība, kādā Eiropas Savienības struktūrfondu vadībā iesaistītās institūcijas nodrošina plānošanas dokumentu sagatavošanu un šo fondu ieviešanu</w:t>
            </w:r>
            <w:r w:rsidR="00225B14" w:rsidRPr="003A5040">
              <w:rPr>
                <w:rFonts w:ascii="Times New Roman" w:hAnsi="Times New Roman"/>
                <w:sz w:val="26"/>
                <w:szCs w:val="26"/>
                <w:lang w:bidi="he-IL"/>
              </w:rPr>
              <w:t>"</w:t>
            </w:r>
            <w:r w:rsidR="00FC76EB" w:rsidRPr="003A5040">
              <w:rPr>
                <w:rFonts w:ascii="Times New Roman" w:hAnsi="Times New Roman"/>
                <w:sz w:val="26"/>
                <w:szCs w:val="26"/>
                <w:lang w:bidi="he-IL"/>
              </w:rPr>
              <w:t xml:space="preserve"> </w:t>
            </w:r>
            <w:r w:rsidRPr="003A5040">
              <w:rPr>
                <w:rFonts w:ascii="Times New Roman" w:hAnsi="Times New Roman"/>
                <w:sz w:val="26"/>
                <w:szCs w:val="26"/>
              </w:rPr>
              <w:t>9.punktu, kas paredz, ka vadošā iestāde sadarbībā ar Eiropas Savienības struktūrfondu vadībā iesaistītajām institūcijām izstrādā un iesniedz apstiprināšanai Ministru kabinetā darbības programmas papildinājumu, bet attiecīgā atbildīgā iestāde darbības programmas papildinājuma grozījumus</w:t>
            </w:r>
            <w:r w:rsidR="00E423A1" w:rsidRPr="003A5040">
              <w:rPr>
                <w:rFonts w:ascii="Times New Roman" w:hAnsi="Times New Roman"/>
                <w:sz w:val="26"/>
                <w:szCs w:val="26"/>
              </w:rPr>
              <w:t>.</w:t>
            </w:r>
          </w:p>
        </w:tc>
      </w:tr>
      <w:tr w:rsidR="00003B50" w:rsidRPr="003A5040" w:rsidTr="0082157D">
        <w:trPr>
          <w:trHeight w:val="1031"/>
          <w:tblCellSpacing w:w="15" w:type="dxa"/>
        </w:trPr>
        <w:tc>
          <w:tcPr>
            <w:tcW w:w="245" w:type="pct"/>
            <w:hideMark/>
          </w:tcPr>
          <w:p w:rsidR="00003B50" w:rsidRPr="003A5040" w:rsidRDefault="00003B50" w:rsidP="003A5040">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2.</w:t>
            </w:r>
          </w:p>
        </w:tc>
        <w:tc>
          <w:tcPr>
            <w:tcW w:w="891" w:type="pct"/>
            <w:hideMark/>
          </w:tcPr>
          <w:p w:rsidR="00003B50" w:rsidRPr="003A5040" w:rsidRDefault="00003B50" w:rsidP="003A5040">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Pašreizējā situācija un problēmas</w:t>
            </w:r>
          </w:p>
        </w:tc>
        <w:tc>
          <w:tcPr>
            <w:tcW w:w="3799" w:type="pct"/>
            <w:hideMark/>
          </w:tcPr>
          <w:p w:rsidR="00B70291" w:rsidRPr="003A5040" w:rsidRDefault="002C3B29" w:rsidP="003A5040">
            <w:pPr>
              <w:spacing w:after="0" w:line="240" w:lineRule="auto"/>
              <w:jc w:val="both"/>
              <w:rPr>
                <w:rFonts w:ascii="Times New Roman" w:hAnsi="Times New Roman"/>
                <w:b/>
                <w:sz w:val="26"/>
                <w:szCs w:val="26"/>
              </w:rPr>
            </w:pPr>
            <w:r>
              <w:rPr>
                <w:rFonts w:ascii="Times New Roman" w:hAnsi="Times New Roman"/>
                <w:b/>
                <w:sz w:val="26"/>
                <w:szCs w:val="26"/>
              </w:rPr>
              <w:t>2.1.1.3.1.apakšaktivitāte</w:t>
            </w:r>
            <w:r w:rsidR="00B70291" w:rsidRPr="003A5040">
              <w:rPr>
                <w:rFonts w:ascii="Times New Roman" w:hAnsi="Times New Roman"/>
                <w:b/>
                <w:sz w:val="26"/>
                <w:szCs w:val="26"/>
              </w:rPr>
              <w:t>:</w:t>
            </w:r>
          </w:p>
          <w:p w:rsidR="00BD10F4" w:rsidRPr="003A5040" w:rsidRDefault="00FC76EB" w:rsidP="003A5040">
            <w:pPr>
              <w:spacing w:after="0" w:line="240" w:lineRule="auto"/>
              <w:jc w:val="both"/>
              <w:rPr>
                <w:rFonts w:ascii="Times New Roman" w:hAnsi="Times New Roman"/>
                <w:sz w:val="26"/>
                <w:szCs w:val="26"/>
              </w:rPr>
            </w:pPr>
            <w:r w:rsidRPr="003A5040">
              <w:rPr>
                <w:rFonts w:ascii="Times New Roman" w:hAnsi="Times New Roman"/>
                <w:sz w:val="26"/>
                <w:szCs w:val="26"/>
              </w:rPr>
              <w:t>ES fond</w:t>
            </w:r>
            <w:r w:rsidR="00DD0122" w:rsidRPr="003A5040">
              <w:rPr>
                <w:rFonts w:ascii="Times New Roman" w:hAnsi="Times New Roman"/>
                <w:sz w:val="26"/>
                <w:szCs w:val="26"/>
              </w:rPr>
              <w:t>u uzraudzības komitejas 2010.ga</w:t>
            </w:r>
            <w:r w:rsidRPr="003A5040">
              <w:rPr>
                <w:rFonts w:ascii="Times New Roman" w:hAnsi="Times New Roman"/>
                <w:sz w:val="26"/>
                <w:szCs w:val="26"/>
              </w:rPr>
              <w:t>da 24.novembra sēdē tika apstiprināti Izglītības un zinātnes ministrijas izstrādātie projektu iesniegumu vērtēšanas kritēriji darbības programmas "Uzņēmējdarbība un inovācijas" papildinājuma 2.1.1.3.1.</w:t>
            </w:r>
            <w:r w:rsidR="00F565C6" w:rsidRPr="003A5040">
              <w:rPr>
                <w:rFonts w:ascii="Times New Roman" w:hAnsi="Times New Roman"/>
                <w:sz w:val="26"/>
                <w:szCs w:val="26"/>
              </w:rPr>
              <w:t xml:space="preserve"> </w:t>
            </w:r>
            <w:proofErr w:type="spellStart"/>
            <w:r w:rsidRPr="003A5040">
              <w:rPr>
                <w:rFonts w:ascii="Times New Roman" w:hAnsi="Times New Roman"/>
                <w:sz w:val="26"/>
                <w:szCs w:val="26"/>
              </w:rPr>
              <w:t>apakšaktivitātes</w:t>
            </w:r>
            <w:proofErr w:type="spellEnd"/>
            <w:r w:rsidRPr="003A5040">
              <w:rPr>
                <w:rFonts w:ascii="Times New Roman" w:hAnsi="Times New Roman"/>
                <w:sz w:val="26"/>
                <w:szCs w:val="26"/>
              </w:rPr>
              <w:t xml:space="preserve"> "Zinātnes infrastruktūras attīstība" (turpmāk – 2.1.1.3.1.apakšaktivitāte) otrajai projektu iesniegumu atlases kārtai.</w:t>
            </w:r>
            <w:r w:rsidR="00550476" w:rsidRPr="003A5040">
              <w:rPr>
                <w:rFonts w:ascii="Times New Roman" w:hAnsi="Times New Roman"/>
                <w:sz w:val="26"/>
                <w:szCs w:val="26"/>
              </w:rPr>
              <w:t xml:space="preserve"> </w:t>
            </w:r>
            <w:r w:rsidRPr="003A5040">
              <w:rPr>
                <w:rFonts w:ascii="Times New Roman" w:hAnsi="Times New Roman"/>
                <w:sz w:val="26"/>
                <w:szCs w:val="26"/>
              </w:rPr>
              <w:t>Minēto vērtēšanas kritēriju redakcija paredz, ka 2.1.1.3.1.</w:t>
            </w:r>
            <w:r w:rsidR="00C23DA6">
              <w:rPr>
                <w:rFonts w:ascii="Times New Roman" w:hAnsi="Times New Roman"/>
                <w:sz w:val="26"/>
                <w:szCs w:val="26"/>
              </w:rPr>
              <w:t xml:space="preserve"> </w:t>
            </w:r>
            <w:proofErr w:type="spellStart"/>
            <w:r w:rsidRPr="003A5040">
              <w:rPr>
                <w:rFonts w:ascii="Times New Roman" w:hAnsi="Times New Roman"/>
                <w:sz w:val="26"/>
                <w:szCs w:val="26"/>
              </w:rPr>
              <w:t>apakšaktivitātes</w:t>
            </w:r>
            <w:proofErr w:type="spellEnd"/>
            <w:r w:rsidRPr="003A5040">
              <w:rPr>
                <w:rFonts w:ascii="Times New Roman" w:hAnsi="Times New Roman"/>
                <w:sz w:val="26"/>
                <w:szCs w:val="26"/>
              </w:rPr>
              <w:t xml:space="preserve"> otrajā atlases kārtā atbalstu var saņemt arī projekti, kuros ir iesaistīta zinātnisko institūciju reģistrā reģistrēta zinātniskā institūcija, kas nav valsts nozīmes pētniecības centra veidojoša zinātniskā institūcija. </w:t>
            </w:r>
            <w:r w:rsidR="00550476" w:rsidRPr="003A5040">
              <w:rPr>
                <w:rFonts w:ascii="Times New Roman" w:hAnsi="Times New Roman"/>
                <w:sz w:val="26"/>
                <w:szCs w:val="26"/>
              </w:rPr>
              <w:t xml:space="preserve">Atbilstoši Tieslietu ministrijas paustajai nostājai kritēriju saskaņošanas laikā, </w:t>
            </w:r>
            <w:r w:rsidR="00BD10F4" w:rsidRPr="003A5040">
              <w:rPr>
                <w:rFonts w:ascii="Times New Roman" w:hAnsi="Times New Roman"/>
                <w:sz w:val="26"/>
                <w:szCs w:val="26"/>
              </w:rPr>
              <w:t>ja labuma guvējs projekta ietvaros var būt jebkura zinātnisko institūciju reģistrā reģistrēta zinātniskā institūcija, ir nepieciešams veikt grozījumus darbības programmas "Uzņēmējdarbība un inovācijas" papildinājumā, jo tā spēkā esošā redakcija nosaka, ka 2.1.1.3.1.</w:t>
            </w:r>
            <w:r w:rsidR="004B1F6C">
              <w:rPr>
                <w:rFonts w:ascii="Times New Roman" w:hAnsi="Times New Roman"/>
                <w:sz w:val="26"/>
                <w:szCs w:val="26"/>
              </w:rPr>
              <w:t xml:space="preserve"> </w:t>
            </w:r>
            <w:proofErr w:type="spellStart"/>
            <w:r w:rsidR="00BD10F4" w:rsidRPr="003A5040">
              <w:rPr>
                <w:rFonts w:ascii="Times New Roman" w:hAnsi="Times New Roman"/>
                <w:sz w:val="26"/>
                <w:szCs w:val="26"/>
              </w:rPr>
              <w:t>apakšaktivitātes</w:t>
            </w:r>
            <w:proofErr w:type="spellEnd"/>
            <w:r w:rsidR="00BD10F4" w:rsidRPr="003A5040">
              <w:rPr>
                <w:rFonts w:ascii="Times New Roman" w:hAnsi="Times New Roman"/>
                <w:sz w:val="26"/>
                <w:szCs w:val="26"/>
              </w:rPr>
              <w:t xml:space="preserve"> mērķis ir "pilnveidot zinātnes un pētniecības aprīkojumu un izveidot tā darbībai atbilstošu infrastruktūru, lai nodrošinātu mūsdienīgu materiāltehnisko bāzi pētniecības aktivitātēm </w:t>
            </w:r>
            <w:r w:rsidR="00BD10F4" w:rsidRPr="003A5040">
              <w:rPr>
                <w:rFonts w:ascii="Times New Roman" w:hAnsi="Times New Roman"/>
                <w:i/>
                <w:sz w:val="26"/>
                <w:szCs w:val="26"/>
              </w:rPr>
              <w:t>vadošajos valsts nozīmes pētniecības centros</w:t>
            </w:r>
            <w:r w:rsidR="00BD10F4" w:rsidRPr="003A5040">
              <w:rPr>
                <w:rFonts w:ascii="Times New Roman" w:hAnsi="Times New Roman"/>
                <w:sz w:val="26"/>
                <w:szCs w:val="26"/>
              </w:rPr>
              <w:t xml:space="preserve">, tādējādi sekmējot pētniecības intelektuālā potenciāla attīstību, kā arī nodrošināt nepieciešamos informācijas resursus un to pieejamību", t.i., paredz atbalsta piešķiršanu tikai valsts nozīmes pētniecības centru ietvaros. </w:t>
            </w:r>
          </w:p>
          <w:p w:rsidR="00B553C7" w:rsidRPr="003A5040" w:rsidRDefault="00BD10F4" w:rsidP="003A5040">
            <w:pPr>
              <w:spacing w:after="0" w:line="240" w:lineRule="auto"/>
              <w:jc w:val="both"/>
              <w:rPr>
                <w:rFonts w:ascii="Times New Roman" w:hAnsi="Times New Roman"/>
                <w:sz w:val="26"/>
                <w:szCs w:val="26"/>
              </w:rPr>
            </w:pPr>
            <w:r w:rsidRPr="003A5040">
              <w:rPr>
                <w:rFonts w:ascii="Times New Roman" w:hAnsi="Times New Roman"/>
                <w:sz w:val="26"/>
                <w:szCs w:val="26"/>
              </w:rPr>
              <w:t xml:space="preserve">2.1.1.3.1.apakšaktivitātes otrās atlases kārtas vērtēšanas </w:t>
            </w:r>
            <w:r w:rsidR="00B553C7" w:rsidRPr="003A5040">
              <w:rPr>
                <w:rFonts w:ascii="Times New Roman" w:hAnsi="Times New Roman"/>
                <w:sz w:val="26"/>
                <w:szCs w:val="26"/>
              </w:rPr>
              <w:t>kritēriju saskaņošanas laikā</w:t>
            </w:r>
            <w:r w:rsidRPr="003A5040">
              <w:rPr>
                <w:rFonts w:ascii="Times New Roman" w:hAnsi="Times New Roman"/>
                <w:sz w:val="26"/>
                <w:szCs w:val="26"/>
              </w:rPr>
              <w:t xml:space="preserve"> papildu tika panākta vienošanās ar Eiropas Komisiju</w:t>
            </w:r>
            <w:r w:rsidR="00B553C7" w:rsidRPr="003A5040">
              <w:rPr>
                <w:rFonts w:ascii="Times New Roman" w:hAnsi="Times New Roman"/>
                <w:sz w:val="26"/>
                <w:szCs w:val="26"/>
              </w:rPr>
              <w:t xml:space="preserve"> paplašināt finansējuma saņēmēju definējumu, nosakot, ka otrajā atlases kārtā projekta iesniedzēji var būt zinātniskās institūcijas, kas ir reģistrētas Latvijas zinātnisko institūciju </w:t>
            </w:r>
            <w:r w:rsidR="00B553C7" w:rsidRPr="003A5040">
              <w:rPr>
                <w:rFonts w:ascii="Times New Roman" w:hAnsi="Times New Roman"/>
                <w:sz w:val="26"/>
                <w:szCs w:val="26"/>
              </w:rPr>
              <w:lastRenderedPageBreak/>
              <w:t>reģistrā, un Latvijas Republikā reģistrēti komersanti.</w:t>
            </w:r>
          </w:p>
          <w:p w:rsidR="00B553C7" w:rsidRPr="003A5040" w:rsidRDefault="0082157D" w:rsidP="003A5040">
            <w:pPr>
              <w:spacing w:after="0" w:line="240" w:lineRule="auto"/>
              <w:jc w:val="both"/>
              <w:rPr>
                <w:rFonts w:ascii="Times New Roman" w:hAnsi="Times New Roman"/>
                <w:sz w:val="26"/>
                <w:szCs w:val="26"/>
              </w:rPr>
            </w:pPr>
            <w:r w:rsidRPr="003A5040">
              <w:rPr>
                <w:rFonts w:ascii="Times New Roman" w:hAnsi="Times New Roman"/>
                <w:sz w:val="26"/>
                <w:szCs w:val="26"/>
              </w:rPr>
              <w:t xml:space="preserve">Ievērojot minēto, nepieciešams veikt grozījumus darbības programmas "Uzņēmējdarbība un inovācijas" papildinājumā, nodrošinot </w:t>
            </w:r>
            <w:r w:rsidR="00B553C7" w:rsidRPr="003A5040">
              <w:rPr>
                <w:rFonts w:ascii="Times New Roman" w:hAnsi="Times New Roman"/>
                <w:sz w:val="26"/>
                <w:szCs w:val="26"/>
              </w:rPr>
              <w:t xml:space="preserve">otrās atlases kārtas </w:t>
            </w:r>
            <w:r w:rsidRPr="003A5040">
              <w:rPr>
                <w:rFonts w:ascii="Times New Roman" w:hAnsi="Times New Roman"/>
                <w:sz w:val="26"/>
                <w:szCs w:val="26"/>
              </w:rPr>
              <w:t>atbalsta veida atbilstību 2.1.1.3.1.apakšaktivitātes mērķim</w:t>
            </w:r>
            <w:r w:rsidR="00B553C7" w:rsidRPr="003A5040">
              <w:rPr>
                <w:rFonts w:ascii="Times New Roman" w:hAnsi="Times New Roman"/>
                <w:sz w:val="26"/>
                <w:szCs w:val="26"/>
              </w:rPr>
              <w:t>, kā arī precizējot finansējuma saņēmēja definējumu.</w:t>
            </w:r>
          </w:p>
          <w:p w:rsidR="003A5040" w:rsidRPr="003A5040" w:rsidRDefault="003A5040" w:rsidP="003A5040">
            <w:pPr>
              <w:spacing w:after="0" w:line="240" w:lineRule="auto"/>
              <w:jc w:val="both"/>
              <w:rPr>
                <w:rFonts w:ascii="Times New Roman" w:hAnsi="Times New Roman"/>
                <w:sz w:val="26"/>
                <w:szCs w:val="26"/>
                <w:lang w:eastAsia="lv-LV"/>
              </w:rPr>
            </w:pPr>
          </w:p>
          <w:p w:rsidR="002C3B29" w:rsidRDefault="002C3B29" w:rsidP="003A5040">
            <w:pPr>
              <w:spacing w:after="0" w:line="240" w:lineRule="auto"/>
              <w:jc w:val="both"/>
              <w:rPr>
                <w:rFonts w:ascii="Times New Roman" w:hAnsi="Times New Roman"/>
                <w:b/>
                <w:sz w:val="26"/>
                <w:szCs w:val="26"/>
                <w:lang w:eastAsia="lv-LV"/>
              </w:rPr>
            </w:pPr>
            <w:r w:rsidRPr="002C3B29">
              <w:rPr>
                <w:rFonts w:ascii="Times New Roman" w:hAnsi="Times New Roman"/>
                <w:b/>
                <w:sz w:val="26"/>
                <w:szCs w:val="26"/>
                <w:lang w:eastAsia="lv-LV"/>
              </w:rPr>
              <w:t xml:space="preserve">2.1.2.pasākuma "Inovācijas" </w:t>
            </w:r>
            <w:r>
              <w:rPr>
                <w:rFonts w:ascii="Times New Roman" w:hAnsi="Times New Roman"/>
                <w:b/>
                <w:sz w:val="26"/>
                <w:szCs w:val="26"/>
                <w:lang w:eastAsia="lv-LV"/>
              </w:rPr>
              <w:t>finanšu plāns:</w:t>
            </w:r>
          </w:p>
          <w:p w:rsidR="003A5040" w:rsidRPr="003A5040" w:rsidRDefault="003A5040" w:rsidP="003A5040">
            <w:pPr>
              <w:spacing w:after="0" w:line="240" w:lineRule="auto"/>
              <w:jc w:val="both"/>
              <w:rPr>
                <w:rFonts w:ascii="Times New Roman" w:hAnsi="Times New Roman"/>
                <w:b/>
                <w:sz w:val="26"/>
                <w:szCs w:val="26"/>
              </w:rPr>
            </w:pPr>
            <w:r w:rsidRPr="003A5040">
              <w:rPr>
                <w:rFonts w:ascii="Times New Roman" w:hAnsi="Times New Roman"/>
                <w:b/>
                <w:sz w:val="26"/>
                <w:szCs w:val="26"/>
                <w:lang w:eastAsia="lv-LV"/>
              </w:rPr>
              <w:t xml:space="preserve">Projekta iesniegumu pieņemšana 2.1.2.1.1.apakšaktivitātē notika no 2010.gada 2.augusta līdz 2010.gada 30.septembrim, un kopā tika iesniegti 9 projekti par kopējo pieprasīto finansējumu </w:t>
            </w:r>
            <w:r w:rsidRPr="003A5040">
              <w:rPr>
                <w:rFonts w:ascii="Times New Roman" w:hAnsi="Times New Roman"/>
                <w:b/>
                <w:bCs/>
                <w:sz w:val="26"/>
                <w:szCs w:val="26"/>
              </w:rPr>
              <w:t>56 773 021 latu.</w:t>
            </w:r>
          </w:p>
          <w:p w:rsidR="003A5040" w:rsidRPr="003A5040" w:rsidRDefault="003A5040" w:rsidP="003A5040">
            <w:pPr>
              <w:spacing w:after="0" w:line="240" w:lineRule="auto"/>
              <w:jc w:val="both"/>
              <w:rPr>
                <w:rFonts w:ascii="Times New Roman" w:hAnsi="Times New Roman"/>
                <w:b/>
                <w:bCs/>
                <w:sz w:val="26"/>
                <w:szCs w:val="26"/>
              </w:rPr>
            </w:pPr>
            <w:r w:rsidRPr="003A5040">
              <w:rPr>
                <w:rFonts w:ascii="Times New Roman" w:hAnsi="Times New Roman"/>
                <w:b/>
                <w:bCs/>
                <w:sz w:val="26"/>
                <w:szCs w:val="26"/>
              </w:rPr>
              <w:t xml:space="preserve">Tā rezultātā aktuāls ir jautājums par papildus finansējuma pārdalīšanu 2.1.2.1.1.apakšaktivitātei, lai nodrošinātu tās efektīvu īstenošanu. Finansējuma pārdales nepieciešamība ir balstīta uz sekojošiem aspektiem: </w:t>
            </w:r>
          </w:p>
          <w:p w:rsidR="003A5040" w:rsidRPr="003A5040" w:rsidRDefault="003A5040" w:rsidP="003A5040">
            <w:pPr>
              <w:spacing w:after="0" w:line="240" w:lineRule="auto"/>
              <w:ind w:firstLine="552"/>
              <w:jc w:val="both"/>
              <w:rPr>
                <w:rFonts w:ascii="Times New Roman" w:hAnsi="Times New Roman"/>
                <w:b/>
                <w:bCs/>
                <w:sz w:val="26"/>
                <w:szCs w:val="26"/>
              </w:rPr>
            </w:pPr>
            <w:r w:rsidRPr="003A5040">
              <w:rPr>
                <w:rFonts w:ascii="Times New Roman" w:hAnsi="Times New Roman"/>
                <w:b/>
                <w:bCs/>
                <w:sz w:val="26"/>
                <w:szCs w:val="26"/>
              </w:rPr>
              <w:t xml:space="preserve">1) Pašreiz ir apstiprināti 5 kompetences centru projekti, kam kopā ir piešķirts 31 124 243 latu liels ERAF finansējums. Tā rezultātā 2.1.2.1.1.apakšaktivitātes ietvaros neizmantoti paliek 5 196 668 lati. Lai papildus būtu iespējams finansēt vēl vienu kompetences centru, ir nepieciešams pārdalīt </w:t>
            </w:r>
            <w:r w:rsidRPr="003A5040">
              <w:rPr>
                <w:rFonts w:ascii="Times New Roman" w:hAnsi="Times New Roman"/>
                <w:b/>
                <w:bCs/>
                <w:color w:val="000000"/>
                <w:sz w:val="26"/>
                <w:szCs w:val="26"/>
              </w:rPr>
              <w:t>1 053 332</w:t>
            </w:r>
            <w:r w:rsidRPr="003A5040">
              <w:rPr>
                <w:rFonts w:ascii="Times New Roman" w:hAnsi="Times New Roman"/>
                <w:b/>
                <w:bCs/>
                <w:sz w:val="26"/>
                <w:szCs w:val="26"/>
              </w:rPr>
              <w:t xml:space="preserve"> latus, kas nodrošinātu pilnīgu 2.1.2.1.1.apakšaktivitātes ERAF finansējuma apguvi;</w:t>
            </w:r>
          </w:p>
          <w:p w:rsidR="003A5040" w:rsidRPr="003A5040" w:rsidRDefault="003A5040" w:rsidP="003A5040">
            <w:pPr>
              <w:spacing w:after="0" w:line="240" w:lineRule="auto"/>
              <w:ind w:firstLine="552"/>
              <w:jc w:val="both"/>
              <w:rPr>
                <w:rFonts w:ascii="Times New Roman" w:hAnsi="Times New Roman"/>
                <w:b/>
                <w:sz w:val="26"/>
                <w:szCs w:val="26"/>
              </w:rPr>
            </w:pPr>
            <w:r w:rsidRPr="003A5040">
              <w:rPr>
                <w:rFonts w:ascii="Times New Roman" w:hAnsi="Times New Roman"/>
                <w:b/>
                <w:sz w:val="26"/>
                <w:szCs w:val="26"/>
              </w:rPr>
              <w:t xml:space="preserve">2) Pašreiz </w:t>
            </w:r>
            <w:r w:rsidR="00E2047D">
              <w:rPr>
                <w:rFonts w:ascii="Times New Roman" w:hAnsi="Times New Roman"/>
                <w:b/>
                <w:sz w:val="26"/>
                <w:szCs w:val="26"/>
              </w:rPr>
              <w:t>neapgūts finansējums 2.1.2.1.2.</w:t>
            </w:r>
            <w:r w:rsidRPr="003A5040">
              <w:rPr>
                <w:rFonts w:ascii="Times New Roman" w:hAnsi="Times New Roman"/>
                <w:b/>
                <w:sz w:val="26"/>
                <w:szCs w:val="26"/>
              </w:rPr>
              <w:t xml:space="preserve">apakšaktivitātē ir 204 230 lati, 2.1.2.2.1.apakšaktivitātē 674 132 lati un 2.1.2.2.3.apakšaktivitātē 646 798 lati. Šo trīs </w:t>
            </w:r>
            <w:proofErr w:type="spellStart"/>
            <w:r w:rsidRPr="003A5040">
              <w:rPr>
                <w:rFonts w:ascii="Times New Roman" w:hAnsi="Times New Roman"/>
                <w:b/>
                <w:sz w:val="26"/>
                <w:szCs w:val="26"/>
              </w:rPr>
              <w:t>apakšaktivitāšu</w:t>
            </w:r>
            <w:proofErr w:type="spellEnd"/>
            <w:r w:rsidRPr="003A5040">
              <w:rPr>
                <w:rFonts w:ascii="Times New Roman" w:hAnsi="Times New Roman"/>
                <w:b/>
                <w:sz w:val="26"/>
                <w:szCs w:val="26"/>
              </w:rPr>
              <w:t xml:space="preserve"> neapgūtais finansējums kopā veido 1 525 160 latus. Tā kā iesniegumu pieņemšana šajās </w:t>
            </w:r>
            <w:proofErr w:type="spellStart"/>
            <w:r w:rsidRPr="003A5040">
              <w:rPr>
                <w:rFonts w:ascii="Times New Roman" w:hAnsi="Times New Roman"/>
                <w:b/>
                <w:sz w:val="26"/>
                <w:szCs w:val="26"/>
              </w:rPr>
              <w:t>apakšaktivitātēs</w:t>
            </w:r>
            <w:proofErr w:type="spellEnd"/>
            <w:r w:rsidRPr="003A5040">
              <w:rPr>
                <w:rFonts w:ascii="Times New Roman" w:hAnsi="Times New Roman"/>
                <w:b/>
                <w:sz w:val="26"/>
                <w:szCs w:val="26"/>
              </w:rPr>
              <w:t xml:space="preserve"> ir noslēgusies un jauni uzsaukumi vairs netiek plānoti, tad ir iespējams veikt finansējuma pārdali par neizmantoto finansējumu no šīm </w:t>
            </w:r>
            <w:proofErr w:type="spellStart"/>
            <w:r w:rsidRPr="003A5040">
              <w:rPr>
                <w:rFonts w:ascii="Times New Roman" w:hAnsi="Times New Roman"/>
                <w:b/>
                <w:sz w:val="26"/>
                <w:szCs w:val="26"/>
              </w:rPr>
              <w:t>apakšaktivitātēm</w:t>
            </w:r>
            <w:proofErr w:type="spellEnd"/>
            <w:r w:rsidRPr="003A5040">
              <w:rPr>
                <w:rFonts w:ascii="Times New Roman" w:hAnsi="Times New Roman"/>
                <w:b/>
                <w:sz w:val="26"/>
                <w:szCs w:val="26"/>
              </w:rPr>
              <w:t xml:space="preserve">. Šo 3 </w:t>
            </w:r>
            <w:proofErr w:type="spellStart"/>
            <w:r w:rsidRPr="003A5040">
              <w:rPr>
                <w:rFonts w:ascii="Times New Roman" w:hAnsi="Times New Roman"/>
                <w:b/>
                <w:sz w:val="26"/>
                <w:szCs w:val="26"/>
              </w:rPr>
              <w:t>apakšaktivitāšu</w:t>
            </w:r>
            <w:proofErr w:type="spellEnd"/>
            <w:r w:rsidRPr="003A5040">
              <w:rPr>
                <w:rFonts w:ascii="Times New Roman" w:hAnsi="Times New Roman"/>
                <w:b/>
                <w:sz w:val="26"/>
                <w:szCs w:val="26"/>
              </w:rPr>
              <w:t xml:space="preserve"> uzstādītie mērķi un sasniedzamie uzdevumi ir ļoti līdzīgi 2.1.2.1.1.apakšaktivitātes mērķiem un uzdevumiem, jo iepriekšminētajās </w:t>
            </w:r>
            <w:proofErr w:type="spellStart"/>
            <w:r w:rsidRPr="003A5040">
              <w:rPr>
                <w:rFonts w:ascii="Times New Roman" w:hAnsi="Times New Roman"/>
                <w:b/>
                <w:sz w:val="26"/>
                <w:szCs w:val="26"/>
              </w:rPr>
              <w:t>apakšaktivitātēs</w:t>
            </w:r>
            <w:proofErr w:type="spellEnd"/>
            <w:r w:rsidRPr="003A5040">
              <w:rPr>
                <w:rFonts w:ascii="Times New Roman" w:hAnsi="Times New Roman"/>
                <w:b/>
                <w:sz w:val="26"/>
                <w:szCs w:val="26"/>
              </w:rPr>
              <w:t xml:space="preserve"> tāpat tiek atbalstīta jaunu produktu un tehnoloģiju izstrāde, zinātnes </w:t>
            </w:r>
            <w:proofErr w:type="spellStart"/>
            <w:r w:rsidRPr="003A5040">
              <w:rPr>
                <w:rFonts w:ascii="Times New Roman" w:hAnsi="Times New Roman"/>
                <w:b/>
                <w:sz w:val="26"/>
                <w:szCs w:val="26"/>
              </w:rPr>
              <w:t>komercializācija</w:t>
            </w:r>
            <w:proofErr w:type="spellEnd"/>
            <w:r w:rsidRPr="003A5040">
              <w:rPr>
                <w:rFonts w:ascii="Times New Roman" w:hAnsi="Times New Roman"/>
                <w:b/>
                <w:sz w:val="26"/>
                <w:szCs w:val="26"/>
              </w:rPr>
              <w:t xml:space="preserve"> un prioritāro nozaru konkurētspējas vispārēja stiprināšana. Līdz ar to, veicot pārdali no šīm </w:t>
            </w:r>
            <w:proofErr w:type="spellStart"/>
            <w:r w:rsidRPr="003A5040">
              <w:rPr>
                <w:rFonts w:ascii="Times New Roman" w:hAnsi="Times New Roman"/>
                <w:b/>
                <w:sz w:val="26"/>
                <w:szCs w:val="26"/>
              </w:rPr>
              <w:t>apakšaktivitātēm</w:t>
            </w:r>
            <w:proofErr w:type="spellEnd"/>
            <w:r w:rsidRPr="003A5040">
              <w:rPr>
                <w:rFonts w:ascii="Times New Roman" w:hAnsi="Times New Roman"/>
                <w:b/>
                <w:sz w:val="26"/>
                <w:szCs w:val="26"/>
              </w:rPr>
              <w:t xml:space="preserve"> uz 2.1.2.1.1. </w:t>
            </w:r>
            <w:proofErr w:type="spellStart"/>
            <w:r w:rsidRPr="003A5040">
              <w:rPr>
                <w:rFonts w:ascii="Times New Roman" w:hAnsi="Times New Roman"/>
                <w:b/>
                <w:sz w:val="26"/>
                <w:szCs w:val="26"/>
              </w:rPr>
              <w:t>apakšaktivitāti</w:t>
            </w:r>
            <w:proofErr w:type="spellEnd"/>
            <w:r w:rsidRPr="003A5040">
              <w:rPr>
                <w:rFonts w:ascii="Times New Roman" w:hAnsi="Times New Roman"/>
                <w:b/>
                <w:sz w:val="26"/>
                <w:szCs w:val="26"/>
              </w:rPr>
              <w:t xml:space="preserve">, maksimāli efektīvi tiktu izmantots finansējums tiem pašiem mērķiem un uzdevumiem; </w:t>
            </w:r>
          </w:p>
          <w:p w:rsidR="003A5040" w:rsidRPr="003A5040" w:rsidRDefault="003A5040" w:rsidP="003A5040">
            <w:pPr>
              <w:spacing w:after="120" w:line="240" w:lineRule="auto"/>
              <w:ind w:firstLine="550"/>
              <w:jc w:val="both"/>
              <w:rPr>
                <w:rFonts w:ascii="Times New Roman" w:hAnsi="Times New Roman"/>
                <w:b/>
                <w:sz w:val="26"/>
                <w:szCs w:val="26"/>
              </w:rPr>
            </w:pPr>
            <w:r w:rsidRPr="003A5040">
              <w:rPr>
                <w:rFonts w:ascii="Times New Roman" w:hAnsi="Times New Roman"/>
                <w:b/>
                <w:sz w:val="26"/>
                <w:szCs w:val="26"/>
              </w:rPr>
              <w:t xml:space="preserve">3) Atbalstot pašreiz iespējamos 5 kompetences centrus, finansējums tiek nodrošināts tādām Latvijai būtiskām nozarēm kā ķīmija un farmācija, informācijas un komunikāciju tehnoloģijas, kokapstrāde, transporta tehnika un elektriskās un kosmosa iekārtas. Veicot papildus pārdali un atbalstot 6. kompetences centru, tiktu atbalstīta arī vides, biotehnoloģiju, </w:t>
            </w:r>
            <w:proofErr w:type="spellStart"/>
            <w:r w:rsidRPr="003A5040">
              <w:rPr>
                <w:rFonts w:ascii="Times New Roman" w:hAnsi="Times New Roman"/>
                <w:b/>
                <w:sz w:val="26"/>
                <w:szCs w:val="26"/>
              </w:rPr>
              <w:t>bioenerģijas</w:t>
            </w:r>
            <w:proofErr w:type="spellEnd"/>
            <w:r w:rsidRPr="003A5040">
              <w:rPr>
                <w:rFonts w:ascii="Times New Roman" w:hAnsi="Times New Roman"/>
                <w:b/>
                <w:sz w:val="26"/>
                <w:szCs w:val="26"/>
              </w:rPr>
              <w:t xml:space="preserve"> un </w:t>
            </w:r>
            <w:proofErr w:type="spellStart"/>
            <w:r w:rsidRPr="003A5040">
              <w:rPr>
                <w:rFonts w:ascii="Times New Roman" w:hAnsi="Times New Roman"/>
                <w:b/>
                <w:bCs/>
                <w:sz w:val="26"/>
                <w:szCs w:val="26"/>
              </w:rPr>
              <w:t>nanostrukturēto</w:t>
            </w:r>
            <w:proofErr w:type="spellEnd"/>
            <w:r w:rsidRPr="003A5040">
              <w:rPr>
                <w:rFonts w:ascii="Times New Roman" w:hAnsi="Times New Roman"/>
                <w:b/>
                <w:bCs/>
                <w:sz w:val="26"/>
                <w:szCs w:val="26"/>
              </w:rPr>
              <w:t xml:space="preserve"> un daudzfunkcionālo materiālu, konstrukciju un tehnoloģiju</w:t>
            </w:r>
            <w:r w:rsidRPr="003A5040">
              <w:rPr>
                <w:rFonts w:ascii="Times New Roman" w:hAnsi="Times New Roman"/>
                <w:b/>
                <w:sz w:val="26"/>
                <w:szCs w:val="26"/>
              </w:rPr>
              <w:t xml:space="preserve"> nozare. </w:t>
            </w:r>
          </w:p>
          <w:p w:rsidR="003A5040" w:rsidRPr="003A5040" w:rsidRDefault="003A5040" w:rsidP="003A5040">
            <w:pPr>
              <w:spacing w:after="0" w:line="240" w:lineRule="auto"/>
              <w:ind w:firstLine="552"/>
              <w:jc w:val="both"/>
              <w:rPr>
                <w:rFonts w:ascii="Times New Roman" w:hAnsi="Times New Roman"/>
                <w:b/>
                <w:sz w:val="26"/>
                <w:szCs w:val="26"/>
              </w:rPr>
            </w:pPr>
            <w:r w:rsidRPr="003A5040">
              <w:rPr>
                <w:rFonts w:ascii="Times New Roman" w:hAnsi="Times New Roman"/>
                <w:b/>
                <w:sz w:val="26"/>
                <w:szCs w:val="26"/>
              </w:rPr>
              <w:t xml:space="preserve">Papildus būtisks aspekts ir, ka Ministru kabinets ir apstiprinājis 9 valsts nozīmes pētniecības centrus (turpmāk – VNPC), ar ko ir paredzēts koncentrēt zinātnes resursus Eiropas līmeņa pētniecībai zinātnes prioritārajos virzienos, sekmējot Latvijas tautsaimniecības prioritāro nozaru un sabiedrības attīstību. Pašreizējā situācijā, kad Latvija ir definējusi savas prioritārās nozares, kā nākamais mērķis ir uzstādīts nepieciešamo resursu novirzīšana šīm nozarēm, kas tādā veidā ļautu sasniegt nozīmīgu ietekmi konkrētajās tautsaimniecības nozarēs ne tikai Latvijas, bet visas Eiropas līmenī. Lai nodrošinātu šādu resursu koncentrāciju, kas, tai skaitā, ir uzsvērta kā viena no </w:t>
            </w:r>
            <w:proofErr w:type="spellStart"/>
            <w:r w:rsidRPr="003A5040">
              <w:rPr>
                <w:rFonts w:ascii="Times New Roman" w:hAnsi="Times New Roman"/>
                <w:b/>
                <w:sz w:val="26"/>
                <w:szCs w:val="26"/>
              </w:rPr>
              <w:t>pamatlietām</w:t>
            </w:r>
            <w:proofErr w:type="spellEnd"/>
            <w:r w:rsidRPr="003A5040">
              <w:rPr>
                <w:rFonts w:ascii="Times New Roman" w:hAnsi="Times New Roman"/>
                <w:b/>
                <w:sz w:val="26"/>
                <w:szCs w:val="26"/>
              </w:rPr>
              <w:t xml:space="preserve"> turpmākai Eiropas Savienības Kohēzijas politikai saskaņā ar Eiropas Komisijas sagatavoto Piekto ziņojumu par ekonomisko, sociālo un teritoriālo kohēziju, tad būtiski ir</w:t>
            </w:r>
            <w:r w:rsidR="004C7BEF">
              <w:rPr>
                <w:rFonts w:ascii="Times New Roman" w:hAnsi="Times New Roman"/>
                <w:b/>
                <w:sz w:val="26"/>
                <w:szCs w:val="26"/>
              </w:rPr>
              <w:t xml:space="preserve"> dot</w:t>
            </w:r>
            <w:r w:rsidRPr="003A5040">
              <w:rPr>
                <w:rFonts w:ascii="Times New Roman" w:hAnsi="Times New Roman"/>
                <w:b/>
                <w:sz w:val="26"/>
                <w:szCs w:val="26"/>
              </w:rPr>
              <w:t xml:space="preserve"> </w:t>
            </w:r>
            <w:r w:rsidR="004C7BEF">
              <w:rPr>
                <w:rFonts w:ascii="Times New Roman" w:hAnsi="Times New Roman"/>
                <w:b/>
                <w:sz w:val="26"/>
                <w:szCs w:val="26"/>
              </w:rPr>
              <w:t>šiem</w:t>
            </w:r>
            <w:r w:rsidRPr="003A5040">
              <w:rPr>
                <w:rFonts w:ascii="Times New Roman" w:hAnsi="Times New Roman"/>
                <w:b/>
                <w:sz w:val="26"/>
                <w:szCs w:val="26"/>
              </w:rPr>
              <w:t xml:space="preserve"> VNPC </w:t>
            </w:r>
            <w:r w:rsidR="004C7BEF">
              <w:rPr>
                <w:rFonts w:ascii="Times New Roman" w:hAnsi="Times New Roman"/>
                <w:b/>
                <w:sz w:val="26"/>
                <w:szCs w:val="26"/>
              </w:rPr>
              <w:t>iespēju veicināt tautsaimniecības attīstību</w:t>
            </w:r>
            <w:r w:rsidR="006B2588">
              <w:rPr>
                <w:rFonts w:ascii="Times New Roman" w:hAnsi="Times New Roman"/>
                <w:b/>
                <w:sz w:val="26"/>
                <w:szCs w:val="26"/>
              </w:rPr>
              <w:t>,</w:t>
            </w:r>
            <w:r w:rsidR="004C7BEF">
              <w:rPr>
                <w:rFonts w:ascii="Times New Roman" w:hAnsi="Times New Roman"/>
                <w:b/>
                <w:sz w:val="26"/>
                <w:szCs w:val="26"/>
              </w:rPr>
              <w:t xml:space="preserve"> sniedzot pakalpojumus </w:t>
            </w:r>
            <w:r w:rsidRPr="003A5040">
              <w:rPr>
                <w:rFonts w:ascii="Times New Roman" w:hAnsi="Times New Roman"/>
                <w:b/>
                <w:sz w:val="26"/>
                <w:szCs w:val="26"/>
              </w:rPr>
              <w:t xml:space="preserve"> atbilstošiem kompetences centriem. Vienlaikus šādā veidā tiek nodrošināts, ka Latvijas iekšējā politika ir saskaņota un virzīta vienotu mērķu sasniegšanai. </w:t>
            </w:r>
          </w:p>
          <w:p w:rsidR="003A5040" w:rsidRDefault="003A5040" w:rsidP="003A5040">
            <w:pPr>
              <w:spacing w:after="0" w:line="240" w:lineRule="auto"/>
              <w:ind w:firstLine="552"/>
              <w:jc w:val="both"/>
              <w:rPr>
                <w:rFonts w:ascii="Times New Roman" w:hAnsi="Times New Roman"/>
                <w:b/>
                <w:bCs/>
                <w:color w:val="000000"/>
                <w:sz w:val="26"/>
                <w:szCs w:val="26"/>
              </w:rPr>
            </w:pPr>
            <w:r w:rsidRPr="003A5040">
              <w:rPr>
                <w:rFonts w:ascii="Times New Roman" w:hAnsi="Times New Roman"/>
                <w:b/>
                <w:sz w:val="26"/>
                <w:szCs w:val="26"/>
              </w:rPr>
              <w:t xml:space="preserve">Ar pašlaik apstiprinātajiem kompetences centriem </w:t>
            </w:r>
            <w:proofErr w:type="spellStart"/>
            <w:r w:rsidR="004C7BEF">
              <w:rPr>
                <w:rFonts w:ascii="Times New Roman" w:hAnsi="Times New Roman"/>
                <w:b/>
                <w:sz w:val="26"/>
                <w:szCs w:val="26"/>
              </w:rPr>
              <w:t>sinerģija</w:t>
            </w:r>
            <w:proofErr w:type="spellEnd"/>
            <w:r w:rsidR="004C7BEF">
              <w:rPr>
                <w:rFonts w:ascii="Times New Roman" w:hAnsi="Times New Roman"/>
                <w:b/>
                <w:sz w:val="26"/>
                <w:szCs w:val="26"/>
              </w:rPr>
              <w:t xml:space="preserve"> tiks veidota ar šādiem</w:t>
            </w:r>
            <w:r w:rsidRPr="003A5040">
              <w:rPr>
                <w:rFonts w:ascii="Times New Roman" w:hAnsi="Times New Roman"/>
                <w:b/>
                <w:sz w:val="26"/>
                <w:szCs w:val="26"/>
              </w:rPr>
              <w:t xml:space="preserve"> VNPC: </w:t>
            </w:r>
            <w:r>
              <w:rPr>
                <w:rFonts w:ascii="Times New Roman" w:hAnsi="Times New Roman"/>
                <w:b/>
                <w:sz w:val="26"/>
                <w:szCs w:val="26"/>
              </w:rPr>
              <w:t>"</w:t>
            </w:r>
            <w:r w:rsidRPr="003A5040">
              <w:rPr>
                <w:rFonts w:ascii="Times New Roman" w:hAnsi="Times New Roman"/>
                <w:b/>
                <w:bCs/>
                <w:color w:val="000000"/>
                <w:sz w:val="26"/>
                <w:szCs w:val="26"/>
              </w:rPr>
              <w:t xml:space="preserve">Informācijas, komunikāciju un </w:t>
            </w:r>
            <w:proofErr w:type="spellStart"/>
            <w:r w:rsidRPr="003A5040">
              <w:rPr>
                <w:rFonts w:ascii="Times New Roman" w:hAnsi="Times New Roman"/>
                <w:b/>
                <w:bCs/>
                <w:color w:val="000000"/>
                <w:sz w:val="26"/>
                <w:szCs w:val="26"/>
              </w:rPr>
              <w:t>signālapstrādes</w:t>
            </w:r>
            <w:proofErr w:type="spellEnd"/>
            <w:r w:rsidRPr="003A5040">
              <w:rPr>
                <w:rFonts w:ascii="Times New Roman" w:hAnsi="Times New Roman"/>
                <w:b/>
                <w:bCs/>
                <w:color w:val="000000"/>
                <w:sz w:val="26"/>
                <w:szCs w:val="26"/>
              </w:rPr>
              <w:t xml:space="preserve"> tehnoloģiju VNPC</w:t>
            </w:r>
            <w:r>
              <w:rPr>
                <w:rFonts w:ascii="Times New Roman" w:hAnsi="Times New Roman"/>
                <w:b/>
                <w:bCs/>
                <w:color w:val="000000"/>
                <w:sz w:val="26"/>
                <w:szCs w:val="26"/>
              </w:rPr>
              <w:t>"</w:t>
            </w:r>
            <w:r w:rsidRPr="003A5040">
              <w:rPr>
                <w:rFonts w:ascii="Times New Roman" w:hAnsi="Times New Roman"/>
                <w:b/>
                <w:bCs/>
                <w:color w:val="000000"/>
                <w:sz w:val="26"/>
                <w:szCs w:val="26"/>
              </w:rPr>
              <w:t xml:space="preserve">, </w:t>
            </w:r>
            <w:r>
              <w:rPr>
                <w:rFonts w:ascii="Times New Roman" w:hAnsi="Times New Roman"/>
                <w:b/>
                <w:bCs/>
                <w:color w:val="000000"/>
                <w:sz w:val="26"/>
                <w:szCs w:val="26"/>
              </w:rPr>
              <w:t>"</w:t>
            </w:r>
            <w:r w:rsidRPr="003A5040">
              <w:rPr>
                <w:rFonts w:ascii="Times New Roman" w:hAnsi="Times New Roman"/>
                <w:b/>
                <w:sz w:val="26"/>
                <w:szCs w:val="26"/>
              </w:rPr>
              <w:t>Latviešu valodas, kultūrvēsturiskā mantojuma un radošo tehnoloģiju VNPC</w:t>
            </w:r>
            <w:r>
              <w:rPr>
                <w:rFonts w:ascii="Times New Roman" w:hAnsi="Times New Roman"/>
                <w:b/>
                <w:sz w:val="26"/>
                <w:szCs w:val="26"/>
              </w:rPr>
              <w:t>"</w:t>
            </w:r>
            <w:r w:rsidRPr="003A5040">
              <w:rPr>
                <w:rFonts w:ascii="Times New Roman" w:hAnsi="Times New Roman"/>
                <w:b/>
                <w:sz w:val="26"/>
                <w:szCs w:val="26"/>
              </w:rPr>
              <w:t xml:space="preserve">, </w:t>
            </w:r>
            <w:r>
              <w:rPr>
                <w:rFonts w:ascii="Times New Roman" w:hAnsi="Times New Roman"/>
                <w:b/>
                <w:sz w:val="26"/>
                <w:szCs w:val="26"/>
              </w:rPr>
              <w:t>"</w:t>
            </w:r>
            <w:r w:rsidRPr="003A5040">
              <w:rPr>
                <w:rFonts w:ascii="Times New Roman" w:hAnsi="Times New Roman"/>
                <w:b/>
                <w:bCs/>
                <w:color w:val="000000"/>
                <w:sz w:val="26"/>
                <w:szCs w:val="26"/>
              </w:rPr>
              <w:t>Meža un ūdens resursu VNPC</w:t>
            </w:r>
            <w:r>
              <w:rPr>
                <w:rFonts w:ascii="Times New Roman" w:hAnsi="Times New Roman"/>
                <w:b/>
                <w:bCs/>
                <w:color w:val="000000"/>
                <w:sz w:val="26"/>
                <w:szCs w:val="26"/>
              </w:rPr>
              <w:t>"</w:t>
            </w:r>
            <w:r w:rsidRPr="003A5040">
              <w:rPr>
                <w:rFonts w:ascii="Times New Roman" w:hAnsi="Times New Roman"/>
                <w:b/>
                <w:bCs/>
                <w:color w:val="000000"/>
                <w:sz w:val="26"/>
                <w:szCs w:val="26"/>
              </w:rPr>
              <w:t xml:space="preserve">, </w:t>
            </w:r>
            <w:r>
              <w:rPr>
                <w:rFonts w:ascii="Times New Roman" w:hAnsi="Times New Roman"/>
                <w:b/>
                <w:sz w:val="26"/>
                <w:szCs w:val="26"/>
              </w:rPr>
              <w:t>"</w:t>
            </w:r>
            <w:r w:rsidRPr="003A5040">
              <w:rPr>
                <w:rFonts w:ascii="Times New Roman" w:hAnsi="Times New Roman"/>
                <w:b/>
                <w:bCs/>
                <w:color w:val="000000"/>
                <w:sz w:val="26"/>
                <w:szCs w:val="26"/>
              </w:rPr>
              <w:t xml:space="preserve">Farmācijas un </w:t>
            </w:r>
            <w:proofErr w:type="spellStart"/>
            <w:r w:rsidRPr="003A5040">
              <w:rPr>
                <w:rFonts w:ascii="Times New Roman" w:hAnsi="Times New Roman"/>
                <w:b/>
                <w:bCs/>
                <w:color w:val="000000"/>
                <w:sz w:val="26"/>
                <w:szCs w:val="26"/>
              </w:rPr>
              <w:t>biomedicīnas</w:t>
            </w:r>
            <w:proofErr w:type="spellEnd"/>
            <w:r w:rsidRPr="003A5040">
              <w:rPr>
                <w:rFonts w:ascii="Times New Roman" w:hAnsi="Times New Roman"/>
                <w:b/>
                <w:bCs/>
                <w:color w:val="000000"/>
                <w:sz w:val="26"/>
                <w:szCs w:val="26"/>
              </w:rPr>
              <w:t xml:space="preserve"> VNPC</w:t>
            </w:r>
            <w:r>
              <w:rPr>
                <w:rFonts w:ascii="Times New Roman" w:hAnsi="Times New Roman"/>
                <w:b/>
                <w:bCs/>
                <w:color w:val="000000"/>
                <w:sz w:val="26"/>
                <w:szCs w:val="26"/>
              </w:rPr>
              <w:t>"</w:t>
            </w:r>
            <w:r w:rsidRPr="003A5040">
              <w:rPr>
                <w:rFonts w:ascii="Times New Roman" w:hAnsi="Times New Roman"/>
                <w:b/>
                <w:bCs/>
                <w:color w:val="000000"/>
                <w:sz w:val="26"/>
                <w:szCs w:val="26"/>
              </w:rPr>
              <w:t xml:space="preserve"> un daļēji </w:t>
            </w:r>
            <w:r>
              <w:rPr>
                <w:rFonts w:ascii="Times New Roman" w:hAnsi="Times New Roman"/>
                <w:b/>
                <w:color w:val="000000"/>
                <w:sz w:val="26"/>
                <w:szCs w:val="26"/>
              </w:rPr>
              <w:t>"</w:t>
            </w:r>
            <w:r w:rsidRPr="003A5040">
              <w:rPr>
                <w:rFonts w:ascii="Times New Roman" w:hAnsi="Times New Roman"/>
                <w:b/>
                <w:bCs/>
                <w:color w:val="000000"/>
                <w:sz w:val="26"/>
                <w:szCs w:val="26"/>
              </w:rPr>
              <w:t xml:space="preserve">Enerģijas un vides resursu ieguves un </w:t>
            </w:r>
            <w:proofErr w:type="spellStart"/>
            <w:r w:rsidRPr="003A5040">
              <w:rPr>
                <w:rFonts w:ascii="Times New Roman" w:hAnsi="Times New Roman"/>
                <w:b/>
                <w:bCs/>
                <w:color w:val="000000"/>
                <w:sz w:val="26"/>
                <w:szCs w:val="26"/>
              </w:rPr>
              <w:t>ilgtspējīgas</w:t>
            </w:r>
            <w:proofErr w:type="spellEnd"/>
            <w:r w:rsidRPr="003A5040">
              <w:rPr>
                <w:rFonts w:ascii="Times New Roman" w:hAnsi="Times New Roman"/>
                <w:b/>
                <w:bCs/>
                <w:color w:val="000000"/>
                <w:sz w:val="26"/>
                <w:szCs w:val="26"/>
              </w:rPr>
              <w:t xml:space="preserve"> izmantošanas tehnoloģiju VNPC</w:t>
            </w:r>
            <w:r>
              <w:rPr>
                <w:rFonts w:ascii="Times New Roman" w:hAnsi="Times New Roman"/>
                <w:b/>
                <w:bCs/>
                <w:color w:val="000000"/>
                <w:sz w:val="26"/>
                <w:szCs w:val="26"/>
              </w:rPr>
              <w:t>"</w:t>
            </w:r>
            <w:r w:rsidRPr="003A5040">
              <w:rPr>
                <w:rFonts w:ascii="Times New Roman" w:hAnsi="Times New Roman"/>
                <w:b/>
                <w:bCs/>
                <w:color w:val="000000"/>
                <w:sz w:val="26"/>
                <w:szCs w:val="26"/>
              </w:rPr>
              <w:t xml:space="preserve"> tā kā tas ietver arī </w:t>
            </w:r>
            <w:r>
              <w:rPr>
                <w:rFonts w:ascii="Times New Roman" w:hAnsi="Times New Roman"/>
                <w:b/>
                <w:bCs/>
                <w:color w:val="000000"/>
                <w:sz w:val="26"/>
                <w:szCs w:val="26"/>
              </w:rPr>
              <w:t>"</w:t>
            </w:r>
            <w:r w:rsidRPr="003A5040">
              <w:rPr>
                <w:rFonts w:ascii="Times New Roman" w:hAnsi="Times New Roman"/>
                <w:b/>
                <w:bCs/>
                <w:color w:val="000000"/>
                <w:sz w:val="26"/>
                <w:szCs w:val="26"/>
              </w:rPr>
              <w:t>Transporta un mašīnbūves centra</w:t>
            </w:r>
            <w:r>
              <w:rPr>
                <w:rFonts w:ascii="Times New Roman" w:hAnsi="Times New Roman"/>
                <w:b/>
                <w:bCs/>
                <w:color w:val="000000"/>
                <w:sz w:val="26"/>
                <w:szCs w:val="26"/>
              </w:rPr>
              <w:t>"</w:t>
            </w:r>
            <w:r w:rsidRPr="003A5040">
              <w:rPr>
                <w:rFonts w:ascii="Times New Roman" w:hAnsi="Times New Roman"/>
                <w:b/>
                <w:bCs/>
                <w:color w:val="000000"/>
                <w:sz w:val="26"/>
                <w:szCs w:val="26"/>
              </w:rPr>
              <w:t xml:space="preserve"> attīstību.  </w:t>
            </w:r>
          </w:p>
          <w:p w:rsidR="003A5040" w:rsidRPr="003A5040" w:rsidRDefault="003A5040" w:rsidP="004C7BEF">
            <w:pPr>
              <w:spacing w:after="0" w:line="240" w:lineRule="auto"/>
              <w:ind w:firstLine="552"/>
              <w:jc w:val="both"/>
              <w:rPr>
                <w:rFonts w:ascii="Times New Roman" w:hAnsi="Times New Roman"/>
                <w:b/>
                <w:bCs/>
                <w:color w:val="000000"/>
                <w:sz w:val="26"/>
                <w:szCs w:val="26"/>
              </w:rPr>
            </w:pPr>
            <w:r w:rsidRPr="003A5040">
              <w:rPr>
                <w:rFonts w:ascii="Times New Roman" w:hAnsi="Times New Roman"/>
                <w:b/>
                <w:bCs/>
                <w:color w:val="000000"/>
                <w:sz w:val="26"/>
                <w:szCs w:val="26"/>
              </w:rPr>
              <w:t xml:space="preserve">Piešķirot atbalstu papildus kompetences centram, </w:t>
            </w:r>
            <w:r w:rsidR="004C7BEF">
              <w:rPr>
                <w:rFonts w:ascii="Times New Roman" w:hAnsi="Times New Roman"/>
                <w:b/>
                <w:bCs/>
                <w:color w:val="000000"/>
                <w:sz w:val="26"/>
                <w:szCs w:val="26"/>
              </w:rPr>
              <w:t>tiktu dota iespēja arī VNPC</w:t>
            </w:r>
            <w:r w:rsidRPr="003A5040">
              <w:rPr>
                <w:rFonts w:ascii="Times New Roman" w:hAnsi="Times New Roman"/>
                <w:b/>
                <w:bCs/>
                <w:color w:val="000000"/>
                <w:sz w:val="26"/>
                <w:szCs w:val="26"/>
              </w:rPr>
              <w:t xml:space="preserve"> </w:t>
            </w:r>
            <w:r>
              <w:rPr>
                <w:rFonts w:ascii="Times New Roman" w:hAnsi="Times New Roman"/>
                <w:b/>
                <w:color w:val="000000"/>
                <w:sz w:val="26"/>
                <w:szCs w:val="26"/>
              </w:rPr>
              <w:t>"</w:t>
            </w:r>
            <w:r w:rsidRPr="003A5040">
              <w:rPr>
                <w:rFonts w:ascii="Times New Roman" w:hAnsi="Times New Roman"/>
                <w:b/>
                <w:bCs/>
                <w:color w:val="000000"/>
                <w:sz w:val="26"/>
                <w:szCs w:val="26"/>
              </w:rPr>
              <w:t xml:space="preserve">Enerģijas un vides resursu ieguves un </w:t>
            </w:r>
            <w:proofErr w:type="spellStart"/>
            <w:r w:rsidRPr="003A5040">
              <w:rPr>
                <w:rFonts w:ascii="Times New Roman" w:hAnsi="Times New Roman"/>
                <w:b/>
                <w:bCs/>
                <w:color w:val="000000"/>
                <w:sz w:val="26"/>
                <w:szCs w:val="26"/>
              </w:rPr>
              <w:t>ilgtspējīgas</w:t>
            </w:r>
            <w:proofErr w:type="spellEnd"/>
            <w:r w:rsidRPr="003A5040">
              <w:rPr>
                <w:rFonts w:ascii="Times New Roman" w:hAnsi="Times New Roman"/>
                <w:b/>
                <w:bCs/>
                <w:color w:val="000000"/>
                <w:sz w:val="26"/>
                <w:szCs w:val="26"/>
              </w:rPr>
              <w:t xml:space="preserve"> izmantošanas tehnoloģiju VNPC</w:t>
            </w:r>
            <w:r>
              <w:rPr>
                <w:rFonts w:ascii="Times New Roman" w:hAnsi="Times New Roman"/>
                <w:b/>
                <w:bCs/>
                <w:color w:val="000000"/>
                <w:sz w:val="26"/>
                <w:szCs w:val="26"/>
              </w:rPr>
              <w:t>"</w:t>
            </w:r>
            <w:r w:rsidRPr="003A5040">
              <w:rPr>
                <w:rFonts w:ascii="Times New Roman" w:hAnsi="Times New Roman"/>
                <w:b/>
                <w:bCs/>
                <w:color w:val="000000"/>
                <w:sz w:val="26"/>
                <w:szCs w:val="26"/>
              </w:rPr>
              <w:t xml:space="preserve"> un </w:t>
            </w:r>
            <w:r>
              <w:rPr>
                <w:rFonts w:ascii="Times New Roman" w:hAnsi="Times New Roman"/>
                <w:b/>
                <w:bCs/>
                <w:color w:val="000000"/>
                <w:sz w:val="26"/>
                <w:szCs w:val="26"/>
              </w:rPr>
              <w:t>"</w:t>
            </w:r>
            <w:proofErr w:type="spellStart"/>
            <w:r w:rsidRPr="003A5040">
              <w:rPr>
                <w:rFonts w:ascii="Times New Roman" w:hAnsi="Times New Roman"/>
                <w:b/>
                <w:sz w:val="26"/>
                <w:szCs w:val="26"/>
              </w:rPr>
              <w:t>Nanostrukturēto</w:t>
            </w:r>
            <w:proofErr w:type="spellEnd"/>
            <w:r w:rsidRPr="003A5040">
              <w:rPr>
                <w:rFonts w:ascii="Times New Roman" w:hAnsi="Times New Roman"/>
                <w:b/>
                <w:sz w:val="26"/>
                <w:szCs w:val="26"/>
              </w:rPr>
              <w:t xml:space="preserve"> un daudzfunkcionālo materiālu, konstrukciju un tehnoloģiju VNPC</w:t>
            </w:r>
            <w:r>
              <w:rPr>
                <w:rFonts w:ascii="Times New Roman" w:hAnsi="Times New Roman"/>
                <w:b/>
                <w:sz w:val="26"/>
                <w:szCs w:val="26"/>
              </w:rPr>
              <w:t>"</w:t>
            </w:r>
            <w:r w:rsidR="004C7BEF">
              <w:rPr>
                <w:rFonts w:ascii="Times New Roman" w:hAnsi="Times New Roman"/>
                <w:b/>
                <w:sz w:val="26"/>
                <w:szCs w:val="26"/>
              </w:rPr>
              <w:t xml:space="preserve"> veidot </w:t>
            </w:r>
            <w:proofErr w:type="spellStart"/>
            <w:r w:rsidR="004C7BEF">
              <w:rPr>
                <w:rFonts w:ascii="Times New Roman" w:hAnsi="Times New Roman"/>
                <w:b/>
                <w:sz w:val="26"/>
                <w:szCs w:val="26"/>
              </w:rPr>
              <w:t>sinerģiju</w:t>
            </w:r>
            <w:proofErr w:type="spellEnd"/>
            <w:r w:rsidR="004C7BEF">
              <w:rPr>
                <w:rFonts w:ascii="Times New Roman" w:hAnsi="Times New Roman"/>
                <w:b/>
                <w:sz w:val="26"/>
                <w:szCs w:val="26"/>
              </w:rPr>
              <w:t xml:space="preserve"> un nozares attīstību ar atbilstošo kompetences centru</w:t>
            </w:r>
            <w:r w:rsidRPr="003A5040">
              <w:rPr>
                <w:rFonts w:ascii="Times New Roman" w:hAnsi="Times New Roman"/>
                <w:b/>
                <w:sz w:val="26"/>
                <w:szCs w:val="26"/>
              </w:rPr>
              <w:t>. Gala rezultātā kopā būtu nosegti seši no deviņiem VNPC.</w:t>
            </w:r>
          </w:p>
        </w:tc>
      </w:tr>
      <w:tr w:rsidR="00003B50" w:rsidRPr="003A5040" w:rsidTr="00255807">
        <w:trPr>
          <w:tblCellSpacing w:w="15" w:type="dxa"/>
        </w:trPr>
        <w:tc>
          <w:tcPr>
            <w:tcW w:w="245" w:type="pct"/>
            <w:hideMark/>
          </w:tcPr>
          <w:p w:rsidR="00003B50" w:rsidRPr="003A5040" w:rsidRDefault="00003B50" w:rsidP="00144BE9">
            <w:pPr>
              <w:spacing w:after="0" w:line="240" w:lineRule="auto"/>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lastRenderedPageBreak/>
              <w:t>3.</w:t>
            </w:r>
          </w:p>
        </w:tc>
        <w:tc>
          <w:tcPr>
            <w:tcW w:w="891"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Saistītie politikas ietekmes novērtējumi un pētījumi</w:t>
            </w:r>
          </w:p>
        </w:tc>
        <w:tc>
          <w:tcPr>
            <w:tcW w:w="3799" w:type="pct"/>
            <w:hideMark/>
          </w:tcPr>
          <w:p w:rsidR="00003B50" w:rsidRPr="003A5040" w:rsidRDefault="00050372"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3A5040" w:rsidTr="00255807">
        <w:trPr>
          <w:tblCellSpacing w:w="15" w:type="dxa"/>
        </w:trPr>
        <w:tc>
          <w:tcPr>
            <w:tcW w:w="245" w:type="pct"/>
            <w:hideMark/>
          </w:tcPr>
          <w:p w:rsidR="00003B50" w:rsidRPr="003A5040" w:rsidRDefault="00003B50" w:rsidP="00144BE9">
            <w:pPr>
              <w:spacing w:after="0" w:line="240" w:lineRule="auto"/>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4.</w:t>
            </w:r>
          </w:p>
        </w:tc>
        <w:tc>
          <w:tcPr>
            <w:tcW w:w="891"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Tiesiskā regulējuma mērķis un būtība</w:t>
            </w:r>
          </w:p>
        </w:tc>
        <w:tc>
          <w:tcPr>
            <w:tcW w:w="3799" w:type="pct"/>
            <w:hideMark/>
          </w:tcPr>
          <w:p w:rsidR="00CC357E" w:rsidRPr="00CC357E" w:rsidRDefault="008D5E05" w:rsidP="00CC357E">
            <w:pPr>
              <w:pStyle w:val="EE-paragr"/>
              <w:rPr>
                <w:sz w:val="26"/>
                <w:szCs w:val="26"/>
              </w:rPr>
            </w:pPr>
            <w:r w:rsidRPr="00CC357E">
              <w:rPr>
                <w:sz w:val="26"/>
                <w:szCs w:val="26"/>
              </w:rPr>
              <w:t xml:space="preserve">Rīkojuma projekts paredz </w:t>
            </w:r>
            <w:r w:rsidR="000E4D51" w:rsidRPr="00CC357E">
              <w:rPr>
                <w:sz w:val="26"/>
                <w:szCs w:val="26"/>
              </w:rPr>
              <w:t xml:space="preserve">šādu </w:t>
            </w:r>
            <w:r w:rsidRPr="00CC357E">
              <w:rPr>
                <w:sz w:val="26"/>
                <w:szCs w:val="26"/>
              </w:rPr>
              <w:t xml:space="preserve">grozījumu veikšanu </w:t>
            </w:r>
            <w:r w:rsidR="00F81AFF" w:rsidRPr="00CC357E">
              <w:rPr>
                <w:sz w:val="26"/>
                <w:szCs w:val="26"/>
              </w:rPr>
              <w:t xml:space="preserve">darbības programmas </w:t>
            </w:r>
            <w:r w:rsidR="00B553C7" w:rsidRPr="00CC357E">
              <w:rPr>
                <w:sz w:val="26"/>
                <w:szCs w:val="26"/>
                <w:lang w:bidi="he-IL"/>
              </w:rPr>
              <w:t>"</w:t>
            </w:r>
            <w:r w:rsidRPr="00CC357E">
              <w:rPr>
                <w:sz w:val="26"/>
                <w:szCs w:val="26"/>
              </w:rPr>
              <w:t>Uzņēmējdarbība un inovācijas</w:t>
            </w:r>
            <w:r w:rsidR="00B553C7" w:rsidRPr="00CC357E">
              <w:rPr>
                <w:sz w:val="26"/>
                <w:szCs w:val="26"/>
                <w:lang w:bidi="he-IL"/>
              </w:rPr>
              <w:t xml:space="preserve">" </w:t>
            </w:r>
            <w:r w:rsidRPr="00CC357E">
              <w:rPr>
                <w:sz w:val="26"/>
                <w:szCs w:val="26"/>
              </w:rPr>
              <w:t>papildinājum</w:t>
            </w:r>
            <w:r w:rsidR="00CC357E" w:rsidRPr="00CC357E">
              <w:rPr>
                <w:sz w:val="26"/>
                <w:szCs w:val="26"/>
              </w:rPr>
              <w:t>ā:</w:t>
            </w:r>
          </w:p>
          <w:p w:rsidR="008D5E05" w:rsidRPr="00CC357E" w:rsidRDefault="008D5E05" w:rsidP="00CC357E">
            <w:pPr>
              <w:pStyle w:val="EE-paragr"/>
              <w:numPr>
                <w:ilvl w:val="0"/>
                <w:numId w:val="10"/>
              </w:numPr>
              <w:ind w:left="396"/>
              <w:rPr>
                <w:sz w:val="26"/>
                <w:szCs w:val="26"/>
              </w:rPr>
            </w:pPr>
            <w:r w:rsidRPr="00CC357E">
              <w:rPr>
                <w:sz w:val="26"/>
                <w:szCs w:val="26"/>
              </w:rPr>
              <w:t xml:space="preserve">2.1.prioritātes </w:t>
            </w:r>
            <w:r w:rsidR="00B553C7" w:rsidRPr="00CC357E">
              <w:rPr>
                <w:sz w:val="26"/>
                <w:szCs w:val="26"/>
                <w:lang w:bidi="he-IL"/>
              </w:rPr>
              <w:t>"</w:t>
            </w:r>
            <w:r w:rsidRPr="00CC357E">
              <w:rPr>
                <w:sz w:val="26"/>
                <w:szCs w:val="26"/>
              </w:rPr>
              <w:t>Zinātne un inovācijas</w:t>
            </w:r>
            <w:r w:rsidR="00B553C7" w:rsidRPr="00CC357E">
              <w:rPr>
                <w:sz w:val="26"/>
                <w:szCs w:val="26"/>
                <w:lang w:bidi="he-IL"/>
              </w:rPr>
              <w:t>"</w:t>
            </w:r>
            <w:r w:rsidR="00B553C7" w:rsidRPr="00CC357E">
              <w:rPr>
                <w:sz w:val="26"/>
                <w:szCs w:val="26"/>
                <w:rtl/>
                <w:lang w:bidi="he-IL"/>
              </w:rPr>
              <w:t xml:space="preserve"> </w:t>
            </w:r>
            <w:r w:rsidRPr="00CC357E">
              <w:rPr>
                <w:sz w:val="26"/>
                <w:szCs w:val="26"/>
              </w:rPr>
              <w:t xml:space="preserve">2.1.1.pasākuma </w:t>
            </w:r>
            <w:r w:rsidR="00B553C7" w:rsidRPr="00CC357E">
              <w:rPr>
                <w:sz w:val="26"/>
                <w:szCs w:val="26"/>
                <w:lang w:bidi="he-IL"/>
              </w:rPr>
              <w:t>"</w:t>
            </w:r>
            <w:r w:rsidRPr="00CC357E">
              <w:rPr>
                <w:sz w:val="26"/>
                <w:szCs w:val="26"/>
              </w:rPr>
              <w:t>Zinātne, pētniecība un attīstība</w:t>
            </w:r>
            <w:r w:rsidR="00B553C7" w:rsidRPr="00CC357E">
              <w:rPr>
                <w:sz w:val="26"/>
                <w:szCs w:val="26"/>
                <w:lang w:bidi="he-IL"/>
              </w:rPr>
              <w:t xml:space="preserve">" </w:t>
            </w:r>
            <w:r w:rsidRPr="00CC357E">
              <w:rPr>
                <w:sz w:val="26"/>
                <w:szCs w:val="26"/>
              </w:rPr>
              <w:t>aprakstā:</w:t>
            </w:r>
          </w:p>
          <w:p w:rsidR="000E4D51" w:rsidRPr="00CC357E" w:rsidRDefault="00457C13" w:rsidP="00CC357E">
            <w:pPr>
              <w:numPr>
                <w:ilvl w:val="0"/>
                <w:numId w:val="3"/>
              </w:numPr>
              <w:spacing w:after="0" w:line="240" w:lineRule="auto"/>
              <w:ind w:left="821" w:hanging="283"/>
              <w:jc w:val="both"/>
              <w:rPr>
                <w:rFonts w:ascii="Times New Roman" w:hAnsi="Times New Roman"/>
                <w:sz w:val="26"/>
                <w:szCs w:val="26"/>
              </w:rPr>
            </w:pPr>
            <w:r>
              <w:rPr>
                <w:rFonts w:ascii="Times New Roman" w:hAnsi="Times New Roman"/>
                <w:sz w:val="26"/>
                <w:szCs w:val="26"/>
              </w:rPr>
              <w:t>p</w:t>
            </w:r>
            <w:r w:rsidR="00CC357E">
              <w:rPr>
                <w:rFonts w:ascii="Times New Roman" w:hAnsi="Times New Roman"/>
                <w:sz w:val="26"/>
                <w:szCs w:val="26"/>
              </w:rPr>
              <w:t xml:space="preserve">recizēt </w:t>
            </w:r>
            <w:r w:rsidR="008D5E05" w:rsidRPr="00CC357E">
              <w:rPr>
                <w:rFonts w:ascii="Times New Roman" w:hAnsi="Times New Roman"/>
                <w:sz w:val="26"/>
                <w:szCs w:val="26"/>
              </w:rPr>
              <w:t xml:space="preserve">2.1.1.3.1.apakšaktivitātes </w:t>
            </w:r>
            <w:r w:rsidR="00CC357E">
              <w:rPr>
                <w:rFonts w:ascii="Times New Roman" w:hAnsi="Times New Roman"/>
                <w:sz w:val="26"/>
                <w:szCs w:val="26"/>
              </w:rPr>
              <w:t>mērķi</w:t>
            </w:r>
            <w:r w:rsidR="000E4D51" w:rsidRPr="00CC357E">
              <w:rPr>
                <w:rFonts w:ascii="Times New Roman" w:hAnsi="Times New Roman"/>
                <w:sz w:val="26"/>
                <w:szCs w:val="26"/>
              </w:rPr>
              <w:t xml:space="preserve">, </w:t>
            </w:r>
            <w:r w:rsidR="00DB6AC0" w:rsidRPr="00CC357E">
              <w:rPr>
                <w:rFonts w:ascii="Times New Roman" w:hAnsi="Times New Roman"/>
                <w:sz w:val="26"/>
                <w:szCs w:val="26"/>
              </w:rPr>
              <w:t>no</w:t>
            </w:r>
            <w:r w:rsidR="003D5A53" w:rsidRPr="00CC357E">
              <w:rPr>
                <w:rFonts w:ascii="Times New Roman" w:hAnsi="Times New Roman"/>
                <w:sz w:val="26"/>
                <w:szCs w:val="26"/>
              </w:rPr>
              <w:t xml:space="preserve">šķirot pirmās un otrās atlases kārtas ietvaros </w:t>
            </w:r>
            <w:r w:rsidR="00DB6AC0" w:rsidRPr="00CC357E">
              <w:rPr>
                <w:rFonts w:ascii="Times New Roman" w:hAnsi="Times New Roman"/>
                <w:sz w:val="26"/>
                <w:szCs w:val="26"/>
              </w:rPr>
              <w:t>sasniedzamos mērķus</w:t>
            </w:r>
            <w:r w:rsidR="003D5A53" w:rsidRPr="00CC357E">
              <w:rPr>
                <w:rFonts w:ascii="Times New Roman" w:hAnsi="Times New Roman"/>
                <w:sz w:val="26"/>
                <w:szCs w:val="26"/>
              </w:rPr>
              <w:t>;</w:t>
            </w:r>
            <w:r w:rsidR="00DB6AC0" w:rsidRPr="00CC357E">
              <w:rPr>
                <w:rFonts w:ascii="Times New Roman" w:hAnsi="Times New Roman"/>
                <w:sz w:val="26"/>
                <w:szCs w:val="26"/>
              </w:rPr>
              <w:t xml:space="preserve"> </w:t>
            </w:r>
          </w:p>
          <w:p w:rsidR="00CC357E" w:rsidRPr="00CC357E" w:rsidRDefault="00457C13" w:rsidP="00CC357E">
            <w:pPr>
              <w:numPr>
                <w:ilvl w:val="0"/>
                <w:numId w:val="3"/>
              </w:numPr>
              <w:spacing w:after="0" w:line="240" w:lineRule="auto"/>
              <w:ind w:left="821" w:hanging="283"/>
              <w:jc w:val="both"/>
              <w:rPr>
                <w:rFonts w:ascii="Times New Roman" w:hAnsi="Times New Roman"/>
                <w:sz w:val="26"/>
                <w:szCs w:val="26"/>
              </w:rPr>
            </w:pPr>
            <w:r>
              <w:rPr>
                <w:rFonts w:ascii="Times New Roman" w:hAnsi="Times New Roman"/>
                <w:sz w:val="26"/>
                <w:szCs w:val="26"/>
              </w:rPr>
              <w:t>p</w:t>
            </w:r>
            <w:r w:rsidR="00CC357E">
              <w:rPr>
                <w:rFonts w:ascii="Times New Roman" w:hAnsi="Times New Roman"/>
                <w:sz w:val="26"/>
                <w:szCs w:val="26"/>
              </w:rPr>
              <w:t xml:space="preserve">recizēt </w:t>
            </w:r>
            <w:r w:rsidR="000E4D51" w:rsidRPr="00CC357E">
              <w:rPr>
                <w:rFonts w:ascii="Times New Roman" w:hAnsi="Times New Roman"/>
                <w:sz w:val="26"/>
                <w:szCs w:val="26"/>
              </w:rPr>
              <w:t>2.1.1.3.1.apakšaktivitātes finansējuma saņēm</w:t>
            </w:r>
            <w:r w:rsidR="006E6B62" w:rsidRPr="00CC357E">
              <w:rPr>
                <w:rFonts w:ascii="Times New Roman" w:hAnsi="Times New Roman"/>
                <w:sz w:val="26"/>
                <w:szCs w:val="26"/>
              </w:rPr>
              <w:t>ēj</w:t>
            </w:r>
            <w:r w:rsidR="00DB6AC0" w:rsidRPr="00CC357E">
              <w:rPr>
                <w:rFonts w:ascii="Times New Roman" w:hAnsi="Times New Roman"/>
                <w:sz w:val="26"/>
                <w:szCs w:val="26"/>
              </w:rPr>
              <w:t>u definējuma otrajai projektu iesniegumu atlases kārtai</w:t>
            </w:r>
            <w:r w:rsidR="00CC357E" w:rsidRPr="00CC357E">
              <w:rPr>
                <w:rFonts w:ascii="Times New Roman" w:hAnsi="Times New Roman"/>
                <w:sz w:val="26"/>
                <w:szCs w:val="26"/>
              </w:rPr>
              <w:t>;</w:t>
            </w:r>
          </w:p>
          <w:p w:rsidR="00535A50" w:rsidRPr="00CC357E" w:rsidRDefault="00EF31CC" w:rsidP="00CC357E">
            <w:pPr>
              <w:pStyle w:val="EE-paragr"/>
              <w:numPr>
                <w:ilvl w:val="0"/>
                <w:numId w:val="10"/>
              </w:numPr>
              <w:ind w:left="396"/>
              <w:rPr>
                <w:b/>
                <w:sz w:val="26"/>
                <w:szCs w:val="26"/>
              </w:rPr>
            </w:pPr>
            <w:r w:rsidRPr="00CC357E">
              <w:rPr>
                <w:b/>
                <w:sz w:val="26"/>
                <w:szCs w:val="26"/>
              </w:rPr>
              <w:t>precizēt darbības programmas "Uzņēmējdarbība un inovācijas" papildinājuma 2.1.2. pasākuma "Inovācijas" tabulu "Finanšu plāns", pārdalot ERAF finansējumu no 2.1.2.1.2.apakšaktivitātes 204 230 latu apmērā, no 2.1.2.2.1.</w:t>
            </w:r>
            <w:r w:rsidR="00CC357E">
              <w:rPr>
                <w:b/>
                <w:sz w:val="26"/>
                <w:szCs w:val="26"/>
              </w:rPr>
              <w:t xml:space="preserve"> </w:t>
            </w:r>
            <w:proofErr w:type="spellStart"/>
            <w:r w:rsidRPr="00CC357E">
              <w:rPr>
                <w:b/>
                <w:sz w:val="26"/>
                <w:szCs w:val="26"/>
              </w:rPr>
              <w:t>apakšapakšaktivitātes</w:t>
            </w:r>
            <w:proofErr w:type="spellEnd"/>
            <w:r w:rsidRPr="00CC357E">
              <w:rPr>
                <w:b/>
                <w:sz w:val="26"/>
                <w:szCs w:val="26"/>
              </w:rPr>
              <w:t xml:space="preserve"> 202 304 latu apmērā un no 2.1.2.2.3.</w:t>
            </w:r>
            <w:r w:rsidR="00CC357E">
              <w:rPr>
                <w:b/>
                <w:sz w:val="26"/>
                <w:szCs w:val="26"/>
              </w:rPr>
              <w:t xml:space="preserve"> </w:t>
            </w:r>
            <w:proofErr w:type="spellStart"/>
            <w:r w:rsidRPr="00CC357E">
              <w:rPr>
                <w:b/>
                <w:sz w:val="26"/>
                <w:szCs w:val="26"/>
              </w:rPr>
              <w:t>apakšaktivitātes</w:t>
            </w:r>
            <w:proofErr w:type="spellEnd"/>
            <w:r w:rsidRPr="00CC357E">
              <w:rPr>
                <w:b/>
                <w:sz w:val="26"/>
                <w:szCs w:val="26"/>
              </w:rPr>
              <w:t xml:space="preserve"> 646 798 latu apmērā uz 2.1.2.1.1.</w:t>
            </w:r>
            <w:r w:rsidR="00CC357E">
              <w:rPr>
                <w:b/>
                <w:sz w:val="26"/>
                <w:szCs w:val="26"/>
              </w:rPr>
              <w:t xml:space="preserve"> </w:t>
            </w:r>
            <w:proofErr w:type="spellStart"/>
            <w:r w:rsidRPr="00CC357E">
              <w:rPr>
                <w:b/>
                <w:sz w:val="26"/>
                <w:szCs w:val="26"/>
              </w:rPr>
              <w:t>apakšaktivitāti</w:t>
            </w:r>
            <w:proofErr w:type="spellEnd"/>
            <w:r w:rsidRPr="00CC357E">
              <w:rPr>
                <w:b/>
                <w:sz w:val="26"/>
                <w:szCs w:val="26"/>
              </w:rPr>
              <w:t>. Kopējais pārdalāmais finansējums uz 2.1.2.1.1.apakšapakšaktivitāti ir 1 053 332 lati</w:t>
            </w:r>
            <w:r w:rsidRPr="00CC357E">
              <w:rPr>
                <w:sz w:val="26"/>
                <w:szCs w:val="26"/>
              </w:rPr>
              <w:t>.</w:t>
            </w:r>
          </w:p>
        </w:tc>
      </w:tr>
      <w:tr w:rsidR="00003B50" w:rsidRPr="003A5040" w:rsidTr="00255807">
        <w:trPr>
          <w:tblCellSpacing w:w="15" w:type="dxa"/>
        </w:trPr>
        <w:tc>
          <w:tcPr>
            <w:tcW w:w="245" w:type="pct"/>
            <w:hideMark/>
          </w:tcPr>
          <w:p w:rsidR="00003B50" w:rsidRPr="003A5040" w:rsidRDefault="00003B50" w:rsidP="00144BE9">
            <w:pPr>
              <w:spacing w:after="0" w:line="240" w:lineRule="auto"/>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5.</w:t>
            </w:r>
          </w:p>
        </w:tc>
        <w:tc>
          <w:tcPr>
            <w:tcW w:w="891"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Projekta izstrādē iesaistītās institūcijas</w:t>
            </w:r>
          </w:p>
        </w:tc>
        <w:tc>
          <w:tcPr>
            <w:tcW w:w="3799" w:type="pct"/>
            <w:hideMark/>
          </w:tcPr>
          <w:p w:rsidR="00003B50" w:rsidRPr="003A5040" w:rsidRDefault="00050372" w:rsidP="00460C58">
            <w:pPr>
              <w:spacing w:after="12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3A5040" w:rsidTr="00255807">
        <w:trPr>
          <w:tblCellSpacing w:w="15" w:type="dxa"/>
        </w:trPr>
        <w:tc>
          <w:tcPr>
            <w:tcW w:w="245" w:type="pct"/>
            <w:hideMark/>
          </w:tcPr>
          <w:p w:rsidR="00003B50" w:rsidRPr="003A5040" w:rsidRDefault="00003B50" w:rsidP="00144BE9">
            <w:pPr>
              <w:spacing w:after="0" w:line="240" w:lineRule="auto"/>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6.</w:t>
            </w:r>
          </w:p>
        </w:tc>
        <w:tc>
          <w:tcPr>
            <w:tcW w:w="891"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Iemesli, kādēļ netika nodrošināta sabiedrības līdzdalība</w:t>
            </w:r>
          </w:p>
        </w:tc>
        <w:tc>
          <w:tcPr>
            <w:tcW w:w="3799" w:type="pct"/>
            <w:hideMark/>
          </w:tcPr>
          <w:p w:rsidR="00003B50" w:rsidRPr="003A5040" w:rsidRDefault="00050372"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3A5040" w:rsidTr="00255807">
        <w:trPr>
          <w:tblCellSpacing w:w="15" w:type="dxa"/>
        </w:trPr>
        <w:tc>
          <w:tcPr>
            <w:tcW w:w="245" w:type="pct"/>
            <w:hideMark/>
          </w:tcPr>
          <w:p w:rsidR="00003B50" w:rsidRPr="003A5040" w:rsidRDefault="00003B50" w:rsidP="00144BE9">
            <w:pPr>
              <w:spacing w:after="0" w:line="240" w:lineRule="auto"/>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7.</w:t>
            </w:r>
          </w:p>
        </w:tc>
        <w:tc>
          <w:tcPr>
            <w:tcW w:w="891"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Cita informācija</w:t>
            </w:r>
          </w:p>
        </w:tc>
        <w:tc>
          <w:tcPr>
            <w:tcW w:w="3799" w:type="pct"/>
            <w:hideMark/>
          </w:tcPr>
          <w:p w:rsidR="00003B50" w:rsidRPr="003A5040" w:rsidRDefault="00003B50" w:rsidP="00144BE9">
            <w:pPr>
              <w:spacing w:after="0" w:line="240" w:lineRule="auto"/>
              <w:jc w:val="both"/>
              <w:rPr>
                <w:rFonts w:ascii="Times New Roman" w:eastAsia="Times New Roman" w:hAnsi="Times New Roman"/>
                <w:sz w:val="26"/>
                <w:szCs w:val="26"/>
                <w:lang w:eastAsia="lv-LV"/>
              </w:rPr>
            </w:pPr>
            <w:r w:rsidRPr="003A5040">
              <w:rPr>
                <w:rFonts w:ascii="Times New Roman" w:eastAsia="Times New Roman" w:hAnsi="Times New Roman"/>
                <w:sz w:val="26"/>
                <w:szCs w:val="26"/>
                <w:lang w:eastAsia="lv-LV"/>
              </w:rPr>
              <w:t>Nav</w:t>
            </w:r>
          </w:p>
        </w:tc>
      </w:tr>
    </w:tbl>
    <w:p w:rsidR="00255807" w:rsidRPr="00003B50" w:rsidRDefault="00255807" w:rsidP="00144BE9">
      <w:pPr>
        <w:spacing w:after="0" w:line="240" w:lineRule="auto"/>
        <w:rPr>
          <w:rFonts w:ascii="Times New Roman" w:eastAsia="Times New Roman" w:hAnsi="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366"/>
        <w:gridCol w:w="2119"/>
        <w:gridCol w:w="6736"/>
      </w:tblGrid>
      <w:tr w:rsidR="00003B50" w:rsidRPr="00244EC8" w:rsidTr="002A6C48">
        <w:trPr>
          <w:tblCellSpacing w:w="15" w:type="dxa"/>
        </w:trPr>
        <w:tc>
          <w:tcPr>
            <w:tcW w:w="9161" w:type="dxa"/>
            <w:gridSpan w:val="3"/>
            <w:vAlign w:val="center"/>
            <w:hideMark/>
          </w:tcPr>
          <w:p w:rsidR="00003B50" w:rsidRPr="00244EC8" w:rsidRDefault="00003B50" w:rsidP="00144BE9">
            <w:pPr>
              <w:spacing w:after="0" w:line="240" w:lineRule="auto"/>
              <w:jc w:val="center"/>
              <w:rPr>
                <w:rFonts w:ascii="Times New Roman" w:eastAsia="Times New Roman" w:hAnsi="Times New Roman"/>
                <w:b/>
                <w:bCs/>
                <w:sz w:val="26"/>
                <w:szCs w:val="26"/>
                <w:lang w:eastAsia="lv-LV"/>
              </w:rPr>
            </w:pPr>
            <w:r w:rsidRPr="00244EC8">
              <w:rPr>
                <w:rFonts w:ascii="Times New Roman" w:eastAsia="Times New Roman" w:hAnsi="Times New Roman"/>
                <w:b/>
                <w:bCs/>
                <w:sz w:val="26"/>
                <w:szCs w:val="26"/>
                <w:lang w:eastAsia="lv-LV"/>
              </w:rPr>
              <w:t>II. Tiesību akta projekta ietekme uz sabiedrību</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1.</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 xml:space="preserve">Sabiedrības </w:t>
            </w:r>
            <w:proofErr w:type="spellStart"/>
            <w:r w:rsidRPr="00244EC8">
              <w:rPr>
                <w:rFonts w:ascii="Times New Roman" w:eastAsia="Times New Roman" w:hAnsi="Times New Roman"/>
                <w:sz w:val="26"/>
                <w:szCs w:val="26"/>
                <w:lang w:eastAsia="lv-LV"/>
              </w:rPr>
              <w:t>mērķgrupa</w:t>
            </w:r>
            <w:proofErr w:type="spellEnd"/>
          </w:p>
        </w:tc>
        <w:tc>
          <w:tcPr>
            <w:tcW w:w="6691" w:type="dxa"/>
            <w:hideMark/>
          </w:tcPr>
          <w:p w:rsidR="002A6C48" w:rsidRPr="00244EC8" w:rsidRDefault="00FB6D8B" w:rsidP="005A6982">
            <w:pPr>
              <w:spacing w:after="120" w:line="240" w:lineRule="auto"/>
              <w:jc w:val="both"/>
              <w:rPr>
                <w:rFonts w:ascii="Times New Roman" w:hAnsi="Times New Roman"/>
                <w:sz w:val="26"/>
                <w:szCs w:val="26"/>
              </w:rPr>
            </w:pPr>
            <w:r w:rsidRPr="00244EC8">
              <w:rPr>
                <w:rFonts w:ascii="Times New Roman" w:hAnsi="Times New Roman"/>
                <w:b/>
                <w:sz w:val="26"/>
                <w:szCs w:val="26"/>
              </w:rPr>
              <w:t>2.1.1.3.1.apakšaktivitātes mērķa grupa ir</w:t>
            </w:r>
            <w:r w:rsidRPr="00244EC8">
              <w:rPr>
                <w:rFonts w:ascii="Times New Roman" w:hAnsi="Times New Roman"/>
                <w:sz w:val="26"/>
                <w:szCs w:val="26"/>
              </w:rPr>
              <w:t xml:space="preserve"> </w:t>
            </w:r>
            <w:r w:rsidRPr="00244EC8">
              <w:rPr>
                <w:rFonts w:ascii="Times New Roman" w:hAnsi="Times New Roman"/>
                <w:b/>
                <w:sz w:val="26"/>
                <w:szCs w:val="26"/>
              </w:rPr>
              <w:t>z</w:t>
            </w:r>
            <w:r w:rsidR="00135E0B" w:rsidRPr="00244EC8">
              <w:rPr>
                <w:rFonts w:ascii="Times New Roman" w:hAnsi="Times New Roman"/>
                <w:sz w:val="26"/>
                <w:szCs w:val="26"/>
              </w:rPr>
              <w:t>inātniskās institūcijas (zinātniskie institūti, augstskolas, kā arī citas institūcijas, kuru statūtos un nolikumos ir paredzēta zinātniskā darbība), kuras ir reģistrētas zinātnisko institūciju reģistrā, komersanti, zinātnē un pētniecībā nodarbinātais personāls</w:t>
            </w:r>
            <w:r w:rsidR="00E253C4" w:rsidRPr="00244EC8">
              <w:rPr>
                <w:rFonts w:ascii="Times New Roman" w:hAnsi="Times New Roman"/>
                <w:sz w:val="26"/>
                <w:szCs w:val="26"/>
              </w:rPr>
              <w:t>.</w:t>
            </w:r>
          </w:p>
          <w:p w:rsidR="00E253C4" w:rsidRPr="00244EC8" w:rsidRDefault="00244EC8" w:rsidP="00244EC8">
            <w:pPr>
              <w:spacing w:after="0" w:line="240" w:lineRule="auto"/>
              <w:jc w:val="both"/>
              <w:rPr>
                <w:rFonts w:ascii="Times New Roman" w:eastAsia="Times New Roman" w:hAnsi="Times New Roman"/>
                <w:b/>
                <w:sz w:val="26"/>
                <w:szCs w:val="26"/>
                <w:lang w:eastAsia="lv-LV"/>
              </w:rPr>
            </w:pPr>
            <w:r w:rsidRPr="00244EC8">
              <w:rPr>
                <w:rFonts w:ascii="Times New Roman" w:hAnsi="Times New Roman"/>
                <w:b/>
                <w:sz w:val="26"/>
                <w:szCs w:val="26"/>
              </w:rPr>
              <w:t>2.1.2.1.1.apakšaktivitātes mērķa grupa ir komersanti, to apvienības (biedrības, nodibinājumi), zinātniskās institūcijas, kuras ir reģistrētas zinātnisko institūciju reģistrā.</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2.</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 xml:space="preserve">Citas sabiedrības grupas (bez </w:t>
            </w:r>
            <w:proofErr w:type="spellStart"/>
            <w:r w:rsidRPr="00244EC8">
              <w:rPr>
                <w:rFonts w:ascii="Times New Roman" w:eastAsia="Times New Roman" w:hAnsi="Times New Roman"/>
                <w:sz w:val="26"/>
                <w:szCs w:val="26"/>
                <w:lang w:eastAsia="lv-LV"/>
              </w:rPr>
              <w:t>mērķgrupas</w:t>
            </w:r>
            <w:proofErr w:type="spellEnd"/>
            <w:r w:rsidRPr="00244EC8">
              <w:rPr>
                <w:rFonts w:ascii="Times New Roman" w:eastAsia="Times New Roman" w:hAnsi="Times New Roman"/>
                <w:sz w:val="26"/>
                <w:szCs w:val="26"/>
                <w:lang w:eastAsia="lv-LV"/>
              </w:rPr>
              <w:t>), kuras tiesiskais regulējums arī ietekmē vai varētu ietekmēt</w:t>
            </w:r>
          </w:p>
        </w:tc>
        <w:tc>
          <w:tcPr>
            <w:tcW w:w="6691" w:type="dxa"/>
            <w:hideMark/>
          </w:tcPr>
          <w:p w:rsidR="00003B50" w:rsidRPr="00244EC8" w:rsidRDefault="00050372"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3.</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Tiesiskā regulējuma finansiālā ietekme</w:t>
            </w:r>
          </w:p>
        </w:tc>
        <w:tc>
          <w:tcPr>
            <w:tcW w:w="6691" w:type="dxa"/>
            <w:hideMark/>
          </w:tcPr>
          <w:p w:rsidR="00003B50" w:rsidRPr="00244EC8" w:rsidRDefault="00050372"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4.</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Tiesiskā regulējuma nefinansiālā ietekme</w:t>
            </w:r>
          </w:p>
        </w:tc>
        <w:tc>
          <w:tcPr>
            <w:tcW w:w="6691" w:type="dxa"/>
            <w:hideMark/>
          </w:tcPr>
          <w:p w:rsidR="001A2912" w:rsidRPr="00244EC8" w:rsidRDefault="00244EC8" w:rsidP="00633FF0">
            <w:pPr>
              <w:spacing w:after="0" w:line="240" w:lineRule="auto"/>
              <w:jc w:val="both"/>
              <w:rPr>
                <w:rFonts w:ascii="Times New Roman" w:hAnsi="Times New Roman"/>
                <w:sz w:val="26"/>
                <w:szCs w:val="26"/>
              </w:rPr>
            </w:pPr>
            <w:r w:rsidRPr="00244EC8">
              <w:rPr>
                <w:rFonts w:ascii="Times New Roman" w:hAnsi="Times New Roman"/>
                <w:b/>
                <w:bCs/>
                <w:color w:val="000000"/>
                <w:sz w:val="26"/>
                <w:szCs w:val="26"/>
              </w:rPr>
              <w:t>Izmaiņas pieejamā finansējumā apjomā 2.1.2.1.1.</w:t>
            </w:r>
            <w:r>
              <w:rPr>
                <w:rFonts w:ascii="Times New Roman" w:hAnsi="Times New Roman"/>
                <w:b/>
                <w:bCs/>
                <w:color w:val="000000"/>
                <w:sz w:val="26"/>
                <w:szCs w:val="26"/>
              </w:rPr>
              <w:t xml:space="preserve"> </w:t>
            </w:r>
            <w:proofErr w:type="spellStart"/>
            <w:r w:rsidRPr="00244EC8">
              <w:rPr>
                <w:rFonts w:ascii="Times New Roman" w:hAnsi="Times New Roman"/>
                <w:b/>
                <w:bCs/>
                <w:color w:val="000000"/>
                <w:sz w:val="26"/>
                <w:szCs w:val="26"/>
              </w:rPr>
              <w:t>apakšaktivitātes</w:t>
            </w:r>
            <w:proofErr w:type="spellEnd"/>
            <w:r w:rsidRPr="00244EC8">
              <w:rPr>
                <w:rFonts w:ascii="Times New Roman" w:hAnsi="Times New Roman"/>
                <w:b/>
                <w:bCs/>
                <w:color w:val="000000"/>
                <w:sz w:val="26"/>
                <w:szCs w:val="26"/>
              </w:rPr>
              <w:t xml:space="preserve"> ietvaros ļaus nodrošināt resursu koncentrāciju papildus vēl vienā no Latvijas tautsaimniecības prioritārajām nozarēm</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5.</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Administratīvās procedūras raksturojums</w:t>
            </w:r>
          </w:p>
        </w:tc>
        <w:tc>
          <w:tcPr>
            <w:tcW w:w="6691" w:type="dxa"/>
            <w:hideMark/>
          </w:tcPr>
          <w:p w:rsidR="00003B50" w:rsidRPr="00244EC8" w:rsidRDefault="00050372"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6.</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Administratīvo izmaksu monetārs novērtējums</w:t>
            </w:r>
          </w:p>
        </w:tc>
        <w:tc>
          <w:tcPr>
            <w:tcW w:w="6691" w:type="dxa"/>
            <w:hideMark/>
          </w:tcPr>
          <w:p w:rsidR="00003B50" w:rsidRPr="00244EC8" w:rsidRDefault="00050372"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003B50" w:rsidRPr="00244EC8" w:rsidTr="00255807">
        <w:trPr>
          <w:tblCellSpacing w:w="15" w:type="dxa"/>
        </w:trPr>
        <w:tc>
          <w:tcPr>
            <w:tcW w:w="321" w:type="dxa"/>
            <w:hideMark/>
          </w:tcPr>
          <w:p w:rsidR="00003B50" w:rsidRPr="00244EC8" w:rsidRDefault="00003B50" w:rsidP="00144BE9">
            <w:pPr>
              <w:spacing w:after="0" w:line="240" w:lineRule="auto"/>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7.</w:t>
            </w:r>
          </w:p>
        </w:tc>
        <w:tc>
          <w:tcPr>
            <w:tcW w:w="2089"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Cita informācija</w:t>
            </w:r>
          </w:p>
        </w:tc>
        <w:tc>
          <w:tcPr>
            <w:tcW w:w="6691" w:type="dxa"/>
            <w:hideMark/>
          </w:tcPr>
          <w:p w:rsidR="00003B50" w:rsidRPr="00244EC8" w:rsidRDefault="00003B50" w:rsidP="00144BE9">
            <w:pPr>
              <w:spacing w:after="0" w:line="240" w:lineRule="auto"/>
              <w:jc w:val="both"/>
              <w:rPr>
                <w:rFonts w:ascii="Times New Roman" w:eastAsia="Times New Roman" w:hAnsi="Times New Roman"/>
                <w:sz w:val="26"/>
                <w:szCs w:val="26"/>
                <w:lang w:eastAsia="lv-LV"/>
              </w:rPr>
            </w:pPr>
            <w:r w:rsidRPr="00244EC8">
              <w:rPr>
                <w:rFonts w:ascii="Times New Roman" w:eastAsia="Times New Roman" w:hAnsi="Times New Roman"/>
                <w:sz w:val="26"/>
                <w:szCs w:val="26"/>
                <w:lang w:eastAsia="lv-LV"/>
              </w:rPr>
              <w:t>Nav</w:t>
            </w:r>
          </w:p>
        </w:tc>
      </w:tr>
    </w:tbl>
    <w:p w:rsidR="004B56CE" w:rsidRDefault="00003B50" w:rsidP="00144BE9">
      <w:pPr>
        <w:spacing w:after="0" w:line="240" w:lineRule="auto"/>
        <w:rPr>
          <w:rFonts w:ascii="Times New Roman" w:eastAsia="Times New Roman" w:hAnsi="Times New Roman"/>
          <w:sz w:val="28"/>
          <w:szCs w:val="28"/>
          <w:lang w:eastAsia="lv-LV"/>
        </w:rPr>
      </w:pPr>
      <w:r w:rsidRPr="00003B50">
        <w:rPr>
          <w:rFonts w:ascii="Times New Roman" w:eastAsia="Times New Roman" w:hAnsi="Times New Roman"/>
          <w:sz w:val="28"/>
          <w:szCs w:val="28"/>
          <w:lang w:eastAsia="lv-LV"/>
        </w:rPr>
        <w:t> </w:t>
      </w:r>
    </w:p>
    <w:p w:rsidR="004B56CE" w:rsidRPr="00050372" w:rsidRDefault="004B56CE" w:rsidP="004B56CE">
      <w:pPr>
        <w:spacing w:after="0" w:line="240" w:lineRule="auto"/>
        <w:rPr>
          <w:rFonts w:ascii="Times New Roman" w:eastAsia="Times New Roman" w:hAnsi="Times New Roman"/>
          <w:b/>
          <w:sz w:val="26"/>
          <w:szCs w:val="26"/>
          <w:lang w:eastAsia="lv-LV"/>
        </w:rPr>
      </w:pPr>
      <w:r w:rsidRPr="006F0BF8">
        <w:rPr>
          <w:rFonts w:ascii="Times New Roman" w:eastAsia="Times New Roman" w:hAnsi="Times New Roman"/>
          <w:b/>
          <w:sz w:val="26"/>
          <w:szCs w:val="26"/>
          <w:lang w:eastAsia="lv-LV"/>
        </w:rPr>
        <w:t xml:space="preserve">Anotācijas III – </w:t>
      </w:r>
      <w:r w:rsidR="00050372" w:rsidRPr="00050372">
        <w:rPr>
          <w:rFonts w:ascii="Times New Roman" w:eastAsia="Times New Roman" w:hAnsi="Times New Roman"/>
          <w:b/>
          <w:sz w:val="26"/>
          <w:szCs w:val="26"/>
          <w:lang w:eastAsia="lv-LV"/>
        </w:rPr>
        <w:t>rīkojuma projekts šo jomu neskar</w:t>
      </w:r>
    </w:p>
    <w:p w:rsidR="004B56CE" w:rsidRDefault="004B56CE" w:rsidP="00144BE9">
      <w:pPr>
        <w:spacing w:after="0" w:line="240" w:lineRule="auto"/>
        <w:rPr>
          <w:rFonts w:ascii="Times New Roman" w:eastAsia="Times New Roman" w:hAnsi="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362"/>
        <w:gridCol w:w="2106"/>
        <w:gridCol w:w="6753"/>
      </w:tblGrid>
      <w:tr w:rsidR="004B56CE" w:rsidRPr="00661E3C" w:rsidTr="00AC25BE">
        <w:trPr>
          <w:tblCellSpacing w:w="15" w:type="dxa"/>
        </w:trPr>
        <w:tc>
          <w:tcPr>
            <w:tcW w:w="9229" w:type="dxa"/>
            <w:gridSpan w:val="3"/>
            <w:vAlign w:val="center"/>
            <w:hideMark/>
          </w:tcPr>
          <w:p w:rsidR="004B56CE" w:rsidRPr="00661E3C" w:rsidRDefault="004B56CE" w:rsidP="009A4C3C">
            <w:pPr>
              <w:spacing w:after="0" w:line="240" w:lineRule="auto"/>
              <w:jc w:val="center"/>
              <w:rPr>
                <w:rFonts w:ascii="Times New Roman" w:eastAsia="Times New Roman" w:hAnsi="Times New Roman"/>
                <w:b/>
                <w:bCs/>
                <w:sz w:val="26"/>
                <w:szCs w:val="26"/>
                <w:lang w:eastAsia="lv-LV"/>
              </w:rPr>
            </w:pPr>
            <w:r w:rsidRPr="00661E3C">
              <w:rPr>
                <w:rFonts w:ascii="Times New Roman" w:hAnsi="Times New Roman"/>
                <w:b/>
                <w:bCs/>
                <w:sz w:val="26"/>
                <w:szCs w:val="26"/>
              </w:rPr>
              <w:t xml:space="preserve">IV. </w:t>
            </w:r>
            <w:r w:rsidR="009A4C3C">
              <w:rPr>
                <w:rFonts w:ascii="Times New Roman" w:hAnsi="Times New Roman"/>
                <w:b/>
                <w:bCs/>
                <w:sz w:val="26"/>
                <w:szCs w:val="26"/>
              </w:rPr>
              <w:t>Tiesību akta projekta</w:t>
            </w:r>
            <w:r w:rsidRPr="00661E3C">
              <w:rPr>
                <w:rFonts w:ascii="Times New Roman" w:hAnsi="Times New Roman"/>
                <w:b/>
                <w:bCs/>
                <w:sz w:val="26"/>
                <w:szCs w:val="26"/>
              </w:rPr>
              <w:t xml:space="preserve"> ietekme uz spēkā esošo tiesību normu sistēmu</w:t>
            </w:r>
          </w:p>
        </w:tc>
      </w:tr>
      <w:tr w:rsidR="004B56CE" w:rsidRPr="00661E3C" w:rsidTr="00AC25BE">
        <w:trPr>
          <w:tblCellSpacing w:w="15" w:type="dxa"/>
        </w:trPr>
        <w:tc>
          <w:tcPr>
            <w:tcW w:w="319" w:type="dxa"/>
            <w:hideMark/>
          </w:tcPr>
          <w:p w:rsidR="004B56CE" w:rsidRPr="00661E3C" w:rsidRDefault="004B56CE" w:rsidP="008867BD">
            <w:pPr>
              <w:spacing w:after="0" w:line="240" w:lineRule="auto"/>
              <w:rPr>
                <w:rFonts w:ascii="Times New Roman" w:eastAsia="Times New Roman" w:hAnsi="Times New Roman"/>
                <w:b/>
                <w:sz w:val="26"/>
                <w:szCs w:val="26"/>
                <w:lang w:eastAsia="lv-LV"/>
              </w:rPr>
            </w:pPr>
            <w:r w:rsidRPr="00661E3C">
              <w:rPr>
                <w:rFonts w:ascii="Times New Roman" w:eastAsia="Times New Roman" w:hAnsi="Times New Roman"/>
                <w:b/>
                <w:sz w:val="26"/>
                <w:szCs w:val="26"/>
                <w:lang w:eastAsia="lv-LV"/>
              </w:rPr>
              <w:t>1.</w:t>
            </w:r>
          </w:p>
        </w:tc>
        <w:tc>
          <w:tcPr>
            <w:tcW w:w="2091" w:type="dxa"/>
            <w:hideMark/>
          </w:tcPr>
          <w:p w:rsidR="004B56CE" w:rsidRPr="00661E3C" w:rsidRDefault="009A4C3C" w:rsidP="008867BD">
            <w:pPr>
              <w:spacing w:after="0" w:line="240" w:lineRule="auto"/>
              <w:jc w:val="both"/>
              <w:rPr>
                <w:rFonts w:ascii="Times New Roman" w:eastAsia="Times New Roman" w:hAnsi="Times New Roman"/>
                <w:b/>
                <w:sz w:val="26"/>
                <w:szCs w:val="26"/>
                <w:lang w:eastAsia="lv-LV"/>
              </w:rPr>
            </w:pPr>
            <w:r>
              <w:rPr>
                <w:rFonts w:ascii="Times New Roman" w:hAnsi="Times New Roman"/>
                <w:b/>
                <w:sz w:val="26"/>
                <w:szCs w:val="26"/>
              </w:rPr>
              <w:t>Nepieciešamie saistītie tiesību aktu projekti</w:t>
            </w:r>
          </w:p>
        </w:tc>
        <w:tc>
          <w:tcPr>
            <w:tcW w:w="6759" w:type="dxa"/>
            <w:hideMark/>
          </w:tcPr>
          <w:p w:rsidR="00AC25BE" w:rsidRPr="00AC25BE" w:rsidRDefault="00AC25BE" w:rsidP="00AC25BE">
            <w:pPr>
              <w:spacing w:after="0" w:line="240" w:lineRule="auto"/>
              <w:jc w:val="both"/>
              <w:rPr>
                <w:rFonts w:ascii="Times New Roman" w:hAnsi="Times New Roman"/>
                <w:b/>
                <w:sz w:val="26"/>
                <w:szCs w:val="26"/>
              </w:rPr>
            </w:pPr>
            <w:r w:rsidRPr="00AC25BE">
              <w:rPr>
                <w:rFonts w:ascii="Times New Roman" w:hAnsi="Times New Roman"/>
                <w:b/>
                <w:bCs/>
                <w:sz w:val="26"/>
                <w:szCs w:val="26"/>
              </w:rPr>
              <w:t>Ar rīkojuma projektu ir saistīti šādi noteikumu projekti:</w:t>
            </w:r>
          </w:p>
          <w:p w:rsidR="00AD3550" w:rsidRDefault="00AC25BE" w:rsidP="00AD3550">
            <w:pPr>
              <w:spacing w:after="60" w:line="240" w:lineRule="auto"/>
              <w:ind w:firstLine="380"/>
              <w:jc w:val="both"/>
              <w:rPr>
                <w:rFonts w:ascii="Times New Roman" w:hAnsi="Times New Roman"/>
                <w:b/>
                <w:bCs/>
                <w:sz w:val="26"/>
                <w:szCs w:val="26"/>
                <w:lang w:eastAsia="lv-LV"/>
              </w:rPr>
            </w:pPr>
            <w:r w:rsidRPr="00AC25BE">
              <w:rPr>
                <w:rFonts w:ascii="Times New Roman" w:hAnsi="Times New Roman"/>
                <w:b/>
                <w:sz w:val="26"/>
                <w:szCs w:val="26"/>
              </w:rPr>
              <w:t xml:space="preserve">1) </w:t>
            </w:r>
            <w:r w:rsidRPr="00AC25BE">
              <w:rPr>
                <w:rFonts w:ascii="Times New Roman" w:hAnsi="Times New Roman"/>
                <w:b/>
                <w:bCs/>
                <w:sz w:val="26"/>
                <w:szCs w:val="26"/>
              </w:rPr>
              <w:t>Ministru kabineta noteikumu projekts</w:t>
            </w:r>
            <w:r w:rsidRPr="00AC25BE">
              <w:rPr>
                <w:rFonts w:ascii="Times New Roman" w:hAnsi="Times New Roman"/>
                <w:b/>
                <w:sz w:val="26"/>
                <w:szCs w:val="26"/>
              </w:rPr>
              <w:t xml:space="preserve"> </w:t>
            </w:r>
            <w:r w:rsidR="00AD3550">
              <w:rPr>
                <w:rFonts w:ascii="Times New Roman" w:hAnsi="Times New Roman"/>
                <w:b/>
                <w:sz w:val="26"/>
                <w:szCs w:val="26"/>
              </w:rPr>
              <w:t>"</w:t>
            </w:r>
            <w:r w:rsidR="004C7BEF" w:rsidRPr="00AC25BE">
              <w:rPr>
                <w:rFonts w:ascii="Times New Roman" w:hAnsi="Times New Roman"/>
                <w:b/>
                <w:sz w:val="26"/>
                <w:szCs w:val="26"/>
              </w:rPr>
              <w:t>Grozījum</w:t>
            </w:r>
            <w:r w:rsidR="004C7BEF">
              <w:rPr>
                <w:rFonts w:ascii="Times New Roman" w:hAnsi="Times New Roman"/>
                <w:b/>
                <w:sz w:val="26"/>
                <w:szCs w:val="26"/>
              </w:rPr>
              <w:t>i</w:t>
            </w:r>
            <w:r w:rsidR="004C7BEF" w:rsidRPr="00AC25BE">
              <w:rPr>
                <w:rFonts w:ascii="Times New Roman" w:hAnsi="Times New Roman"/>
                <w:b/>
                <w:sz w:val="26"/>
                <w:szCs w:val="26"/>
              </w:rPr>
              <w:t xml:space="preserve"> </w:t>
            </w:r>
            <w:r w:rsidRPr="00AC25BE">
              <w:rPr>
                <w:rFonts w:ascii="Times New Roman" w:hAnsi="Times New Roman"/>
                <w:b/>
                <w:sz w:val="26"/>
                <w:szCs w:val="26"/>
              </w:rPr>
              <w:t xml:space="preserve">Ministru kabineta 2010.gada 13.aprīļa noteikumos Nr.361 </w:t>
            </w:r>
            <w:r w:rsidR="00AD3550">
              <w:rPr>
                <w:rFonts w:ascii="Times New Roman" w:hAnsi="Times New Roman"/>
                <w:b/>
                <w:sz w:val="26"/>
                <w:szCs w:val="26"/>
              </w:rPr>
              <w:t>"</w:t>
            </w:r>
            <w:r w:rsidRPr="00AC25BE">
              <w:rPr>
                <w:rFonts w:ascii="Times New Roman" w:hAnsi="Times New Roman"/>
                <w:b/>
                <w:bCs/>
                <w:sz w:val="26"/>
                <w:szCs w:val="26"/>
                <w:lang w:eastAsia="lv-LV"/>
              </w:rPr>
              <w:t xml:space="preserve">Noteikumi par darbības programmas </w:t>
            </w:r>
            <w:r w:rsidR="00AD3550">
              <w:rPr>
                <w:rFonts w:ascii="Times New Roman" w:hAnsi="Times New Roman"/>
                <w:b/>
                <w:bCs/>
                <w:sz w:val="26"/>
                <w:szCs w:val="26"/>
                <w:lang w:eastAsia="lv-LV"/>
              </w:rPr>
              <w:t>"</w:t>
            </w:r>
            <w:r w:rsidRPr="00AC25BE">
              <w:rPr>
                <w:rFonts w:ascii="Times New Roman" w:hAnsi="Times New Roman"/>
                <w:b/>
                <w:bCs/>
                <w:sz w:val="26"/>
                <w:szCs w:val="26"/>
                <w:lang w:eastAsia="lv-LV"/>
              </w:rPr>
              <w:t>Uzņēmējdarbība un inovācijas</w:t>
            </w:r>
            <w:r w:rsidR="00AD3550">
              <w:rPr>
                <w:rFonts w:ascii="Times New Roman" w:hAnsi="Times New Roman"/>
                <w:b/>
                <w:bCs/>
                <w:sz w:val="26"/>
                <w:szCs w:val="26"/>
                <w:lang w:eastAsia="lv-LV"/>
              </w:rPr>
              <w:t>"</w:t>
            </w:r>
            <w:r w:rsidRPr="00AC25BE">
              <w:rPr>
                <w:rFonts w:ascii="Times New Roman" w:hAnsi="Times New Roman"/>
                <w:b/>
                <w:bCs/>
                <w:sz w:val="26"/>
                <w:szCs w:val="26"/>
                <w:lang w:eastAsia="lv-LV"/>
              </w:rPr>
              <w:t xml:space="preserve"> papildinājuma 2.1.2.1.1.apakšaktivitāti </w:t>
            </w:r>
            <w:r w:rsidR="00AD3550">
              <w:rPr>
                <w:rFonts w:ascii="Times New Roman" w:hAnsi="Times New Roman"/>
                <w:b/>
                <w:bCs/>
                <w:sz w:val="26"/>
                <w:szCs w:val="26"/>
                <w:lang w:eastAsia="lv-LV"/>
              </w:rPr>
              <w:t>"</w:t>
            </w:r>
            <w:r w:rsidRPr="00AC25BE">
              <w:rPr>
                <w:rFonts w:ascii="Times New Roman" w:hAnsi="Times New Roman"/>
                <w:b/>
                <w:bCs/>
                <w:sz w:val="26"/>
                <w:szCs w:val="26"/>
                <w:lang w:eastAsia="lv-LV"/>
              </w:rPr>
              <w:t>Kompetences centri</w:t>
            </w:r>
            <w:r w:rsidR="00AD3550">
              <w:rPr>
                <w:rFonts w:ascii="Times New Roman" w:hAnsi="Times New Roman"/>
                <w:b/>
                <w:bCs/>
                <w:sz w:val="26"/>
                <w:szCs w:val="26"/>
                <w:lang w:eastAsia="lv-LV"/>
              </w:rPr>
              <w:t>""" - p</w:t>
            </w:r>
            <w:r w:rsidRPr="00AC25BE">
              <w:rPr>
                <w:rFonts w:ascii="Times New Roman" w:hAnsi="Times New Roman"/>
                <w:b/>
                <w:bCs/>
                <w:sz w:val="26"/>
                <w:szCs w:val="26"/>
                <w:lang w:eastAsia="lv-LV"/>
              </w:rPr>
              <w:t>alielināts 2.1.2.1.1.</w:t>
            </w:r>
            <w:r w:rsidR="00AD3550">
              <w:rPr>
                <w:rFonts w:ascii="Times New Roman" w:hAnsi="Times New Roman"/>
                <w:b/>
                <w:bCs/>
                <w:sz w:val="26"/>
                <w:szCs w:val="26"/>
                <w:lang w:eastAsia="lv-LV"/>
              </w:rPr>
              <w:t xml:space="preserve"> </w:t>
            </w:r>
            <w:proofErr w:type="spellStart"/>
            <w:r w:rsidRPr="00AC25BE">
              <w:rPr>
                <w:rFonts w:ascii="Times New Roman" w:hAnsi="Times New Roman"/>
                <w:b/>
                <w:bCs/>
                <w:sz w:val="26"/>
                <w:szCs w:val="26"/>
                <w:lang w:eastAsia="lv-LV"/>
              </w:rPr>
              <w:t>apakšaktivitātes</w:t>
            </w:r>
            <w:proofErr w:type="spellEnd"/>
            <w:r w:rsidRPr="00AC25BE">
              <w:rPr>
                <w:rFonts w:ascii="Times New Roman" w:hAnsi="Times New Roman"/>
                <w:b/>
                <w:bCs/>
                <w:sz w:val="26"/>
                <w:szCs w:val="26"/>
                <w:lang w:eastAsia="lv-LV"/>
              </w:rPr>
              <w:t xml:space="preserve"> ietvaros pieejamais ERAF finansējums </w:t>
            </w:r>
            <w:r w:rsidRPr="00AC25BE">
              <w:rPr>
                <w:rFonts w:ascii="Times New Roman" w:hAnsi="Times New Roman"/>
                <w:b/>
                <w:sz w:val="26"/>
                <w:szCs w:val="26"/>
              </w:rPr>
              <w:t>36 320 910,72</w:t>
            </w:r>
            <w:r w:rsidRPr="00AC25BE">
              <w:rPr>
                <w:rFonts w:ascii="Times New Roman" w:hAnsi="Times New Roman"/>
                <w:b/>
                <w:bCs/>
                <w:sz w:val="26"/>
                <w:szCs w:val="26"/>
                <w:lang w:eastAsia="lv-LV"/>
              </w:rPr>
              <w:t xml:space="preserve"> lati par </w:t>
            </w:r>
            <w:r w:rsidRPr="00AC25BE">
              <w:rPr>
                <w:rFonts w:ascii="Times New Roman" w:hAnsi="Times New Roman"/>
                <w:b/>
                <w:bCs/>
                <w:color w:val="000000"/>
                <w:sz w:val="26"/>
                <w:szCs w:val="26"/>
              </w:rPr>
              <w:t xml:space="preserve">1 053 332 </w:t>
            </w:r>
            <w:r w:rsidRPr="00AC25BE">
              <w:rPr>
                <w:rFonts w:ascii="Times New Roman" w:hAnsi="Times New Roman"/>
                <w:b/>
                <w:bCs/>
                <w:sz w:val="26"/>
                <w:szCs w:val="26"/>
                <w:lang w:eastAsia="lv-LV"/>
              </w:rPr>
              <w:t>latiem, kas nepieciešams, lai finansētu vēl vien</w:t>
            </w:r>
            <w:r w:rsidR="00AD3550">
              <w:rPr>
                <w:rFonts w:ascii="Times New Roman" w:hAnsi="Times New Roman"/>
                <w:b/>
                <w:bCs/>
                <w:sz w:val="26"/>
                <w:szCs w:val="26"/>
                <w:lang w:eastAsia="lv-LV"/>
              </w:rPr>
              <w:t>u kompetences centra projektu;</w:t>
            </w:r>
          </w:p>
          <w:p w:rsidR="008C717D" w:rsidRDefault="00AC25BE" w:rsidP="008C717D">
            <w:pPr>
              <w:spacing w:after="60" w:line="240" w:lineRule="auto"/>
              <w:ind w:firstLine="380"/>
              <w:jc w:val="both"/>
              <w:rPr>
                <w:rFonts w:ascii="Times New Roman" w:hAnsi="Times New Roman"/>
                <w:b/>
                <w:bCs/>
                <w:sz w:val="26"/>
                <w:szCs w:val="26"/>
                <w:lang w:eastAsia="lv-LV"/>
              </w:rPr>
            </w:pPr>
            <w:r w:rsidRPr="00AC25BE">
              <w:rPr>
                <w:rFonts w:ascii="Times New Roman" w:hAnsi="Times New Roman"/>
                <w:b/>
                <w:bCs/>
                <w:sz w:val="26"/>
                <w:szCs w:val="26"/>
                <w:lang w:eastAsia="lv-LV"/>
              </w:rPr>
              <w:t xml:space="preserve">2) </w:t>
            </w:r>
            <w:r w:rsidRPr="00AC25BE">
              <w:rPr>
                <w:rFonts w:ascii="Times New Roman" w:hAnsi="Times New Roman"/>
                <w:b/>
                <w:bCs/>
                <w:sz w:val="26"/>
                <w:szCs w:val="26"/>
              </w:rPr>
              <w:t>Ministru kabineta noteikumu projekts</w:t>
            </w:r>
            <w:r w:rsidRPr="00AC25BE">
              <w:rPr>
                <w:rFonts w:ascii="Times New Roman" w:hAnsi="Times New Roman"/>
                <w:b/>
                <w:bCs/>
                <w:sz w:val="26"/>
                <w:szCs w:val="26"/>
                <w:lang w:eastAsia="lv-LV"/>
              </w:rPr>
              <w:t xml:space="preserve"> </w:t>
            </w:r>
            <w:r w:rsidR="00AD3550">
              <w:rPr>
                <w:rFonts w:ascii="Times New Roman" w:hAnsi="Times New Roman"/>
                <w:b/>
                <w:bCs/>
                <w:sz w:val="26"/>
                <w:szCs w:val="26"/>
                <w:lang w:eastAsia="lv-LV"/>
              </w:rPr>
              <w:t>"</w:t>
            </w:r>
            <w:r w:rsidRPr="00AC25BE">
              <w:rPr>
                <w:rFonts w:ascii="Times New Roman" w:hAnsi="Times New Roman"/>
                <w:b/>
                <w:sz w:val="26"/>
                <w:szCs w:val="26"/>
              </w:rPr>
              <w:t xml:space="preserve">Grozījums Ministru kabineta 2008.gada 26.februāra noteikumos Nr.129 </w:t>
            </w:r>
            <w:r w:rsidR="00AD3550">
              <w:rPr>
                <w:rFonts w:ascii="Times New Roman" w:hAnsi="Times New Roman"/>
                <w:b/>
                <w:sz w:val="26"/>
                <w:szCs w:val="26"/>
              </w:rPr>
              <w:t>"</w:t>
            </w:r>
            <w:r w:rsidRPr="00AC25BE">
              <w:rPr>
                <w:rFonts w:ascii="Times New Roman" w:hAnsi="Times New Roman"/>
                <w:b/>
                <w:bCs/>
                <w:sz w:val="26"/>
                <w:szCs w:val="26"/>
                <w:lang w:eastAsia="lv-LV"/>
              </w:rPr>
              <w:t xml:space="preserve">Noteikumi par darbības programmas </w:t>
            </w:r>
            <w:r w:rsidR="00AD3550">
              <w:rPr>
                <w:rFonts w:ascii="Times New Roman" w:hAnsi="Times New Roman"/>
                <w:b/>
                <w:bCs/>
                <w:sz w:val="26"/>
                <w:szCs w:val="26"/>
                <w:lang w:eastAsia="lv-LV"/>
              </w:rPr>
              <w:t>"</w:t>
            </w:r>
            <w:r w:rsidRPr="00AC25BE">
              <w:rPr>
                <w:rFonts w:ascii="Times New Roman" w:hAnsi="Times New Roman"/>
                <w:b/>
                <w:bCs/>
                <w:sz w:val="26"/>
                <w:szCs w:val="26"/>
                <w:lang w:eastAsia="lv-LV"/>
              </w:rPr>
              <w:t>Uzņēmējdarbība un inovācijas</w:t>
            </w:r>
            <w:r w:rsidR="00AD3550">
              <w:rPr>
                <w:rFonts w:ascii="Times New Roman" w:hAnsi="Times New Roman"/>
                <w:b/>
                <w:bCs/>
                <w:sz w:val="26"/>
                <w:szCs w:val="26"/>
                <w:lang w:eastAsia="lv-LV"/>
              </w:rPr>
              <w:t>"</w:t>
            </w:r>
            <w:r w:rsidRPr="00AC25BE">
              <w:rPr>
                <w:rFonts w:ascii="Times New Roman" w:hAnsi="Times New Roman"/>
                <w:b/>
                <w:bCs/>
                <w:sz w:val="26"/>
                <w:szCs w:val="26"/>
                <w:lang w:eastAsia="lv-LV"/>
              </w:rPr>
              <w:t xml:space="preserve"> papildinājuma 2.1.2.1.2.</w:t>
            </w:r>
            <w:r w:rsidR="00AD3550">
              <w:rPr>
                <w:rFonts w:ascii="Times New Roman" w:hAnsi="Times New Roman"/>
                <w:b/>
                <w:bCs/>
                <w:sz w:val="26"/>
                <w:szCs w:val="26"/>
                <w:lang w:eastAsia="lv-LV"/>
              </w:rPr>
              <w:t xml:space="preserve"> </w:t>
            </w:r>
            <w:proofErr w:type="spellStart"/>
            <w:r w:rsidRPr="00AC25BE">
              <w:rPr>
                <w:rFonts w:ascii="Times New Roman" w:hAnsi="Times New Roman"/>
                <w:b/>
                <w:bCs/>
                <w:sz w:val="26"/>
                <w:szCs w:val="26"/>
                <w:lang w:eastAsia="lv-LV"/>
              </w:rPr>
              <w:t>apakšaktivitāti</w:t>
            </w:r>
            <w:proofErr w:type="spellEnd"/>
            <w:r w:rsidRPr="00AC25BE">
              <w:rPr>
                <w:rFonts w:ascii="Times New Roman" w:hAnsi="Times New Roman"/>
                <w:b/>
                <w:bCs/>
                <w:sz w:val="26"/>
                <w:szCs w:val="26"/>
                <w:lang w:eastAsia="lv-LV"/>
              </w:rPr>
              <w:t xml:space="preserve"> </w:t>
            </w:r>
            <w:r w:rsidR="00AD3550">
              <w:rPr>
                <w:rFonts w:ascii="Times New Roman" w:hAnsi="Times New Roman"/>
                <w:b/>
                <w:bCs/>
                <w:sz w:val="26"/>
                <w:szCs w:val="26"/>
                <w:lang w:eastAsia="lv-LV"/>
              </w:rPr>
              <w:t>"</w:t>
            </w:r>
            <w:r w:rsidRPr="00AC25BE">
              <w:rPr>
                <w:rFonts w:ascii="Times New Roman" w:hAnsi="Times New Roman"/>
                <w:b/>
                <w:bCs/>
                <w:sz w:val="26"/>
                <w:szCs w:val="26"/>
                <w:lang w:eastAsia="lv-LV"/>
              </w:rPr>
              <w:t xml:space="preserve">Tehnoloģiju pārneses </w:t>
            </w:r>
            <w:proofErr w:type="spellStart"/>
            <w:r w:rsidRPr="00AC25BE">
              <w:rPr>
                <w:rFonts w:ascii="Times New Roman" w:hAnsi="Times New Roman"/>
                <w:b/>
                <w:bCs/>
                <w:sz w:val="26"/>
                <w:szCs w:val="26"/>
                <w:lang w:eastAsia="lv-LV"/>
              </w:rPr>
              <w:t>kontaktpunkti</w:t>
            </w:r>
            <w:proofErr w:type="spellEnd"/>
            <w:r w:rsidR="00AD3550">
              <w:rPr>
                <w:rFonts w:ascii="Times New Roman" w:hAnsi="Times New Roman"/>
                <w:b/>
                <w:bCs/>
                <w:sz w:val="26"/>
                <w:szCs w:val="26"/>
                <w:lang w:eastAsia="lv-LV"/>
              </w:rPr>
              <w:t>"""</w:t>
            </w:r>
            <w:r w:rsidR="008C717D">
              <w:rPr>
                <w:rFonts w:ascii="Times New Roman" w:hAnsi="Times New Roman"/>
                <w:b/>
                <w:bCs/>
                <w:sz w:val="26"/>
                <w:szCs w:val="26"/>
                <w:lang w:eastAsia="lv-LV"/>
              </w:rPr>
              <w:t xml:space="preserve"> – s</w:t>
            </w:r>
            <w:r w:rsidRPr="00AC25BE">
              <w:rPr>
                <w:rFonts w:ascii="Times New Roman" w:hAnsi="Times New Roman"/>
                <w:b/>
                <w:bCs/>
                <w:sz w:val="26"/>
                <w:szCs w:val="26"/>
                <w:lang w:eastAsia="lv-LV"/>
              </w:rPr>
              <w:t xml:space="preserve">amazināts 2.1.2.1.2.apakšaktivitātes ietvaros pieejamais ERAF finansējums </w:t>
            </w:r>
            <w:r w:rsidRPr="00AC25BE">
              <w:rPr>
                <w:rFonts w:ascii="Times New Roman" w:hAnsi="Times New Roman"/>
                <w:b/>
                <w:bCs/>
                <w:sz w:val="26"/>
                <w:szCs w:val="26"/>
              </w:rPr>
              <w:t xml:space="preserve">2 122 468,08 lati par </w:t>
            </w:r>
            <w:r w:rsidRPr="00AC25BE">
              <w:rPr>
                <w:rFonts w:ascii="Times New Roman" w:hAnsi="Times New Roman"/>
                <w:b/>
                <w:color w:val="000000"/>
                <w:sz w:val="26"/>
                <w:szCs w:val="26"/>
              </w:rPr>
              <w:t xml:space="preserve">204 230 latiem. </w:t>
            </w:r>
            <w:r w:rsidRPr="00AC25BE">
              <w:rPr>
                <w:rFonts w:ascii="Times New Roman" w:hAnsi="Times New Roman"/>
                <w:b/>
                <w:bCs/>
                <w:sz w:val="26"/>
                <w:szCs w:val="26"/>
              </w:rPr>
              <w:t>Tiek ņemts vērā, ka 2.1.2.1.2.</w:t>
            </w:r>
            <w:r w:rsidR="008C717D">
              <w:rPr>
                <w:rFonts w:ascii="Times New Roman" w:hAnsi="Times New Roman"/>
                <w:b/>
                <w:bCs/>
                <w:sz w:val="26"/>
                <w:szCs w:val="26"/>
              </w:rPr>
              <w:t xml:space="preserve"> </w:t>
            </w:r>
            <w:proofErr w:type="spellStart"/>
            <w:r w:rsidRPr="00AC25BE">
              <w:rPr>
                <w:rFonts w:ascii="Times New Roman" w:hAnsi="Times New Roman"/>
                <w:b/>
                <w:bCs/>
                <w:sz w:val="26"/>
                <w:szCs w:val="26"/>
              </w:rPr>
              <w:t>apakšaktivitātē</w:t>
            </w:r>
            <w:proofErr w:type="spellEnd"/>
            <w:r w:rsidRPr="00AC25BE">
              <w:rPr>
                <w:rFonts w:ascii="Times New Roman" w:hAnsi="Times New Roman"/>
                <w:b/>
                <w:bCs/>
                <w:sz w:val="26"/>
                <w:szCs w:val="26"/>
              </w:rPr>
              <w:t xml:space="preserve"> projektu iesniegumu pieņemšana ir noslēgusies 2008.gada 20.maijā, un nepieciešamais ERAF finansējums priekš apstiprinātajiem  projektiem ir 1 918 238 lati. Tā</w:t>
            </w:r>
            <w:r w:rsidR="008C717D">
              <w:rPr>
                <w:rFonts w:ascii="Times New Roman" w:hAnsi="Times New Roman"/>
                <w:b/>
                <w:bCs/>
                <w:sz w:val="26"/>
                <w:szCs w:val="26"/>
              </w:rPr>
              <w:t>dejādi atlikums ir 204 230 lati;</w:t>
            </w:r>
            <w:bookmarkStart w:id="0" w:name="OLE_LINK9"/>
            <w:bookmarkStart w:id="1" w:name="OLE_LINK10"/>
          </w:p>
          <w:p w:rsidR="008C717D" w:rsidRDefault="00AC25BE" w:rsidP="008C717D">
            <w:pPr>
              <w:spacing w:after="0" w:line="240" w:lineRule="auto"/>
              <w:ind w:firstLine="382"/>
              <w:jc w:val="both"/>
              <w:rPr>
                <w:rFonts w:ascii="Times New Roman" w:hAnsi="Times New Roman"/>
                <w:b/>
                <w:bCs/>
                <w:sz w:val="26"/>
                <w:szCs w:val="26"/>
                <w:lang w:eastAsia="lv-LV"/>
              </w:rPr>
            </w:pPr>
            <w:r w:rsidRPr="00AC25BE">
              <w:rPr>
                <w:rFonts w:ascii="Times New Roman" w:hAnsi="Times New Roman"/>
                <w:b/>
                <w:bCs/>
                <w:sz w:val="26"/>
                <w:szCs w:val="26"/>
                <w:lang w:eastAsia="lv-LV"/>
              </w:rPr>
              <w:t>3)</w:t>
            </w:r>
            <w:r w:rsidRPr="00AC25BE">
              <w:rPr>
                <w:rFonts w:ascii="Times New Roman" w:hAnsi="Times New Roman"/>
                <w:b/>
                <w:bCs/>
                <w:sz w:val="26"/>
                <w:szCs w:val="26"/>
              </w:rPr>
              <w:t xml:space="preserve"> Ministru kabineta noteikumu projekts </w:t>
            </w:r>
            <w:r w:rsidR="008C717D">
              <w:rPr>
                <w:rFonts w:ascii="Times New Roman" w:hAnsi="Times New Roman"/>
                <w:b/>
                <w:bCs/>
                <w:sz w:val="26"/>
                <w:szCs w:val="26"/>
                <w:lang w:eastAsia="lv-LV"/>
              </w:rPr>
              <w:t>"</w:t>
            </w:r>
            <w:r w:rsidR="004C7BEF" w:rsidRPr="00AC25BE">
              <w:rPr>
                <w:rFonts w:ascii="Times New Roman" w:hAnsi="Times New Roman"/>
                <w:b/>
                <w:sz w:val="26"/>
                <w:szCs w:val="26"/>
              </w:rPr>
              <w:t>Grozījum</w:t>
            </w:r>
            <w:r w:rsidR="004C7BEF">
              <w:rPr>
                <w:rFonts w:ascii="Times New Roman" w:hAnsi="Times New Roman"/>
                <w:b/>
                <w:sz w:val="26"/>
                <w:szCs w:val="26"/>
              </w:rPr>
              <w:t>i</w:t>
            </w:r>
            <w:r w:rsidR="004C7BEF" w:rsidRPr="00AC25BE">
              <w:rPr>
                <w:rFonts w:ascii="Times New Roman" w:hAnsi="Times New Roman"/>
                <w:b/>
                <w:sz w:val="26"/>
                <w:szCs w:val="26"/>
              </w:rPr>
              <w:t xml:space="preserve"> </w:t>
            </w:r>
            <w:r w:rsidRPr="00AC25BE">
              <w:rPr>
                <w:rFonts w:ascii="Times New Roman" w:hAnsi="Times New Roman"/>
                <w:b/>
                <w:sz w:val="26"/>
                <w:szCs w:val="26"/>
              </w:rPr>
              <w:t xml:space="preserve">Ministru kabineta 2008.gada 7.oktobra noteikumos Nr.834 </w:t>
            </w:r>
            <w:r w:rsidR="008C717D">
              <w:rPr>
                <w:rFonts w:ascii="Times New Roman" w:hAnsi="Times New Roman"/>
                <w:b/>
                <w:sz w:val="26"/>
                <w:szCs w:val="26"/>
              </w:rPr>
              <w:t>"</w:t>
            </w:r>
            <w:r w:rsidRPr="00AC25BE">
              <w:rPr>
                <w:rFonts w:ascii="Times New Roman" w:hAnsi="Times New Roman"/>
                <w:b/>
                <w:bCs/>
                <w:sz w:val="26"/>
                <w:szCs w:val="26"/>
                <w:lang w:eastAsia="lv-LV"/>
              </w:rPr>
              <w:t xml:space="preserve">Noteikumi par darbības programmas </w:t>
            </w:r>
            <w:r w:rsidR="008C717D">
              <w:rPr>
                <w:rFonts w:ascii="Times New Roman" w:hAnsi="Times New Roman"/>
                <w:b/>
                <w:bCs/>
                <w:sz w:val="26"/>
                <w:szCs w:val="26"/>
                <w:lang w:eastAsia="lv-LV"/>
              </w:rPr>
              <w:t>"</w:t>
            </w:r>
            <w:r w:rsidRPr="00AC25BE">
              <w:rPr>
                <w:rFonts w:ascii="Times New Roman" w:hAnsi="Times New Roman"/>
                <w:b/>
                <w:bCs/>
                <w:sz w:val="26"/>
                <w:szCs w:val="26"/>
                <w:lang w:eastAsia="lv-LV"/>
              </w:rPr>
              <w:t>Uzņēmējdarbība un inovācijas</w:t>
            </w:r>
            <w:r w:rsidR="008C717D">
              <w:rPr>
                <w:rFonts w:ascii="Times New Roman" w:hAnsi="Times New Roman"/>
                <w:b/>
                <w:bCs/>
                <w:sz w:val="26"/>
                <w:szCs w:val="26"/>
                <w:lang w:eastAsia="lv-LV"/>
              </w:rPr>
              <w:t>"</w:t>
            </w:r>
            <w:r w:rsidRPr="00AC25BE">
              <w:rPr>
                <w:rFonts w:ascii="Times New Roman" w:hAnsi="Times New Roman"/>
                <w:b/>
                <w:bCs/>
                <w:sz w:val="26"/>
                <w:szCs w:val="26"/>
                <w:lang w:eastAsia="lv-LV"/>
              </w:rPr>
              <w:t xml:space="preserve"> papildinājuma 2.1.2.2.apakšaktivitātes </w:t>
            </w:r>
            <w:r w:rsidR="008C717D">
              <w:rPr>
                <w:rFonts w:ascii="Times New Roman" w:hAnsi="Times New Roman"/>
                <w:b/>
                <w:bCs/>
                <w:sz w:val="26"/>
                <w:szCs w:val="26"/>
                <w:lang w:eastAsia="lv-LV"/>
              </w:rPr>
              <w:t>"</w:t>
            </w:r>
            <w:r w:rsidRPr="00AC25BE">
              <w:rPr>
                <w:rFonts w:ascii="Times New Roman" w:hAnsi="Times New Roman"/>
                <w:b/>
                <w:bCs/>
                <w:sz w:val="26"/>
                <w:szCs w:val="26"/>
                <w:lang w:eastAsia="lv-LV"/>
              </w:rPr>
              <w:t>Jaunu produktu un tehnoloģiju izstrāde</w:t>
            </w:r>
            <w:r w:rsidR="008C717D">
              <w:rPr>
                <w:rFonts w:ascii="Times New Roman" w:hAnsi="Times New Roman"/>
                <w:b/>
                <w:bCs/>
                <w:sz w:val="26"/>
                <w:szCs w:val="26"/>
                <w:lang w:eastAsia="lv-LV"/>
              </w:rPr>
              <w:t>"</w:t>
            </w:r>
            <w:r w:rsidRPr="00AC25BE">
              <w:rPr>
                <w:rFonts w:ascii="Times New Roman" w:hAnsi="Times New Roman"/>
                <w:b/>
                <w:bCs/>
                <w:sz w:val="26"/>
                <w:szCs w:val="26"/>
                <w:lang w:eastAsia="lv-LV"/>
              </w:rPr>
              <w:t xml:space="preserve"> 2.1.2.2.1.</w:t>
            </w:r>
            <w:r w:rsidR="008C717D">
              <w:rPr>
                <w:rFonts w:ascii="Times New Roman" w:hAnsi="Times New Roman"/>
                <w:b/>
                <w:bCs/>
                <w:sz w:val="26"/>
                <w:szCs w:val="26"/>
                <w:lang w:eastAsia="lv-LV"/>
              </w:rPr>
              <w:t xml:space="preserve"> </w:t>
            </w:r>
            <w:proofErr w:type="spellStart"/>
            <w:r w:rsidRPr="00AC25BE">
              <w:rPr>
                <w:rFonts w:ascii="Times New Roman" w:hAnsi="Times New Roman"/>
                <w:b/>
                <w:bCs/>
                <w:sz w:val="26"/>
                <w:szCs w:val="26"/>
                <w:lang w:eastAsia="lv-LV"/>
              </w:rPr>
              <w:t>apakšaktivitāti</w:t>
            </w:r>
            <w:proofErr w:type="spellEnd"/>
            <w:r w:rsidRPr="00AC25BE">
              <w:rPr>
                <w:rFonts w:ascii="Times New Roman" w:hAnsi="Times New Roman"/>
                <w:b/>
                <w:bCs/>
                <w:sz w:val="26"/>
                <w:szCs w:val="26"/>
                <w:lang w:eastAsia="lv-LV"/>
              </w:rPr>
              <w:t xml:space="preserve"> </w:t>
            </w:r>
            <w:r w:rsidR="008C717D">
              <w:rPr>
                <w:rFonts w:ascii="Times New Roman" w:hAnsi="Times New Roman"/>
                <w:b/>
                <w:bCs/>
                <w:sz w:val="26"/>
                <w:szCs w:val="26"/>
                <w:lang w:eastAsia="lv-LV"/>
              </w:rPr>
              <w:t>"</w:t>
            </w:r>
            <w:r w:rsidRPr="00AC25BE">
              <w:rPr>
                <w:rFonts w:ascii="Times New Roman" w:hAnsi="Times New Roman"/>
                <w:b/>
                <w:bCs/>
                <w:sz w:val="26"/>
                <w:szCs w:val="26"/>
                <w:lang w:eastAsia="lv-LV"/>
              </w:rPr>
              <w:t>Jaunu produktu un tehnoloģiju izstrāde</w:t>
            </w:r>
            <w:r w:rsidR="008C717D">
              <w:rPr>
                <w:rFonts w:ascii="Times New Roman" w:hAnsi="Times New Roman"/>
                <w:b/>
                <w:bCs/>
                <w:sz w:val="26"/>
                <w:szCs w:val="26"/>
                <w:lang w:eastAsia="lv-LV"/>
              </w:rPr>
              <w:t>" un 2.1.2.2.3.</w:t>
            </w:r>
            <w:r w:rsidRPr="00AC25BE">
              <w:rPr>
                <w:rFonts w:ascii="Times New Roman" w:hAnsi="Times New Roman"/>
                <w:b/>
                <w:bCs/>
                <w:sz w:val="26"/>
                <w:szCs w:val="26"/>
                <w:lang w:eastAsia="lv-LV"/>
              </w:rPr>
              <w:t xml:space="preserve">apakšaktivitāti </w:t>
            </w:r>
            <w:r w:rsidR="008C717D">
              <w:rPr>
                <w:rFonts w:ascii="Times New Roman" w:hAnsi="Times New Roman"/>
                <w:b/>
                <w:bCs/>
                <w:sz w:val="26"/>
                <w:szCs w:val="26"/>
                <w:lang w:eastAsia="lv-LV"/>
              </w:rPr>
              <w:t>"</w:t>
            </w:r>
            <w:r w:rsidRPr="00AC25BE">
              <w:rPr>
                <w:rFonts w:ascii="Times New Roman" w:hAnsi="Times New Roman"/>
                <w:b/>
                <w:bCs/>
                <w:sz w:val="26"/>
                <w:szCs w:val="26"/>
                <w:lang w:eastAsia="lv-LV"/>
              </w:rPr>
              <w:t>Jaunu produktu un tehnoloģiju izstrāde – atbalsts rūpnieciskā īpašuma tiesību nostiprināšanai</w:t>
            </w:r>
            <w:r w:rsidR="008C717D">
              <w:rPr>
                <w:rFonts w:ascii="Times New Roman" w:hAnsi="Times New Roman"/>
                <w:b/>
                <w:bCs/>
                <w:sz w:val="26"/>
                <w:szCs w:val="26"/>
                <w:lang w:eastAsia="lv-LV"/>
              </w:rPr>
              <w:t>"</w:t>
            </w:r>
            <w:bookmarkEnd w:id="0"/>
            <w:bookmarkEnd w:id="1"/>
            <w:r w:rsidR="008C717D">
              <w:rPr>
                <w:rFonts w:ascii="Times New Roman" w:hAnsi="Times New Roman"/>
                <w:b/>
                <w:bCs/>
                <w:sz w:val="26"/>
                <w:szCs w:val="26"/>
                <w:lang w:eastAsia="lv-LV"/>
              </w:rPr>
              <w:t>"":</w:t>
            </w:r>
          </w:p>
          <w:p w:rsidR="008C717D" w:rsidRPr="008C717D" w:rsidRDefault="008C717D" w:rsidP="005F135C">
            <w:pPr>
              <w:numPr>
                <w:ilvl w:val="0"/>
                <w:numId w:val="7"/>
              </w:numPr>
              <w:spacing w:after="0" w:line="240" w:lineRule="auto"/>
              <w:ind w:left="382" w:hanging="284"/>
              <w:jc w:val="both"/>
              <w:rPr>
                <w:rFonts w:ascii="Times New Roman" w:hAnsi="Times New Roman"/>
                <w:b/>
                <w:sz w:val="26"/>
                <w:szCs w:val="26"/>
                <w:lang w:eastAsia="lv-LV"/>
              </w:rPr>
            </w:pPr>
            <w:r w:rsidRPr="008C717D">
              <w:rPr>
                <w:rFonts w:ascii="Times New Roman" w:hAnsi="Times New Roman"/>
                <w:b/>
                <w:sz w:val="26"/>
                <w:szCs w:val="26"/>
                <w:lang w:eastAsia="lv-LV"/>
              </w:rPr>
              <w:t>s</w:t>
            </w:r>
            <w:r w:rsidR="00AC25BE" w:rsidRPr="008C717D">
              <w:rPr>
                <w:rFonts w:ascii="Times New Roman" w:hAnsi="Times New Roman"/>
                <w:b/>
                <w:sz w:val="26"/>
                <w:szCs w:val="26"/>
                <w:lang w:eastAsia="lv-LV"/>
              </w:rPr>
              <w:t>amazināts 2.1.2.2.1.apakšaktivitātes ietvaros pieejamais ERAF finansējums 8 299 659,82 lati par 202 304 latiem. Tiek ņemts vērā, ka 2.1.2.2.1.apakšaktivitātē projektu iesniegumu pieņemšana ir noslēgusies 2009.gada 23.janvārī, un apstiprināto projektu nepieciešamais ERAF finansējums ir 7 625 527 lati. Tādejādi atlikums ir 674 132 lati</w:t>
            </w:r>
            <w:r w:rsidRPr="008C717D">
              <w:rPr>
                <w:rFonts w:ascii="Times New Roman" w:hAnsi="Times New Roman"/>
                <w:b/>
                <w:sz w:val="26"/>
                <w:szCs w:val="26"/>
                <w:lang w:eastAsia="lv-LV"/>
              </w:rPr>
              <w:t>;</w:t>
            </w:r>
          </w:p>
          <w:p w:rsidR="004B56CE" w:rsidRDefault="008C717D" w:rsidP="00C6528A">
            <w:pPr>
              <w:numPr>
                <w:ilvl w:val="0"/>
                <w:numId w:val="7"/>
              </w:numPr>
              <w:spacing w:after="120" w:line="240" w:lineRule="auto"/>
              <w:ind w:left="380" w:hanging="284"/>
              <w:jc w:val="both"/>
              <w:rPr>
                <w:rFonts w:ascii="Times New Roman" w:hAnsi="Times New Roman"/>
                <w:b/>
                <w:bCs/>
                <w:color w:val="000000"/>
                <w:sz w:val="26"/>
                <w:szCs w:val="26"/>
              </w:rPr>
            </w:pPr>
            <w:r>
              <w:rPr>
                <w:rFonts w:ascii="Times New Roman" w:hAnsi="Times New Roman"/>
                <w:b/>
                <w:sz w:val="26"/>
                <w:szCs w:val="26"/>
                <w:lang w:eastAsia="lv-LV"/>
              </w:rPr>
              <w:t>s</w:t>
            </w:r>
            <w:r w:rsidR="00AC25BE" w:rsidRPr="00AC25BE">
              <w:rPr>
                <w:rFonts w:ascii="Times New Roman" w:hAnsi="Times New Roman"/>
                <w:b/>
                <w:sz w:val="26"/>
                <w:szCs w:val="26"/>
                <w:lang w:eastAsia="lv-LV"/>
              </w:rPr>
              <w:t xml:space="preserve">amazināts </w:t>
            </w:r>
            <w:r w:rsidR="00AC25BE" w:rsidRPr="00AC25BE">
              <w:rPr>
                <w:rFonts w:ascii="Times New Roman" w:hAnsi="Times New Roman"/>
                <w:b/>
                <w:bCs/>
                <w:sz w:val="26"/>
                <w:szCs w:val="26"/>
                <w:lang w:eastAsia="lv-LV"/>
              </w:rPr>
              <w:t xml:space="preserve">2.1.2.2.3.apakšaktivitātes ietvaros pieejamais ERAF finansējums 849 999,97 lati par 646 798 latiem. </w:t>
            </w:r>
            <w:r w:rsidR="00AC25BE" w:rsidRPr="00AC25BE">
              <w:rPr>
                <w:rFonts w:ascii="Times New Roman" w:hAnsi="Times New Roman"/>
                <w:b/>
                <w:bCs/>
                <w:color w:val="000000"/>
                <w:sz w:val="26"/>
                <w:szCs w:val="26"/>
              </w:rPr>
              <w:t>Tiek ņemts vērā, ka 2.1.2.2.3.</w:t>
            </w:r>
            <w:r w:rsidR="00E70476">
              <w:rPr>
                <w:rFonts w:ascii="Times New Roman" w:hAnsi="Times New Roman"/>
                <w:b/>
                <w:bCs/>
                <w:color w:val="000000"/>
                <w:sz w:val="26"/>
                <w:szCs w:val="26"/>
              </w:rPr>
              <w:t xml:space="preserve"> </w:t>
            </w:r>
            <w:proofErr w:type="spellStart"/>
            <w:r w:rsidR="00AC25BE" w:rsidRPr="00AC25BE">
              <w:rPr>
                <w:rFonts w:ascii="Times New Roman" w:hAnsi="Times New Roman"/>
                <w:b/>
                <w:bCs/>
                <w:color w:val="000000"/>
                <w:sz w:val="26"/>
                <w:szCs w:val="26"/>
              </w:rPr>
              <w:t>apakšaktivitātē</w:t>
            </w:r>
            <w:proofErr w:type="spellEnd"/>
            <w:r w:rsidR="00AC25BE" w:rsidRPr="00AC25BE">
              <w:rPr>
                <w:rFonts w:ascii="Times New Roman" w:hAnsi="Times New Roman"/>
                <w:b/>
                <w:bCs/>
                <w:color w:val="000000"/>
                <w:sz w:val="26"/>
                <w:szCs w:val="26"/>
              </w:rPr>
              <w:t xml:space="preserve"> projektu iesniegumu pieņemšana ir noslēgusies 2009.gada 30.decembrī, un apstiprināto projektu nepieciešamais ERAF finansējums ir 203 201 latu. Tādejādi atlikums ir 646 798 lati.</w:t>
            </w:r>
          </w:p>
          <w:p w:rsidR="00C6528A" w:rsidRDefault="00C6528A" w:rsidP="008D4BF2">
            <w:pPr>
              <w:spacing w:after="120" w:line="240" w:lineRule="auto"/>
              <w:ind w:left="96"/>
              <w:jc w:val="both"/>
              <w:rPr>
                <w:rFonts w:ascii="Times New Roman" w:hAnsi="Times New Roman"/>
                <w:b/>
                <w:sz w:val="26"/>
                <w:szCs w:val="26"/>
                <w:lang w:eastAsia="lv-LV"/>
              </w:rPr>
            </w:pPr>
            <w:r>
              <w:rPr>
                <w:rFonts w:ascii="Times New Roman" w:hAnsi="Times New Roman"/>
                <w:b/>
                <w:sz w:val="26"/>
                <w:szCs w:val="26"/>
                <w:lang w:eastAsia="lv-LV"/>
              </w:rPr>
              <w:t xml:space="preserve">Par minēto noteikumu projektu </w:t>
            </w:r>
            <w:r w:rsidR="008D4BF2">
              <w:rPr>
                <w:rFonts w:ascii="Times New Roman" w:hAnsi="Times New Roman"/>
                <w:b/>
                <w:sz w:val="26"/>
                <w:szCs w:val="26"/>
                <w:lang w:eastAsia="lv-LV"/>
              </w:rPr>
              <w:t>izstrādi ir atbildīga Ekonomikas ministrija.</w:t>
            </w:r>
          </w:p>
          <w:p w:rsidR="008D4BF2" w:rsidRPr="008C717D" w:rsidRDefault="008D4BF2" w:rsidP="00C6528A">
            <w:pPr>
              <w:spacing w:after="0" w:line="240" w:lineRule="auto"/>
              <w:ind w:left="98"/>
              <w:jc w:val="both"/>
              <w:rPr>
                <w:rFonts w:ascii="Times New Roman" w:hAnsi="Times New Roman"/>
                <w:b/>
                <w:bCs/>
                <w:color w:val="000000"/>
                <w:sz w:val="26"/>
                <w:szCs w:val="26"/>
              </w:rPr>
            </w:pPr>
            <w:r>
              <w:rPr>
                <w:rFonts w:ascii="Times New Roman" w:hAnsi="Times New Roman"/>
                <w:b/>
                <w:sz w:val="26"/>
                <w:szCs w:val="26"/>
                <w:lang w:eastAsia="lv-LV"/>
              </w:rPr>
              <w:t>Pēc rīkojuma projekta pieņemšanas minētie saistītie noteikumu projekti tiks virzīti izskatīšanai Ministru kabineta sēdē kā Ministru kabineta lieta.</w:t>
            </w:r>
          </w:p>
        </w:tc>
      </w:tr>
      <w:tr w:rsidR="004B56CE" w:rsidRPr="00661E3C" w:rsidTr="00AC25BE">
        <w:trPr>
          <w:tblCellSpacing w:w="15" w:type="dxa"/>
        </w:trPr>
        <w:tc>
          <w:tcPr>
            <w:tcW w:w="319" w:type="dxa"/>
            <w:hideMark/>
          </w:tcPr>
          <w:p w:rsidR="004B56CE" w:rsidRPr="00661E3C" w:rsidRDefault="004B56CE" w:rsidP="008867BD">
            <w:pPr>
              <w:spacing w:after="0" w:line="240" w:lineRule="auto"/>
              <w:rPr>
                <w:rFonts w:ascii="Times New Roman" w:eastAsia="Times New Roman" w:hAnsi="Times New Roman"/>
                <w:b/>
                <w:sz w:val="26"/>
                <w:szCs w:val="26"/>
                <w:lang w:eastAsia="lv-LV"/>
              </w:rPr>
            </w:pPr>
            <w:r w:rsidRPr="00661E3C">
              <w:rPr>
                <w:rFonts w:ascii="Times New Roman" w:eastAsia="Times New Roman" w:hAnsi="Times New Roman"/>
                <w:b/>
                <w:sz w:val="26"/>
                <w:szCs w:val="26"/>
                <w:lang w:eastAsia="lv-LV"/>
              </w:rPr>
              <w:t>2.</w:t>
            </w:r>
          </w:p>
        </w:tc>
        <w:tc>
          <w:tcPr>
            <w:tcW w:w="2091" w:type="dxa"/>
            <w:hideMark/>
          </w:tcPr>
          <w:p w:rsidR="004B56CE" w:rsidRPr="00661E3C" w:rsidRDefault="004B56CE" w:rsidP="008867BD">
            <w:pPr>
              <w:spacing w:after="0" w:line="240" w:lineRule="auto"/>
              <w:jc w:val="both"/>
              <w:rPr>
                <w:rFonts w:ascii="Times New Roman" w:eastAsia="Times New Roman" w:hAnsi="Times New Roman"/>
                <w:b/>
                <w:sz w:val="26"/>
                <w:szCs w:val="26"/>
                <w:lang w:eastAsia="lv-LV"/>
              </w:rPr>
            </w:pPr>
            <w:r w:rsidRPr="00661E3C">
              <w:rPr>
                <w:rFonts w:ascii="Times New Roman" w:hAnsi="Times New Roman"/>
                <w:b/>
                <w:sz w:val="26"/>
                <w:szCs w:val="26"/>
              </w:rPr>
              <w:t>Cita informācija</w:t>
            </w:r>
          </w:p>
        </w:tc>
        <w:tc>
          <w:tcPr>
            <w:tcW w:w="6759" w:type="dxa"/>
            <w:hideMark/>
          </w:tcPr>
          <w:p w:rsidR="004B56CE" w:rsidRPr="00661E3C" w:rsidRDefault="004B56CE" w:rsidP="007855AF">
            <w:pPr>
              <w:spacing w:after="0" w:line="240" w:lineRule="auto"/>
              <w:jc w:val="both"/>
              <w:rPr>
                <w:rFonts w:ascii="Times New Roman" w:eastAsia="Times New Roman" w:hAnsi="Times New Roman"/>
                <w:b/>
                <w:sz w:val="26"/>
                <w:szCs w:val="26"/>
                <w:lang w:eastAsia="lv-LV"/>
              </w:rPr>
            </w:pPr>
            <w:r w:rsidRPr="00661E3C">
              <w:rPr>
                <w:rFonts w:ascii="Times New Roman" w:eastAsia="Times New Roman" w:hAnsi="Times New Roman"/>
                <w:b/>
                <w:sz w:val="26"/>
                <w:szCs w:val="26"/>
                <w:lang w:eastAsia="lv-LV"/>
              </w:rPr>
              <w:t xml:space="preserve">Nav </w:t>
            </w:r>
          </w:p>
        </w:tc>
      </w:tr>
    </w:tbl>
    <w:p w:rsidR="004B56CE" w:rsidRPr="00661E3C" w:rsidRDefault="004B56CE" w:rsidP="00144BE9">
      <w:pPr>
        <w:spacing w:after="0" w:line="240" w:lineRule="auto"/>
        <w:rPr>
          <w:rFonts w:ascii="Times New Roman" w:eastAsia="Times New Roman" w:hAnsi="Times New Roman"/>
          <w:b/>
          <w:sz w:val="28"/>
          <w:szCs w:val="28"/>
          <w:lang w:eastAsia="lv-LV"/>
        </w:rPr>
      </w:pPr>
    </w:p>
    <w:p w:rsidR="005628F8" w:rsidRPr="00590D4A" w:rsidRDefault="00CE65CA" w:rsidP="00144BE9">
      <w:pPr>
        <w:spacing w:after="0" w:line="240" w:lineRule="auto"/>
        <w:rPr>
          <w:rFonts w:ascii="Times New Roman" w:eastAsia="Times New Roman" w:hAnsi="Times New Roman"/>
          <w:b/>
          <w:sz w:val="26"/>
          <w:szCs w:val="26"/>
          <w:lang w:eastAsia="lv-LV"/>
        </w:rPr>
      </w:pPr>
      <w:r w:rsidRPr="00DF0356">
        <w:rPr>
          <w:rFonts w:ascii="Times New Roman" w:eastAsia="Times New Roman" w:hAnsi="Times New Roman"/>
          <w:b/>
          <w:sz w:val="26"/>
          <w:szCs w:val="26"/>
          <w:lang w:eastAsia="lv-LV"/>
        </w:rPr>
        <w:t>Anotācijas</w:t>
      </w:r>
      <w:r w:rsidR="005371DF" w:rsidRPr="00DF0356">
        <w:rPr>
          <w:rFonts w:ascii="Times New Roman" w:eastAsia="Times New Roman" w:hAnsi="Times New Roman"/>
          <w:b/>
          <w:sz w:val="26"/>
          <w:szCs w:val="26"/>
          <w:lang w:eastAsia="lv-LV"/>
        </w:rPr>
        <w:t xml:space="preserve"> </w:t>
      </w:r>
      <w:r w:rsidR="00B757D4" w:rsidRPr="00DF0356">
        <w:rPr>
          <w:rFonts w:ascii="Times New Roman" w:eastAsia="Times New Roman" w:hAnsi="Times New Roman"/>
          <w:b/>
          <w:sz w:val="26"/>
          <w:szCs w:val="26"/>
          <w:lang w:eastAsia="lv-LV"/>
        </w:rPr>
        <w:t>V</w:t>
      </w:r>
      <w:r w:rsidR="000C6301" w:rsidRPr="00DF0356">
        <w:rPr>
          <w:rFonts w:ascii="Times New Roman" w:eastAsia="Times New Roman" w:hAnsi="Times New Roman"/>
          <w:b/>
          <w:sz w:val="26"/>
          <w:szCs w:val="26"/>
          <w:lang w:eastAsia="lv-LV"/>
        </w:rPr>
        <w:t>, VI</w:t>
      </w:r>
      <w:r w:rsidR="00460C58" w:rsidRPr="00DF0356">
        <w:rPr>
          <w:rFonts w:ascii="Times New Roman" w:eastAsia="Times New Roman" w:hAnsi="Times New Roman"/>
          <w:b/>
          <w:sz w:val="26"/>
          <w:szCs w:val="26"/>
          <w:lang w:eastAsia="lv-LV"/>
        </w:rPr>
        <w:t xml:space="preserve"> </w:t>
      </w:r>
      <w:r w:rsidR="005628F8" w:rsidRPr="00DF0356">
        <w:rPr>
          <w:rFonts w:ascii="Times New Roman" w:eastAsia="Times New Roman" w:hAnsi="Times New Roman"/>
          <w:b/>
          <w:sz w:val="26"/>
          <w:szCs w:val="26"/>
          <w:lang w:eastAsia="lv-LV"/>
        </w:rPr>
        <w:t>sadaļ</w:t>
      </w:r>
      <w:r w:rsidRPr="00DF0356">
        <w:rPr>
          <w:rFonts w:ascii="Times New Roman" w:eastAsia="Times New Roman" w:hAnsi="Times New Roman"/>
          <w:b/>
          <w:sz w:val="26"/>
          <w:szCs w:val="26"/>
          <w:lang w:eastAsia="lv-LV"/>
        </w:rPr>
        <w:t xml:space="preserve">a – </w:t>
      </w:r>
      <w:r w:rsidR="00590D4A" w:rsidRPr="00590D4A">
        <w:rPr>
          <w:rFonts w:ascii="Times New Roman" w:eastAsia="Times New Roman" w:hAnsi="Times New Roman"/>
          <w:b/>
          <w:sz w:val="26"/>
          <w:szCs w:val="26"/>
          <w:lang w:eastAsia="lv-LV"/>
        </w:rPr>
        <w:t>rīkojuma projekts šo jomu neskar</w:t>
      </w:r>
    </w:p>
    <w:p w:rsidR="00460C58" w:rsidRPr="00003B50" w:rsidRDefault="00003B50" w:rsidP="00144BE9">
      <w:pPr>
        <w:spacing w:after="0" w:line="240" w:lineRule="auto"/>
        <w:rPr>
          <w:rFonts w:ascii="Times New Roman" w:eastAsia="Times New Roman" w:hAnsi="Times New Roman"/>
          <w:sz w:val="28"/>
          <w:szCs w:val="28"/>
          <w:lang w:eastAsia="lv-LV"/>
        </w:rPr>
      </w:pPr>
      <w:r w:rsidRPr="00003B50">
        <w:rPr>
          <w:rFonts w:ascii="Times New Roman" w:eastAsia="Times New Roman" w:hAnsi="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8"/>
        <w:gridCol w:w="4111"/>
        <w:gridCol w:w="4752"/>
      </w:tblGrid>
      <w:tr w:rsidR="00003B50" w:rsidRPr="006F200F" w:rsidTr="00003B5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center"/>
              <w:rPr>
                <w:rFonts w:ascii="Times New Roman" w:eastAsia="Times New Roman" w:hAnsi="Times New Roman"/>
                <w:b/>
                <w:bCs/>
                <w:sz w:val="26"/>
                <w:szCs w:val="26"/>
                <w:lang w:eastAsia="lv-LV"/>
              </w:rPr>
            </w:pPr>
            <w:r w:rsidRPr="006F200F">
              <w:rPr>
                <w:rFonts w:ascii="Times New Roman" w:eastAsia="Times New Roman" w:hAnsi="Times New Roman"/>
                <w:b/>
                <w:bCs/>
                <w:sz w:val="26"/>
                <w:szCs w:val="26"/>
                <w:lang w:eastAsia="lv-LV"/>
              </w:rPr>
              <w:t>VII. Tiesību akta projekta izpildes nodrošināšana un tās ietekme uz institūcijām</w:t>
            </w:r>
          </w:p>
        </w:tc>
      </w:tr>
      <w:tr w:rsidR="00417964" w:rsidRPr="006F200F" w:rsidTr="002A6C4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1.</w:t>
            </w:r>
          </w:p>
        </w:tc>
        <w:tc>
          <w:tcPr>
            <w:tcW w:w="2213"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Projekta izpildē iesaistītās institūcijas</w:t>
            </w:r>
          </w:p>
        </w:tc>
        <w:tc>
          <w:tcPr>
            <w:tcW w:w="2552" w:type="pct"/>
            <w:tcBorders>
              <w:top w:val="outset" w:sz="6" w:space="0" w:color="auto"/>
              <w:left w:val="outset" w:sz="6" w:space="0" w:color="auto"/>
              <w:bottom w:val="outset" w:sz="6" w:space="0" w:color="auto"/>
              <w:right w:val="outset" w:sz="6" w:space="0" w:color="auto"/>
            </w:tcBorders>
            <w:hideMark/>
          </w:tcPr>
          <w:p w:rsidR="00003B50" w:rsidRPr="006F200F" w:rsidRDefault="00DF0356" w:rsidP="00DF0356">
            <w:pPr>
              <w:spacing w:after="120" w:line="240" w:lineRule="auto"/>
              <w:jc w:val="both"/>
              <w:rPr>
                <w:rFonts w:ascii="Times New Roman" w:eastAsia="Times New Roman" w:hAnsi="Times New Roman"/>
                <w:sz w:val="26"/>
                <w:szCs w:val="26"/>
                <w:lang w:eastAsia="lv-LV"/>
              </w:rPr>
            </w:pPr>
            <w:r w:rsidRPr="006F200F">
              <w:rPr>
                <w:rFonts w:ascii="Times New Roman" w:eastAsia="Times New Roman" w:hAnsi="Times New Roman"/>
                <w:b/>
                <w:sz w:val="26"/>
                <w:szCs w:val="26"/>
                <w:lang w:eastAsia="lv-LV"/>
              </w:rPr>
              <w:t>Rīkojuma</w:t>
            </w:r>
            <w:r w:rsidR="00992638" w:rsidRPr="006F200F">
              <w:rPr>
                <w:rFonts w:ascii="Times New Roman" w:eastAsia="Times New Roman" w:hAnsi="Times New Roman"/>
                <w:b/>
                <w:sz w:val="26"/>
                <w:szCs w:val="26"/>
                <w:lang w:eastAsia="lv-LV"/>
              </w:rPr>
              <w:t xml:space="preserve"> projekta izpildi </w:t>
            </w:r>
            <w:r w:rsidRPr="006F200F">
              <w:rPr>
                <w:rFonts w:ascii="Times New Roman" w:eastAsia="Times New Roman" w:hAnsi="Times New Roman"/>
                <w:b/>
                <w:sz w:val="26"/>
                <w:szCs w:val="26"/>
                <w:lang w:eastAsia="lv-LV"/>
              </w:rPr>
              <w:t>attiecībā uz 2.1.1.3.1.apakšaktivitāti</w:t>
            </w:r>
            <w:r w:rsidRPr="006F200F">
              <w:rPr>
                <w:rFonts w:ascii="Times New Roman" w:eastAsia="Times New Roman" w:hAnsi="Times New Roman"/>
                <w:sz w:val="26"/>
                <w:szCs w:val="26"/>
                <w:lang w:eastAsia="lv-LV"/>
              </w:rPr>
              <w:t xml:space="preserve"> </w:t>
            </w:r>
            <w:r w:rsidR="00992638" w:rsidRPr="006F200F">
              <w:rPr>
                <w:rFonts w:ascii="Times New Roman" w:eastAsia="Times New Roman" w:hAnsi="Times New Roman"/>
                <w:sz w:val="26"/>
                <w:szCs w:val="26"/>
                <w:lang w:eastAsia="lv-LV"/>
              </w:rPr>
              <w:t>nodrošinās Iz</w:t>
            </w:r>
            <w:r w:rsidR="005A6982" w:rsidRPr="006F200F">
              <w:rPr>
                <w:rFonts w:ascii="Times New Roman" w:eastAsia="Times New Roman" w:hAnsi="Times New Roman"/>
                <w:sz w:val="26"/>
                <w:szCs w:val="26"/>
                <w:lang w:eastAsia="lv-LV"/>
              </w:rPr>
              <w:t>glītības un zinātnes ministrija un</w:t>
            </w:r>
            <w:r w:rsidR="00992638" w:rsidRPr="006F200F">
              <w:rPr>
                <w:rFonts w:ascii="Times New Roman" w:eastAsia="Times New Roman" w:hAnsi="Times New Roman"/>
                <w:sz w:val="26"/>
                <w:szCs w:val="26"/>
                <w:lang w:eastAsia="lv-LV"/>
              </w:rPr>
              <w:t xml:space="preserve"> Valsts</w:t>
            </w:r>
            <w:r w:rsidRPr="006F200F">
              <w:rPr>
                <w:rFonts w:ascii="Times New Roman" w:eastAsia="Times New Roman" w:hAnsi="Times New Roman"/>
                <w:sz w:val="26"/>
                <w:szCs w:val="26"/>
                <w:lang w:eastAsia="lv-LV"/>
              </w:rPr>
              <w:t xml:space="preserve"> izglītības attīstības aģentūra.</w:t>
            </w:r>
          </w:p>
          <w:p w:rsidR="00DF0356" w:rsidRPr="006F200F" w:rsidRDefault="00DF0356" w:rsidP="00DF0356">
            <w:pPr>
              <w:spacing w:after="0" w:line="240" w:lineRule="auto"/>
              <w:jc w:val="both"/>
              <w:rPr>
                <w:rFonts w:ascii="Times New Roman" w:eastAsia="Times New Roman" w:hAnsi="Times New Roman"/>
                <w:sz w:val="26"/>
                <w:szCs w:val="26"/>
                <w:lang w:eastAsia="lv-LV"/>
              </w:rPr>
            </w:pPr>
            <w:r w:rsidRPr="006F200F">
              <w:rPr>
                <w:rFonts w:ascii="Times New Roman" w:hAnsi="Times New Roman"/>
                <w:b/>
                <w:sz w:val="26"/>
                <w:szCs w:val="26"/>
                <w:lang w:eastAsia="lv-LV"/>
              </w:rPr>
              <w:t xml:space="preserve">Rīkojuma projekta izpildi attiecībā uz </w:t>
            </w:r>
            <w:r w:rsidRPr="006F200F">
              <w:rPr>
                <w:rFonts w:ascii="Times New Roman" w:hAnsi="Times New Roman"/>
                <w:b/>
                <w:sz w:val="26"/>
                <w:szCs w:val="26"/>
              </w:rPr>
              <w:t>2.1.2.1.2.apakšaktivitāti</w:t>
            </w:r>
            <w:r w:rsidRPr="006F200F">
              <w:rPr>
                <w:rFonts w:ascii="Times New Roman" w:hAnsi="Times New Roman"/>
                <w:b/>
                <w:sz w:val="26"/>
                <w:szCs w:val="26"/>
                <w:lang w:eastAsia="lv-LV"/>
              </w:rPr>
              <w:t xml:space="preserve"> nodrošinās Ekonomikas ministrija un valsts aģentūra "Latvijas Investīciju un attīstības aģentūra".</w:t>
            </w:r>
          </w:p>
        </w:tc>
      </w:tr>
      <w:tr w:rsidR="00417964" w:rsidRPr="006F200F" w:rsidTr="002A6C4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2.</w:t>
            </w:r>
          </w:p>
        </w:tc>
        <w:tc>
          <w:tcPr>
            <w:tcW w:w="2213"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Projekta izpildes ietekme uz pārvaldes funkcijām</w:t>
            </w:r>
          </w:p>
        </w:tc>
        <w:tc>
          <w:tcPr>
            <w:tcW w:w="2552" w:type="pct"/>
            <w:tcBorders>
              <w:top w:val="outset" w:sz="6" w:space="0" w:color="auto"/>
              <w:left w:val="outset" w:sz="6" w:space="0" w:color="auto"/>
              <w:bottom w:val="outset" w:sz="6" w:space="0" w:color="auto"/>
              <w:right w:val="outset" w:sz="6" w:space="0" w:color="auto"/>
            </w:tcBorders>
            <w:hideMark/>
          </w:tcPr>
          <w:p w:rsidR="006F200F" w:rsidRPr="006F200F" w:rsidRDefault="006F200F" w:rsidP="006F200F">
            <w:pPr>
              <w:spacing w:after="120" w:line="240" w:lineRule="auto"/>
              <w:jc w:val="both"/>
              <w:rPr>
                <w:rFonts w:ascii="Times New Roman" w:hAnsi="Times New Roman"/>
                <w:b/>
                <w:sz w:val="26"/>
                <w:szCs w:val="26"/>
                <w:lang w:eastAsia="lv-LV"/>
              </w:rPr>
            </w:pPr>
            <w:r w:rsidRPr="006F200F">
              <w:rPr>
                <w:rFonts w:ascii="Times New Roman" w:hAnsi="Times New Roman"/>
                <w:b/>
                <w:sz w:val="26"/>
                <w:szCs w:val="26"/>
                <w:lang w:eastAsia="lv-LV"/>
              </w:rPr>
              <w:t xml:space="preserve">Rīkojuma projekta izpilde attiecībā uz </w:t>
            </w:r>
            <w:r w:rsidRPr="006F200F">
              <w:rPr>
                <w:rFonts w:ascii="Times New Roman" w:hAnsi="Times New Roman"/>
                <w:b/>
                <w:sz w:val="26"/>
                <w:szCs w:val="26"/>
              </w:rPr>
              <w:t>2.1.1.3.1.apakšaktivitāti</w:t>
            </w:r>
            <w:r w:rsidRPr="006F200F">
              <w:rPr>
                <w:rFonts w:ascii="Times New Roman" w:hAnsi="Times New Roman"/>
                <w:b/>
                <w:sz w:val="26"/>
                <w:szCs w:val="26"/>
                <w:lang w:eastAsia="lv-LV"/>
              </w:rPr>
              <w:t xml:space="preserve"> tiks nodrošināta </w:t>
            </w:r>
            <w:r w:rsidRPr="006F200F">
              <w:rPr>
                <w:rFonts w:ascii="Times New Roman" w:eastAsia="Times New Roman" w:hAnsi="Times New Roman"/>
                <w:b/>
                <w:sz w:val="26"/>
                <w:szCs w:val="26"/>
                <w:lang w:eastAsia="lv-LV"/>
              </w:rPr>
              <w:t>Izglītības un zinātnes ministrijas un Valsts izglītības attīstības aģentūras</w:t>
            </w:r>
            <w:r w:rsidR="00A8686E">
              <w:rPr>
                <w:rFonts w:ascii="Times New Roman" w:hAnsi="Times New Roman"/>
                <w:b/>
                <w:sz w:val="26"/>
                <w:szCs w:val="26"/>
                <w:lang w:eastAsia="lv-LV"/>
              </w:rPr>
              <w:t xml:space="preserve"> funkciju ietvaros.</w:t>
            </w:r>
          </w:p>
          <w:p w:rsidR="00003B50" w:rsidRPr="006F200F" w:rsidRDefault="006F200F" w:rsidP="006F200F">
            <w:pPr>
              <w:spacing w:after="0" w:line="240" w:lineRule="auto"/>
              <w:jc w:val="both"/>
              <w:rPr>
                <w:rFonts w:ascii="Times New Roman" w:eastAsia="Times New Roman" w:hAnsi="Times New Roman"/>
                <w:b/>
                <w:sz w:val="26"/>
                <w:szCs w:val="26"/>
                <w:lang w:eastAsia="lv-LV"/>
              </w:rPr>
            </w:pPr>
            <w:r>
              <w:rPr>
                <w:rFonts w:ascii="Times New Roman" w:hAnsi="Times New Roman"/>
                <w:b/>
                <w:sz w:val="26"/>
                <w:szCs w:val="26"/>
                <w:lang w:eastAsia="lv-LV"/>
              </w:rPr>
              <w:t>R</w:t>
            </w:r>
            <w:r w:rsidRPr="006F200F">
              <w:rPr>
                <w:rFonts w:ascii="Times New Roman" w:hAnsi="Times New Roman"/>
                <w:b/>
                <w:sz w:val="26"/>
                <w:szCs w:val="26"/>
                <w:lang w:eastAsia="lv-LV"/>
              </w:rPr>
              <w:t xml:space="preserve">īkojuma projekta izpilde attiecībā uz </w:t>
            </w:r>
            <w:r w:rsidRPr="006F200F">
              <w:rPr>
                <w:rFonts w:ascii="Times New Roman" w:hAnsi="Times New Roman"/>
                <w:b/>
                <w:sz w:val="26"/>
                <w:szCs w:val="26"/>
              </w:rPr>
              <w:t>2.1.2.1.2.apakšaktivitāti</w:t>
            </w:r>
            <w:r w:rsidRPr="006F200F">
              <w:rPr>
                <w:rFonts w:ascii="Times New Roman" w:hAnsi="Times New Roman"/>
                <w:b/>
                <w:sz w:val="26"/>
                <w:szCs w:val="26"/>
                <w:lang w:eastAsia="lv-LV"/>
              </w:rPr>
              <w:t xml:space="preserve"> tiks nodrošināta Ekonomikas ministrijas un valsts aģentūras </w:t>
            </w:r>
            <w:r>
              <w:rPr>
                <w:rFonts w:ascii="Times New Roman" w:hAnsi="Times New Roman"/>
                <w:b/>
                <w:sz w:val="26"/>
                <w:szCs w:val="26"/>
                <w:lang w:eastAsia="lv-LV"/>
              </w:rPr>
              <w:t>"</w:t>
            </w:r>
            <w:r w:rsidRPr="006F200F">
              <w:rPr>
                <w:rFonts w:ascii="Times New Roman" w:hAnsi="Times New Roman"/>
                <w:b/>
                <w:sz w:val="26"/>
                <w:szCs w:val="26"/>
                <w:lang w:eastAsia="lv-LV"/>
              </w:rPr>
              <w:t>Latvijas Investīciju un attīstības aģentūra</w:t>
            </w:r>
            <w:r>
              <w:rPr>
                <w:rFonts w:ascii="Times New Roman" w:hAnsi="Times New Roman"/>
                <w:b/>
                <w:sz w:val="26"/>
                <w:szCs w:val="26"/>
                <w:lang w:eastAsia="lv-LV"/>
              </w:rPr>
              <w:t>"</w:t>
            </w:r>
            <w:r w:rsidRPr="006F200F">
              <w:rPr>
                <w:rFonts w:ascii="Times New Roman" w:hAnsi="Times New Roman"/>
                <w:b/>
                <w:sz w:val="26"/>
                <w:szCs w:val="26"/>
                <w:lang w:eastAsia="lv-LV"/>
              </w:rPr>
              <w:t xml:space="preserve"> funkciju ietvaros</w:t>
            </w:r>
            <w:r w:rsidR="00A8686E">
              <w:rPr>
                <w:rFonts w:ascii="Times New Roman" w:hAnsi="Times New Roman"/>
                <w:b/>
                <w:sz w:val="26"/>
                <w:szCs w:val="26"/>
                <w:lang w:eastAsia="lv-LV"/>
              </w:rPr>
              <w:t>.</w:t>
            </w:r>
          </w:p>
        </w:tc>
      </w:tr>
      <w:tr w:rsidR="00417964" w:rsidRPr="006F200F" w:rsidTr="002A6C4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3.</w:t>
            </w:r>
          </w:p>
        </w:tc>
        <w:tc>
          <w:tcPr>
            <w:tcW w:w="2213"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Projekta izpildes ietekme uz pārvaldes institucionālo struktūru.</w:t>
            </w:r>
          </w:p>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Jaunu institūciju izveide</w:t>
            </w:r>
          </w:p>
        </w:tc>
        <w:tc>
          <w:tcPr>
            <w:tcW w:w="2552" w:type="pct"/>
            <w:tcBorders>
              <w:top w:val="outset" w:sz="6" w:space="0" w:color="auto"/>
              <w:left w:val="outset" w:sz="6" w:space="0" w:color="auto"/>
              <w:bottom w:val="outset" w:sz="6" w:space="0" w:color="auto"/>
              <w:right w:val="outset" w:sz="6" w:space="0" w:color="auto"/>
            </w:tcBorders>
            <w:hideMark/>
          </w:tcPr>
          <w:p w:rsidR="00003B50" w:rsidRPr="00335C9F" w:rsidRDefault="00335C9F" w:rsidP="00335C9F">
            <w:pPr>
              <w:spacing w:after="0" w:line="240" w:lineRule="auto"/>
              <w:jc w:val="both"/>
              <w:rPr>
                <w:rFonts w:ascii="Times New Roman" w:hAnsi="Times New Roman"/>
                <w:b/>
                <w:sz w:val="26"/>
                <w:szCs w:val="26"/>
                <w:lang w:eastAsia="lv-LV"/>
              </w:rPr>
            </w:pPr>
            <w:r w:rsidRPr="00335C9F">
              <w:rPr>
                <w:rFonts w:ascii="Times New Roman" w:hAnsi="Times New Roman"/>
                <w:b/>
                <w:sz w:val="26"/>
                <w:szCs w:val="26"/>
                <w:lang w:eastAsia="lv-LV"/>
              </w:rPr>
              <w:t xml:space="preserve">Rīkojuma projekta izpildei netiks radītas jaunas institūcijas. Funkciju izpildi attiecībā uz 2.1.1.3.1.apakšaktivitāti nodrošinās </w:t>
            </w:r>
            <w:r w:rsidRPr="00335C9F">
              <w:rPr>
                <w:rFonts w:ascii="Times New Roman" w:eastAsia="Times New Roman" w:hAnsi="Times New Roman"/>
                <w:b/>
                <w:sz w:val="26"/>
                <w:szCs w:val="26"/>
                <w:lang w:eastAsia="lv-LV"/>
              </w:rPr>
              <w:t xml:space="preserve">Izglītības un zinātnes ministrija un Valsts izglītības attīstības aģentūra, attiecībā uz </w:t>
            </w:r>
            <w:r w:rsidRPr="00335C9F">
              <w:rPr>
                <w:rFonts w:ascii="Times New Roman" w:hAnsi="Times New Roman"/>
                <w:b/>
                <w:sz w:val="26"/>
                <w:szCs w:val="26"/>
              </w:rPr>
              <w:t xml:space="preserve">2.1.2.1.2. </w:t>
            </w:r>
            <w:proofErr w:type="spellStart"/>
            <w:r w:rsidRPr="00335C9F">
              <w:rPr>
                <w:rFonts w:ascii="Times New Roman" w:hAnsi="Times New Roman"/>
                <w:b/>
                <w:sz w:val="26"/>
                <w:szCs w:val="26"/>
              </w:rPr>
              <w:t>apakšaktivitāti</w:t>
            </w:r>
            <w:proofErr w:type="spellEnd"/>
            <w:r w:rsidRPr="00335C9F">
              <w:rPr>
                <w:rFonts w:ascii="Times New Roman" w:hAnsi="Times New Roman"/>
                <w:b/>
                <w:sz w:val="26"/>
                <w:szCs w:val="26"/>
                <w:lang w:eastAsia="lv-LV"/>
              </w:rPr>
              <w:t xml:space="preserve"> – Ekonomikas ministrija  un valsts aģentūra „Latvijas Investīciju un attīstības aģentūra".</w:t>
            </w:r>
          </w:p>
        </w:tc>
      </w:tr>
      <w:tr w:rsidR="00417964" w:rsidRPr="006F200F" w:rsidTr="002A6C4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4.</w:t>
            </w:r>
          </w:p>
        </w:tc>
        <w:tc>
          <w:tcPr>
            <w:tcW w:w="2213"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Projekta izpildes ietekme uz pārvaldes institucionālo struktūru.</w:t>
            </w:r>
          </w:p>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Esošu institūciju likvidācija</w:t>
            </w:r>
          </w:p>
        </w:tc>
        <w:tc>
          <w:tcPr>
            <w:tcW w:w="2552" w:type="pct"/>
            <w:tcBorders>
              <w:top w:val="outset" w:sz="6" w:space="0" w:color="auto"/>
              <w:left w:val="outset" w:sz="6" w:space="0" w:color="auto"/>
              <w:bottom w:val="outset" w:sz="6" w:space="0" w:color="auto"/>
              <w:right w:val="outset" w:sz="6" w:space="0" w:color="auto"/>
            </w:tcBorders>
            <w:hideMark/>
          </w:tcPr>
          <w:p w:rsidR="00003B50" w:rsidRPr="006F200F" w:rsidRDefault="00590D4A"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417964" w:rsidRPr="006F200F" w:rsidTr="002A6C48">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5.</w:t>
            </w:r>
          </w:p>
        </w:tc>
        <w:tc>
          <w:tcPr>
            <w:tcW w:w="2213"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Projekta izpildes ietekme uz pārvaldes institucionālo struktūru.</w:t>
            </w:r>
          </w:p>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Esošu institūciju reorganizācija</w:t>
            </w:r>
          </w:p>
        </w:tc>
        <w:tc>
          <w:tcPr>
            <w:tcW w:w="2552" w:type="pct"/>
            <w:tcBorders>
              <w:top w:val="outset" w:sz="6" w:space="0" w:color="auto"/>
              <w:left w:val="outset" w:sz="6" w:space="0" w:color="auto"/>
              <w:bottom w:val="outset" w:sz="6" w:space="0" w:color="auto"/>
              <w:right w:val="outset" w:sz="6" w:space="0" w:color="auto"/>
            </w:tcBorders>
            <w:hideMark/>
          </w:tcPr>
          <w:p w:rsidR="00003B50" w:rsidRPr="006F200F" w:rsidRDefault="00590D4A" w:rsidP="00144BE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Rīkojuma projekts šo jomu neskar</w:t>
            </w:r>
          </w:p>
        </w:tc>
      </w:tr>
      <w:tr w:rsidR="00417964" w:rsidRPr="006F200F" w:rsidTr="002A6C48">
        <w:trPr>
          <w:trHeight w:val="15"/>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6.</w:t>
            </w:r>
          </w:p>
        </w:tc>
        <w:tc>
          <w:tcPr>
            <w:tcW w:w="2213"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Cita informācija</w:t>
            </w:r>
          </w:p>
        </w:tc>
        <w:tc>
          <w:tcPr>
            <w:tcW w:w="2552" w:type="pct"/>
            <w:tcBorders>
              <w:top w:val="outset" w:sz="6" w:space="0" w:color="auto"/>
              <w:left w:val="outset" w:sz="6" w:space="0" w:color="auto"/>
              <w:bottom w:val="outset" w:sz="6" w:space="0" w:color="auto"/>
              <w:right w:val="outset" w:sz="6" w:space="0" w:color="auto"/>
            </w:tcBorders>
            <w:hideMark/>
          </w:tcPr>
          <w:p w:rsidR="00003B50" w:rsidRPr="006F200F" w:rsidRDefault="00003B50" w:rsidP="00144BE9">
            <w:pPr>
              <w:spacing w:after="0" w:line="240" w:lineRule="auto"/>
              <w:jc w:val="both"/>
              <w:rPr>
                <w:rFonts w:ascii="Times New Roman" w:eastAsia="Times New Roman" w:hAnsi="Times New Roman"/>
                <w:sz w:val="26"/>
                <w:szCs w:val="26"/>
                <w:lang w:eastAsia="lv-LV"/>
              </w:rPr>
            </w:pPr>
            <w:r w:rsidRPr="006F200F">
              <w:rPr>
                <w:rFonts w:ascii="Times New Roman" w:eastAsia="Times New Roman" w:hAnsi="Times New Roman"/>
                <w:sz w:val="26"/>
                <w:szCs w:val="26"/>
                <w:lang w:eastAsia="lv-LV"/>
              </w:rPr>
              <w:t>Nav</w:t>
            </w:r>
          </w:p>
        </w:tc>
      </w:tr>
    </w:tbl>
    <w:p w:rsidR="00D463DD" w:rsidRDefault="00D463DD" w:rsidP="00144BE9">
      <w:pPr>
        <w:spacing w:after="0" w:line="240" w:lineRule="auto"/>
        <w:rPr>
          <w:rFonts w:ascii="Times New Roman" w:hAnsi="Times New Roman"/>
          <w:sz w:val="28"/>
          <w:szCs w:val="28"/>
        </w:rPr>
      </w:pPr>
    </w:p>
    <w:p w:rsidR="00F51248" w:rsidRDefault="00F51248" w:rsidP="00144BE9">
      <w:pPr>
        <w:pStyle w:val="naisf"/>
        <w:spacing w:before="0" w:after="0"/>
        <w:rPr>
          <w:sz w:val="28"/>
          <w:szCs w:val="28"/>
          <w:lang w:val="lv-LV"/>
        </w:rPr>
      </w:pPr>
    </w:p>
    <w:p w:rsidR="003142A8" w:rsidRPr="003142A8" w:rsidRDefault="00D76BEA" w:rsidP="00144BE9">
      <w:pPr>
        <w:pStyle w:val="naisf"/>
        <w:spacing w:before="0" w:after="0"/>
        <w:rPr>
          <w:sz w:val="28"/>
          <w:szCs w:val="28"/>
        </w:rPr>
      </w:pPr>
      <w:r>
        <w:rPr>
          <w:sz w:val="28"/>
          <w:szCs w:val="28"/>
          <w:lang w:val="lv-LV"/>
        </w:rPr>
        <w:t>Izglītības un zinātnes ministrs</w:t>
      </w:r>
      <w:r w:rsidR="003142A8" w:rsidRPr="00E82508">
        <w:rPr>
          <w:sz w:val="28"/>
          <w:szCs w:val="28"/>
          <w:lang w:val="lv-LV"/>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R.Broks</w:t>
      </w:r>
      <w:proofErr w:type="spellEnd"/>
    </w:p>
    <w:p w:rsidR="003142A8" w:rsidRPr="003142A8" w:rsidRDefault="003142A8" w:rsidP="00144BE9">
      <w:pPr>
        <w:spacing w:after="0" w:line="240" w:lineRule="auto"/>
        <w:rPr>
          <w:rFonts w:ascii="Times New Roman" w:hAnsi="Times New Roman"/>
          <w:sz w:val="28"/>
          <w:szCs w:val="28"/>
        </w:rPr>
      </w:pPr>
      <w:r w:rsidRPr="003142A8">
        <w:rPr>
          <w:rFonts w:ascii="Times New Roman" w:hAnsi="Times New Roman"/>
          <w:sz w:val="28"/>
          <w:szCs w:val="28"/>
        </w:rPr>
        <w:br/>
      </w:r>
    </w:p>
    <w:p w:rsidR="003142A8" w:rsidRPr="003142A8" w:rsidRDefault="003142A8" w:rsidP="00144BE9">
      <w:pPr>
        <w:spacing w:after="0" w:line="240" w:lineRule="auto"/>
        <w:rPr>
          <w:rFonts w:ascii="Times New Roman" w:hAnsi="Times New Roman"/>
          <w:sz w:val="28"/>
          <w:szCs w:val="28"/>
        </w:rPr>
      </w:pPr>
    </w:p>
    <w:p w:rsidR="003142A8" w:rsidRPr="003142A8" w:rsidRDefault="003142A8" w:rsidP="00144BE9">
      <w:pPr>
        <w:spacing w:after="0" w:line="240" w:lineRule="auto"/>
        <w:rPr>
          <w:rFonts w:ascii="Times New Roman" w:hAnsi="Times New Roman"/>
          <w:sz w:val="28"/>
          <w:szCs w:val="28"/>
        </w:rPr>
      </w:pPr>
      <w:r w:rsidRPr="003142A8">
        <w:rPr>
          <w:rFonts w:ascii="Times New Roman" w:hAnsi="Times New Roman"/>
          <w:sz w:val="28"/>
          <w:szCs w:val="28"/>
        </w:rPr>
        <w:t>Vīza: valsts sekretār</w:t>
      </w:r>
      <w:r w:rsidR="00B02F29">
        <w:rPr>
          <w:rFonts w:ascii="Times New Roman" w:hAnsi="Times New Roman"/>
          <w:sz w:val="28"/>
          <w:szCs w:val="28"/>
        </w:rPr>
        <w:t>s</w:t>
      </w:r>
      <w:r w:rsidRPr="003142A8">
        <w:rPr>
          <w:rFonts w:ascii="Times New Roman" w:hAnsi="Times New Roman"/>
          <w:sz w:val="28"/>
          <w:szCs w:val="28"/>
        </w:rPr>
        <w:tab/>
      </w:r>
      <w:r w:rsidRPr="003142A8">
        <w:rPr>
          <w:rFonts w:ascii="Times New Roman" w:hAnsi="Times New Roman"/>
          <w:sz w:val="28"/>
          <w:szCs w:val="28"/>
        </w:rPr>
        <w:tab/>
      </w:r>
      <w:r w:rsidRPr="003142A8">
        <w:rPr>
          <w:rFonts w:ascii="Times New Roman" w:hAnsi="Times New Roman"/>
          <w:sz w:val="28"/>
          <w:szCs w:val="28"/>
        </w:rPr>
        <w:tab/>
      </w:r>
      <w:r w:rsidRPr="003142A8">
        <w:rPr>
          <w:rFonts w:ascii="Times New Roman" w:hAnsi="Times New Roman"/>
          <w:sz w:val="28"/>
          <w:szCs w:val="28"/>
        </w:rPr>
        <w:tab/>
        <w:t xml:space="preserve">          </w:t>
      </w:r>
      <w:r w:rsidR="001E7D35">
        <w:rPr>
          <w:rFonts w:ascii="Times New Roman" w:hAnsi="Times New Roman"/>
          <w:sz w:val="28"/>
          <w:szCs w:val="28"/>
        </w:rPr>
        <w:t xml:space="preserve">                    </w:t>
      </w:r>
      <w:proofErr w:type="spellStart"/>
      <w:r w:rsidR="001E7D35">
        <w:rPr>
          <w:rFonts w:ascii="Times New Roman" w:hAnsi="Times New Roman"/>
          <w:sz w:val="28"/>
          <w:szCs w:val="28"/>
        </w:rPr>
        <w:t>M.Gruškevics</w:t>
      </w:r>
      <w:proofErr w:type="spellEnd"/>
    </w:p>
    <w:p w:rsidR="00E709E5" w:rsidRDefault="00E709E5" w:rsidP="00144BE9">
      <w:pPr>
        <w:spacing w:after="0" w:line="240" w:lineRule="auto"/>
        <w:rPr>
          <w:rFonts w:ascii="Times New Roman" w:hAnsi="Times New Roman"/>
        </w:rPr>
      </w:pPr>
    </w:p>
    <w:p w:rsidR="00D76BEA" w:rsidRDefault="00D76BEA" w:rsidP="00144BE9">
      <w:pPr>
        <w:spacing w:after="0" w:line="240" w:lineRule="auto"/>
        <w:rPr>
          <w:rFonts w:ascii="Times New Roman" w:hAnsi="Times New Roman"/>
        </w:rPr>
      </w:pPr>
    </w:p>
    <w:p w:rsidR="00D20909" w:rsidRDefault="00D20909" w:rsidP="00144BE9">
      <w:pPr>
        <w:spacing w:after="0" w:line="240" w:lineRule="auto"/>
        <w:rPr>
          <w:rFonts w:ascii="Times New Roman" w:hAnsi="Times New Roman"/>
        </w:rPr>
      </w:pPr>
    </w:p>
    <w:p w:rsidR="003142A8" w:rsidRPr="00B02F29" w:rsidRDefault="00B02F29" w:rsidP="00144BE9">
      <w:pPr>
        <w:spacing w:after="0" w:line="240" w:lineRule="auto"/>
        <w:rPr>
          <w:rFonts w:ascii="Times New Roman" w:hAnsi="Times New Roman"/>
          <w:sz w:val="20"/>
          <w:szCs w:val="20"/>
        </w:rPr>
      </w:pPr>
      <w:r w:rsidRPr="00B02F29">
        <w:rPr>
          <w:rFonts w:ascii="Times New Roman" w:hAnsi="Times New Roman"/>
          <w:sz w:val="20"/>
          <w:szCs w:val="20"/>
        </w:rPr>
        <w:t>20</w:t>
      </w:r>
      <w:r w:rsidR="00385557" w:rsidRPr="00B02F29">
        <w:rPr>
          <w:rFonts w:ascii="Times New Roman" w:hAnsi="Times New Roman"/>
          <w:sz w:val="20"/>
          <w:szCs w:val="20"/>
        </w:rPr>
        <w:t>.</w:t>
      </w:r>
      <w:r w:rsidR="00D76BEA" w:rsidRPr="00B02F29">
        <w:rPr>
          <w:rFonts w:ascii="Times New Roman" w:hAnsi="Times New Roman"/>
          <w:sz w:val="20"/>
          <w:szCs w:val="20"/>
        </w:rPr>
        <w:t>12</w:t>
      </w:r>
      <w:r w:rsidR="00A22A21" w:rsidRPr="00B02F29">
        <w:rPr>
          <w:rFonts w:ascii="Times New Roman" w:hAnsi="Times New Roman"/>
          <w:sz w:val="20"/>
          <w:szCs w:val="20"/>
        </w:rPr>
        <w:t xml:space="preserve">.2010. </w:t>
      </w:r>
      <w:r w:rsidR="001B62BF" w:rsidRPr="00B02F29">
        <w:rPr>
          <w:rFonts w:ascii="Times New Roman" w:hAnsi="Times New Roman"/>
          <w:sz w:val="20"/>
          <w:szCs w:val="20"/>
        </w:rPr>
        <w:t>1</w:t>
      </w:r>
      <w:r>
        <w:rPr>
          <w:rFonts w:ascii="Times New Roman" w:hAnsi="Times New Roman"/>
          <w:sz w:val="20"/>
          <w:szCs w:val="20"/>
        </w:rPr>
        <w:t>0</w:t>
      </w:r>
      <w:r w:rsidR="00BD47EB" w:rsidRPr="00B02F29">
        <w:rPr>
          <w:rFonts w:ascii="Times New Roman" w:hAnsi="Times New Roman"/>
          <w:sz w:val="20"/>
          <w:szCs w:val="20"/>
        </w:rPr>
        <w:t>:</w:t>
      </w:r>
      <w:r w:rsidR="008862E2">
        <w:rPr>
          <w:rFonts w:ascii="Times New Roman" w:hAnsi="Times New Roman"/>
          <w:sz w:val="20"/>
          <w:szCs w:val="20"/>
        </w:rPr>
        <w:t>47</w:t>
      </w:r>
    </w:p>
    <w:p w:rsidR="003142A8" w:rsidRPr="00B02F29" w:rsidRDefault="00E51621" w:rsidP="00144BE9">
      <w:pPr>
        <w:spacing w:after="0" w:line="240" w:lineRule="auto"/>
        <w:rPr>
          <w:rFonts w:ascii="Times New Roman" w:hAnsi="Times New Roman"/>
          <w:sz w:val="20"/>
          <w:szCs w:val="20"/>
        </w:rPr>
      </w:pPr>
      <w:r>
        <w:rPr>
          <w:rFonts w:ascii="Times New Roman" w:hAnsi="Times New Roman"/>
          <w:sz w:val="20"/>
          <w:szCs w:val="20"/>
        </w:rPr>
        <w:t>1621</w:t>
      </w:r>
    </w:p>
    <w:p w:rsidR="003142A8" w:rsidRPr="00B02F29" w:rsidRDefault="00D21213" w:rsidP="00144BE9">
      <w:pPr>
        <w:spacing w:after="0" w:line="240" w:lineRule="auto"/>
        <w:rPr>
          <w:rFonts w:ascii="Times New Roman" w:hAnsi="Times New Roman"/>
          <w:sz w:val="20"/>
          <w:szCs w:val="20"/>
        </w:rPr>
      </w:pPr>
      <w:proofErr w:type="spellStart"/>
      <w:r w:rsidRPr="00B02F29">
        <w:rPr>
          <w:rFonts w:ascii="Times New Roman" w:hAnsi="Times New Roman"/>
          <w:sz w:val="20"/>
          <w:szCs w:val="20"/>
        </w:rPr>
        <w:t>S.Šmīdlere</w:t>
      </w:r>
      <w:proofErr w:type="spellEnd"/>
    </w:p>
    <w:p w:rsidR="003142A8" w:rsidRPr="00B02F29" w:rsidRDefault="00D21213" w:rsidP="00144BE9">
      <w:pPr>
        <w:spacing w:after="0" w:line="240" w:lineRule="auto"/>
        <w:rPr>
          <w:rFonts w:ascii="Times New Roman" w:hAnsi="Times New Roman"/>
          <w:sz w:val="20"/>
          <w:szCs w:val="20"/>
        </w:rPr>
      </w:pPr>
      <w:r w:rsidRPr="00B02F29">
        <w:rPr>
          <w:rFonts w:ascii="Times New Roman" w:hAnsi="Times New Roman"/>
          <w:sz w:val="20"/>
          <w:szCs w:val="20"/>
        </w:rPr>
        <w:t>tālr.:</w:t>
      </w:r>
      <w:r w:rsidR="00B02F29" w:rsidRPr="00B02F29">
        <w:rPr>
          <w:rFonts w:ascii="Times New Roman" w:hAnsi="Times New Roman"/>
          <w:sz w:val="20"/>
          <w:szCs w:val="20"/>
        </w:rPr>
        <w:t xml:space="preserve"> </w:t>
      </w:r>
      <w:r w:rsidRPr="00B02F29">
        <w:rPr>
          <w:rFonts w:ascii="Times New Roman" w:hAnsi="Times New Roman"/>
          <w:sz w:val="20"/>
          <w:szCs w:val="20"/>
        </w:rPr>
        <w:t>67047957</w:t>
      </w:r>
    </w:p>
    <w:p w:rsidR="00CB2D16" w:rsidRPr="00B02F29" w:rsidRDefault="003142A8" w:rsidP="002A6C48">
      <w:pPr>
        <w:spacing w:after="0" w:line="240" w:lineRule="auto"/>
        <w:rPr>
          <w:rFonts w:ascii="Times New Roman" w:hAnsi="Times New Roman"/>
          <w:sz w:val="20"/>
          <w:szCs w:val="20"/>
        </w:rPr>
      </w:pPr>
      <w:r w:rsidRPr="00B02F29">
        <w:rPr>
          <w:rFonts w:ascii="Times New Roman" w:hAnsi="Times New Roman"/>
          <w:sz w:val="20"/>
          <w:szCs w:val="20"/>
        </w:rPr>
        <w:t xml:space="preserve">e-pasts: </w:t>
      </w:r>
      <w:hyperlink r:id="rId7" w:history="1">
        <w:r w:rsidR="00D76BEA" w:rsidRPr="00B02F29">
          <w:rPr>
            <w:rStyle w:val="Hyperlink"/>
            <w:rFonts w:ascii="Times New Roman" w:hAnsi="Times New Roman"/>
            <w:sz w:val="20"/>
            <w:szCs w:val="20"/>
          </w:rPr>
          <w:t>santa.smidlere@izm.gov.lv</w:t>
        </w:r>
      </w:hyperlink>
      <w:r w:rsidR="00D76BEA" w:rsidRPr="00B02F29">
        <w:rPr>
          <w:rFonts w:ascii="Times New Roman" w:hAnsi="Times New Roman"/>
          <w:sz w:val="20"/>
          <w:szCs w:val="20"/>
        </w:rPr>
        <w:t xml:space="preserve"> </w:t>
      </w:r>
      <w:r w:rsidR="00C14596" w:rsidRPr="00B02F29">
        <w:rPr>
          <w:rFonts w:ascii="Times New Roman" w:hAnsi="Times New Roman"/>
          <w:sz w:val="20"/>
          <w:szCs w:val="20"/>
        </w:rPr>
        <w:tab/>
      </w:r>
      <w:r w:rsidR="00144BE9" w:rsidRPr="00B02F29">
        <w:rPr>
          <w:rFonts w:ascii="Times New Roman" w:hAnsi="Times New Roman"/>
          <w:sz w:val="20"/>
          <w:szCs w:val="20"/>
        </w:rPr>
        <w:tab/>
      </w:r>
    </w:p>
    <w:sectPr w:rsidR="00CB2D16" w:rsidRPr="00B02F29" w:rsidSect="002A6C48">
      <w:headerReference w:type="default" r:id="rId8"/>
      <w:footerReference w:type="default" r:id="rId9"/>
      <w:footerReference w:type="first" r:id="rId10"/>
      <w:pgSz w:w="11906" w:h="16838"/>
      <w:pgMar w:top="1418" w:right="1134" w:bottom="1134" w:left="1701" w:header="708"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6E" w:rsidRDefault="002B656E" w:rsidP="002F2C35">
      <w:pPr>
        <w:spacing w:after="0" w:line="240" w:lineRule="auto"/>
      </w:pPr>
      <w:r>
        <w:separator/>
      </w:r>
    </w:p>
  </w:endnote>
  <w:endnote w:type="continuationSeparator" w:id="0">
    <w:p w:rsidR="002B656E" w:rsidRDefault="002B656E" w:rsidP="002F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51" w:rsidRPr="008862E2" w:rsidRDefault="008862E2" w:rsidP="008862E2">
    <w:pPr>
      <w:pStyle w:val="Footer"/>
      <w:spacing w:after="0" w:line="240" w:lineRule="auto"/>
      <w:jc w:val="both"/>
      <w:rPr>
        <w:rFonts w:ascii="Times New Roman" w:hAnsi="Times New Roman"/>
      </w:rPr>
    </w:pPr>
    <w:r>
      <w:rPr>
        <w:rFonts w:ascii="Times New Roman" w:hAnsi="Times New Roman"/>
      </w:rPr>
      <w:t>IZMAnot_2001</w:t>
    </w:r>
    <w:r w:rsidRPr="002F2C35">
      <w:rPr>
        <w:rFonts w:ascii="Times New Roman" w:hAnsi="Times New Roman"/>
      </w:rPr>
      <w:t>1</w:t>
    </w:r>
    <w:r>
      <w:rPr>
        <w:rFonts w:ascii="Times New Roman" w:hAnsi="Times New Roman"/>
      </w:rPr>
      <w:t>1_2DPP</w:t>
    </w:r>
    <w:r w:rsidRPr="002F2C35">
      <w:rPr>
        <w:rFonts w:ascii="Times New Roman" w:hAnsi="Times New Roman"/>
      </w:rPr>
      <w:t xml:space="preserve">; </w:t>
    </w:r>
    <w:r>
      <w:rPr>
        <w:rFonts w:ascii="Times New Roman" w:hAnsi="Times New Roman"/>
      </w:rPr>
      <w:t xml:space="preserve">Rīkojuma </w:t>
    </w:r>
    <w:r>
      <w:rPr>
        <w:rFonts w:ascii="Times New Roman" w:eastAsia="Times New Roman" w:hAnsi="Times New Roman"/>
        <w:bCs/>
        <w:lang w:eastAsia="lv-LV" w:bidi="he-IL"/>
      </w:rPr>
      <w:t>"</w:t>
    </w:r>
    <w:r w:rsidRPr="0007347C">
      <w:rPr>
        <w:rFonts w:ascii="Times New Roman" w:eastAsia="Times New Roman" w:hAnsi="Times New Roman"/>
        <w:bCs/>
        <w:lang w:eastAsia="lv-LV"/>
      </w:rPr>
      <w:t xml:space="preserve">Grozījumi darbības programmas </w:t>
    </w:r>
    <w:r>
      <w:rPr>
        <w:rFonts w:ascii="Times New Roman" w:eastAsia="Times New Roman" w:hAnsi="Times New Roman"/>
        <w:bCs/>
        <w:lang w:eastAsia="lv-LV" w:bidi="he-IL"/>
      </w:rPr>
      <w:t>"</w:t>
    </w:r>
    <w:r>
      <w:rPr>
        <w:rFonts w:ascii="Times New Roman" w:eastAsia="Times New Roman" w:hAnsi="Times New Roman"/>
        <w:bCs/>
        <w:lang w:eastAsia="lv-LV"/>
      </w:rPr>
      <w:t xml:space="preserve">Uzņēmējdarbība un inovācijas" </w:t>
    </w:r>
    <w:r w:rsidRPr="0007347C">
      <w:rPr>
        <w:rFonts w:ascii="Times New Roman" w:eastAsia="Times New Roman" w:hAnsi="Times New Roman"/>
        <w:bCs/>
        <w:lang w:eastAsia="lv-LV"/>
      </w:rPr>
      <w:t>papildinājumā</w:t>
    </w:r>
    <w:r>
      <w:rPr>
        <w:rFonts w:ascii="Times New Roman" w:eastAsia="Times New Roman" w:hAnsi="Times New Roman"/>
        <w:bCs/>
        <w:lang w:eastAsia="lv-LV" w:bidi="he-IL"/>
      </w:rPr>
      <w:t>"</w:t>
    </w:r>
    <w:r>
      <w:rPr>
        <w:rFonts w:ascii="Times New Roman" w:eastAsia="Times New Roman" w:hAnsi="Times New Roman"/>
        <w:bCs/>
        <w:rtl/>
        <w:lang w:eastAsia="lv-LV" w:bidi="he-IL"/>
      </w:rPr>
      <w:t xml:space="preserve"> </w:t>
    </w:r>
    <w:r>
      <w:rPr>
        <w:rFonts w:ascii="Times New Roman" w:hAnsi="Times New Roman"/>
      </w:rPr>
      <w:t xml:space="preserve">projekta </w:t>
    </w:r>
    <w:r w:rsidRPr="0007347C">
      <w:rPr>
        <w:rFonts w:ascii="Times New Roman" w:eastAsia="Times New Roman" w:hAnsi="Times New Roman"/>
        <w:bCs/>
        <w:lang w:eastAsia="lv-LV"/>
      </w:rPr>
      <w:t>sākotnējās ietekmes novērtējuma ziņojums</w:t>
    </w:r>
    <w:r>
      <w:rPr>
        <w:rFonts w:ascii="Times New Roman" w:hAnsi="Times New Roman"/>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51" w:rsidRPr="008C50D2" w:rsidRDefault="00307FDF" w:rsidP="00F32E34">
    <w:pPr>
      <w:pStyle w:val="Footer"/>
      <w:spacing w:after="0" w:line="240" w:lineRule="auto"/>
      <w:jc w:val="both"/>
      <w:rPr>
        <w:rFonts w:ascii="Times New Roman" w:hAnsi="Times New Roman"/>
      </w:rPr>
    </w:pPr>
    <w:r>
      <w:rPr>
        <w:rFonts w:ascii="Times New Roman" w:hAnsi="Times New Roman"/>
      </w:rPr>
      <w:t>IZMAnot_20</w:t>
    </w:r>
    <w:r w:rsidR="008862E2">
      <w:rPr>
        <w:rFonts w:ascii="Times New Roman" w:hAnsi="Times New Roman"/>
      </w:rPr>
      <w:t>01</w:t>
    </w:r>
    <w:r w:rsidR="008C50D2" w:rsidRPr="002F2C35">
      <w:rPr>
        <w:rFonts w:ascii="Times New Roman" w:hAnsi="Times New Roman"/>
      </w:rPr>
      <w:t>1</w:t>
    </w:r>
    <w:r w:rsidR="008862E2">
      <w:rPr>
        <w:rFonts w:ascii="Times New Roman" w:hAnsi="Times New Roman"/>
      </w:rPr>
      <w:t>1</w:t>
    </w:r>
    <w:r w:rsidR="008C50D2">
      <w:rPr>
        <w:rFonts w:ascii="Times New Roman" w:hAnsi="Times New Roman"/>
      </w:rPr>
      <w:t>_2DPP</w:t>
    </w:r>
    <w:r w:rsidR="008C50D2" w:rsidRPr="002F2C35">
      <w:rPr>
        <w:rFonts w:ascii="Times New Roman" w:hAnsi="Times New Roman"/>
      </w:rPr>
      <w:t xml:space="preserve">; </w:t>
    </w:r>
    <w:r w:rsidR="008C50D2">
      <w:rPr>
        <w:rFonts w:ascii="Times New Roman" w:hAnsi="Times New Roman"/>
      </w:rPr>
      <w:t xml:space="preserve">Rīkojuma </w:t>
    </w:r>
    <w:r w:rsidR="00B553C7">
      <w:rPr>
        <w:rFonts w:ascii="Times New Roman" w:eastAsia="Times New Roman" w:hAnsi="Times New Roman"/>
        <w:bCs/>
        <w:lang w:eastAsia="lv-LV" w:bidi="he-IL"/>
      </w:rPr>
      <w:t>"</w:t>
    </w:r>
    <w:r w:rsidR="008C50D2" w:rsidRPr="0007347C">
      <w:rPr>
        <w:rFonts w:ascii="Times New Roman" w:eastAsia="Times New Roman" w:hAnsi="Times New Roman"/>
        <w:bCs/>
        <w:lang w:eastAsia="lv-LV"/>
      </w:rPr>
      <w:t xml:space="preserve">Grozījumi darbības programmas </w:t>
    </w:r>
    <w:r w:rsidR="00B553C7">
      <w:rPr>
        <w:rFonts w:ascii="Times New Roman" w:eastAsia="Times New Roman" w:hAnsi="Times New Roman"/>
        <w:bCs/>
        <w:lang w:eastAsia="lv-LV" w:bidi="he-IL"/>
      </w:rPr>
      <w:t>"</w:t>
    </w:r>
    <w:r w:rsidR="008C50D2">
      <w:rPr>
        <w:rFonts w:ascii="Times New Roman" w:eastAsia="Times New Roman" w:hAnsi="Times New Roman"/>
        <w:bCs/>
        <w:lang w:eastAsia="lv-LV"/>
      </w:rPr>
      <w:t>Uzņēmējdarbība un inovācijas</w:t>
    </w:r>
    <w:r w:rsidR="00B553C7">
      <w:rPr>
        <w:rFonts w:ascii="Times New Roman" w:eastAsia="Times New Roman" w:hAnsi="Times New Roman"/>
        <w:bCs/>
        <w:lang w:eastAsia="lv-LV"/>
      </w:rPr>
      <w:t xml:space="preserve">" </w:t>
    </w:r>
    <w:r w:rsidR="008C50D2" w:rsidRPr="0007347C">
      <w:rPr>
        <w:rFonts w:ascii="Times New Roman" w:eastAsia="Times New Roman" w:hAnsi="Times New Roman"/>
        <w:bCs/>
        <w:lang w:eastAsia="lv-LV"/>
      </w:rPr>
      <w:t>papildinājumā</w:t>
    </w:r>
    <w:r w:rsidR="00B553C7">
      <w:rPr>
        <w:rFonts w:ascii="Times New Roman" w:eastAsia="Times New Roman" w:hAnsi="Times New Roman"/>
        <w:bCs/>
        <w:lang w:eastAsia="lv-LV" w:bidi="he-IL"/>
      </w:rPr>
      <w:t>"</w:t>
    </w:r>
    <w:r w:rsidR="00B553C7">
      <w:rPr>
        <w:rFonts w:ascii="Times New Roman" w:eastAsia="Times New Roman" w:hAnsi="Times New Roman"/>
        <w:bCs/>
        <w:rtl/>
        <w:lang w:eastAsia="lv-LV" w:bidi="he-IL"/>
      </w:rPr>
      <w:t xml:space="preserve"> </w:t>
    </w:r>
    <w:r w:rsidR="008862E2">
      <w:rPr>
        <w:rFonts w:ascii="Times New Roman" w:hAnsi="Times New Roman"/>
      </w:rPr>
      <w:t xml:space="preserve">projekta </w:t>
    </w:r>
    <w:r w:rsidR="008C50D2" w:rsidRPr="0007347C">
      <w:rPr>
        <w:rFonts w:ascii="Times New Roman" w:eastAsia="Times New Roman" w:hAnsi="Times New Roman"/>
        <w:bCs/>
        <w:lang w:eastAsia="lv-LV"/>
      </w:rPr>
      <w:t>sākotnējās ietekmes novērtējuma ziņojums</w:t>
    </w:r>
    <w:r w:rsidR="008C50D2">
      <w:rPr>
        <w:rFonts w:ascii="Times New Roman" w:hAnsi="Times New Roman"/>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6E" w:rsidRDefault="002B656E" w:rsidP="002F2C35">
      <w:pPr>
        <w:spacing w:after="0" w:line="240" w:lineRule="auto"/>
      </w:pPr>
      <w:r>
        <w:separator/>
      </w:r>
    </w:p>
  </w:footnote>
  <w:footnote w:type="continuationSeparator" w:id="0">
    <w:p w:rsidR="002B656E" w:rsidRDefault="002B656E" w:rsidP="002F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51" w:rsidRPr="00ED29FD" w:rsidRDefault="0096776F">
    <w:pPr>
      <w:pStyle w:val="Header"/>
      <w:jc w:val="center"/>
      <w:rPr>
        <w:rFonts w:ascii="Times New Roman" w:hAnsi="Times New Roman"/>
        <w:sz w:val="24"/>
        <w:szCs w:val="24"/>
      </w:rPr>
    </w:pPr>
    <w:r w:rsidRPr="00ED29FD">
      <w:rPr>
        <w:rFonts w:ascii="Times New Roman" w:hAnsi="Times New Roman"/>
        <w:sz w:val="24"/>
        <w:szCs w:val="24"/>
      </w:rPr>
      <w:fldChar w:fldCharType="begin"/>
    </w:r>
    <w:r w:rsidR="00157E51" w:rsidRPr="00ED29FD">
      <w:rPr>
        <w:rFonts w:ascii="Times New Roman" w:hAnsi="Times New Roman"/>
        <w:sz w:val="24"/>
        <w:szCs w:val="24"/>
      </w:rPr>
      <w:instrText xml:space="preserve"> PAGE   \* MERGEFORMAT </w:instrText>
    </w:r>
    <w:r w:rsidRPr="00ED29FD">
      <w:rPr>
        <w:rFonts w:ascii="Times New Roman" w:hAnsi="Times New Roman"/>
        <w:sz w:val="24"/>
        <w:szCs w:val="24"/>
      </w:rPr>
      <w:fldChar w:fldCharType="separate"/>
    </w:r>
    <w:r w:rsidR="00E51621">
      <w:rPr>
        <w:rFonts w:ascii="Times New Roman" w:hAnsi="Times New Roman"/>
        <w:noProof/>
        <w:sz w:val="24"/>
        <w:szCs w:val="24"/>
      </w:rPr>
      <w:t>7</w:t>
    </w:r>
    <w:r w:rsidRPr="00ED29FD">
      <w:rPr>
        <w:rFonts w:ascii="Times New Roman" w:hAnsi="Times New Roman"/>
        <w:sz w:val="24"/>
        <w:szCs w:val="24"/>
      </w:rPr>
      <w:fldChar w:fldCharType="end"/>
    </w:r>
  </w:p>
  <w:p w:rsidR="00157E51" w:rsidRDefault="00157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2060"/>
    <w:multiLevelType w:val="hybridMultilevel"/>
    <w:tmpl w:val="7EDAE18A"/>
    <w:lvl w:ilvl="0" w:tplc="3282107C">
      <w:start w:val="1"/>
      <w:numFmt w:val="bullet"/>
      <w:lvlText w:val=""/>
      <w:lvlJc w:val="left"/>
      <w:pPr>
        <w:ind w:left="1102" w:hanging="360"/>
      </w:pPr>
      <w:rPr>
        <w:rFonts w:ascii="Symbol" w:hAnsi="Symbol"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hint="default"/>
      </w:rPr>
    </w:lvl>
    <w:lvl w:ilvl="3" w:tplc="04260001" w:tentative="1">
      <w:start w:val="1"/>
      <w:numFmt w:val="bullet"/>
      <w:lvlText w:val=""/>
      <w:lvlJc w:val="left"/>
      <w:pPr>
        <w:ind w:left="3262" w:hanging="360"/>
      </w:pPr>
      <w:rPr>
        <w:rFonts w:ascii="Symbol" w:hAnsi="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hint="default"/>
      </w:rPr>
    </w:lvl>
    <w:lvl w:ilvl="6" w:tplc="04260001" w:tentative="1">
      <w:start w:val="1"/>
      <w:numFmt w:val="bullet"/>
      <w:lvlText w:val=""/>
      <w:lvlJc w:val="left"/>
      <w:pPr>
        <w:ind w:left="5422" w:hanging="360"/>
      </w:pPr>
      <w:rPr>
        <w:rFonts w:ascii="Symbol" w:hAnsi="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hint="default"/>
      </w:rPr>
    </w:lvl>
  </w:abstractNum>
  <w:abstractNum w:abstractNumId="1">
    <w:nsid w:val="19EF14C8"/>
    <w:multiLevelType w:val="hybridMultilevel"/>
    <w:tmpl w:val="9B72E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D5171E"/>
    <w:multiLevelType w:val="hybridMultilevel"/>
    <w:tmpl w:val="1186C54C"/>
    <w:lvl w:ilvl="0" w:tplc="658AF4D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8D4F89"/>
    <w:multiLevelType w:val="hybridMultilevel"/>
    <w:tmpl w:val="ED8A7DC4"/>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CFC5064"/>
    <w:multiLevelType w:val="hybridMultilevel"/>
    <w:tmpl w:val="A046354C"/>
    <w:lvl w:ilvl="0" w:tplc="3476E17A">
      <w:start w:val="1"/>
      <w:numFmt w:val="bullet"/>
      <w:lvlText w:val="-"/>
      <w:lvlJc w:val="left"/>
      <w:pPr>
        <w:tabs>
          <w:tab w:val="num" w:pos="2160"/>
        </w:tabs>
        <w:ind w:left="2160" w:hanging="360"/>
      </w:pPr>
      <w:rPr>
        <w:rFonts w:ascii="Courier New" w:hAnsi="Courier New" w:hint="default"/>
        <w:b w:val="0"/>
        <w:i w:val="0"/>
        <w:sz w:val="24"/>
        <w:szCs w:val="24"/>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5">
    <w:nsid w:val="40814DA6"/>
    <w:multiLevelType w:val="hybridMultilevel"/>
    <w:tmpl w:val="B2B2F1F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0B8130F"/>
    <w:multiLevelType w:val="hybridMultilevel"/>
    <w:tmpl w:val="B9A43F1E"/>
    <w:lvl w:ilvl="0" w:tplc="03E49C02">
      <w:start w:val="1"/>
      <w:numFmt w:val="decimal"/>
      <w:pStyle w:val="EE-parag-num-12"/>
      <w:lvlText w:val="%1."/>
      <w:lvlJc w:val="left"/>
      <w:pPr>
        <w:tabs>
          <w:tab w:val="num" w:pos="502"/>
        </w:tabs>
        <w:ind w:left="502" w:hanging="360"/>
      </w:pPr>
      <w:rPr>
        <w:rFonts w:hint="default"/>
        <w:b w:val="0"/>
        <w:color w:val="auto"/>
      </w:rPr>
    </w:lvl>
    <w:lvl w:ilvl="1" w:tplc="9364DB0A">
      <w:start w:val="1"/>
      <w:numFmt w:val="decimal"/>
      <w:lvlText w:val="%2)"/>
      <w:lvlJc w:val="left"/>
      <w:pPr>
        <w:ind w:left="1582" w:hanging="360"/>
      </w:pPr>
      <w:rPr>
        <w:rFonts w:hint="default"/>
      </w:r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7">
    <w:nsid w:val="59834BD3"/>
    <w:multiLevelType w:val="hybridMultilevel"/>
    <w:tmpl w:val="1EDEA88A"/>
    <w:lvl w:ilvl="0" w:tplc="4916654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0C16F91"/>
    <w:multiLevelType w:val="hybridMultilevel"/>
    <w:tmpl w:val="C428E6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ABB1B51"/>
    <w:multiLevelType w:val="hybridMultilevel"/>
    <w:tmpl w:val="2E76BB80"/>
    <w:lvl w:ilvl="0" w:tplc="CF5EFE86">
      <w:start w:val="1"/>
      <w:numFmt w:val="decimal"/>
      <w:lvlText w:val="%1)"/>
      <w:lvlJc w:val="left"/>
      <w:pPr>
        <w:ind w:left="825" w:hanging="360"/>
      </w:pPr>
    </w:lvl>
    <w:lvl w:ilvl="1" w:tplc="04260019">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03B50"/>
    <w:rsid w:val="00003B50"/>
    <w:rsid w:val="00015E9C"/>
    <w:rsid w:val="0002610B"/>
    <w:rsid w:val="00034151"/>
    <w:rsid w:val="00050372"/>
    <w:rsid w:val="00050F18"/>
    <w:rsid w:val="00060D7B"/>
    <w:rsid w:val="00063D65"/>
    <w:rsid w:val="0007347C"/>
    <w:rsid w:val="00073F04"/>
    <w:rsid w:val="00087204"/>
    <w:rsid w:val="00090E9F"/>
    <w:rsid w:val="00095998"/>
    <w:rsid w:val="0009632C"/>
    <w:rsid w:val="000C26D2"/>
    <w:rsid w:val="000C48A8"/>
    <w:rsid w:val="000C6301"/>
    <w:rsid w:val="000D31D7"/>
    <w:rsid w:val="000D351E"/>
    <w:rsid w:val="000E16C5"/>
    <w:rsid w:val="000E360B"/>
    <w:rsid w:val="000E4D51"/>
    <w:rsid w:val="000E51EF"/>
    <w:rsid w:val="000E7A3F"/>
    <w:rsid w:val="000F5AE0"/>
    <w:rsid w:val="00107882"/>
    <w:rsid w:val="00125897"/>
    <w:rsid w:val="00135E0B"/>
    <w:rsid w:val="00144BE9"/>
    <w:rsid w:val="00145F11"/>
    <w:rsid w:val="00157E51"/>
    <w:rsid w:val="001627BA"/>
    <w:rsid w:val="00192868"/>
    <w:rsid w:val="001944C2"/>
    <w:rsid w:val="00195307"/>
    <w:rsid w:val="001A2325"/>
    <w:rsid w:val="001A2912"/>
    <w:rsid w:val="001A2C09"/>
    <w:rsid w:val="001B62BF"/>
    <w:rsid w:val="001C0370"/>
    <w:rsid w:val="001D1B70"/>
    <w:rsid w:val="001D2922"/>
    <w:rsid w:val="001E2369"/>
    <w:rsid w:val="001E7D35"/>
    <w:rsid w:val="001F65F3"/>
    <w:rsid w:val="002029D5"/>
    <w:rsid w:val="00210863"/>
    <w:rsid w:val="00211AB7"/>
    <w:rsid w:val="00211DD1"/>
    <w:rsid w:val="00216B97"/>
    <w:rsid w:val="00224FFE"/>
    <w:rsid w:val="00225B14"/>
    <w:rsid w:val="00226CAD"/>
    <w:rsid w:val="002272F4"/>
    <w:rsid w:val="00227457"/>
    <w:rsid w:val="0023406A"/>
    <w:rsid w:val="002341F2"/>
    <w:rsid w:val="00240057"/>
    <w:rsid w:val="00240CC3"/>
    <w:rsid w:val="00244DEA"/>
    <w:rsid w:val="00244EC8"/>
    <w:rsid w:val="002507B5"/>
    <w:rsid w:val="00253BB3"/>
    <w:rsid w:val="00255807"/>
    <w:rsid w:val="00257DF4"/>
    <w:rsid w:val="002607F7"/>
    <w:rsid w:val="00267AB8"/>
    <w:rsid w:val="00291CD9"/>
    <w:rsid w:val="002A6C48"/>
    <w:rsid w:val="002A7425"/>
    <w:rsid w:val="002B0765"/>
    <w:rsid w:val="002B0FBC"/>
    <w:rsid w:val="002B656E"/>
    <w:rsid w:val="002C3B29"/>
    <w:rsid w:val="002C6B95"/>
    <w:rsid w:val="002D4BCA"/>
    <w:rsid w:val="002D6FA9"/>
    <w:rsid w:val="002E74A0"/>
    <w:rsid w:val="002F2C35"/>
    <w:rsid w:val="003018E7"/>
    <w:rsid w:val="00307FDF"/>
    <w:rsid w:val="003142A8"/>
    <w:rsid w:val="00335C9F"/>
    <w:rsid w:val="00347DBD"/>
    <w:rsid w:val="003514AA"/>
    <w:rsid w:val="0036381A"/>
    <w:rsid w:val="00366D28"/>
    <w:rsid w:val="003702AC"/>
    <w:rsid w:val="0037216C"/>
    <w:rsid w:val="00373C28"/>
    <w:rsid w:val="00374470"/>
    <w:rsid w:val="0038401A"/>
    <w:rsid w:val="00385557"/>
    <w:rsid w:val="00396CB4"/>
    <w:rsid w:val="003A0F87"/>
    <w:rsid w:val="003A2F80"/>
    <w:rsid w:val="003A35FC"/>
    <w:rsid w:val="003A5040"/>
    <w:rsid w:val="003B2EFB"/>
    <w:rsid w:val="003C6CA5"/>
    <w:rsid w:val="003D14B5"/>
    <w:rsid w:val="003D1A6A"/>
    <w:rsid w:val="003D5A53"/>
    <w:rsid w:val="004037C5"/>
    <w:rsid w:val="00417964"/>
    <w:rsid w:val="00420D52"/>
    <w:rsid w:val="004413EF"/>
    <w:rsid w:val="00450774"/>
    <w:rsid w:val="00452F69"/>
    <w:rsid w:val="00457C13"/>
    <w:rsid w:val="0046017B"/>
    <w:rsid w:val="00460C58"/>
    <w:rsid w:val="0047046A"/>
    <w:rsid w:val="00480B73"/>
    <w:rsid w:val="004955E2"/>
    <w:rsid w:val="004A3840"/>
    <w:rsid w:val="004A7A29"/>
    <w:rsid w:val="004B0517"/>
    <w:rsid w:val="004B1F6C"/>
    <w:rsid w:val="004B56CE"/>
    <w:rsid w:val="004C6724"/>
    <w:rsid w:val="004C7BEF"/>
    <w:rsid w:val="004D2756"/>
    <w:rsid w:val="004D7D0A"/>
    <w:rsid w:val="00505A6A"/>
    <w:rsid w:val="0051293A"/>
    <w:rsid w:val="00514EE0"/>
    <w:rsid w:val="00516A71"/>
    <w:rsid w:val="005346EF"/>
    <w:rsid w:val="00535A50"/>
    <w:rsid w:val="005371DF"/>
    <w:rsid w:val="00547C1B"/>
    <w:rsid w:val="00550476"/>
    <w:rsid w:val="005628F8"/>
    <w:rsid w:val="0056693D"/>
    <w:rsid w:val="00571535"/>
    <w:rsid w:val="005719EF"/>
    <w:rsid w:val="0057228F"/>
    <w:rsid w:val="0057466F"/>
    <w:rsid w:val="00580360"/>
    <w:rsid w:val="005807D2"/>
    <w:rsid w:val="00580BC6"/>
    <w:rsid w:val="00586073"/>
    <w:rsid w:val="00590D4A"/>
    <w:rsid w:val="00591936"/>
    <w:rsid w:val="0059264C"/>
    <w:rsid w:val="005A6982"/>
    <w:rsid w:val="005B2F6F"/>
    <w:rsid w:val="005C7044"/>
    <w:rsid w:val="005D3492"/>
    <w:rsid w:val="005F05AF"/>
    <w:rsid w:val="005F0A9A"/>
    <w:rsid w:val="005F135C"/>
    <w:rsid w:val="005F2254"/>
    <w:rsid w:val="006002F3"/>
    <w:rsid w:val="00603AD4"/>
    <w:rsid w:val="006040B4"/>
    <w:rsid w:val="0060422D"/>
    <w:rsid w:val="0062706C"/>
    <w:rsid w:val="0063373B"/>
    <w:rsid w:val="00633FF0"/>
    <w:rsid w:val="00634094"/>
    <w:rsid w:val="00640B83"/>
    <w:rsid w:val="00645541"/>
    <w:rsid w:val="00661E3C"/>
    <w:rsid w:val="00663328"/>
    <w:rsid w:val="00671FCA"/>
    <w:rsid w:val="006738D8"/>
    <w:rsid w:val="00687DAC"/>
    <w:rsid w:val="00692369"/>
    <w:rsid w:val="00695C54"/>
    <w:rsid w:val="006B2588"/>
    <w:rsid w:val="006C19CD"/>
    <w:rsid w:val="006C39AF"/>
    <w:rsid w:val="006C3B81"/>
    <w:rsid w:val="006C44F5"/>
    <w:rsid w:val="006E6B62"/>
    <w:rsid w:val="006E7748"/>
    <w:rsid w:val="006F0BF8"/>
    <w:rsid w:val="006F200F"/>
    <w:rsid w:val="00701752"/>
    <w:rsid w:val="00712339"/>
    <w:rsid w:val="00723E2F"/>
    <w:rsid w:val="00726D6C"/>
    <w:rsid w:val="00731710"/>
    <w:rsid w:val="00731CDE"/>
    <w:rsid w:val="00736189"/>
    <w:rsid w:val="00745C70"/>
    <w:rsid w:val="00750B18"/>
    <w:rsid w:val="007522DF"/>
    <w:rsid w:val="00756ED1"/>
    <w:rsid w:val="0076206D"/>
    <w:rsid w:val="00765683"/>
    <w:rsid w:val="007743C2"/>
    <w:rsid w:val="0077675F"/>
    <w:rsid w:val="007846BE"/>
    <w:rsid w:val="007855AF"/>
    <w:rsid w:val="00792716"/>
    <w:rsid w:val="007967F3"/>
    <w:rsid w:val="007C18D9"/>
    <w:rsid w:val="007D3E72"/>
    <w:rsid w:val="007D4AFE"/>
    <w:rsid w:val="007D5B03"/>
    <w:rsid w:val="007E0320"/>
    <w:rsid w:val="007F15E2"/>
    <w:rsid w:val="007F7DB2"/>
    <w:rsid w:val="00800978"/>
    <w:rsid w:val="008134B8"/>
    <w:rsid w:val="0082157D"/>
    <w:rsid w:val="0084772F"/>
    <w:rsid w:val="00851C62"/>
    <w:rsid w:val="0086575B"/>
    <w:rsid w:val="00866DA3"/>
    <w:rsid w:val="0088112B"/>
    <w:rsid w:val="008843C3"/>
    <w:rsid w:val="008862E2"/>
    <w:rsid w:val="008867BD"/>
    <w:rsid w:val="008A0882"/>
    <w:rsid w:val="008C50D2"/>
    <w:rsid w:val="008C717D"/>
    <w:rsid w:val="008D4BF2"/>
    <w:rsid w:val="008D5E05"/>
    <w:rsid w:val="008E33CA"/>
    <w:rsid w:val="008E3AE2"/>
    <w:rsid w:val="009115BD"/>
    <w:rsid w:val="00916EA5"/>
    <w:rsid w:val="00922CBD"/>
    <w:rsid w:val="00936E00"/>
    <w:rsid w:val="0094797E"/>
    <w:rsid w:val="0096776F"/>
    <w:rsid w:val="0099077C"/>
    <w:rsid w:val="00992638"/>
    <w:rsid w:val="009964A8"/>
    <w:rsid w:val="009969F6"/>
    <w:rsid w:val="009A3F46"/>
    <w:rsid w:val="009A4C3C"/>
    <w:rsid w:val="009A766A"/>
    <w:rsid w:val="009C4854"/>
    <w:rsid w:val="009D0593"/>
    <w:rsid w:val="009E641F"/>
    <w:rsid w:val="009F64D7"/>
    <w:rsid w:val="00A004C7"/>
    <w:rsid w:val="00A0193A"/>
    <w:rsid w:val="00A0458F"/>
    <w:rsid w:val="00A10407"/>
    <w:rsid w:val="00A149D2"/>
    <w:rsid w:val="00A22A21"/>
    <w:rsid w:val="00A33EAF"/>
    <w:rsid w:val="00A37606"/>
    <w:rsid w:val="00A37EC2"/>
    <w:rsid w:val="00A45713"/>
    <w:rsid w:val="00A512FD"/>
    <w:rsid w:val="00A572BD"/>
    <w:rsid w:val="00A62740"/>
    <w:rsid w:val="00A7425C"/>
    <w:rsid w:val="00A8470F"/>
    <w:rsid w:val="00A8686E"/>
    <w:rsid w:val="00A968D8"/>
    <w:rsid w:val="00AA269A"/>
    <w:rsid w:val="00AA6056"/>
    <w:rsid w:val="00AB77CC"/>
    <w:rsid w:val="00AC25BE"/>
    <w:rsid w:val="00AC3EF5"/>
    <w:rsid w:val="00AD3550"/>
    <w:rsid w:val="00AE7A4F"/>
    <w:rsid w:val="00AF7835"/>
    <w:rsid w:val="00B02683"/>
    <w:rsid w:val="00B02F29"/>
    <w:rsid w:val="00B25EF6"/>
    <w:rsid w:val="00B41946"/>
    <w:rsid w:val="00B553C7"/>
    <w:rsid w:val="00B63F85"/>
    <w:rsid w:val="00B70291"/>
    <w:rsid w:val="00B751FD"/>
    <w:rsid w:val="00B757D4"/>
    <w:rsid w:val="00B90591"/>
    <w:rsid w:val="00B930FD"/>
    <w:rsid w:val="00BA3C8A"/>
    <w:rsid w:val="00BA6465"/>
    <w:rsid w:val="00BB538E"/>
    <w:rsid w:val="00BD10F4"/>
    <w:rsid w:val="00BD47EB"/>
    <w:rsid w:val="00BE1511"/>
    <w:rsid w:val="00BF787E"/>
    <w:rsid w:val="00C0149E"/>
    <w:rsid w:val="00C14596"/>
    <w:rsid w:val="00C23DA6"/>
    <w:rsid w:val="00C31E4C"/>
    <w:rsid w:val="00C45BF5"/>
    <w:rsid w:val="00C53AA1"/>
    <w:rsid w:val="00C6528A"/>
    <w:rsid w:val="00C7427E"/>
    <w:rsid w:val="00C858AF"/>
    <w:rsid w:val="00CB2D16"/>
    <w:rsid w:val="00CB477F"/>
    <w:rsid w:val="00CC30A0"/>
    <w:rsid w:val="00CC357E"/>
    <w:rsid w:val="00CE65CA"/>
    <w:rsid w:val="00CE7539"/>
    <w:rsid w:val="00CE796A"/>
    <w:rsid w:val="00D05EC7"/>
    <w:rsid w:val="00D154D8"/>
    <w:rsid w:val="00D207FB"/>
    <w:rsid w:val="00D20909"/>
    <w:rsid w:val="00D21213"/>
    <w:rsid w:val="00D21A55"/>
    <w:rsid w:val="00D2278B"/>
    <w:rsid w:val="00D3692F"/>
    <w:rsid w:val="00D463DD"/>
    <w:rsid w:val="00D46813"/>
    <w:rsid w:val="00D56EB4"/>
    <w:rsid w:val="00D614C6"/>
    <w:rsid w:val="00D76BEA"/>
    <w:rsid w:val="00D85075"/>
    <w:rsid w:val="00D971C3"/>
    <w:rsid w:val="00DA3C29"/>
    <w:rsid w:val="00DB61D5"/>
    <w:rsid w:val="00DB6AC0"/>
    <w:rsid w:val="00DC387D"/>
    <w:rsid w:val="00DC71B0"/>
    <w:rsid w:val="00DD0122"/>
    <w:rsid w:val="00DD4104"/>
    <w:rsid w:val="00DD4A21"/>
    <w:rsid w:val="00DE053D"/>
    <w:rsid w:val="00DE0EAB"/>
    <w:rsid w:val="00DE40E4"/>
    <w:rsid w:val="00DE61BE"/>
    <w:rsid w:val="00DF0356"/>
    <w:rsid w:val="00E17611"/>
    <w:rsid w:val="00E2047D"/>
    <w:rsid w:val="00E253C4"/>
    <w:rsid w:val="00E3435C"/>
    <w:rsid w:val="00E423A1"/>
    <w:rsid w:val="00E51621"/>
    <w:rsid w:val="00E525F9"/>
    <w:rsid w:val="00E54E61"/>
    <w:rsid w:val="00E56EC0"/>
    <w:rsid w:val="00E61194"/>
    <w:rsid w:val="00E66493"/>
    <w:rsid w:val="00E70476"/>
    <w:rsid w:val="00E709E5"/>
    <w:rsid w:val="00E770AE"/>
    <w:rsid w:val="00E82508"/>
    <w:rsid w:val="00E91A50"/>
    <w:rsid w:val="00E92C66"/>
    <w:rsid w:val="00E93E65"/>
    <w:rsid w:val="00E9786B"/>
    <w:rsid w:val="00E97AF1"/>
    <w:rsid w:val="00EB3FA9"/>
    <w:rsid w:val="00EB77D2"/>
    <w:rsid w:val="00EC02F9"/>
    <w:rsid w:val="00EC5164"/>
    <w:rsid w:val="00ED29FD"/>
    <w:rsid w:val="00EE182C"/>
    <w:rsid w:val="00EF31CC"/>
    <w:rsid w:val="00EF4FA1"/>
    <w:rsid w:val="00F20D64"/>
    <w:rsid w:val="00F2295C"/>
    <w:rsid w:val="00F32E34"/>
    <w:rsid w:val="00F33EF9"/>
    <w:rsid w:val="00F352EB"/>
    <w:rsid w:val="00F352EE"/>
    <w:rsid w:val="00F51248"/>
    <w:rsid w:val="00F565C6"/>
    <w:rsid w:val="00F5796E"/>
    <w:rsid w:val="00F666C5"/>
    <w:rsid w:val="00F66957"/>
    <w:rsid w:val="00F75FE6"/>
    <w:rsid w:val="00F81AFF"/>
    <w:rsid w:val="00FA79CF"/>
    <w:rsid w:val="00FB325E"/>
    <w:rsid w:val="00FB34AE"/>
    <w:rsid w:val="00FB6D8B"/>
    <w:rsid w:val="00FC234A"/>
    <w:rsid w:val="00FC3E7D"/>
    <w:rsid w:val="00FC76EB"/>
    <w:rsid w:val="00FD01D2"/>
    <w:rsid w:val="00FE58F4"/>
    <w:rsid w:val="00FF1B17"/>
    <w:rsid w:val="00FF35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DD"/>
    <w:pPr>
      <w:spacing w:after="200" w:line="276" w:lineRule="auto"/>
    </w:pPr>
    <w:rPr>
      <w:sz w:val="22"/>
      <w:szCs w:val="22"/>
      <w:lang w:eastAsia="en-US"/>
    </w:rPr>
  </w:style>
  <w:style w:type="paragraph" w:styleId="Heading4">
    <w:name w:val="heading 4"/>
    <w:basedOn w:val="Normal"/>
    <w:link w:val="Heading4Char"/>
    <w:uiPriority w:val="9"/>
    <w:qFormat/>
    <w:rsid w:val="00003B5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B5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03B5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nhideWhenUsed/>
    <w:rsid w:val="002F2C35"/>
    <w:pPr>
      <w:tabs>
        <w:tab w:val="center" w:pos="4153"/>
        <w:tab w:val="right" w:pos="8306"/>
      </w:tabs>
    </w:pPr>
  </w:style>
  <w:style w:type="character" w:customStyle="1" w:styleId="HeaderChar">
    <w:name w:val="Header Char"/>
    <w:basedOn w:val="DefaultParagraphFont"/>
    <w:link w:val="Header"/>
    <w:uiPriority w:val="99"/>
    <w:rsid w:val="002F2C35"/>
    <w:rPr>
      <w:sz w:val="22"/>
      <w:szCs w:val="22"/>
      <w:lang w:eastAsia="en-US"/>
    </w:rPr>
  </w:style>
  <w:style w:type="paragraph" w:styleId="Footer">
    <w:name w:val="footer"/>
    <w:basedOn w:val="Normal"/>
    <w:link w:val="FooterChar"/>
    <w:uiPriority w:val="99"/>
    <w:unhideWhenUsed/>
    <w:rsid w:val="002F2C35"/>
    <w:pPr>
      <w:tabs>
        <w:tab w:val="center" w:pos="4153"/>
        <w:tab w:val="right" w:pos="8306"/>
      </w:tabs>
    </w:pPr>
  </w:style>
  <w:style w:type="character" w:customStyle="1" w:styleId="FooterChar">
    <w:name w:val="Footer Char"/>
    <w:basedOn w:val="DefaultParagraphFont"/>
    <w:link w:val="Footer"/>
    <w:uiPriority w:val="99"/>
    <w:rsid w:val="002F2C35"/>
    <w:rPr>
      <w:sz w:val="22"/>
      <w:szCs w:val="22"/>
      <w:lang w:eastAsia="en-US"/>
    </w:rPr>
  </w:style>
  <w:style w:type="paragraph" w:styleId="BalloonText">
    <w:name w:val="Balloon Text"/>
    <w:basedOn w:val="Normal"/>
    <w:link w:val="BalloonTextChar"/>
    <w:uiPriority w:val="99"/>
    <w:semiHidden/>
    <w:unhideWhenUsed/>
    <w:rsid w:val="002F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35"/>
    <w:rPr>
      <w:rFonts w:ascii="Tahoma" w:hAnsi="Tahoma" w:cs="Tahoma"/>
      <w:sz w:val="16"/>
      <w:szCs w:val="16"/>
      <w:lang w:eastAsia="en-US"/>
    </w:rPr>
  </w:style>
  <w:style w:type="character" w:customStyle="1" w:styleId="EE-paragrChar">
    <w:name w:val="EE-paragr Char"/>
    <w:basedOn w:val="DefaultParagraphFont"/>
    <w:link w:val="EE-paragr"/>
    <w:locked/>
    <w:rsid w:val="00CC357E"/>
    <w:rPr>
      <w:rFonts w:ascii="Times New Roman" w:hAnsi="Times New Roman"/>
      <w:sz w:val="28"/>
      <w:szCs w:val="28"/>
      <w:lang w:eastAsia="en-US"/>
    </w:rPr>
  </w:style>
  <w:style w:type="paragraph" w:customStyle="1" w:styleId="EE-paragr">
    <w:name w:val="EE-paragr"/>
    <w:basedOn w:val="Normal"/>
    <w:link w:val="EE-paragrChar"/>
    <w:autoRedefine/>
    <w:rsid w:val="00CC357E"/>
    <w:pPr>
      <w:tabs>
        <w:tab w:val="left" w:pos="0"/>
      </w:tabs>
      <w:spacing w:after="0" w:line="240" w:lineRule="auto"/>
      <w:jc w:val="both"/>
    </w:pPr>
    <w:rPr>
      <w:rFonts w:ascii="Times New Roman" w:hAnsi="Times New Roman"/>
      <w:sz w:val="28"/>
      <w:szCs w:val="28"/>
    </w:rPr>
  </w:style>
  <w:style w:type="paragraph" w:customStyle="1" w:styleId="naisf">
    <w:name w:val="naisf"/>
    <w:basedOn w:val="Normal"/>
    <w:rsid w:val="002D6FA9"/>
    <w:pPr>
      <w:spacing w:before="100" w:after="100" w:line="240" w:lineRule="auto"/>
      <w:jc w:val="both"/>
    </w:pPr>
    <w:rPr>
      <w:rFonts w:ascii="Times New Roman" w:eastAsia="Arial Unicode MS" w:hAnsi="Times New Roman"/>
      <w:sz w:val="24"/>
      <w:szCs w:val="20"/>
      <w:lang w:val="en-GB"/>
    </w:rPr>
  </w:style>
  <w:style w:type="character" w:styleId="Hyperlink">
    <w:name w:val="Hyperlink"/>
    <w:basedOn w:val="DefaultParagraphFont"/>
    <w:uiPriority w:val="99"/>
    <w:rsid w:val="000E360B"/>
    <w:rPr>
      <w:color w:val="AA1317"/>
      <w:u w:val="single"/>
    </w:rPr>
  </w:style>
  <w:style w:type="paragraph" w:customStyle="1" w:styleId="Default">
    <w:name w:val="Default"/>
    <w:rsid w:val="007C18D9"/>
    <w:pPr>
      <w:autoSpaceDE w:val="0"/>
      <w:autoSpaceDN w:val="0"/>
      <w:adjustRightInd w:val="0"/>
    </w:pPr>
    <w:rPr>
      <w:rFonts w:ascii="Times New Roman" w:eastAsia="Times New Roman" w:hAnsi="Times New Roman"/>
      <w:color w:val="000000"/>
      <w:sz w:val="24"/>
      <w:szCs w:val="24"/>
      <w:lang w:bidi="lo-LA"/>
    </w:rPr>
  </w:style>
  <w:style w:type="character" w:styleId="CommentReference">
    <w:name w:val="annotation reference"/>
    <w:basedOn w:val="DefaultParagraphFont"/>
    <w:uiPriority w:val="99"/>
    <w:semiHidden/>
    <w:unhideWhenUsed/>
    <w:rsid w:val="00D46813"/>
    <w:rPr>
      <w:sz w:val="16"/>
      <w:szCs w:val="16"/>
    </w:rPr>
  </w:style>
  <w:style w:type="paragraph" w:styleId="CommentText">
    <w:name w:val="annotation text"/>
    <w:basedOn w:val="Normal"/>
    <w:link w:val="CommentTextChar"/>
    <w:semiHidden/>
    <w:unhideWhenUsed/>
    <w:rsid w:val="00D46813"/>
    <w:rPr>
      <w:sz w:val="20"/>
      <w:szCs w:val="20"/>
    </w:rPr>
  </w:style>
  <w:style w:type="character" w:customStyle="1" w:styleId="CommentTextChar">
    <w:name w:val="Comment Text Char"/>
    <w:basedOn w:val="DefaultParagraphFont"/>
    <w:link w:val="CommentText"/>
    <w:semiHidden/>
    <w:rsid w:val="00D46813"/>
    <w:rPr>
      <w:lang w:eastAsia="en-US"/>
    </w:rPr>
  </w:style>
  <w:style w:type="paragraph" w:styleId="CommentSubject">
    <w:name w:val="annotation subject"/>
    <w:basedOn w:val="CommentText"/>
    <w:next w:val="CommentText"/>
    <w:link w:val="CommentSubjectChar"/>
    <w:uiPriority w:val="99"/>
    <w:semiHidden/>
    <w:unhideWhenUsed/>
    <w:rsid w:val="00D46813"/>
    <w:rPr>
      <w:b/>
      <w:bCs/>
    </w:rPr>
  </w:style>
  <w:style w:type="character" w:customStyle="1" w:styleId="CommentSubjectChar">
    <w:name w:val="Comment Subject Char"/>
    <w:basedOn w:val="CommentTextChar"/>
    <w:link w:val="CommentSubject"/>
    <w:uiPriority w:val="99"/>
    <w:semiHidden/>
    <w:rsid w:val="00D46813"/>
    <w:rPr>
      <w:b/>
      <w:bCs/>
    </w:rPr>
  </w:style>
  <w:style w:type="paragraph" w:styleId="NoSpacing">
    <w:name w:val="No Spacing"/>
    <w:uiPriority w:val="1"/>
    <w:qFormat/>
    <w:rsid w:val="00EC5164"/>
    <w:rPr>
      <w:sz w:val="22"/>
      <w:szCs w:val="22"/>
      <w:lang w:eastAsia="en-US"/>
    </w:rPr>
  </w:style>
  <w:style w:type="paragraph" w:customStyle="1" w:styleId="RakstzCharCharRakstzCharCharRakstz">
    <w:name w:val="Rakstz. Char Char Rakstz. Char Char Rakstz."/>
    <w:basedOn w:val="Normal"/>
    <w:rsid w:val="00145F11"/>
    <w:pPr>
      <w:spacing w:after="160" w:line="240" w:lineRule="exact"/>
    </w:pPr>
    <w:rPr>
      <w:rFonts w:ascii="Tahoma" w:eastAsia="Times New Roman" w:hAnsi="Tahoma"/>
      <w:sz w:val="20"/>
      <w:szCs w:val="20"/>
      <w:lang w:val="en-US"/>
    </w:rPr>
  </w:style>
  <w:style w:type="character" w:customStyle="1" w:styleId="spelle">
    <w:name w:val="spelle"/>
    <w:basedOn w:val="DefaultParagraphFont"/>
    <w:rsid w:val="00603AD4"/>
  </w:style>
  <w:style w:type="paragraph" w:customStyle="1" w:styleId="EE-parag-num-12">
    <w:name w:val="EE-parag-num-12"/>
    <w:basedOn w:val="Normal"/>
    <w:link w:val="EE-parag-num-12Char"/>
    <w:rsid w:val="00452F69"/>
    <w:pPr>
      <w:numPr>
        <w:numId w:val="6"/>
      </w:numPr>
      <w:spacing w:before="120" w:after="120" w:line="240" w:lineRule="auto"/>
      <w:jc w:val="both"/>
    </w:pPr>
    <w:rPr>
      <w:rFonts w:ascii="Times New Roman" w:eastAsia="Times New Roman" w:hAnsi="Times New Roman"/>
      <w:sz w:val="24"/>
      <w:szCs w:val="24"/>
      <w:lang w:eastAsia="lv-LV"/>
    </w:rPr>
  </w:style>
  <w:style w:type="character" w:customStyle="1" w:styleId="EE-parag-num-12Char">
    <w:name w:val="EE-parag-num-12 Char"/>
    <w:basedOn w:val="DefaultParagraphFont"/>
    <w:link w:val="EE-parag-num-12"/>
    <w:rsid w:val="00452F69"/>
    <w:rPr>
      <w:rFonts w:ascii="Times New Roman" w:eastAsia="Times New Roman" w:hAnsi="Times New Roman"/>
      <w:sz w:val="24"/>
      <w:szCs w:val="24"/>
    </w:rPr>
  </w:style>
  <w:style w:type="paragraph" w:customStyle="1" w:styleId="V2-Italic">
    <w:name w:val="V2-Italic"/>
    <w:basedOn w:val="Normal"/>
    <w:rsid w:val="005F2254"/>
    <w:pPr>
      <w:spacing w:after="0" w:line="240" w:lineRule="auto"/>
      <w:jc w:val="center"/>
    </w:pPr>
    <w:rPr>
      <w:rFonts w:ascii="Times New Roman" w:eastAsia="Times New Roman" w:hAnsi="Times New Roman"/>
      <w:i/>
      <w:sz w:val="24"/>
      <w:szCs w:val="24"/>
      <w:lang w:eastAsia="lv-LV"/>
    </w:rPr>
  </w:style>
</w:styles>
</file>

<file path=word/webSettings.xml><?xml version="1.0" encoding="utf-8"?>
<w:webSettings xmlns:r="http://schemas.openxmlformats.org/officeDocument/2006/relationships" xmlns:w="http://schemas.openxmlformats.org/wordprocessingml/2006/main">
  <w:divs>
    <w:div w:id="316540094">
      <w:bodyDiv w:val="1"/>
      <w:marLeft w:val="0"/>
      <w:marRight w:val="0"/>
      <w:marTop w:val="0"/>
      <w:marBottom w:val="0"/>
      <w:divBdr>
        <w:top w:val="none" w:sz="0" w:space="0" w:color="auto"/>
        <w:left w:val="none" w:sz="0" w:space="0" w:color="auto"/>
        <w:bottom w:val="none" w:sz="0" w:space="0" w:color="auto"/>
        <w:right w:val="none" w:sz="0" w:space="0" w:color="auto"/>
      </w:divBdr>
    </w:div>
    <w:div w:id="15131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ta.smidle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8961</Words>
  <Characters>5108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darbības programmas „Uzņēmējdarbība un inovācijas" pildinājumā</vt:lpstr>
    </vt:vector>
  </TitlesOfParts>
  <Company/>
  <LinksUpToDate>false</LinksUpToDate>
  <CharactersWithSpaces>14041</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„Uzņēmējdarbība un inovācijas" pildinājumā</dc:title>
  <dc:subject>Anotācija</dc:subject>
  <dc:creator>Santa Šmīdlere</dc:creator>
  <dc:description>santa.smidlere@izm.gov.lv, 67047957</dc:description>
  <cp:lastModifiedBy>Santa Smidlere</cp:lastModifiedBy>
  <cp:revision>24</cp:revision>
  <cp:lastPrinted>2010-02-09T12:28:00Z</cp:lastPrinted>
  <dcterms:created xsi:type="dcterms:W3CDTF">2011-01-24T14:57:00Z</dcterms:created>
  <dcterms:modified xsi:type="dcterms:W3CDTF">2011-01-25T12:56:00Z</dcterms:modified>
  <cp:category>IZM</cp:category>
</cp:coreProperties>
</file>