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656873" w:rsidRDefault="005D6B8A" w:rsidP="005D6B8A">
      <w:pPr>
        <w:jc w:val="center"/>
        <w:rPr>
          <w:b/>
          <w:sz w:val="25"/>
          <w:szCs w:val="25"/>
        </w:rPr>
      </w:pPr>
      <w:bookmarkStart w:id="0" w:name="OLE_LINK3"/>
      <w:bookmarkStart w:id="1" w:name="OLE_LINK4"/>
      <w:bookmarkStart w:id="2" w:name="OLE_LINK1"/>
      <w:r w:rsidRPr="00656873">
        <w:rPr>
          <w:b/>
          <w:sz w:val="25"/>
          <w:szCs w:val="25"/>
        </w:rPr>
        <w:t>Ministru kabineta rīkojuma projekta</w:t>
      </w:r>
    </w:p>
    <w:p w:rsidR="00055608" w:rsidRPr="00656873" w:rsidRDefault="005D6B8A" w:rsidP="00B74776">
      <w:pPr>
        <w:jc w:val="center"/>
        <w:rPr>
          <w:b/>
          <w:sz w:val="25"/>
          <w:szCs w:val="25"/>
        </w:rPr>
      </w:pPr>
      <w:r w:rsidRPr="00656873">
        <w:rPr>
          <w:b/>
          <w:sz w:val="25"/>
          <w:szCs w:val="25"/>
        </w:rPr>
        <w:t xml:space="preserve">„Par finanšu līdzekļu piešķiršanu no valsts budžeta programmas „Līdzekļi neparedzētiem gadījumiem”” </w:t>
      </w:r>
      <w:r w:rsidR="00585B7B" w:rsidRPr="00656873">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656873">
          <w:rPr>
            <w:b/>
            <w:sz w:val="25"/>
            <w:szCs w:val="25"/>
          </w:rPr>
          <w:t>ziņojums</w:t>
        </w:r>
      </w:smartTag>
      <w:r w:rsidR="00585B7B" w:rsidRPr="00656873">
        <w:rPr>
          <w:b/>
          <w:sz w:val="25"/>
          <w:szCs w:val="25"/>
        </w:rPr>
        <w:t xml:space="preserve"> (anotācija)</w:t>
      </w:r>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35"/>
        <w:gridCol w:w="2693"/>
        <w:gridCol w:w="6242"/>
      </w:tblGrid>
      <w:tr w:rsidR="00585B7B" w:rsidRPr="00C13B05" w:rsidTr="00B74776">
        <w:tc>
          <w:tcPr>
            <w:tcW w:w="10070" w:type="dxa"/>
            <w:gridSpan w:val="3"/>
            <w:vAlign w:val="center"/>
          </w:tcPr>
          <w:bookmarkEnd w:id="0"/>
          <w:bookmarkEnd w:id="1"/>
          <w:bookmarkEnd w:id="2"/>
          <w:p w:rsidR="00585B7B" w:rsidRPr="00606BF9" w:rsidRDefault="00585B7B" w:rsidP="00194A0F">
            <w:pPr>
              <w:pStyle w:val="naisnod"/>
              <w:spacing w:before="0" w:after="0"/>
              <w:rPr>
                <w:sz w:val="25"/>
                <w:szCs w:val="25"/>
              </w:rPr>
            </w:pPr>
            <w:r w:rsidRPr="00606BF9">
              <w:rPr>
                <w:sz w:val="25"/>
                <w:szCs w:val="25"/>
              </w:rPr>
              <w:t>I. Tiesību akta projekta izstrādes nepieciešamība</w:t>
            </w:r>
          </w:p>
        </w:tc>
      </w:tr>
      <w:tr w:rsidR="00585B7B" w:rsidRPr="00656873" w:rsidTr="00B74776">
        <w:trPr>
          <w:trHeight w:val="630"/>
        </w:trPr>
        <w:tc>
          <w:tcPr>
            <w:tcW w:w="1135" w:type="dxa"/>
          </w:tcPr>
          <w:p w:rsidR="00585B7B" w:rsidRPr="00656873" w:rsidRDefault="00585B7B" w:rsidP="00BD696A">
            <w:pPr>
              <w:pStyle w:val="naiskr"/>
              <w:spacing w:before="0" w:after="0"/>
              <w:jc w:val="center"/>
              <w:rPr>
                <w:sz w:val="25"/>
                <w:szCs w:val="25"/>
              </w:rPr>
            </w:pPr>
            <w:r w:rsidRPr="00656873">
              <w:rPr>
                <w:sz w:val="25"/>
                <w:szCs w:val="25"/>
              </w:rPr>
              <w:t>1.</w:t>
            </w:r>
          </w:p>
        </w:tc>
        <w:tc>
          <w:tcPr>
            <w:tcW w:w="2693" w:type="dxa"/>
          </w:tcPr>
          <w:p w:rsidR="00585B7B" w:rsidRPr="00656873" w:rsidRDefault="00585B7B" w:rsidP="00916055">
            <w:pPr>
              <w:pStyle w:val="naiskr"/>
              <w:spacing w:before="0" w:after="0"/>
              <w:ind w:left="141" w:hanging="10"/>
              <w:rPr>
                <w:sz w:val="25"/>
                <w:szCs w:val="25"/>
              </w:rPr>
            </w:pPr>
            <w:r w:rsidRPr="00656873">
              <w:rPr>
                <w:sz w:val="25"/>
                <w:szCs w:val="25"/>
              </w:rPr>
              <w:t>Pamatojums</w:t>
            </w:r>
          </w:p>
        </w:tc>
        <w:tc>
          <w:tcPr>
            <w:tcW w:w="6242" w:type="dxa"/>
          </w:tcPr>
          <w:p w:rsidR="00466E6C" w:rsidRPr="00656873" w:rsidRDefault="00FE0E03" w:rsidP="008E3516">
            <w:pPr>
              <w:ind w:left="142" w:right="127"/>
              <w:jc w:val="both"/>
              <w:rPr>
                <w:sz w:val="25"/>
                <w:szCs w:val="25"/>
              </w:rPr>
            </w:pPr>
            <w:r w:rsidRPr="00656873">
              <w:rPr>
                <w:sz w:val="25"/>
                <w:szCs w:val="25"/>
              </w:rPr>
              <w:t>1</w:t>
            </w:r>
            <w:r w:rsidR="00466E6C" w:rsidRPr="00656873">
              <w:rPr>
                <w:sz w:val="25"/>
                <w:szCs w:val="25"/>
              </w:rPr>
              <w:t xml:space="preserve">) </w:t>
            </w:r>
            <w:r w:rsidR="008431E8" w:rsidRPr="00656873">
              <w:rPr>
                <w:sz w:val="25"/>
                <w:szCs w:val="25"/>
              </w:rPr>
              <w:t>Ministru kabineta 2009.gada 22.decembra noteikumu Nr.1644 „Kārtība, kādā pieprasa un izlieto budžeta programmas „Līdzekļi neparedzētiem gadījumiem</w:t>
            </w:r>
            <w:r w:rsidR="00AB1ED1" w:rsidRPr="00656873">
              <w:rPr>
                <w:sz w:val="25"/>
                <w:szCs w:val="25"/>
              </w:rPr>
              <w:t>”</w:t>
            </w:r>
            <w:r w:rsidR="008431E8" w:rsidRPr="00656873">
              <w:rPr>
                <w:sz w:val="25"/>
                <w:szCs w:val="25"/>
              </w:rPr>
              <w:t xml:space="preserve"> līdzekļus” 2.punkts.</w:t>
            </w:r>
          </w:p>
          <w:p w:rsidR="0064492F" w:rsidRPr="00656873" w:rsidRDefault="00292F8C" w:rsidP="0064492F">
            <w:pPr>
              <w:ind w:left="142" w:right="127"/>
              <w:jc w:val="both"/>
              <w:rPr>
                <w:sz w:val="25"/>
                <w:szCs w:val="25"/>
              </w:rPr>
            </w:pPr>
            <w:r>
              <w:rPr>
                <w:sz w:val="25"/>
                <w:szCs w:val="25"/>
              </w:rPr>
              <w:t xml:space="preserve">2) </w:t>
            </w:r>
            <w:r w:rsidR="0064492F" w:rsidRPr="00656873">
              <w:rPr>
                <w:sz w:val="25"/>
                <w:szCs w:val="25"/>
              </w:rPr>
              <w:t xml:space="preserve">Nepieciešamība piešķirt papildu valsts budžeta līdzfinansējumu SIA „Latvijas Olimpiskā vienība”, lai nodrošinātu </w:t>
            </w:r>
            <w:r w:rsidR="009356F0">
              <w:rPr>
                <w:sz w:val="25"/>
                <w:szCs w:val="25"/>
              </w:rPr>
              <w:t xml:space="preserve">pilnvērtīgu </w:t>
            </w:r>
            <w:r w:rsidR="0064492F" w:rsidRPr="00656873">
              <w:rPr>
                <w:sz w:val="25"/>
                <w:szCs w:val="25"/>
              </w:rPr>
              <w:t>Latvijas Olimpiskās vienības sportistu sagatavošanās procesu 2014.gada Ziemas Olimpiskajām spēlēm Sočos (Krievija)</w:t>
            </w:r>
            <w:r w:rsidR="00DF4AA6">
              <w:rPr>
                <w:sz w:val="25"/>
                <w:szCs w:val="25"/>
              </w:rPr>
              <w:t xml:space="preserve"> </w:t>
            </w:r>
            <w:r w:rsidR="00DF4AA6" w:rsidRPr="00DF4AA6">
              <w:rPr>
                <w:sz w:val="25"/>
                <w:szCs w:val="25"/>
              </w:rPr>
              <w:t>un 2016.gada Vasaras Olimpiskajām spēlēm Riodežaneiro (Brazīlija)</w:t>
            </w:r>
            <w:r w:rsidR="0064492F" w:rsidRPr="00656873">
              <w:rPr>
                <w:sz w:val="25"/>
                <w:szCs w:val="25"/>
              </w:rPr>
              <w:t>; biedrībai „Latvijas Hokeja federācija”, lai nodrošinātu ar Latvijas nacionālās vīriešu hokeja izlases gatavošanos 2014.gada Ziemas Olimpiskajām spēlēm</w:t>
            </w:r>
            <w:r w:rsidR="009356F0">
              <w:rPr>
                <w:sz w:val="25"/>
                <w:szCs w:val="25"/>
              </w:rPr>
              <w:t xml:space="preserve"> </w:t>
            </w:r>
            <w:r w:rsidR="0064492F" w:rsidRPr="00656873">
              <w:rPr>
                <w:sz w:val="25"/>
                <w:szCs w:val="25"/>
              </w:rPr>
              <w:t>Sočos (Krievija) saistītās izmaksas; biedrībai „Latvijas Dambretes savienība”, lai nodrošinātu ar 2013.gada pasaules senioru čempionāta starptautiskajā dambretē organizēšanu saistītās izmaksas un biedrībai „Latvijas Riteņbraukšanas federācija”, lai nodrošinātu ar starptautiskā Baltijas valstu daudzdienu velobrauciena „Baltijas ceļš 2013” (</w:t>
            </w:r>
            <w:r w:rsidR="0064492F" w:rsidRPr="00656873">
              <w:rPr>
                <w:i/>
                <w:sz w:val="25"/>
                <w:szCs w:val="25"/>
              </w:rPr>
              <w:t>Baltic Chain Tour Via Baltica 2013</w:t>
            </w:r>
            <w:r w:rsidR="0064492F" w:rsidRPr="00656873">
              <w:rPr>
                <w:sz w:val="25"/>
                <w:szCs w:val="25"/>
              </w:rPr>
              <w:t>) Latvijas posma organizēšanu saistītās izmaksas.</w:t>
            </w:r>
          </w:p>
          <w:p w:rsidR="00466E6C" w:rsidRPr="00656873" w:rsidRDefault="0064492F" w:rsidP="0064492F">
            <w:pPr>
              <w:ind w:left="142" w:right="127"/>
              <w:jc w:val="both"/>
              <w:rPr>
                <w:sz w:val="25"/>
                <w:szCs w:val="25"/>
              </w:rPr>
            </w:pPr>
            <w:r w:rsidRPr="00656873">
              <w:rPr>
                <w:sz w:val="25"/>
                <w:szCs w:val="25"/>
              </w:rPr>
              <w:t>3) Latvijas Nacionālās sporta padomes 2013.gada 24.maija sēdē nolemtais (prot. Nr.2 9.§, 10.§, un 15.§).</w:t>
            </w:r>
          </w:p>
        </w:tc>
      </w:tr>
      <w:tr w:rsidR="00585B7B" w:rsidRPr="00656873" w:rsidTr="00B74776">
        <w:trPr>
          <w:trHeight w:val="562"/>
        </w:trPr>
        <w:tc>
          <w:tcPr>
            <w:tcW w:w="1135" w:type="dxa"/>
          </w:tcPr>
          <w:p w:rsidR="00585B7B" w:rsidRPr="00656873" w:rsidRDefault="00585B7B" w:rsidP="00BD696A">
            <w:pPr>
              <w:pStyle w:val="naiskr"/>
              <w:spacing w:before="0" w:after="0"/>
              <w:jc w:val="center"/>
              <w:rPr>
                <w:sz w:val="25"/>
                <w:szCs w:val="25"/>
              </w:rPr>
            </w:pPr>
            <w:r w:rsidRPr="00656873">
              <w:rPr>
                <w:sz w:val="25"/>
                <w:szCs w:val="25"/>
              </w:rPr>
              <w:t>2.</w:t>
            </w:r>
          </w:p>
        </w:tc>
        <w:tc>
          <w:tcPr>
            <w:tcW w:w="2693" w:type="dxa"/>
          </w:tcPr>
          <w:p w:rsidR="00585B7B" w:rsidRPr="00656873" w:rsidRDefault="00585B7B" w:rsidP="00916055">
            <w:pPr>
              <w:pStyle w:val="naiskr"/>
              <w:tabs>
                <w:tab w:val="left" w:pos="170"/>
              </w:tabs>
              <w:spacing w:before="0" w:after="0"/>
              <w:ind w:left="141"/>
              <w:rPr>
                <w:sz w:val="25"/>
                <w:szCs w:val="25"/>
              </w:rPr>
            </w:pPr>
            <w:r w:rsidRPr="00656873">
              <w:rPr>
                <w:sz w:val="25"/>
                <w:szCs w:val="25"/>
              </w:rPr>
              <w:t>Pašreizējā situācija un problēmas</w:t>
            </w:r>
          </w:p>
        </w:tc>
        <w:tc>
          <w:tcPr>
            <w:tcW w:w="6242" w:type="dxa"/>
          </w:tcPr>
          <w:p w:rsidR="00C17467" w:rsidRDefault="006A2D60" w:rsidP="00656C19">
            <w:pPr>
              <w:ind w:left="142" w:right="127"/>
              <w:jc w:val="both"/>
              <w:rPr>
                <w:sz w:val="25"/>
                <w:szCs w:val="25"/>
              </w:rPr>
            </w:pPr>
            <w:r w:rsidRPr="00656873">
              <w:rPr>
                <w:sz w:val="25"/>
                <w:szCs w:val="25"/>
              </w:rPr>
              <w:t>Izglītības un zinātnes ministrija (turpmāk – ministrija), kura saskaņā ar Sporta likuma 5.panta pirmo daļu pilda valsts pārvaldes funkcijas sporta nozarē, saskaņā ar Ministru kabineta 2003.gada 16.septembra noteikumu Nr.528 „Izglītības un zinātnes ministrijas nolikums” 5.21.</w:t>
            </w:r>
            <w:r w:rsidRPr="00656873">
              <w:rPr>
                <w:sz w:val="25"/>
                <w:szCs w:val="25"/>
                <w:vertAlign w:val="superscript"/>
              </w:rPr>
              <w:t>5</w:t>
            </w:r>
            <w:r w:rsidRPr="00656873">
              <w:rPr>
                <w:sz w:val="25"/>
                <w:szCs w:val="25"/>
              </w:rPr>
              <w:t xml:space="preserve"> punktu atbilstoši likumā par valsts budžetu kārtējam gadam piešķirtajai apropriācijai administrē sportam piešķ</w:t>
            </w:r>
            <w:r w:rsidR="00BB3CA6" w:rsidRPr="00656873">
              <w:rPr>
                <w:sz w:val="25"/>
                <w:szCs w:val="25"/>
              </w:rPr>
              <w:t>irtos valsts budžeta līdzekļus</w:t>
            </w:r>
            <w:r w:rsidRPr="00656873">
              <w:rPr>
                <w:sz w:val="25"/>
                <w:szCs w:val="25"/>
              </w:rPr>
              <w:t>,</w:t>
            </w:r>
            <w:r w:rsidR="004F2D49" w:rsidRPr="00656873">
              <w:rPr>
                <w:sz w:val="25"/>
                <w:szCs w:val="25"/>
              </w:rPr>
              <w:t xml:space="preserve"> kā arī saskaņā ar Ministru kabineta 2003.gada 9.jūlija noteikumu Nr.422 „Latvijas Nacionālās sporta padomes nolikums” 15.punktu nodrošina Latvijas Nacionālās sporta padomes (turpmāk – Padome)</w:t>
            </w:r>
            <w:r w:rsidR="009E01E3" w:rsidRPr="00656873">
              <w:rPr>
                <w:sz w:val="25"/>
                <w:szCs w:val="25"/>
              </w:rPr>
              <w:t xml:space="preserve"> sekretariāta </w:t>
            </w:r>
            <w:r w:rsidR="004F2D49" w:rsidRPr="00656873">
              <w:rPr>
                <w:sz w:val="25"/>
                <w:szCs w:val="25"/>
              </w:rPr>
              <w:t xml:space="preserve">pienākumu izpildi, </w:t>
            </w:r>
            <w:r w:rsidRPr="00656873">
              <w:rPr>
                <w:sz w:val="25"/>
                <w:szCs w:val="25"/>
              </w:rPr>
              <w:t>ir</w:t>
            </w:r>
            <w:r w:rsidR="00730CDA" w:rsidRPr="00656873">
              <w:rPr>
                <w:sz w:val="25"/>
                <w:szCs w:val="25"/>
              </w:rPr>
              <w:t xml:space="preserve"> </w:t>
            </w:r>
            <w:r w:rsidR="00403794" w:rsidRPr="00656873">
              <w:rPr>
                <w:sz w:val="25"/>
                <w:szCs w:val="25"/>
              </w:rPr>
              <w:t>saņēmusi</w:t>
            </w:r>
            <w:r w:rsidR="00656C19">
              <w:rPr>
                <w:sz w:val="25"/>
                <w:szCs w:val="25"/>
              </w:rPr>
              <w:t>:</w:t>
            </w:r>
          </w:p>
          <w:p w:rsidR="00656C19" w:rsidRPr="00656873" w:rsidRDefault="00656C19" w:rsidP="00656C19">
            <w:pPr>
              <w:ind w:left="142" w:right="127"/>
              <w:jc w:val="both"/>
              <w:rPr>
                <w:sz w:val="25"/>
                <w:szCs w:val="25"/>
              </w:rPr>
            </w:pPr>
          </w:p>
          <w:p w:rsidR="004F2D49" w:rsidRPr="00656873" w:rsidRDefault="004F2D49" w:rsidP="00F14366">
            <w:pPr>
              <w:ind w:left="142" w:right="127"/>
              <w:jc w:val="both"/>
              <w:rPr>
                <w:sz w:val="25"/>
                <w:szCs w:val="25"/>
              </w:rPr>
            </w:pPr>
            <w:r w:rsidRPr="00656873">
              <w:rPr>
                <w:b/>
                <w:sz w:val="25"/>
                <w:szCs w:val="25"/>
              </w:rPr>
              <w:t>(1)</w:t>
            </w:r>
            <w:r w:rsidR="00F17A73" w:rsidRPr="00656873">
              <w:rPr>
                <w:sz w:val="25"/>
                <w:szCs w:val="25"/>
              </w:rPr>
              <w:t xml:space="preserve"> </w:t>
            </w:r>
            <w:r w:rsidRPr="00656873">
              <w:rPr>
                <w:sz w:val="25"/>
                <w:szCs w:val="25"/>
              </w:rPr>
              <w:t xml:space="preserve">SIA „Latvijas Olimpiskā vienība” (turpmāk – LOV) 2013.gada 28.marta </w:t>
            </w:r>
            <w:r w:rsidR="00F17A73" w:rsidRPr="00656873">
              <w:rPr>
                <w:sz w:val="25"/>
                <w:szCs w:val="25"/>
              </w:rPr>
              <w:t>vēstuli</w:t>
            </w:r>
            <w:r w:rsidRPr="00656873">
              <w:rPr>
                <w:sz w:val="25"/>
                <w:szCs w:val="25"/>
              </w:rPr>
              <w:t xml:space="preserve"> Nr.1-17</w:t>
            </w:r>
            <w:r w:rsidR="00F17A73" w:rsidRPr="00656873">
              <w:rPr>
                <w:sz w:val="25"/>
                <w:szCs w:val="25"/>
              </w:rPr>
              <w:t xml:space="preserve">,  kurā </w:t>
            </w:r>
            <w:r w:rsidR="009E01E3" w:rsidRPr="00656873">
              <w:rPr>
                <w:sz w:val="25"/>
                <w:szCs w:val="25"/>
              </w:rPr>
              <w:t xml:space="preserve">LOV </w:t>
            </w:r>
            <w:r w:rsidR="00F17A73" w:rsidRPr="00656873">
              <w:rPr>
                <w:sz w:val="25"/>
                <w:szCs w:val="25"/>
              </w:rPr>
              <w:t xml:space="preserve">lūdz piešķirt papildu valsts budžeta finansējumu </w:t>
            </w:r>
            <w:r w:rsidRPr="00656873">
              <w:rPr>
                <w:sz w:val="25"/>
                <w:szCs w:val="25"/>
              </w:rPr>
              <w:t xml:space="preserve">294`187 latu apmērā, lai nodrošinātu </w:t>
            </w:r>
            <w:r w:rsidR="009E2907">
              <w:rPr>
                <w:sz w:val="25"/>
                <w:szCs w:val="25"/>
              </w:rPr>
              <w:t xml:space="preserve">pilnvērtīgu </w:t>
            </w:r>
            <w:r w:rsidRPr="00656873">
              <w:rPr>
                <w:sz w:val="25"/>
                <w:szCs w:val="25"/>
              </w:rPr>
              <w:t>Latvijas Olimpiskās vienības sportistu sagatavošanās procesu 2014.gada Ziemas Olimpiskajām spēlēm Sočos (Krievija)</w:t>
            </w:r>
            <w:r w:rsidR="004D73BF">
              <w:rPr>
                <w:sz w:val="25"/>
                <w:szCs w:val="25"/>
              </w:rPr>
              <w:t xml:space="preserve"> un </w:t>
            </w:r>
            <w:r w:rsidR="004D73BF" w:rsidRPr="004D73BF">
              <w:rPr>
                <w:sz w:val="25"/>
                <w:szCs w:val="25"/>
              </w:rPr>
              <w:t xml:space="preserve"> 2016.gada Vasaras Olimpiskajām spēlēm Riodežaneiro (Brazīlija)</w:t>
            </w:r>
            <w:r w:rsidRPr="00656873">
              <w:rPr>
                <w:sz w:val="25"/>
                <w:szCs w:val="25"/>
              </w:rPr>
              <w:t xml:space="preserve">; </w:t>
            </w:r>
            <w:r w:rsidRPr="00656873">
              <w:rPr>
                <w:b/>
                <w:sz w:val="25"/>
                <w:szCs w:val="25"/>
              </w:rPr>
              <w:t>(2)</w:t>
            </w:r>
            <w:r w:rsidRPr="00656873">
              <w:rPr>
                <w:sz w:val="25"/>
                <w:szCs w:val="25"/>
              </w:rPr>
              <w:t xml:space="preserve"> </w:t>
            </w:r>
            <w:r w:rsidR="00F17A73" w:rsidRPr="00656873">
              <w:rPr>
                <w:sz w:val="25"/>
                <w:szCs w:val="25"/>
              </w:rPr>
              <w:t xml:space="preserve">biedrības „Latvijas Hokeja federācija” (turpmāk – LHF) 2013.gada 25.marta vēstuli, kurā </w:t>
            </w:r>
            <w:r w:rsidR="009E01E3" w:rsidRPr="00656873">
              <w:rPr>
                <w:sz w:val="25"/>
                <w:szCs w:val="25"/>
              </w:rPr>
              <w:t xml:space="preserve">LHF </w:t>
            </w:r>
            <w:r w:rsidR="00F17A73" w:rsidRPr="00656873">
              <w:rPr>
                <w:sz w:val="25"/>
                <w:szCs w:val="25"/>
              </w:rPr>
              <w:t xml:space="preserve">lūdz piešķirt papildu valsts budžeta finansējumu 337`346 </w:t>
            </w:r>
            <w:r w:rsidR="00F17A73" w:rsidRPr="00656873">
              <w:rPr>
                <w:sz w:val="25"/>
                <w:szCs w:val="25"/>
              </w:rPr>
              <w:lastRenderedPageBreak/>
              <w:t>latu apmērā, lai nodrošinātu ar Latvijas nacionālās vīriešu hokeja izlases gatavošanos 2014.gad</w:t>
            </w:r>
            <w:r w:rsidR="009E01E3" w:rsidRPr="00656873">
              <w:rPr>
                <w:sz w:val="25"/>
                <w:szCs w:val="25"/>
              </w:rPr>
              <w:t xml:space="preserve">a Ziemas Olimpiskajām spēlēm </w:t>
            </w:r>
            <w:r w:rsidR="00F17A73" w:rsidRPr="00656873">
              <w:rPr>
                <w:sz w:val="25"/>
                <w:szCs w:val="25"/>
              </w:rPr>
              <w:t xml:space="preserve">Sočos (Krievija) saistītās izmaksas; </w:t>
            </w:r>
            <w:r w:rsidR="006045A5" w:rsidRPr="00656873">
              <w:rPr>
                <w:b/>
                <w:sz w:val="25"/>
                <w:szCs w:val="25"/>
              </w:rPr>
              <w:t>(3)</w:t>
            </w:r>
            <w:r w:rsidR="009E538B" w:rsidRPr="00656873">
              <w:rPr>
                <w:sz w:val="25"/>
                <w:szCs w:val="25"/>
              </w:rPr>
              <w:t xml:space="preserve"> </w:t>
            </w:r>
            <w:r w:rsidR="006045A5" w:rsidRPr="00656873">
              <w:rPr>
                <w:sz w:val="25"/>
                <w:szCs w:val="25"/>
              </w:rPr>
              <w:t>biedrības „Latvijas Riteņbraukšanas federācija” (turpmāk – LRF)</w:t>
            </w:r>
            <w:r w:rsidR="009E2907">
              <w:rPr>
                <w:sz w:val="25"/>
                <w:szCs w:val="25"/>
              </w:rPr>
              <w:t xml:space="preserve"> 2013.gada 19.aprīļ</w:t>
            </w:r>
            <w:r w:rsidR="006045A5" w:rsidRPr="00656873">
              <w:rPr>
                <w:sz w:val="25"/>
                <w:szCs w:val="25"/>
              </w:rPr>
              <w:t xml:space="preserve">a vēstuli, kurā </w:t>
            </w:r>
            <w:r w:rsidR="009E01E3" w:rsidRPr="00656873">
              <w:rPr>
                <w:sz w:val="25"/>
                <w:szCs w:val="25"/>
              </w:rPr>
              <w:t xml:space="preserve">LRF </w:t>
            </w:r>
            <w:r w:rsidR="000E33AE">
              <w:rPr>
                <w:sz w:val="25"/>
                <w:szCs w:val="25"/>
              </w:rPr>
              <w:t>lūdz</w:t>
            </w:r>
            <w:r w:rsidR="009429AE">
              <w:rPr>
                <w:sz w:val="25"/>
                <w:szCs w:val="25"/>
              </w:rPr>
              <w:t xml:space="preserve"> </w:t>
            </w:r>
            <w:r w:rsidR="006045A5" w:rsidRPr="00656873">
              <w:rPr>
                <w:sz w:val="25"/>
                <w:szCs w:val="25"/>
              </w:rPr>
              <w:t xml:space="preserve">piešķirt papildu valsts budžeta finansējumu </w:t>
            </w:r>
            <w:r w:rsidR="000B79CB" w:rsidRPr="00D167AC">
              <w:rPr>
                <w:sz w:val="25"/>
                <w:szCs w:val="25"/>
              </w:rPr>
              <w:t>25`3</w:t>
            </w:r>
            <w:r w:rsidR="006045A5" w:rsidRPr="00D167AC">
              <w:rPr>
                <w:sz w:val="25"/>
                <w:szCs w:val="25"/>
              </w:rPr>
              <w:t>50</w:t>
            </w:r>
            <w:r w:rsidR="006045A5" w:rsidRPr="00656873">
              <w:rPr>
                <w:sz w:val="25"/>
                <w:szCs w:val="25"/>
              </w:rPr>
              <w:t xml:space="preserve"> latu apmērā, lai nodrošinātu ar starptautiskā Baltijas valstu daudzdienu velobrauciena „Baltijas ceļš 2013” (</w:t>
            </w:r>
            <w:r w:rsidR="006045A5" w:rsidRPr="00656873">
              <w:rPr>
                <w:i/>
                <w:sz w:val="25"/>
                <w:szCs w:val="25"/>
              </w:rPr>
              <w:t>Baltic Chain Tour Via Baltica 2013</w:t>
            </w:r>
            <w:r w:rsidR="006045A5" w:rsidRPr="00656873">
              <w:rPr>
                <w:sz w:val="25"/>
                <w:szCs w:val="25"/>
              </w:rPr>
              <w:t>) Latvijas posma organizēšanu</w:t>
            </w:r>
            <w:r w:rsidR="00A30BAF">
              <w:rPr>
                <w:sz w:val="25"/>
                <w:szCs w:val="25"/>
              </w:rPr>
              <w:t xml:space="preserve"> (turpmāk arī – Velobrauciens)</w:t>
            </w:r>
            <w:r w:rsidR="006045A5" w:rsidRPr="00656873">
              <w:rPr>
                <w:sz w:val="25"/>
                <w:szCs w:val="25"/>
              </w:rPr>
              <w:t xml:space="preserve"> saistītās izmaksas</w:t>
            </w:r>
            <w:r w:rsidR="00F14366" w:rsidRPr="00656873">
              <w:rPr>
                <w:sz w:val="25"/>
                <w:szCs w:val="25"/>
              </w:rPr>
              <w:t xml:space="preserve"> un</w:t>
            </w:r>
            <w:r w:rsidR="006045A5" w:rsidRPr="00656873">
              <w:rPr>
                <w:sz w:val="25"/>
                <w:szCs w:val="25"/>
              </w:rPr>
              <w:t xml:space="preserve"> </w:t>
            </w:r>
            <w:r w:rsidR="006045A5" w:rsidRPr="00656873">
              <w:rPr>
                <w:b/>
                <w:sz w:val="25"/>
                <w:szCs w:val="25"/>
              </w:rPr>
              <w:t>(4)</w:t>
            </w:r>
            <w:r w:rsidR="009E538B" w:rsidRPr="00656873">
              <w:rPr>
                <w:sz w:val="25"/>
                <w:szCs w:val="25"/>
              </w:rPr>
              <w:t xml:space="preserve"> </w:t>
            </w:r>
            <w:r w:rsidR="006045A5" w:rsidRPr="00656873">
              <w:rPr>
                <w:sz w:val="25"/>
                <w:szCs w:val="25"/>
              </w:rPr>
              <w:t>biedrības „Latvijas Dambretes savienība”</w:t>
            </w:r>
            <w:r w:rsidR="009E01E3" w:rsidRPr="00656873">
              <w:rPr>
                <w:sz w:val="25"/>
                <w:szCs w:val="25"/>
              </w:rPr>
              <w:t xml:space="preserve"> (turpmāk – LDS) </w:t>
            </w:r>
            <w:r w:rsidR="006045A5" w:rsidRPr="00656873">
              <w:rPr>
                <w:sz w:val="25"/>
                <w:szCs w:val="25"/>
              </w:rPr>
              <w:t>2013.gada 26.marta vēstuli Nr.1-20, kurā lūdz  piešķirt papildu valsts budžeta finansējumu 5`000 latu apmērā, lai nodrošinātu ar 2013.gada pasaules senioru čempionāta starptautiskajā dambretē organizēšanu saistītās izmaksas</w:t>
            </w:r>
            <w:r w:rsidR="00F14366" w:rsidRPr="00656873">
              <w:rPr>
                <w:sz w:val="25"/>
                <w:szCs w:val="25"/>
              </w:rPr>
              <w:t xml:space="preserve"> (</w:t>
            </w:r>
            <w:r w:rsidR="00C607DD" w:rsidRPr="00656873">
              <w:rPr>
                <w:sz w:val="25"/>
                <w:szCs w:val="25"/>
              </w:rPr>
              <w:t>turpmāk arī</w:t>
            </w:r>
            <w:r w:rsidR="00F14366" w:rsidRPr="00656873">
              <w:rPr>
                <w:sz w:val="25"/>
                <w:szCs w:val="25"/>
              </w:rPr>
              <w:t xml:space="preserve"> – Pieprasījumi).</w:t>
            </w:r>
            <w:r w:rsidR="006045A5" w:rsidRPr="00656873">
              <w:rPr>
                <w:sz w:val="25"/>
                <w:szCs w:val="25"/>
              </w:rPr>
              <w:t xml:space="preserve"> </w:t>
            </w:r>
          </w:p>
          <w:p w:rsidR="004F2D49" w:rsidRPr="00656873" w:rsidRDefault="004F2D49" w:rsidP="004F2D49">
            <w:pPr>
              <w:ind w:left="142" w:right="127"/>
              <w:jc w:val="both"/>
              <w:rPr>
                <w:sz w:val="25"/>
                <w:szCs w:val="25"/>
              </w:rPr>
            </w:pPr>
          </w:p>
          <w:p w:rsidR="004F2D49" w:rsidRPr="00656873" w:rsidRDefault="002A3BB4" w:rsidP="004F2D49">
            <w:pPr>
              <w:ind w:left="142" w:right="127"/>
              <w:jc w:val="both"/>
              <w:rPr>
                <w:sz w:val="25"/>
                <w:szCs w:val="25"/>
              </w:rPr>
            </w:pPr>
            <w:r w:rsidRPr="00656873">
              <w:rPr>
                <w:sz w:val="25"/>
                <w:szCs w:val="25"/>
              </w:rPr>
              <w:t>Saskaņā ar Sporta likuma 10.panta desmito daļu valsts labāko sportistu individuālajos olimpiskajos sporta veidos sagatavošanos dalībai olimpiskajās spēlēs, jaunatnes olimpiādēs un citās starptautiskajās sporta sacensībās nodrošina specializēta sporta organizācija — LOV. Ar ministrijas 2013.gada</w:t>
            </w:r>
            <w:r w:rsidR="00D660A3" w:rsidRPr="00656873">
              <w:rPr>
                <w:sz w:val="25"/>
                <w:szCs w:val="25"/>
              </w:rPr>
              <w:t xml:space="preserve"> 10.janvāra rīkojumu Nr.14 „Par Izglītības un zinātnes ministrijas 2013.gada valsts budžeta programmas 09.00.00 „Sports” apakšprogrammas 09.21.00 „Augstas klases sasniegumu sports” līdzekļu sadalījumu”</w:t>
            </w:r>
            <w:r w:rsidRPr="00656873">
              <w:rPr>
                <w:sz w:val="25"/>
                <w:szCs w:val="25"/>
              </w:rPr>
              <w:t xml:space="preserve"> </w:t>
            </w:r>
            <w:r w:rsidR="00D660A3" w:rsidRPr="00656873">
              <w:rPr>
                <w:sz w:val="25"/>
                <w:szCs w:val="25"/>
              </w:rPr>
              <w:t xml:space="preserve">LOV tika piešķirts valsts budžeta finansējums 1`170`510 latu apmēra LOV darbības nodrošināšanai. </w:t>
            </w:r>
            <w:r w:rsidR="00774136">
              <w:rPr>
                <w:sz w:val="25"/>
                <w:szCs w:val="25"/>
              </w:rPr>
              <w:t xml:space="preserve">Kopējais LOV finanšu pieprasījums 2013.gadam no ministrijas valsts budžeta programmas 09.00.00 „Sports” apakšprogrammas 09.21.00 „Augstas klases sasniegumu sports” </w:t>
            </w:r>
            <w:r w:rsidR="00774136" w:rsidRPr="00656873">
              <w:rPr>
                <w:sz w:val="25"/>
                <w:szCs w:val="25"/>
              </w:rPr>
              <w:t xml:space="preserve"> </w:t>
            </w:r>
            <w:r w:rsidR="00774136">
              <w:rPr>
                <w:sz w:val="25"/>
                <w:szCs w:val="25"/>
              </w:rPr>
              <w:t xml:space="preserve">LOV </w:t>
            </w:r>
            <w:r w:rsidR="00774136" w:rsidRPr="00656873">
              <w:rPr>
                <w:sz w:val="25"/>
                <w:szCs w:val="25"/>
              </w:rPr>
              <w:t>darbības nodrošināšanai bija 1`</w:t>
            </w:r>
            <w:r w:rsidR="00774136">
              <w:rPr>
                <w:sz w:val="25"/>
                <w:szCs w:val="25"/>
              </w:rPr>
              <w:t>695`729</w:t>
            </w:r>
            <w:r w:rsidR="00774136" w:rsidRPr="00656873">
              <w:rPr>
                <w:sz w:val="25"/>
                <w:szCs w:val="25"/>
              </w:rPr>
              <w:t xml:space="preserve"> latu apmērā</w:t>
            </w:r>
            <w:r w:rsidR="00C21D15">
              <w:rPr>
                <w:sz w:val="25"/>
                <w:szCs w:val="25"/>
              </w:rPr>
              <w:t>.</w:t>
            </w:r>
          </w:p>
          <w:p w:rsidR="002A3BB4" w:rsidRPr="00656873" w:rsidRDefault="002A3BB4" w:rsidP="004F2D49">
            <w:pPr>
              <w:ind w:left="142" w:right="127"/>
              <w:jc w:val="both"/>
              <w:rPr>
                <w:sz w:val="25"/>
                <w:szCs w:val="25"/>
              </w:rPr>
            </w:pPr>
          </w:p>
          <w:p w:rsidR="004F2D49" w:rsidRPr="00656873" w:rsidRDefault="002A3BB4" w:rsidP="009E538B">
            <w:pPr>
              <w:ind w:left="142" w:right="127"/>
              <w:jc w:val="both"/>
              <w:rPr>
                <w:sz w:val="25"/>
                <w:szCs w:val="25"/>
              </w:rPr>
            </w:pPr>
            <w:r w:rsidRPr="00656873">
              <w:rPr>
                <w:sz w:val="25"/>
                <w:szCs w:val="25"/>
              </w:rPr>
              <w:t xml:space="preserve">Saskaņā ar Sporta likuma 13.panta piekto daļu valsts finansiāli nodrošina valsts izlases komandu sporta spēlēs sagatavošanos un piedalīšanos Eiropas un pasaules čempionātu un Olimpisko spēļu atlases turnīros un finālsacensībās Ministru kabineta noteiktajā kārtībā. Minētā kārtība ir noteikta Ministru kabineta 2009.gada 28.jūlija noteikumos Nr.819 „Kārtība, kādā valsts finansiāli nodrošina valsts izlases komandu sporta spēlēs sagatavošanos un piedalīšanos Eiropas un pasaules čempionātu un olimpisko spēļu atlases turnīros un finālsacensībās”. Finansējuma avots, lai nodrošinātu valsts izlases komandu sporta spēlēs gatavošanos un piedalīšanos  Eiropas un pasaules čempionātu un olimpisko spēļu atlases turnīros un finālsacensībās, ir ministrijas valsts budžeta programmas 09.00.00 „Sports” apakšprogramma </w:t>
            </w:r>
            <w:r w:rsidR="00D660A3" w:rsidRPr="00656873">
              <w:rPr>
                <w:sz w:val="25"/>
                <w:szCs w:val="25"/>
              </w:rPr>
              <w:t>09.17.00 „Dotācija komandu sporta spēļu izlašu nodrošināšanai”.</w:t>
            </w:r>
            <w:r w:rsidRPr="00656873">
              <w:rPr>
                <w:sz w:val="25"/>
                <w:szCs w:val="25"/>
              </w:rPr>
              <w:t xml:space="preserve"> </w:t>
            </w:r>
            <w:r w:rsidR="00D660A3" w:rsidRPr="00656873">
              <w:rPr>
                <w:sz w:val="25"/>
                <w:szCs w:val="25"/>
              </w:rPr>
              <w:t>Ar ministrijas 2013</w:t>
            </w:r>
            <w:r w:rsidRPr="00656873">
              <w:rPr>
                <w:sz w:val="25"/>
                <w:szCs w:val="25"/>
              </w:rPr>
              <w:t xml:space="preserve">.gada </w:t>
            </w:r>
            <w:r w:rsidR="00D660A3" w:rsidRPr="00656873">
              <w:rPr>
                <w:sz w:val="25"/>
                <w:szCs w:val="25"/>
              </w:rPr>
              <w:t>6.februāra</w:t>
            </w:r>
            <w:r w:rsidRPr="00656873">
              <w:rPr>
                <w:sz w:val="25"/>
                <w:szCs w:val="25"/>
              </w:rPr>
              <w:t xml:space="preserve"> lēmumu Nr.</w:t>
            </w:r>
            <w:r w:rsidR="00D660A3" w:rsidRPr="00656873">
              <w:rPr>
                <w:sz w:val="25"/>
                <w:szCs w:val="25"/>
              </w:rPr>
              <w:t>26</w:t>
            </w:r>
            <w:r w:rsidRPr="00656873">
              <w:rPr>
                <w:sz w:val="25"/>
                <w:szCs w:val="25"/>
              </w:rPr>
              <w:t xml:space="preserve"> L</w:t>
            </w:r>
            <w:r w:rsidR="00D660A3" w:rsidRPr="00656873">
              <w:rPr>
                <w:sz w:val="25"/>
                <w:szCs w:val="25"/>
              </w:rPr>
              <w:t>HF</w:t>
            </w:r>
            <w:r w:rsidRPr="00656873">
              <w:rPr>
                <w:sz w:val="25"/>
                <w:szCs w:val="25"/>
              </w:rPr>
              <w:t xml:space="preserve"> visu </w:t>
            </w:r>
            <w:r w:rsidR="00D660A3" w:rsidRPr="00656873">
              <w:rPr>
                <w:sz w:val="25"/>
                <w:szCs w:val="25"/>
              </w:rPr>
              <w:lastRenderedPageBreak/>
              <w:t>hokeja</w:t>
            </w:r>
            <w:r w:rsidRPr="00656873">
              <w:rPr>
                <w:sz w:val="25"/>
                <w:szCs w:val="25"/>
              </w:rPr>
              <w:t xml:space="preserve"> izlašu (jauniešu, junioru un pieaugušo) darbības nodrošināšanai tika piešķirts finansējums </w:t>
            </w:r>
            <w:r w:rsidR="00D660A3" w:rsidRPr="00656873">
              <w:rPr>
                <w:sz w:val="25"/>
                <w:szCs w:val="25"/>
              </w:rPr>
              <w:t>117`933</w:t>
            </w:r>
            <w:r w:rsidRPr="00656873">
              <w:rPr>
                <w:sz w:val="25"/>
                <w:szCs w:val="25"/>
              </w:rPr>
              <w:t xml:space="preserve"> latu apmērā</w:t>
            </w:r>
            <w:r w:rsidR="00D660A3" w:rsidRPr="00656873">
              <w:rPr>
                <w:sz w:val="25"/>
                <w:szCs w:val="25"/>
              </w:rPr>
              <w:t>. Vienlaikus ir norādāms, ka LHF</w:t>
            </w:r>
            <w:r w:rsidRPr="00656873">
              <w:rPr>
                <w:sz w:val="25"/>
                <w:szCs w:val="25"/>
              </w:rPr>
              <w:t xml:space="preserve"> finanšu piepras</w:t>
            </w:r>
            <w:r w:rsidR="00D660A3" w:rsidRPr="00656873">
              <w:rPr>
                <w:sz w:val="25"/>
                <w:szCs w:val="25"/>
              </w:rPr>
              <w:t>ījums 2013</w:t>
            </w:r>
            <w:r w:rsidRPr="00656873">
              <w:rPr>
                <w:sz w:val="25"/>
                <w:szCs w:val="25"/>
              </w:rPr>
              <w:t xml:space="preserve">.gadam visu </w:t>
            </w:r>
            <w:r w:rsidR="00D660A3" w:rsidRPr="00656873">
              <w:rPr>
                <w:sz w:val="25"/>
                <w:szCs w:val="25"/>
              </w:rPr>
              <w:t>hokeja</w:t>
            </w:r>
            <w:r w:rsidRPr="00656873">
              <w:rPr>
                <w:sz w:val="25"/>
                <w:szCs w:val="25"/>
              </w:rPr>
              <w:t xml:space="preserve"> izlašu (jauniešu, junioru un pieaugušo) darbības nodrošināšanai bija </w:t>
            </w:r>
            <w:r w:rsidR="00D660A3" w:rsidRPr="00656873">
              <w:rPr>
                <w:sz w:val="25"/>
                <w:szCs w:val="25"/>
              </w:rPr>
              <w:t xml:space="preserve">1`204`600 </w:t>
            </w:r>
            <w:r w:rsidR="00A47BF4" w:rsidRPr="00656873">
              <w:rPr>
                <w:sz w:val="25"/>
                <w:szCs w:val="25"/>
              </w:rPr>
              <w:t>latu apmērā</w:t>
            </w:r>
            <w:r w:rsidRPr="00656873">
              <w:rPr>
                <w:sz w:val="25"/>
                <w:szCs w:val="25"/>
              </w:rPr>
              <w:t>.</w:t>
            </w:r>
          </w:p>
          <w:p w:rsidR="00730CDA" w:rsidRPr="00656873" w:rsidRDefault="00730CDA" w:rsidP="00730CDA">
            <w:pPr>
              <w:ind w:left="142" w:right="127"/>
              <w:jc w:val="both"/>
              <w:rPr>
                <w:sz w:val="25"/>
                <w:szCs w:val="25"/>
              </w:rPr>
            </w:pPr>
          </w:p>
          <w:p w:rsidR="00DF1720" w:rsidRPr="00656873" w:rsidRDefault="00ED0ED2" w:rsidP="00C63679">
            <w:pPr>
              <w:ind w:left="142" w:right="141" w:firstLine="25"/>
              <w:jc w:val="both"/>
              <w:rPr>
                <w:sz w:val="25"/>
                <w:szCs w:val="25"/>
              </w:rPr>
            </w:pPr>
            <w:r w:rsidRPr="00656873">
              <w:rPr>
                <w:sz w:val="25"/>
                <w:szCs w:val="25"/>
              </w:rPr>
              <w:t>Ar ministrijas 2013.gada 10.</w:t>
            </w:r>
            <w:r w:rsidR="00BB4F0D" w:rsidRPr="00656873">
              <w:rPr>
                <w:sz w:val="25"/>
                <w:szCs w:val="25"/>
              </w:rPr>
              <w:t>janvāra rīkojumu Nr.12</w:t>
            </w:r>
            <w:r w:rsidRPr="00656873">
              <w:rPr>
                <w:sz w:val="25"/>
                <w:szCs w:val="25"/>
              </w:rPr>
              <w:t xml:space="preserve"> </w:t>
            </w:r>
            <w:r w:rsidR="00FD50B6" w:rsidRPr="00656873">
              <w:rPr>
                <w:sz w:val="25"/>
                <w:szCs w:val="25"/>
              </w:rPr>
              <w:br/>
            </w:r>
            <w:r w:rsidRPr="00656873">
              <w:rPr>
                <w:sz w:val="25"/>
                <w:szCs w:val="25"/>
              </w:rPr>
              <w:t>„</w:t>
            </w:r>
            <w:r w:rsidR="00BB4F0D" w:rsidRPr="00656873">
              <w:rPr>
                <w:sz w:val="25"/>
                <w:szCs w:val="25"/>
              </w:rPr>
              <w:t>Par Izglītības un zinātnes ministrijas 2013.gada valsts budžeta programmas 09.00.00 „Sports” apakšprogrammas 09.09.00 „Sporta federācijas un sporta pasākumi” līdzekļu sadalījumu</w:t>
            </w:r>
            <w:r w:rsidRPr="00656873">
              <w:rPr>
                <w:sz w:val="25"/>
                <w:szCs w:val="25"/>
              </w:rPr>
              <w:t>” biedrībai „Latvijas Sporta federāciju padome”</w:t>
            </w:r>
            <w:r w:rsidR="00DF1720" w:rsidRPr="00656873">
              <w:rPr>
                <w:sz w:val="25"/>
                <w:szCs w:val="25"/>
              </w:rPr>
              <w:t xml:space="preserve"> (turpmāk – LSFP)</w:t>
            </w:r>
            <w:r w:rsidRPr="00656873">
              <w:rPr>
                <w:sz w:val="25"/>
                <w:szCs w:val="25"/>
              </w:rPr>
              <w:t xml:space="preserve"> tika piešķirts valsts budžeta finansējums </w:t>
            </w:r>
            <w:r w:rsidR="00BB4F0D" w:rsidRPr="00656873">
              <w:rPr>
                <w:sz w:val="25"/>
                <w:szCs w:val="25"/>
              </w:rPr>
              <w:t xml:space="preserve">468`989 </w:t>
            </w:r>
            <w:r w:rsidRPr="00656873">
              <w:rPr>
                <w:sz w:val="25"/>
                <w:szCs w:val="25"/>
              </w:rPr>
              <w:t>latu apmērā</w:t>
            </w:r>
            <w:r w:rsidR="001643CF" w:rsidRPr="00656873">
              <w:rPr>
                <w:sz w:val="25"/>
                <w:szCs w:val="25"/>
              </w:rPr>
              <w:t xml:space="preserve"> </w:t>
            </w:r>
            <w:r w:rsidR="00BB4F0D" w:rsidRPr="00656873">
              <w:rPr>
                <w:sz w:val="25"/>
                <w:szCs w:val="25"/>
              </w:rPr>
              <w:t>sadalei atzītajām sporta federācijām</w:t>
            </w:r>
            <w:r w:rsidR="009E538B" w:rsidRPr="00656873">
              <w:rPr>
                <w:sz w:val="25"/>
                <w:szCs w:val="25"/>
              </w:rPr>
              <w:t xml:space="preserve"> (t.sk. LHF, </w:t>
            </w:r>
            <w:r w:rsidR="00F14366" w:rsidRPr="00656873">
              <w:rPr>
                <w:sz w:val="25"/>
                <w:szCs w:val="25"/>
              </w:rPr>
              <w:t>LRF</w:t>
            </w:r>
            <w:r w:rsidR="009E538B" w:rsidRPr="00656873">
              <w:rPr>
                <w:sz w:val="25"/>
                <w:szCs w:val="25"/>
              </w:rPr>
              <w:t xml:space="preserve"> un</w:t>
            </w:r>
            <w:r w:rsidR="00F14366" w:rsidRPr="00656873">
              <w:rPr>
                <w:sz w:val="25"/>
                <w:szCs w:val="25"/>
              </w:rPr>
              <w:t xml:space="preserve"> LDS</w:t>
            </w:r>
            <w:r w:rsidR="009E538B" w:rsidRPr="00656873">
              <w:rPr>
                <w:sz w:val="25"/>
                <w:szCs w:val="25"/>
              </w:rPr>
              <w:t>)</w:t>
            </w:r>
            <w:r w:rsidR="00BB4F0D" w:rsidRPr="00656873">
              <w:rPr>
                <w:sz w:val="25"/>
                <w:szCs w:val="25"/>
              </w:rPr>
              <w:t xml:space="preserve"> atbilstoši biedrības </w:t>
            </w:r>
            <w:r w:rsidR="00DF1720" w:rsidRPr="00656873">
              <w:rPr>
                <w:sz w:val="25"/>
                <w:szCs w:val="25"/>
              </w:rPr>
              <w:t>LSFP</w:t>
            </w:r>
            <w:r w:rsidR="00BB4F0D" w:rsidRPr="00656873">
              <w:rPr>
                <w:sz w:val="25"/>
                <w:szCs w:val="25"/>
              </w:rPr>
              <w:t xml:space="preserve"> izstrādātiem un ar ministriju saskaņotiem kritērijiem</w:t>
            </w:r>
            <w:r w:rsidR="001643CF" w:rsidRPr="00656873">
              <w:rPr>
                <w:sz w:val="25"/>
                <w:szCs w:val="25"/>
              </w:rPr>
              <w:t xml:space="preserve">. </w:t>
            </w:r>
            <w:r w:rsidR="005E0468" w:rsidRPr="00656873">
              <w:rPr>
                <w:sz w:val="25"/>
                <w:szCs w:val="25"/>
              </w:rPr>
              <w:t xml:space="preserve"> </w:t>
            </w:r>
            <w:r w:rsidR="00AA3C86" w:rsidRPr="00656873">
              <w:rPr>
                <w:sz w:val="25"/>
                <w:szCs w:val="25"/>
              </w:rPr>
              <w:t>Tāpat</w:t>
            </w:r>
            <w:r w:rsidR="006F47F8">
              <w:rPr>
                <w:sz w:val="25"/>
                <w:szCs w:val="25"/>
              </w:rPr>
              <w:t xml:space="preserve"> ar minēto rīkojumu </w:t>
            </w:r>
            <w:r w:rsidR="00DF1720" w:rsidRPr="00656873">
              <w:rPr>
                <w:sz w:val="25"/>
                <w:szCs w:val="25"/>
              </w:rPr>
              <w:t>LSFP tika piešķirts valsts budžeta finansējums 70`000 latu apmērā sadalei atzīto sporta federāciju 2013.gadā Latvijā organizēto starpta</w:t>
            </w:r>
            <w:r w:rsidR="00110A6C" w:rsidRPr="00656873">
              <w:rPr>
                <w:sz w:val="25"/>
                <w:szCs w:val="25"/>
              </w:rPr>
              <w:t xml:space="preserve">utisko sporta sacensību (t.sk., </w:t>
            </w:r>
            <w:r w:rsidR="00FD50B6" w:rsidRPr="00656873">
              <w:rPr>
                <w:sz w:val="25"/>
                <w:szCs w:val="25"/>
              </w:rPr>
              <w:t>P</w:t>
            </w:r>
            <w:r w:rsidR="00DF1720" w:rsidRPr="00656873">
              <w:rPr>
                <w:sz w:val="25"/>
                <w:szCs w:val="25"/>
              </w:rPr>
              <w:t>adomē saskaņoto Eiropas un pasaules čempionātu finālturnīru) organizatorisko izdevumu segšanai atbilstoši LSFP izstrādātiem un ar ministriju saskaņotiem kritērijiem.</w:t>
            </w:r>
          </w:p>
          <w:p w:rsidR="00416461" w:rsidRPr="00656873" w:rsidRDefault="00416461" w:rsidP="00C63679">
            <w:pPr>
              <w:ind w:left="142" w:right="141" w:firstLine="25"/>
              <w:jc w:val="both"/>
              <w:rPr>
                <w:sz w:val="25"/>
                <w:szCs w:val="25"/>
              </w:rPr>
            </w:pPr>
          </w:p>
          <w:p w:rsidR="00EA2ECE" w:rsidRPr="00656873" w:rsidRDefault="00C41611" w:rsidP="00EA2ECE">
            <w:pPr>
              <w:ind w:left="142" w:right="141"/>
              <w:jc w:val="both"/>
              <w:rPr>
                <w:sz w:val="25"/>
                <w:szCs w:val="25"/>
              </w:rPr>
            </w:pPr>
            <w:r w:rsidRPr="00656873">
              <w:rPr>
                <w:sz w:val="25"/>
                <w:szCs w:val="25"/>
              </w:rPr>
              <w:t xml:space="preserve">Pamatojoties uz LSFP valdes 2013.gada </w:t>
            </w:r>
            <w:r w:rsidR="00986292" w:rsidRPr="00656873">
              <w:rPr>
                <w:sz w:val="25"/>
                <w:szCs w:val="25"/>
              </w:rPr>
              <w:t>13</w:t>
            </w:r>
            <w:r w:rsidRPr="00656873">
              <w:rPr>
                <w:sz w:val="25"/>
                <w:szCs w:val="25"/>
              </w:rPr>
              <w:t>.februāra sēdē nolemto</w:t>
            </w:r>
            <w:r w:rsidR="00986292" w:rsidRPr="00656873">
              <w:rPr>
                <w:sz w:val="25"/>
                <w:szCs w:val="25"/>
              </w:rPr>
              <w:t xml:space="preserve"> (prot. Nr.2, 2.1. un 2.2. apakšpunkts)</w:t>
            </w:r>
            <w:r w:rsidRPr="00656873">
              <w:rPr>
                <w:sz w:val="25"/>
                <w:szCs w:val="25"/>
              </w:rPr>
              <w:t xml:space="preserve">, </w:t>
            </w:r>
            <w:r w:rsidR="00EE5033" w:rsidRPr="00656873">
              <w:rPr>
                <w:sz w:val="25"/>
                <w:szCs w:val="25"/>
              </w:rPr>
              <w:t>LSFP prezident</w:t>
            </w:r>
            <w:r w:rsidRPr="00656873">
              <w:rPr>
                <w:sz w:val="25"/>
                <w:szCs w:val="25"/>
              </w:rPr>
              <w:t>s A.Kalniņš</w:t>
            </w:r>
            <w:r w:rsidR="00EE5033" w:rsidRPr="00656873">
              <w:rPr>
                <w:sz w:val="25"/>
                <w:szCs w:val="25"/>
              </w:rPr>
              <w:t xml:space="preserve"> </w:t>
            </w:r>
            <w:r w:rsidR="00DF1720" w:rsidRPr="00656873">
              <w:rPr>
                <w:sz w:val="25"/>
                <w:szCs w:val="25"/>
              </w:rPr>
              <w:t xml:space="preserve">2013.gada </w:t>
            </w:r>
            <w:r w:rsidR="00EE5033" w:rsidRPr="00656873">
              <w:rPr>
                <w:sz w:val="25"/>
                <w:szCs w:val="25"/>
              </w:rPr>
              <w:t>26.februārī apstiprin</w:t>
            </w:r>
            <w:r w:rsidRPr="00656873">
              <w:rPr>
                <w:sz w:val="25"/>
                <w:szCs w:val="25"/>
              </w:rPr>
              <w:t>āja</w:t>
            </w:r>
            <w:r w:rsidR="00EE5033" w:rsidRPr="00656873">
              <w:rPr>
                <w:sz w:val="25"/>
                <w:szCs w:val="25"/>
              </w:rPr>
              <w:t xml:space="preserve"> </w:t>
            </w:r>
            <w:r w:rsidRPr="00656873">
              <w:rPr>
                <w:sz w:val="25"/>
                <w:szCs w:val="25"/>
              </w:rPr>
              <w:t>LSFP piešķirtās dotācijas sadalījumu</w:t>
            </w:r>
            <w:r w:rsidR="00986292" w:rsidRPr="00656873">
              <w:rPr>
                <w:sz w:val="25"/>
                <w:szCs w:val="25"/>
              </w:rPr>
              <w:t>,</w:t>
            </w:r>
            <w:r w:rsidRPr="00656873">
              <w:rPr>
                <w:sz w:val="25"/>
                <w:szCs w:val="25"/>
              </w:rPr>
              <w:t xml:space="preserve"> saskaņā ar kuru</w:t>
            </w:r>
            <w:r w:rsidR="00FD50B6" w:rsidRPr="00656873">
              <w:rPr>
                <w:sz w:val="25"/>
                <w:szCs w:val="25"/>
              </w:rPr>
              <w:t xml:space="preserve">: </w:t>
            </w:r>
            <w:r w:rsidR="00FD50B6" w:rsidRPr="00656873">
              <w:rPr>
                <w:b/>
                <w:sz w:val="25"/>
                <w:szCs w:val="25"/>
              </w:rPr>
              <w:t>(1)</w:t>
            </w:r>
            <w:r w:rsidR="00FD50B6" w:rsidRPr="00656873">
              <w:rPr>
                <w:sz w:val="25"/>
                <w:szCs w:val="25"/>
              </w:rPr>
              <w:t xml:space="preserve"> LHF tika pie</w:t>
            </w:r>
            <w:r w:rsidR="00EA2ECE" w:rsidRPr="00656873">
              <w:rPr>
                <w:sz w:val="25"/>
                <w:szCs w:val="25"/>
              </w:rPr>
              <w:t xml:space="preserve">šķirta dotācija 7`386 latu apmēra, ievērojot LSFP aktivitāšu un augstu sasniegumu sporta kritērijus; </w:t>
            </w:r>
            <w:r w:rsidR="00EA2ECE" w:rsidRPr="00B65421">
              <w:rPr>
                <w:b/>
                <w:sz w:val="25"/>
                <w:szCs w:val="25"/>
              </w:rPr>
              <w:t>(2)</w:t>
            </w:r>
            <w:r w:rsidR="00EA2ECE" w:rsidRPr="00B65421">
              <w:rPr>
                <w:sz w:val="25"/>
                <w:szCs w:val="25"/>
              </w:rPr>
              <w:t xml:space="preserve"> </w:t>
            </w:r>
            <w:r w:rsidRPr="00B65421">
              <w:rPr>
                <w:sz w:val="25"/>
                <w:szCs w:val="25"/>
              </w:rPr>
              <w:t xml:space="preserve">LRF </w:t>
            </w:r>
            <w:r w:rsidR="00986292" w:rsidRPr="00B65421">
              <w:rPr>
                <w:sz w:val="25"/>
                <w:szCs w:val="25"/>
              </w:rPr>
              <w:t xml:space="preserve">tika </w:t>
            </w:r>
            <w:r w:rsidR="00EA2ECE" w:rsidRPr="00B65421">
              <w:rPr>
                <w:sz w:val="25"/>
                <w:szCs w:val="25"/>
              </w:rPr>
              <w:t xml:space="preserve">piešķirta dotācija </w:t>
            </w:r>
            <w:r w:rsidRPr="00B65421">
              <w:rPr>
                <w:sz w:val="25"/>
                <w:szCs w:val="25"/>
              </w:rPr>
              <w:t>9`506</w:t>
            </w:r>
            <w:r w:rsidR="00986292" w:rsidRPr="00B65421">
              <w:rPr>
                <w:sz w:val="25"/>
                <w:szCs w:val="25"/>
              </w:rPr>
              <w:t xml:space="preserve"> latu apmērā, ievērojot LSFP aktivitāšu un augstu s</w:t>
            </w:r>
            <w:r w:rsidR="00EA2ECE" w:rsidRPr="00B65421">
              <w:rPr>
                <w:sz w:val="25"/>
                <w:szCs w:val="25"/>
              </w:rPr>
              <w:t>asniegumu sporta kritērijus un</w:t>
            </w:r>
            <w:r w:rsidR="00986292" w:rsidRPr="00B65421">
              <w:rPr>
                <w:sz w:val="25"/>
                <w:szCs w:val="25"/>
              </w:rPr>
              <w:t xml:space="preserve"> </w:t>
            </w:r>
            <w:r w:rsidR="00EA2ECE" w:rsidRPr="00B65421">
              <w:rPr>
                <w:sz w:val="25"/>
                <w:szCs w:val="25"/>
              </w:rPr>
              <w:t xml:space="preserve">dotācija </w:t>
            </w:r>
            <w:r w:rsidR="00003AF9" w:rsidRPr="00B65421">
              <w:rPr>
                <w:sz w:val="25"/>
                <w:szCs w:val="25"/>
              </w:rPr>
              <w:t xml:space="preserve">1`000 latu apmērā </w:t>
            </w:r>
            <w:r w:rsidR="00A30BAF">
              <w:rPr>
                <w:sz w:val="25"/>
                <w:szCs w:val="25"/>
              </w:rPr>
              <w:t>Velobrauciena</w:t>
            </w:r>
            <w:r w:rsidR="00EA2ECE" w:rsidRPr="00B65421">
              <w:rPr>
                <w:sz w:val="25"/>
                <w:szCs w:val="25"/>
              </w:rPr>
              <w:t xml:space="preserve"> organizēšanai</w:t>
            </w:r>
            <w:r w:rsidR="00986292" w:rsidRPr="00B65421">
              <w:rPr>
                <w:sz w:val="25"/>
                <w:szCs w:val="25"/>
              </w:rPr>
              <w:t>, ievērojot LSFP kritērijus pasaules un Eiropas mēroga sacensību rīkošanai Latvijā 2013.gadā</w:t>
            </w:r>
            <w:r w:rsidR="00416461" w:rsidRPr="00656873">
              <w:rPr>
                <w:sz w:val="25"/>
                <w:szCs w:val="25"/>
              </w:rPr>
              <w:t xml:space="preserve"> un </w:t>
            </w:r>
            <w:r w:rsidR="00EA2ECE" w:rsidRPr="00656873">
              <w:rPr>
                <w:b/>
                <w:sz w:val="25"/>
                <w:szCs w:val="25"/>
              </w:rPr>
              <w:t>(3)</w:t>
            </w:r>
            <w:r w:rsidR="00EA2ECE" w:rsidRPr="00656873">
              <w:rPr>
                <w:sz w:val="25"/>
                <w:szCs w:val="25"/>
              </w:rPr>
              <w:t xml:space="preserve"> LDS  tika piešķirta dotācija 5`427 latu apmēra, ievērojot LSFP aktivitāšu un augstu sasniegumu sporta kritērijus un 1`000</w:t>
            </w:r>
            <w:r w:rsidR="00416461" w:rsidRPr="00656873">
              <w:rPr>
                <w:sz w:val="25"/>
                <w:szCs w:val="25"/>
              </w:rPr>
              <w:t xml:space="preserve"> </w:t>
            </w:r>
            <w:r w:rsidR="00EA2ECE" w:rsidRPr="00656873">
              <w:rPr>
                <w:sz w:val="25"/>
                <w:szCs w:val="25"/>
              </w:rPr>
              <w:t>latu apmērā 2013.gada pasaules senioru čempionāta starptautiskajā dambretē organizēšanai.</w:t>
            </w:r>
          </w:p>
          <w:p w:rsidR="00EA2ECE" w:rsidRPr="00656873" w:rsidRDefault="00EA2ECE" w:rsidP="00EA2ECE">
            <w:pPr>
              <w:ind w:left="142" w:right="141"/>
              <w:jc w:val="both"/>
              <w:rPr>
                <w:sz w:val="25"/>
                <w:szCs w:val="25"/>
              </w:rPr>
            </w:pPr>
          </w:p>
          <w:p w:rsidR="00B65421" w:rsidRDefault="0093066B" w:rsidP="00EA2ECE">
            <w:pPr>
              <w:ind w:left="142" w:right="141"/>
              <w:jc w:val="both"/>
              <w:rPr>
                <w:sz w:val="25"/>
                <w:szCs w:val="25"/>
              </w:rPr>
            </w:pPr>
            <w:r w:rsidRPr="00656873">
              <w:rPr>
                <w:sz w:val="25"/>
                <w:szCs w:val="25"/>
              </w:rPr>
              <w:t>Ņ</w:t>
            </w:r>
            <w:r w:rsidR="00ED0ED2" w:rsidRPr="00656873">
              <w:rPr>
                <w:sz w:val="25"/>
                <w:szCs w:val="25"/>
              </w:rPr>
              <w:t xml:space="preserve">emot vērā faktu, ka </w:t>
            </w:r>
            <w:r w:rsidR="00F14366" w:rsidRPr="00656873">
              <w:rPr>
                <w:sz w:val="25"/>
                <w:szCs w:val="25"/>
              </w:rPr>
              <w:t xml:space="preserve">LHF, LRF un LDS piešķirtie </w:t>
            </w:r>
            <w:r w:rsidR="00ED0ED2" w:rsidRPr="00656873">
              <w:rPr>
                <w:sz w:val="25"/>
                <w:szCs w:val="25"/>
              </w:rPr>
              <w:t>līdzekļi</w:t>
            </w:r>
            <w:r w:rsidR="00416461" w:rsidRPr="00656873">
              <w:rPr>
                <w:sz w:val="25"/>
                <w:szCs w:val="25"/>
              </w:rPr>
              <w:t xml:space="preserve"> </w:t>
            </w:r>
            <w:r w:rsidR="00F14366" w:rsidRPr="00656873">
              <w:rPr>
                <w:sz w:val="25"/>
                <w:szCs w:val="25"/>
              </w:rPr>
              <w:t xml:space="preserve">saskaņā ar LSFP aktivitāšu un augstu sasniegumu sporta kritērijiem </w:t>
            </w:r>
            <w:r w:rsidR="00ED0ED2" w:rsidRPr="00656873">
              <w:rPr>
                <w:sz w:val="25"/>
                <w:szCs w:val="25"/>
              </w:rPr>
              <w:t xml:space="preserve">izmantojami dažādu </w:t>
            </w:r>
            <w:r w:rsidR="00F14366" w:rsidRPr="00656873">
              <w:rPr>
                <w:sz w:val="25"/>
                <w:szCs w:val="25"/>
              </w:rPr>
              <w:t>federāciju</w:t>
            </w:r>
            <w:r w:rsidR="00ED0ED2" w:rsidRPr="00656873">
              <w:rPr>
                <w:sz w:val="25"/>
                <w:szCs w:val="25"/>
              </w:rPr>
              <w:t xml:space="preserve"> programmu un pasākumu īstenošanai, tie nav uzskatāmi par iezīmētu mērķfinansējumu</w:t>
            </w:r>
            <w:r w:rsidR="00416461" w:rsidRPr="00656873">
              <w:rPr>
                <w:sz w:val="25"/>
                <w:szCs w:val="25"/>
              </w:rPr>
              <w:t xml:space="preserve"> LHF, LRF un LDS Pieprasījumiem.</w:t>
            </w:r>
            <w:r w:rsidR="00ED0ED2" w:rsidRPr="00656873">
              <w:rPr>
                <w:sz w:val="25"/>
                <w:szCs w:val="25"/>
              </w:rPr>
              <w:t xml:space="preserve"> </w:t>
            </w:r>
            <w:r w:rsidR="00D5519C" w:rsidRPr="00656873">
              <w:rPr>
                <w:sz w:val="25"/>
                <w:szCs w:val="25"/>
              </w:rPr>
              <w:t>Vienlai</w:t>
            </w:r>
            <w:r w:rsidR="00A90CF3" w:rsidRPr="00656873">
              <w:rPr>
                <w:sz w:val="25"/>
                <w:szCs w:val="25"/>
              </w:rPr>
              <w:t xml:space="preserve">kus ir norādāms, ka </w:t>
            </w:r>
            <w:r w:rsidR="00416461" w:rsidRPr="00656873">
              <w:rPr>
                <w:sz w:val="25"/>
                <w:szCs w:val="25"/>
              </w:rPr>
              <w:t>LHF, plānojot finanšu pieprasījumu 2013.gadam no ministrijas valsts budžeta programmas 09.00.00 „Sports”</w:t>
            </w:r>
            <w:r w:rsidR="005C6AD2" w:rsidRPr="00656873">
              <w:rPr>
                <w:sz w:val="25"/>
                <w:szCs w:val="25"/>
              </w:rPr>
              <w:t>,</w:t>
            </w:r>
            <w:r w:rsidR="00416461" w:rsidRPr="00656873">
              <w:rPr>
                <w:sz w:val="25"/>
                <w:szCs w:val="25"/>
              </w:rPr>
              <w:t xml:space="preserve"> nebija zin</w:t>
            </w:r>
            <w:r w:rsidR="005C6AD2" w:rsidRPr="00656873">
              <w:rPr>
                <w:sz w:val="25"/>
                <w:szCs w:val="25"/>
              </w:rPr>
              <w:t xml:space="preserve">āms </w:t>
            </w:r>
            <w:r w:rsidR="006F47F8">
              <w:rPr>
                <w:sz w:val="25"/>
                <w:szCs w:val="25"/>
              </w:rPr>
              <w:t xml:space="preserve">Latvijas nacionālās vīriešu hokeja izlases sasniegtais </w:t>
            </w:r>
            <w:r w:rsidR="005C6AD2" w:rsidRPr="00656873">
              <w:rPr>
                <w:sz w:val="25"/>
                <w:szCs w:val="25"/>
              </w:rPr>
              <w:t xml:space="preserve">rezultāts </w:t>
            </w:r>
            <w:r w:rsidR="00D1470F" w:rsidRPr="00656873">
              <w:rPr>
                <w:sz w:val="25"/>
                <w:szCs w:val="25"/>
              </w:rPr>
              <w:t>2014.gad</w:t>
            </w:r>
            <w:r w:rsidR="00D1470F">
              <w:rPr>
                <w:sz w:val="25"/>
                <w:szCs w:val="25"/>
              </w:rPr>
              <w:t>a Ziemas Olimpisko spēļu</w:t>
            </w:r>
            <w:r w:rsidR="00D1470F" w:rsidRPr="00656873">
              <w:rPr>
                <w:sz w:val="25"/>
                <w:szCs w:val="25"/>
              </w:rPr>
              <w:t xml:space="preserve"> </w:t>
            </w:r>
            <w:r w:rsidR="005C6AD2" w:rsidRPr="00656873">
              <w:rPr>
                <w:sz w:val="25"/>
                <w:szCs w:val="25"/>
              </w:rPr>
              <w:t>kvalifikācijas turnīrā</w:t>
            </w:r>
            <w:r w:rsidR="00BF1B6E" w:rsidRPr="00656873">
              <w:rPr>
                <w:sz w:val="25"/>
                <w:szCs w:val="25"/>
              </w:rPr>
              <w:t>.</w:t>
            </w:r>
            <w:r w:rsidR="005C6AD2" w:rsidRPr="00656873">
              <w:rPr>
                <w:sz w:val="25"/>
                <w:szCs w:val="25"/>
              </w:rPr>
              <w:t xml:space="preserve"> </w:t>
            </w:r>
          </w:p>
          <w:p w:rsidR="00B74776" w:rsidRDefault="00A90CF3" w:rsidP="00B74776">
            <w:pPr>
              <w:ind w:left="142" w:right="141"/>
              <w:jc w:val="both"/>
              <w:rPr>
                <w:sz w:val="25"/>
                <w:szCs w:val="25"/>
              </w:rPr>
            </w:pPr>
            <w:r w:rsidRPr="00656873">
              <w:rPr>
                <w:sz w:val="25"/>
                <w:szCs w:val="25"/>
              </w:rPr>
              <w:lastRenderedPageBreak/>
              <w:t>LRF</w:t>
            </w:r>
            <w:r w:rsidR="00B65421" w:rsidRPr="00B65421">
              <w:rPr>
                <w:sz w:val="25"/>
                <w:szCs w:val="25"/>
              </w:rPr>
              <w:t>, plānojot 2013.gada valsts budžeta pieprasījumu no valsts budžeta programmas 09.00.00 „Sports” apakšprogrammas 09.09.00 „Sporta federācijas un sporta pasākumi”</w:t>
            </w:r>
            <w:r w:rsidR="00A30BAF">
              <w:rPr>
                <w:sz w:val="25"/>
                <w:szCs w:val="25"/>
              </w:rPr>
              <w:t xml:space="preserve"> </w:t>
            </w:r>
            <w:r w:rsidR="00A30BAF" w:rsidRPr="00A30BAF">
              <w:rPr>
                <w:sz w:val="25"/>
                <w:szCs w:val="25"/>
              </w:rPr>
              <w:t>21`650 latu apmērā</w:t>
            </w:r>
            <w:r w:rsidR="00A30BAF">
              <w:rPr>
                <w:sz w:val="25"/>
                <w:szCs w:val="25"/>
              </w:rPr>
              <w:t xml:space="preserve">, </w:t>
            </w:r>
            <w:r w:rsidR="00A30BAF" w:rsidRPr="00A30BAF">
              <w:rPr>
                <w:sz w:val="25"/>
                <w:szCs w:val="25"/>
              </w:rPr>
              <w:t xml:space="preserve">nebija zināms Velobrauciena izmaksu </w:t>
            </w:r>
            <w:r w:rsidR="00203DF2">
              <w:rPr>
                <w:sz w:val="25"/>
                <w:szCs w:val="25"/>
              </w:rPr>
              <w:t>pieaugums</w:t>
            </w:r>
            <w:r w:rsidR="00A30BAF" w:rsidRPr="00A30BAF">
              <w:rPr>
                <w:sz w:val="25"/>
                <w:szCs w:val="25"/>
              </w:rPr>
              <w:t xml:space="preserve"> </w:t>
            </w:r>
            <w:r w:rsidR="00433959">
              <w:rPr>
                <w:sz w:val="25"/>
                <w:szCs w:val="25"/>
              </w:rPr>
              <w:t>saistībā</w:t>
            </w:r>
            <w:r w:rsidR="00A30BAF" w:rsidRPr="00A30BAF">
              <w:rPr>
                <w:sz w:val="25"/>
                <w:szCs w:val="25"/>
              </w:rPr>
              <w:t xml:space="preserve"> ar prāmja satiksmi uz Somiju. 2013.gada janvārī </w:t>
            </w:r>
            <w:r w:rsidR="00A30BAF">
              <w:rPr>
                <w:sz w:val="25"/>
                <w:szCs w:val="25"/>
              </w:rPr>
              <w:t xml:space="preserve">starp </w:t>
            </w:r>
            <w:r w:rsidR="00A30BAF">
              <w:t xml:space="preserve"> </w:t>
            </w:r>
            <w:r w:rsidR="00A30BAF" w:rsidRPr="00A30BAF">
              <w:rPr>
                <w:sz w:val="25"/>
                <w:szCs w:val="25"/>
              </w:rPr>
              <w:t>Latvijas, Lietuvas un Igaunijas par riteņ</w:t>
            </w:r>
            <w:r w:rsidR="00A30BAF">
              <w:rPr>
                <w:sz w:val="25"/>
                <w:szCs w:val="25"/>
              </w:rPr>
              <w:t>braukšanas sporta atbildīgajām</w:t>
            </w:r>
            <w:r w:rsidR="00A30BAF" w:rsidRPr="00A30BAF">
              <w:rPr>
                <w:sz w:val="25"/>
                <w:szCs w:val="25"/>
              </w:rPr>
              <w:t xml:space="preserve"> sporta organizāciju </w:t>
            </w:r>
            <w:r w:rsidR="00A30BAF">
              <w:rPr>
                <w:sz w:val="25"/>
                <w:szCs w:val="25"/>
              </w:rPr>
              <w:t xml:space="preserve"> </w:t>
            </w:r>
            <w:r w:rsidR="00A30BAF" w:rsidRPr="00A30BAF">
              <w:rPr>
                <w:sz w:val="25"/>
                <w:szCs w:val="25"/>
              </w:rPr>
              <w:t xml:space="preserve">tika panākta vienošanās, ka Velobrauciena norisē un organizēšanā iesaistās </w:t>
            </w:r>
            <w:r w:rsidR="00A30BAF">
              <w:rPr>
                <w:sz w:val="25"/>
                <w:szCs w:val="25"/>
              </w:rPr>
              <w:t xml:space="preserve">arī </w:t>
            </w:r>
            <w:r w:rsidR="00A30BAF" w:rsidRPr="00A30BAF">
              <w:rPr>
                <w:sz w:val="25"/>
                <w:szCs w:val="25"/>
              </w:rPr>
              <w:t>Somija</w:t>
            </w:r>
            <w:r w:rsidR="00A30BAF">
              <w:rPr>
                <w:sz w:val="25"/>
                <w:szCs w:val="25"/>
              </w:rPr>
              <w:t>, kas automātiski palielināja LRF ieguldījumu visa Velobrauciena saistītajās izmaksās.</w:t>
            </w:r>
          </w:p>
          <w:p w:rsidR="00DD6BBF" w:rsidRPr="00656873" w:rsidRDefault="00D1470F" w:rsidP="00EA2ECE">
            <w:pPr>
              <w:ind w:left="142" w:right="141"/>
              <w:jc w:val="both"/>
              <w:rPr>
                <w:sz w:val="25"/>
                <w:szCs w:val="25"/>
              </w:rPr>
            </w:pPr>
            <w:r>
              <w:rPr>
                <w:sz w:val="25"/>
                <w:szCs w:val="25"/>
              </w:rPr>
              <w:t xml:space="preserve">LDS </w:t>
            </w:r>
            <w:r w:rsidR="00C607DD" w:rsidRPr="00656873">
              <w:rPr>
                <w:sz w:val="25"/>
                <w:szCs w:val="25"/>
              </w:rPr>
              <w:t>finanšu pieprasījumā 2013.gadam saskaņā ar tāmi 2013.gada pasaules senioru čempionāta starptautiskajā dambretē organizēšanai piepras</w:t>
            </w:r>
            <w:r w:rsidR="00BF1B6E" w:rsidRPr="00656873">
              <w:rPr>
                <w:sz w:val="25"/>
                <w:szCs w:val="25"/>
              </w:rPr>
              <w:t>īja</w:t>
            </w:r>
            <w:r w:rsidR="00C607DD" w:rsidRPr="00656873">
              <w:rPr>
                <w:sz w:val="25"/>
                <w:szCs w:val="25"/>
              </w:rPr>
              <w:t xml:space="preserve"> valsts  budžeta līdzfinansējum</w:t>
            </w:r>
            <w:r w:rsidR="00BF1B6E" w:rsidRPr="00656873">
              <w:rPr>
                <w:sz w:val="25"/>
                <w:szCs w:val="25"/>
              </w:rPr>
              <w:t>u</w:t>
            </w:r>
            <w:r w:rsidR="00C607DD" w:rsidRPr="00656873">
              <w:rPr>
                <w:sz w:val="25"/>
                <w:szCs w:val="25"/>
              </w:rPr>
              <w:t xml:space="preserve"> 6`000 </w:t>
            </w:r>
            <w:r>
              <w:rPr>
                <w:sz w:val="25"/>
                <w:szCs w:val="25"/>
              </w:rPr>
              <w:t>latu apmērā</w:t>
            </w:r>
            <w:r w:rsidR="00203DF2">
              <w:rPr>
                <w:sz w:val="25"/>
                <w:szCs w:val="25"/>
              </w:rPr>
              <w:t>.</w:t>
            </w:r>
            <w:r w:rsidR="00203DF2" w:rsidRPr="00203DF2">
              <w:rPr>
                <w:sz w:val="25"/>
                <w:szCs w:val="25"/>
              </w:rPr>
              <w:t xml:space="preserve"> Padomes</w:t>
            </w:r>
            <w:r w:rsidR="00203DF2">
              <w:rPr>
                <w:sz w:val="25"/>
                <w:szCs w:val="25"/>
              </w:rPr>
              <w:t xml:space="preserve"> 2012</w:t>
            </w:r>
            <w:r w:rsidR="00203DF2" w:rsidRPr="00203DF2">
              <w:rPr>
                <w:sz w:val="25"/>
                <w:szCs w:val="25"/>
              </w:rPr>
              <w:t xml:space="preserve">.gada </w:t>
            </w:r>
            <w:r w:rsidR="00203DF2">
              <w:rPr>
                <w:sz w:val="25"/>
                <w:szCs w:val="25"/>
              </w:rPr>
              <w:t>11.oktobra</w:t>
            </w:r>
            <w:r w:rsidR="00203DF2" w:rsidRPr="00203DF2">
              <w:rPr>
                <w:sz w:val="25"/>
                <w:szCs w:val="25"/>
              </w:rPr>
              <w:t xml:space="preserve"> sēdē</w:t>
            </w:r>
            <w:r w:rsidR="00203DF2">
              <w:rPr>
                <w:sz w:val="25"/>
                <w:szCs w:val="25"/>
              </w:rPr>
              <w:t>, izskatot jautājumu par atbalstu LDS Pieprasījumam,</w:t>
            </w:r>
            <w:r w:rsidR="00203DF2" w:rsidRPr="00203DF2">
              <w:rPr>
                <w:sz w:val="25"/>
                <w:szCs w:val="25"/>
              </w:rPr>
              <w:t xml:space="preserve"> </w:t>
            </w:r>
            <w:r w:rsidR="00203DF2">
              <w:rPr>
                <w:sz w:val="25"/>
                <w:szCs w:val="25"/>
              </w:rPr>
              <w:t>tika nolemts</w:t>
            </w:r>
            <w:r w:rsidR="00203DF2" w:rsidRPr="00203DF2">
              <w:rPr>
                <w:sz w:val="25"/>
                <w:szCs w:val="25"/>
              </w:rPr>
              <w:t xml:space="preserve"> (prot. Nr.</w:t>
            </w:r>
            <w:r w:rsidR="00203DF2">
              <w:rPr>
                <w:sz w:val="25"/>
                <w:szCs w:val="25"/>
              </w:rPr>
              <w:t>4</w:t>
            </w:r>
            <w:r w:rsidR="00203DF2" w:rsidRPr="00203DF2">
              <w:rPr>
                <w:sz w:val="25"/>
                <w:szCs w:val="25"/>
              </w:rPr>
              <w:t xml:space="preserve"> </w:t>
            </w:r>
            <w:r w:rsidR="00203DF2">
              <w:rPr>
                <w:sz w:val="25"/>
                <w:szCs w:val="25"/>
              </w:rPr>
              <w:t>12.§</w:t>
            </w:r>
            <w:r w:rsidR="00203DF2" w:rsidRPr="00203DF2">
              <w:rPr>
                <w:sz w:val="25"/>
                <w:szCs w:val="25"/>
              </w:rPr>
              <w:t>)</w:t>
            </w:r>
            <w:r w:rsidR="00203DF2">
              <w:rPr>
                <w:sz w:val="25"/>
                <w:szCs w:val="25"/>
              </w:rPr>
              <w:t xml:space="preserve"> ministrijai izvērtēt iespējas </w:t>
            </w:r>
            <w:r w:rsidR="00203DF2" w:rsidRPr="00B65421">
              <w:rPr>
                <w:sz w:val="25"/>
                <w:szCs w:val="25"/>
              </w:rPr>
              <w:t>2013.gada valsts budžeta programmas 09.00.00 „Sports”</w:t>
            </w:r>
            <w:r w:rsidR="00203DF2">
              <w:rPr>
                <w:sz w:val="25"/>
                <w:szCs w:val="25"/>
              </w:rPr>
              <w:t xml:space="preserve"> pieejamo līdzekļu ietvaros attiecīgu līdzfinansējumu (līdz 6`000 latu)</w:t>
            </w:r>
            <w:r w:rsidR="00EC4C34">
              <w:rPr>
                <w:sz w:val="25"/>
                <w:szCs w:val="25"/>
              </w:rPr>
              <w:t>. Ņemot vērā LSFP</w:t>
            </w:r>
            <w:r w:rsidR="00EC4C34" w:rsidRPr="00656873">
              <w:rPr>
                <w:sz w:val="25"/>
                <w:szCs w:val="25"/>
              </w:rPr>
              <w:t xml:space="preserve"> valdes 2013.gada 13.februāra sēdē </w:t>
            </w:r>
            <w:r w:rsidR="00EC4C34" w:rsidRPr="00EC4C34">
              <w:rPr>
                <w:sz w:val="25"/>
                <w:szCs w:val="25"/>
              </w:rPr>
              <w:t>nolemto, LDS</w:t>
            </w:r>
            <w:r w:rsidR="00EC4C34">
              <w:rPr>
                <w:sz w:val="25"/>
                <w:szCs w:val="25"/>
              </w:rPr>
              <w:t xml:space="preserve">, </w:t>
            </w:r>
            <w:r w:rsidR="00EC4C34" w:rsidRPr="00656873">
              <w:rPr>
                <w:sz w:val="25"/>
                <w:szCs w:val="25"/>
              </w:rPr>
              <w:t xml:space="preserve"> ievērojot LSFP aktivitāšu un augstu sasniegumu sporta kritērijus</w:t>
            </w:r>
            <w:r w:rsidR="00EC4C34">
              <w:rPr>
                <w:sz w:val="25"/>
                <w:szCs w:val="25"/>
              </w:rPr>
              <w:t>, tika piešķirta</w:t>
            </w:r>
            <w:r w:rsidR="00EC4C34" w:rsidRPr="00656873">
              <w:rPr>
                <w:sz w:val="25"/>
                <w:szCs w:val="25"/>
              </w:rPr>
              <w:t xml:space="preserve"> </w:t>
            </w:r>
            <w:r w:rsidR="00EC4C34">
              <w:rPr>
                <w:sz w:val="25"/>
                <w:szCs w:val="25"/>
              </w:rPr>
              <w:t>dotācija</w:t>
            </w:r>
            <w:r w:rsidR="00EC4C34" w:rsidRPr="00656873">
              <w:rPr>
                <w:sz w:val="25"/>
                <w:szCs w:val="25"/>
              </w:rPr>
              <w:t xml:space="preserve"> </w:t>
            </w:r>
            <w:r w:rsidR="00EC4C34">
              <w:rPr>
                <w:sz w:val="25"/>
                <w:szCs w:val="25"/>
              </w:rPr>
              <w:t xml:space="preserve">tikai </w:t>
            </w:r>
            <w:r w:rsidR="00EC4C34" w:rsidRPr="00656873">
              <w:rPr>
                <w:sz w:val="25"/>
                <w:szCs w:val="25"/>
              </w:rPr>
              <w:t>1`000 latu apmērā</w:t>
            </w:r>
            <w:r w:rsidR="00EC4C34">
              <w:rPr>
                <w:sz w:val="25"/>
                <w:szCs w:val="25"/>
              </w:rPr>
              <w:t>, radot deficītu 5`000 latu apmērā. Ņemot vērā LDS ierobežotos finanšu līdzekļus un nepiesaistot tos no citiem finanšu avotiem, LDS iesniedza Pieprasījumu.</w:t>
            </w:r>
          </w:p>
          <w:p w:rsidR="00EE4748" w:rsidRPr="00656873" w:rsidRDefault="00EE4748" w:rsidP="000E2AA3">
            <w:pPr>
              <w:ind w:right="141"/>
              <w:jc w:val="both"/>
              <w:rPr>
                <w:sz w:val="25"/>
                <w:szCs w:val="25"/>
              </w:rPr>
            </w:pPr>
          </w:p>
          <w:p w:rsidR="00DB05F9" w:rsidRDefault="002D77A9" w:rsidP="00CE1B76">
            <w:pPr>
              <w:ind w:left="142" w:right="141" w:firstLine="25"/>
              <w:jc w:val="both"/>
              <w:rPr>
                <w:sz w:val="25"/>
                <w:szCs w:val="25"/>
              </w:rPr>
            </w:pPr>
            <w:r w:rsidRPr="00656873">
              <w:rPr>
                <w:sz w:val="25"/>
                <w:szCs w:val="25"/>
              </w:rPr>
              <w:t>M</w:t>
            </w:r>
            <w:r w:rsidR="00135577" w:rsidRPr="00656873">
              <w:rPr>
                <w:sz w:val="25"/>
                <w:szCs w:val="25"/>
              </w:rPr>
              <w:t>inistrijas rīcībā nav nepieciešamie līdzekļ</w:t>
            </w:r>
            <w:r w:rsidR="00AA3C86" w:rsidRPr="00656873">
              <w:rPr>
                <w:sz w:val="25"/>
                <w:szCs w:val="25"/>
              </w:rPr>
              <w:t>i, jo visi finanšu līdzekļi 2013</w:t>
            </w:r>
            <w:r w:rsidR="00135577" w:rsidRPr="00656873">
              <w:rPr>
                <w:sz w:val="25"/>
                <w:szCs w:val="25"/>
              </w:rPr>
              <w:t>.gadam valsts budžeta programmā 09.00.00 „Sports”, t.sk. apakšprogrammā</w:t>
            </w:r>
            <w:r w:rsidR="00BF1B6E" w:rsidRPr="00656873">
              <w:rPr>
                <w:sz w:val="25"/>
                <w:szCs w:val="25"/>
              </w:rPr>
              <w:t>s</w:t>
            </w:r>
            <w:r w:rsidR="00135577" w:rsidRPr="00656873">
              <w:rPr>
                <w:sz w:val="25"/>
                <w:szCs w:val="25"/>
              </w:rPr>
              <w:t xml:space="preserve"> 09.09.00 „Sporta</w:t>
            </w:r>
            <w:r w:rsidR="00BF1B6E" w:rsidRPr="00656873">
              <w:rPr>
                <w:sz w:val="25"/>
                <w:szCs w:val="25"/>
              </w:rPr>
              <w:t xml:space="preserve"> federācijas un sporta pasākumi”,</w:t>
            </w:r>
            <w:r w:rsidR="00135577" w:rsidRPr="00656873">
              <w:rPr>
                <w:sz w:val="25"/>
                <w:szCs w:val="25"/>
              </w:rPr>
              <w:t xml:space="preserve"> </w:t>
            </w:r>
            <w:r w:rsidR="00CB3D95" w:rsidRPr="00656873">
              <w:rPr>
                <w:sz w:val="25"/>
                <w:szCs w:val="25"/>
              </w:rPr>
              <w:t>09.16.00„Dotācija nacionālas nozīmes starptautisku sporta pasākumu organizēšanai Latvijā”</w:t>
            </w:r>
            <w:r w:rsidR="00BF1B6E" w:rsidRPr="00656873">
              <w:rPr>
                <w:sz w:val="25"/>
                <w:szCs w:val="25"/>
              </w:rPr>
              <w:t xml:space="preserve"> un 09.21.00 „Augstas klases sasniegumu sports”</w:t>
            </w:r>
            <w:r w:rsidR="00135577" w:rsidRPr="00656873">
              <w:rPr>
                <w:sz w:val="25"/>
                <w:szCs w:val="25"/>
              </w:rPr>
              <w:t>, ir sadalīti un attiecīgi noslēgti līgumi par valsts budžeta finanšu līdzekļu (dotācijas) piešķiršanu. Noslēgtie līgumi neparedz finansējuma piešķīrēja –</w:t>
            </w:r>
            <w:r w:rsidR="003E53EB" w:rsidRPr="00656873">
              <w:rPr>
                <w:sz w:val="25"/>
                <w:szCs w:val="25"/>
              </w:rPr>
              <w:t xml:space="preserve"> </w:t>
            </w:r>
            <w:r w:rsidR="00135577" w:rsidRPr="00656873">
              <w:rPr>
                <w:sz w:val="25"/>
                <w:szCs w:val="25"/>
              </w:rPr>
              <w:t>ministrijas – tiesības samazināt piešķirto finanšu līdzekļu apmēru līdzekļu pārdales gadījumā citām sporta federācijām (līgums paredz ministrijas tiesības samazināt līguma summu tikai tad, ja tiek izdarīti grozījumi</w:t>
            </w:r>
            <w:r w:rsidR="00862337" w:rsidRPr="00656873">
              <w:rPr>
                <w:sz w:val="25"/>
                <w:szCs w:val="25"/>
              </w:rPr>
              <w:t xml:space="preserve"> likumā „Par valsts budžetu 2013</w:t>
            </w:r>
            <w:r w:rsidR="00135577" w:rsidRPr="00656873">
              <w:rPr>
                <w:sz w:val="25"/>
                <w:szCs w:val="25"/>
              </w:rPr>
              <w:t>.gadam”,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656873" w:rsidRPr="00656873" w:rsidRDefault="00656873" w:rsidP="00CE1B76">
            <w:pPr>
              <w:ind w:left="142" w:right="141" w:firstLine="25"/>
              <w:jc w:val="both"/>
              <w:rPr>
                <w:sz w:val="25"/>
                <w:szCs w:val="25"/>
              </w:rPr>
            </w:pPr>
          </w:p>
          <w:p w:rsidR="00003AF9" w:rsidRPr="00656873" w:rsidRDefault="001F373F" w:rsidP="00BF711F">
            <w:pPr>
              <w:ind w:left="142" w:right="141"/>
              <w:jc w:val="both"/>
              <w:rPr>
                <w:sz w:val="25"/>
                <w:szCs w:val="25"/>
              </w:rPr>
            </w:pPr>
            <w:r w:rsidRPr="00656873">
              <w:rPr>
                <w:sz w:val="25"/>
                <w:szCs w:val="25"/>
              </w:rPr>
              <w:t xml:space="preserve">Izvērtējot </w:t>
            </w:r>
            <w:r w:rsidR="00F440B3" w:rsidRPr="00656873">
              <w:rPr>
                <w:sz w:val="25"/>
                <w:szCs w:val="25"/>
              </w:rPr>
              <w:t xml:space="preserve">LOV, LHF, </w:t>
            </w:r>
            <w:r w:rsidR="00524379" w:rsidRPr="00656873">
              <w:rPr>
                <w:sz w:val="25"/>
                <w:szCs w:val="25"/>
              </w:rPr>
              <w:t>LRF</w:t>
            </w:r>
            <w:r w:rsidR="00F440B3" w:rsidRPr="00656873">
              <w:rPr>
                <w:sz w:val="25"/>
                <w:szCs w:val="25"/>
              </w:rPr>
              <w:t xml:space="preserve"> un LDS Pieprasījumus</w:t>
            </w:r>
            <w:r w:rsidR="00524379" w:rsidRPr="00656873">
              <w:rPr>
                <w:sz w:val="25"/>
                <w:szCs w:val="25"/>
              </w:rPr>
              <w:t xml:space="preserve"> </w:t>
            </w:r>
            <w:r w:rsidR="009429AE" w:rsidRPr="00D167AC">
              <w:rPr>
                <w:sz w:val="25"/>
                <w:szCs w:val="25"/>
              </w:rPr>
              <w:t>443 6</w:t>
            </w:r>
            <w:r w:rsidR="00F440B3" w:rsidRPr="00D167AC">
              <w:rPr>
                <w:sz w:val="25"/>
                <w:szCs w:val="25"/>
              </w:rPr>
              <w:t>97</w:t>
            </w:r>
            <w:r w:rsidR="00F440B3" w:rsidRPr="00656873">
              <w:rPr>
                <w:sz w:val="25"/>
                <w:szCs w:val="25"/>
              </w:rPr>
              <w:t xml:space="preserve"> </w:t>
            </w:r>
            <w:r w:rsidR="00E74544" w:rsidRPr="00656873">
              <w:rPr>
                <w:sz w:val="25"/>
                <w:szCs w:val="25"/>
              </w:rPr>
              <w:t>latu apmērā</w:t>
            </w:r>
            <w:r w:rsidR="00BA7940" w:rsidRPr="00656873">
              <w:rPr>
                <w:sz w:val="25"/>
                <w:szCs w:val="25"/>
              </w:rPr>
              <w:t xml:space="preserve"> un iespējamo</w:t>
            </w:r>
            <w:r w:rsidR="00CD39F8" w:rsidRPr="00656873">
              <w:rPr>
                <w:sz w:val="25"/>
                <w:szCs w:val="25"/>
              </w:rPr>
              <w:t>s</w:t>
            </w:r>
            <w:r w:rsidR="00BA7940" w:rsidRPr="00656873">
              <w:rPr>
                <w:sz w:val="25"/>
                <w:szCs w:val="25"/>
              </w:rPr>
              <w:t xml:space="preserve"> riskus līdzekļu nepiešķiršanas gadījumā</w:t>
            </w:r>
            <w:r w:rsidR="003E53EB" w:rsidRPr="00656873">
              <w:rPr>
                <w:sz w:val="25"/>
                <w:szCs w:val="25"/>
              </w:rPr>
              <w:t xml:space="preserve"> </w:t>
            </w:r>
            <w:r w:rsidR="00BF711F" w:rsidRPr="00656873">
              <w:rPr>
                <w:sz w:val="25"/>
                <w:szCs w:val="25"/>
              </w:rPr>
              <w:t>(</w:t>
            </w:r>
            <w:r w:rsidR="003E53EB" w:rsidRPr="00656873">
              <w:rPr>
                <w:sz w:val="25"/>
                <w:szCs w:val="25"/>
              </w:rPr>
              <w:t>(</w:t>
            </w:r>
            <w:r w:rsidR="00BF711F" w:rsidRPr="00656873">
              <w:rPr>
                <w:sz w:val="25"/>
                <w:szCs w:val="25"/>
              </w:rPr>
              <w:t xml:space="preserve">1) </w:t>
            </w:r>
            <w:r w:rsidR="00FB704E" w:rsidRPr="00656873">
              <w:rPr>
                <w:sz w:val="25"/>
                <w:szCs w:val="25"/>
              </w:rPr>
              <w:t xml:space="preserve">netiks nodrošināts pilnvērtīgs mācību – </w:t>
            </w:r>
            <w:r w:rsidR="00FB704E" w:rsidRPr="00656873">
              <w:rPr>
                <w:sz w:val="25"/>
                <w:szCs w:val="25"/>
              </w:rPr>
              <w:lastRenderedPageBreak/>
              <w:t>treniņu darbs, metodiskais un medicīniskais atbalsts Latvijas izlases sportistiem, gatavojoties 2014.gada Ziemas Olimpiskajām spēlēm Sočos (Krievija)</w:t>
            </w:r>
            <w:r w:rsidR="004D73BF">
              <w:rPr>
                <w:sz w:val="25"/>
                <w:szCs w:val="25"/>
              </w:rPr>
              <w:t xml:space="preserve"> un</w:t>
            </w:r>
            <w:r w:rsidR="004D73BF" w:rsidRPr="004D73BF">
              <w:rPr>
                <w:sz w:val="25"/>
                <w:szCs w:val="25"/>
              </w:rPr>
              <w:t xml:space="preserve"> 2016.gada Vasaras Olimpiskajām spēlēm Riodežaneiro (Brazīlija)</w:t>
            </w:r>
            <w:r w:rsidR="00FB704E" w:rsidRPr="00656873">
              <w:rPr>
                <w:sz w:val="25"/>
                <w:szCs w:val="25"/>
              </w:rPr>
              <w:t>, kā arī augstvērtīgu rezultātu</w:t>
            </w:r>
            <w:r w:rsidR="009946DF">
              <w:rPr>
                <w:sz w:val="25"/>
                <w:szCs w:val="25"/>
              </w:rPr>
              <w:t xml:space="preserve"> sasniegšana šajās sacensībās; </w:t>
            </w:r>
            <w:r w:rsidR="00BF711F" w:rsidRPr="00656873">
              <w:rPr>
                <w:sz w:val="25"/>
                <w:szCs w:val="25"/>
              </w:rPr>
              <w:t xml:space="preserve">(2) </w:t>
            </w:r>
            <w:r w:rsidR="00FB704E" w:rsidRPr="00656873">
              <w:rPr>
                <w:sz w:val="25"/>
                <w:szCs w:val="25"/>
              </w:rPr>
              <w:t xml:space="preserve">netiks nodrošināts pilnvērtīgs  Latvijas nacionālās vīriešu hokeja izlases gatavošanās process 2014.gada Ziemas Olimpiskajām spēlēm  Sočos (Krievija); </w:t>
            </w:r>
            <w:r w:rsidR="00BF711F" w:rsidRPr="00656873">
              <w:rPr>
                <w:sz w:val="25"/>
                <w:szCs w:val="25"/>
              </w:rPr>
              <w:t xml:space="preserve">(3) </w:t>
            </w:r>
            <w:r w:rsidR="00457282" w:rsidRPr="00656873">
              <w:rPr>
                <w:sz w:val="25"/>
                <w:szCs w:val="25"/>
              </w:rPr>
              <w:t>risks</w:t>
            </w:r>
            <w:r w:rsidR="00BF711F" w:rsidRPr="00656873">
              <w:rPr>
                <w:sz w:val="25"/>
                <w:szCs w:val="25"/>
              </w:rPr>
              <w:t xml:space="preserve">  starptautiskā Baltijas valstu daudzdienu velobrauciena „Baltijas ceļš 2013” (</w:t>
            </w:r>
            <w:r w:rsidR="00BF711F" w:rsidRPr="00656873">
              <w:rPr>
                <w:i/>
                <w:sz w:val="25"/>
                <w:szCs w:val="25"/>
              </w:rPr>
              <w:t>Baltic Chain Tour Via Baltica 2013</w:t>
            </w:r>
            <w:r w:rsidR="00BF711F" w:rsidRPr="00656873">
              <w:rPr>
                <w:sz w:val="25"/>
                <w:szCs w:val="25"/>
              </w:rPr>
              <w:t xml:space="preserve">) </w:t>
            </w:r>
            <w:r w:rsidR="00017780" w:rsidRPr="00656873">
              <w:rPr>
                <w:sz w:val="25"/>
                <w:szCs w:val="25"/>
              </w:rPr>
              <w:t>organizēšanā iesaistītajām</w:t>
            </w:r>
            <w:r w:rsidR="00457282" w:rsidRPr="00656873">
              <w:rPr>
                <w:sz w:val="25"/>
                <w:szCs w:val="25"/>
              </w:rPr>
              <w:t xml:space="preserve"> </w:t>
            </w:r>
            <w:r w:rsidR="00017780" w:rsidRPr="00656873">
              <w:rPr>
                <w:sz w:val="25"/>
                <w:szCs w:val="25"/>
              </w:rPr>
              <w:t>pusēm</w:t>
            </w:r>
            <w:r w:rsidR="00BF711F" w:rsidRPr="00656873">
              <w:rPr>
                <w:sz w:val="25"/>
                <w:szCs w:val="25"/>
              </w:rPr>
              <w:t xml:space="preserve"> (valstīm)</w:t>
            </w:r>
            <w:r w:rsidR="00457282" w:rsidRPr="00656873">
              <w:rPr>
                <w:sz w:val="25"/>
                <w:szCs w:val="25"/>
              </w:rPr>
              <w:t xml:space="preserve"> veikt neparedzētas izmaiņas </w:t>
            </w:r>
            <w:r w:rsidR="00BF711F" w:rsidRPr="00656873">
              <w:rPr>
                <w:sz w:val="25"/>
                <w:szCs w:val="25"/>
              </w:rPr>
              <w:t xml:space="preserve"> v</w:t>
            </w:r>
            <w:r w:rsidR="00017780" w:rsidRPr="00656873">
              <w:rPr>
                <w:sz w:val="25"/>
                <w:szCs w:val="25"/>
              </w:rPr>
              <w:t>elobrauciena kalendārā</w:t>
            </w:r>
            <w:r w:rsidR="00054553" w:rsidRPr="00656873">
              <w:rPr>
                <w:sz w:val="25"/>
                <w:szCs w:val="25"/>
              </w:rPr>
              <w:t xml:space="preserve"> </w:t>
            </w:r>
            <w:r w:rsidR="00BF711F" w:rsidRPr="00656873">
              <w:rPr>
                <w:sz w:val="25"/>
                <w:szCs w:val="25"/>
              </w:rPr>
              <w:t>(ar varbūtējām sankcijām</w:t>
            </w:r>
            <w:r w:rsidR="00C55EFF" w:rsidRPr="00656873">
              <w:rPr>
                <w:sz w:val="25"/>
                <w:szCs w:val="25"/>
              </w:rPr>
              <w:t xml:space="preserve"> no </w:t>
            </w:r>
            <w:r w:rsidR="00017780" w:rsidRPr="00656873">
              <w:rPr>
                <w:sz w:val="25"/>
                <w:szCs w:val="25"/>
              </w:rPr>
              <w:t>Starptautiskās riteņbraukšanas federācijas (</w:t>
            </w:r>
            <w:r w:rsidR="00017780" w:rsidRPr="00656873">
              <w:rPr>
                <w:i/>
                <w:sz w:val="25"/>
                <w:szCs w:val="25"/>
              </w:rPr>
              <w:t>Union Cycliste Internationale</w:t>
            </w:r>
            <w:r w:rsidR="00017780" w:rsidRPr="00656873">
              <w:rPr>
                <w:sz w:val="25"/>
                <w:szCs w:val="25"/>
              </w:rPr>
              <w:t>)</w:t>
            </w:r>
            <w:r w:rsidR="00674595">
              <w:rPr>
                <w:sz w:val="25"/>
                <w:szCs w:val="25"/>
              </w:rPr>
              <w:t>)</w:t>
            </w:r>
            <w:r w:rsidR="00BF711F" w:rsidRPr="00656873">
              <w:rPr>
                <w:sz w:val="25"/>
                <w:szCs w:val="25"/>
              </w:rPr>
              <w:t xml:space="preserve"> un netiks nodrošināta  augstvērtīga pasaules senioru čempionāta starptautiskajā dambretē organizācija un norise), </w:t>
            </w:r>
            <w:r w:rsidR="00853B4B" w:rsidRPr="00656873">
              <w:rPr>
                <w:sz w:val="25"/>
                <w:szCs w:val="25"/>
              </w:rPr>
              <w:t>ministrija atz</w:t>
            </w:r>
            <w:r w:rsidR="002239AB" w:rsidRPr="00656873">
              <w:rPr>
                <w:sz w:val="25"/>
                <w:szCs w:val="25"/>
              </w:rPr>
              <w:t xml:space="preserve">īst nepieciešamību </w:t>
            </w:r>
            <w:r w:rsidR="004A6E2E" w:rsidRPr="00656873">
              <w:rPr>
                <w:sz w:val="25"/>
                <w:szCs w:val="25"/>
              </w:rPr>
              <w:t>meklēt iespējamos risin</w:t>
            </w:r>
            <w:r w:rsidR="00EE4FC1" w:rsidRPr="00656873">
              <w:rPr>
                <w:sz w:val="25"/>
                <w:szCs w:val="25"/>
              </w:rPr>
              <w:t xml:space="preserve">ājuma variantus, lai varētu </w:t>
            </w:r>
            <w:r w:rsidR="00017780" w:rsidRPr="00656873">
              <w:rPr>
                <w:sz w:val="25"/>
                <w:szCs w:val="25"/>
              </w:rPr>
              <w:t>sniegt valsts budžeta līdzfinansējuma atbalstu</w:t>
            </w:r>
            <w:r w:rsidR="00B5360F" w:rsidRPr="00656873">
              <w:rPr>
                <w:sz w:val="25"/>
                <w:szCs w:val="25"/>
              </w:rPr>
              <w:t xml:space="preserve"> </w:t>
            </w:r>
            <w:r w:rsidR="00BF711F" w:rsidRPr="00656873">
              <w:rPr>
                <w:sz w:val="25"/>
                <w:szCs w:val="25"/>
              </w:rPr>
              <w:t>LOV, LHF, LRF un LDS Pieprasījumiem</w:t>
            </w:r>
            <w:r w:rsidR="00967D62" w:rsidRPr="00656873">
              <w:rPr>
                <w:sz w:val="25"/>
                <w:szCs w:val="25"/>
              </w:rPr>
              <w:t>.</w:t>
            </w:r>
            <w:r w:rsidR="000E33AE">
              <w:rPr>
                <w:sz w:val="25"/>
                <w:szCs w:val="25"/>
              </w:rPr>
              <w:t xml:space="preserve"> </w:t>
            </w:r>
            <w:r w:rsidR="000E33AE" w:rsidRPr="00203DF2">
              <w:rPr>
                <w:sz w:val="25"/>
                <w:szCs w:val="25"/>
              </w:rPr>
              <w:t>Ņemot vērā LRF jau piešķirto valsts budž</w:t>
            </w:r>
            <w:r w:rsidR="00433959">
              <w:rPr>
                <w:sz w:val="25"/>
                <w:szCs w:val="25"/>
              </w:rPr>
              <w:t>eta dotāciju 1`000 latu apmērā V</w:t>
            </w:r>
            <w:r w:rsidR="000E33AE" w:rsidRPr="00203DF2">
              <w:rPr>
                <w:sz w:val="25"/>
                <w:szCs w:val="25"/>
              </w:rPr>
              <w:t xml:space="preserve">elobrauciena organizēšanai, kā arī LRF līdzekļu trūkumu, lai segtu  </w:t>
            </w:r>
            <w:r w:rsidR="00433959">
              <w:rPr>
                <w:sz w:val="25"/>
                <w:szCs w:val="25"/>
              </w:rPr>
              <w:t>izmaksu pieaugumu</w:t>
            </w:r>
            <w:r w:rsidR="00E715D5">
              <w:rPr>
                <w:sz w:val="25"/>
                <w:szCs w:val="25"/>
              </w:rPr>
              <w:t xml:space="preserve"> (kopējās Velobrauciena Latvijas posms izmaksas – 33`350 lati)</w:t>
            </w:r>
            <w:r w:rsidR="00433959">
              <w:rPr>
                <w:sz w:val="25"/>
                <w:szCs w:val="25"/>
              </w:rPr>
              <w:t xml:space="preserve">, kas radās, paplašinot Velobraucienā iesaistīto valstu skaitu (2013.gadā Velobrauciena sākums būs Somijas pilsētā Lahti) </w:t>
            </w:r>
            <w:r w:rsidR="00E02627" w:rsidRPr="00203DF2">
              <w:rPr>
                <w:sz w:val="25"/>
                <w:szCs w:val="25"/>
              </w:rPr>
              <w:t xml:space="preserve">un </w:t>
            </w:r>
            <w:r w:rsidR="00E715D5">
              <w:rPr>
                <w:sz w:val="25"/>
                <w:szCs w:val="25"/>
              </w:rPr>
              <w:t xml:space="preserve">sākotnējo </w:t>
            </w:r>
            <w:r w:rsidR="000E33AE" w:rsidRPr="00203DF2">
              <w:rPr>
                <w:sz w:val="25"/>
                <w:szCs w:val="25"/>
              </w:rPr>
              <w:t>pieprasījumu 2013.gadam no ministrijas valsts budžeta apakšprogrammas 09.09.00 „Sporta federācijas un sporta pasākumi” (21`650), ministrija atbalsta izskatīšanai virzīt jautājumu par papildu valsts budžeta finansējuma piešķiršanu LRF 25`350 latu apmērā.</w:t>
            </w:r>
          </w:p>
          <w:p w:rsidR="00CE1B76" w:rsidRPr="00656873" w:rsidRDefault="00CE1B76" w:rsidP="00BF711F">
            <w:pPr>
              <w:ind w:left="142" w:right="141"/>
              <w:jc w:val="both"/>
              <w:rPr>
                <w:sz w:val="25"/>
                <w:szCs w:val="25"/>
              </w:rPr>
            </w:pPr>
          </w:p>
          <w:p w:rsidR="00CE1B76" w:rsidRPr="00656873" w:rsidRDefault="00AD1E14" w:rsidP="00BF711F">
            <w:pPr>
              <w:ind w:left="142" w:right="141"/>
              <w:jc w:val="both"/>
              <w:rPr>
                <w:sz w:val="25"/>
                <w:szCs w:val="25"/>
              </w:rPr>
            </w:pPr>
            <w:r>
              <w:rPr>
                <w:sz w:val="25"/>
                <w:szCs w:val="25"/>
              </w:rPr>
              <w:t>LOV, LHF</w:t>
            </w:r>
            <w:r w:rsidR="00CE1B76" w:rsidRPr="00656873">
              <w:rPr>
                <w:sz w:val="25"/>
                <w:szCs w:val="25"/>
              </w:rPr>
              <w:t xml:space="preserve"> un LDS Pieprasījumi </w:t>
            </w:r>
            <w:r w:rsidR="00656873">
              <w:rPr>
                <w:sz w:val="25"/>
                <w:szCs w:val="25"/>
              </w:rPr>
              <w:t>tika izskatīti</w:t>
            </w:r>
            <w:r w:rsidR="00CE1B76" w:rsidRPr="00656873">
              <w:rPr>
                <w:sz w:val="25"/>
                <w:szCs w:val="25"/>
              </w:rPr>
              <w:t xml:space="preserve">  </w:t>
            </w:r>
            <w:r w:rsidR="00292F8C">
              <w:rPr>
                <w:sz w:val="25"/>
                <w:szCs w:val="25"/>
              </w:rPr>
              <w:t>P</w:t>
            </w:r>
            <w:r w:rsidR="00CE1B76" w:rsidRPr="00656873">
              <w:rPr>
                <w:sz w:val="25"/>
                <w:szCs w:val="25"/>
              </w:rPr>
              <w:t xml:space="preserve">adomes 2013.gada 24.maija  (prot. Nr.2 9.§, 10.§, un 15.§) sēdē, uzklausot arī LOV valdes priekšsēdētāja E.Fogeļa, LHF prezidenta K.Limpana un LDS pārstāvja J.Leļa viedokli, kā rezultātā </w:t>
            </w:r>
            <w:r w:rsidR="00292F8C">
              <w:rPr>
                <w:sz w:val="25"/>
                <w:szCs w:val="25"/>
              </w:rPr>
              <w:t>Padome nolēma</w:t>
            </w:r>
            <w:r w:rsidR="00CE1B76" w:rsidRPr="00656873">
              <w:rPr>
                <w:sz w:val="25"/>
                <w:szCs w:val="25"/>
              </w:rPr>
              <w:t xml:space="preserve">  konceptuāli atbalstīt papildus finansēj</w:t>
            </w:r>
            <w:r w:rsidR="00E02627">
              <w:rPr>
                <w:sz w:val="25"/>
                <w:szCs w:val="25"/>
              </w:rPr>
              <w:t xml:space="preserve">uma </w:t>
            </w:r>
            <w:r w:rsidR="00CE1B76" w:rsidRPr="00656873">
              <w:rPr>
                <w:sz w:val="25"/>
                <w:szCs w:val="25"/>
              </w:rPr>
              <w:t>piešķiršanu LOV, LHF un LDS  (prot. Nr. 2 9.3., 10.2 un 15.2.apakšpunkts)</w:t>
            </w:r>
            <w:r w:rsidR="00251E5F" w:rsidRPr="00656873">
              <w:rPr>
                <w:sz w:val="25"/>
                <w:szCs w:val="25"/>
              </w:rPr>
              <w:t>, kā arī</w:t>
            </w:r>
            <w:r w:rsidR="00656873">
              <w:rPr>
                <w:sz w:val="25"/>
                <w:szCs w:val="25"/>
              </w:rPr>
              <w:t xml:space="preserve"> </w:t>
            </w:r>
            <w:r w:rsidR="00251E5F" w:rsidRPr="00656873">
              <w:rPr>
                <w:sz w:val="25"/>
                <w:szCs w:val="25"/>
              </w:rPr>
              <w:t>ministrijai sadarbībā ar Finanšu ministriju izvērtēt iespējamos finanšu avotus papildus finansējuma nodrošināšanai un sagatavot attiecīgus priekšlikumus izskatīšanai Ministru kabinetā (prot. Nr. 2 9.4., 10.3 un 15.3.apakšpunkts).</w:t>
            </w:r>
          </w:p>
          <w:p w:rsidR="00CE1B76" w:rsidRPr="00656873" w:rsidRDefault="00CE1B76" w:rsidP="00BF711F">
            <w:pPr>
              <w:ind w:left="142" w:right="141"/>
              <w:jc w:val="both"/>
              <w:rPr>
                <w:sz w:val="25"/>
                <w:szCs w:val="25"/>
              </w:rPr>
            </w:pPr>
          </w:p>
          <w:p w:rsidR="00003AF9" w:rsidRPr="00656873" w:rsidRDefault="00003AF9" w:rsidP="00003AF9">
            <w:pPr>
              <w:ind w:left="142" w:right="141"/>
              <w:jc w:val="both"/>
              <w:rPr>
                <w:sz w:val="25"/>
                <w:szCs w:val="25"/>
              </w:rPr>
            </w:pPr>
            <w:r w:rsidRPr="00656873">
              <w:rPr>
                <w:sz w:val="25"/>
                <w:szCs w:val="25"/>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w:t>
            </w:r>
            <w:r w:rsidRPr="00656873">
              <w:rPr>
                <w:sz w:val="25"/>
                <w:szCs w:val="25"/>
              </w:rPr>
              <w:lastRenderedPageBreak/>
              <w:t xml:space="preserve">izdevumiem katastrofu un dabas stihiju seku novēršanai, to radīto zaudējumu kompensēšanai, </w:t>
            </w:r>
            <w:r w:rsidRPr="00656873">
              <w:rPr>
                <w:sz w:val="25"/>
                <w:szCs w:val="25"/>
                <w:u w:val="single"/>
              </w:rPr>
              <w:t>citiem neparedzētiem gadījumiem un</w:t>
            </w:r>
            <w:r w:rsidRPr="00656873">
              <w:rPr>
                <w:sz w:val="25"/>
                <w:szCs w:val="25"/>
              </w:rPr>
              <w:t xml:space="preserve"> </w:t>
            </w:r>
            <w:r w:rsidRPr="00656873">
              <w:rPr>
                <w:sz w:val="25"/>
                <w:szCs w:val="25"/>
                <w:u w:val="single"/>
              </w:rPr>
              <w:t>valstiski īpaši nozīmīgiem pasākumiem</w:t>
            </w:r>
            <w:r w:rsidRPr="00656873">
              <w:rPr>
                <w:sz w:val="25"/>
                <w:szCs w:val="25"/>
              </w:rPr>
              <w:t xml:space="preserve">. </w:t>
            </w:r>
            <w:r w:rsidR="00C55EFF" w:rsidRPr="00656873">
              <w:rPr>
                <w:sz w:val="25"/>
                <w:szCs w:val="25"/>
              </w:rPr>
              <w:t>Neparedzēta gadījuma apstākļus var attiecināt uz LHF Pieprasījumu, jo, plānojot finanšu pieprasījumu no  ministrijas valsts budžeta programmas 09.00.00 „Sports” apakšprogrammas 09.17.00 „Dotācija komandu sporta spēļu izlašu nodrošināšanai”, LHF nebija zināms, k</w:t>
            </w:r>
            <w:r w:rsidR="00292F8C">
              <w:rPr>
                <w:sz w:val="25"/>
                <w:szCs w:val="25"/>
              </w:rPr>
              <w:t xml:space="preserve">a Latvijas nacionālā vīriešu hokeja izlase </w:t>
            </w:r>
            <w:r w:rsidR="00C55EFF" w:rsidRPr="00656873">
              <w:rPr>
                <w:sz w:val="25"/>
                <w:szCs w:val="25"/>
              </w:rPr>
              <w:t>2013.gada februārī kvalificēsies 2014.gada Ziemas Olimpiskajām spēlēm Sočos (Krievija). LOV, LRF un LDS Piep</w:t>
            </w:r>
            <w:r w:rsidR="00D55D09" w:rsidRPr="00656873">
              <w:rPr>
                <w:sz w:val="25"/>
                <w:szCs w:val="25"/>
              </w:rPr>
              <w:t xml:space="preserve">rasījumus var attiecināt uz </w:t>
            </w:r>
            <w:r w:rsidR="00C55EFF" w:rsidRPr="00656873">
              <w:rPr>
                <w:sz w:val="25"/>
                <w:szCs w:val="25"/>
              </w:rPr>
              <w:t>valstiski īpaši nozīmīgiem pasākumiem</w:t>
            </w:r>
            <w:r w:rsidR="00663E28">
              <w:rPr>
                <w:sz w:val="25"/>
                <w:szCs w:val="25"/>
              </w:rPr>
              <w:t xml:space="preserve"> (dalība četrgades svarīgākajā</w:t>
            </w:r>
            <w:r w:rsidR="00A146D4">
              <w:rPr>
                <w:sz w:val="25"/>
                <w:szCs w:val="25"/>
              </w:rPr>
              <w:t xml:space="preserve"> pasaules sporta forumā;</w:t>
            </w:r>
            <w:r w:rsidR="00D55D09" w:rsidRPr="00656873">
              <w:rPr>
                <w:sz w:val="25"/>
                <w:szCs w:val="25"/>
              </w:rPr>
              <w:t xml:space="preserve"> velobrauciena vēsturiski politiska nozīme, simbolizējot 1989.gada 23.augustā Baltijas valstu iedzīvotāju īstenoto solidaritātes akciju „Baltijas ceļš” un </w:t>
            </w:r>
            <w:r w:rsidR="00D1470F">
              <w:rPr>
                <w:sz w:val="25"/>
                <w:szCs w:val="25"/>
              </w:rPr>
              <w:t xml:space="preserve">dambretes </w:t>
            </w:r>
            <w:r w:rsidR="00D55D09" w:rsidRPr="00656873">
              <w:rPr>
                <w:sz w:val="25"/>
                <w:szCs w:val="25"/>
              </w:rPr>
              <w:t>sacensības, kurām ir pasaules čempionāta statuss).</w:t>
            </w:r>
          </w:p>
          <w:p w:rsidR="00D142B6" w:rsidRPr="00656873" w:rsidRDefault="00D142B6" w:rsidP="003E53EB">
            <w:pPr>
              <w:ind w:right="141"/>
              <w:jc w:val="both"/>
              <w:rPr>
                <w:sz w:val="25"/>
                <w:szCs w:val="25"/>
              </w:rPr>
            </w:pPr>
          </w:p>
          <w:p w:rsidR="00214413" w:rsidRPr="00656873" w:rsidRDefault="001E6E40" w:rsidP="003E53EB">
            <w:pPr>
              <w:ind w:left="142" w:right="127"/>
              <w:jc w:val="both"/>
              <w:rPr>
                <w:sz w:val="25"/>
                <w:szCs w:val="25"/>
              </w:rPr>
            </w:pPr>
            <w:r w:rsidRPr="00656873">
              <w:rPr>
                <w:sz w:val="25"/>
                <w:szCs w:val="25"/>
              </w:rPr>
              <w:t xml:space="preserve">Ņemot vērā </w:t>
            </w:r>
            <w:r w:rsidR="00795000" w:rsidRPr="00656873">
              <w:rPr>
                <w:sz w:val="25"/>
                <w:szCs w:val="25"/>
              </w:rPr>
              <w:t xml:space="preserve">iepriekš minēto, </w:t>
            </w:r>
            <w:r w:rsidR="003014C2" w:rsidRPr="00656873">
              <w:rPr>
                <w:sz w:val="25"/>
                <w:szCs w:val="25"/>
              </w:rPr>
              <w:t xml:space="preserve">ministrija </w:t>
            </w:r>
            <w:r w:rsidR="008E4101" w:rsidRPr="00656873">
              <w:rPr>
                <w:sz w:val="25"/>
                <w:szCs w:val="25"/>
              </w:rPr>
              <w:t xml:space="preserve">ir sagatavojusi </w:t>
            </w:r>
            <w:r w:rsidRPr="00656873">
              <w:rPr>
                <w:sz w:val="25"/>
                <w:szCs w:val="25"/>
              </w:rPr>
              <w:t>Ministru kabineta rīkojuma projekt</w:t>
            </w:r>
            <w:r w:rsidR="003014C2" w:rsidRPr="00656873">
              <w:rPr>
                <w:sz w:val="25"/>
                <w:szCs w:val="25"/>
              </w:rPr>
              <w:t>u</w:t>
            </w:r>
            <w:r w:rsidR="00FF19DC" w:rsidRPr="00656873">
              <w:rPr>
                <w:sz w:val="25"/>
                <w:szCs w:val="25"/>
              </w:rPr>
              <w:t xml:space="preserve"> „Par finanšu līdzekļu piešķiršanu no valsts budžeta programmas „Līdzekļi neparedzētiem gadījumiem”” (turpmāk – Rīkojuma projekts)</w:t>
            </w:r>
            <w:r w:rsidR="002E40BB" w:rsidRPr="00656873">
              <w:rPr>
                <w:sz w:val="25"/>
                <w:szCs w:val="25"/>
              </w:rPr>
              <w:t>.</w:t>
            </w:r>
          </w:p>
        </w:tc>
      </w:tr>
      <w:tr w:rsidR="00585B7B" w:rsidRPr="00656873" w:rsidTr="00B74776">
        <w:trPr>
          <w:trHeight w:val="823"/>
        </w:trPr>
        <w:tc>
          <w:tcPr>
            <w:tcW w:w="1135" w:type="dxa"/>
          </w:tcPr>
          <w:p w:rsidR="00585B7B" w:rsidRPr="00656873" w:rsidRDefault="00585B7B" w:rsidP="00BD696A">
            <w:pPr>
              <w:pStyle w:val="naiskr"/>
              <w:spacing w:before="0" w:after="0"/>
              <w:jc w:val="center"/>
              <w:rPr>
                <w:sz w:val="25"/>
                <w:szCs w:val="25"/>
              </w:rPr>
            </w:pPr>
            <w:r w:rsidRPr="00656873">
              <w:rPr>
                <w:sz w:val="25"/>
                <w:szCs w:val="25"/>
              </w:rPr>
              <w:lastRenderedPageBreak/>
              <w:t>3.</w:t>
            </w:r>
          </w:p>
        </w:tc>
        <w:tc>
          <w:tcPr>
            <w:tcW w:w="2693" w:type="dxa"/>
          </w:tcPr>
          <w:p w:rsidR="00585B7B" w:rsidRPr="00656873" w:rsidRDefault="00585B7B" w:rsidP="00916055">
            <w:pPr>
              <w:pStyle w:val="naiskr"/>
              <w:spacing w:before="0" w:after="0"/>
              <w:ind w:left="141"/>
              <w:rPr>
                <w:sz w:val="25"/>
                <w:szCs w:val="25"/>
              </w:rPr>
            </w:pPr>
            <w:r w:rsidRPr="00656873">
              <w:rPr>
                <w:sz w:val="25"/>
                <w:szCs w:val="25"/>
              </w:rPr>
              <w:t>Saistītie politikas ietekmes novērtējumi un pētījumi</w:t>
            </w:r>
          </w:p>
        </w:tc>
        <w:tc>
          <w:tcPr>
            <w:tcW w:w="6242" w:type="dxa"/>
          </w:tcPr>
          <w:p w:rsidR="00585B7B" w:rsidRPr="00656873" w:rsidRDefault="00897D5C" w:rsidP="00131A15">
            <w:pPr>
              <w:pStyle w:val="FootnoteText"/>
              <w:ind w:firstLine="82"/>
              <w:rPr>
                <w:sz w:val="25"/>
                <w:szCs w:val="25"/>
              </w:rPr>
            </w:pPr>
            <w:r>
              <w:rPr>
                <w:sz w:val="25"/>
                <w:szCs w:val="25"/>
              </w:rPr>
              <w:t xml:space="preserve"> </w:t>
            </w:r>
            <w:r w:rsidRPr="00897D5C">
              <w:rPr>
                <w:sz w:val="25"/>
                <w:szCs w:val="25"/>
              </w:rPr>
              <w:t>Projekts šo jomu neskar</w:t>
            </w:r>
            <w:r w:rsidR="00227F1E">
              <w:rPr>
                <w:sz w:val="25"/>
                <w:szCs w:val="25"/>
              </w:rPr>
              <w:t>.</w:t>
            </w:r>
          </w:p>
        </w:tc>
      </w:tr>
      <w:tr w:rsidR="00585B7B" w:rsidRPr="00656873" w:rsidTr="00B74776">
        <w:trPr>
          <w:trHeight w:val="410"/>
        </w:trPr>
        <w:tc>
          <w:tcPr>
            <w:tcW w:w="1135" w:type="dxa"/>
          </w:tcPr>
          <w:p w:rsidR="00585B7B" w:rsidRPr="00656873" w:rsidRDefault="00585B7B" w:rsidP="00BD696A">
            <w:pPr>
              <w:pStyle w:val="naiskr"/>
              <w:spacing w:before="0" w:after="0"/>
              <w:jc w:val="center"/>
              <w:rPr>
                <w:sz w:val="25"/>
                <w:szCs w:val="25"/>
              </w:rPr>
            </w:pPr>
            <w:r w:rsidRPr="00656873">
              <w:rPr>
                <w:sz w:val="25"/>
                <w:szCs w:val="25"/>
              </w:rPr>
              <w:t>4.</w:t>
            </w:r>
          </w:p>
        </w:tc>
        <w:tc>
          <w:tcPr>
            <w:tcW w:w="2693" w:type="dxa"/>
          </w:tcPr>
          <w:p w:rsidR="00585B7B" w:rsidRPr="00656873" w:rsidRDefault="00585B7B" w:rsidP="00916055">
            <w:pPr>
              <w:pStyle w:val="naiskr"/>
              <w:spacing w:before="0" w:after="0"/>
              <w:ind w:left="141"/>
              <w:rPr>
                <w:sz w:val="25"/>
                <w:szCs w:val="25"/>
              </w:rPr>
            </w:pPr>
            <w:r w:rsidRPr="00656873">
              <w:rPr>
                <w:sz w:val="25"/>
                <w:szCs w:val="25"/>
              </w:rPr>
              <w:t>Tiesiskā regulējuma mērķis un būtība</w:t>
            </w:r>
          </w:p>
        </w:tc>
        <w:tc>
          <w:tcPr>
            <w:tcW w:w="6242" w:type="dxa"/>
          </w:tcPr>
          <w:p w:rsidR="00730CDA" w:rsidRPr="00656873" w:rsidRDefault="00897D5C" w:rsidP="00B74776">
            <w:pPr>
              <w:ind w:left="142" w:right="141" w:hanging="60"/>
              <w:jc w:val="both"/>
              <w:rPr>
                <w:rFonts w:eastAsia="Times New Roman"/>
                <w:color w:val="000000"/>
                <w:sz w:val="25"/>
                <w:szCs w:val="25"/>
              </w:rPr>
            </w:pPr>
            <w:r>
              <w:rPr>
                <w:rFonts w:eastAsia="Times New Roman"/>
                <w:color w:val="000000"/>
                <w:sz w:val="25"/>
                <w:szCs w:val="25"/>
              </w:rPr>
              <w:t xml:space="preserve"> </w:t>
            </w:r>
            <w:r w:rsidR="00B96B6E" w:rsidRPr="00656873">
              <w:rPr>
                <w:rFonts w:eastAsia="Times New Roman"/>
                <w:color w:val="000000"/>
                <w:sz w:val="25"/>
                <w:szCs w:val="25"/>
              </w:rPr>
              <w:t xml:space="preserve">Rīkojuma projekts paredz uzdevumu Finanšu ministrijai no valsts budžeta programmas 02.00.00 „Līdzekļi neparedzētiem gadījumiem” piešķirt </w:t>
            </w:r>
            <w:r w:rsidR="00073118" w:rsidRPr="00656873">
              <w:rPr>
                <w:rFonts w:eastAsia="Times New Roman"/>
                <w:color w:val="000000"/>
                <w:sz w:val="25"/>
                <w:szCs w:val="25"/>
              </w:rPr>
              <w:t xml:space="preserve">ministrijai </w:t>
            </w:r>
            <w:r w:rsidR="009429AE" w:rsidRPr="00D167AC">
              <w:rPr>
                <w:rFonts w:eastAsia="Times New Roman"/>
                <w:color w:val="000000"/>
                <w:sz w:val="25"/>
                <w:szCs w:val="25"/>
              </w:rPr>
              <w:t>443</w:t>
            </w:r>
            <w:r w:rsidR="00656873" w:rsidRPr="00D167AC">
              <w:rPr>
                <w:rFonts w:eastAsia="Times New Roman"/>
                <w:color w:val="000000"/>
                <w:sz w:val="25"/>
                <w:szCs w:val="25"/>
              </w:rPr>
              <w:t>`</w:t>
            </w:r>
            <w:r w:rsidR="009429AE" w:rsidRPr="00D167AC">
              <w:rPr>
                <w:rFonts w:eastAsia="Times New Roman"/>
                <w:color w:val="000000"/>
                <w:sz w:val="25"/>
                <w:szCs w:val="25"/>
              </w:rPr>
              <w:t>6</w:t>
            </w:r>
            <w:r w:rsidR="00656873" w:rsidRPr="00D167AC">
              <w:rPr>
                <w:rFonts w:eastAsia="Times New Roman"/>
                <w:color w:val="000000"/>
                <w:sz w:val="25"/>
                <w:szCs w:val="25"/>
              </w:rPr>
              <w:t>97</w:t>
            </w:r>
            <w:r w:rsidR="00656873" w:rsidRPr="00656873">
              <w:rPr>
                <w:rFonts w:eastAsia="Times New Roman"/>
                <w:color w:val="000000"/>
                <w:sz w:val="25"/>
                <w:szCs w:val="25"/>
              </w:rPr>
              <w:t xml:space="preserve"> latu apmērā </w:t>
            </w:r>
            <w:r w:rsidR="00730CDA" w:rsidRPr="00656873">
              <w:rPr>
                <w:rFonts w:eastAsia="Times New Roman"/>
                <w:color w:val="000000"/>
                <w:sz w:val="25"/>
                <w:szCs w:val="25"/>
              </w:rPr>
              <w:t xml:space="preserve">pārskaitīšanai </w:t>
            </w:r>
            <w:r w:rsidR="00656873">
              <w:rPr>
                <w:rFonts w:eastAsia="Times New Roman"/>
                <w:color w:val="000000"/>
                <w:sz w:val="25"/>
                <w:szCs w:val="25"/>
              </w:rPr>
              <w:t>LOV, LHF, LRF un LDS saskaņā ar Pieprasījumā norādīto mērķi</w:t>
            </w:r>
            <w:r w:rsidR="00E71B3B" w:rsidRPr="00656873">
              <w:rPr>
                <w:rFonts w:eastAsia="Times New Roman"/>
                <w:color w:val="000000"/>
                <w:sz w:val="25"/>
                <w:szCs w:val="25"/>
              </w:rPr>
              <w:t>.</w:t>
            </w:r>
          </w:p>
          <w:p w:rsidR="00033013" w:rsidRPr="00656873" w:rsidRDefault="00B74776" w:rsidP="00131A15">
            <w:pPr>
              <w:ind w:left="82" w:right="141"/>
              <w:jc w:val="both"/>
              <w:rPr>
                <w:rFonts w:eastAsia="Times New Roman"/>
                <w:color w:val="000000"/>
                <w:sz w:val="25"/>
                <w:szCs w:val="25"/>
              </w:rPr>
            </w:pPr>
            <w:r>
              <w:rPr>
                <w:color w:val="000000"/>
                <w:sz w:val="25"/>
                <w:szCs w:val="25"/>
              </w:rPr>
              <w:t xml:space="preserve"> </w:t>
            </w:r>
            <w:r w:rsidR="002E011D" w:rsidRPr="00656873">
              <w:rPr>
                <w:color w:val="000000"/>
                <w:sz w:val="25"/>
                <w:szCs w:val="25"/>
              </w:rPr>
              <w:t xml:space="preserve">Anotācijas I sadaļas 2.punktā </w:t>
            </w:r>
            <w:r w:rsidR="00033013" w:rsidRPr="00656873">
              <w:rPr>
                <w:color w:val="000000"/>
                <w:sz w:val="25"/>
                <w:szCs w:val="25"/>
              </w:rPr>
              <w:t>minētā problēma tiks atrisināta pilnībā.</w:t>
            </w:r>
          </w:p>
        </w:tc>
      </w:tr>
      <w:tr w:rsidR="00585B7B" w:rsidRPr="00656873" w:rsidTr="00B74776">
        <w:trPr>
          <w:trHeight w:val="476"/>
        </w:trPr>
        <w:tc>
          <w:tcPr>
            <w:tcW w:w="1135" w:type="dxa"/>
          </w:tcPr>
          <w:p w:rsidR="00585B7B" w:rsidRPr="00656873" w:rsidRDefault="00585B7B" w:rsidP="00BD696A">
            <w:pPr>
              <w:pStyle w:val="naiskr"/>
              <w:spacing w:before="0" w:after="0"/>
              <w:jc w:val="center"/>
              <w:rPr>
                <w:sz w:val="25"/>
                <w:szCs w:val="25"/>
              </w:rPr>
            </w:pPr>
            <w:r w:rsidRPr="00656873">
              <w:rPr>
                <w:sz w:val="25"/>
                <w:szCs w:val="25"/>
              </w:rPr>
              <w:t>5.</w:t>
            </w:r>
          </w:p>
        </w:tc>
        <w:tc>
          <w:tcPr>
            <w:tcW w:w="2693" w:type="dxa"/>
          </w:tcPr>
          <w:p w:rsidR="00585B7B" w:rsidRPr="00656873" w:rsidRDefault="00585B7B" w:rsidP="00916055">
            <w:pPr>
              <w:pStyle w:val="naiskr"/>
              <w:spacing w:before="0" w:after="0"/>
              <w:ind w:left="141"/>
              <w:rPr>
                <w:sz w:val="25"/>
                <w:szCs w:val="25"/>
              </w:rPr>
            </w:pPr>
            <w:r w:rsidRPr="00656873">
              <w:rPr>
                <w:sz w:val="25"/>
                <w:szCs w:val="25"/>
              </w:rPr>
              <w:t>Projekta izstrādē iesaistītās institūcijas</w:t>
            </w:r>
          </w:p>
        </w:tc>
        <w:tc>
          <w:tcPr>
            <w:tcW w:w="6242" w:type="dxa"/>
          </w:tcPr>
          <w:p w:rsidR="00585B7B" w:rsidRPr="00656873" w:rsidRDefault="00897D5C" w:rsidP="00897D5C">
            <w:pPr>
              <w:ind w:left="142" w:right="141" w:hanging="60"/>
              <w:jc w:val="both"/>
              <w:rPr>
                <w:sz w:val="25"/>
                <w:szCs w:val="25"/>
              </w:rPr>
            </w:pPr>
            <w:r>
              <w:rPr>
                <w:sz w:val="25"/>
                <w:szCs w:val="25"/>
              </w:rPr>
              <w:t xml:space="preserve"> </w:t>
            </w:r>
            <w:r w:rsidR="00033013" w:rsidRPr="00656873">
              <w:rPr>
                <w:sz w:val="25"/>
                <w:szCs w:val="25"/>
              </w:rPr>
              <w:t>Izglītības un zinātnes ministrija</w:t>
            </w:r>
            <w:r w:rsidR="00656873">
              <w:rPr>
                <w:sz w:val="25"/>
                <w:szCs w:val="25"/>
              </w:rPr>
              <w:t xml:space="preserve">, SIA „Latvijas Olimpiskā vienība”, biedrība „Latvijas Hokeja federācija”, </w:t>
            </w:r>
            <w:r w:rsidR="00255BAD" w:rsidRPr="00656873">
              <w:rPr>
                <w:rFonts w:eastAsia="Times New Roman"/>
                <w:color w:val="000000"/>
                <w:sz w:val="25"/>
                <w:szCs w:val="25"/>
              </w:rPr>
              <w:t xml:space="preserve">biedrība </w:t>
            </w:r>
            <w:r w:rsidR="0017384A" w:rsidRPr="00656873">
              <w:rPr>
                <w:rFonts w:eastAsia="Times New Roman"/>
                <w:color w:val="000000"/>
                <w:sz w:val="25"/>
                <w:szCs w:val="25"/>
              </w:rPr>
              <w:t xml:space="preserve">„Latvijas </w:t>
            </w:r>
            <w:r w:rsidR="00070F25" w:rsidRPr="00656873">
              <w:rPr>
                <w:rFonts w:eastAsia="Times New Roman"/>
                <w:color w:val="000000"/>
                <w:sz w:val="25"/>
                <w:szCs w:val="25"/>
              </w:rPr>
              <w:t xml:space="preserve"> Riteņbraukšanas federācija</w:t>
            </w:r>
            <w:r w:rsidR="0017384A" w:rsidRPr="00656873">
              <w:rPr>
                <w:rFonts w:eastAsia="Times New Roman"/>
                <w:color w:val="000000"/>
                <w:sz w:val="25"/>
                <w:szCs w:val="25"/>
              </w:rPr>
              <w:t>”</w:t>
            </w:r>
            <w:r w:rsidR="00656873">
              <w:rPr>
                <w:rFonts w:eastAsia="Times New Roman"/>
                <w:color w:val="000000"/>
                <w:sz w:val="25"/>
                <w:szCs w:val="25"/>
              </w:rPr>
              <w:t xml:space="preserve"> un biedrība „Latvijas Dambretes savienība”.</w:t>
            </w:r>
          </w:p>
        </w:tc>
      </w:tr>
      <w:tr w:rsidR="00585B7B" w:rsidRPr="00656873" w:rsidTr="00B74776">
        <w:trPr>
          <w:trHeight w:val="416"/>
        </w:trPr>
        <w:tc>
          <w:tcPr>
            <w:tcW w:w="1135" w:type="dxa"/>
          </w:tcPr>
          <w:p w:rsidR="00585B7B" w:rsidRPr="00656873" w:rsidRDefault="00585B7B" w:rsidP="00BD696A">
            <w:pPr>
              <w:pStyle w:val="naiskr"/>
              <w:spacing w:before="0" w:after="0"/>
              <w:jc w:val="center"/>
              <w:rPr>
                <w:sz w:val="25"/>
                <w:szCs w:val="25"/>
              </w:rPr>
            </w:pPr>
            <w:r w:rsidRPr="00656873">
              <w:rPr>
                <w:sz w:val="25"/>
                <w:szCs w:val="25"/>
              </w:rPr>
              <w:t>6.</w:t>
            </w:r>
          </w:p>
        </w:tc>
        <w:tc>
          <w:tcPr>
            <w:tcW w:w="2693" w:type="dxa"/>
          </w:tcPr>
          <w:p w:rsidR="00585B7B" w:rsidRPr="00656873" w:rsidRDefault="00585B7B" w:rsidP="00916055">
            <w:pPr>
              <w:pStyle w:val="naiskr"/>
              <w:spacing w:before="0" w:after="0"/>
              <w:ind w:left="141"/>
              <w:rPr>
                <w:i/>
                <w:sz w:val="25"/>
                <w:szCs w:val="25"/>
                <w:highlight w:val="yellow"/>
              </w:rPr>
            </w:pPr>
            <w:r w:rsidRPr="00656873">
              <w:rPr>
                <w:sz w:val="25"/>
                <w:szCs w:val="25"/>
              </w:rPr>
              <w:t>Iemesli, kādēļ netika nodrošināta sabiedrības līdzdalība</w:t>
            </w:r>
          </w:p>
        </w:tc>
        <w:tc>
          <w:tcPr>
            <w:tcW w:w="6242" w:type="dxa"/>
          </w:tcPr>
          <w:p w:rsidR="00585B7B" w:rsidRPr="00656873" w:rsidRDefault="00491207" w:rsidP="00491207">
            <w:pPr>
              <w:pStyle w:val="FootnoteText"/>
              <w:ind w:left="142"/>
              <w:jc w:val="both"/>
              <w:rPr>
                <w:sz w:val="25"/>
                <w:szCs w:val="25"/>
              </w:rPr>
            </w:pPr>
            <w:r w:rsidRPr="00491207">
              <w:rPr>
                <w:sz w:val="25"/>
                <w:szCs w:val="25"/>
              </w:rPr>
              <w:t xml:space="preserve">Jautājums </w:t>
            </w:r>
            <w:r>
              <w:rPr>
                <w:sz w:val="25"/>
                <w:szCs w:val="25"/>
              </w:rPr>
              <w:t xml:space="preserve">par papildus valsts budžeta līdzekļu piešķiršanu LOV, LHF un LDS </w:t>
            </w:r>
            <w:r w:rsidRPr="00491207">
              <w:rPr>
                <w:sz w:val="25"/>
                <w:szCs w:val="25"/>
              </w:rPr>
              <w:t>izskatīts Latvija</w:t>
            </w:r>
            <w:r>
              <w:rPr>
                <w:sz w:val="25"/>
                <w:szCs w:val="25"/>
              </w:rPr>
              <w:t>s Nacionālās sporta padomes 2013</w:t>
            </w:r>
            <w:r w:rsidRPr="00491207">
              <w:rPr>
                <w:sz w:val="25"/>
                <w:szCs w:val="25"/>
              </w:rPr>
              <w:t xml:space="preserve">.gada </w:t>
            </w:r>
            <w:r>
              <w:rPr>
                <w:sz w:val="25"/>
                <w:szCs w:val="25"/>
              </w:rPr>
              <w:t>24.maija</w:t>
            </w:r>
            <w:r w:rsidRPr="00491207">
              <w:rPr>
                <w:sz w:val="25"/>
                <w:szCs w:val="25"/>
              </w:rPr>
              <w:t xml:space="preserve"> sēdē, tāpēc atkārtota sabiedrības līdzdalība Rīkojuma projekta izstrādē nebija nepieciešama</w:t>
            </w:r>
            <w:r>
              <w:rPr>
                <w:sz w:val="25"/>
                <w:szCs w:val="25"/>
              </w:rPr>
              <w:t>.</w:t>
            </w:r>
          </w:p>
        </w:tc>
      </w:tr>
      <w:tr w:rsidR="00585B7B" w:rsidRPr="00656873" w:rsidTr="00B74776">
        <w:tc>
          <w:tcPr>
            <w:tcW w:w="1135" w:type="dxa"/>
          </w:tcPr>
          <w:p w:rsidR="00585B7B" w:rsidRPr="00656873" w:rsidRDefault="00585B7B" w:rsidP="00BD696A">
            <w:pPr>
              <w:pStyle w:val="naiskr"/>
              <w:spacing w:before="0" w:after="0"/>
              <w:jc w:val="center"/>
              <w:rPr>
                <w:sz w:val="25"/>
                <w:szCs w:val="25"/>
              </w:rPr>
            </w:pPr>
            <w:r w:rsidRPr="00656873">
              <w:rPr>
                <w:sz w:val="25"/>
                <w:szCs w:val="25"/>
              </w:rPr>
              <w:t>7.</w:t>
            </w:r>
          </w:p>
        </w:tc>
        <w:tc>
          <w:tcPr>
            <w:tcW w:w="2693" w:type="dxa"/>
          </w:tcPr>
          <w:p w:rsidR="00585B7B" w:rsidRPr="00656873" w:rsidRDefault="00585B7B" w:rsidP="00916055">
            <w:pPr>
              <w:pStyle w:val="naiskr"/>
              <w:spacing w:before="0" w:after="0"/>
              <w:ind w:left="141"/>
              <w:rPr>
                <w:sz w:val="25"/>
                <w:szCs w:val="25"/>
              </w:rPr>
            </w:pPr>
            <w:r w:rsidRPr="00656873">
              <w:rPr>
                <w:sz w:val="25"/>
                <w:szCs w:val="25"/>
              </w:rPr>
              <w:t>Cita informācija</w:t>
            </w:r>
          </w:p>
        </w:tc>
        <w:tc>
          <w:tcPr>
            <w:tcW w:w="6242" w:type="dxa"/>
          </w:tcPr>
          <w:p w:rsidR="00585B7B" w:rsidRPr="00656873" w:rsidRDefault="00E5461A" w:rsidP="00457282">
            <w:pPr>
              <w:ind w:left="142" w:right="127"/>
              <w:jc w:val="both"/>
              <w:rPr>
                <w:sz w:val="25"/>
                <w:szCs w:val="25"/>
              </w:rPr>
            </w:pPr>
            <w:r w:rsidRPr="00656873">
              <w:rPr>
                <w:sz w:val="25"/>
                <w:szCs w:val="25"/>
              </w:rPr>
              <w:t>Rīkojuma projekts tiešā veidā attiecas uz tūrisma, sporta un brīvā laika politiku.</w:t>
            </w:r>
          </w:p>
        </w:tc>
      </w:tr>
    </w:tbl>
    <w:p w:rsidR="002F25B0" w:rsidRPr="00656873" w:rsidRDefault="005C3A56" w:rsidP="005C3A56">
      <w:pPr>
        <w:pStyle w:val="naisf"/>
        <w:tabs>
          <w:tab w:val="left" w:pos="3819"/>
        </w:tabs>
        <w:spacing w:before="0" w:after="0"/>
        <w:rPr>
          <w:sz w:val="25"/>
          <w:szCs w:val="25"/>
        </w:rPr>
      </w:pPr>
      <w:r w:rsidRPr="00656873">
        <w:rPr>
          <w:sz w:val="25"/>
          <w:szCs w:val="25"/>
        </w:rPr>
        <w:tab/>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R="00585B7B" w:rsidRPr="00656873" w:rsidTr="00B74776">
        <w:tc>
          <w:tcPr>
            <w:tcW w:w="10060" w:type="dxa"/>
            <w:vAlign w:val="center"/>
          </w:tcPr>
          <w:p w:rsidR="00585B7B" w:rsidRPr="00656873" w:rsidRDefault="00585B7B" w:rsidP="00194A0F">
            <w:pPr>
              <w:pStyle w:val="naisnod"/>
              <w:spacing w:before="0" w:after="0"/>
              <w:rPr>
                <w:sz w:val="25"/>
                <w:szCs w:val="25"/>
              </w:rPr>
            </w:pPr>
            <w:r w:rsidRPr="00656873">
              <w:rPr>
                <w:sz w:val="25"/>
                <w:szCs w:val="25"/>
              </w:rPr>
              <w:t>II. Tiesību akta projekta ietekme uz sabiedrību</w:t>
            </w:r>
          </w:p>
        </w:tc>
      </w:tr>
      <w:tr w:rsidR="00585B7B" w:rsidRPr="00656873" w:rsidTr="00B74776">
        <w:tc>
          <w:tcPr>
            <w:tcW w:w="10060" w:type="dxa"/>
            <w:vAlign w:val="center"/>
          </w:tcPr>
          <w:p w:rsidR="00585B7B" w:rsidRPr="00656873" w:rsidRDefault="00897D5C" w:rsidP="00194A0F">
            <w:pPr>
              <w:pStyle w:val="naisnod"/>
              <w:spacing w:before="0" w:after="0"/>
              <w:rPr>
                <w:sz w:val="25"/>
                <w:szCs w:val="25"/>
              </w:rPr>
            </w:pPr>
            <w:r w:rsidRPr="00897D5C">
              <w:rPr>
                <w:b w:val="0"/>
                <w:sz w:val="25"/>
                <w:szCs w:val="25"/>
              </w:rPr>
              <w:t>Projekts šo jomu neskar</w:t>
            </w:r>
          </w:p>
        </w:tc>
      </w:tr>
    </w:tbl>
    <w:p w:rsidR="00585B7B" w:rsidRPr="00656873" w:rsidRDefault="00585B7B" w:rsidP="00D96FCD">
      <w:pPr>
        <w:pStyle w:val="naisf"/>
        <w:spacing w:before="0" w:after="0"/>
        <w:rPr>
          <w:sz w:val="25"/>
          <w:szCs w:val="25"/>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656873" w:rsidTr="00916055">
        <w:trPr>
          <w:trHeight w:val="496"/>
          <w:jc w:val="center"/>
        </w:trPr>
        <w:tc>
          <w:tcPr>
            <w:tcW w:w="10077" w:type="dxa"/>
            <w:gridSpan w:val="6"/>
          </w:tcPr>
          <w:p w:rsidR="00DA30DA" w:rsidRPr="00656873" w:rsidRDefault="00DA30DA" w:rsidP="00916055">
            <w:pPr>
              <w:pStyle w:val="naisnod"/>
              <w:spacing w:before="0" w:after="0"/>
              <w:rPr>
                <w:i/>
                <w:sz w:val="25"/>
                <w:szCs w:val="25"/>
              </w:rPr>
            </w:pPr>
            <w:r w:rsidRPr="00656873">
              <w:rPr>
                <w:sz w:val="25"/>
                <w:szCs w:val="25"/>
              </w:rPr>
              <w:br w:type="page"/>
              <w:t>III. Tiesību akta projekta ietekme uz valsts budžetu un pašvaldību budžetiem</w:t>
            </w:r>
          </w:p>
        </w:tc>
      </w:tr>
      <w:tr w:rsidR="00DA30DA" w:rsidRPr="00656873" w:rsidTr="00DA30DA">
        <w:trPr>
          <w:jc w:val="center"/>
        </w:trPr>
        <w:tc>
          <w:tcPr>
            <w:tcW w:w="2853" w:type="dxa"/>
            <w:vMerge w:val="restart"/>
            <w:vAlign w:val="center"/>
          </w:tcPr>
          <w:p w:rsidR="00DA30DA" w:rsidRPr="00656873" w:rsidRDefault="00DA30DA" w:rsidP="00831A72">
            <w:pPr>
              <w:pStyle w:val="naisf"/>
              <w:spacing w:before="0" w:after="0"/>
              <w:ind w:firstLine="0"/>
              <w:jc w:val="center"/>
              <w:rPr>
                <w:b/>
                <w:sz w:val="25"/>
                <w:szCs w:val="25"/>
              </w:rPr>
            </w:pPr>
            <w:r w:rsidRPr="00656873">
              <w:rPr>
                <w:b/>
                <w:sz w:val="25"/>
                <w:szCs w:val="25"/>
              </w:rPr>
              <w:lastRenderedPageBreak/>
              <w:t>Rādītāji</w:t>
            </w:r>
          </w:p>
        </w:tc>
        <w:tc>
          <w:tcPr>
            <w:tcW w:w="2703" w:type="dxa"/>
            <w:gridSpan w:val="2"/>
            <w:vMerge w:val="restart"/>
            <w:vAlign w:val="center"/>
          </w:tcPr>
          <w:p w:rsidR="00DA30DA" w:rsidRPr="00656873" w:rsidRDefault="00DA30DA" w:rsidP="00942D3A">
            <w:pPr>
              <w:pStyle w:val="naisf"/>
              <w:spacing w:before="0" w:after="0"/>
              <w:ind w:firstLine="0"/>
              <w:jc w:val="center"/>
              <w:rPr>
                <w:b/>
                <w:sz w:val="25"/>
                <w:szCs w:val="25"/>
              </w:rPr>
            </w:pPr>
            <w:r w:rsidRPr="00656873">
              <w:rPr>
                <w:b/>
                <w:sz w:val="25"/>
                <w:szCs w:val="25"/>
              </w:rPr>
              <w:t>201</w:t>
            </w:r>
            <w:r w:rsidR="00457282" w:rsidRPr="00656873">
              <w:rPr>
                <w:b/>
                <w:sz w:val="25"/>
                <w:szCs w:val="25"/>
              </w:rPr>
              <w:t>3</w:t>
            </w:r>
            <w:r w:rsidRPr="00656873">
              <w:rPr>
                <w:b/>
                <w:sz w:val="25"/>
                <w:szCs w:val="25"/>
              </w:rPr>
              <w:t>.gads</w:t>
            </w:r>
          </w:p>
        </w:tc>
        <w:tc>
          <w:tcPr>
            <w:tcW w:w="4521" w:type="dxa"/>
            <w:gridSpan w:val="3"/>
            <w:vAlign w:val="center"/>
          </w:tcPr>
          <w:p w:rsidR="00DA30DA" w:rsidRPr="00656873" w:rsidRDefault="00DA30DA" w:rsidP="00831A72">
            <w:pPr>
              <w:pStyle w:val="naisf"/>
              <w:spacing w:before="0" w:after="0"/>
              <w:ind w:firstLine="0"/>
              <w:jc w:val="center"/>
              <w:rPr>
                <w:b/>
                <w:i/>
                <w:sz w:val="25"/>
                <w:szCs w:val="25"/>
              </w:rPr>
            </w:pPr>
            <w:r w:rsidRPr="00656873">
              <w:rPr>
                <w:sz w:val="25"/>
                <w:szCs w:val="25"/>
              </w:rPr>
              <w:t>Turpmākie trīs gadi (tūkst</w:t>
            </w:r>
            <w:smartTag w:uri="schemas-tilde-lv/tildestengine" w:element="currency2">
              <w:smartTagPr>
                <w:attr w:name="currency_id" w:val="48"/>
                <w:attr w:name="currency_key" w:val="LVL"/>
                <w:attr w:name="currency_value" w:val="."/>
                <w:attr w:name="currency_text" w:val="latu"/>
              </w:smartTagPr>
              <w:r w:rsidRPr="00656873">
                <w:rPr>
                  <w:sz w:val="25"/>
                  <w:szCs w:val="25"/>
                </w:rPr>
                <w:t>. latu</w:t>
              </w:r>
            </w:smartTag>
            <w:r w:rsidRPr="00656873">
              <w:rPr>
                <w:sz w:val="25"/>
                <w:szCs w:val="25"/>
              </w:rPr>
              <w:t>)</w:t>
            </w:r>
          </w:p>
        </w:tc>
      </w:tr>
      <w:tr w:rsidR="00DA30DA" w:rsidRPr="00656873" w:rsidTr="00DA30DA">
        <w:trPr>
          <w:jc w:val="center"/>
        </w:trPr>
        <w:tc>
          <w:tcPr>
            <w:tcW w:w="2853" w:type="dxa"/>
            <w:vMerge/>
            <w:vAlign w:val="center"/>
          </w:tcPr>
          <w:p w:rsidR="00DA30DA" w:rsidRPr="00656873" w:rsidRDefault="00DA30DA" w:rsidP="00831A72">
            <w:pPr>
              <w:pStyle w:val="naisf"/>
              <w:spacing w:before="0" w:after="0"/>
              <w:ind w:firstLine="0"/>
              <w:jc w:val="center"/>
              <w:rPr>
                <w:b/>
                <w:i/>
                <w:sz w:val="25"/>
                <w:szCs w:val="25"/>
              </w:rPr>
            </w:pPr>
          </w:p>
        </w:tc>
        <w:tc>
          <w:tcPr>
            <w:tcW w:w="2703" w:type="dxa"/>
            <w:gridSpan w:val="2"/>
            <w:vMerge/>
            <w:vAlign w:val="center"/>
          </w:tcPr>
          <w:p w:rsidR="00DA30DA" w:rsidRPr="00656873" w:rsidRDefault="00DA30DA" w:rsidP="00831A72">
            <w:pPr>
              <w:pStyle w:val="naisf"/>
              <w:spacing w:before="0" w:after="0"/>
              <w:ind w:firstLine="0"/>
              <w:jc w:val="center"/>
              <w:rPr>
                <w:b/>
                <w:i/>
                <w:sz w:val="25"/>
                <w:szCs w:val="25"/>
              </w:rPr>
            </w:pPr>
          </w:p>
        </w:tc>
        <w:tc>
          <w:tcPr>
            <w:tcW w:w="1507" w:type="dxa"/>
            <w:vAlign w:val="center"/>
          </w:tcPr>
          <w:p w:rsidR="00DA30DA" w:rsidRPr="00656873" w:rsidRDefault="00DA30DA" w:rsidP="00942D3A">
            <w:pPr>
              <w:pStyle w:val="naisf"/>
              <w:spacing w:before="0" w:after="0"/>
              <w:ind w:firstLine="0"/>
              <w:jc w:val="center"/>
              <w:rPr>
                <w:b/>
                <w:i/>
                <w:sz w:val="25"/>
                <w:szCs w:val="25"/>
              </w:rPr>
            </w:pPr>
            <w:r w:rsidRPr="00656873">
              <w:rPr>
                <w:b/>
                <w:bCs/>
                <w:sz w:val="25"/>
                <w:szCs w:val="25"/>
              </w:rPr>
              <w:t>201</w:t>
            </w:r>
            <w:r w:rsidR="00457282" w:rsidRPr="00656873">
              <w:rPr>
                <w:b/>
                <w:bCs/>
                <w:sz w:val="25"/>
                <w:szCs w:val="25"/>
              </w:rPr>
              <w:t>4</w:t>
            </w:r>
          </w:p>
        </w:tc>
        <w:tc>
          <w:tcPr>
            <w:tcW w:w="1507" w:type="dxa"/>
            <w:vAlign w:val="center"/>
          </w:tcPr>
          <w:p w:rsidR="00DA30DA" w:rsidRPr="00656873" w:rsidRDefault="00DA30DA" w:rsidP="00942D3A">
            <w:pPr>
              <w:pStyle w:val="naisf"/>
              <w:spacing w:before="0" w:after="0"/>
              <w:ind w:firstLine="0"/>
              <w:jc w:val="center"/>
              <w:rPr>
                <w:b/>
                <w:i/>
                <w:sz w:val="25"/>
                <w:szCs w:val="25"/>
              </w:rPr>
            </w:pPr>
            <w:r w:rsidRPr="00656873">
              <w:rPr>
                <w:b/>
                <w:bCs/>
                <w:sz w:val="25"/>
                <w:szCs w:val="25"/>
              </w:rPr>
              <w:t>201</w:t>
            </w:r>
            <w:r w:rsidR="00457282" w:rsidRPr="00656873">
              <w:rPr>
                <w:b/>
                <w:bCs/>
                <w:sz w:val="25"/>
                <w:szCs w:val="25"/>
              </w:rPr>
              <w:t>5</w:t>
            </w:r>
          </w:p>
        </w:tc>
        <w:tc>
          <w:tcPr>
            <w:tcW w:w="1507" w:type="dxa"/>
            <w:vAlign w:val="center"/>
          </w:tcPr>
          <w:p w:rsidR="00DA30DA" w:rsidRPr="00656873" w:rsidRDefault="00DA30DA" w:rsidP="00942D3A">
            <w:pPr>
              <w:pStyle w:val="naisf"/>
              <w:spacing w:before="0" w:after="0"/>
              <w:ind w:firstLine="0"/>
              <w:jc w:val="center"/>
              <w:rPr>
                <w:b/>
                <w:i/>
                <w:sz w:val="25"/>
                <w:szCs w:val="25"/>
              </w:rPr>
            </w:pPr>
            <w:r w:rsidRPr="00656873">
              <w:rPr>
                <w:b/>
                <w:bCs/>
                <w:sz w:val="25"/>
                <w:szCs w:val="25"/>
              </w:rPr>
              <w:t>201</w:t>
            </w:r>
            <w:r w:rsidR="00457282" w:rsidRPr="00656873">
              <w:rPr>
                <w:b/>
                <w:bCs/>
                <w:sz w:val="25"/>
                <w:szCs w:val="25"/>
              </w:rPr>
              <w:t>6</w:t>
            </w:r>
          </w:p>
        </w:tc>
      </w:tr>
      <w:tr w:rsidR="00DA30DA" w:rsidRPr="00656873" w:rsidTr="00DA30DA">
        <w:trPr>
          <w:jc w:val="center"/>
        </w:trPr>
        <w:tc>
          <w:tcPr>
            <w:tcW w:w="2853" w:type="dxa"/>
            <w:vMerge/>
            <w:vAlign w:val="center"/>
          </w:tcPr>
          <w:p w:rsidR="00DA30DA" w:rsidRPr="00656873" w:rsidRDefault="00DA30DA" w:rsidP="00831A72">
            <w:pPr>
              <w:pStyle w:val="naisf"/>
              <w:spacing w:before="0" w:after="0"/>
              <w:ind w:firstLine="0"/>
              <w:jc w:val="center"/>
              <w:rPr>
                <w:b/>
                <w:i/>
                <w:sz w:val="25"/>
                <w:szCs w:val="25"/>
              </w:rPr>
            </w:pPr>
          </w:p>
        </w:tc>
        <w:tc>
          <w:tcPr>
            <w:tcW w:w="1194" w:type="dxa"/>
            <w:vAlign w:val="center"/>
          </w:tcPr>
          <w:p w:rsidR="00DA30DA" w:rsidRPr="00656873" w:rsidRDefault="00DA30DA" w:rsidP="00831A72">
            <w:pPr>
              <w:pStyle w:val="naisf"/>
              <w:spacing w:before="0" w:after="0"/>
              <w:ind w:firstLine="0"/>
              <w:jc w:val="center"/>
              <w:rPr>
                <w:b/>
                <w:i/>
                <w:sz w:val="25"/>
                <w:szCs w:val="25"/>
              </w:rPr>
            </w:pPr>
            <w:r w:rsidRPr="00656873">
              <w:rPr>
                <w:sz w:val="25"/>
                <w:szCs w:val="25"/>
              </w:rPr>
              <w:t>Saskaņā ar valsts budžetu kārtējam gadam</w:t>
            </w:r>
          </w:p>
        </w:tc>
        <w:tc>
          <w:tcPr>
            <w:tcW w:w="1509" w:type="dxa"/>
            <w:vAlign w:val="center"/>
          </w:tcPr>
          <w:p w:rsidR="00DA30DA" w:rsidRPr="00656873" w:rsidRDefault="00DA30DA" w:rsidP="00831A72">
            <w:pPr>
              <w:pStyle w:val="naisf"/>
              <w:spacing w:before="0" w:after="0"/>
              <w:ind w:firstLine="0"/>
              <w:jc w:val="center"/>
              <w:rPr>
                <w:b/>
                <w:i/>
                <w:sz w:val="25"/>
                <w:szCs w:val="25"/>
              </w:rPr>
            </w:pPr>
            <w:r w:rsidRPr="00656873">
              <w:rPr>
                <w:sz w:val="25"/>
                <w:szCs w:val="25"/>
              </w:rPr>
              <w:t>Izmaiņas kārtējā gadā, salīdzinot ar budžetu kārtējam gadam</w:t>
            </w:r>
          </w:p>
        </w:tc>
        <w:tc>
          <w:tcPr>
            <w:tcW w:w="1507" w:type="dxa"/>
            <w:vAlign w:val="center"/>
          </w:tcPr>
          <w:p w:rsidR="00DA30DA" w:rsidRPr="00656873" w:rsidRDefault="00DA30DA" w:rsidP="00831A72">
            <w:pPr>
              <w:pStyle w:val="naisf"/>
              <w:spacing w:before="0" w:after="0"/>
              <w:ind w:firstLine="0"/>
              <w:jc w:val="center"/>
              <w:rPr>
                <w:sz w:val="25"/>
                <w:szCs w:val="25"/>
              </w:rPr>
            </w:pPr>
            <w:r w:rsidRPr="00656873">
              <w:rPr>
                <w:sz w:val="25"/>
                <w:szCs w:val="25"/>
              </w:rPr>
              <w:t>Izmaiņas, salīdzinot ar kārtējo (20</w:t>
            </w:r>
            <w:r w:rsidR="00554CE1" w:rsidRPr="00656873">
              <w:rPr>
                <w:sz w:val="25"/>
                <w:szCs w:val="25"/>
              </w:rPr>
              <w:t>1</w:t>
            </w:r>
            <w:r w:rsidR="00942D3A" w:rsidRPr="00656873">
              <w:rPr>
                <w:sz w:val="25"/>
                <w:szCs w:val="25"/>
              </w:rPr>
              <w:t>2</w:t>
            </w:r>
            <w:r w:rsidRPr="00656873">
              <w:rPr>
                <w:sz w:val="25"/>
                <w:szCs w:val="25"/>
              </w:rPr>
              <w:t>)</w:t>
            </w:r>
          </w:p>
          <w:p w:rsidR="00DA30DA" w:rsidRPr="00656873" w:rsidRDefault="00DA30DA" w:rsidP="00831A72">
            <w:pPr>
              <w:pStyle w:val="naisf"/>
              <w:spacing w:before="0" w:after="0"/>
              <w:ind w:firstLine="0"/>
              <w:jc w:val="center"/>
              <w:rPr>
                <w:b/>
                <w:i/>
                <w:sz w:val="25"/>
                <w:szCs w:val="25"/>
              </w:rPr>
            </w:pPr>
            <w:r w:rsidRPr="00656873">
              <w:rPr>
                <w:sz w:val="25"/>
                <w:szCs w:val="25"/>
              </w:rPr>
              <w:t>gadu</w:t>
            </w:r>
          </w:p>
        </w:tc>
        <w:tc>
          <w:tcPr>
            <w:tcW w:w="1507" w:type="dxa"/>
            <w:vAlign w:val="center"/>
          </w:tcPr>
          <w:p w:rsidR="00DA30DA" w:rsidRPr="00656873" w:rsidRDefault="00DA30DA" w:rsidP="00831A72">
            <w:pPr>
              <w:pStyle w:val="naisf"/>
              <w:spacing w:before="0" w:after="0"/>
              <w:ind w:firstLine="0"/>
              <w:jc w:val="center"/>
              <w:rPr>
                <w:sz w:val="25"/>
                <w:szCs w:val="25"/>
              </w:rPr>
            </w:pPr>
            <w:r w:rsidRPr="00656873">
              <w:rPr>
                <w:sz w:val="25"/>
                <w:szCs w:val="25"/>
              </w:rPr>
              <w:t>Izmaiņas, salīdzinot ar kārtējo (201</w:t>
            </w:r>
            <w:r w:rsidR="00942D3A" w:rsidRPr="00656873">
              <w:rPr>
                <w:sz w:val="25"/>
                <w:szCs w:val="25"/>
              </w:rPr>
              <w:t>2</w:t>
            </w:r>
            <w:r w:rsidRPr="00656873">
              <w:rPr>
                <w:sz w:val="25"/>
                <w:szCs w:val="25"/>
              </w:rPr>
              <w:t>)</w:t>
            </w:r>
          </w:p>
          <w:p w:rsidR="00DA30DA" w:rsidRPr="00656873" w:rsidRDefault="00DA30DA" w:rsidP="00831A72">
            <w:pPr>
              <w:pStyle w:val="naisf"/>
              <w:spacing w:before="0" w:after="0"/>
              <w:ind w:firstLine="0"/>
              <w:jc w:val="center"/>
              <w:rPr>
                <w:b/>
                <w:i/>
                <w:sz w:val="25"/>
                <w:szCs w:val="25"/>
              </w:rPr>
            </w:pPr>
            <w:r w:rsidRPr="00656873">
              <w:rPr>
                <w:sz w:val="25"/>
                <w:szCs w:val="25"/>
              </w:rPr>
              <w:t>gadu</w:t>
            </w:r>
          </w:p>
        </w:tc>
        <w:tc>
          <w:tcPr>
            <w:tcW w:w="1507" w:type="dxa"/>
            <w:vAlign w:val="center"/>
          </w:tcPr>
          <w:p w:rsidR="00DA30DA" w:rsidRPr="00656873" w:rsidRDefault="00DA30DA" w:rsidP="00831A72">
            <w:pPr>
              <w:pStyle w:val="naisf"/>
              <w:spacing w:before="0" w:after="0"/>
              <w:ind w:firstLine="0"/>
              <w:jc w:val="center"/>
              <w:rPr>
                <w:sz w:val="25"/>
                <w:szCs w:val="25"/>
              </w:rPr>
            </w:pPr>
            <w:r w:rsidRPr="00656873">
              <w:rPr>
                <w:sz w:val="25"/>
                <w:szCs w:val="25"/>
              </w:rPr>
              <w:t>Izmaiņas, salīdzinot ar kārtējo (201</w:t>
            </w:r>
            <w:r w:rsidR="00942D3A" w:rsidRPr="00656873">
              <w:rPr>
                <w:sz w:val="25"/>
                <w:szCs w:val="25"/>
              </w:rPr>
              <w:t>2</w:t>
            </w:r>
            <w:r w:rsidRPr="00656873">
              <w:rPr>
                <w:sz w:val="25"/>
                <w:szCs w:val="25"/>
              </w:rPr>
              <w:t>)</w:t>
            </w:r>
          </w:p>
          <w:p w:rsidR="00DA30DA" w:rsidRPr="00656873" w:rsidRDefault="00DA30DA" w:rsidP="00831A72">
            <w:pPr>
              <w:pStyle w:val="naisf"/>
              <w:spacing w:before="0" w:after="0"/>
              <w:ind w:firstLine="0"/>
              <w:jc w:val="center"/>
              <w:rPr>
                <w:b/>
                <w:i/>
                <w:sz w:val="25"/>
                <w:szCs w:val="25"/>
              </w:rPr>
            </w:pPr>
            <w:r w:rsidRPr="00656873">
              <w:rPr>
                <w:sz w:val="25"/>
                <w:szCs w:val="25"/>
              </w:rPr>
              <w:t>gadu</w:t>
            </w:r>
          </w:p>
        </w:tc>
      </w:tr>
      <w:tr w:rsidR="00DA30DA" w:rsidRPr="00656873" w:rsidTr="00DA30DA">
        <w:trPr>
          <w:jc w:val="center"/>
        </w:trPr>
        <w:tc>
          <w:tcPr>
            <w:tcW w:w="2853"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1</w:t>
            </w:r>
          </w:p>
        </w:tc>
        <w:tc>
          <w:tcPr>
            <w:tcW w:w="1194"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2</w:t>
            </w:r>
          </w:p>
        </w:tc>
        <w:tc>
          <w:tcPr>
            <w:tcW w:w="1509"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3</w:t>
            </w:r>
          </w:p>
        </w:tc>
        <w:tc>
          <w:tcPr>
            <w:tcW w:w="1507"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4</w:t>
            </w:r>
          </w:p>
        </w:tc>
        <w:tc>
          <w:tcPr>
            <w:tcW w:w="1507"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5</w:t>
            </w:r>
          </w:p>
        </w:tc>
        <w:tc>
          <w:tcPr>
            <w:tcW w:w="1507" w:type="dxa"/>
            <w:vAlign w:val="center"/>
          </w:tcPr>
          <w:p w:rsidR="00DA30DA" w:rsidRPr="00656873" w:rsidRDefault="00DA30DA" w:rsidP="00831A72">
            <w:pPr>
              <w:pStyle w:val="naisf"/>
              <w:spacing w:before="0" w:after="0"/>
              <w:ind w:firstLine="0"/>
              <w:jc w:val="center"/>
              <w:rPr>
                <w:bCs/>
                <w:sz w:val="25"/>
                <w:szCs w:val="25"/>
              </w:rPr>
            </w:pPr>
            <w:r w:rsidRPr="00656873">
              <w:rPr>
                <w:bCs/>
                <w:sz w:val="25"/>
                <w:szCs w:val="25"/>
              </w:rPr>
              <w:t>6</w:t>
            </w:r>
          </w:p>
        </w:tc>
      </w:tr>
      <w:tr w:rsidR="00DA30DA" w:rsidRPr="00656873" w:rsidTr="00DA30DA">
        <w:trPr>
          <w:jc w:val="center"/>
        </w:trPr>
        <w:tc>
          <w:tcPr>
            <w:tcW w:w="2853" w:type="dxa"/>
          </w:tcPr>
          <w:p w:rsidR="00DA30DA" w:rsidRPr="00656873" w:rsidRDefault="00DA30DA" w:rsidP="00831A72">
            <w:pPr>
              <w:pStyle w:val="naisf"/>
              <w:spacing w:before="0" w:after="0"/>
              <w:ind w:firstLine="0"/>
              <w:rPr>
                <w:i/>
                <w:sz w:val="25"/>
                <w:szCs w:val="25"/>
              </w:rPr>
            </w:pPr>
            <w:r w:rsidRPr="00656873">
              <w:rPr>
                <w:sz w:val="25"/>
                <w:szCs w:val="25"/>
              </w:rPr>
              <w:t>1. Budžeta ieņēmumi:</w:t>
            </w:r>
          </w:p>
        </w:tc>
        <w:tc>
          <w:tcPr>
            <w:tcW w:w="1194" w:type="dxa"/>
          </w:tcPr>
          <w:p w:rsidR="00DA30DA" w:rsidRPr="00656873" w:rsidRDefault="00606BF9" w:rsidP="009E39D6">
            <w:pPr>
              <w:pStyle w:val="naisf"/>
              <w:spacing w:before="0" w:after="0"/>
              <w:ind w:firstLine="0"/>
              <w:jc w:val="center"/>
              <w:rPr>
                <w:b/>
                <w:sz w:val="25"/>
                <w:szCs w:val="25"/>
              </w:rPr>
            </w:pPr>
            <w:r>
              <w:rPr>
                <w:b/>
                <w:sz w:val="25"/>
                <w:szCs w:val="25"/>
              </w:rPr>
              <w:t>1,290,4</w:t>
            </w:r>
          </w:p>
        </w:tc>
        <w:tc>
          <w:tcPr>
            <w:tcW w:w="1509" w:type="dxa"/>
          </w:tcPr>
          <w:p w:rsidR="00DA30DA" w:rsidRPr="00656873" w:rsidRDefault="00DA30DA" w:rsidP="00831A72">
            <w:pPr>
              <w:pStyle w:val="naisf"/>
              <w:spacing w:before="0" w:after="0"/>
              <w:ind w:firstLine="0"/>
              <w:jc w:val="center"/>
              <w:rPr>
                <w:b/>
                <w:sz w:val="25"/>
                <w:szCs w:val="25"/>
              </w:rPr>
            </w:pPr>
            <w:r w:rsidRPr="008D4B78">
              <w:rPr>
                <w:b/>
                <w:sz w:val="25"/>
                <w:szCs w:val="25"/>
              </w:rPr>
              <w:t>0</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r>
      <w:tr w:rsidR="00DA30DA" w:rsidRPr="00656873" w:rsidTr="00B06326">
        <w:trPr>
          <w:trHeight w:val="1403"/>
          <w:jc w:val="center"/>
        </w:trPr>
        <w:tc>
          <w:tcPr>
            <w:tcW w:w="2853" w:type="dxa"/>
          </w:tcPr>
          <w:p w:rsidR="00DA30DA" w:rsidRPr="00656873" w:rsidRDefault="00DA30DA" w:rsidP="00B06326">
            <w:pPr>
              <w:pStyle w:val="naisf"/>
              <w:spacing w:before="0" w:after="0"/>
              <w:ind w:firstLine="0"/>
              <w:rPr>
                <w:i/>
                <w:sz w:val="25"/>
                <w:szCs w:val="25"/>
              </w:rPr>
            </w:pPr>
            <w:r w:rsidRPr="00656873">
              <w:rPr>
                <w:sz w:val="25"/>
                <w:szCs w:val="25"/>
              </w:rPr>
              <w:t>1.1. valsts pamatbudžets, tai skaitā ieņēmumi no maksas pakalpojumiem un citi pašu ieņēmumi</w:t>
            </w:r>
          </w:p>
        </w:tc>
        <w:tc>
          <w:tcPr>
            <w:tcW w:w="1194" w:type="dxa"/>
          </w:tcPr>
          <w:p w:rsidR="00DA30DA" w:rsidRPr="00656873" w:rsidRDefault="00DA30DA" w:rsidP="00831A72">
            <w:pPr>
              <w:pStyle w:val="naisf"/>
              <w:spacing w:before="0" w:after="0"/>
              <w:ind w:firstLine="0"/>
              <w:jc w:val="center"/>
              <w:rPr>
                <w:i/>
                <w:sz w:val="25"/>
                <w:szCs w:val="25"/>
              </w:rPr>
            </w:pPr>
          </w:p>
          <w:p w:rsidR="00DA30DA" w:rsidRPr="00656873" w:rsidRDefault="00DA30DA" w:rsidP="00831A72">
            <w:pPr>
              <w:pStyle w:val="naisf"/>
              <w:spacing w:before="0" w:after="0"/>
              <w:ind w:firstLine="0"/>
              <w:jc w:val="center"/>
              <w:rPr>
                <w:i/>
                <w:sz w:val="25"/>
                <w:szCs w:val="25"/>
              </w:rPr>
            </w:pPr>
          </w:p>
          <w:p w:rsidR="00DA30DA" w:rsidRPr="00656873" w:rsidRDefault="006902A3" w:rsidP="00D726E1">
            <w:pPr>
              <w:pStyle w:val="naisf"/>
              <w:spacing w:before="0" w:after="0"/>
              <w:ind w:firstLine="0"/>
              <w:jc w:val="center"/>
              <w:rPr>
                <w:i/>
                <w:sz w:val="25"/>
                <w:szCs w:val="25"/>
              </w:rPr>
            </w:pPr>
            <w:r>
              <w:rPr>
                <w:sz w:val="25"/>
                <w:szCs w:val="25"/>
              </w:rPr>
              <w:t>0</w:t>
            </w:r>
          </w:p>
        </w:tc>
        <w:tc>
          <w:tcPr>
            <w:tcW w:w="1509" w:type="dxa"/>
          </w:tcPr>
          <w:p w:rsidR="00DA30DA" w:rsidRPr="00656873" w:rsidRDefault="00DA30DA" w:rsidP="00831A72">
            <w:pPr>
              <w:jc w:val="center"/>
              <w:rPr>
                <w:i/>
                <w:sz w:val="25"/>
                <w:szCs w:val="25"/>
              </w:rPr>
            </w:pPr>
          </w:p>
          <w:p w:rsidR="00DA30DA" w:rsidRPr="00656873" w:rsidRDefault="00DA30DA" w:rsidP="00831A72">
            <w:pPr>
              <w:jc w:val="center"/>
              <w:rPr>
                <w:i/>
                <w:sz w:val="25"/>
                <w:szCs w:val="25"/>
              </w:rPr>
            </w:pPr>
          </w:p>
          <w:p w:rsidR="00DA30DA" w:rsidRPr="00656873" w:rsidRDefault="00B06326" w:rsidP="00831A72">
            <w:pPr>
              <w:jc w:val="center"/>
              <w:rPr>
                <w:sz w:val="25"/>
                <w:szCs w:val="25"/>
              </w:rPr>
            </w:pPr>
            <w:r w:rsidRPr="00656873">
              <w:rPr>
                <w:sz w:val="25"/>
                <w:szCs w:val="25"/>
              </w:rPr>
              <w:t>0</w:t>
            </w:r>
          </w:p>
        </w:tc>
        <w:tc>
          <w:tcPr>
            <w:tcW w:w="1507" w:type="dxa"/>
          </w:tcPr>
          <w:p w:rsidR="00DA30DA" w:rsidRPr="00656873" w:rsidRDefault="00DA30DA" w:rsidP="00831A72">
            <w:pPr>
              <w:jc w:val="center"/>
              <w:rPr>
                <w:i/>
                <w:sz w:val="25"/>
                <w:szCs w:val="25"/>
              </w:rPr>
            </w:pPr>
          </w:p>
          <w:p w:rsidR="00DA30DA" w:rsidRPr="00656873" w:rsidRDefault="00DA30DA" w:rsidP="00831A72">
            <w:pPr>
              <w:jc w:val="center"/>
              <w:rPr>
                <w:sz w:val="25"/>
                <w:szCs w:val="25"/>
              </w:rPr>
            </w:pPr>
          </w:p>
          <w:p w:rsidR="00B06326" w:rsidRPr="00656873" w:rsidRDefault="00B06326" w:rsidP="00831A72">
            <w:pPr>
              <w:jc w:val="center"/>
              <w:rPr>
                <w:sz w:val="25"/>
                <w:szCs w:val="25"/>
              </w:rPr>
            </w:pPr>
            <w:r w:rsidRPr="00656873">
              <w:rPr>
                <w:sz w:val="25"/>
                <w:szCs w:val="25"/>
              </w:rPr>
              <w:t>0</w:t>
            </w:r>
          </w:p>
        </w:tc>
        <w:tc>
          <w:tcPr>
            <w:tcW w:w="1507" w:type="dxa"/>
          </w:tcPr>
          <w:p w:rsidR="00DA30DA" w:rsidRPr="00656873" w:rsidRDefault="00DA30DA" w:rsidP="00831A72">
            <w:pPr>
              <w:jc w:val="center"/>
              <w:rPr>
                <w:sz w:val="25"/>
                <w:szCs w:val="25"/>
              </w:rPr>
            </w:pPr>
          </w:p>
          <w:p w:rsidR="00B06326" w:rsidRPr="00656873" w:rsidRDefault="00B06326" w:rsidP="00831A72">
            <w:pPr>
              <w:jc w:val="center"/>
              <w:rPr>
                <w:sz w:val="25"/>
                <w:szCs w:val="25"/>
              </w:rPr>
            </w:pPr>
          </w:p>
          <w:p w:rsidR="00DA30DA" w:rsidRPr="00656873" w:rsidRDefault="00B06326" w:rsidP="00831A72">
            <w:pPr>
              <w:jc w:val="center"/>
              <w:rPr>
                <w:sz w:val="25"/>
                <w:szCs w:val="25"/>
              </w:rPr>
            </w:pPr>
            <w:r w:rsidRPr="00656873">
              <w:rPr>
                <w:sz w:val="25"/>
                <w:szCs w:val="25"/>
              </w:rPr>
              <w:t>0</w:t>
            </w:r>
          </w:p>
        </w:tc>
        <w:tc>
          <w:tcPr>
            <w:tcW w:w="1507" w:type="dxa"/>
          </w:tcPr>
          <w:p w:rsidR="00DA30DA" w:rsidRPr="00656873" w:rsidRDefault="00DA30DA" w:rsidP="00831A72">
            <w:pPr>
              <w:jc w:val="center"/>
              <w:rPr>
                <w:sz w:val="25"/>
                <w:szCs w:val="25"/>
              </w:rPr>
            </w:pPr>
          </w:p>
          <w:p w:rsidR="00B06326" w:rsidRPr="00656873" w:rsidRDefault="00B06326" w:rsidP="00831A72">
            <w:pPr>
              <w:jc w:val="center"/>
              <w:rPr>
                <w:sz w:val="25"/>
                <w:szCs w:val="25"/>
              </w:rPr>
            </w:pPr>
          </w:p>
          <w:p w:rsidR="00DA30DA" w:rsidRPr="00656873" w:rsidRDefault="00B06326" w:rsidP="00831A72">
            <w:pPr>
              <w:jc w:val="center"/>
              <w:rPr>
                <w:sz w:val="25"/>
                <w:szCs w:val="25"/>
              </w:rPr>
            </w:pPr>
            <w:r w:rsidRPr="00656873">
              <w:rPr>
                <w:sz w:val="25"/>
                <w:szCs w:val="25"/>
              </w:rPr>
              <w:t>0</w:t>
            </w:r>
          </w:p>
        </w:tc>
      </w:tr>
      <w:tr w:rsidR="00B06326" w:rsidRPr="00656873" w:rsidTr="00B06326">
        <w:trPr>
          <w:jc w:val="center"/>
        </w:trPr>
        <w:tc>
          <w:tcPr>
            <w:tcW w:w="2853" w:type="dxa"/>
          </w:tcPr>
          <w:p w:rsidR="00B06326" w:rsidRPr="00656873" w:rsidRDefault="00B06326" w:rsidP="00831A72">
            <w:pPr>
              <w:pStyle w:val="naisf"/>
              <w:spacing w:before="0" w:after="0"/>
              <w:ind w:firstLine="0"/>
              <w:rPr>
                <w:i/>
                <w:sz w:val="25"/>
                <w:szCs w:val="25"/>
              </w:rPr>
            </w:pPr>
            <w:r w:rsidRPr="00656873">
              <w:rPr>
                <w:sz w:val="25"/>
                <w:szCs w:val="25"/>
              </w:rPr>
              <w:t>1.2. valsts speciālais budžets</w:t>
            </w:r>
          </w:p>
        </w:tc>
        <w:tc>
          <w:tcPr>
            <w:tcW w:w="1194" w:type="dxa"/>
            <w:vAlign w:val="center"/>
          </w:tcPr>
          <w:p w:rsidR="00B06326" w:rsidRPr="00656873" w:rsidRDefault="00B06326" w:rsidP="00B06326">
            <w:pPr>
              <w:jc w:val="center"/>
              <w:rPr>
                <w:sz w:val="25"/>
                <w:szCs w:val="25"/>
              </w:rPr>
            </w:pPr>
            <w:r w:rsidRPr="00656873">
              <w:rPr>
                <w:sz w:val="25"/>
                <w:szCs w:val="25"/>
              </w:rPr>
              <w:t>0</w:t>
            </w:r>
          </w:p>
        </w:tc>
        <w:tc>
          <w:tcPr>
            <w:tcW w:w="1509" w:type="dxa"/>
            <w:vAlign w:val="center"/>
          </w:tcPr>
          <w:p w:rsidR="00B06326" w:rsidRPr="00656873" w:rsidRDefault="00B06326" w:rsidP="00B06326">
            <w:pPr>
              <w:jc w:val="center"/>
              <w:rPr>
                <w:sz w:val="25"/>
                <w:szCs w:val="25"/>
              </w:rPr>
            </w:pPr>
            <w:r w:rsidRPr="00656873">
              <w:rPr>
                <w:sz w:val="25"/>
                <w:szCs w:val="25"/>
              </w:rPr>
              <w:t>0</w:t>
            </w:r>
          </w:p>
        </w:tc>
        <w:tc>
          <w:tcPr>
            <w:tcW w:w="1507" w:type="dxa"/>
            <w:vAlign w:val="center"/>
          </w:tcPr>
          <w:p w:rsidR="00B06326" w:rsidRPr="00656873" w:rsidRDefault="00B06326" w:rsidP="00B06326">
            <w:pPr>
              <w:jc w:val="center"/>
              <w:rPr>
                <w:sz w:val="25"/>
                <w:szCs w:val="25"/>
              </w:rPr>
            </w:pPr>
            <w:r w:rsidRPr="00656873">
              <w:rPr>
                <w:sz w:val="25"/>
                <w:szCs w:val="25"/>
              </w:rPr>
              <w:t>0</w:t>
            </w:r>
          </w:p>
        </w:tc>
        <w:tc>
          <w:tcPr>
            <w:tcW w:w="1507" w:type="dxa"/>
            <w:vAlign w:val="center"/>
          </w:tcPr>
          <w:p w:rsidR="00B06326" w:rsidRPr="00656873" w:rsidRDefault="00B06326" w:rsidP="00B06326">
            <w:pPr>
              <w:jc w:val="center"/>
              <w:rPr>
                <w:sz w:val="25"/>
                <w:szCs w:val="25"/>
              </w:rPr>
            </w:pPr>
            <w:r w:rsidRPr="00656873">
              <w:rPr>
                <w:sz w:val="25"/>
                <w:szCs w:val="25"/>
              </w:rPr>
              <w:t>0</w:t>
            </w:r>
          </w:p>
        </w:tc>
        <w:tc>
          <w:tcPr>
            <w:tcW w:w="1507" w:type="dxa"/>
            <w:vAlign w:val="center"/>
          </w:tcPr>
          <w:p w:rsidR="00B06326" w:rsidRPr="00656873" w:rsidRDefault="00B06326" w:rsidP="00B06326">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pStyle w:val="naisf"/>
              <w:spacing w:before="0" w:after="0"/>
              <w:ind w:firstLine="0"/>
              <w:rPr>
                <w:i/>
                <w:sz w:val="25"/>
                <w:szCs w:val="25"/>
              </w:rPr>
            </w:pPr>
            <w:r w:rsidRPr="00656873">
              <w:rPr>
                <w:sz w:val="25"/>
                <w:szCs w:val="25"/>
              </w:rPr>
              <w:t>1.3. pašvaldību budžets</w:t>
            </w:r>
          </w:p>
        </w:tc>
        <w:tc>
          <w:tcPr>
            <w:tcW w:w="1194" w:type="dxa"/>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DA30DA" w:rsidRPr="00656873" w:rsidTr="00DA30DA">
        <w:trPr>
          <w:jc w:val="center"/>
        </w:trPr>
        <w:tc>
          <w:tcPr>
            <w:tcW w:w="2853" w:type="dxa"/>
          </w:tcPr>
          <w:p w:rsidR="00DA30DA" w:rsidRPr="00656873" w:rsidRDefault="00DA30DA" w:rsidP="00831A72">
            <w:pPr>
              <w:rPr>
                <w:sz w:val="25"/>
                <w:szCs w:val="25"/>
              </w:rPr>
            </w:pPr>
            <w:r w:rsidRPr="00656873">
              <w:rPr>
                <w:sz w:val="25"/>
                <w:szCs w:val="25"/>
              </w:rPr>
              <w:t>2. Budžeta izdevumi:</w:t>
            </w:r>
          </w:p>
        </w:tc>
        <w:tc>
          <w:tcPr>
            <w:tcW w:w="1194" w:type="dxa"/>
          </w:tcPr>
          <w:p w:rsidR="00DA30DA" w:rsidRPr="00656873" w:rsidRDefault="00606BF9" w:rsidP="009E39D6">
            <w:pPr>
              <w:pStyle w:val="naisf"/>
              <w:spacing w:before="0" w:after="0"/>
              <w:ind w:firstLine="0"/>
              <w:jc w:val="center"/>
              <w:rPr>
                <w:b/>
                <w:sz w:val="25"/>
                <w:szCs w:val="25"/>
                <w:highlight w:val="yellow"/>
              </w:rPr>
            </w:pPr>
            <w:r>
              <w:rPr>
                <w:b/>
                <w:sz w:val="25"/>
                <w:szCs w:val="25"/>
              </w:rPr>
              <w:t>1,290,4</w:t>
            </w:r>
          </w:p>
        </w:tc>
        <w:tc>
          <w:tcPr>
            <w:tcW w:w="1509" w:type="dxa"/>
          </w:tcPr>
          <w:p w:rsidR="00DA30DA" w:rsidRPr="00D167AC" w:rsidRDefault="00E5461A" w:rsidP="006902A3">
            <w:pPr>
              <w:pStyle w:val="naisf"/>
              <w:spacing w:before="0" w:after="0"/>
              <w:ind w:firstLine="0"/>
              <w:jc w:val="center"/>
              <w:rPr>
                <w:b/>
                <w:sz w:val="25"/>
                <w:szCs w:val="25"/>
              </w:rPr>
            </w:pPr>
            <w:r w:rsidRPr="00D167AC">
              <w:rPr>
                <w:b/>
                <w:sz w:val="25"/>
                <w:szCs w:val="25"/>
              </w:rPr>
              <w:t>+</w:t>
            </w:r>
            <w:r w:rsidR="000B79CB" w:rsidRPr="00D167AC">
              <w:rPr>
                <w:b/>
                <w:sz w:val="25"/>
                <w:szCs w:val="25"/>
              </w:rPr>
              <w:t>443</w:t>
            </w:r>
            <w:r w:rsidR="006902A3" w:rsidRPr="00D167AC">
              <w:rPr>
                <w:b/>
                <w:sz w:val="25"/>
                <w:szCs w:val="25"/>
              </w:rPr>
              <w:t>,</w:t>
            </w:r>
            <w:r w:rsidR="000B79CB" w:rsidRPr="00D167AC">
              <w:rPr>
                <w:b/>
                <w:sz w:val="25"/>
                <w:szCs w:val="25"/>
              </w:rPr>
              <w:t>7</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c>
          <w:tcPr>
            <w:tcW w:w="1507" w:type="dxa"/>
          </w:tcPr>
          <w:p w:rsidR="00DA30DA" w:rsidRPr="00656873" w:rsidRDefault="00DA30DA" w:rsidP="00831A72">
            <w:pPr>
              <w:pStyle w:val="naisf"/>
              <w:spacing w:before="0" w:after="0"/>
              <w:ind w:firstLine="0"/>
              <w:jc w:val="center"/>
              <w:rPr>
                <w:b/>
                <w:i/>
                <w:sz w:val="25"/>
                <w:szCs w:val="25"/>
              </w:rPr>
            </w:pPr>
            <w:r w:rsidRPr="00656873">
              <w:rPr>
                <w:b/>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2.1. valsts pamatbudžets</w:t>
            </w:r>
          </w:p>
        </w:tc>
        <w:tc>
          <w:tcPr>
            <w:tcW w:w="1194" w:type="dxa"/>
          </w:tcPr>
          <w:p w:rsidR="00B06326" w:rsidRPr="00656873" w:rsidRDefault="00606BF9" w:rsidP="009E39D6">
            <w:pPr>
              <w:pStyle w:val="naisf"/>
              <w:spacing w:before="0" w:after="0"/>
              <w:ind w:firstLine="0"/>
              <w:jc w:val="center"/>
              <w:rPr>
                <w:i/>
                <w:sz w:val="25"/>
                <w:szCs w:val="25"/>
                <w:highlight w:val="yellow"/>
              </w:rPr>
            </w:pPr>
            <w:r w:rsidRPr="00606BF9">
              <w:rPr>
                <w:sz w:val="25"/>
                <w:szCs w:val="25"/>
              </w:rPr>
              <w:t>1,290,4</w:t>
            </w:r>
          </w:p>
        </w:tc>
        <w:tc>
          <w:tcPr>
            <w:tcW w:w="1509" w:type="dxa"/>
          </w:tcPr>
          <w:p w:rsidR="00B06326" w:rsidRPr="00D167AC" w:rsidRDefault="00B06326" w:rsidP="006902A3">
            <w:pPr>
              <w:pStyle w:val="naisf"/>
              <w:spacing w:before="0" w:after="0"/>
              <w:ind w:firstLine="0"/>
              <w:jc w:val="center"/>
              <w:rPr>
                <w:sz w:val="25"/>
                <w:szCs w:val="25"/>
              </w:rPr>
            </w:pPr>
            <w:r w:rsidRPr="00D167AC">
              <w:rPr>
                <w:sz w:val="25"/>
                <w:szCs w:val="25"/>
              </w:rPr>
              <w:t>+</w:t>
            </w:r>
            <w:r w:rsidR="000B79CB" w:rsidRPr="00D167AC">
              <w:rPr>
                <w:sz w:val="25"/>
                <w:szCs w:val="25"/>
              </w:rPr>
              <w:t>443</w:t>
            </w:r>
            <w:r w:rsidR="006902A3" w:rsidRPr="00D167AC">
              <w:rPr>
                <w:sz w:val="25"/>
                <w:szCs w:val="25"/>
              </w:rPr>
              <w:t>,</w:t>
            </w:r>
            <w:r w:rsidR="000B79CB" w:rsidRPr="00D167AC">
              <w:rPr>
                <w:sz w:val="25"/>
                <w:szCs w:val="25"/>
              </w:rPr>
              <w:t>7</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2.2. valsts speciālais budžets</w:t>
            </w:r>
          </w:p>
        </w:tc>
        <w:tc>
          <w:tcPr>
            <w:tcW w:w="1194" w:type="dxa"/>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E34D42">
            <w:pPr>
              <w:jc w:val="center"/>
              <w:rPr>
                <w:sz w:val="25"/>
                <w:szCs w:val="25"/>
              </w:rPr>
            </w:pPr>
            <w:r w:rsidRPr="00D167AC">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 xml:space="preserve">2.3. pašvaldību budžets </w:t>
            </w:r>
          </w:p>
        </w:tc>
        <w:tc>
          <w:tcPr>
            <w:tcW w:w="1194" w:type="dxa"/>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E34D42">
            <w:pPr>
              <w:jc w:val="center"/>
              <w:rPr>
                <w:sz w:val="25"/>
                <w:szCs w:val="25"/>
              </w:rPr>
            </w:pPr>
            <w:r w:rsidRPr="00D167AC">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3. Finansiālā ietekme:</w:t>
            </w:r>
          </w:p>
        </w:tc>
        <w:tc>
          <w:tcPr>
            <w:tcW w:w="1194" w:type="dxa"/>
            <w:shd w:val="clear" w:color="auto" w:fill="auto"/>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6902A3">
            <w:pPr>
              <w:jc w:val="center"/>
              <w:rPr>
                <w:b/>
                <w:sz w:val="25"/>
                <w:szCs w:val="25"/>
              </w:rPr>
            </w:pPr>
            <w:r w:rsidRPr="00D167AC">
              <w:rPr>
                <w:b/>
                <w:sz w:val="25"/>
                <w:szCs w:val="25"/>
              </w:rPr>
              <w:t>-</w:t>
            </w:r>
            <w:r w:rsidR="000B79CB" w:rsidRPr="00D167AC">
              <w:rPr>
                <w:b/>
                <w:sz w:val="25"/>
                <w:szCs w:val="25"/>
              </w:rPr>
              <w:t>443</w:t>
            </w:r>
            <w:r w:rsidR="006902A3" w:rsidRPr="00D167AC">
              <w:rPr>
                <w:b/>
                <w:sz w:val="25"/>
                <w:szCs w:val="25"/>
              </w:rPr>
              <w:t>,</w:t>
            </w:r>
            <w:r w:rsidR="000B79CB" w:rsidRPr="00D167AC">
              <w:rPr>
                <w:b/>
                <w:sz w:val="25"/>
                <w:szCs w:val="25"/>
              </w:rPr>
              <w:t>7</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3.1. valsts pamatbudžets</w:t>
            </w:r>
          </w:p>
        </w:tc>
        <w:tc>
          <w:tcPr>
            <w:tcW w:w="1194" w:type="dxa"/>
            <w:shd w:val="clear" w:color="auto" w:fill="auto"/>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6902A3">
            <w:pPr>
              <w:jc w:val="center"/>
              <w:rPr>
                <w:sz w:val="25"/>
                <w:szCs w:val="25"/>
              </w:rPr>
            </w:pPr>
            <w:r w:rsidRPr="00D167AC">
              <w:rPr>
                <w:sz w:val="25"/>
                <w:szCs w:val="25"/>
              </w:rPr>
              <w:t>-</w:t>
            </w:r>
            <w:r w:rsidR="000B79CB" w:rsidRPr="00D167AC">
              <w:rPr>
                <w:sz w:val="25"/>
                <w:szCs w:val="25"/>
              </w:rPr>
              <w:t>443</w:t>
            </w:r>
            <w:r w:rsidR="006902A3" w:rsidRPr="00D167AC">
              <w:rPr>
                <w:sz w:val="25"/>
                <w:szCs w:val="25"/>
              </w:rPr>
              <w:t>,</w:t>
            </w:r>
            <w:r w:rsidR="000B79CB" w:rsidRPr="00D167AC">
              <w:rPr>
                <w:sz w:val="25"/>
                <w:szCs w:val="25"/>
              </w:rPr>
              <w:t>7</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3.2. speciālais budžets</w:t>
            </w:r>
          </w:p>
        </w:tc>
        <w:tc>
          <w:tcPr>
            <w:tcW w:w="1194" w:type="dxa"/>
            <w:shd w:val="clear" w:color="auto" w:fill="auto"/>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E34D42">
            <w:pPr>
              <w:jc w:val="center"/>
              <w:rPr>
                <w:sz w:val="25"/>
                <w:szCs w:val="25"/>
              </w:rPr>
            </w:pPr>
            <w:r w:rsidRPr="00D167AC">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 xml:space="preserve">3.3. pašvaldību budžets </w:t>
            </w:r>
          </w:p>
        </w:tc>
        <w:tc>
          <w:tcPr>
            <w:tcW w:w="1194" w:type="dxa"/>
            <w:shd w:val="clear" w:color="auto" w:fill="auto"/>
            <w:vAlign w:val="center"/>
          </w:tcPr>
          <w:p w:rsidR="00B06326" w:rsidRPr="00656873" w:rsidRDefault="00B06326" w:rsidP="00E34D42">
            <w:pPr>
              <w:jc w:val="center"/>
              <w:rPr>
                <w:sz w:val="25"/>
                <w:szCs w:val="25"/>
              </w:rPr>
            </w:pPr>
            <w:r w:rsidRPr="00656873">
              <w:rPr>
                <w:sz w:val="25"/>
                <w:szCs w:val="25"/>
              </w:rPr>
              <w:t>0</w:t>
            </w:r>
          </w:p>
        </w:tc>
        <w:tc>
          <w:tcPr>
            <w:tcW w:w="1509" w:type="dxa"/>
            <w:vAlign w:val="center"/>
          </w:tcPr>
          <w:p w:rsidR="00B06326" w:rsidRPr="00D167AC" w:rsidRDefault="00B06326" w:rsidP="00E34D42">
            <w:pPr>
              <w:jc w:val="center"/>
              <w:rPr>
                <w:sz w:val="25"/>
                <w:szCs w:val="25"/>
              </w:rPr>
            </w:pPr>
            <w:r w:rsidRPr="00D167AC">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vMerge w:val="restart"/>
          </w:tcPr>
          <w:p w:rsidR="00B06326" w:rsidRPr="00656873" w:rsidRDefault="00B06326" w:rsidP="00831A72">
            <w:pPr>
              <w:rPr>
                <w:sz w:val="25"/>
                <w:szCs w:val="25"/>
              </w:rPr>
            </w:pPr>
            <w:r w:rsidRPr="00656873">
              <w:rPr>
                <w:sz w:val="25"/>
                <w:szCs w:val="25"/>
              </w:rPr>
              <w:t>4. Finanšu līdzekļi papildu izde</w:t>
            </w:r>
            <w:r w:rsidRPr="00656873">
              <w:rPr>
                <w:sz w:val="25"/>
                <w:szCs w:val="25"/>
              </w:rPr>
              <w:softHyphen/>
              <w:t>vumu finansēšanai (kompensējošu izdevumu samazinājumu norāda ar "+" zīmi)</w:t>
            </w:r>
          </w:p>
        </w:tc>
        <w:tc>
          <w:tcPr>
            <w:tcW w:w="1194" w:type="dxa"/>
            <w:vMerge w:val="restart"/>
          </w:tcPr>
          <w:p w:rsidR="00B06326" w:rsidRPr="00656873" w:rsidRDefault="00B06326" w:rsidP="00831A72">
            <w:pPr>
              <w:pStyle w:val="naisf"/>
              <w:spacing w:before="0" w:after="0"/>
              <w:ind w:firstLine="0"/>
              <w:jc w:val="center"/>
              <w:rPr>
                <w:i/>
                <w:sz w:val="25"/>
                <w:szCs w:val="25"/>
              </w:rPr>
            </w:pPr>
            <w:r w:rsidRPr="00656873">
              <w:rPr>
                <w:sz w:val="25"/>
                <w:szCs w:val="25"/>
              </w:rPr>
              <w:t>X</w:t>
            </w:r>
          </w:p>
        </w:tc>
        <w:tc>
          <w:tcPr>
            <w:tcW w:w="1509" w:type="dxa"/>
            <w:vAlign w:val="center"/>
          </w:tcPr>
          <w:p w:rsidR="00B06326" w:rsidRPr="00D167AC" w:rsidRDefault="00B06326" w:rsidP="006902A3">
            <w:pPr>
              <w:jc w:val="center"/>
              <w:rPr>
                <w:b/>
                <w:sz w:val="25"/>
                <w:szCs w:val="25"/>
              </w:rPr>
            </w:pPr>
            <w:r w:rsidRPr="00D167AC">
              <w:rPr>
                <w:b/>
                <w:sz w:val="25"/>
                <w:szCs w:val="25"/>
              </w:rPr>
              <w:t>+</w:t>
            </w:r>
            <w:r w:rsidR="000B79CB" w:rsidRPr="00D167AC">
              <w:rPr>
                <w:b/>
                <w:sz w:val="25"/>
                <w:szCs w:val="25"/>
              </w:rPr>
              <w:t>443</w:t>
            </w:r>
            <w:r w:rsidR="006902A3" w:rsidRPr="00D167AC">
              <w:rPr>
                <w:b/>
                <w:sz w:val="25"/>
                <w:szCs w:val="25"/>
              </w:rPr>
              <w:t>,</w:t>
            </w:r>
            <w:r w:rsidR="000B79CB" w:rsidRPr="00D167AC">
              <w:rPr>
                <w:b/>
                <w:sz w:val="25"/>
                <w:szCs w:val="25"/>
              </w:rPr>
              <w:t>7</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vMerge/>
          </w:tcPr>
          <w:p w:rsidR="00B06326" w:rsidRPr="00656873" w:rsidRDefault="00B06326" w:rsidP="00831A72">
            <w:pPr>
              <w:rPr>
                <w:sz w:val="25"/>
                <w:szCs w:val="25"/>
              </w:rPr>
            </w:pPr>
          </w:p>
        </w:tc>
        <w:tc>
          <w:tcPr>
            <w:tcW w:w="1194" w:type="dxa"/>
            <w:vMerge/>
          </w:tcPr>
          <w:p w:rsidR="00B06326" w:rsidRPr="00656873" w:rsidRDefault="00B06326" w:rsidP="00831A72">
            <w:pPr>
              <w:pStyle w:val="naisf"/>
              <w:spacing w:before="0" w:after="0"/>
              <w:ind w:firstLine="0"/>
              <w:jc w:val="center"/>
              <w:rPr>
                <w:i/>
                <w:sz w:val="25"/>
                <w:szCs w:val="25"/>
              </w:rPr>
            </w:pP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vMerge/>
          </w:tcPr>
          <w:p w:rsidR="00B06326" w:rsidRPr="00656873" w:rsidRDefault="00B06326" w:rsidP="00831A72">
            <w:pPr>
              <w:rPr>
                <w:sz w:val="25"/>
                <w:szCs w:val="25"/>
              </w:rPr>
            </w:pPr>
          </w:p>
        </w:tc>
        <w:tc>
          <w:tcPr>
            <w:tcW w:w="1194" w:type="dxa"/>
            <w:vMerge/>
          </w:tcPr>
          <w:p w:rsidR="00B06326" w:rsidRPr="00656873" w:rsidRDefault="00B06326" w:rsidP="00831A72">
            <w:pPr>
              <w:pStyle w:val="naisf"/>
              <w:spacing w:before="0" w:after="0"/>
              <w:ind w:firstLine="0"/>
              <w:jc w:val="center"/>
              <w:rPr>
                <w:i/>
                <w:sz w:val="25"/>
                <w:szCs w:val="25"/>
              </w:rPr>
            </w:pP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5. Precizēta finansiālā ietekme:</w:t>
            </w:r>
          </w:p>
        </w:tc>
        <w:tc>
          <w:tcPr>
            <w:tcW w:w="1194" w:type="dxa"/>
            <w:vMerge w:val="restart"/>
          </w:tcPr>
          <w:p w:rsidR="00B06326" w:rsidRPr="00656873" w:rsidRDefault="00B06326" w:rsidP="00831A72">
            <w:pPr>
              <w:pStyle w:val="naisf"/>
              <w:spacing w:before="0" w:after="0"/>
              <w:ind w:firstLine="0"/>
              <w:jc w:val="center"/>
              <w:rPr>
                <w:i/>
                <w:sz w:val="25"/>
                <w:szCs w:val="25"/>
              </w:rPr>
            </w:pPr>
            <w:r w:rsidRPr="00656873">
              <w:rPr>
                <w:sz w:val="25"/>
                <w:szCs w:val="25"/>
              </w:rPr>
              <w:t>X</w:t>
            </w: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5.1. valsts pamatbudžets</w:t>
            </w:r>
          </w:p>
        </w:tc>
        <w:tc>
          <w:tcPr>
            <w:tcW w:w="1194" w:type="dxa"/>
            <w:vMerge/>
            <w:vAlign w:val="center"/>
          </w:tcPr>
          <w:p w:rsidR="00B06326" w:rsidRPr="00656873" w:rsidRDefault="00B06326" w:rsidP="00831A72">
            <w:pPr>
              <w:pStyle w:val="naisf"/>
              <w:spacing w:before="0" w:after="0"/>
              <w:ind w:firstLine="0"/>
              <w:jc w:val="center"/>
              <w:rPr>
                <w:i/>
                <w:sz w:val="25"/>
                <w:szCs w:val="25"/>
              </w:rPr>
            </w:pP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5.2. speciālais budžets</w:t>
            </w:r>
          </w:p>
        </w:tc>
        <w:tc>
          <w:tcPr>
            <w:tcW w:w="1194" w:type="dxa"/>
            <w:vMerge/>
            <w:vAlign w:val="center"/>
          </w:tcPr>
          <w:p w:rsidR="00B06326" w:rsidRPr="00656873" w:rsidRDefault="00B06326" w:rsidP="00831A72">
            <w:pPr>
              <w:pStyle w:val="naisf"/>
              <w:spacing w:before="0" w:after="0"/>
              <w:ind w:firstLine="0"/>
              <w:jc w:val="center"/>
              <w:rPr>
                <w:i/>
                <w:sz w:val="25"/>
                <w:szCs w:val="25"/>
              </w:rPr>
            </w:pP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B06326" w:rsidRPr="00656873" w:rsidTr="00E34D42">
        <w:trPr>
          <w:jc w:val="center"/>
        </w:trPr>
        <w:tc>
          <w:tcPr>
            <w:tcW w:w="2853" w:type="dxa"/>
          </w:tcPr>
          <w:p w:rsidR="00B06326" w:rsidRPr="00656873" w:rsidRDefault="00B06326" w:rsidP="00831A72">
            <w:pPr>
              <w:rPr>
                <w:sz w:val="25"/>
                <w:szCs w:val="25"/>
              </w:rPr>
            </w:pPr>
            <w:r w:rsidRPr="00656873">
              <w:rPr>
                <w:sz w:val="25"/>
                <w:szCs w:val="25"/>
              </w:rPr>
              <w:t xml:space="preserve">5.3. pašvaldību budžets </w:t>
            </w:r>
          </w:p>
        </w:tc>
        <w:tc>
          <w:tcPr>
            <w:tcW w:w="1194" w:type="dxa"/>
            <w:vMerge/>
            <w:vAlign w:val="center"/>
          </w:tcPr>
          <w:p w:rsidR="00B06326" w:rsidRPr="00656873" w:rsidRDefault="00B06326" w:rsidP="00831A72">
            <w:pPr>
              <w:pStyle w:val="naisf"/>
              <w:spacing w:before="0" w:after="0"/>
              <w:ind w:firstLine="0"/>
              <w:jc w:val="center"/>
              <w:rPr>
                <w:i/>
                <w:sz w:val="25"/>
                <w:szCs w:val="25"/>
              </w:rPr>
            </w:pPr>
          </w:p>
        </w:tc>
        <w:tc>
          <w:tcPr>
            <w:tcW w:w="1509"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c>
          <w:tcPr>
            <w:tcW w:w="1507" w:type="dxa"/>
            <w:vAlign w:val="center"/>
          </w:tcPr>
          <w:p w:rsidR="00B06326" w:rsidRPr="00656873" w:rsidRDefault="00B06326" w:rsidP="00E34D42">
            <w:pPr>
              <w:jc w:val="center"/>
              <w:rPr>
                <w:sz w:val="25"/>
                <w:szCs w:val="25"/>
              </w:rPr>
            </w:pPr>
            <w:r w:rsidRPr="00656873">
              <w:rPr>
                <w:sz w:val="25"/>
                <w:szCs w:val="25"/>
              </w:rPr>
              <w:t>0</w:t>
            </w:r>
          </w:p>
        </w:tc>
      </w:tr>
      <w:tr w:rsidR="00DA30DA" w:rsidRPr="00656873" w:rsidTr="00DA30DA">
        <w:trPr>
          <w:jc w:val="center"/>
        </w:trPr>
        <w:tc>
          <w:tcPr>
            <w:tcW w:w="2853" w:type="dxa"/>
          </w:tcPr>
          <w:p w:rsidR="00DA30DA" w:rsidRPr="00656873" w:rsidRDefault="00DA30DA" w:rsidP="00831A72">
            <w:pPr>
              <w:rPr>
                <w:sz w:val="25"/>
                <w:szCs w:val="25"/>
              </w:rPr>
            </w:pPr>
            <w:r w:rsidRPr="00656873">
              <w:rPr>
                <w:sz w:val="25"/>
                <w:szCs w:val="25"/>
              </w:rPr>
              <w:t>6. Detalizēts ieņēmumu un izdevu</w:t>
            </w:r>
            <w:r w:rsidRPr="00656873">
              <w:rPr>
                <w:sz w:val="25"/>
                <w:szCs w:val="25"/>
              </w:rPr>
              <w:softHyphen/>
              <w:t>mu aprēķins (ja nepieciešams, detalizētu ieņēmumu un izdevumu aprēķinu var pievienot anotācijas pielikumā):</w:t>
            </w:r>
          </w:p>
        </w:tc>
        <w:tc>
          <w:tcPr>
            <w:tcW w:w="7224" w:type="dxa"/>
            <w:gridSpan w:val="5"/>
            <w:vMerge w:val="restart"/>
          </w:tcPr>
          <w:p w:rsidR="00F55C55" w:rsidRPr="00656873" w:rsidRDefault="00C17467" w:rsidP="00F04465">
            <w:pPr>
              <w:pStyle w:val="naisf"/>
              <w:spacing w:before="0" w:after="0"/>
              <w:ind w:firstLine="0"/>
              <w:rPr>
                <w:sz w:val="25"/>
                <w:szCs w:val="25"/>
              </w:rPr>
            </w:pPr>
            <w:bookmarkStart w:id="3" w:name="OLE_LINK6"/>
            <w:bookmarkStart w:id="4" w:name="OLE_LINK8"/>
            <w:r>
              <w:rPr>
                <w:sz w:val="25"/>
                <w:szCs w:val="25"/>
              </w:rPr>
              <w:t>Skatīt anotācijas sadaļas „</w:t>
            </w:r>
            <w:r w:rsidRPr="00C17467">
              <w:rPr>
                <w:sz w:val="25"/>
                <w:szCs w:val="25"/>
              </w:rPr>
              <w:t>I. Tiesību akta projekta izstrādes nepieciešamība</w:t>
            </w:r>
            <w:r>
              <w:rPr>
                <w:sz w:val="25"/>
                <w:szCs w:val="25"/>
              </w:rPr>
              <w:t>” 2.punkta 3.</w:t>
            </w:r>
            <w:r w:rsidRPr="00656873">
              <w:rPr>
                <w:sz w:val="25"/>
                <w:szCs w:val="25"/>
              </w:rPr>
              <w:t xml:space="preserve"> –</w:t>
            </w:r>
            <w:r w:rsidR="00DC7CDA">
              <w:rPr>
                <w:sz w:val="25"/>
                <w:szCs w:val="25"/>
              </w:rPr>
              <w:t xml:space="preserve"> 6</w:t>
            </w:r>
            <w:r>
              <w:rPr>
                <w:sz w:val="25"/>
                <w:szCs w:val="25"/>
              </w:rPr>
              <w:t>.rindkopā norādīto informāciju par LOV, LHF, LRF un LDS ieņēmumiem.</w:t>
            </w:r>
            <w:bookmarkEnd w:id="3"/>
            <w:bookmarkEnd w:id="4"/>
          </w:p>
          <w:p w:rsidR="00F55C55" w:rsidRPr="00656873" w:rsidRDefault="00055F70" w:rsidP="00F55C55">
            <w:pPr>
              <w:pStyle w:val="naisf"/>
              <w:spacing w:before="0" w:after="0"/>
              <w:ind w:firstLine="0"/>
              <w:rPr>
                <w:sz w:val="25"/>
                <w:szCs w:val="25"/>
              </w:rPr>
            </w:pPr>
            <w:r w:rsidRPr="00656873">
              <w:rPr>
                <w:sz w:val="25"/>
                <w:szCs w:val="25"/>
              </w:rPr>
              <w:t>Pa</w:t>
            </w:r>
            <w:r w:rsidR="00C8314D" w:rsidRPr="00656873">
              <w:rPr>
                <w:sz w:val="25"/>
                <w:szCs w:val="25"/>
              </w:rPr>
              <w:t xml:space="preserve">pildus pieprasītā </w:t>
            </w:r>
            <w:r w:rsidR="002C2C3F" w:rsidRPr="00656873">
              <w:rPr>
                <w:sz w:val="25"/>
                <w:szCs w:val="25"/>
              </w:rPr>
              <w:t>finansējuma (</w:t>
            </w:r>
            <w:r w:rsidR="000B79CB" w:rsidRPr="000B79CB">
              <w:rPr>
                <w:rFonts w:eastAsia="Times New Roman"/>
                <w:color w:val="000000"/>
                <w:sz w:val="25"/>
                <w:szCs w:val="25"/>
              </w:rPr>
              <w:t>443`6</w:t>
            </w:r>
            <w:r w:rsidR="00C17467" w:rsidRPr="000B79CB">
              <w:rPr>
                <w:rFonts w:eastAsia="Times New Roman"/>
                <w:color w:val="000000"/>
                <w:sz w:val="25"/>
                <w:szCs w:val="25"/>
              </w:rPr>
              <w:t>97</w:t>
            </w:r>
            <w:r w:rsidR="00C17467" w:rsidRPr="00656873">
              <w:rPr>
                <w:rFonts w:eastAsia="Times New Roman"/>
                <w:color w:val="000000"/>
                <w:sz w:val="25"/>
                <w:szCs w:val="25"/>
              </w:rPr>
              <w:t xml:space="preserve"> latu apmērā</w:t>
            </w:r>
            <w:r w:rsidR="00C8314D" w:rsidRPr="00656873">
              <w:rPr>
                <w:sz w:val="25"/>
                <w:szCs w:val="25"/>
              </w:rPr>
              <w:t>) sadalījums atbilstoši tam paredzētam mērķim:</w:t>
            </w:r>
          </w:p>
          <w:p w:rsidR="003466C8" w:rsidRDefault="003466C8" w:rsidP="003466C8">
            <w:pPr>
              <w:pStyle w:val="naisf"/>
              <w:numPr>
                <w:ilvl w:val="0"/>
                <w:numId w:val="6"/>
              </w:numPr>
              <w:rPr>
                <w:sz w:val="25"/>
                <w:szCs w:val="25"/>
              </w:rPr>
            </w:pPr>
            <w:r>
              <w:rPr>
                <w:sz w:val="25"/>
                <w:szCs w:val="25"/>
              </w:rPr>
              <w:t>294 187 lati</w:t>
            </w:r>
            <w:r w:rsidRPr="003466C8">
              <w:rPr>
                <w:sz w:val="25"/>
                <w:szCs w:val="25"/>
              </w:rPr>
              <w:t xml:space="preserve"> SIA „Latvijas Olimpiskā vienība”, lai segtu izdevumus, kas saistīti ar Latvijas Olimpiskās vienības sportistu sagatavošanās procesu 2014.gada Ziemas Olimpiskajām spēlēm Sočos (Krievija)</w:t>
            </w:r>
            <w:r w:rsidR="008D3097">
              <w:rPr>
                <w:sz w:val="25"/>
                <w:szCs w:val="25"/>
              </w:rPr>
              <w:t xml:space="preserve"> un</w:t>
            </w:r>
            <w:r w:rsidR="008D3097" w:rsidRPr="008D3097">
              <w:rPr>
                <w:sz w:val="25"/>
                <w:szCs w:val="25"/>
              </w:rPr>
              <w:t xml:space="preserve"> 2016.gada Vasaras Olimpiskajām spēlēm Riodežaneiro (Brazīlija)</w:t>
            </w:r>
            <w:r w:rsidRPr="003466C8">
              <w:rPr>
                <w:sz w:val="25"/>
                <w:szCs w:val="25"/>
              </w:rPr>
              <w:t>.</w:t>
            </w:r>
          </w:p>
          <w:p w:rsidR="003466C8" w:rsidRDefault="003466C8" w:rsidP="003466C8">
            <w:pPr>
              <w:pStyle w:val="naisf"/>
              <w:numPr>
                <w:ilvl w:val="0"/>
                <w:numId w:val="6"/>
              </w:numPr>
              <w:rPr>
                <w:sz w:val="25"/>
                <w:szCs w:val="25"/>
              </w:rPr>
            </w:pPr>
            <w:r>
              <w:rPr>
                <w:sz w:val="25"/>
                <w:szCs w:val="25"/>
              </w:rPr>
              <w:t>119 160 lati</w:t>
            </w:r>
            <w:r w:rsidRPr="003466C8">
              <w:rPr>
                <w:sz w:val="25"/>
                <w:szCs w:val="25"/>
              </w:rPr>
              <w:t xml:space="preserve"> biedrībai „Latvijas Hokeja federācija”, lai segtu </w:t>
            </w:r>
            <w:r w:rsidRPr="003466C8">
              <w:rPr>
                <w:sz w:val="25"/>
                <w:szCs w:val="25"/>
              </w:rPr>
              <w:lastRenderedPageBreak/>
              <w:t>izdevumus, kas saistīti ar Latvijas nacionālās vīriešu hokeja izlases gatavošanos 2014.gada Ziemas Olimpiskajām spēlēm  Sočos (Krievija).</w:t>
            </w:r>
          </w:p>
          <w:p w:rsidR="003466C8" w:rsidRDefault="000B79CB" w:rsidP="003466C8">
            <w:pPr>
              <w:pStyle w:val="naisf"/>
              <w:numPr>
                <w:ilvl w:val="0"/>
                <w:numId w:val="6"/>
              </w:numPr>
              <w:rPr>
                <w:sz w:val="25"/>
                <w:szCs w:val="25"/>
              </w:rPr>
            </w:pPr>
            <w:r w:rsidRPr="006B6F0F">
              <w:rPr>
                <w:sz w:val="25"/>
                <w:szCs w:val="25"/>
              </w:rPr>
              <w:t>25 3</w:t>
            </w:r>
            <w:r w:rsidR="00BD2AF8" w:rsidRPr="006B6F0F">
              <w:rPr>
                <w:sz w:val="25"/>
                <w:szCs w:val="25"/>
              </w:rPr>
              <w:t>50</w:t>
            </w:r>
            <w:r w:rsidR="00BD2AF8">
              <w:rPr>
                <w:sz w:val="25"/>
                <w:szCs w:val="25"/>
              </w:rPr>
              <w:t xml:space="preserve"> lati</w:t>
            </w:r>
            <w:r w:rsidR="003466C8" w:rsidRPr="003466C8">
              <w:rPr>
                <w:sz w:val="25"/>
                <w:szCs w:val="25"/>
              </w:rPr>
              <w:t xml:space="preserve"> biedrībai „Latvijas Riteņbraukšanas federācija”, lai segtu izdevumus, kas saistīti ar starptautiskā Baltijas valstu daudzdienu velobrauciena „Baltijas ceļš 2013” (</w:t>
            </w:r>
            <w:r w:rsidR="003466C8" w:rsidRPr="003466C8">
              <w:rPr>
                <w:i/>
                <w:sz w:val="25"/>
                <w:szCs w:val="25"/>
              </w:rPr>
              <w:t>Baltic Chain Tour Via Baltica 2013</w:t>
            </w:r>
            <w:r w:rsidR="003466C8" w:rsidRPr="003466C8">
              <w:rPr>
                <w:sz w:val="25"/>
                <w:szCs w:val="25"/>
              </w:rPr>
              <w:t>) Latvijas posma organizēšanu.</w:t>
            </w:r>
          </w:p>
          <w:p w:rsidR="00DB5117" w:rsidRPr="003466C8" w:rsidRDefault="00BD2AF8" w:rsidP="003466C8">
            <w:pPr>
              <w:pStyle w:val="naisf"/>
              <w:numPr>
                <w:ilvl w:val="0"/>
                <w:numId w:val="6"/>
              </w:numPr>
              <w:rPr>
                <w:sz w:val="25"/>
                <w:szCs w:val="25"/>
              </w:rPr>
            </w:pPr>
            <w:r>
              <w:rPr>
                <w:sz w:val="25"/>
                <w:szCs w:val="25"/>
              </w:rPr>
              <w:t>5 000 lati</w:t>
            </w:r>
            <w:r w:rsidR="003466C8" w:rsidRPr="003466C8">
              <w:rPr>
                <w:sz w:val="25"/>
                <w:szCs w:val="25"/>
              </w:rPr>
              <w:t xml:space="preserve"> biedrībai „Latvijas Dambretes savienība”, lai segtu izdevumus, kas saistīti ar 2013.gada pasaules senioru čempionāta starptautiskajā dambretē organizēšanu Rīgā </w:t>
            </w:r>
          </w:p>
          <w:p w:rsidR="00C8314D" w:rsidRPr="00656873" w:rsidRDefault="00D726E1" w:rsidP="00F55C55">
            <w:pPr>
              <w:pStyle w:val="naisf"/>
              <w:spacing w:before="0" w:after="0"/>
              <w:ind w:firstLine="0"/>
              <w:rPr>
                <w:sz w:val="25"/>
                <w:szCs w:val="25"/>
              </w:rPr>
            </w:pPr>
            <w:r w:rsidRPr="00656873">
              <w:rPr>
                <w:sz w:val="25"/>
                <w:szCs w:val="25"/>
              </w:rPr>
              <w:t>Detalizēta</w:t>
            </w:r>
            <w:r w:rsidR="003466C8">
              <w:rPr>
                <w:sz w:val="25"/>
                <w:szCs w:val="25"/>
              </w:rPr>
              <w:t>s</w:t>
            </w:r>
            <w:r w:rsidRPr="00656873">
              <w:rPr>
                <w:sz w:val="25"/>
                <w:szCs w:val="25"/>
              </w:rPr>
              <w:t xml:space="preserve"> izdevumu tāme</w:t>
            </w:r>
            <w:r w:rsidR="003466C8">
              <w:rPr>
                <w:sz w:val="25"/>
                <w:szCs w:val="25"/>
              </w:rPr>
              <w:t>s</w:t>
            </w:r>
            <w:r w:rsidRPr="00656873">
              <w:rPr>
                <w:sz w:val="25"/>
                <w:szCs w:val="25"/>
              </w:rPr>
              <w:t xml:space="preserve"> pievienota</w:t>
            </w:r>
            <w:r w:rsidR="003466C8">
              <w:rPr>
                <w:sz w:val="25"/>
                <w:szCs w:val="25"/>
              </w:rPr>
              <w:t>s</w:t>
            </w:r>
            <w:r w:rsidRPr="00656873">
              <w:rPr>
                <w:sz w:val="25"/>
                <w:szCs w:val="25"/>
              </w:rPr>
              <w:t xml:space="preserve"> pielikumā.</w:t>
            </w:r>
          </w:p>
        </w:tc>
      </w:tr>
      <w:tr w:rsidR="00DA30DA" w:rsidRPr="00656873" w:rsidTr="00DA30DA">
        <w:trPr>
          <w:jc w:val="center"/>
        </w:trPr>
        <w:tc>
          <w:tcPr>
            <w:tcW w:w="2853" w:type="dxa"/>
          </w:tcPr>
          <w:p w:rsidR="00DA30DA" w:rsidRPr="00656873" w:rsidRDefault="00DA30DA" w:rsidP="00831A72">
            <w:pPr>
              <w:rPr>
                <w:sz w:val="25"/>
                <w:szCs w:val="25"/>
              </w:rPr>
            </w:pPr>
            <w:r w:rsidRPr="00656873">
              <w:rPr>
                <w:sz w:val="25"/>
                <w:szCs w:val="25"/>
              </w:rPr>
              <w:t>6.1. detalizēts ieņēmumu aprēķins</w:t>
            </w:r>
          </w:p>
        </w:tc>
        <w:tc>
          <w:tcPr>
            <w:tcW w:w="7224" w:type="dxa"/>
            <w:gridSpan w:val="5"/>
            <w:vMerge/>
          </w:tcPr>
          <w:p w:rsidR="00DA30DA" w:rsidRPr="00656873" w:rsidRDefault="00DA30DA" w:rsidP="00831A72">
            <w:pPr>
              <w:pStyle w:val="naisf"/>
              <w:spacing w:before="0" w:after="0"/>
              <w:ind w:firstLine="0"/>
              <w:rPr>
                <w:b/>
                <w:i/>
                <w:sz w:val="25"/>
                <w:szCs w:val="25"/>
              </w:rPr>
            </w:pPr>
          </w:p>
        </w:tc>
      </w:tr>
      <w:tr w:rsidR="00DA30DA" w:rsidRPr="00656873" w:rsidTr="00DA30DA">
        <w:trPr>
          <w:jc w:val="center"/>
        </w:trPr>
        <w:tc>
          <w:tcPr>
            <w:tcW w:w="2853" w:type="dxa"/>
          </w:tcPr>
          <w:p w:rsidR="00DA30DA" w:rsidRPr="00656873" w:rsidRDefault="00DA30DA" w:rsidP="00831A72">
            <w:pPr>
              <w:rPr>
                <w:sz w:val="25"/>
                <w:szCs w:val="25"/>
              </w:rPr>
            </w:pPr>
            <w:r w:rsidRPr="00656873">
              <w:rPr>
                <w:sz w:val="25"/>
                <w:szCs w:val="25"/>
              </w:rPr>
              <w:t>6.2. detalizēts izdevumu aprēķins</w:t>
            </w:r>
          </w:p>
        </w:tc>
        <w:tc>
          <w:tcPr>
            <w:tcW w:w="7224" w:type="dxa"/>
            <w:gridSpan w:val="5"/>
            <w:vMerge/>
          </w:tcPr>
          <w:p w:rsidR="00DA30DA" w:rsidRPr="00656873" w:rsidRDefault="00DA30DA" w:rsidP="00831A72">
            <w:pPr>
              <w:pStyle w:val="naisf"/>
              <w:spacing w:before="0" w:after="0"/>
              <w:ind w:firstLine="0"/>
              <w:rPr>
                <w:b/>
                <w:i/>
                <w:sz w:val="25"/>
                <w:szCs w:val="25"/>
              </w:rPr>
            </w:pPr>
          </w:p>
        </w:tc>
      </w:tr>
      <w:tr w:rsidR="00DA30DA" w:rsidRPr="00656873" w:rsidTr="00DA30DA">
        <w:trPr>
          <w:jc w:val="center"/>
        </w:trPr>
        <w:tc>
          <w:tcPr>
            <w:tcW w:w="2853" w:type="dxa"/>
          </w:tcPr>
          <w:p w:rsidR="00DA30DA" w:rsidRPr="00656873" w:rsidRDefault="00DA30DA" w:rsidP="00831A72">
            <w:pPr>
              <w:rPr>
                <w:sz w:val="25"/>
                <w:szCs w:val="25"/>
              </w:rPr>
            </w:pPr>
            <w:r w:rsidRPr="00656873">
              <w:rPr>
                <w:sz w:val="25"/>
                <w:szCs w:val="25"/>
              </w:rPr>
              <w:lastRenderedPageBreak/>
              <w:t>7. Cita informācija</w:t>
            </w:r>
          </w:p>
        </w:tc>
        <w:tc>
          <w:tcPr>
            <w:tcW w:w="7224" w:type="dxa"/>
            <w:gridSpan w:val="5"/>
          </w:tcPr>
          <w:p w:rsidR="0016142A" w:rsidRPr="00656873" w:rsidRDefault="0054456F" w:rsidP="00707D91">
            <w:pPr>
              <w:pStyle w:val="naisf"/>
              <w:tabs>
                <w:tab w:val="left" w:pos="4644"/>
              </w:tabs>
              <w:spacing w:before="0" w:after="0"/>
              <w:ind w:firstLine="0"/>
              <w:rPr>
                <w:color w:val="000000"/>
                <w:sz w:val="25"/>
                <w:szCs w:val="25"/>
              </w:rPr>
            </w:pPr>
            <w:r w:rsidRPr="00656873">
              <w:rPr>
                <w:color w:val="000000"/>
                <w:sz w:val="25"/>
                <w:szCs w:val="25"/>
              </w:rPr>
              <w:t>I</w:t>
            </w:r>
            <w:r w:rsidR="00272248" w:rsidRPr="00656873">
              <w:rPr>
                <w:color w:val="000000"/>
                <w:sz w:val="25"/>
                <w:szCs w:val="25"/>
              </w:rPr>
              <w:t xml:space="preserve">zdevumus sedz no </w:t>
            </w:r>
            <w:r w:rsidRPr="00656873">
              <w:rPr>
                <w:color w:val="000000"/>
                <w:sz w:val="25"/>
                <w:szCs w:val="25"/>
              </w:rPr>
              <w:t>valsts budžeta programmas 02.00.00 „Līdzekļi neparedzētiem gadījumiem”</w:t>
            </w:r>
            <w:r w:rsidR="00272248" w:rsidRPr="00656873">
              <w:rPr>
                <w:color w:val="000000"/>
                <w:sz w:val="25"/>
                <w:szCs w:val="25"/>
              </w:rPr>
              <w:t>.</w:t>
            </w:r>
          </w:p>
          <w:p w:rsidR="0016142A" w:rsidRPr="00656873" w:rsidRDefault="0016142A" w:rsidP="00707D91">
            <w:pPr>
              <w:pStyle w:val="naisf"/>
              <w:tabs>
                <w:tab w:val="left" w:pos="4644"/>
              </w:tabs>
              <w:spacing w:before="0" w:after="0"/>
              <w:ind w:firstLine="0"/>
              <w:rPr>
                <w:sz w:val="25"/>
                <w:szCs w:val="25"/>
              </w:rPr>
            </w:pPr>
            <w:r w:rsidRPr="00656873">
              <w:rPr>
                <w:sz w:val="25"/>
                <w:szCs w:val="25"/>
              </w:rPr>
              <w:t>Informāciju par apropriācijas izmaiņām likuma par valsts budžetu attiecīgajam gadam pielikumā „Valsts pamatbudžeta ieņēmumu un izdevumu atšifrējums pa programmām un apakšprogrammām” (veidlapa APRO) ministrija iesniegs Finanšu ministrijā pēc Rīkojuma projekta pieņemšanas Ministru kabinetā.</w:t>
            </w:r>
          </w:p>
        </w:tc>
      </w:tr>
    </w:tbl>
    <w:p w:rsidR="00DA30DA" w:rsidRPr="00656873" w:rsidRDefault="00DA30DA" w:rsidP="00D96FCD">
      <w:pPr>
        <w:pStyle w:val="naisf"/>
        <w:spacing w:before="0" w:after="0"/>
        <w:rPr>
          <w:sz w:val="25"/>
          <w:szCs w:val="25"/>
        </w:rPr>
      </w:pPr>
    </w:p>
    <w:p w:rsidR="001F23A6" w:rsidRPr="00656873" w:rsidRDefault="001F23A6" w:rsidP="00D96FCD">
      <w:pPr>
        <w:rPr>
          <w:sz w:val="25"/>
          <w:szCs w:val="25"/>
        </w:rPr>
      </w:pPr>
      <w:r w:rsidRPr="00656873">
        <w:rPr>
          <w:sz w:val="25"/>
          <w:szCs w:val="25"/>
        </w:rPr>
        <w:t>Anotācijas IV – VII sadaļa – Rīkojuma projekts šīs jomas neskar.</w:t>
      </w:r>
    </w:p>
    <w:p w:rsidR="001F23A6" w:rsidRPr="00656873" w:rsidRDefault="001F23A6" w:rsidP="00D96FCD">
      <w:pPr>
        <w:rPr>
          <w:sz w:val="25"/>
          <w:szCs w:val="25"/>
        </w:rPr>
      </w:pPr>
    </w:p>
    <w:p w:rsidR="00933D0C" w:rsidRPr="00656873" w:rsidRDefault="00933D0C" w:rsidP="00933D0C">
      <w:pPr>
        <w:pStyle w:val="BodyText2"/>
        <w:spacing w:after="0" w:line="240" w:lineRule="auto"/>
        <w:ind w:firstLine="709"/>
        <w:jc w:val="both"/>
        <w:rPr>
          <w:sz w:val="25"/>
          <w:szCs w:val="25"/>
        </w:rPr>
      </w:pPr>
      <w:r w:rsidRPr="00656873">
        <w:rPr>
          <w:sz w:val="25"/>
          <w:szCs w:val="25"/>
        </w:rPr>
        <w:t xml:space="preserve">Izglītības un zinātnes ministrs                         </w:t>
      </w:r>
      <w:r w:rsidR="00DF02BB">
        <w:rPr>
          <w:sz w:val="25"/>
          <w:szCs w:val="25"/>
        </w:rPr>
        <w:t xml:space="preserve">                      </w:t>
      </w:r>
      <w:r w:rsidR="0059458A" w:rsidRPr="00656873">
        <w:rPr>
          <w:sz w:val="25"/>
          <w:szCs w:val="25"/>
        </w:rPr>
        <w:t xml:space="preserve">V.Dombrovskis </w:t>
      </w:r>
    </w:p>
    <w:p w:rsidR="00585B7B" w:rsidRPr="00656873" w:rsidRDefault="00585B7B" w:rsidP="00D96FCD">
      <w:pPr>
        <w:rPr>
          <w:sz w:val="25"/>
          <w:szCs w:val="25"/>
        </w:rPr>
      </w:pPr>
    </w:p>
    <w:p w:rsidR="004560F5" w:rsidRPr="00656873" w:rsidRDefault="004560F5" w:rsidP="00D96FCD">
      <w:pPr>
        <w:rPr>
          <w:sz w:val="25"/>
          <w:szCs w:val="25"/>
        </w:rPr>
      </w:pPr>
    </w:p>
    <w:p w:rsidR="008431E8" w:rsidRPr="00656873" w:rsidRDefault="00585B7B" w:rsidP="00C7220E">
      <w:pPr>
        <w:ind w:firstLine="720"/>
        <w:rPr>
          <w:sz w:val="25"/>
          <w:szCs w:val="25"/>
        </w:rPr>
      </w:pPr>
      <w:r w:rsidRPr="00656873">
        <w:rPr>
          <w:sz w:val="25"/>
          <w:szCs w:val="25"/>
        </w:rPr>
        <w:t>Vizē:</w:t>
      </w:r>
    </w:p>
    <w:p w:rsidR="00B0779E" w:rsidRPr="00B0779E" w:rsidRDefault="00B0779E" w:rsidP="00B0779E">
      <w:pPr>
        <w:ind w:firstLine="720"/>
        <w:jc w:val="both"/>
        <w:rPr>
          <w:sz w:val="25"/>
          <w:szCs w:val="25"/>
        </w:rPr>
      </w:pPr>
      <w:r w:rsidRPr="00B0779E">
        <w:rPr>
          <w:sz w:val="25"/>
          <w:szCs w:val="25"/>
        </w:rPr>
        <w:t xml:space="preserve">Valsts sekretāra vietniece – </w:t>
      </w:r>
    </w:p>
    <w:p w:rsidR="00B0779E" w:rsidRPr="00B0779E" w:rsidRDefault="00B0779E" w:rsidP="00B0779E">
      <w:pPr>
        <w:ind w:firstLine="720"/>
        <w:jc w:val="both"/>
        <w:rPr>
          <w:sz w:val="25"/>
          <w:szCs w:val="25"/>
        </w:rPr>
      </w:pPr>
      <w:r w:rsidRPr="00B0779E">
        <w:rPr>
          <w:sz w:val="25"/>
          <w:szCs w:val="25"/>
        </w:rPr>
        <w:t xml:space="preserve">Nodrošinājuma un finanšu departamenta </w:t>
      </w:r>
    </w:p>
    <w:p w:rsidR="00B0779E" w:rsidRPr="00B0779E" w:rsidRDefault="00B0779E" w:rsidP="00B0779E">
      <w:pPr>
        <w:ind w:firstLine="720"/>
        <w:jc w:val="both"/>
        <w:rPr>
          <w:sz w:val="25"/>
          <w:szCs w:val="25"/>
        </w:rPr>
      </w:pPr>
      <w:r w:rsidRPr="00B0779E">
        <w:rPr>
          <w:sz w:val="25"/>
          <w:szCs w:val="25"/>
        </w:rPr>
        <w:t xml:space="preserve">direktore, </w:t>
      </w:r>
    </w:p>
    <w:p w:rsidR="00656C19" w:rsidRDefault="00B0779E" w:rsidP="00B0779E">
      <w:pPr>
        <w:ind w:firstLine="720"/>
        <w:jc w:val="both"/>
        <w:rPr>
          <w:sz w:val="22"/>
          <w:szCs w:val="22"/>
        </w:rPr>
      </w:pPr>
      <w:r w:rsidRPr="00B0779E">
        <w:rPr>
          <w:sz w:val="25"/>
          <w:szCs w:val="25"/>
        </w:rPr>
        <w:t xml:space="preserve">valsts sekretāra pienākumu izpildītāja                                  </w:t>
      </w:r>
      <w:r>
        <w:rPr>
          <w:sz w:val="25"/>
          <w:szCs w:val="25"/>
        </w:rPr>
        <w:t xml:space="preserve">  </w:t>
      </w:r>
      <w:r w:rsidRPr="00B0779E">
        <w:rPr>
          <w:sz w:val="25"/>
          <w:szCs w:val="25"/>
        </w:rPr>
        <w:t>S.Batare</w:t>
      </w:r>
    </w:p>
    <w:p w:rsidR="00656C19" w:rsidRDefault="00656C19" w:rsidP="00656C19">
      <w:pPr>
        <w:ind w:firstLine="720"/>
        <w:jc w:val="both"/>
        <w:rPr>
          <w:sz w:val="22"/>
          <w:szCs w:val="22"/>
        </w:rPr>
      </w:pPr>
    </w:p>
    <w:p w:rsidR="003E2F42" w:rsidRDefault="003E2F42" w:rsidP="00656C19">
      <w:pPr>
        <w:ind w:firstLine="720"/>
        <w:jc w:val="both"/>
        <w:rPr>
          <w:sz w:val="22"/>
          <w:szCs w:val="22"/>
        </w:rPr>
      </w:pPr>
    </w:p>
    <w:p w:rsidR="003E2F42" w:rsidRDefault="003E2F42" w:rsidP="00656C19">
      <w:pPr>
        <w:ind w:firstLine="720"/>
        <w:jc w:val="both"/>
        <w:rPr>
          <w:sz w:val="22"/>
          <w:szCs w:val="22"/>
        </w:rPr>
      </w:pPr>
    </w:p>
    <w:p w:rsidR="003E2F42" w:rsidRPr="00055608" w:rsidRDefault="003E2F42" w:rsidP="00656C19">
      <w:pPr>
        <w:ind w:firstLine="720"/>
        <w:jc w:val="both"/>
        <w:rPr>
          <w:sz w:val="22"/>
          <w:szCs w:val="22"/>
        </w:rPr>
      </w:pPr>
    </w:p>
    <w:p w:rsidR="00942D3A" w:rsidRPr="003E2F42" w:rsidRDefault="00921555" w:rsidP="00942D3A">
      <w:pPr>
        <w:ind w:left="720"/>
        <w:rPr>
          <w:sz w:val="22"/>
          <w:szCs w:val="22"/>
        </w:rPr>
      </w:pPr>
      <w:r>
        <w:rPr>
          <w:sz w:val="22"/>
          <w:szCs w:val="22"/>
        </w:rPr>
        <w:t>22</w:t>
      </w:r>
      <w:r w:rsidR="00984C14" w:rsidRPr="003E2F42">
        <w:rPr>
          <w:sz w:val="22"/>
          <w:szCs w:val="22"/>
        </w:rPr>
        <w:t>.0</w:t>
      </w:r>
      <w:r w:rsidR="005B15A3" w:rsidRPr="003E2F42">
        <w:rPr>
          <w:sz w:val="22"/>
          <w:szCs w:val="22"/>
        </w:rPr>
        <w:t>7</w:t>
      </w:r>
      <w:r w:rsidR="00984C14" w:rsidRPr="003E2F42">
        <w:rPr>
          <w:sz w:val="22"/>
          <w:szCs w:val="22"/>
        </w:rPr>
        <w:t>.2013.</w:t>
      </w:r>
      <w:r w:rsidR="008D3097">
        <w:rPr>
          <w:sz w:val="22"/>
          <w:szCs w:val="22"/>
        </w:rPr>
        <w:t>11</w:t>
      </w:r>
      <w:r w:rsidR="00942D3A" w:rsidRPr="003E2F42">
        <w:rPr>
          <w:sz w:val="22"/>
          <w:szCs w:val="22"/>
        </w:rPr>
        <w:t>:</w:t>
      </w:r>
      <w:bookmarkStart w:id="5" w:name="_GoBack"/>
      <w:bookmarkEnd w:id="5"/>
      <w:r w:rsidR="008D3097">
        <w:rPr>
          <w:sz w:val="22"/>
          <w:szCs w:val="22"/>
        </w:rPr>
        <w:t>55</w:t>
      </w:r>
    </w:p>
    <w:p w:rsidR="00942D3A" w:rsidRPr="003E2F42" w:rsidRDefault="00F1633E" w:rsidP="00942D3A">
      <w:pPr>
        <w:ind w:left="720"/>
        <w:rPr>
          <w:sz w:val="22"/>
          <w:szCs w:val="22"/>
        </w:rPr>
      </w:pPr>
      <w:r>
        <w:rPr>
          <w:sz w:val="22"/>
          <w:szCs w:val="22"/>
        </w:rPr>
        <w:t>2278</w:t>
      </w:r>
    </w:p>
    <w:p w:rsidR="00942D3A" w:rsidRPr="003E2F42" w:rsidRDefault="00942D3A" w:rsidP="00942D3A">
      <w:pPr>
        <w:ind w:left="720"/>
        <w:rPr>
          <w:sz w:val="22"/>
          <w:szCs w:val="22"/>
        </w:rPr>
      </w:pPr>
      <w:bookmarkStart w:id="6" w:name="OLE_LINK7"/>
      <w:r w:rsidRPr="003E2F42">
        <w:rPr>
          <w:sz w:val="22"/>
          <w:szCs w:val="22"/>
        </w:rPr>
        <w:t>Izglītības un zinātnes ministrijas</w:t>
      </w:r>
    </w:p>
    <w:p w:rsidR="00942D3A" w:rsidRPr="003E2F42" w:rsidRDefault="00942D3A" w:rsidP="00942D3A">
      <w:pPr>
        <w:ind w:left="720"/>
        <w:rPr>
          <w:sz w:val="22"/>
          <w:szCs w:val="22"/>
        </w:rPr>
      </w:pPr>
      <w:r w:rsidRPr="003E2F42">
        <w:rPr>
          <w:sz w:val="22"/>
          <w:szCs w:val="22"/>
        </w:rPr>
        <w:t xml:space="preserve">Sporta </w:t>
      </w:r>
      <w:r w:rsidR="000B3147" w:rsidRPr="003E2F42">
        <w:rPr>
          <w:sz w:val="22"/>
          <w:szCs w:val="22"/>
        </w:rPr>
        <w:t>un jaunatnes departamenta</w:t>
      </w:r>
    </w:p>
    <w:p w:rsidR="00942D3A" w:rsidRPr="003E2F42" w:rsidRDefault="00942D3A" w:rsidP="00942D3A">
      <w:pPr>
        <w:ind w:left="720"/>
        <w:rPr>
          <w:sz w:val="22"/>
          <w:szCs w:val="22"/>
        </w:rPr>
      </w:pPr>
      <w:r w:rsidRPr="003E2F42">
        <w:rPr>
          <w:sz w:val="22"/>
          <w:szCs w:val="22"/>
        </w:rPr>
        <w:t>vecākais referents K.Randohs</w:t>
      </w:r>
    </w:p>
    <w:p w:rsidR="00585B7B" w:rsidRPr="003E2F42" w:rsidRDefault="00942D3A" w:rsidP="00656C19">
      <w:pPr>
        <w:ind w:left="720"/>
        <w:rPr>
          <w:color w:val="000000"/>
          <w:sz w:val="22"/>
          <w:szCs w:val="22"/>
        </w:rPr>
      </w:pPr>
      <w:r w:rsidRPr="003E2F42">
        <w:rPr>
          <w:sz w:val="22"/>
          <w:szCs w:val="22"/>
        </w:rPr>
        <w:t>67047982, kaspars.randohs@izm.gov.lv</w:t>
      </w:r>
      <w:bookmarkEnd w:id="6"/>
    </w:p>
    <w:sectPr w:rsidR="00585B7B" w:rsidRPr="003E2F42" w:rsidSect="00656C19">
      <w:headerReference w:type="default" r:id="rId7"/>
      <w:footerReference w:type="default" r:id="rId8"/>
      <w:footerReference w:type="first" r:id="rId9"/>
      <w:pgSz w:w="11906" w:h="16838" w:code="9"/>
      <w:pgMar w:top="1134" w:right="1134" w:bottom="1134" w:left="1701"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A7" w:rsidRDefault="00331AA7" w:rsidP="00123E9B">
      <w:r>
        <w:separator/>
      </w:r>
    </w:p>
  </w:endnote>
  <w:endnote w:type="continuationSeparator" w:id="0">
    <w:p w:rsidR="00331AA7" w:rsidRDefault="00331AA7"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1F" w:rsidRPr="009849CF" w:rsidRDefault="00BF711F" w:rsidP="00D726E1">
    <w:pPr>
      <w:pStyle w:val="Footer"/>
      <w:jc w:val="both"/>
      <w:rPr>
        <w:szCs w:val="22"/>
      </w:rPr>
    </w:pPr>
    <w:r w:rsidRPr="00DE1B77">
      <w:rPr>
        <w:sz w:val="22"/>
        <w:szCs w:val="22"/>
      </w:rPr>
      <w:t>IZMAnot_</w:t>
    </w:r>
    <w:r w:rsidR="00921555">
      <w:rPr>
        <w:sz w:val="22"/>
        <w:szCs w:val="22"/>
      </w:rPr>
      <w:t>22</w:t>
    </w:r>
    <w:r>
      <w:rPr>
        <w:sz w:val="22"/>
        <w:szCs w:val="22"/>
      </w:rPr>
      <w:t>0713</w:t>
    </w:r>
    <w:r w:rsidRPr="00DE1B77">
      <w:rPr>
        <w:sz w:val="22"/>
        <w:szCs w:val="22"/>
      </w:rPr>
      <w:t>_</w:t>
    </w:r>
    <w:r>
      <w:rPr>
        <w:sz w:val="22"/>
        <w:szCs w:val="22"/>
      </w:rPr>
      <w:t>spoorg</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1F" w:rsidRPr="00DE1B77" w:rsidRDefault="00BF711F" w:rsidP="00055608">
    <w:pPr>
      <w:ind w:left="-360" w:right="-262"/>
      <w:jc w:val="both"/>
      <w:rPr>
        <w:sz w:val="22"/>
        <w:szCs w:val="22"/>
      </w:rPr>
    </w:pPr>
    <w:r w:rsidRPr="00DE1B77">
      <w:rPr>
        <w:sz w:val="22"/>
        <w:szCs w:val="22"/>
      </w:rPr>
      <w:t>IZMAnot_</w:t>
    </w:r>
    <w:r w:rsidR="00921555">
      <w:rPr>
        <w:sz w:val="22"/>
        <w:szCs w:val="22"/>
      </w:rPr>
      <w:t>22</w:t>
    </w:r>
    <w:r>
      <w:rPr>
        <w:sz w:val="22"/>
        <w:szCs w:val="22"/>
      </w:rPr>
      <w:t>0713</w:t>
    </w:r>
    <w:r w:rsidRPr="00DE1B77">
      <w:rPr>
        <w:sz w:val="22"/>
        <w:szCs w:val="22"/>
      </w:rPr>
      <w:t>_</w:t>
    </w:r>
    <w:r>
      <w:rPr>
        <w:sz w:val="22"/>
        <w:szCs w:val="22"/>
      </w:rPr>
      <w:t>spoorg</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A7" w:rsidRDefault="00331AA7" w:rsidP="00123E9B">
      <w:r>
        <w:separator/>
      </w:r>
    </w:p>
  </w:footnote>
  <w:footnote w:type="continuationSeparator" w:id="0">
    <w:p w:rsidR="00331AA7" w:rsidRDefault="00331AA7"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11F" w:rsidRDefault="008A243B">
    <w:pPr>
      <w:pStyle w:val="Header"/>
      <w:jc w:val="center"/>
    </w:pPr>
    <w:fldSimple w:instr=" PAGE   \* MERGEFORMAT ">
      <w:r w:rsidR="00F1633E">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1858"/>
  </w:hdrShapeDefaults>
  <w:footnotePr>
    <w:footnote w:id="-1"/>
    <w:footnote w:id="0"/>
  </w:footnotePr>
  <w:endnotePr>
    <w:endnote w:id="-1"/>
    <w:endnote w:id="0"/>
  </w:endnotePr>
  <w:compat/>
  <w:rsids>
    <w:rsidRoot w:val="00D96FCD"/>
    <w:rsid w:val="00000DEA"/>
    <w:rsid w:val="000039DD"/>
    <w:rsid w:val="00003AF9"/>
    <w:rsid w:val="00004F0D"/>
    <w:rsid w:val="0000524B"/>
    <w:rsid w:val="00006D42"/>
    <w:rsid w:val="00010140"/>
    <w:rsid w:val="00010590"/>
    <w:rsid w:val="000120DA"/>
    <w:rsid w:val="00012EAE"/>
    <w:rsid w:val="000151EB"/>
    <w:rsid w:val="00017780"/>
    <w:rsid w:val="00020924"/>
    <w:rsid w:val="00027F00"/>
    <w:rsid w:val="0003301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063"/>
    <w:rsid w:val="000673CA"/>
    <w:rsid w:val="00070F02"/>
    <w:rsid w:val="00070F25"/>
    <w:rsid w:val="00071C49"/>
    <w:rsid w:val="00072B98"/>
    <w:rsid w:val="000730C8"/>
    <w:rsid w:val="00073118"/>
    <w:rsid w:val="000732D1"/>
    <w:rsid w:val="000742A2"/>
    <w:rsid w:val="00074405"/>
    <w:rsid w:val="00074B8C"/>
    <w:rsid w:val="000753CF"/>
    <w:rsid w:val="00076F56"/>
    <w:rsid w:val="00080CC1"/>
    <w:rsid w:val="00081CEB"/>
    <w:rsid w:val="000849C2"/>
    <w:rsid w:val="00084C38"/>
    <w:rsid w:val="00090BFF"/>
    <w:rsid w:val="000934D5"/>
    <w:rsid w:val="00094F13"/>
    <w:rsid w:val="00095EBB"/>
    <w:rsid w:val="00097B46"/>
    <w:rsid w:val="000A2237"/>
    <w:rsid w:val="000A30F9"/>
    <w:rsid w:val="000A4403"/>
    <w:rsid w:val="000B1744"/>
    <w:rsid w:val="000B201C"/>
    <w:rsid w:val="000B3147"/>
    <w:rsid w:val="000B3B3C"/>
    <w:rsid w:val="000B62CA"/>
    <w:rsid w:val="000B79CB"/>
    <w:rsid w:val="000C0BAF"/>
    <w:rsid w:val="000C1819"/>
    <w:rsid w:val="000C36BE"/>
    <w:rsid w:val="000D00F8"/>
    <w:rsid w:val="000D0DB0"/>
    <w:rsid w:val="000E058D"/>
    <w:rsid w:val="000E0815"/>
    <w:rsid w:val="000E2489"/>
    <w:rsid w:val="000E2AA3"/>
    <w:rsid w:val="000E33AE"/>
    <w:rsid w:val="000E3B94"/>
    <w:rsid w:val="000E4A2A"/>
    <w:rsid w:val="000E5FDF"/>
    <w:rsid w:val="000F1AC0"/>
    <w:rsid w:val="000F3894"/>
    <w:rsid w:val="0010198A"/>
    <w:rsid w:val="00103760"/>
    <w:rsid w:val="00103A3D"/>
    <w:rsid w:val="00110A6C"/>
    <w:rsid w:val="00111709"/>
    <w:rsid w:val="00114C20"/>
    <w:rsid w:val="00115EB8"/>
    <w:rsid w:val="00116669"/>
    <w:rsid w:val="0012123A"/>
    <w:rsid w:val="00123E9B"/>
    <w:rsid w:val="0012448A"/>
    <w:rsid w:val="0012704D"/>
    <w:rsid w:val="0012791B"/>
    <w:rsid w:val="00131A15"/>
    <w:rsid w:val="00132D10"/>
    <w:rsid w:val="00132D48"/>
    <w:rsid w:val="00134CEC"/>
    <w:rsid w:val="001350A6"/>
    <w:rsid w:val="00135577"/>
    <w:rsid w:val="001376F8"/>
    <w:rsid w:val="00137FAC"/>
    <w:rsid w:val="001413A9"/>
    <w:rsid w:val="00147D9A"/>
    <w:rsid w:val="00150D62"/>
    <w:rsid w:val="00156760"/>
    <w:rsid w:val="00157F12"/>
    <w:rsid w:val="0016142A"/>
    <w:rsid w:val="001643CF"/>
    <w:rsid w:val="001673FC"/>
    <w:rsid w:val="00172A25"/>
    <w:rsid w:val="0017384A"/>
    <w:rsid w:val="00174AEB"/>
    <w:rsid w:val="00175071"/>
    <w:rsid w:val="00175317"/>
    <w:rsid w:val="00181D00"/>
    <w:rsid w:val="001824F8"/>
    <w:rsid w:val="0018329D"/>
    <w:rsid w:val="00184814"/>
    <w:rsid w:val="001851D8"/>
    <w:rsid w:val="00186DF5"/>
    <w:rsid w:val="001872D4"/>
    <w:rsid w:val="001904B3"/>
    <w:rsid w:val="00194724"/>
    <w:rsid w:val="00194A0F"/>
    <w:rsid w:val="001A142F"/>
    <w:rsid w:val="001A290D"/>
    <w:rsid w:val="001A2EC1"/>
    <w:rsid w:val="001A31E1"/>
    <w:rsid w:val="001A34F0"/>
    <w:rsid w:val="001A351A"/>
    <w:rsid w:val="001A3996"/>
    <w:rsid w:val="001A6E9C"/>
    <w:rsid w:val="001B1189"/>
    <w:rsid w:val="001B11C8"/>
    <w:rsid w:val="001B15B5"/>
    <w:rsid w:val="001B32BB"/>
    <w:rsid w:val="001B6642"/>
    <w:rsid w:val="001C15CD"/>
    <w:rsid w:val="001C20B9"/>
    <w:rsid w:val="001C2FDE"/>
    <w:rsid w:val="001C403D"/>
    <w:rsid w:val="001C4BA3"/>
    <w:rsid w:val="001C60B1"/>
    <w:rsid w:val="001D17EA"/>
    <w:rsid w:val="001D1F6A"/>
    <w:rsid w:val="001D4A15"/>
    <w:rsid w:val="001D7C74"/>
    <w:rsid w:val="001E6E40"/>
    <w:rsid w:val="001F0A3C"/>
    <w:rsid w:val="001F0AF9"/>
    <w:rsid w:val="001F23A6"/>
    <w:rsid w:val="001F2EBF"/>
    <w:rsid w:val="001F373F"/>
    <w:rsid w:val="002005CA"/>
    <w:rsid w:val="0020083C"/>
    <w:rsid w:val="00203A19"/>
    <w:rsid w:val="00203DF2"/>
    <w:rsid w:val="002054CB"/>
    <w:rsid w:val="0021163A"/>
    <w:rsid w:val="0021426A"/>
    <w:rsid w:val="00214413"/>
    <w:rsid w:val="0021458D"/>
    <w:rsid w:val="00214AE5"/>
    <w:rsid w:val="00217F61"/>
    <w:rsid w:val="002239AB"/>
    <w:rsid w:val="00224F0F"/>
    <w:rsid w:val="00225615"/>
    <w:rsid w:val="0022669E"/>
    <w:rsid w:val="00227F1E"/>
    <w:rsid w:val="00232B87"/>
    <w:rsid w:val="002339F0"/>
    <w:rsid w:val="00237289"/>
    <w:rsid w:val="00241061"/>
    <w:rsid w:val="00244807"/>
    <w:rsid w:val="00246FEA"/>
    <w:rsid w:val="00251E5F"/>
    <w:rsid w:val="0025457B"/>
    <w:rsid w:val="0025458A"/>
    <w:rsid w:val="0025500E"/>
    <w:rsid w:val="00255BAD"/>
    <w:rsid w:val="002637C0"/>
    <w:rsid w:val="00264CAF"/>
    <w:rsid w:val="00265509"/>
    <w:rsid w:val="00266356"/>
    <w:rsid w:val="00270E39"/>
    <w:rsid w:val="00272248"/>
    <w:rsid w:val="00273D63"/>
    <w:rsid w:val="00274E8A"/>
    <w:rsid w:val="002761F4"/>
    <w:rsid w:val="002819CC"/>
    <w:rsid w:val="0028791A"/>
    <w:rsid w:val="00290940"/>
    <w:rsid w:val="0029164A"/>
    <w:rsid w:val="002918AC"/>
    <w:rsid w:val="00291A48"/>
    <w:rsid w:val="00292F8C"/>
    <w:rsid w:val="00295345"/>
    <w:rsid w:val="00295C4A"/>
    <w:rsid w:val="002975AC"/>
    <w:rsid w:val="002A1E5B"/>
    <w:rsid w:val="002A3BB4"/>
    <w:rsid w:val="002A41DA"/>
    <w:rsid w:val="002A688F"/>
    <w:rsid w:val="002A6F37"/>
    <w:rsid w:val="002B03B2"/>
    <w:rsid w:val="002B4D56"/>
    <w:rsid w:val="002B5C0B"/>
    <w:rsid w:val="002B6351"/>
    <w:rsid w:val="002B6933"/>
    <w:rsid w:val="002C0946"/>
    <w:rsid w:val="002C2590"/>
    <w:rsid w:val="002C2C3F"/>
    <w:rsid w:val="002C43BB"/>
    <w:rsid w:val="002C50CA"/>
    <w:rsid w:val="002C6EB0"/>
    <w:rsid w:val="002D40DF"/>
    <w:rsid w:val="002D4BAF"/>
    <w:rsid w:val="002D77A9"/>
    <w:rsid w:val="002E011D"/>
    <w:rsid w:val="002E0B47"/>
    <w:rsid w:val="002E0BB9"/>
    <w:rsid w:val="002E40BB"/>
    <w:rsid w:val="002E5DFE"/>
    <w:rsid w:val="002E6A3D"/>
    <w:rsid w:val="002F25B0"/>
    <w:rsid w:val="002F4472"/>
    <w:rsid w:val="002F5EAC"/>
    <w:rsid w:val="003014C2"/>
    <w:rsid w:val="003028DB"/>
    <w:rsid w:val="00307A0E"/>
    <w:rsid w:val="00312022"/>
    <w:rsid w:val="0031483B"/>
    <w:rsid w:val="00326649"/>
    <w:rsid w:val="003268E2"/>
    <w:rsid w:val="00326FFD"/>
    <w:rsid w:val="00331AA7"/>
    <w:rsid w:val="00331B78"/>
    <w:rsid w:val="00335F59"/>
    <w:rsid w:val="00337EF4"/>
    <w:rsid w:val="003445A2"/>
    <w:rsid w:val="0034600F"/>
    <w:rsid w:val="003466C8"/>
    <w:rsid w:val="003478B4"/>
    <w:rsid w:val="00350D8D"/>
    <w:rsid w:val="00351AA0"/>
    <w:rsid w:val="00352F47"/>
    <w:rsid w:val="0035463A"/>
    <w:rsid w:val="003568F3"/>
    <w:rsid w:val="00357A2C"/>
    <w:rsid w:val="00367957"/>
    <w:rsid w:val="00372812"/>
    <w:rsid w:val="00376CEF"/>
    <w:rsid w:val="00380D35"/>
    <w:rsid w:val="00383F46"/>
    <w:rsid w:val="00386F10"/>
    <w:rsid w:val="003900A2"/>
    <w:rsid w:val="003906FF"/>
    <w:rsid w:val="00397AA4"/>
    <w:rsid w:val="003A0BA4"/>
    <w:rsid w:val="003A193D"/>
    <w:rsid w:val="003A1A94"/>
    <w:rsid w:val="003A6F5B"/>
    <w:rsid w:val="003B0922"/>
    <w:rsid w:val="003B1A4F"/>
    <w:rsid w:val="003B2930"/>
    <w:rsid w:val="003B2B5A"/>
    <w:rsid w:val="003B465C"/>
    <w:rsid w:val="003B47A4"/>
    <w:rsid w:val="003C3419"/>
    <w:rsid w:val="003C691E"/>
    <w:rsid w:val="003D4908"/>
    <w:rsid w:val="003D4EC7"/>
    <w:rsid w:val="003E2F42"/>
    <w:rsid w:val="003E53EB"/>
    <w:rsid w:val="003F43C8"/>
    <w:rsid w:val="003F75A6"/>
    <w:rsid w:val="003F786B"/>
    <w:rsid w:val="003F7C76"/>
    <w:rsid w:val="004020E4"/>
    <w:rsid w:val="00403794"/>
    <w:rsid w:val="0040414A"/>
    <w:rsid w:val="00404DD8"/>
    <w:rsid w:val="00406BFE"/>
    <w:rsid w:val="004076BF"/>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10C7"/>
    <w:rsid w:val="004331E9"/>
    <w:rsid w:val="00433959"/>
    <w:rsid w:val="00443FE3"/>
    <w:rsid w:val="00450BED"/>
    <w:rsid w:val="00451063"/>
    <w:rsid w:val="004513C2"/>
    <w:rsid w:val="00453435"/>
    <w:rsid w:val="0045399A"/>
    <w:rsid w:val="00454E29"/>
    <w:rsid w:val="004560F5"/>
    <w:rsid w:val="004569F4"/>
    <w:rsid w:val="00456BC1"/>
    <w:rsid w:val="00457282"/>
    <w:rsid w:val="00463FD8"/>
    <w:rsid w:val="00466E6C"/>
    <w:rsid w:val="00472637"/>
    <w:rsid w:val="0047336E"/>
    <w:rsid w:val="004763AC"/>
    <w:rsid w:val="00476508"/>
    <w:rsid w:val="004804CE"/>
    <w:rsid w:val="0048376B"/>
    <w:rsid w:val="00484301"/>
    <w:rsid w:val="00486A8A"/>
    <w:rsid w:val="00491207"/>
    <w:rsid w:val="004925F7"/>
    <w:rsid w:val="004940B7"/>
    <w:rsid w:val="0049673D"/>
    <w:rsid w:val="004A1976"/>
    <w:rsid w:val="004A2074"/>
    <w:rsid w:val="004A5933"/>
    <w:rsid w:val="004A6A93"/>
    <w:rsid w:val="004A6E2E"/>
    <w:rsid w:val="004B0198"/>
    <w:rsid w:val="004B259A"/>
    <w:rsid w:val="004B3DE6"/>
    <w:rsid w:val="004B3F4A"/>
    <w:rsid w:val="004B617C"/>
    <w:rsid w:val="004C3033"/>
    <w:rsid w:val="004C673C"/>
    <w:rsid w:val="004C6E14"/>
    <w:rsid w:val="004C7662"/>
    <w:rsid w:val="004C7BA3"/>
    <w:rsid w:val="004D202D"/>
    <w:rsid w:val="004D40E3"/>
    <w:rsid w:val="004D6A71"/>
    <w:rsid w:val="004D73BF"/>
    <w:rsid w:val="004E0F5A"/>
    <w:rsid w:val="004E4B60"/>
    <w:rsid w:val="004E607D"/>
    <w:rsid w:val="004F14C5"/>
    <w:rsid w:val="004F2D49"/>
    <w:rsid w:val="004F6C39"/>
    <w:rsid w:val="00504DBF"/>
    <w:rsid w:val="00507E5D"/>
    <w:rsid w:val="00513D01"/>
    <w:rsid w:val="00514C25"/>
    <w:rsid w:val="00516733"/>
    <w:rsid w:val="0052372C"/>
    <w:rsid w:val="00524379"/>
    <w:rsid w:val="00524879"/>
    <w:rsid w:val="0052503E"/>
    <w:rsid w:val="00526BBC"/>
    <w:rsid w:val="005303DD"/>
    <w:rsid w:val="005306CD"/>
    <w:rsid w:val="00530EBE"/>
    <w:rsid w:val="005333E2"/>
    <w:rsid w:val="00533BE9"/>
    <w:rsid w:val="005344F2"/>
    <w:rsid w:val="00534712"/>
    <w:rsid w:val="005431CC"/>
    <w:rsid w:val="0054456F"/>
    <w:rsid w:val="005511F9"/>
    <w:rsid w:val="00551AA8"/>
    <w:rsid w:val="00554CE1"/>
    <w:rsid w:val="00556CF1"/>
    <w:rsid w:val="00556DED"/>
    <w:rsid w:val="00557E2F"/>
    <w:rsid w:val="00560101"/>
    <w:rsid w:val="005637B7"/>
    <w:rsid w:val="00564A7F"/>
    <w:rsid w:val="00565777"/>
    <w:rsid w:val="005714B2"/>
    <w:rsid w:val="00573C60"/>
    <w:rsid w:val="00585B7B"/>
    <w:rsid w:val="00587C74"/>
    <w:rsid w:val="00590DD0"/>
    <w:rsid w:val="00591268"/>
    <w:rsid w:val="0059354C"/>
    <w:rsid w:val="0059458A"/>
    <w:rsid w:val="00594DEF"/>
    <w:rsid w:val="005A02DC"/>
    <w:rsid w:val="005A03DE"/>
    <w:rsid w:val="005A077D"/>
    <w:rsid w:val="005A0EAC"/>
    <w:rsid w:val="005A7608"/>
    <w:rsid w:val="005B15A3"/>
    <w:rsid w:val="005B1E9C"/>
    <w:rsid w:val="005B3EE6"/>
    <w:rsid w:val="005B4B22"/>
    <w:rsid w:val="005B5C5C"/>
    <w:rsid w:val="005C1641"/>
    <w:rsid w:val="005C1BC7"/>
    <w:rsid w:val="005C278A"/>
    <w:rsid w:val="005C3A56"/>
    <w:rsid w:val="005C5513"/>
    <w:rsid w:val="005C5DB9"/>
    <w:rsid w:val="005C5E85"/>
    <w:rsid w:val="005C6AD2"/>
    <w:rsid w:val="005C7471"/>
    <w:rsid w:val="005C7E6E"/>
    <w:rsid w:val="005D2434"/>
    <w:rsid w:val="005D2C19"/>
    <w:rsid w:val="005D4A0C"/>
    <w:rsid w:val="005D64B0"/>
    <w:rsid w:val="005D6B61"/>
    <w:rsid w:val="005D6B8A"/>
    <w:rsid w:val="005E0468"/>
    <w:rsid w:val="005E4159"/>
    <w:rsid w:val="005E4DF4"/>
    <w:rsid w:val="005F22A7"/>
    <w:rsid w:val="005F2489"/>
    <w:rsid w:val="005F3AA1"/>
    <w:rsid w:val="005F6A42"/>
    <w:rsid w:val="0060231D"/>
    <w:rsid w:val="006045A5"/>
    <w:rsid w:val="00605A33"/>
    <w:rsid w:val="00606BF9"/>
    <w:rsid w:val="006107D6"/>
    <w:rsid w:val="0061090E"/>
    <w:rsid w:val="006129D2"/>
    <w:rsid w:val="00615FD8"/>
    <w:rsid w:val="00616477"/>
    <w:rsid w:val="006202E4"/>
    <w:rsid w:val="00620CAE"/>
    <w:rsid w:val="0062334B"/>
    <w:rsid w:val="006234D3"/>
    <w:rsid w:val="00624591"/>
    <w:rsid w:val="00625948"/>
    <w:rsid w:val="00625AC4"/>
    <w:rsid w:val="00626634"/>
    <w:rsid w:val="00631D5F"/>
    <w:rsid w:val="00632290"/>
    <w:rsid w:val="00633098"/>
    <w:rsid w:val="006337E8"/>
    <w:rsid w:val="00640C60"/>
    <w:rsid w:val="00642ABF"/>
    <w:rsid w:val="0064492F"/>
    <w:rsid w:val="0064591A"/>
    <w:rsid w:val="00646F1D"/>
    <w:rsid w:val="00653952"/>
    <w:rsid w:val="00654274"/>
    <w:rsid w:val="00654AB0"/>
    <w:rsid w:val="00656873"/>
    <w:rsid w:val="0065692E"/>
    <w:rsid w:val="00656C19"/>
    <w:rsid w:val="00663E28"/>
    <w:rsid w:val="00664540"/>
    <w:rsid w:val="0066504D"/>
    <w:rsid w:val="00666844"/>
    <w:rsid w:val="00667079"/>
    <w:rsid w:val="00671591"/>
    <w:rsid w:val="00672827"/>
    <w:rsid w:val="00674595"/>
    <w:rsid w:val="00676453"/>
    <w:rsid w:val="00676573"/>
    <w:rsid w:val="00682170"/>
    <w:rsid w:val="00685380"/>
    <w:rsid w:val="006902A3"/>
    <w:rsid w:val="00693071"/>
    <w:rsid w:val="00693E2C"/>
    <w:rsid w:val="006A20B2"/>
    <w:rsid w:val="006A2D60"/>
    <w:rsid w:val="006A5B29"/>
    <w:rsid w:val="006A7A10"/>
    <w:rsid w:val="006B01F8"/>
    <w:rsid w:val="006B2095"/>
    <w:rsid w:val="006B232C"/>
    <w:rsid w:val="006B5FDC"/>
    <w:rsid w:val="006B6F0F"/>
    <w:rsid w:val="006B76EE"/>
    <w:rsid w:val="006C07A1"/>
    <w:rsid w:val="006C1D18"/>
    <w:rsid w:val="006D21F5"/>
    <w:rsid w:val="006D531B"/>
    <w:rsid w:val="006D5A81"/>
    <w:rsid w:val="006D6BB4"/>
    <w:rsid w:val="006D759A"/>
    <w:rsid w:val="006D7BDE"/>
    <w:rsid w:val="006E2009"/>
    <w:rsid w:val="006E6160"/>
    <w:rsid w:val="006E768C"/>
    <w:rsid w:val="006F3DD2"/>
    <w:rsid w:val="006F47F8"/>
    <w:rsid w:val="00700411"/>
    <w:rsid w:val="00703CBA"/>
    <w:rsid w:val="007052C3"/>
    <w:rsid w:val="00705BB4"/>
    <w:rsid w:val="00706CAC"/>
    <w:rsid w:val="00707D91"/>
    <w:rsid w:val="00710206"/>
    <w:rsid w:val="00712406"/>
    <w:rsid w:val="0071318F"/>
    <w:rsid w:val="00713888"/>
    <w:rsid w:val="00714715"/>
    <w:rsid w:val="007213F1"/>
    <w:rsid w:val="00721827"/>
    <w:rsid w:val="007247C1"/>
    <w:rsid w:val="00724AF2"/>
    <w:rsid w:val="007263F1"/>
    <w:rsid w:val="00726C59"/>
    <w:rsid w:val="00730CDA"/>
    <w:rsid w:val="00732686"/>
    <w:rsid w:val="00732A32"/>
    <w:rsid w:val="00733E34"/>
    <w:rsid w:val="007351BE"/>
    <w:rsid w:val="00736B33"/>
    <w:rsid w:val="007370A4"/>
    <w:rsid w:val="00740E42"/>
    <w:rsid w:val="007442E2"/>
    <w:rsid w:val="007459D5"/>
    <w:rsid w:val="0075045D"/>
    <w:rsid w:val="00754101"/>
    <w:rsid w:val="007558B7"/>
    <w:rsid w:val="00755A27"/>
    <w:rsid w:val="00762F8F"/>
    <w:rsid w:val="00763461"/>
    <w:rsid w:val="0076557F"/>
    <w:rsid w:val="00765AA8"/>
    <w:rsid w:val="0077133D"/>
    <w:rsid w:val="00771CF1"/>
    <w:rsid w:val="00773B13"/>
    <w:rsid w:val="00774136"/>
    <w:rsid w:val="00774453"/>
    <w:rsid w:val="00775647"/>
    <w:rsid w:val="0077649E"/>
    <w:rsid w:val="00776B8D"/>
    <w:rsid w:val="00776EE1"/>
    <w:rsid w:val="00781BCE"/>
    <w:rsid w:val="00783A02"/>
    <w:rsid w:val="00783B51"/>
    <w:rsid w:val="007853A8"/>
    <w:rsid w:val="00791E64"/>
    <w:rsid w:val="0079317A"/>
    <w:rsid w:val="0079366D"/>
    <w:rsid w:val="00794345"/>
    <w:rsid w:val="00795000"/>
    <w:rsid w:val="0079616C"/>
    <w:rsid w:val="00797264"/>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E2464"/>
    <w:rsid w:val="007E36FC"/>
    <w:rsid w:val="007E6314"/>
    <w:rsid w:val="007E7F9D"/>
    <w:rsid w:val="007F1F1C"/>
    <w:rsid w:val="007F3911"/>
    <w:rsid w:val="007F676E"/>
    <w:rsid w:val="007F6D6B"/>
    <w:rsid w:val="0080017B"/>
    <w:rsid w:val="008034B4"/>
    <w:rsid w:val="00803645"/>
    <w:rsid w:val="00804094"/>
    <w:rsid w:val="00804959"/>
    <w:rsid w:val="00804B8C"/>
    <w:rsid w:val="008061B7"/>
    <w:rsid w:val="00813468"/>
    <w:rsid w:val="0081704B"/>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2337"/>
    <w:rsid w:val="008634F5"/>
    <w:rsid w:val="0086390D"/>
    <w:rsid w:val="00865F4A"/>
    <w:rsid w:val="0086671A"/>
    <w:rsid w:val="008723BF"/>
    <w:rsid w:val="008736C0"/>
    <w:rsid w:val="00873AFB"/>
    <w:rsid w:val="0088273C"/>
    <w:rsid w:val="00882C4A"/>
    <w:rsid w:val="00887353"/>
    <w:rsid w:val="00892CEB"/>
    <w:rsid w:val="00892DC2"/>
    <w:rsid w:val="0089323C"/>
    <w:rsid w:val="00893CD2"/>
    <w:rsid w:val="00897D5C"/>
    <w:rsid w:val="008A17E9"/>
    <w:rsid w:val="008A243B"/>
    <w:rsid w:val="008A60A4"/>
    <w:rsid w:val="008A7177"/>
    <w:rsid w:val="008B53EA"/>
    <w:rsid w:val="008C06F7"/>
    <w:rsid w:val="008C28CD"/>
    <w:rsid w:val="008D1C7C"/>
    <w:rsid w:val="008D28DE"/>
    <w:rsid w:val="008D2ABD"/>
    <w:rsid w:val="008D2C97"/>
    <w:rsid w:val="008D3097"/>
    <w:rsid w:val="008D4B78"/>
    <w:rsid w:val="008D73B8"/>
    <w:rsid w:val="008D7B3A"/>
    <w:rsid w:val="008D7D52"/>
    <w:rsid w:val="008E08B5"/>
    <w:rsid w:val="008E120E"/>
    <w:rsid w:val="008E2F5F"/>
    <w:rsid w:val="008E3516"/>
    <w:rsid w:val="008E4101"/>
    <w:rsid w:val="008F09DA"/>
    <w:rsid w:val="008F240C"/>
    <w:rsid w:val="008F245F"/>
    <w:rsid w:val="008F3927"/>
    <w:rsid w:val="008F62DB"/>
    <w:rsid w:val="008F643F"/>
    <w:rsid w:val="009003AB"/>
    <w:rsid w:val="00901B63"/>
    <w:rsid w:val="00905F07"/>
    <w:rsid w:val="009063BF"/>
    <w:rsid w:val="00907E6F"/>
    <w:rsid w:val="00910FB5"/>
    <w:rsid w:val="009122A7"/>
    <w:rsid w:val="00913388"/>
    <w:rsid w:val="00914103"/>
    <w:rsid w:val="00916055"/>
    <w:rsid w:val="009179FA"/>
    <w:rsid w:val="00920AFE"/>
    <w:rsid w:val="009212E2"/>
    <w:rsid w:val="00921555"/>
    <w:rsid w:val="00921F54"/>
    <w:rsid w:val="00923486"/>
    <w:rsid w:val="009254BE"/>
    <w:rsid w:val="0093066B"/>
    <w:rsid w:val="00930905"/>
    <w:rsid w:val="009321E2"/>
    <w:rsid w:val="00933D0C"/>
    <w:rsid w:val="009343C2"/>
    <w:rsid w:val="009356F0"/>
    <w:rsid w:val="00935F6C"/>
    <w:rsid w:val="009429AE"/>
    <w:rsid w:val="00942D3A"/>
    <w:rsid w:val="00943700"/>
    <w:rsid w:val="00943C3C"/>
    <w:rsid w:val="00944333"/>
    <w:rsid w:val="00944E24"/>
    <w:rsid w:val="0095432B"/>
    <w:rsid w:val="0095616A"/>
    <w:rsid w:val="00957BFE"/>
    <w:rsid w:val="00961924"/>
    <w:rsid w:val="0096294C"/>
    <w:rsid w:val="009629C7"/>
    <w:rsid w:val="00962C97"/>
    <w:rsid w:val="009631D8"/>
    <w:rsid w:val="009667F8"/>
    <w:rsid w:val="00967D62"/>
    <w:rsid w:val="00970D16"/>
    <w:rsid w:val="00976CDB"/>
    <w:rsid w:val="009849CF"/>
    <w:rsid w:val="00984C14"/>
    <w:rsid w:val="00986292"/>
    <w:rsid w:val="00987CF4"/>
    <w:rsid w:val="00991790"/>
    <w:rsid w:val="0099370A"/>
    <w:rsid w:val="009946DF"/>
    <w:rsid w:val="009950B3"/>
    <w:rsid w:val="00995D97"/>
    <w:rsid w:val="009A3FD2"/>
    <w:rsid w:val="009B09FE"/>
    <w:rsid w:val="009B2854"/>
    <w:rsid w:val="009B49A0"/>
    <w:rsid w:val="009B4BE6"/>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54B5"/>
    <w:rsid w:val="00A36173"/>
    <w:rsid w:val="00A373E1"/>
    <w:rsid w:val="00A400FE"/>
    <w:rsid w:val="00A43A10"/>
    <w:rsid w:val="00A43A41"/>
    <w:rsid w:val="00A444EC"/>
    <w:rsid w:val="00A45BBB"/>
    <w:rsid w:val="00A46C40"/>
    <w:rsid w:val="00A47BF4"/>
    <w:rsid w:val="00A51DA1"/>
    <w:rsid w:val="00A51F07"/>
    <w:rsid w:val="00A524B8"/>
    <w:rsid w:val="00A57753"/>
    <w:rsid w:val="00A631A3"/>
    <w:rsid w:val="00A6630D"/>
    <w:rsid w:val="00A720FA"/>
    <w:rsid w:val="00A7341A"/>
    <w:rsid w:val="00A73843"/>
    <w:rsid w:val="00A739AB"/>
    <w:rsid w:val="00A741CE"/>
    <w:rsid w:val="00A74AE1"/>
    <w:rsid w:val="00A7734B"/>
    <w:rsid w:val="00A8706A"/>
    <w:rsid w:val="00A877FE"/>
    <w:rsid w:val="00A90CF3"/>
    <w:rsid w:val="00A920A1"/>
    <w:rsid w:val="00A9391C"/>
    <w:rsid w:val="00A960A0"/>
    <w:rsid w:val="00A975AB"/>
    <w:rsid w:val="00AA0527"/>
    <w:rsid w:val="00AA2CC8"/>
    <w:rsid w:val="00AA3C68"/>
    <w:rsid w:val="00AA3C86"/>
    <w:rsid w:val="00AA5CA7"/>
    <w:rsid w:val="00AB1ED1"/>
    <w:rsid w:val="00AB3339"/>
    <w:rsid w:val="00AB4FC8"/>
    <w:rsid w:val="00AB7722"/>
    <w:rsid w:val="00AC624B"/>
    <w:rsid w:val="00AC727F"/>
    <w:rsid w:val="00AC7AF8"/>
    <w:rsid w:val="00AD02C1"/>
    <w:rsid w:val="00AD1E01"/>
    <w:rsid w:val="00AD1E14"/>
    <w:rsid w:val="00AD32CE"/>
    <w:rsid w:val="00AD4674"/>
    <w:rsid w:val="00AD4F07"/>
    <w:rsid w:val="00AE0ADD"/>
    <w:rsid w:val="00AE3049"/>
    <w:rsid w:val="00AE38F5"/>
    <w:rsid w:val="00AE4B54"/>
    <w:rsid w:val="00AE5461"/>
    <w:rsid w:val="00AF0996"/>
    <w:rsid w:val="00AF3580"/>
    <w:rsid w:val="00B002F8"/>
    <w:rsid w:val="00B010A9"/>
    <w:rsid w:val="00B039A9"/>
    <w:rsid w:val="00B06326"/>
    <w:rsid w:val="00B0779E"/>
    <w:rsid w:val="00B106F1"/>
    <w:rsid w:val="00B109B1"/>
    <w:rsid w:val="00B10B0B"/>
    <w:rsid w:val="00B1425E"/>
    <w:rsid w:val="00B206C4"/>
    <w:rsid w:val="00B2112D"/>
    <w:rsid w:val="00B244D4"/>
    <w:rsid w:val="00B2464D"/>
    <w:rsid w:val="00B25F1D"/>
    <w:rsid w:val="00B2782A"/>
    <w:rsid w:val="00B336D8"/>
    <w:rsid w:val="00B34576"/>
    <w:rsid w:val="00B34BFA"/>
    <w:rsid w:val="00B356A4"/>
    <w:rsid w:val="00B411EC"/>
    <w:rsid w:val="00B429CA"/>
    <w:rsid w:val="00B455BC"/>
    <w:rsid w:val="00B45EDD"/>
    <w:rsid w:val="00B45F3D"/>
    <w:rsid w:val="00B50F81"/>
    <w:rsid w:val="00B52E1A"/>
    <w:rsid w:val="00B5360F"/>
    <w:rsid w:val="00B57455"/>
    <w:rsid w:val="00B61F69"/>
    <w:rsid w:val="00B6216C"/>
    <w:rsid w:val="00B65421"/>
    <w:rsid w:val="00B73D11"/>
    <w:rsid w:val="00B74776"/>
    <w:rsid w:val="00B80C47"/>
    <w:rsid w:val="00B81322"/>
    <w:rsid w:val="00B862CD"/>
    <w:rsid w:val="00B94951"/>
    <w:rsid w:val="00B95D33"/>
    <w:rsid w:val="00B96B6E"/>
    <w:rsid w:val="00B96CA3"/>
    <w:rsid w:val="00B97591"/>
    <w:rsid w:val="00BA006C"/>
    <w:rsid w:val="00BA20B0"/>
    <w:rsid w:val="00BA372F"/>
    <w:rsid w:val="00BA7940"/>
    <w:rsid w:val="00BB302C"/>
    <w:rsid w:val="00BB3CA6"/>
    <w:rsid w:val="00BB4F0D"/>
    <w:rsid w:val="00BC0D9F"/>
    <w:rsid w:val="00BC6786"/>
    <w:rsid w:val="00BC7009"/>
    <w:rsid w:val="00BD1AD6"/>
    <w:rsid w:val="00BD1DB2"/>
    <w:rsid w:val="00BD2AF8"/>
    <w:rsid w:val="00BD3873"/>
    <w:rsid w:val="00BD41A8"/>
    <w:rsid w:val="00BD696A"/>
    <w:rsid w:val="00BD6CDF"/>
    <w:rsid w:val="00BE072E"/>
    <w:rsid w:val="00BE13F2"/>
    <w:rsid w:val="00BE2B40"/>
    <w:rsid w:val="00BE3D54"/>
    <w:rsid w:val="00BE70E1"/>
    <w:rsid w:val="00BF0C10"/>
    <w:rsid w:val="00BF1719"/>
    <w:rsid w:val="00BF1B6E"/>
    <w:rsid w:val="00BF29D7"/>
    <w:rsid w:val="00BF4049"/>
    <w:rsid w:val="00BF482E"/>
    <w:rsid w:val="00BF4B8B"/>
    <w:rsid w:val="00BF5486"/>
    <w:rsid w:val="00BF6FE8"/>
    <w:rsid w:val="00BF711F"/>
    <w:rsid w:val="00BF7C57"/>
    <w:rsid w:val="00C06955"/>
    <w:rsid w:val="00C13B05"/>
    <w:rsid w:val="00C17467"/>
    <w:rsid w:val="00C214CF"/>
    <w:rsid w:val="00C21D15"/>
    <w:rsid w:val="00C221FB"/>
    <w:rsid w:val="00C23CCC"/>
    <w:rsid w:val="00C24859"/>
    <w:rsid w:val="00C25C97"/>
    <w:rsid w:val="00C25CDA"/>
    <w:rsid w:val="00C301CF"/>
    <w:rsid w:val="00C31183"/>
    <w:rsid w:val="00C31C0D"/>
    <w:rsid w:val="00C33847"/>
    <w:rsid w:val="00C4064E"/>
    <w:rsid w:val="00C40D08"/>
    <w:rsid w:val="00C41611"/>
    <w:rsid w:val="00C41BA9"/>
    <w:rsid w:val="00C42121"/>
    <w:rsid w:val="00C440EC"/>
    <w:rsid w:val="00C46F8F"/>
    <w:rsid w:val="00C54FEB"/>
    <w:rsid w:val="00C55762"/>
    <w:rsid w:val="00C55EFF"/>
    <w:rsid w:val="00C60214"/>
    <w:rsid w:val="00C607DD"/>
    <w:rsid w:val="00C63679"/>
    <w:rsid w:val="00C63C56"/>
    <w:rsid w:val="00C66FB5"/>
    <w:rsid w:val="00C675A3"/>
    <w:rsid w:val="00C7220E"/>
    <w:rsid w:val="00C77DF4"/>
    <w:rsid w:val="00C8314D"/>
    <w:rsid w:val="00C84C2B"/>
    <w:rsid w:val="00C87AEC"/>
    <w:rsid w:val="00C92FD7"/>
    <w:rsid w:val="00C93F04"/>
    <w:rsid w:val="00C94CAC"/>
    <w:rsid w:val="00C9721C"/>
    <w:rsid w:val="00C979E0"/>
    <w:rsid w:val="00CA2CEA"/>
    <w:rsid w:val="00CA41C9"/>
    <w:rsid w:val="00CA498A"/>
    <w:rsid w:val="00CA6985"/>
    <w:rsid w:val="00CB15EC"/>
    <w:rsid w:val="00CB3A6C"/>
    <w:rsid w:val="00CB3D95"/>
    <w:rsid w:val="00CB483C"/>
    <w:rsid w:val="00CB5545"/>
    <w:rsid w:val="00CB5F57"/>
    <w:rsid w:val="00CB6605"/>
    <w:rsid w:val="00CB7A72"/>
    <w:rsid w:val="00CC3E80"/>
    <w:rsid w:val="00CC49D6"/>
    <w:rsid w:val="00CC6C75"/>
    <w:rsid w:val="00CD39F8"/>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6790"/>
    <w:rsid w:val="00D142B6"/>
    <w:rsid w:val="00D1470F"/>
    <w:rsid w:val="00D152FB"/>
    <w:rsid w:val="00D167AC"/>
    <w:rsid w:val="00D215ED"/>
    <w:rsid w:val="00D23061"/>
    <w:rsid w:val="00D24CBA"/>
    <w:rsid w:val="00D30434"/>
    <w:rsid w:val="00D312C9"/>
    <w:rsid w:val="00D323CD"/>
    <w:rsid w:val="00D32A64"/>
    <w:rsid w:val="00D34CD2"/>
    <w:rsid w:val="00D35DC1"/>
    <w:rsid w:val="00D364D3"/>
    <w:rsid w:val="00D4125D"/>
    <w:rsid w:val="00D43C39"/>
    <w:rsid w:val="00D50C0B"/>
    <w:rsid w:val="00D51380"/>
    <w:rsid w:val="00D536CF"/>
    <w:rsid w:val="00D5519C"/>
    <w:rsid w:val="00D551F2"/>
    <w:rsid w:val="00D55D09"/>
    <w:rsid w:val="00D660A3"/>
    <w:rsid w:val="00D676E6"/>
    <w:rsid w:val="00D70E91"/>
    <w:rsid w:val="00D714BA"/>
    <w:rsid w:val="00D726E1"/>
    <w:rsid w:val="00D75260"/>
    <w:rsid w:val="00D75B70"/>
    <w:rsid w:val="00D820D1"/>
    <w:rsid w:val="00D82401"/>
    <w:rsid w:val="00D82AE2"/>
    <w:rsid w:val="00D850A4"/>
    <w:rsid w:val="00D85715"/>
    <w:rsid w:val="00D91399"/>
    <w:rsid w:val="00D934BA"/>
    <w:rsid w:val="00D93950"/>
    <w:rsid w:val="00D93B7E"/>
    <w:rsid w:val="00D96230"/>
    <w:rsid w:val="00D96853"/>
    <w:rsid w:val="00D96FCD"/>
    <w:rsid w:val="00DA20D6"/>
    <w:rsid w:val="00DA2B2B"/>
    <w:rsid w:val="00DA30DA"/>
    <w:rsid w:val="00DA77B4"/>
    <w:rsid w:val="00DA7BE4"/>
    <w:rsid w:val="00DB05F9"/>
    <w:rsid w:val="00DB10DE"/>
    <w:rsid w:val="00DB16B2"/>
    <w:rsid w:val="00DB3473"/>
    <w:rsid w:val="00DB5117"/>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932"/>
    <w:rsid w:val="00E02627"/>
    <w:rsid w:val="00E06F19"/>
    <w:rsid w:val="00E07109"/>
    <w:rsid w:val="00E10EA9"/>
    <w:rsid w:val="00E1136E"/>
    <w:rsid w:val="00E1182B"/>
    <w:rsid w:val="00E167E0"/>
    <w:rsid w:val="00E16A35"/>
    <w:rsid w:val="00E216EA"/>
    <w:rsid w:val="00E21B4B"/>
    <w:rsid w:val="00E27F1F"/>
    <w:rsid w:val="00E33A6E"/>
    <w:rsid w:val="00E33CDF"/>
    <w:rsid w:val="00E34D42"/>
    <w:rsid w:val="00E3681A"/>
    <w:rsid w:val="00E379F0"/>
    <w:rsid w:val="00E37D81"/>
    <w:rsid w:val="00E457D2"/>
    <w:rsid w:val="00E4679A"/>
    <w:rsid w:val="00E469D4"/>
    <w:rsid w:val="00E50E02"/>
    <w:rsid w:val="00E51029"/>
    <w:rsid w:val="00E52399"/>
    <w:rsid w:val="00E5315D"/>
    <w:rsid w:val="00E53778"/>
    <w:rsid w:val="00E5461A"/>
    <w:rsid w:val="00E55027"/>
    <w:rsid w:val="00E55A62"/>
    <w:rsid w:val="00E5667A"/>
    <w:rsid w:val="00E56B89"/>
    <w:rsid w:val="00E56F6B"/>
    <w:rsid w:val="00E578D1"/>
    <w:rsid w:val="00E60466"/>
    <w:rsid w:val="00E606AC"/>
    <w:rsid w:val="00E608C5"/>
    <w:rsid w:val="00E64579"/>
    <w:rsid w:val="00E64BB6"/>
    <w:rsid w:val="00E65245"/>
    <w:rsid w:val="00E65992"/>
    <w:rsid w:val="00E715D5"/>
    <w:rsid w:val="00E71B3B"/>
    <w:rsid w:val="00E72113"/>
    <w:rsid w:val="00E73974"/>
    <w:rsid w:val="00E73AE3"/>
    <w:rsid w:val="00E74544"/>
    <w:rsid w:val="00E7720D"/>
    <w:rsid w:val="00E81CA7"/>
    <w:rsid w:val="00E82178"/>
    <w:rsid w:val="00E86C41"/>
    <w:rsid w:val="00E87358"/>
    <w:rsid w:val="00E91DF4"/>
    <w:rsid w:val="00E973B3"/>
    <w:rsid w:val="00EA2ECE"/>
    <w:rsid w:val="00EA709C"/>
    <w:rsid w:val="00EB02F0"/>
    <w:rsid w:val="00EB3208"/>
    <w:rsid w:val="00EB7D72"/>
    <w:rsid w:val="00EC0598"/>
    <w:rsid w:val="00EC0869"/>
    <w:rsid w:val="00EC44B4"/>
    <w:rsid w:val="00EC4C34"/>
    <w:rsid w:val="00EC6941"/>
    <w:rsid w:val="00EC70B1"/>
    <w:rsid w:val="00EC7BBC"/>
    <w:rsid w:val="00ED0ED2"/>
    <w:rsid w:val="00ED29EB"/>
    <w:rsid w:val="00ED6681"/>
    <w:rsid w:val="00ED770B"/>
    <w:rsid w:val="00EE4748"/>
    <w:rsid w:val="00EE47BE"/>
    <w:rsid w:val="00EE4FC1"/>
    <w:rsid w:val="00EE5033"/>
    <w:rsid w:val="00EE676B"/>
    <w:rsid w:val="00EE7D3E"/>
    <w:rsid w:val="00F00F9F"/>
    <w:rsid w:val="00F01660"/>
    <w:rsid w:val="00F03A50"/>
    <w:rsid w:val="00F04465"/>
    <w:rsid w:val="00F06077"/>
    <w:rsid w:val="00F06483"/>
    <w:rsid w:val="00F0730F"/>
    <w:rsid w:val="00F1205C"/>
    <w:rsid w:val="00F14366"/>
    <w:rsid w:val="00F1633E"/>
    <w:rsid w:val="00F17529"/>
    <w:rsid w:val="00F17A73"/>
    <w:rsid w:val="00F20565"/>
    <w:rsid w:val="00F20699"/>
    <w:rsid w:val="00F20B34"/>
    <w:rsid w:val="00F215C8"/>
    <w:rsid w:val="00F22FDF"/>
    <w:rsid w:val="00F30399"/>
    <w:rsid w:val="00F326C8"/>
    <w:rsid w:val="00F328BF"/>
    <w:rsid w:val="00F350F6"/>
    <w:rsid w:val="00F4156C"/>
    <w:rsid w:val="00F4276E"/>
    <w:rsid w:val="00F432AB"/>
    <w:rsid w:val="00F43A06"/>
    <w:rsid w:val="00F440B3"/>
    <w:rsid w:val="00F4465A"/>
    <w:rsid w:val="00F458C8"/>
    <w:rsid w:val="00F45C61"/>
    <w:rsid w:val="00F463E3"/>
    <w:rsid w:val="00F47AD8"/>
    <w:rsid w:val="00F51549"/>
    <w:rsid w:val="00F52A24"/>
    <w:rsid w:val="00F535A5"/>
    <w:rsid w:val="00F55C55"/>
    <w:rsid w:val="00F5649E"/>
    <w:rsid w:val="00F57B67"/>
    <w:rsid w:val="00F6047E"/>
    <w:rsid w:val="00F63024"/>
    <w:rsid w:val="00F70A6B"/>
    <w:rsid w:val="00F71637"/>
    <w:rsid w:val="00F71E34"/>
    <w:rsid w:val="00F72CE7"/>
    <w:rsid w:val="00F81A9F"/>
    <w:rsid w:val="00F83581"/>
    <w:rsid w:val="00F8549E"/>
    <w:rsid w:val="00F85AF0"/>
    <w:rsid w:val="00F85BE4"/>
    <w:rsid w:val="00F862B1"/>
    <w:rsid w:val="00F8736F"/>
    <w:rsid w:val="00F90CFE"/>
    <w:rsid w:val="00F951E3"/>
    <w:rsid w:val="00FA1C8C"/>
    <w:rsid w:val="00FA2563"/>
    <w:rsid w:val="00FA3C12"/>
    <w:rsid w:val="00FB4613"/>
    <w:rsid w:val="00FB6841"/>
    <w:rsid w:val="00FB704E"/>
    <w:rsid w:val="00FC06DE"/>
    <w:rsid w:val="00FC328D"/>
    <w:rsid w:val="00FC4C7F"/>
    <w:rsid w:val="00FC6855"/>
    <w:rsid w:val="00FC73D9"/>
    <w:rsid w:val="00FC7A5E"/>
    <w:rsid w:val="00FD50B6"/>
    <w:rsid w:val="00FD681B"/>
    <w:rsid w:val="00FD6864"/>
    <w:rsid w:val="00FD7331"/>
    <w:rsid w:val="00FE0E03"/>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11903</Words>
  <Characters>6786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
  <cp:lastModifiedBy>krandohs</cp:lastModifiedBy>
  <cp:revision>20</cp:revision>
  <cp:lastPrinted>2013-07-17T12:54:00Z</cp:lastPrinted>
  <dcterms:created xsi:type="dcterms:W3CDTF">2013-07-11T07:49:00Z</dcterms:created>
  <dcterms:modified xsi:type="dcterms:W3CDTF">2013-07-22T08:55:00Z</dcterms:modified>
</cp:coreProperties>
</file>