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B0" w:rsidRPr="00B648F0" w:rsidRDefault="003104B0" w:rsidP="00C65616">
      <w:pPr>
        <w:pStyle w:val="tv20787921"/>
        <w:spacing w:after="0" w:line="240" w:lineRule="auto"/>
        <w:ind w:left="7200" w:firstLine="720"/>
        <w:rPr>
          <w:rFonts w:ascii="Times New Roman" w:hAnsi="Times New Roman"/>
          <w:b w:val="0"/>
          <w:bCs w:val="0"/>
          <w:i/>
          <w:sz w:val="26"/>
          <w:szCs w:val="26"/>
        </w:rPr>
      </w:pPr>
      <w:r w:rsidRPr="00B648F0">
        <w:rPr>
          <w:rFonts w:ascii="Times New Roman" w:hAnsi="Times New Roman"/>
          <w:b w:val="0"/>
          <w:bCs w:val="0"/>
          <w:i/>
          <w:sz w:val="26"/>
          <w:szCs w:val="26"/>
        </w:rPr>
        <w:t>Projekts</w:t>
      </w:r>
    </w:p>
    <w:p w:rsidR="003104B0" w:rsidRPr="00ED6FA0" w:rsidRDefault="003104B0" w:rsidP="00C65616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</w:p>
    <w:p w:rsidR="003302BA" w:rsidRPr="00ED6FA0" w:rsidRDefault="003302BA" w:rsidP="003A1015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  <w:r w:rsidRPr="00ED6FA0">
        <w:rPr>
          <w:rFonts w:ascii="Times New Roman" w:hAnsi="Times New Roman"/>
          <w:bCs w:val="0"/>
          <w:sz w:val="26"/>
          <w:szCs w:val="26"/>
        </w:rPr>
        <w:t>Ministru kabineta noteikumu projekta</w:t>
      </w:r>
      <w:r w:rsidR="00C65616" w:rsidRPr="00ED6FA0">
        <w:rPr>
          <w:rFonts w:ascii="Times New Roman" w:hAnsi="Times New Roman"/>
          <w:sz w:val="26"/>
          <w:szCs w:val="26"/>
        </w:rPr>
        <w:t xml:space="preserve"> </w:t>
      </w:r>
      <w:r w:rsidR="00273EB4" w:rsidRPr="00ED6FA0">
        <w:rPr>
          <w:rFonts w:ascii="Times New Roman" w:hAnsi="Times New Roman"/>
          <w:sz w:val="26"/>
          <w:szCs w:val="26"/>
        </w:rPr>
        <w:t>„Grozījumi</w:t>
      </w:r>
      <w:r w:rsidR="00C65616" w:rsidRPr="00ED6FA0">
        <w:rPr>
          <w:rFonts w:ascii="Times New Roman" w:hAnsi="Times New Roman"/>
          <w:sz w:val="26"/>
          <w:szCs w:val="26"/>
        </w:rPr>
        <w:t xml:space="preserve"> </w:t>
      </w:r>
      <w:r w:rsidR="005F14B5" w:rsidRPr="00ED6FA0">
        <w:rPr>
          <w:rFonts w:ascii="Times New Roman" w:hAnsi="Times New Roman"/>
          <w:sz w:val="26"/>
          <w:szCs w:val="26"/>
        </w:rPr>
        <w:t>Ministru kabineta</w:t>
      </w:r>
      <w:r w:rsidR="00BE77C1" w:rsidRPr="00ED6FA0">
        <w:rPr>
          <w:rFonts w:ascii="Times New Roman" w:hAnsi="Times New Roman"/>
          <w:sz w:val="26"/>
          <w:szCs w:val="26"/>
        </w:rPr>
        <w:t>2010.gada 23.novembra noteikumos Nr.1070</w:t>
      </w:r>
      <w:r w:rsidR="00C65616" w:rsidRPr="00ED6FA0">
        <w:rPr>
          <w:rFonts w:ascii="Times New Roman" w:hAnsi="Times New Roman"/>
          <w:bCs w:val="0"/>
          <w:sz w:val="26"/>
          <w:szCs w:val="26"/>
        </w:rPr>
        <w:t xml:space="preserve"> </w:t>
      </w:r>
      <w:r w:rsidRPr="00ED6FA0">
        <w:rPr>
          <w:rFonts w:ascii="Times New Roman" w:hAnsi="Times New Roman"/>
          <w:sz w:val="26"/>
          <w:szCs w:val="26"/>
        </w:rPr>
        <w:t>„Not</w:t>
      </w:r>
      <w:r w:rsidR="00331550" w:rsidRPr="00ED6FA0">
        <w:rPr>
          <w:rFonts w:ascii="Times New Roman" w:hAnsi="Times New Roman"/>
          <w:sz w:val="26"/>
          <w:szCs w:val="26"/>
        </w:rPr>
        <w:t>eikumi par darbības programmas</w:t>
      </w:r>
      <w:r w:rsidR="00C65616" w:rsidRPr="00ED6FA0">
        <w:rPr>
          <w:rFonts w:ascii="Times New Roman" w:hAnsi="Times New Roman"/>
          <w:bCs w:val="0"/>
          <w:sz w:val="26"/>
          <w:szCs w:val="26"/>
        </w:rPr>
        <w:t xml:space="preserve"> </w:t>
      </w:r>
      <w:r w:rsidR="00BE77C1" w:rsidRPr="00ED6FA0">
        <w:rPr>
          <w:rFonts w:ascii="Times New Roman" w:hAnsi="Times New Roman"/>
          <w:sz w:val="26"/>
          <w:szCs w:val="26"/>
        </w:rPr>
        <w:t>„</w:t>
      </w:r>
      <w:r w:rsidR="00CF3E86" w:rsidRPr="00ED6FA0">
        <w:rPr>
          <w:rFonts w:ascii="Times New Roman" w:hAnsi="Times New Roman"/>
          <w:sz w:val="26"/>
          <w:szCs w:val="26"/>
        </w:rPr>
        <w:t>Cilvēkresursi un nodarbinātība”</w:t>
      </w:r>
      <w:r w:rsidR="00C65616" w:rsidRPr="00ED6FA0">
        <w:rPr>
          <w:rFonts w:ascii="Times New Roman" w:hAnsi="Times New Roman"/>
          <w:bCs w:val="0"/>
          <w:sz w:val="26"/>
          <w:szCs w:val="26"/>
        </w:rPr>
        <w:t xml:space="preserve"> </w:t>
      </w:r>
      <w:r w:rsidR="00BE77C1" w:rsidRPr="00ED6FA0">
        <w:rPr>
          <w:rFonts w:ascii="Times New Roman" w:hAnsi="Times New Roman"/>
          <w:sz w:val="26"/>
          <w:szCs w:val="26"/>
        </w:rPr>
        <w:t>papildin</w:t>
      </w:r>
      <w:r w:rsidR="00331550" w:rsidRPr="00ED6FA0">
        <w:rPr>
          <w:rFonts w:ascii="Times New Roman" w:hAnsi="Times New Roman"/>
          <w:sz w:val="26"/>
          <w:szCs w:val="26"/>
        </w:rPr>
        <w:t>ājuma 1.2.2.3.2.apakšaktivitāti</w:t>
      </w:r>
      <w:r w:rsidR="00C65616" w:rsidRPr="00ED6FA0">
        <w:rPr>
          <w:rFonts w:ascii="Times New Roman" w:hAnsi="Times New Roman"/>
          <w:bCs w:val="0"/>
          <w:sz w:val="26"/>
          <w:szCs w:val="26"/>
        </w:rPr>
        <w:t xml:space="preserve"> </w:t>
      </w:r>
      <w:r w:rsidR="00BE77C1" w:rsidRPr="00ED6FA0">
        <w:rPr>
          <w:rFonts w:ascii="Times New Roman" w:hAnsi="Times New Roman"/>
          <w:sz w:val="26"/>
          <w:szCs w:val="26"/>
        </w:rPr>
        <w:t>„Atbalsts izglītības pētījumiem</w:t>
      </w:r>
      <w:r w:rsidRPr="00ED6FA0">
        <w:rPr>
          <w:rFonts w:ascii="Times New Roman" w:hAnsi="Times New Roman"/>
          <w:sz w:val="26"/>
          <w:szCs w:val="26"/>
        </w:rPr>
        <w:t>”</w:t>
      </w:r>
      <w:r w:rsidR="00081F81" w:rsidRPr="00ED6FA0">
        <w:rPr>
          <w:rFonts w:ascii="Times New Roman" w:hAnsi="Times New Roman"/>
          <w:sz w:val="26"/>
          <w:szCs w:val="26"/>
        </w:rPr>
        <w:t>””</w:t>
      </w:r>
      <w:r w:rsidR="00D465E6" w:rsidRPr="00ED6FA0">
        <w:rPr>
          <w:rFonts w:ascii="Times New Roman" w:hAnsi="Times New Roman"/>
          <w:bCs w:val="0"/>
          <w:sz w:val="26"/>
          <w:szCs w:val="26"/>
        </w:rPr>
        <w:t xml:space="preserve"> </w:t>
      </w:r>
      <w:r w:rsidR="00EF18C6" w:rsidRPr="00ED6FA0">
        <w:rPr>
          <w:rFonts w:ascii="Times New Roman" w:hAnsi="Times New Roman"/>
          <w:bCs w:val="0"/>
          <w:sz w:val="26"/>
          <w:szCs w:val="26"/>
        </w:rPr>
        <w:t xml:space="preserve">sākotnējās ietekmes novērtējuma </w:t>
      </w:r>
      <w:r w:rsidRPr="00ED6FA0">
        <w:rPr>
          <w:rFonts w:ascii="Times New Roman" w:hAnsi="Times New Roman"/>
          <w:bCs w:val="0"/>
          <w:sz w:val="26"/>
          <w:szCs w:val="26"/>
        </w:rPr>
        <w:t>ziņojums (anotācija)</w:t>
      </w:r>
    </w:p>
    <w:p w:rsidR="003A1015" w:rsidRPr="00B648F0" w:rsidRDefault="003A1015" w:rsidP="003A1015">
      <w:pPr>
        <w:pStyle w:val="tv20787921"/>
        <w:spacing w:after="0" w:line="240" w:lineRule="auto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49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6930"/>
      </w:tblGrid>
      <w:tr w:rsidR="00E5438C" w:rsidRPr="00B648F0" w:rsidTr="00081F81"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BA" w:rsidRPr="00B648F0" w:rsidRDefault="00545A64" w:rsidP="00C65616">
            <w:pPr>
              <w:pStyle w:val="naisnod"/>
              <w:spacing w:before="0" w:after="0"/>
              <w:rPr>
                <w:b w:val="0"/>
                <w:sz w:val="26"/>
                <w:szCs w:val="26"/>
              </w:rPr>
            </w:pPr>
            <w:r w:rsidRPr="00B648F0">
              <w:rPr>
                <w:b w:val="0"/>
                <w:sz w:val="26"/>
                <w:szCs w:val="26"/>
              </w:rPr>
              <w:t>I. Tiesību akta projekta izstrādes nepieciešamība</w:t>
            </w:r>
          </w:p>
        </w:tc>
      </w:tr>
      <w:tr w:rsidR="00E5438C" w:rsidRPr="00B648F0" w:rsidTr="00C65616">
        <w:trPr>
          <w:trHeight w:val="47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Pamatojums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C" w:rsidRPr="00B648F0" w:rsidRDefault="003302BA" w:rsidP="008A5D93">
            <w:pPr>
              <w:pStyle w:val="tv20787921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B648F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Ministru kabineta noteikumu projekts</w:t>
            </w:r>
            <w:r w:rsidR="00081F81" w:rsidRPr="00B648F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B648F0">
              <w:rPr>
                <w:rFonts w:ascii="Times New Roman" w:hAnsi="Times New Roman"/>
                <w:b w:val="0"/>
                <w:sz w:val="26"/>
                <w:szCs w:val="26"/>
              </w:rPr>
              <w:t xml:space="preserve">„Grozījumi Ministru kabineta </w:t>
            </w:r>
            <w:r w:rsidR="00BE77C1" w:rsidRPr="00B648F0">
              <w:rPr>
                <w:rFonts w:ascii="Times New Roman" w:hAnsi="Times New Roman"/>
                <w:b w:val="0"/>
                <w:sz w:val="26"/>
                <w:szCs w:val="26"/>
              </w:rPr>
              <w:t xml:space="preserve">2010.gada 23.novembra noteikumos Nr.1070 </w:t>
            </w:r>
            <w:r w:rsidRPr="00B648F0">
              <w:rPr>
                <w:rFonts w:ascii="Times New Roman" w:hAnsi="Times New Roman"/>
                <w:b w:val="0"/>
                <w:sz w:val="26"/>
                <w:szCs w:val="26"/>
              </w:rPr>
              <w:t xml:space="preserve">„Noteikumi par darbības </w:t>
            </w:r>
            <w:r w:rsidR="00BE77C1" w:rsidRPr="00B648F0">
              <w:rPr>
                <w:rFonts w:ascii="Times New Roman" w:hAnsi="Times New Roman"/>
                <w:b w:val="0"/>
                <w:sz w:val="26"/>
                <w:szCs w:val="26"/>
              </w:rPr>
              <w:t>programmas „Cilvēkresursi un nodarbin</w:t>
            </w:r>
            <w:r w:rsidR="00D73474" w:rsidRPr="00B648F0">
              <w:rPr>
                <w:rFonts w:ascii="Times New Roman" w:hAnsi="Times New Roman"/>
                <w:b w:val="0"/>
                <w:sz w:val="26"/>
                <w:szCs w:val="26"/>
              </w:rPr>
              <w:t>ātība” papildinājuma 1.2.2.3.2.</w:t>
            </w:r>
            <w:r w:rsidR="00BE77C1" w:rsidRPr="00B648F0">
              <w:rPr>
                <w:rFonts w:ascii="Times New Roman" w:hAnsi="Times New Roman"/>
                <w:b w:val="0"/>
                <w:sz w:val="26"/>
                <w:szCs w:val="26"/>
              </w:rPr>
              <w:t>apakšaktivitāti „Atbalsts izglītības pētījumiem</w:t>
            </w:r>
            <w:r w:rsidRPr="00B648F0">
              <w:rPr>
                <w:rFonts w:ascii="Times New Roman" w:hAnsi="Times New Roman"/>
                <w:b w:val="0"/>
                <w:sz w:val="26"/>
                <w:szCs w:val="26"/>
              </w:rPr>
              <w:t>”</w:t>
            </w:r>
            <w:r w:rsidR="00081F81" w:rsidRPr="00B648F0">
              <w:rPr>
                <w:rFonts w:ascii="Times New Roman" w:hAnsi="Times New Roman"/>
                <w:b w:val="0"/>
                <w:sz w:val="26"/>
                <w:szCs w:val="26"/>
              </w:rPr>
              <w:t>””</w:t>
            </w:r>
            <w:r w:rsidRPr="00B648F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E5438C" w:rsidRPr="00B648F0">
              <w:rPr>
                <w:rFonts w:ascii="Times New Roman" w:hAnsi="Times New Roman"/>
                <w:b w:val="0"/>
                <w:sz w:val="26"/>
                <w:szCs w:val="26"/>
              </w:rPr>
              <w:t>(turpmāk – projekts) ir sagatavots saskaņā ar:</w:t>
            </w:r>
          </w:p>
          <w:p w:rsidR="00BF0F9A" w:rsidRPr="00B648F0" w:rsidRDefault="00BF0F9A" w:rsidP="008A5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</w:t>
            </w:r>
            <w:proofErr w:type="spellStart"/>
            <w:r w:rsidRPr="00B648F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ieviešanas kārtības likuma 30.panta pirmo daļu;</w:t>
            </w:r>
          </w:p>
          <w:p w:rsidR="00BF0F9A" w:rsidRPr="00B648F0" w:rsidRDefault="00BF0F9A" w:rsidP="008A5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>2) Ministru kabineta 2012.gada 27.jūnija rīkojuma Nr.282 „Par Koncepciju par normatīvo aktu sakārtošanu sai</w:t>
            </w:r>
            <w:r w:rsidR="00081F81"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>stībā ar eiro ievešanu Latvijā”</w:t>
            </w:r>
            <w:r w:rsidR="00397975"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7.1.apakšpunktu</w:t>
            </w:r>
            <w:r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F0F9A" w:rsidRPr="00B648F0" w:rsidRDefault="00397975" w:rsidP="008A5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>3) Latvijas N</w:t>
            </w:r>
            <w:r w:rsidR="00BF0F9A"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acionālā </w:t>
            </w:r>
            <w:proofErr w:type="spellStart"/>
            <w:r w:rsidR="00BF0F9A" w:rsidRPr="00B648F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C34CD9"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ieviešanas plāna</w:t>
            </w:r>
            <w:r w:rsidR="00BF0F9A"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(apstiprināts ar Ministru kabineta 2013.gada 4.aprīļa rīkojumu Nr.136)</w:t>
            </w:r>
            <w:r w:rsidR="00C34CD9"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1.pielikuma J2.2.2.apakšpunktu</w:t>
            </w:r>
            <w:r w:rsidR="00BF0F9A"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C65616" w:rsidRPr="00B648F0" w:rsidRDefault="00BF0F9A" w:rsidP="008A5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>4) Ministru kabi</w:t>
            </w:r>
            <w:r w:rsidR="004446EB"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>neta 2013.gada 29.maija rīkojuma</w:t>
            </w:r>
            <w:r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Nr.212 „Par tiesību aktu grozījumu virzību saistībā ar </w:t>
            </w:r>
            <w:proofErr w:type="spellStart"/>
            <w:r w:rsidRPr="00B648F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ieviešanu Latvijā”</w:t>
            </w:r>
            <w:r w:rsidR="004446EB"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1.1.</w:t>
            </w:r>
            <w:r w:rsidR="00096FE0"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un 1.5.</w:t>
            </w:r>
            <w:r w:rsidR="004446EB"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>apakšpunktu</w:t>
            </w:r>
            <w:r w:rsidRPr="00B648F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5438C" w:rsidRPr="00B648F0" w:rsidTr="002E50A5">
        <w:trPr>
          <w:trHeight w:val="8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D" w:rsidRPr="00B648F0" w:rsidRDefault="00771765" w:rsidP="008A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>Ministru kabineta 2010.gada 23.novembra noteikumos Nr.1070</w:t>
            </w:r>
            <w:r w:rsidRPr="00B648F0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„Noteikumi par darbības programmas „Cilvēkresursi un nodarbinātība” papildinājuma 1.2.2.3.2.apakšaktivitāti „Atbalsts izglītības pētījumiem”” kopējais </w:t>
            </w:r>
            <w:r w:rsidR="003542BC" w:rsidRPr="00B648F0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1.2.2.3.2.</w:t>
            </w:r>
            <w:r w:rsidRPr="00B648F0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apakšaktivitātei pieejamais publiskais finansējums, ko veido Eiropas Sociālā fonda līdzekļi, ir izteikts latos. </w:t>
            </w:r>
          </w:p>
          <w:p w:rsidR="00DD39F0" w:rsidRPr="00B648F0" w:rsidRDefault="00771765" w:rsidP="008A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Ievērojot iepriekšminēto un to, ka ar 2014.gada 1.janvāri Latvijā plānots ieviest </w:t>
            </w:r>
            <w:proofErr w:type="spellStart"/>
            <w:r w:rsidRPr="00B648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Pr="00B648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="001600EF" w:rsidRPr="00B648F0">
              <w:rPr>
                <w:rFonts w:ascii="Times New Roman" w:hAnsi="Times New Roman" w:cs="Times New Roman"/>
                <w:iCs/>
                <w:sz w:val="26"/>
                <w:szCs w:val="26"/>
              </w:rPr>
              <w:t>ir</w:t>
            </w:r>
            <w:r w:rsidR="001600EF" w:rsidRPr="00B648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nepieciešams </w:t>
            </w:r>
            <w:r w:rsidR="008835D2"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izdarīt grozījumus </w:t>
            </w: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>minētajos Ministru kabineta noteikumos.</w:t>
            </w:r>
          </w:p>
        </w:tc>
      </w:tr>
      <w:tr w:rsidR="00E5438C" w:rsidRPr="00B648F0" w:rsidTr="002E50A5">
        <w:trPr>
          <w:trHeight w:val="107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FootnoteText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Projekts šo jomu neskar.</w:t>
            </w:r>
          </w:p>
        </w:tc>
      </w:tr>
      <w:tr w:rsidR="00E5438C" w:rsidRPr="00B648F0" w:rsidTr="00353AF4">
        <w:trPr>
          <w:trHeight w:val="67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04" w:rsidRPr="00B648F0" w:rsidRDefault="00117B9E" w:rsidP="00112704">
            <w:pPr>
              <w:tabs>
                <w:tab w:val="left" w:pos="3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>Projekta mērķis ir pielāgot Ministru kabineta 2010.gada 23.novembra noteikumus Nr.1070 „Noteikumi par darbības programmas „Cilvēkresursi un nodarbinātība” papildinājuma 1.2.2.3.2.apakšaktivitāti „Atbalsts izglītības pētījumiem””</w:t>
            </w:r>
            <w:r w:rsidR="00112704"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 (turpmāk – MK noteikumi Nr.1070)</w:t>
            </w: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48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 ieviešanai.</w:t>
            </w:r>
          </w:p>
          <w:p w:rsidR="00112704" w:rsidRPr="00B648F0" w:rsidRDefault="00117B9E" w:rsidP="00112704">
            <w:pPr>
              <w:tabs>
                <w:tab w:val="left" w:pos="3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Projekts </w:t>
            </w:r>
            <w:r w:rsidR="00112704"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paredz MK noteikumos Nr.1070 aizstāt 1.2.2.3.2.apakšaktivitātes „Atbalsts izglītības pētījumiem” īstenošanai pieejamā publiskā finansējuma </w:t>
            </w: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skaitlisko vērtību latos ar skaitlisko vērtību </w:t>
            </w:r>
            <w:proofErr w:type="spellStart"/>
            <w:r w:rsidRPr="00B648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="00112704" w:rsidRPr="00B648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 konvertējot to atbilstoši neatsaucami fiksētam </w:t>
            </w:r>
            <w:proofErr w:type="spellStart"/>
            <w:r w:rsidRPr="00B648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 maiņas kursam, ko saskaņā ar Līguma par Eiropas Savienības darbību 140.panta 3.punktu Eiropas Savienības Padome noteikusi latu apmaiņai pret </w:t>
            </w:r>
            <w:proofErr w:type="spellStart"/>
            <w:r w:rsidRPr="00B648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 (EUR 1 = LVL 0,702804) (pielikums). </w:t>
            </w:r>
          </w:p>
          <w:p w:rsidR="00112704" w:rsidRPr="00B648F0" w:rsidRDefault="00112704" w:rsidP="00112704">
            <w:pPr>
              <w:tabs>
                <w:tab w:val="left" w:pos="32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>Aizstājot MK noteikum</w:t>
            </w:r>
            <w:r w:rsidR="00A171ED" w:rsidRPr="00B648F0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 Nr.1070</w:t>
            </w:r>
            <w:r w:rsidR="00A171ED"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>noteikto</w:t>
            </w:r>
            <w:r w:rsidR="004D252C"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 pieejamo</w:t>
            </w: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 publisko finansējumu</w:t>
            </w:r>
            <w:r w:rsidR="00CA35AE"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latos ar </w:t>
            </w:r>
            <w:proofErr w:type="spellStart"/>
            <w:r w:rsidRPr="00B648F0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648F0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piemērota </w:t>
            </w:r>
            <w:proofErr w:type="spellStart"/>
            <w:r w:rsidRPr="00B648F0">
              <w:rPr>
                <w:rFonts w:ascii="Times New Roman" w:hAnsi="Times New Roman"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Pr="00B648F0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ieviešanas kārtības likuma 32.panta otrā daļa un noapaļošana veikta līdz veseliem </w:t>
            </w:r>
            <w:proofErr w:type="spellStart"/>
            <w:r w:rsidRPr="00B648F0">
              <w:rPr>
                <w:rFonts w:ascii="Times New Roman" w:hAnsi="Times New Roman"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Pr="00B648F0">
              <w:rPr>
                <w:rFonts w:ascii="Times New Roman" w:hAnsi="Times New Roman"/>
                <w:i/>
                <w:sz w:val="26"/>
                <w:szCs w:val="26"/>
                <w:lang w:eastAsia="lv-LV"/>
              </w:rPr>
              <w:t xml:space="preserve"> </w:t>
            </w:r>
            <w:r w:rsidRPr="00B648F0">
              <w:rPr>
                <w:rFonts w:ascii="Times New Roman" w:hAnsi="Times New Roman"/>
                <w:sz w:val="26"/>
                <w:szCs w:val="26"/>
                <w:lang w:eastAsia="lv-LV"/>
              </w:rPr>
              <w:t>privātpersonai par labu, tai skaitā ievērojot izglītības nozares darbības programmu maksājumu principu veselos skaitļos un</w:t>
            </w:r>
            <w:r w:rsidRPr="00B648F0">
              <w:rPr>
                <w:rFonts w:ascii="Times New Roman" w:hAnsi="Times New Roman"/>
                <w:i/>
                <w:sz w:val="26"/>
                <w:szCs w:val="26"/>
                <w:lang w:eastAsia="lv-LV"/>
              </w:rPr>
              <w:t xml:space="preserve"> </w:t>
            </w:r>
            <w:r w:rsidRPr="00B648F0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nodrošinot MK noteikumos Nr.1070 noteiktā </w:t>
            </w:r>
            <w:r w:rsidR="004D252C" w:rsidRPr="00B648F0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pieejamā publiskā </w:t>
            </w:r>
            <w:r w:rsidRPr="00B648F0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finansējuma skaitliskās vērtības </w:t>
            </w:r>
            <w:proofErr w:type="spellStart"/>
            <w:r w:rsidRPr="00B648F0">
              <w:rPr>
                <w:rFonts w:ascii="Times New Roman" w:hAnsi="Times New Roman"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Pr="00B648F0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atbilstību darbības programmas „</w:t>
            </w:r>
            <w:r w:rsidRPr="00B648F0">
              <w:rPr>
                <w:rFonts w:ascii="Times New Roman" w:hAnsi="Times New Roman"/>
                <w:sz w:val="26"/>
                <w:szCs w:val="26"/>
              </w:rPr>
              <w:t>Cilvēkresursi un nodarbinātī</w:t>
            </w:r>
            <w:r w:rsidR="00C825DA">
              <w:rPr>
                <w:rFonts w:ascii="Times New Roman" w:hAnsi="Times New Roman"/>
                <w:sz w:val="26"/>
                <w:szCs w:val="26"/>
              </w:rPr>
              <w:t xml:space="preserve">ba” papildinājumā noteiktajam. </w:t>
            </w:r>
          </w:p>
          <w:p w:rsidR="00117B9E" w:rsidRPr="00B648F0" w:rsidRDefault="00117B9E" w:rsidP="00112704">
            <w:pPr>
              <w:tabs>
                <w:tab w:val="left" w:pos="3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>Aprēķina rezultātā netiek radīta ietekme uz valsts budžetu</w:t>
            </w:r>
            <w:r w:rsidR="00A171ED"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 (ieņēmumu samazinājuma un izdevumu palielinājuma nav)</w:t>
            </w: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, un tiesību norma, kurā skaitliskā vērtība ir izteikta </w:t>
            </w:r>
            <w:proofErr w:type="spellStart"/>
            <w:r w:rsidRPr="00B648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, nav personai nelabvēlīgāka par sākotnējo tiesību normu, kurā skaitliskā vērtība ir izteikta latos. </w:t>
            </w:r>
          </w:p>
          <w:p w:rsidR="00B05C83" w:rsidRPr="00B648F0" w:rsidRDefault="00344F2E" w:rsidP="00B05C83">
            <w:pPr>
              <w:tabs>
                <w:tab w:val="left" w:pos="3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>Noteikumu projekts neparedz grozījumu veikšanu MK</w:t>
            </w:r>
            <w:r w:rsidR="00A022DE" w:rsidRPr="00B648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>noteikumu Nr.1070 1.pielikuma (projekta iesnieguma veidlapa) 6.sadaļā „Projekta izmaksas un finansēšanas avoti”</w:t>
            </w:r>
            <w:r w:rsidR="00022878" w:rsidRPr="00B648F0">
              <w:rPr>
                <w:rFonts w:ascii="Times New Roman" w:hAnsi="Times New Roman" w:cs="Times New Roman"/>
                <w:sz w:val="26"/>
                <w:szCs w:val="26"/>
              </w:rPr>
              <w:t>, aizstājot saīsinājumu „LVL” ar vārdu „</w:t>
            </w:r>
            <w:proofErr w:type="spellStart"/>
            <w:r w:rsidR="00022878" w:rsidRPr="00B648F0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022878" w:rsidRPr="00B648F0">
              <w:rPr>
                <w:rFonts w:ascii="Times New Roman" w:hAnsi="Times New Roman" w:cs="Times New Roman"/>
                <w:sz w:val="26"/>
                <w:szCs w:val="26"/>
              </w:rPr>
              <w:t>”, un 4.pielikuma „</w:t>
            </w:r>
            <w:bookmarkStart w:id="0" w:name="371257"/>
            <w:bookmarkEnd w:id="0"/>
            <w:r w:rsidR="00022878" w:rsidRPr="00B648F0">
              <w:rPr>
                <w:rFonts w:ascii="Times New Roman" w:hAnsi="Times New Roman" w:cs="Times New Roman"/>
                <w:bCs/>
                <w:sz w:val="26"/>
                <w:szCs w:val="26"/>
              </w:rPr>
              <w:t>Projektu iesniegumu vērtēšanas kritēriji” 1.10.</w:t>
            </w:r>
            <w:r w:rsidR="00D547D7" w:rsidRPr="00B648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un </w:t>
            </w:r>
            <w:r w:rsidR="00022878" w:rsidRPr="00B648F0">
              <w:rPr>
                <w:rFonts w:ascii="Times New Roman" w:hAnsi="Times New Roman" w:cs="Times New Roman"/>
                <w:bCs/>
                <w:sz w:val="26"/>
                <w:szCs w:val="26"/>
              </w:rPr>
              <w:t>1.12.apakšpunktā, aizstājot vārdu „latos” ar vārdu „</w:t>
            </w:r>
            <w:proofErr w:type="spellStart"/>
            <w:r w:rsidR="00022878" w:rsidRPr="00B648F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euro</w:t>
            </w:r>
            <w:proofErr w:type="spellEnd"/>
            <w:r w:rsidR="00022878" w:rsidRPr="00B648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”, ņemot vērā, ka </w:t>
            </w:r>
            <w:r w:rsidR="00022878" w:rsidRPr="00B648F0">
              <w:rPr>
                <w:rFonts w:ascii="Times New Roman" w:hAnsi="Times New Roman" w:cs="Times New Roman"/>
                <w:sz w:val="26"/>
                <w:szCs w:val="26"/>
              </w:rPr>
              <w:t>1.2.2.3.2.apakšaktivitātes „Atbalsts izglītības pētījumiem” ietvaros</w:t>
            </w:r>
            <w:r w:rsidR="00D547D7"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C83"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projektu iesniegumu atlase ir noslēgusies un  ir noslēgta viena vienošanās par Eiropas Sociālā fonda projekta īstenošanu par visu </w:t>
            </w:r>
            <w:r w:rsidR="00F25B6F" w:rsidRPr="00B648F0">
              <w:rPr>
                <w:rFonts w:ascii="Times New Roman" w:hAnsi="Times New Roman" w:cs="Times New Roman"/>
                <w:sz w:val="26"/>
                <w:szCs w:val="26"/>
              </w:rPr>
              <w:t>1.2.2.3.2.</w:t>
            </w:r>
            <w:r w:rsidR="00B05C83" w:rsidRPr="00B648F0">
              <w:rPr>
                <w:rFonts w:ascii="Times New Roman" w:hAnsi="Times New Roman" w:cs="Times New Roman"/>
                <w:sz w:val="26"/>
                <w:szCs w:val="26"/>
              </w:rPr>
              <w:t xml:space="preserve">apakšaktivitātē pieejamo finansējumu. </w:t>
            </w:r>
          </w:p>
        </w:tc>
      </w:tr>
      <w:tr w:rsidR="00E5438C" w:rsidRPr="00B648F0" w:rsidTr="002E50A5">
        <w:trPr>
          <w:trHeight w:val="4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c"/>
              <w:spacing w:before="0" w:after="0"/>
              <w:ind w:left="74"/>
              <w:jc w:val="both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Izglītības un zinātnes ministrija.</w:t>
            </w:r>
          </w:p>
        </w:tc>
      </w:tr>
      <w:tr w:rsidR="00E5438C" w:rsidRPr="00B648F0" w:rsidTr="002E50A5">
        <w:trPr>
          <w:trHeight w:val="90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B648F0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FootnoteText"/>
              <w:jc w:val="both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Sabiedrības līdzdalība projekta izstrādē netika nodrošināta, jo projekts nemaina pastāvošo tiesisko regulējumu pēc būtības.</w:t>
            </w:r>
          </w:p>
        </w:tc>
      </w:tr>
      <w:tr w:rsidR="00E5438C" w:rsidRPr="00B648F0" w:rsidTr="002E50A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E5438C" w:rsidP="00C65616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B648F0">
              <w:rPr>
                <w:sz w:val="26"/>
                <w:szCs w:val="2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B648F0" w:rsidP="00C65616">
            <w:pPr>
              <w:pStyle w:val="naiskr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Cita info</w:t>
            </w:r>
            <w:r w:rsidR="00E5438C" w:rsidRPr="00B648F0">
              <w:rPr>
                <w:sz w:val="26"/>
                <w:szCs w:val="26"/>
              </w:rPr>
              <w:t>rmācija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C" w:rsidRPr="00B648F0" w:rsidRDefault="008833F8" w:rsidP="00C65616">
            <w:pPr>
              <w:spacing w:line="240" w:lineRule="auto"/>
              <w:ind w:left="74"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8F0">
              <w:rPr>
                <w:rFonts w:ascii="Times New Roman" w:hAnsi="Times New Roman" w:cs="Times New Roman"/>
                <w:sz w:val="26"/>
                <w:szCs w:val="26"/>
              </w:rPr>
              <w:t>Nav</w:t>
            </w:r>
            <w:r w:rsidR="00E5438C" w:rsidRPr="00B648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A1015" w:rsidRPr="00B648F0" w:rsidRDefault="003A1015" w:rsidP="00C6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38C" w:rsidRPr="00B648F0" w:rsidRDefault="00E5438C" w:rsidP="00C6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48F0">
        <w:rPr>
          <w:rFonts w:ascii="Times New Roman" w:hAnsi="Times New Roman" w:cs="Times New Roman"/>
          <w:sz w:val="26"/>
          <w:szCs w:val="26"/>
        </w:rPr>
        <w:t>Anotācijas II, III, IV, V</w:t>
      </w:r>
      <w:r w:rsidR="00E47B9F" w:rsidRPr="00B648F0">
        <w:rPr>
          <w:rFonts w:ascii="Times New Roman" w:hAnsi="Times New Roman" w:cs="Times New Roman"/>
          <w:sz w:val="26"/>
          <w:szCs w:val="26"/>
        </w:rPr>
        <w:t>, VI un VII sadaļa – projekts šī</w:t>
      </w:r>
      <w:r w:rsidRPr="00B648F0">
        <w:rPr>
          <w:rFonts w:ascii="Times New Roman" w:hAnsi="Times New Roman" w:cs="Times New Roman"/>
          <w:sz w:val="26"/>
          <w:szCs w:val="26"/>
        </w:rPr>
        <w:t>s jomas neskar.</w:t>
      </w:r>
    </w:p>
    <w:p w:rsidR="00E5438C" w:rsidRPr="00B648F0" w:rsidRDefault="00E5438C" w:rsidP="00C6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38C" w:rsidRPr="00B648F0" w:rsidRDefault="00E5438C" w:rsidP="00C6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38C" w:rsidRPr="00B648F0" w:rsidRDefault="00E5438C" w:rsidP="00C65616">
      <w:pPr>
        <w:pStyle w:val="Heading5"/>
        <w:ind w:left="-203" w:firstLine="770"/>
        <w:rPr>
          <w:sz w:val="26"/>
          <w:szCs w:val="26"/>
          <w:lang w:val="lv-LV"/>
        </w:rPr>
      </w:pPr>
      <w:r w:rsidRPr="00B648F0">
        <w:rPr>
          <w:sz w:val="26"/>
          <w:szCs w:val="26"/>
          <w:lang w:val="lv-LV"/>
        </w:rPr>
        <w:t>Izglītības un zinātnes ministrs</w:t>
      </w:r>
      <w:r w:rsidRPr="00B648F0">
        <w:rPr>
          <w:sz w:val="26"/>
          <w:szCs w:val="26"/>
          <w:lang w:val="lv-LV"/>
        </w:rPr>
        <w:tab/>
      </w:r>
      <w:r w:rsidRPr="00B648F0">
        <w:rPr>
          <w:sz w:val="26"/>
          <w:szCs w:val="26"/>
          <w:lang w:val="lv-LV"/>
        </w:rPr>
        <w:tab/>
      </w:r>
      <w:r w:rsidRPr="00B648F0">
        <w:rPr>
          <w:sz w:val="26"/>
          <w:szCs w:val="26"/>
          <w:lang w:val="lv-LV"/>
        </w:rPr>
        <w:tab/>
      </w:r>
      <w:r w:rsidRPr="00B648F0">
        <w:rPr>
          <w:sz w:val="26"/>
          <w:szCs w:val="26"/>
          <w:lang w:val="lv-LV"/>
        </w:rPr>
        <w:tab/>
      </w:r>
      <w:proofErr w:type="spellStart"/>
      <w:r w:rsidRPr="00B648F0">
        <w:rPr>
          <w:sz w:val="26"/>
          <w:szCs w:val="26"/>
          <w:lang w:val="lv-LV"/>
        </w:rPr>
        <w:t>V.Dombrovskis</w:t>
      </w:r>
      <w:proofErr w:type="spellEnd"/>
    </w:p>
    <w:p w:rsidR="00E5438C" w:rsidRPr="00B648F0" w:rsidRDefault="00E5438C" w:rsidP="002D19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65" w:rsidRPr="00B648F0" w:rsidRDefault="002D1965" w:rsidP="002D19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38C" w:rsidRPr="00B648F0" w:rsidRDefault="00E5438C" w:rsidP="00C65616">
      <w:pPr>
        <w:pStyle w:val="NoSpacing"/>
        <w:ind w:left="567"/>
        <w:rPr>
          <w:sz w:val="26"/>
          <w:szCs w:val="26"/>
        </w:rPr>
      </w:pPr>
      <w:r w:rsidRPr="00B648F0">
        <w:rPr>
          <w:sz w:val="26"/>
          <w:szCs w:val="26"/>
        </w:rPr>
        <w:t xml:space="preserve">Vizē: </w:t>
      </w:r>
      <w:r w:rsidRPr="00B648F0">
        <w:rPr>
          <w:sz w:val="26"/>
          <w:szCs w:val="26"/>
        </w:rPr>
        <w:tab/>
      </w:r>
      <w:r w:rsidRPr="00B648F0">
        <w:rPr>
          <w:sz w:val="26"/>
          <w:szCs w:val="26"/>
        </w:rPr>
        <w:tab/>
      </w:r>
    </w:p>
    <w:p w:rsidR="00E5438C" w:rsidRPr="00B648F0" w:rsidRDefault="00E5438C" w:rsidP="00C65616">
      <w:pPr>
        <w:pStyle w:val="NoSpacing"/>
        <w:ind w:left="567"/>
        <w:rPr>
          <w:bCs/>
          <w:sz w:val="26"/>
          <w:szCs w:val="26"/>
        </w:rPr>
      </w:pPr>
      <w:r w:rsidRPr="00B648F0">
        <w:rPr>
          <w:bCs/>
          <w:sz w:val="26"/>
          <w:szCs w:val="26"/>
        </w:rPr>
        <w:t xml:space="preserve">Valsts sekretāre </w:t>
      </w:r>
      <w:r w:rsidRPr="00B648F0">
        <w:rPr>
          <w:bCs/>
          <w:sz w:val="26"/>
          <w:szCs w:val="26"/>
        </w:rPr>
        <w:tab/>
      </w:r>
      <w:r w:rsidRPr="00B648F0">
        <w:rPr>
          <w:bCs/>
          <w:sz w:val="26"/>
          <w:szCs w:val="26"/>
        </w:rPr>
        <w:tab/>
      </w:r>
      <w:r w:rsidRPr="00B648F0">
        <w:rPr>
          <w:bCs/>
          <w:sz w:val="26"/>
          <w:szCs w:val="26"/>
        </w:rPr>
        <w:tab/>
      </w:r>
      <w:r w:rsidRPr="00B648F0">
        <w:rPr>
          <w:bCs/>
          <w:sz w:val="26"/>
          <w:szCs w:val="26"/>
        </w:rPr>
        <w:tab/>
      </w:r>
      <w:r w:rsidRPr="00B648F0">
        <w:rPr>
          <w:bCs/>
          <w:sz w:val="26"/>
          <w:szCs w:val="26"/>
        </w:rPr>
        <w:tab/>
      </w:r>
      <w:r w:rsidRPr="00B648F0">
        <w:rPr>
          <w:bCs/>
          <w:sz w:val="26"/>
          <w:szCs w:val="26"/>
        </w:rPr>
        <w:tab/>
      </w:r>
      <w:r w:rsidRPr="00B648F0">
        <w:rPr>
          <w:bCs/>
          <w:sz w:val="26"/>
          <w:szCs w:val="26"/>
        </w:rPr>
        <w:tab/>
        <w:t>S.Liepiņa</w:t>
      </w:r>
    </w:p>
    <w:p w:rsidR="002D1965" w:rsidRPr="00B648F0" w:rsidRDefault="002D1965" w:rsidP="00C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65" w:rsidRPr="00B648F0" w:rsidRDefault="002D1965" w:rsidP="00C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65" w:rsidRPr="00B648F0" w:rsidRDefault="002D1965" w:rsidP="00C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65" w:rsidRPr="00B648F0" w:rsidRDefault="002D1965" w:rsidP="00C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65" w:rsidRPr="00B648F0" w:rsidRDefault="002D1965" w:rsidP="00C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65" w:rsidRPr="00B648F0" w:rsidRDefault="002D1965" w:rsidP="00C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65" w:rsidRPr="00B648F0" w:rsidRDefault="002D1965" w:rsidP="00C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65" w:rsidRPr="00B648F0" w:rsidRDefault="002D1965" w:rsidP="00C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65" w:rsidRPr="00B648F0" w:rsidRDefault="002D1965" w:rsidP="00C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AAD" w:rsidRPr="00C274C6" w:rsidRDefault="00834168" w:rsidP="00C65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B648F0" w:rsidRPr="00C274C6">
        <w:rPr>
          <w:rFonts w:ascii="Times New Roman" w:hAnsi="Times New Roman" w:cs="Times New Roman"/>
          <w:sz w:val="20"/>
          <w:szCs w:val="20"/>
        </w:rPr>
        <w:t>.10</w:t>
      </w:r>
      <w:r w:rsidR="00F603B9" w:rsidRPr="00C274C6">
        <w:rPr>
          <w:rFonts w:ascii="Times New Roman" w:hAnsi="Times New Roman" w:cs="Times New Roman"/>
          <w:sz w:val="20"/>
          <w:szCs w:val="20"/>
        </w:rPr>
        <w:t>.2013 1</w:t>
      </w:r>
      <w:r w:rsidR="00B648F0" w:rsidRPr="00C274C6">
        <w:rPr>
          <w:rFonts w:ascii="Times New Roman" w:hAnsi="Times New Roman" w:cs="Times New Roman"/>
          <w:sz w:val="20"/>
          <w:szCs w:val="20"/>
        </w:rPr>
        <w:t>0</w:t>
      </w:r>
      <w:r w:rsidR="00F603B9" w:rsidRPr="00C274C6">
        <w:rPr>
          <w:rFonts w:ascii="Times New Roman" w:hAnsi="Times New Roman" w:cs="Times New Roman"/>
          <w:sz w:val="20"/>
          <w:szCs w:val="20"/>
        </w:rPr>
        <w:t>:</w:t>
      </w:r>
      <w:r w:rsidR="00C274C6" w:rsidRPr="00C274C6">
        <w:rPr>
          <w:rFonts w:ascii="Times New Roman" w:hAnsi="Times New Roman" w:cs="Times New Roman"/>
          <w:sz w:val="20"/>
          <w:szCs w:val="20"/>
        </w:rPr>
        <w:t>20</w:t>
      </w:r>
    </w:p>
    <w:p w:rsidR="000C1AAD" w:rsidRPr="00C274C6" w:rsidRDefault="002D1965" w:rsidP="00C65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4C6">
        <w:rPr>
          <w:rFonts w:ascii="Times New Roman" w:hAnsi="Times New Roman" w:cs="Times New Roman"/>
          <w:sz w:val="20"/>
          <w:szCs w:val="20"/>
        </w:rPr>
        <w:t>511</w:t>
      </w:r>
    </w:p>
    <w:p w:rsidR="00FC64BB" w:rsidRPr="00C274C6" w:rsidRDefault="00F603B9" w:rsidP="00C65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274C6">
        <w:rPr>
          <w:rFonts w:ascii="Times New Roman" w:hAnsi="Times New Roman" w:cs="Times New Roman"/>
          <w:sz w:val="20"/>
          <w:szCs w:val="20"/>
        </w:rPr>
        <w:t>I.Griķ</w:t>
      </w:r>
      <w:r w:rsidR="00FC64BB" w:rsidRPr="00C274C6">
        <w:rPr>
          <w:rFonts w:ascii="Times New Roman" w:hAnsi="Times New Roman" w:cs="Times New Roman"/>
          <w:sz w:val="20"/>
          <w:szCs w:val="20"/>
        </w:rPr>
        <w:t>e</w:t>
      </w:r>
      <w:proofErr w:type="spellEnd"/>
    </w:p>
    <w:p w:rsidR="00FC64BB" w:rsidRPr="00C274C6" w:rsidRDefault="00FC64BB" w:rsidP="00C65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4C6">
        <w:rPr>
          <w:rFonts w:ascii="Times New Roman" w:hAnsi="Times New Roman" w:cs="Times New Roman"/>
          <w:sz w:val="20"/>
          <w:szCs w:val="20"/>
        </w:rPr>
        <w:t>67047826, inga.grike@izm.gov.lv</w:t>
      </w:r>
    </w:p>
    <w:p w:rsidR="000C1AAD" w:rsidRPr="00C274C6" w:rsidRDefault="000C1AAD" w:rsidP="00C65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274C6">
        <w:rPr>
          <w:rFonts w:ascii="Times New Roman" w:hAnsi="Times New Roman" w:cs="Times New Roman"/>
          <w:sz w:val="20"/>
          <w:szCs w:val="20"/>
        </w:rPr>
        <w:t>M.Šūmane</w:t>
      </w:r>
      <w:proofErr w:type="spellEnd"/>
    </w:p>
    <w:p w:rsidR="000C1AAD" w:rsidRPr="00C274C6" w:rsidRDefault="000C1AAD" w:rsidP="00C65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4C6">
        <w:rPr>
          <w:rFonts w:ascii="Times New Roman" w:hAnsi="Times New Roman" w:cs="Times New Roman"/>
          <w:sz w:val="20"/>
          <w:szCs w:val="20"/>
        </w:rPr>
        <w:t>67047921, maija.sumane@izm.gov.lv</w:t>
      </w:r>
    </w:p>
    <w:p w:rsidR="000C1AAD" w:rsidRPr="00B648F0" w:rsidRDefault="000C1AAD" w:rsidP="00C65616">
      <w:pPr>
        <w:spacing w:line="240" w:lineRule="auto"/>
      </w:pPr>
    </w:p>
    <w:sectPr w:rsidR="000C1AAD" w:rsidRPr="00B648F0" w:rsidSect="00555B4B">
      <w:headerReference w:type="default" r:id="rId6"/>
      <w:footerReference w:type="default" r:id="rId7"/>
      <w:footerReference w:type="first" r:id="rId8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48" w:rsidRDefault="00DB0E48" w:rsidP="004031CC">
      <w:pPr>
        <w:spacing w:after="0" w:line="240" w:lineRule="auto"/>
      </w:pPr>
      <w:r>
        <w:separator/>
      </w:r>
    </w:p>
  </w:endnote>
  <w:endnote w:type="continuationSeparator" w:id="0">
    <w:p w:rsidR="00DB0E48" w:rsidRDefault="00DB0E48" w:rsidP="0040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DE" w:rsidRPr="004A53DE" w:rsidRDefault="00446D19" w:rsidP="004A53DE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4A53DE">
      <w:rPr>
        <w:rFonts w:ascii="Times New Roman" w:hAnsi="Times New Roman" w:cs="Times New Roman"/>
        <w:sz w:val="20"/>
        <w:szCs w:val="20"/>
      </w:rPr>
      <w:t>IZM</w:t>
    </w:r>
    <w:r w:rsidR="00B23C77" w:rsidRPr="004A53DE">
      <w:rPr>
        <w:rFonts w:ascii="Times New Roman" w:hAnsi="Times New Roman" w:cs="Times New Roman"/>
        <w:sz w:val="20"/>
        <w:szCs w:val="20"/>
      </w:rPr>
      <w:t>Anot</w:t>
    </w:r>
    <w:r w:rsidR="00276E40" w:rsidRPr="004A53DE">
      <w:rPr>
        <w:rFonts w:ascii="Times New Roman" w:hAnsi="Times New Roman" w:cs="Times New Roman"/>
        <w:sz w:val="20"/>
        <w:szCs w:val="20"/>
      </w:rPr>
      <w:t>_</w:t>
    </w:r>
    <w:r w:rsidR="00834168">
      <w:rPr>
        <w:rFonts w:ascii="Times New Roman" w:hAnsi="Times New Roman" w:cs="Times New Roman"/>
        <w:sz w:val="20"/>
        <w:szCs w:val="20"/>
      </w:rPr>
      <w:t>22</w:t>
    </w:r>
    <w:r w:rsidR="00B648F0">
      <w:rPr>
        <w:rFonts w:ascii="Times New Roman" w:hAnsi="Times New Roman" w:cs="Times New Roman"/>
        <w:sz w:val="20"/>
        <w:szCs w:val="20"/>
      </w:rPr>
      <w:t>10</w:t>
    </w:r>
    <w:r w:rsidRPr="004A53DE">
      <w:rPr>
        <w:rFonts w:ascii="Times New Roman" w:hAnsi="Times New Roman" w:cs="Times New Roman"/>
        <w:sz w:val="20"/>
        <w:szCs w:val="20"/>
      </w:rPr>
      <w:t>13_</w:t>
    </w:r>
    <w:r w:rsidR="004D252C" w:rsidRPr="004A53DE">
      <w:rPr>
        <w:rFonts w:ascii="Times New Roman" w:hAnsi="Times New Roman" w:cs="Times New Roman"/>
        <w:sz w:val="20"/>
        <w:szCs w:val="20"/>
      </w:rPr>
      <w:t>groz1070</w:t>
    </w:r>
    <w:r w:rsidR="00B648F0">
      <w:rPr>
        <w:rFonts w:ascii="Times New Roman" w:hAnsi="Times New Roman" w:cs="Times New Roman"/>
        <w:sz w:val="20"/>
        <w:szCs w:val="20"/>
      </w:rPr>
      <w:t>_euro</w:t>
    </w:r>
    <w:r w:rsidRPr="004A53DE">
      <w:rPr>
        <w:rFonts w:ascii="Times New Roman" w:hAnsi="Times New Roman" w:cs="Times New Roman"/>
        <w:sz w:val="20"/>
        <w:szCs w:val="20"/>
      </w:rPr>
      <w:t>;</w:t>
    </w:r>
    <w:r w:rsidR="00397975" w:rsidRPr="004A53DE">
      <w:rPr>
        <w:rFonts w:ascii="Times New Roman" w:hAnsi="Times New Roman" w:cs="Times New Roman"/>
        <w:sz w:val="20"/>
        <w:szCs w:val="20"/>
      </w:rPr>
      <w:t xml:space="preserve"> </w:t>
    </w:r>
    <w:r w:rsidR="00D55DB5" w:rsidRPr="004A53DE">
      <w:rPr>
        <w:rFonts w:ascii="Times New Roman" w:hAnsi="Times New Roman" w:cs="Times New Roman"/>
        <w:sz w:val="20"/>
        <w:szCs w:val="20"/>
      </w:rPr>
      <w:t>Ministru kabineta noteikumu projekta „</w:t>
    </w:r>
    <w:r w:rsidRPr="004A53DE">
      <w:rPr>
        <w:rFonts w:ascii="Times New Roman" w:hAnsi="Times New Roman" w:cs="Times New Roman"/>
        <w:sz w:val="20"/>
        <w:szCs w:val="20"/>
      </w:rPr>
      <w:t>Grozījumi Ministru kabineta 2010.gada 23.novembra noteikumos Nr.1070 „Noteikumi par darbības programmas „Cilvēkresursi un nodarbinātība” papildinājuma 1.2.2.3.2.apakšaktivitāti „Atbalsts izglītības pētījumiem”</w:t>
    </w:r>
    <w:r w:rsidR="00D55DB5" w:rsidRPr="004A53DE">
      <w:rPr>
        <w:rFonts w:ascii="Times New Roman" w:hAnsi="Times New Roman" w:cs="Times New Roman"/>
        <w:sz w:val="20"/>
        <w:szCs w:val="20"/>
      </w:rPr>
      <w:t xml:space="preserve">” sākotnējās ietekmes </w:t>
    </w:r>
    <w:r w:rsidR="004A53DE">
      <w:rPr>
        <w:rFonts w:ascii="Times New Roman" w:hAnsi="Times New Roman" w:cs="Times New Roman"/>
        <w:sz w:val="20"/>
        <w:szCs w:val="20"/>
      </w:rPr>
      <w:t>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DE" w:rsidRDefault="00276E40" w:rsidP="004A53DE">
    <w:pPr>
      <w:pStyle w:val="Footer"/>
      <w:jc w:val="both"/>
    </w:pPr>
    <w:r w:rsidRPr="004A53DE">
      <w:rPr>
        <w:rFonts w:ascii="Times New Roman" w:hAnsi="Times New Roman" w:cs="Times New Roman"/>
        <w:sz w:val="20"/>
        <w:szCs w:val="20"/>
      </w:rPr>
      <w:t>IZMAnot_</w:t>
    </w:r>
    <w:r w:rsidR="00834168">
      <w:rPr>
        <w:rFonts w:ascii="Times New Roman" w:hAnsi="Times New Roman" w:cs="Times New Roman"/>
        <w:sz w:val="20"/>
        <w:szCs w:val="20"/>
      </w:rPr>
      <w:t>22</w:t>
    </w:r>
    <w:r w:rsidR="000F182A">
      <w:rPr>
        <w:rFonts w:ascii="Times New Roman" w:hAnsi="Times New Roman" w:cs="Times New Roman"/>
        <w:sz w:val="20"/>
        <w:szCs w:val="20"/>
      </w:rPr>
      <w:t>10</w:t>
    </w:r>
    <w:r w:rsidR="00516EEE" w:rsidRPr="004A53DE">
      <w:rPr>
        <w:rFonts w:ascii="Times New Roman" w:hAnsi="Times New Roman" w:cs="Times New Roman"/>
        <w:sz w:val="20"/>
        <w:szCs w:val="20"/>
      </w:rPr>
      <w:t>13_</w:t>
    </w:r>
    <w:r w:rsidR="003A1015" w:rsidRPr="004A53DE">
      <w:rPr>
        <w:rFonts w:ascii="Times New Roman" w:hAnsi="Times New Roman" w:cs="Times New Roman"/>
        <w:sz w:val="20"/>
        <w:szCs w:val="20"/>
      </w:rPr>
      <w:t>groz1070</w:t>
    </w:r>
    <w:r w:rsidR="000F182A">
      <w:rPr>
        <w:rFonts w:ascii="Times New Roman" w:hAnsi="Times New Roman" w:cs="Times New Roman"/>
        <w:sz w:val="20"/>
        <w:szCs w:val="20"/>
      </w:rPr>
      <w:t>_eu</w:t>
    </w:r>
    <w:r w:rsidR="00B648F0">
      <w:rPr>
        <w:rFonts w:ascii="Times New Roman" w:hAnsi="Times New Roman" w:cs="Times New Roman"/>
        <w:sz w:val="20"/>
        <w:szCs w:val="20"/>
      </w:rPr>
      <w:t>ro</w:t>
    </w:r>
    <w:r w:rsidR="00516EEE" w:rsidRPr="004A53DE">
      <w:rPr>
        <w:rFonts w:ascii="Times New Roman" w:hAnsi="Times New Roman" w:cs="Times New Roman"/>
        <w:sz w:val="20"/>
        <w:szCs w:val="20"/>
      </w:rPr>
      <w:t>;</w:t>
    </w:r>
    <w:r w:rsidR="00397975" w:rsidRPr="004A53DE">
      <w:rPr>
        <w:rFonts w:ascii="Times New Roman" w:hAnsi="Times New Roman" w:cs="Times New Roman"/>
        <w:sz w:val="20"/>
        <w:szCs w:val="20"/>
      </w:rPr>
      <w:t xml:space="preserve"> </w:t>
    </w:r>
    <w:r w:rsidR="00D55DB5" w:rsidRPr="004A53DE">
      <w:rPr>
        <w:rFonts w:ascii="Times New Roman" w:hAnsi="Times New Roman" w:cs="Times New Roman"/>
        <w:sz w:val="20"/>
        <w:szCs w:val="20"/>
      </w:rPr>
      <w:t>Ministru kabineta noteikumu projekta „</w:t>
    </w:r>
    <w:r w:rsidR="00516EEE" w:rsidRPr="004A53DE">
      <w:rPr>
        <w:rFonts w:ascii="Times New Roman" w:hAnsi="Times New Roman" w:cs="Times New Roman"/>
        <w:sz w:val="20"/>
        <w:szCs w:val="20"/>
      </w:rPr>
      <w:t>Grozījumi Ministru kabineta 2010.gada 23.novembra noteikumos Nr.1070 „Noteikumi par darbības programmas „Cilvēkresursi un nodarbinātība” papildinājuma 1.2.2.3.2.apakšaktivitāti „Atbalsts izglītības pētījumiem””</w:t>
    </w:r>
    <w:r w:rsidR="00D55DB5" w:rsidRPr="004A53DE">
      <w:rPr>
        <w:rFonts w:ascii="Times New Roman" w:hAnsi="Times New Roman" w:cs="Times New Roman"/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48" w:rsidRDefault="00DB0E48" w:rsidP="004031CC">
      <w:pPr>
        <w:spacing w:after="0" w:line="240" w:lineRule="auto"/>
      </w:pPr>
      <w:r>
        <w:separator/>
      </w:r>
    </w:p>
  </w:footnote>
  <w:footnote w:type="continuationSeparator" w:id="0">
    <w:p w:rsidR="00DB0E48" w:rsidRDefault="00DB0E48" w:rsidP="0040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5B4B" w:rsidRPr="00555B4B" w:rsidRDefault="00BF407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5B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5B4B" w:rsidRPr="00555B4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5B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5D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55B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31CC" w:rsidRDefault="004031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38C"/>
    <w:rsid w:val="00005090"/>
    <w:rsid w:val="000202DE"/>
    <w:rsid w:val="00022878"/>
    <w:rsid w:val="00056360"/>
    <w:rsid w:val="000573C6"/>
    <w:rsid w:val="00067035"/>
    <w:rsid w:val="00070949"/>
    <w:rsid w:val="0007447C"/>
    <w:rsid w:val="00081F81"/>
    <w:rsid w:val="00087886"/>
    <w:rsid w:val="00094330"/>
    <w:rsid w:val="00096FE0"/>
    <w:rsid w:val="000A2794"/>
    <w:rsid w:val="000B2E14"/>
    <w:rsid w:val="000B2FAC"/>
    <w:rsid w:val="000C0883"/>
    <w:rsid w:val="000C1AAD"/>
    <w:rsid w:val="000C1DFC"/>
    <w:rsid w:val="000D623D"/>
    <w:rsid w:val="000F182A"/>
    <w:rsid w:val="00112704"/>
    <w:rsid w:val="00117B9E"/>
    <w:rsid w:val="001227B4"/>
    <w:rsid w:val="0012746A"/>
    <w:rsid w:val="001323C1"/>
    <w:rsid w:val="00146AF2"/>
    <w:rsid w:val="00150BB2"/>
    <w:rsid w:val="001600EF"/>
    <w:rsid w:val="00163FDC"/>
    <w:rsid w:val="00173FC0"/>
    <w:rsid w:val="001B0C44"/>
    <w:rsid w:val="001B3C1E"/>
    <w:rsid w:val="001C00F4"/>
    <w:rsid w:val="001D699F"/>
    <w:rsid w:val="001E5E41"/>
    <w:rsid w:val="0020260B"/>
    <w:rsid w:val="002325B7"/>
    <w:rsid w:val="00245D46"/>
    <w:rsid w:val="00273EB4"/>
    <w:rsid w:val="00276E40"/>
    <w:rsid w:val="00281575"/>
    <w:rsid w:val="002B24C4"/>
    <w:rsid w:val="002B54BB"/>
    <w:rsid w:val="002D1965"/>
    <w:rsid w:val="002D5C03"/>
    <w:rsid w:val="002D6566"/>
    <w:rsid w:val="002E50A5"/>
    <w:rsid w:val="002F3828"/>
    <w:rsid w:val="003014C2"/>
    <w:rsid w:val="003104B0"/>
    <w:rsid w:val="00317445"/>
    <w:rsid w:val="003302BA"/>
    <w:rsid w:val="00331550"/>
    <w:rsid w:val="00342EBD"/>
    <w:rsid w:val="00344F2E"/>
    <w:rsid w:val="003511FE"/>
    <w:rsid w:val="00353AF4"/>
    <w:rsid w:val="003542BC"/>
    <w:rsid w:val="00367750"/>
    <w:rsid w:val="00367FE5"/>
    <w:rsid w:val="003749CF"/>
    <w:rsid w:val="003776FA"/>
    <w:rsid w:val="00381862"/>
    <w:rsid w:val="00397975"/>
    <w:rsid w:val="003A1015"/>
    <w:rsid w:val="003A35F3"/>
    <w:rsid w:val="003B2F02"/>
    <w:rsid w:val="003B3BE6"/>
    <w:rsid w:val="003D59D7"/>
    <w:rsid w:val="003F4DD7"/>
    <w:rsid w:val="003F785E"/>
    <w:rsid w:val="004003B1"/>
    <w:rsid w:val="004031CC"/>
    <w:rsid w:val="0040723A"/>
    <w:rsid w:val="0042509F"/>
    <w:rsid w:val="00436707"/>
    <w:rsid w:val="004446EB"/>
    <w:rsid w:val="00446D19"/>
    <w:rsid w:val="0047190C"/>
    <w:rsid w:val="00485D3A"/>
    <w:rsid w:val="004A3D0D"/>
    <w:rsid w:val="004A4B46"/>
    <w:rsid w:val="004A53DE"/>
    <w:rsid w:val="004B1103"/>
    <w:rsid w:val="004B2076"/>
    <w:rsid w:val="004B5376"/>
    <w:rsid w:val="004C7F11"/>
    <w:rsid w:val="004D252C"/>
    <w:rsid w:val="004E488E"/>
    <w:rsid w:val="004F43B7"/>
    <w:rsid w:val="004F498B"/>
    <w:rsid w:val="004F6E23"/>
    <w:rsid w:val="0050766F"/>
    <w:rsid w:val="005109C8"/>
    <w:rsid w:val="00510D7D"/>
    <w:rsid w:val="00516EEE"/>
    <w:rsid w:val="0053124C"/>
    <w:rsid w:val="00541E61"/>
    <w:rsid w:val="00545A64"/>
    <w:rsid w:val="00551A0B"/>
    <w:rsid w:val="00555B4B"/>
    <w:rsid w:val="00575005"/>
    <w:rsid w:val="0058068D"/>
    <w:rsid w:val="00587CFC"/>
    <w:rsid w:val="005A24D2"/>
    <w:rsid w:val="005A55A2"/>
    <w:rsid w:val="005D6BE3"/>
    <w:rsid w:val="005E2C84"/>
    <w:rsid w:val="005E3016"/>
    <w:rsid w:val="005F14B5"/>
    <w:rsid w:val="005F5961"/>
    <w:rsid w:val="006071A8"/>
    <w:rsid w:val="00612B47"/>
    <w:rsid w:val="00644538"/>
    <w:rsid w:val="00663367"/>
    <w:rsid w:val="00691FC2"/>
    <w:rsid w:val="00693928"/>
    <w:rsid w:val="006948C0"/>
    <w:rsid w:val="006B38CB"/>
    <w:rsid w:val="006B55FC"/>
    <w:rsid w:val="006E3567"/>
    <w:rsid w:val="006F246E"/>
    <w:rsid w:val="006F7323"/>
    <w:rsid w:val="0070737C"/>
    <w:rsid w:val="00711706"/>
    <w:rsid w:val="00736FCA"/>
    <w:rsid w:val="007464B8"/>
    <w:rsid w:val="007528C6"/>
    <w:rsid w:val="007626A0"/>
    <w:rsid w:val="00771765"/>
    <w:rsid w:val="007744CC"/>
    <w:rsid w:val="00780279"/>
    <w:rsid w:val="00780617"/>
    <w:rsid w:val="00782BCE"/>
    <w:rsid w:val="007C2424"/>
    <w:rsid w:val="007C31F8"/>
    <w:rsid w:val="007C6AF7"/>
    <w:rsid w:val="007D0B17"/>
    <w:rsid w:val="007D2653"/>
    <w:rsid w:val="007D71D1"/>
    <w:rsid w:val="008004CC"/>
    <w:rsid w:val="00810E9D"/>
    <w:rsid w:val="00813F2C"/>
    <w:rsid w:val="00834168"/>
    <w:rsid w:val="00834F70"/>
    <w:rsid w:val="0087419E"/>
    <w:rsid w:val="00877641"/>
    <w:rsid w:val="008808E1"/>
    <w:rsid w:val="008833F8"/>
    <w:rsid w:val="008835D2"/>
    <w:rsid w:val="008A3279"/>
    <w:rsid w:val="008A5D93"/>
    <w:rsid w:val="008D1D8A"/>
    <w:rsid w:val="008D38DE"/>
    <w:rsid w:val="008E015D"/>
    <w:rsid w:val="00905937"/>
    <w:rsid w:val="00917DCE"/>
    <w:rsid w:val="009271F0"/>
    <w:rsid w:val="00943FBB"/>
    <w:rsid w:val="0094508B"/>
    <w:rsid w:val="009463C6"/>
    <w:rsid w:val="00970BF9"/>
    <w:rsid w:val="00971CE8"/>
    <w:rsid w:val="00994934"/>
    <w:rsid w:val="009A2D64"/>
    <w:rsid w:val="009A2EE2"/>
    <w:rsid w:val="009B3AF7"/>
    <w:rsid w:val="009D25C5"/>
    <w:rsid w:val="009D2B9C"/>
    <w:rsid w:val="009F126F"/>
    <w:rsid w:val="009F57B5"/>
    <w:rsid w:val="00A022DE"/>
    <w:rsid w:val="00A04311"/>
    <w:rsid w:val="00A171ED"/>
    <w:rsid w:val="00A4512A"/>
    <w:rsid w:val="00A64B4A"/>
    <w:rsid w:val="00A831BF"/>
    <w:rsid w:val="00A94F38"/>
    <w:rsid w:val="00A955B0"/>
    <w:rsid w:val="00AA434F"/>
    <w:rsid w:val="00AC3785"/>
    <w:rsid w:val="00AF3723"/>
    <w:rsid w:val="00AF37A0"/>
    <w:rsid w:val="00B05C83"/>
    <w:rsid w:val="00B17AEE"/>
    <w:rsid w:val="00B23C77"/>
    <w:rsid w:val="00B33BCD"/>
    <w:rsid w:val="00B37C98"/>
    <w:rsid w:val="00B648F0"/>
    <w:rsid w:val="00B65BA2"/>
    <w:rsid w:val="00B9061B"/>
    <w:rsid w:val="00BA2A49"/>
    <w:rsid w:val="00BC23C6"/>
    <w:rsid w:val="00BE77C1"/>
    <w:rsid w:val="00BF0F9A"/>
    <w:rsid w:val="00BF4079"/>
    <w:rsid w:val="00C274C6"/>
    <w:rsid w:val="00C34CD9"/>
    <w:rsid w:val="00C54DF3"/>
    <w:rsid w:val="00C61DA7"/>
    <w:rsid w:val="00C65616"/>
    <w:rsid w:val="00C65D29"/>
    <w:rsid w:val="00C7467E"/>
    <w:rsid w:val="00C825DA"/>
    <w:rsid w:val="00C86C09"/>
    <w:rsid w:val="00C921C4"/>
    <w:rsid w:val="00CA353F"/>
    <w:rsid w:val="00CA35AE"/>
    <w:rsid w:val="00CB085A"/>
    <w:rsid w:val="00CD6A02"/>
    <w:rsid w:val="00CD6FF0"/>
    <w:rsid w:val="00CE04FF"/>
    <w:rsid w:val="00CF3E86"/>
    <w:rsid w:val="00D37E18"/>
    <w:rsid w:val="00D465E6"/>
    <w:rsid w:val="00D547D7"/>
    <w:rsid w:val="00D55DB5"/>
    <w:rsid w:val="00D73474"/>
    <w:rsid w:val="00D7584A"/>
    <w:rsid w:val="00D90528"/>
    <w:rsid w:val="00DA2975"/>
    <w:rsid w:val="00DA7BC6"/>
    <w:rsid w:val="00DB0E48"/>
    <w:rsid w:val="00DB1B19"/>
    <w:rsid w:val="00DB6ED9"/>
    <w:rsid w:val="00DB71C2"/>
    <w:rsid w:val="00DC41A5"/>
    <w:rsid w:val="00DD39F0"/>
    <w:rsid w:val="00DF7F46"/>
    <w:rsid w:val="00E0046F"/>
    <w:rsid w:val="00E47B9F"/>
    <w:rsid w:val="00E53326"/>
    <w:rsid w:val="00E5438C"/>
    <w:rsid w:val="00E549F3"/>
    <w:rsid w:val="00E6721D"/>
    <w:rsid w:val="00EA1E07"/>
    <w:rsid w:val="00EA3E10"/>
    <w:rsid w:val="00ED6FA0"/>
    <w:rsid w:val="00EE44CD"/>
    <w:rsid w:val="00EE483A"/>
    <w:rsid w:val="00EE4C69"/>
    <w:rsid w:val="00EF18C6"/>
    <w:rsid w:val="00EF1ACB"/>
    <w:rsid w:val="00EF4876"/>
    <w:rsid w:val="00EF543C"/>
    <w:rsid w:val="00F00FCB"/>
    <w:rsid w:val="00F15961"/>
    <w:rsid w:val="00F2419A"/>
    <w:rsid w:val="00F25B6F"/>
    <w:rsid w:val="00F25DB2"/>
    <w:rsid w:val="00F2787A"/>
    <w:rsid w:val="00F41BBA"/>
    <w:rsid w:val="00F45436"/>
    <w:rsid w:val="00F603B9"/>
    <w:rsid w:val="00F76DB1"/>
    <w:rsid w:val="00F810B3"/>
    <w:rsid w:val="00F81AD9"/>
    <w:rsid w:val="00F86173"/>
    <w:rsid w:val="00FA5E0E"/>
    <w:rsid w:val="00FC071C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8C"/>
  </w:style>
  <w:style w:type="paragraph" w:styleId="Heading5">
    <w:name w:val="heading 5"/>
    <w:basedOn w:val="Normal"/>
    <w:next w:val="Normal"/>
    <w:link w:val="Heading5Char"/>
    <w:semiHidden/>
    <w:unhideWhenUsed/>
    <w:qFormat/>
    <w:rsid w:val="00E5438C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5438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E5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5438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pacing">
    <w:name w:val="No Spacing"/>
    <w:uiPriority w:val="1"/>
    <w:qFormat/>
    <w:rsid w:val="00E5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isnod">
    <w:name w:val="naisnod"/>
    <w:basedOn w:val="Normal"/>
    <w:rsid w:val="00E5438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E5438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E5438C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E5438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CC"/>
  </w:style>
  <w:style w:type="paragraph" w:styleId="Footer">
    <w:name w:val="footer"/>
    <w:basedOn w:val="Normal"/>
    <w:link w:val="FooterChar"/>
    <w:uiPriority w:val="99"/>
    <w:semiHidden/>
    <w:unhideWhenUsed/>
    <w:rsid w:val="00403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511</Words>
  <Characters>3950</Characters>
  <Application>Microsoft Office Word</Application>
  <DocSecurity>0</DocSecurity>
  <Lines>124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>IZM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Ministru kabineta noteikumu projekta "Grozījumi Ministru kabineta 2010.gada 23.novembra noteikumos Nr.1070 "Noteikumi par darbības programmas "Cilvēkresursi un nodarbinātība" papildinājuma 1.2.2.3.2.apakšaktivitāti "Atbalsts izglītības pētījumiem"" sākotnējās ietekmes novērtējuma ziņojums (anotācija)</dc:subject>
  <dc:creator>M.Šūmane</dc:creator>
  <dc:description>M.Šūmane
67047921</dc:description>
  <cp:lastModifiedBy>msumane</cp:lastModifiedBy>
  <cp:revision>34</cp:revision>
  <cp:lastPrinted>2013-06-28T08:38:00Z</cp:lastPrinted>
  <dcterms:created xsi:type="dcterms:W3CDTF">2013-08-29T11:06:00Z</dcterms:created>
  <dcterms:modified xsi:type="dcterms:W3CDTF">2013-10-22T06:33:00Z</dcterms:modified>
</cp:coreProperties>
</file>