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68" w:rsidRPr="00A57CF7" w:rsidRDefault="004B0768" w:rsidP="004B0768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r w:rsidRPr="00A57CF7">
        <w:rPr>
          <w:b/>
          <w:sz w:val="26"/>
          <w:szCs w:val="26"/>
        </w:rPr>
        <w:t>Ministru kabineta noteikumu projekta</w:t>
      </w:r>
    </w:p>
    <w:p w:rsidR="004B0768" w:rsidRDefault="004B0768" w:rsidP="004B0768">
      <w:pPr>
        <w:jc w:val="center"/>
        <w:rPr>
          <w:b/>
          <w:sz w:val="26"/>
          <w:szCs w:val="26"/>
        </w:rPr>
      </w:pPr>
      <w:bookmarkStart w:id="2" w:name="OLE_LINK3"/>
      <w:bookmarkStart w:id="3" w:name="OLE_LINK4"/>
      <w:bookmarkStart w:id="4" w:name="OLE_LINK7"/>
      <w:bookmarkStart w:id="5" w:name="OLE_LINK8"/>
      <w:bookmarkEnd w:id="0"/>
      <w:bookmarkEnd w:id="1"/>
      <w:r w:rsidRPr="00A57CF7">
        <w:rPr>
          <w:b/>
          <w:bCs/>
          <w:sz w:val="26"/>
          <w:szCs w:val="26"/>
        </w:rPr>
        <w:t>„</w:t>
      </w:r>
      <w:r w:rsidR="00B77DCF">
        <w:rPr>
          <w:b/>
          <w:bCs/>
          <w:sz w:val="26"/>
          <w:szCs w:val="26"/>
        </w:rPr>
        <w:t>Grozījums Ministru kabineta 2001.gada 23.augusta</w:t>
      </w:r>
      <w:r w:rsidR="004D2894" w:rsidRPr="00A57CF7">
        <w:rPr>
          <w:b/>
          <w:bCs/>
          <w:sz w:val="26"/>
          <w:szCs w:val="26"/>
        </w:rPr>
        <w:t xml:space="preserve"> noteikumos Nr.</w:t>
      </w:r>
      <w:r w:rsidR="00B77DCF">
        <w:rPr>
          <w:b/>
          <w:bCs/>
          <w:sz w:val="26"/>
          <w:szCs w:val="26"/>
        </w:rPr>
        <w:t>381</w:t>
      </w:r>
      <w:r w:rsidR="004D2894" w:rsidRPr="00A57CF7">
        <w:rPr>
          <w:b/>
          <w:bCs/>
          <w:sz w:val="26"/>
          <w:szCs w:val="26"/>
        </w:rPr>
        <w:t xml:space="preserve"> „Noteikumi par </w:t>
      </w:r>
      <w:r w:rsidR="00B77DCF">
        <w:rPr>
          <w:b/>
          <w:bCs/>
          <w:sz w:val="26"/>
          <w:szCs w:val="26"/>
        </w:rPr>
        <w:t>vispārējās pirmsskolas izglītības un speciālās pirmsskolas izglītības programmu īstenošanas izmaksu minimumu uz vienu izglītojamo</w:t>
      </w:r>
      <w:r w:rsidR="004D2894" w:rsidRPr="00A57CF7">
        <w:rPr>
          <w:b/>
          <w:bCs/>
          <w:sz w:val="26"/>
          <w:szCs w:val="26"/>
        </w:rPr>
        <w:t>”</w:t>
      </w:r>
      <w:r w:rsidRPr="00A57CF7">
        <w:rPr>
          <w:b/>
          <w:bCs/>
          <w:sz w:val="26"/>
          <w:szCs w:val="26"/>
        </w:rPr>
        <w:t>”</w:t>
      </w:r>
      <w:bookmarkEnd w:id="2"/>
      <w:bookmarkEnd w:id="3"/>
      <w:r w:rsidRPr="00A57CF7">
        <w:rPr>
          <w:b/>
          <w:bCs/>
          <w:sz w:val="26"/>
          <w:szCs w:val="26"/>
        </w:rPr>
        <w:t xml:space="preserve"> </w:t>
      </w:r>
      <w:bookmarkEnd w:id="4"/>
      <w:bookmarkEnd w:id="5"/>
      <w:r w:rsidRPr="00E977D1">
        <w:rPr>
          <w:b/>
          <w:sz w:val="26"/>
          <w:szCs w:val="26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E977D1">
          <w:rPr>
            <w:b/>
            <w:sz w:val="26"/>
            <w:szCs w:val="26"/>
          </w:rPr>
          <w:t>ziņojums</w:t>
        </w:r>
      </w:smartTag>
      <w:r w:rsidRPr="00E977D1">
        <w:rPr>
          <w:b/>
          <w:sz w:val="26"/>
          <w:szCs w:val="26"/>
        </w:rPr>
        <w:t xml:space="preserve"> (anotācija)</w:t>
      </w:r>
    </w:p>
    <w:p w:rsidR="00E977D1" w:rsidRPr="00E977D1" w:rsidRDefault="00E977D1" w:rsidP="004B0768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9"/>
        <w:gridCol w:w="2483"/>
        <w:gridCol w:w="6095"/>
      </w:tblGrid>
      <w:tr w:rsidR="004B0768" w:rsidRPr="00A57CF7" w:rsidTr="000A4A7D">
        <w:tc>
          <w:tcPr>
            <w:tcW w:w="9077" w:type="dxa"/>
            <w:gridSpan w:val="3"/>
            <w:vAlign w:val="center"/>
          </w:tcPr>
          <w:p w:rsidR="004B0768" w:rsidRPr="00A57CF7" w:rsidRDefault="004B0768" w:rsidP="000A4A7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4B0768" w:rsidRPr="00A57CF7" w:rsidTr="008709BF">
        <w:trPr>
          <w:trHeight w:val="630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2483" w:type="dxa"/>
          </w:tcPr>
          <w:p w:rsidR="004B0768" w:rsidRPr="00A57CF7" w:rsidRDefault="004B0768" w:rsidP="000A4A7D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Pamatojums</w:t>
            </w:r>
          </w:p>
        </w:tc>
        <w:tc>
          <w:tcPr>
            <w:tcW w:w="6095" w:type="dxa"/>
          </w:tcPr>
          <w:p w:rsidR="008709BF" w:rsidRPr="008709BF" w:rsidRDefault="008709BF" w:rsidP="007C7941">
            <w:pPr>
              <w:jc w:val="both"/>
              <w:rPr>
                <w:bCs/>
                <w:sz w:val="26"/>
                <w:szCs w:val="26"/>
              </w:rPr>
            </w:pPr>
            <w:r w:rsidRPr="008709BF">
              <w:rPr>
                <w:sz w:val="26"/>
                <w:szCs w:val="26"/>
              </w:rPr>
              <w:t>Ministru kabineta noteikumu projekt</w:t>
            </w:r>
            <w:r w:rsidR="00B2270D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</w:t>
            </w:r>
            <w:r w:rsidRPr="008709BF">
              <w:rPr>
                <w:bCs/>
                <w:sz w:val="26"/>
                <w:szCs w:val="26"/>
              </w:rPr>
              <w:t>„Grozījums Ministru kabineta 2001.gada 23.augusta noteikumos Nr.381 „Noteikumi par vispārējās pirmsskolas izglītības un speciālās pirmsskolas izglītības programmu īstenošanas izmaksu minimumu uz vienu izglītojamo””</w:t>
            </w:r>
            <w:r>
              <w:rPr>
                <w:bCs/>
                <w:sz w:val="26"/>
                <w:szCs w:val="26"/>
              </w:rPr>
              <w:t xml:space="preserve"> (turpmāk – projekts) sagat</w:t>
            </w:r>
            <w:r w:rsidR="00E908C7">
              <w:rPr>
                <w:bCs/>
                <w:sz w:val="26"/>
                <w:szCs w:val="26"/>
              </w:rPr>
              <w:t>a</w:t>
            </w:r>
            <w:r>
              <w:rPr>
                <w:bCs/>
                <w:sz w:val="26"/>
                <w:szCs w:val="26"/>
              </w:rPr>
              <w:t>vots, saskaņā ar:</w:t>
            </w:r>
          </w:p>
          <w:p w:rsidR="008709BF" w:rsidRDefault="008709BF" w:rsidP="008709BF">
            <w:pPr>
              <w:pStyle w:val="Default"/>
              <w:ind w:left="74"/>
              <w:jc w:val="both"/>
              <w:rPr>
                <w:sz w:val="26"/>
                <w:szCs w:val="26"/>
              </w:rPr>
            </w:pPr>
            <w:r w:rsidRPr="008709BF">
              <w:rPr>
                <w:iCs/>
                <w:sz w:val="26"/>
                <w:szCs w:val="26"/>
              </w:rPr>
              <w:t>1)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B77DCF" w:rsidRPr="00B77DCF">
              <w:rPr>
                <w:i/>
                <w:iCs/>
                <w:sz w:val="26"/>
                <w:szCs w:val="26"/>
              </w:rPr>
              <w:t xml:space="preserve">Euro </w:t>
            </w:r>
            <w:r w:rsidR="00B77DCF" w:rsidRPr="00B77DCF">
              <w:rPr>
                <w:sz w:val="26"/>
                <w:szCs w:val="26"/>
              </w:rPr>
              <w:t>ieviešana</w:t>
            </w:r>
            <w:r>
              <w:rPr>
                <w:sz w:val="26"/>
                <w:szCs w:val="26"/>
              </w:rPr>
              <w:t>s kārtības likuma 30.panta pirmo daļu;</w:t>
            </w:r>
          </w:p>
          <w:p w:rsidR="008709BF" w:rsidRDefault="003B0CCF" w:rsidP="003B0CCF">
            <w:pPr>
              <w:pStyle w:val="Default"/>
              <w:tabs>
                <w:tab w:val="left" w:pos="425"/>
              </w:tabs>
              <w:ind w:left="74"/>
              <w:jc w:val="both"/>
              <w:rPr>
                <w:color w:val="auto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2) </w:t>
            </w:r>
            <w:r w:rsidR="00B77DCF" w:rsidRPr="00B77DCF">
              <w:rPr>
                <w:sz w:val="26"/>
                <w:szCs w:val="26"/>
              </w:rPr>
              <w:t>Ministru kabineta 2012.gada 27.jūnija rīkojuma Nr.282 „Par „Koncepciju par normatīvo aktu sakārtošanu saistībā ar eiro ieviešanu Latvijā””</w:t>
            </w:r>
            <w:r w:rsidR="008709BF">
              <w:rPr>
                <w:sz w:val="26"/>
                <w:szCs w:val="26"/>
              </w:rPr>
              <w:t xml:space="preserve"> 7.1</w:t>
            </w:r>
            <w:r w:rsidR="00B77DCF" w:rsidRPr="00A02880">
              <w:rPr>
                <w:color w:val="FF0000"/>
                <w:sz w:val="26"/>
                <w:szCs w:val="26"/>
              </w:rPr>
              <w:t xml:space="preserve"> </w:t>
            </w:r>
            <w:r w:rsidR="008709BF" w:rsidRPr="008709BF">
              <w:rPr>
                <w:color w:val="auto"/>
                <w:sz w:val="26"/>
                <w:szCs w:val="26"/>
              </w:rPr>
              <w:t>apakš</w:t>
            </w:r>
            <w:r w:rsidR="00B77DCF" w:rsidRPr="00A02880">
              <w:rPr>
                <w:color w:val="auto"/>
                <w:sz w:val="26"/>
                <w:szCs w:val="26"/>
              </w:rPr>
              <w:t>punkt</w:t>
            </w:r>
            <w:r w:rsidR="008709BF">
              <w:rPr>
                <w:color w:val="auto"/>
                <w:sz w:val="26"/>
                <w:szCs w:val="26"/>
              </w:rPr>
              <w:t>u;</w:t>
            </w:r>
          </w:p>
          <w:p w:rsidR="00B77DCF" w:rsidRDefault="008709BF" w:rsidP="008709BF">
            <w:pPr>
              <w:pStyle w:val="Default"/>
              <w:ind w:left="74"/>
              <w:jc w:val="both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3)</w:t>
            </w:r>
            <w:r>
              <w:rPr>
                <w:sz w:val="26"/>
                <w:szCs w:val="26"/>
              </w:rPr>
              <w:t xml:space="preserve"> </w:t>
            </w:r>
            <w:r w:rsidR="00B77DCF" w:rsidRPr="00B77DCF">
              <w:rPr>
                <w:sz w:val="26"/>
                <w:szCs w:val="26"/>
              </w:rPr>
              <w:t xml:space="preserve">Latvijas Nacionālā </w:t>
            </w:r>
            <w:r w:rsidR="00B77DCF" w:rsidRPr="00B77DCF">
              <w:rPr>
                <w:i/>
                <w:iCs/>
                <w:sz w:val="26"/>
                <w:szCs w:val="26"/>
              </w:rPr>
              <w:t xml:space="preserve">euro </w:t>
            </w:r>
            <w:r w:rsidR="00B77DCF" w:rsidRPr="00B77DCF">
              <w:rPr>
                <w:sz w:val="26"/>
                <w:szCs w:val="26"/>
              </w:rPr>
              <w:t xml:space="preserve">ieviešanas plāna (apstiprināts ar Ministru kabineta 2013.gada 4.aprīļa rīkojumu Nr.136) 1. </w:t>
            </w:r>
            <w:r>
              <w:rPr>
                <w:sz w:val="26"/>
                <w:szCs w:val="26"/>
              </w:rPr>
              <w:t>p</w:t>
            </w:r>
            <w:r w:rsidR="00B77DCF" w:rsidRPr="00B77DCF">
              <w:rPr>
                <w:sz w:val="26"/>
                <w:szCs w:val="26"/>
              </w:rPr>
              <w:t>ielikuma</w:t>
            </w:r>
            <w:r>
              <w:rPr>
                <w:sz w:val="26"/>
                <w:szCs w:val="26"/>
              </w:rPr>
              <w:t xml:space="preserve"> J2.2.2. apakšpunktu;</w:t>
            </w:r>
          </w:p>
          <w:p w:rsidR="00A75A2B" w:rsidRPr="008709BF" w:rsidRDefault="003B0CCF" w:rsidP="003B0CCF">
            <w:pPr>
              <w:pStyle w:val="Default"/>
              <w:tabs>
                <w:tab w:val="left" w:pos="425"/>
              </w:tabs>
              <w:ind w:left="74"/>
              <w:jc w:val="both"/>
            </w:pPr>
            <w:r>
              <w:rPr>
                <w:sz w:val="26"/>
                <w:szCs w:val="26"/>
              </w:rPr>
              <w:t xml:space="preserve">4) </w:t>
            </w:r>
            <w:r w:rsidR="008709BF" w:rsidRPr="00B77DCF">
              <w:rPr>
                <w:sz w:val="26"/>
                <w:szCs w:val="26"/>
              </w:rPr>
              <w:t>Ministru kabineta 201</w:t>
            </w:r>
            <w:r w:rsidR="008709BF">
              <w:rPr>
                <w:sz w:val="26"/>
                <w:szCs w:val="26"/>
              </w:rPr>
              <w:t>3</w:t>
            </w:r>
            <w:r w:rsidR="008709BF" w:rsidRPr="00B77DCF">
              <w:rPr>
                <w:sz w:val="26"/>
                <w:szCs w:val="26"/>
              </w:rPr>
              <w:t>.gada 2</w:t>
            </w:r>
            <w:r w:rsidR="008709BF">
              <w:rPr>
                <w:sz w:val="26"/>
                <w:szCs w:val="26"/>
              </w:rPr>
              <w:t>9</w:t>
            </w:r>
            <w:r w:rsidR="008709BF" w:rsidRPr="00B77DCF">
              <w:rPr>
                <w:sz w:val="26"/>
                <w:szCs w:val="26"/>
              </w:rPr>
              <w:t>.</w:t>
            </w:r>
            <w:r w:rsidR="008709BF">
              <w:rPr>
                <w:sz w:val="26"/>
                <w:szCs w:val="26"/>
              </w:rPr>
              <w:t>maija</w:t>
            </w:r>
            <w:r w:rsidR="008709BF" w:rsidRPr="00B77DCF">
              <w:rPr>
                <w:sz w:val="26"/>
                <w:szCs w:val="26"/>
              </w:rPr>
              <w:t xml:space="preserve"> rīkojuma Nr.</w:t>
            </w:r>
            <w:r w:rsidR="008709BF">
              <w:rPr>
                <w:sz w:val="26"/>
                <w:szCs w:val="26"/>
              </w:rPr>
              <w:t xml:space="preserve">212 „Par tiesību aktu grozījumu virzību saistībā ar </w:t>
            </w:r>
            <w:r w:rsidR="008709BF" w:rsidRPr="008709BF">
              <w:rPr>
                <w:i/>
                <w:sz w:val="26"/>
                <w:szCs w:val="26"/>
              </w:rPr>
              <w:t>euro</w:t>
            </w:r>
            <w:r w:rsidR="008709BF">
              <w:rPr>
                <w:sz w:val="26"/>
                <w:szCs w:val="26"/>
              </w:rPr>
              <w:t xml:space="preserve"> ieviešanu Latvijā” 1.1. un 1.5. apakšpunktu.</w:t>
            </w:r>
          </w:p>
        </w:tc>
      </w:tr>
      <w:tr w:rsidR="004B0768" w:rsidRPr="00A57CF7" w:rsidTr="008709BF">
        <w:trPr>
          <w:trHeight w:val="2248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2.</w:t>
            </w:r>
          </w:p>
        </w:tc>
        <w:tc>
          <w:tcPr>
            <w:tcW w:w="2483" w:type="dxa"/>
          </w:tcPr>
          <w:p w:rsidR="004B0768" w:rsidRPr="00A57CF7" w:rsidRDefault="004B0768" w:rsidP="000A4A7D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6095" w:type="dxa"/>
          </w:tcPr>
          <w:p w:rsidR="004C6F79" w:rsidRPr="00A57CF7" w:rsidRDefault="000835D7" w:rsidP="001C7BAC">
            <w:pPr>
              <w:pStyle w:val="Default"/>
              <w:jc w:val="both"/>
              <w:rPr>
                <w:sz w:val="26"/>
                <w:szCs w:val="26"/>
              </w:rPr>
            </w:pPr>
            <w:r w:rsidRPr="008709BF">
              <w:rPr>
                <w:bCs/>
                <w:sz w:val="26"/>
                <w:szCs w:val="26"/>
              </w:rPr>
              <w:t>Ministru kabineta 2001.gada 23.augusta noteikumos Nr.381 „Noteikumi par vispārējās pirmsskolas izglītības un speciālās pirmsskolas izglītības programmu īstenošanas izmaksu minimumu uz vienu izglītojamo”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709BF">
              <w:rPr>
                <w:bCs/>
                <w:sz w:val="26"/>
                <w:szCs w:val="26"/>
              </w:rPr>
              <w:t>vispārējās pirmsskolas izglītības programmu īstenošanas izmaks</w:t>
            </w:r>
            <w:r w:rsidR="00B2270D">
              <w:rPr>
                <w:bCs/>
                <w:sz w:val="26"/>
                <w:szCs w:val="26"/>
              </w:rPr>
              <w:t>as</w:t>
            </w:r>
            <w:r w:rsidRPr="008709BF">
              <w:rPr>
                <w:bCs/>
                <w:sz w:val="26"/>
                <w:szCs w:val="26"/>
              </w:rPr>
              <w:t xml:space="preserve"> minimum</w:t>
            </w:r>
            <w:r>
              <w:rPr>
                <w:bCs/>
                <w:sz w:val="26"/>
                <w:szCs w:val="26"/>
              </w:rPr>
              <w:t>s</w:t>
            </w:r>
            <w:r w:rsidRPr="008709BF">
              <w:rPr>
                <w:bCs/>
                <w:sz w:val="26"/>
                <w:szCs w:val="26"/>
              </w:rPr>
              <w:t xml:space="preserve"> </w:t>
            </w:r>
            <w:r w:rsidR="00B2270D">
              <w:rPr>
                <w:bCs/>
                <w:sz w:val="26"/>
                <w:szCs w:val="26"/>
              </w:rPr>
              <w:t xml:space="preserve">pedagogu darba samaksai un valsts sociālās apdrošināšanas obligātajām iemaksām gadā </w:t>
            </w:r>
            <w:r w:rsidRPr="008709BF">
              <w:rPr>
                <w:bCs/>
                <w:sz w:val="26"/>
                <w:szCs w:val="26"/>
              </w:rPr>
              <w:t>uz vienu izglītojamo</w:t>
            </w:r>
            <w:r>
              <w:rPr>
                <w:bCs/>
                <w:sz w:val="26"/>
                <w:szCs w:val="26"/>
              </w:rPr>
              <w:t xml:space="preserve"> norādīts latos. Ievērojot minēto un to, ka ar </w:t>
            </w:r>
            <w:r w:rsidR="00B77DCF" w:rsidRPr="00B77DCF">
              <w:rPr>
                <w:sz w:val="26"/>
                <w:szCs w:val="26"/>
              </w:rPr>
              <w:t xml:space="preserve">2014.gada 1.janvāri Latvijā plānots ieviest </w:t>
            </w:r>
            <w:r w:rsidR="00B77DCF" w:rsidRPr="00B77DCF">
              <w:rPr>
                <w:i/>
                <w:iCs/>
                <w:sz w:val="26"/>
                <w:szCs w:val="26"/>
              </w:rPr>
              <w:t>euro</w:t>
            </w:r>
            <w:r w:rsidR="00B77DCF" w:rsidRPr="00B77DCF">
              <w:rPr>
                <w:sz w:val="26"/>
                <w:szCs w:val="26"/>
              </w:rPr>
              <w:t xml:space="preserve">, nepieciešams </w:t>
            </w:r>
            <w:r>
              <w:rPr>
                <w:sz w:val="26"/>
                <w:szCs w:val="26"/>
              </w:rPr>
              <w:t>izdarīt</w:t>
            </w:r>
            <w:r w:rsidR="00B77DCF" w:rsidRPr="00B77DCF">
              <w:rPr>
                <w:sz w:val="26"/>
                <w:szCs w:val="26"/>
              </w:rPr>
              <w:t xml:space="preserve"> grozījumu </w:t>
            </w:r>
            <w:r>
              <w:rPr>
                <w:sz w:val="26"/>
                <w:szCs w:val="26"/>
              </w:rPr>
              <w:t xml:space="preserve">minētajos </w:t>
            </w:r>
            <w:r>
              <w:rPr>
                <w:bCs/>
                <w:sz w:val="26"/>
                <w:szCs w:val="26"/>
              </w:rPr>
              <w:t xml:space="preserve">Ministru kabineta </w:t>
            </w:r>
            <w:r w:rsidR="00081479" w:rsidRPr="00081479">
              <w:rPr>
                <w:bCs/>
                <w:sz w:val="26"/>
                <w:szCs w:val="26"/>
              </w:rPr>
              <w:t>noteikumos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4B0768" w:rsidRPr="00A57CF7" w:rsidTr="008709BF">
        <w:trPr>
          <w:trHeight w:val="1071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3.</w:t>
            </w:r>
          </w:p>
        </w:tc>
        <w:tc>
          <w:tcPr>
            <w:tcW w:w="248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6095" w:type="dxa"/>
          </w:tcPr>
          <w:p w:rsidR="004B0768" w:rsidRPr="00A57CF7" w:rsidRDefault="000835D7" w:rsidP="008D4076">
            <w:pPr>
              <w:pStyle w:val="Footnot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Projekts šo jomu neskar.</w:t>
            </w:r>
          </w:p>
        </w:tc>
      </w:tr>
      <w:tr w:rsidR="004B0768" w:rsidRPr="00A57CF7" w:rsidTr="008709BF">
        <w:trPr>
          <w:trHeight w:val="978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248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6095" w:type="dxa"/>
          </w:tcPr>
          <w:p w:rsidR="000835D7" w:rsidRPr="000835D7" w:rsidRDefault="000835D7" w:rsidP="000835D7">
            <w:pPr>
              <w:jc w:val="both"/>
              <w:rPr>
                <w:bCs/>
                <w:sz w:val="26"/>
                <w:szCs w:val="26"/>
              </w:rPr>
            </w:pPr>
            <w:r w:rsidRPr="000835D7">
              <w:rPr>
                <w:sz w:val="26"/>
                <w:szCs w:val="26"/>
              </w:rPr>
              <w:t xml:space="preserve">Projekta mērķis ir </w:t>
            </w:r>
            <w:r w:rsidRPr="000835D7">
              <w:rPr>
                <w:bCs/>
                <w:sz w:val="26"/>
                <w:szCs w:val="26"/>
              </w:rPr>
              <w:t xml:space="preserve">Ministru kabineta 2001.gada 23.augusta noteikumus Nr.381 „Noteikumi par vispārējās pirmsskolas izglītības un speciālās pirmsskolas izglītības programmu īstenošanas izmaksu minimumu uz vienu izglītojamo” pielāgot </w:t>
            </w:r>
            <w:r w:rsidRPr="000835D7">
              <w:rPr>
                <w:bCs/>
                <w:i/>
                <w:sz w:val="26"/>
                <w:szCs w:val="26"/>
              </w:rPr>
              <w:t>euro</w:t>
            </w:r>
            <w:r w:rsidRPr="000835D7">
              <w:rPr>
                <w:bCs/>
                <w:sz w:val="26"/>
                <w:szCs w:val="26"/>
              </w:rPr>
              <w:t xml:space="preserve"> ieviešanai. Projekts nodrošina minētā mērķa sasniegšanu.</w:t>
            </w:r>
          </w:p>
          <w:p w:rsidR="000835D7" w:rsidRDefault="00B2270D" w:rsidP="00F21EBF">
            <w:pPr>
              <w:jc w:val="both"/>
            </w:pPr>
            <w:r>
              <w:rPr>
                <w:bCs/>
                <w:sz w:val="26"/>
                <w:szCs w:val="26"/>
              </w:rPr>
              <w:t>Projekts sagatavots atbilstoši</w:t>
            </w:r>
            <w:r w:rsidR="000835D7">
              <w:rPr>
                <w:bCs/>
                <w:sz w:val="26"/>
                <w:szCs w:val="26"/>
              </w:rPr>
              <w:t xml:space="preserve"> </w:t>
            </w:r>
            <w:r w:rsidR="000835D7" w:rsidRPr="00081479">
              <w:rPr>
                <w:i/>
                <w:iCs/>
                <w:sz w:val="26"/>
                <w:szCs w:val="26"/>
              </w:rPr>
              <w:t xml:space="preserve">Euro </w:t>
            </w:r>
            <w:r w:rsidR="000835D7" w:rsidRPr="00081479">
              <w:rPr>
                <w:sz w:val="26"/>
                <w:szCs w:val="26"/>
              </w:rPr>
              <w:t xml:space="preserve">ieviešanas kārtības </w:t>
            </w:r>
            <w:r w:rsidR="000835D7" w:rsidRPr="00081479">
              <w:rPr>
                <w:sz w:val="26"/>
                <w:szCs w:val="26"/>
              </w:rPr>
              <w:lastRenderedPageBreak/>
              <w:t xml:space="preserve">likuma </w:t>
            </w:r>
            <w:r>
              <w:rPr>
                <w:sz w:val="26"/>
                <w:szCs w:val="26"/>
              </w:rPr>
              <w:t>6</w:t>
            </w:r>
            <w:r w:rsidR="000835D7">
              <w:rPr>
                <w:sz w:val="26"/>
                <w:szCs w:val="26"/>
              </w:rPr>
              <w:t>.panta</w:t>
            </w:r>
            <w:r w:rsidR="000835D7" w:rsidRPr="000814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otrajai daļai</w:t>
            </w:r>
            <w:r w:rsidR="000835D7" w:rsidRPr="00081479">
              <w:rPr>
                <w:sz w:val="26"/>
                <w:szCs w:val="26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085"/>
            </w:tblGrid>
            <w:tr w:rsidR="00081479" w:rsidTr="00ED1B5D">
              <w:trPr>
                <w:trHeight w:val="1327"/>
              </w:trPr>
              <w:tc>
                <w:tcPr>
                  <w:tcW w:w="0" w:type="auto"/>
                </w:tcPr>
                <w:p w:rsidR="00081479" w:rsidRPr="006A59F1" w:rsidRDefault="00F21EBF" w:rsidP="003B0CCF">
                  <w:pPr>
                    <w:framePr w:hSpace="180" w:wrap="around" w:vAnchor="text" w:hAnchor="margin" w:xAlign="center" w:y="149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i/>
                      <w:i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6A59F1">
                    <w:rPr>
                      <w:sz w:val="26"/>
                      <w:szCs w:val="26"/>
                    </w:rPr>
                    <w:t xml:space="preserve">Aprēķins (pielikums) veikts, izmantojot </w:t>
                  </w:r>
                  <w:r w:rsidR="006A59F1" w:rsidRPr="006A59F1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neatsaucami fiksētu </w:t>
                  </w:r>
                  <w:r w:rsidR="006A59F1" w:rsidRPr="006A59F1">
                    <w:rPr>
                      <w:rFonts w:eastAsiaTheme="minorHAnsi"/>
                      <w:i/>
                      <w:iCs/>
                      <w:color w:val="000000"/>
                      <w:sz w:val="26"/>
                      <w:szCs w:val="26"/>
                      <w:lang w:eastAsia="en-US"/>
                    </w:rPr>
                    <w:t>euro</w:t>
                  </w:r>
                  <w:r w:rsidR="006A59F1" w:rsidRPr="006A59F1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 maiņas kursu, ko saskaņā ar Līguma par Eiropas Savienības darbību 140.panta 3.punktu Eiropas Savienības Padome noteikusi latu apmaiņai pret </w:t>
                  </w:r>
                  <w:r w:rsidR="006A59F1" w:rsidRPr="006A59F1">
                    <w:rPr>
                      <w:rFonts w:eastAsiaTheme="minorHAnsi"/>
                      <w:i/>
                      <w:iCs/>
                      <w:color w:val="000000"/>
                      <w:sz w:val="26"/>
                      <w:szCs w:val="26"/>
                      <w:lang w:eastAsia="en-US"/>
                    </w:rPr>
                    <w:t>euro</w:t>
                  </w:r>
                  <w:r w:rsidR="006A59F1">
                    <w:rPr>
                      <w:rFonts w:eastAsiaTheme="minorHAnsi"/>
                      <w:i/>
                      <w:i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FC28CA">
                    <w:rPr>
                      <w:sz w:val="26"/>
                      <w:szCs w:val="26"/>
                    </w:rPr>
                    <w:t>EUR 1 = LVL 0,702804. V</w:t>
                  </w:r>
                  <w:r w:rsidR="00FC28CA" w:rsidRPr="008709BF">
                    <w:rPr>
                      <w:bCs/>
                      <w:sz w:val="26"/>
                      <w:szCs w:val="26"/>
                    </w:rPr>
                    <w:t>ispārējās pirmsskolas izglītības programmu īstenošanas izmaks</w:t>
                  </w:r>
                  <w:r w:rsidR="00FC28CA">
                    <w:rPr>
                      <w:bCs/>
                      <w:sz w:val="26"/>
                      <w:szCs w:val="26"/>
                    </w:rPr>
                    <w:t>as</w:t>
                  </w:r>
                  <w:r w:rsidR="00FC28CA" w:rsidRPr="008709BF">
                    <w:rPr>
                      <w:bCs/>
                      <w:sz w:val="26"/>
                      <w:szCs w:val="26"/>
                    </w:rPr>
                    <w:t xml:space="preserve"> minimum</w:t>
                  </w:r>
                  <w:r w:rsidR="00FC28CA">
                    <w:rPr>
                      <w:bCs/>
                      <w:sz w:val="26"/>
                      <w:szCs w:val="26"/>
                    </w:rPr>
                    <w:t>s</w:t>
                  </w:r>
                  <w:r w:rsidR="00FC28CA" w:rsidRPr="008709BF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="00FC28CA">
                    <w:rPr>
                      <w:bCs/>
                      <w:sz w:val="26"/>
                      <w:szCs w:val="26"/>
                    </w:rPr>
                    <w:t xml:space="preserve">pedagogu darba samaksai un valsts sociālās apdrošināšanas obligātajām iemaksām gadā </w:t>
                  </w:r>
                  <w:r w:rsidR="00FC28CA" w:rsidRPr="008709BF">
                    <w:rPr>
                      <w:bCs/>
                      <w:sz w:val="26"/>
                      <w:szCs w:val="26"/>
                    </w:rPr>
                    <w:t>uz vienu izglītojamo</w:t>
                  </w:r>
                  <w:r w:rsidR="00FC28CA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="004F2641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="004F2641">
                    <w:rPr>
                      <w:sz w:val="26"/>
                      <w:szCs w:val="26"/>
                    </w:rPr>
                    <w:t>paredzēts</w:t>
                  </w:r>
                  <w:r>
                    <w:rPr>
                      <w:sz w:val="26"/>
                      <w:szCs w:val="26"/>
                    </w:rPr>
                    <w:t xml:space="preserve"> LVL </w:t>
                  </w:r>
                  <w:r w:rsidR="004F2641">
                    <w:rPr>
                      <w:sz w:val="26"/>
                      <w:szCs w:val="26"/>
                    </w:rPr>
                    <w:t>340</w:t>
                  </w:r>
                  <w:r>
                    <w:rPr>
                      <w:sz w:val="26"/>
                      <w:szCs w:val="26"/>
                    </w:rPr>
                    <w:t xml:space="preserve"> = </w:t>
                  </w:r>
                  <w:r w:rsidR="004F2641">
                    <w:rPr>
                      <w:sz w:val="26"/>
                      <w:szCs w:val="26"/>
                    </w:rPr>
                    <w:t>340</w:t>
                  </w:r>
                  <w:r>
                    <w:rPr>
                      <w:sz w:val="26"/>
                      <w:szCs w:val="26"/>
                    </w:rPr>
                    <w:t>/</w:t>
                  </w:r>
                  <w:r w:rsidRPr="007515E2">
                    <w:rPr>
                      <w:sz w:val="26"/>
                      <w:szCs w:val="26"/>
                    </w:rPr>
                    <w:t>0,702804</w:t>
                  </w:r>
                  <w:r>
                    <w:rPr>
                      <w:sz w:val="26"/>
                      <w:szCs w:val="26"/>
                    </w:rPr>
                    <w:t xml:space="preserve">= EUR </w:t>
                  </w:r>
                  <w:r w:rsidR="004F2641">
                    <w:rPr>
                      <w:sz w:val="26"/>
                      <w:szCs w:val="26"/>
                    </w:rPr>
                    <w:t>483,776416</w:t>
                  </w:r>
                  <w:r>
                    <w:rPr>
                      <w:sz w:val="26"/>
                      <w:szCs w:val="26"/>
                    </w:rPr>
                    <w:t xml:space="preserve">= EUR </w:t>
                  </w:r>
                  <w:r w:rsidR="00FC28CA">
                    <w:rPr>
                      <w:sz w:val="26"/>
                      <w:szCs w:val="26"/>
                    </w:rPr>
                    <w:t>483,78</w:t>
                  </w:r>
                  <w:r>
                    <w:rPr>
                      <w:sz w:val="26"/>
                      <w:szCs w:val="26"/>
                    </w:rPr>
                    <w:t xml:space="preserve">. </w:t>
                  </w:r>
                  <w:r w:rsidRPr="007515E2">
                    <w:rPr>
                      <w:sz w:val="26"/>
                      <w:szCs w:val="26"/>
                    </w:rPr>
                    <w:t>Aprēķina rezultātā netiek radīta ietekme uz valsts budžetu.</w:t>
                  </w:r>
                </w:p>
              </w:tc>
            </w:tr>
          </w:tbl>
          <w:p w:rsidR="00577132" w:rsidRPr="00A57CF7" w:rsidRDefault="00577132" w:rsidP="004566EA">
            <w:pPr>
              <w:tabs>
                <w:tab w:val="left" w:pos="431"/>
              </w:tabs>
              <w:spacing w:after="120"/>
              <w:ind w:left="74" w:right="141"/>
              <w:jc w:val="both"/>
              <w:rPr>
                <w:sz w:val="26"/>
                <w:szCs w:val="26"/>
              </w:rPr>
            </w:pPr>
          </w:p>
        </w:tc>
      </w:tr>
      <w:tr w:rsidR="004B0768" w:rsidRPr="00A57CF7" w:rsidTr="008709BF">
        <w:trPr>
          <w:trHeight w:val="476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48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6095" w:type="dxa"/>
          </w:tcPr>
          <w:p w:rsidR="004B0768" w:rsidRPr="00A57CF7" w:rsidRDefault="00F21EBF" w:rsidP="00F21EBF">
            <w:pPr>
              <w:pStyle w:val="naisc"/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Izglītības un zinātnes ministrija</w:t>
            </w:r>
            <w:r>
              <w:rPr>
                <w:sz w:val="26"/>
                <w:szCs w:val="26"/>
              </w:rPr>
              <w:t>.</w:t>
            </w:r>
          </w:p>
        </w:tc>
      </w:tr>
      <w:tr w:rsidR="004B0768" w:rsidRPr="00A57CF7" w:rsidTr="008709BF">
        <w:trPr>
          <w:trHeight w:val="904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6.</w:t>
            </w:r>
          </w:p>
        </w:tc>
        <w:tc>
          <w:tcPr>
            <w:tcW w:w="248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A57CF7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6095" w:type="dxa"/>
          </w:tcPr>
          <w:p w:rsidR="004B0768" w:rsidRPr="00795695" w:rsidRDefault="00111138" w:rsidP="0084563D">
            <w:pPr>
              <w:pStyle w:val="Default"/>
              <w:jc w:val="both"/>
            </w:pPr>
            <w:r w:rsidRPr="00111138">
              <w:rPr>
                <w:sz w:val="26"/>
                <w:szCs w:val="26"/>
              </w:rPr>
              <w:t>Sabiedrības līdzdalība projekta izstrādē netika nodrošināta, jo projekts nemaina pastāvošo tiesisko regulējumu pēc būtības</w:t>
            </w:r>
            <w:r w:rsidR="0084563D">
              <w:rPr>
                <w:sz w:val="26"/>
                <w:szCs w:val="26"/>
              </w:rPr>
              <w:t>.</w:t>
            </w:r>
          </w:p>
        </w:tc>
      </w:tr>
      <w:tr w:rsidR="004B0768" w:rsidRPr="00A57CF7" w:rsidTr="008709BF">
        <w:trPr>
          <w:trHeight w:val="980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7.</w:t>
            </w:r>
          </w:p>
        </w:tc>
        <w:tc>
          <w:tcPr>
            <w:tcW w:w="248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6095" w:type="dxa"/>
          </w:tcPr>
          <w:p w:rsidR="004B0768" w:rsidRPr="00795695" w:rsidRDefault="00F21EBF" w:rsidP="00F21EBF">
            <w:pPr>
              <w:pStyle w:val="Default"/>
              <w:jc w:val="both"/>
            </w:pPr>
            <w:r>
              <w:rPr>
                <w:sz w:val="26"/>
                <w:szCs w:val="26"/>
              </w:rPr>
              <w:t>P</w:t>
            </w:r>
            <w:r w:rsidR="008D4076" w:rsidRPr="008D4076">
              <w:rPr>
                <w:sz w:val="26"/>
                <w:szCs w:val="26"/>
              </w:rPr>
              <w:t xml:space="preserve">rojektam jābūt </w:t>
            </w:r>
            <w:r>
              <w:rPr>
                <w:sz w:val="26"/>
                <w:szCs w:val="26"/>
              </w:rPr>
              <w:t>pieņemtam</w:t>
            </w:r>
            <w:r w:rsidR="008D4076" w:rsidRPr="008D4076">
              <w:rPr>
                <w:sz w:val="26"/>
                <w:szCs w:val="26"/>
              </w:rPr>
              <w:t xml:space="preserve"> un publicētam oficiālajā izdevumā „Latvijas Vēstnesis” līdz </w:t>
            </w:r>
            <w:r w:rsidR="008D4076" w:rsidRPr="008D4076">
              <w:rPr>
                <w:i/>
                <w:iCs/>
                <w:sz w:val="26"/>
                <w:szCs w:val="26"/>
              </w:rPr>
              <w:t xml:space="preserve">euro </w:t>
            </w:r>
            <w:r w:rsidR="008D4076" w:rsidRPr="008D4076">
              <w:rPr>
                <w:sz w:val="26"/>
                <w:szCs w:val="26"/>
              </w:rPr>
              <w:t>ieviešanas dienai.</w:t>
            </w:r>
          </w:p>
        </w:tc>
      </w:tr>
    </w:tbl>
    <w:p w:rsidR="00795695" w:rsidRDefault="00795695" w:rsidP="004B0768">
      <w:pPr>
        <w:pStyle w:val="naisf"/>
        <w:spacing w:before="0" w:after="0"/>
        <w:ind w:firstLine="0"/>
        <w:rPr>
          <w:sz w:val="26"/>
          <w:szCs w:val="26"/>
        </w:rPr>
      </w:pPr>
    </w:p>
    <w:p w:rsidR="005D1E85" w:rsidRDefault="005A337D" w:rsidP="005D1E85">
      <w:pPr>
        <w:pStyle w:val="naisf"/>
        <w:spacing w:before="0" w:after="0"/>
        <w:ind w:firstLine="0"/>
        <w:rPr>
          <w:sz w:val="26"/>
          <w:szCs w:val="26"/>
        </w:rPr>
      </w:pPr>
      <w:r w:rsidRPr="00A57CF7">
        <w:rPr>
          <w:sz w:val="26"/>
          <w:szCs w:val="26"/>
        </w:rPr>
        <w:t>Anotācijas</w:t>
      </w:r>
      <w:r w:rsidR="00744CCE" w:rsidRPr="00A57CF7">
        <w:rPr>
          <w:sz w:val="26"/>
          <w:szCs w:val="26"/>
        </w:rPr>
        <w:t xml:space="preserve"> </w:t>
      </w:r>
      <w:r w:rsidR="00F21EBF">
        <w:rPr>
          <w:sz w:val="26"/>
          <w:szCs w:val="26"/>
        </w:rPr>
        <w:t xml:space="preserve">II, III, </w:t>
      </w:r>
      <w:r w:rsidR="009832D2" w:rsidRPr="00A57CF7">
        <w:rPr>
          <w:sz w:val="26"/>
          <w:szCs w:val="26"/>
        </w:rPr>
        <w:t>IV</w:t>
      </w:r>
      <w:r w:rsidR="005D1E85">
        <w:rPr>
          <w:sz w:val="26"/>
          <w:szCs w:val="26"/>
        </w:rPr>
        <w:t>, V,</w:t>
      </w:r>
      <w:r w:rsidR="009832D2" w:rsidRPr="00A57CF7">
        <w:rPr>
          <w:sz w:val="26"/>
          <w:szCs w:val="26"/>
        </w:rPr>
        <w:t xml:space="preserve"> </w:t>
      </w:r>
      <w:r w:rsidR="005D1E85" w:rsidRPr="00821A8C">
        <w:rPr>
          <w:sz w:val="26"/>
          <w:szCs w:val="26"/>
        </w:rPr>
        <w:t>VI</w:t>
      </w:r>
      <w:r w:rsidR="00F21EBF">
        <w:rPr>
          <w:sz w:val="26"/>
          <w:szCs w:val="26"/>
        </w:rPr>
        <w:t xml:space="preserve"> un </w:t>
      </w:r>
      <w:r w:rsidR="005D1E85">
        <w:rPr>
          <w:sz w:val="26"/>
          <w:szCs w:val="26"/>
        </w:rPr>
        <w:t>VII</w:t>
      </w:r>
      <w:r w:rsidR="005D1E85" w:rsidRPr="00821A8C">
        <w:rPr>
          <w:sz w:val="26"/>
          <w:szCs w:val="26"/>
        </w:rPr>
        <w:t xml:space="preserve"> sadaļa – projekts š</w:t>
      </w:r>
      <w:r w:rsidR="005D1E85">
        <w:rPr>
          <w:sz w:val="26"/>
          <w:szCs w:val="26"/>
        </w:rPr>
        <w:t>īs jomas</w:t>
      </w:r>
      <w:r w:rsidR="005D1E85" w:rsidRPr="00821A8C">
        <w:rPr>
          <w:sz w:val="26"/>
          <w:szCs w:val="26"/>
        </w:rPr>
        <w:t xml:space="preserve"> neskar.</w:t>
      </w:r>
    </w:p>
    <w:p w:rsidR="00821A8C" w:rsidRPr="00A57CF7" w:rsidRDefault="00821A8C" w:rsidP="005D1E85">
      <w:pPr>
        <w:pStyle w:val="naisf"/>
        <w:spacing w:before="0" w:after="0"/>
        <w:ind w:firstLine="0"/>
        <w:rPr>
          <w:sz w:val="26"/>
          <w:szCs w:val="26"/>
        </w:rPr>
      </w:pPr>
    </w:p>
    <w:p w:rsidR="004B0768" w:rsidRPr="00A57CF7" w:rsidRDefault="004B0768" w:rsidP="004B0768">
      <w:pPr>
        <w:rPr>
          <w:sz w:val="26"/>
          <w:szCs w:val="26"/>
        </w:rPr>
      </w:pPr>
    </w:p>
    <w:p w:rsidR="004B0768" w:rsidRPr="00A57CF7" w:rsidRDefault="00BC152F" w:rsidP="0099480A">
      <w:pPr>
        <w:pStyle w:val="Heading5"/>
        <w:ind w:left="-203" w:firstLine="770"/>
        <w:rPr>
          <w:sz w:val="26"/>
          <w:szCs w:val="26"/>
          <w:lang w:val="lv-LV"/>
        </w:rPr>
      </w:pPr>
      <w:r w:rsidRPr="00A57CF7">
        <w:rPr>
          <w:sz w:val="26"/>
          <w:szCs w:val="26"/>
          <w:lang w:val="lv-LV"/>
        </w:rPr>
        <w:t>Izglītības un zinātnes ministrs</w:t>
      </w:r>
      <w:r w:rsidR="004B0768" w:rsidRPr="00A57CF7">
        <w:rPr>
          <w:sz w:val="26"/>
          <w:szCs w:val="26"/>
          <w:lang w:val="lv-LV"/>
        </w:rPr>
        <w:t xml:space="preserve">                                     </w:t>
      </w:r>
      <w:r w:rsidR="004B0768" w:rsidRPr="00A57CF7">
        <w:rPr>
          <w:sz w:val="26"/>
          <w:szCs w:val="26"/>
          <w:lang w:val="lv-LV"/>
        </w:rPr>
        <w:tab/>
      </w:r>
      <w:r w:rsidR="004B0768" w:rsidRPr="00A57CF7">
        <w:rPr>
          <w:sz w:val="26"/>
          <w:szCs w:val="26"/>
          <w:lang w:val="lv-LV"/>
        </w:rPr>
        <w:tab/>
      </w:r>
      <w:r w:rsidR="00B622B9">
        <w:rPr>
          <w:sz w:val="26"/>
          <w:szCs w:val="26"/>
          <w:lang w:val="lv-LV"/>
        </w:rPr>
        <w:t>V.Dombrovskis</w:t>
      </w:r>
    </w:p>
    <w:p w:rsidR="004B0768" w:rsidRPr="00A57CF7" w:rsidRDefault="004B0768" w:rsidP="004B0768">
      <w:pPr>
        <w:rPr>
          <w:sz w:val="26"/>
          <w:szCs w:val="26"/>
        </w:rPr>
      </w:pPr>
    </w:p>
    <w:p w:rsidR="004B0768" w:rsidRPr="00A57CF7" w:rsidRDefault="004B0768" w:rsidP="004B0768">
      <w:pPr>
        <w:rPr>
          <w:sz w:val="26"/>
          <w:szCs w:val="26"/>
        </w:rPr>
      </w:pPr>
    </w:p>
    <w:p w:rsidR="00242113" w:rsidRPr="00A57CF7" w:rsidRDefault="008E7733" w:rsidP="00F91D09">
      <w:pPr>
        <w:pStyle w:val="NoSpacing"/>
        <w:ind w:left="567"/>
        <w:rPr>
          <w:sz w:val="26"/>
          <w:szCs w:val="26"/>
        </w:rPr>
      </w:pPr>
      <w:r w:rsidRPr="00A57CF7">
        <w:rPr>
          <w:sz w:val="26"/>
          <w:szCs w:val="26"/>
        </w:rPr>
        <w:t xml:space="preserve">Vizē: </w:t>
      </w:r>
      <w:r w:rsidRPr="00A57CF7">
        <w:rPr>
          <w:sz w:val="26"/>
          <w:szCs w:val="26"/>
        </w:rPr>
        <w:tab/>
      </w:r>
      <w:r w:rsidRPr="00A57CF7">
        <w:rPr>
          <w:sz w:val="26"/>
          <w:szCs w:val="26"/>
        </w:rPr>
        <w:tab/>
      </w:r>
    </w:p>
    <w:p w:rsidR="009832D2" w:rsidRPr="00C81C80" w:rsidRDefault="00C81C80" w:rsidP="00C81C80">
      <w:pPr>
        <w:pStyle w:val="NoSpacing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Valsts sekretāre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S.Liepiņa</w:t>
      </w:r>
    </w:p>
    <w:p w:rsidR="00E977D1" w:rsidRDefault="00E977D1" w:rsidP="00362DC3">
      <w:pPr>
        <w:rPr>
          <w:sz w:val="22"/>
          <w:szCs w:val="22"/>
        </w:rPr>
      </w:pPr>
    </w:p>
    <w:p w:rsidR="00E977D1" w:rsidRDefault="00E977D1" w:rsidP="00362DC3">
      <w:pPr>
        <w:rPr>
          <w:sz w:val="22"/>
          <w:szCs w:val="22"/>
        </w:rPr>
      </w:pPr>
    </w:p>
    <w:p w:rsidR="00E977D1" w:rsidRDefault="00E977D1" w:rsidP="00362DC3">
      <w:pPr>
        <w:rPr>
          <w:sz w:val="22"/>
          <w:szCs w:val="22"/>
        </w:rPr>
      </w:pPr>
    </w:p>
    <w:p w:rsidR="00764E3E" w:rsidRDefault="00764E3E" w:rsidP="00362DC3">
      <w:pPr>
        <w:rPr>
          <w:sz w:val="22"/>
          <w:szCs w:val="22"/>
        </w:rPr>
      </w:pPr>
    </w:p>
    <w:p w:rsidR="00192C49" w:rsidRDefault="00192C49" w:rsidP="00362DC3">
      <w:pPr>
        <w:rPr>
          <w:sz w:val="22"/>
          <w:szCs w:val="22"/>
        </w:rPr>
      </w:pPr>
    </w:p>
    <w:p w:rsidR="00764E3E" w:rsidRDefault="00764E3E" w:rsidP="00362DC3">
      <w:pPr>
        <w:rPr>
          <w:sz w:val="22"/>
          <w:szCs w:val="22"/>
        </w:rPr>
      </w:pPr>
    </w:p>
    <w:p w:rsidR="004B0768" w:rsidRPr="00362DC3" w:rsidRDefault="00192C49" w:rsidP="00362DC3">
      <w:pPr>
        <w:rPr>
          <w:sz w:val="28"/>
          <w:szCs w:val="28"/>
        </w:rPr>
      </w:pPr>
      <w:r>
        <w:rPr>
          <w:sz w:val="22"/>
          <w:szCs w:val="22"/>
        </w:rPr>
        <w:t>26</w:t>
      </w:r>
      <w:r w:rsidR="00B622B9">
        <w:rPr>
          <w:sz w:val="22"/>
          <w:szCs w:val="22"/>
        </w:rPr>
        <w:t>.0</w:t>
      </w:r>
      <w:r w:rsidR="007C7941">
        <w:rPr>
          <w:sz w:val="22"/>
          <w:szCs w:val="22"/>
        </w:rPr>
        <w:t>7</w:t>
      </w:r>
      <w:r w:rsidR="0099480A" w:rsidRPr="00A57CF7">
        <w:rPr>
          <w:sz w:val="22"/>
          <w:szCs w:val="22"/>
        </w:rPr>
        <w:t>.201</w:t>
      </w:r>
      <w:r w:rsidR="00C024FD" w:rsidRPr="00A57CF7">
        <w:rPr>
          <w:sz w:val="22"/>
          <w:szCs w:val="22"/>
        </w:rPr>
        <w:t>3</w:t>
      </w:r>
      <w:r w:rsidR="00403B08" w:rsidRPr="00A57CF7">
        <w:rPr>
          <w:sz w:val="22"/>
          <w:szCs w:val="22"/>
        </w:rPr>
        <w:t xml:space="preserve">. </w:t>
      </w:r>
      <w:r w:rsidR="00AD62E5" w:rsidRPr="00A57CF7">
        <w:rPr>
          <w:sz w:val="22"/>
          <w:szCs w:val="22"/>
        </w:rPr>
        <w:t>1</w:t>
      </w:r>
      <w:r w:rsidR="000275F8">
        <w:rPr>
          <w:sz w:val="22"/>
          <w:szCs w:val="22"/>
        </w:rPr>
        <w:t>5</w:t>
      </w:r>
      <w:r w:rsidR="004B0768" w:rsidRPr="00A57CF7">
        <w:rPr>
          <w:sz w:val="22"/>
          <w:szCs w:val="22"/>
        </w:rPr>
        <w:t>:</w:t>
      </w:r>
      <w:r w:rsidR="000275F8">
        <w:rPr>
          <w:sz w:val="22"/>
          <w:szCs w:val="22"/>
        </w:rPr>
        <w:t>34</w:t>
      </w:r>
    </w:p>
    <w:p w:rsidR="004B0768" w:rsidRPr="00A57CF7" w:rsidRDefault="00F21EBF" w:rsidP="004B076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92C49">
        <w:rPr>
          <w:sz w:val="22"/>
          <w:szCs w:val="22"/>
        </w:rPr>
        <w:t>10</w:t>
      </w:r>
    </w:p>
    <w:p w:rsidR="004B0768" w:rsidRPr="00A57CF7" w:rsidRDefault="00B622B9" w:rsidP="004B0768">
      <w:pPr>
        <w:rPr>
          <w:sz w:val="22"/>
          <w:szCs w:val="22"/>
        </w:rPr>
      </w:pPr>
      <w:r>
        <w:rPr>
          <w:sz w:val="22"/>
          <w:szCs w:val="22"/>
        </w:rPr>
        <w:t>G.Grosa</w:t>
      </w:r>
    </w:p>
    <w:p w:rsidR="0056076A" w:rsidRPr="00A57CF7" w:rsidRDefault="00B622B9">
      <w:r>
        <w:rPr>
          <w:sz w:val="22"/>
          <w:szCs w:val="22"/>
        </w:rPr>
        <w:t>67047854, gita.grosa</w:t>
      </w:r>
      <w:r w:rsidR="004B0768" w:rsidRPr="00A57CF7">
        <w:rPr>
          <w:sz w:val="22"/>
          <w:szCs w:val="22"/>
        </w:rPr>
        <w:t>@izm.gov.lv</w:t>
      </w:r>
    </w:p>
    <w:sectPr w:rsidR="0056076A" w:rsidRPr="00A57CF7" w:rsidSect="00E1528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70" w:rsidRDefault="00D76D70" w:rsidP="004B0768">
      <w:r>
        <w:separator/>
      </w:r>
    </w:p>
  </w:endnote>
  <w:endnote w:type="continuationSeparator" w:id="0">
    <w:p w:rsidR="00D76D70" w:rsidRDefault="00D76D70" w:rsidP="004B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9F" w:rsidRPr="00F21EBF" w:rsidRDefault="00F21EBF" w:rsidP="00F01B9F">
    <w:pPr>
      <w:jc w:val="both"/>
      <w:rPr>
        <w:sz w:val="22"/>
        <w:szCs w:val="22"/>
      </w:rPr>
    </w:pPr>
    <w:r w:rsidRPr="00F21EBF">
      <w:rPr>
        <w:sz w:val="22"/>
        <w:szCs w:val="22"/>
      </w:rPr>
      <w:t>IZMAnot_</w:t>
    </w:r>
    <w:r w:rsidR="007757EF">
      <w:rPr>
        <w:sz w:val="22"/>
        <w:szCs w:val="22"/>
      </w:rPr>
      <w:t>2607</w:t>
    </w:r>
    <w:r w:rsidRPr="00F21EBF">
      <w:rPr>
        <w:sz w:val="22"/>
        <w:szCs w:val="22"/>
      </w:rPr>
      <w:t>13_groz381</w:t>
    </w:r>
    <w:r w:rsidR="00F01B9F" w:rsidRPr="00F21EBF">
      <w:rPr>
        <w:sz w:val="22"/>
        <w:szCs w:val="22"/>
      </w:rPr>
      <w:t xml:space="preserve">; </w:t>
    </w:r>
    <w:r w:rsidR="00504C67">
      <w:rPr>
        <w:sz w:val="22"/>
        <w:szCs w:val="22"/>
      </w:rPr>
      <w:t xml:space="preserve">Grozījums </w:t>
    </w:r>
    <w:r w:rsidR="00F01B9F" w:rsidRPr="00F21EBF">
      <w:rPr>
        <w:bCs/>
        <w:sz w:val="22"/>
        <w:szCs w:val="22"/>
      </w:rPr>
      <w:t>Ministru kabineta 2001.gada 23.augusta noteikum</w:t>
    </w:r>
    <w:r w:rsidR="00504C67">
      <w:rPr>
        <w:bCs/>
        <w:sz w:val="22"/>
        <w:szCs w:val="22"/>
      </w:rPr>
      <w:t>os</w:t>
    </w:r>
    <w:r w:rsidR="00F01B9F" w:rsidRPr="00F21EBF">
      <w:rPr>
        <w:bCs/>
        <w:sz w:val="22"/>
        <w:szCs w:val="22"/>
      </w:rPr>
      <w:t xml:space="preserve"> Nr.381 „Noteikumi par vispārējās pirmsskolas izglītības un speciālās pirmsskolas izglītības programmu īstenošanas izmaksu minimumu uz vienu izglītojamo” </w:t>
    </w:r>
  </w:p>
  <w:p w:rsidR="00585938" w:rsidRPr="00F01B9F" w:rsidRDefault="00585938" w:rsidP="00F01B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38" w:rsidRPr="00913388" w:rsidRDefault="00585938" w:rsidP="00846EAD">
    <w:pPr>
      <w:jc w:val="both"/>
    </w:pPr>
    <w:r>
      <w:t>IZMAnot_</w:t>
    </w:r>
    <w:r w:rsidR="00B23C58">
      <w:t>2607</w:t>
    </w:r>
    <w:r w:rsidR="00532906">
      <w:t>13_</w:t>
    </w:r>
    <w:r w:rsidR="00FC28CA">
      <w:t>groz381</w:t>
    </w:r>
    <w:r w:rsidRPr="00685380">
      <w:t xml:space="preserve">; </w:t>
    </w:r>
    <w:r w:rsidR="00CD383A">
      <w:t xml:space="preserve">Grozījums </w:t>
    </w:r>
    <w:r w:rsidR="007A77F5" w:rsidRPr="007A77F5">
      <w:rPr>
        <w:bCs/>
      </w:rPr>
      <w:t>Ministru kabineta</w:t>
    </w:r>
    <w:r w:rsidR="007A77F5">
      <w:rPr>
        <w:bCs/>
      </w:rPr>
      <w:t xml:space="preserve"> 2001.gada 23.augusta noteikum</w:t>
    </w:r>
    <w:r w:rsidR="00CD383A">
      <w:rPr>
        <w:bCs/>
      </w:rPr>
      <w:t>os</w:t>
    </w:r>
    <w:r w:rsidR="007A77F5" w:rsidRPr="007A77F5">
      <w:rPr>
        <w:bCs/>
      </w:rPr>
      <w:t xml:space="preserve"> Nr.381 „Noteikumi par vispārējās pirmsskolas izglītības un speciālās pirmsskolas izglītības programmu īstenošanas izmaksu minimumu uz vienu izglītojamo”</w:t>
    </w:r>
    <w:r w:rsidR="007A77F5">
      <w:rPr>
        <w:bCs/>
      </w:rPr>
      <w:t xml:space="preserve"> </w:t>
    </w:r>
  </w:p>
  <w:p w:rsidR="00585938" w:rsidRDefault="005859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70" w:rsidRDefault="00D76D70" w:rsidP="004B0768">
      <w:r>
        <w:separator/>
      </w:r>
    </w:p>
  </w:footnote>
  <w:footnote w:type="continuationSeparator" w:id="0">
    <w:p w:rsidR="00D76D70" w:rsidRDefault="00D76D70" w:rsidP="004B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361"/>
      <w:docPartObj>
        <w:docPartGallery w:val="Page Numbers (Top of Page)"/>
        <w:docPartUnique/>
      </w:docPartObj>
    </w:sdtPr>
    <w:sdtContent>
      <w:p w:rsidR="00585938" w:rsidRDefault="00F079F4">
        <w:pPr>
          <w:pStyle w:val="Header"/>
          <w:jc w:val="center"/>
        </w:pPr>
        <w:fldSimple w:instr=" PAGE   \* MERGEFORMAT ">
          <w:r w:rsidR="003B0CCF">
            <w:rPr>
              <w:noProof/>
            </w:rPr>
            <w:t>2</w:t>
          </w:r>
        </w:fldSimple>
      </w:p>
    </w:sdtContent>
  </w:sdt>
  <w:p w:rsidR="00585938" w:rsidRDefault="005859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4EB"/>
    <w:multiLevelType w:val="hybridMultilevel"/>
    <w:tmpl w:val="01FEA756"/>
    <w:lvl w:ilvl="0" w:tplc="76C8532A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5" w:hanging="360"/>
      </w:pPr>
    </w:lvl>
    <w:lvl w:ilvl="2" w:tplc="0426001B" w:tentative="1">
      <w:start w:val="1"/>
      <w:numFmt w:val="lowerRoman"/>
      <w:lvlText w:val="%3."/>
      <w:lvlJc w:val="right"/>
      <w:pPr>
        <w:ind w:left="1795" w:hanging="180"/>
      </w:pPr>
    </w:lvl>
    <w:lvl w:ilvl="3" w:tplc="0426000F" w:tentative="1">
      <w:start w:val="1"/>
      <w:numFmt w:val="decimal"/>
      <w:lvlText w:val="%4."/>
      <w:lvlJc w:val="left"/>
      <w:pPr>
        <w:ind w:left="2515" w:hanging="360"/>
      </w:pPr>
    </w:lvl>
    <w:lvl w:ilvl="4" w:tplc="04260019" w:tentative="1">
      <w:start w:val="1"/>
      <w:numFmt w:val="lowerLetter"/>
      <w:lvlText w:val="%5."/>
      <w:lvlJc w:val="left"/>
      <w:pPr>
        <w:ind w:left="3235" w:hanging="360"/>
      </w:pPr>
    </w:lvl>
    <w:lvl w:ilvl="5" w:tplc="0426001B" w:tentative="1">
      <w:start w:val="1"/>
      <w:numFmt w:val="lowerRoman"/>
      <w:lvlText w:val="%6."/>
      <w:lvlJc w:val="right"/>
      <w:pPr>
        <w:ind w:left="3955" w:hanging="180"/>
      </w:pPr>
    </w:lvl>
    <w:lvl w:ilvl="6" w:tplc="0426000F" w:tentative="1">
      <w:start w:val="1"/>
      <w:numFmt w:val="decimal"/>
      <w:lvlText w:val="%7."/>
      <w:lvlJc w:val="left"/>
      <w:pPr>
        <w:ind w:left="4675" w:hanging="360"/>
      </w:pPr>
    </w:lvl>
    <w:lvl w:ilvl="7" w:tplc="04260019" w:tentative="1">
      <w:start w:val="1"/>
      <w:numFmt w:val="lowerLetter"/>
      <w:lvlText w:val="%8."/>
      <w:lvlJc w:val="left"/>
      <w:pPr>
        <w:ind w:left="5395" w:hanging="360"/>
      </w:pPr>
    </w:lvl>
    <w:lvl w:ilvl="8" w:tplc="042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C32B0"/>
    <w:multiLevelType w:val="hybridMultilevel"/>
    <w:tmpl w:val="A7447C6C"/>
    <w:lvl w:ilvl="0" w:tplc="9A68F2F0">
      <w:start w:val="1"/>
      <w:numFmt w:val="decimal"/>
      <w:lvlText w:val="(%1)"/>
      <w:lvlJc w:val="left"/>
      <w:pPr>
        <w:ind w:left="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4" w:hanging="360"/>
      </w:pPr>
    </w:lvl>
    <w:lvl w:ilvl="2" w:tplc="0426001B" w:tentative="1">
      <w:start w:val="1"/>
      <w:numFmt w:val="lowerRoman"/>
      <w:lvlText w:val="%3."/>
      <w:lvlJc w:val="right"/>
      <w:pPr>
        <w:ind w:left="1874" w:hanging="180"/>
      </w:pPr>
    </w:lvl>
    <w:lvl w:ilvl="3" w:tplc="0426000F" w:tentative="1">
      <w:start w:val="1"/>
      <w:numFmt w:val="decimal"/>
      <w:lvlText w:val="%4."/>
      <w:lvlJc w:val="left"/>
      <w:pPr>
        <w:ind w:left="2594" w:hanging="360"/>
      </w:pPr>
    </w:lvl>
    <w:lvl w:ilvl="4" w:tplc="04260019" w:tentative="1">
      <w:start w:val="1"/>
      <w:numFmt w:val="lowerLetter"/>
      <w:lvlText w:val="%5."/>
      <w:lvlJc w:val="left"/>
      <w:pPr>
        <w:ind w:left="3314" w:hanging="360"/>
      </w:pPr>
    </w:lvl>
    <w:lvl w:ilvl="5" w:tplc="0426001B" w:tentative="1">
      <w:start w:val="1"/>
      <w:numFmt w:val="lowerRoman"/>
      <w:lvlText w:val="%6."/>
      <w:lvlJc w:val="right"/>
      <w:pPr>
        <w:ind w:left="4034" w:hanging="180"/>
      </w:pPr>
    </w:lvl>
    <w:lvl w:ilvl="6" w:tplc="0426000F" w:tentative="1">
      <w:start w:val="1"/>
      <w:numFmt w:val="decimal"/>
      <w:lvlText w:val="%7."/>
      <w:lvlJc w:val="left"/>
      <w:pPr>
        <w:ind w:left="4754" w:hanging="360"/>
      </w:pPr>
    </w:lvl>
    <w:lvl w:ilvl="7" w:tplc="04260019" w:tentative="1">
      <w:start w:val="1"/>
      <w:numFmt w:val="lowerLetter"/>
      <w:lvlText w:val="%8."/>
      <w:lvlJc w:val="left"/>
      <w:pPr>
        <w:ind w:left="5474" w:hanging="360"/>
      </w:pPr>
    </w:lvl>
    <w:lvl w:ilvl="8" w:tplc="0426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6AD40FD9"/>
    <w:multiLevelType w:val="hybridMultilevel"/>
    <w:tmpl w:val="8D5ED902"/>
    <w:lvl w:ilvl="0" w:tplc="C608DA20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768"/>
    <w:rsid w:val="00007F20"/>
    <w:rsid w:val="00023A83"/>
    <w:rsid w:val="000275F8"/>
    <w:rsid w:val="00027D4B"/>
    <w:rsid w:val="00032B91"/>
    <w:rsid w:val="00032F55"/>
    <w:rsid w:val="00036065"/>
    <w:rsid w:val="000617F1"/>
    <w:rsid w:val="0006208F"/>
    <w:rsid w:val="00067B3B"/>
    <w:rsid w:val="00081479"/>
    <w:rsid w:val="000833C5"/>
    <w:rsid w:val="000835D7"/>
    <w:rsid w:val="00091CF5"/>
    <w:rsid w:val="00096AC3"/>
    <w:rsid w:val="000A4A7D"/>
    <w:rsid w:val="000B310F"/>
    <w:rsid w:val="000D5456"/>
    <w:rsid w:val="000E10F5"/>
    <w:rsid w:val="000E50EC"/>
    <w:rsid w:val="000F2CC3"/>
    <w:rsid w:val="000F4E8F"/>
    <w:rsid w:val="000F5EED"/>
    <w:rsid w:val="00101667"/>
    <w:rsid w:val="0011012B"/>
    <w:rsid w:val="00111138"/>
    <w:rsid w:val="00111B28"/>
    <w:rsid w:val="0012125E"/>
    <w:rsid w:val="00131A5E"/>
    <w:rsid w:val="00146F14"/>
    <w:rsid w:val="00166AF1"/>
    <w:rsid w:val="001750F3"/>
    <w:rsid w:val="001838BC"/>
    <w:rsid w:val="00185198"/>
    <w:rsid w:val="00192C49"/>
    <w:rsid w:val="001A5366"/>
    <w:rsid w:val="001A5BDD"/>
    <w:rsid w:val="001C3270"/>
    <w:rsid w:val="001C3AF5"/>
    <w:rsid w:val="001C3FE8"/>
    <w:rsid w:val="001C54CA"/>
    <w:rsid w:val="001C7BAC"/>
    <w:rsid w:val="001E40A5"/>
    <w:rsid w:val="001E40BF"/>
    <w:rsid w:val="001E5380"/>
    <w:rsid w:val="001F0D3B"/>
    <w:rsid w:val="00211AC8"/>
    <w:rsid w:val="00215D48"/>
    <w:rsid w:val="00215ED6"/>
    <w:rsid w:val="00242113"/>
    <w:rsid w:val="00244876"/>
    <w:rsid w:val="0026542E"/>
    <w:rsid w:val="00281F94"/>
    <w:rsid w:val="00283E46"/>
    <w:rsid w:val="002B2090"/>
    <w:rsid w:val="002B559B"/>
    <w:rsid w:val="002C2F95"/>
    <w:rsid w:val="002C4F87"/>
    <w:rsid w:val="002D30D2"/>
    <w:rsid w:val="002D31DC"/>
    <w:rsid w:val="002D69BB"/>
    <w:rsid w:val="00301D23"/>
    <w:rsid w:val="003125C2"/>
    <w:rsid w:val="0032364C"/>
    <w:rsid w:val="00333447"/>
    <w:rsid w:val="00340895"/>
    <w:rsid w:val="003545D7"/>
    <w:rsid w:val="00362DC3"/>
    <w:rsid w:val="00364962"/>
    <w:rsid w:val="0036686E"/>
    <w:rsid w:val="00380474"/>
    <w:rsid w:val="00390878"/>
    <w:rsid w:val="003A3C4E"/>
    <w:rsid w:val="003B0CCF"/>
    <w:rsid w:val="003B36BB"/>
    <w:rsid w:val="003C70B4"/>
    <w:rsid w:val="003D2024"/>
    <w:rsid w:val="003F1BC2"/>
    <w:rsid w:val="003F60BB"/>
    <w:rsid w:val="00403B08"/>
    <w:rsid w:val="00421C90"/>
    <w:rsid w:val="00436EE4"/>
    <w:rsid w:val="0043750C"/>
    <w:rsid w:val="00440F5F"/>
    <w:rsid w:val="00450456"/>
    <w:rsid w:val="004566EA"/>
    <w:rsid w:val="00465902"/>
    <w:rsid w:val="0046766C"/>
    <w:rsid w:val="00471B45"/>
    <w:rsid w:val="00493E93"/>
    <w:rsid w:val="00494A48"/>
    <w:rsid w:val="004B0768"/>
    <w:rsid w:val="004C6F79"/>
    <w:rsid w:val="004D281A"/>
    <w:rsid w:val="004D2894"/>
    <w:rsid w:val="004D2B40"/>
    <w:rsid w:val="004D602E"/>
    <w:rsid w:val="004F2641"/>
    <w:rsid w:val="00504C67"/>
    <w:rsid w:val="0050541B"/>
    <w:rsid w:val="005171E0"/>
    <w:rsid w:val="00521474"/>
    <w:rsid w:val="00532906"/>
    <w:rsid w:val="00541559"/>
    <w:rsid w:val="00543A4A"/>
    <w:rsid w:val="0056076A"/>
    <w:rsid w:val="00567523"/>
    <w:rsid w:val="00577132"/>
    <w:rsid w:val="00585938"/>
    <w:rsid w:val="005952D7"/>
    <w:rsid w:val="005972B9"/>
    <w:rsid w:val="005A337D"/>
    <w:rsid w:val="005A7BD1"/>
    <w:rsid w:val="005B1D04"/>
    <w:rsid w:val="005B2DDF"/>
    <w:rsid w:val="005B5E62"/>
    <w:rsid w:val="005B764A"/>
    <w:rsid w:val="005D1E85"/>
    <w:rsid w:val="005D730A"/>
    <w:rsid w:val="005D7581"/>
    <w:rsid w:val="005E7F60"/>
    <w:rsid w:val="005F4740"/>
    <w:rsid w:val="00607E09"/>
    <w:rsid w:val="00615D84"/>
    <w:rsid w:val="00616C95"/>
    <w:rsid w:val="00623AB1"/>
    <w:rsid w:val="00626DCE"/>
    <w:rsid w:val="00630D4B"/>
    <w:rsid w:val="00633BA9"/>
    <w:rsid w:val="00674C7C"/>
    <w:rsid w:val="00677B55"/>
    <w:rsid w:val="006900F4"/>
    <w:rsid w:val="00693874"/>
    <w:rsid w:val="006A58C9"/>
    <w:rsid w:val="006A59F1"/>
    <w:rsid w:val="006E2B1F"/>
    <w:rsid w:val="006E52D9"/>
    <w:rsid w:val="006F0555"/>
    <w:rsid w:val="00704BA4"/>
    <w:rsid w:val="00711D91"/>
    <w:rsid w:val="00712BAF"/>
    <w:rsid w:val="007130EC"/>
    <w:rsid w:val="007175BD"/>
    <w:rsid w:val="00720F4A"/>
    <w:rsid w:val="0074418E"/>
    <w:rsid w:val="00744CCE"/>
    <w:rsid w:val="007474F0"/>
    <w:rsid w:val="00747B3A"/>
    <w:rsid w:val="00764E3E"/>
    <w:rsid w:val="0076623E"/>
    <w:rsid w:val="0077376A"/>
    <w:rsid w:val="007757EF"/>
    <w:rsid w:val="00784408"/>
    <w:rsid w:val="0079021A"/>
    <w:rsid w:val="00795695"/>
    <w:rsid w:val="007A77F5"/>
    <w:rsid w:val="007B7C39"/>
    <w:rsid w:val="007C19CC"/>
    <w:rsid w:val="007C6CF5"/>
    <w:rsid w:val="007C7941"/>
    <w:rsid w:val="007D14A8"/>
    <w:rsid w:val="007D1DF0"/>
    <w:rsid w:val="007F0409"/>
    <w:rsid w:val="007F4B15"/>
    <w:rsid w:val="00821A8C"/>
    <w:rsid w:val="0082300D"/>
    <w:rsid w:val="00824840"/>
    <w:rsid w:val="00843C0E"/>
    <w:rsid w:val="0084563D"/>
    <w:rsid w:val="00846EAD"/>
    <w:rsid w:val="008470C5"/>
    <w:rsid w:val="00852B35"/>
    <w:rsid w:val="00855491"/>
    <w:rsid w:val="0086619F"/>
    <w:rsid w:val="008709BF"/>
    <w:rsid w:val="00874DB2"/>
    <w:rsid w:val="008878E0"/>
    <w:rsid w:val="008A0222"/>
    <w:rsid w:val="008A7909"/>
    <w:rsid w:val="008A7D12"/>
    <w:rsid w:val="008C3451"/>
    <w:rsid w:val="008D02A1"/>
    <w:rsid w:val="008D2F64"/>
    <w:rsid w:val="008D4076"/>
    <w:rsid w:val="008E0487"/>
    <w:rsid w:val="008E15DB"/>
    <w:rsid w:val="008E4F92"/>
    <w:rsid w:val="008E6D69"/>
    <w:rsid w:val="008E7266"/>
    <w:rsid w:val="008E7733"/>
    <w:rsid w:val="008F00E4"/>
    <w:rsid w:val="009072D0"/>
    <w:rsid w:val="00907387"/>
    <w:rsid w:val="00913B89"/>
    <w:rsid w:val="00917A6D"/>
    <w:rsid w:val="009248A4"/>
    <w:rsid w:val="00942C12"/>
    <w:rsid w:val="009468DB"/>
    <w:rsid w:val="00947571"/>
    <w:rsid w:val="00955997"/>
    <w:rsid w:val="00964A47"/>
    <w:rsid w:val="009832D2"/>
    <w:rsid w:val="00986BA2"/>
    <w:rsid w:val="0099480A"/>
    <w:rsid w:val="0099557B"/>
    <w:rsid w:val="009A535C"/>
    <w:rsid w:val="009A60C3"/>
    <w:rsid w:val="009B25CC"/>
    <w:rsid w:val="009C36F8"/>
    <w:rsid w:val="009D0FF1"/>
    <w:rsid w:val="009D5565"/>
    <w:rsid w:val="009E2D97"/>
    <w:rsid w:val="009E357A"/>
    <w:rsid w:val="009E4D1B"/>
    <w:rsid w:val="009E7573"/>
    <w:rsid w:val="00A02880"/>
    <w:rsid w:val="00A10AC7"/>
    <w:rsid w:val="00A1181E"/>
    <w:rsid w:val="00A26128"/>
    <w:rsid w:val="00A410A6"/>
    <w:rsid w:val="00A57CF7"/>
    <w:rsid w:val="00A7012A"/>
    <w:rsid w:val="00A713E6"/>
    <w:rsid w:val="00A75A2B"/>
    <w:rsid w:val="00A8351A"/>
    <w:rsid w:val="00A83A52"/>
    <w:rsid w:val="00AA0293"/>
    <w:rsid w:val="00AA4C4A"/>
    <w:rsid w:val="00AB5139"/>
    <w:rsid w:val="00AC37A5"/>
    <w:rsid w:val="00AD62E5"/>
    <w:rsid w:val="00AD6BD8"/>
    <w:rsid w:val="00AE520C"/>
    <w:rsid w:val="00AE7E40"/>
    <w:rsid w:val="00B10584"/>
    <w:rsid w:val="00B11683"/>
    <w:rsid w:val="00B2270D"/>
    <w:rsid w:val="00B22834"/>
    <w:rsid w:val="00B2288A"/>
    <w:rsid w:val="00B23C58"/>
    <w:rsid w:val="00B3083B"/>
    <w:rsid w:val="00B40048"/>
    <w:rsid w:val="00B50204"/>
    <w:rsid w:val="00B622B9"/>
    <w:rsid w:val="00B65F0C"/>
    <w:rsid w:val="00B71BA3"/>
    <w:rsid w:val="00B77DCF"/>
    <w:rsid w:val="00B80EE9"/>
    <w:rsid w:val="00B91466"/>
    <w:rsid w:val="00BA2AD1"/>
    <w:rsid w:val="00BC152F"/>
    <w:rsid w:val="00BC3427"/>
    <w:rsid w:val="00BC4199"/>
    <w:rsid w:val="00BC6D60"/>
    <w:rsid w:val="00BC755B"/>
    <w:rsid w:val="00BD58E5"/>
    <w:rsid w:val="00BE09C7"/>
    <w:rsid w:val="00BF3A6D"/>
    <w:rsid w:val="00BF5652"/>
    <w:rsid w:val="00C024FD"/>
    <w:rsid w:val="00C02B11"/>
    <w:rsid w:val="00C10CC4"/>
    <w:rsid w:val="00C3228B"/>
    <w:rsid w:val="00C32B01"/>
    <w:rsid w:val="00C520E0"/>
    <w:rsid w:val="00C5574A"/>
    <w:rsid w:val="00C57E26"/>
    <w:rsid w:val="00C6030D"/>
    <w:rsid w:val="00C66FC0"/>
    <w:rsid w:val="00C81C80"/>
    <w:rsid w:val="00C84954"/>
    <w:rsid w:val="00C86281"/>
    <w:rsid w:val="00C91604"/>
    <w:rsid w:val="00CA4159"/>
    <w:rsid w:val="00CD097D"/>
    <w:rsid w:val="00CD383A"/>
    <w:rsid w:val="00CD5893"/>
    <w:rsid w:val="00CD6DA1"/>
    <w:rsid w:val="00CD76A7"/>
    <w:rsid w:val="00CE7B37"/>
    <w:rsid w:val="00D1114B"/>
    <w:rsid w:val="00D21AAC"/>
    <w:rsid w:val="00D310B5"/>
    <w:rsid w:val="00D4257C"/>
    <w:rsid w:val="00D460F4"/>
    <w:rsid w:val="00D53265"/>
    <w:rsid w:val="00D66115"/>
    <w:rsid w:val="00D76D70"/>
    <w:rsid w:val="00D77AEB"/>
    <w:rsid w:val="00D94104"/>
    <w:rsid w:val="00D96EE8"/>
    <w:rsid w:val="00DA1178"/>
    <w:rsid w:val="00DC3BBA"/>
    <w:rsid w:val="00DC6E0B"/>
    <w:rsid w:val="00DF0785"/>
    <w:rsid w:val="00DF4AF6"/>
    <w:rsid w:val="00DF5176"/>
    <w:rsid w:val="00DF6C44"/>
    <w:rsid w:val="00DF751E"/>
    <w:rsid w:val="00E126F8"/>
    <w:rsid w:val="00E15284"/>
    <w:rsid w:val="00E220D0"/>
    <w:rsid w:val="00E31A73"/>
    <w:rsid w:val="00E3374A"/>
    <w:rsid w:val="00E52144"/>
    <w:rsid w:val="00E54B3A"/>
    <w:rsid w:val="00E620A5"/>
    <w:rsid w:val="00E64EA7"/>
    <w:rsid w:val="00E8444D"/>
    <w:rsid w:val="00E872EA"/>
    <w:rsid w:val="00E908C7"/>
    <w:rsid w:val="00E9179D"/>
    <w:rsid w:val="00E96EC6"/>
    <w:rsid w:val="00E974E2"/>
    <w:rsid w:val="00E977D1"/>
    <w:rsid w:val="00EA2202"/>
    <w:rsid w:val="00EB7B7B"/>
    <w:rsid w:val="00ED0303"/>
    <w:rsid w:val="00ED1B5D"/>
    <w:rsid w:val="00ED392F"/>
    <w:rsid w:val="00EE124B"/>
    <w:rsid w:val="00EE42A0"/>
    <w:rsid w:val="00EE66F8"/>
    <w:rsid w:val="00EE7D8B"/>
    <w:rsid w:val="00EF12DC"/>
    <w:rsid w:val="00EF798B"/>
    <w:rsid w:val="00F01B9F"/>
    <w:rsid w:val="00F06BD4"/>
    <w:rsid w:val="00F079F4"/>
    <w:rsid w:val="00F10E8B"/>
    <w:rsid w:val="00F21EBF"/>
    <w:rsid w:val="00F2791D"/>
    <w:rsid w:val="00F27B17"/>
    <w:rsid w:val="00F31C85"/>
    <w:rsid w:val="00F5595A"/>
    <w:rsid w:val="00F66532"/>
    <w:rsid w:val="00F67160"/>
    <w:rsid w:val="00F73AA3"/>
    <w:rsid w:val="00F75EC0"/>
    <w:rsid w:val="00F76CB4"/>
    <w:rsid w:val="00F821D3"/>
    <w:rsid w:val="00F91D09"/>
    <w:rsid w:val="00FA1CDC"/>
    <w:rsid w:val="00FA5E1A"/>
    <w:rsid w:val="00FB6B05"/>
    <w:rsid w:val="00FC08E2"/>
    <w:rsid w:val="00FC28CA"/>
    <w:rsid w:val="00FC3524"/>
    <w:rsid w:val="00FE5807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4B0768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07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f">
    <w:name w:val="naisf"/>
    <w:basedOn w:val="Normal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4B0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076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B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isc">
    <w:name w:val="naisc"/>
    <w:basedOn w:val="Normal"/>
    <w:rsid w:val="004B0768"/>
    <w:pPr>
      <w:spacing w:before="75" w:after="75"/>
      <w:jc w:val="center"/>
    </w:pPr>
  </w:style>
  <w:style w:type="character" w:styleId="Strong">
    <w:name w:val="Strong"/>
    <w:basedOn w:val="DefaultParagraphFont"/>
    <w:uiPriority w:val="22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03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B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35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0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rsid w:val="005972B9"/>
  </w:style>
  <w:style w:type="paragraph" w:styleId="ListParagraph">
    <w:name w:val="List Paragraph"/>
    <w:basedOn w:val="Normal"/>
    <w:uiPriority w:val="34"/>
    <w:qFormat/>
    <w:rsid w:val="00E15284"/>
    <w:pPr>
      <w:ind w:left="720"/>
      <w:contextualSpacing/>
    </w:pPr>
  </w:style>
  <w:style w:type="paragraph" w:styleId="NormalWeb">
    <w:name w:val="Normal (Web)"/>
    <w:basedOn w:val="Normal"/>
    <w:rsid w:val="001E40A5"/>
    <w:pPr>
      <w:spacing w:before="100" w:beforeAutospacing="1" w:after="100" w:afterAutospacing="1"/>
    </w:pPr>
  </w:style>
  <w:style w:type="paragraph" w:customStyle="1" w:styleId="Default">
    <w:name w:val="Default"/>
    <w:rsid w:val="00B77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21A8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A8C"/>
    <w:rPr>
      <w:rFonts w:ascii="Times New Roman" w:eastAsia="Calibri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B6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3">
    <w:name w:val="tv2133"/>
    <w:basedOn w:val="Normal"/>
    <w:rsid w:val="008E15DB"/>
    <w:pPr>
      <w:spacing w:line="360" w:lineRule="auto"/>
      <w:ind w:firstLine="250"/>
    </w:pPr>
    <w:rPr>
      <w:color w:val="41414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77993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2218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2001.gada 23.augusta noteikumos Nr.381 „Noteikumi par vispārējās pirmsskolas izglītības un speciālās pirmsskolas izglītības programmu īstenošanas izmaksu minimumu uz vienu izglītojamo”</vt:lpstr>
    </vt:vector>
  </TitlesOfParts>
  <Company> 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2001.gada 23.augusta noteikumos Nr.381 „Noteikumi par vispārējās pirmsskolas izglītības un speciālās pirmsskolas izglītības programmu īstenošanas izmaksu minimumu uz vienu izglītojamo”</dc:title>
  <dc:subject>MK noteikumu projekta anotācija</dc:subject>
  <dc:creator>Gita Grosa</dc:creator>
  <cp:keywords/>
  <dc:description>gita.grosa@izm.gov.lv
67047854</dc:description>
  <cp:lastModifiedBy>ggrosa</cp:lastModifiedBy>
  <cp:revision>49</cp:revision>
  <cp:lastPrinted>2010-06-28T11:31:00Z</cp:lastPrinted>
  <dcterms:created xsi:type="dcterms:W3CDTF">2013-01-17T12:47:00Z</dcterms:created>
  <dcterms:modified xsi:type="dcterms:W3CDTF">2013-07-26T06:11:00Z</dcterms:modified>
</cp:coreProperties>
</file>