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AC" w:rsidRDefault="00C611AC" w:rsidP="00B352C3">
      <w:pPr>
        <w:pStyle w:val="Title"/>
        <w:outlineLvl w:val="0"/>
      </w:pPr>
      <w:bookmarkStart w:id="0" w:name="OLE_LINK1"/>
      <w:bookmarkStart w:id="1" w:name="OLE_LINK2"/>
    </w:p>
    <w:bookmarkEnd w:id="0"/>
    <w:bookmarkEnd w:id="1"/>
    <w:p w:rsidR="00B51B37" w:rsidRDefault="00B51B37" w:rsidP="00B51B37">
      <w:pPr>
        <w:spacing w:after="120" w:line="360" w:lineRule="auto"/>
        <w:jc w:val="center"/>
        <w:rPr>
          <w:b/>
        </w:rPr>
      </w:pPr>
      <w:r>
        <w:rPr>
          <w:b/>
        </w:rPr>
        <w:t xml:space="preserve">Tiesību akta </w:t>
      </w:r>
    </w:p>
    <w:p w:rsidR="00C611AC" w:rsidRPr="00B22DC8" w:rsidRDefault="00B352C3" w:rsidP="00B51B37">
      <w:pPr>
        <w:spacing w:after="120" w:line="360" w:lineRule="auto"/>
        <w:jc w:val="center"/>
        <w:rPr>
          <w:b/>
          <w:sz w:val="28"/>
          <w:szCs w:val="28"/>
        </w:rPr>
      </w:pPr>
      <w:r w:rsidRPr="00B22DC8">
        <w:rPr>
          <w:b/>
        </w:rPr>
        <w:t>„</w:t>
      </w:r>
      <w:r w:rsidR="00B22DC8" w:rsidRPr="00B22DC8">
        <w:rPr>
          <w:b/>
        </w:rPr>
        <w:t>L</w:t>
      </w:r>
      <w:r w:rsidR="00B22DC8" w:rsidRPr="00B22DC8">
        <w:rPr>
          <w:b/>
          <w:color w:val="000000"/>
        </w:rPr>
        <w:t>atvijas Republikas Izglītības un zinātnes ministrijas un Kazahstānas Republikas Izglītības un zinātnes ministrijas</w:t>
      </w:r>
      <w:r w:rsidR="00C611AC">
        <w:rPr>
          <w:b/>
          <w:color w:val="000000"/>
        </w:rPr>
        <w:t xml:space="preserve"> </w:t>
      </w:r>
      <w:r w:rsidR="00B22DC8" w:rsidRPr="00B22DC8">
        <w:rPr>
          <w:b/>
          <w:color w:val="000000"/>
        </w:rPr>
        <w:t>līgum</w:t>
      </w:r>
      <w:r w:rsidR="00DC38F1">
        <w:rPr>
          <w:b/>
          <w:color w:val="000000"/>
        </w:rPr>
        <w:t>s</w:t>
      </w:r>
      <w:r w:rsidR="00B22DC8" w:rsidRPr="00B22DC8">
        <w:rPr>
          <w:b/>
          <w:color w:val="000000"/>
        </w:rPr>
        <w:t xml:space="preserve"> par sadarbību izglītības, zinātnes un jaunatnes jomā</w:t>
      </w:r>
      <w:r w:rsidRPr="00B22DC8">
        <w:rPr>
          <w:b/>
        </w:rPr>
        <w:t>”</w:t>
      </w:r>
      <w:r w:rsidR="00C611AC">
        <w:rPr>
          <w:b/>
        </w:rPr>
        <w:t xml:space="preserve"> </w:t>
      </w:r>
      <w:r w:rsidR="00852042" w:rsidRPr="00B22DC8">
        <w:rPr>
          <w:b/>
        </w:rPr>
        <w:t>sākotnējā</w:t>
      </w:r>
      <w:r w:rsidR="002D3306" w:rsidRPr="00B22DC8">
        <w:rPr>
          <w:b/>
        </w:rPr>
        <w:t>s</w:t>
      </w:r>
      <w:r w:rsidR="00852042" w:rsidRPr="00B22DC8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B22DC8">
          <w:rPr>
            <w:b/>
          </w:rPr>
          <w:t>ziņojums</w:t>
        </w:r>
      </w:smartTag>
      <w:r w:rsidR="00852042" w:rsidRPr="00B22DC8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2"/>
        <w:gridCol w:w="3195"/>
        <w:gridCol w:w="5177"/>
      </w:tblGrid>
      <w:tr w:rsidR="00852042" w:rsidRPr="007C0F2C" w:rsidTr="00A5595B">
        <w:trPr>
          <w:trHeight w:val="121"/>
        </w:trPr>
        <w:tc>
          <w:tcPr>
            <w:tcW w:w="8794" w:type="dxa"/>
            <w:gridSpan w:val="3"/>
            <w:vAlign w:val="center"/>
          </w:tcPr>
          <w:p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:rsidTr="00A5595B">
        <w:trPr>
          <w:trHeight w:val="382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195" w:type="dxa"/>
          </w:tcPr>
          <w:p w:rsidR="00262E2B" w:rsidRPr="007C0F2C" w:rsidRDefault="002D7F54" w:rsidP="00BD06FC">
            <w:pPr>
              <w:pStyle w:val="naiskr"/>
              <w:spacing w:before="120" w:after="120"/>
              <w:ind w:hanging="1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5177" w:type="dxa"/>
          </w:tcPr>
          <w:p w:rsidR="007F3149" w:rsidRPr="00767169" w:rsidRDefault="00F95F85" w:rsidP="007F3149">
            <w:pPr>
              <w:widowControl w:val="0"/>
              <w:spacing w:before="120" w:after="120"/>
              <w:ind w:left="198" w:right="198"/>
              <w:jc w:val="both"/>
            </w:pPr>
            <w:r>
              <w:t>-</w:t>
            </w:r>
          </w:p>
        </w:tc>
      </w:tr>
      <w:tr w:rsidR="00262E2B" w:rsidRPr="007C0F2C" w:rsidTr="00720ABF">
        <w:trPr>
          <w:trHeight w:val="274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195" w:type="dxa"/>
          </w:tcPr>
          <w:p w:rsidR="00262E2B" w:rsidRPr="007C0F2C" w:rsidRDefault="00262E2B" w:rsidP="00BD06FC">
            <w:pPr>
              <w:pStyle w:val="naiskr"/>
              <w:tabs>
                <w:tab w:val="left" w:pos="170"/>
              </w:tabs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Pašreizējā situācija</w:t>
            </w:r>
            <w:r w:rsidR="001F5CD6" w:rsidRPr="007C0F2C">
              <w:rPr>
                <w:sz w:val="22"/>
                <w:szCs w:val="22"/>
              </w:rPr>
              <w:t xml:space="preserve"> un problēmas</w:t>
            </w:r>
          </w:p>
        </w:tc>
        <w:tc>
          <w:tcPr>
            <w:tcW w:w="5177" w:type="dxa"/>
          </w:tcPr>
          <w:p w:rsidR="00B22DC8" w:rsidRDefault="00B22DC8" w:rsidP="00F7379A">
            <w:pPr>
              <w:ind w:left="145" w:right="283"/>
              <w:jc w:val="both"/>
            </w:pPr>
            <w:r>
              <w:t>Līdz šim brīdim starp Latviju un Kazahstānu starptautiskie līgumi par sadarbību Izglītības un zinātnes ministrijas</w:t>
            </w:r>
            <w:r w:rsidR="00F7379A">
              <w:t xml:space="preserve"> (turpmāk – IZM)</w:t>
            </w:r>
            <w:r>
              <w:t xml:space="preserve"> </w:t>
            </w:r>
            <w:r w:rsidRPr="005576F1">
              <w:t>pārziņā esošajās jomās</w:t>
            </w:r>
            <w:r>
              <w:t xml:space="preserve"> </w:t>
            </w:r>
            <w:r w:rsidR="00CD28F3">
              <w:t>netika</w:t>
            </w:r>
            <w:r>
              <w:t xml:space="preserve"> noslēgti.</w:t>
            </w:r>
            <w:r w:rsidRPr="0044033B">
              <w:t xml:space="preserve"> </w:t>
            </w:r>
          </w:p>
          <w:p w:rsidR="00B22DC8" w:rsidRDefault="00CD28F3" w:rsidP="00F7379A">
            <w:pPr>
              <w:ind w:left="145" w:right="283"/>
              <w:jc w:val="both"/>
            </w:pPr>
            <w:r>
              <w:t xml:space="preserve">Taču </w:t>
            </w:r>
            <w:r w:rsidR="00B22DC8">
              <w:t>divpusējā sadarbība</w:t>
            </w:r>
            <w:r>
              <w:t xml:space="preserve"> izglītības jomā</w:t>
            </w:r>
            <w:r w:rsidR="00B22DC8">
              <w:t xml:space="preserve"> ir</w:t>
            </w:r>
            <w:r>
              <w:t xml:space="preserve"> diezgan</w:t>
            </w:r>
            <w:r w:rsidR="00B22DC8">
              <w:t xml:space="preserve"> aktīva</w:t>
            </w:r>
            <w:r w:rsidR="00F7379A">
              <w:t xml:space="preserve"> un</w:t>
            </w:r>
            <w:r w:rsidR="00B22DC8">
              <w:t xml:space="preserve"> puses vēlas šo sadarbību stiprināt un paplašināt</w:t>
            </w:r>
            <w:r>
              <w:t>. Līdz ar to,</w:t>
            </w:r>
            <w:r w:rsidR="00F7379A">
              <w:t xml:space="preserve"> IZM </w:t>
            </w:r>
            <w:r w:rsidR="00A53ED0">
              <w:t>izstrādāja</w:t>
            </w:r>
            <w:r w:rsidR="00F7379A">
              <w:t xml:space="preserve"> šo Ministru kabineta noteikumu projektu ar mērķi </w:t>
            </w:r>
            <w:r w:rsidR="00F7379A" w:rsidRPr="003452E7">
              <w:t xml:space="preserve">radīt juridisko pamatojumu sadarbībai starp </w:t>
            </w:r>
            <w:r w:rsidR="00C611AC">
              <w:t xml:space="preserve">Pusēm </w:t>
            </w:r>
            <w:r w:rsidR="00F7379A">
              <w:t>izglītības, zinātnes un jaunatnes jomā</w:t>
            </w:r>
            <w:r w:rsidR="00B22DC8">
              <w:t>.</w:t>
            </w:r>
          </w:p>
          <w:p w:rsidR="00CD28F3" w:rsidRDefault="00B22DC8" w:rsidP="00F7379A">
            <w:pPr>
              <w:ind w:left="145" w:right="283"/>
              <w:jc w:val="both"/>
            </w:pPr>
            <w:r>
              <w:rPr>
                <w:color w:val="000000"/>
              </w:rPr>
              <w:t xml:space="preserve">Pēc IZM rīcībā esošās informācijas </w:t>
            </w:r>
            <w:r w:rsidRPr="00A74600">
              <w:t xml:space="preserve">Latvijas augstskolās 2012./2013.gadā </w:t>
            </w:r>
            <w:r>
              <w:t>studē</w:t>
            </w:r>
            <w:r w:rsidRPr="00A74600">
              <w:t xml:space="preserve"> </w:t>
            </w:r>
            <w:r>
              <w:t>105 studenti no Kazahstānas, kas sastāda 3% no ārzemju studentu kopskaita Latvijā</w:t>
            </w:r>
            <w:r w:rsidRPr="00A74600">
              <w:t>.</w:t>
            </w:r>
            <w:r>
              <w:t xml:space="preserve"> </w:t>
            </w:r>
          </w:p>
          <w:p w:rsidR="00CD28F3" w:rsidRDefault="00CD28F3" w:rsidP="00F7379A">
            <w:pPr>
              <w:ind w:left="145" w:right="283"/>
              <w:jc w:val="both"/>
            </w:pPr>
            <w:r>
              <w:t xml:space="preserve">Starp Latvijas un Kazahstānas augstākās izglītības iestādēm ir noslēgti divpusējie sadarbības līgumi, kas paredz attiecību attīstību daudzās </w:t>
            </w:r>
            <w:r w:rsidR="00FF3292">
              <w:t xml:space="preserve">mācību un zinātnes </w:t>
            </w:r>
            <w:r>
              <w:t>jomās</w:t>
            </w:r>
            <w:r w:rsidR="00FF3292">
              <w:t>, paredz akadēmiskā personāla un studentu apmaiņu.</w:t>
            </w:r>
            <w:r w:rsidR="00B22DC8" w:rsidRPr="0044033B">
              <w:t xml:space="preserve"> </w:t>
            </w:r>
          </w:p>
          <w:p w:rsidR="00FF3292" w:rsidRDefault="00FF3292" w:rsidP="00F7379A">
            <w:pPr>
              <w:ind w:left="145" w:right="283"/>
              <w:jc w:val="both"/>
            </w:pPr>
            <w:r>
              <w:t>Latvijas augstākās izglītības iestādes var piedāvāt studentiem no Kazahstānas studijas svešvalodās tādās studiju programmās, kā transports, loģistika, aviācija, medicīna, bizness, menedžments, tehnika, tehnoloģijas, svešvalodas u.c.</w:t>
            </w:r>
          </w:p>
          <w:p w:rsidR="00B22DC8" w:rsidRDefault="00CD28F3" w:rsidP="00F7379A">
            <w:pPr>
              <w:ind w:left="145" w:right="283"/>
              <w:jc w:val="both"/>
            </w:pPr>
            <w:r>
              <w:t>2012.gada 27.jūnijā Astanā notika Latvijas-Kazahstānas Starpvaldību ekonomiskās, zinātniskās un tehniskās sadarbības jautājumos 4.sēde, kuras laikā citu jautājumu starpā tika pārrunāta arī sadarbība izglītības un zinātnes jomā un perspektīvas turpmākai sadarbības paplašināšanai.</w:t>
            </w:r>
            <w:r w:rsidR="00B22DC8" w:rsidRPr="0044033B">
              <w:t xml:space="preserve"> </w:t>
            </w:r>
            <w:r w:rsidR="00FF3292">
              <w:t>Komisija ieteica aktivizēt Pušu sadarbību šajā jomā</w:t>
            </w:r>
            <w:r w:rsidR="00A5595B">
              <w:t>, kā arī paātrināt abu Pušu starpministriju līguma parakstīšanu izglītības, zinātnes un jaunatnes jomā.</w:t>
            </w:r>
          </w:p>
          <w:p w:rsidR="00797255" w:rsidRPr="0067371B" w:rsidRDefault="00A5595B" w:rsidP="00C611AC">
            <w:pPr>
              <w:ind w:left="145" w:right="283"/>
              <w:jc w:val="both"/>
            </w:pPr>
            <w:r>
              <w:t xml:space="preserve">Apzinoties, ka </w:t>
            </w:r>
            <w:r w:rsidR="00F7379A">
              <w:t>Kazahst</w:t>
            </w:r>
            <w:r w:rsidR="00EF2AE2" w:rsidRPr="00EF2AE2">
              <w:t>āna ir Latvijas Republikas attīstības sadarbības valsts</w:t>
            </w:r>
            <w:r>
              <w:t xml:space="preserve">, IZM uzskata, ka </w:t>
            </w:r>
            <w:r w:rsidR="00EF2AE2" w:rsidRPr="00EF2AE2">
              <w:t>divpusējo sadarbības līgumu noslēgšana veicinā</w:t>
            </w:r>
            <w:r w:rsidR="00F7379A">
              <w:t xml:space="preserve">s </w:t>
            </w:r>
            <w:r w:rsidR="00EF2AE2" w:rsidRPr="00EF2AE2">
              <w:t>un pastiprinā</w:t>
            </w:r>
            <w:r w:rsidR="00F7379A">
              <w:t>s</w:t>
            </w:r>
            <w:r w:rsidR="00EF2AE2" w:rsidRPr="00EF2AE2">
              <w:t xml:space="preserve"> Latvijas un </w:t>
            </w:r>
            <w:r w:rsidR="00F7379A">
              <w:t>Kazahstānas</w:t>
            </w:r>
            <w:r w:rsidR="00EF2AE2" w:rsidRPr="00EF2AE2">
              <w:t xml:space="preserve"> sadarbību</w:t>
            </w:r>
            <w:r w:rsidR="00F7379A">
              <w:t>.</w:t>
            </w:r>
            <w:r w:rsidR="00EF2AE2" w:rsidRPr="00EF2AE2">
              <w:t xml:space="preserve"> </w:t>
            </w:r>
          </w:p>
        </w:tc>
      </w:tr>
      <w:tr w:rsidR="00262E2B" w:rsidRPr="007C0F2C" w:rsidTr="00A5595B">
        <w:trPr>
          <w:trHeight w:val="453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195" w:type="dxa"/>
          </w:tcPr>
          <w:p w:rsidR="00262E2B" w:rsidRPr="007C0F2C" w:rsidRDefault="00420870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S</w:t>
            </w:r>
            <w:r w:rsidR="000B69CF" w:rsidRPr="007C0F2C">
              <w:rPr>
                <w:sz w:val="22"/>
                <w:szCs w:val="22"/>
              </w:rPr>
              <w:t xml:space="preserve">aistītie </w:t>
            </w:r>
            <w:r w:rsidR="001A6AE4" w:rsidRPr="007C0F2C">
              <w:rPr>
                <w:sz w:val="22"/>
                <w:szCs w:val="22"/>
              </w:rPr>
              <w:t>politikas ietekmes novērtējumi</w:t>
            </w:r>
            <w:r w:rsidR="00CB0247" w:rsidRPr="007C0F2C">
              <w:rPr>
                <w:sz w:val="22"/>
                <w:szCs w:val="22"/>
              </w:rPr>
              <w:t xml:space="preserve"> un</w:t>
            </w:r>
            <w:r w:rsidR="001A6AE4" w:rsidRPr="007C0F2C">
              <w:rPr>
                <w:sz w:val="22"/>
                <w:szCs w:val="22"/>
              </w:rPr>
              <w:t xml:space="preserve"> </w:t>
            </w:r>
            <w:r w:rsidR="000B69CF" w:rsidRPr="007C0F2C">
              <w:rPr>
                <w:sz w:val="22"/>
                <w:szCs w:val="22"/>
              </w:rPr>
              <w:t>pētījumi</w:t>
            </w:r>
          </w:p>
        </w:tc>
        <w:tc>
          <w:tcPr>
            <w:tcW w:w="5177" w:type="dxa"/>
          </w:tcPr>
          <w:p w:rsidR="00B352C3" w:rsidRPr="00FD4AA0" w:rsidRDefault="00D205B2" w:rsidP="00FD4AA0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D4AA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Projekts šo jomu neskar.</w:t>
            </w:r>
          </w:p>
        </w:tc>
      </w:tr>
      <w:tr w:rsidR="00262E2B" w:rsidRPr="007C0F2C" w:rsidTr="00A5595B">
        <w:trPr>
          <w:trHeight w:val="1661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195" w:type="dxa"/>
          </w:tcPr>
          <w:p w:rsidR="00262E2B" w:rsidRPr="007C0F2C" w:rsidRDefault="000C790C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Tiesiskā r</w:t>
            </w:r>
            <w:r w:rsidR="00400032" w:rsidRPr="007C0F2C">
              <w:rPr>
                <w:sz w:val="22"/>
                <w:szCs w:val="22"/>
              </w:rPr>
              <w:t xml:space="preserve">egulējuma </w:t>
            </w:r>
            <w:r w:rsidR="00262E2B" w:rsidRPr="007C0F2C">
              <w:rPr>
                <w:sz w:val="22"/>
                <w:szCs w:val="22"/>
              </w:rPr>
              <w:t>mērķis un būtība</w:t>
            </w:r>
          </w:p>
        </w:tc>
        <w:tc>
          <w:tcPr>
            <w:tcW w:w="5177" w:type="dxa"/>
          </w:tcPr>
          <w:p w:rsidR="00EA38C6" w:rsidRPr="00EA38C6" w:rsidRDefault="00EA38C6" w:rsidP="00EA38C6">
            <w:pPr>
              <w:ind w:left="147" w:right="284"/>
              <w:jc w:val="both"/>
              <w:rPr>
                <w:color w:val="000000"/>
                <w:sz w:val="16"/>
                <w:szCs w:val="16"/>
              </w:rPr>
            </w:pPr>
          </w:p>
          <w:p w:rsidR="000F3C98" w:rsidRDefault="00EF2AE2" w:rsidP="00C611AC">
            <w:pPr>
              <w:ind w:left="216" w:right="284"/>
              <w:jc w:val="both"/>
              <w:rPr>
                <w:color w:val="000000"/>
              </w:rPr>
            </w:pPr>
            <w:r w:rsidRPr="00EF2AE2">
              <w:t>Ministru kabineta noteikumu projekts sagatavots ar mērķi radīt juridisko pamatojumu sadarbībai starp Latvij</w:t>
            </w:r>
            <w:r w:rsidR="00C611AC">
              <w:t xml:space="preserve">u </w:t>
            </w:r>
            <w:r w:rsidRPr="00EF2AE2">
              <w:t xml:space="preserve">un </w:t>
            </w:r>
            <w:r w:rsidR="00F7379A">
              <w:t>Kazahstānu</w:t>
            </w:r>
            <w:r w:rsidRPr="00EF2AE2">
              <w:t xml:space="preserve"> izglītības</w:t>
            </w:r>
            <w:r w:rsidR="00F7379A">
              <w:t>, zinātnes un jaunatnes</w:t>
            </w:r>
            <w:r w:rsidRPr="00EF2AE2">
              <w:t xml:space="preserve"> jomā</w:t>
            </w:r>
            <w:r w:rsidR="00F7379A">
              <w:t xml:space="preserve">. </w:t>
            </w:r>
            <w:r>
              <w:rPr>
                <w:color w:val="000000"/>
              </w:rPr>
              <w:t xml:space="preserve"> </w:t>
            </w:r>
            <w:r w:rsidRPr="00EF2AE2">
              <w:rPr>
                <w:color w:val="000000"/>
              </w:rPr>
              <w:t xml:space="preserve"> </w:t>
            </w:r>
          </w:p>
          <w:p w:rsidR="00650D36" w:rsidRPr="00373B17" w:rsidRDefault="00650D36" w:rsidP="00C611AC">
            <w:pPr>
              <w:ind w:left="216" w:right="284"/>
              <w:jc w:val="both"/>
            </w:pPr>
            <w:r w:rsidRPr="00650D36">
              <w:t>Līgums paredz</w:t>
            </w:r>
            <w:r w:rsidR="00C611AC">
              <w:t xml:space="preserve"> </w:t>
            </w:r>
            <w:r w:rsidR="00C611AC" w:rsidRPr="00C611AC">
              <w:t xml:space="preserve">pieredzes </w:t>
            </w:r>
            <w:r w:rsidR="00C611AC">
              <w:t xml:space="preserve">un informācijas </w:t>
            </w:r>
            <w:r w:rsidR="00C611AC" w:rsidRPr="00C611AC">
              <w:t>apmaiņu izglītības, zinātnes un jaunatnes jomā</w:t>
            </w:r>
            <w:r w:rsidR="00C611AC">
              <w:t xml:space="preserve">, stipendiju piešķiršanu </w:t>
            </w:r>
            <w:r w:rsidR="00C611AC" w:rsidRPr="00C611AC">
              <w:t>pilna laika studijām</w:t>
            </w:r>
            <w:r w:rsidR="00C611AC">
              <w:t xml:space="preserve">, stipendiju </w:t>
            </w:r>
            <w:r w:rsidR="00C611AC" w:rsidRPr="00C611AC">
              <w:t>piešķiršanu akadēmiskā personāla kvalifikācijas paaugstināšanai</w:t>
            </w:r>
            <w:r w:rsidR="00C611AC">
              <w:t xml:space="preserve"> </w:t>
            </w:r>
            <w:r w:rsidR="00C611AC" w:rsidRPr="00C611AC">
              <w:t xml:space="preserve">un stipendijas pētniecības </w:t>
            </w:r>
            <w:r w:rsidR="00C611AC" w:rsidRPr="00373B17">
              <w:t>darba veikšanai, kā arī citas darbības, kas</w:t>
            </w:r>
            <w:r w:rsidR="00373B17" w:rsidRPr="00373B17">
              <w:t xml:space="preserve">  veicinās ilgtermiņa sadarbību un sekmēs savstarpējo attiecību dibināšanu izglītības, zinātnes un jaunatnes jomā</w:t>
            </w:r>
            <w:r w:rsidRPr="00373B17">
              <w:t xml:space="preserve">.  </w:t>
            </w:r>
          </w:p>
          <w:p w:rsidR="00C611AC" w:rsidRPr="00C611AC" w:rsidRDefault="00C611AC" w:rsidP="00C611AC">
            <w:pPr>
              <w:ind w:left="215" w:right="284"/>
              <w:jc w:val="both"/>
            </w:pPr>
            <w:r w:rsidRPr="00C611AC">
              <w:t xml:space="preserve">Visas </w:t>
            </w:r>
            <w:r>
              <w:t>d</w:t>
            </w:r>
            <w:r w:rsidRPr="00C611AC">
              <w:t xml:space="preserve">arbības, kas ir saistītas ar </w:t>
            </w:r>
            <w:r>
              <w:t>l</w:t>
            </w:r>
            <w:r w:rsidRPr="00C611AC">
              <w:t>īguma realizāciju, tik</w:t>
            </w:r>
            <w:r>
              <w:t>s</w:t>
            </w:r>
            <w:r w:rsidRPr="00C611AC">
              <w:t xml:space="preserve"> īstenotas saskaņā ar abu Pušu valstu spēkā esošajiem tiesību aktiem un to finanšu resursu ietvaros</w:t>
            </w:r>
            <w:r>
              <w:t>.</w:t>
            </w:r>
          </w:p>
        </w:tc>
      </w:tr>
      <w:tr w:rsidR="00262E2B" w:rsidRPr="007C0F2C" w:rsidTr="00A5595B">
        <w:trPr>
          <w:trHeight w:val="399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5.</w:t>
            </w:r>
          </w:p>
        </w:tc>
        <w:tc>
          <w:tcPr>
            <w:tcW w:w="3195" w:type="dxa"/>
          </w:tcPr>
          <w:p w:rsidR="00262E2B" w:rsidRPr="007C0F2C" w:rsidRDefault="001A4066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</w:t>
            </w:r>
            <w:r w:rsidR="00262E2B" w:rsidRPr="007C0F2C">
              <w:rPr>
                <w:sz w:val="22"/>
                <w:szCs w:val="22"/>
              </w:rPr>
              <w:t>zstrād</w:t>
            </w:r>
            <w:r w:rsidR="00420870" w:rsidRPr="007C0F2C">
              <w:rPr>
                <w:sz w:val="22"/>
                <w:szCs w:val="22"/>
              </w:rPr>
              <w:t xml:space="preserve">ē </w:t>
            </w:r>
            <w:r w:rsidR="00262E2B" w:rsidRPr="007C0F2C">
              <w:rPr>
                <w:sz w:val="22"/>
                <w:szCs w:val="22"/>
              </w:rPr>
              <w:t>iesaistītās institūcijas</w:t>
            </w:r>
          </w:p>
        </w:tc>
        <w:tc>
          <w:tcPr>
            <w:tcW w:w="5177" w:type="dxa"/>
          </w:tcPr>
          <w:p w:rsidR="00BC2D00" w:rsidRPr="00BD06FC" w:rsidRDefault="00002C15" w:rsidP="001743AA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Projektu izstrādāja </w:t>
            </w:r>
            <w:r w:rsidR="001743A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Izglītības un zinātnes</w:t>
            </w:r>
            <w:r w:rsidR="007C6711" w:rsidRPr="007C67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ministrija</w:t>
            </w:r>
            <w:r w:rsidR="00BD334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  <w:tr w:rsidR="00262E2B" w:rsidRPr="007C0F2C" w:rsidTr="00A5595B">
        <w:trPr>
          <w:trHeight w:val="646"/>
        </w:trPr>
        <w:tc>
          <w:tcPr>
            <w:tcW w:w="422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3195" w:type="dxa"/>
          </w:tcPr>
          <w:p w:rsidR="00262E2B" w:rsidRPr="007C0F2C" w:rsidRDefault="00BB7C94" w:rsidP="00BD06FC">
            <w:pPr>
              <w:pStyle w:val="naiskr"/>
              <w:spacing w:before="120" w:after="120"/>
              <w:rPr>
                <w:i/>
                <w:sz w:val="22"/>
                <w:szCs w:val="22"/>
                <w:highlight w:val="yellow"/>
              </w:rPr>
            </w:pPr>
            <w:r w:rsidRPr="007C0F2C">
              <w:rPr>
                <w:sz w:val="22"/>
                <w:szCs w:val="22"/>
              </w:rPr>
              <w:t xml:space="preserve">Iemesli, kādēļ netika nodrošināta </w:t>
            </w:r>
            <w:r w:rsidR="00262E2B" w:rsidRPr="007C0F2C">
              <w:rPr>
                <w:sz w:val="22"/>
                <w:szCs w:val="22"/>
              </w:rPr>
              <w:t xml:space="preserve">sabiedrības </w:t>
            </w:r>
            <w:r w:rsidRPr="007C0F2C">
              <w:rPr>
                <w:sz w:val="22"/>
                <w:szCs w:val="22"/>
              </w:rPr>
              <w:t>līdzdalība</w:t>
            </w:r>
          </w:p>
        </w:tc>
        <w:tc>
          <w:tcPr>
            <w:tcW w:w="5177" w:type="dxa"/>
          </w:tcPr>
          <w:p w:rsidR="00D205B2" w:rsidRPr="00D205B2" w:rsidRDefault="00EE2614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Sabiedrības līdzdalība šādu vienošanos projektu izstrādē nav paredzēta.</w:t>
            </w:r>
          </w:p>
        </w:tc>
      </w:tr>
      <w:tr w:rsidR="00D205B2" w:rsidRPr="007C0F2C" w:rsidTr="00A5595B">
        <w:trPr>
          <w:trHeight w:val="1907"/>
        </w:trPr>
        <w:tc>
          <w:tcPr>
            <w:tcW w:w="422" w:type="dxa"/>
            <w:tcBorders>
              <w:bottom w:val="single" w:sz="4" w:space="0" w:color="auto"/>
            </w:tcBorders>
          </w:tcPr>
          <w:p w:rsidR="00D205B2" w:rsidRPr="007C0F2C" w:rsidRDefault="00D205B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D205B2" w:rsidRPr="007C0F2C" w:rsidRDefault="00D205B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shd w:val="clear" w:color="auto" w:fill="auto"/>
          </w:tcPr>
          <w:p w:rsidR="00A5595B" w:rsidRDefault="00A5595B" w:rsidP="00A5595B">
            <w:pPr>
              <w:ind w:left="145" w:right="283"/>
              <w:jc w:val="both"/>
            </w:pPr>
            <w:r w:rsidRPr="00A5595B">
              <w:t>2013.gada 3.-4.jūnijā ir paredzēta Valsts prezidenta Andra Bērziņa oficiālā vizīte  Kazahstānā, kuras laikā plānots parakstīt Latvijas Republikas Izglītības un zinātnes ministrijas un Kazahstānas Republikas Izglītības un zinātnes ministrijas līgum</w:t>
            </w:r>
            <w:r w:rsidR="00373B17">
              <w:t>u</w:t>
            </w:r>
            <w:r w:rsidRPr="00A5595B">
              <w:t xml:space="preserve"> par sadarbību izglītības, zinātnes  un jaunatnes jomā.</w:t>
            </w:r>
          </w:p>
          <w:p w:rsidR="007570A0" w:rsidRPr="00B22DC8" w:rsidRDefault="000862EB" w:rsidP="000862EB">
            <w:pPr>
              <w:ind w:left="145" w:right="283"/>
              <w:jc w:val="both"/>
            </w:pPr>
            <w:r>
              <w:t>Plānots, ka līgumu parakstīs Latvijas Republikas ārlietu ministrs E.Rinkēvičs.</w:t>
            </w:r>
          </w:p>
        </w:tc>
      </w:tr>
    </w:tbl>
    <w:tbl>
      <w:tblPr>
        <w:tblW w:w="8842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380"/>
        <w:gridCol w:w="5066"/>
      </w:tblGrid>
      <w:tr w:rsidR="00B352C3" w:rsidRPr="00B352C3" w:rsidTr="00650D36">
        <w:trPr>
          <w:jc w:val="center"/>
        </w:trPr>
        <w:tc>
          <w:tcPr>
            <w:tcW w:w="8842" w:type="dxa"/>
            <w:gridSpan w:val="3"/>
          </w:tcPr>
          <w:p w:rsidR="00B352C3" w:rsidRPr="007C0F2C" w:rsidRDefault="00B352C3" w:rsidP="00B352C3">
            <w:pPr>
              <w:pStyle w:val="naisnod"/>
              <w:spacing w:before="0" w:after="0"/>
              <w:jc w:val="both"/>
            </w:pPr>
            <w:r w:rsidRPr="007C0F2C">
              <w:t>V. Tiesību akta projekta atbilstība Latvijas Republikas starptautiskajām saistībām</w:t>
            </w:r>
          </w:p>
        </w:tc>
      </w:tr>
      <w:tr w:rsidR="00B352C3" w:rsidRPr="00B352C3" w:rsidTr="00650D36">
        <w:trPr>
          <w:jc w:val="center"/>
        </w:trPr>
        <w:tc>
          <w:tcPr>
            <w:tcW w:w="39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1.</w:t>
            </w:r>
          </w:p>
        </w:tc>
        <w:tc>
          <w:tcPr>
            <w:tcW w:w="3380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066" w:type="dxa"/>
          </w:tcPr>
          <w:p w:rsidR="00B416C2" w:rsidRPr="00296540" w:rsidRDefault="00296540" w:rsidP="00FD4AA0">
            <w:pPr>
              <w:pStyle w:val="NormalWeb"/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lv-LV"/>
              </w:rPr>
            </w:pPr>
            <w:r w:rsidRPr="00B22D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Projek</w:t>
            </w:r>
            <w:r w:rsidRPr="00296540">
              <w:rPr>
                <w:rFonts w:ascii="Times New Roman" w:hAnsi="Times New Roman" w:cs="Times New Roman"/>
                <w:sz w:val="22"/>
                <w:szCs w:val="22"/>
              </w:rPr>
              <w:t>ts šo jomu neskar.</w:t>
            </w:r>
          </w:p>
        </w:tc>
      </w:tr>
      <w:tr w:rsidR="00B352C3" w:rsidRPr="00B352C3" w:rsidTr="00650D36">
        <w:trPr>
          <w:jc w:val="center"/>
        </w:trPr>
        <w:tc>
          <w:tcPr>
            <w:tcW w:w="39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2.</w:t>
            </w:r>
          </w:p>
        </w:tc>
        <w:tc>
          <w:tcPr>
            <w:tcW w:w="3380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066" w:type="dxa"/>
          </w:tcPr>
          <w:p w:rsidR="00B352C3" w:rsidRPr="00BD06FC" w:rsidRDefault="000F064A" w:rsidP="00F9543F">
            <w:pPr>
              <w:pStyle w:val="naiskr"/>
              <w:tabs>
                <w:tab w:val="left" w:pos="2628"/>
              </w:tabs>
              <w:spacing w:before="0" w:after="0"/>
              <w:ind w:left="231" w:hanging="231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Projekts šo jomu neskar</w:t>
            </w:r>
            <w:r w:rsidR="00B416C2">
              <w:rPr>
                <w:lang w:eastAsia="en-US"/>
              </w:rPr>
              <w:t>.</w:t>
            </w:r>
          </w:p>
        </w:tc>
      </w:tr>
      <w:tr w:rsidR="00B352C3" w:rsidRPr="00B352C3" w:rsidTr="00650D36">
        <w:trPr>
          <w:trHeight w:val="107"/>
          <w:jc w:val="center"/>
        </w:trPr>
        <w:tc>
          <w:tcPr>
            <w:tcW w:w="39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3.</w:t>
            </w:r>
          </w:p>
        </w:tc>
        <w:tc>
          <w:tcPr>
            <w:tcW w:w="3380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B352C3">
              <w:rPr>
                <w:sz w:val="22"/>
                <w:szCs w:val="22"/>
              </w:rPr>
              <w:t>Cita informācija</w:t>
            </w:r>
          </w:p>
        </w:tc>
        <w:tc>
          <w:tcPr>
            <w:tcW w:w="5066" w:type="dxa"/>
          </w:tcPr>
          <w:p w:rsidR="00E70682" w:rsidRPr="00B53998" w:rsidRDefault="00296540" w:rsidP="00296540">
            <w:pPr>
              <w:pStyle w:val="NormalWeb"/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Nav.</w:t>
            </w:r>
          </w:p>
        </w:tc>
      </w:tr>
    </w:tbl>
    <w:p w:rsidR="00296540" w:rsidRDefault="00296540" w:rsidP="00CC5D63">
      <w:pPr>
        <w:pStyle w:val="naisf"/>
        <w:spacing w:before="0" w:after="0"/>
        <w:rPr>
          <w:sz w:val="16"/>
          <w:szCs w:val="16"/>
        </w:rPr>
      </w:pPr>
    </w:p>
    <w:p w:rsidR="00373B17" w:rsidRPr="00563E9D" w:rsidRDefault="00373B17" w:rsidP="00CC5D63">
      <w:pPr>
        <w:pStyle w:val="naisf"/>
        <w:spacing w:before="0" w:after="0"/>
        <w:rPr>
          <w:sz w:val="16"/>
          <w:szCs w:val="16"/>
        </w:rPr>
      </w:pPr>
    </w:p>
    <w:tbl>
      <w:tblPr>
        <w:tblW w:w="8832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2"/>
      </w:tblGrid>
      <w:tr w:rsidR="00CC5D63" w:rsidRPr="007C0F2C" w:rsidTr="00650D36">
        <w:trPr>
          <w:trHeight w:val="523"/>
          <w:jc w:val="center"/>
        </w:trPr>
        <w:tc>
          <w:tcPr>
            <w:tcW w:w="8832" w:type="dxa"/>
            <w:vAlign w:val="center"/>
          </w:tcPr>
          <w:p w:rsidR="00CC5D63" w:rsidRPr="007C0F2C" w:rsidRDefault="00CC5D63" w:rsidP="00F0006E">
            <w:pPr>
              <w:pStyle w:val="naisnod"/>
              <w:spacing w:before="0" w:after="0"/>
            </w:pPr>
            <w:r w:rsidRPr="007C0F2C">
              <w:t xml:space="preserve">1.tabula </w:t>
            </w:r>
          </w:p>
          <w:p w:rsidR="00CC5D63" w:rsidRPr="007C0F2C" w:rsidRDefault="00CC5D63" w:rsidP="00F0006E">
            <w:pPr>
              <w:pStyle w:val="naisnod"/>
              <w:spacing w:before="0" w:after="0"/>
              <w:rPr>
                <w:i/>
              </w:rPr>
            </w:pPr>
            <w:r w:rsidRPr="007C0F2C">
              <w:t>Tiesību akta projekta atbilstība ES tiesību aktiem</w:t>
            </w:r>
          </w:p>
        </w:tc>
      </w:tr>
      <w:tr w:rsidR="00CC5D63" w:rsidRPr="007C0F2C" w:rsidTr="00650D36">
        <w:trPr>
          <w:trHeight w:val="497"/>
          <w:jc w:val="center"/>
        </w:trPr>
        <w:tc>
          <w:tcPr>
            <w:tcW w:w="8832" w:type="dxa"/>
            <w:vAlign w:val="center"/>
          </w:tcPr>
          <w:p w:rsidR="00CC5D63" w:rsidRPr="007C0F2C" w:rsidRDefault="00296540" w:rsidP="00296540">
            <w:pPr>
              <w:pStyle w:val="naiskr"/>
              <w:spacing w:before="0" w:after="0"/>
              <w:jc w:val="center"/>
            </w:pPr>
            <w:r w:rsidRPr="00296540">
              <w:rPr>
                <w:sz w:val="22"/>
                <w:szCs w:val="22"/>
                <w:lang w:eastAsia="en-US"/>
              </w:rPr>
              <w:t>Projekts šo jomu neskar.</w:t>
            </w:r>
          </w:p>
        </w:tc>
      </w:tr>
    </w:tbl>
    <w:p w:rsidR="00296540" w:rsidRDefault="00296540" w:rsidP="00B352C3">
      <w:pPr>
        <w:pStyle w:val="naisf"/>
        <w:spacing w:before="0" w:after="0"/>
        <w:rPr>
          <w:sz w:val="16"/>
          <w:szCs w:val="16"/>
        </w:rPr>
      </w:pPr>
    </w:p>
    <w:p w:rsidR="00373B17" w:rsidRPr="00563E9D" w:rsidRDefault="00373B17" w:rsidP="00B352C3">
      <w:pPr>
        <w:pStyle w:val="naisf"/>
        <w:spacing w:before="0" w:after="0"/>
        <w:rPr>
          <w:sz w:val="16"/>
          <w:szCs w:val="16"/>
        </w:rPr>
      </w:pPr>
    </w:p>
    <w:tbl>
      <w:tblPr>
        <w:tblW w:w="8886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86"/>
      </w:tblGrid>
      <w:tr w:rsidR="00B352C3" w:rsidRPr="007C0F2C" w:rsidTr="00650D36">
        <w:trPr>
          <w:trHeight w:val="792"/>
          <w:jc w:val="center"/>
        </w:trPr>
        <w:tc>
          <w:tcPr>
            <w:tcW w:w="8886" w:type="dxa"/>
            <w:vAlign w:val="center"/>
          </w:tcPr>
          <w:p w:rsidR="00B352C3" w:rsidRPr="007C0F2C" w:rsidRDefault="00CC5D63" w:rsidP="00F0006E">
            <w:pPr>
              <w:pStyle w:val="naisnod"/>
              <w:spacing w:before="0" w:after="0"/>
            </w:pPr>
            <w:r>
              <w:br w:type="page"/>
            </w:r>
            <w:r>
              <w:br w:type="page"/>
            </w:r>
            <w:r w:rsidR="00B352C3" w:rsidRPr="007C0F2C">
              <w:t xml:space="preserve">2.tabula 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Ar tiesību akta projektu uzņemtās saistības, kas izriet no starptautiskajiem tiesību aktiem vai starptautiskas institūcijas vai organizācijas dokumentiem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Pasākumi šo saistību izpildei</w:t>
            </w:r>
          </w:p>
        </w:tc>
      </w:tr>
      <w:tr w:rsidR="00B352C3" w:rsidRPr="007C0F2C" w:rsidTr="00650D36">
        <w:trPr>
          <w:trHeight w:val="163"/>
          <w:jc w:val="center"/>
        </w:trPr>
        <w:tc>
          <w:tcPr>
            <w:tcW w:w="8886" w:type="dxa"/>
            <w:vAlign w:val="center"/>
          </w:tcPr>
          <w:p w:rsidR="00EA015D" w:rsidRPr="00563E9D" w:rsidRDefault="00EA015D" w:rsidP="00F0006E">
            <w:pPr>
              <w:pStyle w:val="naiskr"/>
              <w:spacing w:before="0" w:after="0"/>
              <w:rPr>
                <w:sz w:val="16"/>
                <w:szCs w:val="16"/>
              </w:rPr>
            </w:pPr>
          </w:p>
          <w:p w:rsidR="00B352C3" w:rsidRDefault="00816F6A" w:rsidP="00EA015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Projekts šo jomu neskar.</w:t>
            </w:r>
          </w:p>
          <w:p w:rsidR="00EA015D" w:rsidRPr="007C0F2C" w:rsidRDefault="00EA015D" w:rsidP="00F0006E">
            <w:pPr>
              <w:pStyle w:val="naiskr"/>
              <w:spacing w:before="0" w:after="0"/>
              <w:rPr>
                <w:i/>
                <w:sz w:val="16"/>
                <w:szCs w:val="16"/>
              </w:rPr>
            </w:pPr>
          </w:p>
        </w:tc>
      </w:tr>
    </w:tbl>
    <w:p w:rsidR="00B352C3" w:rsidRPr="00563E9D" w:rsidRDefault="00B352C3" w:rsidP="006C4607">
      <w:pPr>
        <w:pStyle w:val="naiskr"/>
        <w:tabs>
          <w:tab w:val="left" w:pos="2628"/>
        </w:tabs>
        <w:spacing w:before="0" w:after="0"/>
        <w:rPr>
          <w:sz w:val="16"/>
          <w:szCs w:val="16"/>
        </w:rPr>
      </w:pPr>
    </w:p>
    <w:p w:rsidR="00214094" w:rsidRPr="007C0F2C" w:rsidRDefault="00B352C3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  <w:r>
        <w:t>Anotācijas II, III, IV</w:t>
      </w:r>
      <w:r w:rsidR="00BC2D00">
        <w:t>, VI, VII</w:t>
      </w:r>
      <w:r w:rsidR="00767169">
        <w:t xml:space="preserve"> </w:t>
      </w:r>
      <w:r w:rsidR="00767169" w:rsidRPr="00226A27">
        <w:t>sadaļ</w:t>
      </w:r>
      <w:r w:rsidR="00767169">
        <w:t>a</w:t>
      </w:r>
      <w:r w:rsidR="00767169" w:rsidRPr="00226A27">
        <w:t xml:space="preserve"> – </w:t>
      </w:r>
      <w:r w:rsidR="00816F6A">
        <w:rPr>
          <w:sz w:val="22"/>
          <w:szCs w:val="22"/>
        </w:rPr>
        <w:t>projekts šīs jomas neskar</w:t>
      </w:r>
      <w:r w:rsidR="00767169">
        <w:t>.</w:t>
      </w:r>
    </w:p>
    <w:p w:rsidR="00A5595B" w:rsidRDefault="00A5595B" w:rsidP="00E41B73">
      <w:pPr>
        <w:tabs>
          <w:tab w:val="right" w:pos="9072"/>
        </w:tabs>
      </w:pPr>
    </w:p>
    <w:p w:rsidR="00B51B37" w:rsidRDefault="00B51B37" w:rsidP="00E41B73">
      <w:pPr>
        <w:tabs>
          <w:tab w:val="right" w:pos="9072"/>
        </w:tabs>
      </w:pPr>
    </w:p>
    <w:p w:rsidR="00B51B37" w:rsidRDefault="00B51B37" w:rsidP="00E41B73">
      <w:pPr>
        <w:tabs>
          <w:tab w:val="right" w:pos="9072"/>
        </w:tabs>
      </w:pPr>
    </w:p>
    <w:p w:rsidR="00E41B73" w:rsidRDefault="00B22DC8" w:rsidP="00E41B73">
      <w:pPr>
        <w:tabs>
          <w:tab w:val="right" w:pos="9072"/>
        </w:tabs>
      </w:pPr>
      <w:r>
        <w:t>I</w:t>
      </w:r>
      <w:r w:rsidR="00E41B73" w:rsidRPr="00E41B73">
        <w:t>zglītības un zinātnes ministr</w:t>
      </w:r>
      <w:r>
        <w:t>s</w:t>
      </w:r>
      <w:r w:rsidR="00E41B73" w:rsidRPr="00E41B73">
        <w:tab/>
      </w:r>
      <w:r>
        <w:t>V</w:t>
      </w:r>
      <w:r w:rsidR="00E41B73" w:rsidRPr="00E41B73">
        <w:t>.</w:t>
      </w:r>
      <w:r>
        <w:t>Dombrovskis</w:t>
      </w:r>
    </w:p>
    <w:p w:rsidR="00B51B37" w:rsidRDefault="00B51B37" w:rsidP="00E41B73">
      <w:pPr>
        <w:tabs>
          <w:tab w:val="right" w:pos="9072"/>
        </w:tabs>
      </w:pPr>
    </w:p>
    <w:p w:rsidR="00B51B37" w:rsidRDefault="00B51B37" w:rsidP="00E41B73">
      <w:pPr>
        <w:tabs>
          <w:tab w:val="right" w:pos="9072"/>
        </w:tabs>
        <w:rPr>
          <w:sz w:val="28"/>
          <w:szCs w:val="28"/>
          <w:highlight w:val="yellow"/>
        </w:rPr>
      </w:pPr>
    </w:p>
    <w:p w:rsidR="00263AEA" w:rsidRPr="00563E9D" w:rsidRDefault="00263AEA" w:rsidP="0067371B">
      <w:pPr>
        <w:pStyle w:val="EnvelopeReturn"/>
        <w:spacing w:before="0"/>
        <w:rPr>
          <w:sz w:val="16"/>
          <w:szCs w:val="16"/>
          <w:lang w:val="lv-LV"/>
        </w:rPr>
      </w:pPr>
    </w:p>
    <w:p w:rsidR="004D20AC" w:rsidRDefault="004D20AC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B51B37" w:rsidRDefault="0067371B" w:rsidP="00C611AC">
      <w:pPr>
        <w:pStyle w:val="EnvelopeReturn"/>
        <w:spacing w:before="0"/>
        <w:rPr>
          <w:b/>
          <w:sz w:val="18"/>
          <w:szCs w:val="18"/>
          <w:lang w:val="lv-LV"/>
        </w:rPr>
      </w:pPr>
      <w:r>
        <w:rPr>
          <w:sz w:val="24"/>
          <w:szCs w:val="24"/>
          <w:lang w:val="lv-LV"/>
        </w:rPr>
        <w:t>Vīza: Valsts sekretār</w:t>
      </w:r>
      <w:r w:rsidR="001743AA">
        <w:rPr>
          <w:sz w:val="24"/>
          <w:szCs w:val="24"/>
          <w:lang w:val="lv-LV"/>
        </w:rPr>
        <w:t>e</w:t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  <w:t xml:space="preserve">   </w:t>
      </w:r>
      <w:r w:rsidR="001743AA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.</w:t>
      </w:r>
      <w:r w:rsidR="001743AA">
        <w:rPr>
          <w:sz w:val="24"/>
          <w:szCs w:val="24"/>
          <w:lang w:val="lv-LV"/>
        </w:rPr>
        <w:t>Liepiņa</w:t>
      </w: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Pr="00B51B37" w:rsidRDefault="00B51B37" w:rsidP="00B51B37">
      <w:pPr>
        <w:rPr>
          <w:lang w:eastAsia="en-US"/>
        </w:rPr>
      </w:pPr>
    </w:p>
    <w:p w:rsidR="00B51B37" w:rsidRDefault="00B51B37" w:rsidP="00B51B37">
      <w:pPr>
        <w:rPr>
          <w:lang w:eastAsia="en-US"/>
        </w:rPr>
      </w:pPr>
    </w:p>
    <w:p w:rsidR="00B51B37" w:rsidRDefault="00B51B37" w:rsidP="00B51B37">
      <w:pPr>
        <w:rPr>
          <w:lang w:eastAsia="en-US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B51B37" w:rsidRDefault="00B51B3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</w:p>
    <w:p w:rsidR="007F3149" w:rsidRPr="00C611AC" w:rsidRDefault="00720ABF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2</w:t>
      </w:r>
      <w:r w:rsidR="004473A7">
        <w:rPr>
          <w:b w:val="0"/>
          <w:i/>
          <w:sz w:val="18"/>
          <w:szCs w:val="18"/>
          <w:lang w:val="lv-LV"/>
        </w:rPr>
        <w:t>7</w:t>
      </w:r>
      <w:r>
        <w:rPr>
          <w:b w:val="0"/>
          <w:i/>
          <w:sz w:val="18"/>
          <w:szCs w:val="18"/>
          <w:lang w:val="lv-LV"/>
        </w:rPr>
        <w:t>.</w:t>
      </w:r>
      <w:r w:rsidR="00FD4AA0" w:rsidRPr="00C611AC">
        <w:rPr>
          <w:b w:val="0"/>
          <w:i/>
          <w:sz w:val="18"/>
          <w:szCs w:val="18"/>
          <w:lang w:val="lv-LV"/>
        </w:rPr>
        <w:t>0</w:t>
      </w:r>
      <w:r w:rsidR="00B22DC8" w:rsidRPr="00C611AC">
        <w:rPr>
          <w:b w:val="0"/>
          <w:i/>
          <w:sz w:val="18"/>
          <w:szCs w:val="18"/>
          <w:lang w:val="lv-LV"/>
        </w:rPr>
        <w:t>5</w:t>
      </w:r>
      <w:r w:rsidR="00FD4AA0" w:rsidRPr="00C611AC">
        <w:rPr>
          <w:b w:val="0"/>
          <w:i/>
          <w:sz w:val="18"/>
          <w:szCs w:val="18"/>
          <w:lang w:val="lv-LV"/>
        </w:rPr>
        <w:t>.2013</w:t>
      </w:r>
      <w:r w:rsidR="004432BE" w:rsidRPr="00C611AC">
        <w:rPr>
          <w:b w:val="0"/>
          <w:i/>
          <w:sz w:val="18"/>
          <w:szCs w:val="18"/>
          <w:lang w:val="lv-LV"/>
        </w:rPr>
        <w:t>.</w:t>
      </w:r>
      <w:r w:rsidR="00525812" w:rsidRPr="00C611AC">
        <w:rPr>
          <w:b w:val="0"/>
          <w:i/>
          <w:sz w:val="18"/>
          <w:szCs w:val="18"/>
          <w:lang w:val="lv-LV"/>
        </w:rPr>
        <w:t xml:space="preserve"> </w:t>
      </w:r>
      <w:r w:rsidR="00B22DC8" w:rsidRPr="00C611AC">
        <w:rPr>
          <w:b w:val="0"/>
          <w:i/>
          <w:sz w:val="18"/>
          <w:szCs w:val="18"/>
          <w:lang w:val="lv-LV"/>
        </w:rPr>
        <w:t>1</w:t>
      </w:r>
      <w:r w:rsidR="00C611AC" w:rsidRPr="00C611AC">
        <w:rPr>
          <w:b w:val="0"/>
          <w:i/>
          <w:sz w:val="18"/>
          <w:szCs w:val="18"/>
          <w:lang w:val="lv-LV"/>
        </w:rPr>
        <w:t>4</w:t>
      </w:r>
      <w:r w:rsidR="00564EAB" w:rsidRPr="00C611AC">
        <w:rPr>
          <w:b w:val="0"/>
          <w:i/>
          <w:sz w:val="18"/>
          <w:szCs w:val="18"/>
          <w:lang w:val="lv-LV"/>
        </w:rPr>
        <w:t>:</w:t>
      </w:r>
      <w:r w:rsidR="00B22DC8" w:rsidRPr="00C611AC">
        <w:rPr>
          <w:b w:val="0"/>
          <w:i/>
          <w:sz w:val="18"/>
          <w:szCs w:val="18"/>
          <w:lang w:val="lv-LV"/>
        </w:rPr>
        <w:t>5</w:t>
      </w:r>
      <w:r w:rsidR="00C611AC" w:rsidRPr="00C611AC">
        <w:rPr>
          <w:b w:val="0"/>
          <w:i/>
          <w:sz w:val="18"/>
          <w:szCs w:val="18"/>
          <w:lang w:val="lv-LV"/>
        </w:rPr>
        <w:t>3</w:t>
      </w:r>
    </w:p>
    <w:p w:rsidR="007F3149" w:rsidRPr="006349BC" w:rsidRDefault="00373B17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bookmarkStart w:id="2" w:name="_GoBack"/>
      <w:bookmarkEnd w:id="2"/>
      <w:r w:rsidRPr="006349BC">
        <w:rPr>
          <w:b w:val="0"/>
          <w:i/>
          <w:sz w:val="18"/>
          <w:szCs w:val="18"/>
          <w:lang w:val="lv-LV"/>
        </w:rPr>
        <w:t>5</w:t>
      </w:r>
      <w:r w:rsidR="00720ABF" w:rsidRPr="006349BC">
        <w:rPr>
          <w:b w:val="0"/>
          <w:i/>
          <w:sz w:val="18"/>
          <w:szCs w:val="18"/>
          <w:lang w:val="lv-LV"/>
        </w:rPr>
        <w:t>2</w:t>
      </w:r>
      <w:r w:rsidR="00DC38F1">
        <w:rPr>
          <w:b w:val="0"/>
          <w:i/>
          <w:sz w:val="18"/>
          <w:szCs w:val="18"/>
          <w:lang w:val="lv-LV"/>
        </w:rPr>
        <w:t>5</w:t>
      </w:r>
    </w:p>
    <w:p w:rsidR="007F3149" w:rsidRPr="00C611AC" w:rsidRDefault="001743AA" w:rsidP="007F3149">
      <w:pPr>
        <w:pStyle w:val="Subtitle"/>
        <w:spacing w:before="0" w:after="0"/>
        <w:ind w:right="0"/>
        <w:rPr>
          <w:b w:val="0"/>
          <w:i/>
          <w:sz w:val="18"/>
          <w:szCs w:val="18"/>
          <w:lang w:val="de-DE"/>
        </w:rPr>
      </w:pPr>
      <w:r w:rsidRPr="00C611AC">
        <w:rPr>
          <w:b w:val="0"/>
          <w:i/>
          <w:sz w:val="18"/>
          <w:szCs w:val="18"/>
          <w:lang w:val="de-DE"/>
        </w:rPr>
        <w:t>A</w:t>
      </w:r>
      <w:r w:rsidR="007F3149" w:rsidRPr="00C611AC">
        <w:rPr>
          <w:b w:val="0"/>
          <w:i/>
          <w:sz w:val="18"/>
          <w:szCs w:val="18"/>
          <w:lang w:val="de-DE"/>
        </w:rPr>
        <w:t>.</w:t>
      </w:r>
      <w:r w:rsidRPr="00C611AC">
        <w:rPr>
          <w:b w:val="0"/>
          <w:i/>
          <w:sz w:val="18"/>
          <w:szCs w:val="18"/>
          <w:lang w:val="de-DE"/>
        </w:rPr>
        <w:t>Kučinska</w:t>
      </w:r>
    </w:p>
    <w:p w:rsidR="00BF40ED" w:rsidRPr="00C611AC" w:rsidRDefault="007F3149" w:rsidP="00FD4AA0">
      <w:pPr>
        <w:pStyle w:val="Subtitle"/>
        <w:spacing w:before="0" w:after="0"/>
        <w:ind w:right="0"/>
        <w:rPr>
          <w:b w:val="0"/>
          <w:i/>
          <w:sz w:val="18"/>
          <w:szCs w:val="18"/>
          <w:lang w:val="de-DE"/>
        </w:rPr>
      </w:pPr>
      <w:r w:rsidRPr="00C611AC">
        <w:rPr>
          <w:b w:val="0"/>
          <w:i/>
          <w:sz w:val="18"/>
          <w:szCs w:val="18"/>
          <w:lang w:val="de-DE"/>
        </w:rPr>
        <w:t>670</w:t>
      </w:r>
      <w:r w:rsidR="001743AA" w:rsidRPr="00C611AC">
        <w:rPr>
          <w:b w:val="0"/>
          <w:i/>
          <w:sz w:val="18"/>
          <w:szCs w:val="18"/>
          <w:lang w:val="de-DE"/>
        </w:rPr>
        <w:t>47905</w:t>
      </w:r>
      <w:r w:rsidRPr="00C611AC">
        <w:rPr>
          <w:b w:val="0"/>
          <w:i/>
          <w:sz w:val="18"/>
          <w:szCs w:val="18"/>
          <w:lang w:val="de-DE"/>
        </w:rPr>
        <w:t xml:space="preserve">, </w:t>
      </w:r>
      <w:r w:rsidR="001743AA" w:rsidRPr="00C611AC">
        <w:rPr>
          <w:b w:val="0"/>
          <w:i/>
          <w:sz w:val="18"/>
          <w:szCs w:val="18"/>
          <w:lang w:val="de-DE"/>
        </w:rPr>
        <w:t>Alina</w:t>
      </w:r>
      <w:r w:rsidRPr="00C611AC">
        <w:rPr>
          <w:b w:val="0"/>
          <w:i/>
          <w:sz w:val="18"/>
          <w:szCs w:val="18"/>
          <w:lang w:val="de-DE"/>
        </w:rPr>
        <w:t>.</w:t>
      </w:r>
      <w:r w:rsidR="001743AA" w:rsidRPr="00C611AC">
        <w:rPr>
          <w:b w:val="0"/>
          <w:i/>
          <w:sz w:val="18"/>
          <w:szCs w:val="18"/>
          <w:lang w:val="de-DE"/>
        </w:rPr>
        <w:t>Kucinska</w:t>
      </w:r>
      <w:r w:rsidRPr="00C611AC">
        <w:rPr>
          <w:b w:val="0"/>
          <w:i/>
          <w:sz w:val="18"/>
          <w:szCs w:val="18"/>
          <w:lang w:val="de-DE"/>
        </w:rPr>
        <w:t>@</w:t>
      </w:r>
      <w:r w:rsidR="001743AA" w:rsidRPr="00C611AC">
        <w:rPr>
          <w:b w:val="0"/>
          <w:i/>
          <w:sz w:val="18"/>
          <w:szCs w:val="18"/>
          <w:lang w:val="de-DE"/>
        </w:rPr>
        <w:t>iz</w:t>
      </w:r>
      <w:r w:rsidRPr="00C611AC">
        <w:rPr>
          <w:b w:val="0"/>
          <w:i/>
          <w:sz w:val="18"/>
          <w:szCs w:val="18"/>
          <w:lang w:val="de-DE"/>
        </w:rPr>
        <w:t>m.gov.lv</w:t>
      </w:r>
    </w:p>
    <w:sectPr w:rsidR="00BF40ED" w:rsidRPr="00C611AC" w:rsidSect="00B51B3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851" w:left="1701" w:header="705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B9" w:rsidRDefault="00AB5EB9">
      <w:r>
        <w:separator/>
      </w:r>
    </w:p>
  </w:endnote>
  <w:endnote w:type="continuationSeparator" w:id="0">
    <w:p w:rsidR="00AB5EB9" w:rsidRDefault="00AB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Pr="00563E9D" w:rsidRDefault="001743AA" w:rsidP="001743AA">
    <w:pPr>
      <w:jc w:val="both"/>
      <w:rPr>
        <w:sz w:val="20"/>
        <w:szCs w:val="20"/>
      </w:rPr>
    </w:pPr>
    <w:r w:rsidRPr="00563E9D">
      <w:rPr>
        <w:sz w:val="20"/>
        <w:szCs w:val="20"/>
      </w:rPr>
      <w:t>IZ</w:t>
    </w:r>
    <w:r w:rsidR="002703F9" w:rsidRPr="00563E9D">
      <w:rPr>
        <w:sz w:val="20"/>
        <w:szCs w:val="20"/>
      </w:rPr>
      <w:t>MAnot_</w:t>
    </w:r>
    <w:r w:rsidR="00720ABF">
      <w:rPr>
        <w:sz w:val="20"/>
        <w:szCs w:val="20"/>
      </w:rPr>
      <w:t>2</w:t>
    </w:r>
    <w:r w:rsidR="004473A7">
      <w:rPr>
        <w:sz w:val="20"/>
        <w:szCs w:val="20"/>
      </w:rPr>
      <w:t>7</w:t>
    </w:r>
    <w:r w:rsidR="00B22DC8">
      <w:rPr>
        <w:sz w:val="20"/>
        <w:szCs w:val="20"/>
      </w:rPr>
      <w:t>05</w:t>
    </w:r>
    <w:r w:rsidR="002703F9" w:rsidRPr="00563E9D">
      <w:rPr>
        <w:sz w:val="20"/>
        <w:szCs w:val="20"/>
      </w:rPr>
      <w:t>13_</w:t>
    </w:r>
    <w:r w:rsidR="00B22DC8">
      <w:rPr>
        <w:sz w:val="20"/>
        <w:szCs w:val="20"/>
      </w:rPr>
      <w:t>Kazah</w:t>
    </w:r>
    <w:r w:rsidR="00650D36">
      <w:rPr>
        <w:sz w:val="20"/>
        <w:szCs w:val="20"/>
      </w:rPr>
      <w:t>stāna</w:t>
    </w:r>
    <w:r w:rsidR="002703F9" w:rsidRPr="00563E9D">
      <w:rPr>
        <w:sz w:val="20"/>
        <w:szCs w:val="20"/>
      </w:rPr>
      <w:t xml:space="preserve">; </w:t>
    </w:r>
    <w:r w:rsidR="00B22DC8" w:rsidRPr="00F749DB">
      <w:rPr>
        <w:sz w:val="20"/>
        <w:szCs w:val="20"/>
      </w:rPr>
      <w:t>Par L</w:t>
    </w:r>
    <w:r w:rsidR="00B22DC8" w:rsidRPr="00F749DB">
      <w:rPr>
        <w:color w:val="000000"/>
        <w:sz w:val="20"/>
        <w:szCs w:val="20"/>
      </w:rPr>
      <w:t>atvijas Republikas Izglītības un zinātnes ministrijas un Kazahstānas Republikas Izglītības un zinātnes ministrijas līgumu par sadarbību izglītības, zinātnes un jaunatnes jomā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3AA" w:rsidRPr="00563E9D" w:rsidRDefault="001743AA" w:rsidP="001743AA">
    <w:pPr>
      <w:jc w:val="both"/>
      <w:rPr>
        <w:sz w:val="20"/>
        <w:szCs w:val="20"/>
      </w:rPr>
    </w:pPr>
    <w:r w:rsidRPr="00563E9D">
      <w:rPr>
        <w:sz w:val="20"/>
        <w:szCs w:val="20"/>
      </w:rPr>
      <w:t>IZMAnot_</w:t>
    </w:r>
    <w:r w:rsidR="00650D36">
      <w:rPr>
        <w:sz w:val="20"/>
        <w:szCs w:val="20"/>
      </w:rPr>
      <w:t>2</w:t>
    </w:r>
    <w:r w:rsidR="004473A7">
      <w:rPr>
        <w:sz w:val="20"/>
        <w:szCs w:val="20"/>
      </w:rPr>
      <w:t>7</w:t>
    </w:r>
    <w:r w:rsidRPr="00563E9D">
      <w:rPr>
        <w:sz w:val="20"/>
        <w:szCs w:val="20"/>
      </w:rPr>
      <w:t>0</w:t>
    </w:r>
    <w:r w:rsidR="00720ABF">
      <w:rPr>
        <w:sz w:val="20"/>
        <w:szCs w:val="20"/>
      </w:rPr>
      <w:t>5</w:t>
    </w:r>
    <w:r w:rsidRPr="00563E9D">
      <w:rPr>
        <w:sz w:val="20"/>
        <w:szCs w:val="20"/>
      </w:rPr>
      <w:t>13_</w:t>
    </w:r>
    <w:r w:rsidR="00720ABF">
      <w:rPr>
        <w:sz w:val="20"/>
        <w:szCs w:val="20"/>
      </w:rPr>
      <w:t>Kazahstana</w:t>
    </w:r>
    <w:r w:rsidRPr="00563E9D">
      <w:rPr>
        <w:sz w:val="20"/>
        <w:szCs w:val="20"/>
      </w:rPr>
      <w:t xml:space="preserve">; </w:t>
    </w:r>
    <w:r w:rsidR="00720ABF" w:rsidRPr="00F749DB">
      <w:rPr>
        <w:sz w:val="20"/>
        <w:szCs w:val="20"/>
      </w:rPr>
      <w:t>Par L</w:t>
    </w:r>
    <w:r w:rsidR="00720ABF" w:rsidRPr="00F749DB">
      <w:rPr>
        <w:color w:val="000000"/>
        <w:sz w:val="20"/>
        <w:szCs w:val="20"/>
      </w:rPr>
      <w:t>atvijas Republikas Izglītības un zinātnes ministrijas un Kazahstānas Republikas Izglītības un zinātnes ministrijas līgumu par sadarbību izglītības, zinātnes un jaunatnes jomā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B9" w:rsidRDefault="00AB5EB9">
      <w:r>
        <w:separator/>
      </w:r>
    </w:p>
  </w:footnote>
  <w:footnote w:type="continuationSeparator" w:id="0">
    <w:p w:rsidR="00AB5EB9" w:rsidRDefault="00AB5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C74C90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C74C90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3A7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2C15"/>
    <w:rsid w:val="00011D24"/>
    <w:rsid w:val="00013FF4"/>
    <w:rsid w:val="00020FE1"/>
    <w:rsid w:val="00022E13"/>
    <w:rsid w:val="00032388"/>
    <w:rsid w:val="00035CE2"/>
    <w:rsid w:val="0005553B"/>
    <w:rsid w:val="000604D2"/>
    <w:rsid w:val="000862EB"/>
    <w:rsid w:val="0009005E"/>
    <w:rsid w:val="000941C5"/>
    <w:rsid w:val="000A6451"/>
    <w:rsid w:val="000A6CD0"/>
    <w:rsid w:val="000B064E"/>
    <w:rsid w:val="000B3C3C"/>
    <w:rsid w:val="000B44AC"/>
    <w:rsid w:val="000B69CF"/>
    <w:rsid w:val="000C07BF"/>
    <w:rsid w:val="000C0C60"/>
    <w:rsid w:val="000C790C"/>
    <w:rsid w:val="000F061D"/>
    <w:rsid w:val="000F064A"/>
    <w:rsid w:val="000F3463"/>
    <w:rsid w:val="000F3C98"/>
    <w:rsid w:val="000F4794"/>
    <w:rsid w:val="00124F12"/>
    <w:rsid w:val="00144E3A"/>
    <w:rsid w:val="0015060C"/>
    <w:rsid w:val="00151650"/>
    <w:rsid w:val="0016018A"/>
    <w:rsid w:val="00161F0E"/>
    <w:rsid w:val="00163751"/>
    <w:rsid w:val="00170E2A"/>
    <w:rsid w:val="001743A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E1DBF"/>
    <w:rsid w:val="001E4639"/>
    <w:rsid w:val="001E4A7D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62E2B"/>
    <w:rsid w:val="00263AEA"/>
    <w:rsid w:val="002703F9"/>
    <w:rsid w:val="00270429"/>
    <w:rsid w:val="002721C5"/>
    <w:rsid w:val="002723E9"/>
    <w:rsid w:val="00277929"/>
    <w:rsid w:val="00283B82"/>
    <w:rsid w:val="002846E9"/>
    <w:rsid w:val="00284C34"/>
    <w:rsid w:val="0029066C"/>
    <w:rsid w:val="002930A3"/>
    <w:rsid w:val="00296540"/>
    <w:rsid w:val="002A26A5"/>
    <w:rsid w:val="002B50DB"/>
    <w:rsid w:val="002C0EBD"/>
    <w:rsid w:val="002C12AB"/>
    <w:rsid w:val="002C5590"/>
    <w:rsid w:val="002C6999"/>
    <w:rsid w:val="002C7CAC"/>
    <w:rsid w:val="002D3306"/>
    <w:rsid w:val="002D48AA"/>
    <w:rsid w:val="002D7BAA"/>
    <w:rsid w:val="002D7F54"/>
    <w:rsid w:val="002E3FF4"/>
    <w:rsid w:val="002F78C8"/>
    <w:rsid w:val="00301CF3"/>
    <w:rsid w:val="0032715C"/>
    <w:rsid w:val="00337CA5"/>
    <w:rsid w:val="003511A5"/>
    <w:rsid w:val="00362478"/>
    <w:rsid w:val="00373B17"/>
    <w:rsid w:val="00375B25"/>
    <w:rsid w:val="003850F5"/>
    <w:rsid w:val="00392914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D78DF"/>
    <w:rsid w:val="003F0112"/>
    <w:rsid w:val="003F071A"/>
    <w:rsid w:val="003F160B"/>
    <w:rsid w:val="00400032"/>
    <w:rsid w:val="00400B5B"/>
    <w:rsid w:val="004029AD"/>
    <w:rsid w:val="00405A00"/>
    <w:rsid w:val="00410034"/>
    <w:rsid w:val="00420870"/>
    <w:rsid w:val="00427088"/>
    <w:rsid w:val="0043791B"/>
    <w:rsid w:val="00441483"/>
    <w:rsid w:val="00441BCB"/>
    <w:rsid w:val="004432BE"/>
    <w:rsid w:val="004473A7"/>
    <w:rsid w:val="0045176A"/>
    <w:rsid w:val="00456332"/>
    <w:rsid w:val="00461826"/>
    <w:rsid w:val="004800F9"/>
    <w:rsid w:val="00481043"/>
    <w:rsid w:val="00482512"/>
    <w:rsid w:val="0049134A"/>
    <w:rsid w:val="004A58CB"/>
    <w:rsid w:val="004B1795"/>
    <w:rsid w:val="004B36D3"/>
    <w:rsid w:val="004B56DD"/>
    <w:rsid w:val="004C020F"/>
    <w:rsid w:val="004C1AFD"/>
    <w:rsid w:val="004C558B"/>
    <w:rsid w:val="004D20AC"/>
    <w:rsid w:val="004E263D"/>
    <w:rsid w:val="004F1F88"/>
    <w:rsid w:val="004F5F1B"/>
    <w:rsid w:val="00502374"/>
    <w:rsid w:val="005060A1"/>
    <w:rsid w:val="0050624A"/>
    <w:rsid w:val="00516072"/>
    <w:rsid w:val="00525812"/>
    <w:rsid w:val="005332EC"/>
    <w:rsid w:val="00534418"/>
    <w:rsid w:val="005353AB"/>
    <w:rsid w:val="005440C2"/>
    <w:rsid w:val="005560BC"/>
    <w:rsid w:val="005573BE"/>
    <w:rsid w:val="00563E9D"/>
    <w:rsid w:val="00564EAB"/>
    <w:rsid w:val="0056573F"/>
    <w:rsid w:val="00567F36"/>
    <w:rsid w:val="00572700"/>
    <w:rsid w:val="00580468"/>
    <w:rsid w:val="0058603B"/>
    <w:rsid w:val="0059431B"/>
    <w:rsid w:val="005A1776"/>
    <w:rsid w:val="005A39CC"/>
    <w:rsid w:val="005B4730"/>
    <w:rsid w:val="005C25AD"/>
    <w:rsid w:val="005C6FE9"/>
    <w:rsid w:val="005E05D7"/>
    <w:rsid w:val="005E41E7"/>
    <w:rsid w:val="005E450F"/>
    <w:rsid w:val="00615C71"/>
    <w:rsid w:val="0062298A"/>
    <w:rsid w:val="00626514"/>
    <w:rsid w:val="00626589"/>
    <w:rsid w:val="006339A0"/>
    <w:rsid w:val="006349BC"/>
    <w:rsid w:val="006413A8"/>
    <w:rsid w:val="00642E56"/>
    <w:rsid w:val="00650D36"/>
    <w:rsid w:val="00651E00"/>
    <w:rsid w:val="00655335"/>
    <w:rsid w:val="0065545A"/>
    <w:rsid w:val="00663F2C"/>
    <w:rsid w:val="0067371B"/>
    <w:rsid w:val="00674572"/>
    <w:rsid w:val="006770E2"/>
    <w:rsid w:val="00687763"/>
    <w:rsid w:val="0069010E"/>
    <w:rsid w:val="00692B0D"/>
    <w:rsid w:val="00693E0E"/>
    <w:rsid w:val="00694EA8"/>
    <w:rsid w:val="006A1AE3"/>
    <w:rsid w:val="006A34DB"/>
    <w:rsid w:val="006C0ECD"/>
    <w:rsid w:val="006C30E1"/>
    <w:rsid w:val="006C4607"/>
    <w:rsid w:val="006D48F1"/>
    <w:rsid w:val="006D56B6"/>
    <w:rsid w:val="006F45BE"/>
    <w:rsid w:val="006F7953"/>
    <w:rsid w:val="007004FC"/>
    <w:rsid w:val="007020B0"/>
    <w:rsid w:val="00705412"/>
    <w:rsid w:val="007058FA"/>
    <w:rsid w:val="00706670"/>
    <w:rsid w:val="00720ABF"/>
    <w:rsid w:val="0072417C"/>
    <w:rsid w:val="00734450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805FD"/>
    <w:rsid w:val="00781D10"/>
    <w:rsid w:val="00784422"/>
    <w:rsid w:val="007913F8"/>
    <w:rsid w:val="00797255"/>
    <w:rsid w:val="007B3B54"/>
    <w:rsid w:val="007B3FA0"/>
    <w:rsid w:val="007C0F2C"/>
    <w:rsid w:val="007C2BCC"/>
    <w:rsid w:val="007C4D29"/>
    <w:rsid w:val="007C4EF0"/>
    <w:rsid w:val="007C6711"/>
    <w:rsid w:val="007C7DD6"/>
    <w:rsid w:val="007D099D"/>
    <w:rsid w:val="007E2664"/>
    <w:rsid w:val="007E3ABF"/>
    <w:rsid w:val="007E5BFA"/>
    <w:rsid w:val="007E6689"/>
    <w:rsid w:val="007E731C"/>
    <w:rsid w:val="007F0A03"/>
    <w:rsid w:val="007F3149"/>
    <w:rsid w:val="0080130D"/>
    <w:rsid w:val="008041E1"/>
    <w:rsid w:val="00810040"/>
    <w:rsid w:val="008104A8"/>
    <w:rsid w:val="00816F6A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5703D"/>
    <w:rsid w:val="00864B5A"/>
    <w:rsid w:val="0087510C"/>
    <w:rsid w:val="00882170"/>
    <w:rsid w:val="0089738E"/>
    <w:rsid w:val="00897585"/>
    <w:rsid w:val="008A6BA0"/>
    <w:rsid w:val="008B5FDB"/>
    <w:rsid w:val="008C50F4"/>
    <w:rsid w:val="008C5649"/>
    <w:rsid w:val="008D24A9"/>
    <w:rsid w:val="008E44A2"/>
    <w:rsid w:val="008E697D"/>
    <w:rsid w:val="00903263"/>
    <w:rsid w:val="00906A21"/>
    <w:rsid w:val="009079C3"/>
    <w:rsid w:val="00910462"/>
    <w:rsid w:val="009111C8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57D65"/>
    <w:rsid w:val="0096399A"/>
    <w:rsid w:val="00965897"/>
    <w:rsid w:val="00965C20"/>
    <w:rsid w:val="0096765C"/>
    <w:rsid w:val="009727E4"/>
    <w:rsid w:val="009755DE"/>
    <w:rsid w:val="00985ADC"/>
    <w:rsid w:val="009934C5"/>
    <w:rsid w:val="00994C0F"/>
    <w:rsid w:val="00997343"/>
    <w:rsid w:val="009A46AD"/>
    <w:rsid w:val="009B22D7"/>
    <w:rsid w:val="009B72ED"/>
    <w:rsid w:val="009C06B1"/>
    <w:rsid w:val="009C6DEB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8CD"/>
    <w:rsid w:val="00A06781"/>
    <w:rsid w:val="00A068FD"/>
    <w:rsid w:val="00A074C3"/>
    <w:rsid w:val="00A11364"/>
    <w:rsid w:val="00A1509C"/>
    <w:rsid w:val="00A17020"/>
    <w:rsid w:val="00A209F9"/>
    <w:rsid w:val="00A23D3E"/>
    <w:rsid w:val="00A24E03"/>
    <w:rsid w:val="00A34260"/>
    <w:rsid w:val="00A53ED0"/>
    <w:rsid w:val="00A5595B"/>
    <w:rsid w:val="00A61F80"/>
    <w:rsid w:val="00A649C6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B5EB9"/>
    <w:rsid w:val="00AC51F2"/>
    <w:rsid w:val="00AE5066"/>
    <w:rsid w:val="00AE5E24"/>
    <w:rsid w:val="00AE61B7"/>
    <w:rsid w:val="00AE6CBA"/>
    <w:rsid w:val="00AE79AD"/>
    <w:rsid w:val="00AF35E4"/>
    <w:rsid w:val="00AF5CDE"/>
    <w:rsid w:val="00B026A3"/>
    <w:rsid w:val="00B11A57"/>
    <w:rsid w:val="00B211C3"/>
    <w:rsid w:val="00B22DC8"/>
    <w:rsid w:val="00B25597"/>
    <w:rsid w:val="00B267B9"/>
    <w:rsid w:val="00B33E09"/>
    <w:rsid w:val="00B352C3"/>
    <w:rsid w:val="00B416C2"/>
    <w:rsid w:val="00B50708"/>
    <w:rsid w:val="00B50C68"/>
    <w:rsid w:val="00B51293"/>
    <w:rsid w:val="00B51B37"/>
    <w:rsid w:val="00B52B1E"/>
    <w:rsid w:val="00B53998"/>
    <w:rsid w:val="00B55481"/>
    <w:rsid w:val="00B56C32"/>
    <w:rsid w:val="00B57ACF"/>
    <w:rsid w:val="00B64BB1"/>
    <w:rsid w:val="00B73166"/>
    <w:rsid w:val="00B8426C"/>
    <w:rsid w:val="00B85A9F"/>
    <w:rsid w:val="00B87606"/>
    <w:rsid w:val="00B91B8D"/>
    <w:rsid w:val="00B94E90"/>
    <w:rsid w:val="00B96A96"/>
    <w:rsid w:val="00BA34DA"/>
    <w:rsid w:val="00BA6984"/>
    <w:rsid w:val="00BB0A82"/>
    <w:rsid w:val="00BB7C94"/>
    <w:rsid w:val="00BC0A9D"/>
    <w:rsid w:val="00BC2D00"/>
    <w:rsid w:val="00BD06FC"/>
    <w:rsid w:val="00BD2BD8"/>
    <w:rsid w:val="00BD334F"/>
    <w:rsid w:val="00BF40ED"/>
    <w:rsid w:val="00BF5BC2"/>
    <w:rsid w:val="00C022CD"/>
    <w:rsid w:val="00C1133D"/>
    <w:rsid w:val="00C27A08"/>
    <w:rsid w:val="00C31312"/>
    <w:rsid w:val="00C316E4"/>
    <w:rsid w:val="00C326C6"/>
    <w:rsid w:val="00C35295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2AD4"/>
    <w:rsid w:val="00C62D9F"/>
    <w:rsid w:val="00C656D5"/>
    <w:rsid w:val="00C67103"/>
    <w:rsid w:val="00C71BB9"/>
    <w:rsid w:val="00C74C90"/>
    <w:rsid w:val="00C8081A"/>
    <w:rsid w:val="00C85706"/>
    <w:rsid w:val="00C94C28"/>
    <w:rsid w:val="00CA3D85"/>
    <w:rsid w:val="00CB0247"/>
    <w:rsid w:val="00CB3440"/>
    <w:rsid w:val="00CC1692"/>
    <w:rsid w:val="00CC5D63"/>
    <w:rsid w:val="00CD138B"/>
    <w:rsid w:val="00CD28F3"/>
    <w:rsid w:val="00CD3E31"/>
    <w:rsid w:val="00CD74A3"/>
    <w:rsid w:val="00CE0527"/>
    <w:rsid w:val="00CE27D4"/>
    <w:rsid w:val="00CE5B23"/>
    <w:rsid w:val="00CF70AD"/>
    <w:rsid w:val="00CF7729"/>
    <w:rsid w:val="00D00059"/>
    <w:rsid w:val="00D107FA"/>
    <w:rsid w:val="00D12275"/>
    <w:rsid w:val="00D12766"/>
    <w:rsid w:val="00D175C6"/>
    <w:rsid w:val="00D205B2"/>
    <w:rsid w:val="00D20FF4"/>
    <w:rsid w:val="00D21DDE"/>
    <w:rsid w:val="00D24D2C"/>
    <w:rsid w:val="00D25BE4"/>
    <w:rsid w:val="00D34D6F"/>
    <w:rsid w:val="00D35881"/>
    <w:rsid w:val="00D94DA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2835"/>
    <w:rsid w:val="00E23E8D"/>
    <w:rsid w:val="00E37F98"/>
    <w:rsid w:val="00E41B73"/>
    <w:rsid w:val="00E462ED"/>
    <w:rsid w:val="00E46559"/>
    <w:rsid w:val="00E51FE3"/>
    <w:rsid w:val="00E6670C"/>
    <w:rsid w:val="00E70682"/>
    <w:rsid w:val="00E776E8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4BD8"/>
    <w:rsid w:val="00EC63EB"/>
    <w:rsid w:val="00ED412F"/>
    <w:rsid w:val="00EE2614"/>
    <w:rsid w:val="00EE57BC"/>
    <w:rsid w:val="00EF2AE2"/>
    <w:rsid w:val="00EF36B2"/>
    <w:rsid w:val="00EF5F67"/>
    <w:rsid w:val="00F0006E"/>
    <w:rsid w:val="00F201EC"/>
    <w:rsid w:val="00F208A9"/>
    <w:rsid w:val="00F41D75"/>
    <w:rsid w:val="00F5139D"/>
    <w:rsid w:val="00F608D9"/>
    <w:rsid w:val="00F63DAC"/>
    <w:rsid w:val="00F7379A"/>
    <w:rsid w:val="00F7454F"/>
    <w:rsid w:val="00F77988"/>
    <w:rsid w:val="00F77F48"/>
    <w:rsid w:val="00F9543F"/>
    <w:rsid w:val="00F95F85"/>
    <w:rsid w:val="00FA0D67"/>
    <w:rsid w:val="00FB30F1"/>
    <w:rsid w:val="00FB53E7"/>
    <w:rsid w:val="00FC7284"/>
    <w:rsid w:val="00FD4AA0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1A8A-B84A-4FDF-A416-E759FDA7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2774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Turkmenistānas valdības līgumu par sadarbību izglītības jomā</vt:lpstr>
    </vt:vector>
  </TitlesOfParts>
  <Company>Valsts kanceleja, Politikas koordinācijas departaments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līgumu par sadarbību izglītības, zinātnes un jaunatnes jomā</dc:title>
  <dc:subject>IZMAnot_240513_Kazahstana</dc:subject>
  <dc:creator>Aļina Kučinska</dc:creator>
  <cp:keywords/>
  <dc:description>67047906_x000d_
Alina.Kucinska@izm.gov.lv</dc:description>
  <cp:lastModifiedBy>akucinska</cp:lastModifiedBy>
  <cp:revision>24</cp:revision>
  <cp:lastPrinted>2013-04-23T07:29:00Z</cp:lastPrinted>
  <dcterms:created xsi:type="dcterms:W3CDTF">2013-03-07T11:30:00Z</dcterms:created>
  <dcterms:modified xsi:type="dcterms:W3CDTF">2013-05-27T12:02:00Z</dcterms:modified>
</cp:coreProperties>
</file>