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69" w:rsidRDefault="00BF5E69" w:rsidP="0077650E">
      <w:pPr>
        <w:pStyle w:val="BodyText"/>
        <w:spacing w:before="120"/>
        <w:rPr>
          <w:sz w:val="28"/>
          <w:szCs w:val="28"/>
        </w:rPr>
      </w:pPr>
    </w:p>
    <w:p w:rsidR="00A34702" w:rsidRPr="00CE78E3" w:rsidRDefault="00A34702" w:rsidP="0077650E">
      <w:pPr>
        <w:pStyle w:val="BodyText"/>
        <w:spacing w:before="120"/>
        <w:rPr>
          <w:sz w:val="28"/>
          <w:szCs w:val="28"/>
        </w:rPr>
      </w:pPr>
      <w:r w:rsidRPr="00CE78E3">
        <w:rPr>
          <w:sz w:val="28"/>
          <w:szCs w:val="28"/>
        </w:rPr>
        <w:t xml:space="preserve">Informatīvais </w:t>
      </w:r>
      <w:smartTag w:uri="schemas-tilde-lv/tildestengine" w:element="veidnes">
        <w:smartTagPr>
          <w:attr w:name="id" w:val="-1"/>
          <w:attr w:name="baseform" w:val="ziņojums"/>
          <w:attr w:name="text" w:val="ziņojums"/>
        </w:smartTagPr>
        <w:r w:rsidRPr="00CE78E3">
          <w:rPr>
            <w:sz w:val="28"/>
            <w:szCs w:val="28"/>
          </w:rPr>
          <w:t>ziņojums</w:t>
        </w:r>
      </w:smartTag>
    </w:p>
    <w:p w:rsidR="00A34702" w:rsidRPr="00CE78E3" w:rsidRDefault="00E80E2B" w:rsidP="00E80E2B">
      <w:pPr>
        <w:pStyle w:val="BodyText"/>
        <w:spacing w:before="120"/>
        <w:rPr>
          <w:sz w:val="28"/>
          <w:szCs w:val="28"/>
        </w:rPr>
      </w:pPr>
      <w:r>
        <w:rPr>
          <w:sz w:val="28"/>
          <w:szCs w:val="28"/>
        </w:rPr>
        <w:t>p</w:t>
      </w:r>
      <w:r w:rsidR="00446491" w:rsidRPr="00CE78E3">
        <w:rPr>
          <w:sz w:val="28"/>
          <w:szCs w:val="28"/>
        </w:rPr>
        <w:t>ar 20</w:t>
      </w:r>
      <w:r w:rsidR="00446491">
        <w:rPr>
          <w:sz w:val="28"/>
          <w:szCs w:val="28"/>
        </w:rPr>
        <w:t>12</w:t>
      </w:r>
      <w:r w:rsidR="00446491" w:rsidRPr="00CE78E3">
        <w:rPr>
          <w:sz w:val="28"/>
          <w:szCs w:val="28"/>
        </w:rPr>
        <w:t xml:space="preserve">.gada </w:t>
      </w:r>
      <w:r w:rsidR="00846724">
        <w:rPr>
          <w:sz w:val="28"/>
          <w:szCs w:val="28"/>
        </w:rPr>
        <w:t>10.-11.</w:t>
      </w:r>
      <w:r w:rsidR="00563025">
        <w:rPr>
          <w:sz w:val="28"/>
          <w:szCs w:val="28"/>
        </w:rPr>
        <w:t>decembra</w:t>
      </w:r>
      <w:r w:rsidR="00446491" w:rsidRPr="00CE78E3">
        <w:rPr>
          <w:sz w:val="28"/>
          <w:szCs w:val="28"/>
        </w:rPr>
        <w:t xml:space="preserve"> Eiropas </w:t>
      </w:r>
      <w:r w:rsidR="00446491" w:rsidRPr="007B18F7">
        <w:rPr>
          <w:sz w:val="28"/>
          <w:szCs w:val="28"/>
        </w:rPr>
        <w:t>Savienības Konkurētspējas</w:t>
      </w:r>
      <w:r w:rsidR="00446491" w:rsidRPr="00CE78E3">
        <w:rPr>
          <w:sz w:val="28"/>
          <w:szCs w:val="28"/>
        </w:rPr>
        <w:t xml:space="preserve"> ministru padomē izskatāmajiem </w:t>
      </w:r>
      <w:r>
        <w:rPr>
          <w:sz w:val="28"/>
          <w:szCs w:val="28"/>
        </w:rPr>
        <w:t xml:space="preserve">Izglītības un zinātnes ministrijas </w:t>
      </w:r>
      <w:r w:rsidR="00563025">
        <w:rPr>
          <w:sz w:val="28"/>
          <w:szCs w:val="28"/>
        </w:rPr>
        <w:t xml:space="preserve">kompetences </w:t>
      </w:r>
      <w:r w:rsidR="00446491" w:rsidRPr="00CE78E3">
        <w:rPr>
          <w:sz w:val="28"/>
          <w:szCs w:val="28"/>
        </w:rPr>
        <w:t>jautājumiem</w:t>
      </w:r>
    </w:p>
    <w:p w:rsidR="00A34702" w:rsidRPr="00CE78E3" w:rsidRDefault="00A34702" w:rsidP="0077650E">
      <w:pPr>
        <w:jc w:val="center"/>
        <w:rPr>
          <w:b/>
          <w:sz w:val="28"/>
          <w:szCs w:val="28"/>
        </w:rPr>
      </w:pPr>
    </w:p>
    <w:p w:rsidR="00910E9A" w:rsidRPr="00E80E2B" w:rsidRDefault="001A2BD3" w:rsidP="00AA4667">
      <w:pPr>
        <w:pStyle w:val="Heading2"/>
        <w:spacing w:before="0" w:after="0"/>
        <w:jc w:val="both"/>
        <w:rPr>
          <w:rFonts w:ascii="Times New Roman" w:hAnsi="Times New Roman" w:cs="Times New Roman"/>
          <w:b w:val="0"/>
          <w:i w:val="0"/>
        </w:rPr>
      </w:pPr>
      <w:r w:rsidRPr="00E80E2B">
        <w:rPr>
          <w:rFonts w:ascii="Times New Roman" w:hAnsi="Times New Roman" w:cs="Times New Roman"/>
          <w:b w:val="0"/>
          <w:i w:val="0"/>
        </w:rPr>
        <w:t>201</w:t>
      </w:r>
      <w:r w:rsidR="00811B5F" w:rsidRPr="00E80E2B">
        <w:rPr>
          <w:rFonts w:ascii="Times New Roman" w:hAnsi="Times New Roman" w:cs="Times New Roman"/>
          <w:b w:val="0"/>
          <w:i w:val="0"/>
        </w:rPr>
        <w:t>2</w:t>
      </w:r>
      <w:r w:rsidRPr="00E80E2B">
        <w:rPr>
          <w:rFonts w:ascii="Times New Roman" w:hAnsi="Times New Roman" w:cs="Times New Roman"/>
          <w:b w:val="0"/>
          <w:i w:val="0"/>
        </w:rPr>
        <w:t xml:space="preserve">.gada </w:t>
      </w:r>
      <w:r w:rsidR="00CD1836">
        <w:rPr>
          <w:rFonts w:ascii="Times New Roman" w:hAnsi="Times New Roman" w:cs="Times New Roman"/>
          <w:b w:val="0"/>
          <w:i w:val="0"/>
        </w:rPr>
        <w:t>10.-11</w:t>
      </w:r>
      <w:r w:rsidR="002438DA">
        <w:rPr>
          <w:rFonts w:ascii="Times New Roman" w:hAnsi="Times New Roman" w:cs="Times New Roman"/>
          <w:b w:val="0"/>
          <w:i w:val="0"/>
        </w:rPr>
        <w:t>.decembrī</w:t>
      </w:r>
      <w:r w:rsidR="00CD1836">
        <w:rPr>
          <w:rFonts w:ascii="Times New Roman" w:hAnsi="Times New Roman" w:cs="Times New Roman"/>
          <w:b w:val="0"/>
          <w:i w:val="0"/>
        </w:rPr>
        <w:t xml:space="preserve"> </w:t>
      </w:r>
      <w:r w:rsidR="002438DA">
        <w:rPr>
          <w:rFonts w:ascii="Times New Roman" w:hAnsi="Times New Roman" w:cs="Times New Roman"/>
          <w:b w:val="0"/>
          <w:i w:val="0"/>
        </w:rPr>
        <w:t>Briselē</w:t>
      </w:r>
      <w:r w:rsidR="00846724">
        <w:rPr>
          <w:rFonts w:ascii="Times New Roman" w:hAnsi="Times New Roman" w:cs="Times New Roman"/>
          <w:b w:val="0"/>
          <w:i w:val="0"/>
        </w:rPr>
        <w:t xml:space="preserve"> (</w:t>
      </w:r>
      <w:r w:rsidR="002438DA">
        <w:rPr>
          <w:rFonts w:ascii="Times New Roman" w:hAnsi="Times New Roman" w:cs="Times New Roman"/>
          <w:b w:val="0"/>
          <w:i w:val="0"/>
        </w:rPr>
        <w:t>Beļģijā</w:t>
      </w:r>
      <w:r w:rsidR="00846724">
        <w:rPr>
          <w:rFonts w:ascii="Times New Roman" w:hAnsi="Times New Roman" w:cs="Times New Roman"/>
          <w:b w:val="0"/>
          <w:i w:val="0"/>
        </w:rPr>
        <w:t>)</w:t>
      </w:r>
      <w:r w:rsidR="00D31D05" w:rsidRPr="00E80E2B">
        <w:rPr>
          <w:rFonts w:ascii="Times New Roman" w:hAnsi="Times New Roman" w:cs="Times New Roman"/>
          <w:b w:val="0"/>
          <w:i w:val="0"/>
        </w:rPr>
        <w:t xml:space="preserve"> notiks </w:t>
      </w:r>
      <w:r w:rsidR="00D86226" w:rsidRPr="00E80E2B">
        <w:rPr>
          <w:rFonts w:ascii="Times New Roman" w:hAnsi="Times New Roman" w:cs="Times New Roman"/>
          <w:b w:val="0"/>
          <w:i w:val="0"/>
        </w:rPr>
        <w:t>ES Konkurētspējas ministru padome</w:t>
      </w:r>
      <w:r w:rsidR="00D86226" w:rsidRPr="00E80E2B">
        <w:rPr>
          <w:rFonts w:ascii="Times New Roman" w:hAnsi="Times New Roman" w:cs="Times New Roman"/>
          <w:b w:val="0"/>
          <w:bCs w:val="0"/>
          <w:i w:val="0"/>
        </w:rPr>
        <w:t>.</w:t>
      </w:r>
      <w:r w:rsidR="00D31D05" w:rsidRPr="00E80E2B">
        <w:rPr>
          <w:rFonts w:ascii="Times New Roman" w:hAnsi="Times New Roman" w:cs="Times New Roman"/>
          <w:b w:val="0"/>
          <w:i w:val="0"/>
        </w:rPr>
        <w:t xml:space="preserve"> Plānots, ka tajā tiks izskatīti sekojoši jautājumi, kas ir Izglītības un zinātnes ministrijas kompetencē</w:t>
      </w:r>
      <w:r w:rsidR="00042856" w:rsidRPr="00E80E2B">
        <w:rPr>
          <w:rFonts w:ascii="Times New Roman" w:hAnsi="Times New Roman" w:cs="Times New Roman"/>
          <w:b w:val="0"/>
          <w:i w:val="0"/>
        </w:rPr>
        <w:t>:</w:t>
      </w:r>
    </w:p>
    <w:p w:rsidR="00042856" w:rsidRPr="00042856" w:rsidRDefault="00042856" w:rsidP="00042856"/>
    <w:p w:rsidR="001D1B8F" w:rsidRPr="002A5AFF" w:rsidRDefault="00087C29" w:rsidP="00682FC2">
      <w:pPr>
        <w:pStyle w:val="Statut"/>
        <w:spacing w:before="0"/>
        <w:jc w:val="both"/>
        <w:rPr>
          <w:sz w:val="28"/>
          <w:szCs w:val="28"/>
          <w:highlight w:val="yellow"/>
        </w:rPr>
      </w:pPr>
      <w:r w:rsidRPr="00682FC2">
        <w:rPr>
          <w:noProof/>
          <w:sz w:val="28"/>
          <w:szCs w:val="28"/>
        </w:rPr>
        <w:t xml:space="preserve">1. </w:t>
      </w:r>
      <w:r w:rsidR="00682FC2" w:rsidRPr="00682FC2">
        <w:rPr>
          <w:noProof/>
          <w:sz w:val="28"/>
          <w:szCs w:val="28"/>
        </w:rPr>
        <w:t>Padomes lēmums,</w:t>
      </w:r>
      <w:r w:rsidR="001B7DE0">
        <w:rPr>
          <w:noProof/>
          <w:sz w:val="28"/>
          <w:szCs w:val="28"/>
        </w:rPr>
        <w:t xml:space="preserve"> </w:t>
      </w:r>
      <w:r w:rsidR="00682FC2" w:rsidRPr="00682FC2">
        <w:rPr>
          <w:noProof/>
          <w:sz w:val="28"/>
          <w:szCs w:val="28"/>
        </w:rPr>
        <w:t>ar ko izveido īpašo programmu, ar kuru īsteno Pētniecības un inovāciju pamatprogrammu 2014.–2020. gadam “Horizonts 2020”- d</w:t>
      </w:r>
      <w:proofErr w:type="spellStart"/>
      <w:r w:rsidR="00682FC2" w:rsidRPr="00682FC2">
        <w:rPr>
          <w:sz w:val="28"/>
          <w:szCs w:val="28"/>
        </w:rPr>
        <w:t>aļēja</w:t>
      </w:r>
      <w:proofErr w:type="spellEnd"/>
      <w:r w:rsidR="00682FC2" w:rsidRPr="00682FC2">
        <w:rPr>
          <w:sz w:val="28"/>
          <w:szCs w:val="28"/>
        </w:rPr>
        <w:t xml:space="preserve"> vispārēja pieeja;</w:t>
      </w:r>
    </w:p>
    <w:p w:rsidR="000113D3" w:rsidRPr="002A5AFF" w:rsidRDefault="000113D3" w:rsidP="00682FC2">
      <w:pPr>
        <w:pStyle w:val="Statut"/>
        <w:spacing w:before="0"/>
        <w:jc w:val="both"/>
        <w:rPr>
          <w:bCs/>
          <w:color w:val="FF0000"/>
          <w:sz w:val="28"/>
          <w:szCs w:val="28"/>
        </w:rPr>
      </w:pPr>
      <w:r w:rsidRPr="002A5AFF">
        <w:rPr>
          <w:sz w:val="28"/>
          <w:szCs w:val="28"/>
        </w:rPr>
        <w:t xml:space="preserve">2. </w:t>
      </w:r>
      <w:r w:rsidRPr="002A5AFF">
        <w:rPr>
          <w:noProof/>
          <w:sz w:val="28"/>
          <w:szCs w:val="28"/>
        </w:rPr>
        <w:t>Priekšlikums Padomes regulai par Eiropas Atomenerģijas kopienas pētniecības un mācību programmu 2014.–2018. gadam, kas papildina pētniecības un inovācijas pamatprogrammu “Horizonts 2020” - Progresa ziņojums;</w:t>
      </w:r>
    </w:p>
    <w:p w:rsidR="001D1B8F" w:rsidRDefault="001D233C" w:rsidP="00682FC2">
      <w:pPr>
        <w:pStyle w:val="Statut"/>
        <w:spacing w:before="0"/>
        <w:jc w:val="both"/>
        <w:rPr>
          <w:sz w:val="28"/>
          <w:szCs w:val="28"/>
        </w:rPr>
      </w:pPr>
      <w:r w:rsidRPr="002A5AFF">
        <w:rPr>
          <w:noProof/>
          <w:sz w:val="28"/>
          <w:szCs w:val="28"/>
        </w:rPr>
        <w:t xml:space="preserve">3. </w:t>
      </w:r>
      <w:r w:rsidR="00916F85" w:rsidRPr="002A5AFF">
        <w:rPr>
          <w:sz w:val="28"/>
          <w:szCs w:val="28"/>
        </w:rPr>
        <w:t>Priekšlikums Eiropas Parlamenta un Padomes lēmumam par Eiropas Inovācijas un tehnoloģiju institūta (EIT) S</w:t>
      </w:r>
      <w:bookmarkStart w:id="0" w:name="_GoBack"/>
      <w:bookmarkEnd w:id="0"/>
      <w:r w:rsidR="00916F85" w:rsidRPr="002A5AFF">
        <w:rPr>
          <w:sz w:val="28"/>
          <w:szCs w:val="28"/>
        </w:rPr>
        <w:t>tratēģisko inovācijas dienaskārtību: EIT ieguldījums inovācijas veicināšanā Eiropā - daļēja vispārēja pieeja;</w:t>
      </w:r>
    </w:p>
    <w:p w:rsidR="00624D6A" w:rsidRPr="00624D6A" w:rsidRDefault="002A5AFF" w:rsidP="00682FC2">
      <w:pPr>
        <w:pStyle w:val="Titreobjet"/>
        <w:spacing w:before="0" w:after="0"/>
        <w:jc w:val="both"/>
        <w:rPr>
          <w:b w:val="0"/>
          <w:noProof/>
          <w:sz w:val="28"/>
          <w:szCs w:val="28"/>
        </w:rPr>
      </w:pPr>
      <w:r w:rsidRPr="00624D6A">
        <w:rPr>
          <w:b w:val="0"/>
          <w:sz w:val="28"/>
          <w:szCs w:val="28"/>
          <w:lang w:eastAsia="de-DE"/>
        </w:rPr>
        <w:t xml:space="preserve">4. </w:t>
      </w:r>
      <w:r w:rsidR="00624D6A" w:rsidRPr="00624D6A">
        <w:rPr>
          <w:b w:val="0"/>
          <w:noProof/>
          <w:sz w:val="28"/>
          <w:szCs w:val="28"/>
        </w:rPr>
        <w:t>Padomes secinājumu projekts „Stiprāka Eiropas Pētniecības telpas dalība izcilībai un izaugsmei”;</w:t>
      </w:r>
    </w:p>
    <w:p w:rsidR="00D959C0" w:rsidRDefault="00D959C0" w:rsidP="00682FC2">
      <w:pPr>
        <w:pStyle w:val="ListParagraph"/>
        <w:spacing w:line="240" w:lineRule="auto"/>
        <w:ind w:left="0"/>
        <w:jc w:val="both"/>
        <w:rPr>
          <w:noProof/>
          <w:sz w:val="28"/>
          <w:szCs w:val="28"/>
        </w:rPr>
      </w:pPr>
      <w:r w:rsidRPr="00D959C0">
        <w:rPr>
          <w:rFonts w:eastAsiaTheme="minorHAnsi"/>
          <w:bCs/>
          <w:sz w:val="28"/>
          <w:szCs w:val="28"/>
        </w:rPr>
        <w:t xml:space="preserve">5. Eiropas Komisijas paziņojums „Uzlabot un koncentrēt ES starptautisko sadarbību pētniecībā un inovācijā” </w:t>
      </w:r>
      <w:r w:rsidRPr="00D959C0">
        <w:rPr>
          <w:sz w:val="28"/>
          <w:szCs w:val="28"/>
        </w:rPr>
        <w:t xml:space="preserve">– </w:t>
      </w:r>
      <w:r w:rsidRPr="00D959C0">
        <w:rPr>
          <w:noProof/>
          <w:sz w:val="28"/>
          <w:szCs w:val="28"/>
        </w:rPr>
        <w:t>iepazīstināšana un viedokļu apmaiņa;</w:t>
      </w:r>
    </w:p>
    <w:p w:rsidR="00D959C0" w:rsidRPr="00D959C0" w:rsidRDefault="00D959C0" w:rsidP="00682FC2">
      <w:pPr>
        <w:pStyle w:val="ListParagraph"/>
        <w:spacing w:line="240" w:lineRule="auto"/>
        <w:ind w:left="0"/>
        <w:jc w:val="both"/>
        <w:rPr>
          <w:sz w:val="28"/>
          <w:szCs w:val="28"/>
        </w:rPr>
      </w:pPr>
      <w:r w:rsidRPr="00D959C0">
        <w:rPr>
          <w:sz w:val="28"/>
          <w:szCs w:val="28"/>
        </w:rPr>
        <w:t xml:space="preserve">6. </w:t>
      </w:r>
      <w:r>
        <w:rPr>
          <w:sz w:val="28"/>
          <w:szCs w:val="28"/>
        </w:rPr>
        <w:t xml:space="preserve">Eiropas </w:t>
      </w:r>
      <w:r w:rsidRPr="00D959C0">
        <w:rPr>
          <w:sz w:val="28"/>
          <w:szCs w:val="28"/>
        </w:rPr>
        <w:t>Komisijas paziņojums Padomei un Eiropas Parlamentam „Nepieciešamo attiecību izveide starp ES un Eiropas Kosmosa aģentūru” -</w:t>
      </w:r>
      <w:r w:rsidRPr="00D959C0">
        <w:rPr>
          <w:sz w:val="28"/>
          <w:szCs w:val="28"/>
        </w:rPr>
        <w:tab/>
        <w:t xml:space="preserve"> </w:t>
      </w:r>
      <w:r w:rsidRPr="00D959C0">
        <w:rPr>
          <w:noProof/>
          <w:sz w:val="28"/>
          <w:szCs w:val="28"/>
        </w:rPr>
        <w:t>Komisijas sniegta informācija un ministru viedokļu apmaiņa</w:t>
      </w:r>
      <w:r>
        <w:rPr>
          <w:noProof/>
          <w:sz w:val="28"/>
          <w:szCs w:val="28"/>
        </w:rPr>
        <w:t>.</w:t>
      </w:r>
    </w:p>
    <w:p w:rsidR="00D959C0" w:rsidRPr="00624D6A" w:rsidRDefault="00D959C0" w:rsidP="00624D6A">
      <w:pPr>
        <w:rPr>
          <w:lang w:eastAsia="en-GB"/>
        </w:rPr>
      </w:pPr>
    </w:p>
    <w:p w:rsidR="003028A7" w:rsidRDefault="003028A7" w:rsidP="001D233C">
      <w:pPr>
        <w:jc w:val="both"/>
        <w:rPr>
          <w:i/>
          <w:noProof/>
          <w:sz w:val="28"/>
          <w:szCs w:val="28"/>
        </w:rPr>
      </w:pPr>
    </w:p>
    <w:p w:rsidR="001D1B8F" w:rsidRPr="00682FC2" w:rsidRDefault="00682FC2" w:rsidP="00682FC2">
      <w:pPr>
        <w:autoSpaceDE w:val="0"/>
        <w:autoSpaceDN w:val="0"/>
        <w:adjustRightInd w:val="0"/>
        <w:jc w:val="both"/>
        <w:rPr>
          <w:b/>
          <w:sz w:val="28"/>
          <w:szCs w:val="28"/>
          <w:lang w:eastAsia="de-DE"/>
        </w:rPr>
      </w:pPr>
      <w:r>
        <w:rPr>
          <w:b/>
          <w:noProof/>
          <w:sz w:val="28"/>
          <w:szCs w:val="28"/>
        </w:rPr>
        <w:t xml:space="preserve">1. </w:t>
      </w:r>
      <w:r w:rsidRPr="00682FC2">
        <w:rPr>
          <w:b/>
          <w:noProof/>
          <w:sz w:val="28"/>
          <w:szCs w:val="28"/>
        </w:rPr>
        <w:t>Padomes lēmums,</w:t>
      </w:r>
      <w:r w:rsidR="001B7DE0">
        <w:rPr>
          <w:b/>
          <w:noProof/>
          <w:sz w:val="28"/>
          <w:szCs w:val="28"/>
        </w:rPr>
        <w:t xml:space="preserve"> </w:t>
      </w:r>
      <w:r w:rsidRPr="00682FC2">
        <w:rPr>
          <w:b/>
          <w:noProof/>
          <w:sz w:val="28"/>
          <w:szCs w:val="28"/>
        </w:rPr>
        <w:t>ar ko izveido īpašo programmu, ar kuru īsteno Pētniecības un inovāciju pamatprogrammu 2014.–2020. gadam “Horizonts 2020”- d</w:t>
      </w:r>
      <w:proofErr w:type="spellStart"/>
      <w:r w:rsidRPr="00682FC2">
        <w:rPr>
          <w:b/>
          <w:sz w:val="28"/>
          <w:szCs w:val="28"/>
          <w:lang w:eastAsia="de-DE"/>
        </w:rPr>
        <w:t>aļēja</w:t>
      </w:r>
      <w:proofErr w:type="spellEnd"/>
      <w:r w:rsidRPr="00682FC2">
        <w:rPr>
          <w:b/>
          <w:sz w:val="28"/>
          <w:szCs w:val="28"/>
          <w:lang w:eastAsia="de-DE"/>
        </w:rPr>
        <w:t xml:space="preserve"> vispārēja pieeja</w:t>
      </w:r>
    </w:p>
    <w:p w:rsidR="00682FC2" w:rsidRDefault="00682FC2" w:rsidP="003E783D">
      <w:pPr>
        <w:pStyle w:val="ManualNumPar1"/>
        <w:spacing w:before="0" w:after="0"/>
        <w:ind w:left="0" w:firstLine="0"/>
        <w:rPr>
          <w:noProof/>
          <w:sz w:val="28"/>
          <w:szCs w:val="28"/>
        </w:rPr>
      </w:pPr>
    </w:p>
    <w:p w:rsidR="003E783D" w:rsidRPr="00426798" w:rsidRDefault="003E783D" w:rsidP="003E783D">
      <w:pPr>
        <w:pStyle w:val="ManualNumPar1"/>
        <w:spacing w:before="0" w:after="0"/>
        <w:ind w:left="0" w:firstLine="0"/>
        <w:rPr>
          <w:noProof/>
          <w:sz w:val="28"/>
          <w:szCs w:val="28"/>
        </w:rPr>
      </w:pPr>
      <w:r w:rsidRPr="00426798">
        <w:rPr>
          <w:noProof/>
          <w:sz w:val="28"/>
          <w:szCs w:val="28"/>
        </w:rPr>
        <w:t xml:space="preserve">Eiropas Komisija (EK) izveido īpašo programmu, ar ko īsteno Pētniecības un inovāciju pamatprogrammu 2014.–2020. gadam “Horizonts 2020” (turpmāk “īpašā programma”). </w:t>
      </w:r>
      <w:r w:rsidRPr="00426798">
        <w:rPr>
          <w:b/>
          <w:noProof/>
          <w:sz w:val="28"/>
          <w:szCs w:val="28"/>
        </w:rPr>
        <w:t>Īpašo programmu veido</w:t>
      </w:r>
      <w:r w:rsidRPr="00426798">
        <w:rPr>
          <w:noProof/>
          <w:sz w:val="28"/>
          <w:szCs w:val="28"/>
        </w:rPr>
        <w:t xml:space="preserve"> šādas daļas:</w:t>
      </w:r>
    </w:p>
    <w:p w:rsidR="003E783D" w:rsidRPr="00426798" w:rsidRDefault="003E783D" w:rsidP="003E783D">
      <w:pPr>
        <w:pStyle w:val="Point1letter"/>
        <w:spacing w:before="0" w:after="0"/>
        <w:ind w:left="1418"/>
        <w:rPr>
          <w:noProof/>
          <w:sz w:val="28"/>
          <w:szCs w:val="28"/>
        </w:rPr>
      </w:pPr>
      <w:r w:rsidRPr="00426798">
        <w:rPr>
          <w:noProof/>
          <w:sz w:val="28"/>
          <w:szCs w:val="28"/>
        </w:rPr>
        <w:t>“Zinātnes izcilība”;</w:t>
      </w:r>
    </w:p>
    <w:p w:rsidR="003E783D" w:rsidRPr="00426798" w:rsidRDefault="003E783D" w:rsidP="003E783D">
      <w:pPr>
        <w:pStyle w:val="Point1letter"/>
        <w:spacing w:before="0" w:after="0"/>
        <w:ind w:left="1418"/>
        <w:rPr>
          <w:noProof/>
          <w:sz w:val="28"/>
          <w:szCs w:val="28"/>
        </w:rPr>
      </w:pPr>
      <w:r w:rsidRPr="00426798">
        <w:rPr>
          <w:noProof/>
          <w:sz w:val="28"/>
          <w:szCs w:val="28"/>
        </w:rPr>
        <w:t>“Vadošā loma rūpniecībā”;</w:t>
      </w:r>
    </w:p>
    <w:p w:rsidR="003E783D" w:rsidRPr="00426798" w:rsidRDefault="003E783D" w:rsidP="003E783D">
      <w:pPr>
        <w:pStyle w:val="Point1letter"/>
        <w:spacing w:before="0" w:after="0"/>
        <w:ind w:left="1418"/>
        <w:rPr>
          <w:noProof/>
          <w:sz w:val="28"/>
          <w:szCs w:val="28"/>
        </w:rPr>
      </w:pPr>
      <w:r w:rsidRPr="00426798">
        <w:rPr>
          <w:noProof/>
          <w:sz w:val="28"/>
          <w:szCs w:val="28"/>
        </w:rPr>
        <w:t>“Sabiedrības problēmu risināšana”;</w:t>
      </w:r>
    </w:p>
    <w:p w:rsidR="003E783D" w:rsidRPr="00426798" w:rsidRDefault="003E783D" w:rsidP="003E783D">
      <w:pPr>
        <w:pStyle w:val="Point1letter"/>
        <w:spacing w:before="0" w:after="0"/>
        <w:ind w:left="1418"/>
        <w:rPr>
          <w:sz w:val="28"/>
          <w:szCs w:val="28"/>
          <w:lang w:eastAsia="de-DE"/>
        </w:rPr>
      </w:pPr>
      <w:r w:rsidRPr="00426798">
        <w:rPr>
          <w:noProof/>
          <w:sz w:val="28"/>
          <w:szCs w:val="28"/>
        </w:rPr>
        <w:t>“Ar kodolenerģiju nesaistītas Kopīgā pētniecības centra (JRC) tiešās darbības”.</w:t>
      </w:r>
    </w:p>
    <w:p w:rsidR="003E783D" w:rsidRPr="00426798" w:rsidRDefault="003E783D" w:rsidP="003E783D">
      <w:pPr>
        <w:pStyle w:val="ManualNumPar1"/>
        <w:spacing w:before="0" w:after="0"/>
        <w:ind w:left="0" w:firstLine="0"/>
        <w:rPr>
          <w:noProof/>
          <w:sz w:val="28"/>
          <w:szCs w:val="28"/>
        </w:rPr>
      </w:pPr>
      <w:r w:rsidRPr="00426798">
        <w:rPr>
          <w:noProof/>
          <w:sz w:val="28"/>
          <w:szCs w:val="28"/>
        </w:rPr>
        <w:t xml:space="preserve">“Zinātnes izcilības”  mērķi ir </w:t>
      </w:r>
      <w:r w:rsidRPr="00426798">
        <w:rPr>
          <w:noProof/>
          <w:sz w:val="28"/>
          <w:szCs w:val="28"/>
        </w:rPr>
        <w:tab/>
        <w:t xml:space="preserve">stiprināt progresīvo pētījumu jomu, īstenojot Eiropas Pētniecības padomes (ERC) darbības, stiprināt pētniecību nākotnes un jauno tehnoloģiju jomā, stiprināt prasmes, apmācību un profesionālo izaugsmi, </w:t>
      </w:r>
      <w:r w:rsidRPr="00426798">
        <w:rPr>
          <w:noProof/>
          <w:sz w:val="28"/>
          <w:szCs w:val="28"/>
        </w:rPr>
        <w:lastRenderedPageBreak/>
        <w:t>īstenojot Marijas Sklodovskas-Kirī vārdā nosauktās darbības (MSCA), stiprināt Eiropas pētniecības infrastruktūras, tostarp e-infrastruktūras.</w:t>
      </w:r>
    </w:p>
    <w:p w:rsidR="003E783D" w:rsidRPr="00426798" w:rsidRDefault="003E783D" w:rsidP="003E783D">
      <w:pPr>
        <w:pStyle w:val="ManualNumPar1"/>
        <w:spacing w:before="0" w:after="0"/>
        <w:ind w:left="0" w:firstLine="0"/>
        <w:rPr>
          <w:noProof/>
          <w:sz w:val="28"/>
          <w:szCs w:val="28"/>
        </w:rPr>
      </w:pPr>
      <w:r w:rsidRPr="00426798">
        <w:rPr>
          <w:noProof/>
          <w:sz w:val="28"/>
          <w:szCs w:val="28"/>
        </w:rPr>
        <w:t xml:space="preserve">“Vadošā loma rūpniecībā” </w:t>
      </w:r>
      <w:r w:rsidR="002A5AFF">
        <w:rPr>
          <w:noProof/>
          <w:sz w:val="28"/>
          <w:szCs w:val="28"/>
        </w:rPr>
        <w:t xml:space="preserve">sadaļas </w:t>
      </w:r>
      <w:r w:rsidRPr="00426798">
        <w:rPr>
          <w:noProof/>
          <w:sz w:val="28"/>
          <w:szCs w:val="28"/>
        </w:rPr>
        <w:t>mērķis ir stiprināt vadošo lomu rūpniecībā un veicināt konkurētspēju; uzlabot Eiropas vadošo lomu rūpniecībā, īstenojot pētniecības, tehnoloģijas attīstības, demonstrējumu un inovācijas darbības šādās jomās (informācijas un komunikācijas tehnoloģijas, nanotehnoloģijas, progresīvie materiāli, biotehnoloģija, progresīvā ražošana un apstrāde, kosmoss); uzlabot piekļuvi riska finansējumam ieguldījumiem pētniecības un inovācijas jomā; palielināt inovācijas mazos un vidējos uzņēmumos (MVU).</w:t>
      </w:r>
    </w:p>
    <w:p w:rsidR="003E783D" w:rsidRPr="00426798" w:rsidRDefault="003E783D" w:rsidP="003E783D">
      <w:pPr>
        <w:pStyle w:val="ManualNumPar1"/>
        <w:spacing w:before="0" w:after="0"/>
        <w:ind w:left="0" w:firstLine="0"/>
        <w:rPr>
          <w:noProof/>
          <w:sz w:val="28"/>
          <w:szCs w:val="28"/>
        </w:rPr>
      </w:pPr>
      <w:r w:rsidRPr="00426798">
        <w:rPr>
          <w:noProof/>
          <w:sz w:val="28"/>
          <w:szCs w:val="28"/>
        </w:rPr>
        <w:t xml:space="preserve">Īstenojot daļu “Sabiedrības problēmu risināšana”, mērķis ir </w:t>
      </w:r>
      <w:r w:rsidRPr="00426798">
        <w:rPr>
          <w:noProof/>
          <w:sz w:val="28"/>
          <w:szCs w:val="28"/>
        </w:rPr>
        <w:tab/>
        <w:t>uzlabot veselību un labklājību dzīves garumā; nodrošināt ar drošiem un augstvērtīgiem pārtikas produktiem un bioproduktiem, pāriet uz uzticamu, ilgtspējīgu un konkurētspējīgu enerģētikas sistēmu, izveidot resursefektīvu, videi nekaitīgu, drošu un integrētu Eiropas transporta sistēmu, izveidot resursefektīvu un pret klimata pārmaiņām noturīgu ekonomiku un ilgtspējīgu izejvielu piegādi.</w:t>
      </w:r>
    </w:p>
    <w:p w:rsidR="003E783D" w:rsidRPr="00426798" w:rsidRDefault="003E783D" w:rsidP="003E783D">
      <w:pPr>
        <w:pStyle w:val="ManualNumPar1"/>
        <w:spacing w:before="0" w:after="0"/>
        <w:ind w:left="0" w:firstLine="0"/>
        <w:rPr>
          <w:noProof/>
          <w:sz w:val="28"/>
          <w:szCs w:val="28"/>
        </w:rPr>
      </w:pPr>
      <w:r w:rsidRPr="00426798">
        <w:rPr>
          <w:noProof/>
          <w:sz w:val="28"/>
          <w:szCs w:val="28"/>
        </w:rPr>
        <w:t xml:space="preserve">EK </w:t>
      </w:r>
      <w:r w:rsidRPr="002A5AFF">
        <w:rPr>
          <w:noProof/>
          <w:sz w:val="28"/>
          <w:szCs w:val="28"/>
        </w:rPr>
        <w:t>izveido ERC</w:t>
      </w:r>
      <w:r w:rsidRPr="00426798">
        <w:rPr>
          <w:noProof/>
          <w:sz w:val="28"/>
          <w:szCs w:val="28"/>
        </w:rPr>
        <w:t xml:space="preserve">, kuras uzdevums būs veikt daļā “Zinātnes izcilība” minētās darbības par Eiropas zinātniskās bāzes progresīvo pētījumu jomā stiprināšanu. ERC darbojas saskaņā ar zinātnes izcilības, autonomijas, efektivitātes, izmaksu lietderības, pārredzamības un pārskatatbildības principiem. ERC darbības sniedz atbalstu individuālu un starpvalstu komandu pētījumiem visās jomās Eiropas mēroga konkurencē. ERC dotācijas piešķir, balstoties vienīgi uz izcilības kritēriju. </w:t>
      </w:r>
      <w:r w:rsidRPr="00426798">
        <w:rPr>
          <w:sz w:val="28"/>
          <w:szCs w:val="28"/>
          <w:lang w:eastAsia="de-DE"/>
        </w:rPr>
        <w:t xml:space="preserve">Regula paredz </w:t>
      </w:r>
      <w:r w:rsidRPr="00426798">
        <w:rPr>
          <w:noProof/>
          <w:sz w:val="28"/>
          <w:szCs w:val="28"/>
        </w:rPr>
        <w:t>īpaši izveidotu īstenošanas struktūru, kas atbild par administratīvo īstenošanu un programmas izpildi un atbalsta ERC Zinātnisko padomi tās pienākumu pildīšanā.</w:t>
      </w:r>
    </w:p>
    <w:p w:rsidR="003E783D" w:rsidRPr="00426798" w:rsidRDefault="003E783D" w:rsidP="003E783D">
      <w:pPr>
        <w:jc w:val="both"/>
        <w:rPr>
          <w:noProof/>
          <w:sz w:val="28"/>
          <w:szCs w:val="28"/>
        </w:rPr>
      </w:pPr>
      <w:r w:rsidRPr="00426798">
        <w:rPr>
          <w:noProof/>
          <w:sz w:val="28"/>
          <w:szCs w:val="28"/>
        </w:rPr>
        <w:t xml:space="preserve">Programmas “Horizonts 2020” </w:t>
      </w:r>
      <w:r w:rsidRPr="002A5AFF">
        <w:rPr>
          <w:noProof/>
          <w:sz w:val="28"/>
          <w:szCs w:val="28"/>
        </w:rPr>
        <w:t>netiešās darbības</w:t>
      </w:r>
      <w:r w:rsidRPr="00426798">
        <w:rPr>
          <w:noProof/>
          <w:sz w:val="28"/>
          <w:szCs w:val="28"/>
        </w:rPr>
        <w:t xml:space="preserve"> tiks īstenotas, izmantojot Finanšu regulā minētās finansējuma formas (dotācijas, apbalvojumus, iepirkumus, finanšu instrumentus). Uzmanība tiks pievērsta tam, lai nodrošinātu plašu pieeju inovācijām attiecībā uz tādiem aspektiem kā pašreizējo tehnoloģiju izmantošana jaunos pielietojumos, nepārtrauktos uzlabojumos un ar tehnoloģijām nesaistītās inovācijās, kā arī sabiedriskās inovācijās. Nosakot Horizonts 2020 prioritātes, vērā var ņemt arī Eiropas Tehnoloģiju platformu stratēģiskās pētniecības programmas vai Eiropas Inovāciju partnerību devumu.</w:t>
      </w:r>
    </w:p>
    <w:p w:rsidR="003E783D" w:rsidRPr="00426798" w:rsidRDefault="003E783D" w:rsidP="003E783D">
      <w:pPr>
        <w:jc w:val="both"/>
        <w:rPr>
          <w:noProof/>
          <w:sz w:val="28"/>
          <w:szCs w:val="28"/>
        </w:rPr>
      </w:pPr>
      <w:r w:rsidRPr="00426798">
        <w:rPr>
          <w:noProof/>
          <w:sz w:val="28"/>
          <w:szCs w:val="28"/>
        </w:rPr>
        <w:t xml:space="preserve">Pētījumi </w:t>
      </w:r>
      <w:r w:rsidRPr="002A5AFF">
        <w:rPr>
          <w:noProof/>
          <w:sz w:val="28"/>
          <w:szCs w:val="28"/>
        </w:rPr>
        <w:t>sociālās un humanitārās zinātnes</w:t>
      </w:r>
      <w:r w:rsidRPr="00426798">
        <w:rPr>
          <w:noProof/>
          <w:sz w:val="28"/>
          <w:szCs w:val="28"/>
        </w:rPr>
        <w:t xml:space="preserve"> jomās tiks integrēti visos “Horizonts 2020” mērķos, to īstenošanā tiks izmantoti ERC, MSCA un pētniecības infrastruktūras. Sociālās un humanitārās zinātnes tiek</w:t>
      </w:r>
      <w:r w:rsidRPr="007C70E3">
        <w:rPr>
          <w:noProof/>
        </w:rPr>
        <w:t xml:space="preserve"> </w:t>
      </w:r>
      <w:r w:rsidRPr="00426798">
        <w:rPr>
          <w:noProof/>
          <w:sz w:val="28"/>
          <w:szCs w:val="28"/>
        </w:rPr>
        <w:t>virzītas kā elements sabiedrības problēmu risināšanai, tas ietver arī veselības, urbānās politikas, enerģētikas politikas jomas, atbalstu klimata pārmaiņu mazināšanas un pielāgošanās stratēģijām, atbalstu resursefektivitātes iniciatīvām un pasākumiem.</w:t>
      </w:r>
    </w:p>
    <w:p w:rsidR="003E783D" w:rsidRPr="00426798" w:rsidRDefault="003E783D" w:rsidP="003E783D">
      <w:pPr>
        <w:jc w:val="both"/>
        <w:rPr>
          <w:noProof/>
          <w:sz w:val="28"/>
          <w:szCs w:val="28"/>
        </w:rPr>
      </w:pPr>
      <w:r w:rsidRPr="00426798">
        <w:rPr>
          <w:noProof/>
          <w:sz w:val="28"/>
          <w:szCs w:val="28"/>
        </w:rPr>
        <w:t xml:space="preserve">“Horizonts 2020” veicinās un atbalstīs </w:t>
      </w:r>
      <w:r w:rsidRPr="002A5AFF">
        <w:rPr>
          <w:noProof/>
          <w:sz w:val="28"/>
          <w:szCs w:val="28"/>
        </w:rPr>
        <w:t xml:space="preserve">MVU </w:t>
      </w:r>
      <w:r w:rsidRPr="00426798">
        <w:rPr>
          <w:noProof/>
          <w:sz w:val="28"/>
          <w:szCs w:val="28"/>
        </w:rPr>
        <w:t xml:space="preserve">integrētu iesaistīšanos visu konkrēto mērķu sasniegšanā. “Horizonts 2020” nodrošinās uzņēmumiem un cita veida organizācijām piekļuvi kredītiem, garantijām un kapitāla finansējumam. Parāda mehānisms nodrošinās kredītus atsevišķiem atbalsta saņēmējiem ieguldījumu veikšanai pētniecības un inovācijas jomā; garantijas finanšu atbalsta saņēmējiem, kas nodrošina kredītus atbalsta saņēmējiem; kredītu un garantiju apvienojumus, kā arī garantijas jeb pretgarantijas valstu un reģionālajām parādu </w:t>
      </w:r>
      <w:r w:rsidRPr="00426798">
        <w:rPr>
          <w:noProof/>
          <w:sz w:val="28"/>
          <w:szCs w:val="28"/>
        </w:rPr>
        <w:lastRenderedPageBreak/>
        <w:t xml:space="preserve">finansēšanas shēmām. Kapitāla mehānisms nodrošinās riska un/vai mezonīna kapitālu individuāliem uzņēmumiem. </w:t>
      </w:r>
      <w:r w:rsidRPr="00426798">
        <w:rPr>
          <w:noProof/>
          <w:color w:val="000000"/>
          <w:sz w:val="28"/>
          <w:szCs w:val="28"/>
        </w:rPr>
        <w:t>Mehānismam būs arī iespēja izdarīt ieguldījumus paplašināšanā un augšanas stadijā saistībā ar</w:t>
      </w:r>
      <w:r w:rsidRPr="00426798">
        <w:rPr>
          <w:noProof/>
          <w:sz w:val="28"/>
          <w:szCs w:val="28"/>
        </w:rPr>
        <w:t xml:space="preserve"> kapitāla mehānismu izaugsmei saskaņā ar Uzņēmumu un MVU konkurētspējas programmu, kā arī </w:t>
      </w:r>
      <w:r w:rsidRPr="00426798">
        <w:rPr>
          <w:noProof/>
          <w:color w:val="000000"/>
          <w:sz w:val="28"/>
          <w:szCs w:val="28"/>
        </w:rPr>
        <w:t>līdzekļu līdzekļus</w:t>
      </w:r>
      <w:r w:rsidRPr="00426798">
        <w:rPr>
          <w:noProof/>
          <w:sz w:val="28"/>
          <w:szCs w:val="28"/>
        </w:rPr>
        <w:t xml:space="preserve">. </w:t>
      </w:r>
    </w:p>
    <w:p w:rsidR="003E783D" w:rsidRPr="00426798" w:rsidRDefault="003E783D" w:rsidP="003E783D">
      <w:pPr>
        <w:jc w:val="both"/>
        <w:rPr>
          <w:noProof/>
          <w:sz w:val="28"/>
          <w:szCs w:val="28"/>
        </w:rPr>
      </w:pPr>
      <w:r w:rsidRPr="00426798">
        <w:rPr>
          <w:noProof/>
          <w:sz w:val="28"/>
          <w:szCs w:val="28"/>
        </w:rPr>
        <w:t xml:space="preserve">“Horizonts 2020” paredzēts īpašs atbalsts </w:t>
      </w:r>
      <w:r w:rsidRPr="002A5AFF">
        <w:rPr>
          <w:noProof/>
          <w:sz w:val="28"/>
          <w:szCs w:val="28"/>
        </w:rPr>
        <w:t>izplatīšanas</w:t>
      </w:r>
      <w:r w:rsidRPr="00426798">
        <w:rPr>
          <w:noProof/>
          <w:sz w:val="28"/>
          <w:szCs w:val="28"/>
        </w:rPr>
        <w:t>, saziņas un dialoga darbībām, sevišķu uzsvaru liekot uz rezultātu paziņošanu gala lietotājiem, iedzīvotājiem, pilsoniskās sabiedrības organizācijām, rūpniecības nozarei un politikas veidotājiem. Ir jāuzlabo pētnieku un inovāciju personāla mobilitāte, svarīgi ir sekmēt jauno tehnoloģiju izmantošanu un tirdzniecību, piemēram, izstrādājot pasaules standartus un savstarpējās izmantojamības vadlīnijas</w:t>
      </w:r>
      <w:r>
        <w:rPr>
          <w:noProof/>
          <w:sz w:val="28"/>
          <w:szCs w:val="28"/>
        </w:rPr>
        <w:t>.</w:t>
      </w:r>
      <w:r w:rsidR="00B05A8D">
        <w:rPr>
          <w:noProof/>
          <w:sz w:val="28"/>
          <w:szCs w:val="28"/>
        </w:rPr>
        <w:t xml:space="preserve"> </w:t>
      </w:r>
      <w:r w:rsidRPr="00426798">
        <w:rPr>
          <w:noProof/>
          <w:sz w:val="28"/>
          <w:szCs w:val="28"/>
        </w:rPr>
        <w:t xml:space="preserve">Lai efektīvi īstenotu stratēģijas “Eiropa 2020” mērķus, ir jārod </w:t>
      </w:r>
      <w:r w:rsidRPr="002A5AFF">
        <w:rPr>
          <w:noProof/>
          <w:sz w:val="28"/>
          <w:szCs w:val="28"/>
        </w:rPr>
        <w:t>starpdisciplināri</w:t>
      </w:r>
      <w:r w:rsidRPr="00426798">
        <w:rPr>
          <w:b/>
          <w:noProof/>
          <w:sz w:val="28"/>
          <w:szCs w:val="28"/>
        </w:rPr>
        <w:t xml:space="preserve"> </w:t>
      </w:r>
      <w:r w:rsidRPr="00426798">
        <w:rPr>
          <w:noProof/>
          <w:sz w:val="28"/>
          <w:szCs w:val="28"/>
        </w:rPr>
        <w:t>risinājumi, kas attiecināmi uz konkrētiem “Horizonts 2020” mērķiem. Dzimums tiks skatīts kā transversāls jautājums, labojot sieviešu un vīriešu līdzsvara trūkumu un integrējot dzimuma dimensiju pētījumu un inovācijas plānošanā un saturā. Transversāla darbība būs nozīmīga, lai stimulētu sabiedrības problēmu un pamata un rūpniecisko tehnoloģiju savstarpējo mijiedarbību, kas nepieciešama, lai radītu būtis</w:t>
      </w:r>
      <w:r w:rsidR="00B05A8D">
        <w:rPr>
          <w:noProof/>
          <w:sz w:val="28"/>
          <w:szCs w:val="28"/>
        </w:rPr>
        <w:t>kus tehnoloģiskus sasniegumus (</w:t>
      </w:r>
      <w:r w:rsidRPr="00426798">
        <w:rPr>
          <w:noProof/>
          <w:sz w:val="28"/>
          <w:szCs w:val="28"/>
        </w:rPr>
        <w:t>piem.,  e-veselības sfērā, viedtīklu, inteliģento transporta sistēmu un klimata jomā u.c.). Tiks veicināta sinerģija starp sabiedrības problēmām un vispārēju pamattehnoloģiju un rūpniecisko tehnoloģiju attīstību.</w:t>
      </w:r>
    </w:p>
    <w:p w:rsidR="003E783D" w:rsidRPr="00426798" w:rsidRDefault="003E783D" w:rsidP="003E783D">
      <w:pPr>
        <w:jc w:val="both"/>
        <w:rPr>
          <w:noProof/>
          <w:sz w:val="28"/>
          <w:szCs w:val="28"/>
        </w:rPr>
      </w:pPr>
      <w:r w:rsidRPr="00426798">
        <w:rPr>
          <w:noProof/>
          <w:sz w:val="28"/>
          <w:szCs w:val="28"/>
        </w:rPr>
        <w:t xml:space="preserve">Pašreizējās publiskā un publiskā sektora, kā arī publiskā un privātā sektora </w:t>
      </w:r>
      <w:r w:rsidRPr="002A5AFF">
        <w:rPr>
          <w:noProof/>
          <w:sz w:val="28"/>
          <w:szCs w:val="28"/>
        </w:rPr>
        <w:t>partnerības</w:t>
      </w:r>
      <w:r w:rsidRPr="00426798">
        <w:rPr>
          <w:noProof/>
          <w:sz w:val="28"/>
          <w:szCs w:val="28"/>
        </w:rPr>
        <w:t xml:space="preserve"> var saņemt atbalstu no “Horizonts 2020”, ja vien tās tiecas sasniegt tā mērķus, atbilst tajā minētajiem kritērijiem, kā arī ir uzrādījušas ievērojamu progresu saskaņā </w:t>
      </w:r>
      <w:r w:rsidRPr="002A5AFF">
        <w:rPr>
          <w:noProof/>
          <w:sz w:val="28"/>
          <w:szCs w:val="28"/>
        </w:rPr>
        <w:t>ar 7. Ietvarprogrammu pētniecībai, tehnoloģiju attīstībai un demonstrējumu pasākumiem (7. IP</w:t>
      </w:r>
      <w:r w:rsidR="002A5AFF">
        <w:rPr>
          <w:noProof/>
          <w:sz w:val="28"/>
          <w:szCs w:val="28"/>
        </w:rPr>
        <w:t>)</w:t>
      </w:r>
      <w:r w:rsidRPr="002A5AFF">
        <w:rPr>
          <w:noProof/>
          <w:sz w:val="28"/>
          <w:szCs w:val="28"/>
        </w:rPr>
        <w:t>: Eiropas un jaunattīstības valstu partnerība klīnisko pētījumu jomā, Interaktīva automatizēta dzīvesvide, Baltijas jūras pētniecības un attīstības programma BONUS, Eurostars</w:t>
      </w:r>
      <w:r w:rsidR="009B18D9">
        <w:rPr>
          <w:noProof/>
          <w:sz w:val="28"/>
          <w:szCs w:val="28"/>
        </w:rPr>
        <w:t>,</w:t>
      </w:r>
      <w:r w:rsidR="002A5AFF">
        <w:rPr>
          <w:noProof/>
          <w:sz w:val="28"/>
          <w:szCs w:val="28"/>
        </w:rPr>
        <w:t xml:space="preserve"> </w:t>
      </w:r>
      <w:r w:rsidRPr="002A5AFF">
        <w:rPr>
          <w:noProof/>
          <w:sz w:val="28"/>
          <w:szCs w:val="28"/>
        </w:rPr>
        <w:t>Eiropas Metroloģijas pētniecības programma</w:t>
      </w:r>
      <w:r w:rsidR="009B18D9">
        <w:rPr>
          <w:noProof/>
          <w:sz w:val="28"/>
          <w:szCs w:val="28"/>
        </w:rPr>
        <w:t>, kā arī s</w:t>
      </w:r>
      <w:r w:rsidRPr="002A5AFF">
        <w:rPr>
          <w:noProof/>
          <w:sz w:val="28"/>
          <w:szCs w:val="28"/>
        </w:rPr>
        <w:t xml:space="preserve">askaņā ar Līguma 187. pantu un 7. IP izveidotie kopuzņēmumi: Kopīgu tehnoloģiju ierosme novatorisku zāļu jomā </w:t>
      </w:r>
      <w:r w:rsidRPr="002A5AFF">
        <w:rPr>
          <w:i/>
          <w:noProof/>
          <w:sz w:val="28"/>
          <w:szCs w:val="28"/>
        </w:rPr>
        <w:t>IMI,</w:t>
      </w:r>
      <w:r w:rsidRPr="002A5AFF">
        <w:rPr>
          <w:noProof/>
          <w:sz w:val="28"/>
          <w:szCs w:val="28"/>
        </w:rPr>
        <w:t xml:space="preserve"> kopuzņēmums, lai izstrādātu jaunas paaudzes Eiropas gaisa satiksmes pārvaldības sistēmu </w:t>
      </w:r>
      <w:r w:rsidRPr="002A5AFF">
        <w:rPr>
          <w:i/>
          <w:noProof/>
          <w:sz w:val="28"/>
          <w:szCs w:val="28"/>
        </w:rPr>
        <w:t>SESAR</w:t>
      </w:r>
      <w:r w:rsidRPr="002A5AFF">
        <w:rPr>
          <w:noProof/>
          <w:sz w:val="28"/>
          <w:szCs w:val="28"/>
        </w:rPr>
        <w:t xml:space="preserve">, kopuzņēmums “Kurināmā elementi un ūdeņradis” </w:t>
      </w:r>
      <w:r w:rsidRPr="002A5AFF">
        <w:rPr>
          <w:i/>
          <w:noProof/>
          <w:sz w:val="28"/>
          <w:szCs w:val="28"/>
        </w:rPr>
        <w:t>FCH</w:t>
      </w:r>
      <w:r w:rsidRPr="002A5AFF">
        <w:rPr>
          <w:noProof/>
          <w:sz w:val="28"/>
          <w:szCs w:val="28"/>
        </w:rPr>
        <w:t>, kopuzņēmums</w:t>
      </w:r>
      <w:r w:rsidRPr="002A5AFF">
        <w:rPr>
          <w:i/>
          <w:noProof/>
          <w:sz w:val="28"/>
          <w:szCs w:val="28"/>
        </w:rPr>
        <w:t xml:space="preserve"> ARTEMIS</w:t>
      </w:r>
      <w:r w:rsidRPr="002A5AFF">
        <w:rPr>
          <w:noProof/>
          <w:sz w:val="28"/>
          <w:szCs w:val="28"/>
        </w:rPr>
        <w:t xml:space="preserve">, kas īsteno kopīgu tehnoloģiju ierosmi iegulto datorsistēmu jomā, kā arī kopuzņēmums nanoelektronikas jomā </w:t>
      </w:r>
      <w:r w:rsidRPr="002A5AFF">
        <w:rPr>
          <w:i/>
          <w:noProof/>
          <w:sz w:val="28"/>
          <w:szCs w:val="28"/>
        </w:rPr>
        <w:t>ENIAC</w:t>
      </w:r>
      <w:r w:rsidRPr="002A5AFF">
        <w:rPr>
          <w:noProof/>
          <w:sz w:val="28"/>
          <w:szCs w:val="28"/>
        </w:rPr>
        <w:t xml:space="preserve">. </w:t>
      </w:r>
    </w:p>
    <w:p w:rsidR="003E783D" w:rsidRPr="00426798" w:rsidRDefault="003E783D" w:rsidP="003E783D">
      <w:pPr>
        <w:pStyle w:val="ListDash2"/>
        <w:numPr>
          <w:ilvl w:val="0"/>
          <w:numId w:val="0"/>
        </w:numPr>
        <w:spacing w:before="0" w:after="0"/>
        <w:rPr>
          <w:noProof/>
          <w:sz w:val="28"/>
          <w:szCs w:val="28"/>
        </w:rPr>
      </w:pPr>
      <w:r w:rsidRPr="00426798">
        <w:rPr>
          <w:noProof/>
          <w:sz w:val="28"/>
          <w:szCs w:val="28"/>
        </w:rPr>
        <w:t xml:space="preserve">Īpašajai programmai jāpiesaista visizcilākie pētnieki un visnovatoriskākie Eiropas uzņēmumi. To iespējams sasniegt, izmantojot programmu, kas rada pēc iespējas mazāku administratīvo slogu dalībniekiem un paredz atbilstošus finansēšanas noteikumus. Tāpēc </w:t>
      </w:r>
      <w:r w:rsidRPr="002A5AFF">
        <w:rPr>
          <w:noProof/>
          <w:sz w:val="28"/>
          <w:szCs w:val="28"/>
        </w:rPr>
        <w:t>vienkāršošana</w:t>
      </w:r>
      <w:r w:rsidRPr="00426798">
        <w:rPr>
          <w:noProof/>
          <w:sz w:val="28"/>
          <w:szCs w:val="28"/>
        </w:rPr>
        <w:t xml:space="preserve"> īpašajā programmā tiks vērsta uz trīs pamatmērķu sasniegšanu: mazināt administratīvās izmaksas dalībniekiem, paātrināt priekšlikumu un dotāciju pārvaldības procesus un samazināt finanšu kļūdu koeficientu. </w:t>
      </w:r>
    </w:p>
    <w:p w:rsidR="003E783D" w:rsidRDefault="003E783D" w:rsidP="003E783D">
      <w:pPr>
        <w:pStyle w:val="ListDash2"/>
        <w:numPr>
          <w:ilvl w:val="0"/>
          <w:numId w:val="0"/>
        </w:numPr>
        <w:spacing w:before="0" w:after="0"/>
        <w:rPr>
          <w:noProof/>
        </w:rPr>
      </w:pPr>
    </w:p>
    <w:p w:rsidR="00682FC2" w:rsidRPr="00682FC2" w:rsidRDefault="00682FC2" w:rsidP="00682FC2">
      <w:pPr>
        <w:pStyle w:val="Statut"/>
        <w:spacing w:before="0"/>
        <w:jc w:val="both"/>
        <w:rPr>
          <w:sz w:val="28"/>
          <w:szCs w:val="28"/>
        </w:rPr>
      </w:pPr>
      <w:r w:rsidRPr="00682FC2">
        <w:rPr>
          <w:b/>
          <w:sz w:val="28"/>
          <w:szCs w:val="28"/>
        </w:rPr>
        <w:t>Latvija kopumā atbalsta</w:t>
      </w:r>
      <w:r w:rsidRPr="00682FC2">
        <w:rPr>
          <w:sz w:val="28"/>
          <w:szCs w:val="28"/>
        </w:rPr>
        <w:t xml:space="preserve"> </w:t>
      </w:r>
      <w:r w:rsidRPr="00682FC2">
        <w:rPr>
          <w:b/>
          <w:sz w:val="28"/>
          <w:szCs w:val="28"/>
        </w:rPr>
        <w:t>daļēju vispārēju pieeju</w:t>
      </w:r>
      <w:r w:rsidRPr="00682FC2">
        <w:rPr>
          <w:sz w:val="28"/>
          <w:szCs w:val="28"/>
        </w:rPr>
        <w:t xml:space="preserve"> par Priekšlikumu </w:t>
      </w:r>
      <w:r w:rsidRPr="00682FC2">
        <w:rPr>
          <w:noProof/>
          <w:sz w:val="28"/>
          <w:szCs w:val="28"/>
        </w:rPr>
        <w:t>Padomes lēmumam, ar ko izveido īpašo programmu, ar kuru īsteno Pētniecības un inovāciju pamatprogrammu 2014.–2020. gadam “Horizonts 2020”</w:t>
      </w:r>
      <w:r w:rsidRPr="00682FC2">
        <w:rPr>
          <w:i/>
          <w:noProof/>
          <w:sz w:val="28"/>
          <w:szCs w:val="28"/>
        </w:rPr>
        <w:t xml:space="preserve"> </w:t>
      </w:r>
      <w:r w:rsidRPr="00682FC2">
        <w:rPr>
          <w:noProof/>
          <w:sz w:val="28"/>
          <w:szCs w:val="28"/>
        </w:rPr>
        <w:t xml:space="preserve">(2014.–2020. gads) (Regulas projekts) </w:t>
      </w:r>
      <w:r w:rsidRPr="00682FC2">
        <w:rPr>
          <w:b/>
          <w:noProof/>
          <w:sz w:val="28"/>
          <w:szCs w:val="28"/>
        </w:rPr>
        <w:t xml:space="preserve">un </w:t>
      </w:r>
      <w:r w:rsidRPr="00682FC2">
        <w:rPr>
          <w:b/>
          <w:sz w:val="28"/>
          <w:szCs w:val="28"/>
        </w:rPr>
        <w:t>uzskata</w:t>
      </w:r>
      <w:r w:rsidRPr="00682FC2">
        <w:rPr>
          <w:sz w:val="28"/>
          <w:szCs w:val="28"/>
        </w:rPr>
        <w:t xml:space="preserve">, ka programma pētniecības, </w:t>
      </w:r>
      <w:r w:rsidRPr="00682FC2">
        <w:rPr>
          <w:sz w:val="28"/>
          <w:szCs w:val="28"/>
        </w:rPr>
        <w:lastRenderedPageBreak/>
        <w:t xml:space="preserve">konkurētspējas un inovācijas sekmēšanai, kas aptvertu visu inovācijas ciklu no zināšanu radīšanas līdz ieviešanai ražošanā un paredzētu atbilstošus finanšu ieguldījumus, palīdzēs ES virzīties uz </w:t>
      </w:r>
      <w:r w:rsidRPr="00682FC2">
        <w:rPr>
          <w:noProof/>
          <w:sz w:val="28"/>
          <w:szCs w:val="28"/>
        </w:rPr>
        <w:t>stratēģijā „Eiropa 2020”</w:t>
      </w:r>
      <w:r w:rsidRPr="00682FC2">
        <w:rPr>
          <w:sz w:val="28"/>
          <w:szCs w:val="28"/>
        </w:rPr>
        <w:t xml:space="preserve">izvirzītajiem mērķiem. </w:t>
      </w:r>
    </w:p>
    <w:p w:rsidR="00682FC2" w:rsidRPr="00682FC2" w:rsidRDefault="00682FC2" w:rsidP="00682FC2">
      <w:pPr>
        <w:autoSpaceDE w:val="0"/>
        <w:autoSpaceDN w:val="0"/>
        <w:adjustRightInd w:val="0"/>
        <w:jc w:val="both"/>
        <w:rPr>
          <w:sz w:val="28"/>
          <w:szCs w:val="28"/>
        </w:rPr>
      </w:pPr>
      <w:r w:rsidRPr="00682FC2">
        <w:rPr>
          <w:b/>
          <w:sz w:val="28"/>
          <w:szCs w:val="28"/>
        </w:rPr>
        <w:t>Latvija uzskata</w:t>
      </w:r>
      <w:r w:rsidRPr="00682FC2">
        <w:rPr>
          <w:sz w:val="28"/>
          <w:szCs w:val="28"/>
        </w:rPr>
        <w:t xml:space="preserve">, ka Horizonts 2020 programmā priekšroka ir jādod projektiem ar Eiropas mēroga idejām. </w:t>
      </w:r>
    </w:p>
    <w:p w:rsidR="00682FC2" w:rsidRPr="00682FC2" w:rsidRDefault="00682FC2" w:rsidP="00682FC2">
      <w:pPr>
        <w:autoSpaceDE w:val="0"/>
        <w:autoSpaceDN w:val="0"/>
        <w:adjustRightInd w:val="0"/>
        <w:jc w:val="both"/>
        <w:rPr>
          <w:i/>
          <w:sz w:val="28"/>
          <w:szCs w:val="28"/>
        </w:rPr>
      </w:pPr>
      <w:r w:rsidRPr="00682FC2">
        <w:rPr>
          <w:b/>
          <w:noProof/>
          <w:sz w:val="28"/>
          <w:szCs w:val="28"/>
        </w:rPr>
        <w:t xml:space="preserve">Latvija uzskata, </w:t>
      </w:r>
      <w:r w:rsidR="00B05A8D">
        <w:rPr>
          <w:noProof/>
          <w:sz w:val="28"/>
          <w:szCs w:val="28"/>
        </w:rPr>
        <w:t>ka būtu svarīgi, lai R</w:t>
      </w:r>
      <w:r w:rsidRPr="00682FC2">
        <w:rPr>
          <w:noProof/>
          <w:sz w:val="28"/>
          <w:szCs w:val="28"/>
        </w:rPr>
        <w:t xml:space="preserve">egulas projekts paredzētu iespēju jau ejošā projektā pievienoties papildus partneriem. </w:t>
      </w:r>
      <w:r w:rsidRPr="00682FC2">
        <w:rPr>
          <w:sz w:val="28"/>
          <w:szCs w:val="28"/>
        </w:rPr>
        <w:t>Šāda iespēja dotu iespēju pievienoties projektam papildus partneriem, kas ļautu celt arī Latvijas zema</w:t>
      </w:r>
      <w:r w:rsidR="00B05A8D">
        <w:rPr>
          <w:sz w:val="28"/>
          <w:szCs w:val="28"/>
        </w:rPr>
        <w:t>s</w:t>
      </w:r>
      <w:r w:rsidRPr="00682FC2">
        <w:rPr>
          <w:sz w:val="28"/>
          <w:szCs w:val="28"/>
        </w:rPr>
        <w:t xml:space="preserve"> līdzdalība</w:t>
      </w:r>
      <w:r w:rsidR="00B05A8D">
        <w:rPr>
          <w:sz w:val="28"/>
          <w:szCs w:val="28"/>
        </w:rPr>
        <w:t>s ietvarprogrammā</w:t>
      </w:r>
      <w:r w:rsidRPr="00682FC2">
        <w:rPr>
          <w:sz w:val="28"/>
          <w:szCs w:val="28"/>
        </w:rPr>
        <w:t xml:space="preserve"> koeficientu un vairotu Latvijas izredzes pievienoties projektu konsorcijam, kā rezultātā Latvijas zinātnieki kopumā celtu savu zinātnisko izcilību.</w:t>
      </w:r>
      <w:r w:rsidRPr="00682FC2">
        <w:rPr>
          <w:i/>
          <w:sz w:val="28"/>
          <w:szCs w:val="28"/>
        </w:rPr>
        <w:t xml:space="preserve"> </w:t>
      </w:r>
    </w:p>
    <w:p w:rsidR="00682FC2" w:rsidRPr="00682FC2" w:rsidRDefault="00682FC2" w:rsidP="00682FC2">
      <w:pPr>
        <w:autoSpaceDE w:val="0"/>
        <w:autoSpaceDN w:val="0"/>
        <w:jc w:val="both"/>
        <w:rPr>
          <w:color w:val="000000"/>
          <w:sz w:val="28"/>
          <w:szCs w:val="28"/>
        </w:rPr>
      </w:pPr>
      <w:r w:rsidRPr="00682FC2">
        <w:rPr>
          <w:b/>
          <w:sz w:val="28"/>
          <w:szCs w:val="28"/>
        </w:rPr>
        <w:t>Latvija atbalsta</w:t>
      </w:r>
      <w:r w:rsidRPr="00682FC2">
        <w:rPr>
          <w:sz w:val="28"/>
          <w:szCs w:val="28"/>
        </w:rPr>
        <w:t xml:space="preserve"> </w:t>
      </w:r>
      <w:r w:rsidRPr="00682FC2">
        <w:rPr>
          <w:sz w:val="28"/>
          <w:szCs w:val="28"/>
          <w:lang w:val="fr-FR"/>
        </w:rPr>
        <w:t xml:space="preserve">ES </w:t>
      </w:r>
      <w:proofErr w:type="spellStart"/>
      <w:r w:rsidRPr="00682FC2">
        <w:rPr>
          <w:sz w:val="28"/>
          <w:szCs w:val="28"/>
          <w:lang w:val="fr-FR"/>
        </w:rPr>
        <w:t>ieguldījuma</w:t>
      </w:r>
      <w:proofErr w:type="spellEnd"/>
      <w:r w:rsidRPr="00682FC2">
        <w:rPr>
          <w:sz w:val="28"/>
          <w:szCs w:val="28"/>
          <w:lang w:val="fr-FR"/>
        </w:rPr>
        <w:t xml:space="preserve"> </w:t>
      </w:r>
      <w:proofErr w:type="spellStart"/>
      <w:r w:rsidRPr="00682FC2">
        <w:rPr>
          <w:sz w:val="28"/>
          <w:szCs w:val="28"/>
          <w:lang w:val="fr-FR"/>
        </w:rPr>
        <w:t>netiešajās</w:t>
      </w:r>
      <w:proofErr w:type="spellEnd"/>
      <w:r w:rsidRPr="00682FC2">
        <w:rPr>
          <w:sz w:val="28"/>
          <w:szCs w:val="28"/>
          <w:lang w:val="fr-FR"/>
        </w:rPr>
        <w:t xml:space="preserve"> </w:t>
      </w:r>
      <w:proofErr w:type="spellStart"/>
      <w:r w:rsidRPr="00682FC2">
        <w:rPr>
          <w:sz w:val="28"/>
          <w:szCs w:val="28"/>
          <w:lang w:val="fr-FR"/>
        </w:rPr>
        <w:t>darbībās</w:t>
      </w:r>
      <w:proofErr w:type="spellEnd"/>
      <w:r w:rsidRPr="00682FC2">
        <w:rPr>
          <w:sz w:val="28"/>
          <w:szCs w:val="28"/>
          <w:lang w:val="fr-FR"/>
        </w:rPr>
        <w:t xml:space="preserve"> </w:t>
      </w:r>
      <w:proofErr w:type="spellStart"/>
      <w:r w:rsidRPr="00682FC2">
        <w:rPr>
          <w:sz w:val="28"/>
          <w:szCs w:val="28"/>
          <w:lang w:val="fr-FR"/>
        </w:rPr>
        <w:t>apjomu</w:t>
      </w:r>
      <w:proofErr w:type="spellEnd"/>
      <w:r w:rsidRPr="00682FC2">
        <w:rPr>
          <w:sz w:val="28"/>
          <w:szCs w:val="28"/>
          <w:lang w:val="fr-FR"/>
        </w:rPr>
        <w:t xml:space="preserve"> </w:t>
      </w:r>
      <w:proofErr w:type="spellStart"/>
      <w:r w:rsidRPr="00682FC2">
        <w:rPr>
          <w:sz w:val="28"/>
          <w:szCs w:val="28"/>
          <w:lang w:val="fr-FR"/>
        </w:rPr>
        <w:t>programmā</w:t>
      </w:r>
      <w:proofErr w:type="spellEnd"/>
      <w:r w:rsidRPr="00682FC2">
        <w:rPr>
          <w:sz w:val="28"/>
          <w:szCs w:val="28"/>
          <w:lang w:val="fr-FR"/>
        </w:rPr>
        <w:t xml:space="preserve"> 2,5 </w:t>
      </w:r>
      <w:proofErr w:type="spellStart"/>
      <w:r w:rsidRPr="00682FC2">
        <w:rPr>
          <w:sz w:val="28"/>
          <w:szCs w:val="28"/>
          <w:lang w:val="fr-FR"/>
        </w:rPr>
        <w:t>miljonu</w:t>
      </w:r>
      <w:proofErr w:type="spellEnd"/>
      <w:r w:rsidRPr="00682FC2">
        <w:rPr>
          <w:sz w:val="28"/>
          <w:szCs w:val="28"/>
          <w:lang w:val="fr-FR"/>
        </w:rPr>
        <w:t xml:space="preserve"> EUR </w:t>
      </w:r>
      <w:proofErr w:type="spellStart"/>
      <w:r w:rsidRPr="00682FC2">
        <w:rPr>
          <w:sz w:val="28"/>
          <w:szCs w:val="28"/>
          <w:lang w:val="fr-FR"/>
        </w:rPr>
        <w:t>apmērā</w:t>
      </w:r>
      <w:proofErr w:type="spellEnd"/>
      <w:r w:rsidRPr="00682FC2">
        <w:rPr>
          <w:sz w:val="28"/>
          <w:szCs w:val="28"/>
          <w:lang w:val="fr-FR"/>
        </w:rPr>
        <w:t xml:space="preserve">, </w:t>
      </w:r>
      <w:r w:rsidRPr="00682FC2">
        <w:rPr>
          <w:color w:val="000000"/>
          <w:sz w:val="28"/>
          <w:szCs w:val="28"/>
        </w:rPr>
        <w:t>jo uzskata, ka šāds finansējuma slieksnis programmā var nodrošināt Latvijas zinātnieku izredzes projektu konkursā.</w:t>
      </w:r>
    </w:p>
    <w:p w:rsidR="00682FC2" w:rsidRPr="00682FC2" w:rsidRDefault="00682FC2" w:rsidP="00682FC2">
      <w:pPr>
        <w:autoSpaceDE w:val="0"/>
        <w:autoSpaceDN w:val="0"/>
        <w:jc w:val="both"/>
        <w:rPr>
          <w:color w:val="000000"/>
          <w:sz w:val="28"/>
          <w:szCs w:val="28"/>
        </w:rPr>
      </w:pPr>
      <w:r w:rsidRPr="00682FC2">
        <w:rPr>
          <w:b/>
          <w:color w:val="000000"/>
          <w:sz w:val="28"/>
          <w:szCs w:val="28"/>
        </w:rPr>
        <w:t xml:space="preserve">Latvija neatbalsta šāda finansējuma sliekšņa atcelšanu vispār, </w:t>
      </w:r>
      <w:r w:rsidRPr="00682FC2">
        <w:rPr>
          <w:color w:val="000000"/>
          <w:sz w:val="28"/>
          <w:szCs w:val="28"/>
        </w:rPr>
        <w:t xml:space="preserve">jo sliekšņa atcelšana nozīmēs to, ka tiks īstenoti lieli un finansiāli ietilpīgi projekti, kas ātri izsmels pieejamo projektu finansējuma fondu. </w:t>
      </w:r>
    </w:p>
    <w:p w:rsidR="00682FC2" w:rsidRPr="00682FC2" w:rsidRDefault="00682FC2" w:rsidP="00682FC2">
      <w:pPr>
        <w:jc w:val="both"/>
        <w:rPr>
          <w:noProof/>
          <w:sz w:val="28"/>
          <w:szCs w:val="28"/>
        </w:rPr>
      </w:pPr>
      <w:r w:rsidRPr="00682FC2">
        <w:rPr>
          <w:b/>
          <w:noProof/>
          <w:sz w:val="28"/>
          <w:szCs w:val="28"/>
        </w:rPr>
        <w:t>Latvija uzskata</w:t>
      </w:r>
      <w:r w:rsidRPr="00682FC2">
        <w:rPr>
          <w:noProof/>
          <w:sz w:val="28"/>
          <w:szCs w:val="28"/>
        </w:rPr>
        <w:t>, ka ir svarīgi atvēlēt zināmu daļu Horizonts 2020 līdzekļu sociālajām un humanitārajām zinātnēm, kas pēta Eiropas kultūrvēsturisko pagātni un palīdz veidot un stiprināt katras tautas nacionālo identitāti.</w:t>
      </w:r>
    </w:p>
    <w:p w:rsidR="00682FC2" w:rsidRPr="00682FC2" w:rsidRDefault="00682FC2" w:rsidP="00682FC2">
      <w:pPr>
        <w:jc w:val="both"/>
        <w:rPr>
          <w:noProof/>
          <w:sz w:val="28"/>
          <w:szCs w:val="28"/>
        </w:rPr>
      </w:pPr>
      <w:r w:rsidRPr="00682FC2">
        <w:rPr>
          <w:b/>
          <w:noProof/>
          <w:sz w:val="28"/>
          <w:szCs w:val="28"/>
        </w:rPr>
        <w:t>Latvija atbalsta</w:t>
      </w:r>
      <w:r w:rsidRPr="00682FC2">
        <w:rPr>
          <w:noProof/>
          <w:sz w:val="28"/>
          <w:szCs w:val="28"/>
        </w:rPr>
        <w:t xml:space="preserve"> sociālo un humanitāro pētījumu iesaistīšanu lielo sociālo problēmu risināšanā, </w:t>
      </w:r>
      <w:r w:rsidRPr="00682FC2">
        <w:rPr>
          <w:b/>
          <w:noProof/>
          <w:sz w:val="28"/>
          <w:szCs w:val="28"/>
        </w:rPr>
        <w:t>tomēr vienlaikus vēlas norādīt</w:t>
      </w:r>
      <w:r w:rsidRPr="00682FC2">
        <w:rPr>
          <w:noProof/>
          <w:sz w:val="28"/>
          <w:szCs w:val="28"/>
        </w:rPr>
        <w:t>, ka lielāka vērība būtu jāveltī šo zinātņu pārstāvju iespējām pretendēt uz Horizonts 2020 finansējumu arī fundamentālos pētījumos.</w:t>
      </w:r>
    </w:p>
    <w:p w:rsidR="00682FC2" w:rsidRPr="00682FC2" w:rsidRDefault="00682FC2" w:rsidP="00682FC2">
      <w:pPr>
        <w:jc w:val="both"/>
        <w:rPr>
          <w:noProof/>
          <w:sz w:val="28"/>
          <w:szCs w:val="28"/>
        </w:rPr>
      </w:pPr>
      <w:r w:rsidRPr="00682FC2">
        <w:rPr>
          <w:b/>
          <w:noProof/>
          <w:sz w:val="28"/>
          <w:szCs w:val="28"/>
        </w:rPr>
        <w:t>Latvija uzskata</w:t>
      </w:r>
      <w:r w:rsidRPr="00682FC2">
        <w:rPr>
          <w:noProof/>
          <w:sz w:val="28"/>
          <w:szCs w:val="28"/>
        </w:rPr>
        <w:t xml:space="preserve">, ka dzimumu jautājumam nebūtu primāri jābūt transversālam principam Horizonts 2020 kontekstā, un </w:t>
      </w:r>
      <w:r w:rsidRPr="00682FC2">
        <w:rPr>
          <w:b/>
          <w:noProof/>
          <w:sz w:val="28"/>
          <w:szCs w:val="28"/>
        </w:rPr>
        <w:t>tā vietā</w:t>
      </w:r>
      <w:r w:rsidRPr="00682FC2">
        <w:rPr>
          <w:noProof/>
          <w:sz w:val="28"/>
          <w:szCs w:val="28"/>
        </w:rPr>
        <w:t xml:space="preserve"> </w:t>
      </w:r>
      <w:r w:rsidRPr="00682FC2">
        <w:rPr>
          <w:b/>
          <w:noProof/>
          <w:sz w:val="28"/>
          <w:szCs w:val="28"/>
        </w:rPr>
        <w:t>vēlas uzsvērt</w:t>
      </w:r>
      <w:r w:rsidRPr="00682FC2">
        <w:rPr>
          <w:noProof/>
          <w:sz w:val="28"/>
          <w:szCs w:val="28"/>
        </w:rPr>
        <w:t xml:space="preserve"> reģionālās līdztiesības un dalības principu.</w:t>
      </w:r>
    </w:p>
    <w:p w:rsidR="00682FC2" w:rsidRPr="00682FC2" w:rsidRDefault="00682FC2" w:rsidP="00682FC2">
      <w:pPr>
        <w:jc w:val="both"/>
        <w:rPr>
          <w:noProof/>
          <w:sz w:val="28"/>
          <w:szCs w:val="28"/>
        </w:rPr>
      </w:pPr>
      <w:r w:rsidRPr="00682FC2">
        <w:rPr>
          <w:b/>
          <w:noProof/>
          <w:sz w:val="28"/>
          <w:szCs w:val="28"/>
        </w:rPr>
        <w:t>Latvija uzskata</w:t>
      </w:r>
      <w:r w:rsidRPr="00682FC2">
        <w:rPr>
          <w:noProof/>
          <w:sz w:val="28"/>
          <w:szCs w:val="28"/>
        </w:rPr>
        <w:t>, ka dalībvalstīm tāpat kā līdz šim jāpiedalās programmu izstrādē un lēmumu pieņemšanā par komitoloģijas jautājumiem kopumā, dalībvalstīm būtu jāpārrauga programmu uzraudzības un ieviešanas process, savukārt nacionālo kontaktpunktu sistēma ir vajadzīga un sevi attaisnojusi, tāpēc nebūtu jāmaina sistēma, kas pašlaik labi funkcionē.</w:t>
      </w:r>
    </w:p>
    <w:p w:rsidR="003E783D" w:rsidRPr="00682FC2" w:rsidRDefault="00682FC2" w:rsidP="003E783D">
      <w:pPr>
        <w:jc w:val="both"/>
        <w:rPr>
          <w:noProof/>
          <w:color w:val="FF0000"/>
          <w:sz w:val="28"/>
          <w:szCs w:val="28"/>
        </w:rPr>
      </w:pPr>
      <w:r w:rsidRPr="00682FC2">
        <w:rPr>
          <w:b/>
          <w:noProof/>
          <w:sz w:val="28"/>
          <w:szCs w:val="28"/>
        </w:rPr>
        <w:t>Latvija ir ieinteresēta</w:t>
      </w:r>
      <w:r w:rsidRPr="00682FC2">
        <w:rPr>
          <w:noProof/>
          <w:sz w:val="28"/>
          <w:szCs w:val="28"/>
        </w:rPr>
        <w:t>, ka Horizonts 2020 finansējums ir pieejams uzņēmēju, īpaši mazo un vidējo uzņēmēju pētniecības, attīstības un inovācijas projektu īstenošanai.</w:t>
      </w:r>
    </w:p>
    <w:p w:rsidR="003E783D" w:rsidRPr="00426798" w:rsidRDefault="003E783D" w:rsidP="003E783D">
      <w:pPr>
        <w:jc w:val="both"/>
        <w:rPr>
          <w:noProof/>
          <w:sz w:val="28"/>
          <w:szCs w:val="28"/>
          <w:u w:val="single"/>
        </w:rPr>
      </w:pPr>
      <w:r w:rsidRPr="00426798">
        <w:rPr>
          <w:noProof/>
          <w:sz w:val="28"/>
          <w:szCs w:val="28"/>
          <w:u w:val="single"/>
        </w:rPr>
        <w:t>Latvijas īpašās intereses</w:t>
      </w:r>
    </w:p>
    <w:p w:rsidR="003E783D" w:rsidRPr="00426798" w:rsidRDefault="003E783D" w:rsidP="003E783D">
      <w:pPr>
        <w:jc w:val="both"/>
        <w:rPr>
          <w:noProof/>
          <w:sz w:val="28"/>
          <w:szCs w:val="28"/>
        </w:rPr>
      </w:pPr>
      <w:r w:rsidRPr="00426798" w:rsidDel="00E87CF8">
        <w:rPr>
          <w:b/>
          <w:sz w:val="28"/>
          <w:szCs w:val="28"/>
        </w:rPr>
        <w:t>Latvija uzskata</w:t>
      </w:r>
      <w:r w:rsidRPr="00426798" w:rsidDel="00E87CF8">
        <w:rPr>
          <w:sz w:val="28"/>
          <w:szCs w:val="28"/>
        </w:rPr>
        <w:t xml:space="preserve">, ka </w:t>
      </w:r>
      <w:r w:rsidRPr="00426798">
        <w:rPr>
          <w:sz w:val="28"/>
          <w:szCs w:val="28"/>
        </w:rPr>
        <w:t>ir jāsaglabā pašreizējā paredzētā finansējuma līmenis Horizonts 2020 sadaļā „Izcila zinātne” vai pat jāpalielina, jo tas paredz finansējumu Eiropas Zinātnes padomes grantiem, mobilitātes pasākumiem u.c. pasākumiem, kuros Latvija piedalās 7. Ietvarprogrammas laikā un paredz aktīvu dalību Horizonts 2020 laikā.</w:t>
      </w:r>
    </w:p>
    <w:p w:rsidR="0089292D" w:rsidRDefault="0089292D" w:rsidP="00AF0AEC">
      <w:pPr>
        <w:autoSpaceDE w:val="0"/>
        <w:autoSpaceDN w:val="0"/>
        <w:adjustRightInd w:val="0"/>
        <w:jc w:val="both"/>
        <w:rPr>
          <w:rFonts w:eastAsiaTheme="minorHAnsi"/>
          <w:sz w:val="28"/>
          <w:szCs w:val="28"/>
        </w:rPr>
      </w:pPr>
    </w:p>
    <w:p w:rsidR="00FA708F" w:rsidRDefault="00FA708F" w:rsidP="00FA708F">
      <w:pPr>
        <w:jc w:val="both"/>
        <w:rPr>
          <w:lang w:eastAsia="de-DE"/>
        </w:rPr>
      </w:pPr>
    </w:p>
    <w:p w:rsidR="00EE4F6D" w:rsidRPr="00EE4F6D" w:rsidRDefault="00645E75" w:rsidP="00EE4F6D">
      <w:pPr>
        <w:pStyle w:val="Statut"/>
        <w:spacing w:before="0"/>
        <w:jc w:val="both"/>
        <w:rPr>
          <w:b/>
          <w:bCs/>
          <w:color w:val="FF0000"/>
          <w:sz w:val="28"/>
          <w:szCs w:val="28"/>
        </w:rPr>
      </w:pPr>
      <w:r w:rsidRPr="00EE4F6D">
        <w:rPr>
          <w:b/>
          <w:sz w:val="28"/>
          <w:szCs w:val="28"/>
        </w:rPr>
        <w:t xml:space="preserve">2. </w:t>
      </w:r>
      <w:r w:rsidR="00EE4F6D" w:rsidRPr="00EE4F6D">
        <w:rPr>
          <w:b/>
          <w:noProof/>
          <w:sz w:val="28"/>
          <w:szCs w:val="28"/>
        </w:rPr>
        <w:t>Priekšlikums Padomes regulai</w:t>
      </w:r>
      <w:r w:rsidR="00EE4F6D">
        <w:rPr>
          <w:b/>
          <w:noProof/>
          <w:sz w:val="28"/>
          <w:szCs w:val="28"/>
        </w:rPr>
        <w:t xml:space="preserve"> </w:t>
      </w:r>
      <w:r w:rsidR="00EE4F6D" w:rsidRPr="00EE4F6D">
        <w:rPr>
          <w:b/>
          <w:noProof/>
          <w:sz w:val="28"/>
          <w:szCs w:val="28"/>
        </w:rPr>
        <w:t xml:space="preserve">par Eiropas Atomenerģijas kopienas pētniecības un mācību programmu 2014.–2018. gadam, kas papildina </w:t>
      </w:r>
      <w:r w:rsidR="00EE4F6D" w:rsidRPr="00EE4F6D">
        <w:rPr>
          <w:b/>
          <w:noProof/>
          <w:sz w:val="28"/>
          <w:szCs w:val="28"/>
        </w:rPr>
        <w:lastRenderedPageBreak/>
        <w:t>pētniecības un inovācijas pamatprogrammu “Horizonts 2020”</w:t>
      </w:r>
      <w:r w:rsidR="00EE4F6D">
        <w:rPr>
          <w:b/>
          <w:noProof/>
          <w:sz w:val="28"/>
          <w:szCs w:val="28"/>
        </w:rPr>
        <w:t xml:space="preserve"> - </w:t>
      </w:r>
      <w:r w:rsidR="00EE4F6D" w:rsidRPr="00EE4F6D">
        <w:rPr>
          <w:b/>
          <w:noProof/>
          <w:sz w:val="28"/>
          <w:szCs w:val="28"/>
        </w:rPr>
        <w:t>Progresa ziņojums</w:t>
      </w:r>
    </w:p>
    <w:p w:rsidR="003E783D" w:rsidRDefault="003E783D" w:rsidP="003E783D">
      <w:pPr>
        <w:autoSpaceDE w:val="0"/>
        <w:autoSpaceDN w:val="0"/>
        <w:adjustRightInd w:val="0"/>
        <w:rPr>
          <w:rFonts w:ascii="Helv" w:eastAsia="Calibri" w:hAnsi="Helv" w:cs="Helv"/>
          <w:color w:val="000000"/>
        </w:rPr>
      </w:pPr>
    </w:p>
    <w:p w:rsidR="003E783D" w:rsidRPr="00FA708F" w:rsidRDefault="003E783D" w:rsidP="003E783D">
      <w:pPr>
        <w:jc w:val="both"/>
        <w:rPr>
          <w:noProof/>
          <w:sz w:val="28"/>
          <w:szCs w:val="28"/>
        </w:rPr>
      </w:pPr>
      <w:r w:rsidRPr="00FA708F">
        <w:rPr>
          <w:noProof/>
          <w:sz w:val="28"/>
          <w:szCs w:val="28"/>
        </w:rPr>
        <w:t>Ierosinātā</w:t>
      </w:r>
      <w:r w:rsidRPr="00FA708F">
        <w:rPr>
          <w:i/>
          <w:noProof/>
          <w:sz w:val="28"/>
          <w:szCs w:val="28"/>
        </w:rPr>
        <w:t xml:space="preserve"> Euratom</w:t>
      </w:r>
      <w:r w:rsidRPr="00FA708F">
        <w:rPr>
          <w:noProof/>
          <w:sz w:val="28"/>
          <w:szCs w:val="28"/>
        </w:rPr>
        <w:t xml:space="preserve"> pētniecības un mācību programma (2014.–2018. gadam); turpmāk “</w:t>
      </w:r>
      <w:r w:rsidRPr="00FA708F">
        <w:rPr>
          <w:i/>
          <w:noProof/>
          <w:sz w:val="28"/>
          <w:szCs w:val="28"/>
        </w:rPr>
        <w:t>Euratom</w:t>
      </w:r>
      <w:r w:rsidRPr="00FA708F">
        <w:rPr>
          <w:noProof/>
          <w:sz w:val="28"/>
          <w:szCs w:val="28"/>
        </w:rPr>
        <w:t xml:space="preserve"> programma”, attiecas uz pētniecības darbībām, ko veic kodolenerģijas (kodolsintēzes un kodolskaldīšanas) un radiācijas aizsardzības jomās. Priekšlikums ir neatņemama daļa no pētniecības un inovācijas pamatprogrammas “Horizonts 2020” (Horizonts 2020). </w:t>
      </w:r>
    </w:p>
    <w:p w:rsidR="003E783D" w:rsidRPr="00FA708F" w:rsidRDefault="003E783D" w:rsidP="003E783D">
      <w:pPr>
        <w:jc w:val="both"/>
        <w:rPr>
          <w:noProof/>
          <w:sz w:val="28"/>
          <w:szCs w:val="28"/>
        </w:rPr>
      </w:pPr>
      <w:r w:rsidRPr="00FA708F">
        <w:rPr>
          <w:i/>
          <w:noProof/>
          <w:sz w:val="28"/>
          <w:szCs w:val="28"/>
        </w:rPr>
        <w:t>Euratom</w:t>
      </w:r>
      <w:r>
        <w:rPr>
          <w:noProof/>
          <w:sz w:val="28"/>
          <w:szCs w:val="28"/>
        </w:rPr>
        <w:t xml:space="preserve"> programma </w:t>
      </w:r>
      <w:r w:rsidRPr="00FA708F">
        <w:rPr>
          <w:noProof/>
          <w:sz w:val="28"/>
          <w:szCs w:val="28"/>
        </w:rPr>
        <w:t>2014.–2018. gadam sniegs ieguldījumu to trīs stratēģisko mērķu sasniegšanā, kas izklāstīti pētniecības un inovācijas pamatprogrammā “Horizonts 2020”:  zinātnes izcilība, vadošā loma rūpniecībā un sabiedrības problēmu risinājumi</w:t>
      </w:r>
      <w:r w:rsidRPr="00FA708F">
        <w:rPr>
          <w:i/>
          <w:noProof/>
          <w:sz w:val="28"/>
          <w:szCs w:val="28"/>
        </w:rPr>
        <w:t xml:space="preserve">. </w:t>
      </w:r>
      <w:r w:rsidRPr="00FA708F">
        <w:rPr>
          <w:noProof/>
          <w:sz w:val="28"/>
          <w:szCs w:val="28"/>
        </w:rPr>
        <w:t xml:space="preserve">Attiecīgi tiks uzturēta atbilstoša saikne un mijiedarbība starp </w:t>
      </w:r>
      <w:r w:rsidRPr="00FA708F">
        <w:rPr>
          <w:i/>
          <w:noProof/>
          <w:color w:val="000000"/>
          <w:sz w:val="28"/>
          <w:szCs w:val="28"/>
        </w:rPr>
        <w:t>Euratom</w:t>
      </w:r>
      <w:r w:rsidRPr="00FA708F">
        <w:rPr>
          <w:noProof/>
          <w:color w:val="000000"/>
          <w:sz w:val="28"/>
          <w:szCs w:val="28"/>
        </w:rPr>
        <w:t xml:space="preserve"> programmu un </w:t>
      </w:r>
      <w:r w:rsidRPr="00FA708F">
        <w:rPr>
          <w:noProof/>
          <w:sz w:val="28"/>
          <w:szCs w:val="28"/>
        </w:rPr>
        <w:t xml:space="preserve">pamatprogrammu </w:t>
      </w:r>
      <w:r w:rsidRPr="00FA708F">
        <w:rPr>
          <w:noProof/>
          <w:color w:val="000000"/>
          <w:sz w:val="28"/>
          <w:szCs w:val="28"/>
        </w:rPr>
        <w:t>“</w:t>
      </w:r>
      <w:r w:rsidRPr="00FA708F">
        <w:rPr>
          <w:noProof/>
          <w:sz w:val="28"/>
          <w:szCs w:val="28"/>
        </w:rPr>
        <w:t>Horizonts 2020”.</w:t>
      </w:r>
    </w:p>
    <w:p w:rsidR="003E783D" w:rsidRPr="00FA708F" w:rsidRDefault="003E783D" w:rsidP="003E783D">
      <w:pPr>
        <w:autoSpaceDE w:val="0"/>
        <w:autoSpaceDN w:val="0"/>
        <w:adjustRightInd w:val="0"/>
        <w:jc w:val="both"/>
        <w:rPr>
          <w:noProof/>
          <w:sz w:val="28"/>
          <w:szCs w:val="28"/>
        </w:rPr>
      </w:pPr>
      <w:r w:rsidRPr="00FA708F">
        <w:rPr>
          <w:i/>
          <w:noProof/>
          <w:sz w:val="28"/>
          <w:szCs w:val="28"/>
        </w:rPr>
        <w:t>Euratom</w:t>
      </w:r>
      <w:r w:rsidRPr="00FA708F">
        <w:rPr>
          <w:noProof/>
          <w:sz w:val="28"/>
          <w:szCs w:val="28"/>
        </w:rPr>
        <w:t xml:space="preserve"> programma ir saistīta ar stratēģiju “Eiropa 2020” un “Enerģētika 2020” mērķiem un veicinās vadošās iniciatīvas “Inovāciju savienība” īstenošanu, atbalstot pētniecību pirmskomercializācijas posmā un ar politiku saistīto pētniecību un veicinot tehnoloģiju nodošanu starp akadēmiskajām aprindām un rūpniecības nozari. Liekot īpašu uzsvaru uz mācībām visās programmas darbībās, veicinot konkurētspēju esošajā kodolrūpniecībā un jo īpaši radot jaunu augsto tehnoloģiju rūpniecības nozari kodolsintēzes enerģijas jomā, </w:t>
      </w:r>
      <w:r w:rsidRPr="00FA708F">
        <w:rPr>
          <w:i/>
          <w:noProof/>
          <w:sz w:val="28"/>
          <w:szCs w:val="28"/>
        </w:rPr>
        <w:t>Euratom</w:t>
      </w:r>
      <w:r w:rsidRPr="00FA708F">
        <w:rPr>
          <w:noProof/>
          <w:sz w:val="28"/>
          <w:szCs w:val="28"/>
        </w:rPr>
        <w:t xml:space="preserve"> programma veicinās izaugsmi un jaunu darbavietu izveidi dažādās disciplīnās. </w:t>
      </w:r>
    </w:p>
    <w:p w:rsidR="003E783D" w:rsidRPr="00FA708F" w:rsidRDefault="003E783D" w:rsidP="003E783D">
      <w:pPr>
        <w:jc w:val="both"/>
        <w:rPr>
          <w:noProof/>
          <w:sz w:val="28"/>
          <w:szCs w:val="28"/>
        </w:rPr>
      </w:pPr>
      <w:r w:rsidRPr="00FA708F">
        <w:rPr>
          <w:i/>
          <w:noProof/>
          <w:sz w:val="28"/>
          <w:szCs w:val="28"/>
        </w:rPr>
        <w:t>Euratom</w:t>
      </w:r>
      <w:r w:rsidRPr="00FA708F">
        <w:rPr>
          <w:noProof/>
          <w:sz w:val="28"/>
          <w:szCs w:val="28"/>
        </w:rPr>
        <w:t xml:space="preserve"> līgums ierobežo pētniecības programmu ilgumu kodolenerģijas jomā līdz pieciem gadiem (Euratom līguma 7. pants). Ar šo regulu izveido </w:t>
      </w:r>
      <w:r w:rsidRPr="00FA708F">
        <w:rPr>
          <w:i/>
          <w:noProof/>
          <w:sz w:val="28"/>
          <w:szCs w:val="28"/>
        </w:rPr>
        <w:t>Euratom</w:t>
      </w:r>
      <w:r w:rsidRPr="00FA708F">
        <w:rPr>
          <w:noProof/>
          <w:sz w:val="28"/>
          <w:szCs w:val="28"/>
        </w:rPr>
        <w:t xml:space="preserve"> pētniecības un mācību programmu laika posmam no 2014. gada 1. janvāra līdz 2018. gada 31. decembrim. </w:t>
      </w:r>
    </w:p>
    <w:p w:rsidR="003144F1" w:rsidRDefault="003E783D" w:rsidP="003E783D">
      <w:pPr>
        <w:pStyle w:val="NumPar1"/>
        <w:numPr>
          <w:ilvl w:val="0"/>
          <w:numId w:val="0"/>
        </w:numPr>
        <w:spacing w:before="0" w:after="0"/>
        <w:rPr>
          <w:noProof/>
          <w:sz w:val="28"/>
          <w:szCs w:val="28"/>
        </w:rPr>
      </w:pPr>
      <w:r w:rsidRPr="00FA708F">
        <w:rPr>
          <w:i/>
          <w:noProof/>
          <w:sz w:val="28"/>
          <w:szCs w:val="28"/>
        </w:rPr>
        <w:t>Euratom</w:t>
      </w:r>
      <w:r w:rsidRPr="00FA708F">
        <w:rPr>
          <w:noProof/>
          <w:sz w:val="28"/>
          <w:szCs w:val="28"/>
        </w:rPr>
        <w:t xml:space="preserve"> programmas vispārējais mērķis ir uzlabot kodoldrošumu, kodoldrošību un radiācijas drošumu, veicināt enerģētikas sistēmas drošu, efektīvu un nekaitīgu dekarbonizāciju ilgtermiņā. </w:t>
      </w:r>
      <w:r w:rsidRPr="00FA708F">
        <w:rPr>
          <w:i/>
          <w:noProof/>
          <w:sz w:val="28"/>
          <w:szCs w:val="28"/>
        </w:rPr>
        <w:t>Euratom</w:t>
      </w:r>
      <w:r w:rsidRPr="00FA708F">
        <w:rPr>
          <w:noProof/>
          <w:sz w:val="28"/>
          <w:szCs w:val="28"/>
        </w:rPr>
        <w:t xml:space="preserve"> programmas </w:t>
      </w:r>
      <w:r w:rsidRPr="003144F1">
        <w:rPr>
          <w:noProof/>
          <w:sz w:val="28"/>
          <w:szCs w:val="28"/>
        </w:rPr>
        <w:t>netiešajām darbībām</w:t>
      </w:r>
      <w:r w:rsidRPr="00FA708F">
        <w:rPr>
          <w:b/>
          <w:noProof/>
          <w:sz w:val="28"/>
          <w:szCs w:val="28"/>
        </w:rPr>
        <w:t xml:space="preserve"> </w:t>
      </w:r>
      <w:r w:rsidRPr="00FA708F">
        <w:rPr>
          <w:noProof/>
          <w:sz w:val="28"/>
          <w:szCs w:val="28"/>
        </w:rPr>
        <w:t xml:space="preserve">ir šādi mērķi: atbalstīt kodolsistēmu drošu ekspluatāciju; veicināt risinājumu izstrādi galīgo kodolatkritumu apsaimniekošanai; attīstīt un saglabāt kompetenci kodolenerģijas jomā; veicināt radiācijas drošību; virzīties uz kodolsintēzes kā enerģijas avota demonstrējumiem, izmantojot pašreizējās un nākotnes kodolsintēzes iekārtas; veidot pamatu nākotnes kodolsintēzes spēkstacijām, izstrādājot materiālus, tehnoloģijas un skices projektu; veicināt inovāciju un rūpniecības konkurētspēju; nodrošināt Eiropas nozīmes pētniecības infrastruktūru pieejamību un izmantošanu. </w:t>
      </w:r>
    </w:p>
    <w:p w:rsidR="003E783D" w:rsidRPr="00FA708F" w:rsidRDefault="003E783D" w:rsidP="003E783D">
      <w:pPr>
        <w:pStyle w:val="NumPar1"/>
        <w:numPr>
          <w:ilvl w:val="0"/>
          <w:numId w:val="0"/>
        </w:numPr>
        <w:spacing w:before="0" w:after="0"/>
        <w:rPr>
          <w:noProof/>
          <w:sz w:val="28"/>
          <w:szCs w:val="28"/>
        </w:rPr>
      </w:pPr>
      <w:r w:rsidRPr="00FA708F">
        <w:rPr>
          <w:i/>
          <w:noProof/>
          <w:sz w:val="28"/>
          <w:szCs w:val="28"/>
        </w:rPr>
        <w:t>Euratom</w:t>
      </w:r>
      <w:r w:rsidRPr="00FA708F">
        <w:rPr>
          <w:noProof/>
          <w:sz w:val="28"/>
          <w:szCs w:val="28"/>
        </w:rPr>
        <w:t xml:space="preserve"> programmas </w:t>
      </w:r>
      <w:r w:rsidRPr="003144F1">
        <w:rPr>
          <w:noProof/>
          <w:sz w:val="28"/>
          <w:szCs w:val="28"/>
        </w:rPr>
        <w:t>tiešajām darbībām</w:t>
      </w:r>
      <w:r w:rsidRPr="00FA708F">
        <w:rPr>
          <w:noProof/>
          <w:sz w:val="28"/>
          <w:szCs w:val="28"/>
        </w:rPr>
        <w:t xml:space="preserve"> ir šādi konkrētie mērķi: uzlabot kodoldrošumu, tostarp</w:t>
      </w:r>
      <w:r w:rsidRPr="00F35D09">
        <w:rPr>
          <w:noProof/>
        </w:rPr>
        <w:t xml:space="preserve"> </w:t>
      </w:r>
      <w:r w:rsidRPr="00FA708F">
        <w:rPr>
          <w:noProof/>
          <w:sz w:val="28"/>
          <w:szCs w:val="28"/>
        </w:rPr>
        <w:t>kodoldegvielas un reaktoru drošumu, atkritumu pārvaldību un ekspluatācijas pārtraukšanu, kā arī gatavību ārkārtas situācijām; uzlabot kodoldrošību, tostarp drošības pasākumus kodolenerģijas jomā, kodolieroču neizplatīšanu, nelikumīgas tirdzniecības apkarošanu un ar kodolmateriāliem saistītu tiesu ekspertīzi; palielināt kodolenerģētikas zinātniskās bāzes izcilību standartizācijas vajadzībām; veicināt zināšanu pārvaldību, izglītību un apmācību; atbalstīt ES kodoldrošuma un kodoldrošības politiku.</w:t>
      </w:r>
    </w:p>
    <w:p w:rsidR="003E783D" w:rsidRPr="00FA708F" w:rsidRDefault="003E783D" w:rsidP="003E783D">
      <w:pPr>
        <w:pStyle w:val="NumPar1"/>
        <w:numPr>
          <w:ilvl w:val="0"/>
          <w:numId w:val="0"/>
        </w:numPr>
        <w:spacing w:before="0" w:after="0"/>
        <w:rPr>
          <w:noProof/>
          <w:sz w:val="28"/>
          <w:szCs w:val="28"/>
        </w:rPr>
      </w:pPr>
      <w:r w:rsidRPr="00FA708F">
        <w:rPr>
          <w:noProof/>
          <w:sz w:val="28"/>
          <w:szCs w:val="28"/>
        </w:rPr>
        <w:lastRenderedPageBreak/>
        <w:t xml:space="preserve">Īpašu uzmanību pievērš tam, lai nodrošinātu mazu un vidēju uzņēmumu (MVU) pienācīgu dalību </w:t>
      </w:r>
      <w:r w:rsidRPr="00FA708F">
        <w:rPr>
          <w:i/>
          <w:noProof/>
          <w:sz w:val="28"/>
          <w:szCs w:val="28"/>
        </w:rPr>
        <w:t>Euratom</w:t>
      </w:r>
      <w:r w:rsidRPr="00FA708F">
        <w:rPr>
          <w:noProof/>
          <w:sz w:val="28"/>
          <w:szCs w:val="28"/>
        </w:rPr>
        <w:t xml:space="preserve"> programmā un tās inovāciju ietekmi uz MVU. </w:t>
      </w:r>
    </w:p>
    <w:p w:rsidR="003E783D" w:rsidRPr="00FA708F" w:rsidRDefault="003E783D" w:rsidP="003E783D">
      <w:pPr>
        <w:jc w:val="both"/>
        <w:rPr>
          <w:noProof/>
          <w:sz w:val="28"/>
          <w:szCs w:val="28"/>
        </w:rPr>
      </w:pPr>
      <w:r w:rsidRPr="00FA708F">
        <w:rPr>
          <w:i/>
          <w:noProof/>
          <w:sz w:val="28"/>
          <w:szCs w:val="28"/>
        </w:rPr>
        <w:t>Euratom</w:t>
      </w:r>
      <w:r>
        <w:rPr>
          <w:noProof/>
          <w:sz w:val="28"/>
          <w:szCs w:val="28"/>
        </w:rPr>
        <w:t xml:space="preserve"> programma </w:t>
      </w:r>
      <w:r w:rsidRPr="00FA708F">
        <w:rPr>
          <w:noProof/>
          <w:sz w:val="28"/>
          <w:szCs w:val="28"/>
        </w:rPr>
        <w:t xml:space="preserve">2014.–2018. gadam tiek īstenota ar atsevišķu regulu, kas paredz visus kodolpētniecības īstenošanai vajadzīgos noteikumus. Šī jaunā pieeja atšķiras no iepriekšējiem plānošanas periodiem, kuros uz saturu, ko aptver šī regula, tika attiecināti četri dažādi leģislatīvi akti (trīs lēmumi, katrs attiecīgi par pamatprogrammu, īpašo programmu Vienotā pētniecības centra (JRC) netiešajām darbībām un īpašo programmu JRC tiešajām darbībām, kā arī regula, ar ko paredz noteikumus par uzņēmumu, pētniecības centru un universitāšu dalību un pētījumu rezultātu izplatīšanu). </w:t>
      </w:r>
      <w:r w:rsidRPr="00FA708F">
        <w:rPr>
          <w:i/>
          <w:noProof/>
          <w:sz w:val="28"/>
          <w:szCs w:val="28"/>
        </w:rPr>
        <w:t>Euratom</w:t>
      </w:r>
      <w:r w:rsidRPr="00FA708F">
        <w:rPr>
          <w:noProof/>
          <w:sz w:val="28"/>
          <w:szCs w:val="28"/>
        </w:rPr>
        <w:t xml:space="preserve"> programma 2014. –2018. gadam paredz ievērojami vienkāršot finansēšanas noteikumus, kā arī pārskatīt kontroles stratēģiju, atbalstot vispārējo vienkāršošanas mērķi. </w:t>
      </w:r>
    </w:p>
    <w:p w:rsidR="003E783D" w:rsidRDefault="003E783D" w:rsidP="003E783D">
      <w:pPr>
        <w:pStyle w:val="Titreobjet"/>
        <w:spacing w:before="0" w:after="0"/>
        <w:jc w:val="both"/>
        <w:rPr>
          <w:b w:val="0"/>
          <w:sz w:val="28"/>
          <w:szCs w:val="28"/>
          <w:u w:val="single"/>
          <w:lang w:eastAsia="lv-LV"/>
        </w:rPr>
      </w:pPr>
    </w:p>
    <w:p w:rsidR="003E783D" w:rsidRPr="00FA708F" w:rsidRDefault="003E783D" w:rsidP="003E783D">
      <w:pPr>
        <w:pStyle w:val="Statut"/>
        <w:spacing w:before="0"/>
        <w:jc w:val="both"/>
        <w:rPr>
          <w:noProof/>
          <w:sz w:val="28"/>
          <w:szCs w:val="28"/>
        </w:rPr>
      </w:pPr>
      <w:r w:rsidRPr="00FA708F">
        <w:rPr>
          <w:b/>
          <w:sz w:val="28"/>
          <w:szCs w:val="28"/>
          <w:lang w:eastAsia="lv-LV"/>
        </w:rPr>
        <w:t>Latvija kopumā atbalsta</w:t>
      </w:r>
      <w:r w:rsidRPr="00FA708F">
        <w:rPr>
          <w:sz w:val="28"/>
          <w:szCs w:val="28"/>
          <w:lang w:eastAsia="lv-LV"/>
        </w:rPr>
        <w:t xml:space="preserve"> </w:t>
      </w:r>
      <w:r w:rsidRPr="00FA708F">
        <w:rPr>
          <w:noProof/>
          <w:sz w:val="28"/>
          <w:szCs w:val="28"/>
        </w:rPr>
        <w:t>Priekšlikumu Padomes regulai par Eiropas Atomenerģijas kopienas pētniecības un mācību programmu 2014.–2018. gadam, kas papildina pētniecības un inovācijas pamatprogrammu “Horizonts 2020”.</w:t>
      </w:r>
    </w:p>
    <w:p w:rsidR="003E783D" w:rsidRPr="00FA708F" w:rsidRDefault="003E783D" w:rsidP="003E783D">
      <w:pPr>
        <w:jc w:val="both"/>
        <w:rPr>
          <w:sz w:val="28"/>
          <w:szCs w:val="28"/>
        </w:rPr>
      </w:pPr>
      <w:r w:rsidRPr="00FA708F">
        <w:rPr>
          <w:b/>
          <w:sz w:val="28"/>
          <w:szCs w:val="28"/>
        </w:rPr>
        <w:t>Latvija plāno</w:t>
      </w:r>
      <w:r w:rsidRPr="00FA708F">
        <w:rPr>
          <w:sz w:val="28"/>
          <w:szCs w:val="28"/>
        </w:rPr>
        <w:t xml:space="preserve"> piedalīties Vienotajā pētniecības centrā un paredz iesniegt projektus regulā paredzēto netiešo darbību projektu konkursā.</w:t>
      </w:r>
    </w:p>
    <w:p w:rsidR="003E783D" w:rsidRPr="00FA708F" w:rsidRDefault="003E783D" w:rsidP="003E783D">
      <w:pPr>
        <w:pStyle w:val="Typedudocument"/>
        <w:spacing w:before="0"/>
        <w:jc w:val="both"/>
        <w:rPr>
          <w:sz w:val="28"/>
          <w:szCs w:val="28"/>
        </w:rPr>
      </w:pPr>
      <w:r w:rsidRPr="00FA708F">
        <w:rPr>
          <w:sz w:val="28"/>
          <w:szCs w:val="28"/>
          <w:lang w:eastAsia="lv-LV"/>
        </w:rPr>
        <w:t>Latvija kopumā atbalsta</w:t>
      </w:r>
      <w:r w:rsidRPr="00FA708F">
        <w:rPr>
          <w:b w:val="0"/>
          <w:sz w:val="28"/>
          <w:szCs w:val="28"/>
          <w:lang w:eastAsia="lv-LV"/>
        </w:rPr>
        <w:t xml:space="preserve"> </w:t>
      </w:r>
      <w:r w:rsidRPr="00FA708F">
        <w:rPr>
          <w:b w:val="0"/>
          <w:noProof/>
          <w:sz w:val="28"/>
          <w:szCs w:val="28"/>
        </w:rPr>
        <w:t>Eiropas Atomenerģijas kopienas pamatprogrammu kodolpētniecības un mācību pasākumiem, taču Latvijas kapacitāte kodolzinātnes un kodoltehnoloģiju jomā pagaidām neļauj piedalīties šādos mācību pasākumos.</w:t>
      </w:r>
    </w:p>
    <w:p w:rsidR="003E783D" w:rsidRPr="00FA708F" w:rsidRDefault="003E783D" w:rsidP="003E783D">
      <w:pPr>
        <w:jc w:val="both"/>
        <w:rPr>
          <w:sz w:val="28"/>
          <w:szCs w:val="28"/>
          <w:lang w:eastAsia="de-DE"/>
        </w:rPr>
      </w:pPr>
      <w:r w:rsidRPr="00FA708F">
        <w:rPr>
          <w:b/>
          <w:sz w:val="28"/>
          <w:szCs w:val="28"/>
          <w:lang w:eastAsia="de-DE"/>
        </w:rPr>
        <w:t>Latvija uzskata</w:t>
      </w:r>
      <w:r w:rsidRPr="00FA708F">
        <w:rPr>
          <w:sz w:val="28"/>
          <w:szCs w:val="28"/>
          <w:lang w:eastAsia="de-DE"/>
        </w:rPr>
        <w:t xml:space="preserve">, ka kodoldrošības un </w:t>
      </w:r>
      <w:proofErr w:type="spellStart"/>
      <w:r w:rsidRPr="00FA708F">
        <w:rPr>
          <w:sz w:val="28"/>
          <w:szCs w:val="28"/>
          <w:lang w:eastAsia="de-DE"/>
        </w:rPr>
        <w:t>kodoldrošuma</w:t>
      </w:r>
      <w:proofErr w:type="spellEnd"/>
      <w:r w:rsidRPr="00FA708F">
        <w:rPr>
          <w:sz w:val="28"/>
          <w:szCs w:val="28"/>
          <w:lang w:eastAsia="de-DE"/>
        </w:rPr>
        <w:t xml:space="preserve"> jautājumi ir ļoti būtiski, vienlaikus norāda, ka jaunākās paaudzes reaktoros tiem jau pašlaik tiek pievērsta sevišķi liela uzmanība. </w:t>
      </w:r>
    </w:p>
    <w:p w:rsidR="003E783D" w:rsidRPr="00FA708F" w:rsidRDefault="003E783D" w:rsidP="003E783D">
      <w:pPr>
        <w:jc w:val="both"/>
        <w:rPr>
          <w:sz w:val="28"/>
          <w:szCs w:val="28"/>
          <w:lang w:eastAsia="de-DE"/>
        </w:rPr>
      </w:pPr>
      <w:r w:rsidRPr="00FA708F">
        <w:rPr>
          <w:b/>
          <w:sz w:val="28"/>
          <w:szCs w:val="28"/>
          <w:lang w:eastAsia="de-DE"/>
        </w:rPr>
        <w:t>Latvija uzskata</w:t>
      </w:r>
      <w:r w:rsidRPr="00FA708F">
        <w:rPr>
          <w:sz w:val="28"/>
          <w:szCs w:val="28"/>
          <w:lang w:eastAsia="de-DE"/>
        </w:rPr>
        <w:t>, ka jautājums par kodolatkritumiem ir īpaši problemātisks un tā risināšanai jāveltī sevišķi liela uzmanība. Arī šo atkritumu pārstrādes jautājums nav atrisināts un jāmeklē iespējas atrast maksimāli drošākus pārstrādes veidus un vietas.</w:t>
      </w:r>
    </w:p>
    <w:p w:rsidR="003E783D" w:rsidRPr="00B53A98" w:rsidRDefault="003E783D" w:rsidP="00B53A98">
      <w:pPr>
        <w:rPr>
          <w:lang w:eastAsia="de-DE"/>
        </w:rPr>
      </w:pPr>
    </w:p>
    <w:p w:rsidR="00916F85" w:rsidRDefault="00153A94" w:rsidP="00916F85">
      <w:pPr>
        <w:jc w:val="both"/>
        <w:rPr>
          <w:b/>
          <w:sz w:val="28"/>
          <w:szCs w:val="28"/>
          <w:lang w:eastAsia="de-DE"/>
        </w:rPr>
      </w:pPr>
      <w:r w:rsidRPr="00916F85">
        <w:rPr>
          <w:b/>
          <w:sz w:val="28"/>
          <w:szCs w:val="28"/>
        </w:rPr>
        <w:t xml:space="preserve">3. </w:t>
      </w:r>
      <w:r w:rsidR="00916F85" w:rsidRPr="00916F85">
        <w:rPr>
          <w:b/>
          <w:sz w:val="28"/>
          <w:szCs w:val="28"/>
          <w:lang w:eastAsia="de-DE"/>
        </w:rPr>
        <w:t>Priekšlikums Eiropas Parlamenta un Padomes lēmumam par Eiropas Inovācijas un tehnoloģiju institūta (EIT) Stratēģisko inovācijas dienaskārtību: EIT ieguldījums inovācijas veicināšanā Eiropā - daļēja vispārēja pieeja</w:t>
      </w:r>
    </w:p>
    <w:p w:rsidR="00845F71" w:rsidRDefault="00A32E68" w:rsidP="00916F85">
      <w:pPr>
        <w:jc w:val="both"/>
        <w:rPr>
          <w:sz w:val="28"/>
          <w:szCs w:val="28"/>
          <w:lang w:eastAsia="de-DE"/>
        </w:rPr>
      </w:pPr>
      <w:r w:rsidRPr="00916F85">
        <w:rPr>
          <w:sz w:val="28"/>
          <w:szCs w:val="28"/>
        </w:rPr>
        <w:br/>
      </w:r>
      <w:r w:rsidR="003E783D" w:rsidRPr="00845F71">
        <w:rPr>
          <w:sz w:val="28"/>
          <w:szCs w:val="28"/>
          <w:lang w:eastAsia="de-DE"/>
        </w:rPr>
        <w:t>Eiropas Inovāciju un tehnoloģiju institūts (EIT) tika izveidots 2008. gadā. Regula 294/2008 nosaka, ka EK iesniedz priekšlikumu par EIT pirmo Stratēģisko Inovācijas dienaskārtību (</w:t>
      </w:r>
      <w:proofErr w:type="spellStart"/>
      <w:r w:rsidR="003E783D" w:rsidRPr="00845F71">
        <w:rPr>
          <w:i/>
          <w:sz w:val="28"/>
          <w:szCs w:val="28"/>
          <w:lang w:eastAsia="de-DE"/>
        </w:rPr>
        <w:t>Strategic</w:t>
      </w:r>
      <w:proofErr w:type="spellEnd"/>
      <w:r w:rsidR="003E783D" w:rsidRPr="00845F71">
        <w:rPr>
          <w:i/>
          <w:sz w:val="28"/>
          <w:szCs w:val="28"/>
          <w:lang w:eastAsia="de-DE"/>
        </w:rPr>
        <w:t xml:space="preserve"> </w:t>
      </w:r>
      <w:proofErr w:type="spellStart"/>
      <w:r w:rsidR="003E783D" w:rsidRPr="00845F71">
        <w:rPr>
          <w:i/>
          <w:sz w:val="28"/>
          <w:szCs w:val="28"/>
          <w:lang w:eastAsia="de-DE"/>
        </w:rPr>
        <w:t>Innovation</w:t>
      </w:r>
      <w:proofErr w:type="spellEnd"/>
      <w:r w:rsidR="003E783D" w:rsidRPr="00845F71">
        <w:rPr>
          <w:i/>
          <w:sz w:val="28"/>
          <w:szCs w:val="28"/>
          <w:lang w:eastAsia="de-DE"/>
        </w:rPr>
        <w:t xml:space="preserve"> </w:t>
      </w:r>
      <w:proofErr w:type="spellStart"/>
      <w:r w:rsidR="003E783D" w:rsidRPr="00845F71">
        <w:rPr>
          <w:i/>
          <w:sz w:val="28"/>
          <w:szCs w:val="28"/>
          <w:lang w:eastAsia="de-DE"/>
        </w:rPr>
        <w:t>Agenda</w:t>
      </w:r>
      <w:proofErr w:type="spellEnd"/>
      <w:r w:rsidR="00845F71">
        <w:rPr>
          <w:sz w:val="28"/>
          <w:szCs w:val="28"/>
          <w:lang w:eastAsia="de-DE"/>
        </w:rPr>
        <w:t xml:space="preserve">, SIA). SIA </w:t>
      </w:r>
      <w:r w:rsidR="003E783D" w:rsidRPr="00845F71">
        <w:rPr>
          <w:sz w:val="28"/>
          <w:szCs w:val="28"/>
          <w:lang w:eastAsia="de-DE"/>
        </w:rPr>
        <w:t>definē EIT ilgtermiņa prioritārās jomas un jāietver tā ekonomiskā ietekmes novērtējums un kapacitāte, lai radītu inovācijas labāko pievienoto vērtību. Pirmajā SIA jābūt iekļautām arī detalizētām specifikācijām par EIT darbību un sadarbību starp EIT un Zināšanu un inovāciju kopienām (</w:t>
      </w:r>
      <w:proofErr w:type="spellStart"/>
      <w:r w:rsidR="003E783D" w:rsidRPr="00845F71">
        <w:rPr>
          <w:i/>
          <w:noProof/>
          <w:sz w:val="28"/>
          <w:szCs w:val="28"/>
        </w:rPr>
        <w:t>Knowledge</w:t>
      </w:r>
      <w:proofErr w:type="spellEnd"/>
      <w:r w:rsidR="003E783D" w:rsidRPr="00845F71">
        <w:rPr>
          <w:i/>
          <w:noProof/>
          <w:sz w:val="28"/>
          <w:szCs w:val="28"/>
        </w:rPr>
        <w:t xml:space="preserve"> and Innovation Communities</w:t>
      </w:r>
      <w:r w:rsidR="003E783D" w:rsidRPr="00845F71">
        <w:rPr>
          <w:noProof/>
          <w:sz w:val="28"/>
          <w:szCs w:val="28"/>
        </w:rPr>
        <w:t>, KIC</w:t>
      </w:r>
      <w:r w:rsidR="003E783D" w:rsidRPr="00845F71">
        <w:rPr>
          <w:sz w:val="28"/>
          <w:szCs w:val="28"/>
          <w:lang w:eastAsia="de-DE"/>
        </w:rPr>
        <w:t xml:space="preserve">) un KIC finansēšanas nosacījumiem. </w:t>
      </w:r>
    </w:p>
    <w:p w:rsidR="00845F71" w:rsidRDefault="003E783D" w:rsidP="00845F71">
      <w:pPr>
        <w:jc w:val="both"/>
        <w:rPr>
          <w:sz w:val="28"/>
          <w:szCs w:val="28"/>
          <w:lang w:eastAsia="de-DE"/>
        </w:rPr>
      </w:pPr>
      <w:r w:rsidRPr="00845F71">
        <w:rPr>
          <w:sz w:val="28"/>
          <w:szCs w:val="28"/>
          <w:lang w:eastAsia="de-DE"/>
        </w:rPr>
        <w:t xml:space="preserve">Viens no galvenajiem EIT uzdevumiem ir reaģēt uz lielajiem globālajiem izaicinājumiem, </w:t>
      </w:r>
      <w:r w:rsidR="00845F71">
        <w:rPr>
          <w:sz w:val="28"/>
          <w:szCs w:val="28"/>
          <w:lang w:eastAsia="de-DE"/>
        </w:rPr>
        <w:t>t</w:t>
      </w:r>
      <w:r w:rsidRPr="00845F71">
        <w:rPr>
          <w:sz w:val="28"/>
          <w:szCs w:val="28"/>
          <w:lang w:eastAsia="de-DE"/>
        </w:rPr>
        <w:t xml:space="preserve">āpat EIT uzdevums ir sniegt ieguldījumu tādu </w:t>
      </w:r>
      <w:r w:rsidRPr="00845F71">
        <w:rPr>
          <w:sz w:val="28"/>
          <w:szCs w:val="28"/>
        </w:rPr>
        <w:t xml:space="preserve">„ES 2020” stratēģijas </w:t>
      </w:r>
      <w:r w:rsidRPr="00845F71">
        <w:rPr>
          <w:sz w:val="28"/>
          <w:szCs w:val="28"/>
          <w:lang w:eastAsia="de-DE"/>
        </w:rPr>
        <w:t xml:space="preserve">vadošo iniciatīvu, kā </w:t>
      </w:r>
      <w:r w:rsidRPr="00845F71">
        <w:rPr>
          <w:i/>
          <w:sz w:val="28"/>
          <w:szCs w:val="28"/>
          <w:lang w:eastAsia="de-DE"/>
        </w:rPr>
        <w:t>Inovāciju savienība</w:t>
      </w:r>
      <w:r w:rsidRPr="00845F71">
        <w:rPr>
          <w:sz w:val="28"/>
          <w:szCs w:val="28"/>
          <w:lang w:eastAsia="de-DE"/>
        </w:rPr>
        <w:t xml:space="preserve">, </w:t>
      </w:r>
      <w:r w:rsidRPr="00845F71">
        <w:rPr>
          <w:i/>
          <w:sz w:val="28"/>
          <w:szCs w:val="28"/>
          <w:lang w:eastAsia="de-DE"/>
        </w:rPr>
        <w:t>Jaunatne kustībā</w:t>
      </w:r>
      <w:r w:rsidRPr="00845F71">
        <w:rPr>
          <w:sz w:val="28"/>
          <w:szCs w:val="28"/>
          <w:lang w:eastAsia="de-DE"/>
        </w:rPr>
        <w:t xml:space="preserve">, </w:t>
      </w:r>
      <w:r w:rsidRPr="00845F71">
        <w:rPr>
          <w:i/>
          <w:sz w:val="28"/>
          <w:szCs w:val="28"/>
          <w:lang w:eastAsia="de-DE"/>
        </w:rPr>
        <w:t>Eiropas Digitālā dienaskārtība</w:t>
      </w:r>
      <w:r w:rsidRPr="00845F71">
        <w:rPr>
          <w:sz w:val="28"/>
          <w:szCs w:val="28"/>
          <w:lang w:eastAsia="de-DE"/>
        </w:rPr>
        <w:t xml:space="preserve">, </w:t>
      </w:r>
      <w:r w:rsidRPr="00845F71">
        <w:rPr>
          <w:i/>
          <w:sz w:val="28"/>
          <w:szCs w:val="28"/>
          <w:lang w:eastAsia="de-DE"/>
        </w:rPr>
        <w:t>Vienota industriālā</w:t>
      </w:r>
      <w:r w:rsidRPr="00845F71">
        <w:rPr>
          <w:sz w:val="28"/>
          <w:szCs w:val="28"/>
          <w:lang w:eastAsia="de-DE"/>
        </w:rPr>
        <w:t xml:space="preserve"> </w:t>
      </w:r>
      <w:r w:rsidRPr="00845F71">
        <w:rPr>
          <w:i/>
          <w:sz w:val="28"/>
          <w:szCs w:val="28"/>
          <w:lang w:eastAsia="de-DE"/>
        </w:rPr>
        <w:t>politika globalizācijas laikmetam</w:t>
      </w:r>
      <w:r w:rsidRPr="00845F71">
        <w:rPr>
          <w:sz w:val="28"/>
          <w:szCs w:val="28"/>
          <w:lang w:eastAsia="de-DE"/>
        </w:rPr>
        <w:t xml:space="preserve"> </w:t>
      </w:r>
      <w:r w:rsidRPr="00845F71">
        <w:rPr>
          <w:sz w:val="28"/>
          <w:szCs w:val="28"/>
          <w:lang w:eastAsia="de-DE"/>
        </w:rPr>
        <w:lastRenderedPageBreak/>
        <w:t>mērķu sasniegšanā. EIT instruments ir KIC, kas ir augsta līmeņa vienotas ilgtermiņa savienības starp izcilām universitātēm, pētniecības centriem, lieliem un maziem uzņēmumiem un citiem inovācijas dalībniekiem, to mērķis ir specifiski sociālie izaicinājumi. Katrs KIC tiek veidots ap nelielu skaitu savstarpēji savienotu centru, kuros partneri strādā kopīgu stratēģisku mērķu sasniegšanai. Ar KIC palīdzību EIT vēlas radīt vidu, kurā inovācija radīs iespēju sadarboties augstākajai izglītībai, zinātnei un uzņēmējdarbībai. Šāda pieeja palīdzēs uzrunāt sarežģītos sociālos izaicinājumus, kuri ir noteikti Pētniecības un inovāciju ietvarprogrammā Horizonts 2020 (Horizonts 2020).</w:t>
      </w:r>
      <w:r w:rsidR="00845F71">
        <w:rPr>
          <w:sz w:val="28"/>
          <w:szCs w:val="28"/>
          <w:lang w:eastAsia="de-DE"/>
        </w:rPr>
        <w:t xml:space="preserve"> </w:t>
      </w:r>
    </w:p>
    <w:p w:rsidR="003E783D" w:rsidRPr="00845F71" w:rsidRDefault="003E783D" w:rsidP="003E783D">
      <w:pPr>
        <w:jc w:val="both"/>
        <w:rPr>
          <w:sz w:val="28"/>
          <w:szCs w:val="28"/>
          <w:lang w:eastAsia="de-DE"/>
        </w:rPr>
      </w:pPr>
      <w:r w:rsidRPr="00845F71">
        <w:rPr>
          <w:sz w:val="28"/>
          <w:szCs w:val="28"/>
          <w:lang w:eastAsia="de-DE"/>
        </w:rPr>
        <w:t xml:space="preserve">2010. gadā tika izveidoti pirmie KIC – </w:t>
      </w:r>
      <w:proofErr w:type="spellStart"/>
      <w:r w:rsidRPr="00845F71">
        <w:rPr>
          <w:sz w:val="28"/>
          <w:szCs w:val="28"/>
          <w:lang w:eastAsia="de-DE"/>
        </w:rPr>
        <w:t>ilgstpējīgas</w:t>
      </w:r>
      <w:proofErr w:type="spellEnd"/>
      <w:r w:rsidRPr="00845F71">
        <w:rPr>
          <w:sz w:val="28"/>
          <w:szCs w:val="28"/>
          <w:lang w:eastAsia="de-DE"/>
        </w:rPr>
        <w:t xml:space="preserve"> enerģijas (</w:t>
      </w:r>
      <w:proofErr w:type="spellStart"/>
      <w:r w:rsidRPr="00845F71">
        <w:rPr>
          <w:sz w:val="28"/>
          <w:szCs w:val="28"/>
          <w:lang w:eastAsia="de-DE"/>
        </w:rPr>
        <w:t>InnoEnergy</w:t>
      </w:r>
      <w:proofErr w:type="spellEnd"/>
      <w:r w:rsidRPr="00845F71">
        <w:rPr>
          <w:sz w:val="28"/>
          <w:szCs w:val="28"/>
          <w:lang w:eastAsia="de-DE"/>
        </w:rPr>
        <w:t>) KIC, klimata pārmaiņu piemērošanas un mazināšanas KIC (</w:t>
      </w:r>
      <w:proofErr w:type="spellStart"/>
      <w:r w:rsidRPr="00845F71">
        <w:rPr>
          <w:sz w:val="28"/>
          <w:szCs w:val="28"/>
          <w:lang w:eastAsia="de-DE"/>
        </w:rPr>
        <w:t>ClimateKIC</w:t>
      </w:r>
      <w:proofErr w:type="spellEnd"/>
      <w:r w:rsidRPr="00845F71">
        <w:rPr>
          <w:sz w:val="28"/>
          <w:szCs w:val="28"/>
          <w:lang w:eastAsia="de-DE"/>
        </w:rPr>
        <w:t>), nākotnes informācijas un komunikāciju sabiedrības KIC (EIT ICT Labs).</w:t>
      </w:r>
      <w:r w:rsidR="00845F71">
        <w:rPr>
          <w:sz w:val="28"/>
          <w:szCs w:val="28"/>
          <w:lang w:eastAsia="de-DE"/>
        </w:rPr>
        <w:t xml:space="preserve"> </w:t>
      </w:r>
      <w:r w:rsidRPr="00845F71">
        <w:rPr>
          <w:sz w:val="28"/>
          <w:szCs w:val="28"/>
          <w:lang w:eastAsia="de-DE"/>
        </w:rPr>
        <w:t xml:space="preserve">Visus trīs KIC veido aptuveni 30 galvenie partneri un 5-6 ko-lokācijas centri, kas parasti ir papildus pievienoti partneri, t.sk. mazie un vidējie uzņēmumu (MVU). KIC aptver pilnu inovāciju ciklu, ieskaitot EIT maģistra un doktora programmas, kas apvieno izcilu zinātni ar uzņēmējdarbības izglītību, biznesa veidošanas pakalpojumiem un mobilitātes shēmām. </w:t>
      </w:r>
    </w:p>
    <w:p w:rsidR="003E783D" w:rsidRPr="00845F71" w:rsidRDefault="003E783D" w:rsidP="003E783D">
      <w:pPr>
        <w:jc w:val="both"/>
        <w:rPr>
          <w:sz w:val="28"/>
          <w:szCs w:val="28"/>
          <w:lang w:eastAsia="de-DE"/>
        </w:rPr>
      </w:pPr>
      <w:r w:rsidRPr="00845F71">
        <w:rPr>
          <w:rStyle w:val="hps"/>
          <w:sz w:val="28"/>
          <w:szCs w:val="28"/>
        </w:rPr>
        <w:t>Horizonts</w:t>
      </w:r>
      <w:r w:rsidRPr="00845F71">
        <w:rPr>
          <w:sz w:val="28"/>
          <w:szCs w:val="28"/>
        </w:rPr>
        <w:t xml:space="preserve"> </w:t>
      </w:r>
      <w:r w:rsidRPr="00845F71">
        <w:rPr>
          <w:rStyle w:val="hps"/>
          <w:sz w:val="28"/>
          <w:szCs w:val="28"/>
        </w:rPr>
        <w:t xml:space="preserve">2020 ietvaros </w:t>
      </w:r>
      <w:r w:rsidR="00845F71">
        <w:rPr>
          <w:rStyle w:val="hps"/>
          <w:sz w:val="28"/>
          <w:szCs w:val="28"/>
        </w:rPr>
        <w:t xml:space="preserve">paredzēts, ka </w:t>
      </w:r>
      <w:r w:rsidRPr="00845F71">
        <w:rPr>
          <w:rStyle w:val="hps"/>
          <w:sz w:val="28"/>
          <w:szCs w:val="28"/>
        </w:rPr>
        <w:t>EIT</w:t>
      </w:r>
      <w:r w:rsidRPr="00845F71">
        <w:rPr>
          <w:sz w:val="28"/>
          <w:szCs w:val="28"/>
        </w:rPr>
        <w:t xml:space="preserve"> </w:t>
      </w:r>
      <w:r w:rsidRPr="00845F71">
        <w:rPr>
          <w:rStyle w:val="hps"/>
          <w:sz w:val="28"/>
          <w:szCs w:val="28"/>
        </w:rPr>
        <w:t>būs daļa</w:t>
      </w:r>
      <w:r w:rsidRPr="00845F71">
        <w:rPr>
          <w:sz w:val="28"/>
          <w:szCs w:val="28"/>
        </w:rPr>
        <w:t xml:space="preserve"> </w:t>
      </w:r>
      <w:r w:rsidRPr="00845F71">
        <w:rPr>
          <w:rStyle w:val="hps"/>
          <w:sz w:val="28"/>
          <w:szCs w:val="28"/>
        </w:rPr>
        <w:t>no "</w:t>
      </w:r>
      <w:r w:rsidRPr="00845F71">
        <w:rPr>
          <w:sz w:val="28"/>
          <w:szCs w:val="28"/>
        </w:rPr>
        <w:t xml:space="preserve">sabiedrības izaicinājumu" </w:t>
      </w:r>
      <w:r w:rsidRPr="00845F71">
        <w:rPr>
          <w:rStyle w:val="hps"/>
          <w:sz w:val="28"/>
          <w:szCs w:val="28"/>
        </w:rPr>
        <w:t>mērķa</w:t>
      </w:r>
      <w:r w:rsidR="00845F71">
        <w:rPr>
          <w:rStyle w:val="hps"/>
          <w:sz w:val="28"/>
          <w:szCs w:val="28"/>
        </w:rPr>
        <w:t xml:space="preserve"> un</w:t>
      </w:r>
      <w:r w:rsidRPr="00845F71">
        <w:rPr>
          <w:rStyle w:val="hps"/>
          <w:sz w:val="28"/>
          <w:szCs w:val="28"/>
        </w:rPr>
        <w:t xml:space="preserve"> vienlaikus sekmēs arī</w:t>
      </w:r>
      <w:r w:rsidRPr="00845F71">
        <w:rPr>
          <w:sz w:val="28"/>
          <w:szCs w:val="28"/>
        </w:rPr>
        <w:t xml:space="preserve"> </w:t>
      </w:r>
      <w:r w:rsidRPr="00845F71">
        <w:rPr>
          <w:rStyle w:val="hps"/>
          <w:sz w:val="28"/>
          <w:szCs w:val="28"/>
        </w:rPr>
        <w:t>"</w:t>
      </w:r>
      <w:r w:rsidRPr="00845F71">
        <w:rPr>
          <w:sz w:val="28"/>
          <w:szCs w:val="28"/>
        </w:rPr>
        <w:t xml:space="preserve">vadošās rūpniecības" mērķus, sekmējot uz rezultātiem virzītu zinātni </w:t>
      </w:r>
      <w:r w:rsidRPr="00845F71">
        <w:rPr>
          <w:rStyle w:val="hps"/>
          <w:sz w:val="28"/>
          <w:szCs w:val="28"/>
        </w:rPr>
        <w:t>un</w:t>
      </w:r>
      <w:r w:rsidRPr="00845F71">
        <w:rPr>
          <w:sz w:val="28"/>
          <w:szCs w:val="28"/>
        </w:rPr>
        <w:t xml:space="preserve"> </w:t>
      </w:r>
      <w:r w:rsidRPr="00845F71">
        <w:rPr>
          <w:rStyle w:val="hps"/>
          <w:sz w:val="28"/>
          <w:szCs w:val="28"/>
        </w:rPr>
        <w:t>rosinot</w:t>
      </w:r>
      <w:r w:rsidRPr="00845F71">
        <w:rPr>
          <w:sz w:val="28"/>
          <w:szCs w:val="28"/>
        </w:rPr>
        <w:t xml:space="preserve"> </w:t>
      </w:r>
      <w:r w:rsidRPr="00845F71">
        <w:rPr>
          <w:rStyle w:val="hps"/>
          <w:sz w:val="28"/>
          <w:szCs w:val="28"/>
        </w:rPr>
        <w:t>augstas izaugsmes</w:t>
      </w:r>
      <w:r w:rsidRPr="00845F71">
        <w:rPr>
          <w:sz w:val="28"/>
          <w:szCs w:val="28"/>
        </w:rPr>
        <w:t xml:space="preserve"> </w:t>
      </w:r>
      <w:r w:rsidRPr="00845F71">
        <w:rPr>
          <w:rStyle w:val="hps"/>
          <w:sz w:val="28"/>
          <w:szCs w:val="28"/>
        </w:rPr>
        <w:t>inovatīvus MVU.</w:t>
      </w:r>
      <w:r w:rsidRPr="00845F71">
        <w:rPr>
          <w:sz w:val="28"/>
          <w:szCs w:val="28"/>
        </w:rPr>
        <w:t xml:space="preserve"> </w:t>
      </w:r>
      <w:r w:rsidRPr="00845F71">
        <w:rPr>
          <w:rStyle w:val="hps"/>
          <w:sz w:val="28"/>
          <w:szCs w:val="28"/>
        </w:rPr>
        <w:t>Visbeidzot</w:t>
      </w:r>
      <w:r w:rsidRPr="00845F71">
        <w:rPr>
          <w:sz w:val="28"/>
          <w:szCs w:val="28"/>
        </w:rPr>
        <w:t xml:space="preserve">, </w:t>
      </w:r>
      <w:r w:rsidRPr="00845F71">
        <w:rPr>
          <w:rStyle w:val="hps"/>
          <w:sz w:val="28"/>
          <w:szCs w:val="28"/>
        </w:rPr>
        <w:t>tas veicinās</w:t>
      </w:r>
      <w:r w:rsidRPr="00845F71">
        <w:rPr>
          <w:sz w:val="28"/>
          <w:szCs w:val="28"/>
        </w:rPr>
        <w:t xml:space="preserve"> </w:t>
      </w:r>
      <w:r w:rsidRPr="00845F71">
        <w:rPr>
          <w:rStyle w:val="hps"/>
          <w:sz w:val="28"/>
          <w:szCs w:val="28"/>
        </w:rPr>
        <w:t>"izcilas zinātnes</w:t>
      </w:r>
      <w:r w:rsidRPr="00845F71">
        <w:rPr>
          <w:sz w:val="28"/>
          <w:szCs w:val="28"/>
        </w:rPr>
        <w:t xml:space="preserve">" mērķu sasniegšanu, veicinot </w:t>
      </w:r>
      <w:r w:rsidRPr="00845F71">
        <w:rPr>
          <w:rStyle w:val="hps"/>
          <w:sz w:val="28"/>
          <w:szCs w:val="28"/>
        </w:rPr>
        <w:t>mobilitāti</w:t>
      </w:r>
      <w:r w:rsidRPr="00845F71">
        <w:rPr>
          <w:sz w:val="28"/>
          <w:szCs w:val="28"/>
        </w:rPr>
        <w:t xml:space="preserve">. EIT </w:t>
      </w:r>
      <w:r w:rsidRPr="00845F71">
        <w:rPr>
          <w:rStyle w:val="hps"/>
          <w:sz w:val="28"/>
          <w:szCs w:val="28"/>
        </w:rPr>
        <w:t>ievērojami veicinās tos</w:t>
      </w:r>
      <w:r w:rsidRPr="00845F71">
        <w:rPr>
          <w:sz w:val="28"/>
          <w:szCs w:val="28"/>
        </w:rPr>
        <w:t xml:space="preserve"> </w:t>
      </w:r>
      <w:r w:rsidRPr="00845F71">
        <w:rPr>
          <w:rStyle w:val="hps"/>
          <w:sz w:val="28"/>
          <w:szCs w:val="28"/>
        </w:rPr>
        <w:t>pamatnosacījumus</w:t>
      </w:r>
      <w:r w:rsidRPr="00845F71">
        <w:rPr>
          <w:sz w:val="28"/>
          <w:szCs w:val="28"/>
        </w:rPr>
        <w:t xml:space="preserve">, kas </w:t>
      </w:r>
      <w:r w:rsidRPr="00845F71">
        <w:rPr>
          <w:rStyle w:val="hps"/>
          <w:sz w:val="28"/>
          <w:szCs w:val="28"/>
        </w:rPr>
        <w:t>nepieciešami, lai</w:t>
      </w:r>
      <w:r w:rsidRPr="00845F71">
        <w:rPr>
          <w:sz w:val="28"/>
          <w:szCs w:val="28"/>
        </w:rPr>
        <w:t xml:space="preserve"> </w:t>
      </w:r>
      <w:r w:rsidRPr="00845F71">
        <w:rPr>
          <w:rStyle w:val="hps"/>
          <w:sz w:val="28"/>
          <w:szCs w:val="28"/>
        </w:rPr>
        <w:t>realizētu</w:t>
      </w:r>
      <w:r w:rsidRPr="00845F71">
        <w:rPr>
          <w:sz w:val="28"/>
          <w:szCs w:val="28"/>
        </w:rPr>
        <w:t xml:space="preserve"> </w:t>
      </w:r>
      <w:r w:rsidRPr="00845F71">
        <w:rPr>
          <w:rStyle w:val="hps"/>
          <w:sz w:val="28"/>
          <w:szCs w:val="28"/>
        </w:rPr>
        <w:t>ES pētniecības inovatīvo potenciālu</w:t>
      </w:r>
      <w:r w:rsidRPr="00845F71">
        <w:rPr>
          <w:sz w:val="28"/>
          <w:szCs w:val="28"/>
        </w:rPr>
        <w:t xml:space="preserve"> </w:t>
      </w:r>
      <w:r w:rsidRPr="00845F71">
        <w:rPr>
          <w:rStyle w:val="hps"/>
          <w:sz w:val="28"/>
          <w:szCs w:val="28"/>
        </w:rPr>
        <w:t>un veicinātu</w:t>
      </w:r>
      <w:r w:rsidRPr="00845F71">
        <w:rPr>
          <w:sz w:val="28"/>
          <w:szCs w:val="28"/>
        </w:rPr>
        <w:t xml:space="preserve"> </w:t>
      </w:r>
      <w:r w:rsidRPr="00845F71">
        <w:rPr>
          <w:rStyle w:val="hps"/>
          <w:sz w:val="28"/>
          <w:szCs w:val="28"/>
        </w:rPr>
        <w:t>Eiropas</w:t>
      </w:r>
      <w:r w:rsidRPr="00845F71">
        <w:rPr>
          <w:sz w:val="28"/>
          <w:szCs w:val="28"/>
        </w:rPr>
        <w:t xml:space="preserve"> </w:t>
      </w:r>
      <w:r w:rsidRPr="00845F71">
        <w:rPr>
          <w:rStyle w:val="hps"/>
          <w:sz w:val="28"/>
          <w:szCs w:val="28"/>
        </w:rPr>
        <w:t>Pētniecības telpas</w:t>
      </w:r>
      <w:r w:rsidRPr="00845F71">
        <w:rPr>
          <w:sz w:val="28"/>
          <w:szCs w:val="28"/>
        </w:rPr>
        <w:t xml:space="preserve"> </w:t>
      </w:r>
      <w:r w:rsidRPr="00845F71">
        <w:rPr>
          <w:rStyle w:val="hps"/>
          <w:sz w:val="28"/>
          <w:szCs w:val="28"/>
        </w:rPr>
        <w:t>(ERA</w:t>
      </w:r>
      <w:r w:rsidRPr="00845F71">
        <w:rPr>
          <w:sz w:val="28"/>
          <w:szCs w:val="28"/>
        </w:rPr>
        <w:t>)</w:t>
      </w:r>
      <w:r w:rsidRPr="00845F71">
        <w:rPr>
          <w:rStyle w:val="hps"/>
          <w:sz w:val="28"/>
          <w:szCs w:val="28"/>
        </w:rPr>
        <w:t xml:space="preserve"> pabeigšanu</w:t>
      </w:r>
      <w:r w:rsidRPr="00845F71">
        <w:rPr>
          <w:sz w:val="28"/>
          <w:szCs w:val="28"/>
        </w:rPr>
        <w:t>.</w:t>
      </w:r>
    </w:p>
    <w:p w:rsidR="003E783D" w:rsidRPr="00845F71" w:rsidRDefault="003E783D" w:rsidP="003E783D">
      <w:pPr>
        <w:jc w:val="both"/>
        <w:rPr>
          <w:noProof/>
          <w:sz w:val="28"/>
          <w:szCs w:val="28"/>
        </w:rPr>
      </w:pPr>
      <w:proofErr w:type="spellStart"/>
      <w:r w:rsidRPr="00845F71">
        <w:rPr>
          <w:sz w:val="28"/>
          <w:szCs w:val="28"/>
          <w:lang w:eastAsia="de-DE"/>
        </w:rPr>
        <w:t>KICu</w:t>
      </w:r>
      <w:proofErr w:type="spellEnd"/>
      <w:r w:rsidRPr="00845F71">
        <w:rPr>
          <w:sz w:val="28"/>
          <w:szCs w:val="28"/>
          <w:lang w:eastAsia="de-DE"/>
        </w:rPr>
        <w:t xml:space="preserve"> ko-lokācijas centri nodrošina pārrobežu sadarbību un ir galvenais spēks, kas stiprina KIC vietējo-globālo savienojamību, ieskaitot ciešu sadarbību ar reģionālajā iestādēm, īpaši ar tām, kas ir iesaistīti Reģionu viedo specializāciju inovāciju stratēģijā</w:t>
      </w:r>
      <w:r w:rsidRPr="00845F71">
        <w:rPr>
          <w:noProof/>
          <w:sz w:val="28"/>
          <w:szCs w:val="28"/>
        </w:rPr>
        <w:t>. Saikne starp KIC un viet</w:t>
      </w:r>
      <w:r w:rsidR="006F1320">
        <w:rPr>
          <w:noProof/>
          <w:sz w:val="28"/>
          <w:szCs w:val="28"/>
        </w:rPr>
        <w:t>ē</w:t>
      </w:r>
      <w:r w:rsidRPr="00845F71">
        <w:rPr>
          <w:noProof/>
          <w:sz w:val="28"/>
          <w:szCs w:val="28"/>
        </w:rPr>
        <w:t>jām klasteru organizācijām var tik sti</w:t>
      </w:r>
      <w:r w:rsidR="006F1320">
        <w:rPr>
          <w:noProof/>
          <w:sz w:val="28"/>
          <w:szCs w:val="28"/>
        </w:rPr>
        <w:t>pr</w:t>
      </w:r>
      <w:r w:rsidRPr="00845F71">
        <w:rPr>
          <w:noProof/>
          <w:sz w:val="28"/>
          <w:szCs w:val="28"/>
        </w:rPr>
        <w:t xml:space="preserve">ināta, palielinot MVU iesaistīšanos KIC darbībās. </w:t>
      </w:r>
    </w:p>
    <w:p w:rsidR="003E783D" w:rsidRPr="00845F71" w:rsidRDefault="003E783D" w:rsidP="003E783D">
      <w:pPr>
        <w:jc w:val="both"/>
        <w:rPr>
          <w:noProof/>
          <w:sz w:val="28"/>
          <w:szCs w:val="28"/>
        </w:rPr>
      </w:pPr>
      <w:r w:rsidRPr="00845F71">
        <w:rPr>
          <w:b/>
          <w:noProof/>
          <w:sz w:val="28"/>
          <w:szCs w:val="28"/>
        </w:rPr>
        <w:t>Jaun</w:t>
      </w:r>
      <w:r w:rsidR="00A56BCC">
        <w:rPr>
          <w:b/>
          <w:noProof/>
          <w:sz w:val="28"/>
          <w:szCs w:val="28"/>
        </w:rPr>
        <w:t>u</w:t>
      </w:r>
      <w:r w:rsidRPr="00845F71">
        <w:rPr>
          <w:b/>
          <w:noProof/>
          <w:sz w:val="28"/>
          <w:szCs w:val="28"/>
        </w:rPr>
        <w:t xml:space="preserve"> KIC izveidošana</w:t>
      </w:r>
      <w:r w:rsidRPr="00845F71">
        <w:rPr>
          <w:noProof/>
          <w:sz w:val="28"/>
          <w:szCs w:val="28"/>
        </w:rPr>
        <w:t>. EIT plāno paplašināt KIC skaitu, laika posmā no 2014.-2020. gadam tiek plānots, ka jauni KICi tiks izveidoti divos t.s. viļņos – 2014. gadā un pēc 2015. gada; to skaits nav zināms. Pēc 2017. gada potenciālu jaunu KIC atlases process tiks stingri būvēts uz iepriekšējo KIC pozitīviem rezultātiem un EIT un esošo KIC ārējā izvērtējuma, ieskaitot KIC ekonomisko un sociālo ietekmes novērtējumu un EIT devumu ES un dalībvalstu inovācijas kapacitātes stiprināšanā, kā arī pirmajiem Horizonts 2020 novētējuma rezultātiem. KICu tematisko nozaru izvēle tiks balstīta uz rūpīgas analīzes par to, kā KIC var sniegt pievienoto vērtību ekonomikai un sabiedrībai. Jomas, kurās ir vislielākais potenciāls jaunu KICu izveidei, ir – pievienotās vērtības ražošana, pārtikas ražošana no resursiem līdz pircējiem, inovācija veselīgais dzīvei un aktīvai novecošanai, izejvielu ilgtspējīga izmantošana, pārstrāde un aizstāšana, vieda un droša sabiedrība, urbānā mobilitāte.</w:t>
      </w:r>
    </w:p>
    <w:p w:rsidR="003E783D" w:rsidRPr="00845F71" w:rsidRDefault="003E783D" w:rsidP="003E783D">
      <w:pPr>
        <w:jc w:val="both"/>
        <w:rPr>
          <w:noProof/>
          <w:sz w:val="28"/>
          <w:szCs w:val="28"/>
        </w:rPr>
      </w:pPr>
      <w:r w:rsidRPr="00845F71">
        <w:rPr>
          <w:noProof/>
          <w:sz w:val="28"/>
          <w:szCs w:val="28"/>
        </w:rPr>
        <w:t>2014. gada KICu tēmas ir izejvielas, pārtika un inovācija veselīgai dzīvei. Šis saraksts ir slēgts. KICu pēc 2017. gada tēmas vēl tiks apspriestas, vērā tiks ņemti arī jauni un vēl pagaidām neparedzami nākotnes izaicinājumi.</w:t>
      </w:r>
    </w:p>
    <w:p w:rsidR="006F1320" w:rsidRDefault="006F1320" w:rsidP="003E783D">
      <w:pPr>
        <w:autoSpaceDE w:val="0"/>
        <w:autoSpaceDN w:val="0"/>
        <w:adjustRightInd w:val="0"/>
        <w:jc w:val="both"/>
        <w:rPr>
          <w:b/>
          <w:sz w:val="28"/>
          <w:szCs w:val="28"/>
        </w:rPr>
      </w:pPr>
    </w:p>
    <w:p w:rsidR="003E783D" w:rsidRPr="00845F71" w:rsidRDefault="003E783D" w:rsidP="003E783D">
      <w:pPr>
        <w:autoSpaceDE w:val="0"/>
        <w:autoSpaceDN w:val="0"/>
        <w:adjustRightInd w:val="0"/>
        <w:jc w:val="both"/>
        <w:rPr>
          <w:rFonts w:eastAsiaTheme="minorHAnsi"/>
          <w:color w:val="000000"/>
          <w:sz w:val="28"/>
          <w:szCs w:val="28"/>
        </w:rPr>
      </w:pPr>
      <w:r w:rsidRPr="00845F71">
        <w:rPr>
          <w:b/>
          <w:sz w:val="28"/>
          <w:szCs w:val="28"/>
        </w:rPr>
        <w:lastRenderedPageBreak/>
        <w:t xml:space="preserve">Latvija kopumā atbalsta daļēju vispārēju pieeju </w:t>
      </w:r>
      <w:r w:rsidRPr="00845F71">
        <w:rPr>
          <w:i/>
          <w:sz w:val="28"/>
          <w:szCs w:val="28"/>
          <w:lang w:eastAsia="de-DE"/>
        </w:rPr>
        <w:t xml:space="preserve">Par Eiropas Inovācijas un tehnoloģiju institūta (EIT) Stratēģisko inovācijas dienaskārtību: EIT ieguldījums inovācijas veicināšanā Eiropā, </w:t>
      </w:r>
      <w:r w:rsidRPr="00845F71">
        <w:rPr>
          <w:sz w:val="28"/>
          <w:szCs w:val="28"/>
          <w:lang w:eastAsia="de-DE"/>
        </w:rPr>
        <w:t xml:space="preserve">jo </w:t>
      </w:r>
      <w:r w:rsidRPr="00845F71">
        <w:rPr>
          <w:rFonts w:eastAsiaTheme="minorHAnsi"/>
          <w:b/>
          <w:color w:val="000000"/>
          <w:sz w:val="28"/>
          <w:szCs w:val="28"/>
        </w:rPr>
        <w:t>Latvijai ir svarīga</w:t>
      </w:r>
      <w:r w:rsidRPr="00845F71">
        <w:rPr>
          <w:rFonts w:eastAsiaTheme="minorHAnsi"/>
          <w:color w:val="000000"/>
          <w:sz w:val="28"/>
          <w:szCs w:val="28"/>
        </w:rPr>
        <w:t xml:space="preserve"> </w:t>
      </w:r>
      <w:r w:rsidRPr="00845F71">
        <w:rPr>
          <w:rFonts w:eastAsiaTheme="minorHAnsi"/>
          <w:bCs/>
          <w:color w:val="000000"/>
          <w:sz w:val="28"/>
          <w:szCs w:val="28"/>
        </w:rPr>
        <w:t>līdzsvarota</w:t>
      </w:r>
      <w:r w:rsidRPr="00845F71">
        <w:rPr>
          <w:rFonts w:eastAsiaTheme="minorHAnsi"/>
          <w:b/>
          <w:bCs/>
          <w:color w:val="000000"/>
          <w:sz w:val="28"/>
          <w:szCs w:val="28"/>
        </w:rPr>
        <w:t xml:space="preserve"> </w:t>
      </w:r>
      <w:r w:rsidRPr="00845F71">
        <w:rPr>
          <w:rFonts w:eastAsiaTheme="minorHAnsi"/>
          <w:color w:val="000000"/>
          <w:sz w:val="28"/>
          <w:szCs w:val="28"/>
        </w:rPr>
        <w:t xml:space="preserve">ekselences atbalstīšana un attīstīšana </w:t>
      </w:r>
      <w:r w:rsidRPr="00845F71">
        <w:rPr>
          <w:rFonts w:eastAsiaTheme="minorHAnsi"/>
          <w:bCs/>
          <w:color w:val="000000"/>
          <w:sz w:val="28"/>
          <w:szCs w:val="28"/>
        </w:rPr>
        <w:t>visā Eiropas Savienībā</w:t>
      </w:r>
      <w:r w:rsidRPr="00845F71">
        <w:rPr>
          <w:rFonts w:eastAsiaTheme="minorHAnsi"/>
          <w:color w:val="000000"/>
          <w:sz w:val="28"/>
          <w:szCs w:val="28"/>
        </w:rPr>
        <w:t>, kas vienlaikus celtu ES konkurētspēju pasaulē, bet arī stiprinātu ES kā vienotu zināšanu reģionu.</w:t>
      </w:r>
    </w:p>
    <w:p w:rsidR="001C6D27" w:rsidRPr="001C6D27" w:rsidRDefault="001C6D27" w:rsidP="001C6D27">
      <w:pPr>
        <w:jc w:val="both"/>
        <w:rPr>
          <w:sz w:val="28"/>
          <w:szCs w:val="28"/>
          <w:lang w:eastAsia="en-GB"/>
        </w:rPr>
      </w:pPr>
      <w:r w:rsidRPr="001C6D27">
        <w:rPr>
          <w:b/>
          <w:sz w:val="28"/>
          <w:szCs w:val="28"/>
          <w:lang w:eastAsia="en-GB"/>
        </w:rPr>
        <w:t>Latvija kopumā atbalsta</w:t>
      </w:r>
      <w:r w:rsidRPr="001C6D27">
        <w:rPr>
          <w:sz w:val="28"/>
          <w:szCs w:val="28"/>
          <w:lang w:eastAsia="en-GB"/>
        </w:rPr>
        <w:t xml:space="preserve"> ideju par Zināšanu un inovāciju kopienu (KIC) EIT definētajās prioritārajās nozarēs un saredz KIC kā instrumentu, kas īstenos dzīvē zināšanu trijstūra koncepciju par sadarbību starp universitātēm, zinātniskajām institūcijām uz uzņēmējdarbības vidi globālu sociālu izaicinājumu risināšanai. </w:t>
      </w:r>
    </w:p>
    <w:p w:rsidR="001C6D27" w:rsidRPr="001C6D27" w:rsidRDefault="001C6D27" w:rsidP="001C6D27">
      <w:pPr>
        <w:jc w:val="both"/>
        <w:rPr>
          <w:sz w:val="28"/>
          <w:szCs w:val="28"/>
          <w:lang w:eastAsia="en-GB"/>
        </w:rPr>
      </w:pPr>
      <w:r w:rsidRPr="001C6D27">
        <w:rPr>
          <w:b/>
          <w:sz w:val="28"/>
          <w:szCs w:val="28"/>
          <w:lang w:eastAsia="en-GB"/>
        </w:rPr>
        <w:t>Vienlaikus Latvija uzskata</w:t>
      </w:r>
      <w:r w:rsidRPr="001C6D27">
        <w:rPr>
          <w:sz w:val="28"/>
          <w:szCs w:val="28"/>
          <w:lang w:eastAsia="en-GB"/>
        </w:rPr>
        <w:t>, ka</w:t>
      </w:r>
      <w:r w:rsidRPr="001C6D27">
        <w:rPr>
          <w:b/>
          <w:sz w:val="28"/>
          <w:szCs w:val="28"/>
          <w:lang w:eastAsia="en-GB"/>
        </w:rPr>
        <w:t xml:space="preserve"> </w:t>
      </w:r>
      <w:r w:rsidRPr="001C6D27">
        <w:rPr>
          <w:sz w:val="28"/>
          <w:szCs w:val="28"/>
          <w:lang w:eastAsia="en-GB"/>
        </w:rPr>
        <w:t>uzstādījums par KIC, kas tiek veidots</w:t>
      </w:r>
      <w:r w:rsidRPr="001C6D27">
        <w:rPr>
          <w:b/>
          <w:sz w:val="28"/>
          <w:szCs w:val="28"/>
          <w:lang w:eastAsia="en-GB"/>
        </w:rPr>
        <w:t xml:space="preserve"> </w:t>
      </w:r>
      <w:r w:rsidRPr="001C6D27">
        <w:rPr>
          <w:sz w:val="28"/>
          <w:szCs w:val="28"/>
          <w:lang w:eastAsia="de-DE"/>
        </w:rPr>
        <w:t xml:space="preserve">starp </w:t>
      </w:r>
      <w:r w:rsidRPr="001C6D27">
        <w:rPr>
          <w:i/>
          <w:sz w:val="28"/>
          <w:szCs w:val="28"/>
          <w:lang w:eastAsia="de-DE"/>
        </w:rPr>
        <w:t xml:space="preserve">izcilām universitātēm, pētniecības centriem, lieliem un maziem uzņēmumiem un citiem inovācijas dalībniekiem </w:t>
      </w:r>
      <w:r w:rsidRPr="001C6D27">
        <w:rPr>
          <w:sz w:val="28"/>
          <w:szCs w:val="28"/>
          <w:lang w:eastAsia="de-DE"/>
        </w:rPr>
        <w:t>un</w:t>
      </w:r>
      <w:r w:rsidRPr="001C6D27">
        <w:rPr>
          <w:i/>
          <w:sz w:val="28"/>
          <w:szCs w:val="28"/>
          <w:lang w:eastAsia="de-DE"/>
        </w:rPr>
        <w:t xml:space="preserve"> katrs KIC tiek veidots ap nelielu skaitu savstarpēji savienotu centru, kuros partneri strādā kopīgu stratēģisku mērķu sasniegšanai</w:t>
      </w:r>
      <w:r w:rsidRPr="001C6D27">
        <w:rPr>
          <w:sz w:val="28"/>
          <w:szCs w:val="28"/>
          <w:lang w:eastAsia="de-DE"/>
        </w:rPr>
        <w:t>, ierobežo KIC potenciālo partneru izvēli, tai skaitā partnerus no ES-12 valstīm. Latvija norāda, ka sociālo izaicinājumu risināšanā svarīga būtu visu partneru, kuri vēlas iesaistīties, dalība.</w:t>
      </w:r>
    </w:p>
    <w:p w:rsidR="001C6D27" w:rsidRPr="001C6D27" w:rsidRDefault="001C6D27" w:rsidP="001C6D27">
      <w:pPr>
        <w:autoSpaceDE w:val="0"/>
        <w:autoSpaceDN w:val="0"/>
        <w:adjustRightInd w:val="0"/>
        <w:jc w:val="both"/>
        <w:rPr>
          <w:rFonts w:eastAsiaTheme="minorHAnsi"/>
          <w:iCs/>
          <w:color w:val="000000"/>
          <w:sz w:val="28"/>
          <w:szCs w:val="28"/>
        </w:rPr>
      </w:pPr>
      <w:r w:rsidRPr="001C6D27">
        <w:rPr>
          <w:rFonts w:eastAsiaTheme="minorHAnsi"/>
          <w:b/>
          <w:iCs/>
          <w:color w:val="000000"/>
          <w:sz w:val="28"/>
          <w:szCs w:val="28"/>
        </w:rPr>
        <w:t>Vienlaikus Latvija uzskata</w:t>
      </w:r>
      <w:r w:rsidRPr="001C6D27">
        <w:rPr>
          <w:rFonts w:eastAsiaTheme="minorHAnsi"/>
          <w:iCs/>
          <w:color w:val="000000"/>
          <w:sz w:val="28"/>
          <w:szCs w:val="28"/>
        </w:rPr>
        <w:t xml:space="preserve">, ka ne visām valstīm būs pieņemami, ka 25% atbalsts nāk no Eiropas Inovāciju un tehnoloģiju institūta un 75% finanšu resursu nodrošina </w:t>
      </w:r>
      <w:r w:rsidRPr="001C6D27">
        <w:rPr>
          <w:sz w:val="28"/>
          <w:szCs w:val="28"/>
        </w:rPr>
        <w:t>KIC partneru pašu ieņēmumi un resursi, publiskais finansējums, struktūrfondi un Horizonts 2020</w:t>
      </w:r>
      <w:r w:rsidRPr="001C6D27">
        <w:rPr>
          <w:rFonts w:eastAsiaTheme="minorHAnsi"/>
          <w:iCs/>
          <w:color w:val="000000"/>
          <w:sz w:val="28"/>
          <w:szCs w:val="28"/>
        </w:rPr>
        <w:t xml:space="preserve">. Piemēram, enerģētikas jomā Latvijā pašlaik nav tik spēcīgu rūpniecības jomas pārstāvju, kas būtu ieinteresēti jaunu tehnoloģiju attīstībā Latvijā. Rūpniecības pārstāvjiem diemžēl vienkāršāk un mazāk riskanti ir nopirkt jau gatavu tehnoloģiju risinājumu. Tāpēc </w:t>
      </w:r>
      <w:r w:rsidRPr="001C6D27">
        <w:rPr>
          <w:rFonts w:eastAsiaTheme="minorHAnsi"/>
          <w:b/>
          <w:iCs/>
          <w:color w:val="000000"/>
          <w:sz w:val="28"/>
          <w:szCs w:val="28"/>
        </w:rPr>
        <w:t>Latvija atzīst</w:t>
      </w:r>
      <w:r w:rsidRPr="001C6D27">
        <w:rPr>
          <w:rFonts w:eastAsiaTheme="minorHAnsi"/>
          <w:iCs/>
          <w:color w:val="000000"/>
          <w:sz w:val="28"/>
          <w:szCs w:val="28"/>
        </w:rPr>
        <w:t>, ka KIC ir veiksmīgs rīks, lai attīstītu Zināšanu un inovāciju kopienas finansiāli spēcīgākajās ES valstīs, kurās ir spēcīga attīstīta rūpniecība.</w:t>
      </w:r>
    </w:p>
    <w:p w:rsidR="001C6D27" w:rsidRPr="001C6D27" w:rsidRDefault="001C6D27" w:rsidP="001C6D27">
      <w:pPr>
        <w:autoSpaceDE w:val="0"/>
        <w:autoSpaceDN w:val="0"/>
        <w:adjustRightInd w:val="0"/>
        <w:jc w:val="both"/>
        <w:rPr>
          <w:rFonts w:eastAsiaTheme="minorHAnsi"/>
          <w:iCs/>
          <w:color w:val="000000"/>
          <w:sz w:val="28"/>
          <w:szCs w:val="28"/>
        </w:rPr>
      </w:pPr>
      <w:r w:rsidRPr="001C6D27">
        <w:rPr>
          <w:rFonts w:eastAsiaTheme="minorHAnsi"/>
          <w:b/>
          <w:iCs/>
          <w:color w:val="000000"/>
          <w:sz w:val="28"/>
          <w:szCs w:val="28"/>
        </w:rPr>
        <w:t>Latvijai šobrīd trūkst</w:t>
      </w:r>
      <w:r w:rsidRPr="001C6D27">
        <w:rPr>
          <w:rFonts w:eastAsiaTheme="minorHAnsi"/>
          <w:iCs/>
          <w:color w:val="000000"/>
          <w:sz w:val="28"/>
          <w:szCs w:val="28"/>
        </w:rPr>
        <w:t xml:space="preserve"> cilvēkresursu potenciāla, lai pieteiktos un iegūtu tiesības piedalīties KIC.</w:t>
      </w:r>
    </w:p>
    <w:p w:rsidR="001C6D27" w:rsidRPr="001C6D27" w:rsidRDefault="001C6D27" w:rsidP="001C6D27">
      <w:pPr>
        <w:jc w:val="both"/>
        <w:rPr>
          <w:sz w:val="28"/>
          <w:szCs w:val="28"/>
          <w:lang w:eastAsia="en-GB"/>
        </w:rPr>
      </w:pPr>
      <w:r w:rsidRPr="001C6D27">
        <w:rPr>
          <w:b/>
          <w:sz w:val="28"/>
          <w:szCs w:val="28"/>
          <w:lang w:eastAsia="en-GB"/>
        </w:rPr>
        <w:t>Līdz šim Latvija</w:t>
      </w:r>
      <w:r w:rsidRPr="001C6D27">
        <w:rPr>
          <w:sz w:val="28"/>
          <w:szCs w:val="28"/>
          <w:lang w:eastAsia="en-GB"/>
        </w:rPr>
        <w:t xml:space="preserve"> </w:t>
      </w:r>
      <w:r w:rsidRPr="001C6D27">
        <w:rPr>
          <w:b/>
          <w:sz w:val="28"/>
          <w:szCs w:val="28"/>
          <w:lang w:eastAsia="en-GB"/>
        </w:rPr>
        <w:t>nav iesaistījusies</w:t>
      </w:r>
      <w:r w:rsidRPr="001C6D27">
        <w:rPr>
          <w:sz w:val="28"/>
          <w:szCs w:val="28"/>
          <w:lang w:eastAsia="en-GB"/>
        </w:rPr>
        <w:t xml:space="preserve"> EIT un nepiedalās nevienā KIC projektā, tomēr vēlētos savu dalību KIC, kā arī citās ES līmeņa iniciatīvās (vienotās plānošanas iniciatīvas, Kopējās tehnoloģiju ierosmes u.c.) saistīt ar nacionālā līmenī definētajiem prioritārajiem virzieniem zinātnē un valsts pētījumu programmu uzdevumiem.</w:t>
      </w:r>
    </w:p>
    <w:p w:rsidR="00916F85" w:rsidRPr="001C6D27" w:rsidRDefault="001C6D27" w:rsidP="001C6D27">
      <w:pPr>
        <w:autoSpaceDE w:val="0"/>
        <w:autoSpaceDN w:val="0"/>
        <w:adjustRightInd w:val="0"/>
        <w:rPr>
          <w:sz w:val="28"/>
          <w:szCs w:val="28"/>
          <w:u w:val="single"/>
        </w:rPr>
      </w:pPr>
      <w:r w:rsidRPr="001C6D27">
        <w:rPr>
          <w:b/>
          <w:sz w:val="28"/>
          <w:szCs w:val="28"/>
          <w:lang w:eastAsia="en-GB"/>
        </w:rPr>
        <w:t>Latvija norāda</w:t>
      </w:r>
      <w:r w:rsidRPr="001C6D27">
        <w:rPr>
          <w:sz w:val="28"/>
          <w:szCs w:val="28"/>
          <w:lang w:eastAsia="en-GB"/>
        </w:rPr>
        <w:t>, ka ir ļoti būtiski, ka</w:t>
      </w:r>
      <w:r w:rsidRPr="001C6D27">
        <w:rPr>
          <w:rFonts w:ascii="Courier" w:eastAsiaTheme="minorHAnsi" w:hAnsi="Courier" w:cs="Courier"/>
          <w:color w:val="000000"/>
          <w:sz w:val="28"/>
          <w:szCs w:val="28"/>
        </w:rPr>
        <w:t xml:space="preserve"> </w:t>
      </w:r>
      <w:r w:rsidRPr="001C6D27">
        <w:rPr>
          <w:rFonts w:eastAsiaTheme="minorHAnsi"/>
          <w:color w:val="000000"/>
          <w:sz w:val="28"/>
          <w:szCs w:val="28"/>
        </w:rPr>
        <w:t xml:space="preserve">tematiskie Nacionālie Kontaktpunkti piedalās arī  KIC partneru meklējumos, piem. </w:t>
      </w:r>
      <w:proofErr w:type="spellStart"/>
      <w:r w:rsidRPr="001C6D27">
        <w:rPr>
          <w:rFonts w:eastAsiaTheme="minorHAnsi"/>
          <w:color w:val="000000"/>
          <w:sz w:val="28"/>
          <w:szCs w:val="28"/>
        </w:rPr>
        <w:t>Health</w:t>
      </w:r>
      <w:proofErr w:type="spellEnd"/>
      <w:r w:rsidRPr="001C6D27">
        <w:rPr>
          <w:rFonts w:eastAsiaTheme="minorHAnsi"/>
          <w:color w:val="000000"/>
          <w:sz w:val="28"/>
          <w:szCs w:val="28"/>
        </w:rPr>
        <w:t xml:space="preserve"> NCP - KIC </w:t>
      </w:r>
      <w:proofErr w:type="spellStart"/>
      <w:r w:rsidRPr="001C6D27">
        <w:rPr>
          <w:rFonts w:eastAsiaTheme="minorHAnsi"/>
          <w:color w:val="000000"/>
          <w:sz w:val="28"/>
          <w:szCs w:val="28"/>
        </w:rPr>
        <w:t>Healthy</w:t>
      </w:r>
      <w:proofErr w:type="spellEnd"/>
      <w:r w:rsidRPr="001C6D27">
        <w:rPr>
          <w:rFonts w:eastAsiaTheme="minorHAnsi"/>
          <w:color w:val="000000"/>
          <w:sz w:val="28"/>
          <w:szCs w:val="28"/>
        </w:rPr>
        <w:t xml:space="preserve">  </w:t>
      </w:r>
      <w:proofErr w:type="spellStart"/>
      <w:r w:rsidRPr="001C6D27">
        <w:rPr>
          <w:rFonts w:eastAsiaTheme="minorHAnsi"/>
          <w:color w:val="000000"/>
          <w:sz w:val="28"/>
          <w:szCs w:val="28"/>
        </w:rPr>
        <w:t>ageing</w:t>
      </w:r>
      <w:proofErr w:type="spellEnd"/>
      <w:r w:rsidRPr="001C6D27">
        <w:rPr>
          <w:rFonts w:eastAsiaTheme="minorHAnsi"/>
          <w:color w:val="000000"/>
          <w:sz w:val="28"/>
          <w:szCs w:val="28"/>
        </w:rPr>
        <w:t>.</w:t>
      </w:r>
    </w:p>
    <w:p w:rsidR="003E783D" w:rsidRPr="006F1320" w:rsidRDefault="003E783D" w:rsidP="00ED32C1">
      <w:pPr>
        <w:autoSpaceDE w:val="0"/>
        <w:autoSpaceDN w:val="0"/>
        <w:adjustRightInd w:val="0"/>
        <w:rPr>
          <w:sz w:val="28"/>
          <w:szCs w:val="28"/>
          <w:u w:val="single"/>
        </w:rPr>
      </w:pPr>
      <w:r w:rsidRPr="006F1320">
        <w:rPr>
          <w:sz w:val="28"/>
          <w:szCs w:val="28"/>
          <w:u w:val="single"/>
        </w:rPr>
        <w:t>Latvijas īpašās intereses</w:t>
      </w:r>
    </w:p>
    <w:p w:rsidR="003E783D" w:rsidRPr="006F1320" w:rsidRDefault="003E783D" w:rsidP="003E783D">
      <w:pPr>
        <w:jc w:val="both"/>
        <w:rPr>
          <w:b/>
          <w:sz w:val="28"/>
          <w:szCs w:val="28"/>
        </w:rPr>
      </w:pPr>
      <w:r w:rsidRPr="006F1320">
        <w:rPr>
          <w:b/>
          <w:sz w:val="28"/>
          <w:szCs w:val="28"/>
        </w:rPr>
        <w:t xml:space="preserve">Latvijai ir īpaši svarīga pētniecības infrastruktūru izveide/modernizācija, </w:t>
      </w:r>
      <w:r w:rsidRPr="006F1320">
        <w:rPr>
          <w:sz w:val="28"/>
          <w:szCs w:val="28"/>
        </w:rPr>
        <w:t xml:space="preserve">kas ļauj piesaistīt ievērojamāko pētnieku grupas un kalpo par stimulu jauno zinātnieku iesaistei projektos un pētniecībā, kā arī </w:t>
      </w:r>
      <w:proofErr w:type="spellStart"/>
      <w:r w:rsidRPr="006F1320">
        <w:rPr>
          <w:i/>
          <w:sz w:val="28"/>
          <w:szCs w:val="28"/>
        </w:rPr>
        <w:t>smart</w:t>
      </w:r>
      <w:proofErr w:type="spellEnd"/>
      <w:r w:rsidRPr="006F1320">
        <w:rPr>
          <w:i/>
          <w:sz w:val="28"/>
          <w:szCs w:val="28"/>
        </w:rPr>
        <w:t xml:space="preserve"> </w:t>
      </w:r>
      <w:proofErr w:type="spellStart"/>
      <w:r w:rsidRPr="006F1320">
        <w:rPr>
          <w:i/>
          <w:sz w:val="28"/>
          <w:szCs w:val="28"/>
        </w:rPr>
        <w:t>specialization</w:t>
      </w:r>
      <w:proofErr w:type="spellEnd"/>
      <w:r w:rsidRPr="006F1320">
        <w:rPr>
          <w:sz w:val="28"/>
          <w:szCs w:val="28"/>
        </w:rPr>
        <w:t xml:space="preserve"> jeb viedās specializācijas koncepts plašākā/reģionālā līmenī - tādejādi identificējot un sekmīgāk risinot reģiona uzdevumus pētniecībā un ražošanā, koncentrējot resursus un sekmīgi veidojot sadarbības tīklus, izvairoties no dublēšanās.</w:t>
      </w:r>
    </w:p>
    <w:p w:rsidR="003E783D" w:rsidRPr="006F1320" w:rsidRDefault="003E783D" w:rsidP="003E783D">
      <w:pPr>
        <w:autoSpaceDE w:val="0"/>
        <w:autoSpaceDN w:val="0"/>
        <w:adjustRightInd w:val="0"/>
        <w:jc w:val="both"/>
        <w:rPr>
          <w:sz w:val="28"/>
          <w:szCs w:val="28"/>
        </w:rPr>
      </w:pPr>
      <w:r w:rsidRPr="00916F85">
        <w:rPr>
          <w:sz w:val="28"/>
          <w:szCs w:val="28"/>
          <w:lang w:eastAsia="de-DE"/>
        </w:rPr>
        <w:t>Latvijai ir būtiski</w:t>
      </w:r>
      <w:r w:rsidRPr="006F1320">
        <w:rPr>
          <w:b/>
          <w:sz w:val="28"/>
          <w:szCs w:val="28"/>
          <w:lang w:eastAsia="de-DE"/>
        </w:rPr>
        <w:t xml:space="preserve"> </w:t>
      </w:r>
      <w:r w:rsidRPr="006F1320">
        <w:rPr>
          <w:sz w:val="28"/>
          <w:szCs w:val="28"/>
          <w:lang w:eastAsia="de-DE"/>
        </w:rPr>
        <w:t>īstenot Baltijas Inovatīvo pētījumu un tehnoloģiju infrastruktūras (</w:t>
      </w:r>
      <w:r w:rsidRPr="006F1320">
        <w:rPr>
          <w:sz w:val="28"/>
          <w:szCs w:val="28"/>
        </w:rPr>
        <w:t>BIRTI) p</w:t>
      </w:r>
      <w:r w:rsidR="00624D6A">
        <w:rPr>
          <w:sz w:val="28"/>
          <w:szCs w:val="28"/>
        </w:rPr>
        <w:t>latformu</w:t>
      </w:r>
      <w:r w:rsidRPr="006F1320">
        <w:rPr>
          <w:sz w:val="28"/>
          <w:szCs w:val="28"/>
        </w:rPr>
        <w:t xml:space="preserve">, jo ar tās palīdzību tiktu veicinātas iespējas piedalīties EIT pasākumos un iesaistīties esošajos vai plānotajos KIC. </w:t>
      </w:r>
    </w:p>
    <w:p w:rsidR="003E783D" w:rsidRPr="006F1320" w:rsidRDefault="003E783D" w:rsidP="003E783D">
      <w:pPr>
        <w:autoSpaceDE w:val="0"/>
        <w:autoSpaceDN w:val="0"/>
        <w:adjustRightInd w:val="0"/>
        <w:rPr>
          <w:color w:val="FF0000"/>
          <w:sz w:val="28"/>
          <w:szCs w:val="28"/>
        </w:rPr>
      </w:pPr>
      <w:r w:rsidRPr="006F1320">
        <w:rPr>
          <w:b/>
          <w:sz w:val="28"/>
          <w:szCs w:val="28"/>
        </w:rPr>
        <w:lastRenderedPageBreak/>
        <w:t>Latvija paredz iesaistīties</w:t>
      </w:r>
      <w:r w:rsidRPr="006F1320">
        <w:rPr>
          <w:sz w:val="28"/>
          <w:szCs w:val="28"/>
        </w:rPr>
        <w:t xml:space="preserve"> </w:t>
      </w:r>
      <w:proofErr w:type="spellStart"/>
      <w:r w:rsidRPr="006F1320">
        <w:rPr>
          <w:sz w:val="28"/>
          <w:szCs w:val="28"/>
        </w:rPr>
        <w:t>KICu</w:t>
      </w:r>
      <w:proofErr w:type="spellEnd"/>
      <w:r w:rsidRPr="006F1320">
        <w:rPr>
          <w:sz w:val="28"/>
          <w:szCs w:val="28"/>
        </w:rPr>
        <w:t xml:space="preserve"> prioritāšu izvirzīšanas pasākumos, lai varētu saistīt savas nacionālās pētniecības prioritātes ar </w:t>
      </w:r>
      <w:proofErr w:type="spellStart"/>
      <w:r w:rsidRPr="006F1320">
        <w:rPr>
          <w:sz w:val="28"/>
          <w:szCs w:val="28"/>
        </w:rPr>
        <w:t>KICu</w:t>
      </w:r>
      <w:proofErr w:type="spellEnd"/>
      <w:r w:rsidRPr="006F1320">
        <w:rPr>
          <w:sz w:val="28"/>
          <w:szCs w:val="28"/>
        </w:rPr>
        <w:t>, īpaši ar jaunveidojamo, tēmām un īstenot tās BIRTI klasteru ietvaros.</w:t>
      </w:r>
    </w:p>
    <w:p w:rsidR="00ED32C1" w:rsidRDefault="00ED32C1" w:rsidP="00ED32C1">
      <w:pPr>
        <w:autoSpaceDE w:val="0"/>
        <w:autoSpaceDN w:val="0"/>
        <w:adjustRightInd w:val="0"/>
      </w:pPr>
    </w:p>
    <w:p w:rsidR="00ED32C1" w:rsidRDefault="00ED32C1" w:rsidP="00ED32C1">
      <w:pPr>
        <w:autoSpaceDE w:val="0"/>
        <w:autoSpaceDN w:val="0"/>
        <w:adjustRightInd w:val="0"/>
      </w:pPr>
    </w:p>
    <w:p w:rsidR="009616EF" w:rsidRPr="009616EF" w:rsidRDefault="00231E0E" w:rsidP="009616EF">
      <w:pPr>
        <w:pStyle w:val="Titreobjet"/>
        <w:spacing w:before="0" w:after="0"/>
        <w:jc w:val="left"/>
        <w:rPr>
          <w:noProof/>
          <w:sz w:val="28"/>
          <w:szCs w:val="28"/>
        </w:rPr>
      </w:pPr>
      <w:r>
        <w:rPr>
          <w:rFonts w:eastAsiaTheme="minorHAnsi"/>
          <w:bCs/>
          <w:sz w:val="28"/>
          <w:szCs w:val="28"/>
        </w:rPr>
        <w:t>4</w:t>
      </w:r>
      <w:r w:rsidR="008605F8" w:rsidRPr="009616EF">
        <w:rPr>
          <w:rFonts w:eastAsiaTheme="minorHAnsi"/>
          <w:bCs/>
          <w:sz w:val="28"/>
          <w:szCs w:val="28"/>
        </w:rPr>
        <w:t xml:space="preserve">. </w:t>
      </w:r>
      <w:r w:rsidR="009616EF" w:rsidRPr="009616EF">
        <w:rPr>
          <w:noProof/>
          <w:sz w:val="28"/>
          <w:szCs w:val="28"/>
        </w:rPr>
        <w:t>Padomes secinājumu projekts</w:t>
      </w:r>
      <w:r w:rsidR="00624D6A">
        <w:rPr>
          <w:noProof/>
          <w:sz w:val="28"/>
          <w:szCs w:val="28"/>
        </w:rPr>
        <w:t xml:space="preserve"> „</w:t>
      </w:r>
      <w:r w:rsidR="009616EF" w:rsidRPr="009616EF">
        <w:rPr>
          <w:noProof/>
          <w:sz w:val="28"/>
          <w:szCs w:val="28"/>
        </w:rPr>
        <w:t>Stiprāka Eiropas Pētniecības telpas dalība izcilībai un izaugsmei</w:t>
      </w:r>
      <w:r w:rsidR="00624D6A">
        <w:rPr>
          <w:noProof/>
          <w:sz w:val="28"/>
          <w:szCs w:val="28"/>
        </w:rPr>
        <w:t xml:space="preserve">” </w:t>
      </w:r>
    </w:p>
    <w:p w:rsidR="003E783D" w:rsidRDefault="003E783D" w:rsidP="003E783D">
      <w:pPr>
        <w:autoSpaceDE w:val="0"/>
        <w:autoSpaceDN w:val="0"/>
        <w:adjustRightInd w:val="0"/>
        <w:rPr>
          <w:rFonts w:ascii="Helv" w:eastAsia="Calibri" w:hAnsi="Helv" w:cs="Helv"/>
          <w:color w:val="000000"/>
        </w:rPr>
      </w:pPr>
    </w:p>
    <w:p w:rsidR="003E783D" w:rsidRPr="00ED32C1" w:rsidRDefault="003E783D" w:rsidP="003E783D">
      <w:pPr>
        <w:autoSpaceDE w:val="0"/>
        <w:autoSpaceDN w:val="0"/>
        <w:adjustRightInd w:val="0"/>
        <w:jc w:val="both"/>
        <w:rPr>
          <w:sz w:val="28"/>
          <w:szCs w:val="28"/>
          <w:lang w:eastAsia="de-DE"/>
        </w:rPr>
      </w:pPr>
      <w:r w:rsidRPr="00ED32C1">
        <w:rPr>
          <w:sz w:val="28"/>
          <w:szCs w:val="28"/>
          <w:lang w:eastAsia="de-DE"/>
        </w:rPr>
        <w:t>ES Padome uzskata, ka Eiropas Pētniecības telpas (ERA) īstenošana Inovāciju Savienības kontekstā ir būtiska ES stratēģijas 2020 sastāvdaļa, kas sekmē Eiropas publiskās pētniecības sistēmas izcilību un maksimāli dos atdevi no ieguldījumiem pētniecībā un attīstībā (R&amp;D). Kopš ERA procesa uzsākšanas 2000. gadā ir sasniegts ievērojams progress, taču tas ir jākāpina, lai stiprinātu ES zinātnes bāzi.</w:t>
      </w:r>
    </w:p>
    <w:p w:rsidR="003E783D" w:rsidRPr="00ED32C1" w:rsidRDefault="003E783D" w:rsidP="00DE52E3">
      <w:pPr>
        <w:pStyle w:val="FootnoteText"/>
        <w:jc w:val="both"/>
        <w:rPr>
          <w:noProof/>
          <w:sz w:val="28"/>
          <w:szCs w:val="28"/>
        </w:rPr>
      </w:pPr>
      <w:r w:rsidRPr="00ED32C1">
        <w:rPr>
          <w:sz w:val="28"/>
          <w:szCs w:val="28"/>
          <w:lang w:eastAsia="de-DE"/>
        </w:rPr>
        <w:t>2012. gada 17. jūlijā EK publicēja paziņojumu „</w:t>
      </w:r>
      <w:r w:rsidRPr="00ED32C1">
        <w:rPr>
          <w:noProof/>
          <w:sz w:val="28"/>
          <w:szCs w:val="28"/>
        </w:rPr>
        <w:t>Stiprāka Eiropas Pētniecības telpas dalība izcilībai un izaugsmei” (</w:t>
      </w:r>
      <w:r w:rsidRPr="00ED32C1">
        <w:rPr>
          <w:sz w:val="28"/>
          <w:szCs w:val="28"/>
          <w:lang w:val="pt-PT"/>
        </w:rPr>
        <w:t xml:space="preserve">Doc. </w:t>
      </w:r>
      <w:r w:rsidRPr="00ED32C1">
        <w:rPr>
          <w:sz w:val="28"/>
          <w:szCs w:val="28"/>
        </w:rPr>
        <w:t>12848/12</w:t>
      </w:r>
      <w:r w:rsidRPr="00ED32C1">
        <w:rPr>
          <w:noProof/>
          <w:sz w:val="28"/>
          <w:szCs w:val="28"/>
        </w:rPr>
        <w:t xml:space="preserve">). Tajā izvirzītās prioritātes un pasākumi ir noteikti, balstoties uz plašām konsultācijām ar partneriem, un tas nosaka, ka esošā partnerība ir jāpadara daudz straujāka, tāpēc ES dalībvalstīm, sociālajiem partneriem un EK jāsadarbojas, lai īstenotu ERA. </w:t>
      </w:r>
    </w:p>
    <w:p w:rsidR="003E783D" w:rsidRPr="00ED32C1" w:rsidRDefault="003E783D" w:rsidP="003E783D">
      <w:pPr>
        <w:autoSpaceDE w:val="0"/>
        <w:autoSpaceDN w:val="0"/>
        <w:adjustRightInd w:val="0"/>
        <w:jc w:val="both"/>
        <w:rPr>
          <w:sz w:val="28"/>
          <w:szCs w:val="28"/>
          <w:lang w:eastAsia="de-DE"/>
        </w:rPr>
      </w:pPr>
      <w:r w:rsidRPr="00ED32C1">
        <w:rPr>
          <w:sz w:val="28"/>
          <w:szCs w:val="28"/>
          <w:lang w:eastAsia="de-DE"/>
        </w:rPr>
        <w:t xml:space="preserve">Ļoti būtiska turpmāk būs ERA ārējā darbība dimensija, un padziļināta un stiprināta partnerība starp EK un dalībvalstīm būs svarīga sastāvdaļa tajā stratēģiskajā pieejā, kas sekmēs un fokusēs ES starptautisko sadarbību pētniecība un </w:t>
      </w:r>
      <w:proofErr w:type="spellStart"/>
      <w:r w:rsidRPr="00ED32C1">
        <w:rPr>
          <w:sz w:val="28"/>
          <w:szCs w:val="28"/>
          <w:lang w:eastAsia="de-DE"/>
        </w:rPr>
        <w:t>inovācijāES</w:t>
      </w:r>
      <w:proofErr w:type="spellEnd"/>
      <w:r w:rsidRPr="00ED32C1">
        <w:rPr>
          <w:sz w:val="28"/>
          <w:szCs w:val="28"/>
          <w:lang w:eastAsia="de-DE"/>
        </w:rPr>
        <w:t xml:space="preserve"> ir ambiciozi uzstādījumi, lai īstenotu spēcīgu sinerģiju starp inovāciju, pētniecību un izglītību, kā arī sociālajiem partneriem, lai labāk darbotos zināšanu trijstūris, kas sekmē zinātnes izcilību un atbrīvo inovācijas potenciālu. ERA sasniegšana sekmēs ES modernizācijas plānus augstākajā izglītībā un Eiropas Augstākās izglītības telpā. </w:t>
      </w:r>
    </w:p>
    <w:p w:rsidR="003E783D" w:rsidRPr="00ED32C1" w:rsidRDefault="003E783D" w:rsidP="003E783D">
      <w:pPr>
        <w:autoSpaceDE w:val="0"/>
        <w:autoSpaceDN w:val="0"/>
        <w:adjustRightInd w:val="0"/>
        <w:jc w:val="both"/>
        <w:rPr>
          <w:sz w:val="28"/>
          <w:szCs w:val="28"/>
          <w:lang w:eastAsia="de-DE"/>
        </w:rPr>
      </w:pPr>
      <w:r w:rsidRPr="00ED32C1">
        <w:rPr>
          <w:sz w:val="28"/>
          <w:szCs w:val="28"/>
          <w:lang w:eastAsia="de-DE"/>
        </w:rPr>
        <w:t>Svarīga ir atklāta nacionāla līmeņa konkurence, lai gūtu maksimālu pievienoto vērtību no publiskā finansējuma, kas tiek ieguldīts zinātnē. Svarīgi, lai pastāvētu labās prakses rādītāji, kuri būtu pieejami visām dalībvalstīm, lai pārvarētu novirzīšanos pētniecībā visā ES, piesaistot pētniecības finansējumu atklātu projektu konkursu veidā, kas saņem neatkarīgu ekspertu novērtējumu un kam veikts pētniecības organizāciju kvalitātes un rezultātu novērtējums. Akcentēta nepieciešamība atbalstīt dalībvalstis un reģionus, attīstot viedās specializāciju stratēģijas, lai izmantotu struktūrfondus pētniecībā un inovācijā.</w:t>
      </w:r>
    </w:p>
    <w:p w:rsidR="003E783D" w:rsidRPr="00ED32C1" w:rsidRDefault="003E783D" w:rsidP="003E783D">
      <w:pPr>
        <w:autoSpaceDE w:val="0"/>
        <w:autoSpaceDN w:val="0"/>
        <w:adjustRightInd w:val="0"/>
        <w:jc w:val="both"/>
        <w:rPr>
          <w:sz w:val="28"/>
          <w:szCs w:val="28"/>
          <w:lang w:eastAsia="de-DE"/>
        </w:rPr>
      </w:pPr>
      <w:r>
        <w:rPr>
          <w:sz w:val="28"/>
          <w:szCs w:val="28"/>
          <w:lang w:eastAsia="de-DE"/>
        </w:rPr>
        <w:t xml:space="preserve">Padome uzskata, ka </w:t>
      </w:r>
      <w:r w:rsidRPr="00ED32C1">
        <w:rPr>
          <w:sz w:val="28"/>
          <w:szCs w:val="28"/>
          <w:lang w:eastAsia="de-DE"/>
        </w:rPr>
        <w:t>ES jārīkojas saskaņoti, lai pasākumi un to ietekme efektīvi ar visiem pieejamajiem publiskajiem pētniecības līdzekļiem risinātu lielo izaicinājumu jautājumus,</w:t>
      </w:r>
      <w:r>
        <w:rPr>
          <w:sz w:val="28"/>
          <w:szCs w:val="28"/>
          <w:lang w:eastAsia="de-DE"/>
        </w:rPr>
        <w:t xml:space="preserve"> piemēram,</w:t>
      </w:r>
      <w:r w:rsidRPr="00ED32C1">
        <w:rPr>
          <w:sz w:val="28"/>
          <w:szCs w:val="28"/>
          <w:lang w:eastAsia="de-DE"/>
        </w:rPr>
        <w:t xml:space="preserve"> </w:t>
      </w:r>
      <w:proofErr w:type="spellStart"/>
      <w:r w:rsidRPr="00ED32C1">
        <w:rPr>
          <w:sz w:val="28"/>
          <w:szCs w:val="28"/>
          <w:lang w:eastAsia="de-DE"/>
        </w:rPr>
        <w:t>izmanotojot</w:t>
      </w:r>
      <w:proofErr w:type="spellEnd"/>
      <w:r w:rsidRPr="00ED32C1">
        <w:rPr>
          <w:sz w:val="28"/>
          <w:szCs w:val="28"/>
          <w:lang w:eastAsia="de-DE"/>
        </w:rPr>
        <w:t xml:space="preserve"> vienotās plānošanas iniciatīvu pasākumus.</w:t>
      </w:r>
    </w:p>
    <w:p w:rsidR="003E783D" w:rsidRPr="00ED32C1" w:rsidRDefault="003E783D" w:rsidP="003E783D">
      <w:pPr>
        <w:jc w:val="both"/>
        <w:rPr>
          <w:rStyle w:val="hps"/>
          <w:sz w:val="28"/>
          <w:szCs w:val="28"/>
        </w:rPr>
      </w:pPr>
      <w:r w:rsidRPr="00ED32C1">
        <w:rPr>
          <w:sz w:val="28"/>
          <w:szCs w:val="28"/>
        </w:rPr>
        <w:t xml:space="preserve">Zinātnes izcilība ir cieši saistīta ar pasaules klases iekārtām un pētniecības infrastruktūrām. Tās piesaista talantus, stimulē inovāciju un biznesa iespējas. E-infrastruktūras sekmē </w:t>
      </w:r>
      <w:r w:rsidRPr="00ED32C1">
        <w:rPr>
          <w:rStyle w:val="hps"/>
          <w:sz w:val="28"/>
          <w:szCs w:val="28"/>
        </w:rPr>
        <w:t>skaitļošanas</w:t>
      </w:r>
      <w:r w:rsidRPr="00ED32C1">
        <w:rPr>
          <w:rStyle w:val="shorttext"/>
          <w:sz w:val="28"/>
          <w:szCs w:val="28"/>
        </w:rPr>
        <w:t xml:space="preserve"> </w:t>
      </w:r>
      <w:r w:rsidRPr="00ED32C1">
        <w:rPr>
          <w:rStyle w:val="hps"/>
          <w:sz w:val="28"/>
          <w:szCs w:val="28"/>
        </w:rPr>
        <w:t>un datu</w:t>
      </w:r>
      <w:r w:rsidRPr="00ED32C1">
        <w:rPr>
          <w:rStyle w:val="shorttext"/>
          <w:sz w:val="28"/>
          <w:szCs w:val="28"/>
        </w:rPr>
        <w:t xml:space="preserve"> </w:t>
      </w:r>
      <w:r w:rsidRPr="00ED32C1">
        <w:rPr>
          <w:rStyle w:val="hps"/>
          <w:sz w:val="28"/>
          <w:szCs w:val="28"/>
        </w:rPr>
        <w:t>intensīvu</w:t>
      </w:r>
      <w:r w:rsidRPr="00ED32C1">
        <w:rPr>
          <w:rStyle w:val="shorttext"/>
          <w:sz w:val="28"/>
          <w:szCs w:val="28"/>
        </w:rPr>
        <w:t xml:space="preserve"> </w:t>
      </w:r>
      <w:r w:rsidRPr="00ED32C1">
        <w:rPr>
          <w:rStyle w:val="hps"/>
          <w:sz w:val="28"/>
          <w:szCs w:val="28"/>
        </w:rPr>
        <w:t xml:space="preserve">izmantošanu pētniecībā, piekļuvi no liela attāluma resursiem un iekārtām. Starptautiska piekļuve pētniecības infrastruktūrām ir viena no Eiropas zinātniskās sabiedrības prioritātēm, tāpēc ir nepieciešami vienoti standarti un saskaņoti pētniecības infrastruktūru piekļuves un izmantošanas nosacījumi. </w:t>
      </w:r>
    </w:p>
    <w:p w:rsidR="003E783D" w:rsidRPr="00ED32C1" w:rsidRDefault="003E783D" w:rsidP="003E783D">
      <w:pPr>
        <w:jc w:val="both"/>
        <w:rPr>
          <w:sz w:val="28"/>
          <w:szCs w:val="28"/>
        </w:rPr>
      </w:pPr>
      <w:r w:rsidRPr="00ED32C1">
        <w:rPr>
          <w:sz w:val="28"/>
          <w:szCs w:val="28"/>
        </w:rPr>
        <w:lastRenderedPageBreak/>
        <w:t xml:space="preserve">Nepieciešams īstenot patiesu Eiropas pētniecības darba tirgu. Jāīsteno caurspīdīga, atklāta, atvērta un uz nopelniem balstīta pētnieku piesaiste, kas padarīs pētnieku karjeras pievilcīgākas un sekmēs pētnieku mobilitāti un rezultātā – zinātnes izcilību. </w:t>
      </w:r>
      <w:r>
        <w:rPr>
          <w:sz w:val="28"/>
          <w:szCs w:val="28"/>
        </w:rPr>
        <w:t>Ļoti būtiski ir</w:t>
      </w:r>
      <w:r w:rsidRPr="00ED32C1">
        <w:rPr>
          <w:sz w:val="28"/>
          <w:szCs w:val="28"/>
        </w:rPr>
        <w:t xml:space="preserve"> mazināt Eiropas </w:t>
      </w:r>
      <w:r w:rsidRPr="00ED32C1">
        <w:rPr>
          <w:i/>
          <w:sz w:val="28"/>
          <w:szCs w:val="28"/>
        </w:rPr>
        <w:t>smadzeņu aizplūšanu</w:t>
      </w:r>
      <w:r w:rsidRPr="00ED32C1">
        <w:rPr>
          <w:sz w:val="28"/>
          <w:szCs w:val="28"/>
        </w:rPr>
        <w:t>.</w:t>
      </w:r>
      <w:r>
        <w:rPr>
          <w:sz w:val="28"/>
          <w:szCs w:val="28"/>
        </w:rPr>
        <w:t xml:space="preserve"> </w:t>
      </w:r>
      <w:r w:rsidRPr="00ED32C1">
        <w:rPr>
          <w:sz w:val="28"/>
          <w:szCs w:val="28"/>
        </w:rPr>
        <w:t xml:space="preserve">Padome uzskata, ka </w:t>
      </w:r>
      <w:r>
        <w:rPr>
          <w:sz w:val="28"/>
          <w:szCs w:val="28"/>
        </w:rPr>
        <w:t>g</w:t>
      </w:r>
      <w:r w:rsidRPr="00ED32C1">
        <w:rPr>
          <w:sz w:val="28"/>
          <w:szCs w:val="28"/>
        </w:rPr>
        <w:t>an nacionālajām, gan ES līmeņa stratēģijām jānodrošina, lai tiktu izmantoti sieviešu talanti un pārāk ierobežotā talantīgu un kvalificētu sieviešu dalība, kā arī sekmēt dzimumu līdztiesību universitātēs un zinātniskajās institūcijās.</w:t>
      </w:r>
      <w:r>
        <w:rPr>
          <w:sz w:val="28"/>
          <w:szCs w:val="28"/>
        </w:rPr>
        <w:t xml:space="preserve"> </w:t>
      </w:r>
      <w:r w:rsidRPr="00ED32C1">
        <w:rPr>
          <w:sz w:val="28"/>
          <w:szCs w:val="28"/>
        </w:rPr>
        <w:t xml:space="preserve">Svarīga ir ātra un atklāta piekļuve zinātniskajām publikācijām. Dalībvalstīm jāidentificē nacionālās reformas un pasākumi, lai sasniegtu ERA Inovāciju savienības kontekstā un atspoguļot reformu īstenošanu ziņojumā par ERA nacionālajiem pasākumiem, ja nepieciešams, Nacionālajās reformu programmās, sākot ar 2013. gada Eiropas Semestri, sadarboties ar </w:t>
      </w:r>
      <w:proofErr w:type="spellStart"/>
      <w:r w:rsidRPr="00ED32C1">
        <w:rPr>
          <w:sz w:val="28"/>
          <w:szCs w:val="28"/>
        </w:rPr>
        <w:t>nacionlājiem</w:t>
      </w:r>
      <w:proofErr w:type="spellEnd"/>
      <w:r w:rsidRPr="00ED32C1">
        <w:rPr>
          <w:sz w:val="28"/>
          <w:szCs w:val="28"/>
        </w:rPr>
        <w:t xml:space="preserve"> sociālajiem partneriem zinātnes nozarē, lai īstenotu nepieciešamos pasākumus un piedalītos uzraudzīšanas un novērtēšanas pasākumos par ERA progresu. Jāiedrošina pētniecības </w:t>
      </w:r>
      <w:proofErr w:type="spellStart"/>
      <w:r w:rsidRPr="00ED32C1">
        <w:rPr>
          <w:sz w:val="28"/>
          <w:szCs w:val="28"/>
        </w:rPr>
        <w:t>soaicālos</w:t>
      </w:r>
      <w:proofErr w:type="spellEnd"/>
      <w:r w:rsidRPr="00ED32C1">
        <w:rPr>
          <w:sz w:val="28"/>
          <w:szCs w:val="28"/>
        </w:rPr>
        <w:t xml:space="preserve"> partnerus uzņemties atbildību par ERA īstenošanu. </w:t>
      </w:r>
    </w:p>
    <w:p w:rsidR="001C6D27" w:rsidRDefault="001C6D27" w:rsidP="001C6D27">
      <w:pPr>
        <w:pStyle w:val="Statut"/>
        <w:spacing w:before="0"/>
        <w:ind w:firstLine="34"/>
        <w:jc w:val="both"/>
        <w:rPr>
          <w:b/>
        </w:rPr>
      </w:pPr>
    </w:p>
    <w:p w:rsidR="001C6D27" w:rsidRPr="001C6D27" w:rsidRDefault="001C6D27" w:rsidP="001C6D27">
      <w:pPr>
        <w:pStyle w:val="Statut"/>
        <w:spacing w:before="0"/>
        <w:ind w:firstLine="34"/>
        <w:jc w:val="both"/>
        <w:rPr>
          <w:b/>
          <w:sz w:val="28"/>
          <w:szCs w:val="28"/>
        </w:rPr>
      </w:pPr>
      <w:r w:rsidRPr="001C6D27">
        <w:rPr>
          <w:b/>
          <w:sz w:val="28"/>
          <w:szCs w:val="28"/>
        </w:rPr>
        <w:t>Latvija kopumā atbalsta</w:t>
      </w:r>
      <w:r w:rsidRPr="001C6D27">
        <w:rPr>
          <w:sz w:val="28"/>
          <w:szCs w:val="28"/>
        </w:rPr>
        <w:t xml:space="preserve"> Padomes secinājumu projektu </w:t>
      </w:r>
      <w:r w:rsidRPr="001C6D27">
        <w:rPr>
          <w:i/>
          <w:noProof/>
          <w:sz w:val="28"/>
          <w:szCs w:val="28"/>
        </w:rPr>
        <w:t xml:space="preserve">Stiprāka Eiropas Pētniecības telpas dalība izcilībai un izaugsmei, </w:t>
      </w:r>
      <w:r w:rsidRPr="001C6D27">
        <w:rPr>
          <w:noProof/>
          <w:sz w:val="28"/>
          <w:szCs w:val="28"/>
        </w:rPr>
        <w:t xml:space="preserve">jo uzskata, ka vienota Eiropas Pētniecības telpa veidosies par instrumentu, kas novērsīs pētniecības fragmentizāciju un sekmēs Eiropas konkurētspējas attīstību un kopējās zinātniskās izcilības celšanu. </w:t>
      </w:r>
      <w:r w:rsidRPr="001C6D27">
        <w:rPr>
          <w:b/>
          <w:noProof/>
          <w:sz w:val="28"/>
          <w:szCs w:val="28"/>
        </w:rPr>
        <w:t>Tomēr v</w:t>
      </w:r>
      <w:proofErr w:type="spellStart"/>
      <w:r w:rsidRPr="001C6D27">
        <w:rPr>
          <w:rFonts w:ascii="TimesNewRoman" w:eastAsiaTheme="minorHAnsi" w:hAnsi="TimesNewRoman" w:cs="TimesNewRoman"/>
          <w:b/>
          <w:sz w:val="28"/>
          <w:szCs w:val="28"/>
        </w:rPr>
        <w:t>ienlaikus</w:t>
      </w:r>
      <w:proofErr w:type="spellEnd"/>
      <w:r w:rsidRPr="001C6D27">
        <w:rPr>
          <w:rFonts w:ascii="TimesNewRoman" w:eastAsiaTheme="minorHAnsi" w:hAnsi="TimesNewRoman" w:cs="TimesNewRoman"/>
          <w:b/>
          <w:sz w:val="28"/>
          <w:szCs w:val="28"/>
        </w:rPr>
        <w:t xml:space="preserve"> Latvija vēlas</w:t>
      </w:r>
      <w:r w:rsidRPr="001C6D27">
        <w:rPr>
          <w:rFonts w:ascii="TimesNewRoman" w:eastAsiaTheme="minorHAnsi" w:hAnsi="TimesNewRoman" w:cs="TimesNewRoman"/>
          <w:sz w:val="28"/>
          <w:szCs w:val="28"/>
        </w:rPr>
        <w:t xml:space="preserve"> </w:t>
      </w:r>
      <w:r w:rsidRPr="001C6D27">
        <w:rPr>
          <w:sz w:val="28"/>
          <w:szCs w:val="28"/>
        </w:rPr>
        <w:t xml:space="preserve">Eiropas Pētniecības telpas izveidošanas kontekstā uzsvērt, ka vienota Eiropas Pētniecības telpa būs iespējama tikai tad, ja pēc iespējas </w:t>
      </w:r>
      <w:proofErr w:type="spellStart"/>
      <w:r w:rsidRPr="001C6D27">
        <w:rPr>
          <w:sz w:val="28"/>
          <w:szCs w:val="28"/>
        </w:rPr>
        <w:t>līdzsvarotāk</w:t>
      </w:r>
      <w:proofErr w:type="spellEnd"/>
      <w:r w:rsidRPr="001C6D27">
        <w:rPr>
          <w:sz w:val="28"/>
          <w:szCs w:val="28"/>
        </w:rPr>
        <w:t xml:space="preserve"> un vienmērīgāk notiks Eiropas pētniecības attīstība un izplatība, līdz ar to novērošot infrastruktūras, cilvēkresursu un projektu koncentrāciju tikai dažās Eiropas valstīs.</w:t>
      </w:r>
    </w:p>
    <w:p w:rsidR="001C6D27" w:rsidRPr="001C6D27" w:rsidRDefault="001C6D27" w:rsidP="001C6D27">
      <w:pPr>
        <w:pStyle w:val="CommentText"/>
        <w:jc w:val="both"/>
        <w:rPr>
          <w:b/>
          <w:sz w:val="28"/>
          <w:szCs w:val="28"/>
        </w:rPr>
      </w:pPr>
      <w:r w:rsidRPr="001C6D27">
        <w:rPr>
          <w:rFonts w:ascii="TimesNewRoman" w:eastAsiaTheme="minorHAnsi" w:hAnsi="TimesNewRoman" w:cs="TimesNewRoman"/>
          <w:b/>
          <w:sz w:val="28"/>
          <w:szCs w:val="28"/>
        </w:rPr>
        <w:t xml:space="preserve">Latvija piesardzīgi vērtē </w:t>
      </w:r>
      <w:r w:rsidRPr="001C6D27">
        <w:rPr>
          <w:rFonts w:ascii="TimesNewRoman" w:eastAsiaTheme="minorHAnsi" w:hAnsi="TimesNewRoman" w:cs="TimesNewRoman"/>
          <w:sz w:val="28"/>
          <w:szCs w:val="28"/>
        </w:rPr>
        <w:t>ieceri par finansējuma piešķiršan</w:t>
      </w:r>
      <w:r>
        <w:rPr>
          <w:rFonts w:ascii="TimesNewRoman" w:eastAsiaTheme="minorHAnsi" w:hAnsi="TimesNewRoman" w:cs="TimesNewRoman"/>
          <w:sz w:val="28"/>
          <w:szCs w:val="28"/>
        </w:rPr>
        <w:t>u</w:t>
      </w:r>
      <w:r w:rsidRPr="001C6D27">
        <w:rPr>
          <w:rFonts w:ascii="TimesNewRoman" w:eastAsiaTheme="minorHAnsi" w:hAnsi="TimesNewRoman" w:cs="TimesNewRoman"/>
          <w:sz w:val="28"/>
          <w:szCs w:val="28"/>
        </w:rPr>
        <w:t xml:space="preserve">, izsludinot atklātus projektu konkursus, jo </w:t>
      </w:r>
      <w:r w:rsidRPr="001C6D27">
        <w:rPr>
          <w:sz w:val="28"/>
          <w:szCs w:val="28"/>
        </w:rPr>
        <w:t>Latvijai nav skaidrs, kā ir iecerēts šādam atklātu nacionālu konkursu mehānismam darboties praksē un kā praksē darbosies atklāti projektu konkursi.</w:t>
      </w:r>
    </w:p>
    <w:p w:rsidR="001C6D27" w:rsidRPr="001C6D27" w:rsidRDefault="001C6D27" w:rsidP="001C6D27">
      <w:pPr>
        <w:autoSpaceDE w:val="0"/>
        <w:autoSpaceDN w:val="0"/>
        <w:adjustRightInd w:val="0"/>
        <w:jc w:val="both"/>
        <w:rPr>
          <w:rFonts w:ascii="TimesNewRoman" w:eastAsiaTheme="minorHAnsi" w:hAnsi="TimesNewRoman" w:cs="TimesNewRoman"/>
          <w:sz w:val="28"/>
          <w:szCs w:val="28"/>
        </w:rPr>
      </w:pPr>
      <w:r w:rsidRPr="001C6D27">
        <w:rPr>
          <w:rFonts w:ascii="TimesNewRoman" w:eastAsiaTheme="minorHAnsi" w:hAnsi="TimesNewRoman" w:cs="TimesNewRoman"/>
          <w:b/>
          <w:sz w:val="28"/>
          <w:szCs w:val="28"/>
        </w:rPr>
        <w:t>Latvija pagaidām piesardzīgi</w:t>
      </w:r>
      <w:r w:rsidRPr="001C6D27">
        <w:rPr>
          <w:rFonts w:ascii="TimesNewRoman" w:eastAsiaTheme="minorHAnsi" w:hAnsi="TimesNewRoman" w:cs="TimesNewRoman"/>
          <w:sz w:val="28"/>
          <w:szCs w:val="28"/>
        </w:rPr>
        <w:t xml:space="preserve"> raugās uz principu par pētniekiem atvērto darba tirgu, jo saskata apdraudējumu savai nacionālajai pētniecības sistēmai, apzinoties, ka Latvijas atalgojums un sociālās garantijas zinātniekiem un akadēmiskajiem spēkiem nevar konkurēt ar daudzu Eiropas valstu atalgojumu un sociālajām sistēmām. </w:t>
      </w:r>
    </w:p>
    <w:p w:rsidR="001C6D27" w:rsidRDefault="001C6D27" w:rsidP="001C6D27">
      <w:pPr>
        <w:autoSpaceDE w:val="0"/>
        <w:autoSpaceDN w:val="0"/>
        <w:adjustRightInd w:val="0"/>
        <w:jc w:val="both"/>
        <w:rPr>
          <w:rFonts w:ascii="TimesNewRoman" w:eastAsiaTheme="minorHAnsi" w:hAnsi="TimesNewRoman" w:cs="TimesNewRoman"/>
          <w:sz w:val="28"/>
          <w:szCs w:val="28"/>
        </w:rPr>
      </w:pPr>
      <w:r w:rsidRPr="001C6D27">
        <w:rPr>
          <w:rFonts w:ascii="TimesNewRoman" w:eastAsiaTheme="minorHAnsi" w:hAnsi="TimesNewRoman" w:cs="TimesNewRoman"/>
          <w:b/>
          <w:sz w:val="28"/>
          <w:szCs w:val="28"/>
        </w:rPr>
        <w:t>Tāpat Latvija uzskata</w:t>
      </w:r>
      <w:r w:rsidRPr="001C6D27">
        <w:rPr>
          <w:rFonts w:ascii="TimesNewRoman" w:eastAsiaTheme="minorHAnsi" w:hAnsi="TimesNewRoman" w:cs="TimesNewRoman"/>
          <w:sz w:val="28"/>
          <w:szCs w:val="28"/>
        </w:rPr>
        <w:t xml:space="preserve">, ka šāds atvērta darba tirgus princips sekmēs </w:t>
      </w:r>
      <w:r w:rsidRPr="001C6D27">
        <w:rPr>
          <w:sz w:val="28"/>
          <w:szCs w:val="28"/>
        </w:rPr>
        <w:t xml:space="preserve">smadzeņu aizplūšanu </w:t>
      </w:r>
      <w:r w:rsidRPr="001C6D27">
        <w:rPr>
          <w:rFonts w:ascii="TimesNewRoman" w:eastAsiaTheme="minorHAnsi" w:hAnsi="TimesNewRoman" w:cs="TimesNewRoman"/>
          <w:sz w:val="28"/>
          <w:szCs w:val="28"/>
        </w:rPr>
        <w:t xml:space="preserve">no Latvijas citu valstu virzienā un uzskata, ka Padomes secinājumiem jāatspoguļo </w:t>
      </w:r>
      <w:r w:rsidRPr="001C6D27">
        <w:rPr>
          <w:sz w:val="28"/>
          <w:szCs w:val="28"/>
        </w:rPr>
        <w:t>Eiropas Pētniecības telpas</w:t>
      </w:r>
      <w:r w:rsidRPr="001C6D27">
        <w:rPr>
          <w:rFonts w:ascii="TimesNewRoman" w:eastAsiaTheme="minorHAnsi" w:hAnsi="TimesNewRoman" w:cs="TimesNewRoman"/>
          <w:sz w:val="28"/>
          <w:szCs w:val="28"/>
        </w:rPr>
        <w:t xml:space="preserve"> centieni ierobežot </w:t>
      </w:r>
      <w:r>
        <w:rPr>
          <w:rFonts w:ascii="TimesNewRoman" w:eastAsiaTheme="minorHAnsi" w:hAnsi="TimesNewRoman" w:cs="TimesNewRoman"/>
          <w:sz w:val="28"/>
          <w:szCs w:val="28"/>
        </w:rPr>
        <w:t>s</w:t>
      </w:r>
      <w:r w:rsidRPr="001C6D27">
        <w:rPr>
          <w:sz w:val="28"/>
          <w:szCs w:val="28"/>
        </w:rPr>
        <w:t xml:space="preserve">madzeņu aizplūšanu </w:t>
      </w:r>
      <w:r w:rsidRPr="001C6D27">
        <w:rPr>
          <w:rFonts w:ascii="TimesNewRoman" w:eastAsiaTheme="minorHAnsi" w:hAnsi="TimesNewRoman" w:cs="TimesNewRoman"/>
          <w:sz w:val="28"/>
          <w:szCs w:val="28"/>
        </w:rPr>
        <w:t>Eiropas robežās un līdzsvarot pētnieku mobilitāti.</w:t>
      </w:r>
    </w:p>
    <w:p w:rsidR="001C6D27" w:rsidRPr="001C6D27" w:rsidRDefault="001C6D27" w:rsidP="001C6D27">
      <w:pPr>
        <w:jc w:val="both"/>
        <w:rPr>
          <w:sz w:val="28"/>
          <w:szCs w:val="28"/>
          <w:u w:val="single"/>
        </w:rPr>
      </w:pPr>
      <w:r w:rsidRPr="001C6D27">
        <w:rPr>
          <w:sz w:val="28"/>
          <w:szCs w:val="28"/>
          <w:u w:val="single"/>
        </w:rPr>
        <w:t>Latvijas īpašās intereses</w:t>
      </w:r>
    </w:p>
    <w:p w:rsidR="001C6D27" w:rsidRPr="001C6D27" w:rsidRDefault="001C6D27" w:rsidP="001C6D27">
      <w:pPr>
        <w:autoSpaceDE w:val="0"/>
        <w:autoSpaceDN w:val="0"/>
        <w:adjustRightInd w:val="0"/>
        <w:jc w:val="both"/>
        <w:rPr>
          <w:rFonts w:ascii="TimesNewRoman" w:eastAsiaTheme="minorHAnsi" w:hAnsi="TimesNewRoman" w:cs="TimesNewRoman"/>
          <w:sz w:val="28"/>
          <w:szCs w:val="28"/>
        </w:rPr>
      </w:pPr>
      <w:r w:rsidRPr="001C6D27" w:rsidDel="00E87CF8">
        <w:rPr>
          <w:b/>
          <w:sz w:val="28"/>
          <w:szCs w:val="28"/>
        </w:rPr>
        <w:t xml:space="preserve">Latvija </w:t>
      </w:r>
      <w:r>
        <w:rPr>
          <w:b/>
          <w:sz w:val="28"/>
          <w:szCs w:val="28"/>
        </w:rPr>
        <w:t>paredz</w:t>
      </w:r>
      <w:r w:rsidRPr="001C6D27" w:rsidDel="00E87CF8">
        <w:rPr>
          <w:sz w:val="28"/>
          <w:szCs w:val="28"/>
        </w:rPr>
        <w:t xml:space="preserve"> </w:t>
      </w:r>
      <w:r>
        <w:rPr>
          <w:sz w:val="28"/>
          <w:szCs w:val="28"/>
        </w:rPr>
        <w:t>ar</w:t>
      </w:r>
      <w:r w:rsidRPr="001C6D27" w:rsidDel="00E87CF8">
        <w:rPr>
          <w:sz w:val="28"/>
          <w:szCs w:val="28"/>
        </w:rPr>
        <w:t xml:space="preserve"> sekmīgi īstenot</w:t>
      </w:r>
      <w:r>
        <w:rPr>
          <w:sz w:val="28"/>
          <w:szCs w:val="28"/>
        </w:rPr>
        <w:t>u</w:t>
      </w:r>
      <w:r w:rsidRPr="001C6D27" w:rsidDel="00E87CF8">
        <w:rPr>
          <w:sz w:val="28"/>
          <w:szCs w:val="28"/>
        </w:rPr>
        <w:t xml:space="preserve"> </w:t>
      </w:r>
      <w:r w:rsidRPr="001C6D27">
        <w:rPr>
          <w:sz w:val="28"/>
          <w:szCs w:val="28"/>
        </w:rPr>
        <w:t>viedās specializācijas</w:t>
      </w:r>
      <w:r w:rsidRPr="001C6D27" w:rsidDel="00E87CF8">
        <w:rPr>
          <w:sz w:val="28"/>
          <w:szCs w:val="28"/>
        </w:rPr>
        <w:t xml:space="preserve"> un pētniecības infrastruktūru politik</w:t>
      </w:r>
      <w:r>
        <w:rPr>
          <w:sz w:val="28"/>
          <w:szCs w:val="28"/>
        </w:rPr>
        <w:t>u</w:t>
      </w:r>
      <w:r w:rsidRPr="001C6D27" w:rsidDel="00E87CF8">
        <w:rPr>
          <w:sz w:val="28"/>
          <w:szCs w:val="28"/>
        </w:rPr>
        <w:t xml:space="preserve"> </w:t>
      </w:r>
      <w:r w:rsidRPr="001C6D27">
        <w:rPr>
          <w:sz w:val="28"/>
          <w:szCs w:val="28"/>
        </w:rPr>
        <w:t>(BIRTI</w:t>
      </w:r>
      <w:r>
        <w:rPr>
          <w:sz w:val="28"/>
          <w:szCs w:val="28"/>
        </w:rPr>
        <w:t xml:space="preserve">) celt savu zemas līdzdalības </w:t>
      </w:r>
      <w:r w:rsidRPr="001C6D27" w:rsidDel="00E87CF8">
        <w:rPr>
          <w:sz w:val="28"/>
          <w:szCs w:val="28"/>
        </w:rPr>
        <w:t xml:space="preserve">koeficientu ES Ietvarprogrammās un </w:t>
      </w:r>
      <w:proofErr w:type="spellStart"/>
      <w:r>
        <w:rPr>
          <w:sz w:val="28"/>
          <w:szCs w:val="28"/>
        </w:rPr>
        <w:t>selmēt</w:t>
      </w:r>
      <w:proofErr w:type="spellEnd"/>
      <w:r w:rsidRPr="001C6D27" w:rsidDel="00E87CF8">
        <w:rPr>
          <w:sz w:val="28"/>
          <w:szCs w:val="28"/>
        </w:rPr>
        <w:t xml:space="preserve"> savu zinātnisko izcilību, kas ir svarīgākais priekšnoteikums sekmīgai dalībai Horizonts 2020</w:t>
      </w:r>
      <w:r>
        <w:rPr>
          <w:sz w:val="28"/>
          <w:szCs w:val="28"/>
        </w:rPr>
        <w:t xml:space="preserve">, kā arī novērst smadzeņu aizplūšanas problēmu un risināt </w:t>
      </w:r>
      <w:proofErr w:type="spellStart"/>
      <w:r>
        <w:rPr>
          <w:sz w:val="28"/>
          <w:szCs w:val="28"/>
        </w:rPr>
        <w:t>cilvēkresusu</w:t>
      </w:r>
      <w:proofErr w:type="spellEnd"/>
      <w:r>
        <w:rPr>
          <w:sz w:val="28"/>
          <w:szCs w:val="28"/>
        </w:rPr>
        <w:t xml:space="preserve"> aktualitāti zinātnē</w:t>
      </w:r>
      <w:r w:rsidRPr="001C6D27" w:rsidDel="00E87CF8">
        <w:rPr>
          <w:sz w:val="28"/>
          <w:szCs w:val="28"/>
        </w:rPr>
        <w:t>.</w:t>
      </w:r>
    </w:p>
    <w:p w:rsidR="001C6D27" w:rsidRDefault="001C6D27" w:rsidP="001C6D27">
      <w:pPr>
        <w:autoSpaceDE w:val="0"/>
        <w:autoSpaceDN w:val="0"/>
        <w:adjustRightInd w:val="0"/>
        <w:rPr>
          <w:rFonts w:ascii="TimesNewRoman" w:eastAsiaTheme="minorHAnsi" w:hAnsi="TimesNewRoman" w:cs="TimesNewRoman"/>
        </w:rPr>
      </w:pPr>
    </w:p>
    <w:p w:rsidR="001C6D27" w:rsidRDefault="001C6D27" w:rsidP="001C6D27">
      <w:pPr>
        <w:autoSpaceDE w:val="0"/>
        <w:autoSpaceDN w:val="0"/>
        <w:adjustRightInd w:val="0"/>
        <w:rPr>
          <w:rFonts w:ascii="TimesNewRoman" w:eastAsiaTheme="minorHAnsi" w:hAnsi="TimesNewRoman" w:cs="TimesNewRoman"/>
        </w:rPr>
      </w:pPr>
    </w:p>
    <w:p w:rsidR="00231E0E" w:rsidRPr="00D959C0" w:rsidRDefault="00231E0E" w:rsidP="00D959C0">
      <w:pPr>
        <w:pStyle w:val="ListParagraph"/>
        <w:spacing w:line="240" w:lineRule="auto"/>
        <w:ind w:left="0"/>
        <w:rPr>
          <w:b/>
          <w:noProof/>
          <w:sz w:val="28"/>
          <w:szCs w:val="28"/>
        </w:rPr>
      </w:pPr>
      <w:r w:rsidRPr="00D959C0">
        <w:rPr>
          <w:rFonts w:eastAsiaTheme="minorHAnsi"/>
          <w:b/>
          <w:bCs/>
          <w:sz w:val="28"/>
          <w:szCs w:val="28"/>
        </w:rPr>
        <w:t xml:space="preserve">5. Komisijas paziņojums „Uzlabot un koncentrēt ES starptautisko sadarbību pētniecībā un inovācijā” </w:t>
      </w:r>
      <w:r w:rsidR="00D959C0">
        <w:rPr>
          <w:b/>
          <w:sz w:val="28"/>
          <w:szCs w:val="28"/>
        </w:rPr>
        <w:t xml:space="preserve">– </w:t>
      </w:r>
      <w:r w:rsidRPr="00D959C0">
        <w:rPr>
          <w:b/>
          <w:noProof/>
          <w:sz w:val="28"/>
          <w:szCs w:val="28"/>
        </w:rPr>
        <w:t>iepazīstināšana</w:t>
      </w:r>
      <w:r w:rsidR="00D959C0">
        <w:rPr>
          <w:b/>
          <w:noProof/>
          <w:sz w:val="28"/>
          <w:szCs w:val="28"/>
        </w:rPr>
        <w:t xml:space="preserve"> un </w:t>
      </w:r>
      <w:r w:rsidRPr="00D959C0">
        <w:rPr>
          <w:b/>
          <w:noProof/>
          <w:sz w:val="28"/>
          <w:szCs w:val="28"/>
        </w:rPr>
        <w:t>viedokļu apmaiņa</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Eiropas Savienība ir pasaules līdere pētniecībā un inovācijā (P&amp;I), kas iegulda 24 % no pasaules izdevumiem saistībā ar pētniecību, izdod 32 % nozīmīgu publikāciju un reģistrē 32 % patentu pieteikumu, pārstāvot tikai 7 % no kopējā iedzīvotāju skaita. Pasaules mēroga pētniecībā un inovācijās vēl nesen dominēja ES, ASV un Japāna. Jaunās tirgus ekonomikas</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valstis turpina nostiprināt savas P&amp;I sistēmas, veidojot </w:t>
      </w:r>
      <w:proofErr w:type="spellStart"/>
      <w:r w:rsidRPr="00D959C0">
        <w:rPr>
          <w:rFonts w:ascii="TimesNewRoman" w:eastAsiaTheme="minorHAnsi" w:hAnsi="TimesNewRoman" w:cs="TimesNewRoman"/>
          <w:sz w:val="28"/>
          <w:szCs w:val="28"/>
        </w:rPr>
        <w:t>multipolāru</w:t>
      </w:r>
      <w:proofErr w:type="spellEnd"/>
      <w:r w:rsidRPr="00D959C0">
        <w:rPr>
          <w:rFonts w:ascii="TimesNewRoman" w:eastAsiaTheme="minorHAnsi" w:hAnsi="TimesNewRoman" w:cs="TimesNewRoman"/>
          <w:sz w:val="28"/>
          <w:szCs w:val="28"/>
        </w:rPr>
        <w:t xml:space="preserve"> sistēma, kurā pieaugoša ietekme ir tādām valstīm kā, piemēram, Brazīlijai, Ķīnai, Indijai un Dienvidkorejai. </w:t>
      </w:r>
      <w:r w:rsidRPr="00D959C0">
        <w:rPr>
          <w:rFonts w:ascii="TimesNewRoman,Italic" w:eastAsiaTheme="minorHAnsi" w:hAnsi="TimesNewRoman,Italic" w:cs="TimesNewRoman,Italic"/>
          <w:i/>
          <w:iCs/>
          <w:sz w:val="28"/>
          <w:szCs w:val="28"/>
        </w:rPr>
        <w:t xml:space="preserve">BRICS </w:t>
      </w:r>
      <w:r w:rsidRPr="00D959C0">
        <w:rPr>
          <w:rFonts w:ascii="TimesNewRoman,Italic" w:eastAsiaTheme="minorHAnsi" w:hAnsi="TimesNewRoman,Italic" w:cs="TimesNewRoman,Italic"/>
          <w:iCs/>
          <w:sz w:val="28"/>
          <w:szCs w:val="28"/>
        </w:rPr>
        <w:t>(Brazīlija, Krievija, Indija, Ķīna, Dienvidāfrika)</w:t>
      </w:r>
      <w:r w:rsidRPr="00D959C0">
        <w:rPr>
          <w:rFonts w:ascii="TimesNewRoman,Italic" w:eastAsiaTheme="minorHAnsi" w:hAnsi="TimesNewRoman,Italic" w:cs="TimesNewRoman,Italic"/>
          <w:i/>
          <w:iCs/>
          <w:sz w:val="28"/>
          <w:szCs w:val="28"/>
        </w:rPr>
        <w:t xml:space="preserve"> </w:t>
      </w:r>
      <w:r w:rsidRPr="00D959C0">
        <w:rPr>
          <w:rFonts w:ascii="TimesNewRoman" w:eastAsiaTheme="minorHAnsi" w:hAnsi="TimesNewRoman" w:cs="TimesNewRoman"/>
          <w:sz w:val="28"/>
          <w:szCs w:val="28"/>
        </w:rPr>
        <w:t>daļa globālajos izdevumos par pētniecību un izstrādi laikā no 2000.-2009. gadam ir dubultojusies. P&amp;I arvien vairāk ir savstarpēji starptautiski saistītas, izmantojot informācijas un komunikācijas tehnoloģijas, kas strauji attīstās. Palielinās tādu zinātnisku publikāciju skaits, kuru līdzautori pārstāv dažādas valstis, kā arī pētnieku mobilitāte. Pētniecības organizācijas izveido filiāles ārvalstīs un uzņēmumi veic ieguldījumus ārpus savas valsts, jo īpaši valstīs ar strauji augošu ekonomiku.</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Eiropā pētniecībai pārrobežu sadarbības veicināšanai ir sena vēsture. Eiropas Kodolpētījumu organizācija (</w:t>
      </w:r>
      <w:r w:rsidRPr="00D959C0">
        <w:rPr>
          <w:rFonts w:ascii="TimesNewRoman,Italic" w:eastAsiaTheme="minorHAnsi" w:hAnsi="TimesNewRoman,Italic" w:cs="TimesNewRoman,Italic"/>
          <w:i/>
          <w:iCs/>
          <w:sz w:val="28"/>
          <w:szCs w:val="28"/>
        </w:rPr>
        <w:t>CERN</w:t>
      </w:r>
      <w:r w:rsidRPr="00D959C0">
        <w:rPr>
          <w:rFonts w:ascii="TimesNewRoman" w:eastAsiaTheme="minorHAnsi" w:hAnsi="TimesNewRoman" w:cs="TimesNewRoman"/>
          <w:sz w:val="28"/>
          <w:szCs w:val="28"/>
        </w:rPr>
        <w:t xml:space="preserve">), kas izveidota 1954. gadā, ir pētniecības izcilības centrs un pasaulē lielākā elementārdaļiņu fizikas laboratorija, kas piesaista vadošos zinātniekus. Kopš 1986. gada līgumos sadarbība ar </w:t>
      </w:r>
      <w:proofErr w:type="spellStart"/>
      <w:r w:rsidRPr="00D959C0">
        <w:rPr>
          <w:rFonts w:ascii="TimesNewRoman" w:eastAsiaTheme="minorHAnsi" w:hAnsi="TimesNewRoman" w:cs="TimesNewRoman"/>
          <w:sz w:val="28"/>
          <w:szCs w:val="28"/>
        </w:rPr>
        <w:t>trešām</w:t>
      </w:r>
      <w:proofErr w:type="spellEnd"/>
      <w:r w:rsidRPr="00D959C0">
        <w:rPr>
          <w:rFonts w:ascii="TimesNewRoman" w:eastAsiaTheme="minorHAnsi" w:hAnsi="TimesNewRoman" w:cs="TimesNewRoman"/>
          <w:sz w:val="28"/>
          <w:szCs w:val="28"/>
        </w:rPr>
        <w:t xml:space="preserve"> valstīm ir nepārprotami identificēta kā ES pētniecības politikas galvenā darbība. Ietvarprogrammas (IP) ir pakāpeniski atvērtas trešo valstu līdzdalībai, sniedzot atbalstu, lai pilnībā integrētu starptautisko sadarbību 7. IP ietvaros (ieskaitot </w:t>
      </w:r>
      <w:proofErr w:type="spellStart"/>
      <w:r w:rsidRPr="00D959C0">
        <w:rPr>
          <w:rFonts w:ascii="TimesNewRoman,Italic" w:eastAsiaTheme="minorHAnsi" w:hAnsi="TimesNewRoman,Italic" w:cs="TimesNewRoman,Italic"/>
          <w:i/>
          <w:iCs/>
          <w:sz w:val="28"/>
          <w:szCs w:val="28"/>
        </w:rPr>
        <w:t>Euratom</w:t>
      </w:r>
      <w:proofErr w:type="spellEnd"/>
      <w:r w:rsidRPr="00D959C0">
        <w:rPr>
          <w:rFonts w:ascii="TimesNewRoman,Italic" w:eastAsiaTheme="minorHAnsi" w:hAnsi="TimesNewRoman,Italic" w:cs="TimesNewRoman,Italic"/>
          <w:i/>
          <w:iCs/>
          <w:sz w:val="28"/>
          <w:szCs w:val="28"/>
        </w:rPr>
        <w:t xml:space="preserve"> FP7</w:t>
      </w:r>
      <w:r w:rsidRPr="00D959C0">
        <w:rPr>
          <w:rFonts w:ascii="TimesNewRoman" w:eastAsiaTheme="minorHAnsi" w:hAnsi="TimesNewRoman" w:cs="TimesNewRoman"/>
          <w:sz w:val="28"/>
          <w:szCs w:val="28"/>
        </w:rPr>
        <w:t xml:space="preserve">). EIT arī ir atvērts sadarbībai ar </w:t>
      </w:r>
      <w:proofErr w:type="spellStart"/>
      <w:r w:rsidRPr="00D959C0">
        <w:rPr>
          <w:rFonts w:ascii="TimesNewRoman" w:eastAsiaTheme="minorHAnsi" w:hAnsi="TimesNewRoman" w:cs="TimesNewRoman"/>
          <w:sz w:val="28"/>
          <w:szCs w:val="28"/>
        </w:rPr>
        <w:t>trešām</w:t>
      </w:r>
      <w:proofErr w:type="spellEnd"/>
      <w:r w:rsidRPr="00D959C0">
        <w:rPr>
          <w:rFonts w:ascii="TimesNewRoman" w:eastAsiaTheme="minorHAnsi" w:hAnsi="TimesNewRoman" w:cs="TimesNewRoman"/>
          <w:sz w:val="28"/>
          <w:szCs w:val="28"/>
        </w:rPr>
        <w:t xml:space="preserve"> valstīm, kā rezultātā 6 % no 7.IP dalībniekiem ir no </w:t>
      </w:r>
      <w:proofErr w:type="spellStart"/>
      <w:r w:rsidRPr="00D959C0">
        <w:rPr>
          <w:rFonts w:ascii="TimesNewRoman" w:eastAsiaTheme="minorHAnsi" w:hAnsi="TimesNewRoman" w:cs="TimesNewRoman"/>
          <w:sz w:val="28"/>
          <w:szCs w:val="28"/>
        </w:rPr>
        <w:t>trešām</w:t>
      </w:r>
      <w:proofErr w:type="spellEnd"/>
      <w:r w:rsidRPr="00D959C0">
        <w:rPr>
          <w:rFonts w:ascii="TimesNewRoman" w:eastAsiaTheme="minorHAnsi" w:hAnsi="TimesNewRoman" w:cs="TimesNewRoman"/>
          <w:sz w:val="28"/>
          <w:szCs w:val="28"/>
        </w:rPr>
        <w:t xml:space="preserve"> valstīm.</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Optimizējot starptautiskās sadarbības pasākumu mērogu un darbības jomu:</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 </w:t>
      </w:r>
      <w:r w:rsidRPr="00D959C0">
        <w:rPr>
          <w:rFonts w:ascii="TimesNewRoman,Italic" w:eastAsiaTheme="minorHAnsi" w:hAnsi="TimesNewRoman,Italic" w:cs="TimesNewRoman,Italic"/>
          <w:i/>
          <w:iCs/>
          <w:sz w:val="28"/>
          <w:szCs w:val="28"/>
        </w:rPr>
        <w:t xml:space="preserve">Eiropas un jaunattīstības valstu partnerība klīnisko pētījumu </w:t>
      </w:r>
      <w:r w:rsidRPr="00D959C0">
        <w:rPr>
          <w:rFonts w:ascii="TimesNewRoman" w:eastAsiaTheme="minorHAnsi" w:hAnsi="TimesNewRoman" w:cs="TimesNewRoman"/>
          <w:sz w:val="28"/>
          <w:szCs w:val="28"/>
        </w:rPr>
        <w:t>jomā (</w:t>
      </w:r>
      <w:r w:rsidRPr="00D959C0">
        <w:rPr>
          <w:rFonts w:ascii="TimesNewRoman,Italic" w:eastAsiaTheme="minorHAnsi" w:hAnsi="TimesNewRoman,Italic" w:cs="TimesNewRoman,Italic"/>
          <w:i/>
          <w:iCs/>
          <w:sz w:val="28"/>
          <w:szCs w:val="28"/>
        </w:rPr>
        <w:t>EDCTP</w:t>
      </w:r>
      <w:r w:rsidRPr="00D959C0">
        <w:rPr>
          <w:rFonts w:ascii="TimesNewRoman" w:eastAsiaTheme="minorHAnsi" w:hAnsi="TimesNewRoman" w:cs="TimesNewRoman"/>
          <w:sz w:val="28"/>
          <w:szCs w:val="28"/>
        </w:rPr>
        <w:t xml:space="preserve">) ir partnerība starp 14 dalībvalstīm, Šveici, Norvēģiju un </w:t>
      </w:r>
      <w:proofErr w:type="spellStart"/>
      <w:r w:rsidRPr="00D959C0">
        <w:rPr>
          <w:rFonts w:ascii="TimesNewRoman" w:eastAsiaTheme="minorHAnsi" w:hAnsi="TimesNewRoman" w:cs="TimesNewRoman"/>
          <w:sz w:val="28"/>
          <w:szCs w:val="28"/>
        </w:rPr>
        <w:t>Aizsahāras</w:t>
      </w:r>
      <w:proofErr w:type="spellEnd"/>
      <w:r w:rsidRPr="00D959C0">
        <w:rPr>
          <w:rFonts w:ascii="TimesNewRoman" w:eastAsiaTheme="minorHAnsi" w:hAnsi="TimesNewRoman" w:cs="TimesNewRoman"/>
          <w:sz w:val="28"/>
          <w:szCs w:val="28"/>
        </w:rPr>
        <w:t xml:space="preserve"> Āfrikas valstīm, lai apkarotu </w:t>
      </w:r>
      <w:r w:rsidRPr="00D959C0">
        <w:rPr>
          <w:rFonts w:ascii="TimesNewRoman,Italic" w:eastAsiaTheme="minorHAnsi" w:hAnsi="TimesNewRoman,Italic" w:cs="TimesNewRoman,Italic"/>
          <w:i/>
          <w:iCs/>
          <w:sz w:val="28"/>
          <w:szCs w:val="28"/>
        </w:rPr>
        <w:t>HIV/AIDS</w:t>
      </w:r>
      <w:r w:rsidRPr="00D959C0">
        <w:rPr>
          <w:rFonts w:ascii="TimesNewRoman" w:eastAsiaTheme="minorHAnsi" w:hAnsi="TimesNewRoman" w:cs="TimesNewRoman"/>
          <w:sz w:val="28"/>
          <w:szCs w:val="28"/>
        </w:rPr>
        <w:t>, tuberkulozi un malāriju;</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 </w:t>
      </w:r>
      <w:proofErr w:type="spellStart"/>
      <w:r w:rsidRPr="00D959C0">
        <w:rPr>
          <w:rFonts w:ascii="TimesNewRoman,Italic" w:eastAsiaTheme="minorHAnsi" w:hAnsi="TimesNewRoman,Italic" w:cs="TimesNewRoman,Italic"/>
          <w:i/>
          <w:iCs/>
          <w:sz w:val="28"/>
          <w:szCs w:val="28"/>
        </w:rPr>
        <w:t>Euratom</w:t>
      </w:r>
      <w:proofErr w:type="spellEnd"/>
      <w:r w:rsidRPr="00D959C0">
        <w:rPr>
          <w:rFonts w:ascii="TimesNewRoman" w:eastAsiaTheme="minorHAnsi" w:hAnsi="TimesNewRoman" w:cs="TimesNewRoman"/>
          <w:sz w:val="28"/>
          <w:szCs w:val="28"/>
        </w:rPr>
        <w:t xml:space="preserve">, Ķīna, Indija, Japāna, Krievija, Dienvidkoreja un ASV ir apvienojušas spēkus </w:t>
      </w:r>
      <w:r w:rsidRPr="00D959C0">
        <w:rPr>
          <w:rFonts w:ascii="TimesNewRoman,Italic" w:eastAsiaTheme="minorHAnsi" w:hAnsi="TimesNewRoman,Italic" w:cs="TimesNewRoman,Italic"/>
          <w:i/>
          <w:iCs/>
          <w:sz w:val="28"/>
          <w:szCs w:val="28"/>
        </w:rPr>
        <w:t xml:space="preserve">ITER </w:t>
      </w:r>
      <w:r w:rsidRPr="00D959C0">
        <w:rPr>
          <w:rFonts w:ascii="TimesNewRoman" w:eastAsiaTheme="minorHAnsi" w:hAnsi="TimesNewRoman" w:cs="TimesNewRoman"/>
          <w:sz w:val="28"/>
          <w:szCs w:val="28"/>
        </w:rPr>
        <w:t>projektā, lai pierādītu, ka kodolsintēze ir drošs nākotnes enerģijas avots;</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 </w:t>
      </w:r>
      <w:r w:rsidRPr="00D959C0">
        <w:rPr>
          <w:rFonts w:ascii="TimesNewRoman,Italic" w:eastAsiaTheme="minorHAnsi" w:hAnsi="TimesNewRoman,Italic" w:cs="TimesNewRoman,Italic"/>
          <w:i/>
          <w:iCs/>
          <w:sz w:val="28"/>
          <w:szCs w:val="28"/>
        </w:rPr>
        <w:t xml:space="preserve">Marijas Kirī vārdā nosauktajiem pasākumiem </w:t>
      </w:r>
      <w:r w:rsidRPr="00D959C0">
        <w:rPr>
          <w:rFonts w:ascii="TimesNewRoman" w:eastAsiaTheme="minorHAnsi" w:hAnsi="TimesNewRoman" w:cs="TimesNewRoman"/>
          <w:sz w:val="28"/>
          <w:szCs w:val="28"/>
        </w:rPr>
        <w:t>ir izteikti starptautisks raksturs. Šajos pasākumos piedalās dalībnieki no 80 dažādām valstīm;</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 Komisijas </w:t>
      </w:r>
      <w:r w:rsidRPr="00D959C0">
        <w:rPr>
          <w:rFonts w:ascii="TimesNewRoman,Italic" w:eastAsiaTheme="minorHAnsi" w:hAnsi="TimesNewRoman,Italic" w:cs="TimesNewRoman,Italic"/>
          <w:i/>
          <w:iCs/>
          <w:sz w:val="28"/>
          <w:szCs w:val="28"/>
        </w:rPr>
        <w:t xml:space="preserve">Kopīgais pētniecības centrs </w:t>
      </w:r>
      <w:r w:rsidRPr="00D959C0">
        <w:rPr>
          <w:rFonts w:ascii="TimesNewRoman" w:eastAsiaTheme="minorHAnsi" w:hAnsi="TimesNewRoman" w:cs="TimesNewRoman"/>
          <w:sz w:val="28"/>
          <w:szCs w:val="28"/>
        </w:rPr>
        <w:t>sadarbojas ar starptautiskiem partneriem par dažādiem jautājumiem;</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 Pasaules līmeņa pētniecības un izglītības tīklu savstarpēju savienošanu, ko nodrošina </w:t>
      </w:r>
      <w:r w:rsidRPr="00D959C0">
        <w:rPr>
          <w:rFonts w:ascii="TimesNewRoman,Italic" w:eastAsiaTheme="minorHAnsi" w:hAnsi="TimesNewRoman,Italic" w:cs="TimesNewRoman,Italic"/>
          <w:i/>
          <w:iCs/>
          <w:sz w:val="28"/>
          <w:szCs w:val="28"/>
        </w:rPr>
        <w:t xml:space="preserve">GEANT </w:t>
      </w:r>
      <w:r w:rsidRPr="00D959C0">
        <w:rPr>
          <w:rFonts w:ascii="TimesNewRoman" w:eastAsiaTheme="minorHAnsi" w:hAnsi="TimesNewRoman" w:cs="TimesNewRoman"/>
          <w:sz w:val="28"/>
          <w:szCs w:val="28"/>
        </w:rPr>
        <w:t>tīkls, lielā mērā finansē ES (daļēji izmantojot attīstības sadarbības instrumentus);</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 ES kopā ar 13 citām valstīm atbalsta programmu </w:t>
      </w:r>
      <w:proofErr w:type="spellStart"/>
      <w:r w:rsidRPr="00D959C0">
        <w:rPr>
          <w:rFonts w:ascii="TimesNewRoman,Italic" w:eastAsiaTheme="minorHAnsi" w:hAnsi="TimesNewRoman,Italic" w:cs="TimesNewRoman,Italic"/>
          <w:i/>
          <w:iCs/>
          <w:sz w:val="28"/>
          <w:szCs w:val="28"/>
        </w:rPr>
        <w:t>Human</w:t>
      </w:r>
      <w:proofErr w:type="spellEnd"/>
      <w:r w:rsidRPr="00D959C0">
        <w:rPr>
          <w:rFonts w:ascii="TimesNewRoman,Italic" w:eastAsiaTheme="minorHAnsi" w:hAnsi="TimesNewRoman,Italic" w:cs="TimesNewRoman,Italic"/>
          <w:i/>
          <w:iCs/>
          <w:sz w:val="28"/>
          <w:szCs w:val="28"/>
        </w:rPr>
        <w:t xml:space="preserve"> </w:t>
      </w:r>
      <w:proofErr w:type="spellStart"/>
      <w:r w:rsidRPr="00D959C0">
        <w:rPr>
          <w:rFonts w:ascii="TimesNewRoman,Italic" w:eastAsiaTheme="minorHAnsi" w:hAnsi="TimesNewRoman,Italic" w:cs="TimesNewRoman,Italic"/>
          <w:i/>
          <w:iCs/>
          <w:sz w:val="28"/>
          <w:szCs w:val="28"/>
        </w:rPr>
        <w:t>Frontier</w:t>
      </w:r>
      <w:proofErr w:type="spellEnd"/>
      <w:r w:rsidRPr="00D959C0">
        <w:rPr>
          <w:rFonts w:ascii="TimesNewRoman,Italic" w:eastAsiaTheme="minorHAnsi" w:hAnsi="TimesNewRoman,Italic" w:cs="TimesNewRoman,Italic"/>
          <w:i/>
          <w:iCs/>
          <w:sz w:val="28"/>
          <w:szCs w:val="28"/>
        </w:rPr>
        <w:t xml:space="preserve"> </w:t>
      </w:r>
      <w:proofErr w:type="spellStart"/>
      <w:r w:rsidRPr="00D959C0">
        <w:rPr>
          <w:rFonts w:ascii="TimesNewRoman,Italic" w:eastAsiaTheme="minorHAnsi" w:hAnsi="TimesNewRoman,Italic" w:cs="TimesNewRoman,Italic"/>
          <w:i/>
          <w:iCs/>
          <w:sz w:val="28"/>
          <w:szCs w:val="28"/>
        </w:rPr>
        <w:t>Science</w:t>
      </w:r>
      <w:proofErr w:type="spellEnd"/>
      <w:r w:rsidRPr="00D959C0">
        <w:rPr>
          <w:rFonts w:ascii="TimesNewRoman,Italic" w:eastAsiaTheme="minorHAnsi" w:hAnsi="TimesNewRoman,Italic" w:cs="TimesNewRoman,Italic"/>
          <w:i/>
          <w:iCs/>
          <w:sz w:val="28"/>
          <w:szCs w:val="28"/>
        </w:rPr>
        <w:t xml:space="preserve"> </w:t>
      </w:r>
      <w:proofErr w:type="spellStart"/>
      <w:r w:rsidRPr="00D959C0">
        <w:rPr>
          <w:rFonts w:ascii="TimesNewRoman,Italic" w:eastAsiaTheme="minorHAnsi" w:hAnsi="TimesNewRoman,Italic" w:cs="TimesNewRoman,Italic"/>
          <w:i/>
          <w:iCs/>
          <w:sz w:val="28"/>
          <w:szCs w:val="28"/>
        </w:rPr>
        <w:t>Programme</w:t>
      </w:r>
      <w:proofErr w:type="spellEnd"/>
      <w:r w:rsidRPr="00D959C0">
        <w:rPr>
          <w:rFonts w:ascii="TimesNewRoman" w:eastAsiaTheme="minorHAnsi" w:hAnsi="TimesNewRoman" w:cs="TimesNewRoman"/>
          <w:sz w:val="28"/>
          <w:szCs w:val="28"/>
        </w:rPr>
        <w:t>, lai finansētu starptautisko sadarbību fundamentālajos pētījumos.</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Starptautiskajai sadarbībai P&amp;I jomā ir šādi </w:t>
      </w:r>
      <w:r w:rsidRPr="00D959C0">
        <w:rPr>
          <w:rFonts w:ascii="TimesNewRoman" w:eastAsiaTheme="minorHAnsi" w:hAnsi="TimesNewRoman" w:cs="TimesNewRoman"/>
          <w:b/>
          <w:sz w:val="28"/>
          <w:szCs w:val="28"/>
        </w:rPr>
        <w:t>mērķi</w:t>
      </w:r>
      <w:r w:rsidRPr="00D959C0">
        <w:rPr>
          <w:rFonts w:ascii="TimesNewRoman" w:eastAsiaTheme="minorHAnsi" w:hAnsi="TimesNewRoman" w:cs="TimesNewRoman"/>
          <w:sz w:val="28"/>
          <w:szCs w:val="28"/>
        </w:rPr>
        <w:t>:</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lastRenderedPageBreak/>
        <w:t xml:space="preserve">(a) </w:t>
      </w:r>
      <w:r w:rsidRPr="00D959C0">
        <w:rPr>
          <w:rFonts w:ascii="TimesNewRoman,Bold" w:eastAsiaTheme="minorHAnsi" w:hAnsi="TimesNewRoman,Bold" w:cs="TimesNewRoman,Bold"/>
          <w:bCs/>
          <w:sz w:val="28"/>
          <w:szCs w:val="28"/>
        </w:rPr>
        <w:t>stiprināt ES izcilību un pievilcību P&amp;I jomā, kā arī tās ekonomisko un rūpniecisko konkurētspēju</w:t>
      </w:r>
      <w:r w:rsidRPr="00D959C0">
        <w:rPr>
          <w:rFonts w:ascii="TimesNewRoman" w:eastAsiaTheme="minorHAnsi" w:hAnsi="TimesNewRoman" w:cs="TimesNewRoman"/>
          <w:sz w:val="28"/>
          <w:szCs w:val="28"/>
        </w:rPr>
        <w:t>, piesaistīt ES talantus un ieguldījumus, atvieglot piekļuvi jauniem un potenciāliem tirgiem, vienoties par kopīgu praksi, kā veikt pētījumus un izmantot rezultātus;</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(b) </w:t>
      </w:r>
      <w:r w:rsidRPr="00D959C0">
        <w:rPr>
          <w:rFonts w:ascii="TimesNewRoman,Bold" w:eastAsiaTheme="minorHAnsi" w:hAnsi="TimesNewRoman,Bold" w:cs="TimesNewRoman,Bold"/>
          <w:bCs/>
          <w:sz w:val="28"/>
          <w:szCs w:val="28"/>
        </w:rPr>
        <w:t>risināt pasaules mēroga sabiedrības problēmas</w:t>
      </w:r>
      <w:r w:rsidRPr="00D959C0">
        <w:rPr>
          <w:rFonts w:ascii="TimesNewRoman" w:eastAsiaTheme="minorHAnsi" w:hAnsi="TimesNewRoman" w:cs="TimesNewRoman"/>
          <w:sz w:val="28"/>
          <w:szCs w:val="28"/>
        </w:rPr>
        <w:t xml:space="preserve">, ātrāk izstrādājot un ieviešot efektīvus risinājumus un optimizējot pētniecības infrastruktūru izmantošanu; </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(c) </w:t>
      </w:r>
      <w:r w:rsidRPr="00D959C0">
        <w:rPr>
          <w:rFonts w:ascii="TimesNewRoman,Bold" w:eastAsiaTheme="minorHAnsi" w:hAnsi="TimesNewRoman,Bold" w:cs="TimesNewRoman,Bold"/>
          <w:bCs/>
          <w:sz w:val="28"/>
          <w:szCs w:val="28"/>
        </w:rPr>
        <w:t>atbalstīt ES ārpolitiku</w:t>
      </w:r>
      <w:r w:rsidRPr="00D959C0">
        <w:rPr>
          <w:rFonts w:ascii="TimesNewRoman,Bold" w:eastAsiaTheme="minorHAnsi" w:hAnsi="TimesNewRoman,Bold" w:cs="TimesNewRoman,Bold"/>
          <w:b/>
          <w:bCs/>
          <w:sz w:val="28"/>
          <w:szCs w:val="28"/>
        </w:rPr>
        <w:t xml:space="preserve">, </w:t>
      </w:r>
      <w:r w:rsidRPr="00D959C0">
        <w:rPr>
          <w:rFonts w:ascii="TimesNewRoman" w:eastAsiaTheme="minorHAnsi" w:hAnsi="TimesNewRoman" w:cs="TimesNewRoman"/>
          <w:sz w:val="28"/>
          <w:szCs w:val="28"/>
        </w:rPr>
        <w:t>cieši koordinējot ar paplašināšanās, kaimiņattiecību, tirdzniecības politiku, kopējo ārpolitiku un drošības politiku (KĀDP), humānās palīdzības un attīstības politiku un padarot P&amp;I par visaptverošas ārējo pasākumu paketes neatņemamu daļu.</w:t>
      </w:r>
    </w:p>
    <w:p w:rsidR="00CF7774" w:rsidRPr="00D959C0" w:rsidRDefault="00CF7774" w:rsidP="00CF7774">
      <w:pPr>
        <w:autoSpaceDE w:val="0"/>
        <w:autoSpaceDN w:val="0"/>
        <w:adjustRightInd w:val="0"/>
        <w:jc w:val="both"/>
        <w:rPr>
          <w:rFonts w:eastAsiaTheme="minorHAnsi"/>
          <w:iCs/>
          <w:color w:val="000000"/>
          <w:sz w:val="28"/>
          <w:szCs w:val="28"/>
        </w:rPr>
      </w:pPr>
      <w:r w:rsidRPr="00D959C0">
        <w:rPr>
          <w:rFonts w:eastAsiaTheme="minorHAnsi"/>
          <w:b/>
          <w:iCs/>
          <w:color w:val="000000"/>
          <w:sz w:val="28"/>
          <w:szCs w:val="28"/>
        </w:rPr>
        <w:t>Instrumenti</w:t>
      </w:r>
      <w:r w:rsidRPr="00D959C0">
        <w:rPr>
          <w:rFonts w:eastAsiaTheme="minorHAnsi"/>
          <w:iCs/>
          <w:color w:val="000000"/>
          <w:sz w:val="28"/>
          <w:szCs w:val="28"/>
        </w:rPr>
        <w:t xml:space="preserve">, ar kuriem ES īstenos starptautisko sadarbību: Horizonts 2020 un tā sastāvdaļa </w:t>
      </w:r>
      <w:proofErr w:type="spellStart"/>
      <w:r w:rsidRPr="00D959C0">
        <w:rPr>
          <w:rFonts w:eastAsiaTheme="minorHAnsi"/>
          <w:iCs/>
          <w:color w:val="000000"/>
          <w:sz w:val="28"/>
          <w:szCs w:val="28"/>
        </w:rPr>
        <w:t>Euratom</w:t>
      </w:r>
      <w:proofErr w:type="spellEnd"/>
      <w:r w:rsidRPr="00D959C0">
        <w:rPr>
          <w:rFonts w:eastAsiaTheme="minorHAnsi"/>
          <w:iCs/>
          <w:color w:val="000000"/>
          <w:sz w:val="28"/>
          <w:szCs w:val="28"/>
        </w:rPr>
        <w:t xml:space="preserve"> programma, MSCA, pētniecības infrastruktūras, īpaši e-infrastruktūras, COST un EUREKA konkursi.</w:t>
      </w:r>
    </w:p>
    <w:p w:rsidR="00CF7774" w:rsidRPr="00D959C0" w:rsidRDefault="00CF7774" w:rsidP="00CF7774">
      <w:pPr>
        <w:autoSpaceDE w:val="0"/>
        <w:autoSpaceDN w:val="0"/>
        <w:adjustRightInd w:val="0"/>
        <w:jc w:val="both"/>
        <w:rPr>
          <w:rFonts w:eastAsiaTheme="minorHAnsi"/>
          <w:iCs/>
          <w:color w:val="000000"/>
          <w:sz w:val="28"/>
          <w:szCs w:val="28"/>
        </w:rPr>
      </w:pP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ES un dalībvalstu starptautiskās sadarbības pasākumiem jābūt konsekventiem un jāpapildina citam citu. Partnerattiecību starp EK un dalībvalstīm padziļināšana un nostiprināšana tādējādi būs svarīgs stratēģiskās pieejas elements. Svarīgi izstrādāt spēcīgāku un sistemātiskāku mijiedarbību ar galvenajām P&amp;I ieinteresētām personām. Tas ietvers iesaistīto pušu (nozaru, universitāšu un pētniecības organizāciju) lielāku atbilstību starptautiskās sadarbības prioritātēm, kā arī Kopīgas plānošanas iniciatīvas prioritātēm, Eiropas tehnoloģiju platformām un Eiropas inovācijas partnerībām.</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Italic" w:eastAsiaTheme="minorHAnsi" w:hAnsi="TimesNewRoman,Italic" w:cs="TimesNewRoman,Italic"/>
          <w:i/>
          <w:iCs/>
          <w:sz w:val="28"/>
          <w:szCs w:val="28"/>
        </w:rPr>
        <w:t xml:space="preserve">SFIC </w:t>
      </w:r>
      <w:r w:rsidRPr="00D959C0">
        <w:rPr>
          <w:rFonts w:ascii="TimesNewRoman" w:eastAsiaTheme="minorHAnsi" w:hAnsi="TimesNewRoman" w:cs="TimesNewRoman"/>
          <w:sz w:val="28"/>
          <w:szCs w:val="28"/>
        </w:rPr>
        <w:t>pamatā ir guvusi panākumus dalībvalstu, īpaši valstu un reģionālā finansējuma organizāciju, starptautiskās sadarbības prioritāšu saskaņošanā, sadarbojoties ar Indiju, ASV un Ķīnu.</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xml:space="preserve">Dalībvalstis tiks iesaistītas starptautiskās sadarbības un daudzgadu plānu jomu identificēšanā; šo plānu īstenošana ietvers kopīgu ES – dalībvalstu stratēģiskās P&amp;I programmu sagatavošanu, kā arī cieši iesaistīs dalībvalstis īstenošanas gaitā; inovācijas savienības apņemšanās izstrādāt kopīgas pamatnostādnes par iesaistīšanos nolīgumos ar </w:t>
      </w:r>
      <w:proofErr w:type="spellStart"/>
      <w:r w:rsidRPr="00D959C0">
        <w:rPr>
          <w:rFonts w:ascii="TimesNewRoman" w:eastAsiaTheme="minorHAnsi" w:hAnsi="TimesNewRoman" w:cs="TimesNewRoman"/>
          <w:sz w:val="28"/>
          <w:szCs w:val="28"/>
        </w:rPr>
        <w:t>trešām</w:t>
      </w:r>
      <w:proofErr w:type="spellEnd"/>
      <w:r w:rsidRPr="00D959C0">
        <w:rPr>
          <w:rFonts w:ascii="TimesNewRoman" w:eastAsiaTheme="minorHAnsi" w:hAnsi="TimesNewRoman" w:cs="TimesNewRoman"/>
          <w:sz w:val="28"/>
          <w:szCs w:val="28"/>
        </w:rPr>
        <w:t xml:space="preserve"> valstīm. Te tiks izmantotas ERA pamatnostādnes par intelektuālā īpašuma pārvaldību starptautiskās sadarbības nolīgumos, ko pieņēma ERA zināšanu nodošanas grupa.</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EK reizi divos gados ziņo par stratēģijas īstenošanu, kā daudzgadu plāni ir izstrādāti un ieviesti, novērtēs progresu un ietekmi. Pirmo ziņojumu iesniegs 2014. gada sākumā.</w:t>
      </w:r>
    </w:p>
    <w:p w:rsidR="00CF7774" w:rsidRPr="00D959C0" w:rsidRDefault="00CF7774" w:rsidP="00CF7774">
      <w:pPr>
        <w:autoSpaceDE w:val="0"/>
        <w:autoSpaceDN w:val="0"/>
        <w:adjustRightInd w:val="0"/>
        <w:rPr>
          <w:rFonts w:ascii="TimesNewRoman" w:eastAsiaTheme="minorHAnsi" w:hAnsi="TimesNewRoman" w:cs="TimesNewRoman"/>
          <w:sz w:val="28"/>
          <w:szCs w:val="28"/>
        </w:rPr>
      </w:pPr>
      <w:r w:rsidRPr="00D959C0">
        <w:rPr>
          <w:rFonts w:ascii="TimesNewRoman" w:eastAsiaTheme="minorHAnsi" w:hAnsi="TimesNewRoman" w:cs="TimesNewRoman"/>
          <w:sz w:val="28"/>
          <w:szCs w:val="28"/>
        </w:rPr>
        <w:t>Jauno stratēģisko pieeju starptautiskajai sadarbībai P&amp;I jomā raksturos:</w:t>
      </w:r>
    </w:p>
    <w:p w:rsidR="00CF7774" w:rsidRPr="00D959C0" w:rsidRDefault="00D47FA3" w:rsidP="00CF7774">
      <w:pPr>
        <w:autoSpaceDE w:val="0"/>
        <w:autoSpaceDN w:val="0"/>
        <w:adjustRightInd w:val="0"/>
        <w:rPr>
          <w:rFonts w:ascii="TimesNewRoman" w:eastAsiaTheme="minorHAnsi" w:hAnsi="TimesNewRoman" w:cs="TimesNewRoman"/>
          <w:sz w:val="28"/>
          <w:szCs w:val="28"/>
        </w:rPr>
      </w:pPr>
      <w:r>
        <w:rPr>
          <w:rFonts w:ascii="TimesNewRoman" w:eastAsiaTheme="minorHAnsi" w:hAnsi="TimesNewRoman" w:cs="TimesNewRoman"/>
          <w:sz w:val="28"/>
          <w:szCs w:val="28"/>
        </w:rPr>
        <w:t xml:space="preserve">– </w:t>
      </w:r>
      <w:r w:rsidR="00CF7774" w:rsidRPr="00D959C0">
        <w:rPr>
          <w:rFonts w:ascii="TimesNewRoman" w:eastAsiaTheme="minorHAnsi" w:hAnsi="TimesNewRoman" w:cs="TimesNewRoman"/>
          <w:sz w:val="28"/>
          <w:szCs w:val="28"/>
        </w:rPr>
        <w:t>Horizonts</w:t>
      </w:r>
      <w:r>
        <w:rPr>
          <w:rFonts w:ascii="TimesNewRoman" w:eastAsiaTheme="minorHAnsi" w:hAnsi="TimesNewRoman" w:cs="TimesNewRoman"/>
          <w:sz w:val="28"/>
          <w:szCs w:val="28"/>
        </w:rPr>
        <w:t xml:space="preserve"> 2020</w:t>
      </w:r>
      <w:r w:rsidR="00CF7774" w:rsidRPr="00D959C0">
        <w:rPr>
          <w:rFonts w:ascii="TimesNewRoman" w:eastAsiaTheme="minorHAnsi" w:hAnsi="TimesNewRoman" w:cs="TimesNewRoman"/>
          <w:sz w:val="28"/>
          <w:szCs w:val="28"/>
        </w:rPr>
        <w:t xml:space="preserve"> pilnīga atvērtība trešo valstu dalībniekiem, ļaujot Eiropas</w:t>
      </w:r>
    </w:p>
    <w:p w:rsidR="00CF7774" w:rsidRPr="00D959C0" w:rsidRDefault="00CF7774" w:rsidP="00CF7774">
      <w:pPr>
        <w:autoSpaceDE w:val="0"/>
        <w:autoSpaceDN w:val="0"/>
        <w:adjustRightInd w:val="0"/>
        <w:rPr>
          <w:rFonts w:ascii="TimesNewRoman" w:eastAsiaTheme="minorHAnsi" w:hAnsi="TimesNewRoman" w:cs="TimesNewRoman"/>
          <w:sz w:val="28"/>
          <w:szCs w:val="28"/>
        </w:rPr>
      </w:pPr>
      <w:r w:rsidRPr="00D959C0">
        <w:rPr>
          <w:rFonts w:ascii="TimesNewRoman" w:eastAsiaTheme="minorHAnsi" w:hAnsi="TimesNewRoman" w:cs="TimesNewRoman"/>
          <w:sz w:val="28"/>
          <w:szCs w:val="28"/>
        </w:rPr>
        <w:t>pētniekiem sadarboties ar labākajiem prātiem visā pasaulē;</w:t>
      </w:r>
    </w:p>
    <w:p w:rsidR="00CF7774" w:rsidRPr="00D959C0" w:rsidRDefault="00CF7774" w:rsidP="00CF7774">
      <w:pPr>
        <w:autoSpaceDE w:val="0"/>
        <w:autoSpaceDN w:val="0"/>
        <w:adjustRightInd w:val="0"/>
        <w:jc w:val="both"/>
        <w:rPr>
          <w:rFonts w:ascii="TimesNewRoman" w:eastAsiaTheme="minorHAnsi" w:hAnsi="TimesNewRoman" w:cs="TimesNewRoman"/>
          <w:sz w:val="28"/>
          <w:szCs w:val="28"/>
        </w:rPr>
      </w:pPr>
      <w:r w:rsidRPr="00D959C0">
        <w:rPr>
          <w:rFonts w:ascii="TimesNewRoman" w:eastAsiaTheme="minorHAnsi" w:hAnsi="TimesNewRoman" w:cs="TimesNewRoman"/>
          <w:sz w:val="28"/>
          <w:szCs w:val="28"/>
        </w:rPr>
        <w:t>– mērķtiecīgas starptautiskās sadarbības pasākumi vajadzīgajā mērogā un darbības jomā, lai maksimāli palielinātu ietekmi;</w:t>
      </w:r>
    </w:p>
    <w:p w:rsidR="00CF7774" w:rsidRPr="00D959C0" w:rsidRDefault="00CF7774" w:rsidP="00CF7774">
      <w:pPr>
        <w:autoSpaceDE w:val="0"/>
        <w:autoSpaceDN w:val="0"/>
        <w:adjustRightInd w:val="0"/>
        <w:rPr>
          <w:rFonts w:ascii="TimesNewRoman" w:eastAsiaTheme="minorHAnsi" w:hAnsi="TimesNewRoman" w:cs="TimesNewRoman"/>
          <w:sz w:val="28"/>
          <w:szCs w:val="28"/>
        </w:rPr>
      </w:pPr>
      <w:r w:rsidRPr="00D959C0">
        <w:rPr>
          <w:rFonts w:ascii="TimesNewRoman" w:eastAsiaTheme="minorHAnsi" w:hAnsi="TimesNewRoman" w:cs="TimesNewRoman"/>
          <w:sz w:val="28"/>
          <w:szCs w:val="28"/>
        </w:rPr>
        <w:t>– daudzgadu plānu izstrāde sadarbībai ar galvenajām partnervalstīm un reģioniem;</w:t>
      </w:r>
    </w:p>
    <w:p w:rsidR="00CF7774" w:rsidRPr="00D959C0" w:rsidRDefault="00CF7774" w:rsidP="00CF7774">
      <w:pPr>
        <w:autoSpaceDE w:val="0"/>
        <w:autoSpaceDN w:val="0"/>
        <w:adjustRightInd w:val="0"/>
        <w:rPr>
          <w:rFonts w:ascii="TimesNewRoman" w:eastAsiaTheme="minorHAnsi" w:hAnsi="TimesNewRoman" w:cs="TimesNewRoman"/>
          <w:sz w:val="28"/>
          <w:szCs w:val="28"/>
        </w:rPr>
      </w:pPr>
      <w:r w:rsidRPr="00D959C0">
        <w:rPr>
          <w:rFonts w:ascii="TimesNewRoman" w:eastAsiaTheme="minorHAnsi" w:hAnsi="TimesNewRoman" w:cs="TimesNewRoman"/>
          <w:sz w:val="28"/>
          <w:szCs w:val="28"/>
        </w:rPr>
        <w:t>– partnerības stiprināšana starp EK, dalībvalstīm un attiecīgajām ieinteresētajām personām;</w:t>
      </w:r>
    </w:p>
    <w:p w:rsidR="00CF7774" w:rsidRPr="00D959C0" w:rsidRDefault="00CF7774" w:rsidP="00CF7774">
      <w:pPr>
        <w:autoSpaceDE w:val="0"/>
        <w:autoSpaceDN w:val="0"/>
        <w:adjustRightInd w:val="0"/>
        <w:rPr>
          <w:rFonts w:ascii="TimesNewRoman" w:eastAsiaTheme="minorHAnsi" w:hAnsi="TimesNewRoman" w:cs="TimesNewRoman"/>
          <w:sz w:val="28"/>
          <w:szCs w:val="28"/>
        </w:rPr>
      </w:pPr>
      <w:r w:rsidRPr="00D959C0">
        <w:rPr>
          <w:rFonts w:ascii="TimesNewRoman" w:eastAsiaTheme="minorHAnsi" w:hAnsi="TimesNewRoman" w:cs="TimesNewRoman"/>
          <w:sz w:val="28"/>
          <w:szCs w:val="28"/>
        </w:rPr>
        <w:t>– starptautiskās sadarbības pētniecībā un inovācijā kopēju principu veicināšana;</w:t>
      </w:r>
    </w:p>
    <w:p w:rsidR="00CF7774" w:rsidRPr="00D959C0" w:rsidRDefault="00CF7774" w:rsidP="00CF7774">
      <w:pPr>
        <w:autoSpaceDE w:val="0"/>
        <w:autoSpaceDN w:val="0"/>
        <w:adjustRightInd w:val="0"/>
        <w:rPr>
          <w:rFonts w:ascii="TimesNewRoman" w:eastAsiaTheme="minorHAnsi" w:hAnsi="TimesNewRoman" w:cs="TimesNewRoman"/>
          <w:sz w:val="28"/>
          <w:szCs w:val="28"/>
        </w:rPr>
      </w:pPr>
      <w:r w:rsidRPr="00D959C0">
        <w:rPr>
          <w:rFonts w:ascii="TimesNewRoman" w:eastAsiaTheme="minorHAnsi" w:hAnsi="TimesNewRoman" w:cs="TimesNewRoman"/>
          <w:sz w:val="28"/>
          <w:szCs w:val="28"/>
        </w:rPr>
        <w:lastRenderedPageBreak/>
        <w:t>– ES nozīmes palielināšana starptautiskajās organizācijās un daudzpusējos forumos;</w:t>
      </w:r>
    </w:p>
    <w:p w:rsidR="00CF7774" w:rsidRPr="00D959C0" w:rsidRDefault="00CF7774" w:rsidP="00CF7774">
      <w:pPr>
        <w:autoSpaceDE w:val="0"/>
        <w:autoSpaceDN w:val="0"/>
        <w:adjustRightInd w:val="0"/>
        <w:jc w:val="both"/>
        <w:rPr>
          <w:rFonts w:eastAsiaTheme="minorHAnsi"/>
          <w:b/>
          <w:iCs/>
          <w:color w:val="000000"/>
          <w:sz w:val="28"/>
          <w:szCs w:val="28"/>
        </w:rPr>
      </w:pPr>
      <w:r w:rsidRPr="00D959C0">
        <w:rPr>
          <w:rFonts w:ascii="TimesNewRoman" w:eastAsiaTheme="minorHAnsi" w:hAnsi="TimesNewRoman" w:cs="TimesNewRoman"/>
          <w:sz w:val="28"/>
          <w:szCs w:val="28"/>
        </w:rPr>
        <w:t>– īstenošanas, pārvaldības, uzraudzības un novērtēšanas stiprināšana.</w:t>
      </w:r>
    </w:p>
    <w:p w:rsidR="00CF7774" w:rsidRDefault="00CF7774" w:rsidP="00CF7774">
      <w:pPr>
        <w:jc w:val="both"/>
        <w:rPr>
          <w:rFonts w:eastAsiaTheme="minorHAnsi"/>
          <w:b/>
          <w:iCs/>
          <w:color w:val="000000"/>
        </w:rPr>
      </w:pPr>
    </w:p>
    <w:p w:rsidR="00CF7774" w:rsidRPr="00CF7774" w:rsidRDefault="00CF7774" w:rsidP="00CF7774">
      <w:pPr>
        <w:jc w:val="both"/>
        <w:rPr>
          <w:rFonts w:eastAsiaTheme="minorHAnsi"/>
          <w:iCs/>
          <w:color w:val="000000"/>
          <w:sz w:val="28"/>
          <w:szCs w:val="28"/>
        </w:rPr>
      </w:pPr>
      <w:r w:rsidRPr="00CF7774">
        <w:rPr>
          <w:rFonts w:eastAsiaTheme="minorHAnsi"/>
          <w:iCs/>
          <w:color w:val="000000"/>
          <w:sz w:val="28"/>
          <w:szCs w:val="28"/>
        </w:rPr>
        <w:t>Konkurētspējas ministru padomē 2012. gada 11. decembrī zinātnes ministriem paredzēta</w:t>
      </w:r>
      <w:r w:rsidRPr="00CF7774">
        <w:rPr>
          <w:rFonts w:eastAsiaTheme="minorHAnsi"/>
          <w:b/>
          <w:iCs/>
          <w:color w:val="000000"/>
          <w:sz w:val="28"/>
          <w:szCs w:val="28"/>
        </w:rPr>
        <w:t xml:space="preserve"> viedokļu apmaiņa </w:t>
      </w:r>
      <w:r w:rsidRPr="00CF7774">
        <w:rPr>
          <w:rFonts w:eastAsiaTheme="minorHAnsi"/>
          <w:iCs/>
          <w:color w:val="000000"/>
          <w:sz w:val="28"/>
          <w:szCs w:val="28"/>
        </w:rPr>
        <w:t xml:space="preserve">par Kipras prezidentūras izvirzītajiem jautājumiem par stratēģisko pieeju starptautiskajā sadarbībā: </w:t>
      </w:r>
    </w:p>
    <w:p w:rsidR="00CF7774" w:rsidRDefault="00CF7774" w:rsidP="00CF7774">
      <w:pPr>
        <w:ind w:left="567" w:hanging="567"/>
        <w:jc w:val="both"/>
        <w:rPr>
          <w:b/>
          <w:bCs/>
          <w:i/>
          <w:iCs/>
          <w:sz w:val="28"/>
          <w:szCs w:val="28"/>
        </w:rPr>
      </w:pPr>
    </w:p>
    <w:p w:rsidR="00CF7774" w:rsidRPr="00CF7774" w:rsidRDefault="00CF7774" w:rsidP="00CF7774">
      <w:pPr>
        <w:ind w:left="567" w:hanging="567"/>
        <w:jc w:val="both"/>
        <w:rPr>
          <w:sz w:val="28"/>
          <w:szCs w:val="28"/>
        </w:rPr>
      </w:pPr>
      <w:r w:rsidRPr="00CF7774">
        <w:rPr>
          <w:b/>
          <w:bCs/>
          <w:i/>
          <w:iCs/>
          <w:sz w:val="28"/>
          <w:szCs w:val="28"/>
        </w:rPr>
        <w:t>a)</w:t>
      </w:r>
      <w:r w:rsidRPr="00CF7774">
        <w:rPr>
          <w:b/>
          <w:bCs/>
          <w:i/>
          <w:iCs/>
          <w:sz w:val="28"/>
          <w:szCs w:val="28"/>
        </w:rPr>
        <w:tab/>
      </w:r>
      <w:r w:rsidRPr="00CF7774">
        <w:rPr>
          <w:bCs/>
          <w:i/>
          <w:iCs/>
          <w:sz w:val="28"/>
          <w:szCs w:val="28"/>
        </w:rPr>
        <w:t>Vai Jūs piekristu, ka jāpiemēro stratēģiskāka pieeja starptautiskai sadarbībai pētniecības un inovācijas jomā, pamatojoties uz dalībvalstu un Eiropas Savienības starptautiskas sadarbības stratēģijām?</w:t>
      </w:r>
    </w:p>
    <w:p w:rsidR="00CF7774" w:rsidRPr="00CF7774" w:rsidRDefault="00CF7774" w:rsidP="00CF7774">
      <w:pPr>
        <w:jc w:val="both"/>
        <w:rPr>
          <w:bCs/>
          <w:iCs/>
          <w:sz w:val="28"/>
          <w:szCs w:val="28"/>
        </w:rPr>
      </w:pPr>
      <w:r w:rsidRPr="00CF7774">
        <w:rPr>
          <w:b/>
          <w:bCs/>
          <w:iCs/>
          <w:sz w:val="28"/>
          <w:szCs w:val="28"/>
        </w:rPr>
        <w:t xml:space="preserve">Latvija novērtē </w:t>
      </w:r>
      <w:r w:rsidRPr="00CF7774">
        <w:rPr>
          <w:bCs/>
          <w:iCs/>
          <w:sz w:val="28"/>
          <w:szCs w:val="28"/>
        </w:rPr>
        <w:t>Komisijas ieguldījumu ES starptautiskās sadarbības pētniecībā un inovācijā veidošanā un stiprināšanā, kā arī atzinīgi vērtē Eiropas pētniecības un inovācijas instrumentu daudzveidību.</w:t>
      </w:r>
    </w:p>
    <w:p w:rsidR="00CF7774" w:rsidRPr="00CF7774" w:rsidRDefault="00CF7774" w:rsidP="00CF7774">
      <w:pPr>
        <w:jc w:val="both"/>
        <w:rPr>
          <w:bCs/>
          <w:iCs/>
          <w:sz w:val="28"/>
          <w:szCs w:val="28"/>
        </w:rPr>
      </w:pPr>
      <w:r w:rsidRPr="00CF7774">
        <w:rPr>
          <w:b/>
          <w:bCs/>
          <w:iCs/>
          <w:sz w:val="28"/>
          <w:szCs w:val="28"/>
        </w:rPr>
        <w:t>Latvija uzskata</w:t>
      </w:r>
      <w:r w:rsidRPr="00CF7774">
        <w:rPr>
          <w:bCs/>
          <w:iCs/>
          <w:sz w:val="28"/>
          <w:szCs w:val="28"/>
        </w:rPr>
        <w:t xml:space="preserve">, ka vienota, koordinēta stratēģiska pieeja pētniecībā un inovācijā varētu sekmēt kopējo Eiropas politisko, ekonomisko un arī pētniecības mērķu sasniegšanu. Koordinēti pasākumi un stratēģiska pieeja starptautiskajā sadarbībā pētniecības un inovācijas jomā varētu palīdzēt Eiropas valstīm veidot kopēju politiku, saskaņot kopīgas programmas un veidot kopīgus instrumentus pētniecībā un inovācijā. Tas palīdzētu saskaņotāk un sekmīgāk īstenot paredzētos mērķus, kā arī nodrošinātu administratīvo resursu loģiskāku izmantošanu un finanšu racionālu plānošanu. Jau esošie ES līmeņa starptautiskās sadarbības instrumenti liecina, ka šāda pieeja stratēģiskajai sadarbībai ir pareiza. </w:t>
      </w:r>
    </w:p>
    <w:p w:rsidR="00CF7774" w:rsidRPr="00CF7774" w:rsidRDefault="00CF7774" w:rsidP="00CF7774">
      <w:pPr>
        <w:jc w:val="both"/>
        <w:rPr>
          <w:bCs/>
          <w:iCs/>
          <w:sz w:val="28"/>
          <w:szCs w:val="28"/>
        </w:rPr>
      </w:pPr>
      <w:r w:rsidRPr="00CF7774">
        <w:rPr>
          <w:b/>
          <w:bCs/>
          <w:iCs/>
          <w:sz w:val="28"/>
          <w:szCs w:val="28"/>
        </w:rPr>
        <w:t>Vienlaikus Latvija norāda</w:t>
      </w:r>
      <w:r w:rsidRPr="00CF7774">
        <w:rPr>
          <w:bCs/>
          <w:iCs/>
          <w:sz w:val="28"/>
          <w:szCs w:val="28"/>
        </w:rPr>
        <w:t xml:space="preserve">, ka mazām dalībvalstīm ir ierobežota cilvēkresursu kapacitāte, lai pilnvērtīgi iesaistītos visos šādos sadarbības pasākumos, tāpēc tām ir rūpīgi </w:t>
      </w:r>
      <w:proofErr w:type="spellStart"/>
      <w:r w:rsidRPr="00CF7774">
        <w:rPr>
          <w:bCs/>
          <w:iCs/>
          <w:sz w:val="28"/>
          <w:szCs w:val="28"/>
        </w:rPr>
        <w:t>jāprioritizē</w:t>
      </w:r>
      <w:proofErr w:type="spellEnd"/>
      <w:r w:rsidRPr="00CF7774">
        <w:rPr>
          <w:bCs/>
          <w:iCs/>
          <w:sz w:val="28"/>
          <w:szCs w:val="28"/>
        </w:rPr>
        <w:t xml:space="preserve"> sava pētniecības un inovācijas pasākumu plānošana, lai varētu pilnvērtīgi iekļauties šādu </w:t>
      </w:r>
      <w:proofErr w:type="spellStart"/>
      <w:r w:rsidRPr="00CF7774">
        <w:rPr>
          <w:bCs/>
          <w:iCs/>
          <w:sz w:val="28"/>
          <w:szCs w:val="28"/>
        </w:rPr>
        <w:t>instrument</w:t>
      </w:r>
      <w:proofErr w:type="spellEnd"/>
      <w:r w:rsidRPr="00CF7774">
        <w:rPr>
          <w:bCs/>
          <w:iCs/>
          <w:sz w:val="28"/>
          <w:szCs w:val="28"/>
        </w:rPr>
        <w:t xml:space="preserve"> piedāvātajās iespējās.</w:t>
      </w:r>
    </w:p>
    <w:p w:rsidR="00CF7774" w:rsidRPr="00CF7774" w:rsidRDefault="00CF7774" w:rsidP="00CF7774">
      <w:pPr>
        <w:jc w:val="both"/>
        <w:rPr>
          <w:bCs/>
          <w:iCs/>
          <w:sz w:val="28"/>
          <w:szCs w:val="28"/>
        </w:rPr>
      </w:pPr>
    </w:p>
    <w:p w:rsidR="00CF7774" w:rsidRPr="00CF7774" w:rsidRDefault="00CF7774" w:rsidP="00CF7774">
      <w:pPr>
        <w:ind w:left="567" w:hanging="567"/>
        <w:jc w:val="both"/>
        <w:rPr>
          <w:sz w:val="28"/>
          <w:szCs w:val="28"/>
        </w:rPr>
      </w:pPr>
      <w:r w:rsidRPr="00CF7774">
        <w:rPr>
          <w:bCs/>
          <w:i/>
          <w:iCs/>
          <w:sz w:val="28"/>
          <w:szCs w:val="28"/>
        </w:rPr>
        <w:t>b)</w:t>
      </w:r>
      <w:r w:rsidRPr="00CF7774">
        <w:rPr>
          <w:bCs/>
          <w:i/>
          <w:iCs/>
          <w:sz w:val="28"/>
          <w:szCs w:val="28"/>
        </w:rPr>
        <w:tab/>
        <w:t xml:space="preserve">Vai Jūs piekristu ierosinātajam pārvaldības un īstenošanas procesam, saskaņā ar kuru īstenotu šādu stratēģisku pieeju starptautiskai sadarbībai un kas ietvertu daudzgadu plānu izstrādi sadarbībai ar </w:t>
      </w:r>
      <w:proofErr w:type="spellStart"/>
      <w:r w:rsidRPr="00CF7774">
        <w:rPr>
          <w:bCs/>
          <w:i/>
          <w:iCs/>
          <w:sz w:val="28"/>
          <w:szCs w:val="28"/>
        </w:rPr>
        <w:t>trešām</w:t>
      </w:r>
      <w:proofErr w:type="spellEnd"/>
      <w:r w:rsidRPr="00CF7774">
        <w:rPr>
          <w:bCs/>
          <w:i/>
          <w:iCs/>
          <w:sz w:val="28"/>
          <w:szCs w:val="28"/>
        </w:rPr>
        <w:t xml:space="preserve"> valstīm un reģioniem, pilnīgi izmantojot visu pamatprogrammas "Horizonts 2020" rīcībā esošo instrumentu spektru?</w:t>
      </w:r>
    </w:p>
    <w:p w:rsidR="00CF7774" w:rsidRPr="00CF7774" w:rsidRDefault="00CF7774" w:rsidP="00CF7774">
      <w:pPr>
        <w:jc w:val="both"/>
        <w:rPr>
          <w:sz w:val="28"/>
          <w:szCs w:val="28"/>
        </w:rPr>
      </w:pPr>
      <w:r w:rsidRPr="00CF7774">
        <w:rPr>
          <w:b/>
          <w:sz w:val="28"/>
          <w:szCs w:val="28"/>
        </w:rPr>
        <w:t>Latvija atbalsta</w:t>
      </w:r>
      <w:r w:rsidRPr="00CF7774">
        <w:rPr>
          <w:sz w:val="28"/>
          <w:szCs w:val="28"/>
        </w:rPr>
        <w:t xml:space="preserve"> trešo valstu iesaistīšanos sadarbības projektu īstenošanā Horizonts 2020 programmās un instrumentos. </w:t>
      </w:r>
    </w:p>
    <w:p w:rsidR="00CF7774" w:rsidRPr="00CF7774" w:rsidRDefault="00CF7774" w:rsidP="00CF7774">
      <w:pPr>
        <w:jc w:val="both"/>
        <w:rPr>
          <w:sz w:val="28"/>
          <w:szCs w:val="28"/>
        </w:rPr>
      </w:pPr>
      <w:r w:rsidRPr="00CF7774">
        <w:rPr>
          <w:b/>
          <w:sz w:val="28"/>
          <w:szCs w:val="28"/>
        </w:rPr>
        <w:t>Vienlaikus Latvija norāda</w:t>
      </w:r>
      <w:r w:rsidRPr="00CF7774">
        <w:rPr>
          <w:sz w:val="28"/>
          <w:szCs w:val="28"/>
        </w:rPr>
        <w:t xml:space="preserve">, ka būtu būtiski ne vien atvērt </w:t>
      </w:r>
      <w:r w:rsidRPr="00CF7774">
        <w:rPr>
          <w:rFonts w:eastAsiaTheme="minorHAnsi"/>
          <w:color w:val="000000"/>
          <w:sz w:val="28"/>
          <w:szCs w:val="28"/>
        </w:rPr>
        <w:t>Horizonts 2020 instrumentus trešajām valstīm, bet padarīt trešo valstu pētniecības un inovācijas programmas pieejamas ES pētniekiem. Latvija ierosina mainīt esošo situāciju, kad ES un trešo valstu sadarbība balstās uz vēsturiskiem blokiem un bilaterālām prioritātēm un orientēt sadarbību tieši Eiropas Komisijas vārdā.</w:t>
      </w:r>
    </w:p>
    <w:p w:rsidR="00CF7774" w:rsidRPr="00CF7774" w:rsidRDefault="00CF7774" w:rsidP="00CF7774">
      <w:pPr>
        <w:jc w:val="both"/>
        <w:rPr>
          <w:i/>
          <w:noProof/>
          <w:sz w:val="28"/>
          <w:szCs w:val="28"/>
        </w:rPr>
      </w:pPr>
      <w:r w:rsidRPr="00CF7774">
        <w:rPr>
          <w:b/>
          <w:sz w:val="28"/>
          <w:szCs w:val="28"/>
        </w:rPr>
        <w:t>Tāpēc vienlaikus Latvija vēlētos atzīmēt</w:t>
      </w:r>
      <w:r w:rsidRPr="00CF7774">
        <w:rPr>
          <w:sz w:val="28"/>
          <w:szCs w:val="28"/>
        </w:rPr>
        <w:t>, ka Horizonts 2020 primāri būtu jābūt atvērtam un pieejamam visu Eiropas reģionu un valstu pētniekiem un jādod ieguldījums Eiropas Pētniecības telpas attīstībā.</w:t>
      </w:r>
    </w:p>
    <w:p w:rsidR="00CF7774" w:rsidRDefault="00CF7774" w:rsidP="00231E0E">
      <w:pPr>
        <w:ind w:left="3686"/>
        <w:rPr>
          <w:i/>
          <w:noProof/>
        </w:rPr>
      </w:pPr>
    </w:p>
    <w:p w:rsidR="00CF7774" w:rsidRDefault="00CF7774" w:rsidP="00231E0E">
      <w:pPr>
        <w:ind w:left="3686"/>
        <w:rPr>
          <w:i/>
          <w:noProof/>
        </w:rPr>
      </w:pPr>
    </w:p>
    <w:p w:rsidR="00CF7774" w:rsidRDefault="00CF7774" w:rsidP="00231E0E">
      <w:pPr>
        <w:ind w:left="3686"/>
        <w:rPr>
          <w:i/>
          <w:noProof/>
        </w:rPr>
      </w:pPr>
    </w:p>
    <w:p w:rsidR="00CF7774" w:rsidRPr="00D8471B" w:rsidRDefault="00CF7774" w:rsidP="00231E0E">
      <w:pPr>
        <w:ind w:left="3686"/>
        <w:rPr>
          <w:i/>
        </w:rPr>
      </w:pPr>
    </w:p>
    <w:p w:rsidR="003E783D" w:rsidRDefault="003E783D" w:rsidP="00ED32C1">
      <w:pPr>
        <w:autoSpaceDE w:val="0"/>
        <w:autoSpaceDN w:val="0"/>
        <w:adjustRightInd w:val="0"/>
        <w:rPr>
          <w:rFonts w:ascii="TimesNewRoman,Bold" w:eastAsiaTheme="minorHAnsi" w:hAnsi="TimesNewRoman,Bold" w:cs="TimesNewRoman,Bold"/>
          <w:b/>
          <w:bCs/>
          <w:sz w:val="28"/>
          <w:szCs w:val="28"/>
        </w:rPr>
      </w:pPr>
    </w:p>
    <w:p w:rsidR="001D0305" w:rsidRPr="001D0305" w:rsidRDefault="001D0305" w:rsidP="001D0305">
      <w:pPr>
        <w:jc w:val="both"/>
        <w:rPr>
          <w:b/>
          <w:sz w:val="28"/>
          <w:szCs w:val="28"/>
        </w:rPr>
      </w:pPr>
      <w:r w:rsidRPr="001D0305">
        <w:rPr>
          <w:b/>
          <w:sz w:val="28"/>
          <w:szCs w:val="28"/>
        </w:rPr>
        <w:t>6. Komisijas paziņojums Padomei un Eiropas Parlamentam „Nepieciešamo attiecību izveide starp ES un Eiropas Kosmosa aģentūru” -</w:t>
      </w:r>
      <w:r w:rsidRPr="001D0305">
        <w:rPr>
          <w:b/>
          <w:sz w:val="28"/>
          <w:szCs w:val="28"/>
        </w:rPr>
        <w:tab/>
        <w:t xml:space="preserve"> </w:t>
      </w:r>
      <w:r w:rsidRPr="001D0305">
        <w:rPr>
          <w:b/>
          <w:noProof/>
          <w:sz w:val="28"/>
          <w:szCs w:val="28"/>
        </w:rPr>
        <w:t>Komisijas sniegta informācija un ministru viedokļu apmaiņa</w:t>
      </w:r>
    </w:p>
    <w:p w:rsidR="003E783D" w:rsidRDefault="003E783D" w:rsidP="003E783D">
      <w:pPr>
        <w:autoSpaceDE w:val="0"/>
        <w:autoSpaceDN w:val="0"/>
        <w:adjustRightInd w:val="0"/>
        <w:rPr>
          <w:rFonts w:ascii="Helv" w:eastAsia="Calibri" w:hAnsi="Helv" w:cs="Helv"/>
          <w:color w:val="000000"/>
        </w:rPr>
      </w:pPr>
    </w:p>
    <w:p w:rsidR="005C566B" w:rsidRPr="00374AD8" w:rsidRDefault="008A32F1" w:rsidP="005C566B">
      <w:pPr>
        <w:jc w:val="both"/>
        <w:rPr>
          <w:sz w:val="28"/>
          <w:szCs w:val="28"/>
        </w:rPr>
      </w:pPr>
      <w:r w:rsidRPr="00374AD8">
        <w:rPr>
          <w:sz w:val="28"/>
          <w:szCs w:val="28"/>
        </w:rPr>
        <w:t xml:space="preserve">2012. gada </w:t>
      </w:r>
      <w:r w:rsidR="005C566B" w:rsidRPr="00374AD8">
        <w:rPr>
          <w:sz w:val="28"/>
          <w:szCs w:val="28"/>
        </w:rPr>
        <w:t>20.-21.</w:t>
      </w:r>
      <w:r w:rsidRPr="00374AD8">
        <w:rPr>
          <w:sz w:val="28"/>
          <w:szCs w:val="28"/>
        </w:rPr>
        <w:t xml:space="preserve"> </w:t>
      </w:r>
      <w:r w:rsidR="005C566B" w:rsidRPr="00374AD8">
        <w:rPr>
          <w:sz w:val="28"/>
          <w:szCs w:val="28"/>
        </w:rPr>
        <w:t xml:space="preserve">novembrī Neapolē </w:t>
      </w:r>
      <w:r w:rsidRPr="00374AD8">
        <w:rPr>
          <w:sz w:val="28"/>
          <w:szCs w:val="28"/>
        </w:rPr>
        <w:t xml:space="preserve">(Itālijā) </w:t>
      </w:r>
      <w:r w:rsidR="005C566B" w:rsidRPr="00374AD8">
        <w:rPr>
          <w:sz w:val="28"/>
          <w:szCs w:val="28"/>
        </w:rPr>
        <w:t xml:space="preserve">notika Eiropas Kosmosa aģentūras (EKA) Padome ministru līmenī. EKA Ministru padomes galvenais uzdevums ir atskaitīties par EKA iepriekšējos 4 gados sasniegto, kā arī vienoties par turpmākajām prioritātēm kosmosa industriālās attīstības jomā. Ministru Padomes laikā EKA dalībvalstu ministri uzsvēra gatavību uzsākt pārdomas par turpmāko EKA attīstību, lai nodrošinātu saskaņotību starp EKA un ES. </w:t>
      </w:r>
    </w:p>
    <w:p w:rsidR="005C566B" w:rsidRPr="00374AD8" w:rsidRDefault="005C566B" w:rsidP="005C566B">
      <w:pPr>
        <w:jc w:val="both"/>
        <w:rPr>
          <w:b/>
          <w:sz w:val="28"/>
          <w:szCs w:val="28"/>
        </w:rPr>
      </w:pPr>
      <w:r w:rsidRPr="00374AD8">
        <w:rPr>
          <w:sz w:val="28"/>
          <w:szCs w:val="28"/>
        </w:rPr>
        <w:t xml:space="preserve">Tā ietvaros </w:t>
      </w:r>
      <w:r w:rsidR="00374AD8">
        <w:rPr>
          <w:sz w:val="28"/>
          <w:szCs w:val="28"/>
        </w:rPr>
        <w:t>E</w:t>
      </w:r>
      <w:r w:rsidRPr="00374AD8">
        <w:rPr>
          <w:sz w:val="28"/>
          <w:szCs w:val="28"/>
        </w:rPr>
        <w:t xml:space="preserve">K ir nākusi klajā ar </w:t>
      </w:r>
      <w:r w:rsidR="00374AD8">
        <w:rPr>
          <w:sz w:val="28"/>
          <w:szCs w:val="28"/>
        </w:rPr>
        <w:t>E</w:t>
      </w:r>
      <w:r w:rsidRPr="00374AD8">
        <w:rPr>
          <w:sz w:val="28"/>
          <w:szCs w:val="28"/>
        </w:rPr>
        <w:t>K komunikāciju Padomei un Eiropas parlamentam par atbilstošu attiecību izveidošanu starp ES un EKA.</w:t>
      </w:r>
      <w:r w:rsidR="00CF7CF7">
        <w:rPr>
          <w:sz w:val="28"/>
          <w:szCs w:val="28"/>
        </w:rPr>
        <w:t xml:space="preserve"> </w:t>
      </w:r>
      <w:r w:rsidR="00374AD8">
        <w:rPr>
          <w:sz w:val="28"/>
          <w:szCs w:val="28"/>
        </w:rPr>
        <w:t>E</w:t>
      </w:r>
      <w:r w:rsidRPr="00374AD8">
        <w:rPr>
          <w:sz w:val="28"/>
          <w:szCs w:val="28"/>
        </w:rPr>
        <w:t xml:space="preserve">K uzsver ES arvien lielāko lomu kosmosa jomas saimniecībā Eiropā pateicoties tās programmām – EGNOS, Galileo, GMES un kosmosa pētniecībai </w:t>
      </w:r>
      <w:r w:rsidR="00374AD8">
        <w:rPr>
          <w:sz w:val="28"/>
          <w:szCs w:val="28"/>
        </w:rPr>
        <w:t xml:space="preserve">7. </w:t>
      </w:r>
      <w:r w:rsidRPr="00374AD8">
        <w:rPr>
          <w:sz w:val="28"/>
          <w:szCs w:val="28"/>
        </w:rPr>
        <w:t xml:space="preserve">IP ietvaros. Savukārt šī pieaugošā loma iet roku rokā ar attiecībām ar EKA, kas pilnībā neatkarīga no ES un tās galvenā misija ir īstenot kopējas kosmosa programmas, lai veidotu sadarbību starp tās dalībvalstīm. </w:t>
      </w:r>
    </w:p>
    <w:p w:rsidR="005C566B" w:rsidRPr="00374AD8" w:rsidRDefault="005C566B" w:rsidP="005C566B">
      <w:pPr>
        <w:jc w:val="both"/>
        <w:rPr>
          <w:sz w:val="28"/>
          <w:szCs w:val="28"/>
        </w:rPr>
      </w:pPr>
      <w:r w:rsidRPr="00374AD8">
        <w:rPr>
          <w:sz w:val="28"/>
          <w:szCs w:val="28"/>
        </w:rPr>
        <w:t>ES un EKA attiecības balstās uz 2004.</w:t>
      </w:r>
      <w:r w:rsidR="00374AD8">
        <w:rPr>
          <w:sz w:val="28"/>
          <w:szCs w:val="28"/>
        </w:rPr>
        <w:t xml:space="preserve"> </w:t>
      </w:r>
      <w:r w:rsidRPr="00374AD8">
        <w:rPr>
          <w:sz w:val="28"/>
          <w:szCs w:val="28"/>
        </w:rPr>
        <w:t>gadā noslēgto un līdz 2016.</w:t>
      </w:r>
      <w:r w:rsidR="00374AD8">
        <w:rPr>
          <w:sz w:val="28"/>
          <w:szCs w:val="28"/>
        </w:rPr>
        <w:t xml:space="preserve"> </w:t>
      </w:r>
      <w:r w:rsidRPr="00374AD8">
        <w:rPr>
          <w:sz w:val="28"/>
          <w:szCs w:val="28"/>
        </w:rPr>
        <w:t>gadam pagarināto Ietvara līgumu, kas ir tiesiskais ietvars programmatiskai sadarbībai starp ES un EU, tai skaitā Galileo un GMES programmās. Lisabonas līguma 189.</w:t>
      </w:r>
      <w:r w:rsidR="00374AD8">
        <w:rPr>
          <w:sz w:val="28"/>
          <w:szCs w:val="28"/>
        </w:rPr>
        <w:t xml:space="preserve"> </w:t>
      </w:r>
      <w:r w:rsidRPr="00374AD8">
        <w:rPr>
          <w:sz w:val="28"/>
          <w:szCs w:val="28"/>
        </w:rPr>
        <w:t>pants nosaka ES kompetenci kosmosa jomā un nepieciešamību izveidot atbilstošas attiecības ar EKA. 2001.</w:t>
      </w:r>
      <w:r w:rsidR="00374AD8">
        <w:rPr>
          <w:sz w:val="28"/>
          <w:szCs w:val="28"/>
        </w:rPr>
        <w:t xml:space="preserve"> </w:t>
      </w:r>
      <w:r w:rsidRPr="00374AD8">
        <w:rPr>
          <w:sz w:val="28"/>
          <w:szCs w:val="28"/>
        </w:rPr>
        <w:t xml:space="preserve">gada 4.aprīlī </w:t>
      </w:r>
      <w:r w:rsidR="00374AD8">
        <w:rPr>
          <w:sz w:val="28"/>
          <w:szCs w:val="28"/>
        </w:rPr>
        <w:t>E</w:t>
      </w:r>
      <w:r w:rsidRPr="00374AD8">
        <w:rPr>
          <w:sz w:val="28"/>
          <w:szCs w:val="28"/>
        </w:rPr>
        <w:t xml:space="preserve">K izstrādāja komunikāciju „Pretim Eiropas savienības kosmosa stratēģijai no kā iegūst tās pilsoņi” apzinoties kosmosa būtisko lomu ekonomikai un sabiedrībai. </w:t>
      </w:r>
    </w:p>
    <w:p w:rsidR="005C566B" w:rsidRPr="008A32F1" w:rsidRDefault="005C566B" w:rsidP="005C566B">
      <w:pPr>
        <w:jc w:val="both"/>
        <w:rPr>
          <w:sz w:val="24"/>
          <w:szCs w:val="24"/>
        </w:rPr>
      </w:pPr>
      <w:r w:rsidRPr="00374AD8">
        <w:rPr>
          <w:sz w:val="28"/>
          <w:szCs w:val="28"/>
        </w:rPr>
        <w:t>2012.</w:t>
      </w:r>
      <w:r w:rsidR="00374AD8">
        <w:rPr>
          <w:sz w:val="28"/>
          <w:szCs w:val="28"/>
        </w:rPr>
        <w:t xml:space="preserve"> </w:t>
      </w:r>
      <w:r w:rsidRPr="00374AD8">
        <w:rPr>
          <w:sz w:val="28"/>
          <w:szCs w:val="28"/>
        </w:rPr>
        <w:t>gada 14.</w:t>
      </w:r>
      <w:r w:rsidR="00374AD8">
        <w:rPr>
          <w:sz w:val="28"/>
          <w:szCs w:val="28"/>
        </w:rPr>
        <w:t xml:space="preserve"> </w:t>
      </w:r>
      <w:r w:rsidRPr="00374AD8">
        <w:rPr>
          <w:sz w:val="28"/>
          <w:szCs w:val="28"/>
        </w:rPr>
        <w:t xml:space="preserve">novembrī </w:t>
      </w:r>
      <w:r w:rsidR="00374AD8">
        <w:rPr>
          <w:sz w:val="28"/>
          <w:szCs w:val="28"/>
        </w:rPr>
        <w:t>E</w:t>
      </w:r>
      <w:r w:rsidRPr="00374AD8">
        <w:rPr>
          <w:sz w:val="28"/>
          <w:szCs w:val="28"/>
        </w:rPr>
        <w:t xml:space="preserve">K apstiprināja </w:t>
      </w:r>
      <w:r w:rsidR="00374AD8">
        <w:rPr>
          <w:sz w:val="28"/>
          <w:szCs w:val="28"/>
        </w:rPr>
        <w:t>paziņojumu Padomei un Eiropas P</w:t>
      </w:r>
      <w:r w:rsidRPr="00374AD8">
        <w:rPr>
          <w:sz w:val="28"/>
          <w:szCs w:val="28"/>
        </w:rPr>
        <w:t>arlamentam par atbilstošu attiecību izveidošanu starp ES un EK</w:t>
      </w:r>
      <w:r w:rsidR="00374AD8">
        <w:rPr>
          <w:sz w:val="28"/>
          <w:szCs w:val="28"/>
        </w:rPr>
        <w:t>A</w:t>
      </w:r>
      <w:r w:rsidRPr="00374AD8">
        <w:rPr>
          <w:sz w:val="28"/>
          <w:szCs w:val="28"/>
        </w:rPr>
        <w:t>, kura uzrunā nepieciešamību pēc lielākas darba efektivitātes, simetrijas aizsardzības un drošības jautājumos, politisko koordināciju un atbildību. Tā iesaka</w:t>
      </w:r>
      <w:r w:rsidR="00CF7CF7">
        <w:rPr>
          <w:sz w:val="28"/>
          <w:szCs w:val="28"/>
        </w:rPr>
        <w:t xml:space="preserve"> d</w:t>
      </w:r>
      <w:r w:rsidRPr="00374AD8">
        <w:rPr>
          <w:sz w:val="28"/>
          <w:szCs w:val="28"/>
        </w:rPr>
        <w:t>alībvalstīm no</w:t>
      </w:r>
      <w:r w:rsidR="00CF7CF7">
        <w:rPr>
          <w:sz w:val="28"/>
          <w:szCs w:val="28"/>
        </w:rPr>
        <w:t>teikt</w:t>
      </w:r>
      <w:r w:rsidRPr="00374AD8">
        <w:rPr>
          <w:sz w:val="28"/>
          <w:szCs w:val="28"/>
        </w:rPr>
        <w:t xml:space="preserve"> precīz</w:t>
      </w:r>
      <w:r w:rsidR="00CF7CF7">
        <w:rPr>
          <w:sz w:val="28"/>
          <w:szCs w:val="28"/>
        </w:rPr>
        <w:t>u</w:t>
      </w:r>
      <w:r w:rsidRPr="00374AD8">
        <w:rPr>
          <w:sz w:val="28"/>
          <w:szCs w:val="28"/>
        </w:rPr>
        <w:t xml:space="preserve"> mērķa datum</w:t>
      </w:r>
      <w:r w:rsidR="00CF7CF7">
        <w:rPr>
          <w:sz w:val="28"/>
          <w:szCs w:val="28"/>
        </w:rPr>
        <w:t>u</w:t>
      </w:r>
      <w:r w:rsidRPr="00374AD8">
        <w:rPr>
          <w:sz w:val="28"/>
          <w:szCs w:val="28"/>
        </w:rPr>
        <w:t xml:space="preserve"> starp 2020 un 2025</w:t>
      </w:r>
      <w:r w:rsidR="00CF7CF7">
        <w:rPr>
          <w:sz w:val="28"/>
          <w:szCs w:val="28"/>
        </w:rPr>
        <w:t>.gadu</w:t>
      </w:r>
      <w:r w:rsidRPr="00374AD8">
        <w:rPr>
          <w:sz w:val="28"/>
          <w:szCs w:val="28"/>
        </w:rPr>
        <w:t xml:space="preserve"> attiecību atjaunošanai</w:t>
      </w:r>
      <w:r w:rsidR="00CF7CF7">
        <w:rPr>
          <w:sz w:val="28"/>
          <w:szCs w:val="28"/>
        </w:rPr>
        <w:t>.</w:t>
      </w:r>
    </w:p>
    <w:p w:rsidR="005C566B" w:rsidRPr="008A32F1" w:rsidRDefault="005C566B" w:rsidP="005C566B">
      <w:pPr>
        <w:jc w:val="both"/>
        <w:rPr>
          <w:b/>
          <w:sz w:val="24"/>
          <w:szCs w:val="24"/>
        </w:rPr>
      </w:pPr>
      <w:r w:rsidRPr="008A32F1">
        <w:rPr>
          <w:b/>
          <w:vanish/>
          <w:sz w:val="24"/>
          <w:szCs w:val="24"/>
        </w:rPr>
        <w:cr/>
        <w:t>bai.  lomu ekonomikai un sabiedrnci kosmosa jom ment</w:t>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r w:rsidRPr="008A32F1">
        <w:rPr>
          <w:b/>
          <w:vanish/>
          <w:sz w:val="24"/>
          <w:szCs w:val="24"/>
        </w:rPr>
        <w:pgNum/>
      </w:r>
    </w:p>
    <w:p w:rsidR="005C566B" w:rsidRPr="00CF7CF7" w:rsidRDefault="005C566B" w:rsidP="005C566B">
      <w:pPr>
        <w:jc w:val="both"/>
        <w:rPr>
          <w:bCs/>
          <w:sz w:val="28"/>
          <w:szCs w:val="28"/>
        </w:rPr>
      </w:pPr>
      <w:bookmarkStart w:id="1" w:name="subhead1"/>
      <w:bookmarkEnd w:id="1"/>
      <w:r w:rsidRPr="00CF7CF7">
        <w:rPr>
          <w:bCs/>
          <w:sz w:val="28"/>
          <w:szCs w:val="28"/>
        </w:rPr>
        <w:t>Konkurētspējas ministru padom</w:t>
      </w:r>
      <w:r w:rsidR="00374AD8" w:rsidRPr="00CF7CF7">
        <w:rPr>
          <w:bCs/>
          <w:sz w:val="28"/>
          <w:szCs w:val="28"/>
        </w:rPr>
        <w:t xml:space="preserve">ē </w:t>
      </w:r>
      <w:r w:rsidRPr="00CF7CF7">
        <w:rPr>
          <w:bCs/>
          <w:sz w:val="28"/>
          <w:szCs w:val="28"/>
        </w:rPr>
        <w:t>2012.</w:t>
      </w:r>
      <w:r w:rsidR="00374AD8" w:rsidRPr="00CF7CF7">
        <w:rPr>
          <w:bCs/>
          <w:sz w:val="28"/>
          <w:szCs w:val="28"/>
        </w:rPr>
        <w:t xml:space="preserve"> </w:t>
      </w:r>
      <w:r w:rsidRPr="00CF7CF7">
        <w:rPr>
          <w:bCs/>
          <w:sz w:val="28"/>
          <w:szCs w:val="28"/>
        </w:rPr>
        <w:t>gada 11.</w:t>
      </w:r>
      <w:r w:rsidR="00CF7CF7">
        <w:rPr>
          <w:bCs/>
          <w:sz w:val="28"/>
          <w:szCs w:val="28"/>
        </w:rPr>
        <w:t xml:space="preserve"> </w:t>
      </w:r>
      <w:r w:rsidRPr="00CF7CF7">
        <w:rPr>
          <w:bCs/>
          <w:sz w:val="28"/>
          <w:szCs w:val="28"/>
        </w:rPr>
        <w:t xml:space="preserve">decembra sanāksmes laikā </w:t>
      </w:r>
      <w:r w:rsidR="00374AD8" w:rsidRPr="00CF7CF7">
        <w:rPr>
          <w:bCs/>
          <w:sz w:val="28"/>
          <w:szCs w:val="28"/>
        </w:rPr>
        <w:t xml:space="preserve">zinātnes ministri </w:t>
      </w:r>
      <w:r w:rsidRPr="00CF7CF7">
        <w:rPr>
          <w:bCs/>
          <w:sz w:val="28"/>
          <w:szCs w:val="28"/>
        </w:rPr>
        <w:t xml:space="preserve">tiks aicināti </w:t>
      </w:r>
      <w:r w:rsidRPr="00374AD8">
        <w:rPr>
          <w:b/>
          <w:bCs/>
          <w:sz w:val="28"/>
          <w:szCs w:val="28"/>
        </w:rPr>
        <w:t xml:space="preserve">izteikt viedokli </w:t>
      </w:r>
      <w:r w:rsidRPr="00CF7CF7">
        <w:rPr>
          <w:bCs/>
          <w:sz w:val="28"/>
          <w:szCs w:val="28"/>
        </w:rPr>
        <w:t xml:space="preserve">par šādiem jautājumiem:  </w:t>
      </w:r>
    </w:p>
    <w:p w:rsidR="005C566B" w:rsidRPr="00CF7CF7" w:rsidRDefault="005C566B" w:rsidP="005C566B"/>
    <w:p w:rsidR="005C566B" w:rsidRPr="00C549BB" w:rsidRDefault="005C566B" w:rsidP="00374AD8">
      <w:pPr>
        <w:pStyle w:val="ListParagraph"/>
        <w:numPr>
          <w:ilvl w:val="0"/>
          <w:numId w:val="13"/>
        </w:numPr>
        <w:spacing w:after="0" w:line="240" w:lineRule="auto"/>
        <w:jc w:val="both"/>
        <w:rPr>
          <w:i/>
          <w:sz w:val="28"/>
          <w:szCs w:val="28"/>
        </w:rPr>
      </w:pPr>
      <w:r w:rsidRPr="00C549BB">
        <w:rPr>
          <w:i/>
          <w:sz w:val="28"/>
          <w:szCs w:val="28"/>
        </w:rPr>
        <w:t>Vai Jūs uzskatāt, ka patreizējās ES un EKA attiecības ir efektīvas un adekvāti atspoguļo ES mērķus un izaicinājumus kosmosa politikā</w:t>
      </w:r>
      <w:r w:rsidR="00C549BB">
        <w:rPr>
          <w:i/>
          <w:sz w:val="28"/>
          <w:szCs w:val="28"/>
        </w:rPr>
        <w:t>?</w:t>
      </w:r>
      <w:r w:rsidRPr="00C549BB">
        <w:rPr>
          <w:i/>
          <w:sz w:val="28"/>
          <w:szCs w:val="28"/>
        </w:rPr>
        <w:t xml:space="preserve">  </w:t>
      </w:r>
    </w:p>
    <w:p w:rsidR="00374AD8" w:rsidRPr="000B52AE" w:rsidRDefault="005C566B" w:rsidP="000B52AE">
      <w:pPr>
        <w:jc w:val="both"/>
        <w:rPr>
          <w:sz w:val="28"/>
          <w:szCs w:val="28"/>
        </w:rPr>
      </w:pPr>
      <w:r w:rsidRPr="00C03B93">
        <w:rPr>
          <w:b/>
          <w:sz w:val="28"/>
          <w:szCs w:val="28"/>
        </w:rPr>
        <w:t>Latvija</w:t>
      </w:r>
      <w:r w:rsidRPr="000B52AE">
        <w:rPr>
          <w:sz w:val="28"/>
          <w:szCs w:val="28"/>
        </w:rPr>
        <w:t xml:space="preserve"> šobrīd ir ES dalībvalsts, bet </w:t>
      </w:r>
      <w:r w:rsidRPr="00C03B93">
        <w:rPr>
          <w:b/>
          <w:sz w:val="28"/>
          <w:szCs w:val="28"/>
        </w:rPr>
        <w:t>vēl nav EKA dalībvalsts</w:t>
      </w:r>
      <w:r w:rsidR="00374AD8" w:rsidRPr="000B52AE">
        <w:rPr>
          <w:sz w:val="28"/>
          <w:szCs w:val="28"/>
        </w:rPr>
        <w:t>,</w:t>
      </w:r>
      <w:r w:rsidRPr="000B52AE">
        <w:rPr>
          <w:sz w:val="28"/>
          <w:szCs w:val="28"/>
        </w:rPr>
        <w:t xml:space="preserve"> līdz ar to L</w:t>
      </w:r>
      <w:r w:rsidR="00374AD8" w:rsidRPr="000B52AE">
        <w:rPr>
          <w:sz w:val="28"/>
          <w:szCs w:val="28"/>
        </w:rPr>
        <w:t>atvija</w:t>
      </w:r>
      <w:r w:rsidRPr="000B52AE">
        <w:rPr>
          <w:sz w:val="28"/>
          <w:szCs w:val="28"/>
        </w:rPr>
        <w:t xml:space="preserve"> nav pārstāvēta EKA Padomē</w:t>
      </w:r>
      <w:r w:rsidR="00374AD8" w:rsidRPr="000B52AE">
        <w:rPr>
          <w:sz w:val="28"/>
          <w:szCs w:val="28"/>
        </w:rPr>
        <w:t xml:space="preserve"> un</w:t>
      </w:r>
      <w:r w:rsidRPr="000B52AE">
        <w:rPr>
          <w:color w:val="0000FF"/>
          <w:sz w:val="28"/>
          <w:szCs w:val="28"/>
        </w:rPr>
        <w:t xml:space="preserve"> </w:t>
      </w:r>
      <w:r w:rsidRPr="000B52AE">
        <w:rPr>
          <w:sz w:val="28"/>
          <w:szCs w:val="28"/>
        </w:rPr>
        <w:t>L</w:t>
      </w:r>
      <w:r w:rsidR="00374AD8" w:rsidRPr="000B52AE">
        <w:rPr>
          <w:sz w:val="28"/>
          <w:szCs w:val="28"/>
        </w:rPr>
        <w:t>atvijai</w:t>
      </w:r>
      <w:r w:rsidRPr="000B52AE">
        <w:rPr>
          <w:sz w:val="28"/>
          <w:szCs w:val="28"/>
        </w:rPr>
        <w:t xml:space="preserve"> vēl nav lielas iespējas vērtēt lēmumu pieņemšanas procesu EKA, </w:t>
      </w:r>
      <w:r w:rsidR="00374AD8" w:rsidRPr="000B52AE">
        <w:rPr>
          <w:sz w:val="28"/>
          <w:szCs w:val="28"/>
        </w:rPr>
        <w:t>kā arī</w:t>
      </w:r>
      <w:r w:rsidRPr="000B52AE">
        <w:rPr>
          <w:sz w:val="28"/>
          <w:szCs w:val="28"/>
        </w:rPr>
        <w:t xml:space="preserve"> Latvijas rīcībā nav pilnas informācijas, lai spriestu ES un EKA attiecību efektivitāti. </w:t>
      </w:r>
    </w:p>
    <w:p w:rsidR="00374AD8" w:rsidRPr="000B52AE" w:rsidRDefault="005C566B" w:rsidP="000B52AE">
      <w:pPr>
        <w:jc w:val="both"/>
        <w:rPr>
          <w:sz w:val="28"/>
          <w:szCs w:val="28"/>
        </w:rPr>
      </w:pPr>
      <w:r w:rsidRPr="000B52AE">
        <w:rPr>
          <w:sz w:val="28"/>
          <w:szCs w:val="28"/>
        </w:rPr>
        <w:t>Tikai 2009.</w:t>
      </w:r>
      <w:r w:rsidR="00374AD8" w:rsidRPr="000B52AE">
        <w:rPr>
          <w:sz w:val="28"/>
          <w:szCs w:val="28"/>
        </w:rPr>
        <w:t xml:space="preserve"> </w:t>
      </w:r>
      <w:r w:rsidRPr="000B52AE">
        <w:rPr>
          <w:sz w:val="28"/>
          <w:szCs w:val="28"/>
        </w:rPr>
        <w:t xml:space="preserve">gada decembrī pēc Lisabonas līguma stāšanās spēkā ES ir noformulējusi </w:t>
      </w:r>
      <w:r w:rsidR="00374AD8" w:rsidRPr="000B52AE">
        <w:rPr>
          <w:sz w:val="28"/>
          <w:szCs w:val="28"/>
        </w:rPr>
        <w:t xml:space="preserve">savu </w:t>
      </w:r>
      <w:r w:rsidRPr="000B52AE">
        <w:rPr>
          <w:sz w:val="28"/>
          <w:szCs w:val="28"/>
        </w:rPr>
        <w:t xml:space="preserve">attieksmi pret kosmosu, savukārt EKA kosmosa kompetence </w:t>
      </w:r>
      <w:r w:rsidRPr="000B52AE">
        <w:rPr>
          <w:sz w:val="28"/>
          <w:szCs w:val="28"/>
        </w:rPr>
        <w:lastRenderedPageBreak/>
        <w:t>jau ir kopš 1975.</w:t>
      </w:r>
      <w:r w:rsidR="004A58E6" w:rsidRPr="000B52AE">
        <w:rPr>
          <w:sz w:val="28"/>
          <w:szCs w:val="28"/>
        </w:rPr>
        <w:t xml:space="preserve"> </w:t>
      </w:r>
      <w:r w:rsidRPr="000B52AE">
        <w:rPr>
          <w:sz w:val="28"/>
          <w:szCs w:val="28"/>
        </w:rPr>
        <w:t xml:space="preserve">gada. No tā </w:t>
      </w:r>
      <w:r w:rsidR="00374AD8" w:rsidRPr="000B52AE">
        <w:rPr>
          <w:sz w:val="28"/>
          <w:szCs w:val="28"/>
        </w:rPr>
        <w:t xml:space="preserve">var </w:t>
      </w:r>
      <w:r w:rsidRPr="000B52AE">
        <w:rPr>
          <w:sz w:val="28"/>
          <w:szCs w:val="28"/>
        </w:rPr>
        <w:t>secin</w:t>
      </w:r>
      <w:r w:rsidR="00374AD8" w:rsidRPr="000B52AE">
        <w:rPr>
          <w:sz w:val="28"/>
          <w:szCs w:val="28"/>
        </w:rPr>
        <w:t>ā</w:t>
      </w:r>
      <w:r w:rsidRPr="000B52AE">
        <w:rPr>
          <w:sz w:val="28"/>
          <w:szCs w:val="28"/>
        </w:rPr>
        <w:t>t, ka EKA  kosmosa kompetence ir daudz lielāka</w:t>
      </w:r>
      <w:r w:rsidR="00374AD8" w:rsidRPr="000B52AE">
        <w:rPr>
          <w:sz w:val="28"/>
          <w:szCs w:val="28"/>
        </w:rPr>
        <w:t>,</w:t>
      </w:r>
      <w:r w:rsidRPr="000B52AE">
        <w:rPr>
          <w:sz w:val="28"/>
          <w:szCs w:val="28"/>
        </w:rPr>
        <w:t xml:space="preserve"> un tas ir jāņem vērā arī šīs </w:t>
      </w:r>
      <w:r w:rsidR="00374AD8" w:rsidRPr="000B52AE">
        <w:rPr>
          <w:sz w:val="28"/>
          <w:szCs w:val="28"/>
        </w:rPr>
        <w:t>E</w:t>
      </w:r>
      <w:r w:rsidRPr="000B52AE">
        <w:rPr>
          <w:sz w:val="28"/>
          <w:szCs w:val="28"/>
        </w:rPr>
        <w:t xml:space="preserve">K komunikācijas ietvaros. </w:t>
      </w:r>
    </w:p>
    <w:p w:rsidR="005C566B" w:rsidRPr="000B52AE" w:rsidRDefault="00374AD8" w:rsidP="000B52AE">
      <w:pPr>
        <w:jc w:val="both"/>
        <w:rPr>
          <w:sz w:val="28"/>
          <w:szCs w:val="28"/>
        </w:rPr>
      </w:pPr>
      <w:r w:rsidRPr="00054122">
        <w:rPr>
          <w:b/>
          <w:sz w:val="28"/>
          <w:szCs w:val="28"/>
        </w:rPr>
        <w:t xml:space="preserve">Tāpēc </w:t>
      </w:r>
      <w:r w:rsidR="005C566B" w:rsidRPr="00054122">
        <w:rPr>
          <w:b/>
          <w:sz w:val="28"/>
          <w:szCs w:val="28"/>
        </w:rPr>
        <w:t>Latvija uzskata</w:t>
      </w:r>
      <w:r w:rsidR="005C566B" w:rsidRPr="000B52AE">
        <w:rPr>
          <w:sz w:val="28"/>
          <w:szCs w:val="28"/>
        </w:rPr>
        <w:t xml:space="preserve">, ka saskaņā ar pieejamo informāciju ES un EKA attiecības ir pietiekami efektīvas, tomēr ņemot vērā, ka EKA un ES ir 90% kopīgu dalībvalstu, kā arī kopējos mērķus kosmosa tehnoloģiju attīstībai Eiropas iedzīvotāju labā ir jādara viss iespējamais, lai attiecības starp ES un EKA būtu vēl efektīvākas un vienkāršākas. </w:t>
      </w:r>
    </w:p>
    <w:p w:rsidR="005C566B" w:rsidRPr="003E783D" w:rsidRDefault="005C566B" w:rsidP="00374AD8">
      <w:pPr>
        <w:ind w:left="567" w:hanging="567"/>
        <w:jc w:val="both"/>
        <w:rPr>
          <w:b/>
          <w:sz w:val="28"/>
          <w:szCs w:val="28"/>
        </w:rPr>
      </w:pPr>
    </w:p>
    <w:p w:rsidR="008A32F1" w:rsidRPr="00C549BB" w:rsidRDefault="005C566B" w:rsidP="007003F9">
      <w:pPr>
        <w:pStyle w:val="ListParagraph"/>
        <w:numPr>
          <w:ilvl w:val="0"/>
          <w:numId w:val="13"/>
        </w:numPr>
        <w:spacing w:after="0" w:line="240" w:lineRule="auto"/>
        <w:ind w:left="924" w:hanging="357"/>
        <w:jc w:val="both"/>
        <w:rPr>
          <w:i/>
          <w:sz w:val="28"/>
          <w:szCs w:val="28"/>
        </w:rPr>
      </w:pPr>
      <w:r w:rsidRPr="00C549BB">
        <w:rPr>
          <w:i/>
          <w:sz w:val="28"/>
          <w:szCs w:val="28"/>
        </w:rPr>
        <w:t>Vai Jūs piekrītat ilgtermiņa mērķim atjaunot EKA attiecības ar ES</w:t>
      </w:r>
      <w:r w:rsidR="00374AD8" w:rsidRPr="00C549BB">
        <w:rPr>
          <w:i/>
          <w:sz w:val="28"/>
          <w:szCs w:val="28"/>
        </w:rPr>
        <w:t xml:space="preserve"> </w:t>
      </w:r>
      <w:r w:rsidRPr="00C549BB">
        <w:rPr>
          <w:i/>
          <w:sz w:val="28"/>
          <w:szCs w:val="28"/>
        </w:rPr>
        <w:t xml:space="preserve">un kuru no trim EK minētajām iespējām (lielāka darba efektivitāte; simetrija aizsardzības un drošības jautājumos; politiskā koordinācija un atbildība) Jūs uzskatām par visatbilstošāko? </w:t>
      </w:r>
    </w:p>
    <w:p w:rsidR="008A32F1" w:rsidRPr="00374AD8" w:rsidRDefault="008A32F1" w:rsidP="000B52AE">
      <w:pPr>
        <w:widowControl w:val="0"/>
        <w:autoSpaceDE w:val="0"/>
        <w:autoSpaceDN w:val="0"/>
        <w:adjustRightInd w:val="0"/>
        <w:jc w:val="both"/>
        <w:rPr>
          <w:sz w:val="28"/>
          <w:szCs w:val="28"/>
        </w:rPr>
      </w:pPr>
      <w:r w:rsidRPr="000B52AE">
        <w:rPr>
          <w:b/>
          <w:sz w:val="28"/>
          <w:szCs w:val="28"/>
        </w:rPr>
        <w:t>Latvija uzskata</w:t>
      </w:r>
      <w:r w:rsidRPr="00374AD8">
        <w:rPr>
          <w:sz w:val="28"/>
          <w:szCs w:val="28"/>
        </w:rPr>
        <w:t xml:space="preserve"> </w:t>
      </w:r>
      <w:r w:rsidR="000B52AE">
        <w:rPr>
          <w:sz w:val="28"/>
          <w:szCs w:val="28"/>
        </w:rPr>
        <w:t xml:space="preserve">, ka </w:t>
      </w:r>
      <w:r w:rsidRPr="00374AD8">
        <w:rPr>
          <w:sz w:val="28"/>
          <w:szCs w:val="28"/>
        </w:rPr>
        <w:t>ir nepieciešams ilgtermiņa mērķis par pakāpenisku EKA un ES attiecību atjaunošanu un vēl efektīvākas sadarbības meklēšana</w:t>
      </w:r>
      <w:r w:rsidR="00374AD8">
        <w:rPr>
          <w:sz w:val="28"/>
          <w:szCs w:val="28"/>
        </w:rPr>
        <w:t>i</w:t>
      </w:r>
      <w:r w:rsidRPr="00374AD8">
        <w:rPr>
          <w:sz w:val="28"/>
          <w:szCs w:val="28"/>
        </w:rPr>
        <w:t xml:space="preserve">. </w:t>
      </w:r>
      <w:r w:rsidRPr="000B52AE">
        <w:rPr>
          <w:b/>
          <w:sz w:val="28"/>
          <w:szCs w:val="28"/>
        </w:rPr>
        <w:t>Vienlaikus Latvija nepiekrīt</w:t>
      </w:r>
      <w:r w:rsidRPr="00374AD8">
        <w:rPr>
          <w:sz w:val="28"/>
          <w:szCs w:val="28"/>
        </w:rPr>
        <w:t xml:space="preserve">, ka visas </w:t>
      </w:r>
      <w:r w:rsidR="00374AD8">
        <w:rPr>
          <w:sz w:val="28"/>
          <w:szCs w:val="28"/>
        </w:rPr>
        <w:t>E</w:t>
      </w:r>
      <w:r w:rsidRPr="00374AD8">
        <w:rPr>
          <w:sz w:val="28"/>
          <w:szCs w:val="28"/>
        </w:rPr>
        <w:t>K akcentētā</w:t>
      </w:r>
      <w:r w:rsidR="00374AD8">
        <w:rPr>
          <w:sz w:val="28"/>
          <w:szCs w:val="28"/>
        </w:rPr>
        <w:t>s problēmas (piemēram,</w:t>
      </w:r>
      <w:r w:rsidRPr="00374AD8">
        <w:rPr>
          <w:sz w:val="28"/>
          <w:szCs w:val="28"/>
        </w:rPr>
        <w:t xml:space="preserve"> </w:t>
      </w:r>
      <w:r w:rsidRPr="00374AD8">
        <w:rPr>
          <w:noProof/>
          <w:sz w:val="28"/>
          <w:szCs w:val="28"/>
        </w:rPr>
        <w:t>asimetrija dalībnieku sastāvā)</w:t>
      </w:r>
      <w:r w:rsidRPr="00374AD8">
        <w:rPr>
          <w:sz w:val="28"/>
          <w:szCs w:val="28"/>
        </w:rPr>
        <w:t xml:space="preserve"> ir aktuālas</w:t>
      </w:r>
      <w:r w:rsidR="00C26CD8">
        <w:rPr>
          <w:sz w:val="28"/>
          <w:szCs w:val="28"/>
        </w:rPr>
        <w:t>,</w:t>
      </w:r>
      <w:r w:rsidRPr="00374AD8">
        <w:rPr>
          <w:sz w:val="28"/>
          <w:szCs w:val="28"/>
        </w:rPr>
        <w:t xml:space="preserve"> un aicina atkārtoti </w:t>
      </w:r>
      <w:r w:rsidR="00374AD8">
        <w:rPr>
          <w:sz w:val="28"/>
          <w:szCs w:val="28"/>
        </w:rPr>
        <w:t>E</w:t>
      </w:r>
      <w:r w:rsidRPr="00374AD8">
        <w:rPr>
          <w:sz w:val="28"/>
          <w:szCs w:val="28"/>
        </w:rPr>
        <w:t xml:space="preserve">K konsultēties ar EKA un tās dalībvalstīm par kopējām problēmām, kas liedz sadarboties vēl efektīvāk. Pie tam šobrīd, bez dziļākas </w:t>
      </w:r>
      <w:r w:rsidRPr="00374AD8">
        <w:rPr>
          <w:noProof/>
          <w:sz w:val="28"/>
          <w:szCs w:val="28"/>
        </w:rPr>
        <w:t xml:space="preserve">iespējamo risinājumu detalizētas izmaksu un ieguvumu analīzes ir grūti noteikt pareizāko risinājumu uzlabotai sadarbībai saskaņā ar “status quo”. </w:t>
      </w:r>
    </w:p>
    <w:p w:rsidR="008A32F1" w:rsidRPr="00374AD8" w:rsidRDefault="008A32F1" w:rsidP="000B52AE">
      <w:pPr>
        <w:widowControl w:val="0"/>
        <w:autoSpaceDE w:val="0"/>
        <w:autoSpaceDN w:val="0"/>
        <w:adjustRightInd w:val="0"/>
        <w:jc w:val="both"/>
        <w:rPr>
          <w:sz w:val="28"/>
          <w:szCs w:val="28"/>
        </w:rPr>
      </w:pPr>
      <w:r w:rsidRPr="000B52AE">
        <w:rPr>
          <w:b/>
          <w:sz w:val="28"/>
          <w:szCs w:val="28"/>
        </w:rPr>
        <w:t>Latvija uzskata</w:t>
      </w:r>
      <w:r w:rsidRPr="00374AD8">
        <w:rPr>
          <w:sz w:val="28"/>
          <w:szCs w:val="28"/>
        </w:rPr>
        <w:t>, ka ES ir jāstrādā arī pie labākas politiskā koordinācija un atbildības, ņemot vērā EKA specifiku, kā tā ir tehnoloģiska un uz projektu īstenošanu orientēta organizācija, līdz  ar to jāstrādā pie tā, lai koordinācijas mehānismi nebūtu pārāk sarežģīti un nepalielinātos administratīvais slogs dažādos līmeņos.</w:t>
      </w:r>
    </w:p>
    <w:p w:rsidR="00060996" w:rsidRDefault="00060996" w:rsidP="00DB15C2">
      <w:pPr>
        <w:pStyle w:val="NormalWeb"/>
        <w:jc w:val="both"/>
        <w:rPr>
          <w:sz w:val="28"/>
          <w:szCs w:val="28"/>
        </w:rPr>
      </w:pPr>
      <w:r>
        <w:rPr>
          <w:sz w:val="28"/>
          <w:szCs w:val="28"/>
        </w:rPr>
        <w:t xml:space="preserve">Latvijas delegācijas sastāvs </w:t>
      </w:r>
      <w:r w:rsidRPr="00060996">
        <w:rPr>
          <w:sz w:val="28"/>
          <w:szCs w:val="28"/>
        </w:rPr>
        <w:t>ES Konkurētspējas ministru padome</w:t>
      </w:r>
      <w:r>
        <w:rPr>
          <w:sz w:val="28"/>
          <w:szCs w:val="28"/>
        </w:rPr>
        <w:t>s sadaļai „Zinātne</w:t>
      </w:r>
      <w:r w:rsidR="00E15A60">
        <w:rPr>
          <w:sz w:val="28"/>
          <w:szCs w:val="28"/>
        </w:rPr>
        <w:t>,</w:t>
      </w:r>
      <w:r>
        <w:rPr>
          <w:sz w:val="28"/>
          <w:szCs w:val="28"/>
        </w:rPr>
        <w:t xml:space="preserve"> pētniecība</w:t>
      </w:r>
      <w:r w:rsidR="00E15A60">
        <w:rPr>
          <w:sz w:val="28"/>
          <w:szCs w:val="28"/>
        </w:rPr>
        <w:t xml:space="preserve"> un kosmoss</w:t>
      </w:r>
      <w:r>
        <w:rPr>
          <w:sz w:val="28"/>
          <w:szCs w:val="28"/>
        </w:rPr>
        <w:t>”</w:t>
      </w:r>
      <w:r w:rsidR="008B0AA7">
        <w:rPr>
          <w:sz w:val="28"/>
          <w:szCs w:val="28"/>
        </w:rPr>
        <w:t>:</w:t>
      </w:r>
    </w:p>
    <w:p w:rsidR="002B3C0B" w:rsidRPr="001C6A9D" w:rsidRDefault="00D31D05" w:rsidP="002B3C0B">
      <w:pPr>
        <w:pStyle w:val="Heading1"/>
        <w:ind w:left="2880" w:hanging="2880"/>
        <w:jc w:val="left"/>
        <w:rPr>
          <w:b/>
          <w:szCs w:val="28"/>
        </w:rPr>
      </w:pPr>
      <w:r w:rsidRPr="00FD213B">
        <w:rPr>
          <w:szCs w:val="28"/>
        </w:rPr>
        <w:t>Delegācijas vadītājs:</w:t>
      </w:r>
      <w:r w:rsidRPr="00FD213B">
        <w:rPr>
          <w:szCs w:val="28"/>
        </w:rPr>
        <w:tab/>
      </w:r>
      <w:r w:rsidR="002B3C0B">
        <w:rPr>
          <w:b/>
          <w:szCs w:val="28"/>
        </w:rPr>
        <w:t>Lauma Sīka</w:t>
      </w:r>
      <w:r w:rsidR="00FD213B" w:rsidRPr="00CC1159">
        <w:rPr>
          <w:szCs w:val="28"/>
        </w:rPr>
        <w:t>,</w:t>
      </w:r>
      <w:r w:rsidR="002B3C0B">
        <w:rPr>
          <w:szCs w:val="28"/>
        </w:rPr>
        <w:t xml:space="preserve"> I</w:t>
      </w:r>
      <w:r w:rsidR="00FD213B" w:rsidRPr="00CC1159">
        <w:rPr>
          <w:szCs w:val="28"/>
        </w:rPr>
        <w:t>zglītības</w:t>
      </w:r>
      <w:r w:rsidR="00FD213B" w:rsidRPr="00FD213B">
        <w:rPr>
          <w:szCs w:val="28"/>
        </w:rPr>
        <w:t xml:space="preserve"> un zinātnes ministr</w:t>
      </w:r>
      <w:r w:rsidR="002B3C0B">
        <w:rPr>
          <w:szCs w:val="28"/>
        </w:rPr>
        <w:t xml:space="preserve">ijas </w:t>
      </w:r>
      <w:r w:rsidR="002B3C0B" w:rsidRPr="001C6A9D">
        <w:rPr>
          <w:szCs w:val="28"/>
        </w:rPr>
        <w:t xml:space="preserve">Struktūrfondu un starptautisko finanšu instrumentu </w:t>
      </w:r>
    </w:p>
    <w:p w:rsidR="002B3C0B" w:rsidRPr="001C6A9D" w:rsidRDefault="002B3C0B" w:rsidP="002B3C0B">
      <w:pPr>
        <w:autoSpaceDE w:val="0"/>
        <w:autoSpaceDN w:val="0"/>
        <w:adjustRightInd w:val="0"/>
        <w:ind w:left="2160" w:firstLine="720"/>
        <w:rPr>
          <w:sz w:val="28"/>
          <w:szCs w:val="28"/>
        </w:rPr>
      </w:pPr>
      <w:r w:rsidRPr="001C6A9D">
        <w:rPr>
          <w:sz w:val="28"/>
          <w:szCs w:val="28"/>
        </w:rPr>
        <w:t>departamenta direktore, valsts sekretāra pienākumu</w:t>
      </w:r>
    </w:p>
    <w:p w:rsidR="00CC1159" w:rsidRDefault="002B3C0B" w:rsidP="002B3C0B">
      <w:pPr>
        <w:pStyle w:val="Heading1"/>
        <w:ind w:left="2977" w:hanging="97"/>
        <w:jc w:val="both"/>
        <w:rPr>
          <w:szCs w:val="28"/>
        </w:rPr>
      </w:pPr>
      <w:r w:rsidRPr="001C6A9D">
        <w:rPr>
          <w:szCs w:val="28"/>
        </w:rPr>
        <w:t>izpildītāja</w:t>
      </w:r>
      <w:r w:rsidR="00A46084">
        <w:rPr>
          <w:szCs w:val="28"/>
        </w:rPr>
        <w:t>.</w:t>
      </w:r>
      <w:r w:rsidR="00CC1159">
        <w:rPr>
          <w:szCs w:val="28"/>
        </w:rPr>
        <w:t xml:space="preserve"> </w:t>
      </w:r>
      <w:r w:rsidR="00FD213B" w:rsidRPr="00FD213B">
        <w:rPr>
          <w:szCs w:val="28"/>
        </w:rPr>
        <w:t xml:space="preserve"> </w:t>
      </w:r>
    </w:p>
    <w:p w:rsidR="00FF7E8C" w:rsidRPr="00FD213B" w:rsidRDefault="00FD213B" w:rsidP="00F52004">
      <w:pPr>
        <w:pStyle w:val="Heading1"/>
        <w:ind w:left="2977" w:hanging="2977"/>
        <w:jc w:val="both"/>
        <w:rPr>
          <w:bCs/>
          <w:szCs w:val="28"/>
        </w:rPr>
      </w:pPr>
      <w:r w:rsidRPr="00FD213B">
        <w:rPr>
          <w:szCs w:val="28"/>
        </w:rPr>
        <w:t xml:space="preserve">   </w:t>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r>
      <w:r w:rsidR="001D1B8F" w:rsidRPr="00FD213B">
        <w:rPr>
          <w:szCs w:val="28"/>
        </w:rPr>
        <w:tab/>
        <w:t xml:space="preserve"> </w:t>
      </w:r>
    </w:p>
    <w:p w:rsidR="00CC1159" w:rsidRDefault="00D31D05" w:rsidP="001D1B8F">
      <w:pPr>
        <w:pStyle w:val="NormalWeb"/>
        <w:spacing w:before="0" w:beforeAutospacing="0" w:after="0"/>
        <w:ind w:left="2977" w:hanging="2977"/>
        <w:rPr>
          <w:sz w:val="28"/>
          <w:szCs w:val="28"/>
        </w:rPr>
      </w:pPr>
      <w:r w:rsidRPr="00FD213B">
        <w:rPr>
          <w:sz w:val="28"/>
          <w:szCs w:val="28"/>
        </w:rPr>
        <w:t>Delegācijas dalībnieki:</w:t>
      </w:r>
      <w:r w:rsidRPr="00FD213B">
        <w:rPr>
          <w:sz w:val="28"/>
          <w:szCs w:val="28"/>
        </w:rPr>
        <w:tab/>
      </w:r>
      <w:r w:rsidR="00CC1159" w:rsidRPr="00A6709A">
        <w:rPr>
          <w:b/>
          <w:sz w:val="28"/>
          <w:szCs w:val="28"/>
        </w:rPr>
        <w:t xml:space="preserve">Juris </w:t>
      </w:r>
      <w:proofErr w:type="spellStart"/>
      <w:r w:rsidR="00CC1159" w:rsidRPr="00A6709A">
        <w:rPr>
          <w:b/>
          <w:sz w:val="28"/>
          <w:szCs w:val="28"/>
        </w:rPr>
        <w:t>Štālmeistars</w:t>
      </w:r>
      <w:proofErr w:type="spellEnd"/>
      <w:r w:rsidR="00CC1159">
        <w:rPr>
          <w:sz w:val="28"/>
          <w:szCs w:val="28"/>
        </w:rPr>
        <w:t>, Latvijas Republikas pastāvīgā pārstāvja  Eiropas Savienībā vietnieks;</w:t>
      </w:r>
    </w:p>
    <w:p w:rsidR="00D31D05" w:rsidRPr="002B3C0B" w:rsidRDefault="002B3C0B" w:rsidP="002B3C0B">
      <w:pPr>
        <w:pStyle w:val="NormalWeb"/>
        <w:spacing w:before="0" w:beforeAutospacing="0" w:after="0"/>
        <w:ind w:left="2977"/>
        <w:rPr>
          <w:b/>
          <w:sz w:val="28"/>
          <w:szCs w:val="28"/>
        </w:rPr>
      </w:pPr>
      <w:r>
        <w:rPr>
          <w:b/>
          <w:sz w:val="28"/>
          <w:szCs w:val="28"/>
        </w:rPr>
        <w:t>Baiba Beinaroviča</w:t>
      </w:r>
      <w:r w:rsidR="00D31D05" w:rsidRPr="00FD213B">
        <w:rPr>
          <w:sz w:val="28"/>
          <w:szCs w:val="28"/>
        </w:rPr>
        <w:t>, Izglītības un zinātnes ministrijas</w:t>
      </w:r>
      <w:r w:rsidR="004D7828" w:rsidRPr="00FD213B">
        <w:rPr>
          <w:sz w:val="28"/>
          <w:szCs w:val="28"/>
        </w:rPr>
        <w:t xml:space="preserve">   </w:t>
      </w:r>
      <w:r w:rsidR="00275457" w:rsidRPr="00FD213B">
        <w:rPr>
          <w:sz w:val="28"/>
          <w:szCs w:val="28"/>
        </w:rPr>
        <w:t xml:space="preserve"> </w:t>
      </w:r>
      <w:r>
        <w:rPr>
          <w:sz w:val="28"/>
          <w:szCs w:val="28"/>
        </w:rPr>
        <w:t>Politikas iniciatīvu un attīstības departamenta vecākā referente</w:t>
      </w:r>
      <w:r w:rsidR="00D31D05" w:rsidRPr="00FD213B">
        <w:rPr>
          <w:sz w:val="28"/>
          <w:szCs w:val="28"/>
        </w:rPr>
        <w:t>.</w:t>
      </w:r>
    </w:p>
    <w:p w:rsidR="00A34702" w:rsidRPr="00FD213B" w:rsidRDefault="00A34702" w:rsidP="00E440D0">
      <w:pPr>
        <w:jc w:val="center"/>
        <w:rPr>
          <w:sz w:val="28"/>
          <w:szCs w:val="28"/>
        </w:rPr>
      </w:pPr>
    </w:p>
    <w:p w:rsidR="00A34702" w:rsidRPr="00CE78E3" w:rsidRDefault="00A34702" w:rsidP="0077650E">
      <w:pPr>
        <w:jc w:val="both"/>
        <w:rPr>
          <w:sz w:val="28"/>
          <w:szCs w:val="28"/>
        </w:rPr>
      </w:pPr>
    </w:p>
    <w:p w:rsidR="002B3C0B" w:rsidRDefault="00A34702" w:rsidP="0077650E">
      <w:pPr>
        <w:jc w:val="both"/>
        <w:rPr>
          <w:sz w:val="28"/>
          <w:szCs w:val="28"/>
        </w:rPr>
      </w:pPr>
      <w:r w:rsidRPr="00CE78E3">
        <w:rPr>
          <w:sz w:val="28"/>
          <w:szCs w:val="28"/>
        </w:rPr>
        <w:t xml:space="preserve">Izglītības un zinātnes </w:t>
      </w:r>
      <w:r w:rsidR="00510A93">
        <w:rPr>
          <w:sz w:val="28"/>
          <w:szCs w:val="28"/>
        </w:rPr>
        <w:t>ministr</w:t>
      </w:r>
      <w:r w:rsidR="002B3C0B">
        <w:rPr>
          <w:sz w:val="28"/>
          <w:szCs w:val="28"/>
        </w:rPr>
        <w:t xml:space="preserve">a vietā – </w:t>
      </w:r>
    </w:p>
    <w:p w:rsidR="00A34702" w:rsidRDefault="002B3C0B" w:rsidP="0077650E">
      <w:pPr>
        <w:jc w:val="both"/>
        <w:rPr>
          <w:sz w:val="28"/>
          <w:szCs w:val="28"/>
        </w:rPr>
      </w:pPr>
      <w:r>
        <w:rPr>
          <w:sz w:val="28"/>
          <w:szCs w:val="28"/>
        </w:rPr>
        <w:t>labklājības ministre</w:t>
      </w:r>
      <w:r w:rsidR="00A34A79">
        <w:rPr>
          <w:sz w:val="28"/>
          <w:szCs w:val="28"/>
        </w:rPr>
        <w:t xml:space="preserve"> </w:t>
      </w:r>
      <w:r w:rsidR="00D81B8D">
        <w:rPr>
          <w:sz w:val="28"/>
          <w:szCs w:val="28"/>
        </w:rPr>
        <w:t xml:space="preserve"> </w:t>
      </w:r>
      <w:r w:rsidR="00A34702" w:rsidRPr="00CE78E3">
        <w:rPr>
          <w:sz w:val="28"/>
          <w:szCs w:val="28"/>
        </w:rPr>
        <w:tab/>
      </w:r>
      <w:r w:rsidR="00A34702" w:rsidRPr="00CE78E3">
        <w:rPr>
          <w:sz w:val="28"/>
          <w:szCs w:val="28"/>
        </w:rPr>
        <w:tab/>
      </w:r>
      <w:r w:rsidR="00A34702" w:rsidRPr="00CE78E3">
        <w:rPr>
          <w:sz w:val="28"/>
          <w:szCs w:val="28"/>
        </w:rPr>
        <w:tab/>
      </w:r>
      <w:r w:rsidR="00A34702" w:rsidRPr="00CE78E3">
        <w:rPr>
          <w:sz w:val="28"/>
          <w:szCs w:val="28"/>
        </w:rPr>
        <w:tab/>
      </w:r>
      <w:r w:rsidR="00D81B8D">
        <w:rPr>
          <w:sz w:val="28"/>
          <w:szCs w:val="28"/>
        </w:rPr>
        <w:t xml:space="preserve">       </w:t>
      </w:r>
      <w:r w:rsidR="00A34A79">
        <w:rPr>
          <w:sz w:val="28"/>
          <w:szCs w:val="28"/>
        </w:rPr>
        <w:t xml:space="preserve">    </w:t>
      </w:r>
      <w:r w:rsidR="00177158">
        <w:rPr>
          <w:sz w:val="28"/>
          <w:szCs w:val="28"/>
        </w:rPr>
        <w:t xml:space="preserve">           </w:t>
      </w:r>
      <w:r>
        <w:rPr>
          <w:sz w:val="28"/>
          <w:szCs w:val="28"/>
        </w:rPr>
        <w:t xml:space="preserve">            </w:t>
      </w:r>
      <w:proofErr w:type="spellStart"/>
      <w:r>
        <w:rPr>
          <w:sz w:val="28"/>
          <w:szCs w:val="28"/>
        </w:rPr>
        <w:t>I.Viņķele</w:t>
      </w:r>
      <w:proofErr w:type="spellEnd"/>
    </w:p>
    <w:p w:rsidR="00DB71B3" w:rsidRPr="00CE78E3" w:rsidRDefault="00DB71B3" w:rsidP="0077650E">
      <w:pPr>
        <w:jc w:val="both"/>
        <w:rPr>
          <w:sz w:val="28"/>
          <w:szCs w:val="28"/>
        </w:rPr>
      </w:pPr>
    </w:p>
    <w:p w:rsidR="00A34702" w:rsidRDefault="00A34702" w:rsidP="00324067">
      <w:pPr>
        <w:rPr>
          <w:sz w:val="28"/>
          <w:szCs w:val="28"/>
        </w:rPr>
      </w:pPr>
      <w:r w:rsidRPr="009D7ABF">
        <w:rPr>
          <w:sz w:val="28"/>
          <w:szCs w:val="28"/>
        </w:rPr>
        <w:t xml:space="preserve">Vīza: </w:t>
      </w:r>
      <w:r w:rsidRPr="009D7ABF">
        <w:rPr>
          <w:sz w:val="28"/>
          <w:szCs w:val="28"/>
        </w:rPr>
        <w:tab/>
      </w:r>
    </w:p>
    <w:p w:rsidR="007F1D62" w:rsidRDefault="007F1D62" w:rsidP="007F1D62">
      <w:pPr>
        <w:autoSpaceDE w:val="0"/>
        <w:autoSpaceDN w:val="0"/>
        <w:adjustRightInd w:val="0"/>
        <w:rPr>
          <w:rFonts w:eastAsiaTheme="minorHAnsi"/>
          <w:bCs/>
          <w:color w:val="000000"/>
          <w:sz w:val="24"/>
          <w:szCs w:val="24"/>
        </w:rPr>
      </w:pPr>
    </w:p>
    <w:p w:rsidR="001D1B8F" w:rsidRPr="001C6A9D" w:rsidRDefault="001D1B8F" w:rsidP="001C6A9D">
      <w:pPr>
        <w:pStyle w:val="Heading1"/>
        <w:jc w:val="left"/>
        <w:rPr>
          <w:b/>
          <w:szCs w:val="28"/>
        </w:rPr>
      </w:pPr>
      <w:r w:rsidRPr="001C6A9D">
        <w:rPr>
          <w:szCs w:val="28"/>
        </w:rPr>
        <w:lastRenderedPageBreak/>
        <w:t xml:space="preserve">Valsts sekretāra vietniece – </w:t>
      </w:r>
    </w:p>
    <w:p w:rsidR="001D1B8F" w:rsidRPr="001C6A9D" w:rsidRDefault="001D1B8F" w:rsidP="001C6A9D">
      <w:pPr>
        <w:pStyle w:val="Heading1"/>
        <w:jc w:val="left"/>
        <w:rPr>
          <w:b/>
          <w:szCs w:val="28"/>
        </w:rPr>
      </w:pPr>
      <w:r w:rsidRPr="001C6A9D">
        <w:rPr>
          <w:szCs w:val="28"/>
        </w:rPr>
        <w:t xml:space="preserve">Struktūrfondu un starptautisko finanšu instrumentu </w:t>
      </w:r>
    </w:p>
    <w:p w:rsidR="001D1B8F" w:rsidRPr="001C6A9D" w:rsidRDefault="001D1B8F" w:rsidP="001D1B8F">
      <w:pPr>
        <w:autoSpaceDE w:val="0"/>
        <w:autoSpaceDN w:val="0"/>
        <w:adjustRightInd w:val="0"/>
        <w:rPr>
          <w:sz w:val="28"/>
          <w:szCs w:val="28"/>
        </w:rPr>
      </w:pPr>
      <w:r w:rsidRPr="001C6A9D">
        <w:rPr>
          <w:sz w:val="28"/>
          <w:szCs w:val="28"/>
        </w:rPr>
        <w:t>departamenta direktore, valsts sekretāra pienākumu</w:t>
      </w:r>
    </w:p>
    <w:p w:rsidR="001C6A9D" w:rsidRDefault="001D1B8F" w:rsidP="0077650E">
      <w:pPr>
        <w:rPr>
          <w:i/>
          <w:sz w:val="28"/>
          <w:szCs w:val="28"/>
        </w:rPr>
      </w:pPr>
      <w:r w:rsidRPr="001C6A9D">
        <w:rPr>
          <w:sz w:val="28"/>
          <w:szCs w:val="28"/>
        </w:rPr>
        <w:t>izpildītāja</w:t>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r>
      <w:r w:rsidRPr="001C6A9D">
        <w:rPr>
          <w:sz w:val="28"/>
          <w:szCs w:val="28"/>
        </w:rPr>
        <w:tab/>
        <w:t xml:space="preserve">   L.Sīka</w:t>
      </w:r>
    </w:p>
    <w:p w:rsidR="001C6A9D" w:rsidRDefault="001C6A9D" w:rsidP="0077650E">
      <w:pPr>
        <w:rPr>
          <w:i/>
          <w:sz w:val="28"/>
          <w:szCs w:val="28"/>
        </w:rPr>
      </w:pPr>
    </w:p>
    <w:p w:rsidR="001C6A9D" w:rsidRDefault="001C6A9D" w:rsidP="0077650E">
      <w:pPr>
        <w:rPr>
          <w:i/>
          <w:sz w:val="28"/>
          <w:szCs w:val="28"/>
        </w:rPr>
      </w:pPr>
    </w:p>
    <w:p w:rsidR="00943E44" w:rsidRDefault="00943E44" w:rsidP="0077650E">
      <w:pPr>
        <w:rPr>
          <w:i/>
          <w:sz w:val="28"/>
          <w:szCs w:val="28"/>
        </w:rPr>
      </w:pPr>
    </w:p>
    <w:p w:rsidR="00A34702" w:rsidRPr="00B7647B" w:rsidRDefault="003E5F10" w:rsidP="0077650E">
      <w:pPr>
        <w:rPr>
          <w:i/>
          <w:sz w:val="28"/>
          <w:szCs w:val="28"/>
        </w:rPr>
      </w:pPr>
      <w:r w:rsidRPr="00C03B93">
        <w:rPr>
          <w:sz w:val="22"/>
          <w:szCs w:val="22"/>
        </w:rPr>
        <w:t>0</w:t>
      </w:r>
      <w:r w:rsidR="00F1098D" w:rsidRPr="00C03B93">
        <w:rPr>
          <w:sz w:val="22"/>
          <w:szCs w:val="22"/>
        </w:rPr>
        <w:t>6</w:t>
      </w:r>
      <w:r w:rsidR="00A34702" w:rsidRPr="00C03B93">
        <w:rPr>
          <w:sz w:val="22"/>
          <w:szCs w:val="22"/>
        </w:rPr>
        <w:t>.</w:t>
      </w:r>
      <w:r w:rsidRPr="00C03B93">
        <w:rPr>
          <w:sz w:val="22"/>
          <w:szCs w:val="22"/>
        </w:rPr>
        <w:t>1</w:t>
      </w:r>
      <w:r w:rsidR="00F1098D" w:rsidRPr="00C03B93">
        <w:rPr>
          <w:sz w:val="22"/>
          <w:szCs w:val="22"/>
        </w:rPr>
        <w:t>2</w:t>
      </w:r>
      <w:r w:rsidR="003D42A9" w:rsidRPr="00C03B93">
        <w:rPr>
          <w:sz w:val="22"/>
          <w:szCs w:val="22"/>
        </w:rPr>
        <w:t>.2</w:t>
      </w:r>
      <w:r w:rsidR="003D42A9" w:rsidRPr="00B7647B">
        <w:rPr>
          <w:sz w:val="22"/>
          <w:szCs w:val="22"/>
        </w:rPr>
        <w:t>0</w:t>
      </w:r>
      <w:r w:rsidR="00D70969" w:rsidRPr="00B7647B">
        <w:rPr>
          <w:sz w:val="22"/>
          <w:szCs w:val="22"/>
        </w:rPr>
        <w:t>1</w:t>
      </w:r>
      <w:r w:rsidR="00D81B8D" w:rsidRPr="00B7647B">
        <w:rPr>
          <w:sz w:val="22"/>
          <w:szCs w:val="22"/>
        </w:rPr>
        <w:t>2</w:t>
      </w:r>
      <w:r w:rsidR="00A34702" w:rsidRPr="00B7647B">
        <w:rPr>
          <w:sz w:val="22"/>
          <w:szCs w:val="22"/>
        </w:rPr>
        <w:t xml:space="preserve">. </w:t>
      </w:r>
      <w:r w:rsidR="00FE0346">
        <w:rPr>
          <w:sz w:val="22"/>
          <w:szCs w:val="22"/>
        </w:rPr>
        <w:t>21</w:t>
      </w:r>
      <w:r w:rsidR="00A34702" w:rsidRPr="00B7647B">
        <w:rPr>
          <w:sz w:val="22"/>
          <w:szCs w:val="22"/>
        </w:rPr>
        <w:t>:</w:t>
      </w:r>
      <w:r w:rsidR="00FE0346">
        <w:rPr>
          <w:sz w:val="22"/>
          <w:szCs w:val="22"/>
        </w:rPr>
        <w:t>2</w:t>
      </w:r>
      <w:r w:rsidR="00C31B16">
        <w:rPr>
          <w:sz w:val="22"/>
          <w:szCs w:val="22"/>
        </w:rPr>
        <w:t>0</w:t>
      </w:r>
    </w:p>
    <w:p w:rsidR="00A34702" w:rsidRPr="004C699A" w:rsidRDefault="001B7DE0" w:rsidP="0077650E">
      <w:pPr>
        <w:rPr>
          <w:sz w:val="22"/>
          <w:szCs w:val="22"/>
        </w:rPr>
      </w:pPr>
      <w:r>
        <w:rPr>
          <w:sz w:val="22"/>
          <w:szCs w:val="22"/>
        </w:rPr>
        <w:t>5439</w:t>
      </w:r>
    </w:p>
    <w:p w:rsidR="00A34702" w:rsidRPr="004C699A" w:rsidRDefault="00A34702" w:rsidP="00B31875">
      <w:pPr>
        <w:jc w:val="both"/>
        <w:rPr>
          <w:sz w:val="22"/>
          <w:szCs w:val="22"/>
        </w:rPr>
      </w:pPr>
      <w:r w:rsidRPr="004C699A">
        <w:rPr>
          <w:sz w:val="22"/>
          <w:szCs w:val="22"/>
        </w:rPr>
        <w:t>Izglītības un zinātnes ministrijas</w:t>
      </w:r>
    </w:p>
    <w:p w:rsidR="00A34702" w:rsidRPr="004C699A" w:rsidRDefault="00E5668C" w:rsidP="00B31875">
      <w:pPr>
        <w:jc w:val="both"/>
        <w:rPr>
          <w:sz w:val="22"/>
          <w:szCs w:val="22"/>
        </w:rPr>
      </w:pPr>
      <w:r>
        <w:rPr>
          <w:sz w:val="22"/>
          <w:szCs w:val="22"/>
        </w:rPr>
        <w:t>Politikas iniciatīvu un attīstības</w:t>
      </w:r>
      <w:r w:rsidR="00A34702" w:rsidRPr="004C699A">
        <w:rPr>
          <w:sz w:val="22"/>
          <w:szCs w:val="22"/>
        </w:rPr>
        <w:t xml:space="preserve"> departamenta</w:t>
      </w:r>
    </w:p>
    <w:p w:rsidR="00A34702" w:rsidRPr="004C699A" w:rsidRDefault="00A34702" w:rsidP="00B31875">
      <w:pPr>
        <w:jc w:val="both"/>
        <w:rPr>
          <w:sz w:val="22"/>
          <w:szCs w:val="22"/>
        </w:rPr>
      </w:pPr>
      <w:r w:rsidRPr="004C699A">
        <w:rPr>
          <w:sz w:val="22"/>
          <w:szCs w:val="22"/>
        </w:rPr>
        <w:t xml:space="preserve">vecākā </w:t>
      </w:r>
      <w:r w:rsidR="00BE08A2">
        <w:rPr>
          <w:sz w:val="22"/>
          <w:szCs w:val="22"/>
        </w:rPr>
        <w:t>eksperte</w:t>
      </w:r>
    </w:p>
    <w:p w:rsidR="00A34702" w:rsidRPr="004C699A" w:rsidRDefault="00A34702" w:rsidP="0077650E">
      <w:pPr>
        <w:rPr>
          <w:sz w:val="22"/>
          <w:szCs w:val="22"/>
        </w:rPr>
      </w:pPr>
      <w:r w:rsidRPr="004C699A">
        <w:rPr>
          <w:sz w:val="22"/>
          <w:szCs w:val="22"/>
        </w:rPr>
        <w:t>B.Beinaroviča</w:t>
      </w:r>
    </w:p>
    <w:p w:rsidR="00A34702" w:rsidRPr="004C699A" w:rsidRDefault="00A34702" w:rsidP="0077650E">
      <w:pPr>
        <w:rPr>
          <w:sz w:val="22"/>
          <w:szCs w:val="22"/>
        </w:rPr>
      </w:pPr>
      <w:r w:rsidRPr="004C699A">
        <w:rPr>
          <w:sz w:val="22"/>
          <w:szCs w:val="22"/>
        </w:rPr>
        <w:t xml:space="preserve">67047885, </w:t>
      </w:r>
      <w:hyperlink r:id="rId9" w:history="1">
        <w:r w:rsidRPr="004C699A">
          <w:rPr>
            <w:rStyle w:val="Hyperlink"/>
            <w:sz w:val="22"/>
            <w:szCs w:val="22"/>
          </w:rPr>
          <w:t>baiba.beinarovica@izm.gov.lv</w:t>
        </w:r>
      </w:hyperlink>
      <w:r w:rsidRPr="004C699A">
        <w:rPr>
          <w:sz w:val="22"/>
          <w:szCs w:val="22"/>
        </w:rPr>
        <w:t xml:space="preserve">  </w:t>
      </w:r>
    </w:p>
    <w:sectPr w:rsidR="00A34702" w:rsidRPr="004C699A" w:rsidSect="00EA3B48">
      <w:headerReference w:type="even" r:id="rId10"/>
      <w:headerReference w:type="default" r:id="rId11"/>
      <w:footerReference w:type="default" r:id="rId12"/>
      <w:footerReference w:type="first" r:id="rId13"/>
      <w:pgSz w:w="11906" w:h="16838" w:code="9"/>
      <w:pgMar w:top="1134" w:right="1134" w:bottom="851" w:left="1701" w:header="454" w:footer="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9D" w:rsidRDefault="00AA269D" w:rsidP="00B33D6E">
      <w:r>
        <w:separator/>
      </w:r>
    </w:p>
  </w:endnote>
  <w:endnote w:type="continuationSeparator" w:id="0">
    <w:p w:rsidR="00AA269D" w:rsidRDefault="00AA269D" w:rsidP="00B3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8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92" w:rsidRPr="00A46F23" w:rsidRDefault="00CD79DE" w:rsidP="00D86226">
    <w:pPr>
      <w:pStyle w:val="BodyText"/>
      <w:spacing w:before="120"/>
      <w:jc w:val="both"/>
      <w:rPr>
        <w:b w:val="0"/>
        <w:sz w:val="20"/>
      </w:rPr>
    </w:pPr>
    <w:r w:rsidRPr="002645BC">
      <w:rPr>
        <w:b w:val="0"/>
        <w:sz w:val="20"/>
      </w:rPr>
      <w:fldChar w:fldCharType="begin"/>
    </w:r>
    <w:r w:rsidR="00434F92" w:rsidRPr="002645BC">
      <w:rPr>
        <w:b w:val="0"/>
        <w:sz w:val="20"/>
      </w:rPr>
      <w:instrText xml:space="preserve"> FILENAME </w:instrText>
    </w:r>
    <w:r w:rsidRPr="002645BC">
      <w:rPr>
        <w:b w:val="0"/>
        <w:sz w:val="20"/>
      </w:rPr>
      <w:fldChar w:fldCharType="separate"/>
    </w:r>
    <w:r w:rsidR="00CC5E1C">
      <w:rPr>
        <w:b w:val="0"/>
        <w:noProof/>
        <w:sz w:val="20"/>
      </w:rPr>
      <w:t>IZMInf061212_konkuretspeja.docx</w:t>
    </w:r>
    <w:r w:rsidRPr="002645BC">
      <w:rPr>
        <w:b w:val="0"/>
        <w:sz w:val="20"/>
      </w:rPr>
      <w:fldChar w:fldCharType="end"/>
    </w:r>
    <w:r w:rsidR="00434F92" w:rsidRPr="002645BC">
      <w:rPr>
        <w:b w:val="0"/>
        <w:sz w:val="20"/>
      </w:rPr>
      <w:t>;</w:t>
    </w:r>
    <w:r w:rsidR="00434F92">
      <w:rPr>
        <w:b w:val="0"/>
        <w:sz w:val="20"/>
      </w:rPr>
      <w:t xml:space="preserve"> </w:t>
    </w:r>
    <w:r w:rsidR="00434F92" w:rsidRPr="00446491">
      <w:rPr>
        <w:b w:val="0"/>
        <w:sz w:val="20"/>
      </w:rPr>
      <w:t xml:space="preserve">Par 2012.gada </w:t>
    </w:r>
    <w:r w:rsidR="00D93103">
      <w:rPr>
        <w:b w:val="0"/>
        <w:sz w:val="20"/>
      </w:rPr>
      <w:t>10.-11.</w:t>
    </w:r>
    <w:r w:rsidR="00D52292">
      <w:rPr>
        <w:b w:val="0"/>
        <w:sz w:val="20"/>
      </w:rPr>
      <w:t>decembra</w:t>
    </w:r>
    <w:r w:rsidR="00434F92" w:rsidRPr="00446491">
      <w:rPr>
        <w:b w:val="0"/>
        <w:sz w:val="20"/>
      </w:rPr>
      <w:t xml:space="preserve"> Eiropas Savienības Konkurētspējas ministru padomē izskatāmajiem jautājumiem</w:t>
    </w:r>
  </w:p>
  <w:p w:rsidR="00434F92" w:rsidRPr="00D93103" w:rsidRDefault="00434F92" w:rsidP="00047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03" w:rsidRPr="00A46F23" w:rsidRDefault="00CD79DE" w:rsidP="00D93103">
    <w:pPr>
      <w:pStyle w:val="BodyText"/>
      <w:spacing w:before="120"/>
      <w:jc w:val="both"/>
      <w:rPr>
        <w:b w:val="0"/>
        <w:sz w:val="20"/>
      </w:rPr>
    </w:pPr>
    <w:r w:rsidRPr="002645BC">
      <w:rPr>
        <w:b w:val="0"/>
        <w:sz w:val="20"/>
      </w:rPr>
      <w:fldChar w:fldCharType="begin"/>
    </w:r>
    <w:r w:rsidR="00D93103" w:rsidRPr="002645BC">
      <w:rPr>
        <w:b w:val="0"/>
        <w:sz w:val="20"/>
      </w:rPr>
      <w:instrText xml:space="preserve"> FILENAME </w:instrText>
    </w:r>
    <w:r w:rsidRPr="002645BC">
      <w:rPr>
        <w:b w:val="0"/>
        <w:sz w:val="20"/>
      </w:rPr>
      <w:fldChar w:fldCharType="separate"/>
    </w:r>
    <w:r w:rsidR="00CC5E1C">
      <w:rPr>
        <w:b w:val="0"/>
        <w:noProof/>
        <w:sz w:val="20"/>
      </w:rPr>
      <w:t>IZMInf061212_konkuretspeja.docx</w:t>
    </w:r>
    <w:r w:rsidRPr="002645BC">
      <w:rPr>
        <w:b w:val="0"/>
        <w:sz w:val="20"/>
      </w:rPr>
      <w:fldChar w:fldCharType="end"/>
    </w:r>
    <w:r w:rsidR="00D93103" w:rsidRPr="002645BC">
      <w:rPr>
        <w:b w:val="0"/>
        <w:sz w:val="20"/>
      </w:rPr>
      <w:t>;</w:t>
    </w:r>
    <w:r w:rsidR="00D93103">
      <w:rPr>
        <w:b w:val="0"/>
        <w:sz w:val="20"/>
      </w:rPr>
      <w:t xml:space="preserve"> </w:t>
    </w:r>
    <w:r w:rsidR="00D93103" w:rsidRPr="00446491">
      <w:rPr>
        <w:b w:val="0"/>
        <w:sz w:val="20"/>
      </w:rPr>
      <w:t xml:space="preserve">Par 2012.gada </w:t>
    </w:r>
    <w:r w:rsidR="00D93103">
      <w:rPr>
        <w:b w:val="0"/>
        <w:sz w:val="20"/>
      </w:rPr>
      <w:t>10.-11.</w:t>
    </w:r>
    <w:r w:rsidR="00E15A60">
      <w:rPr>
        <w:b w:val="0"/>
        <w:sz w:val="20"/>
      </w:rPr>
      <w:t>decembra</w:t>
    </w:r>
    <w:r w:rsidR="00D93103" w:rsidRPr="00446491">
      <w:rPr>
        <w:b w:val="0"/>
        <w:sz w:val="20"/>
      </w:rPr>
      <w:t xml:space="preserve"> Eiropas Savienības Konkurētspējas ministru padomē izskatāmajiem jautājumiem</w:t>
    </w:r>
  </w:p>
  <w:p w:rsidR="00434F92" w:rsidRPr="00314A33" w:rsidRDefault="00434F92" w:rsidP="00047E2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9D" w:rsidRDefault="00AA269D" w:rsidP="00B33D6E">
      <w:r>
        <w:separator/>
      </w:r>
    </w:p>
  </w:footnote>
  <w:footnote w:type="continuationSeparator" w:id="0">
    <w:p w:rsidR="00AA269D" w:rsidRDefault="00AA269D" w:rsidP="00B33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92" w:rsidRDefault="00CD79DE"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end"/>
    </w:r>
  </w:p>
  <w:p w:rsidR="00434F92" w:rsidRDefault="0043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F92" w:rsidRDefault="00CD79DE" w:rsidP="00B77EA2">
    <w:pPr>
      <w:pStyle w:val="Header"/>
      <w:framePr w:wrap="around" w:vAnchor="text" w:hAnchor="margin" w:xAlign="center" w:y="1"/>
      <w:rPr>
        <w:rStyle w:val="PageNumber"/>
      </w:rPr>
    </w:pPr>
    <w:r>
      <w:rPr>
        <w:rStyle w:val="PageNumber"/>
      </w:rPr>
      <w:fldChar w:fldCharType="begin"/>
    </w:r>
    <w:r w:rsidR="00434F92">
      <w:rPr>
        <w:rStyle w:val="PageNumber"/>
      </w:rPr>
      <w:instrText xml:space="preserve">PAGE  </w:instrText>
    </w:r>
    <w:r>
      <w:rPr>
        <w:rStyle w:val="PageNumber"/>
      </w:rPr>
      <w:fldChar w:fldCharType="separate"/>
    </w:r>
    <w:r w:rsidR="00CC5E1C">
      <w:rPr>
        <w:rStyle w:val="PageNumber"/>
        <w:noProof/>
      </w:rPr>
      <w:t>16</w:t>
    </w:r>
    <w:r>
      <w:rPr>
        <w:rStyle w:val="PageNumber"/>
      </w:rPr>
      <w:fldChar w:fldCharType="end"/>
    </w:r>
  </w:p>
  <w:p w:rsidR="00434F92" w:rsidRDefault="00434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C93"/>
    <w:multiLevelType w:val="hybridMultilevel"/>
    <w:tmpl w:val="39607810"/>
    <w:lvl w:ilvl="0" w:tplc="E640CFAA">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127AF5"/>
    <w:multiLevelType w:val="hybridMultilevel"/>
    <w:tmpl w:val="9FA279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EF461ED"/>
    <w:multiLevelType w:val="hybridMultilevel"/>
    <w:tmpl w:val="6C8493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4">
    <w:nsid w:val="326E5DBD"/>
    <w:multiLevelType w:val="hybridMultilevel"/>
    <w:tmpl w:val="982E9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644969"/>
    <w:multiLevelType w:val="hybridMultilevel"/>
    <w:tmpl w:val="E0B053FC"/>
    <w:lvl w:ilvl="0" w:tplc="16E81AD6">
      <w:start w:val="8"/>
      <w:numFmt w:val="bullet"/>
      <w:lvlText w:val="-"/>
      <w:lvlJc w:val="left"/>
      <w:pPr>
        <w:ind w:left="72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7">
    <w:nsid w:val="4F650D92"/>
    <w:multiLevelType w:val="multilevel"/>
    <w:tmpl w:val="7758F032"/>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8">
    <w:nsid w:val="52DC7F7B"/>
    <w:multiLevelType w:val="hybridMultilevel"/>
    <w:tmpl w:val="282ED4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537B69BA"/>
    <w:multiLevelType w:val="hybridMultilevel"/>
    <w:tmpl w:val="B2D08550"/>
    <w:lvl w:ilvl="0" w:tplc="CD54A48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1">
    <w:nsid w:val="54E04DE2"/>
    <w:multiLevelType w:val="hybridMultilevel"/>
    <w:tmpl w:val="CB868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4ED4249"/>
    <w:multiLevelType w:val="multilevel"/>
    <w:tmpl w:val="56E60F82"/>
    <w:name w:val="NumPar__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AF41349"/>
    <w:multiLevelType w:val="hybridMultilevel"/>
    <w:tmpl w:val="F3CEE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F8C3B69"/>
    <w:multiLevelType w:val="multilevel"/>
    <w:tmpl w:val="F322F3E8"/>
    <w:lvl w:ilvl="0">
      <w:start w:val="1"/>
      <w:numFmt w:val="decimal"/>
      <w:lvlRestart w:val="0"/>
      <w:pStyle w:val="ListNumber"/>
      <w:lvlText w:val="(%1)"/>
      <w:lvlJc w:val="left"/>
      <w:pPr>
        <w:tabs>
          <w:tab w:val="num" w:pos="709"/>
        </w:tabs>
        <w:ind w:left="709" w:hanging="709"/>
      </w:pPr>
      <w:rPr>
        <w:rFonts w:cs="Times New Roman"/>
        <w:lang w:val="lv-LV"/>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FF44CEA"/>
    <w:multiLevelType w:val="hybridMultilevel"/>
    <w:tmpl w:val="BC56C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D2B5511"/>
    <w:multiLevelType w:val="singleLevel"/>
    <w:tmpl w:val="74A09970"/>
    <w:lvl w:ilvl="0">
      <w:start w:val="1"/>
      <w:numFmt w:val="bullet"/>
      <w:pStyle w:val="ListBullet"/>
      <w:lvlText w:val=""/>
      <w:lvlJc w:val="left"/>
      <w:pPr>
        <w:tabs>
          <w:tab w:val="num" w:pos="283"/>
        </w:tabs>
        <w:ind w:left="283" w:hanging="283"/>
      </w:pPr>
      <w:rPr>
        <w:rFonts w:ascii="Symbol" w:hAnsi="Symbol" w:hint="default"/>
      </w:rPr>
    </w:lvl>
  </w:abstractNum>
  <w:abstractNum w:abstractNumId="17">
    <w:nsid w:val="7D5F6ED1"/>
    <w:multiLevelType w:val="hybridMultilevel"/>
    <w:tmpl w:val="9CF83B7C"/>
    <w:lvl w:ilvl="0" w:tplc="5074E3CC">
      <w:start w:val="1"/>
      <w:numFmt w:val="decimal"/>
      <w:pStyle w:val="Numeracin"/>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6"/>
  </w:num>
  <w:num w:numId="2">
    <w:abstractNumId w:val="17"/>
  </w:num>
  <w:num w:numId="3">
    <w:abstractNumId w:val="10"/>
  </w:num>
  <w:num w:numId="4">
    <w:abstractNumId w:val="14"/>
  </w:num>
  <w:num w:numId="5">
    <w:abstractNumId w:val="3"/>
  </w:num>
  <w:num w:numId="6">
    <w:abstractNumId w:val="2"/>
  </w:num>
  <w:num w:numId="7">
    <w:abstractNumId w:val="0"/>
  </w:num>
  <w:num w:numId="8">
    <w:abstractNumId w:val="12"/>
  </w:num>
  <w:num w:numId="9">
    <w:abstractNumId w:val="13"/>
  </w:num>
  <w:num w:numId="10">
    <w:abstractNumId w:val="8"/>
  </w:num>
  <w:num w:numId="11">
    <w:abstractNumId w:val="15"/>
  </w:num>
  <w:num w:numId="12">
    <w:abstractNumId w:val="11"/>
  </w:num>
  <w:num w:numId="13">
    <w:abstractNumId w:val="9"/>
  </w:num>
  <w:num w:numId="14">
    <w:abstractNumId w:val="1"/>
  </w:num>
  <w:num w:numId="15">
    <w:abstractNumId w:val="7"/>
  </w:num>
  <w:num w:numId="16">
    <w:abstractNumId w:val="6"/>
  </w:num>
  <w:num w:numId="17">
    <w:abstractNumId w:val="5"/>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650E"/>
    <w:rsid w:val="00003600"/>
    <w:rsid w:val="000056E8"/>
    <w:rsid w:val="0001061D"/>
    <w:rsid w:val="0001095C"/>
    <w:rsid w:val="000113D3"/>
    <w:rsid w:val="000125E6"/>
    <w:rsid w:val="00015C99"/>
    <w:rsid w:val="00017319"/>
    <w:rsid w:val="000266CD"/>
    <w:rsid w:val="000273B0"/>
    <w:rsid w:val="0002744F"/>
    <w:rsid w:val="00031C2D"/>
    <w:rsid w:val="000332C9"/>
    <w:rsid w:val="00036979"/>
    <w:rsid w:val="000427DD"/>
    <w:rsid w:val="00042856"/>
    <w:rsid w:val="00042D11"/>
    <w:rsid w:val="00047317"/>
    <w:rsid w:val="0004758A"/>
    <w:rsid w:val="00047E20"/>
    <w:rsid w:val="00050392"/>
    <w:rsid w:val="000504F4"/>
    <w:rsid w:val="000510F4"/>
    <w:rsid w:val="00051C9E"/>
    <w:rsid w:val="00054122"/>
    <w:rsid w:val="00054301"/>
    <w:rsid w:val="00055E2B"/>
    <w:rsid w:val="00060996"/>
    <w:rsid w:val="00065994"/>
    <w:rsid w:val="00067A1C"/>
    <w:rsid w:val="000706C8"/>
    <w:rsid w:val="00070D9E"/>
    <w:rsid w:val="00074145"/>
    <w:rsid w:val="00081184"/>
    <w:rsid w:val="000818D3"/>
    <w:rsid w:val="00081996"/>
    <w:rsid w:val="00085EDD"/>
    <w:rsid w:val="000873DE"/>
    <w:rsid w:val="00087407"/>
    <w:rsid w:val="00087C29"/>
    <w:rsid w:val="00090E8C"/>
    <w:rsid w:val="0009135C"/>
    <w:rsid w:val="00092024"/>
    <w:rsid w:val="0009327E"/>
    <w:rsid w:val="00093C22"/>
    <w:rsid w:val="00094195"/>
    <w:rsid w:val="00096CCA"/>
    <w:rsid w:val="00097A06"/>
    <w:rsid w:val="000A10E8"/>
    <w:rsid w:val="000A22F9"/>
    <w:rsid w:val="000A3192"/>
    <w:rsid w:val="000A4FE8"/>
    <w:rsid w:val="000A5F4E"/>
    <w:rsid w:val="000A780C"/>
    <w:rsid w:val="000A7BF3"/>
    <w:rsid w:val="000B180C"/>
    <w:rsid w:val="000B3193"/>
    <w:rsid w:val="000B3F6C"/>
    <w:rsid w:val="000B52AE"/>
    <w:rsid w:val="000C0170"/>
    <w:rsid w:val="000C01FB"/>
    <w:rsid w:val="000C04F1"/>
    <w:rsid w:val="000C1E50"/>
    <w:rsid w:val="000C285D"/>
    <w:rsid w:val="000C3E02"/>
    <w:rsid w:val="000D01C5"/>
    <w:rsid w:val="000D020F"/>
    <w:rsid w:val="000D0422"/>
    <w:rsid w:val="000D395E"/>
    <w:rsid w:val="000D6A64"/>
    <w:rsid w:val="000E0FEF"/>
    <w:rsid w:val="000E4DC5"/>
    <w:rsid w:val="000E5937"/>
    <w:rsid w:val="000E6EBB"/>
    <w:rsid w:val="000F14FD"/>
    <w:rsid w:val="000F191C"/>
    <w:rsid w:val="000F3651"/>
    <w:rsid w:val="000F64F5"/>
    <w:rsid w:val="001006A1"/>
    <w:rsid w:val="00101493"/>
    <w:rsid w:val="00101944"/>
    <w:rsid w:val="00102DAA"/>
    <w:rsid w:val="001048F4"/>
    <w:rsid w:val="00107920"/>
    <w:rsid w:val="001123BF"/>
    <w:rsid w:val="001139B4"/>
    <w:rsid w:val="00114A0B"/>
    <w:rsid w:val="00114DFC"/>
    <w:rsid w:val="00120D79"/>
    <w:rsid w:val="00123761"/>
    <w:rsid w:val="0012451B"/>
    <w:rsid w:val="0013059C"/>
    <w:rsid w:val="00130ABE"/>
    <w:rsid w:val="0013218D"/>
    <w:rsid w:val="00132C7F"/>
    <w:rsid w:val="00133DB5"/>
    <w:rsid w:val="00137032"/>
    <w:rsid w:val="00140A01"/>
    <w:rsid w:val="00141806"/>
    <w:rsid w:val="001429A0"/>
    <w:rsid w:val="001431D8"/>
    <w:rsid w:val="0014663A"/>
    <w:rsid w:val="00146739"/>
    <w:rsid w:val="00150A82"/>
    <w:rsid w:val="00151A7C"/>
    <w:rsid w:val="00153A94"/>
    <w:rsid w:val="00155B5D"/>
    <w:rsid w:val="00155E80"/>
    <w:rsid w:val="00157068"/>
    <w:rsid w:val="00157995"/>
    <w:rsid w:val="00160974"/>
    <w:rsid w:val="001644F1"/>
    <w:rsid w:val="00164668"/>
    <w:rsid w:val="001650C6"/>
    <w:rsid w:val="00165F76"/>
    <w:rsid w:val="00171310"/>
    <w:rsid w:val="001729C9"/>
    <w:rsid w:val="00173482"/>
    <w:rsid w:val="00173B59"/>
    <w:rsid w:val="001758EC"/>
    <w:rsid w:val="00175CED"/>
    <w:rsid w:val="00176031"/>
    <w:rsid w:val="00176254"/>
    <w:rsid w:val="00176275"/>
    <w:rsid w:val="00177158"/>
    <w:rsid w:val="00181532"/>
    <w:rsid w:val="001822D6"/>
    <w:rsid w:val="00182581"/>
    <w:rsid w:val="00182A1A"/>
    <w:rsid w:val="00184359"/>
    <w:rsid w:val="00184ABA"/>
    <w:rsid w:val="001863BB"/>
    <w:rsid w:val="00186AF1"/>
    <w:rsid w:val="00187D17"/>
    <w:rsid w:val="00187D2F"/>
    <w:rsid w:val="001902EC"/>
    <w:rsid w:val="001934E9"/>
    <w:rsid w:val="00194848"/>
    <w:rsid w:val="001956B1"/>
    <w:rsid w:val="00195836"/>
    <w:rsid w:val="00195C50"/>
    <w:rsid w:val="001A194D"/>
    <w:rsid w:val="001A2BD3"/>
    <w:rsid w:val="001A6BFD"/>
    <w:rsid w:val="001A7625"/>
    <w:rsid w:val="001B0BA0"/>
    <w:rsid w:val="001B1886"/>
    <w:rsid w:val="001B2F5D"/>
    <w:rsid w:val="001B34A3"/>
    <w:rsid w:val="001B3B48"/>
    <w:rsid w:val="001B51D8"/>
    <w:rsid w:val="001B7821"/>
    <w:rsid w:val="001B7DE0"/>
    <w:rsid w:val="001C1013"/>
    <w:rsid w:val="001C1279"/>
    <w:rsid w:val="001C2436"/>
    <w:rsid w:val="001C32EB"/>
    <w:rsid w:val="001C4F11"/>
    <w:rsid w:val="001C5D47"/>
    <w:rsid w:val="001C638D"/>
    <w:rsid w:val="001C68CC"/>
    <w:rsid w:val="001C6A9D"/>
    <w:rsid w:val="001C6D27"/>
    <w:rsid w:val="001D0305"/>
    <w:rsid w:val="001D1376"/>
    <w:rsid w:val="001D1B8F"/>
    <w:rsid w:val="001D233C"/>
    <w:rsid w:val="001D2CE2"/>
    <w:rsid w:val="001D6CEC"/>
    <w:rsid w:val="001D7B2B"/>
    <w:rsid w:val="001E00F9"/>
    <w:rsid w:val="001E04E4"/>
    <w:rsid w:val="001E123C"/>
    <w:rsid w:val="001E1F9A"/>
    <w:rsid w:val="001E2415"/>
    <w:rsid w:val="001E2CAE"/>
    <w:rsid w:val="001E55F1"/>
    <w:rsid w:val="001E5B21"/>
    <w:rsid w:val="001E60B3"/>
    <w:rsid w:val="001E68A3"/>
    <w:rsid w:val="001F03A9"/>
    <w:rsid w:val="001F069B"/>
    <w:rsid w:val="001F06AC"/>
    <w:rsid w:val="001F0D74"/>
    <w:rsid w:val="001F3AD5"/>
    <w:rsid w:val="001F46D8"/>
    <w:rsid w:val="001F6C43"/>
    <w:rsid w:val="001F7950"/>
    <w:rsid w:val="00200C1D"/>
    <w:rsid w:val="00201D32"/>
    <w:rsid w:val="00202DD0"/>
    <w:rsid w:val="002042CB"/>
    <w:rsid w:val="00205152"/>
    <w:rsid w:val="002075E1"/>
    <w:rsid w:val="002077B3"/>
    <w:rsid w:val="00207C31"/>
    <w:rsid w:val="00207E36"/>
    <w:rsid w:val="00211960"/>
    <w:rsid w:val="002151F7"/>
    <w:rsid w:val="00217C60"/>
    <w:rsid w:val="002202C1"/>
    <w:rsid w:val="002209FA"/>
    <w:rsid w:val="00222BC6"/>
    <w:rsid w:val="00227701"/>
    <w:rsid w:val="00231E0E"/>
    <w:rsid w:val="00234EAC"/>
    <w:rsid w:val="00234F92"/>
    <w:rsid w:val="00236230"/>
    <w:rsid w:val="00236E50"/>
    <w:rsid w:val="00240141"/>
    <w:rsid w:val="00241004"/>
    <w:rsid w:val="002437BB"/>
    <w:rsid w:val="002438DA"/>
    <w:rsid w:val="00247CF4"/>
    <w:rsid w:val="00250CB0"/>
    <w:rsid w:val="00251121"/>
    <w:rsid w:val="00252B24"/>
    <w:rsid w:val="00253EB1"/>
    <w:rsid w:val="00254128"/>
    <w:rsid w:val="0025421E"/>
    <w:rsid w:val="0025665F"/>
    <w:rsid w:val="00256D10"/>
    <w:rsid w:val="002610B3"/>
    <w:rsid w:val="002618E3"/>
    <w:rsid w:val="00263035"/>
    <w:rsid w:val="002633FE"/>
    <w:rsid w:val="002637FE"/>
    <w:rsid w:val="002645BC"/>
    <w:rsid w:val="002646D1"/>
    <w:rsid w:val="002655C0"/>
    <w:rsid w:val="00265618"/>
    <w:rsid w:val="002725E1"/>
    <w:rsid w:val="0027508B"/>
    <w:rsid w:val="00275457"/>
    <w:rsid w:val="00275765"/>
    <w:rsid w:val="00275833"/>
    <w:rsid w:val="00276D68"/>
    <w:rsid w:val="00280FBA"/>
    <w:rsid w:val="00282776"/>
    <w:rsid w:val="002828E6"/>
    <w:rsid w:val="00283022"/>
    <w:rsid w:val="00283EBC"/>
    <w:rsid w:val="00284C91"/>
    <w:rsid w:val="00285E43"/>
    <w:rsid w:val="002864FD"/>
    <w:rsid w:val="00294A1F"/>
    <w:rsid w:val="00294E1C"/>
    <w:rsid w:val="00295A51"/>
    <w:rsid w:val="002A166F"/>
    <w:rsid w:val="002A3EEC"/>
    <w:rsid w:val="002A418F"/>
    <w:rsid w:val="002A4535"/>
    <w:rsid w:val="002A5AFF"/>
    <w:rsid w:val="002A6FA7"/>
    <w:rsid w:val="002B123E"/>
    <w:rsid w:val="002B20B8"/>
    <w:rsid w:val="002B221F"/>
    <w:rsid w:val="002B30DB"/>
    <w:rsid w:val="002B3C0B"/>
    <w:rsid w:val="002B6466"/>
    <w:rsid w:val="002B7538"/>
    <w:rsid w:val="002B7D16"/>
    <w:rsid w:val="002C0419"/>
    <w:rsid w:val="002C14E2"/>
    <w:rsid w:val="002C3C49"/>
    <w:rsid w:val="002C4A6C"/>
    <w:rsid w:val="002C4AC4"/>
    <w:rsid w:val="002D10BD"/>
    <w:rsid w:val="002D1765"/>
    <w:rsid w:val="002D4A0F"/>
    <w:rsid w:val="002E2FBF"/>
    <w:rsid w:val="002E30F9"/>
    <w:rsid w:val="002E3403"/>
    <w:rsid w:val="002E3C1F"/>
    <w:rsid w:val="002E3CE5"/>
    <w:rsid w:val="002E5156"/>
    <w:rsid w:val="002E6DDE"/>
    <w:rsid w:val="002E6FA3"/>
    <w:rsid w:val="002F2E02"/>
    <w:rsid w:val="002F5A3F"/>
    <w:rsid w:val="00302347"/>
    <w:rsid w:val="003028A7"/>
    <w:rsid w:val="00303D2E"/>
    <w:rsid w:val="00304494"/>
    <w:rsid w:val="003047AA"/>
    <w:rsid w:val="00304896"/>
    <w:rsid w:val="00305EA5"/>
    <w:rsid w:val="00306CE2"/>
    <w:rsid w:val="00307CF9"/>
    <w:rsid w:val="0031237A"/>
    <w:rsid w:val="00312468"/>
    <w:rsid w:val="003144F1"/>
    <w:rsid w:val="00314A33"/>
    <w:rsid w:val="00315290"/>
    <w:rsid w:val="00315F89"/>
    <w:rsid w:val="0031681E"/>
    <w:rsid w:val="00324067"/>
    <w:rsid w:val="00332B57"/>
    <w:rsid w:val="0033617C"/>
    <w:rsid w:val="00336215"/>
    <w:rsid w:val="0033748D"/>
    <w:rsid w:val="00340755"/>
    <w:rsid w:val="003407B1"/>
    <w:rsid w:val="00340CB0"/>
    <w:rsid w:val="00340E4D"/>
    <w:rsid w:val="00340EC2"/>
    <w:rsid w:val="0034199A"/>
    <w:rsid w:val="0034341F"/>
    <w:rsid w:val="00343812"/>
    <w:rsid w:val="00343C17"/>
    <w:rsid w:val="003444AB"/>
    <w:rsid w:val="00346350"/>
    <w:rsid w:val="003514F2"/>
    <w:rsid w:val="003516B4"/>
    <w:rsid w:val="0035262E"/>
    <w:rsid w:val="0035370B"/>
    <w:rsid w:val="00354543"/>
    <w:rsid w:val="00360C5D"/>
    <w:rsid w:val="00360D89"/>
    <w:rsid w:val="00361417"/>
    <w:rsid w:val="003617CC"/>
    <w:rsid w:val="003621A1"/>
    <w:rsid w:val="00363266"/>
    <w:rsid w:val="00363844"/>
    <w:rsid w:val="0037151B"/>
    <w:rsid w:val="00371797"/>
    <w:rsid w:val="003723A3"/>
    <w:rsid w:val="00374AD8"/>
    <w:rsid w:val="00375454"/>
    <w:rsid w:val="0037709C"/>
    <w:rsid w:val="0037753A"/>
    <w:rsid w:val="00380D7C"/>
    <w:rsid w:val="00381E46"/>
    <w:rsid w:val="003829A7"/>
    <w:rsid w:val="00387402"/>
    <w:rsid w:val="003907AC"/>
    <w:rsid w:val="00390F53"/>
    <w:rsid w:val="0039125E"/>
    <w:rsid w:val="0039173B"/>
    <w:rsid w:val="003941F9"/>
    <w:rsid w:val="00397D7A"/>
    <w:rsid w:val="00397E9E"/>
    <w:rsid w:val="003A4412"/>
    <w:rsid w:val="003A46A7"/>
    <w:rsid w:val="003A6CDE"/>
    <w:rsid w:val="003A70F3"/>
    <w:rsid w:val="003B42F6"/>
    <w:rsid w:val="003B54A8"/>
    <w:rsid w:val="003B5F94"/>
    <w:rsid w:val="003B6169"/>
    <w:rsid w:val="003B78BF"/>
    <w:rsid w:val="003C056D"/>
    <w:rsid w:val="003C0742"/>
    <w:rsid w:val="003C4C02"/>
    <w:rsid w:val="003C5B28"/>
    <w:rsid w:val="003C6AA3"/>
    <w:rsid w:val="003C7BC9"/>
    <w:rsid w:val="003D2E22"/>
    <w:rsid w:val="003D3D7D"/>
    <w:rsid w:val="003D42A9"/>
    <w:rsid w:val="003D528B"/>
    <w:rsid w:val="003D5541"/>
    <w:rsid w:val="003D6CD7"/>
    <w:rsid w:val="003D6FA5"/>
    <w:rsid w:val="003E1C16"/>
    <w:rsid w:val="003E221B"/>
    <w:rsid w:val="003E31E6"/>
    <w:rsid w:val="003E542E"/>
    <w:rsid w:val="003E5F10"/>
    <w:rsid w:val="003E783D"/>
    <w:rsid w:val="003E79E3"/>
    <w:rsid w:val="003F09AD"/>
    <w:rsid w:val="003F11AF"/>
    <w:rsid w:val="003F1748"/>
    <w:rsid w:val="003F239F"/>
    <w:rsid w:val="003F3589"/>
    <w:rsid w:val="003F50FB"/>
    <w:rsid w:val="003F59DF"/>
    <w:rsid w:val="003F5D7D"/>
    <w:rsid w:val="004018AB"/>
    <w:rsid w:val="00401E9C"/>
    <w:rsid w:val="00402C2C"/>
    <w:rsid w:val="00406C31"/>
    <w:rsid w:val="00413B9A"/>
    <w:rsid w:val="00413BE2"/>
    <w:rsid w:val="004144EB"/>
    <w:rsid w:val="00414E5A"/>
    <w:rsid w:val="00415757"/>
    <w:rsid w:val="004178CD"/>
    <w:rsid w:val="004179C0"/>
    <w:rsid w:val="00420D68"/>
    <w:rsid w:val="00421D4B"/>
    <w:rsid w:val="0042559C"/>
    <w:rsid w:val="00425F32"/>
    <w:rsid w:val="00426702"/>
    <w:rsid w:val="00426709"/>
    <w:rsid w:val="00426798"/>
    <w:rsid w:val="00426F59"/>
    <w:rsid w:val="004321B6"/>
    <w:rsid w:val="0043257F"/>
    <w:rsid w:val="00433D4B"/>
    <w:rsid w:val="00433FB0"/>
    <w:rsid w:val="00434F92"/>
    <w:rsid w:val="004379C4"/>
    <w:rsid w:val="00440D69"/>
    <w:rsid w:val="0044451E"/>
    <w:rsid w:val="0044456C"/>
    <w:rsid w:val="00445779"/>
    <w:rsid w:val="00445EB9"/>
    <w:rsid w:val="004463AB"/>
    <w:rsid w:val="00446491"/>
    <w:rsid w:val="004468E6"/>
    <w:rsid w:val="00447541"/>
    <w:rsid w:val="004477A4"/>
    <w:rsid w:val="00447FDE"/>
    <w:rsid w:val="004516F4"/>
    <w:rsid w:val="00451CBD"/>
    <w:rsid w:val="004530FB"/>
    <w:rsid w:val="00453A54"/>
    <w:rsid w:val="0045638F"/>
    <w:rsid w:val="00456BFE"/>
    <w:rsid w:val="004615D0"/>
    <w:rsid w:val="00463781"/>
    <w:rsid w:val="004651C0"/>
    <w:rsid w:val="00465B8D"/>
    <w:rsid w:val="00466545"/>
    <w:rsid w:val="004667F5"/>
    <w:rsid w:val="0046773C"/>
    <w:rsid w:val="00470C3E"/>
    <w:rsid w:val="00471132"/>
    <w:rsid w:val="0047122E"/>
    <w:rsid w:val="00472289"/>
    <w:rsid w:val="00476993"/>
    <w:rsid w:val="00476C17"/>
    <w:rsid w:val="0048054E"/>
    <w:rsid w:val="00485561"/>
    <w:rsid w:val="004866A5"/>
    <w:rsid w:val="00486E4A"/>
    <w:rsid w:val="004871E1"/>
    <w:rsid w:val="004963F0"/>
    <w:rsid w:val="0049745D"/>
    <w:rsid w:val="00497611"/>
    <w:rsid w:val="004A0A84"/>
    <w:rsid w:val="004A20AC"/>
    <w:rsid w:val="004A4445"/>
    <w:rsid w:val="004A58DC"/>
    <w:rsid w:val="004A58E6"/>
    <w:rsid w:val="004A5A28"/>
    <w:rsid w:val="004A6C60"/>
    <w:rsid w:val="004A7A45"/>
    <w:rsid w:val="004B090C"/>
    <w:rsid w:val="004B17DC"/>
    <w:rsid w:val="004B184A"/>
    <w:rsid w:val="004B1E32"/>
    <w:rsid w:val="004B4965"/>
    <w:rsid w:val="004B6B5C"/>
    <w:rsid w:val="004C2848"/>
    <w:rsid w:val="004C30E6"/>
    <w:rsid w:val="004C43C1"/>
    <w:rsid w:val="004C51D5"/>
    <w:rsid w:val="004C51EF"/>
    <w:rsid w:val="004C54DE"/>
    <w:rsid w:val="004C5A4F"/>
    <w:rsid w:val="004C699A"/>
    <w:rsid w:val="004C775B"/>
    <w:rsid w:val="004C7DC1"/>
    <w:rsid w:val="004D0452"/>
    <w:rsid w:val="004D190F"/>
    <w:rsid w:val="004D1CC4"/>
    <w:rsid w:val="004D493F"/>
    <w:rsid w:val="004D4F76"/>
    <w:rsid w:val="004D6B87"/>
    <w:rsid w:val="004D7828"/>
    <w:rsid w:val="004E20EF"/>
    <w:rsid w:val="004E410C"/>
    <w:rsid w:val="004F2A24"/>
    <w:rsid w:val="004F52C0"/>
    <w:rsid w:val="004F55CF"/>
    <w:rsid w:val="004F5E20"/>
    <w:rsid w:val="004F7F4D"/>
    <w:rsid w:val="00502F76"/>
    <w:rsid w:val="00503CEF"/>
    <w:rsid w:val="00503E1D"/>
    <w:rsid w:val="005048CF"/>
    <w:rsid w:val="005048D1"/>
    <w:rsid w:val="00504D89"/>
    <w:rsid w:val="0050749E"/>
    <w:rsid w:val="00510A93"/>
    <w:rsid w:val="00517365"/>
    <w:rsid w:val="00520AF6"/>
    <w:rsid w:val="00522358"/>
    <w:rsid w:val="00522FB4"/>
    <w:rsid w:val="00524F8D"/>
    <w:rsid w:val="00531897"/>
    <w:rsid w:val="00531DCC"/>
    <w:rsid w:val="0053270E"/>
    <w:rsid w:val="00534748"/>
    <w:rsid w:val="00541A27"/>
    <w:rsid w:val="00541D60"/>
    <w:rsid w:val="00544F06"/>
    <w:rsid w:val="005453E1"/>
    <w:rsid w:val="00546A03"/>
    <w:rsid w:val="00547CC2"/>
    <w:rsid w:val="00547FF3"/>
    <w:rsid w:val="00550271"/>
    <w:rsid w:val="0055035F"/>
    <w:rsid w:val="00550BF3"/>
    <w:rsid w:val="005512C0"/>
    <w:rsid w:val="00551D84"/>
    <w:rsid w:val="00561916"/>
    <w:rsid w:val="00563025"/>
    <w:rsid w:val="0056681F"/>
    <w:rsid w:val="00572770"/>
    <w:rsid w:val="005727D0"/>
    <w:rsid w:val="00572E9F"/>
    <w:rsid w:val="0057376C"/>
    <w:rsid w:val="00574230"/>
    <w:rsid w:val="005758D5"/>
    <w:rsid w:val="00575F36"/>
    <w:rsid w:val="00581709"/>
    <w:rsid w:val="00581DDD"/>
    <w:rsid w:val="00582F9A"/>
    <w:rsid w:val="00583513"/>
    <w:rsid w:val="00585089"/>
    <w:rsid w:val="00586CCA"/>
    <w:rsid w:val="00593E63"/>
    <w:rsid w:val="00594AE0"/>
    <w:rsid w:val="005A19BC"/>
    <w:rsid w:val="005A7CDE"/>
    <w:rsid w:val="005B00D1"/>
    <w:rsid w:val="005B0205"/>
    <w:rsid w:val="005B06A0"/>
    <w:rsid w:val="005B0C0E"/>
    <w:rsid w:val="005B1F6C"/>
    <w:rsid w:val="005B2244"/>
    <w:rsid w:val="005B2A1E"/>
    <w:rsid w:val="005B41BA"/>
    <w:rsid w:val="005B41D7"/>
    <w:rsid w:val="005B72D1"/>
    <w:rsid w:val="005C105D"/>
    <w:rsid w:val="005C2394"/>
    <w:rsid w:val="005C3025"/>
    <w:rsid w:val="005C5636"/>
    <w:rsid w:val="005C566B"/>
    <w:rsid w:val="005C716F"/>
    <w:rsid w:val="005C7A5C"/>
    <w:rsid w:val="005D0173"/>
    <w:rsid w:val="005D2799"/>
    <w:rsid w:val="005D5538"/>
    <w:rsid w:val="005E0FBA"/>
    <w:rsid w:val="005E4881"/>
    <w:rsid w:val="005E48A7"/>
    <w:rsid w:val="005E4AC6"/>
    <w:rsid w:val="005E55E7"/>
    <w:rsid w:val="005E7E2D"/>
    <w:rsid w:val="005F2340"/>
    <w:rsid w:val="005F255C"/>
    <w:rsid w:val="005F39D7"/>
    <w:rsid w:val="005F44F2"/>
    <w:rsid w:val="005F49D8"/>
    <w:rsid w:val="005F4B5C"/>
    <w:rsid w:val="005F663C"/>
    <w:rsid w:val="0060227C"/>
    <w:rsid w:val="0060358C"/>
    <w:rsid w:val="0060535D"/>
    <w:rsid w:val="00605D6C"/>
    <w:rsid w:val="006063AB"/>
    <w:rsid w:val="006073AE"/>
    <w:rsid w:val="00612DBB"/>
    <w:rsid w:val="006148D5"/>
    <w:rsid w:val="006158E1"/>
    <w:rsid w:val="00615E28"/>
    <w:rsid w:val="0061677B"/>
    <w:rsid w:val="00616ECD"/>
    <w:rsid w:val="00622070"/>
    <w:rsid w:val="00622453"/>
    <w:rsid w:val="00622D49"/>
    <w:rsid w:val="0062431A"/>
    <w:rsid w:val="0062476E"/>
    <w:rsid w:val="00624D6A"/>
    <w:rsid w:val="006250BE"/>
    <w:rsid w:val="00626D95"/>
    <w:rsid w:val="0063110B"/>
    <w:rsid w:val="00631610"/>
    <w:rsid w:val="00632FC1"/>
    <w:rsid w:val="006355A1"/>
    <w:rsid w:val="006359A3"/>
    <w:rsid w:val="00641A28"/>
    <w:rsid w:val="006449D9"/>
    <w:rsid w:val="00645E75"/>
    <w:rsid w:val="00650B6B"/>
    <w:rsid w:val="00651E7F"/>
    <w:rsid w:val="00653CFF"/>
    <w:rsid w:val="00656873"/>
    <w:rsid w:val="006608B4"/>
    <w:rsid w:val="0066443C"/>
    <w:rsid w:val="006664C4"/>
    <w:rsid w:val="00670E0B"/>
    <w:rsid w:val="00671F1E"/>
    <w:rsid w:val="00672524"/>
    <w:rsid w:val="006731E3"/>
    <w:rsid w:val="00673F8F"/>
    <w:rsid w:val="00676219"/>
    <w:rsid w:val="006766F7"/>
    <w:rsid w:val="00677D1F"/>
    <w:rsid w:val="006800EF"/>
    <w:rsid w:val="00680FB7"/>
    <w:rsid w:val="00682BC9"/>
    <w:rsid w:val="00682FC2"/>
    <w:rsid w:val="00683DED"/>
    <w:rsid w:val="00685610"/>
    <w:rsid w:val="006862D0"/>
    <w:rsid w:val="006864F7"/>
    <w:rsid w:val="006905CE"/>
    <w:rsid w:val="00691A88"/>
    <w:rsid w:val="00693DD6"/>
    <w:rsid w:val="006A02E2"/>
    <w:rsid w:val="006A032F"/>
    <w:rsid w:val="006A0621"/>
    <w:rsid w:val="006A2A13"/>
    <w:rsid w:val="006A4CC3"/>
    <w:rsid w:val="006A523B"/>
    <w:rsid w:val="006A5739"/>
    <w:rsid w:val="006A6DE1"/>
    <w:rsid w:val="006A6ECE"/>
    <w:rsid w:val="006B1594"/>
    <w:rsid w:val="006B24DF"/>
    <w:rsid w:val="006B27A3"/>
    <w:rsid w:val="006B3654"/>
    <w:rsid w:val="006B3C20"/>
    <w:rsid w:val="006B5CAF"/>
    <w:rsid w:val="006C02A8"/>
    <w:rsid w:val="006C0472"/>
    <w:rsid w:val="006C199A"/>
    <w:rsid w:val="006C3553"/>
    <w:rsid w:val="006C40EE"/>
    <w:rsid w:val="006C5086"/>
    <w:rsid w:val="006C652D"/>
    <w:rsid w:val="006D1F2D"/>
    <w:rsid w:val="006D23AD"/>
    <w:rsid w:val="006D3D99"/>
    <w:rsid w:val="006D49AD"/>
    <w:rsid w:val="006E0FE0"/>
    <w:rsid w:val="006E1A71"/>
    <w:rsid w:val="006E2624"/>
    <w:rsid w:val="006E7B74"/>
    <w:rsid w:val="006F0971"/>
    <w:rsid w:val="006F1320"/>
    <w:rsid w:val="006F4015"/>
    <w:rsid w:val="006F49EC"/>
    <w:rsid w:val="007003F9"/>
    <w:rsid w:val="00700A33"/>
    <w:rsid w:val="00700E5D"/>
    <w:rsid w:val="00702C94"/>
    <w:rsid w:val="00704E7D"/>
    <w:rsid w:val="0070614C"/>
    <w:rsid w:val="00706BE9"/>
    <w:rsid w:val="00711133"/>
    <w:rsid w:val="007114A0"/>
    <w:rsid w:val="00713ADF"/>
    <w:rsid w:val="0071442C"/>
    <w:rsid w:val="007147C8"/>
    <w:rsid w:val="00715245"/>
    <w:rsid w:val="00715AFC"/>
    <w:rsid w:val="007166A3"/>
    <w:rsid w:val="0071723E"/>
    <w:rsid w:val="00720C91"/>
    <w:rsid w:val="007230AF"/>
    <w:rsid w:val="00724F63"/>
    <w:rsid w:val="007260D9"/>
    <w:rsid w:val="0072611F"/>
    <w:rsid w:val="00726683"/>
    <w:rsid w:val="00730C13"/>
    <w:rsid w:val="00735869"/>
    <w:rsid w:val="0073635F"/>
    <w:rsid w:val="0073700A"/>
    <w:rsid w:val="00742393"/>
    <w:rsid w:val="007443B0"/>
    <w:rsid w:val="00746633"/>
    <w:rsid w:val="007467E4"/>
    <w:rsid w:val="007473E8"/>
    <w:rsid w:val="00750932"/>
    <w:rsid w:val="00750BBA"/>
    <w:rsid w:val="0075364C"/>
    <w:rsid w:val="00755B83"/>
    <w:rsid w:val="00760C8C"/>
    <w:rsid w:val="00761D4A"/>
    <w:rsid w:val="00761DB4"/>
    <w:rsid w:val="007650C7"/>
    <w:rsid w:val="00765409"/>
    <w:rsid w:val="007702B7"/>
    <w:rsid w:val="007714AA"/>
    <w:rsid w:val="00772A4E"/>
    <w:rsid w:val="0077411F"/>
    <w:rsid w:val="00775832"/>
    <w:rsid w:val="0077650E"/>
    <w:rsid w:val="0077685C"/>
    <w:rsid w:val="007776BB"/>
    <w:rsid w:val="00777C11"/>
    <w:rsid w:val="007818F9"/>
    <w:rsid w:val="00784E07"/>
    <w:rsid w:val="00786451"/>
    <w:rsid w:val="0079015F"/>
    <w:rsid w:val="0079165E"/>
    <w:rsid w:val="007956E4"/>
    <w:rsid w:val="0079736A"/>
    <w:rsid w:val="00797613"/>
    <w:rsid w:val="007A0A19"/>
    <w:rsid w:val="007A11ED"/>
    <w:rsid w:val="007A3079"/>
    <w:rsid w:val="007A34D8"/>
    <w:rsid w:val="007A418A"/>
    <w:rsid w:val="007A4E8A"/>
    <w:rsid w:val="007A51A7"/>
    <w:rsid w:val="007A54EE"/>
    <w:rsid w:val="007A594F"/>
    <w:rsid w:val="007A7E41"/>
    <w:rsid w:val="007B18F7"/>
    <w:rsid w:val="007B2FCB"/>
    <w:rsid w:val="007B6415"/>
    <w:rsid w:val="007C0CD3"/>
    <w:rsid w:val="007C154C"/>
    <w:rsid w:val="007C4876"/>
    <w:rsid w:val="007C6EE5"/>
    <w:rsid w:val="007D2944"/>
    <w:rsid w:val="007D4E0F"/>
    <w:rsid w:val="007D5B51"/>
    <w:rsid w:val="007D5CD7"/>
    <w:rsid w:val="007D64AD"/>
    <w:rsid w:val="007D6FCA"/>
    <w:rsid w:val="007E1B9E"/>
    <w:rsid w:val="007E3233"/>
    <w:rsid w:val="007E3320"/>
    <w:rsid w:val="007E52C9"/>
    <w:rsid w:val="007E5C4A"/>
    <w:rsid w:val="007E5F7D"/>
    <w:rsid w:val="007E7109"/>
    <w:rsid w:val="007E78EB"/>
    <w:rsid w:val="007F0E6D"/>
    <w:rsid w:val="007F1D62"/>
    <w:rsid w:val="007F32C2"/>
    <w:rsid w:val="007F33F9"/>
    <w:rsid w:val="00803188"/>
    <w:rsid w:val="0080320C"/>
    <w:rsid w:val="00804544"/>
    <w:rsid w:val="008059E7"/>
    <w:rsid w:val="008064B6"/>
    <w:rsid w:val="00806F05"/>
    <w:rsid w:val="00811B5F"/>
    <w:rsid w:val="00811F5D"/>
    <w:rsid w:val="00812275"/>
    <w:rsid w:val="00812DC5"/>
    <w:rsid w:val="00813B71"/>
    <w:rsid w:val="008142A1"/>
    <w:rsid w:val="00815BC2"/>
    <w:rsid w:val="0081727E"/>
    <w:rsid w:val="0082610C"/>
    <w:rsid w:val="008265CB"/>
    <w:rsid w:val="00830634"/>
    <w:rsid w:val="008324CF"/>
    <w:rsid w:val="00832A75"/>
    <w:rsid w:val="00835F7F"/>
    <w:rsid w:val="008363B6"/>
    <w:rsid w:val="00837760"/>
    <w:rsid w:val="008403A2"/>
    <w:rsid w:val="0084186D"/>
    <w:rsid w:val="008439E4"/>
    <w:rsid w:val="00845F71"/>
    <w:rsid w:val="008465D7"/>
    <w:rsid w:val="00846724"/>
    <w:rsid w:val="0085077C"/>
    <w:rsid w:val="00850A42"/>
    <w:rsid w:val="00851158"/>
    <w:rsid w:val="00851FCE"/>
    <w:rsid w:val="00854232"/>
    <w:rsid w:val="008552E6"/>
    <w:rsid w:val="00855681"/>
    <w:rsid w:val="00857C5D"/>
    <w:rsid w:val="008605F8"/>
    <w:rsid w:val="0087094F"/>
    <w:rsid w:val="00871585"/>
    <w:rsid w:val="008717B7"/>
    <w:rsid w:val="008727DD"/>
    <w:rsid w:val="00875AC0"/>
    <w:rsid w:val="00881111"/>
    <w:rsid w:val="00881CDF"/>
    <w:rsid w:val="00886E06"/>
    <w:rsid w:val="008919FA"/>
    <w:rsid w:val="0089292D"/>
    <w:rsid w:val="00894A7F"/>
    <w:rsid w:val="00894EBC"/>
    <w:rsid w:val="008A27AF"/>
    <w:rsid w:val="008A32F1"/>
    <w:rsid w:val="008A5561"/>
    <w:rsid w:val="008A6530"/>
    <w:rsid w:val="008A6E64"/>
    <w:rsid w:val="008B05D8"/>
    <w:rsid w:val="008B0AA7"/>
    <w:rsid w:val="008B4318"/>
    <w:rsid w:val="008B56B4"/>
    <w:rsid w:val="008B5A3B"/>
    <w:rsid w:val="008B6C2D"/>
    <w:rsid w:val="008B78C3"/>
    <w:rsid w:val="008C062E"/>
    <w:rsid w:val="008C0ED6"/>
    <w:rsid w:val="008C1601"/>
    <w:rsid w:val="008C2A49"/>
    <w:rsid w:val="008C2CD7"/>
    <w:rsid w:val="008C5A9B"/>
    <w:rsid w:val="008D0166"/>
    <w:rsid w:val="008D35D8"/>
    <w:rsid w:val="008D42C0"/>
    <w:rsid w:val="008D47C4"/>
    <w:rsid w:val="008D5546"/>
    <w:rsid w:val="008D6137"/>
    <w:rsid w:val="008D6448"/>
    <w:rsid w:val="008E5CFE"/>
    <w:rsid w:val="008E6EAD"/>
    <w:rsid w:val="008E718E"/>
    <w:rsid w:val="008E786D"/>
    <w:rsid w:val="008E7B70"/>
    <w:rsid w:val="008F3565"/>
    <w:rsid w:val="008F3A29"/>
    <w:rsid w:val="008F404F"/>
    <w:rsid w:val="00902549"/>
    <w:rsid w:val="0090271B"/>
    <w:rsid w:val="00904A84"/>
    <w:rsid w:val="00904EA0"/>
    <w:rsid w:val="00905C55"/>
    <w:rsid w:val="00906071"/>
    <w:rsid w:val="00906777"/>
    <w:rsid w:val="00907C17"/>
    <w:rsid w:val="00907C34"/>
    <w:rsid w:val="0091052D"/>
    <w:rsid w:val="00910762"/>
    <w:rsid w:val="00910E9A"/>
    <w:rsid w:val="009115BC"/>
    <w:rsid w:val="00914D27"/>
    <w:rsid w:val="009150BC"/>
    <w:rsid w:val="00916F85"/>
    <w:rsid w:val="009170D0"/>
    <w:rsid w:val="0091791F"/>
    <w:rsid w:val="00920120"/>
    <w:rsid w:val="0092019E"/>
    <w:rsid w:val="00920985"/>
    <w:rsid w:val="00920FBD"/>
    <w:rsid w:val="00922EC3"/>
    <w:rsid w:val="00924D6E"/>
    <w:rsid w:val="00925482"/>
    <w:rsid w:val="00933BBA"/>
    <w:rsid w:val="00937626"/>
    <w:rsid w:val="00940181"/>
    <w:rsid w:val="00942319"/>
    <w:rsid w:val="00942627"/>
    <w:rsid w:val="00943E44"/>
    <w:rsid w:val="00944846"/>
    <w:rsid w:val="00953793"/>
    <w:rsid w:val="00955F9D"/>
    <w:rsid w:val="00956926"/>
    <w:rsid w:val="00957712"/>
    <w:rsid w:val="009608B8"/>
    <w:rsid w:val="0096144C"/>
    <w:rsid w:val="009616EF"/>
    <w:rsid w:val="00963353"/>
    <w:rsid w:val="009638B9"/>
    <w:rsid w:val="00964623"/>
    <w:rsid w:val="0096576D"/>
    <w:rsid w:val="009664A5"/>
    <w:rsid w:val="00967227"/>
    <w:rsid w:val="00973973"/>
    <w:rsid w:val="009748C3"/>
    <w:rsid w:val="0097551F"/>
    <w:rsid w:val="00976388"/>
    <w:rsid w:val="0097669E"/>
    <w:rsid w:val="009775D4"/>
    <w:rsid w:val="0098077C"/>
    <w:rsid w:val="00981655"/>
    <w:rsid w:val="00986B20"/>
    <w:rsid w:val="00987EDF"/>
    <w:rsid w:val="00994361"/>
    <w:rsid w:val="00994AA4"/>
    <w:rsid w:val="00995FA6"/>
    <w:rsid w:val="009A063D"/>
    <w:rsid w:val="009A14F3"/>
    <w:rsid w:val="009A1F6D"/>
    <w:rsid w:val="009A2A29"/>
    <w:rsid w:val="009A3FCD"/>
    <w:rsid w:val="009A54FF"/>
    <w:rsid w:val="009A76E2"/>
    <w:rsid w:val="009B14DB"/>
    <w:rsid w:val="009B18D9"/>
    <w:rsid w:val="009B3E71"/>
    <w:rsid w:val="009C3465"/>
    <w:rsid w:val="009C3752"/>
    <w:rsid w:val="009C468C"/>
    <w:rsid w:val="009C65FC"/>
    <w:rsid w:val="009D0026"/>
    <w:rsid w:val="009D0FFC"/>
    <w:rsid w:val="009D1CCD"/>
    <w:rsid w:val="009D2EF8"/>
    <w:rsid w:val="009D4B34"/>
    <w:rsid w:val="009D4E3A"/>
    <w:rsid w:val="009D5357"/>
    <w:rsid w:val="009D5C37"/>
    <w:rsid w:val="009D6C5E"/>
    <w:rsid w:val="009D6EA5"/>
    <w:rsid w:val="009D7ABF"/>
    <w:rsid w:val="009E068C"/>
    <w:rsid w:val="009E0EDF"/>
    <w:rsid w:val="009E37BD"/>
    <w:rsid w:val="009E3FF8"/>
    <w:rsid w:val="009E543C"/>
    <w:rsid w:val="009E5F56"/>
    <w:rsid w:val="009F0105"/>
    <w:rsid w:val="009F0C94"/>
    <w:rsid w:val="009F0DB9"/>
    <w:rsid w:val="009F19A5"/>
    <w:rsid w:val="009F1F00"/>
    <w:rsid w:val="009F5C4E"/>
    <w:rsid w:val="009F7275"/>
    <w:rsid w:val="00A0049F"/>
    <w:rsid w:val="00A02580"/>
    <w:rsid w:val="00A02A10"/>
    <w:rsid w:val="00A046A5"/>
    <w:rsid w:val="00A06C96"/>
    <w:rsid w:val="00A102FD"/>
    <w:rsid w:val="00A12A14"/>
    <w:rsid w:val="00A12A6C"/>
    <w:rsid w:val="00A15257"/>
    <w:rsid w:val="00A15387"/>
    <w:rsid w:val="00A16CFB"/>
    <w:rsid w:val="00A21196"/>
    <w:rsid w:val="00A243CC"/>
    <w:rsid w:val="00A24B06"/>
    <w:rsid w:val="00A25B12"/>
    <w:rsid w:val="00A30B23"/>
    <w:rsid w:val="00A32488"/>
    <w:rsid w:val="00A32E68"/>
    <w:rsid w:val="00A33606"/>
    <w:rsid w:val="00A344F3"/>
    <w:rsid w:val="00A3459C"/>
    <w:rsid w:val="00A34702"/>
    <w:rsid w:val="00A34A79"/>
    <w:rsid w:val="00A35465"/>
    <w:rsid w:val="00A35E0F"/>
    <w:rsid w:val="00A376E3"/>
    <w:rsid w:val="00A425BF"/>
    <w:rsid w:val="00A44429"/>
    <w:rsid w:val="00A44671"/>
    <w:rsid w:val="00A46084"/>
    <w:rsid w:val="00A46F23"/>
    <w:rsid w:val="00A4703D"/>
    <w:rsid w:val="00A50245"/>
    <w:rsid w:val="00A511EB"/>
    <w:rsid w:val="00A512B9"/>
    <w:rsid w:val="00A51889"/>
    <w:rsid w:val="00A52DE8"/>
    <w:rsid w:val="00A52EF2"/>
    <w:rsid w:val="00A536AB"/>
    <w:rsid w:val="00A55A0E"/>
    <w:rsid w:val="00A56BCC"/>
    <w:rsid w:val="00A6059F"/>
    <w:rsid w:val="00A60FA8"/>
    <w:rsid w:val="00A61A34"/>
    <w:rsid w:val="00A62203"/>
    <w:rsid w:val="00A64388"/>
    <w:rsid w:val="00A65267"/>
    <w:rsid w:val="00A65C40"/>
    <w:rsid w:val="00A6659D"/>
    <w:rsid w:val="00A67530"/>
    <w:rsid w:val="00A675B0"/>
    <w:rsid w:val="00A6767E"/>
    <w:rsid w:val="00A707C1"/>
    <w:rsid w:val="00A71325"/>
    <w:rsid w:val="00A72DC3"/>
    <w:rsid w:val="00A7309E"/>
    <w:rsid w:val="00A74C3A"/>
    <w:rsid w:val="00A7584A"/>
    <w:rsid w:val="00A84214"/>
    <w:rsid w:val="00A84FC1"/>
    <w:rsid w:val="00A8722B"/>
    <w:rsid w:val="00A87377"/>
    <w:rsid w:val="00A87AA0"/>
    <w:rsid w:val="00A904FD"/>
    <w:rsid w:val="00A92EDE"/>
    <w:rsid w:val="00A92F7E"/>
    <w:rsid w:val="00A933D8"/>
    <w:rsid w:val="00A96ACC"/>
    <w:rsid w:val="00AA021A"/>
    <w:rsid w:val="00AA269D"/>
    <w:rsid w:val="00AA4667"/>
    <w:rsid w:val="00AA4BDE"/>
    <w:rsid w:val="00AA55A4"/>
    <w:rsid w:val="00AA5F97"/>
    <w:rsid w:val="00AA76E5"/>
    <w:rsid w:val="00AB04EE"/>
    <w:rsid w:val="00AB09FC"/>
    <w:rsid w:val="00AB3DC5"/>
    <w:rsid w:val="00AB4B7C"/>
    <w:rsid w:val="00AB73A5"/>
    <w:rsid w:val="00AB77C8"/>
    <w:rsid w:val="00AC01D3"/>
    <w:rsid w:val="00AC25DF"/>
    <w:rsid w:val="00AC3A60"/>
    <w:rsid w:val="00AC4307"/>
    <w:rsid w:val="00AC4464"/>
    <w:rsid w:val="00AC485B"/>
    <w:rsid w:val="00AD0D74"/>
    <w:rsid w:val="00AD0DD9"/>
    <w:rsid w:val="00AD0FE5"/>
    <w:rsid w:val="00AD3EA3"/>
    <w:rsid w:val="00AD410E"/>
    <w:rsid w:val="00AD598E"/>
    <w:rsid w:val="00AD5F43"/>
    <w:rsid w:val="00AD671E"/>
    <w:rsid w:val="00AE0D73"/>
    <w:rsid w:val="00AE1971"/>
    <w:rsid w:val="00AE1DE6"/>
    <w:rsid w:val="00AE2378"/>
    <w:rsid w:val="00AE2BAA"/>
    <w:rsid w:val="00AE4821"/>
    <w:rsid w:val="00AE4DEE"/>
    <w:rsid w:val="00AE6E11"/>
    <w:rsid w:val="00AE7215"/>
    <w:rsid w:val="00AF0454"/>
    <w:rsid w:val="00AF08A3"/>
    <w:rsid w:val="00AF0AEC"/>
    <w:rsid w:val="00AF2B59"/>
    <w:rsid w:val="00AF2B73"/>
    <w:rsid w:val="00AF41D5"/>
    <w:rsid w:val="00AF5799"/>
    <w:rsid w:val="00AF6F37"/>
    <w:rsid w:val="00B03DCB"/>
    <w:rsid w:val="00B04772"/>
    <w:rsid w:val="00B05A8D"/>
    <w:rsid w:val="00B06623"/>
    <w:rsid w:val="00B0696C"/>
    <w:rsid w:val="00B07A21"/>
    <w:rsid w:val="00B12366"/>
    <w:rsid w:val="00B12AEA"/>
    <w:rsid w:val="00B13154"/>
    <w:rsid w:val="00B14A91"/>
    <w:rsid w:val="00B17D12"/>
    <w:rsid w:val="00B17EAA"/>
    <w:rsid w:val="00B20826"/>
    <w:rsid w:val="00B21BEC"/>
    <w:rsid w:val="00B221DE"/>
    <w:rsid w:val="00B22B3C"/>
    <w:rsid w:val="00B24204"/>
    <w:rsid w:val="00B248F3"/>
    <w:rsid w:val="00B26162"/>
    <w:rsid w:val="00B2715A"/>
    <w:rsid w:val="00B31875"/>
    <w:rsid w:val="00B33309"/>
    <w:rsid w:val="00B334DE"/>
    <w:rsid w:val="00B33D6E"/>
    <w:rsid w:val="00B343D4"/>
    <w:rsid w:val="00B371B0"/>
    <w:rsid w:val="00B404B6"/>
    <w:rsid w:val="00B40A29"/>
    <w:rsid w:val="00B42514"/>
    <w:rsid w:val="00B429B1"/>
    <w:rsid w:val="00B42A5D"/>
    <w:rsid w:val="00B43B07"/>
    <w:rsid w:val="00B46DB2"/>
    <w:rsid w:val="00B50E72"/>
    <w:rsid w:val="00B53A98"/>
    <w:rsid w:val="00B5489C"/>
    <w:rsid w:val="00B56006"/>
    <w:rsid w:val="00B568EA"/>
    <w:rsid w:val="00B578EA"/>
    <w:rsid w:val="00B60902"/>
    <w:rsid w:val="00B71CAD"/>
    <w:rsid w:val="00B74C61"/>
    <w:rsid w:val="00B7647B"/>
    <w:rsid w:val="00B76A9F"/>
    <w:rsid w:val="00B77EA2"/>
    <w:rsid w:val="00B813E1"/>
    <w:rsid w:val="00B820FC"/>
    <w:rsid w:val="00B82369"/>
    <w:rsid w:val="00B82C3A"/>
    <w:rsid w:val="00B83C5E"/>
    <w:rsid w:val="00B85C59"/>
    <w:rsid w:val="00B87E16"/>
    <w:rsid w:val="00B90C47"/>
    <w:rsid w:val="00B910C2"/>
    <w:rsid w:val="00B91C14"/>
    <w:rsid w:val="00B92734"/>
    <w:rsid w:val="00B94EAC"/>
    <w:rsid w:val="00BA02DD"/>
    <w:rsid w:val="00BA0721"/>
    <w:rsid w:val="00BA1BFD"/>
    <w:rsid w:val="00BA2EAE"/>
    <w:rsid w:val="00BA6106"/>
    <w:rsid w:val="00BA66DF"/>
    <w:rsid w:val="00BB0D5E"/>
    <w:rsid w:val="00BB2A42"/>
    <w:rsid w:val="00BB397B"/>
    <w:rsid w:val="00BC0BCB"/>
    <w:rsid w:val="00BC2C93"/>
    <w:rsid w:val="00BC2F20"/>
    <w:rsid w:val="00BC3006"/>
    <w:rsid w:val="00BC5FD2"/>
    <w:rsid w:val="00BC743B"/>
    <w:rsid w:val="00BD01C4"/>
    <w:rsid w:val="00BD47FC"/>
    <w:rsid w:val="00BE08A2"/>
    <w:rsid w:val="00BE1FB0"/>
    <w:rsid w:val="00BE32C5"/>
    <w:rsid w:val="00BE46A1"/>
    <w:rsid w:val="00BE58AA"/>
    <w:rsid w:val="00BE6AE9"/>
    <w:rsid w:val="00BE7F01"/>
    <w:rsid w:val="00BF267F"/>
    <w:rsid w:val="00BF4120"/>
    <w:rsid w:val="00BF5E69"/>
    <w:rsid w:val="00BF78C6"/>
    <w:rsid w:val="00C00AEE"/>
    <w:rsid w:val="00C0229E"/>
    <w:rsid w:val="00C02381"/>
    <w:rsid w:val="00C02710"/>
    <w:rsid w:val="00C03B93"/>
    <w:rsid w:val="00C067F1"/>
    <w:rsid w:val="00C06A0A"/>
    <w:rsid w:val="00C07D57"/>
    <w:rsid w:val="00C102B1"/>
    <w:rsid w:val="00C14428"/>
    <w:rsid w:val="00C14B35"/>
    <w:rsid w:val="00C16A5F"/>
    <w:rsid w:val="00C16C55"/>
    <w:rsid w:val="00C210F7"/>
    <w:rsid w:val="00C21942"/>
    <w:rsid w:val="00C224DE"/>
    <w:rsid w:val="00C24AFC"/>
    <w:rsid w:val="00C252E0"/>
    <w:rsid w:val="00C265C5"/>
    <w:rsid w:val="00C26CD8"/>
    <w:rsid w:val="00C31B16"/>
    <w:rsid w:val="00C33392"/>
    <w:rsid w:val="00C34206"/>
    <w:rsid w:val="00C347AC"/>
    <w:rsid w:val="00C35D25"/>
    <w:rsid w:val="00C37268"/>
    <w:rsid w:val="00C37E94"/>
    <w:rsid w:val="00C41439"/>
    <w:rsid w:val="00C41635"/>
    <w:rsid w:val="00C417C7"/>
    <w:rsid w:val="00C42418"/>
    <w:rsid w:val="00C42C49"/>
    <w:rsid w:val="00C43ECE"/>
    <w:rsid w:val="00C441DA"/>
    <w:rsid w:val="00C45356"/>
    <w:rsid w:val="00C457D9"/>
    <w:rsid w:val="00C45813"/>
    <w:rsid w:val="00C477E5"/>
    <w:rsid w:val="00C5147F"/>
    <w:rsid w:val="00C549BB"/>
    <w:rsid w:val="00C56D1E"/>
    <w:rsid w:val="00C6060C"/>
    <w:rsid w:val="00C615AD"/>
    <w:rsid w:val="00C63F25"/>
    <w:rsid w:val="00C65B99"/>
    <w:rsid w:val="00C65DFE"/>
    <w:rsid w:val="00C669E6"/>
    <w:rsid w:val="00C66A5C"/>
    <w:rsid w:val="00C70639"/>
    <w:rsid w:val="00C70934"/>
    <w:rsid w:val="00C70F18"/>
    <w:rsid w:val="00C71C15"/>
    <w:rsid w:val="00C724EE"/>
    <w:rsid w:val="00C72C3E"/>
    <w:rsid w:val="00C730F3"/>
    <w:rsid w:val="00C7310C"/>
    <w:rsid w:val="00C74373"/>
    <w:rsid w:val="00C76C56"/>
    <w:rsid w:val="00C80559"/>
    <w:rsid w:val="00C80A0E"/>
    <w:rsid w:val="00C81934"/>
    <w:rsid w:val="00C85798"/>
    <w:rsid w:val="00C86754"/>
    <w:rsid w:val="00C87759"/>
    <w:rsid w:val="00C87F02"/>
    <w:rsid w:val="00C901DB"/>
    <w:rsid w:val="00C90D1B"/>
    <w:rsid w:val="00C91806"/>
    <w:rsid w:val="00C93557"/>
    <w:rsid w:val="00C93740"/>
    <w:rsid w:val="00C96028"/>
    <w:rsid w:val="00C97255"/>
    <w:rsid w:val="00C97822"/>
    <w:rsid w:val="00CA1A95"/>
    <w:rsid w:val="00CA2D9F"/>
    <w:rsid w:val="00CA393D"/>
    <w:rsid w:val="00CA5E58"/>
    <w:rsid w:val="00CB0C60"/>
    <w:rsid w:val="00CB1804"/>
    <w:rsid w:val="00CB26A4"/>
    <w:rsid w:val="00CB3EE4"/>
    <w:rsid w:val="00CB4505"/>
    <w:rsid w:val="00CB6B54"/>
    <w:rsid w:val="00CC0FE1"/>
    <w:rsid w:val="00CC1159"/>
    <w:rsid w:val="00CC1765"/>
    <w:rsid w:val="00CC21F3"/>
    <w:rsid w:val="00CC309E"/>
    <w:rsid w:val="00CC5E1C"/>
    <w:rsid w:val="00CC5E76"/>
    <w:rsid w:val="00CC6FE9"/>
    <w:rsid w:val="00CC7F82"/>
    <w:rsid w:val="00CD0B15"/>
    <w:rsid w:val="00CD1836"/>
    <w:rsid w:val="00CD235D"/>
    <w:rsid w:val="00CD479E"/>
    <w:rsid w:val="00CD4B2C"/>
    <w:rsid w:val="00CD79DE"/>
    <w:rsid w:val="00CE15F9"/>
    <w:rsid w:val="00CE2B7C"/>
    <w:rsid w:val="00CE78E3"/>
    <w:rsid w:val="00CF0AAF"/>
    <w:rsid w:val="00CF1FC9"/>
    <w:rsid w:val="00CF7144"/>
    <w:rsid w:val="00CF732E"/>
    <w:rsid w:val="00CF7774"/>
    <w:rsid w:val="00CF7B20"/>
    <w:rsid w:val="00CF7CF7"/>
    <w:rsid w:val="00CF7EE4"/>
    <w:rsid w:val="00D0019E"/>
    <w:rsid w:val="00D004A5"/>
    <w:rsid w:val="00D02DE6"/>
    <w:rsid w:val="00D0325E"/>
    <w:rsid w:val="00D035B4"/>
    <w:rsid w:val="00D05261"/>
    <w:rsid w:val="00D109BA"/>
    <w:rsid w:val="00D12946"/>
    <w:rsid w:val="00D12D8A"/>
    <w:rsid w:val="00D12F4B"/>
    <w:rsid w:val="00D15F2D"/>
    <w:rsid w:val="00D231C0"/>
    <w:rsid w:val="00D237B0"/>
    <w:rsid w:val="00D23F61"/>
    <w:rsid w:val="00D24D28"/>
    <w:rsid w:val="00D25B0F"/>
    <w:rsid w:val="00D26C3B"/>
    <w:rsid w:val="00D31D05"/>
    <w:rsid w:val="00D3284B"/>
    <w:rsid w:val="00D32AB6"/>
    <w:rsid w:val="00D33954"/>
    <w:rsid w:val="00D33A2E"/>
    <w:rsid w:val="00D33A86"/>
    <w:rsid w:val="00D33C89"/>
    <w:rsid w:val="00D3556B"/>
    <w:rsid w:val="00D36B90"/>
    <w:rsid w:val="00D4055F"/>
    <w:rsid w:val="00D436AA"/>
    <w:rsid w:val="00D44895"/>
    <w:rsid w:val="00D47FA3"/>
    <w:rsid w:val="00D52292"/>
    <w:rsid w:val="00D526C5"/>
    <w:rsid w:val="00D52F55"/>
    <w:rsid w:val="00D5515B"/>
    <w:rsid w:val="00D63075"/>
    <w:rsid w:val="00D63DE8"/>
    <w:rsid w:val="00D6625C"/>
    <w:rsid w:val="00D67DEA"/>
    <w:rsid w:val="00D70969"/>
    <w:rsid w:val="00D73EDD"/>
    <w:rsid w:val="00D7739D"/>
    <w:rsid w:val="00D77633"/>
    <w:rsid w:val="00D804E4"/>
    <w:rsid w:val="00D81B8D"/>
    <w:rsid w:val="00D82584"/>
    <w:rsid w:val="00D8343B"/>
    <w:rsid w:val="00D83A36"/>
    <w:rsid w:val="00D85E8F"/>
    <w:rsid w:val="00D860F1"/>
    <w:rsid w:val="00D86226"/>
    <w:rsid w:val="00D93103"/>
    <w:rsid w:val="00D93A5F"/>
    <w:rsid w:val="00D93C1A"/>
    <w:rsid w:val="00D959C0"/>
    <w:rsid w:val="00DA2CDB"/>
    <w:rsid w:val="00DA30FF"/>
    <w:rsid w:val="00DA349F"/>
    <w:rsid w:val="00DA6B88"/>
    <w:rsid w:val="00DB0E56"/>
    <w:rsid w:val="00DB15C2"/>
    <w:rsid w:val="00DB1E62"/>
    <w:rsid w:val="00DB3426"/>
    <w:rsid w:val="00DB3940"/>
    <w:rsid w:val="00DB3DE5"/>
    <w:rsid w:val="00DB42FA"/>
    <w:rsid w:val="00DB71B3"/>
    <w:rsid w:val="00DB7D79"/>
    <w:rsid w:val="00DC032E"/>
    <w:rsid w:val="00DC0A26"/>
    <w:rsid w:val="00DC54B6"/>
    <w:rsid w:val="00DC7067"/>
    <w:rsid w:val="00DD2052"/>
    <w:rsid w:val="00DD266B"/>
    <w:rsid w:val="00DD3265"/>
    <w:rsid w:val="00DD6331"/>
    <w:rsid w:val="00DE0896"/>
    <w:rsid w:val="00DE1C40"/>
    <w:rsid w:val="00DE2204"/>
    <w:rsid w:val="00DE4567"/>
    <w:rsid w:val="00DE52E3"/>
    <w:rsid w:val="00DE7961"/>
    <w:rsid w:val="00DE7A3C"/>
    <w:rsid w:val="00DF0204"/>
    <w:rsid w:val="00DF0B4E"/>
    <w:rsid w:val="00DF1CC9"/>
    <w:rsid w:val="00DF252A"/>
    <w:rsid w:val="00DF2B90"/>
    <w:rsid w:val="00DF36C7"/>
    <w:rsid w:val="00DF3A21"/>
    <w:rsid w:val="00DF3ED0"/>
    <w:rsid w:val="00DF54EF"/>
    <w:rsid w:val="00DF6B85"/>
    <w:rsid w:val="00E02296"/>
    <w:rsid w:val="00E04911"/>
    <w:rsid w:val="00E1217E"/>
    <w:rsid w:val="00E124F8"/>
    <w:rsid w:val="00E12FAD"/>
    <w:rsid w:val="00E136A8"/>
    <w:rsid w:val="00E14100"/>
    <w:rsid w:val="00E141B4"/>
    <w:rsid w:val="00E14755"/>
    <w:rsid w:val="00E14BF3"/>
    <w:rsid w:val="00E159FC"/>
    <w:rsid w:val="00E15A60"/>
    <w:rsid w:val="00E208D8"/>
    <w:rsid w:val="00E22EEA"/>
    <w:rsid w:val="00E260AE"/>
    <w:rsid w:val="00E307CF"/>
    <w:rsid w:val="00E30C1A"/>
    <w:rsid w:val="00E31EEB"/>
    <w:rsid w:val="00E32D78"/>
    <w:rsid w:val="00E33E89"/>
    <w:rsid w:val="00E34AAC"/>
    <w:rsid w:val="00E35D04"/>
    <w:rsid w:val="00E36196"/>
    <w:rsid w:val="00E36BC7"/>
    <w:rsid w:val="00E37BD0"/>
    <w:rsid w:val="00E407F0"/>
    <w:rsid w:val="00E414C7"/>
    <w:rsid w:val="00E43AF0"/>
    <w:rsid w:val="00E43C45"/>
    <w:rsid w:val="00E440D0"/>
    <w:rsid w:val="00E45145"/>
    <w:rsid w:val="00E454FE"/>
    <w:rsid w:val="00E4662E"/>
    <w:rsid w:val="00E4767C"/>
    <w:rsid w:val="00E504E3"/>
    <w:rsid w:val="00E50995"/>
    <w:rsid w:val="00E5359A"/>
    <w:rsid w:val="00E5526F"/>
    <w:rsid w:val="00E5668C"/>
    <w:rsid w:val="00E62A27"/>
    <w:rsid w:val="00E63E69"/>
    <w:rsid w:val="00E64707"/>
    <w:rsid w:val="00E660C2"/>
    <w:rsid w:val="00E6632B"/>
    <w:rsid w:val="00E6683B"/>
    <w:rsid w:val="00E6751A"/>
    <w:rsid w:val="00E70041"/>
    <w:rsid w:val="00E707E0"/>
    <w:rsid w:val="00E70E8E"/>
    <w:rsid w:val="00E711D5"/>
    <w:rsid w:val="00E746C1"/>
    <w:rsid w:val="00E74B42"/>
    <w:rsid w:val="00E80E2B"/>
    <w:rsid w:val="00E849E0"/>
    <w:rsid w:val="00E8549D"/>
    <w:rsid w:val="00E8581D"/>
    <w:rsid w:val="00E90160"/>
    <w:rsid w:val="00E91486"/>
    <w:rsid w:val="00E9379B"/>
    <w:rsid w:val="00E95DE3"/>
    <w:rsid w:val="00E96E63"/>
    <w:rsid w:val="00EA0755"/>
    <w:rsid w:val="00EA087C"/>
    <w:rsid w:val="00EA35F3"/>
    <w:rsid w:val="00EA3B48"/>
    <w:rsid w:val="00EA4765"/>
    <w:rsid w:val="00EA54B4"/>
    <w:rsid w:val="00EA73E4"/>
    <w:rsid w:val="00EA7DDB"/>
    <w:rsid w:val="00EB05BD"/>
    <w:rsid w:val="00EB0A79"/>
    <w:rsid w:val="00EB6F1C"/>
    <w:rsid w:val="00EC1CA3"/>
    <w:rsid w:val="00EC4055"/>
    <w:rsid w:val="00EC4AC2"/>
    <w:rsid w:val="00EC72BA"/>
    <w:rsid w:val="00ED1676"/>
    <w:rsid w:val="00ED2027"/>
    <w:rsid w:val="00ED32C1"/>
    <w:rsid w:val="00ED371E"/>
    <w:rsid w:val="00ED45DC"/>
    <w:rsid w:val="00EE253E"/>
    <w:rsid w:val="00EE2C2A"/>
    <w:rsid w:val="00EE4F6D"/>
    <w:rsid w:val="00EE4FC0"/>
    <w:rsid w:val="00EE559E"/>
    <w:rsid w:val="00EE5B68"/>
    <w:rsid w:val="00EE5D54"/>
    <w:rsid w:val="00EE73A6"/>
    <w:rsid w:val="00EF39BA"/>
    <w:rsid w:val="00EF5482"/>
    <w:rsid w:val="00F03D0F"/>
    <w:rsid w:val="00F06AD5"/>
    <w:rsid w:val="00F0704E"/>
    <w:rsid w:val="00F108BD"/>
    <w:rsid w:val="00F1098D"/>
    <w:rsid w:val="00F10B6A"/>
    <w:rsid w:val="00F14F63"/>
    <w:rsid w:val="00F16CBE"/>
    <w:rsid w:val="00F170F9"/>
    <w:rsid w:val="00F21E64"/>
    <w:rsid w:val="00F220E8"/>
    <w:rsid w:val="00F23E16"/>
    <w:rsid w:val="00F30D1D"/>
    <w:rsid w:val="00F31169"/>
    <w:rsid w:val="00F353C8"/>
    <w:rsid w:val="00F36985"/>
    <w:rsid w:val="00F37F45"/>
    <w:rsid w:val="00F45166"/>
    <w:rsid w:val="00F453BC"/>
    <w:rsid w:val="00F455ED"/>
    <w:rsid w:val="00F45C05"/>
    <w:rsid w:val="00F46A75"/>
    <w:rsid w:val="00F47BAF"/>
    <w:rsid w:val="00F50B2A"/>
    <w:rsid w:val="00F518A2"/>
    <w:rsid w:val="00F52004"/>
    <w:rsid w:val="00F533A4"/>
    <w:rsid w:val="00F55D67"/>
    <w:rsid w:val="00F56708"/>
    <w:rsid w:val="00F56D47"/>
    <w:rsid w:val="00F5799D"/>
    <w:rsid w:val="00F63519"/>
    <w:rsid w:val="00F6409A"/>
    <w:rsid w:val="00F6477E"/>
    <w:rsid w:val="00F654CF"/>
    <w:rsid w:val="00F662F5"/>
    <w:rsid w:val="00F74EEF"/>
    <w:rsid w:val="00F80B8D"/>
    <w:rsid w:val="00F81D3D"/>
    <w:rsid w:val="00F82360"/>
    <w:rsid w:val="00F837B7"/>
    <w:rsid w:val="00F8460F"/>
    <w:rsid w:val="00F85AE5"/>
    <w:rsid w:val="00F86ACB"/>
    <w:rsid w:val="00F879E0"/>
    <w:rsid w:val="00F90846"/>
    <w:rsid w:val="00F94AD4"/>
    <w:rsid w:val="00F97648"/>
    <w:rsid w:val="00FA09EB"/>
    <w:rsid w:val="00FA4E5D"/>
    <w:rsid w:val="00FA708F"/>
    <w:rsid w:val="00FA781E"/>
    <w:rsid w:val="00FB15B5"/>
    <w:rsid w:val="00FB17D4"/>
    <w:rsid w:val="00FB184A"/>
    <w:rsid w:val="00FB2CDA"/>
    <w:rsid w:val="00FB3434"/>
    <w:rsid w:val="00FB5231"/>
    <w:rsid w:val="00FB5626"/>
    <w:rsid w:val="00FB6750"/>
    <w:rsid w:val="00FC047E"/>
    <w:rsid w:val="00FC362F"/>
    <w:rsid w:val="00FC430C"/>
    <w:rsid w:val="00FC58D1"/>
    <w:rsid w:val="00FD1F5F"/>
    <w:rsid w:val="00FD213B"/>
    <w:rsid w:val="00FD246F"/>
    <w:rsid w:val="00FD4058"/>
    <w:rsid w:val="00FD55C9"/>
    <w:rsid w:val="00FD60D5"/>
    <w:rsid w:val="00FE0346"/>
    <w:rsid w:val="00FE1B0E"/>
    <w:rsid w:val="00FE26E3"/>
    <w:rsid w:val="00FE2700"/>
    <w:rsid w:val="00FE2A35"/>
    <w:rsid w:val="00FE5BFD"/>
    <w:rsid w:val="00FE6615"/>
    <w:rsid w:val="00FF133F"/>
    <w:rsid w:val="00FF2FD5"/>
    <w:rsid w:val="00FF3459"/>
    <w:rsid w:val="00FF5C10"/>
    <w:rsid w:val="00FF6AB4"/>
    <w:rsid w:val="00FF6D88"/>
    <w:rsid w:val="00FF742A"/>
    <w:rsid w:val="00FF7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0E"/>
    <w:rPr>
      <w:rFonts w:ascii="Times New Roman" w:eastAsia="Times New Roman" w:hAnsi="Times New Roman"/>
      <w:sz w:val="20"/>
      <w:szCs w:val="20"/>
    </w:rPr>
  </w:style>
  <w:style w:type="paragraph" w:styleId="Heading1">
    <w:name w:val="heading 1"/>
    <w:basedOn w:val="Normal"/>
    <w:next w:val="Normal"/>
    <w:link w:val="Heading1Char"/>
    <w:uiPriority w:val="99"/>
    <w:qFormat/>
    <w:rsid w:val="0077650E"/>
    <w:pPr>
      <w:keepNext/>
      <w:jc w:val="center"/>
      <w:outlineLvl w:val="0"/>
    </w:pPr>
    <w:rPr>
      <w:sz w:val="28"/>
      <w:szCs w:val="24"/>
      <w:lang w:eastAsia="en-US"/>
    </w:rPr>
  </w:style>
  <w:style w:type="paragraph" w:styleId="Heading2">
    <w:name w:val="heading 2"/>
    <w:basedOn w:val="Normal"/>
    <w:next w:val="Normal"/>
    <w:link w:val="Heading2Char"/>
    <w:uiPriority w:val="99"/>
    <w:qFormat/>
    <w:rsid w:val="0077650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50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77650E"/>
    <w:rPr>
      <w:rFonts w:ascii="Arial" w:hAnsi="Arial" w:cs="Arial"/>
      <w:b/>
      <w:bCs/>
      <w:i/>
      <w:iCs/>
      <w:sz w:val="28"/>
      <w:szCs w:val="28"/>
      <w:lang w:val="en-GB" w:eastAsia="lv-LV"/>
    </w:rPr>
  </w:style>
  <w:style w:type="paragraph" w:styleId="BodyText">
    <w:name w:val="Body Text"/>
    <w:basedOn w:val="Normal"/>
    <w:link w:val="BodyTextChar"/>
    <w:uiPriority w:val="99"/>
    <w:rsid w:val="0077650E"/>
    <w:pPr>
      <w:jc w:val="center"/>
    </w:pPr>
    <w:rPr>
      <w:b/>
      <w:sz w:val="24"/>
    </w:rPr>
  </w:style>
  <w:style w:type="character" w:customStyle="1" w:styleId="BodyTextChar">
    <w:name w:val="Body Text Char"/>
    <w:basedOn w:val="DefaultParagraphFont"/>
    <w:link w:val="BodyText"/>
    <w:uiPriority w:val="99"/>
    <w:locked/>
    <w:rsid w:val="0077650E"/>
    <w:rPr>
      <w:rFonts w:ascii="Times New Roman" w:hAnsi="Times New Roman" w:cs="Times New Roman"/>
      <w:b/>
      <w:sz w:val="20"/>
      <w:szCs w:val="20"/>
      <w:lang w:eastAsia="lv-LV"/>
    </w:rPr>
  </w:style>
  <w:style w:type="paragraph" w:styleId="BodyText2">
    <w:name w:val="Body Text 2"/>
    <w:basedOn w:val="Normal"/>
    <w:link w:val="BodyText2Char"/>
    <w:uiPriority w:val="99"/>
    <w:rsid w:val="0077650E"/>
    <w:pPr>
      <w:jc w:val="both"/>
    </w:pPr>
    <w:rPr>
      <w:sz w:val="24"/>
    </w:rPr>
  </w:style>
  <w:style w:type="character" w:customStyle="1" w:styleId="BodyText2Char">
    <w:name w:val="Body Text 2 Char"/>
    <w:basedOn w:val="DefaultParagraphFont"/>
    <w:link w:val="BodyText2"/>
    <w:uiPriority w:val="99"/>
    <w:locked/>
    <w:rsid w:val="0077650E"/>
    <w:rPr>
      <w:rFonts w:ascii="Times New Roman" w:hAnsi="Times New Roman" w:cs="Times New Roman"/>
      <w:sz w:val="20"/>
      <w:szCs w:val="20"/>
      <w:lang w:eastAsia="lv-LV"/>
    </w:rPr>
  </w:style>
  <w:style w:type="paragraph" w:styleId="Header">
    <w:name w:val="header"/>
    <w:basedOn w:val="Normal"/>
    <w:link w:val="HeaderChar"/>
    <w:uiPriority w:val="99"/>
    <w:rsid w:val="0077650E"/>
    <w:pPr>
      <w:tabs>
        <w:tab w:val="center" w:pos="4153"/>
        <w:tab w:val="right" w:pos="8306"/>
      </w:tabs>
    </w:pPr>
  </w:style>
  <w:style w:type="character" w:customStyle="1" w:styleId="HeaderChar">
    <w:name w:val="Header Char"/>
    <w:basedOn w:val="DefaultParagraphFont"/>
    <w:link w:val="Header"/>
    <w:uiPriority w:val="99"/>
    <w:locked/>
    <w:rsid w:val="0077650E"/>
    <w:rPr>
      <w:rFonts w:ascii="Times New Roman" w:hAnsi="Times New Roman" w:cs="Times New Roman"/>
      <w:sz w:val="20"/>
      <w:szCs w:val="20"/>
      <w:lang w:val="en-GB" w:eastAsia="lv-LV"/>
    </w:rPr>
  </w:style>
  <w:style w:type="paragraph" w:styleId="Footer">
    <w:name w:val="footer"/>
    <w:basedOn w:val="Normal"/>
    <w:link w:val="FooterChar"/>
    <w:uiPriority w:val="99"/>
    <w:rsid w:val="0077650E"/>
    <w:pPr>
      <w:tabs>
        <w:tab w:val="center" w:pos="4153"/>
        <w:tab w:val="right" w:pos="8306"/>
      </w:tabs>
    </w:pPr>
  </w:style>
  <w:style w:type="character" w:customStyle="1" w:styleId="FooterChar">
    <w:name w:val="Footer Char"/>
    <w:basedOn w:val="DefaultParagraphFont"/>
    <w:link w:val="Footer"/>
    <w:uiPriority w:val="99"/>
    <w:locked/>
    <w:rsid w:val="0077650E"/>
    <w:rPr>
      <w:rFonts w:ascii="Times New Roman" w:hAnsi="Times New Roman" w:cs="Times New Roman"/>
      <w:sz w:val="20"/>
      <w:szCs w:val="20"/>
      <w:lang w:val="en-GB" w:eastAsia="lv-LV"/>
    </w:rPr>
  </w:style>
  <w:style w:type="character" w:styleId="Hyperlink">
    <w:name w:val="Hyperlink"/>
    <w:basedOn w:val="DefaultParagraphFont"/>
    <w:uiPriority w:val="99"/>
    <w:rsid w:val="0077650E"/>
    <w:rPr>
      <w:rFonts w:cs="Times New Roman"/>
      <w:color w:val="0000FF"/>
      <w:u w:val="single"/>
    </w:rPr>
  </w:style>
  <w:style w:type="character" w:styleId="PageNumber">
    <w:name w:val="page number"/>
    <w:basedOn w:val="DefaultParagraphFont"/>
    <w:uiPriority w:val="99"/>
    <w:rsid w:val="0077650E"/>
    <w:rPr>
      <w:rFonts w:cs="Times New Roman"/>
    </w:rPr>
  </w:style>
  <w:style w:type="paragraph" w:styleId="BodyText3">
    <w:name w:val="Body Text 3"/>
    <w:basedOn w:val="Normal"/>
    <w:link w:val="BodyText3Char"/>
    <w:uiPriority w:val="99"/>
    <w:rsid w:val="0077650E"/>
    <w:pPr>
      <w:spacing w:after="120"/>
    </w:pPr>
    <w:rPr>
      <w:sz w:val="16"/>
      <w:szCs w:val="16"/>
    </w:rPr>
  </w:style>
  <w:style w:type="character" w:customStyle="1" w:styleId="BodyText3Char">
    <w:name w:val="Body Text 3 Char"/>
    <w:basedOn w:val="DefaultParagraphFont"/>
    <w:link w:val="BodyText3"/>
    <w:locked/>
    <w:rsid w:val="0077650E"/>
    <w:rPr>
      <w:rFonts w:ascii="Times New Roman" w:hAnsi="Times New Roman" w:cs="Times New Roman"/>
      <w:sz w:val="16"/>
      <w:szCs w:val="16"/>
      <w:lang w:val="en-GB" w:eastAsia="lv-LV"/>
    </w:rPr>
  </w:style>
  <w:style w:type="paragraph" w:styleId="ListParagraph">
    <w:name w:val="List Paragraph"/>
    <w:basedOn w:val="Normal"/>
    <w:uiPriority w:val="34"/>
    <w:qFormat/>
    <w:rsid w:val="0077650E"/>
    <w:pPr>
      <w:spacing w:after="200" w:line="276" w:lineRule="auto"/>
      <w:ind w:left="720"/>
      <w:contextualSpacing/>
    </w:pPr>
    <w:rPr>
      <w:rFonts w:eastAsia="Calibri"/>
      <w:sz w:val="24"/>
      <w:szCs w:val="22"/>
      <w:lang w:eastAsia="en-US"/>
    </w:rPr>
  </w:style>
  <w:style w:type="character" w:styleId="Strong">
    <w:name w:val="Strong"/>
    <w:basedOn w:val="DefaultParagraphFont"/>
    <w:uiPriority w:val="22"/>
    <w:qFormat/>
    <w:rsid w:val="0077650E"/>
    <w:rPr>
      <w:rFonts w:cs="Times New Roman"/>
      <w:b/>
      <w:bCs/>
    </w:rPr>
  </w:style>
  <w:style w:type="paragraph" w:styleId="NormalWeb">
    <w:name w:val="Normal (Web)"/>
    <w:basedOn w:val="Normal"/>
    <w:uiPriority w:val="99"/>
    <w:rsid w:val="00303D2E"/>
    <w:pPr>
      <w:spacing w:before="100" w:beforeAutospacing="1" w:after="312"/>
    </w:pPr>
    <w:rPr>
      <w:sz w:val="24"/>
      <w:szCs w:val="24"/>
    </w:rPr>
  </w:style>
  <w:style w:type="paragraph" w:customStyle="1" w:styleId="EntEmet">
    <w:name w:val="EntEmet"/>
    <w:basedOn w:val="Normal"/>
    <w:rsid w:val="00755B83"/>
    <w:pPr>
      <w:widowControl w:val="0"/>
      <w:tabs>
        <w:tab w:val="left" w:pos="284"/>
        <w:tab w:val="left" w:pos="567"/>
        <w:tab w:val="left" w:pos="851"/>
        <w:tab w:val="left" w:pos="1134"/>
        <w:tab w:val="left" w:pos="1418"/>
      </w:tabs>
      <w:spacing w:before="40"/>
    </w:pPr>
    <w:rPr>
      <w:sz w:val="24"/>
      <w:lang w:eastAsia="fr-BE"/>
    </w:rPr>
  </w:style>
  <w:style w:type="character" w:styleId="PlaceholderText">
    <w:name w:val="Placeholder Text"/>
    <w:basedOn w:val="DefaultParagraphFont"/>
    <w:uiPriority w:val="99"/>
    <w:semiHidden/>
    <w:rsid w:val="00C41439"/>
    <w:rPr>
      <w:rFonts w:cs="Times New Roman"/>
      <w:color w:val="808080"/>
    </w:rPr>
  </w:style>
  <w:style w:type="paragraph" w:styleId="BalloonText">
    <w:name w:val="Balloon Text"/>
    <w:basedOn w:val="Normal"/>
    <w:link w:val="BalloonTextChar"/>
    <w:uiPriority w:val="99"/>
    <w:semiHidden/>
    <w:rsid w:val="00C414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439"/>
    <w:rPr>
      <w:rFonts w:ascii="Tahoma" w:hAnsi="Tahoma" w:cs="Tahoma"/>
      <w:sz w:val="16"/>
      <w:szCs w:val="16"/>
      <w:lang w:val="en-GB" w:eastAsia="lv-LV"/>
    </w:rPr>
  </w:style>
  <w:style w:type="paragraph" w:customStyle="1" w:styleId="Prliminairetype">
    <w:name w:val="Préliminaire type"/>
    <w:basedOn w:val="Normal"/>
    <w:next w:val="Normal"/>
    <w:rsid w:val="00465B8D"/>
    <w:pPr>
      <w:spacing w:before="360"/>
      <w:jc w:val="center"/>
    </w:pPr>
    <w:rPr>
      <w:b/>
      <w:sz w:val="24"/>
      <w:szCs w:val="24"/>
      <w:lang w:eastAsia="de-DE"/>
    </w:rPr>
  </w:style>
  <w:style w:type="paragraph" w:customStyle="1" w:styleId="EntRefer">
    <w:name w:val="EntRefer"/>
    <w:basedOn w:val="Normal"/>
    <w:uiPriority w:val="99"/>
    <w:rsid w:val="003B5F94"/>
    <w:pPr>
      <w:widowControl w:val="0"/>
    </w:pPr>
    <w:rPr>
      <w:b/>
      <w:sz w:val="24"/>
      <w:lang w:eastAsia="fr-BE"/>
    </w:rPr>
  </w:style>
  <w:style w:type="paragraph" w:customStyle="1" w:styleId="Prliminairetitre">
    <w:name w:val="Préliminaire titre"/>
    <w:basedOn w:val="Normal"/>
    <w:next w:val="Normal"/>
    <w:uiPriority w:val="99"/>
    <w:rsid w:val="003B5F94"/>
    <w:pPr>
      <w:spacing w:before="360" w:after="360"/>
      <w:jc w:val="center"/>
    </w:pPr>
    <w:rPr>
      <w:b/>
      <w:sz w:val="24"/>
      <w:lang w:eastAsia="en-GB"/>
    </w:rPr>
  </w:style>
  <w:style w:type="paragraph" w:customStyle="1" w:styleId="ManualConsidrant">
    <w:name w:val="Manual Considérant"/>
    <w:basedOn w:val="Normal"/>
    <w:uiPriority w:val="99"/>
    <w:rsid w:val="00164668"/>
    <w:pPr>
      <w:spacing w:before="120" w:after="120"/>
      <w:ind w:left="709" w:hanging="709"/>
      <w:jc w:val="both"/>
    </w:pPr>
    <w:rPr>
      <w:sz w:val="24"/>
      <w:szCs w:val="24"/>
      <w:lang w:eastAsia="fr-BE"/>
    </w:rPr>
  </w:style>
  <w:style w:type="paragraph" w:styleId="ListBullet">
    <w:name w:val="List Bullet"/>
    <w:basedOn w:val="Normal"/>
    <w:uiPriority w:val="99"/>
    <w:rsid w:val="00857C5D"/>
    <w:pPr>
      <w:numPr>
        <w:numId w:val="1"/>
      </w:numPr>
      <w:spacing w:before="120" w:after="120"/>
      <w:jc w:val="both"/>
    </w:pPr>
    <w:rPr>
      <w:sz w:val="24"/>
      <w:szCs w:val="24"/>
      <w:lang w:eastAsia="en-GB"/>
    </w:rPr>
  </w:style>
  <w:style w:type="paragraph" w:styleId="NoSpacing">
    <w:name w:val="No Spacing"/>
    <w:uiPriority w:val="99"/>
    <w:qFormat/>
    <w:rsid w:val="0096144C"/>
    <w:rPr>
      <w:rFonts w:ascii="Times New Roman" w:eastAsia="Times New Roman" w:hAnsi="Times New Roman"/>
      <w:sz w:val="24"/>
      <w:szCs w:val="24"/>
      <w:lang w:val="en-GB" w:eastAsia="en-US"/>
    </w:rPr>
  </w:style>
  <w:style w:type="character" w:styleId="FootnoteReference">
    <w:name w:val="footnote reference"/>
    <w:basedOn w:val="DefaultParagraphFont"/>
    <w:rsid w:val="00976388"/>
    <w:rPr>
      <w:rFonts w:cs="Times New Roman"/>
      <w:vertAlign w:val="superscript"/>
    </w:rPr>
  </w:style>
  <w:style w:type="paragraph" w:styleId="BodyTextIndent3">
    <w:name w:val="Body Text Indent 3"/>
    <w:basedOn w:val="Normal"/>
    <w:link w:val="BodyTextIndent3Char"/>
    <w:uiPriority w:val="99"/>
    <w:semiHidden/>
    <w:rsid w:val="000056E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056E8"/>
    <w:rPr>
      <w:rFonts w:ascii="Times New Roman" w:hAnsi="Times New Roman" w:cs="Times New Roman"/>
      <w:sz w:val="16"/>
      <w:szCs w:val="16"/>
      <w:lang w:val="en-GB" w:eastAsia="lv-LV"/>
    </w:rPr>
  </w:style>
  <w:style w:type="paragraph" w:customStyle="1" w:styleId="RKnormal">
    <w:name w:val="RKnormal"/>
    <w:basedOn w:val="Normal"/>
    <w:uiPriority w:val="99"/>
    <w:rsid w:val="003F5D7D"/>
    <w:pPr>
      <w:tabs>
        <w:tab w:val="left" w:pos="2835"/>
      </w:tabs>
      <w:overflowPunct w:val="0"/>
      <w:autoSpaceDE w:val="0"/>
      <w:autoSpaceDN w:val="0"/>
      <w:adjustRightInd w:val="0"/>
      <w:spacing w:line="240" w:lineRule="atLeast"/>
      <w:textAlignment w:val="baseline"/>
    </w:pPr>
    <w:rPr>
      <w:sz w:val="24"/>
      <w:szCs w:val="24"/>
      <w:lang w:val="sv-SE" w:eastAsia="fr-BE"/>
    </w:rPr>
  </w:style>
  <w:style w:type="paragraph" w:customStyle="1" w:styleId="Statut">
    <w:name w:val="Statut"/>
    <w:basedOn w:val="Normal"/>
    <w:next w:val="Normal"/>
    <w:rsid w:val="00C66A5C"/>
    <w:pPr>
      <w:spacing w:before="360"/>
      <w:jc w:val="center"/>
    </w:pPr>
    <w:rPr>
      <w:sz w:val="24"/>
      <w:szCs w:val="24"/>
      <w:lang w:eastAsia="de-DE"/>
    </w:rPr>
  </w:style>
  <w:style w:type="character" w:customStyle="1" w:styleId="ctteelong">
    <w:name w:val="cttee_long"/>
    <w:basedOn w:val="DefaultParagraphFont"/>
    <w:uiPriority w:val="99"/>
    <w:rsid w:val="00DD266B"/>
    <w:rPr>
      <w:rFonts w:cs="Times New Roman"/>
    </w:rPr>
  </w:style>
  <w:style w:type="character" w:styleId="Emphasis">
    <w:name w:val="Emphasis"/>
    <w:basedOn w:val="DefaultParagraphFont"/>
    <w:uiPriority w:val="20"/>
    <w:qFormat/>
    <w:rsid w:val="00123761"/>
    <w:rPr>
      <w:rFonts w:cs="Times New Roman"/>
      <w:i/>
      <w:iCs/>
    </w:rPr>
  </w:style>
  <w:style w:type="paragraph" w:customStyle="1" w:styleId="Typedudocument">
    <w:name w:val="Type du document"/>
    <w:basedOn w:val="Normal"/>
    <w:next w:val="Normal"/>
    <w:rsid w:val="00AB09FC"/>
    <w:pPr>
      <w:spacing w:before="360"/>
      <w:jc w:val="center"/>
    </w:pPr>
    <w:rPr>
      <w:b/>
      <w:sz w:val="24"/>
      <w:szCs w:val="24"/>
      <w:lang w:eastAsia="de-DE"/>
    </w:rPr>
  </w:style>
  <w:style w:type="paragraph" w:customStyle="1" w:styleId="NormalConseil">
    <w:name w:val="NormalConseil"/>
    <w:basedOn w:val="Normal"/>
    <w:uiPriority w:val="99"/>
    <w:rsid w:val="004B184A"/>
    <w:rPr>
      <w:sz w:val="24"/>
      <w:lang w:eastAsia="fr-BE"/>
    </w:rPr>
  </w:style>
  <w:style w:type="paragraph" w:customStyle="1" w:styleId="Numeracin">
    <w:name w:val="Numeración"/>
    <w:basedOn w:val="Normal"/>
    <w:link w:val="NumeracinCar"/>
    <w:uiPriority w:val="99"/>
    <w:rsid w:val="004A7A45"/>
    <w:pPr>
      <w:widowControl w:val="0"/>
      <w:numPr>
        <w:numId w:val="2"/>
      </w:numPr>
      <w:tabs>
        <w:tab w:val="num" w:pos="360"/>
      </w:tabs>
      <w:suppressAutoHyphens/>
      <w:spacing w:before="240" w:line="360" w:lineRule="auto"/>
      <w:ind w:left="360"/>
    </w:pPr>
    <w:rPr>
      <w:sz w:val="24"/>
      <w:szCs w:val="24"/>
      <w:lang w:eastAsia="fr-BE"/>
    </w:rPr>
  </w:style>
  <w:style w:type="character" w:customStyle="1" w:styleId="NumeracinCar">
    <w:name w:val="Numeración Car"/>
    <w:basedOn w:val="DefaultParagraphFont"/>
    <w:link w:val="Numeracin"/>
    <w:uiPriority w:val="99"/>
    <w:locked/>
    <w:rsid w:val="004A7A45"/>
    <w:rPr>
      <w:rFonts w:ascii="Times New Roman" w:eastAsia="Times New Roman" w:hAnsi="Times New Roman"/>
      <w:sz w:val="24"/>
      <w:szCs w:val="24"/>
      <w:lang w:val="en-GB" w:eastAsia="fr-BE"/>
    </w:rPr>
  </w:style>
  <w:style w:type="paragraph" w:customStyle="1" w:styleId="ListParagraph1">
    <w:name w:val="List Paragraph1"/>
    <w:basedOn w:val="Normal"/>
    <w:link w:val="ListParagraphChar"/>
    <w:uiPriority w:val="99"/>
    <w:rsid w:val="000C285D"/>
    <w:pPr>
      <w:widowControl w:val="0"/>
      <w:spacing w:line="360" w:lineRule="auto"/>
      <w:ind w:left="720"/>
    </w:pPr>
    <w:rPr>
      <w:sz w:val="24"/>
      <w:szCs w:val="24"/>
      <w:lang w:eastAsia="fr-BE"/>
    </w:rPr>
  </w:style>
  <w:style w:type="character" w:customStyle="1" w:styleId="ListParagraphChar">
    <w:name w:val="List Paragraph Char"/>
    <w:basedOn w:val="DefaultParagraphFont"/>
    <w:link w:val="ListParagraph1"/>
    <w:uiPriority w:val="99"/>
    <w:locked/>
    <w:rsid w:val="000C285D"/>
    <w:rPr>
      <w:rFonts w:ascii="Times New Roman" w:hAnsi="Times New Roman" w:cs="Times New Roman"/>
      <w:sz w:val="24"/>
      <w:szCs w:val="24"/>
      <w:lang w:val="en-GB" w:eastAsia="fr-BE"/>
    </w:rPr>
  </w:style>
  <w:style w:type="paragraph" w:styleId="BodyTextIndent">
    <w:name w:val="Body Text Indent"/>
    <w:basedOn w:val="Normal"/>
    <w:link w:val="BodyTextIndentChar"/>
    <w:uiPriority w:val="99"/>
    <w:rsid w:val="004018AB"/>
    <w:pPr>
      <w:spacing w:after="120"/>
      <w:ind w:left="283"/>
    </w:pPr>
    <w:rPr>
      <w:sz w:val="24"/>
      <w:szCs w:val="24"/>
      <w:lang w:eastAsia="en-US"/>
    </w:rPr>
  </w:style>
  <w:style w:type="character" w:customStyle="1" w:styleId="BodyTextIndentChar">
    <w:name w:val="Body Text Indent Char"/>
    <w:basedOn w:val="DefaultParagraphFont"/>
    <w:link w:val="BodyTextIndent"/>
    <w:uiPriority w:val="99"/>
    <w:locked/>
    <w:rsid w:val="004018AB"/>
    <w:rPr>
      <w:rFonts w:ascii="Times New Roman" w:hAnsi="Times New Roman" w:cs="Times New Roman"/>
      <w:sz w:val="24"/>
      <w:szCs w:val="24"/>
      <w:lang w:val="en-GB"/>
    </w:rPr>
  </w:style>
  <w:style w:type="paragraph" w:customStyle="1" w:styleId="naisf">
    <w:name w:val="naisf"/>
    <w:basedOn w:val="Normal"/>
    <w:uiPriority w:val="99"/>
    <w:rsid w:val="00BC3006"/>
    <w:pPr>
      <w:spacing w:before="84" w:after="84"/>
      <w:ind w:firstLine="419"/>
      <w:jc w:val="both"/>
    </w:pPr>
    <w:rPr>
      <w:sz w:val="24"/>
      <w:szCs w:val="24"/>
    </w:rPr>
  </w:style>
  <w:style w:type="paragraph" w:customStyle="1" w:styleId="Prrafodelista">
    <w:name w:val="Párrafo de lista"/>
    <w:basedOn w:val="Normal"/>
    <w:uiPriority w:val="99"/>
    <w:rsid w:val="00746633"/>
    <w:pPr>
      <w:widowControl w:val="0"/>
      <w:spacing w:line="360" w:lineRule="auto"/>
      <w:ind w:left="708"/>
    </w:pPr>
    <w:rPr>
      <w:rFonts w:eastAsia="Calibri"/>
      <w:sz w:val="24"/>
      <w:szCs w:val="24"/>
      <w:lang w:eastAsia="fr-BE"/>
    </w:rPr>
  </w:style>
  <w:style w:type="character" w:styleId="CommentReference">
    <w:name w:val="annotation reference"/>
    <w:basedOn w:val="DefaultParagraphFont"/>
    <w:uiPriority w:val="99"/>
    <w:semiHidden/>
    <w:rsid w:val="00E95DE3"/>
    <w:rPr>
      <w:rFonts w:cs="Times New Roman"/>
      <w:sz w:val="16"/>
      <w:szCs w:val="16"/>
    </w:rPr>
  </w:style>
  <w:style w:type="paragraph" w:styleId="CommentText">
    <w:name w:val="annotation text"/>
    <w:basedOn w:val="Normal"/>
    <w:link w:val="CommentTextChar"/>
    <w:semiHidden/>
    <w:rsid w:val="00E95DE3"/>
  </w:style>
  <w:style w:type="character" w:customStyle="1" w:styleId="CommentTextChar">
    <w:name w:val="Comment Text Char"/>
    <w:basedOn w:val="DefaultParagraphFont"/>
    <w:link w:val="CommentText"/>
    <w:semiHidden/>
    <w:rsid w:val="00BF38B1"/>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rsid w:val="00E95DE3"/>
    <w:rPr>
      <w:b/>
      <w:bCs/>
    </w:rPr>
  </w:style>
  <w:style w:type="character" w:customStyle="1" w:styleId="CommentSubjectChar">
    <w:name w:val="Comment Subject Char"/>
    <w:basedOn w:val="CommentTextChar"/>
    <w:link w:val="CommentSubject"/>
    <w:uiPriority w:val="99"/>
    <w:semiHidden/>
    <w:rsid w:val="00BF38B1"/>
    <w:rPr>
      <w:rFonts w:ascii="Times New Roman" w:eastAsia="Times New Roman" w:hAnsi="Times New Roman"/>
      <w:b/>
      <w:bCs/>
      <w:sz w:val="20"/>
      <w:szCs w:val="20"/>
      <w:lang w:val="en-GB"/>
    </w:rPr>
  </w:style>
  <w:style w:type="paragraph" w:styleId="FootnoteText">
    <w:name w:val="footnote text"/>
    <w:basedOn w:val="Normal"/>
    <w:link w:val="FootnoteTextChar"/>
    <w:unhideWhenUsed/>
    <w:rsid w:val="001C32EB"/>
  </w:style>
  <w:style w:type="character" w:customStyle="1" w:styleId="FootnoteTextChar">
    <w:name w:val="Footnote Text Char"/>
    <w:basedOn w:val="DefaultParagraphFont"/>
    <w:link w:val="FootnoteText"/>
    <w:semiHidden/>
    <w:rsid w:val="001C32EB"/>
    <w:rPr>
      <w:rFonts w:ascii="Times New Roman" w:eastAsia="Times New Roman" w:hAnsi="Times New Roman"/>
      <w:sz w:val="20"/>
      <w:szCs w:val="20"/>
      <w:lang w:val="en-GB"/>
    </w:rPr>
  </w:style>
  <w:style w:type="paragraph" w:customStyle="1" w:styleId="Titreobjet">
    <w:name w:val="Titre objet"/>
    <w:basedOn w:val="Normal"/>
    <w:next w:val="Normal"/>
    <w:rsid w:val="00910E9A"/>
    <w:pPr>
      <w:spacing w:before="360" w:after="360"/>
      <w:jc w:val="center"/>
    </w:pPr>
    <w:rPr>
      <w:b/>
      <w:sz w:val="24"/>
      <w:lang w:eastAsia="en-GB"/>
    </w:rPr>
  </w:style>
  <w:style w:type="paragraph" w:customStyle="1" w:styleId="EE-paragr">
    <w:name w:val="EE-paragr"/>
    <w:basedOn w:val="Normal"/>
    <w:autoRedefine/>
    <w:rsid w:val="001B51D8"/>
    <w:pPr>
      <w:jc w:val="both"/>
    </w:pPr>
    <w:rPr>
      <w:sz w:val="28"/>
      <w:szCs w:val="28"/>
    </w:rPr>
  </w:style>
  <w:style w:type="paragraph" w:customStyle="1" w:styleId="Listaszerubekezds">
    <w:name w:val="Listaszeru bekezdés"/>
    <w:basedOn w:val="Normal"/>
    <w:rsid w:val="00A62203"/>
    <w:pPr>
      <w:spacing w:after="200" w:line="276" w:lineRule="auto"/>
      <w:ind w:left="720"/>
      <w:contextualSpacing/>
    </w:pPr>
    <w:rPr>
      <w:rFonts w:ascii="Calibri" w:hAnsi="Calibri" w:cs="Calibri"/>
      <w:sz w:val="22"/>
      <w:szCs w:val="22"/>
      <w:lang w:val="hu-HU" w:eastAsia="en-US"/>
    </w:rPr>
  </w:style>
  <w:style w:type="paragraph" w:customStyle="1" w:styleId="msolistparagraph0">
    <w:name w:val="msolistparagraph"/>
    <w:basedOn w:val="Normal"/>
    <w:rsid w:val="00A62203"/>
    <w:pPr>
      <w:spacing w:after="200" w:line="276" w:lineRule="auto"/>
      <w:ind w:left="720"/>
    </w:pPr>
    <w:rPr>
      <w:rFonts w:ascii="Calibri" w:hAnsi="Calibri"/>
      <w:sz w:val="22"/>
      <w:szCs w:val="22"/>
      <w:lang w:val="fr-BE" w:eastAsia="fr-BE"/>
    </w:rPr>
  </w:style>
  <w:style w:type="paragraph" w:customStyle="1" w:styleId="Bullet0">
    <w:name w:val="Bullet 0"/>
    <w:basedOn w:val="Normal"/>
    <w:rsid w:val="00871585"/>
    <w:pPr>
      <w:numPr>
        <w:numId w:val="3"/>
      </w:numPr>
      <w:spacing w:before="120" w:after="120"/>
      <w:jc w:val="both"/>
    </w:pPr>
    <w:rPr>
      <w:sz w:val="24"/>
      <w:szCs w:val="24"/>
      <w:lang w:eastAsia="en-US"/>
    </w:rPr>
  </w:style>
  <w:style w:type="character" w:customStyle="1" w:styleId="hps">
    <w:name w:val="hps"/>
    <w:basedOn w:val="DefaultParagraphFont"/>
    <w:rsid w:val="00140A01"/>
  </w:style>
  <w:style w:type="paragraph" w:customStyle="1" w:styleId="Char2">
    <w:name w:val="Char2"/>
    <w:basedOn w:val="Normal"/>
    <w:rsid w:val="0089292D"/>
    <w:rPr>
      <w:sz w:val="24"/>
      <w:szCs w:val="24"/>
      <w:lang w:val="pl-PL" w:eastAsia="pl-PL"/>
    </w:rPr>
  </w:style>
  <w:style w:type="character" w:customStyle="1" w:styleId="shorttext">
    <w:name w:val="short_text"/>
    <w:basedOn w:val="DefaultParagraphFont"/>
    <w:rsid w:val="00280FBA"/>
  </w:style>
  <w:style w:type="paragraph" w:styleId="ListNumber">
    <w:name w:val="List Number"/>
    <w:basedOn w:val="Normal"/>
    <w:rsid w:val="00087407"/>
    <w:pPr>
      <w:numPr>
        <w:numId w:val="4"/>
      </w:numPr>
      <w:spacing w:before="120" w:after="120"/>
      <w:jc w:val="both"/>
    </w:pPr>
    <w:rPr>
      <w:sz w:val="24"/>
      <w:szCs w:val="24"/>
      <w:lang w:eastAsia="de-DE"/>
    </w:rPr>
  </w:style>
  <w:style w:type="paragraph" w:customStyle="1" w:styleId="ListNumberLevel2">
    <w:name w:val="List Number (Level 2)"/>
    <w:basedOn w:val="Normal"/>
    <w:rsid w:val="00087407"/>
    <w:pPr>
      <w:numPr>
        <w:ilvl w:val="1"/>
        <w:numId w:val="4"/>
      </w:numPr>
      <w:spacing w:before="120" w:after="120"/>
      <w:jc w:val="both"/>
    </w:pPr>
    <w:rPr>
      <w:sz w:val="24"/>
      <w:szCs w:val="24"/>
      <w:lang w:eastAsia="de-DE"/>
    </w:rPr>
  </w:style>
  <w:style w:type="paragraph" w:customStyle="1" w:styleId="ListNumberLevel3">
    <w:name w:val="List Number (Level 3)"/>
    <w:basedOn w:val="Normal"/>
    <w:rsid w:val="00087407"/>
    <w:pPr>
      <w:numPr>
        <w:ilvl w:val="2"/>
        <w:numId w:val="4"/>
      </w:numPr>
      <w:spacing w:before="120" w:after="120"/>
      <w:jc w:val="both"/>
    </w:pPr>
    <w:rPr>
      <w:sz w:val="24"/>
      <w:szCs w:val="24"/>
      <w:lang w:eastAsia="de-DE"/>
    </w:rPr>
  </w:style>
  <w:style w:type="paragraph" w:customStyle="1" w:styleId="ListNumberLevel4">
    <w:name w:val="List Number (Level 4)"/>
    <w:basedOn w:val="Normal"/>
    <w:rsid w:val="00087407"/>
    <w:pPr>
      <w:numPr>
        <w:ilvl w:val="3"/>
        <w:numId w:val="4"/>
      </w:numPr>
      <w:spacing w:before="120" w:after="120"/>
      <w:jc w:val="both"/>
    </w:pPr>
    <w:rPr>
      <w:sz w:val="24"/>
      <w:szCs w:val="24"/>
      <w:lang w:eastAsia="de-DE"/>
    </w:rPr>
  </w:style>
  <w:style w:type="paragraph" w:customStyle="1" w:styleId="CharChar2Char">
    <w:name w:val="Char Char2 Char"/>
    <w:basedOn w:val="Normal"/>
    <w:rsid w:val="00E6683B"/>
    <w:rPr>
      <w:sz w:val="24"/>
      <w:szCs w:val="24"/>
      <w:lang w:val="pl-PL" w:eastAsia="pl-PL"/>
    </w:rPr>
  </w:style>
  <w:style w:type="paragraph" w:customStyle="1" w:styleId="Par-dash">
    <w:name w:val="Par-dash"/>
    <w:basedOn w:val="Normal"/>
    <w:next w:val="Normal"/>
    <w:rsid w:val="003028A7"/>
    <w:pPr>
      <w:widowControl w:val="0"/>
      <w:numPr>
        <w:numId w:val="5"/>
      </w:numPr>
      <w:spacing w:line="360" w:lineRule="auto"/>
    </w:pPr>
    <w:rPr>
      <w:sz w:val="24"/>
      <w:szCs w:val="24"/>
      <w:lang w:eastAsia="fr-BE"/>
    </w:rPr>
  </w:style>
  <w:style w:type="paragraph" w:customStyle="1" w:styleId="NumPar1">
    <w:name w:val="NumPar 1"/>
    <w:basedOn w:val="Normal"/>
    <w:next w:val="Normal"/>
    <w:rsid w:val="001D1B8F"/>
    <w:pPr>
      <w:numPr>
        <w:numId w:val="8"/>
      </w:numPr>
      <w:spacing w:before="120" w:after="120"/>
      <w:jc w:val="both"/>
    </w:pPr>
    <w:rPr>
      <w:sz w:val="24"/>
      <w:szCs w:val="24"/>
      <w:lang w:eastAsia="en-US"/>
    </w:rPr>
  </w:style>
  <w:style w:type="paragraph" w:customStyle="1" w:styleId="NumPar2">
    <w:name w:val="NumPar 2"/>
    <w:basedOn w:val="Normal"/>
    <w:next w:val="Normal"/>
    <w:rsid w:val="001D1B8F"/>
    <w:pPr>
      <w:numPr>
        <w:ilvl w:val="1"/>
        <w:numId w:val="8"/>
      </w:numPr>
      <w:spacing w:before="120" w:after="120"/>
      <w:jc w:val="both"/>
    </w:pPr>
    <w:rPr>
      <w:sz w:val="24"/>
      <w:szCs w:val="24"/>
      <w:lang w:eastAsia="en-US"/>
    </w:rPr>
  </w:style>
  <w:style w:type="paragraph" w:customStyle="1" w:styleId="NumPar3">
    <w:name w:val="NumPar 3"/>
    <w:basedOn w:val="Normal"/>
    <w:next w:val="Normal"/>
    <w:rsid w:val="001D1B8F"/>
    <w:pPr>
      <w:numPr>
        <w:ilvl w:val="2"/>
        <w:numId w:val="8"/>
      </w:numPr>
      <w:spacing w:before="120" w:after="120"/>
      <w:jc w:val="both"/>
    </w:pPr>
    <w:rPr>
      <w:sz w:val="24"/>
      <w:szCs w:val="24"/>
      <w:lang w:eastAsia="en-US"/>
    </w:rPr>
  </w:style>
  <w:style w:type="paragraph" w:customStyle="1" w:styleId="NumPar4">
    <w:name w:val="NumPar 4"/>
    <w:basedOn w:val="Normal"/>
    <w:next w:val="Normal"/>
    <w:rsid w:val="001D1B8F"/>
    <w:pPr>
      <w:numPr>
        <w:ilvl w:val="3"/>
        <w:numId w:val="8"/>
      </w:numPr>
      <w:spacing w:before="120" w:after="120"/>
      <w:jc w:val="both"/>
    </w:pPr>
    <w:rPr>
      <w:sz w:val="24"/>
      <w:szCs w:val="24"/>
      <w:lang w:eastAsia="en-US"/>
    </w:rPr>
  </w:style>
  <w:style w:type="paragraph" w:customStyle="1" w:styleId="NormalCentered">
    <w:name w:val="Normal Centered"/>
    <w:basedOn w:val="Normal"/>
    <w:rsid w:val="001D1B8F"/>
    <w:pPr>
      <w:spacing w:before="120" w:after="120"/>
      <w:jc w:val="center"/>
    </w:pPr>
    <w:rPr>
      <w:sz w:val="24"/>
      <w:szCs w:val="24"/>
    </w:rPr>
  </w:style>
  <w:style w:type="paragraph" w:styleId="PlainText">
    <w:name w:val="Plain Text"/>
    <w:basedOn w:val="Normal"/>
    <w:link w:val="PlainTextChar"/>
    <w:uiPriority w:val="99"/>
    <w:unhideWhenUsed/>
    <w:rsid w:val="001D1B8F"/>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D1B8F"/>
    <w:rPr>
      <w:rFonts w:ascii="Consolas" w:hAnsi="Consolas"/>
      <w:sz w:val="21"/>
      <w:szCs w:val="21"/>
      <w:lang w:val="en-GB" w:eastAsia="en-US"/>
    </w:rPr>
  </w:style>
  <w:style w:type="paragraph" w:customStyle="1" w:styleId="c3">
    <w:name w:val="c3"/>
    <w:basedOn w:val="Normal"/>
    <w:rsid w:val="00304494"/>
    <w:pPr>
      <w:autoSpaceDE w:val="0"/>
      <w:autoSpaceDN w:val="0"/>
      <w:spacing w:before="100" w:beforeAutospacing="1" w:after="100" w:afterAutospacing="1"/>
      <w:jc w:val="both"/>
    </w:pPr>
    <w:rPr>
      <w:rFonts w:eastAsiaTheme="minorHAnsi"/>
      <w:sz w:val="24"/>
      <w:szCs w:val="24"/>
    </w:rPr>
  </w:style>
  <w:style w:type="character" w:customStyle="1" w:styleId="c1">
    <w:name w:val="c1"/>
    <w:basedOn w:val="DefaultParagraphFont"/>
    <w:rsid w:val="00304494"/>
    <w:rPr>
      <w:color w:val="000000"/>
      <w:shd w:val="clear" w:color="auto" w:fill="FFFF00"/>
    </w:rPr>
  </w:style>
  <w:style w:type="character" w:customStyle="1" w:styleId="c2">
    <w:name w:val="c2"/>
    <w:basedOn w:val="DefaultParagraphFont"/>
    <w:rsid w:val="00304494"/>
    <w:rPr>
      <w:color w:val="000000"/>
    </w:rPr>
  </w:style>
  <w:style w:type="paragraph" w:customStyle="1" w:styleId="Point0number">
    <w:name w:val="Point 0 (number)"/>
    <w:basedOn w:val="Normal"/>
    <w:rsid w:val="00426798"/>
    <w:pPr>
      <w:numPr>
        <w:numId w:val="15"/>
      </w:numPr>
      <w:spacing w:before="120" w:after="120"/>
      <w:jc w:val="both"/>
    </w:pPr>
    <w:rPr>
      <w:sz w:val="24"/>
      <w:szCs w:val="24"/>
    </w:rPr>
  </w:style>
  <w:style w:type="paragraph" w:customStyle="1" w:styleId="Point1number">
    <w:name w:val="Point 1 (number)"/>
    <w:basedOn w:val="Normal"/>
    <w:rsid w:val="00426798"/>
    <w:pPr>
      <w:numPr>
        <w:ilvl w:val="2"/>
        <w:numId w:val="15"/>
      </w:numPr>
      <w:spacing w:before="120" w:after="120"/>
      <w:jc w:val="both"/>
    </w:pPr>
    <w:rPr>
      <w:sz w:val="24"/>
      <w:szCs w:val="24"/>
    </w:rPr>
  </w:style>
  <w:style w:type="paragraph" w:customStyle="1" w:styleId="Point2number">
    <w:name w:val="Point 2 (number)"/>
    <w:basedOn w:val="Normal"/>
    <w:rsid w:val="00426798"/>
    <w:pPr>
      <w:numPr>
        <w:ilvl w:val="4"/>
        <w:numId w:val="15"/>
      </w:numPr>
      <w:spacing w:before="120" w:after="120"/>
      <w:jc w:val="both"/>
    </w:pPr>
    <w:rPr>
      <w:sz w:val="24"/>
      <w:szCs w:val="24"/>
    </w:rPr>
  </w:style>
  <w:style w:type="paragraph" w:customStyle="1" w:styleId="Point3number">
    <w:name w:val="Point 3 (number)"/>
    <w:basedOn w:val="Normal"/>
    <w:rsid w:val="00426798"/>
    <w:pPr>
      <w:numPr>
        <w:ilvl w:val="6"/>
        <w:numId w:val="15"/>
      </w:numPr>
      <w:spacing w:before="120" w:after="120"/>
      <w:jc w:val="both"/>
    </w:pPr>
    <w:rPr>
      <w:sz w:val="24"/>
      <w:szCs w:val="24"/>
    </w:rPr>
  </w:style>
  <w:style w:type="paragraph" w:customStyle="1" w:styleId="Point0letter">
    <w:name w:val="Point 0 (letter)"/>
    <w:basedOn w:val="Normal"/>
    <w:rsid w:val="00426798"/>
    <w:pPr>
      <w:numPr>
        <w:ilvl w:val="1"/>
        <w:numId w:val="15"/>
      </w:numPr>
      <w:spacing w:before="120" w:after="120"/>
      <w:jc w:val="both"/>
    </w:pPr>
    <w:rPr>
      <w:sz w:val="24"/>
      <w:szCs w:val="24"/>
      <w:lang w:eastAsia="en-US"/>
    </w:rPr>
  </w:style>
  <w:style w:type="paragraph" w:customStyle="1" w:styleId="Point1letter">
    <w:name w:val="Point 1 (letter)"/>
    <w:basedOn w:val="Normal"/>
    <w:rsid w:val="00426798"/>
    <w:pPr>
      <w:numPr>
        <w:ilvl w:val="3"/>
        <w:numId w:val="15"/>
      </w:numPr>
      <w:spacing w:before="120" w:after="120"/>
      <w:jc w:val="both"/>
    </w:pPr>
    <w:rPr>
      <w:sz w:val="24"/>
      <w:szCs w:val="24"/>
      <w:lang w:eastAsia="en-US"/>
    </w:rPr>
  </w:style>
  <w:style w:type="paragraph" w:customStyle="1" w:styleId="Point2letter">
    <w:name w:val="Point 2 (letter)"/>
    <w:basedOn w:val="Normal"/>
    <w:rsid w:val="00426798"/>
    <w:pPr>
      <w:numPr>
        <w:ilvl w:val="5"/>
        <w:numId w:val="15"/>
      </w:numPr>
      <w:spacing w:before="120" w:after="120"/>
      <w:jc w:val="both"/>
    </w:pPr>
    <w:rPr>
      <w:sz w:val="24"/>
      <w:szCs w:val="24"/>
    </w:rPr>
  </w:style>
  <w:style w:type="paragraph" w:customStyle="1" w:styleId="Point3letter">
    <w:name w:val="Point 3 (letter)"/>
    <w:basedOn w:val="Normal"/>
    <w:rsid w:val="00426798"/>
    <w:pPr>
      <w:numPr>
        <w:ilvl w:val="7"/>
        <w:numId w:val="15"/>
      </w:numPr>
      <w:spacing w:before="120" w:after="120"/>
      <w:jc w:val="both"/>
    </w:pPr>
    <w:rPr>
      <w:sz w:val="24"/>
      <w:szCs w:val="24"/>
    </w:rPr>
  </w:style>
  <w:style w:type="paragraph" w:customStyle="1" w:styleId="Point4letter">
    <w:name w:val="Point 4 (letter)"/>
    <w:basedOn w:val="Normal"/>
    <w:rsid w:val="00426798"/>
    <w:pPr>
      <w:numPr>
        <w:ilvl w:val="8"/>
        <w:numId w:val="15"/>
      </w:numPr>
      <w:spacing w:before="120" w:after="120"/>
      <w:jc w:val="both"/>
    </w:pPr>
    <w:rPr>
      <w:sz w:val="24"/>
      <w:szCs w:val="24"/>
    </w:rPr>
  </w:style>
  <w:style w:type="paragraph" w:customStyle="1" w:styleId="ManualNumPar1">
    <w:name w:val="Manual NumPar 1"/>
    <w:basedOn w:val="Normal"/>
    <w:next w:val="Normal"/>
    <w:rsid w:val="00426798"/>
    <w:pPr>
      <w:spacing w:before="120" w:after="120"/>
      <w:ind w:left="850" w:hanging="850"/>
      <w:jc w:val="both"/>
    </w:pPr>
    <w:rPr>
      <w:sz w:val="24"/>
      <w:szCs w:val="24"/>
      <w:lang w:eastAsia="en-US"/>
    </w:rPr>
  </w:style>
  <w:style w:type="paragraph" w:customStyle="1" w:styleId="ListDash2">
    <w:name w:val="List Dash 2"/>
    <w:basedOn w:val="Normal"/>
    <w:rsid w:val="00426798"/>
    <w:pPr>
      <w:numPr>
        <w:numId w:val="16"/>
      </w:numPr>
      <w:spacing w:before="120" w:after="120"/>
      <w:jc w:val="both"/>
    </w:pPr>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386">
      <w:marLeft w:val="0"/>
      <w:marRight w:val="0"/>
      <w:marTop w:val="0"/>
      <w:marBottom w:val="0"/>
      <w:divBdr>
        <w:top w:val="none" w:sz="0" w:space="0" w:color="auto"/>
        <w:left w:val="none" w:sz="0" w:space="0" w:color="auto"/>
        <w:bottom w:val="none" w:sz="0" w:space="0" w:color="auto"/>
        <w:right w:val="none" w:sz="0" w:space="0" w:color="auto"/>
      </w:divBdr>
    </w:div>
    <w:div w:id="65416391">
      <w:marLeft w:val="0"/>
      <w:marRight w:val="0"/>
      <w:marTop w:val="0"/>
      <w:marBottom w:val="0"/>
      <w:divBdr>
        <w:top w:val="none" w:sz="0" w:space="0" w:color="auto"/>
        <w:left w:val="none" w:sz="0" w:space="0" w:color="auto"/>
        <w:bottom w:val="none" w:sz="0" w:space="0" w:color="auto"/>
        <w:right w:val="none" w:sz="0" w:space="0" w:color="auto"/>
      </w:divBdr>
    </w:div>
    <w:div w:id="65416394">
      <w:marLeft w:val="0"/>
      <w:marRight w:val="0"/>
      <w:marTop w:val="0"/>
      <w:marBottom w:val="0"/>
      <w:divBdr>
        <w:top w:val="none" w:sz="0" w:space="0" w:color="auto"/>
        <w:left w:val="none" w:sz="0" w:space="0" w:color="auto"/>
        <w:bottom w:val="none" w:sz="0" w:space="0" w:color="auto"/>
        <w:right w:val="none" w:sz="0" w:space="0" w:color="auto"/>
      </w:divBdr>
      <w:divsChild>
        <w:div w:id="65416390">
          <w:marLeft w:val="0"/>
          <w:marRight w:val="0"/>
          <w:marTop w:val="100"/>
          <w:marBottom w:val="100"/>
          <w:divBdr>
            <w:top w:val="none" w:sz="0" w:space="0" w:color="auto"/>
            <w:left w:val="single" w:sz="6" w:space="0" w:color="76787B"/>
            <w:bottom w:val="none" w:sz="0" w:space="0" w:color="auto"/>
            <w:right w:val="single" w:sz="6" w:space="0" w:color="76787B"/>
          </w:divBdr>
          <w:divsChild>
            <w:div w:id="65416387">
              <w:marLeft w:val="0"/>
              <w:marRight w:val="0"/>
              <w:marTop w:val="0"/>
              <w:marBottom w:val="0"/>
              <w:divBdr>
                <w:top w:val="none" w:sz="0" w:space="0" w:color="auto"/>
                <w:left w:val="none" w:sz="0" w:space="0" w:color="auto"/>
                <w:bottom w:val="none" w:sz="0" w:space="0" w:color="auto"/>
                <w:right w:val="none" w:sz="0" w:space="0" w:color="auto"/>
              </w:divBdr>
              <w:divsChild>
                <w:div w:id="65416393">
                  <w:marLeft w:val="0"/>
                  <w:marRight w:val="0"/>
                  <w:marTop w:val="0"/>
                  <w:marBottom w:val="225"/>
                  <w:divBdr>
                    <w:top w:val="none" w:sz="0" w:space="0" w:color="auto"/>
                    <w:left w:val="none" w:sz="0" w:space="0" w:color="auto"/>
                    <w:bottom w:val="none" w:sz="0" w:space="0" w:color="auto"/>
                    <w:right w:val="none" w:sz="0" w:space="0" w:color="auto"/>
                  </w:divBdr>
                  <w:divsChild>
                    <w:div w:id="65416392">
                      <w:marLeft w:val="345"/>
                      <w:marRight w:val="210"/>
                      <w:marTop w:val="225"/>
                      <w:marBottom w:val="150"/>
                      <w:divBdr>
                        <w:top w:val="none" w:sz="0" w:space="0" w:color="auto"/>
                        <w:left w:val="none" w:sz="0" w:space="0" w:color="auto"/>
                        <w:bottom w:val="none" w:sz="0" w:space="0" w:color="auto"/>
                        <w:right w:val="none" w:sz="0" w:space="0" w:color="auto"/>
                      </w:divBdr>
                      <w:divsChild>
                        <w:div w:id="65416388">
                          <w:marLeft w:val="0"/>
                          <w:marRight w:val="0"/>
                          <w:marTop w:val="0"/>
                          <w:marBottom w:val="0"/>
                          <w:divBdr>
                            <w:top w:val="none" w:sz="0" w:space="0" w:color="auto"/>
                            <w:left w:val="none" w:sz="0" w:space="0" w:color="auto"/>
                            <w:bottom w:val="none" w:sz="0" w:space="0" w:color="auto"/>
                            <w:right w:val="none" w:sz="0" w:space="0" w:color="auto"/>
                          </w:divBdr>
                          <w:divsChild>
                            <w:div w:id="65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68474">
      <w:bodyDiv w:val="1"/>
      <w:marLeft w:val="0"/>
      <w:marRight w:val="0"/>
      <w:marTop w:val="0"/>
      <w:marBottom w:val="0"/>
      <w:divBdr>
        <w:top w:val="none" w:sz="0" w:space="0" w:color="auto"/>
        <w:left w:val="none" w:sz="0" w:space="0" w:color="auto"/>
        <w:bottom w:val="none" w:sz="0" w:space="0" w:color="auto"/>
        <w:right w:val="none" w:sz="0" w:space="0" w:color="auto"/>
      </w:divBdr>
      <w:divsChild>
        <w:div w:id="2003511496">
          <w:marLeft w:val="0"/>
          <w:marRight w:val="0"/>
          <w:marTop w:val="0"/>
          <w:marBottom w:val="0"/>
          <w:divBdr>
            <w:top w:val="none" w:sz="0" w:space="0" w:color="auto"/>
            <w:left w:val="none" w:sz="0" w:space="0" w:color="auto"/>
            <w:bottom w:val="none" w:sz="0" w:space="0" w:color="auto"/>
            <w:right w:val="none" w:sz="0" w:space="0" w:color="auto"/>
          </w:divBdr>
          <w:divsChild>
            <w:div w:id="430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12">
      <w:bodyDiv w:val="1"/>
      <w:marLeft w:val="0"/>
      <w:marRight w:val="0"/>
      <w:marTop w:val="0"/>
      <w:marBottom w:val="0"/>
      <w:divBdr>
        <w:top w:val="none" w:sz="0" w:space="0" w:color="auto"/>
        <w:left w:val="none" w:sz="0" w:space="0" w:color="auto"/>
        <w:bottom w:val="none" w:sz="0" w:space="0" w:color="auto"/>
        <w:right w:val="none" w:sz="0" w:space="0" w:color="auto"/>
      </w:divBdr>
      <w:divsChild>
        <w:div w:id="867184781">
          <w:marLeft w:val="0"/>
          <w:marRight w:val="0"/>
          <w:marTop w:val="0"/>
          <w:marBottom w:val="0"/>
          <w:divBdr>
            <w:top w:val="none" w:sz="0" w:space="0" w:color="auto"/>
            <w:left w:val="none" w:sz="0" w:space="0" w:color="auto"/>
            <w:bottom w:val="none" w:sz="0" w:space="0" w:color="auto"/>
            <w:right w:val="none" w:sz="0" w:space="0" w:color="auto"/>
          </w:divBdr>
          <w:divsChild>
            <w:div w:id="978263150">
              <w:marLeft w:val="0"/>
              <w:marRight w:val="0"/>
              <w:marTop w:val="0"/>
              <w:marBottom w:val="0"/>
              <w:divBdr>
                <w:top w:val="none" w:sz="0" w:space="0" w:color="auto"/>
                <w:left w:val="none" w:sz="0" w:space="0" w:color="auto"/>
                <w:bottom w:val="none" w:sz="0" w:space="0" w:color="auto"/>
                <w:right w:val="none" w:sz="0" w:space="0" w:color="auto"/>
              </w:divBdr>
              <w:divsChild>
                <w:div w:id="9672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9824">
      <w:bodyDiv w:val="1"/>
      <w:marLeft w:val="0"/>
      <w:marRight w:val="0"/>
      <w:marTop w:val="0"/>
      <w:marBottom w:val="0"/>
      <w:divBdr>
        <w:top w:val="none" w:sz="0" w:space="0" w:color="auto"/>
        <w:left w:val="none" w:sz="0" w:space="0" w:color="auto"/>
        <w:bottom w:val="none" w:sz="0" w:space="0" w:color="auto"/>
        <w:right w:val="none" w:sz="0" w:space="0" w:color="auto"/>
      </w:divBdr>
      <w:divsChild>
        <w:div w:id="206140896">
          <w:marLeft w:val="0"/>
          <w:marRight w:val="0"/>
          <w:marTop w:val="0"/>
          <w:marBottom w:val="0"/>
          <w:divBdr>
            <w:top w:val="none" w:sz="0" w:space="0" w:color="auto"/>
            <w:left w:val="none" w:sz="0" w:space="0" w:color="auto"/>
            <w:bottom w:val="none" w:sz="0" w:space="0" w:color="auto"/>
            <w:right w:val="none" w:sz="0" w:space="0" w:color="auto"/>
          </w:divBdr>
          <w:divsChild>
            <w:div w:id="12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355">
      <w:bodyDiv w:val="1"/>
      <w:marLeft w:val="0"/>
      <w:marRight w:val="0"/>
      <w:marTop w:val="0"/>
      <w:marBottom w:val="0"/>
      <w:divBdr>
        <w:top w:val="none" w:sz="0" w:space="0" w:color="auto"/>
        <w:left w:val="none" w:sz="0" w:space="0" w:color="auto"/>
        <w:bottom w:val="none" w:sz="0" w:space="0" w:color="auto"/>
        <w:right w:val="none" w:sz="0" w:space="0" w:color="auto"/>
      </w:divBdr>
      <w:divsChild>
        <w:div w:id="1516068195">
          <w:marLeft w:val="0"/>
          <w:marRight w:val="0"/>
          <w:marTop w:val="0"/>
          <w:marBottom w:val="0"/>
          <w:divBdr>
            <w:top w:val="none" w:sz="0" w:space="0" w:color="auto"/>
            <w:left w:val="none" w:sz="0" w:space="0" w:color="auto"/>
            <w:bottom w:val="none" w:sz="0" w:space="0" w:color="auto"/>
            <w:right w:val="none" w:sz="0" w:space="0" w:color="auto"/>
          </w:divBdr>
          <w:divsChild>
            <w:div w:id="3531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4867">
      <w:bodyDiv w:val="1"/>
      <w:marLeft w:val="0"/>
      <w:marRight w:val="0"/>
      <w:marTop w:val="0"/>
      <w:marBottom w:val="0"/>
      <w:divBdr>
        <w:top w:val="none" w:sz="0" w:space="0" w:color="auto"/>
        <w:left w:val="none" w:sz="0" w:space="0" w:color="auto"/>
        <w:bottom w:val="none" w:sz="0" w:space="0" w:color="auto"/>
        <w:right w:val="none" w:sz="0" w:space="0" w:color="auto"/>
      </w:divBdr>
      <w:divsChild>
        <w:div w:id="1272669690">
          <w:marLeft w:val="0"/>
          <w:marRight w:val="0"/>
          <w:marTop w:val="0"/>
          <w:marBottom w:val="0"/>
          <w:divBdr>
            <w:top w:val="none" w:sz="0" w:space="0" w:color="auto"/>
            <w:left w:val="none" w:sz="0" w:space="0" w:color="auto"/>
            <w:bottom w:val="none" w:sz="0" w:space="0" w:color="auto"/>
            <w:right w:val="none" w:sz="0" w:space="0" w:color="auto"/>
          </w:divBdr>
          <w:divsChild>
            <w:div w:id="1443264337">
              <w:marLeft w:val="0"/>
              <w:marRight w:val="0"/>
              <w:marTop w:val="0"/>
              <w:marBottom w:val="0"/>
              <w:divBdr>
                <w:top w:val="none" w:sz="0" w:space="0" w:color="auto"/>
                <w:left w:val="none" w:sz="0" w:space="0" w:color="auto"/>
                <w:bottom w:val="none" w:sz="0" w:space="0" w:color="auto"/>
                <w:right w:val="none" w:sz="0" w:space="0" w:color="auto"/>
              </w:divBdr>
              <w:divsChild>
                <w:div w:id="67503520">
                  <w:marLeft w:val="0"/>
                  <w:marRight w:val="0"/>
                  <w:marTop w:val="0"/>
                  <w:marBottom w:val="0"/>
                  <w:divBdr>
                    <w:top w:val="none" w:sz="0" w:space="0" w:color="auto"/>
                    <w:left w:val="none" w:sz="0" w:space="0" w:color="auto"/>
                    <w:bottom w:val="none" w:sz="0" w:space="0" w:color="auto"/>
                    <w:right w:val="none" w:sz="0" w:space="0" w:color="auto"/>
                  </w:divBdr>
                  <w:divsChild>
                    <w:div w:id="649676828">
                      <w:marLeft w:val="0"/>
                      <w:marRight w:val="0"/>
                      <w:marTop w:val="0"/>
                      <w:marBottom w:val="0"/>
                      <w:divBdr>
                        <w:top w:val="none" w:sz="0" w:space="0" w:color="auto"/>
                        <w:left w:val="none" w:sz="0" w:space="0" w:color="auto"/>
                        <w:bottom w:val="none" w:sz="0" w:space="0" w:color="auto"/>
                        <w:right w:val="none" w:sz="0" w:space="0" w:color="auto"/>
                      </w:divBdr>
                      <w:divsChild>
                        <w:div w:id="8593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1963">
              <w:marLeft w:val="0"/>
              <w:marRight w:val="0"/>
              <w:marTop w:val="0"/>
              <w:marBottom w:val="0"/>
              <w:divBdr>
                <w:top w:val="none" w:sz="0" w:space="0" w:color="auto"/>
                <w:left w:val="none" w:sz="0" w:space="0" w:color="auto"/>
                <w:bottom w:val="none" w:sz="0" w:space="0" w:color="auto"/>
                <w:right w:val="none" w:sz="0" w:space="0" w:color="auto"/>
              </w:divBdr>
              <w:divsChild>
                <w:div w:id="2000233995">
                  <w:marLeft w:val="0"/>
                  <w:marRight w:val="0"/>
                  <w:marTop w:val="0"/>
                  <w:marBottom w:val="0"/>
                  <w:divBdr>
                    <w:top w:val="none" w:sz="0" w:space="0" w:color="auto"/>
                    <w:left w:val="none" w:sz="0" w:space="0" w:color="auto"/>
                    <w:bottom w:val="none" w:sz="0" w:space="0" w:color="auto"/>
                    <w:right w:val="none" w:sz="0" w:space="0" w:color="auto"/>
                  </w:divBdr>
                  <w:divsChild>
                    <w:div w:id="1870071668">
                      <w:marLeft w:val="0"/>
                      <w:marRight w:val="0"/>
                      <w:marTop w:val="0"/>
                      <w:marBottom w:val="0"/>
                      <w:divBdr>
                        <w:top w:val="none" w:sz="0" w:space="0" w:color="auto"/>
                        <w:left w:val="none" w:sz="0" w:space="0" w:color="auto"/>
                        <w:bottom w:val="none" w:sz="0" w:space="0" w:color="auto"/>
                        <w:right w:val="none" w:sz="0" w:space="0" w:color="auto"/>
                      </w:divBdr>
                      <w:divsChild>
                        <w:div w:id="577600080">
                          <w:marLeft w:val="0"/>
                          <w:marRight w:val="0"/>
                          <w:marTop w:val="0"/>
                          <w:marBottom w:val="0"/>
                          <w:divBdr>
                            <w:top w:val="none" w:sz="0" w:space="0" w:color="auto"/>
                            <w:left w:val="none" w:sz="0" w:space="0" w:color="auto"/>
                            <w:bottom w:val="none" w:sz="0" w:space="0" w:color="auto"/>
                            <w:right w:val="none" w:sz="0" w:space="0" w:color="auto"/>
                          </w:divBdr>
                          <w:divsChild>
                            <w:div w:id="529609589">
                              <w:marLeft w:val="0"/>
                              <w:marRight w:val="0"/>
                              <w:marTop w:val="0"/>
                              <w:marBottom w:val="0"/>
                              <w:divBdr>
                                <w:top w:val="none" w:sz="0" w:space="0" w:color="auto"/>
                                <w:left w:val="none" w:sz="0" w:space="0" w:color="auto"/>
                                <w:bottom w:val="none" w:sz="0" w:space="0" w:color="auto"/>
                                <w:right w:val="none" w:sz="0" w:space="0" w:color="auto"/>
                              </w:divBdr>
                              <w:divsChild>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629759">
      <w:bodyDiv w:val="1"/>
      <w:marLeft w:val="0"/>
      <w:marRight w:val="0"/>
      <w:marTop w:val="0"/>
      <w:marBottom w:val="0"/>
      <w:divBdr>
        <w:top w:val="none" w:sz="0" w:space="0" w:color="auto"/>
        <w:left w:val="none" w:sz="0" w:space="0" w:color="auto"/>
        <w:bottom w:val="none" w:sz="0" w:space="0" w:color="auto"/>
        <w:right w:val="none" w:sz="0" w:space="0" w:color="auto"/>
      </w:divBdr>
    </w:div>
    <w:div w:id="1203975412">
      <w:bodyDiv w:val="1"/>
      <w:marLeft w:val="0"/>
      <w:marRight w:val="0"/>
      <w:marTop w:val="0"/>
      <w:marBottom w:val="0"/>
      <w:divBdr>
        <w:top w:val="none" w:sz="0" w:space="0" w:color="auto"/>
        <w:left w:val="none" w:sz="0" w:space="0" w:color="auto"/>
        <w:bottom w:val="none" w:sz="0" w:space="0" w:color="auto"/>
        <w:right w:val="none" w:sz="0" w:space="0" w:color="auto"/>
      </w:divBdr>
      <w:divsChild>
        <w:div w:id="1688290350">
          <w:marLeft w:val="0"/>
          <w:marRight w:val="0"/>
          <w:marTop w:val="0"/>
          <w:marBottom w:val="0"/>
          <w:divBdr>
            <w:top w:val="none" w:sz="0" w:space="0" w:color="auto"/>
            <w:left w:val="none" w:sz="0" w:space="0" w:color="auto"/>
            <w:bottom w:val="none" w:sz="0" w:space="0" w:color="auto"/>
            <w:right w:val="none" w:sz="0" w:space="0" w:color="auto"/>
          </w:divBdr>
          <w:divsChild>
            <w:div w:id="1517689360">
              <w:marLeft w:val="0"/>
              <w:marRight w:val="0"/>
              <w:marTop w:val="0"/>
              <w:marBottom w:val="0"/>
              <w:divBdr>
                <w:top w:val="none" w:sz="0" w:space="0" w:color="auto"/>
                <w:left w:val="none" w:sz="0" w:space="0" w:color="auto"/>
                <w:bottom w:val="none" w:sz="0" w:space="0" w:color="auto"/>
                <w:right w:val="none" w:sz="0" w:space="0" w:color="auto"/>
              </w:divBdr>
              <w:divsChild>
                <w:div w:id="1791632165">
                  <w:marLeft w:val="0"/>
                  <w:marRight w:val="0"/>
                  <w:marTop w:val="0"/>
                  <w:marBottom w:val="0"/>
                  <w:divBdr>
                    <w:top w:val="none" w:sz="0" w:space="0" w:color="auto"/>
                    <w:left w:val="none" w:sz="0" w:space="0" w:color="auto"/>
                    <w:bottom w:val="none" w:sz="0" w:space="0" w:color="auto"/>
                    <w:right w:val="none" w:sz="0" w:space="0" w:color="auto"/>
                  </w:divBdr>
                  <w:divsChild>
                    <w:div w:id="645739880">
                      <w:marLeft w:val="0"/>
                      <w:marRight w:val="0"/>
                      <w:marTop w:val="0"/>
                      <w:marBottom w:val="0"/>
                      <w:divBdr>
                        <w:top w:val="none" w:sz="0" w:space="0" w:color="auto"/>
                        <w:left w:val="none" w:sz="0" w:space="0" w:color="auto"/>
                        <w:bottom w:val="none" w:sz="0" w:space="0" w:color="auto"/>
                        <w:right w:val="none" w:sz="0" w:space="0" w:color="auto"/>
                      </w:divBdr>
                      <w:divsChild>
                        <w:div w:id="1786460352">
                          <w:marLeft w:val="0"/>
                          <w:marRight w:val="0"/>
                          <w:marTop w:val="0"/>
                          <w:marBottom w:val="0"/>
                          <w:divBdr>
                            <w:top w:val="none" w:sz="0" w:space="0" w:color="auto"/>
                            <w:left w:val="none" w:sz="0" w:space="0" w:color="auto"/>
                            <w:bottom w:val="none" w:sz="0" w:space="0" w:color="auto"/>
                            <w:right w:val="none" w:sz="0" w:space="0" w:color="auto"/>
                          </w:divBdr>
                          <w:divsChild>
                            <w:div w:id="12364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94472">
      <w:bodyDiv w:val="1"/>
      <w:marLeft w:val="0"/>
      <w:marRight w:val="0"/>
      <w:marTop w:val="0"/>
      <w:marBottom w:val="0"/>
      <w:divBdr>
        <w:top w:val="none" w:sz="0" w:space="0" w:color="auto"/>
        <w:left w:val="none" w:sz="0" w:space="0" w:color="auto"/>
        <w:bottom w:val="none" w:sz="0" w:space="0" w:color="auto"/>
        <w:right w:val="none" w:sz="0" w:space="0" w:color="auto"/>
      </w:divBdr>
      <w:divsChild>
        <w:div w:id="2039620836">
          <w:marLeft w:val="0"/>
          <w:marRight w:val="0"/>
          <w:marTop w:val="0"/>
          <w:marBottom w:val="0"/>
          <w:divBdr>
            <w:top w:val="none" w:sz="0" w:space="0" w:color="auto"/>
            <w:left w:val="none" w:sz="0" w:space="0" w:color="auto"/>
            <w:bottom w:val="none" w:sz="0" w:space="0" w:color="auto"/>
            <w:right w:val="none" w:sz="0" w:space="0" w:color="auto"/>
          </w:divBdr>
          <w:divsChild>
            <w:div w:id="1575896035">
              <w:marLeft w:val="0"/>
              <w:marRight w:val="0"/>
              <w:marTop w:val="0"/>
              <w:marBottom w:val="0"/>
              <w:divBdr>
                <w:top w:val="none" w:sz="0" w:space="0" w:color="auto"/>
                <w:left w:val="none" w:sz="0" w:space="0" w:color="auto"/>
                <w:bottom w:val="none" w:sz="0" w:space="0" w:color="auto"/>
                <w:right w:val="none" w:sz="0" w:space="0" w:color="auto"/>
              </w:divBdr>
              <w:divsChild>
                <w:div w:id="957761447">
                  <w:marLeft w:val="0"/>
                  <w:marRight w:val="0"/>
                  <w:marTop w:val="0"/>
                  <w:marBottom w:val="0"/>
                  <w:divBdr>
                    <w:top w:val="none" w:sz="0" w:space="0" w:color="auto"/>
                    <w:left w:val="none" w:sz="0" w:space="0" w:color="auto"/>
                    <w:bottom w:val="none" w:sz="0" w:space="0" w:color="auto"/>
                    <w:right w:val="none" w:sz="0" w:space="0" w:color="auto"/>
                  </w:divBdr>
                  <w:divsChild>
                    <w:div w:id="1982538305">
                      <w:marLeft w:val="0"/>
                      <w:marRight w:val="0"/>
                      <w:marTop w:val="0"/>
                      <w:marBottom w:val="0"/>
                      <w:divBdr>
                        <w:top w:val="none" w:sz="0" w:space="0" w:color="auto"/>
                        <w:left w:val="none" w:sz="0" w:space="0" w:color="auto"/>
                        <w:bottom w:val="none" w:sz="0" w:space="0" w:color="auto"/>
                        <w:right w:val="none" w:sz="0" w:space="0" w:color="auto"/>
                      </w:divBdr>
                      <w:divsChild>
                        <w:div w:id="1596013618">
                          <w:marLeft w:val="0"/>
                          <w:marRight w:val="0"/>
                          <w:marTop w:val="0"/>
                          <w:marBottom w:val="0"/>
                          <w:divBdr>
                            <w:top w:val="none" w:sz="0" w:space="0" w:color="auto"/>
                            <w:left w:val="none" w:sz="0" w:space="0" w:color="auto"/>
                            <w:bottom w:val="none" w:sz="0" w:space="0" w:color="auto"/>
                            <w:right w:val="none" w:sz="0" w:space="0" w:color="auto"/>
                          </w:divBdr>
                          <w:divsChild>
                            <w:div w:id="87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0423">
      <w:bodyDiv w:val="1"/>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sChild>
            <w:div w:id="1930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8555">
      <w:bodyDiv w:val="1"/>
      <w:marLeft w:val="0"/>
      <w:marRight w:val="0"/>
      <w:marTop w:val="0"/>
      <w:marBottom w:val="0"/>
      <w:divBdr>
        <w:top w:val="none" w:sz="0" w:space="0" w:color="auto"/>
        <w:left w:val="none" w:sz="0" w:space="0" w:color="auto"/>
        <w:bottom w:val="none" w:sz="0" w:space="0" w:color="auto"/>
        <w:right w:val="none" w:sz="0" w:space="0" w:color="auto"/>
      </w:divBdr>
    </w:div>
    <w:div w:id="1841771437">
      <w:bodyDiv w:val="1"/>
      <w:marLeft w:val="0"/>
      <w:marRight w:val="0"/>
      <w:marTop w:val="0"/>
      <w:marBottom w:val="0"/>
      <w:divBdr>
        <w:top w:val="none" w:sz="0" w:space="0" w:color="auto"/>
        <w:left w:val="none" w:sz="0" w:space="0" w:color="auto"/>
        <w:bottom w:val="none" w:sz="0" w:space="0" w:color="auto"/>
        <w:right w:val="none" w:sz="0" w:space="0" w:color="auto"/>
      </w:divBdr>
      <w:divsChild>
        <w:div w:id="808867118">
          <w:marLeft w:val="0"/>
          <w:marRight w:val="0"/>
          <w:marTop w:val="0"/>
          <w:marBottom w:val="0"/>
          <w:divBdr>
            <w:top w:val="none" w:sz="0" w:space="0" w:color="auto"/>
            <w:left w:val="none" w:sz="0" w:space="0" w:color="auto"/>
            <w:bottom w:val="none" w:sz="0" w:space="0" w:color="auto"/>
            <w:right w:val="none" w:sz="0" w:space="0" w:color="auto"/>
          </w:divBdr>
          <w:divsChild>
            <w:div w:id="357199331">
              <w:marLeft w:val="0"/>
              <w:marRight w:val="0"/>
              <w:marTop w:val="0"/>
              <w:marBottom w:val="0"/>
              <w:divBdr>
                <w:top w:val="none" w:sz="0" w:space="0" w:color="auto"/>
                <w:left w:val="none" w:sz="0" w:space="0" w:color="auto"/>
                <w:bottom w:val="none" w:sz="0" w:space="0" w:color="auto"/>
                <w:right w:val="none" w:sz="0" w:space="0" w:color="auto"/>
              </w:divBdr>
              <w:divsChild>
                <w:div w:id="1194612672">
                  <w:marLeft w:val="0"/>
                  <w:marRight w:val="0"/>
                  <w:marTop w:val="0"/>
                  <w:marBottom w:val="0"/>
                  <w:divBdr>
                    <w:top w:val="none" w:sz="0" w:space="0" w:color="auto"/>
                    <w:left w:val="none" w:sz="0" w:space="0" w:color="auto"/>
                    <w:bottom w:val="none" w:sz="0" w:space="0" w:color="auto"/>
                    <w:right w:val="none" w:sz="0" w:space="0" w:color="auto"/>
                  </w:divBdr>
                  <w:divsChild>
                    <w:div w:id="938030132">
                      <w:marLeft w:val="0"/>
                      <w:marRight w:val="0"/>
                      <w:marTop w:val="0"/>
                      <w:marBottom w:val="0"/>
                      <w:divBdr>
                        <w:top w:val="none" w:sz="0" w:space="0" w:color="auto"/>
                        <w:left w:val="none" w:sz="0" w:space="0" w:color="auto"/>
                        <w:bottom w:val="none" w:sz="0" w:space="0" w:color="auto"/>
                        <w:right w:val="none" w:sz="0" w:space="0" w:color="auto"/>
                      </w:divBdr>
                      <w:divsChild>
                        <w:div w:id="1123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3839">
              <w:marLeft w:val="0"/>
              <w:marRight w:val="0"/>
              <w:marTop w:val="0"/>
              <w:marBottom w:val="0"/>
              <w:divBdr>
                <w:top w:val="none" w:sz="0" w:space="0" w:color="auto"/>
                <w:left w:val="none" w:sz="0" w:space="0" w:color="auto"/>
                <w:bottom w:val="none" w:sz="0" w:space="0" w:color="auto"/>
                <w:right w:val="none" w:sz="0" w:space="0" w:color="auto"/>
              </w:divBdr>
              <w:divsChild>
                <w:div w:id="530991547">
                  <w:marLeft w:val="0"/>
                  <w:marRight w:val="0"/>
                  <w:marTop w:val="0"/>
                  <w:marBottom w:val="0"/>
                  <w:divBdr>
                    <w:top w:val="none" w:sz="0" w:space="0" w:color="auto"/>
                    <w:left w:val="none" w:sz="0" w:space="0" w:color="auto"/>
                    <w:bottom w:val="none" w:sz="0" w:space="0" w:color="auto"/>
                    <w:right w:val="none" w:sz="0" w:space="0" w:color="auto"/>
                  </w:divBdr>
                  <w:divsChild>
                    <w:div w:id="894313138">
                      <w:marLeft w:val="0"/>
                      <w:marRight w:val="0"/>
                      <w:marTop w:val="0"/>
                      <w:marBottom w:val="0"/>
                      <w:divBdr>
                        <w:top w:val="none" w:sz="0" w:space="0" w:color="auto"/>
                        <w:left w:val="none" w:sz="0" w:space="0" w:color="auto"/>
                        <w:bottom w:val="none" w:sz="0" w:space="0" w:color="auto"/>
                        <w:right w:val="none" w:sz="0" w:space="0" w:color="auto"/>
                      </w:divBdr>
                      <w:divsChild>
                        <w:div w:id="667440839">
                          <w:marLeft w:val="0"/>
                          <w:marRight w:val="0"/>
                          <w:marTop w:val="0"/>
                          <w:marBottom w:val="0"/>
                          <w:divBdr>
                            <w:top w:val="none" w:sz="0" w:space="0" w:color="auto"/>
                            <w:left w:val="none" w:sz="0" w:space="0" w:color="auto"/>
                            <w:bottom w:val="none" w:sz="0" w:space="0" w:color="auto"/>
                            <w:right w:val="none" w:sz="0" w:space="0" w:color="auto"/>
                          </w:divBdr>
                          <w:divsChild>
                            <w:div w:id="467867784">
                              <w:marLeft w:val="0"/>
                              <w:marRight w:val="0"/>
                              <w:marTop w:val="0"/>
                              <w:marBottom w:val="0"/>
                              <w:divBdr>
                                <w:top w:val="none" w:sz="0" w:space="0" w:color="auto"/>
                                <w:left w:val="none" w:sz="0" w:space="0" w:color="auto"/>
                                <w:bottom w:val="none" w:sz="0" w:space="0" w:color="auto"/>
                                <w:right w:val="none" w:sz="0" w:space="0" w:color="auto"/>
                              </w:divBdr>
                              <w:divsChild>
                                <w:div w:id="887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611">
      <w:bodyDiv w:val="1"/>
      <w:marLeft w:val="0"/>
      <w:marRight w:val="0"/>
      <w:marTop w:val="0"/>
      <w:marBottom w:val="0"/>
      <w:divBdr>
        <w:top w:val="none" w:sz="0" w:space="0" w:color="auto"/>
        <w:left w:val="none" w:sz="0" w:space="0" w:color="auto"/>
        <w:bottom w:val="none" w:sz="0" w:space="0" w:color="auto"/>
        <w:right w:val="none" w:sz="0" w:space="0" w:color="auto"/>
      </w:divBdr>
      <w:divsChild>
        <w:div w:id="1468084013">
          <w:marLeft w:val="0"/>
          <w:marRight w:val="0"/>
          <w:marTop w:val="0"/>
          <w:marBottom w:val="0"/>
          <w:divBdr>
            <w:top w:val="none" w:sz="0" w:space="0" w:color="auto"/>
            <w:left w:val="none" w:sz="0" w:space="0" w:color="auto"/>
            <w:bottom w:val="none" w:sz="0" w:space="0" w:color="auto"/>
            <w:right w:val="none" w:sz="0" w:space="0" w:color="auto"/>
          </w:divBdr>
          <w:divsChild>
            <w:div w:id="425226594">
              <w:marLeft w:val="0"/>
              <w:marRight w:val="0"/>
              <w:marTop w:val="0"/>
              <w:marBottom w:val="0"/>
              <w:divBdr>
                <w:top w:val="none" w:sz="0" w:space="0" w:color="auto"/>
                <w:left w:val="none" w:sz="0" w:space="0" w:color="auto"/>
                <w:bottom w:val="none" w:sz="0" w:space="0" w:color="auto"/>
                <w:right w:val="none" w:sz="0" w:space="0" w:color="auto"/>
              </w:divBdr>
              <w:divsChild>
                <w:div w:id="720901939">
                  <w:marLeft w:val="0"/>
                  <w:marRight w:val="0"/>
                  <w:marTop w:val="0"/>
                  <w:marBottom w:val="0"/>
                  <w:divBdr>
                    <w:top w:val="none" w:sz="0" w:space="0" w:color="auto"/>
                    <w:left w:val="none" w:sz="0" w:space="0" w:color="auto"/>
                    <w:bottom w:val="none" w:sz="0" w:space="0" w:color="auto"/>
                    <w:right w:val="none" w:sz="0" w:space="0" w:color="auto"/>
                  </w:divBdr>
                  <w:divsChild>
                    <w:div w:id="68768518">
                      <w:marLeft w:val="0"/>
                      <w:marRight w:val="0"/>
                      <w:marTop w:val="0"/>
                      <w:marBottom w:val="0"/>
                      <w:divBdr>
                        <w:top w:val="none" w:sz="0" w:space="0" w:color="auto"/>
                        <w:left w:val="none" w:sz="0" w:space="0" w:color="auto"/>
                        <w:bottom w:val="none" w:sz="0" w:space="0" w:color="auto"/>
                        <w:right w:val="none" w:sz="0" w:space="0" w:color="auto"/>
                      </w:divBdr>
                      <w:divsChild>
                        <w:div w:id="1779906958">
                          <w:marLeft w:val="0"/>
                          <w:marRight w:val="0"/>
                          <w:marTop w:val="0"/>
                          <w:marBottom w:val="0"/>
                          <w:divBdr>
                            <w:top w:val="none" w:sz="0" w:space="0" w:color="auto"/>
                            <w:left w:val="none" w:sz="0" w:space="0" w:color="auto"/>
                            <w:bottom w:val="none" w:sz="0" w:space="0" w:color="auto"/>
                            <w:right w:val="none" w:sz="0" w:space="0" w:color="auto"/>
                          </w:divBdr>
                          <w:divsChild>
                            <w:div w:id="19643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37194">
      <w:bodyDiv w:val="1"/>
      <w:marLeft w:val="0"/>
      <w:marRight w:val="0"/>
      <w:marTop w:val="0"/>
      <w:marBottom w:val="0"/>
      <w:divBdr>
        <w:top w:val="none" w:sz="0" w:space="0" w:color="auto"/>
        <w:left w:val="none" w:sz="0" w:space="0" w:color="auto"/>
        <w:bottom w:val="none" w:sz="0" w:space="0" w:color="auto"/>
        <w:right w:val="none" w:sz="0" w:space="0" w:color="auto"/>
      </w:divBdr>
    </w:div>
    <w:div w:id="1991669537">
      <w:bodyDiv w:val="1"/>
      <w:marLeft w:val="0"/>
      <w:marRight w:val="0"/>
      <w:marTop w:val="0"/>
      <w:marBottom w:val="0"/>
      <w:divBdr>
        <w:top w:val="none" w:sz="0" w:space="0" w:color="auto"/>
        <w:left w:val="none" w:sz="0" w:space="0" w:color="auto"/>
        <w:bottom w:val="none" w:sz="0" w:space="0" w:color="auto"/>
        <w:right w:val="none" w:sz="0" w:space="0" w:color="auto"/>
      </w:divBdr>
      <w:divsChild>
        <w:div w:id="1149902726">
          <w:marLeft w:val="0"/>
          <w:marRight w:val="0"/>
          <w:marTop w:val="0"/>
          <w:marBottom w:val="0"/>
          <w:divBdr>
            <w:top w:val="none" w:sz="0" w:space="0" w:color="auto"/>
            <w:left w:val="none" w:sz="0" w:space="0" w:color="auto"/>
            <w:bottom w:val="none" w:sz="0" w:space="0" w:color="auto"/>
            <w:right w:val="none" w:sz="0" w:space="0" w:color="auto"/>
          </w:divBdr>
          <w:divsChild>
            <w:div w:id="177818401">
              <w:marLeft w:val="0"/>
              <w:marRight w:val="0"/>
              <w:marTop w:val="0"/>
              <w:marBottom w:val="0"/>
              <w:divBdr>
                <w:top w:val="none" w:sz="0" w:space="0" w:color="auto"/>
                <w:left w:val="none" w:sz="0" w:space="0" w:color="auto"/>
                <w:bottom w:val="none" w:sz="0" w:space="0" w:color="auto"/>
                <w:right w:val="none" w:sz="0" w:space="0" w:color="auto"/>
              </w:divBdr>
              <w:divsChild>
                <w:div w:id="1354648241">
                  <w:marLeft w:val="0"/>
                  <w:marRight w:val="0"/>
                  <w:marTop w:val="0"/>
                  <w:marBottom w:val="0"/>
                  <w:divBdr>
                    <w:top w:val="none" w:sz="0" w:space="0" w:color="auto"/>
                    <w:left w:val="none" w:sz="0" w:space="0" w:color="auto"/>
                    <w:bottom w:val="none" w:sz="0" w:space="0" w:color="auto"/>
                    <w:right w:val="none" w:sz="0" w:space="0" w:color="auto"/>
                  </w:divBdr>
                  <w:divsChild>
                    <w:div w:id="1528373079">
                      <w:marLeft w:val="0"/>
                      <w:marRight w:val="0"/>
                      <w:marTop w:val="0"/>
                      <w:marBottom w:val="0"/>
                      <w:divBdr>
                        <w:top w:val="none" w:sz="0" w:space="0" w:color="auto"/>
                        <w:left w:val="none" w:sz="0" w:space="0" w:color="auto"/>
                        <w:bottom w:val="none" w:sz="0" w:space="0" w:color="auto"/>
                        <w:right w:val="none" w:sz="0" w:space="0" w:color="auto"/>
                      </w:divBdr>
                      <w:divsChild>
                        <w:div w:id="1659919806">
                          <w:marLeft w:val="0"/>
                          <w:marRight w:val="0"/>
                          <w:marTop w:val="0"/>
                          <w:marBottom w:val="0"/>
                          <w:divBdr>
                            <w:top w:val="none" w:sz="0" w:space="0" w:color="auto"/>
                            <w:left w:val="none" w:sz="0" w:space="0" w:color="auto"/>
                            <w:bottom w:val="none" w:sz="0" w:space="0" w:color="auto"/>
                            <w:right w:val="none" w:sz="0" w:space="0" w:color="auto"/>
                          </w:divBdr>
                          <w:divsChild>
                            <w:div w:id="14061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48253">
      <w:bodyDiv w:val="1"/>
      <w:marLeft w:val="0"/>
      <w:marRight w:val="0"/>
      <w:marTop w:val="0"/>
      <w:marBottom w:val="0"/>
      <w:divBdr>
        <w:top w:val="none" w:sz="0" w:space="0" w:color="auto"/>
        <w:left w:val="none" w:sz="0" w:space="0" w:color="auto"/>
        <w:bottom w:val="none" w:sz="0" w:space="0" w:color="auto"/>
        <w:right w:val="none" w:sz="0" w:space="0" w:color="auto"/>
      </w:divBdr>
      <w:divsChild>
        <w:div w:id="192351930">
          <w:marLeft w:val="0"/>
          <w:marRight w:val="0"/>
          <w:marTop w:val="0"/>
          <w:marBottom w:val="0"/>
          <w:divBdr>
            <w:top w:val="none" w:sz="0" w:space="0" w:color="auto"/>
            <w:left w:val="none" w:sz="0" w:space="0" w:color="auto"/>
            <w:bottom w:val="none" w:sz="0" w:space="0" w:color="auto"/>
            <w:right w:val="none" w:sz="0" w:space="0" w:color="auto"/>
          </w:divBdr>
          <w:divsChild>
            <w:div w:id="1263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iba.beinarovic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68D8-2A6B-43C3-9602-20F21B25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28321</Words>
  <Characters>16143</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bbeinarovica</dc:creator>
  <cp:lastModifiedBy>Marika Pudāne</cp:lastModifiedBy>
  <cp:revision>25</cp:revision>
  <cp:lastPrinted>2012-12-07T13:39:00Z</cp:lastPrinted>
  <dcterms:created xsi:type="dcterms:W3CDTF">2012-12-05T18:27:00Z</dcterms:created>
  <dcterms:modified xsi:type="dcterms:W3CDTF">2012-12-07T13:39:00Z</dcterms:modified>
</cp:coreProperties>
</file>