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641A28">
        <w:rPr>
          <w:sz w:val="28"/>
          <w:szCs w:val="28"/>
        </w:rPr>
        <w:t>2</w:t>
      </w:r>
      <w:r w:rsidR="00E875A2">
        <w:rPr>
          <w:sz w:val="28"/>
          <w:szCs w:val="28"/>
        </w:rPr>
        <w:t>7</w:t>
      </w:r>
      <w:r w:rsidR="007776BB">
        <w:rPr>
          <w:sz w:val="28"/>
          <w:szCs w:val="28"/>
        </w:rPr>
        <w:t>.</w:t>
      </w:r>
      <w:r w:rsidR="00E875A2">
        <w:rPr>
          <w:sz w:val="28"/>
          <w:szCs w:val="28"/>
        </w:rPr>
        <w:t>septembra</w:t>
      </w:r>
      <w:r w:rsidR="0063110B">
        <w:rPr>
          <w:sz w:val="28"/>
          <w:szCs w:val="28"/>
        </w:rPr>
        <w:t xml:space="preserve"> </w:t>
      </w:r>
      <w:r w:rsidRPr="00CE78E3">
        <w:rPr>
          <w:sz w:val="28"/>
          <w:szCs w:val="28"/>
        </w:rPr>
        <w:t>sēdes darba kartības punkt</w:t>
      </w:r>
      <w:r w:rsidR="00D123DF">
        <w:rPr>
          <w:sz w:val="28"/>
          <w:szCs w:val="28"/>
        </w:rPr>
        <w:t>u</w:t>
      </w:r>
    </w:p>
    <w:p w:rsidR="00A34702" w:rsidRPr="00CE78E3" w:rsidRDefault="00A34702" w:rsidP="0077650E">
      <w:pPr>
        <w:pStyle w:val="BodyText"/>
        <w:spacing w:before="120"/>
        <w:rPr>
          <w:sz w:val="28"/>
          <w:szCs w:val="28"/>
        </w:rPr>
      </w:pPr>
      <w:r w:rsidRPr="00CE78E3">
        <w:rPr>
          <w:sz w:val="28"/>
          <w:szCs w:val="28"/>
        </w:rPr>
        <w:t>“Par 20</w:t>
      </w:r>
      <w:r>
        <w:rPr>
          <w:sz w:val="28"/>
          <w:szCs w:val="28"/>
        </w:rPr>
        <w:t>1</w:t>
      </w:r>
      <w:r w:rsidR="00141806">
        <w:rPr>
          <w:sz w:val="28"/>
          <w:szCs w:val="28"/>
        </w:rPr>
        <w:t>1</w:t>
      </w:r>
      <w:r w:rsidRPr="00CE78E3">
        <w:rPr>
          <w:sz w:val="28"/>
          <w:szCs w:val="28"/>
        </w:rPr>
        <w:t xml:space="preserve">.gada </w:t>
      </w:r>
      <w:r w:rsidR="00E875A2">
        <w:rPr>
          <w:sz w:val="28"/>
          <w:szCs w:val="28"/>
        </w:rPr>
        <w:t>29.-</w:t>
      </w:r>
      <w:r w:rsidR="000B180C">
        <w:rPr>
          <w:sz w:val="28"/>
          <w:szCs w:val="28"/>
        </w:rPr>
        <w:t>30</w:t>
      </w:r>
      <w:r w:rsidR="00E875A2">
        <w:rPr>
          <w:sz w:val="28"/>
          <w:szCs w:val="28"/>
        </w:rPr>
        <w:t>.septembra</w:t>
      </w:r>
      <w:r w:rsidRPr="00CE78E3">
        <w:rPr>
          <w:sz w:val="28"/>
          <w:szCs w:val="28"/>
        </w:rPr>
        <w:t xml:space="preserve"> Eiropas </w:t>
      </w:r>
      <w:r w:rsidRPr="007B18F7">
        <w:rPr>
          <w:sz w:val="28"/>
          <w:szCs w:val="28"/>
        </w:rPr>
        <w:t>Savienības Konkurētspējas</w:t>
      </w:r>
      <w:r w:rsidRPr="00CE78E3">
        <w:rPr>
          <w:sz w:val="28"/>
          <w:szCs w:val="28"/>
        </w:rPr>
        <w:t xml:space="preserve"> ministru padomē izskatāmajiem jautājumiem”</w:t>
      </w:r>
    </w:p>
    <w:p w:rsidR="00A34702" w:rsidRPr="00CE78E3" w:rsidRDefault="00A34702" w:rsidP="0077650E">
      <w:pPr>
        <w:jc w:val="center"/>
        <w:rPr>
          <w:b/>
          <w:sz w:val="28"/>
          <w:szCs w:val="28"/>
          <w:lang w:val="lv-LV"/>
        </w:rPr>
      </w:pPr>
    </w:p>
    <w:p w:rsidR="00A34702" w:rsidRPr="00AF2B59" w:rsidRDefault="00A34702" w:rsidP="00302347">
      <w:pPr>
        <w:pStyle w:val="Heading2"/>
        <w:spacing w:before="0" w:after="0"/>
        <w:ind w:firstLine="720"/>
        <w:jc w:val="both"/>
        <w:rPr>
          <w:rFonts w:ascii="Times New Roman" w:hAnsi="Times New Roman" w:cs="Times New Roman"/>
          <w:b w:val="0"/>
          <w:lang w:val="lv-LV"/>
        </w:rPr>
      </w:pPr>
      <w:r w:rsidRPr="00CE78E3">
        <w:rPr>
          <w:rFonts w:ascii="Times New Roman" w:hAnsi="Times New Roman" w:cs="Times New Roman"/>
          <w:b w:val="0"/>
          <w:lang w:val="lv-LV"/>
        </w:rPr>
        <w:t xml:space="preserve">Š.g. </w:t>
      </w:r>
      <w:r w:rsidR="00E875A2">
        <w:rPr>
          <w:rFonts w:ascii="Times New Roman" w:hAnsi="Times New Roman" w:cs="Times New Roman"/>
          <w:b w:val="0"/>
          <w:lang w:val="lv-LV"/>
        </w:rPr>
        <w:t>29.-</w:t>
      </w:r>
      <w:r w:rsidR="0012451B">
        <w:rPr>
          <w:rFonts w:ascii="Times New Roman" w:hAnsi="Times New Roman" w:cs="Times New Roman"/>
          <w:b w:val="0"/>
          <w:lang w:val="lv-LV"/>
        </w:rPr>
        <w:t>30.</w:t>
      </w:r>
      <w:r w:rsidR="00E875A2">
        <w:rPr>
          <w:rFonts w:ascii="Times New Roman" w:hAnsi="Times New Roman" w:cs="Times New Roman"/>
          <w:b w:val="0"/>
          <w:lang w:val="lv-LV"/>
        </w:rPr>
        <w:t>septembrī</w:t>
      </w:r>
      <w:r w:rsidR="00D70969">
        <w:rPr>
          <w:rFonts w:ascii="Times New Roman" w:hAnsi="Times New Roman" w:cs="Times New Roman"/>
          <w:b w:val="0"/>
          <w:lang w:val="lv-LV"/>
        </w:rPr>
        <w:t xml:space="preserve"> </w:t>
      </w:r>
      <w:r w:rsidR="00151A7C">
        <w:rPr>
          <w:rFonts w:ascii="Times New Roman" w:hAnsi="Times New Roman" w:cs="Times New Roman"/>
          <w:b w:val="0"/>
          <w:lang w:val="lv-LV"/>
        </w:rPr>
        <w:t>Briselē</w:t>
      </w:r>
      <w:r w:rsidRPr="00AF2B59">
        <w:rPr>
          <w:rFonts w:ascii="Times New Roman" w:hAnsi="Times New Roman" w:cs="Times New Roman"/>
          <w:b w:val="0"/>
          <w:lang w:val="lv-LV"/>
        </w:rPr>
        <w:t xml:space="preserve"> (</w:t>
      </w:r>
      <w:r w:rsidR="00151A7C">
        <w:rPr>
          <w:rFonts w:ascii="Times New Roman" w:hAnsi="Times New Roman" w:cs="Times New Roman"/>
          <w:b w:val="0"/>
          <w:lang w:val="lv-LV"/>
        </w:rPr>
        <w:t>Beļģijā</w:t>
      </w:r>
      <w:r w:rsidRPr="00AF2B59">
        <w:rPr>
          <w:rFonts w:ascii="Times New Roman" w:hAnsi="Times New Roman" w:cs="Times New Roman"/>
          <w:b w:val="0"/>
          <w:lang w:val="lv-LV"/>
        </w:rPr>
        <w:t>) notiks Eiropas Savienības Konkurētspējas ministru padome</w:t>
      </w:r>
      <w:r w:rsidRPr="00AF2B59">
        <w:rPr>
          <w:rFonts w:ascii="Times New Roman" w:hAnsi="Times New Roman" w:cs="Times New Roman"/>
          <w:b w:val="0"/>
          <w:bCs w:val="0"/>
          <w:lang w:val="lv-LV"/>
        </w:rPr>
        <w:t xml:space="preserve">. </w:t>
      </w:r>
      <w:r w:rsidRPr="00AF2B59">
        <w:rPr>
          <w:rFonts w:ascii="Times New Roman" w:hAnsi="Times New Roman" w:cs="Times New Roman"/>
          <w:b w:val="0"/>
          <w:lang w:val="lv-LV"/>
        </w:rPr>
        <w:t>Plānots, ka tajā tiks izskatīti šādi jautājumi, kas ir Izglītības un zinātnes ministrijas kompetencē:</w:t>
      </w:r>
    </w:p>
    <w:p w:rsidR="000A780C" w:rsidRPr="00AF2B59" w:rsidRDefault="000A780C" w:rsidP="000A780C">
      <w:pPr>
        <w:rPr>
          <w:lang w:val="lv-LV"/>
        </w:rPr>
      </w:pPr>
    </w:p>
    <w:p w:rsidR="00E418F4" w:rsidRPr="00E418F4" w:rsidRDefault="00C71C15" w:rsidP="00562F37">
      <w:pPr>
        <w:pStyle w:val="Titreobjet"/>
        <w:spacing w:before="0" w:after="0"/>
        <w:jc w:val="both"/>
        <w:rPr>
          <w:b w:val="0"/>
          <w:noProof/>
          <w:sz w:val="28"/>
          <w:szCs w:val="28"/>
          <w:lang w:val="lv-LV"/>
        </w:rPr>
      </w:pPr>
      <w:r w:rsidRPr="00562F37">
        <w:rPr>
          <w:b w:val="0"/>
          <w:sz w:val="28"/>
          <w:szCs w:val="28"/>
          <w:lang w:val="lv-LV"/>
        </w:rPr>
        <w:t>1.</w:t>
      </w:r>
      <w:r w:rsidRPr="00641A28">
        <w:rPr>
          <w:sz w:val="28"/>
          <w:szCs w:val="28"/>
          <w:lang w:val="lv-LV"/>
        </w:rPr>
        <w:t xml:space="preserve"> </w:t>
      </w:r>
      <w:r w:rsidR="00F96CD9">
        <w:rPr>
          <w:sz w:val="28"/>
          <w:szCs w:val="28"/>
          <w:lang w:val="lv-LV"/>
        </w:rPr>
        <w:t xml:space="preserve"> </w:t>
      </w:r>
      <w:r w:rsidR="00E418F4" w:rsidRPr="00E418F4">
        <w:rPr>
          <w:b w:val="0"/>
          <w:noProof/>
          <w:sz w:val="28"/>
          <w:szCs w:val="28"/>
          <w:lang w:val="lv-LV"/>
        </w:rPr>
        <w:t>Atomenerģijas kopienas (Euratom) pamatprogrammu kodolpētniecības un mācību pasākumi (2012–2013)</w:t>
      </w:r>
    </w:p>
    <w:p w:rsidR="00F96CD9" w:rsidRPr="00CB64ED" w:rsidRDefault="00CB64ED" w:rsidP="00D477D3">
      <w:pPr>
        <w:pStyle w:val="Statut"/>
        <w:spacing w:before="0"/>
        <w:ind w:left="993" w:hanging="142"/>
        <w:jc w:val="both"/>
        <w:rPr>
          <w:noProof/>
          <w:sz w:val="28"/>
          <w:szCs w:val="28"/>
          <w:lang w:val="lv-LV"/>
        </w:rPr>
      </w:pPr>
      <w:r>
        <w:rPr>
          <w:noProof/>
          <w:sz w:val="28"/>
          <w:szCs w:val="28"/>
          <w:lang w:val="lv-LV"/>
        </w:rPr>
        <w:t xml:space="preserve">- </w:t>
      </w:r>
      <w:r w:rsidR="00F96CD9" w:rsidRPr="00CB64ED">
        <w:rPr>
          <w:noProof/>
          <w:sz w:val="28"/>
          <w:szCs w:val="28"/>
          <w:lang w:val="lv-LV"/>
        </w:rPr>
        <w:t>Priekšlikums Padomes lēmumam par īpašo programmu, kas izpildāma ar netiešajām darbībām un ar ko īsteno Eiropas Atomenerģijas kopienas pamatprogrammu kodolpētniecības un mācību pasākumiem (2012–2013)</w:t>
      </w:r>
      <w:r w:rsidR="00525465">
        <w:rPr>
          <w:noProof/>
          <w:sz w:val="28"/>
          <w:szCs w:val="28"/>
          <w:lang w:val="lv-LV"/>
        </w:rPr>
        <w:t>;</w:t>
      </w:r>
    </w:p>
    <w:p w:rsidR="00F96CD9" w:rsidRPr="00CB64ED" w:rsidRDefault="00CB64ED" w:rsidP="00D477D3">
      <w:pPr>
        <w:pStyle w:val="Statut"/>
        <w:spacing w:before="0"/>
        <w:ind w:left="993" w:hanging="142"/>
        <w:jc w:val="both"/>
        <w:rPr>
          <w:noProof/>
          <w:sz w:val="28"/>
          <w:szCs w:val="28"/>
          <w:lang w:val="lv-LV"/>
        </w:rPr>
      </w:pPr>
      <w:r>
        <w:rPr>
          <w:noProof/>
          <w:sz w:val="28"/>
          <w:szCs w:val="28"/>
          <w:lang w:val="lv-LV"/>
        </w:rPr>
        <w:t xml:space="preserve">- </w:t>
      </w:r>
      <w:r w:rsidR="00F96CD9" w:rsidRPr="00CB64ED">
        <w:rPr>
          <w:noProof/>
          <w:sz w:val="28"/>
          <w:szCs w:val="28"/>
          <w:lang w:val="lv-LV"/>
        </w:rPr>
        <w:t>Priekšlikums Padomes lēmumam par īpašo programmu, kas izpildāma ar Kopīgā pētniecības centra tiešajām darbībām un ar ko īsteno Eiropas Atomenerģijas kopienas pamatprogrammu kodolpētniecības un mācību pasākumiem (2012–2013)</w:t>
      </w:r>
      <w:r w:rsidR="00525465">
        <w:rPr>
          <w:noProof/>
          <w:sz w:val="28"/>
          <w:szCs w:val="28"/>
          <w:lang w:val="lv-LV"/>
        </w:rPr>
        <w:t>;</w:t>
      </w:r>
    </w:p>
    <w:p w:rsidR="00B2251B" w:rsidRDefault="00CB64ED" w:rsidP="00D477D3">
      <w:pPr>
        <w:pStyle w:val="Statut"/>
        <w:spacing w:before="0"/>
        <w:ind w:left="993" w:hanging="142"/>
        <w:jc w:val="both"/>
        <w:rPr>
          <w:i/>
          <w:sz w:val="28"/>
          <w:szCs w:val="28"/>
          <w:highlight w:val="yellow"/>
          <w:lang w:val="lv-LV"/>
        </w:rPr>
      </w:pPr>
      <w:r>
        <w:rPr>
          <w:sz w:val="28"/>
          <w:szCs w:val="28"/>
          <w:lang w:val="lv-LV"/>
        </w:rPr>
        <w:t xml:space="preserve">- </w:t>
      </w:r>
      <w:r w:rsidR="00F96CD9" w:rsidRPr="00CB64ED">
        <w:rPr>
          <w:sz w:val="28"/>
          <w:szCs w:val="28"/>
          <w:lang w:val="lv-LV"/>
        </w:rPr>
        <w:t>Priekšlikums Padomes regulai (</w:t>
      </w:r>
      <w:proofErr w:type="spellStart"/>
      <w:r w:rsidR="00F96CD9" w:rsidRPr="00CB64ED">
        <w:rPr>
          <w:sz w:val="28"/>
          <w:szCs w:val="28"/>
          <w:lang w:val="lv-LV"/>
        </w:rPr>
        <w:t>Euratom</w:t>
      </w:r>
      <w:proofErr w:type="spellEnd"/>
      <w:r w:rsidR="00F96CD9" w:rsidRPr="00CB64ED">
        <w:rPr>
          <w:sz w:val="28"/>
          <w:szCs w:val="28"/>
          <w:lang w:val="lv-LV"/>
        </w:rPr>
        <w:t xml:space="preserve">), </w:t>
      </w:r>
      <w:r w:rsidR="00F96CD9" w:rsidRPr="00CB64ED">
        <w:rPr>
          <w:noProof/>
          <w:sz w:val="28"/>
          <w:szCs w:val="28"/>
          <w:lang w:val="lv-LV"/>
        </w:rPr>
        <w:t>ar kuru nosaka noteikumus par uzņēmumu, pētniecības centru un augstskolu dalību Eiropas Atomenerģijas kopienas pamatprogrammas netiešajās darbībās un pētījumu rezultātu izplatīšanu (2012–2013)</w:t>
      </w:r>
      <w:r w:rsidR="00503172">
        <w:rPr>
          <w:noProof/>
          <w:sz w:val="28"/>
          <w:szCs w:val="28"/>
          <w:lang w:val="lv-LV"/>
        </w:rPr>
        <w:t>;</w:t>
      </w:r>
      <w:r w:rsidR="00C71C15" w:rsidRPr="00E875A2">
        <w:rPr>
          <w:sz w:val="28"/>
          <w:szCs w:val="28"/>
          <w:highlight w:val="yellow"/>
          <w:lang w:val="lv-LV"/>
        </w:rPr>
        <w:t xml:space="preserve">   </w:t>
      </w:r>
      <w:r w:rsidR="00C71C15" w:rsidRPr="00E875A2">
        <w:rPr>
          <w:i/>
          <w:sz w:val="28"/>
          <w:szCs w:val="28"/>
          <w:highlight w:val="yellow"/>
          <w:lang w:val="lv-LV"/>
        </w:rPr>
        <w:t xml:space="preserve">   </w:t>
      </w:r>
    </w:p>
    <w:p w:rsidR="00A34702" w:rsidRPr="00E875A2" w:rsidRDefault="00C71C15" w:rsidP="00562F37">
      <w:pPr>
        <w:pStyle w:val="Statut"/>
        <w:spacing w:before="0"/>
        <w:jc w:val="both"/>
        <w:rPr>
          <w:b/>
          <w:bCs/>
          <w:i/>
          <w:iCs/>
          <w:color w:val="FF0000"/>
          <w:sz w:val="28"/>
          <w:szCs w:val="28"/>
          <w:highlight w:val="yellow"/>
          <w:lang w:val="lv-LV"/>
        </w:rPr>
      </w:pPr>
      <w:r w:rsidRPr="00E875A2">
        <w:rPr>
          <w:i/>
          <w:sz w:val="28"/>
          <w:szCs w:val="28"/>
          <w:highlight w:val="yellow"/>
          <w:lang w:val="lv-LV"/>
        </w:rPr>
        <w:t xml:space="preserve">                                  </w:t>
      </w:r>
      <w:r w:rsidR="00AF2B59" w:rsidRPr="00E875A2">
        <w:rPr>
          <w:i/>
          <w:sz w:val="28"/>
          <w:szCs w:val="28"/>
          <w:highlight w:val="yellow"/>
          <w:lang w:val="lv-LV"/>
        </w:rPr>
        <w:t xml:space="preserve">                           </w:t>
      </w:r>
    </w:p>
    <w:p w:rsidR="00562F37" w:rsidRDefault="00C71C15" w:rsidP="00562F37">
      <w:pPr>
        <w:pStyle w:val="Akapitzlist"/>
        <w:tabs>
          <w:tab w:val="left" w:pos="540"/>
          <w:tab w:val="left" w:pos="1800"/>
        </w:tabs>
        <w:spacing w:after="0" w:line="240" w:lineRule="auto"/>
        <w:ind w:left="0"/>
        <w:jc w:val="both"/>
        <w:rPr>
          <w:rFonts w:ascii="Times New Roman" w:hAnsi="Times New Roman"/>
          <w:sz w:val="28"/>
          <w:szCs w:val="28"/>
        </w:rPr>
      </w:pPr>
      <w:r w:rsidRPr="00562F37">
        <w:rPr>
          <w:sz w:val="28"/>
          <w:szCs w:val="28"/>
        </w:rPr>
        <w:t xml:space="preserve">2. </w:t>
      </w:r>
      <w:r w:rsidR="00562F37" w:rsidRPr="00562F37">
        <w:rPr>
          <w:rFonts w:ascii="Times New Roman" w:hAnsi="Times New Roman"/>
          <w:sz w:val="28"/>
          <w:szCs w:val="28"/>
        </w:rPr>
        <w:t>Padomes Regula, ar kuru groza Regulu (EK) Nr. 521/2008, ar ko izveido kopuzņēmumu "</w:t>
      </w:r>
      <w:r w:rsidR="00562F37">
        <w:rPr>
          <w:rFonts w:ascii="Times New Roman" w:hAnsi="Times New Roman"/>
          <w:sz w:val="28"/>
          <w:szCs w:val="28"/>
        </w:rPr>
        <w:t>Kurināmā elementi un ūdeņradis";</w:t>
      </w:r>
    </w:p>
    <w:p w:rsidR="00B2251B" w:rsidRPr="00562F37" w:rsidRDefault="00B2251B" w:rsidP="00562F37">
      <w:pPr>
        <w:pStyle w:val="Akapitzlist"/>
        <w:tabs>
          <w:tab w:val="left" w:pos="540"/>
          <w:tab w:val="left" w:pos="1800"/>
        </w:tabs>
        <w:spacing w:after="0" w:line="240" w:lineRule="auto"/>
        <w:ind w:left="0"/>
        <w:jc w:val="both"/>
        <w:rPr>
          <w:rFonts w:ascii="Times New Roman" w:hAnsi="Times New Roman"/>
          <w:sz w:val="28"/>
          <w:szCs w:val="28"/>
          <w:lang w:val="lv-LV"/>
        </w:rPr>
      </w:pPr>
    </w:p>
    <w:p w:rsidR="00C71C15" w:rsidRDefault="00562F37" w:rsidP="00B70882">
      <w:pPr>
        <w:pStyle w:val="ListParagraph"/>
        <w:ind w:left="0"/>
        <w:rPr>
          <w:rFonts w:eastAsiaTheme="minorHAnsi"/>
          <w:bCs/>
          <w:sz w:val="28"/>
          <w:szCs w:val="28"/>
        </w:rPr>
      </w:pPr>
      <w:r>
        <w:rPr>
          <w:noProof/>
          <w:sz w:val="28"/>
          <w:szCs w:val="28"/>
        </w:rPr>
        <w:t xml:space="preserve">3. </w:t>
      </w:r>
      <w:r w:rsidR="00B70882">
        <w:rPr>
          <w:noProof/>
          <w:sz w:val="28"/>
          <w:szCs w:val="28"/>
        </w:rPr>
        <w:t>Padomes secinājumi par v</w:t>
      </w:r>
      <w:r w:rsidR="00B60279" w:rsidRPr="00B60279">
        <w:rPr>
          <w:rFonts w:eastAsiaTheme="minorHAnsi"/>
          <w:bCs/>
          <w:sz w:val="28"/>
          <w:szCs w:val="28"/>
        </w:rPr>
        <w:t>ienotās plānošanas iniciatīvas „Ilgāks mūžs, labāka dzīve” uzsākšan</w:t>
      </w:r>
      <w:r w:rsidR="00B70882">
        <w:rPr>
          <w:rFonts w:eastAsiaTheme="minorHAnsi"/>
          <w:bCs/>
          <w:sz w:val="28"/>
          <w:szCs w:val="28"/>
        </w:rPr>
        <w:t>u</w:t>
      </w:r>
      <w:r w:rsidR="00B60279">
        <w:rPr>
          <w:rFonts w:eastAsiaTheme="minorHAnsi"/>
          <w:bCs/>
          <w:sz w:val="28"/>
          <w:szCs w:val="28"/>
        </w:rPr>
        <w:t>.</w:t>
      </w:r>
    </w:p>
    <w:p w:rsidR="00075BF0" w:rsidRPr="0063110B" w:rsidRDefault="00075BF0" w:rsidP="00B70882">
      <w:pPr>
        <w:pStyle w:val="ListParagraph"/>
        <w:ind w:left="0"/>
        <w:rPr>
          <w:noProof/>
          <w:sz w:val="28"/>
          <w:szCs w:val="28"/>
        </w:rPr>
      </w:pPr>
      <w:r>
        <w:rPr>
          <w:rFonts w:eastAsiaTheme="minorHAnsi"/>
          <w:bCs/>
          <w:sz w:val="28"/>
          <w:szCs w:val="28"/>
        </w:rPr>
        <w:t>4. Ministru diskusija par Polijas prezidentūras izvirzītajiem jautājumiem par jaunajiem Eiropas instrumentiem.</w:t>
      </w:r>
    </w:p>
    <w:p w:rsidR="00A34702" w:rsidRDefault="00A34702" w:rsidP="00263035">
      <w:pPr>
        <w:pStyle w:val="ListParagraph"/>
        <w:spacing w:after="0" w:line="240" w:lineRule="auto"/>
        <w:ind w:left="714" w:hanging="288"/>
        <w:jc w:val="both"/>
        <w:rPr>
          <w:sz w:val="28"/>
          <w:szCs w:val="28"/>
        </w:rPr>
      </w:pPr>
    </w:p>
    <w:p w:rsidR="00D959C9" w:rsidRPr="00D959C9" w:rsidRDefault="00A34702" w:rsidP="00D959C9">
      <w:pPr>
        <w:pStyle w:val="Titreobjet"/>
        <w:spacing w:before="0" w:after="0"/>
        <w:jc w:val="left"/>
        <w:rPr>
          <w:noProof/>
          <w:sz w:val="28"/>
          <w:szCs w:val="28"/>
          <w:lang w:val="lv-LV"/>
        </w:rPr>
      </w:pPr>
      <w:r w:rsidRPr="000818D3">
        <w:rPr>
          <w:color w:val="000000"/>
          <w:sz w:val="28"/>
          <w:szCs w:val="28"/>
          <w:lang w:val="lv-LV"/>
        </w:rPr>
        <w:t xml:space="preserve">1. </w:t>
      </w:r>
      <w:r w:rsidR="00D959C9" w:rsidRPr="00D959C9">
        <w:rPr>
          <w:noProof/>
          <w:sz w:val="28"/>
          <w:szCs w:val="28"/>
          <w:lang w:val="lv-LV"/>
        </w:rPr>
        <w:t xml:space="preserve">Atomenerģijas kopienas </w:t>
      </w:r>
      <w:r w:rsidR="00D959C9">
        <w:rPr>
          <w:noProof/>
          <w:sz w:val="28"/>
          <w:szCs w:val="28"/>
          <w:lang w:val="lv-LV"/>
        </w:rPr>
        <w:t xml:space="preserve">(Euratom) </w:t>
      </w:r>
      <w:r w:rsidR="00D959C9" w:rsidRPr="00D959C9">
        <w:rPr>
          <w:noProof/>
          <w:sz w:val="28"/>
          <w:szCs w:val="28"/>
          <w:lang w:val="lv-LV"/>
        </w:rPr>
        <w:t>pamatprogrammu kodolpētniecības un mācību pasākumi (2012–2013)</w:t>
      </w:r>
    </w:p>
    <w:p w:rsidR="007C0CD3" w:rsidRPr="00F37F45" w:rsidRDefault="007C0CD3" w:rsidP="007C0CD3">
      <w:pPr>
        <w:autoSpaceDE w:val="0"/>
        <w:autoSpaceDN w:val="0"/>
        <w:adjustRightInd w:val="0"/>
        <w:jc w:val="both"/>
        <w:rPr>
          <w:b/>
          <w:sz w:val="28"/>
          <w:szCs w:val="28"/>
          <w:highlight w:val="yellow"/>
          <w:lang w:val="lv-LV"/>
        </w:rPr>
      </w:pPr>
    </w:p>
    <w:p w:rsidR="00D959C9" w:rsidRPr="005B31F1" w:rsidRDefault="00D959C9" w:rsidP="005B31F1">
      <w:pPr>
        <w:pStyle w:val="Typedudocument"/>
        <w:spacing w:before="0"/>
        <w:jc w:val="both"/>
        <w:rPr>
          <w:b w:val="0"/>
          <w:noProof/>
          <w:sz w:val="28"/>
          <w:szCs w:val="28"/>
        </w:rPr>
      </w:pPr>
      <w:r w:rsidRPr="005B31F1">
        <w:rPr>
          <w:b w:val="0"/>
          <w:i/>
          <w:noProof/>
          <w:sz w:val="28"/>
          <w:szCs w:val="28"/>
        </w:rPr>
        <w:t>P</w:t>
      </w:r>
      <w:r w:rsidR="005B31F1" w:rsidRPr="005B31F1">
        <w:rPr>
          <w:b w:val="0"/>
          <w:i/>
          <w:noProof/>
          <w:sz w:val="28"/>
          <w:szCs w:val="28"/>
        </w:rPr>
        <w:t xml:space="preserve">adomes lēmums </w:t>
      </w:r>
      <w:r w:rsidRPr="005B31F1">
        <w:rPr>
          <w:b w:val="0"/>
          <w:i/>
          <w:noProof/>
          <w:sz w:val="28"/>
          <w:szCs w:val="28"/>
        </w:rPr>
        <w:t>par īpašo programmu, kas izpildāma ar netiešajām darbībām un ar ko īsteno Eiropas Atomenerģijas kopienas pamatprogrammu kodolpētniecības un mācību pasākumiem (2012–2013)</w:t>
      </w:r>
      <w:r w:rsidR="005B31F1">
        <w:rPr>
          <w:b w:val="0"/>
          <w:noProof/>
          <w:sz w:val="28"/>
          <w:szCs w:val="28"/>
        </w:rPr>
        <w:t xml:space="preserve"> </w:t>
      </w:r>
      <w:r w:rsidR="005B31F1" w:rsidRPr="005B31F1">
        <w:rPr>
          <w:b w:val="0"/>
          <w:noProof/>
          <w:sz w:val="28"/>
          <w:szCs w:val="28"/>
        </w:rPr>
        <w:t>ietver d</w:t>
      </w:r>
      <w:r w:rsidRPr="005B31F1">
        <w:rPr>
          <w:b w:val="0"/>
          <w:noProof/>
          <w:sz w:val="28"/>
          <w:szCs w:val="28"/>
        </w:rPr>
        <w:t>ivas tematiskās prioritātes:</w:t>
      </w:r>
      <w:r w:rsidR="005B31F1">
        <w:rPr>
          <w:b w:val="0"/>
          <w:noProof/>
          <w:sz w:val="28"/>
          <w:szCs w:val="28"/>
        </w:rPr>
        <w:t xml:space="preserve"> </w:t>
      </w:r>
      <w:r w:rsidR="005B31F1" w:rsidRPr="005B31F1">
        <w:rPr>
          <w:b w:val="0"/>
          <w:noProof/>
          <w:sz w:val="28"/>
          <w:szCs w:val="28"/>
        </w:rPr>
        <w:t>k</w:t>
      </w:r>
      <w:r w:rsidRPr="005B31F1">
        <w:rPr>
          <w:b w:val="0"/>
          <w:noProof/>
          <w:sz w:val="28"/>
          <w:szCs w:val="28"/>
        </w:rPr>
        <w:t>odolsintēzes enerģijas pētniecības prioritātes darbības jomas</w:t>
      </w:r>
      <w:r w:rsidR="005B31F1" w:rsidRPr="005B31F1">
        <w:rPr>
          <w:b w:val="0"/>
          <w:noProof/>
          <w:sz w:val="28"/>
          <w:szCs w:val="28"/>
        </w:rPr>
        <w:t xml:space="preserve"> (</w:t>
      </w:r>
      <w:r w:rsidRPr="005B31F1">
        <w:rPr>
          <w:b w:val="0"/>
          <w:noProof/>
          <w:sz w:val="28"/>
          <w:szCs w:val="28"/>
        </w:rPr>
        <w:t>ITER projekta realizēšana,</w:t>
      </w:r>
      <w:r w:rsidR="005B31F1" w:rsidRPr="005B31F1">
        <w:rPr>
          <w:b w:val="0"/>
          <w:noProof/>
          <w:sz w:val="28"/>
          <w:szCs w:val="28"/>
        </w:rPr>
        <w:t xml:space="preserve"> </w:t>
      </w:r>
      <w:r w:rsidRPr="005B31F1">
        <w:rPr>
          <w:b w:val="0"/>
          <w:noProof/>
          <w:sz w:val="28"/>
          <w:szCs w:val="28"/>
        </w:rPr>
        <w:t>pētniecība un izstrāde ITER ekspluatācijas sagatavošanai,</w:t>
      </w:r>
      <w:r w:rsidR="005B31F1" w:rsidRPr="005B31F1">
        <w:rPr>
          <w:b w:val="0"/>
          <w:noProof/>
          <w:sz w:val="28"/>
          <w:szCs w:val="28"/>
        </w:rPr>
        <w:t xml:space="preserve"> </w:t>
      </w:r>
      <w:r w:rsidRPr="005B31F1">
        <w:rPr>
          <w:b w:val="0"/>
          <w:noProof/>
          <w:sz w:val="28"/>
          <w:szCs w:val="28"/>
        </w:rPr>
        <w:t>veicamie DEMO</w:t>
      </w:r>
      <w:r w:rsidRPr="005B31F1">
        <w:rPr>
          <w:b w:val="0"/>
          <w:i/>
          <w:noProof/>
          <w:sz w:val="28"/>
          <w:szCs w:val="28"/>
        </w:rPr>
        <w:t xml:space="preserve"> </w:t>
      </w:r>
      <w:r w:rsidRPr="005B31F1">
        <w:rPr>
          <w:b w:val="0"/>
          <w:noProof/>
          <w:sz w:val="28"/>
          <w:szCs w:val="28"/>
        </w:rPr>
        <w:t>sagatavošanas pasākumi</w:t>
      </w:r>
      <w:r w:rsidRPr="005B31F1">
        <w:rPr>
          <w:b w:val="0"/>
          <w:i/>
          <w:noProof/>
          <w:sz w:val="28"/>
          <w:szCs w:val="28"/>
        </w:rPr>
        <w:t>,</w:t>
      </w:r>
      <w:r w:rsidRPr="005B31F1">
        <w:rPr>
          <w:b w:val="0"/>
          <w:noProof/>
          <w:sz w:val="28"/>
          <w:szCs w:val="28"/>
        </w:rPr>
        <w:t xml:space="preserve"> pētniecības un izstrādes pasākumi ilgākā laika posmā,</w:t>
      </w:r>
      <w:r w:rsidR="005B31F1">
        <w:rPr>
          <w:b w:val="0"/>
          <w:noProof/>
          <w:sz w:val="28"/>
          <w:szCs w:val="28"/>
        </w:rPr>
        <w:t xml:space="preserve"> </w:t>
      </w:r>
      <w:r w:rsidRPr="005B31F1">
        <w:rPr>
          <w:b w:val="0"/>
          <w:noProof/>
          <w:sz w:val="28"/>
          <w:szCs w:val="28"/>
        </w:rPr>
        <w:t>cilvēkresursi, izglītība un mācības,</w:t>
      </w:r>
      <w:r w:rsidR="005B31F1" w:rsidRPr="005B31F1">
        <w:rPr>
          <w:b w:val="0"/>
          <w:noProof/>
          <w:sz w:val="28"/>
          <w:szCs w:val="28"/>
        </w:rPr>
        <w:t xml:space="preserve"> </w:t>
      </w:r>
      <w:r w:rsidRPr="005B31F1">
        <w:rPr>
          <w:b w:val="0"/>
          <w:noProof/>
          <w:sz w:val="28"/>
          <w:szCs w:val="28"/>
        </w:rPr>
        <w:t>infrastruktūras,</w:t>
      </w:r>
      <w:r w:rsidR="005B31F1" w:rsidRPr="005B31F1">
        <w:rPr>
          <w:b w:val="0"/>
          <w:noProof/>
          <w:sz w:val="28"/>
          <w:szCs w:val="28"/>
        </w:rPr>
        <w:t xml:space="preserve"> </w:t>
      </w:r>
      <w:r w:rsidRPr="005B31F1">
        <w:rPr>
          <w:b w:val="0"/>
          <w:noProof/>
          <w:sz w:val="28"/>
          <w:szCs w:val="28"/>
        </w:rPr>
        <w:t>tehnoloģiju tālāk nodošana, nozares iesaistīšanās u</w:t>
      </w:r>
      <w:r w:rsidR="005B31F1" w:rsidRPr="005B31F1">
        <w:rPr>
          <w:b w:val="0"/>
          <w:noProof/>
          <w:sz w:val="28"/>
          <w:szCs w:val="28"/>
        </w:rPr>
        <w:t>n inovācijas) un k</w:t>
      </w:r>
      <w:r w:rsidRPr="005B31F1">
        <w:rPr>
          <w:b w:val="0"/>
          <w:noProof/>
          <w:sz w:val="28"/>
          <w:szCs w:val="28"/>
        </w:rPr>
        <w:t>odola skaldīšanas un aizsardzības pret jonizējošo starojumu darbības jomas</w:t>
      </w:r>
      <w:r w:rsidR="005B31F1">
        <w:rPr>
          <w:b w:val="0"/>
          <w:noProof/>
          <w:sz w:val="28"/>
          <w:szCs w:val="28"/>
        </w:rPr>
        <w:t xml:space="preserve"> (</w:t>
      </w:r>
      <w:r w:rsidRPr="005B31F1">
        <w:rPr>
          <w:b w:val="0"/>
          <w:noProof/>
          <w:sz w:val="28"/>
          <w:szCs w:val="28"/>
        </w:rPr>
        <w:t xml:space="preserve">atkritumu </w:t>
      </w:r>
      <w:r w:rsidRPr="005B31F1">
        <w:rPr>
          <w:b w:val="0"/>
          <w:noProof/>
          <w:sz w:val="28"/>
          <w:szCs w:val="28"/>
        </w:rPr>
        <w:lastRenderedPageBreak/>
        <w:t>ģeoloģiskā apglabāšana,</w:t>
      </w:r>
      <w:r w:rsidR="005B31F1" w:rsidRPr="005B31F1">
        <w:rPr>
          <w:b w:val="0"/>
          <w:noProof/>
          <w:sz w:val="28"/>
          <w:szCs w:val="28"/>
        </w:rPr>
        <w:t xml:space="preserve"> </w:t>
      </w:r>
      <w:r w:rsidRPr="005B31F1">
        <w:rPr>
          <w:b w:val="0"/>
          <w:noProof/>
          <w:sz w:val="28"/>
          <w:szCs w:val="28"/>
        </w:rPr>
        <w:t>reaktoru sistēmas un drošums,</w:t>
      </w:r>
      <w:r w:rsidR="005B31F1" w:rsidRPr="005B31F1">
        <w:rPr>
          <w:b w:val="0"/>
          <w:noProof/>
          <w:sz w:val="28"/>
          <w:szCs w:val="28"/>
        </w:rPr>
        <w:t xml:space="preserve"> </w:t>
      </w:r>
      <w:r w:rsidRPr="005B31F1">
        <w:rPr>
          <w:b w:val="0"/>
          <w:noProof/>
          <w:sz w:val="28"/>
          <w:szCs w:val="28"/>
        </w:rPr>
        <w:t>aizsardzība pret jonizējošo starojumu, atbalsts pētniecības infrastruktūrām un piekļuve tām,</w:t>
      </w:r>
      <w:r w:rsidR="005B31F1" w:rsidRPr="005B31F1">
        <w:rPr>
          <w:b w:val="0"/>
          <w:noProof/>
          <w:sz w:val="28"/>
          <w:szCs w:val="28"/>
        </w:rPr>
        <w:t xml:space="preserve"> </w:t>
      </w:r>
      <w:r w:rsidRPr="005B31F1">
        <w:rPr>
          <w:b w:val="0"/>
          <w:noProof/>
          <w:sz w:val="28"/>
          <w:szCs w:val="28"/>
        </w:rPr>
        <w:t>cilvēkresursi un mācības</w:t>
      </w:r>
      <w:r w:rsidR="005B31F1" w:rsidRPr="005B31F1">
        <w:rPr>
          <w:b w:val="0"/>
          <w:noProof/>
          <w:sz w:val="28"/>
          <w:szCs w:val="28"/>
        </w:rPr>
        <w:t>)</w:t>
      </w:r>
      <w:r w:rsidRPr="005B31F1">
        <w:rPr>
          <w:b w:val="0"/>
          <w:noProof/>
          <w:sz w:val="28"/>
          <w:szCs w:val="28"/>
        </w:rPr>
        <w:t>.</w:t>
      </w:r>
    </w:p>
    <w:p w:rsidR="00D959C9" w:rsidRPr="005B31F1" w:rsidRDefault="00D959C9" w:rsidP="00D959C9">
      <w:pPr>
        <w:pStyle w:val="Tiret1"/>
        <w:numPr>
          <w:ilvl w:val="0"/>
          <w:numId w:val="0"/>
        </w:numPr>
        <w:rPr>
          <w:noProof/>
          <w:sz w:val="28"/>
          <w:szCs w:val="28"/>
        </w:rPr>
      </w:pPr>
      <w:r w:rsidRPr="005B31F1">
        <w:rPr>
          <w:sz w:val="28"/>
          <w:szCs w:val="28"/>
          <w:lang w:eastAsia="en-GB"/>
        </w:rPr>
        <w:t xml:space="preserve">Īpašās programmas galvenie mērķi ir </w:t>
      </w:r>
      <w:r w:rsidRPr="005B31F1">
        <w:rPr>
          <w:noProof/>
          <w:sz w:val="28"/>
          <w:szCs w:val="28"/>
        </w:rPr>
        <w:t xml:space="preserve">nodrošināt ilgstošu atbalstu pasākumiem saskaņā ar SET plānu, atbalstīt un papildināt ar kodola skaldīšanu un aizsardzību pret jonizējošo starojumu saistītās valstu pētniecības programmas, uzlabot to kodolsintēzes pētniecības darbību īstenošanu, ko veic saskaņā ar Eiropas Kodolsintēzes attīstības nolīgumu, veicināt starptautisko sadarbību, nodrošināt pienācīgu ITER </w:t>
      </w:r>
      <w:r w:rsidR="005B31F1">
        <w:rPr>
          <w:noProof/>
          <w:sz w:val="28"/>
          <w:szCs w:val="28"/>
        </w:rPr>
        <w:t xml:space="preserve">projekta </w:t>
      </w:r>
      <w:r w:rsidRPr="005B31F1">
        <w:rPr>
          <w:noProof/>
          <w:sz w:val="28"/>
          <w:szCs w:val="28"/>
        </w:rPr>
        <w:t>un Fusion for Energy (F4E) pārvaldību un vadību, tostarp izmaksu ierobežošanu un riska pārvaldību (tehnisko, industriālo, finanšu, juridisko).</w:t>
      </w:r>
    </w:p>
    <w:p w:rsidR="00D959C9" w:rsidRPr="005B31F1" w:rsidRDefault="00D959C9" w:rsidP="00D959C9">
      <w:pPr>
        <w:pStyle w:val="ListDash2"/>
        <w:numPr>
          <w:ilvl w:val="0"/>
          <w:numId w:val="0"/>
        </w:numPr>
        <w:rPr>
          <w:noProof/>
          <w:sz w:val="28"/>
          <w:szCs w:val="28"/>
        </w:rPr>
      </w:pPr>
      <w:r w:rsidRPr="005B31F1">
        <w:rPr>
          <w:noProof/>
          <w:sz w:val="28"/>
          <w:szCs w:val="28"/>
        </w:rPr>
        <w:t xml:space="preserve">Finansiālā ietekme </w:t>
      </w:r>
      <w:r w:rsidR="00B56E50">
        <w:rPr>
          <w:noProof/>
          <w:sz w:val="28"/>
          <w:szCs w:val="28"/>
        </w:rPr>
        <w:t xml:space="preserve">plānojama </w:t>
      </w:r>
      <w:r w:rsidRPr="005B31F1">
        <w:rPr>
          <w:noProof/>
          <w:sz w:val="28"/>
          <w:szCs w:val="28"/>
        </w:rPr>
        <w:t>no 2012. līdz 2022. gadam (paredzamās projektu beigas). Priekšlikumos par Euratom pamatprogrammu (2012–2013) ir sniegtas vispārīgas nostādnes attiecībā uz pētniecības pasākumiem kodolenerģētikas jomā un norādīts atbilstīgs budžets. Tomēr sākotnēji kodolpētniecībai paredzētās provizoriskās apropriācijas daudzgadu finanšu shēmā no (2007–2013) nav pietiekamas, jo ir būtiski pieaugušas ITER projekta izmaksas. E</w:t>
      </w:r>
      <w:r w:rsidR="005B31F1">
        <w:rPr>
          <w:noProof/>
          <w:sz w:val="28"/>
          <w:szCs w:val="28"/>
        </w:rPr>
        <w:t xml:space="preserve">iropas </w:t>
      </w:r>
      <w:r w:rsidRPr="005B31F1">
        <w:rPr>
          <w:noProof/>
          <w:sz w:val="28"/>
          <w:szCs w:val="28"/>
        </w:rPr>
        <w:t>K</w:t>
      </w:r>
      <w:r w:rsidR="005B31F1">
        <w:rPr>
          <w:noProof/>
          <w:sz w:val="28"/>
          <w:szCs w:val="28"/>
        </w:rPr>
        <w:t>omisija</w:t>
      </w:r>
      <w:r w:rsidRPr="005B31F1">
        <w:rPr>
          <w:noProof/>
          <w:sz w:val="28"/>
          <w:szCs w:val="28"/>
        </w:rPr>
        <w:t xml:space="preserve"> ierosina likumdošanas procesu saistībā ar priekšlikumiem par Euratom pamatprogrammu (2012–2013) īstenot vienlaikus ar ITER budžeta un 2012. gada budžeta izskatīšanu. Vienošanās par papildu finansējumu, izmantojot pārvietojumus starp izdevumu kategorijām un vienas kategorijas ietvaros (saskaņā ar turpmāk sniegto tabulu), ļaus ātri pieņemt Euratom pētniecības programmu 2011. gadā.</w:t>
      </w:r>
    </w:p>
    <w:p w:rsidR="005B31F1" w:rsidRDefault="005B31F1" w:rsidP="005B31F1">
      <w:pPr>
        <w:pStyle w:val="Typedudocument"/>
        <w:spacing w:before="0"/>
        <w:jc w:val="left"/>
        <w:rPr>
          <w:b w:val="0"/>
          <w:i/>
          <w:noProof/>
          <w:sz w:val="28"/>
          <w:szCs w:val="28"/>
        </w:rPr>
      </w:pPr>
    </w:p>
    <w:p w:rsidR="00B56E50" w:rsidRDefault="00D959C9" w:rsidP="00627089">
      <w:pPr>
        <w:pStyle w:val="Typedudocument"/>
        <w:spacing w:before="0"/>
        <w:jc w:val="both"/>
        <w:rPr>
          <w:b w:val="0"/>
          <w:noProof/>
          <w:sz w:val="28"/>
          <w:szCs w:val="28"/>
        </w:rPr>
      </w:pPr>
      <w:r w:rsidRPr="005B31F1">
        <w:rPr>
          <w:b w:val="0"/>
          <w:i/>
          <w:noProof/>
          <w:sz w:val="28"/>
          <w:szCs w:val="28"/>
        </w:rPr>
        <w:t>P</w:t>
      </w:r>
      <w:r w:rsidR="005B31F1">
        <w:rPr>
          <w:b w:val="0"/>
          <w:i/>
          <w:noProof/>
          <w:sz w:val="28"/>
          <w:szCs w:val="28"/>
        </w:rPr>
        <w:t xml:space="preserve">adomes lēmums </w:t>
      </w:r>
      <w:r w:rsidRPr="005B31F1">
        <w:rPr>
          <w:b w:val="0"/>
          <w:i/>
          <w:noProof/>
          <w:sz w:val="28"/>
          <w:szCs w:val="28"/>
        </w:rPr>
        <w:t>par īpašo programmu, kas izpildāma ar Kopīgā pētniecības centra tiešajām darbībām un ar ko īsteno Eiropas Atomenerģijas kopienas pamatprogrammu kodolpētniecības un mācību pasākumiem (2012–2013)</w:t>
      </w:r>
      <w:r w:rsidR="00B56E50">
        <w:rPr>
          <w:b w:val="0"/>
          <w:i/>
          <w:noProof/>
          <w:sz w:val="28"/>
          <w:szCs w:val="28"/>
        </w:rPr>
        <w:t xml:space="preserve"> </w:t>
      </w:r>
      <w:r w:rsidR="00627089" w:rsidRPr="00627089">
        <w:rPr>
          <w:b w:val="0"/>
          <w:noProof/>
          <w:sz w:val="28"/>
          <w:szCs w:val="28"/>
        </w:rPr>
        <w:t>lemj par</w:t>
      </w:r>
      <w:r w:rsidR="00627089">
        <w:rPr>
          <w:b w:val="0"/>
          <w:i/>
          <w:noProof/>
          <w:sz w:val="28"/>
          <w:szCs w:val="28"/>
        </w:rPr>
        <w:t xml:space="preserve"> </w:t>
      </w:r>
      <w:r w:rsidRPr="00627089">
        <w:rPr>
          <w:b w:val="0"/>
          <w:noProof/>
          <w:sz w:val="28"/>
          <w:szCs w:val="28"/>
        </w:rPr>
        <w:t>Kopīgā pētniecības centra</w:t>
      </w:r>
      <w:r w:rsidRPr="00627089">
        <w:rPr>
          <w:b w:val="0"/>
          <w:i/>
          <w:noProof/>
          <w:sz w:val="28"/>
          <w:szCs w:val="28"/>
        </w:rPr>
        <w:t xml:space="preserve"> </w:t>
      </w:r>
      <w:r w:rsidRPr="00627089">
        <w:rPr>
          <w:b w:val="0"/>
          <w:noProof/>
          <w:sz w:val="28"/>
          <w:szCs w:val="28"/>
        </w:rPr>
        <w:t>programm</w:t>
      </w:r>
      <w:r w:rsidR="00627089">
        <w:rPr>
          <w:b w:val="0"/>
          <w:noProof/>
          <w:sz w:val="28"/>
          <w:szCs w:val="28"/>
        </w:rPr>
        <w:t>u, un taj</w:t>
      </w:r>
      <w:r w:rsidRPr="00627089">
        <w:rPr>
          <w:b w:val="0"/>
          <w:noProof/>
          <w:sz w:val="28"/>
          <w:szCs w:val="28"/>
        </w:rPr>
        <w:t xml:space="preserve">ā uzmanība tiks vērsta uz kodolatkritumu apsaimniekošanas pētniecību un uz pašreizējo un progresīvo kodolsistēmu drošumu un kodoldrošību. </w:t>
      </w:r>
    </w:p>
    <w:p w:rsidR="00D959C9" w:rsidRDefault="00D959C9" w:rsidP="00627089">
      <w:pPr>
        <w:pStyle w:val="Typedudocument"/>
        <w:spacing w:before="0"/>
        <w:jc w:val="both"/>
        <w:rPr>
          <w:b w:val="0"/>
          <w:noProof/>
          <w:sz w:val="28"/>
          <w:szCs w:val="28"/>
        </w:rPr>
      </w:pPr>
      <w:r w:rsidRPr="00627089">
        <w:rPr>
          <w:b w:val="0"/>
          <w:noProof/>
          <w:sz w:val="28"/>
          <w:szCs w:val="28"/>
        </w:rPr>
        <w:t>Pētniecības programma pilnveidos zinātnisko pieredzi šajā jomā un atbalstīs politikas iespējas saistībā ar 21. gadsimta energoavotu struktūru, un drošu un efektīvu kodolenerģijas izmantošanu. Būs jāatbalsta kā fundamentālā zinātne, tā arī mērķtiecīga zinātniska pētniecība. Īpaša uzmanība tiks pievērsta arī atbalstam pašreizējo un nākamo zinātnieku un inženieru izglītībai un mācību pasākumiem.</w:t>
      </w:r>
    </w:p>
    <w:p w:rsidR="00D959C9" w:rsidRPr="00627089" w:rsidRDefault="00D959C9" w:rsidP="00627089">
      <w:pPr>
        <w:pStyle w:val="ManualHeading2"/>
        <w:tabs>
          <w:tab w:val="clear" w:pos="850"/>
        </w:tabs>
        <w:spacing w:before="0" w:after="0"/>
        <w:ind w:left="0" w:firstLine="0"/>
        <w:rPr>
          <w:b w:val="0"/>
          <w:noProof/>
          <w:sz w:val="28"/>
          <w:szCs w:val="28"/>
        </w:rPr>
      </w:pPr>
      <w:r w:rsidRPr="005B31F1">
        <w:rPr>
          <w:b w:val="0"/>
          <w:noProof/>
          <w:sz w:val="28"/>
          <w:szCs w:val="28"/>
        </w:rPr>
        <w:t>Pētniecības pasākumi kodolenerģijas jomā (tiešās darbības) ietver trīs tematiskās prioritātes:</w:t>
      </w:r>
      <w:r w:rsidR="00627089">
        <w:rPr>
          <w:b w:val="0"/>
          <w:noProof/>
          <w:sz w:val="28"/>
          <w:szCs w:val="28"/>
        </w:rPr>
        <w:t xml:space="preserve"> </w:t>
      </w:r>
      <w:r w:rsidRPr="00627089">
        <w:rPr>
          <w:b w:val="0"/>
          <w:noProof/>
          <w:sz w:val="28"/>
          <w:szCs w:val="28"/>
        </w:rPr>
        <w:t>kodolatkritumu apsaimniekošana, ietekme uz vidi un pamatzināšanas;</w:t>
      </w:r>
      <w:r w:rsidR="00627089" w:rsidRPr="00627089">
        <w:rPr>
          <w:b w:val="0"/>
          <w:noProof/>
          <w:sz w:val="28"/>
          <w:szCs w:val="28"/>
        </w:rPr>
        <w:t xml:space="preserve"> </w:t>
      </w:r>
      <w:r w:rsidRPr="00627089">
        <w:rPr>
          <w:b w:val="0"/>
          <w:noProof/>
          <w:sz w:val="28"/>
          <w:szCs w:val="28"/>
        </w:rPr>
        <w:t>kodolsistēmu drošums</w:t>
      </w:r>
      <w:r w:rsidR="00627089" w:rsidRPr="00627089">
        <w:rPr>
          <w:b w:val="0"/>
          <w:noProof/>
          <w:sz w:val="28"/>
          <w:szCs w:val="28"/>
        </w:rPr>
        <w:t xml:space="preserve"> un </w:t>
      </w:r>
      <w:r w:rsidRPr="00627089">
        <w:rPr>
          <w:b w:val="0"/>
          <w:noProof/>
          <w:sz w:val="28"/>
          <w:szCs w:val="28"/>
        </w:rPr>
        <w:t>kodoldrošība un aizsargpasākumi.</w:t>
      </w:r>
    </w:p>
    <w:p w:rsidR="00D959C9" w:rsidRDefault="00D959C9" w:rsidP="00D959C9">
      <w:pPr>
        <w:jc w:val="both"/>
        <w:rPr>
          <w:noProof/>
          <w:lang w:val="lv-LV"/>
        </w:rPr>
      </w:pPr>
    </w:p>
    <w:p w:rsidR="00D959C9" w:rsidRDefault="00D959C9" w:rsidP="00D959C9">
      <w:pPr>
        <w:pStyle w:val="Typedudocument"/>
        <w:spacing w:before="0"/>
        <w:jc w:val="left"/>
        <w:rPr>
          <w:noProof/>
        </w:rPr>
      </w:pPr>
    </w:p>
    <w:p w:rsidR="00D959C9" w:rsidRPr="00627089" w:rsidRDefault="00D959C9" w:rsidP="00627089">
      <w:pPr>
        <w:pStyle w:val="Statut"/>
        <w:spacing w:before="0"/>
        <w:jc w:val="both"/>
        <w:rPr>
          <w:noProof/>
          <w:sz w:val="28"/>
          <w:szCs w:val="28"/>
          <w:lang w:val="lv-LV"/>
        </w:rPr>
      </w:pPr>
      <w:r w:rsidRPr="00627089">
        <w:rPr>
          <w:i/>
          <w:noProof/>
          <w:sz w:val="28"/>
          <w:szCs w:val="28"/>
          <w:lang w:val="lv-LV"/>
        </w:rPr>
        <w:t>P</w:t>
      </w:r>
      <w:r w:rsidR="00627089">
        <w:rPr>
          <w:i/>
          <w:noProof/>
          <w:sz w:val="28"/>
          <w:szCs w:val="28"/>
          <w:lang w:val="lv-LV"/>
        </w:rPr>
        <w:t xml:space="preserve">adomes regulas </w:t>
      </w:r>
      <w:r w:rsidRPr="00627089">
        <w:rPr>
          <w:i/>
          <w:noProof/>
          <w:sz w:val="28"/>
          <w:szCs w:val="28"/>
          <w:lang w:val="lv-LV"/>
        </w:rPr>
        <w:t>(Euratom)</w:t>
      </w:r>
      <w:r w:rsidR="00627089">
        <w:rPr>
          <w:i/>
          <w:noProof/>
          <w:sz w:val="28"/>
          <w:szCs w:val="28"/>
          <w:lang w:val="lv-LV"/>
        </w:rPr>
        <w:t xml:space="preserve">, </w:t>
      </w:r>
      <w:r w:rsidRPr="00627089">
        <w:rPr>
          <w:i/>
          <w:noProof/>
          <w:sz w:val="28"/>
          <w:szCs w:val="28"/>
          <w:lang w:val="lv-LV"/>
        </w:rPr>
        <w:t>ar ko nosaka noteikumus par uzņēmumu, pētniecības centru un augstskolu dalību Eiropas Atomenerģijas kopienas pamatprogrammas netiešajās darbībās un pētījumu rezultātu izplatīšanu (2012–2013)</w:t>
      </w:r>
      <w:r w:rsidR="00627089">
        <w:rPr>
          <w:i/>
          <w:noProof/>
          <w:sz w:val="28"/>
          <w:szCs w:val="28"/>
          <w:lang w:val="lv-LV"/>
        </w:rPr>
        <w:t xml:space="preserve">, </w:t>
      </w:r>
      <w:r w:rsidRPr="00627089">
        <w:rPr>
          <w:noProof/>
          <w:sz w:val="28"/>
          <w:szCs w:val="28"/>
          <w:lang w:val="lv-LV"/>
        </w:rPr>
        <w:t>priekšlikum</w:t>
      </w:r>
      <w:r w:rsidR="00627089">
        <w:rPr>
          <w:noProof/>
          <w:sz w:val="28"/>
          <w:szCs w:val="28"/>
          <w:lang w:val="lv-LV"/>
        </w:rPr>
        <w:t>s rada</w:t>
      </w:r>
      <w:r w:rsidRPr="00627089">
        <w:rPr>
          <w:noProof/>
          <w:sz w:val="28"/>
          <w:szCs w:val="28"/>
          <w:lang w:val="lv-LV"/>
        </w:rPr>
        <w:t xml:space="preserve"> Pamatprogrammas (2012–2013) īstenošanas līdzekli, kas balstās uz Euratom 7. pamatprogrammas (2007–2011) iedibinātajiem </w:t>
      </w:r>
      <w:r w:rsidRPr="00627089">
        <w:rPr>
          <w:noProof/>
          <w:sz w:val="28"/>
          <w:szCs w:val="28"/>
          <w:lang w:val="lv-LV"/>
        </w:rPr>
        <w:lastRenderedPageBreak/>
        <w:t>principiem. Ar Padomes Lēmumu 2006/970/Euratom pieņemtais dotāciju nolīguma paraugs saskaņā ar šās regulas 18. pantu tiks izmantots arī Euratom Pamatprogrammā 2012. un 2013. gadam.</w:t>
      </w:r>
      <w:r w:rsidRPr="00627089">
        <w:rPr>
          <w:rStyle w:val="Added"/>
          <w:noProof/>
          <w:sz w:val="28"/>
          <w:szCs w:val="28"/>
          <w:lang w:val="lv-LV"/>
        </w:rPr>
        <w:t xml:space="preserve"> </w:t>
      </w:r>
    </w:p>
    <w:p w:rsidR="00D959C9" w:rsidRPr="00627089" w:rsidRDefault="00D959C9" w:rsidP="00D959C9">
      <w:pPr>
        <w:autoSpaceDE w:val="0"/>
        <w:autoSpaceDN w:val="0"/>
        <w:adjustRightInd w:val="0"/>
        <w:jc w:val="both"/>
        <w:rPr>
          <w:noProof/>
          <w:sz w:val="28"/>
          <w:szCs w:val="28"/>
          <w:lang w:val="lv-LV"/>
        </w:rPr>
      </w:pPr>
      <w:r w:rsidRPr="00627089">
        <w:rPr>
          <w:rFonts w:eastAsiaTheme="minorHAnsi"/>
          <w:sz w:val="28"/>
          <w:szCs w:val="28"/>
          <w:lang w:val="lv-LV"/>
        </w:rPr>
        <w:t>Regulas projekts paredz, ka i</w:t>
      </w:r>
      <w:r w:rsidRPr="00627089">
        <w:rPr>
          <w:noProof/>
          <w:sz w:val="28"/>
          <w:szCs w:val="28"/>
          <w:lang w:val="lv-LV"/>
        </w:rPr>
        <w:t>kviens uzņēmums, augstskola vai pētniecības centrs, vai cita juridiska vienība, kas reģistrēta dalībvalstī, asociētā valstī vai trešā valstī, var piedalīties netiešā darbībā. E</w:t>
      </w:r>
      <w:r w:rsidR="00627089">
        <w:rPr>
          <w:noProof/>
          <w:sz w:val="28"/>
          <w:szCs w:val="28"/>
          <w:lang w:val="lv-LV"/>
        </w:rPr>
        <w:t xml:space="preserve">iropas </w:t>
      </w:r>
      <w:r w:rsidRPr="00627089">
        <w:rPr>
          <w:noProof/>
          <w:sz w:val="28"/>
          <w:szCs w:val="28"/>
          <w:lang w:val="lv-LV"/>
        </w:rPr>
        <w:t>K</w:t>
      </w:r>
      <w:r w:rsidR="00627089">
        <w:rPr>
          <w:noProof/>
          <w:sz w:val="28"/>
          <w:szCs w:val="28"/>
          <w:lang w:val="lv-LV"/>
        </w:rPr>
        <w:t>omisijas</w:t>
      </w:r>
      <w:r w:rsidRPr="00627089">
        <w:rPr>
          <w:noProof/>
          <w:sz w:val="28"/>
          <w:szCs w:val="28"/>
          <w:lang w:val="lv-LV"/>
        </w:rPr>
        <w:t xml:space="preserve"> Kopīgais pētniecības centrs var piedalīties netiešās darbībās ar tādiem pašiem nosacījumiem un ar tādām pašām tiesībām un pienākumiem kā dalībvalstī reģistrēta juridiska vienība. Netiešo darbību minimālie nosacījumi ir, ka tajās jāpiedalās vismaz trim juridiskām vienībām, kuras reģistrētas kādā dalībvalstī vai asociētā valstī, un katrai no tām jābūt reģistrētai citā dalībvalstī vai asociētā valstī.</w:t>
      </w:r>
    </w:p>
    <w:p w:rsidR="00D959C9" w:rsidRPr="00627089" w:rsidRDefault="00D174F7" w:rsidP="00D959C9">
      <w:pPr>
        <w:pStyle w:val="ManualNumPar1"/>
        <w:spacing w:before="0" w:after="0"/>
        <w:ind w:left="0" w:firstLine="0"/>
        <w:rPr>
          <w:noProof/>
          <w:sz w:val="28"/>
          <w:szCs w:val="28"/>
        </w:rPr>
      </w:pPr>
      <w:r w:rsidRPr="00627089">
        <w:rPr>
          <w:noProof/>
          <w:sz w:val="28"/>
          <w:szCs w:val="28"/>
        </w:rPr>
        <w:t>E</w:t>
      </w:r>
      <w:r>
        <w:rPr>
          <w:noProof/>
          <w:sz w:val="28"/>
          <w:szCs w:val="28"/>
        </w:rPr>
        <w:t xml:space="preserve">iropas </w:t>
      </w:r>
      <w:r w:rsidRPr="00627089">
        <w:rPr>
          <w:noProof/>
          <w:sz w:val="28"/>
          <w:szCs w:val="28"/>
        </w:rPr>
        <w:t>K</w:t>
      </w:r>
      <w:r>
        <w:rPr>
          <w:noProof/>
          <w:sz w:val="28"/>
          <w:szCs w:val="28"/>
        </w:rPr>
        <w:t>omisija</w:t>
      </w:r>
      <w:r w:rsidR="00D959C9" w:rsidRPr="00627089">
        <w:rPr>
          <w:noProof/>
          <w:sz w:val="28"/>
          <w:szCs w:val="28"/>
        </w:rPr>
        <w:t xml:space="preserve"> publisko projektu konkursus Pamatprogrammas (2012–2013) tīmekļa vietnēs, izmantojot īpašus informācijas kanālus, kā arī dalībvalstu un asociēto valstu izveidotajos kontaktpunktos. </w:t>
      </w:r>
      <w:r w:rsidR="00D959C9" w:rsidRPr="00627089">
        <w:rPr>
          <w:rStyle w:val="Added"/>
          <w:b w:val="0"/>
          <w:noProof/>
          <w:sz w:val="28"/>
          <w:szCs w:val="28"/>
          <w:u w:val="none"/>
        </w:rPr>
        <w:t>Projektu konkursu k</w:t>
      </w:r>
      <w:r w:rsidR="00D959C9" w:rsidRPr="00627089">
        <w:rPr>
          <w:noProof/>
          <w:sz w:val="28"/>
          <w:szCs w:val="28"/>
        </w:rPr>
        <w:t xml:space="preserve">ritēriji ir izcilība, ietekme un īstenošana. Projektu iesniegumus vērtē </w:t>
      </w:r>
      <w:r w:rsidR="00627089" w:rsidRPr="00627089">
        <w:rPr>
          <w:noProof/>
          <w:sz w:val="28"/>
          <w:szCs w:val="28"/>
        </w:rPr>
        <w:t>E</w:t>
      </w:r>
      <w:r w:rsidR="00627089">
        <w:rPr>
          <w:noProof/>
          <w:sz w:val="28"/>
          <w:szCs w:val="28"/>
        </w:rPr>
        <w:t xml:space="preserve">iropas </w:t>
      </w:r>
      <w:r w:rsidR="00627089" w:rsidRPr="00627089">
        <w:rPr>
          <w:noProof/>
          <w:sz w:val="28"/>
          <w:szCs w:val="28"/>
        </w:rPr>
        <w:t>K</w:t>
      </w:r>
      <w:r w:rsidR="00627089">
        <w:rPr>
          <w:noProof/>
          <w:sz w:val="28"/>
          <w:szCs w:val="28"/>
        </w:rPr>
        <w:t>omisija</w:t>
      </w:r>
      <w:r w:rsidR="00D959C9" w:rsidRPr="00627089">
        <w:rPr>
          <w:noProof/>
          <w:sz w:val="28"/>
          <w:szCs w:val="28"/>
        </w:rPr>
        <w:t xml:space="preserve"> un neatkarīgi eksperti. </w:t>
      </w:r>
    </w:p>
    <w:p w:rsidR="00D959C9" w:rsidRPr="00627089" w:rsidRDefault="00D959C9" w:rsidP="00D959C9">
      <w:pPr>
        <w:pStyle w:val="ManualNumPar1"/>
        <w:spacing w:before="0" w:after="0"/>
        <w:ind w:left="0" w:firstLine="0"/>
        <w:rPr>
          <w:noProof/>
          <w:sz w:val="28"/>
          <w:szCs w:val="28"/>
        </w:rPr>
      </w:pPr>
      <w:r w:rsidRPr="00627089">
        <w:rPr>
          <w:noProof/>
          <w:sz w:val="28"/>
          <w:szCs w:val="28"/>
        </w:rPr>
        <w:t xml:space="preserve">Kopienas finanšu ieguldījumu var saņemt juridiska vienība, kā arī starptautiska Eiropas interešu organizācija. Kopiena var sniegt finanšu ieguldījumu arī stipendiju vai godalgu veidā. Kopienas finanšu ieguldījums pētniecības un tehnoloģiju izstrādes pasākumiem nevar būt vairāk par 50 % no kopējām attaisnotajām izmaksām. Tomēr tas var sasniegt arī 75 % no kopējām attaisnotajām izmaksām, ja minētos pasākumus veic bezpeļņas publisko tiesību subjekti, vidējās un augstākās izglītības iestādes, pētniecības organizācijas vai mazie un vidējie uzņēmumi. Kopienas finanšu ieguldījums demonstrējumu pasākumos var sasniegt ne vairāk kā 50 % no kopējām attaisnotajām izmaksām. Kopienas finanšu ieguldījums pasākumos, kuru atbalstam veic koordinācijas un atbalsta darbības un pētnieku izglītošanas un profesionālās izaugsmes pasākumus, var sasniegt līdz 100 % no kopējām attaisnotajām izmaksām. </w:t>
      </w:r>
    </w:p>
    <w:p w:rsidR="00D959C9" w:rsidRPr="00627089" w:rsidRDefault="00D959C9" w:rsidP="00D959C9">
      <w:pPr>
        <w:pStyle w:val="ManualNumPar1"/>
        <w:spacing w:before="0" w:after="0"/>
        <w:ind w:left="0" w:firstLine="0"/>
        <w:rPr>
          <w:noProof/>
          <w:sz w:val="28"/>
          <w:szCs w:val="28"/>
        </w:rPr>
      </w:pPr>
      <w:r w:rsidRPr="00627089">
        <w:rPr>
          <w:noProof/>
          <w:sz w:val="28"/>
          <w:szCs w:val="28"/>
        </w:rPr>
        <w:t xml:space="preserve">Darba programmā paredz izcilības tīkliem izmantojamo dotāciju veidus. Jaunas zināšanas ir tā dalībnieka īpašums, kurš veicis darbu, kurā gūtas šīs jaunās zināšanas. Jaunas zināšanas ir Kopienas īpašums koordinācijas un atbalsta darbību gadījumos. Ja vairāki dalībnieki ir kopīgi veikuši darbu, radot jaunas zināšanas, un viņu attiecīgo darba daļu nav iespējams precīzi nodalīt, šīs jaunās zināšanas ir viņu kopīpašums. Jaunās zināšanas ir iespējams izmantot industriāli vai komerciāli. </w:t>
      </w:r>
    </w:p>
    <w:p w:rsidR="00D959C9" w:rsidRPr="00627089" w:rsidRDefault="00D959C9" w:rsidP="00627089">
      <w:pPr>
        <w:jc w:val="both"/>
        <w:outlineLvl w:val="0"/>
        <w:rPr>
          <w:noProof/>
          <w:sz w:val="28"/>
          <w:szCs w:val="28"/>
          <w:lang w:val="lv-LV"/>
        </w:rPr>
      </w:pPr>
      <w:r w:rsidRPr="00627089">
        <w:rPr>
          <w:noProof/>
          <w:sz w:val="28"/>
          <w:szCs w:val="28"/>
          <w:lang w:val="lv-LV"/>
        </w:rPr>
        <w:t>Padomes regulas priekšlikums, kurā izklāstīti dalības noteikumi, neietekmē budžetu.</w:t>
      </w:r>
    </w:p>
    <w:p w:rsidR="000A4FE8" w:rsidRPr="00D959C9" w:rsidRDefault="000A4FE8" w:rsidP="00E34AAC">
      <w:pPr>
        <w:autoSpaceDE w:val="0"/>
        <w:autoSpaceDN w:val="0"/>
        <w:adjustRightInd w:val="0"/>
        <w:jc w:val="both"/>
        <w:rPr>
          <w:noProof/>
          <w:sz w:val="28"/>
          <w:szCs w:val="28"/>
          <w:lang w:val="lv-LV"/>
        </w:rPr>
      </w:pPr>
    </w:p>
    <w:p w:rsidR="00D959C9" w:rsidRPr="00D959C9" w:rsidRDefault="00D959C9" w:rsidP="00D959C9">
      <w:pPr>
        <w:pStyle w:val="Statut"/>
        <w:spacing w:before="0"/>
        <w:jc w:val="both"/>
        <w:rPr>
          <w:noProof/>
          <w:sz w:val="28"/>
          <w:szCs w:val="28"/>
          <w:lang w:val="lv-LV"/>
        </w:rPr>
      </w:pPr>
      <w:r w:rsidRPr="00D959C9">
        <w:rPr>
          <w:b/>
          <w:sz w:val="28"/>
          <w:szCs w:val="28"/>
          <w:lang w:val="lv-LV" w:eastAsia="lv-LV"/>
        </w:rPr>
        <w:t>Latvija kopumā atbalsta</w:t>
      </w:r>
      <w:r w:rsidRPr="00D959C9">
        <w:rPr>
          <w:sz w:val="28"/>
          <w:szCs w:val="28"/>
          <w:lang w:val="lv-LV" w:eastAsia="lv-LV"/>
        </w:rPr>
        <w:t xml:space="preserve"> </w:t>
      </w:r>
      <w:r w:rsidRPr="00D959C9">
        <w:rPr>
          <w:noProof/>
          <w:sz w:val="28"/>
          <w:szCs w:val="28"/>
          <w:lang w:val="lv-LV"/>
        </w:rPr>
        <w:t>Padomes regulu (Euratom), ar ko nosaka noteikumus par uzņēmumu, pētniecības centru un augstskolu dalību Eiropas Atomenerģijas kopienas pamatprogrammas netiešajās darbībās un pētījumu rezultātu izplatīšanu (2012–2013).</w:t>
      </w:r>
    </w:p>
    <w:p w:rsidR="00D959C9" w:rsidRPr="00D959C9" w:rsidRDefault="00D959C9" w:rsidP="00D959C9">
      <w:pPr>
        <w:pStyle w:val="Typedudocument"/>
        <w:spacing w:before="0"/>
        <w:jc w:val="both"/>
        <w:rPr>
          <w:b w:val="0"/>
          <w:sz w:val="28"/>
          <w:szCs w:val="28"/>
          <w:lang w:eastAsia="lv-LV"/>
        </w:rPr>
      </w:pPr>
      <w:r w:rsidRPr="00D959C9">
        <w:rPr>
          <w:sz w:val="28"/>
          <w:szCs w:val="28"/>
          <w:lang w:eastAsia="lv-LV"/>
        </w:rPr>
        <w:t>Latvija kopumā atbalsta</w:t>
      </w:r>
      <w:r w:rsidRPr="00D959C9">
        <w:rPr>
          <w:b w:val="0"/>
          <w:sz w:val="28"/>
          <w:szCs w:val="28"/>
          <w:lang w:eastAsia="lv-LV"/>
        </w:rPr>
        <w:t xml:space="preserve"> </w:t>
      </w:r>
      <w:r w:rsidRPr="00D959C9">
        <w:rPr>
          <w:b w:val="0"/>
          <w:noProof/>
          <w:sz w:val="28"/>
          <w:szCs w:val="28"/>
        </w:rPr>
        <w:t xml:space="preserve">Padomes lēmumu par īpašo programmu, kas izpildāma ar netiešajām darbībām un ar ko īsteno Eiropas Atomenerģijas </w:t>
      </w:r>
      <w:r w:rsidRPr="00D959C9">
        <w:rPr>
          <w:b w:val="0"/>
          <w:noProof/>
          <w:sz w:val="28"/>
          <w:szCs w:val="28"/>
        </w:rPr>
        <w:lastRenderedPageBreak/>
        <w:t>kopienas pamatprogrammu kodolpētniecības un mācību pasākumiem (2012–2013).</w:t>
      </w:r>
    </w:p>
    <w:p w:rsidR="00D959C9" w:rsidRPr="00D959C9" w:rsidRDefault="00D959C9" w:rsidP="00D959C9">
      <w:pPr>
        <w:jc w:val="both"/>
        <w:rPr>
          <w:sz w:val="28"/>
          <w:szCs w:val="28"/>
          <w:lang w:val="lv-LV"/>
        </w:rPr>
      </w:pPr>
      <w:r w:rsidRPr="00D959C9">
        <w:rPr>
          <w:b/>
          <w:sz w:val="28"/>
          <w:szCs w:val="28"/>
          <w:lang w:val="lv-LV"/>
        </w:rPr>
        <w:t xml:space="preserve">Latvijas zinātnei, enerģētikai un tautsaimniecībai kopumā ir nozīmīgi ilgtermiņā piedalīties </w:t>
      </w:r>
      <w:r w:rsidRPr="00D959C9">
        <w:rPr>
          <w:sz w:val="28"/>
          <w:szCs w:val="28"/>
          <w:lang w:val="lv-LV"/>
        </w:rPr>
        <w:t xml:space="preserve">tādā globālā ilgtspējīgā pētniecības un enerģētikas projektā kā ITER, jo Latvija uzskata, ka kodolsintēzes izmantošana ar laiku kļūs par nozīmīgu nākotnes enerģijas iegūšanas avotu. </w:t>
      </w:r>
    </w:p>
    <w:p w:rsidR="00D959C9" w:rsidRPr="00D959C9" w:rsidRDefault="00D959C9" w:rsidP="00D959C9">
      <w:pPr>
        <w:autoSpaceDE w:val="0"/>
        <w:autoSpaceDN w:val="0"/>
        <w:adjustRightInd w:val="0"/>
        <w:jc w:val="both"/>
        <w:rPr>
          <w:sz w:val="28"/>
          <w:szCs w:val="28"/>
          <w:lang w:val="lv-LV"/>
        </w:rPr>
      </w:pPr>
      <w:r w:rsidRPr="00D959C9">
        <w:rPr>
          <w:rFonts w:eastAsiaTheme="minorHAnsi"/>
          <w:b/>
          <w:sz w:val="28"/>
          <w:szCs w:val="28"/>
          <w:lang w:val="lv-LV"/>
        </w:rPr>
        <w:t>Latvija uzskata</w:t>
      </w:r>
      <w:r w:rsidRPr="00D959C9">
        <w:rPr>
          <w:rFonts w:eastAsiaTheme="minorHAnsi"/>
          <w:sz w:val="28"/>
          <w:szCs w:val="28"/>
          <w:lang w:val="lv-LV"/>
        </w:rPr>
        <w:t>, ka saskaņā ar 2010. gada jūlija Padomes secinājumiem finansējumam ITER projektam primāri ir jānāk no Eiropas Savienības 1A budžeta izdevumu apakškategorijas.</w:t>
      </w:r>
    </w:p>
    <w:p w:rsidR="00D959C9" w:rsidRPr="00D959C9" w:rsidRDefault="00D959C9" w:rsidP="00D959C9">
      <w:pPr>
        <w:jc w:val="both"/>
        <w:rPr>
          <w:sz w:val="28"/>
          <w:szCs w:val="28"/>
          <w:lang w:val="lv-LV"/>
        </w:rPr>
      </w:pPr>
      <w:r w:rsidRPr="00D959C9">
        <w:rPr>
          <w:b/>
          <w:sz w:val="28"/>
          <w:szCs w:val="28"/>
          <w:lang w:val="lv-LV"/>
        </w:rPr>
        <w:t>Latvijai ir svarīgi</w:t>
      </w:r>
      <w:r w:rsidRPr="00D959C9">
        <w:rPr>
          <w:sz w:val="28"/>
          <w:szCs w:val="28"/>
          <w:lang w:val="lv-LV"/>
        </w:rPr>
        <w:t xml:space="preserve"> piedalīties tādu projektu īstenošanā, kas mazina tās enerģētisko atkarību.</w:t>
      </w:r>
    </w:p>
    <w:p w:rsidR="00D959C9" w:rsidRPr="00D959C9" w:rsidRDefault="00D959C9" w:rsidP="00D959C9">
      <w:pPr>
        <w:pStyle w:val="Typedudocument"/>
        <w:spacing w:before="0"/>
        <w:jc w:val="both"/>
        <w:rPr>
          <w:b w:val="0"/>
          <w:noProof/>
          <w:sz w:val="28"/>
          <w:szCs w:val="28"/>
        </w:rPr>
      </w:pPr>
      <w:r w:rsidRPr="00D959C9">
        <w:rPr>
          <w:noProof/>
          <w:sz w:val="28"/>
          <w:szCs w:val="28"/>
        </w:rPr>
        <w:t>Latvija kopumā atbalsta</w:t>
      </w:r>
      <w:r w:rsidRPr="00D959C9">
        <w:rPr>
          <w:b w:val="0"/>
          <w:noProof/>
          <w:sz w:val="28"/>
          <w:szCs w:val="28"/>
        </w:rPr>
        <w:t xml:space="preserve"> Padomes lēmumu par īpašo programmu, kas izpildāma ar Kopīgā pētniecības centra tiešajām darbībām un ar ko īsteno Eiropas Atomenerģijas kopienas pamatprogrammu kodolpētniecības un mācību pasākumiem (2012–2013).</w:t>
      </w:r>
    </w:p>
    <w:p w:rsidR="00B50E72" w:rsidRPr="00D959C9" w:rsidRDefault="00D959C9" w:rsidP="00D959C9">
      <w:pPr>
        <w:jc w:val="both"/>
        <w:rPr>
          <w:rFonts w:eastAsiaTheme="minorHAnsi"/>
          <w:color w:val="000000"/>
          <w:sz w:val="28"/>
          <w:szCs w:val="28"/>
          <w:lang w:val="lv-LV"/>
        </w:rPr>
      </w:pPr>
      <w:r w:rsidRPr="00D959C9">
        <w:rPr>
          <w:b/>
          <w:sz w:val="28"/>
          <w:szCs w:val="28"/>
          <w:lang w:val="lv-LV"/>
        </w:rPr>
        <w:t>Latvija plāno</w:t>
      </w:r>
      <w:r w:rsidRPr="00D959C9">
        <w:rPr>
          <w:sz w:val="28"/>
          <w:szCs w:val="28"/>
          <w:lang w:val="lv-LV"/>
        </w:rPr>
        <w:t xml:space="preserve"> </w:t>
      </w:r>
      <w:r w:rsidRPr="00D959C9">
        <w:rPr>
          <w:b/>
          <w:sz w:val="28"/>
          <w:szCs w:val="28"/>
          <w:lang w:val="lv-LV"/>
        </w:rPr>
        <w:t>piedalīties</w:t>
      </w:r>
      <w:r w:rsidRPr="00D959C9">
        <w:rPr>
          <w:sz w:val="28"/>
          <w:szCs w:val="28"/>
          <w:lang w:val="lv-LV"/>
        </w:rPr>
        <w:t xml:space="preserve"> Kopīgajā pētniecības centrā un paredz iesniegt projektus regulā paredzēto netiešo darbību projektu konkursā.</w:t>
      </w:r>
    </w:p>
    <w:p w:rsidR="00E34AAC" w:rsidRDefault="00E34AAC" w:rsidP="00E91486">
      <w:pPr>
        <w:ind w:firstLine="720"/>
        <w:jc w:val="both"/>
        <w:rPr>
          <w:rFonts w:eastAsiaTheme="minorHAnsi"/>
          <w:color w:val="000000"/>
          <w:sz w:val="28"/>
          <w:szCs w:val="28"/>
          <w:lang w:val="lv-LV"/>
        </w:rPr>
      </w:pPr>
    </w:p>
    <w:p w:rsidR="00E34AAC" w:rsidRPr="00562F37" w:rsidRDefault="00E34AAC" w:rsidP="00E34AAC">
      <w:pPr>
        <w:jc w:val="both"/>
        <w:rPr>
          <w:rFonts w:eastAsiaTheme="minorHAnsi"/>
          <w:color w:val="000000"/>
          <w:sz w:val="28"/>
          <w:szCs w:val="28"/>
          <w:lang w:val="lv-LV"/>
        </w:rPr>
      </w:pPr>
      <w:r w:rsidRPr="009375E5">
        <w:rPr>
          <w:rFonts w:eastAsiaTheme="minorHAnsi"/>
          <w:b/>
          <w:color w:val="000000"/>
          <w:sz w:val="28"/>
          <w:szCs w:val="28"/>
          <w:lang w:val="lv-LV"/>
        </w:rPr>
        <w:t>2</w:t>
      </w:r>
      <w:r>
        <w:rPr>
          <w:rFonts w:eastAsiaTheme="minorHAnsi"/>
          <w:color w:val="000000"/>
          <w:sz w:val="28"/>
          <w:szCs w:val="28"/>
          <w:lang w:val="lv-LV"/>
        </w:rPr>
        <w:t xml:space="preserve">. </w:t>
      </w:r>
      <w:r w:rsidR="00562F37" w:rsidRPr="00562F37">
        <w:rPr>
          <w:b/>
          <w:sz w:val="28"/>
          <w:szCs w:val="28"/>
          <w:lang w:val="lv-LV"/>
        </w:rPr>
        <w:t>Padomes Regula, ar kuru groza Regulu (EK) Nr. 521/2008, ar ko izveido kopuzņēmumu "Kurināmā elementi un ūdeņradis"</w:t>
      </w:r>
    </w:p>
    <w:p w:rsidR="00B50E72" w:rsidRDefault="00B50E72" w:rsidP="0071723E">
      <w:pPr>
        <w:jc w:val="both"/>
        <w:rPr>
          <w:rFonts w:eastAsiaTheme="minorHAnsi"/>
          <w:color w:val="000000"/>
          <w:sz w:val="28"/>
          <w:szCs w:val="28"/>
          <w:lang w:val="lv-LV"/>
        </w:rPr>
      </w:pPr>
    </w:p>
    <w:p w:rsidR="00562F37" w:rsidRPr="00562F37" w:rsidRDefault="00562F37" w:rsidP="00562F37">
      <w:pPr>
        <w:jc w:val="both"/>
        <w:rPr>
          <w:noProof/>
          <w:sz w:val="28"/>
          <w:szCs w:val="28"/>
          <w:lang w:val="lv-LV"/>
        </w:rPr>
      </w:pPr>
      <w:r w:rsidRPr="00562F37">
        <w:rPr>
          <w:noProof/>
          <w:sz w:val="28"/>
          <w:szCs w:val="28"/>
          <w:lang w:val="lv-LV"/>
        </w:rPr>
        <w:t>Kopuzņēmumu "Kurināmā elementi un ūdeņradis" (FCH</w:t>
      </w:r>
      <w:r w:rsidRPr="00562F37">
        <w:rPr>
          <w:i/>
          <w:noProof/>
          <w:sz w:val="28"/>
          <w:szCs w:val="28"/>
          <w:lang w:val="lv-LV"/>
        </w:rPr>
        <w:t xml:space="preserve"> </w:t>
      </w:r>
      <w:r w:rsidRPr="00562F37">
        <w:rPr>
          <w:noProof/>
          <w:sz w:val="28"/>
          <w:szCs w:val="28"/>
          <w:lang w:val="lv-LV"/>
        </w:rPr>
        <w:t>kopuzņēmums)</w:t>
      </w:r>
      <w:r w:rsidRPr="00562F37">
        <w:rPr>
          <w:i/>
          <w:noProof/>
          <w:sz w:val="28"/>
          <w:szCs w:val="28"/>
          <w:lang w:val="lv-LV"/>
        </w:rPr>
        <w:t xml:space="preserve"> </w:t>
      </w:r>
      <w:r w:rsidRPr="00562F37">
        <w:rPr>
          <w:noProof/>
          <w:sz w:val="28"/>
          <w:szCs w:val="28"/>
          <w:lang w:val="lv-LV"/>
        </w:rPr>
        <w:t>izveidoja ar Padomes 2008. gada 30. maija Regulu (EK) 521/2008. Administratīvās un ekspluatācijas izmaksas kopā sedz kopuzņēmuma trīs dalībnieki, proti, Nozares grupa, Pētniecības grupa un Eiropas Komisija.</w:t>
      </w:r>
    </w:p>
    <w:p w:rsidR="00562F37" w:rsidRPr="00562F37" w:rsidRDefault="00562F37" w:rsidP="00562F37">
      <w:pPr>
        <w:jc w:val="both"/>
        <w:rPr>
          <w:noProof/>
          <w:sz w:val="28"/>
          <w:szCs w:val="28"/>
          <w:lang w:val="lv-LV"/>
        </w:rPr>
      </w:pPr>
      <w:r w:rsidRPr="00562F37">
        <w:rPr>
          <w:noProof/>
          <w:sz w:val="28"/>
          <w:szCs w:val="28"/>
          <w:lang w:val="lv-LV"/>
        </w:rPr>
        <w:t xml:space="preserve">Nosacījums nozares dalībai sākotnēji bija finansiāls ieguldījums 50 % apmērā no kārtējām izmaksām (sedzamas kopā ar </w:t>
      </w:r>
      <w:r>
        <w:rPr>
          <w:noProof/>
          <w:sz w:val="28"/>
          <w:szCs w:val="28"/>
          <w:lang w:val="lv-LV"/>
        </w:rPr>
        <w:t>Eiropas Komisiju</w:t>
      </w:r>
      <w:r w:rsidRPr="00562F37">
        <w:rPr>
          <w:noProof/>
          <w:sz w:val="28"/>
          <w:szCs w:val="28"/>
          <w:lang w:val="lv-LV"/>
        </w:rPr>
        <w:t>) un tas, ka nozares ieguldījumam natūrā ekspluatācijas izmaksās jābūt vismaz līdzvērtīgam Eiropas Komisija</w:t>
      </w:r>
      <w:r>
        <w:rPr>
          <w:noProof/>
          <w:sz w:val="28"/>
          <w:szCs w:val="28"/>
          <w:lang w:val="lv-LV"/>
        </w:rPr>
        <w:t>s</w:t>
      </w:r>
      <w:r w:rsidRPr="00562F37">
        <w:rPr>
          <w:noProof/>
          <w:sz w:val="28"/>
          <w:szCs w:val="28"/>
          <w:lang w:val="lv-LV"/>
        </w:rPr>
        <w:t xml:space="preserve"> finansiālajam ieguldījumam.</w:t>
      </w:r>
    </w:p>
    <w:p w:rsidR="00562F37" w:rsidRPr="00562F37" w:rsidRDefault="00562F37" w:rsidP="00562F37">
      <w:pPr>
        <w:jc w:val="both"/>
        <w:rPr>
          <w:noProof/>
          <w:sz w:val="28"/>
          <w:szCs w:val="28"/>
          <w:lang w:val="lv-LV"/>
        </w:rPr>
      </w:pPr>
      <w:r w:rsidRPr="00562F37">
        <w:rPr>
          <w:noProof/>
          <w:sz w:val="28"/>
          <w:szCs w:val="28"/>
          <w:lang w:val="lv-LV"/>
        </w:rPr>
        <w:t>Kopš FCH</w:t>
      </w:r>
      <w:r w:rsidRPr="00562F37">
        <w:rPr>
          <w:i/>
          <w:noProof/>
          <w:sz w:val="28"/>
          <w:szCs w:val="28"/>
          <w:lang w:val="lv-LV"/>
        </w:rPr>
        <w:t xml:space="preserve"> </w:t>
      </w:r>
      <w:r w:rsidRPr="00562F37">
        <w:rPr>
          <w:noProof/>
          <w:sz w:val="28"/>
          <w:szCs w:val="28"/>
          <w:lang w:val="lv-LV"/>
        </w:rPr>
        <w:t>kopuzņēmuma izveidošanas, ir publicēti trīs projektu konkursi: pirmais par 28,1 milj. EUR, otrais par 73,1 milj. EUR un trešais par 89,1 mil. EUR. Nosacījums, ka nozares ieguldījumam ekspluatācijas izmaksās jābūt vismaz līdzvērtīgam, nozīmē, ka nozarei jāsedz arī citu dalībnieku (tostarp universitāšu, pētniecības centru, publiskā sektora iestāžu u.c.) izmaksas visa veida darbībām (tostarp fundamentālajiem pētījumiem).</w:t>
      </w:r>
    </w:p>
    <w:p w:rsidR="00562F37" w:rsidRPr="00562F37" w:rsidRDefault="00562F37" w:rsidP="00562F37">
      <w:pPr>
        <w:jc w:val="both"/>
        <w:rPr>
          <w:noProof/>
          <w:sz w:val="28"/>
          <w:szCs w:val="28"/>
          <w:lang w:val="lv-LV"/>
        </w:rPr>
      </w:pPr>
      <w:r w:rsidRPr="00562F37">
        <w:rPr>
          <w:noProof/>
          <w:sz w:val="28"/>
          <w:szCs w:val="28"/>
          <w:lang w:val="lv-LV"/>
        </w:rPr>
        <w:t>FCH kopuzņēmuma pirmo divu projektu konkursu rezultāts ir tāds, ka finansējuma maksimālie līmeņi ir sistemātiski jāizvērtē un jāsamazina visiem dalībniekiem. Pirmajiem diviem konkursiem prasības par vismaz līdzvērtīgu finansējumu rezultāts bija tiešo izmaksu atmaksas ievērojams samazinājums: lieliem rūpniecības uzņēmumiem no 50 % līdz 33 % FCH kopuzņēmuma ieguldījuma un MVU un pētniecības iestādēm — no 75 % līdz 50 %.</w:t>
      </w:r>
    </w:p>
    <w:p w:rsidR="00562F37" w:rsidRPr="00D738A4" w:rsidRDefault="00562F37" w:rsidP="00562F37">
      <w:pPr>
        <w:jc w:val="both"/>
        <w:rPr>
          <w:noProof/>
          <w:sz w:val="28"/>
          <w:szCs w:val="28"/>
          <w:lang w:val="lv-LV"/>
        </w:rPr>
      </w:pPr>
      <w:r w:rsidRPr="00562F37">
        <w:rPr>
          <w:noProof/>
          <w:sz w:val="28"/>
          <w:szCs w:val="28"/>
          <w:lang w:val="lv-LV"/>
        </w:rPr>
        <w:t>Šādi finansējuma līmeņi ir ievērojami zemāki nekā 7. I</w:t>
      </w:r>
      <w:r>
        <w:rPr>
          <w:noProof/>
          <w:sz w:val="28"/>
          <w:szCs w:val="28"/>
          <w:lang w:val="lv-LV"/>
        </w:rPr>
        <w:t>etvarprogrammā</w:t>
      </w:r>
      <w:r w:rsidRPr="00562F37">
        <w:rPr>
          <w:noProof/>
          <w:sz w:val="28"/>
          <w:szCs w:val="28"/>
          <w:lang w:val="lv-LV"/>
        </w:rPr>
        <w:t xml:space="preserve"> (tostarp Eiropas videi nekaitīgo automobiļu programmā ar akumulatoriem darbināmiem elektriskiem transportlīdzekļiem) un kurināmā elementu un ūdeņraža pētniecības un izstrādes programmās ārpus Eiropas. Zemie finansējuma līmeņi un finanšu un ekonomikas krīze, nozīmē, ka pašreizējais dalības līmenis FCH</w:t>
      </w:r>
      <w:r w:rsidRPr="00562F37">
        <w:rPr>
          <w:i/>
          <w:noProof/>
          <w:sz w:val="28"/>
          <w:szCs w:val="28"/>
          <w:lang w:val="lv-LV"/>
        </w:rPr>
        <w:t xml:space="preserve"> </w:t>
      </w:r>
      <w:r w:rsidRPr="00562F37">
        <w:rPr>
          <w:noProof/>
          <w:sz w:val="28"/>
          <w:szCs w:val="28"/>
          <w:lang w:val="lv-LV"/>
        </w:rPr>
        <w:lastRenderedPageBreak/>
        <w:t xml:space="preserve">kopuzņēmuma darbībās ir zemāks, nekā sākotnēji plānots. </w:t>
      </w:r>
      <w:r w:rsidRPr="00D738A4">
        <w:rPr>
          <w:noProof/>
          <w:sz w:val="28"/>
          <w:szCs w:val="28"/>
          <w:lang w:val="lv-LV"/>
        </w:rPr>
        <w:t>Ja nekas netiks darīts, sagaidāms, ka gan nozarei, gan pētniecības aprindām zudīs interese.</w:t>
      </w:r>
    </w:p>
    <w:p w:rsidR="00562F37" w:rsidRPr="00D738A4" w:rsidRDefault="00562F37" w:rsidP="00562F37">
      <w:pPr>
        <w:jc w:val="both"/>
        <w:rPr>
          <w:noProof/>
          <w:sz w:val="28"/>
          <w:szCs w:val="28"/>
          <w:lang w:val="lv-LV"/>
        </w:rPr>
      </w:pPr>
      <w:r w:rsidRPr="00D738A4">
        <w:rPr>
          <w:noProof/>
          <w:sz w:val="28"/>
          <w:szCs w:val="28"/>
          <w:lang w:val="lv-LV"/>
        </w:rPr>
        <w:t xml:space="preserve">Tiek veicināti un vairākos gadījumos ir gaidāmi ieguldījumi projektos no publiskajiem valstu un reģionālajiem avotiem. Patlaban spēkā esošajā regulā tas nav ņemts vērā. Jaunajā dokumentā teikts, ka attiecībā uz ieguldījumu, kas ir vismaz līdzvērtīgs ES finansējumam, jāļauj ņemt vērā ne tikai nozares pašas ieguldījumu, bet arī citu juridisko personu ieguldījumu, kas piedalās darbībās. </w:t>
      </w:r>
    </w:p>
    <w:p w:rsidR="00562F37" w:rsidRPr="00D738A4" w:rsidRDefault="00562F37" w:rsidP="00562F37">
      <w:pPr>
        <w:jc w:val="both"/>
        <w:rPr>
          <w:noProof/>
          <w:sz w:val="28"/>
          <w:szCs w:val="28"/>
          <w:lang w:val="lv-LV"/>
        </w:rPr>
      </w:pPr>
      <w:r w:rsidRPr="00D738A4">
        <w:rPr>
          <w:noProof/>
          <w:sz w:val="28"/>
          <w:szCs w:val="28"/>
          <w:lang w:val="lv-LV"/>
        </w:rPr>
        <w:t>Nozares grupai un Pētniecības grupai ir pienākums iemaksāt skaidras naudas ieguldījumus FCH</w:t>
      </w:r>
      <w:r w:rsidRPr="00D738A4">
        <w:rPr>
          <w:i/>
          <w:noProof/>
          <w:sz w:val="28"/>
          <w:szCs w:val="28"/>
          <w:lang w:val="lv-LV"/>
        </w:rPr>
        <w:t xml:space="preserve"> </w:t>
      </w:r>
      <w:r w:rsidRPr="00D738A4">
        <w:rPr>
          <w:noProof/>
          <w:sz w:val="28"/>
          <w:szCs w:val="28"/>
          <w:lang w:val="lv-LV"/>
        </w:rPr>
        <w:t>kopuzņēmuma budžetā kārtējām izmaksām. EK izdara iemaksas tikai finanšu gada laikā. Lai uzlabotu nepieciešamo paredzamību finansējuma saņēmējiem, tiek ieviesta iespēja uzaicinājumam noteikt minimālo finansējuma līmeni. Priekšlikuma mērķis ir pielāgot noteikumus iepriekš minētajiem nosacījumiem.</w:t>
      </w:r>
    </w:p>
    <w:p w:rsidR="00562F37" w:rsidRPr="00562F37" w:rsidRDefault="00562F37" w:rsidP="00562F37">
      <w:pPr>
        <w:jc w:val="both"/>
        <w:rPr>
          <w:noProof/>
          <w:sz w:val="28"/>
          <w:szCs w:val="28"/>
          <w:lang w:val="lv-LV"/>
        </w:rPr>
      </w:pPr>
      <w:r w:rsidRPr="00562F37">
        <w:rPr>
          <w:noProof/>
          <w:sz w:val="28"/>
          <w:szCs w:val="28"/>
          <w:lang w:val="lv-LV"/>
        </w:rPr>
        <w:t>Kurināmā elementu un ūdeņraža tehnoloģijas ir daudzsološs ilgtermiņa energorisinājums, ko var izmantot visās ekonomikas nozarēs un kas nodrošina plašu ieguvumu klāstu saistībā ar</w:t>
      </w:r>
      <w:r w:rsidRPr="00CE0BE9">
        <w:rPr>
          <w:noProof/>
          <w:lang w:val="lv-LV"/>
        </w:rPr>
        <w:t xml:space="preserve"> </w:t>
      </w:r>
      <w:r w:rsidRPr="00562F37">
        <w:rPr>
          <w:noProof/>
          <w:sz w:val="28"/>
          <w:szCs w:val="28"/>
          <w:lang w:val="lv-LV"/>
        </w:rPr>
        <w:t>energodrošību, transportu, vidi un resursefektivitāti.</w:t>
      </w:r>
      <w:r w:rsidRPr="00562F37">
        <w:rPr>
          <w:b/>
          <w:i/>
          <w:noProof/>
          <w:sz w:val="28"/>
          <w:szCs w:val="28"/>
          <w:lang w:val="lv-LV"/>
        </w:rPr>
        <w:t xml:space="preserve"> </w:t>
      </w:r>
      <w:r w:rsidRPr="00562F37">
        <w:rPr>
          <w:noProof/>
          <w:sz w:val="28"/>
          <w:szCs w:val="28"/>
          <w:lang w:val="lv-LV"/>
        </w:rPr>
        <w:t xml:space="preserve">Sagaidāms, ka tām būs svarīga nozīme, lai nodrošinātu ES pārveidošanu par zemu oglekļa emisiju sabiedrību, lai sasniegtu mērķi līdz 2050. gadam samazināt siltumnīcefekta gāzu emisijas par vairāk nekā 85 %. </w:t>
      </w:r>
    </w:p>
    <w:p w:rsidR="00562F37" w:rsidRPr="00562F37" w:rsidRDefault="00562F37" w:rsidP="00562F37">
      <w:pPr>
        <w:jc w:val="both"/>
        <w:rPr>
          <w:noProof/>
          <w:sz w:val="28"/>
          <w:szCs w:val="28"/>
          <w:lang w:val="lv-LV"/>
        </w:rPr>
      </w:pPr>
      <w:r w:rsidRPr="00562F37">
        <w:rPr>
          <w:noProof/>
          <w:sz w:val="28"/>
          <w:szCs w:val="28"/>
          <w:lang w:val="lv-LV"/>
        </w:rPr>
        <w:t xml:space="preserve">FCH tehnoloģijas nodrošina dažādus izmantošanas veidus: i) stacionāru lietojumu (elektroenerģijas un/vai siltuma ražošana), ii) lietojumu transportā (darbinot transportlīdzekļus, autobusus, vilcienus), un iii) portatīvu lietojumu (darbinot klēpjdatorus, mobilos telefonus). Pēdējo gadu laikā FCH nozare ir ievērojami progresējusi, gan izstrādājot tehnoloģijas visiem minētajiem lietojumiem, gan samazinot izmaksas. </w:t>
      </w:r>
    </w:p>
    <w:p w:rsidR="00562F37" w:rsidRPr="00562F37" w:rsidRDefault="00562F37" w:rsidP="00562F37">
      <w:pPr>
        <w:jc w:val="both"/>
        <w:rPr>
          <w:sz w:val="28"/>
          <w:szCs w:val="28"/>
        </w:rPr>
      </w:pPr>
      <w:r w:rsidRPr="00562F37">
        <w:rPr>
          <w:noProof/>
          <w:sz w:val="28"/>
          <w:szCs w:val="28"/>
          <w:lang w:val="lv-LV"/>
        </w:rPr>
        <w:t xml:space="preserve">ES ieguldījums, kura kopapjoms ir 470 milj. </w:t>
      </w:r>
      <w:r w:rsidRPr="00562F37">
        <w:rPr>
          <w:noProof/>
          <w:sz w:val="28"/>
          <w:szCs w:val="28"/>
        </w:rPr>
        <w:t>EUR, tiks nodrošināts no šādām 7. I</w:t>
      </w:r>
      <w:r>
        <w:rPr>
          <w:noProof/>
          <w:sz w:val="28"/>
          <w:szCs w:val="28"/>
        </w:rPr>
        <w:t>etvarprogrammas</w:t>
      </w:r>
      <w:r w:rsidRPr="00562F37">
        <w:rPr>
          <w:noProof/>
          <w:sz w:val="28"/>
          <w:szCs w:val="28"/>
        </w:rPr>
        <w:t xml:space="preserve"> īpašās programmas „Sadarbība” budžeta pozīcijām: Enerģētika; Nanozinātnes, nanotehnoloģijas, materiāli un jaunas ražošanas tehnoloģijas; Transports (tostarp aeronautika); un Vide (tostarp klimata pārmaiņas) Pētniecības un inovācijas ģenerāldirektorātā, Transports Mobilitātes un transporta ģenerāldirektorātā un Enerģētika Enerģētikas ģenerāldirektorātā.</w:t>
      </w:r>
    </w:p>
    <w:p w:rsidR="0071723E" w:rsidRPr="00562F37" w:rsidRDefault="0071723E" w:rsidP="0071723E">
      <w:pPr>
        <w:ind w:left="34"/>
        <w:jc w:val="both"/>
        <w:rPr>
          <w:b/>
          <w:color w:val="FF0000"/>
          <w:sz w:val="28"/>
          <w:szCs w:val="28"/>
        </w:rPr>
      </w:pPr>
    </w:p>
    <w:p w:rsidR="00562F37" w:rsidRPr="00562F37" w:rsidRDefault="00562F37" w:rsidP="00562F37">
      <w:pPr>
        <w:pStyle w:val="FootnoteText"/>
        <w:tabs>
          <w:tab w:val="left" w:pos="38"/>
        </w:tabs>
        <w:jc w:val="both"/>
        <w:rPr>
          <w:sz w:val="28"/>
          <w:szCs w:val="28"/>
          <w:lang w:val="lv-LV"/>
        </w:rPr>
      </w:pPr>
      <w:r w:rsidRPr="00562F37">
        <w:rPr>
          <w:b/>
          <w:sz w:val="28"/>
          <w:szCs w:val="28"/>
          <w:lang w:val="lv-LV" w:eastAsia="de-DE"/>
        </w:rPr>
        <w:t xml:space="preserve">Latvija kopumā atbalsta </w:t>
      </w:r>
      <w:r w:rsidRPr="00562F37">
        <w:rPr>
          <w:sz w:val="28"/>
          <w:szCs w:val="28"/>
          <w:lang w:val="lv-LV" w:eastAsia="de-DE"/>
        </w:rPr>
        <w:t xml:space="preserve">grozījumus regulā, </w:t>
      </w:r>
      <w:r w:rsidRPr="00562F37">
        <w:rPr>
          <w:sz w:val="28"/>
          <w:szCs w:val="28"/>
          <w:lang w:val="lv-LV"/>
        </w:rPr>
        <w:t>ar kuru groza Regulu (EK) Nr. 521/2008, ar ko izveido kopuzņēmumu "Kurināmā elementi un ūdeņradis".</w:t>
      </w:r>
    </w:p>
    <w:p w:rsidR="00562F37" w:rsidRPr="00562F37" w:rsidRDefault="00562F37" w:rsidP="00562F37">
      <w:pPr>
        <w:pStyle w:val="FootnoteText"/>
        <w:tabs>
          <w:tab w:val="left" w:pos="38"/>
        </w:tabs>
        <w:jc w:val="both"/>
        <w:rPr>
          <w:sz w:val="28"/>
          <w:szCs w:val="28"/>
          <w:lang w:val="lv-LV"/>
        </w:rPr>
      </w:pPr>
      <w:r w:rsidRPr="00562F37">
        <w:rPr>
          <w:b/>
          <w:sz w:val="28"/>
          <w:szCs w:val="28"/>
          <w:lang w:val="lv-LV"/>
        </w:rPr>
        <w:t xml:space="preserve">Latvijai ir svarīgi </w:t>
      </w:r>
      <w:r w:rsidRPr="00562F37">
        <w:rPr>
          <w:sz w:val="28"/>
          <w:szCs w:val="28"/>
          <w:lang w:val="lv-LV"/>
        </w:rPr>
        <w:t>piedalīties projektos un programmās, kuru mērķis ir jaunu tehnoloģiju izstrāde, kas mazinātu Latvijas atkarību no fosilajiem enerģiju resursiem, kā arī sekmētu ūdeņraža un citu atjaunojamo un videi nekaitīgu resursu izmantošanu.</w:t>
      </w:r>
    </w:p>
    <w:p w:rsidR="00562F37" w:rsidRPr="00562F37" w:rsidRDefault="00562F37" w:rsidP="00562F37">
      <w:pPr>
        <w:autoSpaceDE w:val="0"/>
        <w:autoSpaceDN w:val="0"/>
        <w:adjustRightInd w:val="0"/>
        <w:jc w:val="both"/>
        <w:rPr>
          <w:rFonts w:eastAsiaTheme="minorHAnsi"/>
          <w:color w:val="000000"/>
          <w:sz w:val="28"/>
          <w:szCs w:val="28"/>
          <w:lang w:val="lv-LV"/>
        </w:rPr>
      </w:pPr>
      <w:r w:rsidRPr="00562F37">
        <w:rPr>
          <w:rFonts w:eastAsiaTheme="minorHAnsi"/>
          <w:b/>
          <w:color w:val="000000"/>
          <w:sz w:val="28"/>
          <w:szCs w:val="28"/>
          <w:lang w:val="lv-LV"/>
        </w:rPr>
        <w:t>Latvija plāno</w:t>
      </w:r>
      <w:r w:rsidRPr="00562F37">
        <w:rPr>
          <w:rFonts w:eastAsiaTheme="minorHAnsi"/>
          <w:color w:val="000000"/>
          <w:sz w:val="28"/>
          <w:szCs w:val="28"/>
          <w:lang w:val="lv-LV"/>
        </w:rPr>
        <w:t xml:space="preserve"> mainīt novērotāja statusu kopuzņēmumā uz dalībnieka statusu, jo kopš 2008. gada, kad tika izveidots </w:t>
      </w:r>
      <w:r w:rsidRPr="00562F37">
        <w:rPr>
          <w:noProof/>
          <w:sz w:val="28"/>
          <w:szCs w:val="28"/>
          <w:lang w:val="lv-LV"/>
        </w:rPr>
        <w:t>FCH</w:t>
      </w:r>
      <w:r w:rsidRPr="00562F37">
        <w:rPr>
          <w:i/>
          <w:noProof/>
          <w:sz w:val="28"/>
          <w:szCs w:val="28"/>
          <w:lang w:val="lv-LV"/>
        </w:rPr>
        <w:t xml:space="preserve"> </w:t>
      </w:r>
      <w:r w:rsidRPr="00562F37">
        <w:rPr>
          <w:noProof/>
          <w:sz w:val="28"/>
          <w:szCs w:val="28"/>
          <w:lang w:val="lv-LV"/>
        </w:rPr>
        <w:t>kopuzņēmums,</w:t>
      </w:r>
      <w:r w:rsidRPr="00562F37">
        <w:rPr>
          <w:rFonts w:eastAsiaTheme="minorHAnsi"/>
          <w:color w:val="000000"/>
          <w:sz w:val="28"/>
          <w:szCs w:val="28"/>
          <w:lang w:val="lv-LV"/>
        </w:rPr>
        <w:t xml:space="preserve"> E</w:t>
      </w:r>
      <w:r>
        <w:rPr>
          <w:rFonts w:eastAsiaTheme="minorHAnsi"/>
          <w:color w:val="000000"/>
          <w:sz w:val="28"/>
          <w:szCs w:val="28"/>
          <w:lang w:val="lv-LV"/>
        </w:rPr>
        <w:t xml:space="preserve">iropas </w:t>
      </w:r>
      <w:r w:rsidRPr="00562F37">
        <w:rPr>
          <w:rFonts w:eastAsiaTheme="minorHAnsi"/>
          <w:color w:val="000000"/>
          <w:sz w:val="28"/>
          <w:szCs w:val="28"/>
          <w:lang w:val="lv-LV"/>
        </w:rPr>
        <w:t>K</w:t>
      </w:r>
      <w:r>
        <w:rPr>
          <w:rFonts w:eastAsiaTheme="minorHAnsi"/>
          <w:color w:val="000000"/>
          <w:sz w:val="28"/>
          <w:szCs w:val="28"/>
          <w:lang w:val="lv-LV"/>
        </w:rPr>
        <w:t>omisijas</w:t>
      </w:r>
      <w:r w:rsidRPr="00562F37">
        <w:rPr>
          <w:rFonts w:eastAsiaTheme="minorHAnsi"/>
          <w:color w:val="000000"/>
          <w:sz w:val="28"/>
          <w:szCs w:val="28"/>
          <w:lang w:val="lv-LV"/>
        </w:rPr>
        <w:t xml:space="preserve"> finansējums enerģētikas nozarē aiziet tieši </w:t>
      </w:r>
      <w:r w:rsidRPr="00562F37">
        <w:rPr>
          <w:noProof/>
          <w:sz w:val="28"/>
          <w:szCs w:val="28"/>
          <w:lang w:val="lv-LV"/>
        </w:rPr>
        <w:t>FCH</w:t>
      </w:r>
      <w:r w:rsidRPr="00562F37">
        <w:rPr>
          <w:i/>
          <w:noProof/>
          <w:sz w:val="28"/>
          <w:szCs w:val="28"/>
          <w:lang w:val="lv-LV"/>
        </w:rPr>
        <w:t xml:space="preserve"> </w:t>
      </w:r>
      <w:r w:rsidRPr="00562F37">
        <w:rPr>
          <w:noProof/>
          <w:sz w:val="28"/>
          <w:szCs w:val="28"/>
          <w:lang w:val="lv-LV"/>
        </w:rPr>
        <w:t>kopuzņēmumam</w:t>
      </w:r>
      <w:r w:rsidRPr="00562F37">
        <w:rPr>
          <w:rFonts w:eastAsiaTheme="minorHAnsi"/>
          <w:color w:val="000000"/>
          <w:sz w:val="28"/>
          <w:szCs w:val="28"/>
          <w:lang w:val="lv-LV"/>
        </w:rPr>
        <w:t xml:space="preserve">. </w:t>
      </w:r>
    </w:p>
    <w:p w:rsidR="0071723E" w:rsidRDefault="00562F37" w:rsidP="00562F37">
      <w:pPr>
        <w:jc w:val="both"/>
        <w:rPr>
          <w:rFonts w:eastAsiaTheme="minorHAnsi"/>
          <w:color w:val="000000"/>
          <w:sz w:val="28"/>
          <w:szCs w:val="28"/>
          <w:lang w:val="lv-LV"/>
        </w:rPr>
      </w:pPr>
      <w:r w:rsidRPr="00562F37">
        <w:rPr>
          <w:rFonts w:eastAsiaTheme="minorHAnsi"/>
          <w:b/>
          <w:color w:val="000000"/>
          <w:sz w:val="28"/>
          <w:szCs w:val="28"/>
          <w:lang w:val="lv-LV"/>
        </w:rPr>
        <w:t>Latvijai ir svarīgi</w:t>
      </w:r>
      <w:r w:rsidRPr="00562F37">
        <w:rPr>
          <w:rFonts w:eastAsiaTheme="minorHAnsi"/>
          <w:color w:val="000000"/>
          <w:sz w:val="28"/>
          <w:szCs w:val="28"/>
          <w:lang w:val="lv-LV"/>
        </w:rPr>
        <w:t xml:space="preserve"> piedalīties </w:t>
      </w:r>
      <w:r w:rsidRPr="00562F37">
        <w:rPr>
          <w:noProof/>
          <w:sz w:val="28"/>
          <w:szCs w:val="28"/>
          <w:lang w:val="lv-LV"/>
        </w:rPr>
        <w:t>FCH</w:t>
      </w:r>
      <w:r w:rsidRPr="00562F37">
        <w:rPr>
          <w:i/>
          <w:noProof/>
          <w:sz w:val="28"/>
          <w:szCs w:val="28"/>
          <w:lang w:val="lv-LV"/>
        </w:rPr>
        <w:t xml:space="preserve"> </w:t>
      </w:r>
      <w:r w:rsidRPr="00562F37">
        <w:rPr>
          <w:noProof/>
          <w:sz w:val="28"/>
          <w:szCs w:val="28"/>
          <w:lang w:val="lv-LV"/>
        </w:rPr>
        <w:t>kopuzņēmumā</w:t>
      </w:r>
      <w:r w:rsidRPr="00562F37">
        <w:rPr>
          <w:rFonts w:eastAsiaTheme="minorHAnsi"/>
          <w:color w:val="000000"/>
          <w:sz w:val="28"/>
          <w:szCs w:val="28"/>
          <w:lang w:val="lv-LV"/>
        </w:rPr>
        <w:t>, jo pretējā gadījumā Latvija paliek ne vien bez iespējas iegūt papildus finansējumu no E</w:t>
      </w:r>
      <w:r>
        <w:rPr>
          <w:rFonts w:eastAsiaTheme="minorHAnsi"/>
          <w:color w:val="000000"/>
          <w:sz w:val="28"/>
          <w:szCs w:val="28"/>
          <w:lang w:val="lv-LV"/>
        </w:rPr>
        <w:t xml:space="preserve">iropas </w:t>
      </w:r>
      <w:r w:rsidRPr="00562F37">
        <w:rPr>
          <w:rFonts w:eastAsiaTheme="minorHAnsi"/>
          <w:color w:val="000000"/>
          <w:sz w:val="28"/>
          <w:szCs w:val="28"/>
          <w:lang w:val="lv-LV"/>
        </w:rPr>
        <w:t>K</w:t>
      </w:r>
      <w:r>
        <w:rPr>
          <w:rFonts w:eastAsiaTheme="minorHAnsi"/>
          <w:color w:val="000000"/>
          <w:sz w:val="28"/>
          <w:szCs w:val="28"/>
          <w:lang w:val="lv-LV"/>
        </w:rPr>
        <w:t>omisijas</w:t>
      </w:r>
      <w:r w:rsidRPr="00562F37">
        <w:rPr>
          <w:rFonts w:eastAsiaTheme="minorHAnsi"/>
          <w:color w:val="000000"/>
          <w:sz w:val="28"/>
          <w:szCs w:val="28"/>
          <w:lang w:val="lv-LV"/>
        </w:rPr>
        <w:t xml:space="preserve"> (kas faktiski ir I</w:t>
      </w:r>
      <w:r w:rsidR="00540476">
        <w:rPr>
          <w:rFonts w:eastAsiaTheme="minorHAnsi"/>
          <w:color w:val="000000"/>
          <w:sz w:val="28"/>
          <w:szCs w:val="28"/>
          <w:lang w:val="lv-LV"/>
        </w:rPr>
        <w:t>etvarprogrammas</w:t>
      </w:r>
      <w:r w:rsidRPr="00562F37">
        <w:rPr>
          <w:rFonts w:eastAsiaTheme="minorHAnsi"/>
          <w:color w:val="000000"/>
          <w:sz w:val="28"/>
          <w:szCs w:val="28"/>
          <w:lang w:val="lv-LV"/>
        </w:rPr>
        <w:t xml:space="preserve"> finansējums) enerģētikas nozarei, bet arī ar stipri ierobežotām iespējām zinātnisko un tehnoloģisko kontaktu jomā.</w:t>
      </w:r>
    </w:p>
    <w:p w:rsidR="00B70882" w:rsidRDefault="00B70882" w:rsidP="00562F37">
      <w:pPr>
        <w:jc w:val="both"/>
        <w:rPr>
          <w:rFonts w:eastAsiaTheme="minorHAnsi"/>
          <w:color w:val="000000"/>
          <w:sz w:val="28"/>
          <w:szCs w:val="28"/>
          <w:lang w:val="lv-LV"/>
        </w:rPr>
      </w:pPr>
    </w:p>
    <w:p w:rsidR="00F44FE1" w:rsidRDefault="00F44FE1" w:rsidP="00562F37">
      <w:pPr>
        <w:jc w:val="both"/>
        <w:rPr>
          <w:rFonts w:eastAsiaTheme="minorHAnsi"/>
          <w:color w:val="000000"/>
          <w:sz w:val="28"/>
          <w:szCs w:val="28"/>
          <w:lang w:val="lv-LV"/>
        </w:rPr>
      </w:pPr>
    </w:p>
    <w:p w:rsidR="00B70882" w:rsidRPr="00B70882" w:rsidRDefault="00B70882" w:rsidP="00562F37">
      <w:pPr>
        <w:jc w:val="both"/>
        <w:rPr>
          <w:rFonts w:eastAsiaTheme="minorHAnsi"/>
          <w:b/>
          <w:bCs/>
          <w:sz w:val="28"/>
          <w:szCs w:val="28"/>
          <w:lang w:val="lv-LV"/>
        </w:rPr>
      </w:pPr>
      <w:r w:rsidRPr="00B70882">
        <w:rPr>
          <w:rFonts w:eastAsiaTheme="minorHAnsi"/>
          <w:b/>
          <w:color w:val="000000"/>
          <w:sz w:val="28"/>
          <w:szCs w:val="28"/>
          <w:lang w:val="lv-LV"/>
        </w:rPr>
        <w:t xml:space="preserve">3. </w:t>
      </w:r>
      <w:r w:rsidRPr="00B70882">
        <w:rPr>
          <w:b/>
          <w:noProof/>
          <w:sz w:val="28"/>
          <w:szCs w:val="28"/>
          <w:lang w:val="lv-LV"/>
        </w:rPr>
        <w:t>Padomes secinājumi par v</w:t>
      </w:r>
      <w:proofErr w:type="spellStart"/>
      <w:r w:rsidRPr="00B70882">
        <w:rPr>
          <w:rFonts w:eastAsiaTheme="minorHAnsi"/>
          <w:b/>
          <w:bCs/>
          <w:sz w:val="28"/>
          <w:szCs w:val="28"/>
          <w:lang w:val="lv-LV"/>
        </w:rPr>
        <w:t>ienotās</w:t>
      </w:r>
      <w:proofErr w:type="spellEnd"/>
      <w:r w:rsidRPr="00B70882">
        <w:rPr>
          <w:rFonts w:eastAsiaTheme="minorHAnsi"/>
          <w:b/>
          <w:bCs/>
          <w:sz w:val="28"/>
          <w:szCs w:val="28"/>
          <w:lang w:val="lv-LV"/>
        </w:rPr>
        <w:t xml:space="preserve"> plānošanas iniciatīvas „Ilgāks mūžs, labāka dzīve” uzsākšanu</w:t>
      </w:r>
    </w:p>
    <w:p w:rsidR="00B70882" w:rsidRDefault="00B70882" w:rsidP="00562F37">
      <w:pPr>
        <w:jc w:val="both"/>
        <w:rPr>
          <w:rFonts w:eastAsiaTheme="minorHAnsi"/>
          <w:bCs/>
          <w:sz w:val="28"/>
          <w:szCs w:val="28"/>
          <w:lang w:val="lv-LV"/>
        </w:rPr>
      </w:pPr>
    </w:p>
    <w:p w:rsidR="00B70882" w:rsidRPr="00B70882" w:rsidRDefault="00B70882" w:rsidP="00B70882">
      <w:pPr>
        <w:jc w:val="both"/>
        <w:rPr>
          <w:sz w:val="28"/>
          <w:szCs w:val="28"/>
          <w:lang w:val="lv-LV"/>
        </w:rPr>
      </w:pPr>
      <w:r w:rsidRPr="00B70882">
        <w:rPr>
          <w:sz w:val="28"/>
          <w:szCs w:val="28"/>
          <w:lang w:val="lv-LV"/>
        </w:rPr>
        <w:t>2010. gadā Eiropas Komisija rekomendēja uzsākt t.s. „pirmā viļņa” vienotās plānošanas iniciatīvas</w:t>
      </w:r>
      <w:r>
        <w:rPr>
          <w:sz w:val="28"/>
          <w:szCs w:val="28"/>
          <w:lang w:val="lv-LV"/>
        </w:rPr>
        <w:t>.</w:t>
      </w:r>
      <w:r w:rsidRPr="00B70882">
        <w:rPr>
          <w:sz w:val="28"/>
          <w:szCs w:val="28"/>
          <w:lang w:val="lv-LV"/>
        </w:rPr>
        <w:t xml:space="preserve"> Kā vienotās plānošanas iniciatīvu tēmas tika noteiktas klimata pārmaiņas, sabiedrības veselība un demogrāfija u.c. globālie izaicinājumi.  2010. gada novembrī </w:t>
      </w:r>
      <w:r w:rsidRPr="00075BF0">
        <w:rPr>
          <w:sz w:val="28"/>
          <w:szCs w:val="28"/>
          <w:lang w:val="lv-LV"/>
        </w:rPr>
        <w:t>Padome ziņoja</w:t>
      </w:r>
      <w:r w:rsidRPr="00B70882">
        <w:rPr>
          <w:sz w:val="28"/>
          <w:szCs w:val="28"/>
          <w:lang w:val="lv-LV"/>
        </w:rPr>
        <w:t xml:space="preserve"> par progresu vienotās plānošanas attīstībā.</w:t>
      </w:r>
    </w:p>
    <w:p w:rsidR="00B70882" w:rsidRPr="00B70882" w:rsidRDefault="00B70882" w:rsidP="00B70882">
      <w:pPr>
        <w:autoSpaceDE w:val="0"/>
        <w:autoSpaceDN w:val="0"/>
        <w:adjustRightInd w:val="0"/>
        <w:jc w:val="both"/>
        <w:rPr>
          <w:sz w:val="28"/>
          <w:szCs w:val="28"/>
          <w:lang w:val="lv-LV"/>
        </w:rPr>
      </w:pPr>
      <w:r w:rsidRPr="00B70882">
        <w:rPr>
          <w:sz w:val="28"/>
          <w:szCs w:val="28"/>
          <w:lang w:val="lv-LV"/>
        </w:rPr>
        <w:t xml:space="preserve">Stratēģija „Eiropa 2020” </w:t>
      </w:r>
      <w:r>
        <w:rPr>
          <w:sz w:val="28"/>
          <w:szCs w:val="28"/>
          <w:lang w:val="lv-LV"/>
        </w:rPr>
        <w:t xml:space="preserve">ir </w:t>
      </w:r>
      <w:r w:rsidRPr="00B70882">
        <w:rPr>
          <w:sz w:val="28"/>
          <w:szCs w:val="28"/>
          <w:lang w:val="lv-LV"/>
        </w:rPr>
        <w:t>atzinusi demogrāfiskās izmaiņas sabiedrībā par svarīgu izaicinājumu gudrai, ilgstošai un iekļaujošai izaugsmei. Vienotā plānošana zinātnē demogrāfijas un sabiedrības novecošanas jomā ar iniciatīvu „Ilgāks mūžs, labāka dzīve” mazinās esošo sadrumstalotību dalībvalstu pētījumos un mobilizēs zināšanas un resursus šajā nozarē.</w:t>
      </w:r>
    </w:p>
    <w:p w:rsidR="00B70882" w:rsidRPr="00B70882" w:rsidRDefault="00B70882" w:rsidP="00B70882">
      <w:pPr>
        <w:autoSpaceDE w:val="0"/>
        <w:autoSpaceDN w:val="0"/>
        <w:adjustRightInd w:val="0"/>
        <w:jc w:val="both"/>
        <w:rPr>
          <w:sz w:val="28"/>
          <w:szCs w:val="28"/>
          <w:lang w:val="lv-LV"/>
        </w:rPr>
      </w:pPr>
      <w:r w:rsidRPr="00B70882">
        <w:rPr>
          <w:sz w:val="28"/>
          <w:szCs w:val="28"/>
          <w:lang w:val="lv-LV"/>
        </w:rPr>
        <w:t>Eiropiešu vecumā virs 65 gadiem skaitam paredz pieaugumu no 87 miljoniem 2010. gadā līdz 124 miljoniem 2030. gadā, tādējādi pastiprinoties spiedienam uz ekonomiku, sabiedrību un finansējumu. Strādājošo novecošana var ietekmēt arī IKP samazinājumu.</w:t>
      </w:r>
    </w:p>
    <w:p w:rsidR="00B70882" w:rsidRPr="00B70882" w:rsidRDefault="00B70882" w:rsidP="00B70882">
      <w:pPr>
        <w:autoSpaceDE w:val="0"/>
        <w:autoSpaceDN w:val="0"/>
        <w:adjustRightInd w:val="0"/>
        <w:jc w:val="both"/>
        <w:rPr>
          <w:sz w:val="28"/>
          <w:szCs w:val="28"/>
          <w:lang w:val="lv-LV"/>
        </w:rPr>
      </w:pPr>
      <w:r w:rsidRPr="00B70882">
        <w:rPr>
          <w:sz w:val="28"/>
          <w:szCs w:val="28"/>
          <w:lang w:val="lv-LV"/>
        </w:rPr>
        <w:t xml:space="preserve">Vecāku cilvēku aktīvas un veselīgas dzīves paildzināšanai ir individuāli un sabiedriski ieguvumi. Šie cilvēki var lietot jaunākos tehnoloģiskos atklājumus sadzīvē un izmantot </w:t>
      </w:r>
      <w:r w:rsidRPr="00B70882">
        <w:rPr>
          <w:i/>
          <w:sz w:val="28"/>
          <w:szCs w:val="28"/>
          <w:lang w:val="lv-LV"/>
        </w:rPr>
        <w:t>e-veselību</w:t>
      </w:r>
      <w:r w:rsidRPr="00B70882">
        <w:rPr>
          <w:sz w:val="28"/>
          <w:szCs w:val="28"/>
          <w:lang w:val="lv-LV"/>
        </w:rPr>
        <w:t xml:space="preserve">, tādējādi paaugstinot savu dzīves kvalitāti. Aktīva un veselīga novecošana var skaitliski palielināt strādājošo populāciju, kā arī var piedāvāt jaunas darba tirgus iespējas vecākiem cilvēkiem. </w:t>
      </w:r>
    </w:p>
    <w:p w:rsidR="00B70882" w:rsidRPr="00B70882" w:rsidRDefault="00B70882" w:rsidP="00B70882">
      <w:pPr>
        <w:autoSpaceDE w:val="0"/>
        <w:autoSpaceDN w:val="0"/>
        <w:adjustRightInd w:val="0"/>
        <w:jc w:val="both"/>
        <w:rPr>
          <w:sz w:val="28"/>
          <w:szCs w:val="28"/>
          <w:lang w:val="lv-LV"/>
        </w:rPr>
      </w:pPr>
      <w:r w:rsidRPr="00B70882">
        <w:rPr>
          <w:sz w:val="28"/>
          <w:szCs w:val="28"/>
          <w:lang w:val="lv-LV"/>
        </w:rPr>
        <w:t xml:space="preserve">Dalībvalstis tiek aicinātas izstrādāt kopīgu starpdisciplināru vīziju par sadarbību un koordināciju Eiropas līmeņa pētniecībā par demogrāfiskajām pārmaiņām; izstrādāt un kopīgi ieviest Stratēģisko Pētniecības dienaskārtību un iedibināt vidēja- un ilgtermiņa pētniecības vajadzības un mērķus demogrāfisko izmaiņu jomā; kopīgi ieviest un uzturēt efektīgu vienotu vadības struktūru demogrāfisko pārmainu un populācijas novecošanas pētniecības jomā; izveidot ekspertīzi un ievērot brīvprātīgas vadlīnijas par ietvara nosacījumiem </w:t>
      </w:r>
      <w:r w:rsidR="00D174F7" w:rsidRPr="00B70882">
        <w:rPr>
          <w:sz w:val="28"/>
          <w:szCs w:val="28"/>
          <w:lang w:val="lv-LV"/>
        </w:rPr>
        <w:t>Stratēģisk</w:t>
      </w:r>
      <w:r w:rsidR="00D174F7">
        <w:rPr>
          <w:sz w:val="28"/>
          <w:szCs w:val="28"/>
          <w:lang w:val="lv-LV"/>
        </w:rPr>
        <w:t>ās</w:t>
      </w:r>
      <w:r w:rsidR="00D174F7" w:rsidRPr="00B70882">
        <w:rPr>
          <w:sz w:val="28"/>
          <w:szCs w:val="28"/>
          <w:lang w:val="lv-LV"/>
        </w:rPr>
        <w:t xml:space="preserve"> Pētniecības dienaskārtīb</w:t>
      </w:r>
      <w:r w:rsidR="00D174F7">
        <w:rPr>
          <w:sz w:val="28"/>
          <w:szCs w:val="28"/>
          <w:lang w:val="lv-LV"/>
        </w:rPr>
        <w:t>as</w:t>
      </w:r>
      <w:r w:rsidRPr="00B70882">
        <w:rPr>
          <w:sz w:val="28"/>
          <w:szCs w:val="28"/>
          <w:lang w:val="lv-LV"/>
        </w:rPr>
        <w:t xml:space="preserve"> veidošanā un ieviešanā, vienotās plānošanas iniciatīvu koordinēšanā, vispārējas saderības ar citām nozares programmām un iniciatīvām (piemēram, attiecīgiem Ietvarprogrammas projektiem, Konkurētspējas un inovāciju programmas projektiem) nodrošināšanā, kā arī ar citām pētniecības iniciatīvām, piemēram, </w:t>
      </w:r>
      <w:r w:rsidRPr="00B70882">
        <w:rPr>
          <w:rFonts w:eastAsiaTheme="minorHAnsi"/>
          <w:color w:val="000000"/>
          <w:sz w:val="28"/>
          <w:szCs w:val="28"/>
          <w:lang w:val="lv-LV"/>
        </w:rPr>
        <w:t>vienoto programmu integrētai automatizētai dzīves videi</w:t>
      </w:r>
      <w:r w:rsidRPr="00B70882">
        <w:rPr>
          <w:sz w:val="28"/>
          <w:szCs w:val="28"/>
          <w:lang w:val="lv-LV"/>
        </w:rPr>
        <w:t xml:space="preserve">, kopīgām infrastruktūrām. </w:t>
      </w:r>
    </w:p>
    <w:p w:rsidR="00B70882" w:rsidRPr="00B70882" w:rsidRDefault="00B70882" w:rsidP="00B70882">
      <w:pPr>
        <w:ind w:left="567" w:hanging="567"/>
        <w:jc w:val="both"/>
        <w:rPr>
          <w:sz w:val="28"/>
          <w:szCs w:val="28"/>
          <w:lang w:val="lv-LV"/>
        </w:rPr>
      </w:pPr>
      <w:r w:rsidRPr="00B70882">
        <w:rPr>
          <w:sz w:val="28"/>
          <w:szCs w:val="28"/>
          <w:lang w:val="lv-LV"/>
        </w:rPr>
        <w:t>Padome iesaka sekojošus pasākumus kā daļu no īstenošanas plāna:</w:t>
      </w:r>
    </w:p>
    <w:p w:rsidR="00B70882" w:rsidRPr="00B70882" w:rsidRDefault="00B70882" w:rsidP="00B70882">
      <w:pPr>
        <w:ind w:left="284" w:hanging="284"/>
        <w:jc w:val="both"/>
        <w:rPr>
          <w:sz w:val="28"/>
          <w:szCs w:val="28"/>
          <w:lang w:val="lv-LV"/>
        </w:rPr>
      </w:pPr>
      <w:r w:rsidRPr="00B70882">
        <w:rPr>
          <w:sz w:val="28"/>
          <w:szCs w:val="28"/>
          <w:lang w:val="lv-LV"/>
        </w:rPr>
        <w:t xml:space="preserve">a) analizēt situāciju jomā un identificēt un apmainīties ar informāciju par nozīmīgām nacionālajām programmām un pētniecības pasākumiem, un līdzīgiem starptautiskiem pasākumiem;  </w:t>
      </w:r>
    </w:p>
    <w:p w:rsidR="00B70882" w:rsidRPr="00B70882" w:rsidRDefault="00B70882" w:rsidP="00B70882">
      <w:pPr>
        <w:ind w:left="567" w:hanging="567"/>
        <w:jc w:val="both"/>
        <w:rPr>
          <w:sz w:val="28"/>
          <w:szCs w:val="28"/>
          <w:lang w:val="lv-LV"/>
        </w:rPr>
      </w:pPr>
      <w:r w:rsidRPr="00B70882">
        <w:rPr>
          <w:sz w:val="28"/>
          <w:szCs w:val="28"/>
          <w:lang w:val="lv-LV"/>
        </w:rPr>
        <w:t>b) pastiprināt kopīgas plānošanas mācības un tehnoloģiju novērtēšanas iespējas;</w:t>
      </w:r>
    </w:p>
    <w:p w:rsidR="00B70882" w:rsidRPr="00B70882" w:rsidRDefault="00B70882" w:rsidP="00B70882">
      <w:pPr>
        <w:ind w:left="567" w:hanging="567"/>
        <w:jc w:val="both"/>
        <w:rPr>
          <w:sz w:val="28"/>
          <w:szCs w:val="28"/>
          <w:lang w:val="lv-LV"/>
        </w:rPr>
      </w:pPr>
      <w:r w:rsidRPr="00B70882">
        <w:rPr>
          <w:sz w:val="28"/>
          <w:szCs w:val="28"/>
          <w:lang w:val="lv-LV"/>
        </w:rPr>
        <w:t>c) informācijas apmaiņa, resursi, labākās prakses, metodoloģijas un vadlīnijas;</w:t>
      </w:r>
    </w:p>
    <w:p w:rsidR="00B70882" w:rsidRPr="00B70882" w:rsidRDefault="00B70882" w:rsidP="00B70882">
      <w:pPr>
        <w:ind w:left="284" w:hanging="284"/>
        <w:jc w:val="both"/>
        <w:rPr>
          <w:sz w:val="28"/>
          <w:szCs w:val="28"/>
          <w:lang w:val="lv-LV"/>
        </w:rPr>
      </w:pPr>
      <w:r w:rsidRPr="00B70882">
        <w:rPr>
          <w:sz w:val="28"/>
          <w:szCs w:val="28"/>
          <w:lang w:val="lv-LV"/>
        </w:rPr>
        <w:t>d) identificēt pētniecības pasākumu jomas, kuras iegūtu no koordinēšanas, apvienotajiem projektu konkursiem, resursu mobilizācijas;</w:t>
      </w:r>
    </w:p>
    <w:p w:rsidR="00B70882" w:rsidRPr="00B70882" w:rsidRDefault="00B70882" w:rsidP="00B70882">
      <w:pPr>
        <w:ind w:left="284" w:hanging="284"/>
        <w:jc w:val="both"/>
        <w:rPr>
          <w:sz w:val="28"/>
          <w:szCs w:val="28"/>
          <w:lang w:val="lv-LV"/>
        </w:rPr>
      </w:pPr>
      <w:r w:rsidRPr="00B70882">
        <w:rPr>
          <w:sz w:val="28"/>
          <w:szCs w:val="28"/>
          <w:lang w:val="lv-LV"/>
        </w:rPr>
        <w:t>e) definēt kārtību pētniecībai, kas kopīgi jāveic d) punktā nosauktajās jomās un identificēt vispiemērotākos īstenošanas instrumentus;</w:t>
      </w:r>
    </w:p>
    <w:p w:rsidR="00B70882" w:rsidRPr="00B70882" w:rsidRDefault="00B70882" w:rsidP="00B70882">
      <w:pPr>
        <w:ind w:left="284" w:hanging="284"/>
        <w:jc w:val="both"/>
        <w:rPr>
          <w:sz w:val="28"/>
          <w:szCs w:val="28"/>
          <w:lang w:val="lv-LV"/>
        </w:rPr>
      </w:pPr>
      <w:r w:rsidRPr="00B70882">
        <w:rPr>
          <w:sz w:val="28"/>
          <w:szCs w:val="28"/>
          <w:lang w:val="lv-LV"/>
        </w:rPr>
        <w:lastRenderedPageBreak/>
        <w:t>f) kur nepieciešams, dalīties ar pētniecības infrastruktūru un nodrošināt tai piekļuvi vai veidot jaunas iekārtas;</w:t>
      </w:r>
    </w:p>
    <w:p w:rsidR="00B70882" w:rsidRPr="00B70882" w:rsidRDefault="00B70882" w:rsidP="00B70882">
      <w:pPr>
        <w:ind w:left="284" w:hanging="284"/>
        <w:jc w:val="both"/>
        <w:rPr>
          <w:sz w:val="28"/>
          <w:szCs w:val="28"/>
          <w:lang w:val="lv-LV"/>
        </w:rPr>
      </w:pPr>
      <w:r w:rsidRPr="00B70882">
        <w:rPr>
          <w:sz w:val="28"/>
          <w:szCs w:val="28"/>
          <w:lang w:val="lv-LV"/>
        </w:rPr>
        <w:t>g) sekmēt labāku sadarbību starp valsts un privāto sektoru, ar atvērto inovāciju starp dažādiem pētniecības pasākumiem un biznesa sektoriem;</w:t>
      </w:r>
    </w:p>
    <w:p w:rsidR="00B70882" w:rsidRPr="00B70882" w:rsidRDefault="00B70882" w:rsidP="00B70882">
      <w:pPr>
        <w:ind w:left="284" w:hanging="284"/>
        <w:jc w:val="both"/>
        <w:rPr>
          <w:sz w:val="28"/>
          <w:szCs w:val="28"/>
          <w:lang w:val="lv-LV"/>
        </w:rPr>
      </w:pPr>
      <w:r w:rsidRPr="00B70882">
        <w:rPr>
          <w:sz w:val="28"/>
          <w:szCs w:val="28"/>
          <w:lang w:val="lv-LV"/>
        </w:rPr>
        <w:t>h) definējot ar novecošanos saistītu pētniecības programmu mērķus, lemt par vecāku cilvēku mainīgajām vajadzībām, kā arī viņu nepieciešamības pēc plašākiem sociālajiem tīkliem;</w:t>
      </w:r>
    </w:p>
    <w:p w:rsidR="00B70882" w:rsidRPr="00B70882" w:rsidRDefault="00B70882" w:rsidP="00B70882">
      <w:pPr>
        <w:ind w:left="284" w:hanging="284"/>
        <w:jc w:val="both"/>
        <w:rPr>
          <w:sz w:val="28"/>
          <w:szCs w:val="28"/>
          <w:lang w:val="lv-LV"/>
        </w:rPr>
      </w:pPr>
      <w:r w:rsidRPr="00B70882">
        <w:rPr>
          <w:sz w:val="28"/>
          <w:szCs w:val="28"/>
          <w:lang w:val="lv-LV"/>
        </w:rPr>
        <w:t>i) izplatīt zināšanas, inovāciju un starpdisciplināras metodoloģiskas pieejas;</w:t>
      </w:r>
    </w:p>
    <w:p w:rsidR="00B70882" w:rsidRDefault="00B70882" w:rsidP="00B70882">
      <w:pPr>
        <w:ind w:left="284" w:hanging="284"/>
        <w:jc w:val="both"/>
        <w:rPr>
          <w:sz w:val="28"/>
          <w:szCs w:val="28"/>
          <w:lang w:val="lv-LV"/>
        </w:rPr>
      </w:pPr>
      <w:r w:rsidRPr="00B70882">
        <w:rPr>
          <w:sz w:val="28"/>
          <w:szCs w:val="28"/>
          <w:lang w:val="lv-LV"/>
        </w:rPr>
        <w:t>j) radīt tīklus starp centriem, kas veltīti demogrāfiskajām pārmaiņām un populācijas novecošanas izpētei.</w:t>
      </w:r>
    </w:p>
    <w:p w:rsidR="00164DB2" w:rsidRDefault="00164DB2" w:rsidP="00B70882">
      <w:pPr>
        <w:ind w:left="284" w:hanging="284"/>
        <w:jc w:val="both"/>
        <w:rPr>
          <w:sz w:val="28"/>
          <w:szCs w:val="28"/>
          <w:lang w:val="lv-LV"/>
        </w:rPr>
      </w:pPr>
    </w:p>
    <w:p w:rsidR="00164DB2" w:rsidRDefault="00164DB2" w:rsidP="00164DB2">
      <w:pPr>
        <w:jc w:val="both"/>
        <w:rPr>
          <w:sz w:val="28"/>
          <w:szCs w:val="28"/>
          <w:lang w:val="lv-LV"/>
        </w:rPr>
      </w:pPr>
      <w:r w:rsidRPr="00164DB2">
        <w:rPr>
          <w:b/>
          <w:sz w:val="28"/>
          <w:szCs w:val="28"/>
          <w:lang w:val="lv-LV"/>
        </w:rPr>
        <w:t>Latvija kopumā atbalsta</w:t>
      </w:r>
      <w:r w:rsidRPr="00164DB2">
        <w:rPr>
          <w:sz w:val="28"/>
          <w:szCs w:val="28"/>
          <w:lang w:val="lv-LV"/>
        </w:rPr>
        <w:t xml:space="preserve"> Padomes secinājumu „Ilgāks mūžs, labāka dzīve” apstiprināšanu un vienotās plānošanas iniciatīvas „Ilgāks mūžs, labāka dzīve” uzsākšanu.</w:t>
      </w:r>
    </w:p>
    <w:p w:rsidR="00AF2282" w:rsidRPr="004F36FE" w:rsidRDefault="00AF2282" w:rsidP="00AF2282">
      <w:pPr>
        <w:ind w:left="34"/>
        <w:jc w:val="both"/>
        <w:rPr>
          <w:sz w:val="28"/>
          <w:szCs w:val="28"/>
          <w:lang w:val="lv-LV"/>
        </w:rPr>
      </w:pPr>
      <w:r w:rsidRPr="004F36FE">
        <w:rPr>
          <w:b/>
          <w:sz w:val="28"/>
          <w:szCs w:val="28"/>
          <w:lang w:val="lv-LV"/>
        </w:rPr>
        <w:t>Latvija uzskata</w:t>
      </w:r>
      <w:r w:rsidRPr="004F36FE">
        <w:rPr>
          <w:sz w:val="28"/>
          <w:szCs w:val="28"/>
          <w:lang w:val="lv-LV"/>
        </w:rPr>
        <w:t>, ka</w:t>
      </w:r>
      <w:r w:rsidRPr="004F36FE">
        <w:rPr>
          <w:b/>
          <w:sz w:val="28"/>
          <w:szCs w:val="28"/>
          <w:lang w:val="lv-LV"/>
        </w:rPr>
        <w:t xml:space="preserve"> </w:t>
      </w:r>
      <w:r w:rsidRPr="004F36FE">
        <w:rPr>
          <w:sz w:val="28"/>
          <w:szCs w:val="28"/>
          <w:lang w:val="lv-LV"/>
        </w:rPr>
        <w:t>demogrāfiskās izmaiņas sabiedrībā un sabiedrības novecošanās ir izaicinājums, kas ir ļoti aktuāls un prasa tūlītējus risinājumus.</w:t>
      </w:r>
    </w:p>
    <w:p w:rsidR="00AF2282" w:rsidRPr="004F36FE" w:rsidRDefault="00AF2282" w:rsidP="00AF2282">
      <w:pPr>
        <w:ind w:left="34"/>
        <w:jc w:val="both"/>
        <w:rPr>
          <w:sz w:val="28"/>
          <w:szCs w:val="28"/>
          <w:lang w:val="lv-LV"/>
        </w:rPr>
      </w:pPr>
      <w:r w:rsidRPr="004F36FE">
        <w:rPr>
          <w:b/>
          <w:sz w:val="28"/>
          <w:szCs w:val="28"/>
          <w:lang w:val="lv-LV"/>
        </w:rPr>
        <w:t xml:space="preserve">Latvija uzskata, </w:t>
      </w:r>
      <w:r w:rsidRPr="004F36FE">
        <w:rPr>
          <w:sz w:val="28"/>
          <w:szCs w:val="28"/>
          <w:lang w:val="lv-LV"/>
        </w:rPr>
        <w:t>ka ir nepieciešama Eiropas līmeņa koordinācijas un pētniecības rīcība, kā arī pasākumi labklājības un veselības jautājumos demogrāfisko izmaiņu un sabiedrības novecošanās problēmu risināšanā.</w:t>
      </w:r>
    </w:p>
    <w:p w:rsidR="00AF2282" w:rsidRDefault="00AF2282" w:rsidP="00AF2282">
      <w:pPr>
        <w:jc w:val="both"/>
        <w:rPr>
          <w:rFonts w:eastAsiaTheme="minorHAnsi"/>
          <w:color w:val="000000"/>
          <w:sz w:val="28"/>
          <w:szCs w:val="28"/>
          <w:lang w:val="lv-LV"/>
        </w:rPr>
      </w:pPr>
      <w:r w:rsidRPr="004F36FE">
        <w:rPr>
          <w:b/>
          <w:sz w:val="28"/>
          <w:szCs w:val="28"/>
          <w:lang w:val="lv-LV"/>
        </w:rPr>
        <w:t xml:space="preserve">Latvija norāda, ka ir svarīgi </w:t>
      </w:r>
      <w:r w:rsidRPr="004F36FE">
        <w:rPr>
          <w:sz w:val="28"/>
          <w:szCs w:val="28"/>
          <w:lang w:val="lv-LV"/>
        </w:rPr>
        <w:t>izstrādāt kopīgus projektus</w:t>
      </w:r>
      <w:r w:rsidRPr="004F36FE">
        <w:rPr>
          <w:b/>
          <w:sz w:val="28"/>
          <w:szCs w:val="28"/>
          <w:lang w:val="lv-LV"/>
        </w:rPr>
        <w:t xml:space="preserve"> </w:t>
      </w:r>
      <w:r w:rsidRPr="004F36FE">
        <w:rPr>
          <w:rFonts w:eastAsiaTheme="minorHAnsi"/>
          <w:color w:val="000000"/>
          <w:sz w:val="28"/>
          <w:szCs w:val="28"/>
          <w:lang w:val="lv-LV"/>
        </w:rPr>
        <w:t xml:space="preserve">integrētai automatizētai dzīves videi, </w:t>
      </w:r>
      <w:r w:rsidRPr="004F36FE">
        <w:rPr>
          <w:rFonts w:eastAsiaTheme="minorHAnsi"/>
          <w:i/>
          <w:color w:val="000000"/>
          <w:sz w:val="28"/>
          <w:szCs w:val="28"/>
          <w:lang w:val="lv-LV"/>
        </w:rPr>
        <w:t>e-veselības</w:t>
      </w:r>
      <w:r w:rsidRPr="004F36FE">
        <w:rPr>
          <w:rFonts w:eastAsiaTheme="minorHAnsi"/>
          <w:color w:val="000000"/>
          <w:sz w:val="28"/>
          <w:szCs w:val="28"/>
          <w:lang w:val="lv-LV"/>
        </w:rPr>
        <w:t xml:space="preserve"> programmas, vienotas plānošanas pasākumus, kas vērsti uz vecāku cilvēku dzīves kvalitātes celšanu, kā arī pavērtu jaunas darba tirgus iespējas vecākiem cilvēkiem un vienlaikus virzītu jauno tehnoloģiju attīstību.</w:t>
      </w:r>
    </w:p>
    <w:p w:rsidR="00D14B83" w:rsidRDefault="00D14B83" w:rsidP="00AF2282">
      <w:pPr>
        <w:jc w:val="both"/>
        <w:rPr>
          <w:rFonts w:eastAsiaTheme="minorHAnsi"/>
          <w:color w:val="000000"/>
          <w:sz w:val="28"/>
          <w:szCs w:val="28"/>
          <w:lang w:val="lv-LV"/>
        </w:rPr>
      </w:pPr>
    </w:p>
    <w:p w:rsidR="00075BF0" w:rsidRPr="00075BF0" w:rsidRDefault="00075BF0" w:rsidP="00075BF0">
      <w:pPr>
        <w:pStyle w:val="ListParagraph"/>
        <w:ind w:left="0"/>
        <w:rPr>
          <w:b/>
          <w:noProof/>
          <w:sz w:val="28"/>
          <w:szCs w:val="28"/>
        </w:rPr>
      </w:pPr>
      <w:r>
        <w:rPr>
          <w:rFonts w:eastAsiaTheme="minorHAnsi"/>
          <w:b/>
          <w:color w:val="000000"/>
          <w:sz w:val="28"/>
          <w:szCs w:val="28"/>
        </w:rPr>
        <w:t xml:space="preserve">4. </w:t>
      </w:r>
      <w:r w:rsidRPr="00075BF0">
        <w:rPr>
          <w:rFonts w:eastAsiaTheme="minorHAnsi"/>
          <w:b/>
          <w:bCs/>
          <w:sz w:val="28"/>
          <w:szCs w:val="28"/>
        </w:rPr>
        <w:t>Ministru diskusija par Polijas prezidentūras izvirzītajiem jautājumiem par jaunajiem Eiropas instrumentiem.</w:t>
      </w:r>
    </w:p>
    <w:p w:rsidR="004C28D3" w:rsidRDefault="00D14B83" w:rsidP="00AF2282">
      <w:pPr>
        <w:jc w:val="both"/>
        <w:rPr>
          <w:rFonts w:eastAsiaTheme="minorHAnsi"/>
          <w:color w:val="000000"/>
          <w:sz w:val="28"/>
          <w:szCs w:val="28"/>
          <w:lang w:val="lv-LV"/>
        </w:rPr>
      </w:pPr>
      <w:r w:rsidRPr="00075BF0">
        <w:rPr>
          <w:rFonts w:eastAsiaTheme="minorHAnsi"/>
          <w:color w:val="000000"/>
          <w:sz w:val="28"/>
          <w:szCs w:val="28"/>
          <w:lang w:val="lv-LV"/>
        </w:rPr>
        <w:t xml:space="preserve">Polijas Prezidentūra </w:t>
      </w:r>
      <w:r w:rsidR="00075BF0">
        <w:rPr>
          <w:rFonts w:eastAsiaTheme="minorHAnsi"/>
          <w:color w:val="000000"/>
          <w:sz w:val="28"/>
          <w:szCs w:val="28"/>
          <w:lang w:val="lv-LV"/>
        </w:rPr>
        <w:t xml:space="preserve">ir </w:t>
      </w:r>
      <w:r w:rsidRPr="00075BF0">
        <w:rPr>
          <w:rFonts w:eastAsiaTheme="minorHAnsi"/>
          <w:color w:val="000000"/>
          <w:sz w:val="28"/>
          <w:szCs w:val="28"/>
          <w:lang w:val="lv-LV"/>
        </w:rPr>
        <w:t>uzaicin</w:t>
      </w:r>
      <w:r w:rsidR="00075BF0">
        <w:rPr>
          <w:rFonts w:eastAsiaTheme="minorHAnsi"/>
          <w:color w:val="000000"/>
          <w:sz w:val="28"/>
          <w:szCs w:val="28"/>
          <w:lang w:val="lv-LV"/>
        </w:rPr>
        <w:t>ājusi</w:t>
      </w:r>
      <w:r w:rsidRPr="00075BF0">
        <w:rPr>
          <w:rFonts w:eastAsiaTheme="minorHAnsi"/>
          <w:color w:val="000000"/>
          <w:sz w:val="28"/>
          <w:szCs w:val="28"/>
          <w:lang w:val="lv-LV"/>
        </w:rPr>
        <w:t xml:space="preserve"> dalībvalstis izteikt savu viedokli</w:t>
      </w:r>
      <w:r>
        <w:rPr>
          <w:rFonts w:eastAsiaTheme="minorHAnsi"/>
          <w:color w:val="000000"/>
          <w:sz w:val="28"/>
          <w:szCs w:val="28"/>
          <w:lang w:val="lv-LV"/>
        </w:rPr>
        <w:t xml:space="preserve"> </w:t>
      </w:r>
      <w:r w:rsidR="00075BF0">
        <w:rPr>
          <w:rFonts w:eastAsiaTheme="minorHAnsi"/>
          <w:color w:val="000000"/>
          <w:sz w:val="28"/>
          <w:szCs w:val="28"/>
          <w:lang w:val="lv-LV"/>
        </w:rPr>
        <w:t>diskusijā</w:t>
      </w:r>
      <w:r>
        <w:rPr>
          <w:rFonts w:eastAsiaTheme="minorHAnsi"/>
          <w:color w:val="000000"/>
          <w:sz w:val="28"/>
          <w:szCs w:val="28"/>
          <w:lang w:val="lv-LV"/>
        </w:rPr>
        <w:t xml:space="preserve"> par Eiropas inovāciju partnerībām</w:t>
      </w:r>
      <w:r w:rsidR="00BE2860">
        <w:rPr>
          <w:rFonts w:eastAsiaTheme="minorHAnsi"/>
          <w:color w:val="000000"/>
          <w:sz w:val="28"/>
          <w:szCs w:val="28"/>
          <w:lang w:val="lv-LV"/>
        </w:rPr>
        <w:t xml:space="preserve"> (EIP)</w:t>
      </w:r>
      <w:r w:rsidR="007D4BED">
        <w:rPr>
          <w:rFonts w:eastAsiaTheme="minorHAnsi"/>
          <w:color w:val="000000"/>
          <w:sz w:val="28"/>
          <w:szCs w:val="28"/>
          <w:lang w:val="lv-LV"/>
        </w:rPr>
        <w:t xml:space="preserve"> </w:t>
      </w:r>
      <w:r>
        <w:rPr>
          <w:rFonts w:eastAsiaTheme="minorHAnsi"/>
          <w:color w:val="000000"/>
          <w:sz w:val="28"/>
          <w:szCs w:val="28"/>
          <w:lang w:val="lv-LV"/>
        </w:rPr>
        <w:t xml:space="preserve">un vienotās plānošanas iniciatīvām, kas ir ES sekmīgi iesākti un īstenoti instrumenti ne vien pētniecības attīstībai, bet </w:t>
      </w:r>
      <w:r w:rsidR="009E686B">
        <w:rPr>
          <w:rFonts w:eastAsiaTheme="minorHAnsi"/>
          <w:color w:val="000000"/>
          <w:sz w:val="28"/>
          <w:szCs w:val="28"/>
          <w:lang w:val="lv-LV"/>
        </w:rPr>
        <w:t>arī</w:t>
      </w:r>
      <w:r>
        <w:rPr>
          <w:rFonts w:eastAsiaTheme="minorHAnsi"/>
          <w:color w:val="000000"/>
          <w:sz w:val="28"/>
          <w:szCs w:val="28"/>
          <w:lang w:val="lv-LV"/>
        </w:rPr>
        <w:t xml:space="preserve"> dažādu aktuālu globālu jautājumu risināšanai:</w:t>
      </w:r>
    </w:p>
    <w:p w:rsidR="00D14B83" w:rsidRDefault="004C28D3" w:rsidP="004C28D3">
      <w:pPr>
        <w:pStyle w:val="ListParagraph"/>
        <w:numPr>
          <w:ilvl w:val="0"/>
          <w:numId w:val="49"/>
        </w:numPr>
        <w:spacing w:line="240" w:lineRule="auto"/>
        <w:ind w:left="357" w:hanging="357"/>
        <w:jc w:val="both"/>
        <w:rPr>
          <w:rFonts w:eastAsiaTheme="minorHAnsi"/>
          <w:color w:val="000000"/>
          <w:sz w:val="28"/>
          <w:szCs w:val="28"/>
        </w:rPr>
      </w:pPr>
      <w:r>
        <w:rPr>
          <w:rFonts w:eastAsiaTheme="minorHAnsi"/>
          <w:color w:val="000000"/>
          <w:sz w:val="28"/>
          <w:szCs w:val="28"/>
        </w:rPr>
        <w:t xml:space="preserve">Vai pirmā pieredze par </w:t>
      </w:r>
      <w:r w:rsidR="00BE2860">
        <w:rPr>
          <w:rFonts w:eastAsiaTheme="minorHAnsi"/>
          <w:color w:val="000000"/>
          <w:sz w:val="28"/>
          <w:szCs w:val="28"/>
        </w:rPr>
        <w:t xml:space="preserve">EIP </w:t>
      </w:r>
      <w:r>
        <w:rPr>
          <w:rFonts w:eastAsiaTheme="minorHAnsi"/>
          <w:color w:val="000000"/>
          <w:sz w:val="28"/>
          <w:szCs w:val="28"/>
        </w:rPr>
        <w:t xml:space="preserve">„Aktīva un veselīga novecošana” dod pietiekamu pamatu, lai atbalstītu jaunu </w:t>
      </w:r>
      <w:r w:rsidR="00291945">
        <w:rPr>
          <w:rFonts w:eastAsiaTheme="minorHAnsi"/>
          <w:color w:val="000000"/>
          <w:sz w:val="28"/>
          <w:szCs w:val="28"/>
        </w:rPr>
        <w:t>Eiropas inovāciju partnerību</w:t>
      </w:r>
      <w:r>
        <w:rPr>
          <w:rFonts w:eastAsiaTheme="minorHAnsi"/>
          <w:color w:val="000000"/>
          <w:sz w:val="28"/>
          <w:szCs w:val="28"/>
        </w:rPr>
        <w:t xml:space="preserve"> uzsākšanu un kādi būtu apstākļi jaunu EIP turpināšanai? Kā nākotnes </w:t>
      </w:r>
      <w:r w:rsidR="00BE2860">
        <w:rPr>
          <w:rFonts w:eastAsiaTheme="minorHAnsi"/>
          <w:color w:val="000000"/>
          <w:sz w:val="28"/>
          <w:szCs w:val="28"/>
        </w:rPr>
        <w:t>EIP</w:t>
      </w:r>
      <w:r>
        <w:rPr>
          <w:rFonts w:eastAsiaTheme="minorHAnsi"/>
          <w:color w:val="000000"/>
          <w:sz w:val="28"/>
          <w:szCs w:val="28"/>
        </w:rPr>
        <w:t xml:space="preserve"> būtu jāpārvalda un jāattīsta?</w:t>
      </w:r>
    </w:p>
    <w:p w:rsidR="004C28D3" w:rsidRDefault="004C28D3" w:rsidP="004C28D3">
      <w:pPr>
        <w:pStyle w:val="ListParagraph"/>
        <w:numPr>
          <w:ilvl w:val="0"/>
          <w:numId w:val="49"/>
        </w:numPr>
        <w:spacing w:line="240" w:lineRule="auto"/>
        <w:ind w:left="357" w:hanging="357"/>
        <w:jc w:val="both"/>
        <w:rPr>
          <w:rFonts w:eastAsiaTheme="minorHAnsi"/>
          <w:color w:val="000000"/>
          <w:sz w:val="28"/>
          <w:szCs w:val="28"/>
        </w:rPr>
      </w:pPr>
      <w:r>
        <w:rPr>
          <w:rFonts w:eastAsiaTheme="minorHAnsi"/>
          <w:color w:val="000000"/>
          <w:sz w:val="28"/>
          <w:szCs w:val="28"/>
        </w:rPr>
        <w:t>Kā mēs varam nodrošināt visu partneru, ieskaitot privāto sektoru un dalībvalst</w:t>
      </w:r>
      <w:r w:rsidR="005F6235">
        <w:rPr>
          <w:rFonts w:eastAsiaTheme="minorHAnsi"/>
          <w:color w:val="000000"/>
          <w:sz w:val="28"/>
          <w:szCs w:val="28"/>
        </w:rPr>
        <w:t>u</w:t>
      </w:r>
      <w:r w:rsidR="005F6235" w:rsidRPr="005F6235">
        <w:rPr>
          <w:rFonts w:eastAsiaTheme="minorHAnsi"/>
          <w:color w:val="000000"/>
          <w:sz w:val="28"/>
          <w:szCs w:val="28"/>
        </w:rPr>
        <w:t xml:space="preserve"> </w:t>
      </w:r>
      <w:r w:rsidR="005F6235">
        <w:rPr>
          <w:rFonts w:eastAsiaTheme="minorHAnsi"/>
          <w:color w:val="000000"/>
          <w:sz w:val="28"/>
          <w:szCs w:val="28"/>
        </w:rPr>
        <w:t xml:space="preserve">ilgtermiņa saistības ar </w:t>
      </w:r>
      <w:proofErr w:type="spellStart"/>
      <w:r w:rsidR="005F6235">
        <w:rPr>
          <w:rFonts w:eastAsiaTheme="minorHAnsi"/>
          <w:color w:val="000000"/>
          <w:sz w:val="28"/>
          <w:szCs w:val="28"/>
        </w:rPr>
        <w:t>partnerinstrumentiem</w:t>
      </w:r>
      <w:proofErr w:type="spellEnd"/>
      <w:r w:rsidR="005F6235">
        <w:rPr>
          <w:rFonts w:eastAsiaTheme="minorHAnsi"/>
          <w:color w:val="000000"/>
          <w:sz w:val="28"/>
          <w:szCs w:val="28"/>
        </w:rPr>
        <w:t>?</w:t>
      </w:r>
    </w:p>
    <w:p w:rsidR="005F6235" w:rsidRPr="004C28D3" w:rsidRDefault="005C5976" w:rsidP="004C28D3">
      <w:pPr>
        <w:pStyle w:val="ListParagraph"/>
        <w:numPr>
          <w:ilvl w:val="0"/>
          <w:numId w:val="49"/>
        </w:numPr>
        <w:spacing w:line="240" w:lineRule="auto"/>
        <w:ind w:left="357" w:hanging="357"/>
        <w:jc w:val="both"/>
        <w:rPr>
          <w:rFonts w:eastAsiaTheme="minorHAnsi"/>
          <w:color w:val="000000"/>
          <w:sz w:val="28"/>
          <w:szCs w:val="28"/>
        </w:rPr>
      </w:pPr>
      <w:r>
        <w:rPr>
          <w:rFonts w:eastAsiaTheme="minorHAnsi"/>
          <w:color w:val="000000"/>
          <w:sz w:val="28"/>
          <w:szCs w:val="28"/>
        </w:rPr>
        <w:t xml:space="preserve">Kā nacionāla līmeņa instrumenti un ES līmeņa partnerības pieeja, piemēram, vienotās plānošanas iniciatīvas un </w:t>
      </w:r>
      <w:r w:rsidR="00BE2860">
        <w:rPr>
          <w:rFonts w:eastAsiaTheme="minorHAnsi"/>
          <w:color w:val="000000"/>
          <w:sz w:val="28"/>
          <w:szCs w:val="28"/>
        </w:rPr>
        <w:t xml:space="preserve">EIP </w:t>
      </w:r>
      <w:r>
        <w:rPr>
          <w:rFonts w:eastAsiaTheme="minorHAnsi"/>
          <w:color w:val="000000"/>
          <w:sz w:val="28"/>
          <w:szCs w:val="28"/>
        </w:rPr>
        <w:t>var kop</w:t>
      </w:r>
      <w:r w:rsidR="00BE2860">
        <w:rPr>
          <w:rFonts w:eastAsiaTheme="minorHAnsi"/>
          <w:color w:val="000000"/>
          <w:sz w:val="28"/>
          <w:szCs w:val="28"/>
        </w:rPr>
        <w:t>īgi</w:t>
      </w:r>
      <w:r>
        <w:rPr>
          <w:rFonts w:eastAsiaTheme="minorHAnsi"/>
          <w:color w:val="000000"/>
          <w:sz w:val="28"/>
          <w:szCs w:val="28"/>
        </w:rPr>
        <w:t xml:space="preserve"> efektīvi sadarboties, lai sasniegtu konkrētus rezultātus?</w:t>
      </w:r>
    </w:p>
    <w:p w:rsidR="00D14B83" w:rsidRDefault="00D14B83" w:rsidP="00AF2282">
      <w:pPr>
        <w:jc w:val="both"/>
        <w:rPr>
          <w:rFonts w:eastAsiaTheme="minorHAnsi"/>
          <w:color w:val="000000"/>
          <w:sz w:val="28"/>
          <w:szCs w:val="28"/>
          <w:lang w:val="lv-LV"/>
        </w:rPr>
      </w:pPr>
    </w:p>
    <w:p w:rsidR="00F3604E" w:rsidRDefault="00F3604E" w:rsidP="00AF2282">
      <w:pPr>
        <w:jc w:val="both"/>
        <w:rPr>
          <w:rFonts w:eastAsiaTheme="minorHAnsi"/>
          <w:color w:val="000000"/>
          <w:sz w:val="28"/>
          <w:szCs w:val="28"/>
          <w:lang w:val="lv-LV"/>
        </w:rPr>
      </w:pPr>
      <w:r>
        <w:rPr>
          <w:rFonts w:eastAsiaTheme="minorHAnsi"/>
          <w:color w:val="000000"/>
          <w:sz w:val="28"/>
          <w:szCs w:val="28"/>
          <w:lang w:val="lv-LV"/>
        </w:rPr>
        <w:t>Tā kā Latvija nepiedalās EIP „Aktīva un veselīga novecošana”, Latvija paredz izteikties par visu jautājumu bloku kopumā.</w:t>
      </w:r>
    </w:p>
    <w:p w:rsidR="00F3604E" w:rsidRDefault="00F3604E" w:rsidP="00AF2282">
      <w:pPr>
        <w:jc w:val="both"/>
        <w:rPr>
          <w:rFonts w:eastAsiaTheme="minorHAnsi"/>
          <w:color w:val="000000"/>
          <w:sz w:val="28"/>
          <w:szCs w:val="28"/>
          <w:lang w:val="lv-LV"/>
        </w:rPr>
      </w:pPr>
    </w:p>
    <w:p w:rsidR="00F3604E" w:rsidRDefault="00F3604E" w:rsidP="00AF2282">
      <w:pPr>
        <w:jc w:val="both"/>
        <w:rPr>
          <w:rFonts w:eastAsiaTheme="minorHAnsi"/>
          <w:color w:val="000000"/>
          <w:sz w:val="28"/>
          <w:szCs w:val="28"/>
          <w:lang w:val="lv-LV"/>
        </w:rPr>
      </w:pPr>
    </w:p>
    <w:p w:rsidR="00F3604E" w:rsidRDefault="00F3604E" w:rsidP="00AF2282">
      <w:pPr>
        <w:jc w:val="both"/>
        <w:rPr>
          <w:rFonts w:eastAsiaTheme="minorHAnsi"/>
          <w:color w:val="000000"/>
          <w:sz w:val="28"/>
          <w:szCs w:val="28"/>
          <w:lang w:val="lv-LV"/>
        </w:rPr>
      </w:pPr>
    </w:p>
    <w:p w:rsidR="00F3604E" w:rsidRPr="00F3604E" w:rsidRDefault="00F3604E" w:rsidP="00F3604E">
      <w:pPr>
        <w:autoSpaceDE w:val="0"/>
        <w:autoSpaceDN w:val="0"/>
        <w:adjustRightInd w:val="0"/>
        <w:jc w:val="both"/>
        <w:rPr>
          <w:rFonts w:eastAsia="Calibri"/>
          <w:sz w:val="28"/>
          <w:szCs w:val="28"/>
          <w:lang w:val="lv-LV"/>
        </w:rPr>
      </w:pPr>
      <w:r w:rsidRPr="009E686B">
        <w:rPr>
          <w:rFonts w:eastAsia="Calibri"/>
          <w:b/>
          <w:sz w:val="28"/>
          <w:szCs w:val="28"/>
          <w:lang w:val="lv-LV"/>
        </w:rPr>
        <w:t>Latvija uzskata</w:t>
      </w:r>
      <w:r w:rsidRPr="00F3604E">
        <w:rPr>
          <w:rFonts w:eastAsia="Calibri"/>
          <w:sz w:val="28"/>
          <w:szCs w:val="28"/>
          <w:lang w:val="lv-LV"/>
        </w:rPr>
        <w:t xml:space="preserve">, ka par jaunu </w:t>
      </w:r>
      <w:r w:rsidR="00BE2860">
        <w:rPr>
          <w:rFonts w:eastAsiaTheme="minorHAnsi"/>
          <w:color w:val="000000"/>
          <w:sz w:val="28"/>
          <w:szCs w:val="28"/>
          <w:lang w:val="lv-LV"/>
        </w:rPr>
        <w:t>Eiropas inovāciju partnerību</w:t>
      </w:r>
      <w:r w:rsidRPr="00F3604E">
        <w:rPr>
          <w:rFonts w:eastAsia="Calibri"/>
          <w:sz w:val="28"/>
          <w:szCs w:val="28"/>
          <w:lang w:val="lv-LV"/>
        </w:rPr>
        <w:t xml:space="preserve"> uzsākšanu un atbalsta izteikšanu to īstenošanai jaunās tematiskajās jomās, t.sk. šo </w:t>
      </w:r>
      <w:r w:rsidR="00BE2860">
        <w:rPr>
          <w:rFonts w:eastAsiaTheme="minorHAnsi"/>
          <w:color w:val="000000"/>
          <w:sz w:val="28"/>
          <w:szCs w:val="28"/>
          <w:lang w:val="lv-LV"/>
        </w:rPr>
        <w:t>Eiropas inovāciju partnerību</w:t>
      </w:r>
      <w:r w:rsidRPr="00F3604E">
        <w:rPr>
          <w:rFonts w:eastAsia="Calibri"/>
          <w:sz w:val="28"/>
          <w:szCs w:val="28"/>
          <w:lang w:val="lv-LV"/>
        </w:rPr>
        <w:t xml:space="preserve"> efektivitāti, lietderīgumu utt. varētu runāt tikai tad, kad būs novērtēts „Aktīva un veselīga novecošana” pilotprojekts. </w:t>
      </w:r>
    </w:p>
    <w:p w:rsidR="00800FE4" w:rsidRDefault="00F3604E" w:rsidP="00F3604E">
      <w:pPr>
        <w:autoSpaceDE w:val="0"/>
        <w:autoSpaceDN w:val="0"/>
        <w:adjustRightInd w:val="0"/>
        <w:jc w:val="both"/>
        <w:rPr>
          <w:rFonts w:eastAsia="Calibri"/>
          <w:sz w:val="28"/>
          <w:szCs w:val="28"/>
          <w:lang w:val="lv-LV"/>
        </w:rPr>
      </w:pPr>
      <w:r w:rsidRPr="009E686B">
        <w:rPr>
          <w:rFonts w:eastAsia="Calibri"/>
          <w:b/>
          <w:sz w:val="28"/>
          <w:szCs w:val="28"/>
          <w:lang w:val="lv-LV"/>
        </w:rPr>
        <w:t>Kopumā Latvija uzskata</w:t>
      </w:r>
      <w:r w:rsidR="009E686B">
        <w:rPr>
          <w:rFonts w:eastAsia="Calibri"/>
          <w:sz w:val="28"/>
          <w:szCs w:val="28"/>
          <w:lang w:val="lv-LV"/>
        </w:rPr>
        <w:t xml:space="preserve">, ka </w:t>
      </w:r>
      <w:r w:rsidR="00BE2860">
        <w:rPr>
          <w:rFonts w:eastAsiaTheme="minorHAnsi"/>
          <w:color w:val="000000"/>
          <w:sz w:val="28"/>
          <w:szCs w:val="28"/>
          <w:lang w:val="lv-LV"/>
        </w:rPr>
        <w:t>Eiropas inovāciju partnerības</w:t>
      </w:r>
      <w:r>
        <w:rPr>
          <w:rFonts w:eastAsia="Calibri"/>
          <w:sz w:val="28"/>
          <w:szCs w:val="28"/>
          <w:lang w:val="lv-LV"/>
        </w:rPr>
        <w:t xml:space="preserve"> ir </w:t>
      </w:r>
      <w:r w:rsidR="009E686B">
        <w:rPr>
          <w:rFonts w:eastAsia="Calibri"/>
          <w:sz w:val="28"/>
          <w:szCs w:val="28"/>
          <w:lang w:val="lv-LV"/>
        </w:rPr>
        <w:t xml:space="preserve">daudzsološs </w:t>
      </w:r>
      <w:r>
        <w:rPr>
          <w:rFonts w:eastAsia="Calibri"/>
          <w:sz w:val="28"/>
          <w:szCs w:val="28"/>
          <w:lang w:val="lv-LV"/>
        </w:rPr>
        <w:t>Eiropas līmeņa instruments</w:t>
      </w:r>
      <w:r w:rsidRPr="00F3604E">
        <w:rPr>
          <w:rFonts w:eastAsia="Calibri"/>
          <w:sz w:val="28"/>
          <w:szCs w:val="28"/>
          <w:lang w:val="lv-LV"/>
        </w:rPr>
        <w:t>, ka</w:t>
      </w:r>
      <w:r>
        <w:rPr>
          <w:rFonts w:eastAsia="Calibri"/>
          <w:sz w:val="28"/>
          <w:szCs w:val="28"/>
          <w:lang w:val="lv-LV"/>
        </w:rPr>
        <w:t>s</w:t>
      </w:r>
      <w:r w:rsidRPr="00F3604E">
        <w:rPr>
          <w:rFonts w:eastAsia="Calibri"/>
          <w:sz w:val="28"/>
          <w:szCs w:val="28"/>
          <w:lang w:val="lv-LV"/>
        </w:rPr>
        <w:t xml:space="preserve"> </w:t>
      </w:r>
      <w:r>
        <w:rPr>
          <w:rFonts w:eastAsia="Calibri"/>
          <w:sz w:val="28"/>
          <w:szCs w:val="28"/>
          <w:lang w:val="lv-LV"/>
        </w:rPr>
        <w:t>spēs koordinēt pasākumus aktuālu globālu problēmjautājumu risināšanai</w:t>
      </w:r>
      <w:r w:rsidR="00800FE4">
        <w:rPr>
          <w:rFonts w:eastAsia="Calibri"/>
          <w:sz w:val="28"/>
          <w:szCs w:val="28"/>
          <w:lang w:val="lv-LV"/>
        </w:rPr>
        <w:t xml:space="preserve">. </w:t>
      </w:r>
    </w:p>
    <w:p w:rsidR="00F3604E" w:rsidRPr="00240D6F" w:rsidRDefault="00800FE4" w:rsidP="00D738A4">
      <w:pPr>
        <w:autoSpaceDE w:val="0"/>
        <w:autoSpaceDN w:val="0"/>
        <w:adjustRightInd w:val="0"/>
        <w:jc w:val="both"/>
        <w:rPr>
          <w:rFonts w:eastAsia="Calibri"/>
          <w:sz w:val="28"/>
          <w:szCs w:val="28"/>
          <w:lang w:val="lv-LV"/>
        </w:rPr>
      </w:pPr>
      <w:r w:rsidRPr="00800FE4">
        <w:rPr>
          <w:rFonts w:eastAsia="Calibri"/>
          <w:b/>
          <w:sz w:val="28"/>
          <w:szCs w:val="28"/>
          <w:lang w:val="lv-LV"/>
        </w:rPr>
        <w:t xml:space="preserve">Latvija </w:t>
      </w:r>
      <w:r>
        <w:rPr>
          <w:rFonts w:eastAsia="Calibri"/>
          <w:b/>
          <w:sz w:val="28"/>
          <w:szCs w:val="28"/>
          <w:lang w:val="lv-LV"/>
        </w:rPr>
        <w:t xml:space="preserve">kopumā </w:t>
      </w:r>
      <w:r w:rsidRPr="00800FE4">
        <w:rPr>
          <w:rFonts w:eastAsia="Calibri"/>
          <w:b/>
          <w:sz w:val="28"/>
          <w:szCs w:val="28"/>
          <w:lang w:val="lv-LV"/>
        </w:rPr>
        <w:t>atbalsta</w:t>
      </w:r>
      <w:r>
        <w:rPr>
          <w:rFonts w:eastAsia="Calibri"/>
          <w:sz w:val="28"/>
          <w:szCs w:val="28"/>
          <w:lang w:val="lv-LV"/>
        </w:rPr>
        <w:t xml:space="preserve"> </w:t>
      </w:r>
      <w:r w:rsidR="00BE2860">
        <w:rPr>
          <w:rFonts w:eastAsiaTheme="minorHAnsi"/>
          <w:color w:val="000000"/>
          <w:sz w:val="28"/>
          <w:szCs w:val="28"/>
          <w:lang w:val="lv-LV"/>
        </w:rPr>
        <w:t>Eiropas inovāciju partnerību</w:t>
      </w:r>
      <w:r>
        <w:rPr>
          <w:rFonts w:eastAsia="Calibri"/>
          <w:sz w:val="28"/>
          <w:szCs w:val="28"/>
          <w:lang w:val="lv-LV"/>
        </w:rPr>
        <w:t xml:space="preserve"> uzsākšanu un īstenošanu</w:t>
      </w:r>
      <w:r w:rsidR="00D738A4">
        <w:rPr>
          <w:rFonts w:eastAsia="Calibri"/>
          <w:sz w:val="28"/>
          <w:szCs w:val="28"/>
          <w:lang w:val="lv-LV"/>
        </w:rPr>
        <w:t xml:space="preserve">, </w:t>
      </w:r>
      <w:r w:rsidR="0092725F" w:rsidRPr="0092725F">
        <w:rPr>
          <w:rFonts w:eastAsia="Calibri"/>
          <w:sz w:val="28"/>
          <w:szCs w:val="28"/>
          <w:lang w:val="lv-LV"/>
        </w:rPr>
        <w:t xml:space="preserve">un vienlaikus </w:t>
      </w:r>
      <w:r w:rsidR="0092725F" w:rsidRPr="0092725F">
        <w:rPr>
          <w:rFonts w:eastAsia="Calibri"/>
          <w:sz w:val="28"/>
          <w:szCs w:val="28"/>
          <w:lang w:val="lv-LV"/>
        </w:rPr>
        <w:t>norāda</w:t>
      </w:r>
      <w:r w:rsidR="00F3604E">
        <w:rPr>
          <w:rFonts w:eastAsia="Calibri"/>
          <w:sz w:val="28"/>
          <w:szCs w:val="28"/>
          <w:lang w:val="lv-LV"/>
        </w:rPr>
        <w:t xml:space="preserve">, ka </w:t>
      </w:r>
      <w:r w:rsidR="00BE2860">
        <w:rPr>
          <w:rFonts w:eastAsiaTheme="minorHAnsi"/>
          <w:color w:val="000000"/>
          <w:sz w:val="28"/>
          <w:szCs w:val="28"/>
          <w:lang w:val="lv-LV"/>
        </w:rPr>
        <w:t>Eiropas inovāciju partnerība</w:t>
      </w:r>
      <w:r w:rsidR="00F3604E">
        <w:rPr>
          <w:rFonts w:eastAsia="Calibri"/>
          <w:sz w:val="28"/>
          <w:szCs w:val="28"/>
          <w:lang w:val="lv-LV"/>
        </w:rPr>
        <w:t xml:space="preserve"> „Aktīva un veselīga novecošanās” tēma pārklājas ar vienotās plānošanas iniciatīvu </w:t>
      </w:r>
      <w:r w:rsidR="00240D6F" w:rsidRPr="00240D6F">
        <w:rPr>
          <w:sz w:val="28"/>
          <w:szCs w:val="28"/>
          <w:lang w:val="lv-LV"/>
        </w:rPr>
        <w:t>„Ilgāks mūžs, labāka dzīve”</w:t>
      </w:r>
      <w:r w:rsidR="00240D6F">
        <w:rPr>
          <w:sz w:val="28"/>
          <w:szCs w:val="28"/>
          <w:lang w:val="lv-LV"/>
        </w:rPr>
        <w:t xml:space="preserve">, </w:t>
      </w:r>
      <w:r w:rsidR="00240D6F" w:rsidRPr="00240D6F">
        <w:rPr>
          <w:rFonts w:eastAsiaTheme="minorHAnsi"/>
          <w:color w:val="000000"/>
          <w:sz w:val="28"/>
          <w:szCs w:val="28"/>
          <w:lang w:val="lv-LV"/>
        </w:rPr>
        <w:t>vienot</w:t>
      </w:r>
      <w:r w:rsidR="00240D6F">
        <w:rPr>
          <w:rFonts w:eastAsiaTheme="minorHAnsi"/>
          <w:color w:val="000000"/>
          <w:sz w:val="28"/>
          <w:szCs w:val="28"/>
          <w:lang w:val="lv-LV"/>
        </w:rPr>
        <w:t>o</w:t>
      </w:r>
      <w:r w:rsidR="00240D6F" w:rsidRPr="00240D6F">
        <w:rPr>
          <w:rFonts w:eastAsiaTheme="minorHAnsi"/>
          <w:color w:val="000000"/>
          <w:sz w:val="28"/>
          <w:szCs w:val="28"/>
          <w:lang w:val="lv-LV"/>
        </w:rPr>
        <w:t xml:space="preserve"> programm</w:t>
      </w:r>
      <w:r w:rsidR="00240D6F">
        <w:rPr>
          <w:rFonts w:eastAsiaTheme="minorHAnsi"/>
          <w:color w:val="000000"/>
          <w:sz w:val="28"/>
          <w:szCs w:val="28"/>
          <w:lang w:val="lv-LV"/>
        </w:rPr>
        <w:t>u</w:t>
      </w:r>
      <w:r w:rsidR="00240D6F" w:rsidRPr="00240D6F">
        <w:rPr>
          <w:rFonts w:eastAsiaTheme="minorHAnsi"/>
          <w:color w:val="000000"/>
          <w:sz w:val="28"/>
          <w:szCs w:val="28"/>
          <w:lang w:val="lv-LV"/>
        </w:rPr>
        <w:t xml:space="preserve"> integrētai automatizētai dzīves videi  (</w:t>
      </w:r>
      <w:proofErr w:type="spellStart"/>
      <w:r w:rsidR="00240D6F" w:rsidRPr="00240D6F">
        <w:rPr>
          <w:i/>
          <w:sz w:val="28"/>
          <w:szCs w:val="28"/>
          <w:lang w:val="lv-LV"/>
        </w:rPr>
        <w:t>Ambient</w:t>
      </w:r>
      <w:proofErr w:type="spellEnd"/>
      <w:r w:rsidR="00240D6F" w:rsidRPr="00240D6F">
        <w:rPr>
          <w:i/>
          <w:sz w:val="28"/>
          <w:szCs w:val="28"/>
          <w:lang w:val="lv-LV"/>
        </w:rPr>
        <w:t xml:space="preserve"> </w:t>
      </w:r>
      <w:proofErr w:type="spellStart"/>
      <w:r w:rsidR="00240D6F" w:rsidRPr="00240D6F">
        <w:rPr>
          <w:i/>
          <w:sz w:val="28"/>
          <w:szCs w:val="28"/>
          <w:lang w:val="lv-LV"/>
        </w:rPr>
        <w:t>Assisted</w:t>
      </w:r>
      <w:proofErr w:type="spellEnd"/>
      <w:r w:rsidR="00240D6F" w:rsidRPr="00240D6F">
        <w:rPr>
          <w:i/>
          <w:sz w:val="28"/>
          <w:szCs w:val="28"/>
          <w:lang w:val="lv-LV"/>
        </w:rPr>
        <w:t xml:space="preserve"> </w:t>
      </w:r>
      <w:proofErr w:type="spellStart"/>
      <w:r w:rsidR="00240D6F" w:rsidRPr="00240D6F">
        <w:rPr>
          <w:i/>
          <w:sz w:val="28"/>
          <w:szCs w:val="28"/>
          <w:lang w:val="lv-LV"/>
        </w:rPr>
        <w:t>Living</w:t>
      </w:r>
      <w:proofErr w:type="spellEnd"/>
      <w:r w:rsidR="00240D6F" w:rsidRPr="00240D6F">
        <w:rPr>
          <w:i/>
          <w:sz w:val="28"/>
          <w:szCs w:val="28"/>
          <w:lang w:val="lv-LV"/>
        </w:rPr>
        <w:t xml:space="preserve"> </w:t>
      </w:r>
      <w:proofErr w:type="spellStart"/>
      <w:r w:rsidR="00240D6F" w:rsidRPr="00240D6F">
        <w:rPr>
          <w:i/>
          <w:sz w:val="28"/>
          <w:szCs w:val="28"/>
          <w:lang w:val="lv-LV"/>
        </w:rPr>
        <w:t>Joint</w:t>
      </w:r>
      <w:proofErr w:type="spellEnd"/>
      <w:r w:rsidR="00240D6F" w:rsidRPr="00240D6F">
        <w:rPr>
          <w:i/>
          <w:sz w:val="28"/>
          <w:szCs w:val="28"/>
          <w:lang w:val="lv-LV"/>
        </w:rPr>
        <w:t xml:space="preserve"> </w:t>
      </w:r>
      <w:proofErr w:type="spellStart"/>
      <w:r w:rsidR="00240D6F" w:rsidRPr="00240D6F">
        <w:rPr>
          <w:i/>
          <w:sz w:val="28"/>
          <w:szCs w:val="28"/>
          <w:lang w:val="lv-LV"/>
        </w:rPr>
        <w:t>Programme</w:t>
      </w:r>
      <w:proofErr w:type="spellEnd"/>
      <w:r w:rsidR="00240D6F" w:rsidRPr="00240D6F">
        <w:rPr>
          <w:rFonts w:eastAsiaTheme="minorHAnsi"/>
          <w:color w:val="000000"/>
          <w:sz w:val="28"/>
          <w:szCs w:val="28"/>
          <w:lang w:val="lv-LV"/>
        </w:rPr>
        <w:t>)</w:t>
      </w:r>
      <w:r w:rsidR="00240D6F">
        <w:rPr>
          <w:rFonts w:eastAsiaTheme="minorHAnsi"/>
          <w:color w:val="000000"/>
          <w:sz w:val="28"/>
          <w:szCs w:val="28"/>
          <w:lang w:val="lv-LV"/>
        </w:rPr>
        <w:t>, Eiropas tehnoloģiju platformām</w:t>
      </w:r>
      <w:r w:rsidR="00075BF0">
        <w:rPr>
          <w:rFonts w:eastAsiaTheme="minorHAnsi"/>
          <w:color w:val="000000"/>
          <w:sz w:val="28"/>
          <w:szCs w:val="28"/>
          <w:lang w:val="lv-LV"/>
        </w:rPr>
        <w:t xml:space="preserve"> </w:t>
      </w:r>
      <w:r w:rsidR="00240D6F">
        <w:rPr>
          <w:rFonts w:eastAsia="Calibri"/>
          <w:sz w:val="28"/>
          <w:szCs w:val="28"/>
          <w:lang w:val="lv-LV"/>
        </w:rPr>
        <w:t xml:space="preserve">u.c. </w:t>
      </w:r>
      <w:r w:rsidR="009E686B">
        <w:rPr>
          <w:rFonts w:eastAsia="Calibri"/>
          <w:sz w:val="28"/>
          <w:szCs w:val="28"/>
          <w:lang w:val="lv-LV"/>
        </w:rPr>
        <w:t xml:space="preserve">Tāpēc būtu jāizvērtē </w:t>
      </w:r>
      <w:r w:rsidR="00BE2860">
        <w:rPr>
          <w:rFonts w:eastAsiaTheme="minorHAnsi"/>
          <w:color w:val="000000"/>
          <w:sz w:val="28"/>
          <w:szCs w:val="28"/>
          <w:lang w:val="lv-LV"/>
        </w:rPr>
        <w:t>Eiropas inovāciju partnerību</w:t>
      </w:r>
      <w:r w:rsidR="009E686B">
        <w:rPr>
          <w:rFonts w:eastAsia="Calibri"/>
          <w:sz w:val="28"/>
          <w:szCs w:val="28"/>
          <w:lang w:val="lv-LV"/>
        </w:rPr>
        <w:t xml:space="preserve"> un citu instrumentu tēmas, lai tās nepārklātos un nedublētos.</w:t>
      </w:r>
    </w:p>
    <w:p w:rsidR="009E686B" w:rsidRDefault="00240D6F" w:rsidP="00F3604E">
      <w:pPr>
        <w:autoSpaceDE w:val="0"/>
        <w:autoSpaceDN w:val="0"/>
        <w:adjustRightInd w:val="0"/>
        <w:jc w:val="both"/>
        <w:rPr>
          <w:sz w:val="28"/>
          <w:szCs w:val="28"/>
          <w:lang w:val="lv-LV"/>
        </w:rPr>
      </w:pPr>
      <w:r w:rsidRPr="009E686B">
        <w:rPr>
          <w:b/>
          <w:sz w:val="28"/>
          <w:szCs w:val="28"/>
          <w:lang w:val="lv-LV"/>
        </w:rPr>
        <w:t>Latvija vēlētos iesaistīties</w:t>
      </w:r>
      <w:r w:rsidRPr="00240D6F">
        <w:rPr>
          <w:sz w:val="28"/>
          <w:szCs w:val="28"/>
          <w:lang w:val="lv-LV"/>
        </w:rPr>
        <w:t xml:space="preserve"> </w:t>
      </w:r>
      <w:r w:rsidR="00BE2860">
        <w:rPr>
          <w:rFonts w:eastAsiaTheme="minorHAnsi"/>
          <w:color w:val="000000"/>
          <w:sz w:val="28"/>
          <w:szCs w:val="28"/>
          <w:lang w:val="lv-LV"/>
        </w:rPr>
        <w:t>Eiropas inovāciju partnerībās</w:t>
      </w:r>
      <w:r>
        <w:rPr>
          <w:sz w:val="28"/>
          <w:szCs w:val="28"/>
          <w:lang w:val="lv-LV"/>
        </w:rPr>
        <w:t xml:space="preserve"> un v</w:t>
      </w:r>
      <w:r w:rsidRPr="00240D6F">
        <w:rPr>
          <w:sz w:val="28"/>
          <w:szCs w:val="28"/>
          <w:lang w:val="lv-LV"/>
        </w:rPr>
        <w:t xml:space="preserve">ienotās </w:t>
      </w:r>
      <w:r>
        <w:rPr>
          <w:sz w:val="28"/>
          <w:szCs w:val="28"/>
          <w:lang w:val="lv-LV"/>
        </w:rPr>
        <w:t>p</w:t>
      </w:r>
      <w:r w:rsidRPr="00240D6F">
        <w:rPr>
          <w:sz w:val="28"/>
          <w:szCs w:val="28"/>
          <w:lang w:val="lv-LV"/>
        </w:rPr>
        <w:t xml:space="preserve">lānošanas iniciatīvās, turklāt Latvijas pētniekiem ir iestrādes, ar kurām varētu piedalīties vairākās </w:t>
      </w:r>
      <w:r>
        <w:rPr>
          <w:sz w:val="28"/>
          <w:szCs w:val="28"/>
          <w:lang w:val="lv-LV"/>
        </w:rPr>
        <w:t>v</w:t>
      </w:r>
      <w:r w:rsidRPr="00240D6F">
        <w:rPr>
          <w:sz w:val="28"/>
          <w:szCs w:val="28"/>
          <w:lang w:val="lv-LV"/>
        </w:rPr>
        <w:t xml:space="preserve">ienotās </w:t>
      </w:r>
      <w:r>
        <w:rPr>
          <w:sz w:val="28"/>
          <w:szCs w:val="28"/>
          <w:lang w:val="lv-LV"/>
        </w:rPr>
        <w:t>p</w:t>
      </w:r>
      <w:r w:rsidRPr="00240D6F">
        <w:rPr>
          <w:sz w:val="28"/>
          <w:szCs w:val="28"/>
          <w:lang w:val="lv-LV"/>
        </w:rPr>
        <w:t>lānošanas iniciatīvās</w:t>
      </w:r>
      <w:r w:rsidR="009E686B">
        <w:rPr>
          <w:sz w:val="28"/>
          <w:szCs w:val="28"/>
          <w:lang w:val="lv-LV"/>
        </w:rPr>
        <w:t>. T</w:t>
      </w:r>
      <w:r w:rsidRPr="00240D6F">
        <w:rPr>
          <w:sz w:val="28"/>
          <w:szCs w:val="28"/>
          <w:lang w:val="lv-LV"/>
        </w:rPr>
        <w:t xml:space="preserve">aču pagaidām Latvijas dalība ne </w:t>
      </w:r>
      <w:proofErr w:type="spellStart"/>
      <w:r>
        <w:rPr>
          <w:sz w:val="28"/>
          <w:szCs w:val="28"/>
          <w:lang w:val="lv-LV"/>
        </w:rPr>
        <w:t>pilotpartnerībā</w:t>
      </w:r>
      <w:proofErr w:type="spellEnd"/>
      <w:r>
        <w:rPr>
          <w:sz w:val="28"/>
          <w:szCs w:val="28"/>
          <w:lang w:val="lv-LV"/>
        </w:rPr>
        <w:t xml:space="preserve"> „Aktīva un veselīga novecošana”, ne </w:t>
      </w:r>
      <w:proofErr w:type="spellStart"/>
      <w:r w:rsidRPr="00240D6F">
        <w:rPr>
          <w:sz w:val="28"/>
          <w:szCs w:val="28"/>
          <w:lang w:val="lv-LV"/>
        </w:rPr>
        <w:t>pilotiniciatīvā</w:t>
      </w:r>
      <w:proofErr w:type="spellEnd"/>
      <w:r w:rsidRPr="00240D6F">
        <w:rPr>
          <w:sz w:val="28"/>
          <w:szCs w:val="28"/>
          <w:lang w:val="lv-LV"/>
        </w:rPr>
        <w:t xml:space="preserve"> par </w:t>
      </w:r>
      <w:proofErr w:type="spellStart"/>
      <w:r w:rsidRPr="00240D6F">
        <w:rPr>
          <w:sz w:val="28"/>
          <w:szCs w:val="28"/>
          <w:lang w:val="lv-LV"/>
        </w:rPr>
        <w:t>Alcheimera</w:t>
      </w:r>
      <w:proofErr w:type="spellEnd"/>
      <w:r w:rsidRPr="00240D6F">
        <w:rPr>
          <w:sz w:val="28"/>
          <w:szCs w:val="28"/>
          <w:lang w:val="lv-LV"/>
        </w:rPr>
        <w:t xml:space="preserve"> slimību, ne t.s. “pirmā viļņa” </w:t>
      </w:r>
      <w:r>
        <w:rPr>
          <w:sz w:val="28"/>
          <w:szCs w:val="28"/>
          <w:lang w:val="lv-LV"/>
        </w:rPr>
        <w:t>v</w:t>
      </w:r>
      <w:r w:rsidRPr="00240D6F">
        <w:rPr>
          <w:sz w:val="28"/>
          <w:szCs w:val="28"/>
          <w:lang w:val="lv-LV"/>
        </w:rPr>
        <w:t xml:space="preserve">ienotās </w:t>
      </w:r>
      <w:r>
        <w:rPr>
          <w:sz w:val="28"/>
          <w:szCs w:val="28"/>
          <w:lang w:val="lv-LV"/>
        </w:rPr>
        <w:t>p</w:t>
      </w:r>
      <w:r w:rsidRPr="00240D6F">
        <w:rPr>
          <w:sz w:val="28"/>
          <w:szCs w:val="28"/>
          <w:lang w:val="lv-LV"/>
        </w:rPr>
        <w:t xml:space="preserve">lānošanas iniciatīvās nav iespējama finanšu trūkuma </w:t>
      </w:r>
      <w:r>
        <w:rPr>
          <w:sz w:val="28"/>
          <w:szCs w:val="28"/>
          <w:lang w:val="lv-LV"/>
        </w:rPr>
        <w:t xml:space="preserve">un cilvēkresursu kapacitātes </w:t>
      </w:r>
      <w:r w:rsidRPr="00240D6F">
        <w:rPr>
          <w:sz w:val="28"/>
          <w:szCs w:val="28"/>
          <w:lang w:val="lv-LV"/>
        </w:rPr>
        <w:t>dēļ.</w:t>
      </w:r>
      <w:r>
        <w:rPr>
          <w:sz w:val="28"/>
          <w:szCs w:val="28"/>
          <w:lang w:val="lv-LV"/>
        </w:rPr>
        <w:t xml:space="preserve"> </w:t>
      </w:r>
    </w:p>
    <w:p w:rsidR="00240D6F" w:rsidRPr="00240D6F" w:rsidRDefault="00240D6F" w:rsidP="00F3604E">
      <w:pPr>
        <w:autoSpaceDE w:val="0"/>
        <w:autoSpaceDN w:val="0"/>
        <w:adjustRightInd w:val="0"/>
        <w:jc w:val="both"/>
        <w:rPr>
          <w:rFonts w:eastAsia="Calibri"/>
          <w:sz w:val="28"/>
          <w:szCs w:val="28"/>
          <w:lang w:val="lv-LV"/>
        </w:rPr>
      </w:pPr>
      <w:r w:rsidRPr="009E686B">
        <w:rPr>
          <w:b/>
          <w:sz w:val="28"/>
          <w:szCs w:val="28"/>
          <w:lang w:val="lv-LV"/>
        </w:rPr>
        <w:t>Latvija uzskata</w:t>
      </w:r>
      <w:r>
        <w:rPr>
          <w:sz w:val="28"/>
          <w:szCs w:val="28"/>
          <w:lang w:val="lv-LV"/>
        </w:rPr>
        <w:t>, ka problēma par dalību dažādā</w:t>
      </w:r>
      <w:r w:rsidR="009E686B">
        <w:rPr>
          <w:sz w:val="28"/>
          <w:szCs w:val="28"/>
          <w:lang w:val="lv-LV"/>
        </w:rPr>
        <w:t>s</w:t>
      </w:r>
      <w:r>
        <w:rPr>
          <w:sz w:val="28"/>
          <w:szCs w:val="28"/>
          <w:lang w:val="lv-LV"/>
        </w:rPr>
        <w:t xml:space="preserve"> </w:t>
      </w:r>
      <w:r w:rsidR="00BE2860">
        <w:rPr>
          <w:sz w:val="28"/>
          <w:szCs w:val="28"/>
          <w:lang w:val="lv-LV"/>
        </w:rPr>
        <w:t xml:space="preserve">Eiropas līmeņa </w:t>
      </w:r>
      <w:r>
        <w:rPr>
          <w:sz w:val="28"/>
          <w:szCs w:val="28"/>
          <w:lang w:val="lv-LV"/>
        </w:rPr>
        <w:t>iniciatīvās un programmās ir aktuāla arī citām maz</w:t>
      </w:r>
      <w:r w:rsidR="00BE2860">
        <w:rPr>
          <w:sz w:val="28"/>
          <w:szCs w:val="28"/>
          <w:lang w:val="lv-LV"/>
        </w:rPr>
        <w:t>aj</w:t>
      </w:r>
      <w:r>
        <w:rPr>
          <w:sz w:val="28"/>
          <w:szCs w:val="28"/>
          <w:lang w:val="lv-LV"/>
        </w:rPr>
        <w:t>ām dalībvalstīm</w:t>
      </w:r>
      <w:r w:rsidR="009E686B">
        <w:rPr>
          <w:sz w:val="28"/>
          <w:szCs w:val="28"/>
          <w:lang w:val="lv-LV"/>
        </w:rPr>
        <w:t>. T</w:t>
      </w:r>
      <w:r>
        <w:rPr>
          <w:sz w:val="28"/>
          <w:szCs w:val="28"/>
          <w:lang w:val="lv-LV"/>
        </w:rPr>
        <w:t>āpēc, no vienas puses, vienotas programmas un pasākumi ir ļoti vērtīgi un atbalstāmi, jo palīdz taupīt finanšu un cilvēkresursus, kas mazām valstīm ir īpaši svarīgi. Bet</w:t>
      </w:r>
      <w:r w:rsidR="00BE2860">
        <w:rPr>
          <w:sz w:val="28"/>
          <w:szCs w:val="28"/>
          <w:lang w:val="lv-LV"/>
        </w:rPr>
        <w:t>,</w:t>
      </w:r>
      <w:r>
        <w:rPr>
          <w:sz w:val="28"/>
          <w:szCs w:val="28"/>
          <w:lang w:val="lv-LV"/>
        </w:rPr>
        <w:t xml:space="preserve"> no otras puses, mazām valstīm aktuāls ir cilvēkresursu kapacitātes jautājumus, tāpēc dalība visos instrumentos </w:t>
      </w:r>
      <w:r w:rsidR="009E686B">
        <w:rPr>
          <w:sz w:val="28"/>
          <w:szCs w:val="28"/>
          <w:lang w:val="lv-LV"/>
        </w:rPr>
        <w:t>var būt</w:t>
      </w:r>
      <w:r>
        <w:rPr>
          <w:sz w:val="28"/>
          <w:szCs w:val="28"/>
          <w:lang w:val="lv-LV"/>
        </w:rPr>
        <w:t xml:space="preserve"> apgrūtināta.</w:t>
      </w:r>
    </w:p>
    <w:p w:rsidR="00F3604E" w:rsidRPr="00F3604E" w:rsidRDefault="007D4BED" w:rsidP="00F3604E">
      <w:pPr>
        <w:autoSpaceDE w:val="0"/>
        <w:autoSpaceDN w:val="0"/>
        <w:adjustRightInd w:val="0"/>
        <w:jc w:val="both"/>
        <w:rPr>
          <w:rFonts w:eastAsia="Calibri"/>
          <w:sz w:val="28"/>
          <w:szCs w:val="28"/>
          <w:lang w:val="lv-LV"/>
        </w:rPr>
      </w:pPr>
      <w:r w:rsidRPr="009E686B">
        <w:rPr>
          <w:rFonts w:eastAsia="Calibri"/>
          <w:b/>
          <w:sz w:val="28"/>
          <w:szCs w:val="28"/>
          <w:lang w:val="lv-LV"/>
        </w:rPr>
        <w:t>Latvijai būtu svarīgi</w:t>
      </w:r>
      <w:r>
        <w:rPr>
          <w:rFonts w:eastAsia="Calibri"/>
          <w:sz w:val="28"/>
          <w:szCs w:val="28"/>
          <w:lang w:val="lv-LV"/>
        </w:rPr>
        <w:t xml:space="preserve"> saprast</w:t>
      </w:r>
      <w:r w:rsidR="009E686B">
        <w:rPr>
          <w:rFonts w:eastAsia="Calibri"/>
          <w:sz w:val="28"/>
          <w:szCs w:val="28"/>
          <w:lang w:val="lv-LV"/>
        </w:rPr>
        <w:t xml:space="preserve"> arī to</w:t>
      </w:r>
      <w:r>
        <w:rPr>
          <w:rFonts w:eastAsia="Calibri"/>
          <w:sz w:val="28"/>
          <w:szCs w:val="28"/>
          <w:lang w:val="lv-LV"/>
        </w:rPr>
        <w:t>,</w:t>
      </w:r>
      <w:r w:rsidR="00F3604E" w:rsidRPr="00F3604E">
        <w:rPr>
          <w:rFonts w:eastAsia="Calibri"/>
          <w:sz w:val="28"/>
          <w:szCs w:val="28"/>
          <w:lang w:val="lv-LV"/>
        </w:rPr>
        <w:t xml:space="preserve"> kā tiks finansēt</w:t>
      </w:r>
      <w:r w:rsidR="009E686B">
        <w:rPr>
          <w:rFonts w:eastAsia="Calibri"/>
          <w:sz w:val="28"/>
          <w:szCs w:val="28"/>
          <w:lang w:val="lv-LV"/>
        </w:rPr>
        <w:t>as</w:t>
      </w:r>
      <w:r w:rsidR="00F3604E" w:rsidRPr="00F3604E">
        <w:rPr>
          <w:rFonts w:eastAsia="Calibri"/>
          <w:sz w:val="28"/>
          <w:szCs w:val="28"/>
          <w:lang w:val="lv-LV"/>
        </w:rPr>
        <w:t xml:space="preserve"> un pārvaldītas </w:t>
      </w:r>
      <w:r w:rsidR="00BE2860">
        <w:rPr>
          <w:rFonts w:eastAsiaTheme="minorHAnsi"/>
          <w:color w:val="000000"/>
          <w:sz w:val="28"/>
          <w:szCs w:val="28"/>
          <w:lang w:val="lv-LV"/>
        </w:rPr>
        <w:t>Eiropas inovāciju partnerības</w:t>
      </w:r>
      <w:r w:rsidR="00F3604E" w:rsidRPr="00F3604E">
        <w:rPr>
          <w:rFonts w:eastAsia="Calibri"/>
          <w:sz w:val="28"/>
          <w:szCs w:val="28"/>
          <w:lang w:val="lv-LV"/>
        </w:rPr>
        <w:t>.</w:t>
      </w:r>
    </w:p>
    <w:p w:rsidR="00F3604E" w:rsidRPr="00F3604E" w:rsidRDefault="00F3604E" w:rsidP="00F3604E">
      <w:pPr>
        <w:autoSpaceDE w:val="0"/>
        <w:autoSpaceDN w:val="0"/>
        <w:adjustRightInd w:val="0"/>
        <w:jc w:val="both"/>
        <w:rPr>
          <w:rFonts w:eastAsia="Calibri"/>
          <w:sz w:val="28"/>
          <w:szCs w:val="28"/>
          <w:lang w:val="lv-LV"/>
        </w:rPr>
      </w:pPr>
    </w:p>
    <w:p w:rsidR="00B50E72" w:rsidRPr="00E136A8" w:rsidRDefault="00B50E72" w:rsidP="00E91486">
      <w:pPr>
        <w:ind w:firstLine="720"/>
        <w:jc w:val="both"/>
        <w:rPr>
          <w:color w:val="FF0000"/>
          <w:sz w:val="28"/>
          <w:szCs w:val="28"/>
          <w:lang w:val="lv-LV"/>
        </w:rPr>
      </w:pPr>
    </w:p>
    <w:p w:rsidR="00A34702" w:rsidRPr="00197B96" w:rsidRDefault="00A34702" w:rsidP="00472289">
      <w:pPr>
        <w:ind w:left="2977" w:hanging="2977"/>
        <w:jc w:val="both"/>
        <w:rPr>
          <w:sz w:val="28"/>
          <w:szCs w:val="28"/>
          <w:lang w:val="lv-LV"/>
        </w:rPr>
      </w:pPr>
      <w:r w:rsidRPr="00197B96">
        <w:rPr>
          <w:sz w:val="28"/>
          <w:szCs w:val="28"/>
          <w:lang w:val="lv-LV"/>
        </w:rPr>
        <w:t>Delegācijas vadītājs:</w:t>
      </w:r>
      <w:r w:rsidRPr="00197B96">
        <w:rPr>
          <w:sz w:val="28"/>
          <w:szCs w:val="28"/>
          <w:lang w:val="lv-LV"/>
        </w:rPr>
        <w:tab/>
      </w:r>
      <w:r w:rsidR="00197B96" w:rsidRPr="00197B96">
        <w:rPr>
          <w:b/>
          <w:sz w:val="28"/>
          <w:szCs w:val="28"/>
          <w:lang w:val="lv-LV"/>
        </w:rPr>
        <w:t xml:space="preserve">Juris </w:t>
      </w:r>
      <w:proofErr w:type="spellStart"/>
      <w:r w:rsidR="00197B96" w:rsidRPr="00197B96">
        <w:rPr>
          <w:b/>
          <w:sz w:val="28"/>
          <w:szCs w:val="28"/>
          <w:lang w:val="lv-LV"/>
        </w:rPr>
        <w:t>Štālmeistars</w:t>
      </w:r>
      <w:proofErr w:type="spellEnd"/>
      <w:r w:rsidR="00197B96">
        <w:rPr>
          <w:sz w:val="28"/>
          <w:szCs w:val="28"/>
          <w:lang w:val="lv-LV"/>
        </w:rPr>
        <w:t xml:space="preserve">, vēstnieks, </w:t>
      </w:r>
      <w:r w:rsidR="00197B96" w:rsidRPr="00197B96">
        <w:rPr>
          <w:bCs/>
          <w:sz w:val="28"/>
          <w:szCs w:val="28"/>
          <w:lang w:val="lv-LV"/>
        </w:rPr>
        <w:t>Pastāvīgā pārstāvja Eiropas Savienībā vietnieks</w:t>
      </w:r>
    </w:p>
    <w:p w:rsidR="00A34702" w:rsidRPr="00CE78E3" w:rsidRDefault="00A34702" w:rsidP="008D47C4">
      <w:pPr>
        <w:pStyle w:val="BodyText2"/>
        <w:spacing w:after="60"/>
        <w:ind w:left="2835" w:hanging="2835"/>
        <w:rPr>
          <w:bCs/>
          <w:sz w:val="28"/>
          <w:szCs w:val="28"/>
        </w:rPr>
      </w:pPr>
    </w:p>
    <w:p w:rsidR="00197B96" w:rsidRPr="009F7275" w:rsidRDefault="00A34702" w:rsidP="00294288">
      <w:pPr>
        <w:pStyle w:val="BodyText2"/>
        <w:tabs>
          <w:tab w:val="left" w:pos="2880"/>
        </w:tabs>
        <w:spacing w:after="60"/>
        <w:ind w:left="2880" w:hanging="2880"/>
        <w:rPr>
          <w:sz w:val="28"/>
          <w:szCs w:val="28"/>
        </w:rPr>
      </w:pPr>
      <w:r w:rsidRPr="00CE78E3">
        <w:rPr>
          <w:sz w:val="28"/>
          <w:szCs w:val="28"/>
        </w:rPr>
        <w:t>Delegācijas dalībnieki:</w:t>
      </w:r>
      <w:r w:rsidRPr="00CE78E3">
        <w:rPr>
          <w:sz w:val="28"/>
          <w:szCs w:val="28"/>
        </w:rPr>
        <w:tab/>
      </w:r>
      <w:r w:rsidR="00197B96" w:rsidRPr="00197B96">
        <w:rPr>
          <w:b/>
          <w:sz w:val="28"/>
          <w:szCs w:val="28"/>
        </w:rPr>
        <w:t>Lauma Sīka</w:t>
      </w:r>
      <w:r w:rsidR="00197B96" w:rsidRPr="00197B96">
        <w:rPr>
          <w:sz w:val="28"/>
          <w:szCs w:val="28"/>
        </w:rPr>
        <w:t>, Izglītības un zinātnes ministrijas valsts sekretāra vietniece</w:t>
      </w:r>
      <w:r w:rsidR="00197B96">
        <w:rPr>
          <w:sz w:val="28"/>
          <w:szCs w:val="28"/>
        </w:rPr>
        <w:t>,</w:t>
      </w:r>
    </w:p>
    <w:p w:rsidR="00A34702" w:rsidRPr="00CE78E3" w:rsidRDefault="00A34702" w:rsidP="00197B96">
      <w:pPr>
        <w:pStyle w:val="BodyText2"/>
        <w:tabs>
          <w:tab w:val="left" w:pos="2880"/>
        </w:tabs>
        <w:spacing w:after="60"/>
        <w:ind w:left="2880" w:hanging="45"/>
        <w:rPr>
          <w:bCs/>
          <w:sz w:val="28"/>
          <w:szCs w:val="28"/>
        </w:rPr>
      </w:pPr>
      <w:r w:rsidRPr="002E2FBF">
        <w:rPr>
          <w:b/>
          <w:sz w:val="28"/>
          <w:szCs w:val="28"/>
        </w:rPr>
        <w:t xml:space="preserve">Liene </w:t>
      </w:r>
      <w:r w:rsidR="009B5C7D">
        <w:rPr>
          <w:b/>
          <w:sz w:val="28"/>
          <w:szCs w:val="28"/>
        </w:rPr>
        <w:t>Bramane</w:t>
      </w:r>
      <w:r w:rsidRPr="002E2FBF">
        <w:rPr>
          <w:sz w:val="28"/>
          <w:szCs w:val="28"/>
        </w:rPr>
        <w:t>,</w:t>
      </w:r>
      <w:r w:rsidRPr="00CE78E3">
        <w:rPr>
          <w:sz w:val="28"/>
          <w:szCs w:val="28"/>
        </w:rPr>
        <w:t xml:space="preserve"> </w:t>
      </w:r>
      <w:r>
        <w:rPr>
          <w:sz w:val="28"/>
          <w:szCs w:val="28"/>
        </w:rPr>
        <w:t>Izglītības un zinātnes ministrijas</w:t>
      </w:r>
      <w:r w:rsidRPr="00CE78E3">
        <w:rPr>
          <w:sz w:val="28"/>
          <w:szCs w:val="28"/>
        </w:rPr>
        <w:t xml:space="preserve"> nozares </w:t>
      </w:r>
      <w:r w:rsidR="0070614C">
        <w:rPr>
          <w:sz w:val="28"/>
          <w:szCs w:val="28"/>
        </w:rPr>
        <w:t>padomniece</w:t>
      </w:r>
      <w:r w:rsidRPr="00CE78E3">
        <w:rPr>
          <w:sz w:val="28"/>
          <w:szCs w:val="28"/>
        </w:rPr>
        <w:t>.</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Izglītības un zinātnes ministr</w:t>
      </w:r>
      <w:r w:rsidR="0070614C">
        <w:rPr>
          <w:sz w:val="28"/>
          <w:szCs w:val="28"/>
          <w:lang w:val="lv-LV"/>
        </w:rPr>
        <w:t>s</w:t>
      </w:r>
      <w:r w:rsidRPr="00CE78E3">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0070614C">
        <w:rPr>
          <w:sz w:val="28"/>
          <w:szCs w:val="28"/>
          <w:lang w:val="lv-LV"/>
        </w:rPr>
        <w:t>R.Broks</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34637F" w:rsidRPr="0034637F" w:rsidRDefault="0034637F" w:rsidP="0034637F">
      <w:pPr>
        <w:autoSpaceDE w:val="0"/>
        <w:autoSpaceDN w:val="0"/>
        <w:adjustRightInd w:val="0"/>
        <w:rPr>
          <w:rFonts w:eastAsia="Calibri"/>
          <w:bCs/>
          <w:color w:val="000000"/>
          <w:sz w:val="28"/>
          <w:szCs w:val="28"/>
          <w:lang w:val="lv-LV"/>
        </w:rPr>
      </w:pPr>
      <w:r w:rsidRPr="0034637F">
        <w:rPr>
          <w:rFonts w:eastAsia="Calibri"/>
          <w:bCs/>
          <w:color w:val="000000"/>
          <w:sz w:val="28"/>
          <w:szCs w:val="28"/>
          <w:lang w:val="lv-LV"/>
        </w:rPr>
        <w:t>Valsts sekretāra vietniece,</w:t>
      </w:r>
    </w:p>
    <w:p w:rsidR="0034637F" w:rsidRPr="0034637F" w:rsidRDefault="0034637F" w:rsidP="0034637F">
      <w:pPr>
        <w:autoSpaceDE w:val="0"/>
        <w:autoSpaceDN w:val="0"/>
        <w:adjustRightInd w:val="0"/>
        <w:rPr>
          <w:rFonts w:eastAsia="Calibri"/>
          <w:bCs/>
          <w:color w:val="000000"/>
          <w:sz w:val="28"/>
          <w:szCs w:val="28"/>
          <w:lang w:val="lv-LV"/>
        </w:rPr>
      </w:pPr>
      <w:r w:rsidRPr="0034637F">
        <w:rPr>
          <w:rFonts w:eastAsia="Calibri"/>
          <w:bCs/>
          <w:color w:val="000000"/>
          <w:sz w:val="28"/>
          <w:szCs w:val="28"/>
          <w:lang w:val="lv-LV"/>
        </w:rPr>
        <w:t>valsts sekretāra pienākumu izpildītāja</w:t>
      </w:r>
      <w:r w:rsidRPr="0034637F">
        <w:rPr>
          <w:rFonts w:eastAsia="Calibri"/>
          <w:bCs/>
          <w:color w:val="000000"/>
          <w:sz w:val="28"/>
          <w:szCs w:val="28"/>
          <w:lang w:val="lv-LV"/>
        </w:rPr>
        <w:tab/>
      </w:r>
      <w:r w:rsidRPr="0034637F">
        <w:rPr>
          <w:rFonts w:eastAsia="Calibri"/>
          <w:bCs/>
          <w:color w:val="000000"/>
          <w:sz w:val="28"/>
          <w:szCs w:val="28"/>
          <w:lang w:val="lv-LV"/>
        </w:rPr>
        <w:tab/>
      </w:r>
      <w:r w:rsidRPr="0034637F">
        <w:rPr>
          <w:rFonts w:eastAsia="Calibri"/>
          <w:bCs/>
          <w:color w:val="000000"/>
          <w:sz w:val="28"/>
          <w:szCs w:val="28"/>
          <w:lang w:val="lv-LV"/>
        </w:rPr>
        <w:tab/>
      </w:r>
      <w:r>
        <w:rPr>
          <w:rFonts w:eastAsia="Calibri"/>
          <w:bCs/>
          <w:color w:val="000000"/>
          <w:sz w:val="28"/>
          <w:szCs w:val="28"/>
          <w:lang w:val="lv-LV"/>
        </w:rPr>
        <w:t xml:space="preserve">                    </w:t>
      </w:r>
      <w:r w:rsidRPr="0034637F">
        <w:rPr>
          <w:rFonts w:eastAsia="Calibri"/>
          <w:bCs/>
          <w:color w:val="000000"/>
          <w:sz w:val="28"/>
          <w:szCs w:val="28"/>
          <w:lang w:val="lv-LV"/>
        </w:rPr>
        <w:t>I.Štāle</w:t>
      </w:r>
    </w:p>
    <w:p w:rsidR="00A3459C" w:rsidRDefault="00A3459C" w:rsidP="0077650E">
      <w:pPr>
        <w:rPr>
          <w:sz w:val="22"/>
          <w:szCs w:val="22"/>
          <w:lang w:val="lv-LV"/>
        </w:rPr>
      </w:pPr>
    </w:p>
    <w:p w:rsidR="00A3459C" w:rsidRDefault="00A3459C" w:rsidP="0077650E">
      <w:pPr>
        <w:rPr>
          <w:sz w:val="22"/>
          <w:szCs w:val="22"/>
          <w:lang w:val="lv-LV"/>
        </w:rPr>
      </w:pPr>
    </w:p>
    <w:p w:rsidR="00A34702" w:rsidRPr="00291945" w:rsidRDefault="00546A03" w:rsidP="0077650E">
      <w:pPr>
        <w:rPr>
          <w:sz w:val="28"/>
          <w:szCs w:val="28"/>
          <w:lang w:val="lv-LV"/>
        </w:rPr>
      </w:pPr>
      <w:r w:rsidRPr="00291945">
        <w:rPr>
          <w:sz w:val="22"/>
          <w:szCs w:val="22"/>
          <w:lang w:val="lv-LV"/>
        </w:rPr>
        <w:t>2</w:t>
      </w:r>
      <w:r w:rsidR="00712245" w:rsidRPr="00291945">
        <w:rPr>
          <w:sz w:val="22"/>
          <w:szCs w:val="22"/>
          <w:lang w:val="lv-LV"/>
        </w:rPr>
        <w:t>3</w:t>
      </w:r>
      <w:r w:rsidR="00A34702" w:rsidRPr="00291945">
        <w:rPr>
          <w:sz w:val="22"/>
          <w:szCs w:val="22"/>
          <w:lang w:val="lv-LV"/>
        </w:rPr>
        <w:t>.</w:t>
      </w:r>
      <w:r w:rsidR="003D42A9" w:rsidRPr="00291945">
        <w:rPr>
          <w:sz w:val="22"/>
          <w:szCs w:val="22"/>
          <w:lang w:val="lv-LV"/>
        </w:rPr>
        <w:t>0</w:t>
      </w:r>
      <w:r w:rsidR="00E20030" w:rsidRPr="00291945">
        <w:rPr>
          <w:sz w:val="22"/>
          <w:szCs w:val="22"/>
          <w:lang w:val="lv-LV"/>
        </w:rPr>
        <w:t>9</w:t>
      </w:r>
      <w:r w:rsidR="003D42A9" w:rsidRPr="00291945">
        <w:rPr>
          <w:sz w:val="22"/>
          <w:szCs w:val="22"/>
          <w:lang w:val="lv-LV"/>
        </w:rPr>
        <w:t>.20</w:t>
      </w:r>
      <w:r w:rsidR="00D70969" w:rsidRPr="00291945">
        <w:rPr>
          <w:sz w:val="22"/>
          <w:szCs w:val="22"/>
          <w:lang w:val="lv-LV"/>
        </w:rPr>
        <w:t>1</w:t>
      </w:r>
      <w:r w:rsidR="00251121" w:rsidRPr="00291945">
        <w:rPr>
          <w:sz w:val="22"/>
          <w:szCs w:val="22"/>
          <w:lang w:val="lv-LV"/>
        </w:rPr>
        <w:t>1</w:t>
      </w:r>
      <w:r w:rsidR="00A34702" w:rsidRPr="00291945">
        <w:rPr>
          <w:sz w:val="22"/>
          <w:szCs w:val="22"/>
          <w:lang w:val="lv-LV"/>
        </w:rPr>
        <w:t xml:space="preserve">. </w:t>
      </w:r>
      <w:r w:rsidR="00234F92" w:rsidRPr="00291945">
        <w:rPr>
          <w:sz w:val="22"/>
          <w:szCs w:val="22"/>
          <w:lang w:val="lv-LV"/>
        </w:rPr>
        <w:t>1</w:t>
      </w:r>
      <w:r w:rsidR="00A96ACC" w:rsidRPr="00291945">
        <w:rPr>
          <w:sz w:val="22"/>
          <w:szCs w:val="22"/>
          <w:lang w:val="lv-LV"/>
        </w:rPr>
        <w:t>6</w:t>
      </w:r>
      <w:r w:rsidR="00A34702" w:rsidRPr="00291945">
        <w:rPr>
          <w:sz w:val="22"/>
          <w:szCs w:val="22"/>
          <w:lang w:val="lv-LV"/>
        </w:rPr>
        <w:t>:</w:t>
      </w:r>
      <w:r w:rsidR="00A96ACC" w:rsidRPr="00291945">
        <w:rPr>
          <w:sz w:val="22"/>
          <w:szCs w:val="22"/>
          <w:lang w:val="lv-LV"/>
        </w:rPr>
        <w:t>0</w:t>
      </w:r>
      <w:r w:rsidR="00A3459C" w:rsidRPr="00291945">
        <w:rPr>
          <w:sz w:val="22"/>
          <w:szCs w:val="22"/>
          <w:lang w:val="lv-LV"/>
        </w:rPr>
        <w:t>8</w:t>
      </w:r>
    </w:p>
    <w:p w:rsidR="00A34702" w:rsidRPr="004C699A" w:rsidRDefault="00E20030" w:rsidP="0077650E">
      <w:pPr>
        <w:rPr>
          <w:sz w:val="22"/>
          <w:szCs w:val="22"/>
          <w:lang w:val="lv-LV"/>
        </w:rPr>
      </w:pPr>
      <w:r w:rsidRPr="00291945">
        <w:rPr>
          <w:sz w:val="22"/>
          <w:szCs w:val="22"/>
          <w:lang w:val="lv-LV"/>
        </w:rPr>
        <w:t>2</w:t>
      </w:r>
      <w:r w:rsidR="00B22E05">
        <w:rPr>
          <w:sz w:val="22"/>
          <w:szCs w:val="22"/>
          <w:lang w:val="lv-LV"/>
        </w:rPr>
        <w:t>734</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r w:rsidRPr="004C699A">
        <w:rPr>
          <w:sz w:val="22"/>
          <w:szCs w:val="22"/>
          <w:lang w:val="lv-LV"/>
        </w:rPr>
        <w:t>B.Beinaroviča</w:t>
      </w:r>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D2" w:rsidRDefault="009849D2" w:rsidP="00B33D6E">
      <w:r>
        <w:separator/>
      </w:r>
    </w:p>
  </w:endnote>
  <w:endnote w:type="continuationSeparator" w:id="0">
    <w:p w:rsidR="009849D2" w:rsidRDefault="009849D2"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A3" w:rsidRPr="00A46F23" w:rsidRDefault="0092725F" w:rsidP="00EC1CA3">
    <w:pPr>
      <w:pStyle w:val="BodyText"/>
      <w:spacing w:before="120"/>
      <w:jc w:val="both"/>
      <w:rPr>
        <w:b w:val="0"/>
        <w:sz w:val="20"/>
      </w:rPr>
    </w:pPr>
    <w:r w:rsidRPr="002645BC">
      <w:rPr>
        <w:b w:val="0"/>
        <w:sz w:val="20"/>
      </w:rPr>
      <w:fldChar w:fldCharType="begin"/>
    </w:r>
    <w:r w:rsidR="00EC1CA3" w:rsidRPr="002645BC">
      <w:rPr>
        <w:b w:val="0"/>
        <w:sz w:val="20"/>
      </w:rPr>
      <w:instrText xml:space="preserve"> FILENAME </w:instrText>
    </w:r>
    <w:r w:rsidRPr="002645BC">
      <w:rPr>
        <w:b w:val="0"/>
        <w:sz w:val="20"/>
      </w:rPr>
      <w:fldChar w:fldCharType="separate"/>
    </w:r>
    <w:r w:rsidR="00B2251B">
      <w:rPr>
        <w:b w:val="0"/>
        <w:noProof/>
        <w:sz w:val="20"/>
      </w:rPr>
      <w:t>IZMInf_</w:t>
    </w:r>
    <w:r w:rsidR="00587417">
      <w:rPr>
        <w:b w:val="0"/>
        <w:noProof/>
        <w:sz w:val="20"/>
      </w:rPr>
      <w:t>23</w:t>
    </w:r>
    <w:r w:rsidR="00B2251B">
      <w:rPr>
        <w:b w:val="0"/>
        <w:noProof/>
        <w:sz w:val="20"/>
      </w:rPr>
      <w:t>0911_konkuretspeja</w:t>
    </w:r>
    <w:r w:rsidRPr="002645BC">
      <w:rPr>
        <w:b w:val="0"/>
        <w:sz w:val="20"/>
      </w:rPr>
      <w:fldChar w:fldCharType="end"/>
    </w:r>
    <w:r w:rsidR="00EC1CA3" w:rsidRPr="002645BC">
      <w:rPr>
        <w:b w:val="0"/>
        <w:sz w:val="20"/>
      </w:rPr>
      <w:t>;</w:t>
    </w:r>
    <w:r w:rsidR="00EC1CA3">
      <w:rPr>
        <w:b w:val="0"/>
        <w:sz w:val="20"/>
      </w:rPr>
      <w:t xml:space="preserve"> </w:t>
    </w:r>
    <w:r w:rsidR="00EC1CA3" w:rsidRPr="00A46F23">
      <w:rPr>
        <w:b w:val="0"/>
        <w:sz w:val="20"/>
      </w:rPr>
      <w:t>Par 20</w:t>
    </w:r>
    <w:r w:rsidR="00EC1CA3">
      <w:rPr>
        <w:b w:val="0"/>
        <w:sz w:val="20"/>
      </w:rPr>
      <w:t>11</w:t>
    </w:r>
    <w:r w:rsidR="00EC1CA3" w:rsidRPr="00A46F23">
      <w:rPr>
        <w:b w:val="0"/>
        <w:sz w:val="20"/>
      </w:rPr>
      <w:t xml:space="preserve">.gada </w:t>
    </w:r>
    <w:r w:rsidR="009300B8">
      <w:rPr>
        <w:b w:val="0"/>
        <w:sz w:val="20"/>
      </w:rPr>
      <w:t>29.-</w:t>
    </w:r>
    <w:r w:rsidR="00EC1CA3">
      <w:rPr>
        <w:b w:val="0"/>
        <w:sz w:val="20"/>
      </w:rPr>
      <w:t>30.</w:t>
    </w:r>
    <w:r w:rsidR="009300B8">
      <w:rPr>
        <w:b w:val="0"/>
        <w:sz w:val="20"/>
      </w:rPr>
      <w:t>septembra</w:t>
    </w:r>
    <w:r w:rsidR="00EC1CA3" w:rsidRPr="00A46F23">
      <w:rPr>
        <w:b w:val="0"/>
        <w:sz w:val="20"/>
      </w:rPr>
      <w:t xml:space="preserve"> </w:t>
    </w:r>
    <w:r w:rsidR="00EC1CA3">
      <w:rPr>
        <w:b w:val="0"/>
        <w:sz w:val="20"/>
      </w:rPr>
      <w:t xml:space="preserve">Eiropas Savienības </w:t>
    </w:r>
    <w:r w:rsidR="00EC1CA3" w:rsidRPr="00A46F23">
      <w:rPr>
        <w:b w:val="0"/>
        <w:sz w:val="20"/>
      </w:rPr>
      <w:t xml:space="preserve">Konkurētspējas </w:t>
    </w:r>
    <w:r w:rsidR="00EC1CA3">
      <w:rPr>
        <w:b w:val="0"/>
        <w:sz w:val="20"/>
      </w:rPr>
      <w:t xml:space="preserve">ministru </w:t>
    </w:r>
    <w:r w:rsidR="00EC1CA3" w:rsidRPr="00A46F23">
      <w:rPr>
        <w:b w:val="0"/>
        <w:sz w:val="20"/>
      </w:rPr>
      <w:t>padomē izskatāmajiem jautājumiem</w:t>
    </w:r>
  </w:p>
  <w:p w:rsidR="00A34702" w:rsidRPr="00047E20" w:rsidRDefault="00A3470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B8" w:rsidRPr="00A46F23" w:rsidRDefault="0092725F" w:rsidP="009300B8">
    <w:pPr>
      <w:pStyle w:val="BodyText"/>
      <w:spacing w:before="120"/>
      <w:jc w:val="both"/>
      <w:rPr>
        <w:b w:val="0"/>
        <w:sz w:val="20"/>
      </w:rPr>
    </w:pPr>
    <w:r w:rsidRPr="002645BC">
      <w:rPr>
        <w:b w:val="0"/>
        <w:sz w:val="20"/>
      </w:rPr>
      <w:fldChar w:fldCharType="begin"/>
    </w:r>
    <w:r w:rsidR="009300B8" w:rsidRPr="002645BC">
      <w:rPr>
        <w:b w:val="0"/>
        <w:sz w:val="20"/>
      </w:rPr>
      <w:instrText xml:space="preserve"> FILENAME </w:instrText>
    </w:r>
    <w:r w:rsidRPr="002645BC">
      <w:rPr>
        <w:b w:val="0"/>
        <w:sz w:val="20"/>
      </w:rPr>
      <w:fldChar w:fldCharType="separate"/>
    </w:r>
    <w:r w:rsidR="00B2251B">
      <w:rPr>
        <w:b w:val="0"/>
        <w:noProof/>
        <w:sz w:val="20"/>
      </w:rPr>
      <w:t>IZMInf_</w:t>
    </w:r>
    <w:r w:rsidR="00587417">
      <w:rPr>
        <w:b w:val="0"/>
        <w:noProof/>
        <w:sz w:val="20"/>
      </w:rPr>
      <w:t>23</w:t>
    </w:r>
    <w:r w:rsidR="00B2251B">
      <w:rPr>
        <w:b w:val="0"/>
        <w:noProof/>
        <w:sz w:val="20"/>
      </w:rPr>
      <w:t>0911_konkuretspeja</w:t>
    </w:r>
    <w:r w:rsidRPr="002645BC">
      <w:rPr>
        <w:b w:val="0"/>
        <w:sz w:val="20"/>
      </w:rPr>
      <w:fldChar w:fldCharType="end"/>
    </w:r>
    <w:r w:rsidR="009300B8" w:rsidRPr="002645BC">
      <w:rPr>
        <w:b w:val="0"/>
        <w:sz w:val="20"/>
      </w:rPr>
      <w:t>;</w:t>
    </w:r>
    <w:r w:rsidR="009300B8">
      <w:rPr>
        <w:b w:val="0"/>
        <w:sz w:val="20"/>
      </w:rPr>
      <w:t xml:space="preserve"> </w:t>
    </w:r>
    <w:r w:rsidR="009300B8" w:rsidRPr="00A46F23">
      <w:rPr>
        <w:b w:val="0"/>
        <w:sz w:val="20"/>
      </w:rPr>
      <w:t>Par 20</w:t>
    </w:r>
    <w:r w:rsidR="009300B8">
      <w:rPr>
        <w:b w:val="0"/>
        <w:sz w:val="20"/>
      </w:rPr>
      <w:t>11</w:t>
    </w:r>
    <w:r w:rsidR="009300B8" w:rsidRPr="00A46F23">
      <w:rPr>
        <w:b w:val="0"/>
        <w:sz w:val="20"/>
      </w:rPr>
      <w:t xml:space="preserve">.gada </w:t>
    </w:r>
    <w:r w:rsidR="009300B8">
      <w:rPr>
        <w:b w:val="0"/>
        <w:sz w:val="20"/>
      </w:rPr>
      <w:t>29.-30.septembra</w:t>
    </w:r>
    <w:r w:rsidR="009300B8" w:rsidRPr="00A46F23">
      <w:rPr>
        <w:b w:val="0"/>
        <w:sz w:val="20"/>
      </w:rPr>
      <w:t xml:space="preserve"> </w:t>
    </w:r>
    <w:r w:rsidR="009300B8">
      <w:rPr>
        <w:b w:val="0"/>
        <w:sz w:val="20"/>
      </w:rPr>
      <w:t xml:space="preserve">Eiropas Savienības </w:t>
    </w:r>
    <w:r w:rsidR="009300B8" w:rsidRPr="00A46F23">
      <w:rPr>
        <w:b w:val="0"/>
        <w:sz w:val="20"/>
      </w:rPr>
      <w:t xml:space="preserve">Konkurētspējas </w:t>
    </w:r>
    <w:r w:rsidR="009300B8">
      <w:rPr>
        <w:b w:val="0"/>
        <w:sz w:val="20"/>
      </w:rPr>
      <w:t xml:space="preserve">ministru </w:t>
    </w:r>
    <w:r w:rsidR="009300B8" w:rsidRPr="00A46F23">
      <w:rPr>
        <w:b w:val="0"/>
        <w:sz w:val="20"/>
      </w:rPr>
      <w:t>padomē izskatāmajiem jautājumiem</w:t>
    </w:r>
  </w:p>
  <w:p w:rsidR="00A34702" w:rsidRPr="00A46F23" w:rsidRDefault="00A34702" w:rsidP="00047E20">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D2" w:rsidRDefault="009849D2" w:rsidP="00B33D6E">
      <w:r>
        <w:separator/>
      </w:r>
    </w:p>
  </w:footnote>
  <w:footnote w:type="continuationSeparator" w:id="0">
    <w:p w:rsidR="009849D2" w:rsidRDefault="009849D2"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92725F"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92725F"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B22E05">
      <w:rPr>
        <w:rStyle w:val="PageNumber"/>
        <w:noProof/>
      </w:rPr>
      <w:t>9</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17E5E17"/>
    <w:multiLevelType w:val="hybridMultilevel"/>
    <w:tmpl w:val="ABEAB00C"/>
    <w:lvl w:ilvl="0" w:tplc="E9C23B62">
      <w:start w:val="20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48C7F83"/>
    <w:multiLevelType w:val="singleLevel"/>
    <w:tmpl w:val="D9565B10"/>
    <w:name w:val="Tiret 1__1"/>
    <w:lvl w:ilvl="0">
      <w:start w:val="1"/>
      <w:numFmt w:val="bullet"/>
      <w:lvlRestart w:val="0"/>
      <w:pStyle w:val="Tiret1"/>
      <w:lvlText w:val="–"/>
      <w:lvlJc w:val="left"/>
      <w:pPr>
        <w:tabs>
          <w:tab w:val="num" w:pos="1417"/>
        </w:tabs>
        <w:ind w:left="1417" w:hanging="567"/>
      </w:pPr>
    </w:lvl>
  </w:abstractNum>
  <w:abstractNum w:abstractNumId="5">
    <w:nsid w:val="18D13109"/>
    <w:multiLevelType w:val="multilevel"/>
    <w:tmpl w:val="D8EC8FF4"/>
    <w:name w:val="List Bullet 2"/>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2">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2E27467F"/>
    <w:multiLevelType w:val="singleLevel"/>
    <w:tmpl w:val="8F5C4410"/>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5">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30">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2">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3">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C4C78A7"/>
    <w:multiLevelType w:val="hybridMultilevel"/>
    <w:tmpl w:val="3172310A"/>
    <w:lvl w:ilvl="0" w:tplc="A13C2404">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9">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9C96D36"/>
    <w:multiLevelType w:val="multilevel"/>
    <w:tmpl w:val="B30A145C"/>
    <w:name w:val="Tiret 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12"/>
  </w:num>
  <w:num w:numId="4">
    <w:abstractNumId w:val="8"/>
  </w:num>
  <w:num w:numId="5">
    <w:abstractNumId w:val="32"/>
  </w:num>
  <w:num w:numId="6">
    <w:abstractNumId w:val="2"/>
  </w:num>
  <w:num w:numId="7">
    <w:abstractNumId w:val="38"/>
  </w:num>
  <w:num w:numId="8">
    <w:abstractNumId w:val="42"/>
  </w:num>
  <w:num w:numId="9">
    <w:abstractNumId w:val="34"/>
  </w:num>
  <w:num w:numId="10">
    <w:abstractNumId w:val="13"/>
  </w:num>
  <w:num w:numId="11">
    <w:abstractNumId w:val="40"/>
  </w:num>
  <w:num w:numId="12">
    <w:abstractNumId w:val="31"/>
  </w:num>
  <w:num w:numId="13">
    <w:abstractNumId w:val="11"/>
  </w:num>
  <w:num w:numId="14">
    <w:abstractNumId w:val="20"/>
  </w:num>
  <w:num w:numId="15">
    <w:abstractNumId w:val="29"/>
  </w:num>
  <w:num w:numId="16">
    <w:abstractNumId w:val="9"/>
  </w:num>
  <w:num w:numId="17">
    <w:abstractNumId w:val="6"/>
  </w:num>
  <w:num w:numId="18">
    <w:abstractNumId w:val="47"/>
  </w:num>
  <w:num w:numId="19">
    <w:abstractNumId w:val="3"/>
  </w:num>
  <w:num w:numId="20">
    <w:abstractNumId w:val="26"/>
  </w:num>
  <w:num w:numId="21">
    <w:abstractNumId w:val="27"/>
  </w:num>
  <w:num w:numId="22">
    <w:abstractNumId w:val="35"/>
  </w:num>
  <w:num w:numId="23">
    <w:abstractNumId w:val="17"/>
  </w:num>
  <w:num w:numId="24">
    <w:abstractNumId w:val="7"/>
  </w:num>
  <w:num w:numId="25">
    <w:abstractNumId w:val="18"/>
  </w:num>
  <w:num w:numId="26">
    <w:abstractNumId w:val="45"/>
  </w:num>
  <w:num w:numId="27">
    <w:abstractNumId w:val="30"/>
  </w:num>
  <w:num w:numId="28">
    <w:abstractNumId w:val="37"/>
  </w:num>
  <w:num w:numId="29">
    <w:abstractNumId w:val="33"/>
  </w:num>
  <w:num w:numId="30">
    <w:abstractNumId w:val="16"/>
  </w:num>
  <w:num w:numId="31">
    <w:abstractNumId w:val="10"/>
  </w:num>
  <w:num w:numId="32">
    <w:abstractNumId w:val="21"/>
  </w:num>
  <w:num w:numId="33">
    <w:abstractNumId w:val="41"/>
  </w:num>
  <w:num w:numId="34">
    <w:abstractNumId w:val="19"/>
  </w:num>
  <w:num w:numId="35">
    <w:abstractNumId w:val="44"/>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8"/>
  </w:num>
  <w:num w:numId="40">
    <w:abstractNumId w:val="22"/>
  </w:num>
  <w:num w:numId="41">
    <w:abstractNumId w:val="43"/>
  </w:num>
  <w:num w:numId="42">
    <w:abstractNumId w:val="24"/>
  </w:num>
  <w:num w:numId="43">
    <w:abstractNumId w:val="23"/>
  </w:num>
  <w:num w:numId="44">
    <w:abstractNumId w:val="1"/>
  </w:num>
  <w:num w:numId="45">
    <w:abstractNumId w:val="14"/>
  </w:num>
  <w:num w:numId="46">
    <w:abstractNumId w:val="4"/>
  </w:num>
  <w:num w:numId="47">
    <w:abstractNumId w:val="46"/>
  </w:num>
  <w:num w:numId="48">
    <w:abstractNumId w:val="5"/>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0847"/>
    <w:rsid w:val="000266CD"/>
    <w:rsid w:val="000273B0"/>
    <w:rsid w:val="0002744F"/>
    <w:rsid w:val="00031C2D"/>
    <w:rsid w:val="000332C9"/>
    <w:rsid w:val="00036979"/>
    <w:rsid w:val="000427DD"/>
    <w:rsid w:val="00042D11"/>
    <w:rsid w:val="00047317"/>
    <w:rsid w:val="0004758A"/>
    <w:rsid w:val="00047E20"/>
    <w:rsid w:val="000504F4"/>
    <w:rsid w:val="00051C9E"/>
    <w:rsid w:val="00054301"/>
    <w:rsid w:val="00065994"/>
    <w:rsid w:val="00067A1C"/>
    <w:rsid w:val="00070D9E"/>
    <w:rsid w:val="00074145"/>
    <w:rsid w:val="00075BF0"/>
    <w:rsid w:val="00081184"/>
    <w:rsid w:val="000818D3"/>
    <w:rsid w:val="00085EDD"/>
    <w:rsid w:val="000873DE"/>
    <w:rsid w:val="00092024"/>
    <w:rsid w:val="0009327E"/>
    <w:rsid w:val="00093C22"/>
    <w:rsid w:val="00094195"/>
    <w:rsid w:val="00097A06"/>
    <w:rsid w:val="000A10E8"/>
    <w:rsid w:val="000A22F9"/>
    <w:rsid w:val="000A3192"/>
    <w:rsid w:val="000A4FE8"/>
    <w:rsid w:val="000A5F4E"/>
    <w:rsid w:val="000A780C"/>
    <w:rsid w:val="000A7BF3"/>
    <w:rsid w:val="000B180C"/>
    <w:rsid w:val="000B218F"/>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2451B"/>
    <w:rsid w:val="0013059C"/>
    <w:rsid w:val="00130ABE"/>
    <w:rsid w:val="00132C7F"/>
    <w:rsid w:val="00133DB5"/>
    <w:rsid w:val="00137032"/>
    <w:rsid w:val="00141806"/>
    <w:rsid w:val="001429A0"/>
    <w:rsid w:val="001431D8"/>
    <w:rsid w:val="0014663A"/>
    <w:rsid w:val="00146739"/>
    <w:rsid w:val="00150A82"/>
    <w:rsid w:val="00151A7C"/>
    <w:rsid w:val="00155B5D"/>
    <w:rsid w:val="00155E80"/>
    <w:rsid w:val="00160974"/>
    <w:rsid w:val="00164668"/>
    <w:rsid w:val="00164DB2"/>
    <w:rsid w:val="001650C6"/>
    <w:rsid w:val="00165F76"/>
    <w:rsid w:val="00171310"/>
    <w:rsid w:val="001729C9"/>
    <w:rsid w:val="00173482"/>
    <w:rsid w:val="00175CED"/>
    <w:rsid w:val="00176275"/>
    <w:rsid w:val="00181532"/>
    <w:rsid w:val="001822D6"/>
    <w:rsid w:val="00182581"/>
    <w:rsid w:val="00182CA7"/>
    <w:rsid w:val="00184359"/>
    <w:rsid w:val="00184ABA"/>
    <w:rsid w:val="001863BB"/>
    <w:rsid w:val="00187D2F"/>
    <w:rsid w:val="001902EC"/>
    <w:rsid w:val="001924F9"/>
    <w:rsid w:val="00194848"/>
    <w:rsid w:val="00195836"/>
    <w:rsid w:val="00197B96"/>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E33"/>
    <w:rsid w:val="001E1F9A"/>
    <w:rsid w:val="001E55F1"/>
    <w:rsid w:val="001E5B21"/>
    <w:rsid w:val="001E60B3"/>
    <w:rsid w:val="001E68A3"/>
    <w:rsid w:val="001F03A9"/>
    <w:rsid w:val="001F069B"/>
    <w:rsid w:val="001F06AC"/>
    <w:rsid w:val="001F3AD5"/>
    <w:rsid w:val="001F46D8"/>
    <w:rsid w:val="00201D32"/>
    <w:rsid w:val="00202DD0"/>
    <w:rsid w:val="002042CB"/>
    <w:rsid w:val="00205152"/>
    <w:rsid w:val="002075E1"/>
    <w:rsid w:val="002077B3"/>
    <w:rsid w:val="00207E36"/>
    <w:rsid w:val="00211960"/>
    <w:rsid w:val="002151F7"/>
    <w:rsid w:val="00217C60"/>
    <w:rsid w:val="002202C1"/>
    <w:rsid w:val="00222BC6"/>
    <w:rsid w:val="00227701"/>
    <w:rsid w:val="0023360A"/>
    <w:rsid w:val="00234F92"/>
    <w:rsid w:val="00236230"/>
    <w:rsid w:val="00240D6F"/>
    <w:rsid w:val="00241004"/>
    <w:rsid w:val="00247CF4"/>
    <w:rsid w:val="00251121"/>
    <w:rsid w:val="00253EB1"/>
    <w:rsid w:val="00254128"/>
    <w:rsid w:val="0025421E"/>
    <w:rsid w:val="0025488A"/>
    <w:rsid w:val="0025665F"/>
    <w:rsid w:val="00256D10"/>
    <w:rsid w:val="002618E3"/>
    <w:rsid w:val="00263035"/>
    <w:rsid w:val="002633FE"/>
    <w:rsid w:val="002637FE"/>
    <w:rsid w:val="002645BC"/>
    <w:rsid w:val="002646D1"/>
    <w:rsid w:val="002655C0"/>
    <w:rsid w:val="002725E1"/>
    <w:rsid w:val="0027508B"/>
    <w:rsid w:val="00275765"/>
    <w:rsid w:val="00275833"/>
    <w:rsid w:val="00276D68"/>
    <w:rsid w:val="00282776"/>
    <w:rsid w:val="002828E6"/>
    <w:rsid w:val="00283022"/>
    <w:rsid w:val="00283EBC"/>
    <w:rsid w:val="00284C91"/>
    <w:rsid w:val="00285E43"/>
    <w:rsid w:val="002864FD"/>
    <w:rsid w:val="00291945"/>
    <w:rsid w:val="00294288"/>
    <w:rsid w:val="00294A1F"/>
    <w:rsid w:val="00294E1C"/>
    <w:rsid w:val="002A166F"/>
    <w:rsid w:val="002A1DEC"/>
    <w:rsid w:val="002A4535"/>
    <w:rsid w:val="002B123E"/>
    <w:rsid w:val="002B30DB"/>
    <w:rsid w:val="002B58A7"/>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896"/>
    <w:rsid w:val="00305EA5"/>
    <w:rsid w:val="00306CE2"/>
    <w:rsid w:val="00307CF9"/>
    <w:rsid w:val="0031237A"/>
    <w:rsid w:val="00312468"/>
    <w:rsid w:val="00314E19"/>
    <w:rsid w:val="00315290"/>
    <w:rsid w:val="0031681E"/>
    <w:rsid w:val="00324067"/>
    <w:rsid w:val="00332B57"/>
    <w:rsid w:val="0033617C"/>
    <w:rsid w:val="0033748D"/>
    <w:rsid w:val="00340755"/>
    <w:rsid w:val="00340E4D"/>
    <w:rsid w:val="00340EC2"/>
    <w:rsid w:val="00343812"/>
    <w:rsid w:val="00346350"/>
    <w:rsid w:val="0034637F"/>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753A"/>
    <w:rsid w:val="00381E46"/>
    <w:rsid w:val="003829A7"/>
    <w:rsid w:val="00387402"/>
    <w:rsid w:val="003907AC"/>
    <w:rsid w:val="00390F53"/>
    <w:rsid w:val="00397E9E"/>
    <w:rsid w:val="003A4412"/>
    <w:rsid w:val="003B42F6"/>
    <w:rsid w:val="003B54A8"/>
    <w:rsid w:val="003B5F94"/>
    <w:rsid w:val="003B6169"/>
    <w:rsid w:val="003C056D"/>
    <w:rsid w:val="003C0742"/>
    <w:rsid w:val="003C4C02"/>
    <w:rsid w:val="003C6AA3"/>
    <w:rsid w:val="003C7BC9"/>
    <w:rsid w:val="003D3D7D"/>
    <w:rsid w:val="003D42A9"/>
    <w:rsid w:val="003D528B"/>
    <w:rsid w:val="003D6CD7"/>
    <w:rsid w:val="003D6FA5"/>
    <w:rsid w:val="003E1C16"/>
    <w:rsid w:val="003E221B"/>
    <w:rsid w:val="003E31E6"/>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5EB9"/>
    <w:rsid w:val="004463AB"/>
    <w:rsid w:val="004468E6"/>
    <w:rsid w:val="00447541"/>
    <w:rsid w:val="00447FDE"/>
    <w:rsid w:val="00451CBD"/>
    <w:rsid w:val="004530FB"/>
    <w:rsid w:val="00453A54"/>
    <w:rsid w:val="00454A25"/>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4965"/>
    <w:rsid w:val="004B6B5C"/>
    <w:rsid w:val="004C2848"/>
    <w:rsid w:val="004C28D3"/>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F2A24"/>
    <w:rsid w:val="004F36FE"/>
    <w:rsid w:val="004F52C0"/>
    <w:rsid w:val="004F55CF"/>
    <w:rsid w:val="004F5E20"/>
    <w:rsid w:val="004F7F4D"/>
    <w:rsid w:val="00502F76"/>
    <w:rsid w:val="00503172"/>
    <w:rsid w:val="00503CEF"/>
    <w:rsid w:val="00503E1D"/>
    <w:rsid w:val="00504D89"/>
    <w:rsid w:val="00513629"/>
    <w:rsid w:val="00517365"/>
    <w:rsid w:val="00520AF6"/>
    <w:rsid w:val="00522358"/>
    <w:rsid w:val="00522FB4"/>
    <w:rsid w:val="00524F8D"/>
    <w:rsid w:val="00525465"/>
    <w:rsid w:val="00531897"/>
    <w:rsid w:val="00534748"/>
    <w:rsid w:val="00540476"/>
    <w:rsid w:val="00541A27"/>
    <w:rsid w:val="00541D60"/>
    <w:rsid w:val="00544F06"/>
    <w:rsid w:val="00546A03"/>
    <w:rsid w:val="00547CC2"/>
    <w:rsid w:val="00547FF3"/>
    <w:rsid w:val="00550271"/>
    <w:rsid w:val="0055035F"/>
    <w:rsid w:val="005602E9"/>
    <w:rsid w:val="00561916"/>
    <w:rsid w:val="00562F37"/>
    <w:rsid w:val="00564BB1"/>
    <w:rsid w:val="0056681F"/>
    <w:rsid w:val="005727D0"/>
    <w:rsid w:val="00572E9F"/>
    <w:rsid w:val="0057376C"/>
    <w:rsid w:val="005758D5"/>
    <w:rsid w:val="00575F36"/>
    <w:rsid w:val="00581709"/>
    <w:rsid w:val="00582F9A"/>
    <w:rsid w:val="00583513"/>
    <w:rsid w:val="00586CCA"/>
    <w:rsid w:val="00587417"/>
    <w:rsid w:val="00587DAC"/>
    <w:rsid w:val="00593E63"/>
    <w:rsid w:val="00594AE0"/>
    <w:rsid w:val="005963BC"/>
    <w:rsid w:val="005A7CDE"/>
    <w:rsid w:val="005B00D1"/>
    <w:rsid w:val="005B0205"/>
    <w:rsid w:val="005B06A0"/>
    <w:rsid w:val="005B1F6C"/>
    <w:rsid w:val="005B2244"/>
    <w:rsid w:val="005B2A1E"/>
    <w:rsid w:val="005B31F1"/>
    <w:rsid w:val="005B41BA"/>
    <w:rsid w:val="005B41D7"/>
    <w:rsid w:val="005B72D1"/>
    <w:rsid w:val="005C105D"/>
    <w:rsid w:val="005C3025"/>
    <w:rsid w:val="005C5636"/>
    <w:rsid w:val="005C5976"/>
    <w:rsid w:val="005D2799"/>
    <w:rsid w:val="005D5538"/>
    <w:rsid w:val="005E0FBA"/>
    <w:rsid w:val="005E4881"/>
    <w:rsid w:val="005E48A7"/>
    <w:rsid w:val="005E4AC6"/>
    <w:rsid w:val="005E55E7"/>
    <w:rsid w:val="005F2340"/>
    <w:rsid w:val="005F255C"/>
    <w:rsid w:val="005F39D7"/>
    <w:rsid w:val="005F44F2"/>
    <w:rsid w:val="005F49D8"/>
    <w:rsid w:val="005F4B5C"/>
    <w:rsid w:val="005F6235"/>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7089"/>
    <w:rsid w:val="0063110B"/>
    <w:rsid w:val="00631610"/>
    <w:rsid w:val="00632FC1"/>
    <w:rsid w:val="006359A3"/>
    <w:rsid w:val="00641A28"/>
    <w:rsid w:val="00653CFF"/>
    <w:rsid w:val="00656873"/>
    <w:rsid w:val="006608B4"/>
    <w:rsid w:val="006664C4"/>
    <w:rsid w:val="00670E0B"/>
    <w:rsid w:val="00671F1E"/>
    <w:rsid w:val="00672524"/>
    <w:rsid w:val="006731E3"/>
    <w:rsid w:val="00673F8F"/>
    <w:rsid w:val="00676219"/>
    <w:rsid w:val="006800EF"/>
    <w:rsid w:val="00680FB7"/>
    <w:rsid w:val="00683078"/>
    <w:rsid w:val="00683DED"/>
    <w:rsid w:val="00685610"/>
    <w:rsid w:val="006862D0"/>
    <w:rsid w:val="006905CE"/>
    <w:rsid w:val="00693DD6"/>
    <w:rsid w:val="006A02E2"/>
    <w:rsid w:val="006A032F"/>
    <w:rsid w:val="006A0621"/>
    <w:rsid w:val="006A2A13"/>
    <w:rsid w:val="006A4CC3"/>
    <w:rsid w:val="006A5739"/>
    <w:rsid w:val="006A6DE1"/>
    <w:rsid w:val="006B24DF"/>
    <w:rsid w:val="006B27A3"/>
    <w:rsid w:val="006B3C20"/>
    <w:rsid w:val="006B5CAF"/>
    <w:rsid w:val="006C0472"/>
    <w:rsid w:val="006C1555"/>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614C"/>
    <w:rsid w:val="00711133"/>
    <w:rsid w:val="007114A0"/>
    <w:rsid w:val="00712245"/>
    <w:rsid w:val="00713ADF"/>
    <w:rsid w:val="0071442C"/>
    <w:rsid w:val="00715245"/>
    <w:rsid w:val="00715AFC"/>
    <w:rsid w:val="007166A3"/>
    <w:rsid w:val="0071723E"/>
    <w:rsid w:val="00720A2B"/>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364C"/>
    <w:rsid w:val="00755B83"/>
    <w:rsid w:val="00757B7D"/>
    <w:rsid w:val="00760C8C"/>
    <w:rsid w:val="00761D4A"/>
    <w:rsid w:val="00761DB4"/>
    <w:rsid w:val="00764350"/>
    <w:rsid w:val="007650C7"/>
    <w:rsid w:val="00765409"/>
    <w:rsid w:val="007714AA"/>
    <w:rsid w:val="00772A4E"/>
    <w:rsid w:val="00775832"/>
    <w:rsid w:val="0077650E"/>
    <w:rsid w:val="007776BB"/>
    <w:rsid w:val="00777C11"/>
    <w:rsid w:val="00784E07"/>
    <w:rsid w:val="00786451"/>
    <w:rsid w:val="0079015F"/>
    <w:rsid w:val="0079165E"/>
    <w:rsid w:val="007956E4"/>
    <w:rsid w:val="0079736A"/>
    <w:rsid w:val="007A3079"/>
    <w:rsid w:val="007A34D8"/>
    <w:rsid w:val="007A418A"/>
    <w:rsid w:val="007A4E8A"/>
    <w:rsid w:val="007A54EE"/>
    <w:rsid w:val="007A7E41"/>
    <w:rsid w:val="007B18F7"/>
    <w:rsid w:val="007B2FCB"/>
    <w:rsid w:val="007C0CD3"/>
    <w:rsid w:val="007C154C"/>
    <w:rsid w:val="007C296B"/>
    <w:rsid w:val="007C4876"/>
    <w:rsid w:val="007D2944"/>
    <w:rsid w:val="007D4BED"/>
    <w:rsid w:val="007D5CD7"/>
    <w:rsid w:val="007D64AD"/>
    <w:rsid w:val="007D6FCA"/>
    <w:rsid w:val="007E1B9E"/>
    <w:rsid w:val="007E52C9"/>
    <w:rsid w:val="007E5C4A"/>
    <w:rsid w:val="007E5F7D"/>
    <w:rsid w:val="007E7109"/>
    <w:rsid w:val="007E78EB"/>
    <w:rsid w:val="007F1D62"/>
    <w:rsid w:val="007F33F9"/>
    <w:rsid w:val="00800FE4"/>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7B7"/>
    <w:rsid w:val="008727DD"/>
    <w:rsid w:val="00875AC0"/>
    <w:rsid w:val="00886E06"/>
    <w:rsid w:val="008919FA"/>
    <w:rsid w:val="00894A7F"/>
    <w:rsid w:val="008A27AF"/>
    <w:rsid w:val="008A5561"/>
    <w:rsid w:val="008A6530"/>
    <w:rsid w:val="008A6E64"/>
    <w:rsid w:val="008B05D8"/>
    <w:rsid w:val="008B4318"/>
    <w:rsid w:val="008B56B4"/>
    <w:rsid w:val="008B5A3B"/>
    <w:rsid w:val="008B78C3"/>
    <w:rsid w:val="008C062E"/>
    <w:rsid w:val="008C0ED6"/>
    <w:rsid w:val="008C1601"/>
    <w:rsid w:val="008C2A49"/>
    <w:rsid w:val="008C2CD7"/>
    <w:rsid w:val="008D0166"/>
    <w:rsid w:val="008D35D8"/>
    <w:rsid w:val="008D42C0"/>
    <w:rsid w:val="008D47C4"/>
    <w:rsid w:val="008D5546"/>
    <w:rsid w:val="008E5CFE"/>
    <w:rsid w:val="008E718E"/>
    <w:rsid w:val="008E786D"/>
    <w:rsid w:val="008E7B70"/>
    <w:rsid w:val="008F2B86"/>
    <w:rsid w:val="008F3565"/>
    <w:rsid w:val="008F3A29"/>
    <w:rsid w:val="008F404F"/>
    <w:rsid w:val="00902549"/>
    <w:rsid w:val="0090271B"/>
    <w:rsid w:val="00904A84"/>
    <w:rsid w:val="00904EA0"/>
    <w:rsid w:val="00906071"/>
    <w:rsid w:val="00906777"/>
    <w:rsid w:val="00907C17"/>
    <w:rsid w:val="0091052D"/>
    <w:rsid w:val="00910762"/>
    <w:rsid w:val="00910E9A"/>
    <w:rsid w:val="00914D27"/>
    <w:rsid w:val="009150BC"/>
    <w:rsid w:val="009170D0"/>
    <w:rsid w:val="0091791F"/>
    <w:rsid w:val="00920120"/>
    <w:rsid w:val="00920FBD"/>
    <w:rsid w:val="00925482"/>
    <w:rsid w:val="0092725F"/>
    <w:rsid w:val="009300B8"/>
    <w:rsid w:val="00933BBA"/>
    <w:rsid w:val="009375E5"/>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6388"/>
    <w:rsid w:val="0097669E"/>
    <w:rsid w:val="009775D4"/>
    <w:rsid w:val="0098077C"/>
    <w:rsid w:val="00981655"/>
    <w:rsid w:val="009849D2"/>
    <w:rsid w:val="00986B20"/>
    <w:rsid w:val="00987EDF"/>
    <w:rsid w:val="00994361"/>
    <w:rsid w:val="00994AA4"/>
    <w:rsid w:val="009A063D"/>
    <w:rsid w:val="009A14F3"/>
    <w:rsid w:val="009A1F6D"/>
    <w:rsid w:val="009A2A29"/>
    <w:rsid w:val="009A3FCD"/>
    <w:rsid w:val="009A54FF"/>
    <w:rsid w:val="009A76E2"/>
    <w:rsid w:val="009B3E71"/>
    <w:rsid w:val="009B5C7D"/>
    <w:rsid w:val="009C3465"/>
    <w:rsid w:val="009C3752"/>
    <w:rsid w:val="009C468C"/>
    <w:rsid w:val="009C65FC"/>
    <w:rsid w:val="009D0026"/>
    <w:rsid w:val="009D0FFC"/>
    <w:rsid w:val="009D1CCD"/>
    <w:rsid w:val="009D4B34"/>
    <w:rsid w:val="009D5357"/>
    <w:rsid w:val="009D5C37"/>
    <w:rsid w:val="009D6C5E"/>
    <w:rsid w:val="009D6EA5"/>
    <w:rsid w:val="009D7ABF"/>
    <w:rsid w:val="009E068C"/>
    <w:rsid w:val="009E37BD"/>
    <w:rsid w:val="009E3FF8"/>
    <w:rsid w:val="009E543C"/>
    <w:rsid w:val="009E5F56"/>
    <w:rsid w:val="009E686B"/>
    <w:rsid w:val="009F0105"/>
    <w:rsid w:val="009F19A5"/>
    <w:rsid w:val="009F1F00"/>
    <w:rsid w:val="009F7275"/>
    <w:rsid w:val="00A0049F"/>
    <w:rsid w:val="00A02580"/>
    <w:rsid w:val="00A02A10"/>
    <w:rsid w:val="00A046A5"/>
    <w:rsid w:val="00A06C96"/>
    <w:rsid w:val="00A102FD"/>
    <w:rsid w:val="00A12A14"/>
    <w:rsid w:val="00A16CFB"/>
    <w:rsid w:val="00A243CC"/>
    <w:rsid w:val="00A24B06"/>
    <w:rsid w:val="00A25B12"/>
    <w:rsid w:val="00A30B23"/>
    <w:rsid w:val="00A33606"/>
    <w:rsid w:val="00A344F3"/>
    <w:rsid w:val="00A3459C"/>
    <w:rsid w:val="00A34702"/>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659D"/>
    <w:rsid w:val="00A72DC3"/>
    <w:rsid w:val="00A74C3A"/>
    <w:rsid w:val="00A7584A"/>
    <w:rsid w:val="00A84FC1"/>
    <w:rsid w:val="00A87AA0"/>
    <w:rsid w:val="00A904FD"/>
    <w:rsid w:val="00A92EDE"/>
    <w:rsid w:val="00A92F7E"/>
    <w:rsid w:val="00A933D8"/>
    <w:rsid w:val="00A96ACC"/>
    <w:rsid w:val="00AA021A"/>
    <w:rsid w:val="00AA4BDE"/>
    <w:rsid w:val="00AA55A4"/>
    <w:rsid w:val="00AB09FC"/>
    <w:rsid w:val="00AB3DC5"/>
    <w:rsid w:val="00AB73A5"/>
    <w:rsid w:val="00AB77C8"/>
    <w:rsid w:val="00AC01D3"/>
    <w:rsid w:val="00AC25DF"/>
    <w:rsid w:val="00AC3A60"/>
    <w:rsid w:val="00AC4307"/>
    <w:rsid w:val="00AC4464"/>
    <w:rsid w:val="00AC485B"/>
    <w:rsid w:val="00AD0DD9"/>
    <w:rsid w:val="00AD0FE5"/>
    <w:rsid w:val="00AD410E"/>
    <w:rsid w:val="00AD5F43"/>
    <w:rsid w:val="00AD671E"/>
    <w:rsid w:val="00AE1DE6"/>
    <w:rsid w:val="00AE2378"/>
    <w:rsid w:val="00AE2BAA"/>
    <w:rsid w:val="00AE4DEE"/>
    <w:rsid w:val="00AE6E11"/>
    <w:rsid w:val="00AE7215"/>
    <w:rsid w:val="00AF0454"/>
    <w:rsid w:val="00AF08A3"/>
    <w:rsid w:val="00AF2282"/>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51B"/>
    <w:rsid w:val="00B22B3C"/>
    <w:rsid w:val="00B22E05"/>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489C"/>
    <w:rsid w:val="00B56006"/>
    <w:rsid w:val="00B56E50"/>
    <w:rsid w:val="00B578EA"/>
    <w:rsid w:val="00B60279"/>
    <w:rsid w:val="00B60902"/>
    <w:rsid w:val="00B70882"/>
    <w:rsid w:val="00B71CAD"/>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2A42"/>
    <w:rsid w:val="00BB397B"/>
    <w:rsid w:val="00BC0BCB"/>
    <w:rsid w:val="00BC2C93"/>
    <w:rsid w:val="00BC3006"/>
    <w:rsid w:val="00BC5FD2"/>
    <w:rsid w:val="00BC743B"/>
    <w:rsid w:val="00BD01C4"/>
    <w:rsid w:val="00BE2860"/>
    <w:rsid w:val="00BE32C5"/>
    <w:rsid w:val="00BE6AE9"/>
    <w:rsid w:val="00BE7F01"/>
    <w:rsid w:val="00C00AEE"/>
    <w:rsid w:val="00C0229E"/>
    <w:rsid w:val="00C02381"/>
    <w:rsid w:val="00C02710"/>
    <w:rsid w:val="00C14428"/>
    <w:rsid w:val="00C16A5F"/>
    <w:rsid w:val="00C16C55"/>
    <w:rsid w:val="00C210F7"/>
    <w:rsid w:val="00C21942"/>
    <w:rsid w:val="00C224DE"/>
    <w:rsid w:val="00C24AFC"/>
    <w:rsid w:val="00C252E0"/>
    <w:rsid w:val="00C265C5"/>
    <w:rsid w:val="00C33392"/>
    <w:rsid w:val="00C35D25"/>
    <w:rsid w:val="00C37268"/>
    <w:rsid w:val="00C37E94"/>
    <w:rsid w:val="00C41439"/>
    <w:rsid w:val="00C417C7"/>
    <w:rsid w:val="00C43ECE"/>
    <w:rsid w:val="00C441DA"/>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B0C60"/>
    <w:rsid w:val="00CB1804"/>
    <w:rsid w:val="00CB26A4"/>
    <w:rsid w:val="00CB3EE4"/>
    <w:rsid w:val="00CB4505"/>
    <w:rsid w:val="00CB64ED"/>
    <w:rsid w:val="00CB6B54"/>
    <w:rsid w:val="00CC0FE1"/>
    <w:rsid w:val="00CC309E"/>
    <w:rsid w:val="00CC5E76"/>
    <w:rsid w:val="00CD235D"/>
    <w:rsid w:val="00CD479E"/>
    <w:rsid w:val="00CD4B2C"/>
    <w:rsid w:val="00CE15F9"/>
    <w:rsid w:val="00CE2B7C"/>
    <w:rsid w:val="00CE78E3"/>
    <w:rsid w:val="00CF0AAF"/>
    <w:rsid w:val="00CF1FC9"/>
    <w:rsid w:val="00CF7EE4"/>
    <w:rsid w:val="00D004A5"/>
    <w:rsid w:val="00D0325E"/>
    <w:rsid w:val="00D05261"/>
    <w:rsid w:val="00D109BA"/>
    <w:rsid w:val="00D123DF"/>
    <w:rsid w:val="00D12946"/>
    <w:rsid w:val="00D12F4B"/>
    <w:rsid w:val="00D14B83"/>
    <w:rsid w:val="00D15F2D"/>
    <w:rsid w:val="00D174F7"/>
    <w:rsid w:val="00D231C0"/>
    <w:rsid w:val="00D25B0F"/>
    <w:rsid w:val="00D26C3B"/>
    <w:rsid w:val="00D3284B"/>
    <w:rsid w:val="00D33954"/>
    <w:rsid w:val="00D33A2E"/>
    <w:rsid w:val="00D33A86"/>
    <w:rsid w:val="00D3556B"/>
    <w:rsid w:val="00D36B90"/>
    <w:rsid w:val="00D4055F"/>
    <w:rsid w:val="00D436AA"/>
    <w:rsid w:val="00D44895"/>
    <w:rsid w:val="00D477D3"/>
    <w:rsid w:val="00D5127A"/>
    <w:rsid w:val="00D52F55"/>
    <w:rsid w:val="00D5515B"/>
    <w:rsid w:val="00D63075"/>
    <w:rsid w:val="00D63DE8"/>
    <w:rsid w:val="00D6625C"/>
    <w:rsid w:val="00D67DEA"/>
    <w:rsid w:val="00D70969"/>
    <w:rsid w:val="00D738A4"/>
    <w:rsid w:val="00D73EDD"/>
    <w:rsid w:val="00D7739D"/>
    <w:rsid w:val="00D77633"/>
    <w:rsid w:val="00D83A36"/>
    <w:rsid w:val="00D85E8F"/>
    <w:rsid w:val="00D860F1"/>
    <w:rsid w:val="00D93A5F"/>
    <w:rsid w:val="00D93C1A"/>
    <w:rsid w:val="00D959C9"/>
    <w:rsid w:val="00DA30FF"/>
    <w:rsid w:val="00DA349F"/>
    <w:rsid w:val="00DB0E56"/>
    <w:rsid w:val="00DB1E62"/>
    <w:rsid w:val="00DB3426"/>
    <w:rsid w:val="00DB3940"/>
    <w:rsid w:val="00DB3DE5"/>
    <w:rsid w:val="00DB42FA"/>
    <w:rsid w:val="00DB7D79"/>
    <w:rsid w:val="00DC032E"/>
    <w:rsid w:val="00DC0A26"/>
    <w:rsid w:val="00DC3157"/>
    <w:rsid w:val="00DC54B6"/>
    <w:rsid w:val="00DC7067"/>
    <w:rsid w:val="00DD0EAD"/>
    <w:rsid w:val="00DD16E0"/>
    <w:rsid w:val="00DD2052"/>
    <w:rsid w:val="00DD266B"/>
    <w:rsid w:val="00DD3265"/>
    <w:rsid w:val="00DE0896"/>
    <w:rsid w:val="00DE1C40"/>
    <w:rsid w:val="00DE2204"/>
    <w:rsid w:val="00DE4567"/>
    <w:rsid w:val="00DE7961"/>
    <w:rsid w:val="00DF0204"/>
    <w:rsid w:val="00DF0B4E"/>
    <w:rsid w:val="00DF1CC9"/>
    <w:rsid w:val="00DF252A"/>
    <w:rsid w:val="00DF2B90"/>
    <w:rsid w:val="00DF3A21"/>
    <w:rsid w:val="00DF3ED0"/>
    <w:rsid w:val="00DF54EF"/>
    <w:rsid w:val="00E02296"/>
    <w:rsid w:val="00E04911"/>
    <w:rsid w:val="00E1217E"/>
    <w:rsid w:val="00E124F8"/>
    <w:rsid w:val="00E12FAD"/>
    <w:rsid w:val="00E136A8"/>
    <w:rsid w:val="00E14100"/>
    <w:rsid w:val="00E141B4"/>
    <w:rsid w:val="00E14755"/>
    <w:rsid w:val="00E14BF3"/>
    <w:rsid w:val="00E20030"/>
    <w:rsid w:val="00E22EEA"/>
    <w:rsid w:val="00E307CF"/>
    <w:rsid w:val="00E30C1A"/>
    <w:rsid w:val="00E31EEB"/>
    <w:rsid w:val="00E32D78"/>
    <w:rsid w:val="00E33E89"/>
    <w:rsid w:val="00E34AAC"/>
    <w:rsid w:val="00E35D04"/>
    <w:rsid w:val="00E37BD0"/>
    <w:rsid w:val="00E407F0"/>
    <w:rsid w:val="00E414C7"/>
    <w:rsid w:val="00E418F4"/>
    <w:rsid w:val="00E43AF0"/>
    <w:rsid w:val="00E43C45"/>
    <w:rsid w:val="00E454FE"/>
    <w:rsid w:val="00E4662E"/>
    <w:rsid w:val="00E504E3"/>
    <w:rsid w:val="00E50995"/>
    <w:rsid w:val="00E5526F"/>
    <w:rsid w:val="00E6135A"/>
    <w:rsid w:val="00E62A27"/>
    <w:rsid w:val="00E63E69"/>
    <w:rsid w:val="00E64707"/>
    <w:rsid w:val="00E660C2"/>
    <w:rsid w:val="00E6751A"/>
    <w:rsid w:val="00E70041"/>
    <w:rsid w:val="00E707E0"/>
    <w:rsid w:val="00E70E8E"/>
    <w:rsid w:val="00E711D5"/>
    <w:rsid w:val="00E746C1"/>
    <w:rsid w:val="00E74B42"/>
    <w:rsid w:val="00E849E0"/>
    <w:rsid w:val="00E8549D"/>
    <w:rsid w:val="00E8581D"/>
    <w:rsid w:val="00E875A2"/>
    <w:rsid w:val="00E90160"/>
    <w:rsid w:val="00E91486"/>
    <w:rsid w:val="00E95DE3"/>
    <w:rsid w:val="00E96E63"/>
    <w:rsid w:val="00EA087C"/>
    <w:rsid w:val="00EA35F3"/>
    <w:rsid w:val="00EA3B48"/>
    <w:rsid w:val="00EA4765"/>
    <w:rsid w:val="00EA54B4"/>
    <w:rsid w:val="00EA73E4"/>
    <w:rsid w:val="00EA7DDB"/>
    <w:rsid w:val="00EB05BD"/>
    <w:rsid w:val="00EB0A79"/>
    <w:rsid w:val="00EB6F1C"/>
    <w:rsid w:val="00EC1CA3"/>
    <w:rsid w:val="00EC4AC2"/>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3E16"/>
    <w:rsid w:val="00F30D1D"/>
    <w:rsid w:val="00F353C8"/>
    <w:rsid w:val="00F3604E"/>
    <w:rsid w:val="00F36985"/>
    <w:rsid w:val="00F37F45"/>
    <w:rsid w:val="00F44FE1"/>
    <w:rsid w:val="00F45166"/>
    <w:rsid w:val="00F453BC"/>
    <w:rsid w:val="00F45C05"/>
    <w:rsid w:val="00F46A75"/>
    <w:rsid w:val="00F47BAF"/>
    <w:rsid w:val="00F50B2A"/>
    <w:rsid w:val="00F518A2"/>
    <w:rsid w:val="00F533A4"/>
    <w:rsid w:val="00F55D67"/>
    <w:rsid w:val="00F56D47"/>
    <w:rsid w:val="00F578B3"/>
    <w:rsid w:val="00F5799D"/>
    <w:rsid w:val="00F63519"/>
    <w:rsid w:val="00F6409A"/>
    <w:rsid w:val="00F654CF"/>
    <w:rsid w:val="00F662F5"/>
    <w:rsid w:val="00F74EEF"/>
    <w:rsid w:val="00F80B8D"/>
    <w:rsid w:val="00F81D3D"/>
    <w:rsid w:val="00F82360"/>
    <w:rsid w:val="00F837B7"/>
    <w:rsid w:val="00F85AE5"/>
    <w:rsid w:val="00F879E0"/>
    <w:rsid w:val="00F90846"/>
    <w:rsid w:val="00F94AD4"/>
    <w:rsid w:val="00F96CD9"/>
    <w:rsid w:val="00F97648"/>
    <w:rsid w:val="00FA4E5D"/>
    <w:rsid w:val="00FB15B5"/>
    <w:rsid w:val="00FB2CDA"/>
    <w:rsid w:val="00FB5231"/>
    <w:rsid w:val="00FB5626"/>
    <w:rsid w:val="00FB6750"/>
    <w:rsid w:val="00FC047E"/>
    <w:rsid w:val="00FC430C"/>
    <w:rsid w:val="00FC58D1"/>
    <w:rsid w:val="00FD1F5F"/>
    <w:rsid w:val="00FD246F"/>
    <w:rsid w:val="00FD4058"/>
    <w:rsid w:val="00FD55C9"/>
    <w:rsid w:val="00FD60D5"/>
    <w:rsid w:val="00FE1B0E"/>
    <w:rsid w:val="00FE26E3"/>
    <w:rsid w:val="00FE2700"/>
    <w:rsid w:val="00FE2A35"/>
    <w:rsid w:val="00FF133F"/>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Footnote symbol,Footnote,Footnote number,Footnote Reference Number,Footnote reference number,Times 10 Point,Exposant 3 Point,Footnote Reference Superscript, Exposant 3 Point,SUPERS,BVI fnr, BVI fnr,(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uiPriority w:val="99"/>
    <w:semiHidden/>
    <w:rsid w:val="00E95DE3"/>
  </w:style>
  <w:style w:type="character" w:customStyle="1" w:styleId="CommentTextChar">
    <w:name w:val="Comment Text Char"/>
    <w:basedOn w:val="DefaultParagraphFont"/>
    <w:link w:val="CommentText"/>
    <w:uiPriority w:val="99"/>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aliases w:val="Schriftart: 9 pt,Schriftart: 10 pt,Schriftart: 8 pt,WB-Fußnotentext,fn,Footnotes,Footnote ak,footnote text,Reference,Fußnote,Footnote Text Char2,Footnote Text Char Char1,Footnote Text Char1 Char Char"/>
    <w:basedOn w:val="Normal"/>
    <w:link w:val="FootnoteTextChar"/>
    <w:unhideWhenUsed/>
    <w:rsid w:val="001C32EB"/>
  </w:style>
  <w:style w:type="character" w:customStyle="1" w:styleId="FootnoteTextChar">
    <w:name w:val="Footnote Text Char"/>
    <w:aliases w:val="Schriftart: 9 pt Char,Schriftart: 10 pt Char,Schriftart: 8 pt Char,WB-Fußnotentext Char,fn Char,Footnotes Char,Footnote ak Char,footnote text Char,Reference Char,Fußnote Char,Footnote Text Char2 Char,Footnote Text Char Char1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ListDash2">
    <w:name w:val="List Dash 2"/>
    <w:basedOn w:val="Normal"/>
    <w:rsid w:val="00D959C9"/>
    <w:pPr>
      <w:numPr>
        <w:numId w:val="45"/>
      </w:numPr>
      <w:spacing w:before="120" w:after="120"/>
      <w:jc w:val="both"/>
    </w:pPr>
    <w:rPr>
      <w:sz w:val="24"/>
      <w:szCs w:val="24"/>
      <w:lang w:val="lv-LV" w:eastAsia="de-DE"/>
    </w:rPr>
  </w:style>
  <w:style w:type="paragraph" w:customStyle="1" w:styleId="Tiret1">
    <w:name w:val="Tiret 1"/>
    <w:basedOn w:val="Normal"/>
    <w:rsid w:val="00D959C9"/>
    <w:pPr>
      <w:numPr>
        <w:numId w:val="46"/>
      </w:numPr>
      <w:spacing w:before="120" w:after="120"/>
      <w:jc w:val="both"/>
    </w:pPr>
    <w:rPr>
      <w:sz w:val="24"/>
      <w:szCs w:val="24"/>
      <w:lang w:val="lv-LV" w:eastAsia="de-DE"/>
    </w:rPr>
  </w:style>
  <w:style w:type="paragraph" w:customStyle="1" w:styleId="ManualHeading2">
    <w:name w:val="Manual Heading 2"/>
    <w:basedOn w:val="Normal"/>
    <w:next w:val="Normal"/>
    <w:rsid w:val="00D959C9"/>
    <w:pPr>
      <w:keepNext/>
      <w:tabs>
        <w:tab w:val="left" w:pos="850"/>
      </w:tabs>
      <w:spacing w:before="120" w:after="120"/>
      <w:ind w:left="850" w:hanging="850"/>
      <w:jc w:val="both"/>
      <w:outlineLvl w:val="1"/>
    </w:pPr>
    <w:rPr>
      <w:b/>
      <w:snapToGrid w:val="0"/>
      <w:sz w:val="24"/>
      <w:szCs w:val="24"/>
      <w:lang w:val="lv-LV" w:eastAsia="en-GB"/>
    </w:rPr>
  </w:style>
  <w:style w:type="paragraph" w:customStyle="1" w:styleId="ManualNumPar1">
    <w:name w:val="Manual NumPar 1"/>
    <w:basedOn w:val="Normal"/>
    <w:next w:val="Normal"/>
    <w:rsid w:val="00D959C9"/>
    <w:pPr>
      <w:spacing w:before="120" w:after="120"/>
      <w:ind w:left="850" w:hanging="850"/>
      <w:jc w:val="both"/>
    </w:pPr>
    <w:rPr>
      <w:sz w:val="24"/>
      <w:szCs w:val="24"/>
      <w:lang w:val="lv-LV" w:eastAsia="en-GB"/>
    </w:rPr>
  </w:style>
  <w:style w:type="character" w:customStyle="1" w:styleId="Added">
    <w:name w:val="Added"/>
    <w:basedOn w:val="DefaultParagraphFont"/>
    <w:rsid w:val="00D959C9"/>
    <w:rPr>
      <w:rFonts w:cs="Times New Roman"/>
      <w:b/>
      <w:u w:val="single"/>
    </w:rPr>
  </w:style>
  <w:style w:type="paragraph" w:customStyle="1" w:styleId="ListNumber1">
    <w:name w:val="List Number 1"/>
    <w:basedOn w:val="Normal"/>
    <w:rsid w:val="00D959C9"/>
    <w:pPr>
      <w:numPr>
        <w:numId w:val="48"/>
      </w:numPr>
      <w:spacing w:before="120" w:after="120"/>
      <w:jc w:val="both"/>
    </w:pPr>
    <w:rPr>
      <w:snapToGrid w:val="0"/>
      <w:sz w:val="24"/>
      <w:szCs w:val="24"/>
      <w:lang w:val="lv-LV" w:eastAsia="en-GB"/>
    </w:rPr>
  </w:style>
  <w:style w:type="paragraph" w:customStyle="1" w:styleId="ListNumber1Level2">
    <w:name w:val="List Number 1 (Level 2)"/>
    <w:basedOn w:val="Normal"/>
    <w:rsid w:val="00D959C9"/>
    <w:pPr>
      <w:numPr>
        <w:ilvl w:val="1"/>
        <w:numId w:val="48"/>
      </w:numPr>
      <w:spacing w:before="120" w:after="120"/>
      <w:jc w:val="both"/>
    </w:pPr>
    <w:rPr>
      <w:snapToGrid w:val="0"/>
      <w:sz w:val="24"/>
      <w:szCs w:val="24"/>
      <w:lang w:val="lv-LV" w:eastAsia="en-GB"/>
    </w:rPr>
  </w:style>
  <w:style w:type="paragraph" w:customStyle="1" w:styleId="ListNumber1Level3">
    <w:name w:val="List Number 1 (Level 3)"/>
    <w:basedOn w:val="Normal"/>
    <w:rsid w:val="00D959C9"/>
    <w:pPr>
      <w:numPr>
        <w:ilvl w:val="2"/>
        <w:numId w:val="48"/>
      </w:numPr>
      <w:spacing w:before="120" w:after="120"/>
      <w:jc w:val="both"/>
    </w:pPr>
    <w:rPr>
      <w:snapToGrid w:val="0"/>
      <w:sz w:val="24"/>
      <w:szCs w:val="24"/>
      <w:lang w:val="lv-LV" w:eastAsia="en-GB"/>
    </w:rPr>
  </w:style>
  <w:style w:type="paragraph" w:customStyle="1" w:styleId="ListNumber1Level4">
    <w:name w:val="List Number 1 (Level 4)"/>
    <w:basedOn w:val="Normal"/>
    <w:rsid w:val="00D959C9"/>
    <w:pPr>
      <w:numPr>
        <w:ilvl w:val="3"/>
        <w:numId w:val="48"/>
      </w:numPr>
      <w:spacing w:before="120" w:after="120"/>
      <w:jc w:val="both"/>
    </w:pPr>
    <w:rPr>
      <w:snapToGrid w:val="0"/>
      <w:sz w:val="24"/>
      <w:szCs w:val="24"/>
      <w:lang w:val="lv-LV" w:eastAsia="en-GB"/>
    </w:rPr>
  </w:style>
  <w:style w:type="paragraph" w:customStyle="1" w:styleId="Akapitzlist">
    <w:name w:val="Akapit z listą"/>
    <w:basedOn w:val="Normal"/>
    <w:qFormat/>
    <w:rsid w:val="00562F37"/>
    <w:pPr>
      <w:spacing w:after="200" w:line="276" w:lineRule="auto"/>
      <w:ind w:left="720"/>
      <w:contextualSpacing/>
    </w:pPr>
    <w:rPr>
      <w:rFonts w:ascii="Calibri" w:eastAsia="Calibri" w:hAnsi="Calibr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5B84-8AA9-42E2-8D5B-181CCEE9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14283</Words>
  <Characters>8142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5</cp:revision>
  <cp:lastPrinted>2011-09-22T11:42:00Z</cp:lastPrinted>
  <dcterms:created xsi:type="dcterms:W3CDTF">2011-09-23T12:50:00Z</dcterms:created>
  <dcterms:modified xsi:type="dcterms:W3CDTF">2011-09-23T13:26:00Z</dcterms:modified>
</cp:coreProperties>
</file>