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335591" w:rsidRDefault="00A34702" w:rsidP="0077650E">
      <w:pPr>
        <w:pStyle w:val="BodyText"/>
        <w:spacing w:before="120"/>
        <w:rPr>
          <w:sz w:val="28"/>
          <w:szCs w:val="28"/>
        </w:rPr>
      </w:pPr>
      <w:r w:rsidRPr="00335591">
        <w:rPr>
          <w:sz w:val="28"/>
          <w:szCs w:val="28"/>
        </w:rPr>
        <w:t xml:space="preserve">Informatīvais </w:t>
      </w:r>
      <w:smartTag w:uri="schemas-tilde-lv/tildestengine" w:element="veidnes">
        <w:smartTagPr>
          <w:attr w:name="id" w:val="-1"/>
          <w:attr w:name="baseform" w:val="ziņojums"/>
          <w:attr w:name="text" w:val="ziņojums"/>
        </w:smartTagPr>
        <w:r w:rsidRPr="00335591">
          <w:rPr>
            <w:sz w:val="28"/>
            <w:szCs w:val="28"/>
          </w:rPr>
          <w:t>ziņojums</w:t>
        </w:r>
      </w:smartTag>
    </w:p>
    <w:p w:rsidR="00A34702" w:rsidRPr="00335591" w:rsidRDefault="00E80E2B" w:rsidP="00E80E2B">
      <w:pPr>
        <w:pStyle w:val="BodyText"/>
        <w:spacing w:before="120"/>
        <w:rPr>
          <w:sz w:val="28"/>
          <w:szCs w:val="28"/>
        </w:rPr>
      </w:pPr>
      <w:r w:rsidRPr="00335591">
        <w:rPr>
          <w:sz w:val="28"/>
          <w:szCs w:val="28"/>
        </w:rPr>
        <w:t>p</w:t>
      </w:r>
      <w:r w:rsidR="00446491" w:rsidRPr="00335591">
        <w:rPr>
          <w:sz w:val="28"/>
          <w:szCs w:val="28"/>
        </w:rPr>
        <w:t>ar 201</w:t>
      </w:r>
      <w:r w:rsidR="000B5F34" w:rsidRPr="00335591">
        <w:rPr>
          <w:sz w:val="28"/>
          <w:szCs w:val="28"/>
        </w:rPr>
        <w:t>3</w:t>
      </w:r>
      <w:r w:rsidR="00446491" w:rsidRPr="00335591">
        <w:rPr>
          <w:sz w:val="28"/>
          <w:szCs w:val="28"/>
        </w:rPr>
        <w:t xml:space="preserve">.gada </w:t>
      </w:r>
      <w:r w:rsidR="003841D9" w:rsidRPr="00335591">
        <w:rPr>
          <w:sz w:val="28"/>
          <w:szCs w:val="28"/>
        </w:rPr>
        <w:t>29.-30.maija</w:t>
      </w:r>
      <w:r w:rsidR="00446491" w:rsidRPr="00335591">
        <w:rPr>
          <w:sz w:val="28"/>
          <w:szCs w:val="28"/>
        </w:rPr>
        <w:t xml:space="preserve"> Eiropas Savienības Konkurētspējas ministru padomē izskatāmajiem </w:t>
      </w:r>
      <w:r w:rsidRPr="00335591">
        <w:rPr>
          <w:sz w:val="28"/>
          <w:szCs w:val="28"/>
        </w:rPr>
        <w:t xml:space="preserve">Izglītības un zinātnes ministrijas </w:t>
      </w:r>
      <w:r w:rsidR="00446491" w:rsidRPr="00335591">
        <w:rPr>
          <w:sz w:val="28"/>
          <w:szCs w:val="28"/>
        </w:rPr>
        <w:t>jautājumiem</w:t>
      </w:r>
    </w:p>
    <w:p w:rsidR="00A34702" w:rsidRPr="00335591" w:rsidRDefault="00A34702" w:rsidP="0077650E">
      <w:pPr>
        <w:jc w:val="center"/>
        <w:rPr>
          <w:b/>
          <w:sz w:val="28"/>
          <w:szCs w:val="28"/>
          <w:lang w:val="lv-LV"/>
        </w:rPr>
      </w:pPr>
    </w:p>
    <w:p w:rsidR="00910E9A" w:rsidRPr="00335591" w:rsidRDefault="001A2BD3" w:rsidP="00E80E2B">
      <w:pPr>
        <w:pStyle w:val="Heading2"/>
        <w:spacing w:before="0" w:after="0"/>
        <w:ind w:firstLine="720"/>
        <w:jc w:val="both"/>
        <w:rPr>
          <w:rFonts w:ascii="Times New Roman" w:hAnsi="Times New Roman" w:cs="Times New Roman"/>
          <w:b w:val="0"/>
          <w:i w:val="0"/>
          <w:lang w:val="lv-LV"/>
        </w:rPr>
      </w:pPr>
      <w:r w:rsidRPr="00335591">
        <w:rPr>
          <w:rFonts w:ascii="Times New Roman" w:hAnsi="Times New Roman" w:cs="Times New Roman"/>
          <w:b w:val="0"/>
          <w:i w:val="0"/>
          <w:lang w:val="lv-LV"/>
        </w:rPr>
        <w:t>201</w:t>
      </w:r>
      <w:r w:rsidR="000B5F34" w:rsidRPr="00335591">
        <w:rPr>
          <w:rFonts w:ascii="Times New Roman" w:hAnsi="Times New Roman" w:cs="Times New Roman"/>
          <w:b w:val="0"/>
          <w:i w:val="0"/>
          <w:lang w:val="lv-LV"/>
        </w:rPr>
        <w:t>3</w:t>
      </w:r>
      <w:r w:rsidRPr="00335591">
        <w:rPr>
          <w:rFonts w:ascii="Times New Roman" w:hAnsi="Times New Roman" w:cs="Times New Roman"/>
          <w:b w:val="0"/>
          <w:i w:val="0"/>
          <w:lang w:val="lv-LV"/>
        </w:rPr>
        <w:t xml:space="preserve">.gada </w:t>
      </w:r>
      <w:r w:rsidR="003841D9" w:rsidRPr="00335591">
        <w:rPr>
          <w:rFonts w:ascii="Times New Roman" w:hAnsi="Times New Roman" w:cs="Times New Roman"/>
          <w:b w:val="0"/>
          <w:i w:val="0"/>
          <w:lang w:val="lv-LV"/>
        </w:rPr>
        <w:t>29.-30.maijā</w:t>
      </w:r>
      <w:r w:rsidR="003841D9" w:rsidRPr="00335591">
        <w:rPr>
          <w:lang w:val="lv-LV"/>
        </w:rPr>
        <w:t xml:space="preserve"> </w:t>
      </w:r>
      <w:r w:rsidR="00D86226" w:rsidRPr="00335591">
        <w:rPr>
          <w:rFonts w:ascii="Times New Roman" w:hAnsi="Times New Roman" w:cs="Times New Roman"/>
          <w:b w:val="0"/>
          <w:i w:val="0"/>
          <w:lang w:val="lv-LV"/>
        </w:rPr>
        <w:t>Briselē</w:t>
      </w:r>
      <w:r w:rsidR="00D31D05" w:rsidRPr="00335591">
        <w:rPr>
          <w:rFonts w:ascii="Times New Roman" w:hAnsi="Times New Roman" w:cs="Times New Roman"/>
          <w:b w:val="0"/>
          <w:i w:val="0"/>
          <w:lang w:val="lv-LV"/>
        </w:rPr>
        <w:t xml:space="preserve"> (</w:t>
      </w:r>
      <w:r w:rsidR="00D86226" w:rsidRPr="00335591">
        <w:rPr>
          <w:rFonts w:ascii="Times New Roman" w:hAnsi="Times New Roman" w:cs="Times New Roman"/>
          <w:b w:val="0"/>
          <w:i w:val="0"/>
          <w:lang w:val="lv-LV"/>
        </w:rPr>
        <w:t>Beļģijā</w:t>
      </w:r>
      <w:r w:rsidR="00D31D05" w:rsidRPr="00335591">
        <w:rPr>
          <w:rFonts w:ascii="Times New Roman" w:hAnsi="Times New Roman" w:cs="Times New Roman"/>
          <w:b w:val="0"/>
          <w:i w:val="0"/>
          <w:lang w:val="lv-LV"/>
        </w:rPr>
        <w:t xml:space="preserve">) notiks </w:t>
      </w:r>
      <w:r w:rsidR="00D86226" w:rsidRPr="00335591">
        <w:rPr>
          <w:rFonts w:ascii="Times New Roman" w:hAnsi="Times New Roman" w:cs="Times New Roman"/>
          <w:b w:val="0"/>
          <w:i w:val="0"/>
          <w:lang w:val="lv-LV"/>
        </w:rPr>
        <w:t>ES Konkurētspējas ministru padome</w:t>
      </w:r>
      <w:r w:rsidR="00D86226" w:rsidRPr="00335591">
        <w:rPr>
          <w:rFonts w:ascii="Times New Roman" w:hAnsi="Times New Roman" w:cs="Times New Roman"/>
          <w:b w:val="0"/>
          <w:bCs w:val="0"/>
          <w:i w:val="0"/>
          <w:lang w:val="lv-LV"/>
        </w:rPr>
        <w:t>.</w:t>
      </w:r>
      <w:r w:rsidR="00D31D05" w:rsidRPr="00335591">
        <w:rPr>
          <w:rFonts w:ascii="Times New Roman" w:hAnsi="Times New Roman" w:cs="Times New Roman"/>
          <w:b w:val="0"/>
          <w:i w:val="0"/>
          <w:lang w:val="lv-LV"/>
        </w:rPr>
        <w:t xml:space="preserve"> Plānots, ka tajā tiks izskatīti sekojoši jautājumi, kas ir Izglītības un zinātnes ministrijas kompetencē</w:t>
      </w:r>
      <w:r w:rsidR="00042856" w:rsidRPr="00335591">
        <w:rPr>
          <w:rFonts w:ascii="Times New Roman" w:hAnsi="Times New Roman" w:cs="Times New Roman"/>
          <w:b w:val="0"/>
          <w:i w:val="0"/>
          <w:lang w:val="lv-LV"/>
        </w:rPr>
        <w:t>:</w:t>
      </w:r>
    </w:p>
    <w:p w:rsidR="00042856" w:rsidRPr="00335591" w:rsidRDefault="00042856" w:rsidP="00042856">
      <w:pPr>
        <w:rPr>
          <w:lang w:val="lv-LV"/>
        </w:rPr>
      </w:pPr>
    </w:p>
    <w:p w:rsidR="004914E4" w:rsidRPr="00335591" w:rsidRDefault="004914E4" w:rsidP="004914E4">
      <w:pPr>
        <w:pStyle w:val="Titreobjet"/>
        <w:spacing w:before="0" w:after="0"/>
        <w:jc w:val="both"/>
        <w:rPr>
          <w:b w:val="0"/>
          <w:i/>
          <w:noProof/>
          <w:sz w:val="28"/>
          <w:szCs w:val="28"/>
          <w:highlight w:val="yellow"/>
          <w:lang w:val="lv-LV"/>
        </w:rPr>
      </w:pPr>
      <w:r w:rsidRPr="00335591">
        <w:rPr>
          <w:b w:val="0"/>
          <w:i/>
          <w:sz w:val="28"/>
          <w:szCs w:val="28"/>
          <w:lang w:val="lv-LV"/>
        </w:rPr>
        <w:t>Padomes</w:t>
      </w:r>
      <w:r w:rsidRPr="00335591">
        <w:rPr>
          <w:b w:val="0"/>
          <w:i/>
          <w:lang w:val="lv-LV"/>
        </w:rPr>
        <w:t xml:space="preserve"> </w:t>
      </w:r>
      <w:r w:rsidRPr="00335591">
        <w:rPr>
          <w:b w:val="0"/>
          <w:i/>
          <w:sz w:val="28"/>
          <w:szCs w:val="28"/>
          <w:lang w:val="lv-LV"/>
        </w:rPr>
        <w:t>secinājumi „ES kosmosa industriālā politika</w:t>
      </w:r>
      <w:r>
        <w:rPr>
          <w:b w:val="0"/>
          <w:i/>
          <w:sz w:val="28"/>
          <w:szCs w:val="28"/>
          <w:lang w:val="lv-LV"/>
        </w:rPr>
        <w:t xml:space="preserve"> Kosmosa nozares ekonomiskās izaugsmes potenciāla apgūšana</w:t>
      </w:r>
      <w:r w:rsidRPr="00335591">
        <w:rPr>
          <w:b w:val="0"/>
          <w:i/>
          <w:sz w:val="28"/>
          <w:szCs w:val="28"/>
          <w:lang w:val="lv-LV"/>
        </w:rPr>
        <w:t>”</w:t>
      </w:r>
      <w:r w:rsidRPr="00335591">
        <w:rPr>
          <w:b w:val="0"/>
          <w:i/>
          <w:noProof/>
          <w:sz w:val="28"/>
          <w:szCs w:val="28"/>
          <w:lang w:val="lv-LV"/>
        </w:rPr>
        <w:t>;</w:t>
      </w:r>
    </w:p>
    <w:p w:rsidR="004914E4" w:rsidRPr="00335591" w:rsidRDefault="004914E4" w:rsidP="004914E4">
      <w:pPr>
        <w:jc w:val="both"/>
        <w:rPr>
          <w:i/>
          <w:noProof/>
          <w:sz w:val="28"/>
          <w:szCs w:val="28"/>
          <w:lang w:val="lv-LV"/>
        </w:rPr>
      </w:pPr>
      <w:r w:rsidRPr="00335591">
        <w:rPr>
          <w:i/>
          <w:noProof/>
          <w:sz w:val="28"/>
          <w:szCs w:val="28"/>
          <w:lang w:val="lv-LV"/>
        </w:rPr>
        <w:t>2. Progresa ziņojums „</w:t>
      </w:r>
      <w:r>
        <w:rPr>
          <w:i/>
          <w:noProof/>
          <w:sz w:val="28"/>
          <w:szCs w:val="28"/>
          <w:lang w:val="lv-LV"/>
        </w:rPr>
        <w:t>Komisijas</w:t>
      </w:r>
      <w:r w:rsidRPr="00335591">
        <w:rPr>
          <w:i/>
          <w:noProof/>
          <w:sz w:val="28"/>
          <w:szCs w:val="28"/>
          <w:lang w:val="lv-LV"/>
        </w:rPr>
        <w:t xml:space="preserve"> priekšlikums Eiropas Parlamenta un Padomes lēmumam</w:t>
      </w:r>
      <w:r>
        <w:rPr>
          <w:i/>
          <w:noProof/>
          <w:sz w:val="28"/>
          <w:szCs w:val="28"/>
          <w:lang w:val="lv-LV"/>
        </w:rPr>
        <w:t>, ar ko izveido kosmisko objektu novērošanas un uzraudzības atbalsta programmu”</w:t>
      </w:r>
      <w:r w:rsidRPr="00335591">
        <w:rPr>
          <w:i/>
          <w:noProof/>
          <w:sz w:val="28"/>
          <w:szCs w:val="28"/>
          <w:lang w:val="lv-LV"/>
        </w:rPr>
        <w:t>”;</w:t>
      </w:r>
    </w:p>
    <w:p w:rsidR="00D65B04" w:rsidRPr="00335591" w:rsidRDefault="001D233C" w:rsidP="001D233C">
      <w:pPr>
        <w:jc w:val="both"/>
        <w:rPr>
          <w:i/>
          <w:noProof/>
          <w:sz w:val="28"/>
          <w:szCs w:val="28"/>
          <w:lang w:val="lv-LV"/>
        </w:rPr>
      </w:pPr>
      <w:r w:rsidRPr="00335591">
        <w:rPr>
          <w:i/>
          <w:noProof/>
          <w:sz w:val="28"/>
          <w:szCs w:val="28"/>
          <w:lang w:val="lv-LV"/>
        </w:rPr>
        <w:t xml:space="preserve">3. </w:t>
      </w:r>
      <w:r w:rsidR="00D65B04" w:rsidRPr="00335591">
        <w:rPr>
          <w:i/>
          <w:sz w:val="28"/>
          <w:szCs w:val="28"/>
          <w:lang w:val="lv-LV"/>
        </w:rPr>
        <w:t xml:space="preserve">Informācija par aktuālo situāciju attiecībā uz Eiropas Komisijas priekšlikumu </w:t>
      </w:r>
      <w:r w:rsidR="00D65B04" w:rsidRPr="00335591">
        <w:rPr>
          <w:i/>
          <w:noProof/>
          <w:sz w:val="28"/>
          <w:szCs w:val="28"/>
          <w:lang w:val="lv-LV"/>
        </w:rPr>
        <w:t xml:space="preserve">Eiropas Parlamenta un Padomes regulai, ar kuru izveido Horizonts 2020, ietvarprogrammu pētniecībai un inovācijai 2014-20120.gadam un </w:t>
      </w:r>
      <w:r w:rsidR="00D65B04" w:rsidRPr="00335591">
        <w:rPr>
          <w:i/>
          <w:sz w:val="28"/>
          <w:szCs w:val="28"/>
          <w:lang w:val="lv-LV"/>
        </w:rPr>
        <w:t xml:space="preserve">Eiropas Komisijas priekšlikumu </w:t>
      </w:r>
      <w:r w:rsidR="00D65B04" w:rsidRPr="00335591">
        <w:rPr>
          <w:i/>
          <w:noProof/>
          <w:sz w:val="28"/>
          <w:szCs w:val="28"/>
          <w:lang w:val="lv-LV"/>
        </w:rPr>
        <w:t>Eiropas Parlamenta un Padomes regulai, ar kuru izveido Horizonts 2020 dalības un  rezultātu i</w:t>
      </w:r>
      <w:r w:rsidR="006A6A12" w:rsidRPr="00335591">
        <w:rPr>
          <w:i/>
          <w:noProof/>
          <w:sz w:val="28"/>
          <w:szCs w:val="28"/>
          <w:lang w:val="lv-LV"/>
        </w:rPr>
        <w:t>zp</w:t>
      </w:r>
      <w:r w:rsidR="00D65B04" w:rsidRPr="00335591">
        <w:rPr>
          <w:i/>
          <w:noProof/>
          <w:sz w:val="28"/>
          <w:szCs w:val="28"/>
          <w:lang w:val="lv-LV"/>
        </w:rPr>
        <w:t>latīšanas nosacījumus;</w:t>
      </w:r>
    </w:p>
    <w:p w:rsidR="000E5A52" w:rsidRPr="00335591" w:rsidRDefault="000E5A52" w:rsidP="001D233C">
      <w:pPr>
        <w:jc w:val="both"/>
        <w:rPr>
          <w:bCs/>
          <w:i/>
          <w:color w:val="000000"/>
          <w:sz w:val="28"/>
          <w:szCs w:val="28"/>
          <w:lang w:val="lv-LV"/>
        </w:rPr>
      </w:pPr>
      <w:r w:rsidRPr="00335591">
        <w:rPr>
          <w:bCs/>
          <w:i/>
          <w:color w:val="000000"/>
          <w:sz w:val="28"/>
          <w:szCs w:val="28"/>
          <w:lang w:val="lv-LV"/>
        </w:rPr>
        <w:t xml:space="preserve">4. Politiskā </w:t>
      </w:r>
      <w:proofErr w:type="spellStart"/>
      <w:r w:rsidRPr="00335591">
        <w:rPr>
          <w:bCs/>
          <w:i/>
          <w:color w:val="000000"/>
          <w:sz w:val="28"/>
          <w:szCs w:val="28"/>
          <w:lang w:val="lv-LV"/>
        </w:rPr>
        <w:t>debate</w:t>
      </w:r>
      <w:proofErr w:type="spellEnd"/>
      <w:r w:rsidRPr="00335591">
        <w:rPr>
          <w:bCs/>
          <w:i/>
          <w:color w:val="000000"/>
          <w:sz w:val="28"/>
          <w:szCs w:val="28"/>
          <w:lang w:val="lv-LV"/>
        </w:rPr>
        <w:t xml:space="preserve"> par vienoto plānošanu;</w:t>
      </w:r>
    </w:p>
    <w:p w:rsidR="000E5A52" w:rsidRPr="00335591" w:rsidRDefault="000E5A52" w:rsidP="001D233C">
      <w:pPr>
        <w:jc w:val="both"/>
        <w:rPr>
          <w:bCs/>
          <w:i/>
          <w:color w:val="000000"/>
          <w:sz w:val="28"/>
          <w:szCs w:val="28"/>
          <w:lang w:val="lv-LV"/>
        </w:rPr>
      </w:pPr>
      <w:r w:rsidRPr="00335591">
        <w:rPr>
          <w:bCs/>
          <w:i/>
          <w:color w:val="000000"/>
          <w:sz w:val="28"/>
          <w:szCs w:val="28"/>
          <w:lang w:val="lv-LV"/>
        </w:rPr>
        <w:t xml:space="preserve">5. Padomes secinājumi par Eiropas Komisijas paziņojumu „Augstas </w:t>
      </w:r>
      <w:r w:rsidR="00FA745E" w:rsidRPr="00335591">
        <w:rPr>
          <w:bCs/>
          <w:i/>
          <w:color w:val="000000"/>
          <w:sz w:val="28"/>
          <w:szCs w:val="28"/>
          <w:lang w:val="lv-LV"/>
        </w:rPr>
        <w:t>veiktspējas</w:t>
      </w:r>
      <w:r w:rsidRPr="00335591">
        <w:rPr>
          <w:bCs/>
          <w:i/>
          <w:color w:val="000000"/>
          <w:sz w:val="28"/>
          <w:szCs w:val="28"/>
          <w:lang w:val="lv-LV"/>
        </w:rPr>
        <w:t xml:space="preserve"> skaitļošana: Eiropas vieta globālajā sacensībā”;</w:t>
      </w:r>
    </w:p>
    <w:p w:rsidR="00B656A2" w:rsidRPr="00335591" w:rsidRDefault="000E5A52" w:rsidP="00B656A2">
      <w:pPr>
        <w:jc w:val="both"/>
        <w:rPr>
          <w:bCs/>
          <w:i/>
          <w:color w:val="000000"/>
          <w:sz w:val="28"/>
          <w:szCs w:val="28"/>
          <w:lang w:val="lv-LV"/>
        </w:rPr>
      </w:pPr>
      <w:r w:rsidRPr="00335591">
        <w:rPr>
          <w:bCs/>
          <w:i/>
          <w:color w:val="000000"/>
          <w:sz w:val="28"/>
          <w:szCs w:val="28"/>
          <w:lang w:val="lv-LV"/>
        </w:rPr>
        <w:t xml:space="preserve">6. </w:t>
      </w:r>
      <w:r w:rsidR="00B656A2" w:rsidRPr="00335591">
        <w:rPr>
          <w:bCs/>
          <w:i/>
          <w:color w:val="000000"/>
          <w:sz w:val="28"/>
          <w:szCs w:val="28"/>
          <w:lang w:val="lv-LV"/>
        </w:rPr>
        <w:t>Padomes secinājumi par Eiropas Komisijas paziņojumu „ES starptautisk</w:t>
      </w:r>
      <w:r w:rsidR="00B656A2">
        <w:rPr>
          <w:bCs/>
          <w:i/>
          <w:color w:val="000000"/>
          <w:sz w:val="28"/>
          <w:szCs w:val="28"/>
          <w:lang w:val="lv-LV"/>
        </w:rPr>
        <w:t>ās</w:t>
      </w:r>
      <w:r w:rsidR="00B656A2" w:rsidRPr="00335591">
        <w:rPr>
          <w:bCs/>
          <w:i/>
          <w:color w:val="000000"/>
          <w:sz w:val="28"/>
          <w:szCs w:val="28"/>
          <w:lang w:val="lv-LV"/>
        </w:rPr>
        <w:t xml:space="preserve"> sadarbīb</w:t>
      </w:r>
      <w:r w:rsidR="00B656A2">
        <w:rPr>
          <w:bCs/>
          <w:i/>
          <w:color w:val="000000"/>
          <w:sz w:val="28"/>
          <w:szCs w:val="28"/>
          <w:lang w:val="lv-LV"/>
        </w:rPr>
        <w:t>as</w:t>
      </w:r>
      <w:r w:rsidR="00B656A2" w:rsidRPr="00335591">
        <w:rPr>
          <w:bCs/>
          <w:i/>
          <w:color w:val="000000"/>
          <w:sz w:val="28"/>
          <w:szCs w:val="28"/>
          <w:lang w:val="lv-LV"/>
        </w:rPr>
        <w:t xml:space="preserve"> pētniecībā un inovācijā</w:t>
      </w:r>
      <w:r w:rsidR="00B656A2">
        <w:rPr>
          <w:bCs/>
          <w:i/>
          <w:color w:val="000000"/>
          <w:sz w:val="28"/>
          <w:szCs w:val="28"/>
          <w:lang w:val="lv-LV"/>
        </w:rPr>
        <w:t xml:space="preserve"> sekmēšana</w:t>
      </w:r>
      <w:r w:rsidR="00B656A2" w:rsidRPr="00335591">
        <w:rPr>
          <w:bCs/>
          <w:i/>
          <w:color w:val="000000"/>
          <w:sz w:val="28"/>
          <w:szCs w:val="28"/>
          <w:lang w:val="lv-LV"/>
        </w:rPr>
        <w:t>: stratēģiska pieeja”;</w:t>
      </w:r>
    </w:p>
    <w:p w:rsidR="003028A7" w:rsidRPr="00335591" w:rsidRDefault="000E5A52" w:rsidP="001D233C">
      <w:pPr>
        <w:jc w:val="both"/>
        <w:rPr>
          <w:i/>
          <w:noProof/>
          <w:sz w:val="28"/>
          <w:szCs w:val="28"/>
          <w:lang w:val="lv-LV"/>
        </w:rPr>
      </w:pPr>
      <w:r w:rsidRPr="00335591">
        <w:rPr>
          <w:bCs/>
          <w:i/>
          <w:color w:val="000000"/>
          <w:sz w:val="28"/>
          <w:szCs w:val="28"/>
          <w:lang w:val="lv-LV"/>
        </w:rPr>
        <w:t>7. Padomes rezolūcija „Eiropas Pētniecības telpas konsultatīvais darbs”</w:t>
      </w:r>
      <w:r w:rsidR="00D3482A" w:rsidRPr="00335591">
        <w:rPr>
          <w:bCs/>
          <w:i/>
          <w:color w:val="000000"/>
          <w:sz w:val="28"/>
          <w:szCs w:val="28"/>
          <w:lang w:val="lv-LV"/>
        </w:rPr>
        <w:t>.</w:t>
      </w:r>
    </w:p>
    <w:p w:rsidR="00DA6B88" w:rsidRPr="00335591" w:rsidRDefault="00DA6B88" w:rsidP="001D233C">
      <w:pPr>
        <w:jc w:val="both"/>
        <w:rPr>
          <w:i/>
          <w:noProof/>
          <w:sz w:val="28"/>
          <w:szCs w:val="28"/>
          <w:lang w:val="lv-LV"/>
        </w:rPr>
      </w:pPr>
    </w:p>
    <w:p w:rsidR="002D2CA4" w:rsidRPr="00335591" w:rsidRDefault="001D233C" w:rsidP="00D65B04">
      <w:pPr>
        <w:pStyle w:val="PointManual1"/>
        <w:spacing w:before="120"/>
        <w:rPr>
          <w:bCs/>
          <w:lang w:val="lv-LV"/>
        </w:rPr>
      </w:pPr>
      <w:r w:rsidRPr="00335591">
        <w:rPr>
          <w:i/>
          <w:noProof/>
          <w:sz w:val="28"/>
          <w:szCs w:val="28"/>
          <w:lang w:val="lv-LV"/>
        </w:rPr>
        <w:t xml:space="preserve"> </w:t>
      </w:r>
    </w:p>
    <w:p w:rsidR="00871585" w:rsidRPr="00335591" w:rsidRDefault="00CF7144" w:rsidP="00A9476A">
      <w:pPr>
        <w:jc w:val="both"/>
        <w:rPr>
          <w:b/>
          <w:noProof/>
          <w:sz w:val="28"/>
          <w:szCs w:val="28"/>
          <w:lang w:val="lv-LV"/>
        </w:rPr>
      </w:pPr>
      <w:r w:rsidRPr="00335591">
        <w:rPr>
          <w:rFonts w:eastAsiaTheme="minorHAnsi"/>
          <w:b/>
          <w:sz w:val="28"/>
          <w:szCs w:val="28"/>
          <w:lang w:val="lv-LV"/>
        </w:rPr>
        <w:t xml:space="preserve">1. </w:t>
      </w:r>
      <w:r w:rsidR="00CA7D20" w:rsidRPr="00335591">
        <w:rPr>
          <w:b/>
          <w:sz w:val="28"/>
          <w:szCs w:val="28"/>
          <w:lang w:val="lv-LV"/>
        </w:rPr>
        <w:t>Padomes</w:t>
      </w:r>
      <w:r w:rsidR="00CA7D20" w:rsidRPr="00335591">
        <w:rPr>
          <w:b/>
          <w:lang w:val="lv-LV"/>
        </w:rPr>
        <w:t xml:space="preserve"> </w:t>
      </w:r>
      <w:r w:rsidR="00CA7D20" w:rsidRPr="00335591">
        <w:rPr>
          <w:b/>
          <w:sz w:val="28"/>
          <w:szCs w:val="28"/>
          <w:lang w:val="lv-LV"/>
        </w:rPr>
        <w:t>secinājumi „</w:t>
      </w:r>
      <w:r w:rsidR="00A9476A" w:rsidRPr="00335591">
        <w:rPr>
          <w:b/>
          <w:sz w:val="28"/>
          <w:szCs w:val="28"/>
          <w:lang w:val="lv-LV"/>
        </w:rPr>
        <w:t xml:space="preserve">ES kosmosa industriālā politika: </w:t>
      </w:r>
      <w:r w:rsidR="006F3894">
        <w:rPr>
          <w:b/>
          <w:sz w:val="28"/>
          <w:szCs w:val="28"/>
          <w:lang w:val="lv-LV"/>
        </w:rPr>
        <w:t>Kosmosa nozares ekonomiskās izaugsmes potenciāla apgūšana”</w:t>
      </w:r>
    </w:p>
    <w:p w:rsidR="00FB7AA6" w:rsidRPr="00335591" w:rsidRDefault="00B6101A" w:rsidP="00FB7AA6">
      <w:pPr>
        <w:pStyle w:val="EntEmet"/>
        <w:jc w:val="both"/>
        <w:outlineLvl w:val="0"/>
        <w:rPr>
          <w:sz w:val="28"/>
          <w:szCs w:val="28"/>
          <w:lang w:val="lv-LV"/>
        </w:rPr>
      </w:pPr>
      <w:r w:rsidRPr="00335591">
        <w:rPr>
          <w:bCs/>
          <w:sz w:val="28"/>
          <w:szCs w:val="28"/>
          <w:lang w:val="lv-LV"/>
        </w:rPr>
        <w:t>Eiropas</w:t>
      </w:r>
      <w:r w:rsidR="00FB7AA6" w:rsidRPr="00335591">
        <w:rPr>
          <w:sz w:val="28"/>
          <w:szCs w:val="28"/>
          <w:lang w:val="lv-LV"/>
        </w:rPr>
        <w:t xml:space="preserve"> Komisija ir sagatavojusi paziņojumu „ES kosmosa rūpniecības politika – Kosmosa nozares ekonomiskās izaugsmes potenciāla apgūšana”</w:t>
      </w:r>
      <w:r w:rsidRPr="00335591">
        <w:rPr>
          <w:sz w:val="28"/>
          <w:szCs w:val="28"/>
          <w:lang w:val="lv-LV"/>
        </w:rPr>
        <w:t xml:space="preserve">, kurā </w:t>
      </w:r>
      <w:r w:rsidR="00FB7AA6" w:rsidRPr="00335591">
        <w:rPr>
          <w:sz w:val="28"/>
          <w:szCs w:val="28"/>
          <w:lang w:val="lv-LV"/>
        </w:rPr>
        <w:t>ir izstrādājusi piecus nozīmīgus Eiropas kosmosa sektora attīstība</w:t>
      </w:r>
      <w:r w:rsidRPr="00335591">
        <w:rPr>
          <w:sz w:val="28"/>
          <w:szCs w:val="28"/>
          <w:lang w:val="lv-LV"/>
        </w:rPr>
        <w:t>s</w:t>
      </w:r>
      <w:r w:rsidR="00FB7AA6" w:rsidRPr="00335591">
        <w:rPr>
          <w:sz w:val="28"/>
          <w:szCs w:val="28"/>
          <w:lang w:val="lv-LV"/>
        </w:rPr>
        <w:t xml:space="preserve"> </w:t>
      </w:r>
      <w:r w:rsidRPr="00335591">
        <w:rPr>
          <w:sz w:val="28"/>
          <w:szCs w:val="28"/>
          <w:lang w:val="lv-LV"/>
        </w:rPr>
        <w:t xml:space="preserve">mērķus </w:t>
      </w:r>
      <w:r w:rsidR="00FB7AA6" w:rsidRPr="00335591">
        <w:rPr>
          <w:sz w:val="28"/>
          <w:szCs w:val="28"/>
          <w:lang w:val="lv-LV"/>
        </w:rPr>
        <w:t>un pamatu ES kosmosa rūpniecības politikai:</w:t>
      </w:r>
    </w:p>
    <w:p w:rsidR="00FB7AA6" w:rsidRPr="00335591" w:rsidRDefault="00FB7AA6" w:rsidP="00FB7AA6">
      <w:pPr>
        <w:autoSpaceDE w:val="0"/>
        <w:autoSpaceDN w:val="0"/>
        <w:adjustRightInd w:val="0"/>
        <w:jc w:val="both"/>
        <w:rPr>
          <w:sz w:val="28"/>
          <w:szCs w:val="28"/>
          <w:lang w:val="lv-LV"/>
        </w:rPr>
      </w:pPr>
      <w:r w:rsidRPr="00335591">
        <w:rPr>
          <w:sz w:val="28"/>
          <w:szCs w:val="28"/>
          <w:lang w:val="lv-LV"/>
        </w:rPr>
        <w:t>1. izveidot saskaņotu un stabilu tiesisko regulējumu;</w:t>
      </w:r>
    </w:p>
    <w:p w:rsidR="00FB7AA6" w:rsidRPr="00335591" w:rsidRDefault="00FB7AA6" w:rsidP="00FB7AA6">
      <w:pPr>
        <w:autoSpaceDE w:val="0"/>
        <w:autoSpaceDN w:val="0"/>
        <w:adjustRightInd w:val="0"/>
        <w:jc w:val="both"/>
        <w:rPr>
          <w:sz w:val="28"/>
          <w:szCs w:val="28"/>
          <w:lang w:val="lv-LV"/>
        </w:rPr>
      </w:pPr>
      <w:r w:rsidRPr="00335591">
        <w:rPr>
          <w:sz w:val="28"/>
          <w:szCs w:val="28"/>
          <w:lang w:val="lv-LV"/>
        </w:rPr>
        <w:t>2. turpināt attīstīt konkurētspējīgu, stingru, efektīvu un līdzsvarotu rūpniecisko pamatu</w:t>
      </w:r>
      <w:r w:rsidR="00B6101A" w:rsidRPr="00335591">
        <w:rPr>
          <w:sz w:val="28"/>
          <w:szCs w:val="28"/>
          <w:lang w:val="lv-LV"/>
        </w:rPr>
        <w:t xml:space="preserve"> </w:t>
      </w:r>
      <w:r w:rsidRPr="00335591">
        <w:rPr>
          <w:sz w:val="28"/>
          <w:szCs w:val="28"/>
          <w:lang w:val="lv-LV"/>
        </w:rPr>
        <w:t xml:space="preserve">Eiropā un atbalstīt </w:t>
      </w:r>
      <w:r w:rsidR="00822974" w:rsidRPr="00335591">
        <w:rPr>
          <w:bCs/>
          <w:sz w:val="28"/>
          <w:szCs w:val="28"/>
          <w:lang w:val="lv-LV"/>
        </w:rPr>
        <w:t>mazo un vidējo uzņēmumu</w:t>
      </w:r>
      <w:r w:rsidR="00822974" w:rsidRPr="00335591">
        <w:rPr>
          <w:sz w:val="28"/>
          <w:szCs w:val="28"/>
          <w:lang w:val="lv-LV"/>
        </w:rPr>
        <w:t xml:space="preserve"> (</w:t>
      </w:r>
      <w:r w:rsidRPr="00335591">
        <w:rPr>
          <w:sz w:val="28"/>
          <w:szCs w:val="28"/>
          <w:lang w:val="lv-LV"/>
        </w:rPr>
        <w:t>MVU</w:t>
      </w:r>
      <w:r w:rsidR="00822974" w:rsidRPr="00335591">
        <w:rPr>
          <w:sz w:val="28"/>
          <w:szCs w:val="28"/>
          <w:lang w:val="lv-LV"/>
        </w:rPr>
        <w:t>)</w:t>
      </w:r>
      <w:r w:rsidRPr="00335591">
        <w:rPr>
          <w:sz w:val="28"/>
          <w:szCs w:val="28"/>
          <w:lang w:val="lv-LV"/>
        </w:rPr>
        <w:t xml:space="preserve"> iesaistīšanos;</w:t>
      </w:r>
    </w:p>
    <w:p w:rsidR="00FB7AA6" w:rsidRPr="00335591" w:rsidRDefault="00FB7AA6" w:rsidP="00FB7AA6">
      <w:pPr>
        <w:autoSpaceDE w:val="0"/>
        <w:autoSpaceDN w:val="0"/>
        <w:adjustRightInd w:val="0"/>
        <w:jc w:val="both"/>
        <w:rPr>
          <w:sz w:val="28"/>
          <w:szCs w:val="28"/>
          <w:lang w:val="lv-LV"/>
        </w:rPr>
      </w:pPr>
      <w:r w:rsidRPr="00335591">
        <w:rPr>
          <w:sz w:val="28"/>
          <w:szCs w:val="28"/>
          <w:lang w:val="lv-LV"/>
        </w:rPr>
        <w:t>3. atbalstīt ES kosmosa nozares konkurētspēju pasaulē, mudinot nozari kļūt rentablākai visos vērtību ķēdes posmos;</w:t>
      </w:r>
    </w:p>
    <w:p w:rsidR="00FB7AA6" w:rsidRPr="00335591" w:rsidRDefault="00FB7AA6" w:rsidP="00FB7AA6">
      <w:pPr>
        <w:autoSpaceDE w:val="0"/>
        <w:autoSpaceDN w:val="0"/>
        <w:adjustRightInd w:val="0"/>
        <w:jc w:val="both"/>
        <w:rPr>
          <w:sz w:val="28"/>
          <w:szCs w:val="28"/>
          <w:lang w:val="lv-LV"/>
        </w:rPr>
      </w:pPr>
      <w:r w:rsidRPr="00335591">
        <w:rPr>
          <w:sz w:val="28"/>
          <w:szCs w:val="28"/>
          <w:lang w:val="lv-LV"/>
        </w:rPr>
        <w:t>4. attīstīt kosmosa lietojumu un pakalpojumu tirgus;</w:t>
      </w:r>
    </w:p>
    <w:p w:rsidR="00FB7AA6" w:rsidRPr="00335591" w:rsidRDefault="00FB7AA6" w:rsidP="00FB7AA6">
      <w:pPr>
        <w:pStyle w:val="EntEmet"/>
        <w:jc w:val="both"/>
        <w:outlineLvl w:val="0"/>
        <w:rPr>
          <w:sz w:val="28"/>
          <w:szCs w:val="28"/>
          <w:lang w:val="lv-LV"/>
        </w:rPr>
      </w:pPr>
      <w:r w:rsidRPr="00335591">
        <w:rPr>
          <w:sz w:val="28"/>
          <w:szCs w:val="28"/>
          <w:lang w:val="lv-LV"/>
        </w:rPr>
        <w:t>5. nodrošināt tehnoloģisku patstāvību un neatkarīgu piekļuvi kosmosam.</w:t>
      </w:r>
    </w:p>
    <w:p w:rsidR="00FB7AA6" w:rsidRPr="00335591" w:rsidRDefault="00FB7AA6" w:rsidP="00FB7AA6">
      <w:pPr>
        <w:pStyle w:val="EntEmet"/>
        <w:jc w:val="both"/>
        <w:outlineLvl w:val="0"/>
        <w:rPr>
          <w:sz w:val="28"/>
          <w:szCs w:val="28"/>
          <w:lang w:val="lv-LV"/>
        </w:rPr>
      </w:pPr>
      <w:r w:rsidRPr="00335591">
        <w:rPr>
          <w:sz w:val="28"/>
          <w:szCs w:val="28"/>
          <w:lang w:val="lv-LV"/>
        </w:rPr>
        <w:t>Uz Komisijas paziņojuma pamata ir sagatavoti Padomes secinājumi, kur</w:t>
      </w:r>
      <w:r w:rsidR="001C4DD8" w:rsidRPr="00335591">
        <w:rPr>
          <w:sz w:val="28"/>
          <w:szCs w:val="28"/>
          <w:lang w:val="lv-LV"/>
        </w:rPr>
        <w:t>os</w:t>
      </w:r>
      <w:r w:rsidRPr="00335591">
        <w:rPr>
          <w:sz w:val="28"/>
          <w:szCs w:val="28"/>
          <w:lang w:val="lv-LV"/>
        </w:rPr>
        <w:t xml:space="preserve"> tiek atzīta kosmosa jomā balstīto sistēmu, pakalpojumu un pielietojumu pieaugošā loma modernajā sabiedrībā, un kosmosa industrijas svarīgā loma ekonomiskajā izaugsmē un darba vietu radīšanā.</w:t>
      </w:r>
    </w:p>
    <w:p w:rsidR="00FB7AA6" w:rsidRPr="00335591" w:rsidRDefault="00FB7AA6" w:rsidP="00FB7AA6">
      <w:pPr>
        <w:jc w:val="both"/>
        <w:rPr>
          <w:sz w:val="28"/>
          <w:szCs w:val="28"/>
          <w:lang w:val="lv-LV"/>
        </w:rPr>
      </w:pPr>
    </w:p>
    <w:p w:rsidR="00FB7AA6" w:rsidRPr="00335591" w:rsidRDefault="00FB7AA6" w:rsidP="00050119">
      <w:pPr>
        <w:jc w:val="both"/>
        <w:rPr>
          <w:bCs/>
          <w:sz w:val="28"/>
          <w:szCs w:val="28"/>
          <w:lang w:val="lv-LV"/>
        </w:rPr>
      </w:pPr>
      <w:r w:rsidRPr="005F651A">
        <w:rPr>
          <w:sz w:val="28"/>
          <w:szCs w:val="28"/>
          <w:lang w:val="lv-LV"/>
        </w:rPr>
        <w:lastRenderedPageBreak/>
        <w:t>Padome uzsver</w:t>
      </w:r>
      <w:r w:rsidR="00B6101A" w:rsidRPr="00335591">
        <w:rPr>
          <w:b/>
          <w:sz w:val="28"/>
          <w:szCs w:val="28"/>
          <w:lang w:val="lv-LV"/>
        </w:rPr>
        <w:t xml:space="preserve"> </w:t>
      </w:r>
      <w:r w:rsidRPr="00335591">
        <w:rPr>
          <w:sz w:val="28"/>
          <w:szCs w:val="28"/>
          <w:lang w:val="lv-LV"/>
        </w:rPr>
        <w:t xml:space="preserve"> satelītu komunikācijas konkurētspējas stiprināšan</w:t>
      </w:r>
      <w:r w:rsidR="00050119" w:rsidRPr="00335591">
        <w:rPr>
          <w:sz w:val="28"/>
          <w:szCs w:val="28"/>
          <w:lang w:val="lv-LV"/>
        </w:rPr>
        <w:t>as</w:t>
      </w:r>
      <w:r w:rsidRPr="00335591">
        <w:rPr>
          <w:sz w:val="28"/>
          <w:szCs w:val="28"/>
          <w:lang w:val="lv-LV"/>
        </w:rPr>
        <w:t xml:space="preserve"> un </w:t>
      </w:r>
      <w:proofErr w:type="spellStart"/>
      <w:r w:rsidRPr="00335591">
        <w:rPr>
          <w:sz w:val="28"/>
          <w:szCs w:val="28"/>
          <w:lang w:val="lv-LV"/>
        </w:rPr>
        <w:t>radiospektru</w:t>
      </w:r>
      <w:proofErr w:type="spellEnd"/>
      <w:r w:rsidRPr="00335591">
        <w:rPr>
          <w:sz w:val="28"/>
          <w:szCs w:val="28"/>
          <w:lang w:val="lv-LV"/>
        </w:rPr>
        <w:t xml:space="preserve"> nodrošināšan</w:t>
      </w:r>
      <w:r w:rsidR="00050119" w:rsidRPr="00335591">
        <w:rPr>
          <w:sz w:val="28"/>
          <w:szCs w:val="28"/>
          <w:lang w:val="lv-LV"/>
        </w:rPr>
        <w:t>as nepieciešamīb</w:t>
      </w:r>
      <w:r w:rsidRPr="00335591">
        <w:rPr>
          <w:sz w:val="28"/>
          <w:szCs w:val="28"/>
          <w:lang w:val="lv-LV"/>
        </w:rPr>
        <w:t>u;</w:t>
      </w:r>
      <w:r w:rsidR="00050119" w:rsidRPr="00335591">
        <w:rPr>
          <w:sz w:val="28"/>
          <w:szCs w:val="28"/>
          <w:lang w:val="lv-LV"/>
        </w:rPr>
        <w:t xml:space="preserve"> </w:t>
      </w:r>
      <w:r w:rsidRPr="00335591">
        <w:rPr>
          <w:sz w:val="28"/>
          <w:szCs w:val="28"/>
          <w:lang w:val="lv-LV"/>
        </w:rPr>
        <w:t>atbalsta pasākumu nepieciešamību Eiropas kosmosa  industrijas pieejai starptautiskajiem tirgiem, ieskaitot komerciālus līgumus, tirdzniecības sarunas un eksporta atvieglošanas pasākumus.</w:t>
      </w:r>
      <w:r w:rsidR="00050119" w:rsidRPr="00335591">
        <w:rPr>
          <w:sz w:val="28"/>
          <w:szCs w:val="28"/>
          <w:lang w:val="lv-LV"/>
        </w:rPr>
        <w:t xml:space="preserve"> </w:t>
      </w:r>
    </w:p>
    <w:p w:rsidR="00050119" w:rsidRPr="00335591" w:rsidRDefault="00050119" w:rsidP="00050119">
      <w:pPr>
        <w:pStyle w:val="EntEmet"/>
        <w:spacing w:before="0"/>
        <w:jc w:val="both"/>
        <w:outlineLvl w:val="0"/>
        <w:rPr>
          <w:b/>
          <w:bCs/>
          <w:sz w:val="28"/>
          <w:szCs w:val="28"/>
          <w:lang w:val="lv-LV"/>
        </w:rPr>
      </w:pPr>
    </w:p>
    <w:p w:rsidR="00FB7AA6" w:rsidRPr="00335591" w:rsidRDefault="00FB7AA6" w:rsidP="00FB7AA6">
      <w:pPr>
        <w:autoSpaceDE w:val="0"/>
        <w:autoSpaceDN w:val="0"/>
        <w:adjustRightInd w:val="0"/>
        <w:rPr>
          <w:b/>
          <w:bCs/>
          <w:sz w:val="28"/>
          <w:szCs w:val="28"/>
          <w:u w:val="single"/>
          <w:lang w:val="lv-LV"/>
        </w:rPr>
      </w:pPr>
      <w:r w:rsidRPr="00335591">
        <w:rPr>
          <w:b/>
          <w:bCs/>
          <w:sz w:val="28"/>
          <w:szCs w:val="28"/>
          <w:u w:val="single"/>
          <w:lang w:val="lv-LV"/>
        </w:rPr>
        <w:t>Latvijas pozīcija:</w:t>
      </w:r>
    </w:p>
    <w:p w:rsidR="002B59FC" w:rsidRPr="00335591" w:rsidRDefault="002B59FC" w:rsidP="002B59FC">
      <w:pPr>
        <w:jc w:val="both"/>
        <w:rPr>
          <w:sz w:val="28"/>
          <w:szCs w:val="28"/>
          <w:lang w:val="lv-LV"/>
        </w:rPr>
      </w:pPr>
      <w:r w:rsidRPr="00335591">
        <w:rPr>
          <w:b/>
          <w:bCs/>
          <w:sz w:val="28"/>
          <w:szCs w:val="28"/>
          <w:lang w:val="lv-LV"/>
        </w:rPr>
        <w:t xml:space="preserve">Latvija atbalsta </w:t>
      </w:r>
      <w:r w:rsidRPr="00335591">
        <w:rPr>
          <w:b/>
          <w:sz w:val="28"/>
          <w:szCs w:val="28"/>
          <w:lang w:val="lv-LV"/>
        </w:rPr>
        <w:t>Padomes secinājumu projektu par  „ES kosmosa rūpniecības politiku – Kosmosa nozares ekonomiskās izaugsmes potenciāla apgūšana”</w:t>
      </w:r>
      <w:r w:rsidRPr="00335591">
        <w:rPr>
          <w:sz w:val="28"/>
          <w:szCs w:val="28"/>
          <w:lang w:val="lv-LV"/>
        </w:rPr>
        <w:t xml:space="preserve">, jo tas skaidri iezīmē ES mērķus un rīcību Eiropas kosmosa industrijas attīstībai un konkurētspējai. Uzlabojot kosmosa institucionālo tirgu, iepirkuma politiku un finanšu instrumentus ir paredzama arī mazo ES dalībvalstu plašāka līdzdalība kosmisko tehnoloģiju izstrādes programmās, t.sk. Latvijas, izmantojot esošo kapacitāti. </w:t>
      </w:r>
    </w:p>
    <w:p w:rsidR="002B59FC" w:rsidRPr="00820166" w:rsidRDefault="002B59FC" w:rsidP="002B59FC">
      <w:pPr>
        <w:jc w:val="both"/>
        <w:rPr>
          <w:sz w:val="28"/>
          <w:szCs w:val="28"/>
          <w:lang w:val="lv-LV"/>
        </w:rPr>
      </w:pPr>
      <w:r w:rsidRPr="00335591">
        <w:rPr>
          <w:b/>
          <w:sz w:val="28"/>
          <w:szCs w:val="28"/>
          <w:lang w:val="lv-LV"/>
        </w:rPr>
        <w:t>Latvija uzskata</w:t>
      </w:r>
      <w:r w:rsidRPr="00335591">
        <w:rPr>
          <w:sz w:val="28"/>
          <w:szCs w:val="28"/>
          <w:lang w:val="lv-LV"/>
        </w:rPr>
        <w:t>, ka Eiropa sapr</w:t>
      </w:r>
      <w:r w:rsidR="00D43F01">
        <w:rPr>
          <w:sz w:val="28"/>
          <w:szCs w:val="28"/>
          <w:lang w:val="lv-LV"/>
        </w:rPr>
        <w:t>ot</w:t>
      </w:r>
      <w:r w:rsidRPr="00335591">
        <w:rPr>
          <w:sz w:val="28"/>
          <w:szCs w:val="28"/>
          <w:lang w:val="lv-LV"/>
        </w:rPr>
        <w:t xml:space="preserve"> kosmosa industrijas nozīmīgo lomu inovācijas, vispārējās ekonomikas atlabšanas un drošības vairošanā, kā arī ir līdzeklis, lai cīnītos ar dažādām sociālām problēmām. </w:t>
      </w:r>
      <w:r w:rsidRPr="00820166">
        <w:rPr>
          <w:sz w:val="28"/>
          <w:szCs w:val="28"/>
          <w:lang w:val="lv-LV"/>
        </w:rPr>
        <w:t>Paredzēto pasākumu īstenošana var palielināt zinātnisko institūtu, universitāšu un industrijas iniciatīvu iesaistīties dažādos kosmosa tehnoloģiju attīstības projektos.</w:t>
      </w:r>
    </w:p>
    <w:p w:rsidR="002B59FC" w:rsidRPr="00335591" w:rsidRDefault="002B59FC" w:rsidP="002B59FC">
      <w:pPr>
        <w:jc w:val="both"/>
        <w:rPr>
          <w:sz w:val="28"/>
          <w:szCs w:val="28"/>
          <w:lang w:val="lv-LV"/>
        </w:rPr>
      </w:pPr>
      <w:r w:rsidRPr="00335591">
        <w:rPr>
          <w:b/>
          <w:sz w:val="28"/>
          <w:szCs w:val="28"/>
          <w:lang w:val="lv-LV"/>
        </w:rPr>
        <w:t>Latvija uzskata</w:t>
      </w:r>
      <w:r w:rsidRPr="00335591">
        <w:rPr>
          <w:sz w:val="28"/>
          <w:szCs w:val="28"/>
          <w:lang w:val="lv-LV"/>
        </w:rPr>
        <w:t xml:space="preserve">, ka Eiropas kopējās kosmosa industrijas attīstība var sniegt būtisku ieguldījumu Latvijas tautsaimniecības attīstībā, jo tās realizācija varētu veicināt gan jaunu tehnoloģiju un produktu izstrādi un ieviešanu ražošanā, gan studiju programmu modernizāciju un modifikāciju atbilstoši jaunajiem apstākļiem, kā arī nodrošināt eksporta dažādošanos un </w:t>
      </w:r>
      <w:proofErr w:type="spellStart"/>
      <w:r w:rsidRPr="00335591">
        <w:rPr>
          <w:sz w:val="28"/>
          <w:szCs w:val="28"/>
          <w:lang w:val="lv-LV"/>
        </w:rPr>
        <w:t>eksportspējas</w:t>
      </w:r>
      <w:proofErr w:type="spellEnd"/>
      <w:r w:rsidRPr="00335591">
        <w:rPr>
          <w:sz w:val="28"/>
          <w:szCs w:val="28"/>
          <w:lang w:val="lv-LV"/>
        </w:rPr>
        <w:t xml:space="preserve"> paplašināšanos (to nodrošinātu </w:t>
      </w:r>
      <w:proofErr w:type="spellStart"/>
      <w:r w:rsidRPr="00335591">
        <w:rPr>
          <w:sz w:val="28"/>
          <w:szCs w:val="28"/>
          <w:lang w:val="lv-LV"/>
        </w:rPr>
        <w:t>iesaiste</w:t>
      </w:r>
      <w:proofErr w:type="spellEnd"/>
      <w:r w:rsidRPr="00335591">
        <w:rPr>
          <w:sz w:val="28"/>
          <w:szCs w:val="28"/>
          <w:lang w:val="lv-LV"/>
        </w:rPr>
        <w:t xml:space="preserve"> dažādos kosmosa attīstības projektos, sadarbība ar EKA, Horizonts 2020 un </w:t>
      </w:r>
      <w:proofErr w:type="spellStart"/>
      <w:r w:rsidRPr="00335591">
        <w:rPr>
          <w:sz w:val="28"/>
          <w:szCs w:val="28"/>
          <w:lang w:val="lv-LV"/>
        </w:rPr>
        <w:t>Eumetsat</w:t>
      </w:r>
      <w:proofErr w:type="spellEnd"/>
      <w:r w:rsidRPr="00335591">
        <w:rPr>
          <w:sz w:val="28"/>
          <w:szCs w:val="28"/>
          <w:lang w:val="lv-LV"/>
        </w:rPr>
        <w:t xml:space="preserve">).  </w:t>
      </w:r>
    </w:p>
    <w:p w:rsidR="00CC7F82" w:rsidRPr="00335591" w:rsidRDefault="00CC7F82" w:rsidP="00CC7F82">
      <w:pPr>
        <w:pStyle w:val="CommentText"/>
        <w:jc w:val="both"/>
        <w:rPr>
          <w:rFonts w:eastAsia="Arial Unicode MS"/>
          <w:color w:val="000000"/>
          <w:sz w:val="28"/>
          <w:szCs w:val="28"/>
          <w:lang w:val="lv-LV"/>
        </w:rPr>
      </w:pPr>
    </w:p>
    <w:p w:rsidR="00A55029" w:rsidRPr="00335591" w:rsidRDefault="00645E75" w:rsidP="00A9476A">
      <w:pPr>
        <w:jc w:val="both"/>
        <w:rPr>
          <w:b/>
          <w:sz w:val="28"/>
          <w:szCs w:val="28"/>
          <w:lang w:val="lv-LV"/>
        </w:rPr>
      </w:pPr>
      <w:r w:rsidRPr="00335591">
        <w:rPr>
          <w:b/>
          <w:sz w:val="28"/>
          <w:szCs w:val="28"/>
          <w:lang w:val="lv-LV"/>
        </w:rPr>
        <w:t>2.</w:t>
      </w:r>
      <w:r w:rsidRPr="00335591">
        <w:rPr>
          <w:sz w:val="28"/>
          <w:szCs w:val="28"/>
          <w:lang w:val="lv-LV"/>
        </w:rPr>
        <w:t xml:space="preserve"> </w:t>
      </w:r>
      <w:r w:rsidR="00A9476A" w:rsidRPr="00335591">
        <w:rPr>
          <w:b/>
          <w:noProof/>
          <w:sz w:val="28"/>
          <w:szCs w:val="28"/>
          <w:lang w:val="lv-LV"/>
        </w:rPr>
        <w:t>Progresa ziņojums „</w:t>
      </w:r>
      <w:r w:rsidR="00D43F01">
        <w:rPr>
          <w:b/>
          <w:noProof/>
          <w:sz w:val="28"/>
          <w:szCs w:val="28"/>
          <w:lang w:val="lv-LV"/>
        </w:rPr>
        <w:t>Komisijas</w:t>
      </w:r>
      <w:r w:rsidR="00D43F01" w:rsidRPr="00335591">
        <w:rPr>
          <w:b/>
          <w:noProof/>
          <w:sz w:val="28"/>
          <w:szCs w:val="28"/>
          <w:lang w:val="lv-LV"/>
        </w:rPr>
        <w:t xml:space="preserve"> priekšlikums Eiropas Parlamenta un Padomes lēmumam</w:t>
      </w:r>
      <w:r w:rsidR="00D43F01">
        <w:rPr>
          <w:b/>
          <w:noProof/>
          <w:sz w:val="28"/>
          <w:szCs w:val="28"/>
          <w:lang w:val="lv-LV"/>
        </w:rPr>
        <w:t>, ar ko izveido kosmisko objektu novērošanas un uzraudzības atbalsta programmu</w:t>
      </w:r>
      <w:r w:rsidR="00A9476A" w:rsidRPr="00335591">
        <w:rPr>
          <w:b/>
          <w:noProof/>
          <w:sz w:val="28"/>
          <w:szCs w:val="28"/>
          <w:lang w:val="lv-LV"/>
        </w:rPr>
        <w:t>”</w:t>
      </w:r>
    </w:p>
    <w:p w:rsidR="00A55029" w:rsidRPr="00335591" w:rsidRDefault="00A55029" w:rsidP="00A55029">
      <w:pPr>
        <w:autoSpaceDE w:val="0"/>
        <w:autoSpaceDN w:val="0"/>
        <w:adjustRightInd w:val="0"/>
        <w:jc w:val="both"/>
        <w:rPr>
          <w:rFonts w:eastAsia="Calibri"/>
          <w:color w:val="000000"/>
          <w:sz w:val="24"/>
          <w:szCs w:val="24"/>
          <w:lang w:val="lv-LV"/>
        </w:rPr>
      </w:pPr>
    </w:p>
    <w:p w:rsidR="00A6175D" w:rsidRPr="00335591" w:rsidRDefault="00A6175D" w:rsidP="00A6175D">
      <w:pPr>
        <w:autoSpaceDE w:val="0"/>
        <w:autoSpaceDN w:val="0"/>
        <w:adjustRightInd w:val="0"/>
        <w:jc w:val="both"/>
        <w:rPr>
          <w:rFonts w:eastAsia="Calibri"/>
          <w:color w:val="000000"/>
          <w:sz w:val="28"/>
          <w:szCs w:val="28"/>
          <w:lang w:val="lv-LV"/>
        </w:rPr>
      </w:pPr>
      <w:r w:rsidRPr="00335591">
        <w:rPr>
          <w:rFonts w:eastAsia="Calibri"/>
          <w:color w:val="000000"/>
          <w:sz w:val="28"/>
          <w:szCs w:val="28"/>
          <w:lang w:val="lv-LV"/>
        </w:rPr>
        <w:t>2013.gada 28.februārī Komisija apstiprināja Priekšlikumu Eiropas Parlamenta un Padomes lēmumam, ar ko izveido kosmisko objektu novērošanas un uzraudzības (SST)  atbalsta programmu.</w:t>
      </w:r>
    </w:p>
    <w:p w:rsidR="00A6175D" w:rsidRPr="00335591" w:rsidRDefault="00A6175D" w:rsidP="00A6175D">
      <w:pPr>
        <w:autoSpaceDE w:val="0"/>
        <w:autoSpaceDN w:val="0"/>
        <w:adjustRightInd w:val="0"/>
        <w:jc w:val="both"/>
        <w:rPr>
          <w:rFonts w:eastAsia="Calibri"/>
          <w:color w:val="000000"/>
          <w:sz w:val="28"/>
          <w:szCs w:val="28"/>
          <w:lang w:val="lv-LV"/>
        </w:rPr>
      </w:pPr>
      <w:r w:rsidRPr="00335591">
        <w:rPr>
          <w:rFonts w:eastAsia="Calibri"/>
          <w:color w:val="000000"/>
          <w:sz w:val="28"/>
          <w:szCs w:val="28"/>
          <w:lang w:val="lv-LV"/>
        </w:rPr>
        <w:t xml:space="preserve">SST atbalsta programma piedāvā izveidot Eiropas SST pakalpojumu, kuras uzdevums ir aizsargāt Eiropas un nacionālo kosmosa infrastruktūru un pakalpojumus. SST pakalpojums palielinās satelītu operāciju drošumu samazinot sadursmju risku un novērsīs kosmosa atkritumu nekontrolētu kustību. </w:t>
      </w:r>
    </w:p>
    <w:p w:rsidR="00A6175D" w:rsidRPr="00335591" w:rsidRDefault="00A6175D" w:rsidP="00A6175D">
      <w:pPr>
        <w:autoSpaceDE w:val="0"/>
        <w:autoSpaceDN w:val="0"/>
        <w:adjustRightInd w:val="0"/>
        <w:jc w:val="both"/>
        <w:rPr>
          <w:rFonts w:eastAsia="Calibri"/>
          <w:color w:val="000000"/>
          <w:sz w:val="28"/>
          <w:szCs w:val="28"/>
          <w:lang w:val="lv-LV"/>
        </w:rPr>
      </w:pPr>
      <w:r w:rsidRPr="00335591">
        <w:rPr>
          <w:rFonts w:eastAsia="Calibri"/>
          <w:color w:val="000000"/>
          <w:sz w:val="28"/>
          <w:szCs w:val="28"/>
          <w:lang w:val="lv-LV"/>
        </w:rPr>
        <w:t xml:space="preserve">Piedāvātais priekšlikums ļaus definēt partnerību, ar ko Dalībvalstis nodrošinās SST programmu ar sev piederošiem resursiem Eiropas līmenī un ES nodrošinās tiesisko ietvaru un finansiālu ieguldījumu definēto aktivitāšu īstenošanai. </w:t>
      </w:r>
    </w:p>
    <w:p w:rsidR="00A6175D" w:rsidRPr="00335591" w:rsidRDefault="00A6175D" w:rsidP="00A6175D">
      <w:pPr>
        <w:autoSpaceDE w:val="0"/>
        <w:autoSpaceDN w:val="0"/>
        <w:adjustRightInd w:val="0"/>
        <w:jc w:val="both"/>
        <w:rPr>
          <w:rFonts w:eastAsia="Calibri"/>
          <w:color w:val="000000"/>
          <w:sz w:val="28"/>
          <w:szCs w:val="28"/>
          <w:lang w:val="lv-LV"/>
        </w:rPr>
      </w:pPr>
    </w:p>
    <w:p w:rsidR="002E04CA" w:rsidRPr="00335591" w:rsidRDefault="002E04CA" w:rsidP="00A55029">
      <w:pPr>
        <w:autoSpaceDE w:val="0"/>
        <w:autoSpaceDN w:val="0"/>
        <w:adjustRightInd w:val="0"/>
        <w:jc w:val="both"/>
        <w:rPr>
          <w:rFonts w:eastAsia="Calibri"/>
          <w:b/>
          <w:color w:val="000000"/>
          <w:sz w:val="28"/>
          <w:szCs w:val="28"/>
          <w:u w:val="single"/>
          <w:lang w:val="lv-LV"/>
        </w:rPr>
      </w:pPr>
      <w:r w:rsidRPr="00335591">
        <w:rPr>
          <w:rFonts w:eastAsia="Calibri"/>
          <w:b/>
          <w:color w:val="000000"/>
          <w:sz w:val="28"/>
          <w:szCs w:val="28"/>
          <w:u w:val="single"/>
          <w:lang w:val="lv-LV"/>
        </w:rPr>
        <w:t>Latvijas pozīcija:</w:t>
      </w:r>
    </w:p>
    <w:p w:rsidR="00B17B45" w:rsidRPr="00B17B45" w:rsidRDefault="00B17B45" w:rsidP="00B17B45">
      <w:pPr>
        <w:jc w:val="both"/>
        <w:rPr>
          <w:rFonts w:ascii="TimesNewRoman" w:hAnsi="TimesNewRoman" w:cs="TimesNewRoman"/>
          <w:sz w:val="28"/>
          <w:szCs w:val="28"/>
          <w:lang w:val="lv-LV"/>
        </w:rPr>
      </w:pPr>
      <w:r w:rsidRPr="00B17B45">
        <w:rPr>
          <w:b/>
          <w:sz w:val="28"/>
          <w:szCs w:val="28"/>
          <w:lang w:val="lv-LV"/>
        </w:rPr>
        <w:t xml:space="preserve">Kopumā Latvija atbalsta </w:t>
      </w:r>
      <w:r w:rsidRPr="00B17B45">
        <w:rPr>
          <w:sz w:val="28"/>
          <w:szCs w:val="28"/>
          <w:lang w:val="lv-LV"/>
        </w:rPr>
        <w:t xml:space="preserve">Komisijas priekšlikumu par </w:t>
      </w:r>
      <w:r w:rsidRPr="00B17B45">
        <w:rPr>
          <w:rFonts w:ascii="TimesNewRoman" w:hAnsi="TimesNewRoman" w:cs="TimesNewRoman"/>
          <w:sz w:val="28"/>
          <w:szCs w:val="28"/>
          <w:lang w:val="lv-LV"/>
        </w:rPr>
        <w:t>Kosmisko objektu novērošanas un uzraudzības atbalsta programmas izveidošanu.</w:t>
      </w:r>
    </w:p>
    <w:p w:rsidR="00B17B45" w:rsidRPr="00B17B45" w:rsidRDefault="00B17B45" w:rsidP="00B17B45">
      <w:pPr>
        <w:jc w:val="both"/>
        <w:rPr>
          <w:sz w:val="28"/>
          <w:szCs w:val="28"/>
          <w:lang w:val="lv-LV"/>
        </w:rPr>
      </w:pPr>
      <w:r w:rsidRPr="00B17B45">
        <w:rPr>
          <w:b/>
          <w:sz w:val="28"/>
          <w:szCs w:val="28"/>
          <w:lang w:val="lv-LV"/>
        </w:rPr>
        <w:lastRenderedPageBreak/>
        <w:t xml:space="preserve">Latvija atbalsta paredzētās </w:t>
      </w:r>
      <w:r w:rsidRPr="00B17B45">
        <w:rPr>
          <w:rFonts w:ascii="TimesNewRoman" w:hAnsi="TimesNewRoman" w:cs="TimesNewRoman"/>
          <w:b/>
          <w:sz w:val="28"/>
          <w:szCs w:val="28"/>
          <w:lang w:val="lv-LV"/>
        </w:rPr>
        <w:t>darbības</w:t>
      </w:r>
      <w:r w:rsidRPr="00B17B45">
        <w:rPr>
          <w:rFonts w:ascii="TimesNewRoman" w:hAnsi="TimesNewRoman" w:cs="TimesNewRoman"/>
          <w:sz w:val="28"/>
          <w:szCs w:val="28"/>
          <w:lang w:val="lv-LV"/>
        </w:rPr>
        <w:t xml:space="preserve">, kuru uzdevums ir </w:t>
      </w:r>
      <w:r w:rsidRPr="00B17B45">
        <w:rPr>
          <w:rFonts w:ascii="TimesNewRoman,Italic" w:hAnsi="TimesNewRoman,Italic" w:cs="TimesNewRoman,Italic"/>
          <w:i/>
          <w:iCs/>
          <w:sz w:val="28"/>
          <w:szCs w:val="28"/>
          <w:lang w:val="lv-LV"/>
        </w:rPr>
        <w:t xml:space="preserve">SST </w:t>
      </w:r>
      <w:r w:rsidRPr="00B17B45">
        <w:rPr>
          <w:rFonts w:ascii="TimesNewRoman" w:hAnsi="TimesNewRoman" w:cs="TimesNewRoman"/>
          <w:sz w:val="28"/>
          <w:szCs w:val="28"/>
          <w:lang w:val="lv-LV"/>
        </w:rPr>
        <w:t>programmas izveide, kā arī sensora funkcijas izveide un darbība.</w:t>
      </w:r>
    </w:p>
    <w:p w:rsidR="00B17B45" w:rsidRPr="00B17B45" w:rsidRDefault="00B17B45" w:rsidP="00B17B45">
      <w:pPr>
        <w:autoSpaceDE w:val="0"/>
        <w:autoSpaceDN w:val="0"/>
        <w:adjustRightInd w:val="0"/>
        <w:jc w:val="both"/>
        <w:rPr>
          <w:sz w:val="28"/>
          <w:szCs w:val="28"/>
          <w:lang w:val="lv-LV"/>
        </w:rPr>
      </w:pPr>
      <w:r w:rsidRPr="00B17B45">
        <w:rPr>
          <w:b/>
          <w:sz w:val="28"/>
          <w:szCs w:val="28"/>
          <w:lang w:val="lv-LV"/>
        </w:rPr>
        <w:t>Latvija atbalsta viedokli</w:t>
      </w:r>
      <w:r w:rsidRPr="00B17B45">
        <w:rPr>
          <w:sz w:val="28"/>
          <w:szCs w:val="28"/>
          <w:lang w:val="lv-LV"/>
        </w:rPr>
        <w:t xml:space="preserve">, ka nākotnes Eiropas </w:t>
      </w:r>
      <w:r w:rsidRPr="00B17B45">
        <w:rPr>
          <w:i/>
          <w:iCs/>
          <w:sz w:val="28"/>
          <w:szCs w:val="28"/>
          <w:lang w:val="lv-LV"/>
        </w:rPr>
        <w:t xml:space="preserve">SST </w:t>
      </w:r>
      <w:r w:rsidRPr="00B17B45">
        <w:rPr>
          <w:sz w:val="28"/>
          <w:szCs w:val="28"/>
          <w:lang w:val="lv-LV"/>
        </w:rPr>
        <w:t xml:space="preserve">sistēmas sensora un apstrādes funkcijai jāpaliek valstu kompetento iestāžu kontrolē, jo precīza informācija par konkrētu kosmisko objektu dabu, </w:t>
      </w:r>
      <w:proofErr w:type="spellStart"/>
      <w:r w:rsidRPr="00B17B45">
        <w:rPr>
          <w:sz w:val="28"/>
          <w:szCs w:val="28"/>
          <w:lang w:val="lv-LV"/>
        </w:rPr>
        <w:t>specifikācijām</w:t>
      </w:r>
      <w:proofErr w:type="spellEnd"/>
      <w:r w:rsidRPr="00B17B45">
        <w:rPr>
          <w:sz w:val="28"/>
          <w:szCs w:val="28"/>
          <w:lang w:val="lv-LV"/>
        </w:rPr>
        <w:t xml:space="preserve"> un atrašanās vietu var ietekmēt Eiropas Savienības vai tās dalībvalstu drošību. Tādēļ attiecībā uz </w:t>
      </w:r>
      <w:r w:rsidRPr="00B17B45">
        <w:rPr>
          <w:i/>
          <w:iCs/>
          <w:sz w:val="28"/>
          <w:szCs w:val="28"/>
          <w:lang w:val="lv-LV"/>
        </w:rPr>
        <w:t xml:space="preserve">SST </w:t>
      </w:r>
      <w:r w:rsidRPr="00B17B45">
        <w:rPr>
          <w:sz w:val="28"/>
          <w:szCs w:val="28"/>
          <w:lang w:val="lv-LV"/>
        </w:rPr>
        <w:t xml:space="preserve">sensoru tīkla izveidi un darbību, spēju apstrādāt un analizēt </w:t>
      </w:r>
      <w:r w:rsidRPr="00B17B45">
        <w:rPr>
          <w:i/>
          <w:iCs/>
          <w:sz w:val="28"/>
          <w:szCs w:val="28"/>
          <w:lang w:val="lv-LV"/>
        </w:rPr>
        <w:t xml:space="preserve">SST </w:t>
      </w:r>
      <w:r w:rsidRPr="00B17B45">
        <w:rPr>
          <w:sz w:val="28"/>
          <w:szCs w:val="28"/>
          <w:lang w:val="lv-LV"/>
        </w:rPr>
        <w:t xml:space="preserve">datus un </w:t>
      </w:r>
      <w:r w:rsidRPr="00B17B45">
        <w:rPr>
          <w:i/>
          <w:iCs/>
          <w:sz w:val="28"/>
          <w:szCs w:val="28"/>
          <w:lang w:val="lv-LV"/>
        </w:rPr>
        <w:t>SST</w:t>
      </w:r>
      <w:r w:rsidRPr="00B17B45">
        <w:rPr>
          <w:sz w:val="28"/>
          <w:szCs w:val="28"/>
          <w:lang w:val="lv-LV"/>
        </w:rPr>
        <w:t xml:space="preserve"> pakalpojumu sniegšanā nepieciešami pienācīgi piesardzības pasākumi, tādejādi ir nepieciešams noteikt vispārīgus noteikumus par </w:t>
      </w:r>
      <w:r w:rsidRPr="00B17B45">
        <w:rPr>
          <w:i/>
          <w:iCs/>
          <w:sz w:val="28"/>
          <w:szCs w:val="28"/>
          <w:lang w:val="lv-LV"/>
        </w:rPr>
        <w:t xml:space="preserve">SST </w:t>
      </w:r>
      <w:r w:rsidRPr="00B17B45">
        <w:rPr>
          <w:sz w:val="28"/>
          <w:szCs w:val="28"/>
          <w:lang w:val="lv-LV"/>
        </w:rPr>
        <w:t xml:space="preserve">datu un informācijas izmantošanu un drošu apmaiņu starp dalībvalstīm, </w:t>
      </w:r>
      <w:r w:rsidRPr="00B17B45">
        <w:rPr>
          <w:i/>
          <w:iCs/>
          <w:sz w:val="28"/>
          <w:szCs w:val="28"/>
          <w:lang w:val="lv-LV"/>
        </w:rPr>
        <w:t xml:space="preserve">EUSC </w:t>
      </w:r>
      <w:r w:rsidRPr="00B17B45">
        <w:rPr>
          <w:sz w:val="28"/>
          <w:szCs w:val="28"/>
          <w:lang w:val="lv-LV"/>
        </w:rPr>
        <w:t xml:space="preserve">un </w:t>
      </w:r>
      <w:r w:rsidRPr="00B17B45">
        <w:rPr>
          <w:i/>
          <w:iCs/>
          <w:sz w:val="28"/>
          <w:szCs w:val="28"/>
          <w:lang w:val="lv-LV"/>
        </w:rPr>
        <w:t xml:space="preserve">SST </w:t>
      </w:r>
      <w:r w:rsidRPr="00B17B45">
        <w:rPr>
          <w:sz w:val="28"/>
          <w:szCs w:val="28"/>
          <w:lang w:val="lv-LV"/>
        </w:rPr>
        <w:t xml:space="preserve">pakalpojumu saņēmējiem. </w:t>
      </w:r>
    </w:p>
    <w:p w:rsidR="00B248F3" w:rsidRPr="00B17B45" w:rsidRDefault="00B17B45" w:rsidP="00B17B45">
      <w:pPr>
        <w:autoSpaceDE w:val="0"/>
        <w:autoSpaceDN w:val="0"/>
        <w:adjustRightInd w:val="0"/>
        <w:jc w:val="both"/>
        <w:rPr>
          <w:rFonts w:eastAsiaTheme="minorHAnsi"/>
          <w:color w:val="FF0000"/>
          <w:sz w:val="28"/>
          <w:szCs w:val="28"/>
          <w:lang w:val="lv-LV"/>
        </w:rPr>
      </w:pPr>
      <w:r w:rsidRPr="00B17B45">
        <w:rPr>
          <w:b/>
          <w:sz w:val="28"/>
          <w:szCs w:val="28"/>
          <w:lang w:val="lv-LV"/>
        </w:rPr>
        <w:t>Latvija uzskata</w:t>
      </w:r>
      <w:r w:rsidRPr="00B17B45">
        <w:rPr>
          <w:sz w:val="28"/>
          <w:szCs w:val="28"/>
          <w:lang w:val="lv-LV"/>
        </w:rPr>
        <w:t xml:space="preserve">, ka Eiropas Komisijai un Eiropas Ārējās darbības dienestam ir jāizstrādā koordinēšanas mehānisms, kas nepieciešams ar </w:t>
      </w:r>
      <w:r w:rsidRPr="00B17B45">
        <w:rPr>
          <w:i/>
          <w:iCs/>
          <w:sz w:val="28"/>
          <w:szCs w:val="28"/>
          <w:lang w:val="lv-LV"/>
        </w:rPr>
        <w:t xml:space="preserve">SST </w:t>
      </w:r>
      <w:r w:rsidRPr="00B17B45">
        <w:rPr>
          <w:sz w:val="28"/>
          <w:szCs w:val="28"/>
          <w:lang w:val="lv-LV"/>
        </w:rPr>
        <w:t>atbalsta programmas drošību saistītu jautājumu risināšanai.</w:t>
      </w:r>
    </w:p>
    <w:p w:rsidR="00087407" w:rsidRPr="00335591" w:rsidRDefault="00087407" w:rsidP="00087407">
      <w:pPr>
        <w:jc w:val="both"/>
        <w:rPr>
          <w:lang w:val="lv-LV" w:eastAsia="de-DE"/>
        </w:rPr>
      </w:pPr>
    </w:p>
    <w:p w:rsidR="003028A7" w:rsidRPr="00335591" w:rsidRDefault="005046B2" w:rsidP="00AE38ED">
      <w:pPr>
        <w:jc w:val="both"/>
        <w:rPr>
          <w:b/>
          <w:bCs/>
          <w:color w:val="000000"/>
          <w:sz w:val="28"/>
          <w:szCs w:val="28"/>
          <w:lang w:val="lv-LV"/>
        </w:rPr>
      </w:pPr>
      <w:r w:rsidRPr="00335591">
        <w:rPr>
          <w:b/>
          <w:sz w:val="28"/>
          <w:szCs w:val="28"/>
          <w:lang w:val="lv-LV"/>
        </w:rPr>
        <w:t>3</w:t>
      </w:r>
      <w:r w:rsidR="003028A7" w:rsidRPr="00335591">
        <w:rPr>
          <w:b/>
          <w:sz w:val="28"/>
          <w:szCs w:val="28"/>
          <w:lang w:val="lv-LV"/>
        </w:rPr>
        <w:t>.</w:t>
      </w:r>
      <w:r w:rsidR="003028A7" w:rsidRPr="00335591">
        <w:rPr>
          <w:sz w:val="28"/>
          <w:szCs w:val="28"/>
          <w:lang w:val="lv-LV"/>
        </w:rPr>
        <w:t xml:space="preserve"> </w:t>
      </w:r>
      <w:r w:rsidR="00A9476A" w:rsidRPr="00335591">
        <w:rPr>
          <w:b/>
          <w:sz w:val="28"/>
          <w:szCs w:val="28"/>
          <w:lang w:val="lv-LV"/>
        </w:rPr>
        <w:t xml:space="preserve">Informācija par aktuālo situāciju attiecībā uz Eiropas Komisijas priekšlikumu </w:t>
      </w:r>
      <w:r w:rsidR="00A9476A" w:rsidRPr="00335591">
        <w:rPr>
          <w:b/>
          <w:noProof/>
          <w:sz w:val="28"/>
          <w:szCs w:val="28"/>
          <w:lang w:val="lv-LV"/>
        </w:rPr>
        <w:t xml:space="preserve">Eiropas Parlamenta un Padomes regulai, ar kuru izveido Horizonts 2020, ietvarprogrammu pētniecībai un inovācijai 2014-20120.gadam un </w:t>
      </w:r>
      <w:r w:rsidR="00A9476A" w:rsidRPr="00335591">
        <w:rPr>
          <w:b/>
          <w:sz w:val="28"/>
          <w:szCs w:val="28"/>
          <w:lang w:val="lv-LV"/>
        </w:rPr>
        <w:t xml:space="preserve">Eiropas Komisijas priekšlikumu </w:t>
      </w:r>
      <w:r w:rsidR="00A9476A" w:rsidRPr="00335591">
        <w:rPr>
          <w:b/>
          <w:noProof/>
          <w:sz w:val="28"/>
          <w:szCs w:val="28"/>
          <w:lang w:val="lv-LV"/>
        </w:rPr>
        <w:t>Eiropas Parlamenta un Padomes regulai, ar kuru izveido Horizonts 2020 dalības un  rezultātu i</w:t>
      </w:r>
      <w:r w:rsidR="006A6A12" w:rsidRPr="00335591">
        <w:rPr>
          <w:b/>
          <w:noProof/>
          <w:sz w:val="28"/>
          <w:szCs w:val="28"/>
          <w:lang w:val="lv-LV"/>
        </w:rPr>
        <w:t>zp</w:t>
      </w:r>
      <w:r w:rsidR="00A9476A" w:rsidRPr="00335591">
        <w:rPr>
          <w:b/>
          <w:noProof/>
          <w:sz w:val="28"/>
          <w:szCs w:val="28"/>
          <w:lang w:val="lv-LV"/>
        </w:rPr>
        <w:t>latīšanas nosacījumus</w:t>
      </w:r>
      <w:r w:rsidR="00FE48FE" w:rsidRPr="00335591">
        <w:rPr>
          <w:b/>
          <w:bCs/>
          <w:color w:val="000000"/>
          <w:sz w:val="28"/>
          <w:szCs w:val="28"/>
          <w:lang w:val="lv-LV"/>
        </w:rPr>
        <w:t xml:space="preserve"> </w:t>
      </w:r>
    </w:p>
    <w:p w:rsidR="00335591" w:rsidRPr="00335591" w:rsidRDefault="00335591" w:rsidP="00335591">
      <w:pPr>
        <w:jc w:val="both"/>
        <w:rPr>
          <w:sz w:val="28"/>
          <w:szCs w:val="28"/>
          <w:lang w:val="lv-LV"/>
        </w:rPr>
      </w:pPr>
    </w:p>
    <w:p w:rsidR="00335591" w:rsidRPr="00335591" w:rsidRDefault="00335591" w:rsidP="00335591">
      <w:pPr>
        <w:jc w:val="both"/>
        <w:rPr>
          <w:sz w:val="28"/>
          <w:szCs w:val="28"/>
          <w:lang w:val="lv-LV"/>
        </w:rPr>
      </w:pPr>
      <w:r w:rsidRPr="00335591">
        <w:rPr>
          <w:sz w:val="28"/>
          <w:szCs w:val="28"/>
          <w:lang w:val="lv-LV"/>
        </w:rPr>
        <w:t xml:space="preserve">Kopš 2013. gada ir notikušas regulāras tehniskās Īrijas Prezidentūras tikšanās ar Eiropas Parlamentu (EP) par divām Horizonts 2020 regulām – regulu, ar kuru izveido Horizonts 2020, un dalības nosacījumu regulu. </w:t>
      </w:r>
      <w:proofErr w:type="spellStart"/>
      <w:r w:rsidRPr="00335591">
        <w:rPr>
          <w:sz w:val="28"/>
          <w:szCs w:val="28"/>
          <w:lang w:val="lv-LV"/>
        </w:rPr>
        <w:t>Trialogos</w:t>
      </w:r>
      <w:proofErr w:type="spellEnd"/>
      <w:r w:rsidRPr="00335591">
        <w:rPr>
          <w:sz w:val="28"/>
          <w:szCs w:val="28"/>
          <w:lang w:val="lv-LV"/>
        </w:rPr>
        <w:t xml:space="preserve">, kurus sagatavojušas darba grupas un </w:t>
      </w:r>
      <w:proofErr w:type="spellStart"/>
      <w:r w:rsidRPr="00335591">
        <w:rPr>
          <w:sz w:val="28"/>
          <w:szCs w:val="28"/>
          <w:lang w:val="lv-LV"/>
        </w:rPr>
        <w:t>Coreper</w:t>
      </w:r>
      <w:proofErr w:type="spellEnd"/>
      <w:r w:rsidRPr="00335591">
        <w:rPr>
          <w:sz w:val="28"/>
          <w:szCs w:val="28"/>
          <w:lang w:val="lv-LV"/>
        </w:rPr>
        <w:t xml:space="preserve">, ir panākta vienošanās par būtiskākajiem un arī par politiskajiem jautājumiem. </w:t>
      </w:r>
    </w:p>
    <w:p w:rsidR="00335591" w:rsidRPr="00335591" w:rsidRDefault="00335591" w:rsidP="00335591">
      <w:pPr>
        <w:jc w:val="both"/>
        <w:rPr>
          <w:sz w:val="28"/>
          <w:szCs w:val="28"/>
          <w:lang w:val="lv-LV"/>
        </w:rPr>
      </w:pPr>
      <w:r w:rsidRPr="00335591">
        <w:rPr>
          <w:sz w:val="28"/>
          <w:szCs w:val="28"/>
          <w:lang w:val="lv-LV"/>
        </w:rPr>
        <w:t xml:space="preserve">Ir panākts būtisks progress sarunās par Horizonts 2020, vienlaikus Prezidentūra ir sagatavojusi </w:t>
      </w:r>
      <w:r w:rsidR="0058713E">
        <w:rPr>
          <w:sz w:val="28"/>
          <w:szCs w:val="28"/>
          <w:lang w:val="lv-LV"/>
        </w:rPr>
        <w:t>progresa ziņojumu</w:t>
      </w:r>
      <w:r w:rsidRPr="00335591">
        <w:rPr>
          <w:sz w:val="28"/>
          <w:szCs w:val="28"/>
          <w:lang w:val="lv-LV"/>
        </w:rPr>
        <w:t xml:space="preserve"> par Horizonts 2020 uzbūvi, jauniem mērķiem, pasākumu un </w:t>
      </w:r>
      <w:proofErr w:type="spellStart"/>
      <w:r w:rsidRPr="00335591">
        <w:rPr>
          <w:sz w:val="28"/>
          <w:szCs w:val="28"/>
          <w:lang w:val="lv-LV"/>
        </w:rPr>
        <w:t>apakšpasākumu</w:t>
      </w:r>
      <w:proofErr w:type="spellEnd"/>
      <w:r w:rsidRPr="00335591">
        <w:rPr>
          <w:sz w:val="28"/>
          <w:szCs w:val="28"/>
          <w:lang w:val="lv-LV"/>
        </w:rPr>
        <w:t xml:space="preserve"> līnijām un par vienkāršošanu un efektivitāti. </w:t>
      </w:r>
    </w:p>
    <w:p w:rsidR="009D691F" w:rsidRPr="00335591" w:rsidRDefault="009D691F" w:rsidP="00AE38ED">
      <w:pPr>
        <w:jc w:val="both"/>
        <w:rPr>
          <w:b/>
          <w:bCs/>
          <w:color w:val="FF0000"/>
          <w:sz w:val="28"/>
          <w:szCs w:val="28"/>
          <w:lang w:val="lv-LV"/>
        </w:rPr>
      </w:pPr>
    </w:p>
    <w:p w:rsidR="009D691F" w:rsidRPr="00335591" w:rsidRDefault="009D691F" w:rsidP="009D691F">
      <w:pPr>
        <w:jc w:val="both"/>
        <w:rPr>
          <w:b/>
          <w:sz w:val="28"/>
          <w:szCs w:val="28"/>
          <w:u w:val="single"/>
          <w:lang w:val="lv-LV"/>
        </w:rPr>
      </w:pPr>
      <w:r w:rsidRPr="00335591">
        <w:rPr>
          <w:b/>
          <w:sz w:val="28"/>
          <w:szCs w:val="28"/>
          <w:u w:val="single"/>
          <w:lang w:val="lv-LV"/>
        </w:rPr>
        <w:t>Latvijas pozīcija:</w:t>
      </w:r>
    </w:p>
    <w:p w:rsidR="00335591" w:rsidRPr="00335591" w:rsidRDefault="00335591" w:rsidP="00335591">
      <w:pPr>
        <w:pStyle w:val="Statut"/>
        <w:spacing w:before="0"/>
        <w:jc w:val="both"/>
        <w:rPr>
          <w:noProof/>
          <w:sz w:val="28"/>
          <w:szCs w:val="28"/>
          <w:lang w:val="lv-LV"/>
        </w:rPr>
      </w:pPr>
      <w:r w:rsidRPr="00335591">
        <w:rPr>
          <w:b/>
          <w:sz w:val="28"/>
          <w:szCs w:val="28"/>
          <w:lang w:val="lv-LV"/>
        </w:rPr>
        <w:t>Latvija atbalsta</w:t>
      </w:r>
      <w:r w:rsidRPr="00335591">
        <w:rPr>
          <w:sz w:val="28"/>
          <w:szCs w:val="28"/>
          <w:lang w:val="lv-LV"/>
        </w:rPr>
        <w:t xml:space="preserve"> Prezidentūras sagatavoto informāciju par aktuālo virzību par Priekšlikuma </w:t>
      </w:r>
      <w:r w:rsidRPr="00335591">
        <w:rPr>
          <w:noProof/>
          <w:sz w:val="28"/>
          <w:szCs w:val="28"/>
          <w:lang w:val="lv-LV"/>
        </w:rPr>
        <w:t>Eiropas Parlamenta un Padomes regulai, ar kuru izveido Horizonts 2020 – Ietvara programmu pētniecībai un inovācijai (2014-2020) un Priekšlikuma Eiropas Parlamenta un Padomes regulai, kurā izklāstīti dalības un pētījumu rezultātu izplatīšanas noteikumi attiecībā uz pētniecības un inovācijas pamatprogrammu “Horizonts 2020” (2014–2020) virzību.</w:t>
      </w:r>
    </w:p>
    <w:p w:rsidR="00335591" w:rsidRPr="00335591" w:rsidRDefault="00335591" w:rsidP="00335591">
      <w:pPr>
        <w:rPr>
          <w:sz w:val="28"/>
          <w:szCs w:val="28"/>
          <w:lang w:val="lv-LV"/>
        </w:rPr>
      </w:pPr>
      <w:r w:rsidRPr="00335591">
        <w:rPr>
          <w:b/>
          <w:sz w:val="28"/>
          <w:szCs w:val="28"/>
          <w:lang w:val="lv-LV"/>
        </w:rPr>
        <w:t>Latvija atkārtoti apstiprina</w:t>
      </w:r>
      <w:r w:rsidRPr="00335591">
        <w:rPr>
          <w:sz w:val="28"/>
          <w:szCs w:val="28"/>
          <w:lang w:val="lv-LV"/>
        </w:rPr>
        <w:t xml:space="preserve"> savu piekrišanu par vienošanās panākšanu sarunās Parlamentu.</w:t>
      </w:r>
    </w:p>
    <w:p w:rsidR="00335591" w:rsidRPr="00335591" w:rsidRDefault="00335591" w:rsidP="00335591">
      <w:pPr>
        <w:pStyle w:val="Titreobjet"/>
        <w:spacing w:before="0" w:after="0"/>
        <w:jc w:val="both"/>
        <w:rPr>
          <w:b w:val="0"/>
          <w:noProof/>
          <w:sz w:val="28"/>
          <w:szCs w:val="28"/>
          <w:lang w:val="lv-LV"/>
        </w:rPr>
      </w:pPr>
      <w:r w:rsidRPr="00335591">
        <w:rPr>
          <w:noProof/>
          <w:sz w:val="28"/>
          <w:szCs w:val="28"/>
          <w:lang w:val="lv-LV"/>
        </w:rPr>
        <w:t>Latvija</w:t>
      </w:r>
      <w:r w:rsidRPr="00335591">
        <w:rPr>
          <w:b w:val="0"/>
          <w:noProof/>
          <w:sz w:val="28"/>
          <w:szCs w:val="28"/>
          <w:lang w:val="lv-LV"/>
        </w:rPr>
        <w:t xml:space="preserve"> </w:t>
      </w:r>
      <w:r w:rsidRPr="00335591">
        <w:rPr>
          <w:noProof/>
          <w:sz w:val="28"/>
          <w:szCs w:val="28"/>
          <w:lang w:val="lv-LV"/>
        </w:rPr>
        <w:t>izsaka atzinību</w:t>
      </w:r>
      <w:r w:rsidRPr="00335591">
        <w:rPr>
          <w:b w:val="0"/>
          <w:noProof/>
          <w:sz w:val="28"/>
          <w:szCs w:val="28"/>
          <w:lang w:val="lv-LV"/>
        </w:rPr>
        <w:t xml:space="preserve"> Īrija prezidentūrai par </w:t>
      </w:r>
      <w:r w:rsidRPr="00335591">
        <w:rPr>
          <w:b w:val="0"/>
          <w:sz w:val="28"/>
          <w:szCs w:val="28"/>
          <w:lang w:val="lv-LV"/>
        </w:rPr>
        <w:t xml:space="preserve">ieguldīto darbu </w:t>
      </w:r>
      <w:r w:rsidRPr="00335591">
        <w:rPr>
          <w:b w:val="0"/>
          <w:noProof/>
          <w:sz w:val="28"/>
          <w:szCs w:val="28"/>
          <w:lang w:val="lv-LV"/>
        </w:rPr>
        <w:t>Horizonts 2020 jautājumu skatīšanā tehniskajās sanāksmēs, darba grupās un trialogos.</w:t>
      </w:r>
    </w:p>
    <w:p w:rsidR="00335591" w:rsidRPr="00335591" w:rsidRDefault="00335591" w:rsidP="00335591">
      <w:pPr>
        <w:rPr>
          <w:lang w:val="lv-LV" w:eastAsia="en-GB"/>
        </w:rPr>
      </w:pPr>
    </w:p>
    <w:p w:rsidR="00335591" w:rsidRPr="00D43F01" w:rsidRDefault="00D43F01" w:rsidP="00335591">
      <w:pPr>
        <w:jc w:val="both"/>
        <w:rPr>
          <w:sz w:val="28"/>
          <w:szCs w:val="28"/>
          <w:lang w:val="lv-LV" w:eastAsia="en-GB"/>
        </w:rPr>
      </w:pPr>
      <w:r w:rsidRPr="00D43F01">
        <w:rPr>
          <w:sz w:val="28"/>
          <w:szCs w:val="28"/>
          <w:lang w:val="lv-LV" w:eastAsia="en-GB"/>
        </w:rPr>
        <w:t>Zinātnes ministriem ir paredzēta diskusija par Horizonts 2020.</w:t>
      </w:r>
    </w:p>
    <w:p w:rsidR="00335591" w:rsidRPr="00335591" w:rsidRDefault="00335591" w:rsidP="00335591">
      <w:pPr>
        <w:pStyle w:val="Default"/>
        <w:rPr>
          <w:sz w:val="28"/>
          <w:szCs w:val="28"/>
        </w:rPr>
      </w:pPr>
    </w:p>
    <w:p w:rsidR="009D691F" w:rsidRPr="00335591" w:rsidRDefault="009D691F" w:rsidP="00AE38ED">
      <w:pPr>
        <w:jc w:val="both"/>
        <w:rPr>
          <w:b/>
          <w:bCs/>
          <w:color w:val="FF0000"/>
          <w:sz w:val="28"/>
          <w:szCs w:val="28"/>
          <w:lang w:val="lv-LV"/>
        </w:rPr>
      </w:pPr>
    </w:p>
    <w:p w:rsidR="003028A7" w:rsidRPr="00335591" w:rsidRDefault="00E20CF9" w:rsidP="00BE46A1">
      <w:pPr>
        <w:autoSpaceDE w:val="0"/>
        <w:autoSpaceDN w:val="0"/>
        <w:adjustRightInd w:val="0"/>
        <w:jc w:val="both"/>
        <w:rPr>
          <w:b/>
          <w:bCs/>
          <w:color w:val="000000"/>
          <w:sz w:val="28"/>
          <w:szCs w:val="28"/>
          <w:lang w:val="lv-LV"/>
        </w:rPr>
      </w:pPr>
      <w:r w:rsidRPr="00335591">
        <w:rPr>
          <w:b/>
          <w:bCs/>
          <w:color w:val="000000"/>
          <w:sz w:val="28"/>
          <w:szCs w:val="28"/>
          <w:lang w:val="lv-LV"/>
        </w:rPr>
        <w:lastRenderedPageBreak/>
        <w:t xml:space="preserve">4. Politiskā </w:t>
      </w:r>
      <w:proofErr w:type="spellStart"/>
      <w:r w:rsidRPr="00335591">
        <w:rPr>
          <w:b/>
          <w:bCs/>
          <w:color w:val="000000"/>
          <w:sz w:val="28"/>
          <w:szCs w:val="28"/>
          <w:lang w:val="lv-LV"/>
        </w:rPr>
        <w:t>debate</w:t>
      </w:r>
      <w:proofErr w:type="spellEnd"/>
      <w:r w:rsidRPr="00335591">
        <w:rPr>
          <w:b/>
          <w:bCs/>
          <w:color w:val="000000"/>
          <w:sz w:val="28"/>
          <w:szCs w:val="28"/>
          <w:lang w:val="lv-LV"/>
        </w:rPr>
        <w:t xml:space="preserve"> par vienoto plānošanu</w:t>
      </w:r>
    </w:p>
    <w:p w:rsidR="00C24221" w:rsidRDefault="00C24221" w:rsidP="00326950">
      <w:pPr>
        <w:jc w:val="both"/>
        <w:rPr>
          <w:sz w:val="28"/>
          <w:szCs w:val="28"/>
          <w:lang w:val="lv-LV"/>
        </w:rPr>
      </w:pPr>
      <w:r>
        <w:rPr>
          <w:sz w:val="28"/>
          <w:szCs w:val="28"/>
          <w:lang w:val="lv-LV"/>
        </w:rPr>
        <w:t>Debatē par vienoto plānošanu Latvija neizteiksies, jo Latvija nepiedalās vienotās plānošanas iniciatīvās.</w:t>
      </w:r>
    </w:p>
    <w:p w:rsidR="00C24221" w:rsidRDefault="00C24221" w:rsidP="00326950">
      <w:pPr>
        <w:jc w:val="both"/>
        <w:rPr>
          <w:sz w:val="28"/>
          <w:szCs w:val="28"/>
          <w:lang w:val="lv-LV"/>
        </w:rPr>
      </w:pPr>
    </w:p>
    <w:p w:rsidR="00326950" w:rsidRPr="00335591" w:rsidRDefault="002043CC" w:rsidP="00326950">
      <w:pPr>
        <w:jc w:val="both"/>
        <w:rPr>
          <w:sz w:val="28"/>
          <w:szCs w:val="28"/>
          <w:lang w:val="lv-LV"/>
        </w:rPr>
      </w:pPr>
      <w:r w:rsidRPr="00335591">
        <w:rPr>
          <w:sz w:val="28"/>
          <w:szCs w:val="28"/>
          <w:lang w:val="lv-LV"/>
        </w:rPr>
        <w:t>Pēc Eiropas Komisijas  2008. gada 15. jūlija paziņojuma „Ceļā uz pētniecības vienotu plānošanu (JPI): sadarboties, lai risinātu kopīgas problēmas efektīvākam risinājumam” 2008. gada 2. decembra Konkurētspējas padome uzsāka vienot</w:t>
      </w:r>
      <w:r w:rsidR="00326950" w:rsidRPr="00335591">
        <w:rPr>
          <w:sz w:val="28"/>
          <w:szCs w:val="28"/>
          <w:lang w:val="lv-LV"/>
        </w:rPr>
        <w:t>ās</w:t>
      </w:r>
      <w:r w:rsidRPr="00335591">
        <w:rPr>
          <w:sz w:val="28"/>
          <w:szCs w:val="28"/>
          <w:lang w:val="lv-LV"/>
        </w:rPr>
        <w:t xml:space="preserve"> plānošan</w:t>
      </w:r>
      <w:r w:rsidR="00326950" w:rsidRPr="00335591">
        <w:rPr>
          <w:sz w:val="28"/>
          <w:szCs w:val="28"/>
          <w:lang w:val="lv-LV"/>
        </w:rPr>
        <w:t>as pasākumus</w:t>
      </w:r>
      <w:r w:rsidRPr="00335591">
        <w:rPr>
          <w:sz w:val="28"/>
          <w:szCs w:val="28"/>
          <w:lang w:val="lv-LV"/>
        </w:rPr>
        <w:t xml:space="preserve"> kā dalībvalstu virzītu procesu uz brīvprātības pamatiem un atvērtas piekļuves principiem.</w:t>
      </w:r>
      <w:r w:rsidR="00326950" w:rsidRPr="00335591">
        <w:rPr>
          <w:sz w:val="28"/>
          <w:szCs w:val="28"/>
          <w:lang w:val="lv-LV"/>
        </w:rPr>
        <w:t xml:space="preserve"> </w:t>
      </w:r>
    </w:p>
    <w:p w:rsidR="00326950" w:rsidRPr="00335591" w:rsidRDefault="00326950" w:rsidP="00326950">
      <w:pPr>
        <w:jc w:val="both"/>
        <w:rPr>
          <w:sz w:val="28"/>
          <w:szCs w:val="28"/>
          <w:lang w:val="lv-LV"/>
        </w:rPr>
      </w:pPr>
      <w:r w:rsidRPr="00335591">
        <w:rPr>
          <w:sz w:val="28"/>
          <w:szCs w:val="28"/>
          <w:lang w:val="lv-LV"/>
        </w:rPr>
        <w:t xml:space="preserve">2009. gadā tika uzsākta vienotās plānošanas </w:t>
      </w:r>
      <w:proofErr w:type="spellStart"/>
      <w:r w:rsidRPr="00335591">
        <w:rPr>
          <w:sz w:val="28"/>
          <w:szCs w:val="28"/>
          <w:lang w:val="lv-LV"/>
        </w:rPr>
        <w:t>pilotiniciatīva</w:t>
      </w:r>
      <w:proofErr w:type="spellEnd"/>
      <w:r w:rsidRPr="00335591">
        <w:rPr>
          <w:sz w:val="28"/>
          <w:szCs w:val="28"/>
          <w:lang w:val="lv-LV"/>
        </w:rPr>
        <w:t xml:space="preserve"> par </w:t>
      </w:r>
      <w:proofErr w:type="spellStart"/>
      <w:r w:rsidRPr="00335591">
        <w:rPr>
          <w:sz w:val="28"/>
          <w:szCs w:val="28"/>
          <w:lang w:val="lv-LV"/>
        </w:rPr>
        <w:t>neirodeģeneratīvo</w:t>
      </w:r>
      <w:proofErr w:type="spellEnd"/>
      <w:r w:rsidRPr="00335591">
        <w:rPr>
          <w:sz w:val="28"/>
          <w:szCs w:val="28"/>
          <w:lang w:val="lv-LV"/>
        </w:rPr>
        <w:t xml:space="preserve"> slimību, īpaši </w:t>
      </w:r>
      <w:proofErr w:type="spellStart"/>
      <w:r w:rsidRPr="00335591">
        <w:rPr>
          <w:sz w:val="28"/>
          <w:szCs w:val="28"/>
          <w:lang w:val="lv-LV"/>
        </w:rPr>
        <w:t>Alcheimera</w:t>
      </w:r>
      <w:proofErr w:type="spellEnd"/>
      <w:r w:rsidRPr="00335591">
        <w:rPr>
          <w:sz w:val="28"/>
          <w:szCs w:val="28"/>
          <w:lang w:val="lv-LV"/>
        </w:rPr>
        <w:t xml:space="preserve"> slimības apkarošanu. 2010. gadā tika uzsāktas trīs pirmās </w:t>
      </w:r>
      <w:proofErr w:type="spellStart"/>
      <w:r w:rsidRPr="00335591">
        <w:rPr>
          <w:sz w:val="28"/>
          <w:szCs w:val="28"/>
          <w:lang w:val="lv-LV"/>
        </w:rPr>
        <w:t>JPIs</w:t>
      </w:r>
      <w:proofErr w:type="spellEnd"/>
      <w:r w:rsidRPr="00335591">
        <w:rPr>
          <w:sz w:val="28"/>
          <w:szCs w:val="28"/>
          <w:lang w:val="lv-LV"/>
        </w:rPr>
        <w:t xml:space="preserve">, t.s. „pirmais vilnis”: „Lauksaimniecība, droša pārtika un klimata izmaiņas”, „Veselīgs uzturs veselīgai dzīve” un „Kultūras mantojums un globālās pārmaiņas- jauns izaicinājums Eiropai”. 2010. gada 4. maijā tika apstiprinātas 6 jaunas </w:t>
      </w:r>
      <w:proofErr w:type="spellStart"/>
      <w:r w:rsidRPr="00335591">
        <w:rPr>
          <w:sz w:val="28"/>
          <w:szCs w:val="28"/>
          <w:lang w:val="lv-LV"/>
        </w:rPr>
        <w:t>JPIs</w:t>
      </w:r>
      <w:proofErr w:type="spellEnd"/>
      <w:r w:rsidRPr="00335591">
        <w:rPr>
          <w:sz w:val="28"/>
          <w:szCs w:val="28"/>
          <w:lang w:val="lv-LV"/>
        </w:rPr>
        <w:t xml:space="preserve"> tēmas, t.s. „otrais vilnis”: „</w:t>
      </w:r>
      <w:proofErr w:type="spellStart"/>
      <w:r w:rsidRPr="00335591">
        <w:rPr>
          <w:sz w:val="28"/>
          <w:szCs w:val="28"/>
          <w:lang w:val="lv-LV"/>
        </w:rPr>
        <w:t>Mikrobiālais</w:t>
      </w:r>
      <w:proofErr w:type="spellEnd"/>
      <w:r w:rsidRPr="00335591">
        <w:rPr>
          <w:sz w:val="28"/>
          <w:szCs w:val="28"/>
          <w:lang w:val="lv-LV"/>
        </w:rPr>
        <w:t xml:space="preserve"> izaicinājums – draudošas briesmas cilvēces veselībai”, „Pieslēdzoties Eiropas klimata zināšanām (</w:t>
      </w:r>
      <w:proofErr w:type="spellStart"/>
      <w:r w:rsidRPr="00335591">
        <w:rPr>
          <w:sz w:val="28"/>
          <w:szCs w:val="28"/>
          <w:lang w:val="lv-LV"/>
        </w:rPr>
        <w:t>Clik'EU</w:t>
      </w:r>
      <w:proofErr w:type="spellEnd"/>
      <w:r w:rsidRPr="00335591">
        <w:rPr>
          <w:sz w:val="28"/>
          <w:szCs w:val="28"/>
          <w:lang w:val="lv-LV"/>
        </w:rPr>
        <w:t xml:space="preserve">)”, „Vairāk gadu, labāka dzīve – demogrāfisko izmaiņu potenciāls un izaicinājums”, „Urbānā Eiropa – globālie izaicinājumi, vietējie risinājumi”, „Ūdens izaicinājumi mainīgajai pasaulei” un „Veselīgas un produktīvas jūras un okeāni”. </w:t>
      </w:r>
    </w:p>
    <w:p w:rsidR="00326950" w:rsidRPr="00335591" w:rsidRDefault="00326950" w:rsidP="00326950">
      <w:pPr>
        <w:pStyle w:val="Text1"/>
        <w:ind w:left="0"/>
        <w:jc w:val="both"/>
        <w:rPr>
          <w:sz w:val="28"/>
          <w:szCs w:val="28"/>
          <w:lang w:val="lv-LV"/>
        </w:rPr>
      </w:pPr>
      <w:proofErr w:type="spellStart"/>
      <w:r w:rsidRPr="00335591">
        <w:rPr>
          <w:sz w:val="28"/>
          <w:szCs w:val="28"/>
          <w:lang w:val="lv-LV"/>
        </w:rPr>
        <w:t>JPIs</w:t>
      </w:r>
      <w:proofErr w:type="spellEnd"/>
      <w:r w:rsidRPr="00335591">
        <w:rPr>
          <w:sz w:val="28"/>
          <w:szCs w:val="28"/>
          <w:lang w:val="lv-LV"/>
        </w:rPr>
        <w:t xml:space="preserve">  dos ieguldījumu ES dalībvalstu sadrumstalotās pētniecības mazināšanā un pastiprinās prasmju, zināšanu un resursu mobilizāciju, kas sekmēs Eiropas vadošās lomas nostiprināšanu un konkurētspēju.</w:t>
      </w:r>
    </w:p>
    <w:p w:rsidR="002043CC" w:rsidRPr="00335591" w:rsidRDefault="002043CC" w:rsidP="002043CC">
      <w:pPr>
        <w:pStyle w:val="ListBullet"/>
        <w:numPr>
          <w:ilvl w:val="0"/>
          <w:numId w:val="0"/>
        </w:numPr>
        <w:spacing w:before="0" w:after="0"/>
      </w:pPr>
    </w:p>
    <w:p w:rsidR="00DC096B" w:rsidRPr="00A776B9" w:rsidRDefault="00DC096B" w:rsidP="00DC096B">
      <w:pPr>
        <w:jc w:val="both"/>
        <w:rPr>
          <w:b/>
          <w:bCs/>
          <w:color w:val="000000"/>
          <w:sz w:val="28"/>
          <w:szCs w:val="28"/>
          <w:lang w:val="lv-LV"/>
        </w:rPr>
      </w:pPr>
      <w:r w:rsidRPr="00A776B9">
        <w:rPr>
          <w:b/>
          <w:bCs/>
          <w:color w:val="000000"/>
          <w:sz w:val="28"/>
          <w:szCs w:val="28"/>
          <w:lang w:val="lv-LV"/>
        </w:rPr>
        <w:t xml:space="preserve">5. Padomes secinājumi „Augstas </w:t>
      </w:r>
      <w:r w:rsidR="00FA745E" w:rsidRPr="00A776B9">
        <w:rPr>
          <w:b/>
          <w:bCs/>
          <w:color w:val="000000"/>
          <w:sz w:val="28"/>
          <w:szCs w:val="28"/>
          <w:lang w:val="lv-LV"/>
        </w:rPr>
        <w:t>veiktspējas</w:t>
      </w:r>
      <w:r w:rsidRPr="00A776B9">
        <w:rPr>
          <w:b/>
          <w:bCs/>
          <w:color w:val="000000"/>
          <w:sz w:val="28"/>
          <w:szCs w:val="28"/>
          <w:lang w:val="lv-LV"/>
        </w:rPr>
        <w:t xml:space="preserve"> skaitļošana: Eiropas vieta globālajā sacensībā”</w:t>
      </w:r>
    </w:p>
    <w:p w:rsidR="00F270CC" w:rsidRPr="00335591" w:rsidRDefault="00F270CC" w:rsidP="00F270CC">
      <w:pPr>
        <w:pStyle w:val="EntEmet"/>
        <w:jc w:val="both"/>
        <w:rPr>
          <w:sz w:val="28"/>
          <w:szCs w:val="28"/>
          <w:lang w:val="lv-LV"/>
        </w:rPr>
      </w:pPr>
      <w:r w:rsidRPr="00335591">
        <w:rPr>
          <w:bCs/>
          <w:sz w:val="28"/>
          <w:szCs w:val="28"/>
          <w:lang w:val="lv-LV"/>
        </w:rPr>
        <w:t>2012. gada 15. februārī</w:t>
      </w:r>
      <w:r w:rsidRPr="00335591">
        <w:rPr>
          <w:b/>
          <w:bCs/>
          <w:sz w:val="28"/>
          <w:szCs w:val="28"/>
          <w:lang w:val="lv-LV"/>
        </w:rPr>
        <w:t xml:space="preserve"> </w:t>
      </w:r>
      <w:r w:rsidRPr="00335591">
        <w:rPr>
          <w:bCs/>
          <w:sz w:val="28"/>
          <w:szCs w:val="28"/>
          <w:lang w:val="lv-LV"/>
        </w:rPr>
        <w:t xml:space="preserve">Eiropas </w:t>
      </w:r>
      <w:r w:rsidRPr="00335591">
        <w:rPr>
          <w:sz w:val="28"/>
          <w:szCs w:val="28"/>
          <w:lang w:val="lv-LV"/>
        </w:rPr>
        <w:t>Komisija publicēja paziņojumu Eiropas Parlamentam, Padomei, Eiropas Ekonomikas un sociālo lietu komitejai un Reģionu komitejai “Augstas veiktspējas skaitļošana. Eiropas pozīcija pasaules mēroga sacensībā”, kurā Komisija izvirzīja vairākus mērķus:</w:t>
      </w:r>
    </w:p>
    <w:p w:rsidR="00F270CC" w:rsidRPr="00335591" w:rsidRDefault="00F270CC" w:rsidP="00F270CC">
      <w:pPr>
        <w:pStyle w:val="Bullet0"/>
        <w:spacing w:before="0" w:after="0"/>
        <w:ind w:left="851" w:hanging="851"/>
        <w:rPr>
          <w:noProof/>
          <w:sz w:val="28"/>
          <w:szCs w:val="28"/>
        </w:rPr>
      </w:pPr>
      <w:r w:rsidRPr="00335591">
        <w:rPr>
          <w:noProof/>
          <w:sz w:val="28"/>
          <w:szCs w:val="28"/>
        </w:rPr>
        <w:t xml:space="preserve">izveidot pasaules līmeņa Eiropas </w:t>
      </w:r>
      <w:r w:rsidRPr="00335591">
        <w:rPr>
          <w:sz w:val="28"/>
          <w:szCs w:val="28"/>
        </w:rPr>
        <w:t>augstas veiktspējas skaitļošana</w:t>
      </w:r>
      <w:r w:rsidRPr="00335591">
        <w:rPr>
          <w:i/>
          <w:noProof/>
          <w:sz w:val="28"/>
          <w:szCs w:val="28"/>
        </w:rPr>
        <w:t xml:space="preserve"> </w:t>
      </w:r>
      <w:r w:rsidRPr="00335591">
        <w:rPr>
          <w:noProof/>
          <w:sz w:val="28"/>
          <w:szCs w:val="28"/>
        </w:rPr>
        <w:t>(HPC) infrastruktūru, ko plaši izmantotu lietotāji akadēmiskajās aprindās un rūpniecības nozarē, it īpaši mazie un vidējie uzņēmumi (MVU), tostarp HPC jomā labi apmācīti darbinieki;</w:t>
      </w:r>
    </w:p>
    <w:p w:rsidR="00F270CC" w:rsidRPr="00335591" w:rsidRDefault="00F270CC" w:rsidP="00F270CC">
      <w:pPr>
        <w:pStyle w:val="Bullet0"/>
        <w:spacing w:before="0" w:after="0"/>
        <w:ind w:left="851" w:hanging="851"/>
        <w:rPr>
          <w:noProof/>
          <w:sz w:val="28"/>
          <w:szCs w:val="28"/>
        </w:rPr>
      </w:pPr>
      <w:r w:rsidRPr="00335591">
        <w:rPr>
          <w:noProof/>
          <w:sz w:val="28"/>
          <w:szCs w:val="28"/>
        </w:rPr>
        <w:t xml:space="preserve">nodrošināt ES neatkarīgu piekļuvi HPC tehnoloģijām, sistēmām un pakalpojumiem; </w:t>
      </w:r>
    </w:p>
    <w:p w:rsidR="00F270CC" w:rsidRPr="00335591" w:rsidRDefault="00F270CC" w:rsidP="00F270CC">
      <w:pPr>
        <w:pStyle w:val="Bullet0"/>
        <w:spacing w:before="0" w:after="0"/>
        <w:ind w:left="851" w:hanging="851"/>
        <w:rPr>
          <w:noProof/>
          <w:sz w:val="28"/>
          <w:szCs w:val="28"/>
        </w:rPr>
      </w:pPr>
      <w:r w:rsidRPr="00335591">
        <w:rPr>
          <w:noProof/>
          <w:sz w:val="28"/>
          <w:szCs w:val="28"/>
        </w:rPr>
        <w:t xml:space="preserve">izveidot Eiropas mēroga HPC pārvaldības shēmu, lai apvienotu plašāk pieejamos resursus un paaugstinātu efektivitāti, tostarp stratēģiski izmantojot kopīgo iepirkumu un publisko iepirkumu pirmskomercializācijas posmā; </w:t>
      </w:r>
    </w:p>
    <w:p w:rsidR="00F270CC" w:rsidRPr="00335591" w:rsidRDefault="00F270CC" w:rsidP="00F270CC">
      <w:pPr>
        <w:pStyle w:val="Bullet0"/>
        <w:spacing w:before="0" w:after="0"/>
        <w:ind w:left="851" w:hanging="851"/>
        <w:rPr>
          <w:noProof/>
          <w:sz w:val="28"/>
          <w:szCs w:val="28"/>
        </w:rPr>
      </w:pPr>
      <w:r w:rsidRPr="00335591">
        <w:rPr>
          <w:noProof/>
          <w:sz w:val="28"/>
          <w:szCs w:val="28"/>
        </w:rPr>
        <w:t>nodrošināt, ka ES kļūst par pasaules līmeņa dalībnieku.</w:t>
      </w:r>
    </w:p>
    <w:p w:rsidR="00F270CC" w:rsidRPr="00335591" w:rsidRDefault="00F270CC" w:rsidP="00F270CC">
      <w:pPr>
        <w:pStyle w:val="Bullet0"/>
        <w:numPr>
          <w:ilvl w:val="0"/>
          <w:numId w:val="0"/>
        </w:numPr>
        <w:rPr>
          <w:noProof/>
          <w:sz w:val="28"/>
          <w:szCs w:val="28"/>
        </w:rPr>
      </w:pPr>
      <w:r w:rsidRPr="00335591">
        <w:rPr>
          <w:noProof/>
          <w:sz w:val="28"/>
          <w:szCs w:val="28"/>
        </w:rPr>
        <w:t xml:space="preserve">Padomes secinājumos ES Padome secina, ka HPC nozare stratēģiski pretendē kļūt par ES inovāciju, zinātnes un rūpniecības politikas būtisku sastāvdaļu. Eiropas stiprā puse ir aplikācijas, mazas jaudas skaitļošana, kā arī tehnoloģiskās, zināšanu un cilvēkresursu iespējas attīstīt HPC. Eiropai jāturpina attīstīt savas </w:t>
      </w:r>
      <w:r w:rsidRPr="00335591">
        <w:rPr>
          <w:noProof/>
          <w:sz w:val="28"/>
          <w:szCs w:val="28"/>
        </w:rPr>
        <w:lastRenderedPageBreak/>
        <w:t>iespējas tehnoloģiju, sistēmu, programmatūras, pakalpojumu, aplikāciju nozarēs, ilgstpējā (zaļā IKT) un konkurētspējā, kā arī visā IKT nozares attīstības kopumā.</w:t>
      </w:r>
    </w:p>
    <w:p w:rsidR="00317F3D" w:rsidRPr="00335591" w:rsidRDefault="00317F3D" w:rsidP="00F270CC">
      <w:pPr>
        <w:jc w:val="both"/>
        <w:rPr>
          <w:noProof/>
          <w:sz w:val="28"/>
          <w:szCs w:val="28"/>
          <w:lang w:val="lv-LV"/>
        </w:rPr>
      </w:pPr>
    </w:p>
    <w:p w:rsidR="000B3BC8" w:rsidRPr="00894DB2" w:rsidRDefault="000B3BC8" w:rsidP="00F270CC">
      <w:pPr>
        <w:jc w:val="both"/>
        <w:rPr>
          <w:b/>
          <w:noProof/>
          <w:sz w:val="28"/>
          <w:szCs w:val="28"/>
          <w:u w:val="single"/>
          <w:lang w:val="lv-LV"/>
        </w:rPr>
      </w:pPr>
      <w:r w:rsidRPr="00894DB2">
        <w:rPr>
          <w:b/>
          <w:noProof/>
          <w:sz w:val="28"/>
          <w:szCs w:val="28"/>
          <w:u w:val="single"/>
          <w:lang w:val="lv-LV"/>
        </w:rPr>
        <w:t>Latvijas pozīcija:</w:t>
      </w:r>
    </w:p>
    <w:p w:rsidR="00894DB2" w:rsidRPr="00894DB2" w:rsidRDefault="00894DB2" w:rsidP="00894DB2">
      <w:pPr>
        <w:autoSpaceDE w:val="0"/>
        <w:autoSpaceDN w:val="0"/>
        <w:adjustRightInd w:val="0"/>
        <w:jc w:val="both"/>
        <w:rPr>
          <w:i/>
          <w:sz w:val="28"/>
          <w:szCs w:val="28"/>
          <w:lang w:val="lv-LV"/>
        </w:rPr>
      </w:pPr>
      <w:r w:rsidRPr="00894DB2">
        <w:rPr>
          <w:b/>
          <w:sz w:val="28"/>
          <w:szCs w:val="28"/>
          <w:lang w:val="lv-LV"/>
        </w:rPr>
        <w:t xml:space="preserve">Latvija kopumā atbalsta </w:t>
      </w:r>
      <w:r w:rsidRPr="00894DB2">
        <w:rPr>
          <w:sz w:val="28"/>
          <w:szCs w:val="28"/>
          <w:lang w:val="lv-LV"/>
        </w:rPr>
        <w:t xml:space="preserve">Padomes secinājumus </w:t>
      </w:r>
      <w:r w:rsidRPr="00894DB2">
        <w:rPr>
          <w:i/>
          <w:sz w:val="28"/>
          <w:szCs w:val="28"/>
          <w:lang w:val="lv-LV"/>
        </w:rPr>
        <w:t>Augstas veiktspējas skaitļošana: Eiropas vieta globālajā sacensībā.</w:t>
      </w:r>
    </w:p>
    <w:p w:rsidR="00894DB2" w:rsidRPr="00894DB2" w:rsidRDefault="00894DB2" w:rsidP="00894DB2">
      <w:pPr>
        <w:jc w:val="both"/>
        <w:rPr>
          <w:b/>
          <w:noProof/>
          <w:sz w:val="28"/>
          <w:szCs w:val="28"/>
          <w:u w:val="single"/>
          <w:lang w:val="lv-LV"/>
        </w:rPr>
      </w:pPr>
      <w:r w:rsidRPr="00894DB2">
        <w:rPr>
          <w:b/>
          <w:sz w:val="28"/>
          <w:szCs w:val="28"/>
          <w:lang w:val="lv-LV"/>
        </w:rPr>
        <w:t>Latvija atzīst</w:t>
      </w:r>
      <w:r w:rsidRPr="00894DB2">
        <w:rPr>
          <w:sz w:val="28"/>
          <w:szCs w:val="28"/>
          <w:lang w:val="lv-LV"/>
        </w:rPr>
        <w:t xml:space="preserve"> HPC nozares attīstības perspektīvu un stratēģisko vietu Eiropas IT zinātnes attīstībā, tautsaimniecības izaugsmē un kopējās izcilības un konkurētspējas veicināšanā.</w:t>
      </w:r>
    </w:p>
    <w:p w:rsidR="000B3BC8" w:rsidRPr="00894DB2" w:rsidRDefault="000B3BC8" w:rsidP="00F270CC">
      <w:pPr>
        <w:jc w:val="both"/>
        <w:rPr>
          <w:noProof/>
          <w:sz w:val="28"/>
          <w:szCs w:val="28"/>
          <w:lang w:val="lv-LV"/>
        </w:rPr>
      </w:pPr>
    </w:p>
    <w:p w:rsidR="000B3BC8" w:rsidRPr="00894DB2" w:rsidRDefault="000B3BC8" w:rsidP="00F270CC">
      <w:pPr>
        <w:jc w:val="both"/>
        <w:rPr>
          <w:b/>
          <w:noProof/>
          <w:sz w:val="28"/>
          <w:szCs w:val="28"/>
          <w:u w:val="single"/>
          <w:lang w:val="lv-LV"/>
        </w:rPr>
      </w:pPr>
      <w:r w:rsidRPr="00894DB2">
        <w:rPr>
          <w:b/>
          <w:noProof/>
          <w:sz w:val="28"/>
          <w:szCs w:val="28"/>
          <w:u w:val="single"/>
          <w:lang w:val="lv-LV"/>
        </w:rPr>
        <w:t>Latvijas īpašās intereses:</w:t>
      </w:r>
    </w:p>
    <w:p w:rsidR="000B3BC8" w:rsidRPr="00335591" w:rsidRDefault="000B3BC8" w:rsidP="000B3BC8">
      <w:pPr>
        <w:jc w:val="both"/>
        <w:rPr>
          <w:b/>
          <w:sz w:val="28"/>
          <w:szCs w:val="28"/>
          <w:lang w:val="lv-LV"/>
        </w:rPr>
      </w:pPr>
      <w:r w:rsidRPr="00894DB2">
        <w:rPr>
          <w:sz w:val="28"/>
          <w:szCs w:val="28"/>
          <w:lang w:val="lv-LV"/>
        </w:rPr>
        <w:t>Latvijai ir īpaši svarīga pētniecības</w:t>
      </w:r>
      <w:r w:rsidRPr="00335591">
        <w:rPr>
          <w:sz w:val="28"/>
          <w:szCs w:val="28"/>
          <w:lang w:val="lv-LV"/>
        </w:rPr>
        <w:t xml:space="preserve"> infrastruktūru (PI) izveide/modernizācija,</w:t>
      </w:r>
      <w:r w:rsidRPr="00335591">
        <w:rPr>
          <w:b/>
          <w:sz w:val="28"/>
          <w:szCs w:val="28"/>
          <w:lang w:val="lv-LV"/>
        </w:rPr>
        <w:t xml:space="preserve"> </w:t>
      </w:r>
      <w:r w:rsidRPr="00335591">
        <w:rPr>
          <w:sz w:val="28"/>
          <w:szCs w:val="28"/>
          <w:lang w:val="lv-LV"/>
        </w:rPr>
        <w:t xml:space="preserve">kas ļauj piesaistīt ievērojamāko pētnieku grupas un kalpo par stimulu jauno zinātnieku </w:t>
      </w:r>
      <w:proofErr w:type="spellStart"/>
      <w:r w:rsidRPr="00335591">
        <w:rPr>
          <w:sz w:val="28"/>
          <w:szCs w:val="28"/>
          <w:lang w:val="lv-LV"/>
        </w:rPr>
        <w:t>iesaistei</w:t>
      </w:r>
      <w:proofErr w:type="spellEnd"/>
      <w:r w:rsidRPr="00335591">
        <w:rPr>
          <w:sz w:val="28"/>
          <w:szCs w:val="28"/>
          <w:lang w:val="lv-LV"/>
        </w:rPr>
        <w:t xml:space="preserve"> projektos un pētniecībā, kā arī viedās specializācijas koncepts plašākā/reģionālā līmenī - tādejādi identificējot un sekmīgāk risinot reģiona uzdevumus pētniecībā un ražošanā, koncentrējot resursus un sekmīgi veidojot sadarbības tīklus, izvairoties no dublēšanās.</w:t>
      </w:r>
    </w:p>
    <w:p w:rsidR="000B3BC8" w:rsidRPr="00335591" w:rsidRDefault="000B3BC8" w:rsidP="000B3BC8">
      <w:pPr>
        <w:jc w:val="both"/>
        <w:rPr>
          <w:b/>
          <w:bCs/>
          <w:color w:val="000000"/>
          <w:sz w:val="28"/>
          <w:szCs w:val="28"/>
          <w:highlight w:val="yellow"/>
          <w:lang w:val="lv-LV"/>
        </w:rPr>
      </w:pPr>
      <w:r w:rsidRPr="00335591">
        <w:rPr>
          <w:sz w:val="28"/>
          <w:szCs w:val="28"/>
          <w:lang w:val="lv-LV" w:eastAsia="de-DE"/>
        </w:rPr>
        <w:t>Latvijai ir būtiski</w:t>
      </w:r>
      <w:r w:rsidRPr="00335591">
        <w:rPr>
          <w:b/>
          <w:sz w:val="28"/>
          <w:szCs w:val="28"/>
          <w:lang w:val="lv-LV" w:eastAsia="de-DE"/>
        </w:rPr>
        <w:t xml:space="preserve"> </w:t>
      </w:r>
      <w:r w:rsidRPr="00335591">
        <w:rPr>
          <w:sz w:val="28"/>
          <w:szCs w:val="28"/>
          <w:lang w:val="lv-LV" w:eastAsia="de-DE"/>
        </w:rPr>
        <w:t xml:space="preserve">īstenot Baltijas </w:t>
      </w:r>
      <w:proofErr w:type="spellStart"/>
      <w:r w:rsidRPr="00335591">
        <w:rPr>
          <w:sz w:val="28"/>
          <w:szCs w:val="28"/>
          <w:lang w:val="lv-LV" w:eastAsia="de-DE"/>
        </w:rPr>
        <w:t>Inovatīvo</w:t>
      </w:r>
      <w:proofErr w:type="spellEnd"/>
      <w:r w:rsidRPr="00335591">
        <w:rPr>
          <w:sz w:val="28"/>
          <w:szCs w:val="28"/>
          <w:lang w:val="lv-LV" w:eastAsia="de-DE"/>
        </w:rPr>
        <w:t xml:space="preserve"> pētījumu un tehnoloģiju infrastruktūras (</w:t>
      </w:r>
      <w:r w:rsidRPr="00335591">
        <w:rPr>
          <w:sz w:val="28"/>
          <w:szCs w:val="28"/>
          <w:lang w:val="lv-LV"/>
        </w:rPr>
        <w:t xml:space="preserve">BIRTI) projektu, jo ar tās palīdzību tiktu veicinātas iespējas piedalīties Eiropas Inovāciju un Tehnoloģiju institūta pasākumos un iesaistīties esošajos vai plānotajos Zināšanu un inovāciju centros </w:t>
      </w:r>
      <w:r w:rsidR="00AB4445" w:rsidRPr="00335591">
        <w:rPr>
          <w:sz w:val="28"/>
          <w:szCs w:val="28"/>
          <w:lang w:val="lv-LV"/>
        </w:rPr>
        <w:t>(</w:t>
      </w:r>
      <w:r w:rsidRPr="00335591">
        <w:rPr>
          <w:sz w:val="28"/>
          <w:szCs w:val="28"/>
          <w:lang w:val="lv-LV"/>
        </w:rPr>
        <w:t>KIC</w:t>
      </w:r>
      <w:r w:rsidR="00AB4445" w:rsidRPr="00335591">
        <w:rPr>
          <w:sz w:val="28"/>
          <w:szCs w:val="28"/>
          <w:lang w:val="lv-LV"/>
        </w:rPr>
        <w:t>)</w:t>
      </w:r>
      <w:r w:rsidRPr="00335591">
        <w:rPr>
          <w:sz w:val="28"/>
          <w:szCs w:val="28"/>
          <w:lang w:val="lv-LV"/>
        </w:rPr>
        <w:t>. Latvija plāno iesaistīties KIC prioritāšu izvirzīšanas pasākumos, lai varētu saistīt savas nacionālās pētniecības prioritātes ar KIC tēmām un īstenot tās BIRTI klasteru ietvaros.</w:t>
      </w:r>
    </w:p>
    <w:p w:rsidR="00DC096B" w:rsidRPr="00335591" w:rsidRDefault="00DC096B" w:rsidP="00DC096B">
      <w:pPr>
        <w:jc w:val="both"/>
        <w:rPr>
          <w:b/>
          <w:bCs/>
          <w:color w:val="000000"/>
          <w:sz w:val="28"/>
          <w:szCs w:val="28"/>
          <w:highlight w:val="yellow"/>
          <w:lang w:val="lv-LV"/>
        </w:rPr>
      </w:pPr>
    </w:p>
    <w:p w:rsidR="00DC096B" w:rsidRPr="00335591" w:rsidRDefault="00DC096B" w:rsidP="00DC096B">
      <w:pPr>
        <w:jc w:val="both"/>
        <w:rPr>
          <w:b/>
          <w:bCs/>
          <w:color w:val="000000"/>
          <w:sz w:val="28"/>
          <w:szCs w:val="28"/>
          <w:lang w:val="lv-LV"/>
        </w:rPr>
      </w:pPr>
      <w:r w:rsidRPr="00335591">
        <w:rPr>
          <w:b/>
          <w:bCs/>
          <w:color w:val="000000"/>
          <w:sz w:val="28"/>
          <w:szCs w:val="28"/>
          <w:lang w:val="lv-LV"/>
        </w:rPr>
        <w:t>6. Padomes secinājumi par Eiropas Komisijas paziņojumu „Sekmēt un fokusēt ES starptautisko sadarbību pētniecībā un inovācijā: stratēģiska pieeja”</w:t>
      </w:r>
    </w:p>
    <w:p w:rsidR="002B25AD" w:rsidRPr="00335591" w:rsidRDefault="002B25AD" w:rsidP="002B25AD">
      <w:pPr>
        <w:autoSpaceDE w:val="0"/>
        <w:autoSpaceDN w:val="0"/>
        <w:adjustRightInd w:val="0"/>
        <w:jc w:val="both"/>
        <w:rPr>
          <w:rFonts w:ascii="TimesNewRoman" w:eastAsiaTheme="minorHAnsi" w:hAnsi="TimesNewRoman" w:cs="TimesNewRoman"/>
          <w:sz w:val="28"/>
          <w:szCs w:val="28"/>
          <w:lang w:val="lv-LV"/>
        </w:rPr>
      </w:pPr>
      <w:r w:rsidRPr="00335591">
        <w:rPr>
          <w:rFonts w:ascii="TimesNewRoman" w:eastAsiaTheme="minorHAnsi" w:hAnsi="TimesNewRoman" w:cs="TimesNewRoman"/>
          <w:sz w:val="28"/>
          <w:szCs w:val="28"/>
          <w:lang w:val="lv-LV"/>
        </w:rPr>
        <w:t>2012.</w:t>
      </w:r>
      <w:r w:rsidR="00CC561C" w:rsidRPr="00335591">
        <w:rPr>
          <w:rFonts w:ascii="TimesNewRoman" w:eastAsiaTheme="minorHAnsi" w:hAnsi="TimesNewRoman" w:cs="TimesNewRoman"/>
          <w:sz w:val="28"/>
          <w:szCs w:val="28"/>
          <w:lang w:val="lv-LV"/>
        </w:rPr>
        <w:t xml:space="preserve"> </w:t>
      </w:r>
      <w:r w:rsidRPr="00335591">
        <w:rPr>
          <w:rFonts w:ascii="TimesNewRoman" w:eastAsiaTheme="minorHAnsi" w:hAnsi="TimesNewRoman" w:cs="TimesNewRoman"/>
          <w:sz w:val="28"/>
          <w:szCs w:val="28"/>
          <w:lang w:val="lv-LV"/>
        </w:rPr>
        <w:t>gadā Eiropas Komisija publicēja paziņojumu „Uzlabot un koncentrēt ES starptautisko sadarbību pētniecībā un inovācijā”, kurā tika analizēta pašreizējā ES starptautiskā sadarbība pētniecībā un inovācijā (P&amp;I) un izvirzīti sekojoši sadarbības mērķi:</w:t>
      </w:r>
    </w:p>
    <w:p w:rsidR="002B25AD" w:rsidRPr="00335591" w:rsidRDefault="002B25AD" w:rsidP="002B25AD">
      <w:pPr>
        <w:autoSpaceDE w:val="0"/>
        <w:autoSpaceDN w:val="0"/>
        <w:adjustRightInd w:val="0"/>
        <w:jc w:val="both"/>
        <w:rPr>
          <w:rFonts w:ascii="TimesNewRoman" w:eastAsiaTheme="minorHAnsi" w:hAnsi="TimesNewRoman" w:cs="TimesNewRoman"/>
          <w:sz w:val="28"/>
          <w:szCs w:val="28"/>
          <w:lang w:val="lv-LV"/>
        </w:rPr>
      </w:pPr>
      <w:r w:rsidRPr="00335591">
        <w:rPr>
          <w:rFonts w:ascii="TimesNewRoman" w:eastAsiaTheme="minorHAnsi" w:hAnsi="TimesNewRoman" w:cs="TimesNewRoman"/>
          <w:sz w:val="28"/>
          <w:szCs w:val="28"/>
          <w:lang w:val="lv-LV"/>
        </w:rPr>
        <w:t xml:space="preserve">(a) </w:t>
      </w:r>
      <w:r w:rsidRPr="00335591">
        <w:rPr>
          <w:rFonts w:ascii="TimesNewRoman,Bold" w:eastAsiaTheme="minorHAnsi" w:hAnsi="TimesNewRoman,Bold" w:cs="TimesNewRoman,Bold"/>
          <w:bCs/>
          <w:sz w:val="28"/>
          <w:szCs w:val="28"/>
          <w:lang w:val="lv-LV"/>
        </w:rPr>
        <w:t>stiprināt ES izcilību un pievilcību P&amp;I jomā</w:t>
      </w:r>
      <w:r w:rsidRPr="00335591">
        <w:rPr>
          <w:rFonts w:ascii="TimesNewRoman" w:eastAsiaTheme="minorHAnsi" w:hAnsi="TimesNewRoman" w:cs="TimesNewRoman"/>
          <w:sz w:val="28"/>
          <w:szCs w:val="28"/>
          <w:lang w:val="lv-LV"/>
        </w:rPr>
        <w:t>;</w:t>
      </w:r>
    </w:p>
    <w:p w:rsidR="002B25AD" w:rsidRPr="00335591" w:rsidRDefault="002B25AD" w:rsidP="002B25AD">
      <w:pPr>
        <w:autoSpaceDE w:val="0"/>
        <w:autoSpaceDN w:val="0"/>
        <w:adjustRightInd w:val="0"/>
        <w:jc w:val="both"/>
        <w:rPr>
          <w:rFonts w:ascii="TimesNewRoman" w:eastAsiaTheme="minorHAnsi" w:hAnsi="TimesNewRoman" w:cs="TimesNewRoman"/>
          <w:sz w:val="28"/>
          <w:szCs w:val="28"/>
          <w:lang w:val="lv-LV"/>
        </w:rPr>
      </w:pPr>
      <w:r w:rsidRPr="00335591">
        <w:rPr>
          <w:rFonts w:ascii="TimesNewRoman" w:eastAsiaTheme="minorHAnsi" w:hAnsi="TimesNewRoman" w:cs="TimesNewRoman"/>
          <w:sz w:val="28"/>
          <w:szCs w:val="28"/>
          <w:lang w:val="lv-LV"/>
        </w:rPr>
        <w:t xml:space="preserve">(b) </w:t>
      </w:r>
      <w:r w:rsidRPr="00335591">
        <w:rPr>
          <w:rFonts w:ascii="TimesNewRoman,Bold" w:eastAsiaTheme="minorHAnsi" w:hAnsi="TimesNewRoman,Bold" w:cs="TimesNewRoman,Bold"/>
          <w:bCs/>
          <w:sz w:val="28"/>
          <w:szCs w:val="28"/>
          <w:lang w:val="lv-LV"/>
        </w:rPr>
        <w:t>risināt pasaules mēroga sabiedrības problēmas</w:t>
      </w:r>
      <w:r w:rsidRPr="00335591">
        <w:rPr>
          <w:rFonts w:ascii="TimesNewRoman" w:eastAsiaTheme="minorHAnsi" w:hAnsi="TimesNewRoman" w:cs="TimesNewRoman"/>
          <w:sz w:val="28"/>
          <w:szCs w:val="28"/>
          <w:lang w:val="lv-LV"/>
        </w:rPr>
        <w:t xml:space="preserve">; </w:t>
      </w:r>
    </w:p>
    <w:p w:rsidR="002B25AD" w:rsidRPr="00335591" w:rsidRDefault="002B25AD" w:rsidP="002B25AD">
      <w:pPr>
        <w:autoSpaceDE w:val="0"/>
        <w:autoSpaceDN w:val="0"/>
        <w:adjustRightInd w:val="0"/>
        <w:jc w:val="both"/>
        <w:rPr>
          <w:rFonts w:ascii="TimesNewRoman" w:eastAsiaTheme="minorHAnsi" w:hAnsi="TimesNewRoman" w:cs="TimesNewRoman"/>
          <w:sz w:val="28"/>
          <w:szCs w:val="28"/>
          <w:lang w:val="lv-LV"/>
        </w:rPr>
      </w:pPr>
      <w:r w:rsidRPr="00335591">
        <w:rPr>
          <w:rFonts w:ascii="TimesNewRoman" w:eastAsiaTheme="minorHAnsi" w:hAnsi="TimesNewRoman" w:cs="TimesNewRoman"/>
          <w:sz w:val="28"/>
          <w:szCs w:val="28"/>
          <w:lang w:val="lv-LV"/>
        </w:rPr>
        <w:t xml:space="preserve">(c) </w:t>
      </w:r>
      <w:r w:rsidRPr="00335591">
        <w:rPr>
          <w:rFonts w:ascii="TimesNewRoman,Bold" w:eastAsiaTheme="minorHAnsi" w:hAnsi="TimesNewRoman,Bold" w:cs="TimesNewRoman,Bold"/>
          <w:bCs/>
          <w:sz w:val="28"/>
          <w:szCs w:val="28"/>
          <w:lang w:val="lv-LV"/>
        </w:rPr>
        <w:t>atbalstīt ES ārpolitiku</w:t>
      </w:r>
      <w:r w:rsidRPr="00335591">
        <w:rPr>
          <w:rFonts w:ascii="TimesNewRoman" w:eastAsiaTheme="minorHAnsi" w:hAnsi="TimesNewRoman" w:cs="TimesNewRoman"/>
          <w:sz w:val="28"/>
          <w:szCs w:val="28"/>
          <w:lang w:val="lv-LV"/>
        </w:rPr>
        <w:t>.</w:t>
      </w:r>
    </w:p>
    <w:p w:rsidR="002B25AD" w:rsidRPr="00335591" w:rsidRDefault="002B25AD" w:rsidP="002B25AD">
      <w:pPr>
        <w:autoSpaceDE w:val="0"/>
        <w:autoSpaceDN w:val="0"/>
        <w:adjustRightInd w:val="0"/>
        <w:jc w:val="both"/>
        <w:rPr>
          <w:rFonts w:ascii="TimesNewRoman" w:eastAsiaTheme="minorHAnsi" w:hAnsi="TimesNewRoman" w:cs="TimesNewRoman"/>
          <w:sz w:val="28"/>
          <w:szCs w:val="28"/>
          <w:lang w:val="lv-LV"/>
        </w:rPr>
      </w:pPr>
    </w:p>
    <w:p w:rsidR="002B25AD" w:rsidRPr="00335591" w:rsidRDefault="002B25AD" w:rsidP="002B25AD">
      <w:pPr>
        <w:autoSpaceDE w:val="0"/>
        <w:autoSpaceDN w:val="0"/>
        <w:adjustRightInd w:val="0"/>
        <w:jc w:val="both"/>
        <w:rPr>
          <w:rFonts w:ascii="TimesNewRoman" w:eastAsiaTheme="minorHAnsi" w:hAnsi="TimesNewRoman" w:cs="TimesNewRoman"/>
          <w:sz w:val="28"/>
          <w:szCs w:val="28"/>
          <w:lang w:val="lv-LV"/>
        </w:rPr>
      </w:pPr>
      <w:r w:rsidRPr="00B17B45">
        <w:rPr>
          <w:rFonts w:ascii="TimesNewRoman" w:eastAsiaTheme="minorHAnsi" w:hAnsi="TimesNewRoman" w:cs="TimesNewRoman"/>
          <w:sz w:val="28"/>
          <w:szCs w:val="28"/>
          <w:lang w:val="lv-LV"/>
        </w:rPr>
        <w:t>Padome norāda</w:t>
      </w:r>
      <w:r w:rsidRPr="00335591">
        <w:rPr>
          <w:rFonts w:ascii="TimesNewRoman" w:eastAsiaTheme="minorHAnsi" w:hAnsi="TimesNewRoman" w:cs="TimesNewRoman"/>
          <w:sz w:val="28"/>
          <w:szCs w:val="28"/>
          <w:lang w:val="lv-LV"/>
        </w:rPr>
        <w:t>, ka starptautiskā sadarbība P&amp;I jāskatā</w:t>
      </w:r>
      <w:r w:rsidR="00CC561C" w:rsidRPr="00335591">
        <w:rPr>
          <w:rFonts w:ascii="TimesNewRoman" w:eastAsiaTheme="minorHAnsi" w:hAnsi="TimesNewRoman" w:cs="TimesNewRoman"/>
          <w:sz w:val="28"/>
          <w:szCs w:val="28"/>
          <w:lang w:val="lv-LV"/>
        </w:rPr>
        <w:t>s</w:t>
      </w:r>
      <w:r w:rsidRPr="00335591">
        <w:rPr>
          <w:rFonts w:ascii="TimesNewRoman" w:eastAsiaTheme="minorHAnsi" w:hAnsi="TimesNewRoman" w:cs="TimesNewRoman"/>
          <w:sz w:val="28"/>
          <w:szCs w:val="28"/>
          <w:lang w:val="lv-LV"/>
        </w:rPr>
        <w:t xml:space="preserve"> kontekstā ar Eiropas Pētniecības telpas (ERA) attīstību </w:t>
      </w:r>
      <w:r w:rsidR="00CC561C" w:rsidRPr="00335591">
        <w:rPr>
          <w:rFonts w:ascii="TimesNewRoman" w:eastAsiaTheme="minorHAnsi" w:hAnsi="TimesNewRoman" w:cs="TimesNewRoman"/>
          <w:sz w:val="28"/>
          <w:szCs w:val="28"/>
          <w:lang w:val="lv-LV"/>
        </w:rPr>
        <w:t>un ka starptautisk</w:t>
      </w:r>
      <w:r w:rsidRPr="00335591">
        <w:rPr>
          <w:rFonts w:ascii="TimesNewRoman" w:eastAsiaTheme="minorHAnsi" w:hAnsi="TimesNewRoman" w:cs="TimesNewRoman"/>
          <w:sz w:val="28"/>
          <w:szCs w:val="28"/>
          <w:lang w:val="lv-LV"/>
        </w:rPr>
        <w:t xml:space="preserve">ā sadarbība ir instruments, kā Eiropa var stiprināt savas zinātnes izcilību un pievilcību, celt tās konkurētspēju, </w:t>
      </w:r>
      <w:r w:rsidR="0026144A" w:rsidRPr="00335591">
        <w:rPr>
          <w:rFonts w:ascii="TimesNewRoman" w:eastAsiaTheme="minorHAnsi" w:hAnsi="TimesNewRoman" w:cs="TimesNewRoman"/>
          <w:sz w:val="28"/>
          <w:szCs w:val="28"/>
          <w:lang w:val="lv-LV"/>
        </w:rPr>
        <w:t>risinot sociālos izaicinājumu</w:t>
      </w:r>
      <w:r w:rsidRPr="00335591">
        <w:rPr>
          <w:rFonts w:ascii="TimesNewRoman" w:eastAsiaTheme="minorHAnsi" w:hAnsi="TimesNewRoman" w:cs="TimesNewRoman"/>
          <w:sz w:val="28"/>
          <w:szCs w:val="28"/>
          <w:lang w:val="lv-LV"/>
        </w:rPr>
        <w:t>s. Jau 7.</w:t>
      </w:r>
      <w:r w:rsidR="00CC561C" w:rsidRPr="00335591">
        <w:rPr>
          <w:rFonts w:ascii="TimesNewRoman" w:eastAsiaTheme="minorHAnsi" w:hAnsi="TimesNewRoman" w:cs="TimesNewRoman"/>
          <w:sz w:val="28"/>
          <w:szCs w:val="28"/>
          <w:lang w:val="lv-LV"/>
        </w:rPr>
        <w:t xml:space="preserve"> </w:t>
      </w:r>
      <w:proofErr w:type="spellStart"/>
      <w:r w:rsidRPr="00335591">
        <w:rPr>
          <w:rFonts w:ascii="TimesNewRoman" w:eastAsiaTheme="minorHAnsi" w:hAnsi="TimesNewRoman" w:cs="TimesNewRoman"/>
          <w:sz w:val="28"/>
          <w:szCs w:val="28"/>
          <w:lang w:val="lv-LV"/>
        </w:rPr>
        <w:t>Ietvarprogrammā</w:t>
      </w:r>
      <w:proofErr w:type="spellEnd"/>
      <w:r w:rsidRPr="00335591">
        <w:rPr>
          <w:rFonts w:ascii="TimesNewRoman" w:eastAsiaTheme="minorHAnsi" w:hAnsi="TimesNewRoman" w:cs="TimesNewRoman"/>
          <w:sz w:val="28"/>
          <w:szCs w:val="28"/>
          <w:lang w:val="lv-LV"/>
        </w:rPr>
        <w:t xml:space="preserve"> (7.</w:t>
      </w:r>
      <w:r w:rsidR="00CC561C" w:rsidRPr="00335591">
        <w:rPr>
          <w:rFonts w:ascii="TimesNewRoman" w:eastAsiaTheme="minorHAnsi" w:hAnsi="TimesNewRoman" w:cs="TimesNewRoman"/>
          <w:sz w:val="28"/>
          <w:szCs w:val="28"/>
          <w:lang w:val="lv-LV"/>
        </w:rPr>
        <w:t xml:space="preserve"> </w:t>
      </w:r>
      <w:r w:rsidRPr="00335591">
        <w:rPr>
          <w:rFonts w:ascii="TimesNewRoman" w:eastAsiaTheme="minorHAnsi" w:hAnsi="TimesNewRoman" w:cs="TimesNewRoman"/>
          <w:sz w:val="28"/>
          <w:szCs w:val="28"/>
          <w:lang w:val="lv-LV"/>
        </w:rPr>
        <w:t xml:space="preserve">IP) un tās instrumentos un projektos tika panākts atzīstams progress attiecībā uz starptautisko sadarbību P&amp;I un redz būtisku tās vietu </w:t>
      </w:r>
      <w:r w:rsidR="00D057E5">
        <w:rPr>
          <w:rFonts w:ascii="TimesNewRoman" w:eastAsiaTheme="minorHAnsi" w:hAnsi="TimesNewRoman" w:cs="TimesNewRoman"/>
          <w:sz w:val="28"/>
          <w:szCs w:val="28"/>
          <w:lang w:val="lv-LV"/>
        </w:rPr>
        <w:t>Horizonts 2020</w:t>
      </w:r>
      <w:r w:rsidRPr="00335591">
        <w:rPr>
          <w:rFonts w:ascii="TimesNewRoman" w:eastAsiaTheme="minorHAnsi" w:hAnsi="TimesNewRoman" w:cs="TimesNewRoman"/>
          <w:sz w:val="28"/>
          <w:szCs w:val="28"/>
          <w:lang w:val="lv-LV"/>
        </w:rPr>
        <w:t xml:space="preserve">, taču vienlaikus Padome secina, ka ir nepieciešama jauna stratēģiska pieeja jautājumos par starptautisko sadarbību.  </w:t>
      </w:r>
    </w:p>
    <w:p w:rsidR="002B25AD" w:rsidRPr="00335591" w:rsidRDefault="002B25AD" w:rsidP="002B25AD">
      <w:pPr>
        <w:jc w:val="both"/>
        <w:rPr>
          <w:sz w:val="28"/>
          <w:szCs w:val="28"/>
          <w:lang w:val="lv-LV"/>
        </w:rPr>
      </w:pPr>
    </w:p>
    <w:p w:rsidR="002B25AD" w:rsidRDefault="002B25AD" w:rsidP="002B25AD">
      <w:pPr>
        <w:jc w:val="both"/>
        <w:rPr>
          <w:sz w:val="28"/>
          <w:szCs w:val="28"/>
          <w:lang w:val="lv-LV"/>
        </w:rPr>
      </w:pPr>
      <w:r w:rsidRPr="00EB595C">
        <w:rPr>
          <w:b/>
          <w:sz w:val="28"/>
          <w:szCs w:val="28"/>
          <w:u w:val="single"/>
          <w:lang w:val="lv-LV"/>
        </w:rPr>
        <w:lastRenderedPageBreak/>
        <w:t>Latvijas pozīcija</w:t>
      </w:r>
      <w:r w:rsidRPr="00335591">
        <w:rPr>
          <w:sz w:val="28"/>
          <w:szCs w:val="28"/>
          <w:lang w:val="lv-LV"/>
        </w:rPr>
        <w:t>:</w:t>
      </w:r>
    </w:p>
    <w:p w:rsidR="00EB595C" w:rsidRPr="00EB595C" w:rsidRDefault="00EB595C" w:rsidP="00EB595C">
      <w:pPr>
        <w:jc w:val="both"/>
        <w:rPr>
          <w:bCs/>
          <w:iCs/>
          <w:sz w:val="28"/>
          <w:szCs w:val="28"/>
          <w:lang w:val="lv-LV"/>
        </w:rPr>
      </w:pPr>
      <w:r w:rsidRPr="00EB595C">
        <w:rPr>
          <w:b/>
          <w:bCs/>
          <w:iCs/>
          <w:sz w:val="28"/>
          <w:szCs w:val="28"/>
          <w:lang w:val="lv-LV"/>
        </w:rPr>
        <w:t xml:space="preserve">Latvija kopumā atbalsta </w:t>
      </w:r>
      <w:r w:rsidRPr="00EB595C">
        <w:rPr>
          <w:bCs/>
          <w:iCs/>
          <w:sz w:val="28"/>
          <w:szCs w:val="28"/>
          <w:lang w:val="lv-LV"/>
        </w:rPr>
        <w:t>Padomes secinājumu par ES starptautisko sadarbību pētniecībā un inovācijā pieņemšanu, atzīstot vienotas un stratēģiskas ES attieksmes pret starptautisko darbību nepieciešamību.</w:t>
      </w:r>
    </w:p>
    <w:p w:rsidR="00EB595C" w:rsidRPr="00EB595C" w:rsidRDefault="00EB595C" w:rsidP="00EB595C">
      <w:pPr>
        <w:jc w:val="both"/>
        <w:rPr>
          <w:bCs/>
          <w:iCs/>
          <w:sz w:val="28"/>
          <w:szCs w:val="28"/>
          <w:lang w:val="lv-LV"/>
        </w:rPr>
      </w:pPr>
      <w:r w:rsidRPr="00EB595C">
        <w:rPr>
          <w:b/>
          <w:bCs/>
          <w:iCs/>
          <w:sz w:val="28"/>
          <w:szCs w:val="28"/>
          <w:lang w:val="lv-LV"/>
        </w:rPr>
        <w:t>Latvija uzskata</w:t>
      </w:r>
      <w:r w:rsidRPr="00EB595C">
        <w:rPr>
          <w:bCs/>
          <w:iCs/>
          <w:sz w:val="28"/>
          <w:szCs w:val="28"/>
          <w:lang w:val="lv-LV"/>
        </w:rPr>
        <w:t xml:space="preserve">, ka vienota un koordinēta pieeja pētniecībā un inovācijā varētu sekmēt kopējo Eiropas politisko, ekonomisko un arī pētniecības mērķu sasniegšanu. Koordinēti pasākumi un stratēģiska pieeja starptautiskajā sadarbībā pētniecības un inovācijas jomā varētu palīdzēt Eiropas valstīm veidot kopēju politiku, saskaņot kopīgas programmas un veidot kopīgus instrumentus pētniecībā un inovācijā. Tas palīdzētu </w:t>
      </w:r>
      <w:proofErr w:type="spellStart"/>
      <w:r w:rsidRPr="00EB595C">
        <w:rPr>
          <w:bCs/>
          <w:iCs/>
          <w:sz w:val="28"/>
          <w:szCs w:val="28"/>
          <w:lang w:val="lv-LV"/>
        </w:rPr>
        <w:t>saskaņotāk</w:t>
      </w:r>
      <w:proofErr w:type="spellEnd"/>
      <w:r w:rsidRPr="00EB595C">
        <w:rPr>
          <w:bCs/>
          <w:iCs/>
          <w:sz w:val="28"/>
          <w:szCs w:val="28"/>
          <w:lang w:val="lv-LV"/>
        </w:rPr>
        <w:t xml:space="preserve"> un sekmīgāk īstenot paredzētos mērķus, kā arī nodrošinātu administratīvo resursu optimālu izmantošanu un finanšu racionālu plānošanu. Jau esošie ES līmeņa starptautiskās sadarbības instrumenti (</w:t>
      </w:r>
      <w:proofErr w:type="spellStart"/>
      <w:r w:rsidRPr="00EB595C">
        <w:rPr>
          <w:bCs/>
          <w:iCs/>
          <w:sz w:val="28"/>
          <w:szCs w:val="28"/>
          <w:lang w:val="lv-LV"/>
        </w:rPr>
        <w:t>Ietvarprogrammas</w:t>
      </w:r>
      <w:proofErr w:type="spellEnd"/>
      <w:r w:rsidRPr="00EB595C">
        <w:rPr>
          <w:bCs/>
          <w:iCs/>
          <w:sz w:val="28"/>
          <w:szCs w:val="28"/>
          <w:lang w:val="lv-LV"/>
        </w:rPr>
        <w:t xml:space="preserve">, EUREKA u.c.) liecina, ka šāda pieeja stratēģiskai sadarbībai ir pareiza. </w:t>
      </w:r>
    </w:p>
    <w:p w:rsidR="002B25AD" w:rsidRPr="00335591" w:rsidRDefault="002B25AD" w:rsidP="002B25AD">
      <w:pPr>
        <w:jc w:val="both"/>
        <w:rPr>
          <w:b/>
          <w:bCs/>
          <w:color w:val="000000"/>
          <w:sz w:val="28"/>
          <w:szCs w:val="28"/>
          <w:lang w:val="lv-LV"/>
        </w:rPr>
      </w:pPr>
    </w:p>
    <w:p w:rsidR="00E20CF9" w:rsidRPr="00335591" w:rsidRDefault="00DC096B" w:rsidP="00DC096B">
      <w:pPr>
        <w:autoSpaceDE w:val="0"/>
        <w:autoSpaceDN w:val="0"/>
        <w:adjustRightInd w:val="0"/>
        <w:jc w:val="both"/>
        <w:rPr>
          <w:b/>
          <w:bCs/>
          <w:color w:val="000000"/>
          <w:sz w:val="28"/>
          <w:szCs w:val="28"/>
          <w:lang w:val="lv-LV"/>
        </w:rPr>
      </w:pPr>
      <w:r w:rsidRPr="00335591">
        <w:rPr>
          <w:b/>
          <w:bCs/>
          <w:color w:val="000000"/>
          <w:sz w:val="28"/>
          <w:szCs w:val="28"/>
          <w:lang w:val="lv-LV"/>
        </w:rPr>
        <w:t>7. Padomes rezolūcija „Eiropas Pētniecības telpas konsultatīvais darbs”</w:t>
      </w:r>
    </w:p>
    <w:p w:rsidR="00AB4445" w:rsidRPr="00335591" w:rsidRDefault="00AB4445" w:rsidP="00AB4445">
      <w:pPr>
        <w:autoSpaceDE w:val="0"/>
        <w:autoSpaceDN w:val="0"/>
        <w:adjustRightInd w:val="0"/>
        <w:jc w:val="both"/>
        <w:rPr>
          <w:sz w:val="28"/>
          <w:szCs w:val="28"/>
          <w:lang w:val="lv-LV" w:eastAsia="de-DE"/>
        </w:rPr>
      </w:pPr>
      <w:r w:rsidRPr="00335591">
        <w:rPr>
          <w:sz w:val="28"/>
          <w:szCs w:val="28"/>
          <w:lang w:val="lv-LV" w:eastAsia="de-DE"/>
        </w:rPr>
        <w:t xml:space="preserve">2010. gada Padomes rezolūcija Eiropas Pētniecības telpas (ERA) pārvaldību uzticēja </w:t>
      </w:r>
      <w:r w:rsidR="00A06563">
        <w:rPr>
          <w:sz w:val="28"/>
          <w:szCs w:val="28"/>
          <w:lang w:val="lv-LV" w:eastAsia="de-DE"/>
        </w:rPr>
        <w:t>Eiropas Pētniecības telpas komitejai (</w:t>
      </w:r>
      <w:r w:rsidRPr="00335591">
        <w:rPr>
          <w:sz w:val="28"/>
          <w:szCs w:val="28"/>
          <w:lang w:val="lv-LV" w:eastAsia="de-DE"/>
        </w:rPr>
        <w:t>ERAC</w:t>
      </w:r>
      <w:r w:rsidR="00A06563">
        <w:rPr>
          <w:sz w:val="28"/>
          <w:szCs w:val="28"/>
          <w:lang w:val="lv-LV" w:eastAsia="de-DE"/>
        </w:rPr>
        <w:t>)</w:t>
      </w:r>
      <w:r w:rsidRPr="00335591">
        <w:rPr>
          <w:sz w:val="28"/>
          <w:szCs w:val="28"/>
          <w:lang w:val="lv-LV" w:eastAsia="de-DE"/>
        </w:rPr>
        <w:t xml:space="preserve">. Eiropai ir nepieciešama vienota un kopīga pētniecības telpa, kas piesaista talantus un ieguldījumus un kurai jābūt izveidotai līdz 2014. gadam, tās mērķis ir izveidot vienotu tirgu zināšanām, pētniecībai un inovācijai. </w:t>
      </w:r>
    </w:p>
    <w:p w:rsidR="00AB4445" w:rsidRPr="00335591" w:rsidRDefault="00AB4445" w:rsidP="00AB4445">
      <w:pPr>
        <w:autoSpaceDE w:val="0"/>
        <w:autoSpaceDN w:val="0"/>
        <w:adjustRightInd w:val="0"/>
        <w:jc w:val="both"/>
        <w:rPr>
          <w:rStyle w:val="hps"/>
          <w:sz w:val="28"/>
          <w:szCs w:val="28"/>
          <w:lang w:val="lv-LV"/>
        </w:rPr>
      </w:pPr>
      <w:r w:rsidRPr="00335591">
        <w:rPr>
          <w:sz w:val="28"/>
          <w:szCs w:val="28"/>
          <w:lang w:val="lv-LV" w:eastAsia="de-DE"/>
        </w:rPr>
        <w:t>2011. gada 1. jūnija Padomes secinājumi par ERA attīstību vēlreiz atgādināja par nepieciešamību stiprināt koordināciju starp ERAC un ERA saistītajām grupām. ERAC galvenais uzdevums būs nodrošināt savlaicīgu stratēģisku ieguldījumu</w:t>
      </w:r>
      <w:r w:rsidRPr="00335591">
        <w:rPr>
          <w:rStyle w:val="hps"/>
          <w:sz w:val="28"/>
          <w:szCs w:val="28"/>
          <w:lang w:val="lv-LV"/>
        </w:rPr>
        <w:t xml:space="preserve"> par</w:t>
      </w:r>
      <w:r w:rsidRPr="00335591">
        <w:rPr>
          <w:sz w:val="28"/>
          <w:szCs w:val="28"/>
          <w:lang w:val="lv-LV"/>
        </w:rPr>
        <w:t xml:space="preserve"> </w:t>
      </w:r>
      <w:r w:rsidRPr="00335591">
        <w:rPr>
          <w:rStyle w:val="hps"/>
          <w:sz w:val="28"/>
          <w:szCs w:val="28"/>
          <w:lang w:val="lv-LV"/>
        </w:rPr>
        <w:t>pētniecības</w:t>
      </w:r>
      <w:r w:rsidRPr="00335591">
        <w:rPr>
          <w:sz w:val="28"/>
          <w:szCs w:val="28"/>
          <w:lang w:val="lv-LV"/>
        </w:rPr>
        <w:t xml:space="preserve"> </w:t>
      </w:r>
      <w:r w:rsidRPr="00335591">
        <w:rPr>
          <w:rStyle w:val="hps"/>
          <w:sz w:val="28"/>
          <w:szCs w:val="28"/>
          <w:lang w:val="lv-LV"/>
        </w:rPr>
        <w:t>un inovācijas</w:t>
      </w:r>
      <w:r w:rsidRPr="00335591">
        <w:rPr>
          <w:sz w:val="28"/>
          <w:szCs w:val="28"/>
          <w:lang w:val="lv-LV"/>
        </w:rPr>
        <w:t xml:space="preserve"> </w:t>
      </w:r>
      <w:r w:rsidRPr="00335591">
        <w:rPr>
          <w:rStyle w:val="hps"/>
          <w:sz w:val="28"/>
          <w:szCs w:val="28"/>
          <w:lang w:val="lv-LV"/>
        </w:rPr>
        <w:t>jautājumiem, kas attiecas</w:t>
      </w:r>
      <w:r w:rsidRPr="00335591">
        <w:rPr>
          <w:sz w:val="28"/>
          <w:szCs w:val="28"/>
          <w:lang w:val="lv-LV"/>
        </w:rPr>
        <w:t xml:space="preserve"> </w:t>
      </w:r>
      <w:r w:rsidRPr="00335591">
        <w:rPr>
          <w:rStyle w:val="hps"/>
          <w:sz w:val="28"/>
          <w:szCs w:val="28"/>
          <w:lang w:val="lv-LV"/>
        </w:rPr>
        <w:t>uz</w:t>
      </w:r>
      <w:r w:rsidRPr="00335591">
        <w:rPr>
          <w:sz w:val="28"/>
          <w:szCs w:val="28"/>
          <w:lang w:val="lv-LV"/>
        </w:rPr>
        <w:t xml:space="preserve"> </w:t>
      </w:r>
      <w:r w:rsidRPr="00335591">
        <w:rPr>
          <w:rStyle w:val="hps"/>
          <w:sz w:val="28"/>
          <w:szCs w:val="28"/>
          <w:lang w:val="lv-LV"/>
        </w:rPr>
        <w:t>ERA attīstību. ERAC sniedz konsultācijas par</w:t>
      </w:r>
      <w:r w:rsidRPr="00335591">
        <w:rPr>
          <w:sz w:val="28"/>
          <w:szCs w:val="28"/>
          <w:lang w:val="lv-LV"/>
        </w:rPr>
        <w:t xml:space="preserve"> </w:t>
      </w:r>
      <w:r w:rsidRPr="00335591">
        <w:rPr>
          <w:rStyle w:val="hps"/>
          <w:sz w:val="28"/>
          <w:szCs w:val="28"/>
          <w:lang w:val="lv-LV"/>
        </w:rPr>
        <w:t>stratēģisko</w:t>
      </w:r>
      <w:r w:rsidRPr="00335591">
        <w:rPr>
          <w:sz w:val="28"/>
          <w:szCs w:val="28"/>
          <w:lang w:val="lv-LV"/>
        </w:rPr>
        <w:t xml:space="preserve"> </w:t>
      </w:r>
      <w:r w:rsidRPr="00335591">
        <w:rPr>
          <w:rStyle w:val="hps"/>
          <w:sz w:val="28"/>
          <w:szCs w:val="28"/>
          <w:lang w:val="lv-LV"/>
        </w:rPr>
        <w:t>prioritāšu</w:t>
      </w:r>
      <w:r w:rsidRPr="00335591">
        <w:rPr>
          <w:sz w:val="28"/>
          <w:szCs w:val="28"/>
          <w:lang w:val="lv-LV"/>
        </w:rPr>
        <w:t xml:space="preserve"> </w:t>
      </w:r>
      <w:r w:rsidRPr="00335591">
        <w:rPr>
          <w:rStyle w:val="hps"/>
          <w:sz w:val="28"/>
          <w:szCs w:val="28"/>
          <w:lang w:val="lv-LV"/>
        </w:rPr>
        <w:t>noteikšanu un izstrādi</w:t>
      </w:r>
      <w:r w:rsidRPr="00335591">
        <w:rPr>
          <w:sz w:val="28"/>
          <w:szCs w:val="28"/>
          <w:lang w:val="lv-LV"/>
        </w:rPr>
        <w:t xml:space="preserve"> </w:t>
      </w:r>
      <w:r w:rsidRPr="00335591">
        <w:rPr>
          <w:rStyle w:val="hps"/>
          <w:sz w:val="28"/>
          <w:szCs w:val="28"/>
          <w:lang w:val="lv-LV"/>
        </w:rPr>
        <w:t>pētniecībā un inovācijā</w:t>
      </w:r>
      <w:r w:rsidRPr="00335591">
        <w:rPr>
          <w:sz w:val="28"/>
          <w:szCs w:val="28"/>
          <w:lang w:val="lv-LV"/>
        </w:rPr>
        <w:t>,</w:t>
      </w:r>
      <w:r w:rsidRPr="00335591">
        <w:rPr>
          <w:rStyle w:val="hps"/>
          <w:sz w:val="28"/>
          <w:szCs w:val="28"/>
          <w:lang w:val="lv-LV"/>
        </w:rPr>
        <w:t xml:space="preserve"> sniedz konsultācijas par</w:t>
      </w:r>
      <w:r w:rsidRPr="00335591">
        <w:rPr>
          <w:sz w:val="28"/>
          <w:szCs w:val="28"/>
          <w:lang w:val="lv-LV"/>
        </w:rPr>
        <w:t xml:space="preserve"> </w:t>
      </w:r>
      <w:r w:rsidRPr="00335591">
        <w:rPr>
          <w:rStyle w:val="hps"/>
          <w:sz w:val="28"/>
          <w:szCs w:val="28"/>
          <w:lang w:val="lv-LV"/>
        </w:rPr>
        <w:t>vadlīnijām</w:t>
      </w:r>
      <w:r w:rsidRPr="00335591">
        <w:rPr>
          <w:sz w:val="28"/>
          <w:szCs w:val="28"/>
          <w:lang w:val="lv-LV"/>
        </w:rPr>
        <w:t xml:space="preserve"> </w:t>
      </w:r>
      <w:r w:rsidRPr="00335591">
        <w:rPr>
          <w:rStyle w:val="hps"/>
          <w:sz w:val="28"/>
          <w:szCs w:val="28"/>
          <w:lang w:val="lv-LV"/>
        </w:rPr>
        <w:t>attiecībā uz</w:t>
      </w:r>
      <w:r w:rsidRPr="00335591">
        <w:rPr>
          <w:sz w:val="28"/>
          <w:szCs w:val="28"/>
          <w:lang w:val="lv-LV"/>
        </w:rPr>
        <w:t xml:space="preserve"> </w:t>
      </w:r>
      <w:r w:rsidRPr="00335591">
        <w:rPr>
          <w:rStyle w:val="hps"/>
          <w:sz w:val="28"/>
          <w:szCs w:val="28"/>
          <w:lang w:val="lv-LV"/>
        </w:rPr>
        <w:t>iespējamo nākotnes</w:t>
      </w:r>
      <w:r w:rsidRPr="00335591">
        <w:rPr>
          <w:sz w:val="28"/>
          <w:szCs w:val="28"/>
          <w:lang w:val="lv-LV"/>
        </w:rPr>
        <w:t xml:space="preserve"> </w:t>
      </w:r>
      <w:r w:rsidRPr="00335591">
        <w:rPr>
          <w:rStyle w:val="hps"/>
          <w:sz w:val="28"/>
          <w:szCs w:val="28"/>
          <w:lang w:val="lv-LV"/>
        </w:rPr>
        <w:t>politiku</w:t>
      </w:r>
      <w:r w:rsidR="00A06563">
        <w:rPr>
          <w:rStyle w:val="hps"/>
          <w:sz w:val="28"/>
          <w:szCs w:val="28"/>
          <w:lang w:val="lv-LV"/>
        </w:rPr>
        <w:t>,</w:t>
      </w:r>
      <w:r w:rsidRPr="00335591">
        <w:rPr>
          <w:rStyle w:val="hps"/>
          <w:sz w:val="28"/>
          <w:szCs w:val="28"/>
          <w:lang w:val="lv-LV"/>
        </w:rPr>
        <w:t xml:space="preserve"> pārrauga</w:t>
      </w:r>
      <w:r w:rsidRPr="00335591">
        <w:rPr>
          <w:sz w:val="28"/>
          <w:szCs w:val="28"/>
          <w:lang w:val="lv-LV"/>
        </w:rPr>
        <w:t xml:space="preserve"> </w:t>
      </w:r>
      <w:r w:rsidRPr="00335591">
        <w:rPr>
          <w:rStyle w:val="hps"/>
          <w:sz w:val="28"/>
          <w:szCs w:val="28"/>
          <w:lang w:val="lv-LV"/>
        </w:rPr>
        <w:t>ERA</w:t>
      </w:r>
      <w:r w:rsidRPr="00335591">
        <w:rPr>
          <w:sz w:val="28"/>
          <w:szCs w:val="28"/>
          <w:lang w:val="lv-LV"/>
        </w:rPr>
        <w:t>,</w:t>
      </w:r>
      <w:r w:rsidRPr="00335591">
        <w:rPr>
          <w:rStyle w:val="hps"/>
          <w:sz w:val="28"/>
          <w:szCs w:val="28"/>
          <w:lang w:val="lv-LV"/>
        </w:rPr>
        <w:t xml:space="preserve"> identificē</w:t>
      </w:r>
      <w:r w:rsidRPr="00335591">
        <w:rPr>
          <w:sz w:val="28"/>
          <w:szCs w:val="28"/>
          <w:lang w:val="lv-LV"/>
        </w:rPr>
        <w:t xml:space="preserve"> </w:t>
      </w:r>
      <w:r w:rsidRPr="00335591">
        <w:rPr>
          <w:rStyle w:val="hps"/>
          <w:sz w:val="28"/>
          <w:szCs w:val="28"/>
          <w:lang w:val="lv-LV"/>
        </w:rPr>
        <w:t>vajadzību pēc</w:t>
      </w:r>
      <w:r w:rsidRPr="00335591">
        <w:rPr>
          <w:sz w:val="28"/>
          <w:szCs w:val="28"/>
          <w:lang w:val="lv-LV"/>
        </w:rPr>
        <w:t xml:space="preserve"> </w:t>
      </w:r>
      <w:r w:rsidRPr="00335591">
        <w:rPr>
          <w:rStyle w:val="hps"/>
          <w:sz w:val="28"/>
          <w:szCs w:val="28"/>
          <w:lang w:val="lv-LV"/>
        </w:rPr>
        <w:t>neatkarīga</w:t>
      </w:r>
      <w:r w:rsidRPr="00335591">
        <w:rPr>
          <w:sz w:val="28"/>
          <w:szCs w:val="28"/>
          <w:lang w:val="lv-LV"/>
        </w:rPr>
        <w:t xml:space="preserve">, </w:t>
      </w:r>
      <w:r w:rsidRPr="00335591">
        <w:rPr>
          <w:rStyle w:val="hps"/>
          <w:sz w:val="28"/>
          <w:szCs w:val="28"/>
          <w:lang w:val="lv-LV"/>
        </w:rPr>
        <w:t>kvantitatīva un kvalitatīva</w:t>
      </w:r>
      <w:r w:rsidRPr="00335591">
        <w:rPr>
          <w:sz w:val="28"/>
          <w:szCs w:val="28"/>
          <w:lang w:val="lv-LV"/>
        </w:rPr>
        <w:t xml:space="preserve"> </w:t>
      </w:r>
      <w:r w:rsidRPr="00335591">
        <w:rPr>
          <w:rStyle w:val="hps"/>
          <w:sz w:val="28"/>
          <w:szCs w:val="28"/>
          <w:lang w:val="lv-LV"/>
        </w:rPr>
        <w:t>novērtējuma</w:t>
      </w:r>
      <w:r w:rsidR="00A06563">
        <w:rPr>
          <w:rStyle w:val="hps"/>
          <w:sz w:val="28"/>
          <w:szCs w:val="28"/>
          <w:lang w:val="lv-LV"/>
        </w:rPr>
        <w:t xml:space="preserve"> un</w:t>
      </w:r>
      <w:r w:rsidRPr="00335591">
        <w:rPr>
          <w:sz w:val="28"/>
          <w:szCs w:val="28"/>
          <w:lang w:val="lv-LV"/>
        </w:rPr>
        <w:t xml:space="preserve"> </w:t>
      </w:r>
      <w:r w:rsidRPr="00335591">
        <w:rPr>
          <w:rStyle w:val="hps"/>
          <w:sz w:val="28"/>
          <w:szCs w:val="28"/>
          <w:lang w:val="lv-LV"/>
        </w:rPr>
        <w:t>veicina</w:t>
      </w:r>
      <w:r w:rsidRPr="00335591">
        <w:rPr>
          <w:sz w:val="28"/>
          <w:szCs w:val="28"/>
          <w:lang w:val="lv-LV"/>
        </w:rPr>
        <w:t xml:space="preserve"> </w:t>
      </w:r>
      <w:r w:rsidRPr="00335591">
        <w:rPr>
          <w:rStyle w:val="hps"/>
          <w:sz w:val="28"/>
          <w:szCs w:val="28"/>
          <w:lang w:val="lv-LV"/>
        </w:rPr>
        <w:t>koordināciju</w:t>
      </w:r>
      <w:r w:rsidRPr="00335591">
        <w:rPr>
          <w:sz w:val="28"/>
          <w:szCs w:val="28"/>
          <w:lang w:val="lv-LV"/>
        </w:rPr>
        <w:t xml:space="preserve"> starp nacionālajām </w:t>
      </w:r>
      <w:r w:rsidRPr="00335591">
        <w:rPr>
          <w:rStyle w:val="hps"/>
          <w:sz w:val="28"/>
          <w:szCs w:val="28"/>
          <w:lang w:val="lv-LV"/>
        </w:rPr>
        <w:t>pētniecības</w:t>
      </w:r>
      <w:r w:rsidRPr="00335591">
        <w:rPr>
          <w:sz w:val="28"/>
          <w:szCs w:val="28"/>
          <w:lang w:val="lv-LV"/>
        </w:rPr>
        <w:t xml:space="preserve"> </w:t>
      </w:r>
      <w:r w:rsidRPr="00335591">
        <w:rPr>
          <w:rStyle w:val="hps"/>
          <w:sz w:val="28"/>
          <w:szCs w:val="28"/>
          <w:lang w:val="lv-LV"/>
        </w:rPr>
        <w:t>un</w:t>
      </w:r>
      <w:r w:rsidRPr="00335591">
        <w:rPr>
          <w:sz w:val="28"/>
          <w:szCs w:val="28"/>
          <w:lang w:val="lv-LV"/>
        </w:rPr>
        <w:t xml:space="preserve"> </w:t>
      </w:r>
      <w:r w:rsidRPr="00335591">
        <w:rPr>
          <w:rStyle w:val="hps"/>
          <w:sz w:val="28"/>
          <w:szCs w:val="28"/>
          <w:lang w:val="lv-LV"/>
        </w:rPr>
        <w:t>inovācijas</w:t>
      </w:r>
      <w:r w:rsidRPr="00335591">
        <w:rPr>
          <w:sz w:val="28"/>
          <w:szCs w:val="28"/>
          <w:lang w:val="lv-LV"/>
        </w:rPr>
        <w:t xml:space="preserve"> </w:t>
      </w:r>
      <w:r w:rsidRPr="00335591">
        <w:rPr>
          <w:rStyle w:val="hps"/>
          <w:sz w:val="28"/>
          <w:szCs w:val="28"/>
          <w:lang w:val="lv-LV"/>
        </w:rPr>
        <w:t>politikām un</w:t>
      </w:r>
      <w:r w:rsidRPr="00335591">
        <w:rPr>
          <w:sz w:val="28"/>
          <w:szCs w:val="28"/>
          <w:lang w:val="lv-LV"/>
        </w:rPr>
        <w:t xml:space="preserve"> </w:t>
      </w:r>
      <w:r w:rsidRPr="00335591">
        <w:rPr>
          <w:rStyle w:val="hps"/>
          <w:sz w:val="28"/>
          <w:szCs w:val="28"/>
          <w:lang w:val="lv-LV"/>
        </w:rPr>
        <w:t>nodrošina,</w:t>
      </w:r>
      <w:r w:rsidRPr="00335591">
        <w:rPr>
          <w:sz w:val="28"/>
          <w:szCs w:val="28"/>
          <w:lang w:val="lv-LV"/>
        </w:rPr>
        <w:t xml:space="preserve"> </w:t>
      </w:r>
      <w:r w:rsidRPr="00335591">
        <w:rPr>
          <w:rStyle w:val="hps"/>
          <w:sz w:val="28"/>
          <w:szCs w:val="28"/>
          <w:lang w:val="lv-LV"/>
        </w:rPr>
        <w:t>ka nacionālās un ES</w:t>
      </w:r>
      <w:r w:rsidRPr="00335591">
        <w:rPr>
          <w:sz w:val="28"/>
          <w:szCs w:val="28"/>
          <w:lang w:val="lv-LV"/>
        </w:rPr>
        <w:t xml:space="preserve"> </w:t>
      </w:r>
      <w:r w:rsidRPr="00335591">
        <w:rPr>
          <w:rStyle w:val="hps"/>
          <w:sz w:val="28"/>
          <w:szCs w:val="28"/>
          <w:lang w:val="lv-LV"/>
        </w:rPr>
        <w:t>politikas ir savstarpēji atbilstīgas.</w:t>
      </w:r>
    </w:p>
    <w:p w:rsidR="00AB4445" w:rsidRPr="00335591" w:rsidRDefault="00AB4445" w:rsidP="00AB4445">
      <w:pPr>
        <w:autoSpaceDE w:val="0"/>
        <w:autoSpaceDN w:val="0"/>
        <w:adjustRightInd w:val="0"/>
        <w:jc w:val="both"/>
        <w:rPr>
          <w:b/>
          <w:lang w:val="lv-LV" w:eastAsia="de-DE"/>
        </w:rPr>
      </w:pPr>
    </w:p>
    <w:p w:rsidR="002B25AD" w:rsidRPr="00DD216B" w:rsidRDefault="00AB4445" w:rsidP="00BE46A1">
      <w:pPr>
        <w:autoSpaceDE w:val="0"/>
        <w:autoSpaceDN w:val="0"/>
        <w:adjustRightInd w:val="0"/>
        <w:jc w:val="both"/>
        <w:rPr>
          <w:b/>
          <w:sz w:val="28"/>
          <w:szCs w:val="28"/>
          <w:u w:val="single"/>
          <w:lang w:val="lv-LV"/>
        </w:rPr>
      </w:pPr>
      <w:r w:rsidRPr="00DD216B">
        <w:rPr>
          <w:b/>
          <w:sz w:val="28"/>
          <w:szCs w:val="28"/>
          <w:u w:val="single"/>
          <w:lang w:val="lv-LV"/>
        </w:rPr>
        <w:t>Latvijas pozīcija:</w:t>
      </w:r>
    </w:p>
    <w:p w:rsidR="00DD216B" w:rsidRPr="00DD216B" w:rsidRDefault="00DD216B" w:rsidP="00DD216B">
      <w:pPr>
        <w:autoSpaceDE w:val="0"/>
        <w:autoSpaceDN w:val="0"/>
        <w:adjustRightInd w:val="0"/>
        <w:jc w:val="both"/>
        <w:rPr>
          <w:rFonts w:eastAsiaTheme="minorHAnsi"/>
          <w:color w:val="000000"/>
          <w:sz w:val="28"/>
          <w:szCs w:val="28"/>
          <w:lang w:val="lv-LV"/>
        </w:rPr>
      </w:pPr>
      <w:r w:rsidRPr="00DD216B">
        <w:rPr>
          <w:rFonts w:eastAsiaTheme="minorHAnsi"/>
          <w:b/>
          <w:color w:val="000000"/>
          <w:sz w:val="28"/>
          <w:szCs w:val="28"/>
          <w:lang w:val="lv-LV"/>
        </w:rPr>
        <w:t>Latvija atbalsta</w:t>
      </w:r>
      <w:r w:rsidRPr="00DD216B">
        <w:rPr>
          <w:rFonts w:eastAsiaTheme="minorHAnsi"/>
          <w:color w:val="000000"/>
          <w:sz w:val="28"/>
          <w:szCs w:val="28"/>
          <w:lang w:val="lv-LV"/>
        </w:rPr>
        <w:t xml:space="preserve"> Padomes rezolūcijas par Eiropas Pētniecības telpu pieņemšanu, jo rezolūcijas teksts atspoguļo dalībvalstu kopēju vienošanos par ERA un ERAC nākotni.</w:t>
      </w:r>
    </w:p>
    <w:p w:rsidR="00DD216B" w:rsidRPr="00DD216B" w:rsidRDefault="00DD216B" w:rsidP="00DD216B">
      <w:pPr>
        <w:autoSpaceDE w:val="0"/>
        <w:autoSpaceDN w:val="0"/>
        <w:adjustRightInd w:val="0"/>
        <w:jc w:val="both"/>
        <w:rPr>
          <w:rFonts w:eastAsiaTheme="minorHAnsi"/>
          <w:color w:val="000000"/>
          <w:sz w:val="28"/>
          <w:szCs w:val="28"/>
          <w:lang w:val="lv-LV"/>
        </w:rPr>
      </w:pPr>
      <w:r w:rsidRPr="00DD216B">
        <w:rPr>
          <w:rFonts w:eastAsiaTheme="minorHAnsi"/>
          <w:b/>
          <w:color w:val="000000"/>
          <w:sz w:val="28"/>
          <w:szCs w:val="28"/>
          <w:lang w:val="lv-LV"/>
        </w:rPr>
        <w:t>Latvija atzīmē</w:t>
      </w:r>
      <w:r w:rsidRPr="00DD216B">
        <w:rPr>
          <w:rFonts w:eastAsiaTheme="minorHAnsi"/>
          <w:color w:val="000000"/>
          <w:sz w:val="28"/>
          <w:szCs w:val="28"/>
          <w:lang w:val="lv-LV"/>
        </w:rPr>
        <w:t>, ka ERA vērtība ir tā, ka tā ir plašāka kā ES-27 robežas, un valstu, kas nav ES dalībvalstis, līdzdalība ERA ir abpusēji izdevīga un svarīga.</w:t>
      </w:r>
    </w:p>
    <w:p w:rsidR="00DD216B" w:rsidRPr="00DD216B" w:rsidRDefault="00DD216B" w:rsidP="00DD216B">
      <w:pPr>
        <w:autoSpaceDE w:val="0"/>
        <w:autoSpaceDN w:val="0"/>
        <w:adjustRightInd w:val="0"/>
        <w:jc w:val="both"/>
        <w:rPr>
          <w:rFonts w:eastAsiaTheme="minorHAnsi"/>
          <w:color w:val="000000"/>
          <w:sz w:val="28"/>
          <w:szCs w:val="28"/>
          <w:lang w:val="lv-LV"/>
        </w:rPr>
      </w:pPr>
      <w:r w:rsidRPr="00DD216B">
        <w:rPr>
          <w:rFonts w:eastAsiaTheme="minorHAnsi"/>
          <w:b/>
          <w:color w:val="000000"/>
          <w:sz w:val="28"/>
          <w:szCs w:val="28"/>
          <w:lang w:val="lv-LV"/>
        </w:rPr>
        <w:t>Attiecībā uz ERA saistītajām darba grupām</w:t>
      </w:r>
      <w:r w:rsidRPr="00DD216B">
        <w:rPr>
          <w:rFonts w:eastAsiaTheme="minorHAnsi"/>
          <w:color w:val="000000"/>
          <w:sz w:val="28"/>
          <w:szCs w:val="28"/>
          <w:lang w:val="lv-LV"/>
        </w:rPr>
        <w:t xml:space="preserve"> </w:t>
      </w:r>
      <w:r w:rsidRPr="00DD216B">
        <w:rPr>
          <w:rFonts w:eastAsiaTheme="minorHAnsi"/>
          <w:b/>
          <w:color w:val="000000"/>
          <w:sz w:val="28"/>
          <w:szCs w:val="28"/>
          <w:lang w:val="lv-LV"/>
        </w:rPr>
        <w:t>Latvija uzskata</w:t>
      </w:r>
      <w:r w:rsidRPr="00DD216B">
        <w:rPr>
          <w:rFonts w:eastAsiaTheme="minorHAnsi"/>
          <w:color w:val="000000"/>
          <w:sz w:val="28"/>
          <w:szCs w:val="28"/>
          <w:lang w:val="lv-LV"/>
        </w:rPr>
        <w:t>, ka pieeja jāpadara pārskatāmāka un  strukturētāka.</w:t>
      </w:r>
    </w:p>
    <w:p w:rsidR="00DD216B" w:rsidRPr="00DD216B" w:rsidRDefault="00DD216B" w:rsidP="00DD216B">
      <w:pPr>
        <w:autoSpaceDE w:val="0"/>
        <w:autoSpaceDN w:val="0"/>
        <w:adjustRightInd w:val="0"/>
        <w:jc w:val="both"/>
        <w:rPr>
          <w:rFonts w:eastAsiaTheme="minorHAnsi"/>
          <w:color w:val="000000"/>
          <w:sz w:val="28"/>
          <w:szCs w:val="28"/>
          <w:lang w:val="lv-LV"/>
        </w:rPr>
      </w:pPr>
    </w:p>
    <w:p w:rsidR="00060996" w:rsidRPr="00335591" w:rsidRDefault="00060996" w:rsidP="00060996">
      <w:pPr>
        <w:pStyle w:val="NormalWeb"/>
        <w:jc w:val="both"/>
        <w:rPr>
          <w:sz w:val="28"/>
          <w:szCs w:val="28"/>
        </w:rPr>
      </w:pPr>
      <w:r w:rsidRPr="00DD216B">
        <w:rPr>
          <w:sz w:val="28"/>
          <w:szCs w:val="28"/>
        </w:rPr>
        <w:t>Latvijas delegācijas sastāvs ES Konkurētspējas</w:t>
      </w:r>
      <w:r w:rsidRPr="00335591">
        <w:rPr>
          <w:sz w:val="28"/>
          <w:szCs w:val="28"/>
        </w:rPr>
        <w:t xml:space="preserve"> ministru padomes sadaļ</w:t>
      </w:r>
      <w:r w:rsidR="003841D9" w:rsidRPr="00335591">
        <w:rPr>
          <w:sz w:val="28"/>
          <w:szCs w:val="28"/>
        </w:rPr>
        <w:t>ām</w:t>
      </w:r>
      <w:r w:rsidRPr="00335591">
        <w:rPr>
          <w:sz w:val="28"/>
          <w:szCs w:val="28"/>
        </w:rPr>
        <w:t xml:space="preserve"> </w:t>
      </w:r>
      <w:r w:rsidR="003841D9" w:rsidRPr="00335591">
        <w:rPr>
          <w:sz w:val="28"/>
          <w:szCs w:val="28"/>
        </w:rPr>
        <w:t xml:space="preserve">„Kosmoss” un </w:t>
      </w:r>
      <w:r w:rsidRPr="00335591">
        <w:rPr>
          <w:sz w:val="28"/>
          <w:szCs w:val="28"/>
        </w:rPr>
        <w:t>„Zinātne un pētniecība”</w:t>
      </w:r>
      <w:r w:rsidR="002B25AD" w:rsidRPr="00335591">
        <w:rPr>
          <w:sz w:val="28"/>
          <w:szCs w:val="28"/>
        </w:rPr>
        <w:t>:</w:t>
      </w:r>
    </w:p>
    <w:p w:rsidR="00FF7E8C" w:rsidRPr="00A776B9" w:rsidRDefault="00D31D05" w:rsidP="00FF7E8C">
      <w:pPr>
        <w:pStyle w:val="NormalWeb"/>
        <w:spacing w:before="0" w:beforeAutospacing="0" w:after="0"/>
        <w:ind w:left="2977" w:hanging="2977"/>
        <w:rPr>
          <w:bCs/>
          <w:sz w:val="28"/>
          <w:szCs w:val="28"/>
        </w:rPr>
      </w:pPr>
      <w:r w:rsidRPr="00335591">
        <w:rPr>
          <w:sz w:val="28"/>
          <w:szCs w:val="28"/>
        </w:rPr>
        <w:lastRenderedPageBreak/>
        <w:t>Delegācijas vadītājs:</w:t>
      </w:r>
      <w:r w:rsidRPr="00335591">
        <w:rPr>
          <w:sz w:val="28"/>
          <w:szCs w:val="28"/>
        </w:rPr>
        <w:tab/>
      </w:r>
      <w:proofErr w:type="spellStart"/>
      <w:r w:rsidR="00A776B9" w:rsidRPr="00A776B9">
        <w:rPr>
          <w:b/>
          <w:sz w:val="28"/>
          <w:szCs w:val="28"/>
        </w:rPr>
        <w:t>Vjačeslavs</w:t>
      </w:r>
      <w:proofErr w:type="spellEnd"/>
      <w:r w:rsidR="00A776B9" w:rsidRPr="00A776B9">
        <w:rPr>
          <w:b/>
          <w:sz w:val="28"/>
          <w:szCs w:val="28"/>
        </w:rPr>
        <w:t xml:space="preserve"> </w:t>
      </w:r>
      <w:proofErr w:type="spellStart"/>
      <w:r w:rsidR="00A776B9" w:rsidRPr="00A776B9">
        <w:rPr>
          <w:b/>
          <w:sz w:val="28"/>
          <w:szCs w:val="28"/>
        </w:rPr>
        <w:t>Dombrovskis</w:t>
      </w:r>
      <w:proofErr w:type="spellEnd"/>
      <w:r w:rsidRPr="00A776B9">
        <w:rPr>
          <w:sz w:val="28"/>
          <w:szCs w:val="28"/>
        </w:rPr>
        <w:t xml:space="preserve">, </w:t>
      </w:r>
      <w:r w:rsidR="00A776B9" w:rsidRPr="00A776B9">
        <w:rPr>
          <w:bCs/>
          <w:sz w:val="28"/>
          <w:szCs w:val="28"/>
        </w:rPr>
        <w:t>i</w:t>
      </w:r>
      <w:r w:rsidR="004D00D0" w:rsidRPr="00A776B9">
        <w:rPr>
          <w:bCs/>
          <w:sz w:val="28"/>
          <w:szCs w:val="28"/>
        </w:rPr>
        <w:t>zglītības un zinātnes ministr</w:t>
      </w:r>
      <w:r w:rsidR="00A776B9" w:rsidRPr="00A776B9">
        <w:rPr>
          <w:bCs/>
          <w:sz w:val="28"/>
          <w:szCs w:val="28"/>
        </w:rPr>
        <w:t>s</w:t>
      </w:r>
    </w:p>
    <w:p w:rsidR="00FF7E8C" w:rsidRPr="00A776B9" w:rsidRDefault="00FF7E8C" w:rsidP="00280FBA">
      <w:pPr>
        <w:pStyle w:val="NormalWeb"/>
        <w:spacing w:before="0" w:beforeAutospacing="0" w:after="0"/>
        <w:ind w:left="2977" w:hanging="2977"/>
        <w:rPr>
          <w:sz w:val="28"/>
          <w:szCs w:val="28"/>
        </w:rPr>
      </w:pPr>
    </w:p>
    <w:p w:rsidR="00BF78C6" w:rsidRPr="00A776B9" w:rsidRDefault="00D31D05" w:rsidP="00BF78C6">
      <w:pPr>
        <w:pStyle w:val="NormalWeb"/>
        <w:spacing w:before="0" w:beforeAutospacing="0" w:after="0"/>
        <w:ind w:left="2977" w:hanging="2977"/>
        <w:rPr>
          <w:sz w:val="28"/>
          <w:szCs w:val="28"/>
        </w:rPr>
      </w:pPr>
      <w:r w:rsidRPr="00A776B9">
        <w:rPr>
          <w:sz w:val="28"/>
          <w:szCs w:val="28"/>
        </w:rPr>
        <w:t>Delegācijas dalībnieki:</w:t>
      </w:r>
      <w:r w:rsidRPr="00A776B9">
        <w:rPr>
          <w:sz w:val="28"/>
          <w:szCs w:val="28"/>
        </w:rPr>
        <w:tab/>
      </w:r>
      <w:r w:rsidR="00A776B9" w:rsidRPr="00A776B9">
        <w:rPr>
          <w:b/>
          <w:bCs/>
          <w:sz w:val="28"/>
          <w:szCs w:val="28"/>
        </w:rPr>
        <w:t xml:space="preserve">Anna </w:t>
      </w:r>
      <w:proofErr w:type="spellStart"/>
      <w:r w:rsidR="00A776B9" w:rsidRPr="00A776B9">
        <w:rPr>
          <w:b/>
          <w:bCs/>
          <w:sz w:val="28"/>
          <w:szCs w:val="28"/>
        </w:rPr>
        <w:t>Kononova</w:t>
      </w:r>
      <w:proofErr w:type="spellEnd"/>
      <w:r w:rsidR="00BF78C6" w:rsidRPr="00A776B9">
        <w:rPr>
          <w:bCs/>
          <w:sz w:val="28"/>
          <w:szCs w:val="28"/>
        </w:rPr>
        <w:t xml:space="preserve">, </w:t>
      </w:r>
      <w:r w:rsidR="00A776B9" w:rsidRPr="00A776B9">
        <w:rPr>
          <w:bCs/>
          <w:sz w:val="28"/>
          <w:szCs w:val="28"/>
        </w:rPr>
        <w:t>i</w:t>
      </w:r>
      <w:r w:rsidR="004D00D0" w:rsidRPr="00A776B9">
        <w:rPr>
          <w:bCs/>
          <w:sz w:val="28"/>
          <w:szCs w:val="28"/>
        </w:rPr>
        <w:t>zglītības un zinātnes ministr</w:t>
      </w:r>
      <w:r w:rsidR="00A776B9" w:rsidRPr="00A776B9">
        <w:rPr>
          <w:bCs/>
          <w:sz w:val="28"/>
          <w:szCs w:val="28"/>
        </w:rPr>
        <w:t>a biroja vadītāja</w:t>
      </w:r>
      <w:r w:rsidR="008C7D9F" w:rsidRPr="00A776B9">
        <w:rPr>
          <w:bCs/>
          <w:sz w:val="28"/>
          <w:szCs w:val="28"/>
        </w:rPr>
        <w:t>;</w:t>
      </w:r>
    </w:p>
    <w:p w:rsidR="00A776B9" w:rsidRPr="00A776B9" w:rsidRDefault="004D00D0" w:rsidP="004D00D0">
      <w:pPr>
        <w:pStyle w:val="NormalWeb"/>
        <w:spacing w:before="0" w:beforeAutospacing="0" w:after="0"/>
        <w:ind w:left="2977" w:hanging="97"/>
        <w:rPr>
          <w:bCs/>
          <w:sz w:val="28"/>
          <w:szCs w:val="28"/>
        </w:rPr>
      </w:pPr>
      <w:r w:rsidRPr="00A776B9">
        <w:rPr>
          <w:bCs/>
          <w:sz w:val="28"/>
          <w:szCs w:val="28"/>
        </w:rPr>
        <w:t xml:space="preserve"> </w:t>
      </w:r>
      <w:r w:rsidRPr="00A776B9">
        <w:rPr>
          <w:b/>
          <w:bCs/>
          <w:sz w:val="28"/>
          <w:szCs w:val="28"/>
        </w:rPr>
        <w:t xml:space="preserve">Juris </w:t>
      </w:r>
      <w:proofErr w:type="spellStart"/>
      <w:r w:rsidRPr="00A776B9">
        <w:rPr>
          <w:b/>
          <w:bCs/>
          <w:sz w:val="28"/>
          <w:szCs w:val="28"/>
        </w:rPr>
        <w:t>Štālmeistars</w:t>
      </w:r>
      <w:proofErr w:type="spellEnd"/>
      <w:r w:rsidRPr="00A776B9">
        <w:rPr>
          <w:bCs/>
          <w:sz w:val="28"/>
          <w:szCs w:val="28"/>
        </w:rPr>
        <w:t>, Pastāvīgā pārstāvja Eiropas Savienībā vietnieks, vēstnieks</w:t>
      </w:r>
    </w:p>
    <w:p w:rsidR="00D31D05" w:rsidRPr="00335591" w:rsidRDefault="00A776B9" w:rsidP="004D00D0">
      <w:pPr>
        <w:pStyle w:val="NormalWeb"/>
        <w:spacing w:before="0" w:beforeAutospacing="0" w:after="0"/>
        <w:ind w:left="2977" w:hanging="97"/>
        <w:rPr>
          <w:bCs/>
          <w:sz w:val="28"/>
          <w:szCs w:val="28"/>
        </w:rPr>
      </w:pPr>
      <w:r w:rsidRPr="00A776B9">
        <w:rPr>
          <w:b/>
          <w:bCs/>
          <w:sz w:val="28"/>
          <w:szCs w:val="28"/>
        </w:rPr>
        <w:t xml:space="preserve">Liene </w:t>
      </w:r>
      <w:proofErr w:type="spellStart"/>
      <w:r w:rsidRPr="00A776B9">
        <w:rPr>
          <w:b/>
          <w:bCs/>
          <w:sz w:val="28"/>
          <w:szCs w:val="28"/>
        </w:rPr>
        <w:t>Bramane</w:t>
      </w:r>
      <w:proofErr w:type="spellEnd"/>
      <w:r w:rsidRPr="00A776B9">
        <w:rPr>
          <w:b/>
          <w:bCs/>
          <w:sz w:val="28"/>
          <w:szCs w:val="28"/>
        </w:rPr>
        <w:t xml:space="preserve">, </w:t>
      </w:r>
      <w:r w:rsidRPr="00A776B9">
        <w:rPr>
          <w:bCs/>
          <w:sz w:val="28"/>
          <w:szCs w:val="28"/>
        </w:rPr>
        <w:t>Izglītības un zinātnes ministrijas nozares padomniece</w:t>
      </w:r>
      <w:r w:rsidR="00D31D05" w:rsidRPr="00A776B9">
        <w:rPr>
          <w:sz w:val="28"/>
          <w:szCs w:val="28"/>
        </w:rPr>
        <w:t>.</w:t>
      </w:r>
    </w:p>
    <w:p w:rsidR="00A34702" w:rsidRPr="00335591" w:rsidRDefault="00A34702" w:rsidP="00E440D0">
      <w:pPr>
        <w:jc w:val="center"/>
        <w:rPr>
          <w:sz w:val="28"/>
          <w:szCs w:val="28"/>
          <w:lang w:val="lv-LV"/>
        </w:rPr>
      </w:pPr>
    </w:p>
    <w:p w:rsidR="00A34702" w:rsidRPr="00335591" w:rsidRDefault="00A34702" w:rsidP="0077650E">
      <w:pPr>
        <w:jc w:val="both"/>
        <w:rPr>
          <w:sz w:val="28"/>
          <w:szCs w:val="28"/>
          <w:lang w:val="lv-LV"/>
        </w:rPr>
      </w:pPr>
    </w:p>
    <w:p w:rsidR="00A34702" w:rsidRPr="00335591" w:rsidRDefault="00A34702" w:rsidP="0077650E">
      <w:pPr>
        <w:jc w:val="both"/>
        <w:rPr>
          <w:sz w:val="28"/>
          <w:szCs w:val="28"/>
          <w:lang w:val="lv-LV"/>
        </w:rPr>
      </w:pPr>
      <w:r w:rsidRPr="00335591">
        <w:rPr>
          <w:sz w:val="28"/>
          <w:szCs w:val="28"/>
          <w:lang w:val="lv-LV"/>
        </w:rPr>
        <w:t xml:space="preserve">Izglītības un zinātnes </w:t>
      </w:r>
      <w:r w:rsidR="00510A93" w:rsidRPr="00335591">
        <w:rPr>
          <w:sz w:val="28"/>
          <w:szCs w:val="28"/>
          <w:lang w:val="lv-LV"/>
        </w:rPr>
        <w:t>ministrs</w:t>
      </w:r>
      <w:r w:rsidR="00A34A79" w:rsidRPr="00335591">
        <w:rPr>
          <w:sz w:val="28"/>
          <w:szCs w:val="28"/>
          <w:lang w:val="lv-LV"/>
        </w:rPr>
        <w:t xml:space="preserve"> </w:t>
      </w:r>
      <w:r w:rsidR="00D81B8D" w:rsidRPr="00335591">
        <w:rPr>
          <w:sz w:val="28"/>
          <w:szCs w:val="28"/>
          <w:lang w:val="lv-LV"/>
        </w:rPr>
        <w:t xml:space="preserve"> </w:t>
      </w:r>
      <w:r w:rsidRPr="00335591">
        <w:rPr>
          <w:sz w:val="28"/>
          <w:szCs w:val="28"/>
          <w:lang w:val="lv-LV"/>
        </w:rPr>
        <w:tab/>
      </w:r>
      <w:r w:rsidRPr="00335591">
        <w:rPr>
          <w:sz w:val="28"/>
          <w:szCs w:val="28"/>
          <w:lang w:val="lv-LV"/>
        </w:rPr>
        <w:tab/>
      </w:r>
      <w:r w:rsidRPr="00335591">
        <w:rPr>
          <w:sz w:val="28"/>
          <w:szCs w:val="28"/>
          <w:lang w:val="lv-LV"/>
        </w:rPr>
        <w:tab/>
      </w:r>
      <w:r w:rsidRPr="00335591">
        <w:rPr>
          <w:sz w:val="28"/>
          <w:szCs w:val="28"/>
          <w:lang w:val="lv-LV"/>
        </w:rPr>
        <w:tab/>
      </w:r>
      <w:r w:rsidR="00D81B8D" w:rsidRPr="00335591">
        <w:rPr>
          <w:sz w:val="28"/>
          <w:szCs w:val="28"/>
          <w:lang w:val="lv-LV"/>
        </w:rPr>
        <w:t xml:space="preserve">       </w:t>
      </w:r>
      <w:r w:rsidR="00A34A79" w:rsidRPr="00335591">
        <w:rPr>
          <w:sz w:val="28"/>
          <w:szCs w:val="28"/>
          <w:lang w:val="lv-LV"/>
        </w:rPr>
        <w:t xml:space="preserve">   </w:t>
      </w:r>
      <w:r w:rsidR="00177158" w:rsidRPr="00335591">
        <w:rPr>
          <w:sz w:val="28"/>
          <w:szCs w:val="28"/>
          <w:lang w:val="lv-LV"/>
        </w:rPr>
        <w:t xml:space="preserve">           </w:t>
      </w:r>
      <w:proofErr w:type="spellStart"/>
      <w:r w:rsidR="003841D9" w:rsidRPr="00335591">
        <w:rPr>
          <w:sz w:val="28"/>
          <w:szCs w:val="28"/>
          <w:lang w:val="lv-LV"/>
        </w:rPr>
        <w:t>V.Dombrovskis</w:t>
      </w:r>
      <w:proofErr w:type="spellEnd"/>
    </w:p>
    <w:p w:rsidR="00A34702" w:rsidRPr="00335591" w:rsidRDefault="00A34702" w:rsidP="0077650E">
      <w:pPr>
        <w:jc w:val="both"/>
        <w:rPr>
          <w:sz w:val="28"/>
          <w:szCs w:val="28"/>
          <w:lang w:val="lv-LV"/>
        </w:rPr>
      </w:pPr>
    </w:p>
    <w:p w:rsidR="00DB71B3" w:rsidRPr="00335591" w:rsidRDefault="00DB71B3" w:rsidP="0077650E">
      <w:pPr>
        <w:jc w:val="both"/>
        <w:rPr>
          <w:sz w:val="28"/>
          <w:szCs w:val="28"/>
          <w:lang w:val="lv-LV"/>
        </w:rPr>
      </w:pPr>
    </w:p>
    <w:p w:rsidR="00A34702" w:rsidRPr="00335591" w:rsidRDefault="00A34702" w:rsidP="00324067">
      <w:pPr>
        <w:rPr>
          <w:sz w:val="28"/>
          <w:szCs w:val="28"/>
          <w:lang w:val="lv-LV"/>
        </w:rPr>
      </w:pPr>
      <w:r w:rsidRPr="00335591">
        <w:rPr>
          <w:sz w:val="28"/>
          <w:szCs w:val="28"/>
          <w:lang w:val="lv-LV"/>
        </w:rPr>
        <w:t xml:space="preserve">Vīza: </w:t>
      </w:r>
      <w:r w:rsidRPr="00335591">
        <w:rPr>
          <w:sz w:val="28"/>
          <w:szCs w:val="28"/>
          <w:lang w:val="lv-LV"/>
        </w:rPr>
        <w:tab/>
      </w:r>
    </w:p>
    <w:p w:rsidR="007F1D62" w:rsidRPr="00335591" w:rsidRDefault="007F1D62" w:rsidP="007F1D62">
      <w:pPr>
        <w:autoSpaceDE w:val="0"/>
        <w:autoSpaceDN w:val="0"/>
        <w:adjustRightInd w:val="0"/>
        <w:rPr>
          <w:rFonts w:eastAsiaTheme="minorHAnsi"/>
          <w:bCs/>
          <w:color w:val="000000"/>
          <w:sz w:val="24"/>
          <w:szCs w:val="24"/>
          <w:lang w:val="lv-LV"/>
        </w:rPr>
      </w:pPr>
    </w:p>
    <w:p w:rsidR="00A34702" w:rsidRPr="00335591" w:rsidRDefault="00650B6B" w:rsidP="00650B6B">
      <w:pPr>
        <w:autoSpaceDE w:val="0"/>
        <w:autoSpaceDN w:val="0"/>
        <w:adjustRightInd w:val="0"/>
        <w:rPr>
          <w:i/>
          <w:sz w:val="28"/>
          <w:szCs w:val="28"/>
          <w:lang w:val="lv-LV"/>
        </w:rPr>
      </w:pPr>
      <w:r w:rsidRPr="00335591">
        <w:rPr>
          <w:rFonts w:eastAsiaTheme="minorHAnsi"/>
          <w:bCs/>
          <w:color w:val="000000"/>
          <w:sz w:val="28"/>
          <w:szCs w:val="28"/>
          <w:lang w:val="lv-LV"/>
        </w:rPr>
        <w:t>Valsts sekretār</w:t>
      </w:r>
      <w:r w:rsidR="004D00D0" w:rsidRPr="00335591">
        <w:rPr>
          <w:rFonts w:eastAsiaTheme="minorHAnsi"/>
          <w:bCs/>
          <w:color w:val="000000"/>
          <w:sz w:val="28"/>
          <w:szCs w:val="28"/>
          <w:lang w:val="lv-LV"/>
        </w:rPr>
        <w:t>e</w:t>
      </w:r>
      <w:r w:rsidR="00A3459C" w:rsidRPr="00335591">
        <w:rPr>
          <w:rFonts w:eastAsiaTheme="minorHAnsi"/>
          <w:bCs/>
          <w:color w:val="000000"/>
          <w:sz w:val="28"/>
          <w:szCs w:val="28"/>
          <w:lang w:val="lv-LV"/>
        </w:rPr>
        <w:tab/>
      </w:r>
      <w:r w:rsidR="00A3459C" w:rsidRPr="00335591">
        <w:rPr>
          <w:rFonts w:eastAsiaTheme="minorHAnsi"/>
          <w:bCs/>
          <w:color w:val="000000"/>
          <w:sz w:val="28"/>
          <w:szCs w:val="28"/>
          <w:lang w:val="lv-LV"/>
        </w:rPr>
        <w:tab/>
      </w:r>
      <w:r w:rsidR="00A3459C" w:rsidRPr="00335591">
        <w:rPr>
          <w:rFonts w:eastAsiaTheme="minorHAnsi"/>
          <w:bCs/>
          <w:color w:val="000000"/>
          <w:sz w:val="28"/>
          <w:szCs w:val="28"/>
          <w:lang w:val="lv-LV"/>
        </w:rPr>
        <w:tab/>
      </w:r>
      <w:r w:rsidR="00A3459C" w:rsidRPr="00335591">
        <w:rPr>
          <w:rFonts w:eastAsiaTheme="minorHAnsi"/>
          <w:bCs/>
          <w:color w:val="000000"/>
          <w:sz w:val="28"/>
          <w:szCs w:val="28"/>
          <w:lang w:val="lv-LV"/>
        </w:rPr>
        <w:tab/>
      </w:r>
      <w:r w:rsidR="00A3459C" w:rsidRPr="00335591">
        <w:rPr>
          <w:rFonts w:eastAsiaTheme="minorHAnsi"/>
          <w:bCs/>
          <w:color w:val="000000"/>
          <w:sz w:val="28"/>
          <w:szCs w:val="28"/>
          <w:lang w:val="lv-LV"/>
        </w:rPr>
        <w:tab/>
        <w:t xml:space="preserve">  </w:t>
      </w:r>
      <w:r w:rsidR="004D00D0" w:rsidRPr="00335591">
        <w:rPr>
          <w:rFonts w:eastAsiaTheme="minorHAnsi"/>
          <w:bCs/>
          <w:color w:val="000000"/>
          <w:sz w:val="28"/>
          <w:szCs w:val="28"/>
          <w:lang w:val="lv-LV"/>
        </w:rPr>
        <w:t xml:space="preserve">                               S.Liepiņa</w:t>
      </w:r>
    </w:p>
    <w:p w:rsidR="00A34702" w:rsidRPr="00335591" w:rsidRDefault="00A34702" w:rsidP="0077650E">
      <w:pPr>
        <w:rPr>
          <w:i/>
          <w:sz w:val="28"/>
          <w:szCs w:val="28"/>
          <w:lang w:val="lv-LV"/>
        </w:rPr>
      </w:pPr>
    </w:p>
    <w:p w:rsidR="00D237B0" w:rsidRPr="00335591" w:rsidRDefault="00D237B0" w:rsidP="0077650E">
      <w:pPr>
        <w:rPr>
          <w:sz w:val="22"/>
          <w:szCs w:val="22"/>
          <w:lang w:val="lv-LV"/>
        </w:rPr>
      </w:pPr>
    </w:p>
    <w:p w:rsidR="00A34702" w:rsidRPr="00627C3E" w:rsidRDefault="00FD6087" w:rsidP="0077650E">
      <w:pPr>
        <w:rPr>
          <w:sz w:val="28"/>
          <w:szCs w:val="28"/>
          <w:lang w:val="lv-LV"/>
        </w:rPr>
      </w:pPr>
      <w:r w:rsidRPr="00627C3E">
        <w:rPr>
          <w:sz w:val="22"/>
          <w:szCs w:val="22"/>
          <w:lang w:val="lv-LV"/>
        </w:rPr>
        <w:t>2</w:t>
      </w:r>
      <w:r w:rsidR="002E0095" w:rsidRPr="00627C3E">
        <w:rPr>
          <w:sz w:val="22"/>
          <w:szCs w:val="22"/>
          <w:lang w:val="lv-LV"/>
        </w:rPr>
        <w:t>7</w:t>
      </w:r>
      <w:r w:rsidR="00A34702" w:rsidRPr="00627C3E">
        <w:rPr>
          <w:sz w:val="22"/>
          <w:szCs w:val="22"/>
          <w:lang w:val="lv-LV"/>
        </w:rPr>
        <w:t>.</w:t>
      </w:r>
      <w:r w:rsidR="003D42A9" w:rsidRPr="00627C3E">
        <w:rPr>
          <w:sz w:val="22"/>
          <w:szCs w:val="22"/>
          <w:lang w:val="lv-LV"/>
        </w:rPr>
        <w:t>0</w:t>
      </w:r>
      <w:r w:rsidRPr="00627C3E">
        <w:rPr>
          <w:sz w:val="22"/>
          <w:szCs w:val="22"/>
          <w:lang w:val="lv-LV"/>
        </w:rPr>
        <w:t>5</w:t>
      </w:r>
      <w:r w:rsidR="003D42A9" w:rsidRPr="00627C3E">
        <w:rPr>
          <w:sz w:val="22"/>
          <w:szCs w:val="22"/>
          <w:lang w:val="lv-LV"/>
        </w:rPr>
        <w:t>.20</w:t>
      </w:r>
      <w:r w:rsidR="00D70969" w:rsidRPr="00627C3E">
        <w:rPr>
          <w:sz w:val="22"/>
          <w:szCs w:val="22"/>
          <w:lang w:val="lv-LV"/>
        </w:rPr>
        <w:t>1</w:t>
      </w:r>
      <w:r w:rsidR="007D3E46" w:rsidRPr="00627C3E">
        <w:rPr>
          <w:sz w:val="22"/>
          <w:szCs w:val="22"/>
          <w:lang w:val="lv-LV"/>
        </w:rPr>
        <w:t>3</w:t>
      </w:r>
      <w:r w:rsidR="00A34702" w:rsidRPr="00627C3E">
        <w:rPr>
          <w:sz w:val="22"/>
          <w:szCs w:val="22"/>
          <w:lang w:val="lv-LV"/>
        </w:rPr>
        <w:t xml:space="preserve">. </w:t>
      </w:r>
      <w:r w:rsidR="00DA2CDB" w:rsidRPr="00627C3E">
        <w:rPr>
          <w:sz w:val="22"/>
          <w:szCs w:val="22"/>
          <w:lang w:val="lv-LV"/>
        </w:rPr>
        <w:t>1</w:t>
      </w:r>
      <w:r w:rsidR="00627C3E" w:rsidRPr="00627C3E">
        <w:rPr>
          <w:sz w:val="22"/>
          <w:szCs w:val="22"/>
          <w:lang w:val="lv-LV"/>
        </w:rPr>
        <w:t>2</w:t>
      </w:r>
      <w:r w:rsidR="00A34702" w:rsidRPr="00627C3E">
        <w:rPr>
          <w:sz w:val="22"/>
          <w:szCs w:val="22"/>
          <w:lang w:val="lv-LV"/>
        </w:rPr>
        <w:t>:</w:t>
      </w:r>
      <w:r w:rsidR="00073EAC" w:rsidRPr="00627C3E">
        <w:rPr>
          <w:sz w:val="22"/>
          <w:szCs w:val="22"/>
          <w:lang w:val="lv-LV"/>
        </w:rPr>
        <w:t>44</w:t>
      </w:r>
    </w:p>
    <w:p w:rsidR="00A34702" w:rsidRPr="00335591" w:rsidRDefault="00627C3E" w:rsidP="0077650E">
      <w:pPr>
        <w:rPr>
          <w:sz w:val="22"/>
          <w:szCs w:val="22"/>
          <w:lang w:val="lv-LV"/>
        </w:rPr>
      </w:pPr>
      <w:r>
        <w:rPr>
          <w:sz w:val="22"/>
          <w:szCs w:val="22"/>
          <w:lang w:val="lv-LV"/>
        </w:rPr>
        <w:t>1968</w:t>
      </w:r>
    </w:p>
    <w:p w:rsidR="00A34702" w:rsidRPr="00335591" w:rsidRDefault="00A34702" w:rsidP="00B31875">
      <w:pPr>
        <w:jc w:val="both"/>
        <w:rPr>
          <w:sz w:val="22"/>
          <w:szCs w:val="22"/>
          <w:lang w:val="lv-LV"/>
        </w:rPr>
      </w:pPr>
      <w:r w:rsidRPr="00335591">
        <w:rPr>
          <w:sz w:val="22"/>
          <w:szCs w:val="22"/>
          <w:lang w:val="lv-LV"/>
        </w:rPr>
        <w:t>Izglītības un zinātnes ministrijas</w:t>
      </w:r>
    </w:p>
    <w:p w:rsidR="00A34702" w:rsidRPr="00335591" w:rsidRDefault="004D00D0" w:rsidP="00B31875">
      <w:pPr>
        <w:jc w:val="both"/>
        <w:rPr>
          <w:sz w:val="22"/>
          <w:szCs w:val="22"/>
          <w:lang w:val="lv-LV"/>
        </w:rPr>
      </w:pPr>
      <w:r w:rsidRPr="00335591">
        <w:rPr>
          <w:sz w:val="22"/>
          <w:szCs w:val="22"/>
          <w:lang w:val="lv-LV"/>
        </w:rPr>
        <w:t>Politikas iniciatīvu un attīstības</w:t>
      </w:r>
      <w:r w:rsidR="008A4C99" w:rsidRPr="00335591">
        <w:rPr>
          <w:sz w:val="22"/>
          <w:szCs w:val="22"/>
          <w:lang w:val="lv-LV"/>
        </w:rPr>
        <w:t xml:space="preserve"> </w:t>
      </w:r>
      <w:r w:rsidR="00A34702" w:rsidRPr="00335591">
        <w:rPr>
          <w:sz w:val="22"/>
          <w:szCs w:val="22"/>
          <w:lang w:val="lv-LV"/>
        </w:rPr>
        <w:t>departamenta</w:t>
      </w:r>
    </w:p>
    <w:p w:rsidR="00A34702" w:rsidRPr="00335591" w:rsidRDefault="00A34702" w:rsidP="00B31875">
      <w:pPr>
        <w:jc w:val="both"/>
        <w:rPr>
          <w:sz w:val="22"/>
          <w:szCs w:val="22"/>
          <w:lang w:val="lv-LV"/>
        </w:rPr>
      </w:pPr>
      <w:r w:rsidRPr="00335591">
        <w:rPr>
          <w:sz w:val="22"/>
          <w:szCs w:val="22"/>
          <w:lang w:val="lv-LV"/>
        </w:rPr>
        <w:t xml:space="preserve">vecākā </w:t>
      </w:r>
      <w:r w:rsidR="004D00D0" w:rsidRPr="00335591">
        <w:rPr>
          <w:sz w:val="22"/>
          <w:szCs w:val="22"/>
          <w:lang w:val="lv-LV"/>
        </w:rPr>
        <w:t>eksperte</w:t>
      </w:r>
    </w:p>
    <w:p w:rsidR="00A34702" w:rsidRPr="00335591" w:rsidRDefault="00A34702" w:rsidP="0077650E">
      <w:pPr>
        <w:rPr>
          <w:sz w:val="22"/>
          <w:szCs w:val="22"/>
          <w:lang w:val="lv-LV"/>
        </w:rPr>
      </w:pPr>
      <w:proofErr w:type="spellStart"/>
      <w:r w:rsidRPr="00335591">
        <w:rPr>
          <w:sz w:val="22"/>
          <w:szCs w:val="22"/>
          <w:lang w:val="lv-LV"/>
        </w:rPr>
        <w:t>B.Beinaroviča</w:t>
      </w:r>
      <w:proofErr w:type="spellEnd"/>
    </w:p>
    <w:p w:rsidR="00A34702" w:rsidRPr="00335591" w:rsidRDefault="00A34702" w:rsidP="0077650E">
      <w:pPr>
        <w:rPr>
          <w:sz w:val="22"/>
          <w:szCs w:val="22"/>
          <w:lang w:val="lv-LV"/>
        </w:rPr>
      </w:pPr>
      <w:r w:rsidRPr="00335591">
        <w:rPr>
          <w:sz w:val="22"/>
          <w:szCs w:val="22"/>
          <w:lang w:val="lv-LV"/>
        </w:rPr>
        <w:t xml:space="preserve">67047885, </w:t>
      </w:r>
      <w:hyperlink r:id="rId8" w:history="1">
        <w:r w:rsidRPr="00335591">
          <w:rPr>
            <w:rStyle w:val="Hyperlink"/>
            <w:sz w:val="22"/>
            <w:szCs w:val="22"/>
            <w:lang w:val="lv-LV"/>
          </w:rPr>
          <w:t>baiba.beinarovica@izm.gov.lv</w:t>
        </w:r>
      </w:hyperlink>
      <w:r w:rsidRPr="00335591">
        <w:rPr>
          <w:sz w:val="22"/>
          <w:szCs w:val="22"/>
          <w:lang w:val="lv-LV"/>
        </w:rPr>
        <w:t xml:space="preserve">  </w:t>
      </w:r>
    </w:p>
    <w:p w:rsidR="00A34702" w:rsidRPr="00335591" w:rsidRDefault="00A34702" w:rsidP="0077650E">
      <w:pPr>
        <w:jc w:val="both"/>
        <w:rPr>
          <w:sz w:val="28"/>
          <w:szCs w:val="28"/>
          <w:lang w:val="lv-LV"/>
        </w:rPr>
      </w:pPr>
    </w:p>
    <w:p w:rsidR="00A34702" w:rsidRPr="00335591" w:rsidRDefault="00A34702">
      <w:pPr>
        <w:rPr>
          <w:sz w:val="28"/>
          <w:szCs w:val="28"/>
          <w:lang w:val="lv-LV"/>
        </w:rPr>
      </w:pPr>
    </w:p>
    <w:sectPr w:rsidR="00A34702" w:rsidRPr="00335591"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285" w:rsidRDefault="00997285" w:rsidP="00B33D6E">
      <w:r>
        <w:separator/>
      </w:r>
    </w:p>
  </w:endnote>
  <w:endnote w:type="continuationSeparator" w:id="0">
    <w:p w:rsidR="00997285" w:rsidRDefault="00997285" w:rsidP="00B3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Pr="00A46F23" w:rsidRDefault="009A3B97" w:rsidP="00D86226">
    <w:pPr>
      <w:pStyle w:val="BodyText"/>
      <w:spacing w:before="120"/>
      <w:jc w:val="both"/>
      <w:rPr>
        <w:b w:val="0"/>
        <w:sz w:val="20"/>
      </w:rPr>
    </w:pPr>
    <w:r w:rsidRPr="003841D9">
      <w:rPr>
        <w:b w:val="0"/>
        <w:sz w:val="20"/>
      </w:rPr>
      <w:fldChar w:fldCharType="begin"/>
    </w:r>
    <w:r w:rsidR="00434F92" w:rsidRPr="003841D9">
      <w:rPr>
        <w:b w:val="0"/>
        <w:sz w:val="20"/>
      </w:rPr>
      <w:instrText xml:space="preserve"> FILENAME </w:instrText>
    </w:r>
    <w:r w:rsidRPr="003841D9">
      <w:rPr>
        <w:b w:val="0"/>
        <w:sz w:val="20"/>
      </w:rPr>
      <w:fldChar w:fldCharType="separate"/>
    </w:r>
    <w:r w:rsidR="007038A9">
      <w:rPr>
        <w:b w:val="0"/>
        <w:noProof/>
        <w:sz w:val="20"/>
      </w:rPr>
      <w:t>IZMInf_270513_konkuretspeja</w:t>
    </w:r>
    <w:r w:rsidRPr="003841D9">
      <w:rPr>
        <w:b w:val="0"/>
        <w:sz w:val="20"/>
      </w:rPr>
      <w:fldChar w:fldCharType="end"/>
    </w:r>
    <w:r w:rsidR="00434F92" w:rsidRPr="003841D9">
      <w:rPr>
        <w:b w:val="0"/>
        <w:sz w:val="20"/>
      </w:rPr>
      <w:t>;</w:t>
    </w:r>
    <w:r w:rsidR="00434F92">
      <w:rPr>
        <w:b w:val="0"/>
        <w:sz w:val="20"/>
      </w:rPr>
      <w:t xml:space="preserve"> </w:t>
    </w:r>
    <w:r w:rsidR="00434F92" w:rsidRPr="00446491">
      <w:rPr>
        <w:b w:val="0"/>
        <w:sz w:val="20"/>
      </w:rPr>
      <w:t>Par 201</w:t>
    </w:r>
    <w:r w:rsidR="004D00D0">
      <w:rPr>
        <w:b w:val="0"/>
        <w:sz w:val="20"/>
      </w:rPr>
      <w:t>3</w:t>
    </w:r>
    <w:r w:rsidR="00434F92" w:rsidRPr="00446491">
      <w:rPr>
        <w:b w:val="0"/>
        <w:sz w:val="20"/>
      </w:rPr>
      <w:t xml:space="preserve">.gada </w:t>
    </w:r>
    <w:r w:rsidR="003841D9">
      <w:rPr>
        <w:b w:val="0"/>
        <w:sz w:val="20"/>
      </w:rPr>
      <w:t>29.-30.maija</w:t>
    </w:r>
    <w:r w:rsidR="00434F92" w:rsidRPr="00446491">
      <w:rPr>
        <w:b w:val="0"/>
        <w:sz w:val="20"/>
      </w:rPr>
      <w:t xml:space="preserve"> Eiropas Savienības Konkurētspējas ministru padomē izskatāmajiem jautājumiem</w:t>
    </w:r>
  </w:p>
  <w:p w:rsidR="00434F92" w:rsidRPr="00047E20" w:rsidRDefault="00434F9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D9" w:rsidRPr="00A46F23" w:rsidRDefault="009A3B97" w:rsidP="003841D9">
    <w:pPr>
      <w:pStyle w:val="BodyText"/>
      <w:spacing w:before="120"/>
      <w:jc w:val="both"/>
      <w:rPr>
        <w:b w:val="0"/>
        <w:sz w:val="20"/>
      </w:rPr>
    </w:pPr>
    <w:r w:rsidRPr="003841D9">
      <w:rPr>
        <w:b w:val="0"/>
        <w:sz w:val="20"/>
      </w:rPr>
      <w:fldChar w:fldCharType="begin"/>
    </w:r>
    <w:r w:rsidR="003841D9" w:rsidRPr="003841D9">
      <w:rPr>
        <w:b w:val="0"/>
        <w:sz w:val="20"/>
      </w:rPr>
      <w:instrText xml:space="preserve"> FILENAME </w:instrText>
    </w:r>
    <w:r w:rsidRPr="003841D9">
      <w:rPr>
        <w:b w:val="0"/>
        <w:sz w:val="20"/>
      </w:rPr>
      <w:fldChar w:fldCharType="separate"/>
    </w:r>
    <w:r w:rsidR="007038A9">
      <w:rPr>
        <w:b w:val="0"/>
        <w:noProof/>
        <w:sz w:val="20"/>
      </w:rPr>
      <w:t>IZMInf_270513_konkuretspeja</w:t>
    </w:r>
    <w:r w:rsidRPr="003841D9">
      <w:rPr>
        <w:b w:val="0"/>
        <w:sz w:val="20"/>
      </w:rPr>
      <w:fldChar w:fldCharType="end"/>
    </w:r>
    <w:r w:rsidR="003841D9" w:rsidRPr="003841D9">
      <w:rPr>
        <w:b w:val="0"/>
        <w:sz w:val="20"/>
      </w:rPr>
      <w:t>;</w:t>
    </w:r>
    <w:r w:rsidR="003841D9">
      <w:rPr>
        <w:b w:val="0"/>
        <w:sz w:val="20"/>
      </w:rPr>
      <w:t xml:space="preserve"> </w:t>
    </w:r>
    <w:r w:rsidR="003841D9" w:rsidRPr="00446491">
      <w:rPr>
        <w:b w:val="0"/>
        <w:sz w:val="20"/>
      </w:rPr>
      <w:t>Par 201</w:t>
    </w:r>
    <w:r w:rsidR="003841D9">
      <w:rPr>
        <w:b w:val="0"/>
        <w:sz w:val="20"/>
      </w:rPr>
      <w:t>3</w:t>
    </w:r>
    <w:r w:rsidR="003841D9" w:rsidRPr="00446491">
      <w:rPr>
        <w:b w:val="0"/>
        <w:sz w:val="20"/>
      </w:rPr>
      <w:t xml:space="preserve">.gada </w:t>
    </w:r>
    <w:r w:rsidR="003841D9">
      <w:rPr>
        <w:b w:val="0"/>
        <w:sz w:val="20"/>
      </w:rPr>
      <w:t>29.-30.maija</w:t>
    </w:r>
    <w:r w:rsidR="003841D9" w:rsidRPr="00446491">
      <w:rPr>
        <w:b w:val="0"/>
        <w:sz w:val="20"/>
      </w:rPr>
      <w:t xml:space="preserve"> Eiropas Savienības Konkurētspējas ministru padomē izskatāmajiem jautājumiem</w:t>
    </w:r>
  </w:p>
  <w:p w:rsidR="00434F92" w:rsidRPr="002518ED" w:rsidRDefault="00434F92" w:rsidP="00251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285" w:rsidRDefault="00997285" w:rsidP="00B33D6E">
      <w:r>
        <w:separator/>
      </w:r>
    </w:p>
  </w:footnote>
  <w:footnote w:type="continuationSeparator" w:id="0">
    <w:p w:rsidR="00997285" w:rsidRDefault="00997285"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9A3B97"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end"/>
    </w:r>
  </w:p>
  <w:p w:rsidR="00434F92" w:rsidRDefault="00434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9A3B97"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separate"/>
    </w:r>
    <w:r w:rsidR="007038A9">
      <w:rPr>
        <w:rStyle w:val="PageNumber"/>
        <w:noProof/>
      </w:rPr>
      <w:t>7</w:t>
    </w:r>
    <w:r>
      <w:rPr>
        <w:rStyle w:val="PageNumber"/>
      </w:rPr>
      <w:fldChar w:fldCharType="end"/>
    </w:r>
  </w:p>
  <w:p w:rsidR="00434F92" w:rsidRDefault="00434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5848D8"/>
    <w:lvl w:ilvl="0">
      <w:numFmt w:val="bullet"/>
      <w:lvlText w:val="*"/>
      <w:lvlJc w:val="left"/>
    </w:lvl>
  </w:abstractNum>
  <w:abstractNum w:abstractNumId="1">
    <w:nsid w:val="0B915917"/>
    <w:multiLevelType w:val="hybridMultilevel"/>
    <w:tmpl w:val="01706090"/>
    <w:lvl w:ilvl="0" w:tplc="04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461ED"/>
    <w:multiLevelType w:val="hybridMultilevel"/>
    <w:tmpl w:val="6C8493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117CAA"/>
    <w:multiLevelType w:val="hybridMultilevel"/>
    <w:tmpl w:val="62641888"/>
    <w:lvl w:ilvl="0" w:tplc="D06C4EB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5">
    <w:nsid w:val="39AA5C63"/>
    <w:multiLevelType w:val="singleLevel"/>
    <w:tmpl w:val="A9BAF2B8"/>
    <w:name w:val="Dash 1"/>
    <w:lvl w:ilvl="0">
      <w:start w:val="1"/>
      <w:numFmt w:val="bullet"/>
      <w:lvlRestart w:val="0"/>
      <w:pStyle w:val="Dash1"/>
      <w:lvlText w:val="–"/>
      <w:lvlJc w:val="left"/>
      <w:pPr>
        <w:tabs>
          <w:tab w:val="num" w:pos="1134"/>
        </w:tabs>
        <w:ind w:left="1134" w:hanging="567"/>
      </w:pPr>
    </w:lvl>
  </w:abstractNum>
  <w:abstractNum w:abstractNumId="6">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5F8C3B69"/>
    <w:multiLevelType w:val="multilevel"/>
    <w:tmpl w:val="F322F3E8"/>
    <w:lvl w:ilvl="0">
      <w:start w:val="1"/>
      <w:numFmt w:val="decimal"/>
      <w:lvlRestart w:val="0"/>
      <w:pStyle w:val="ListNumber"/>
      <w:lvlText w:val="(%1)"/>
      <w:lvlJc w:val="left"/>
      <w:pPr>
        <w:tabs>
          <w:tab w:val="num" w:pos="709"/>
        </w:tabs>
        <w:ind w:left="709" w:hanging="709"/>
      </w:pPr>
      <w:rPr>
        <w:rFonts w:cs="Times New Roman"/>
        <w:lang w:val="lv-LV"/>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9">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8"/>
  </w:num>
  <w:num w:numId="2">
    <w:abstractNumId w:val="9"/>
  </w:num>
  <w:num w:numId="3">
    <w:abstractNumId w:val="6"/>
  </w:num>
  <w:num w:numId="4">
    <w:abstractNumId w:val="7"/>
  </w:num>
  <w:num w:numId="5">
    <w:abstractNumId w:val="4"/>
  </w:num>
  <w:num w:numId="6">
    <w:abstractNumId w:val="2"/>
  </w:num>
  <w:num w:numId="7">
    <w:abstractNumId w:val="1"/>
  </w:num>
  <w:num w:numId="8">
    <w:abstractNumId w:val="3"/>
  </w:num>
  <w:num w:numId="9">
    <w:abstractNumId w:val="0"/>
    <w:lvlOverride w:ilvl="0">
      <w:lvl w:ilvl="0">
        <w:numFmt w:val="bullet"/>
        <w:lvlText w:val="•"/>
        <w:legacy w:legacy="1" w:legacySpace="0" w:legacyIndent="0"/>
        <w:lvlJc w:val="left"/>
        <w:rPr>
          <w:rFonts w:ascii="Helv" w:hAnsi="Helv" w:hint="default"/>
        </w:rPr>
      </w:lvl>
    </w:lvlOverride>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61D"/>
    <w:rsid w:val="0001095C"/>
    <w:rsid w:val="00015C99"/>
    <w:rsid w:val="00017319"/>
    <w:rsid w:val="000266CD"/>
    <w:rsid w:val="000273B0"/>
    <w:rsid w:val="0002744F"/>
    <w:rsid w:val="00031C2D"/>
    <w:rsid w:val="000332C9"/>
    <w:rsid w:val="00036979"/>
    <w:rsid w:val="000427DD"/>
    <w:rsid w:val="00042856"/>
    <w:rsid w:val="00042D11"/>
    <w:rsid w:val="00047317"/>
    <w:rsid w:val="0004758A"/>
    <w:rsid w:val="00047E20"/>
    <w:rsid w:val="00050119"/>
    <w:rsid w:val="000504F4"/>
    <w:rsid w:val="000510F4"/>
    <w:rsid w:val="00051C9E"/>
    <w:rsid w:val="00054301"/>
    <w:rsid w:val="00055E2B"/>
    <w:rsid w:val="00060996"/>
    <w:rsid w:val="00065994"/>
    <w:rsid w:val="00067A1C"/>
    <w:rsid w:val="000706C8"/>
    <w:rsid w:val="00070D9E"/>
    <w:rsid w:val="0007113A"/>
    <w:rsid w:val="000726F1"/>
    <w:rsid w:val="00073EAC"/>
    <w:rsid w:val="00074145"/>
    <w:rsid w:val="00075617"/>
    <w:rsid w:val="00081184"/>
    <w:rsid w:val="000818D3"/>
    <w:rsid w:val="00081996"/>
    <w:rsid w:val="00085EDD"/>
    <w:rsid w:val="000873DE"/>
    <w:rsid w:val="00087407"/>
    <w:rsid w:val="00087C29"/>
    <w:rsid w:val="00090A52"/>
    <w:rsid w:val="00090E8C"/>
    <w:rsid w:val="0009135C"/>
    <w:rsid w:val="00092024"/>
    <w:rsid w:val="0009327E"/>
    <w:rsid w:val="00093C22"/>
    <w:rsid w:val="00094195"/>
    <w:rsid w:val="00096CCA"/>
    <w:rsid w:val="00097A06"/>
    <w:rsid w:val="000A10E8"/>
    <w:rsid w:val="000A22F9"/>
    <w:rsid w:val="000A3192"/>
    <w:rsid w:val="000A3C01"/>
    <w:rsid w:val="000A3E42"/>
    <w:rsid w:val="000A4FE8"/>
    <w:rsid w:val="000A5F4E"/>
    <w:rsid w:val="000A780C"/>
    <w:rsid w:val="000A7BF3"/>
    <w:rsid w:val="000B180C"/>
    <w:rsid w:val="000B20EA"/>
    <w:rsid w:val="000B3BC8"/>
    <w:rsid w:val="000B3F6C"/>
    <w:rsid w:val="000B4656"/>
    <w:rsid w:val="000B5F34"/>
    <w:rsid w:val="000C0170"/>
    <w:rsid w:val="000C01FB"/>
    <w:rsid w:val="000C04F1"/>
    <w:rsid w:val="000C1E50"/>
    <w:rsid w:val="000C285D"/>
    <w:rsid w:val="000C3E02"/>
    <w:rsid w:val="000D01C5"/>
    <w:rsid w:val="000D020F"/>
    <w:rsid w:val="000D0422"/>
    <w:rsid w:val="000D3927"/>
    <w:rsid w:val="000D395E"/>
    <w:rsid w:val="000D6A64"/>
    <w:rsid w:val="000E0FEF"/>
    <w:rsid w:val="000E4DC5"/>
    <w:rsid w:val="000E5937"/>
    <w:rsid w:val="000E5A52"/>
    <w:rsid w:val="000E6EBB"/>
    <w:rsid w:val="000F14FD"/>
    <w:rsid w:val="000F3651"/>
    <w:rsid w:val="000F64F5"/>
    <w:rsid w:val="001006A1"/>
    <w:rsid w:val="00101493"/>
    <w:rsid w:val="00101944"/>
    <w:rsid w:val="00102DAA"/>
    <w:rsid w:val="001048F4"/>
    <w:rsid w:val="0011119F"/>
    <w:rsid w:val="001123BF"/>
    <w:rsid w:val="001139B4"/>
    <w:rsid w:val="00114A0B"/>
    <w:rsid w:val="00114DFC"/>
    <w:rsid w:val="00120D79"/>
    <w:rsid w:val="00123761"/>
    <w:rsid w:val="0012451B"/>
    <w:rsid w:val="00127E2D"/>
    <w:rsid w:val="0013059C"/>
    <w:rsid w:val="00130ABE"/>
    <w:rsid w:val="0013218D"/>
    <w:rsid w:val="00132C7F"/>
    <w:rsid w:val="00133DB5"/>
    <w:rsid w:val="00137032"/>
    <w:rsid w:val="00140A01"/>
    <w:rsid w:val="00141806"/>
    <w:rsid w:val="001429A0"/>
    <w:rsid w:val="001431D8"/>
    <w:rsid w:val="0014663A"/>
    <w:rsid w:val="00146739"/>
    <w:rsid w:val="00150A82"/>
    <w:rsid w:val="00151A7C"/>
    <w:rsid w:val="00153A94"/>
    <w:rsid w:val="00153C5A"/>
    <w:rsid w:val="00155B5D"/>
    <w:rsid w:val="00155E80"/>
    <w:rsid w:val="00157068"/>
    <w:rsid w:val="00160974"/>
    <w:rsid w:val="00162182"/>
    <w:rsid w:val="00164668"/>
    <w:rsid w:val="001650C6"/>
    <w:rsid w:val="00165F76"/>
    <w:rsid w:val="00170123"/>
    <w:rsid w:val="00171310"/>
    <w:rsid w:val="00172545"/>
    <w:rsid w:val="001729C9"/>
    <w:rsid w:val="00173482"/>
    <w:rsid w:val="00173B59"/>
    <w:rsid w:val="001758EC"/>
    <w:rsid w:val="00175CED"/>
    <w:rsid w:val="00176031"/>
    <w:rsid w:val="00176254"/>
    <w:rsid w:val="00176275"/>
    <w:rsid w:val="00177158"/>
    <w:rsid w:val="00181532"/>
    <w:rsid w:val="001822D6"/>
    <w:rsid w:val="00182581"/>
    <w:rsid w:val="00182A1A"/>
    <w:rsid w:val="00184359"/>
    <w:rsid w:val="00184ABA"/>
    <w:rsid w:val="001863BB"/>
    <w:rsid w:val="00186AF1"/>
    <w:rsid w:val="00187D17"/>
    <w:rsid w:val="00187D2F"/>
    <w:rsid w:val="001902EC"/>
    <w:rsid w:val="001934E9"/>
    <w:rsid w:val="00194848"/>
    <w:rsid w:val="001956B1"/>
    <w:rsid w:val="00195836"/>
    <w:rsid w:val="00195C50"/>
    <w:rsid w:val="001A194D"/>
    <w:rsid w:val="001A2BD3"/>
    <w:rsid w:val="001A6BFD"/>
    <w:rsid w:val="001A7625"/>
    <w:rsid w:val="001B0BA0"/>
    <w:rsid w:val="001B1886"/>
    <w:rsid w:val="001B2F5D"/>
    <w:rsid w:val="001B3B48"/>
    <w:rsid w:val="001B51D8"/>
    <w:rsid w:val="001C1013"/>
    <w:rsid w:val="001C1279"/>
    <w:rsid w:val="001C2436"/>
    <w:rsid w:val="001C32EB"/>
    <w:rsid w:val="001C4DD8"/>
    <w:rsid w:val="001C4F11"/>
    <w:rsid w:val="001C5D47"/>
    <w:rsid w:val="001C68CC"/>
    <w:rsid w:val="001D1376"/>
    <w:rsid w:val="001D233C"/>
    <w:rsid w:val="001D2CE2"/>
    <w:rsid w:val="001D6CEC"/>
    <w:rsid w:val="001D7B2B"/>
    <w:rsid w:val="001E00F9"/>
    <w:rsid w:val="001E04E4"/>
    <w:rsid w:val="001E123C"/>
    <w:rsid w:val="001E1F9A"/>
    <w:rsid w:val="001E2415"/>
    <w:rsid w:val="001E2CAE"/>
    <w:rsid w:val="001E55F1"/>
    <w:rsid w:val="001E5B21"/>
    <w:rsid w:val="001E5C65"/>
    <w:rsid w:val="001E60B3"/>
    <w:rsid w:val="001E68A3"/>
    <w:rsid w:val="001F03A9"/>
    <w:rsid w:val="001F069B"/>
    <w:rsid w:val="001F06AC"/>
    <w:rsid w:val="001F3AD5"/>
    <w:rsid w:val="001F46D8"/>
    <w:rsid w:val="001F6C43"/>
    <w:rsid w:val="001F7950"/>
    <w:rsid w:val="00200C1D"/>
    <w:rsid w:val="00201D32"/>
    <w:rsid w:val="00202DD0"/>
    <w:rsid w:val="00202FD5"/>
    <w:rsid w:val="002042CB"/>
    <w:rsid w:val="002043CC"/>
    <w:rsid w:val="00205152"/>
    <w:rsid w:val="002075E1"/>
    <w:rsid w:val="002077B3"/>
    <w:rsid w:val="00207C31"/>
    <w:rsid w:val="00207E36"/>
    <w:rsid w:val="00211960"/>
    <w:rsid w:val="00213BB3"/>
    <w:rsid w:val="002151F7"/>
    <w:rsid w:val="00217C60"/>
    <w:rsid w:val="00217D0A"/>
    <w:rsid w:val="002202C1"/>
    <w:rsid w:val="002209FA"/>
    <w:rsid w:val="00222BC6"/>
    <w:rsid w:val="00227701"/>
    <w:rsid w:val="00234EAC"/>
    <w:rsid w:val="00234F92"/>
    <w:rsid w:val="00236230"/>
    <w:rsid w:val="00236E50"/>
    <w:rsid w:val="00241004"/>
    <w:rsid w:val="002437BB"/>
    <w:rsid w:val="0024570F"/>
    <w:rsid w:val="00247CF4"/>
    <w:rsid w:val="00250CB0"/>
    <w:rsid w:val="00251121"/>
    <w:rsid w:val="002518ED"/>
    <w:rsid w:val="00252B24"/>
    <w:rsid w:val="002532FA"/>
    <w:rsid w:val="00253EB1"/>
    <w:rsid w:val="00254128"/>
    <w:rsid w:val="0025421E"/>
    <w:rsid w:val="0025665F"/>
    <w:rsid w:val="00256D10"/>
    <w:rsid w:val="002610B3"/>
    <w:rsid w:val="0026144A"/>
    <w:rsid w:val="002618E3"/>
    <w:rsid w:val="00263035"/>
    <w:rsid w:val="002633FE"/>
    <w:rsid w:val="002637FE"/>
    <w:rsid w:val="002645BC"/>
    <w:rsid w:val="002646D1"/>
    <w:rsid w:val="002655C0"/>
    <w:rsid w:val="00265618"/>
    <w:rsid w:val="002725E1"/>
    <w:rsid w:val="00272827"/>
    <w:rsid w:val="0027508B"/>
    <w:rsid w:val="00275457"/>
    <w:rsid w:val="00275765"/>
    <w:rsid w:val="00275833"/>
    <w:rsid w:val="00276D68"/>
    <w:rsid w:val="00280FBA"/>
    <w:rsid w:val="00282776"/>
    <w:rsid w:val="002828E6"/>
    <w:rsid w:val="00283022"/>
    <w:rsid w:val="00283EBC"/>
    <w:rsid w:val="00284C91"/>
    <w:rsid w:val="002856C8"/>
    <w:rsid w:val="00285E43"/>
    <w:rsid w:val="002864FD"/>
    <w:rsid w:val="00294A1F"/>
    <w:rsid w:val="00294E1C"/>
    <w:rsid w:val="00295A51"/>
    <w:rsid w:val="002A03B7"/>
    <w:rsid w:val="002A166F"/>
    <w:rsid w:val="002A4535"/>
    <w:rsid w:val="002A6FA7"/>
    <w:rsid w:val="002B123E"/>
    <w:rsid w:val="002B25AD"/>
    <w:rsid w:val="002B30DB"/>
    <w:rsid w:val="002B59FC"/>
    <w:rsid w:val="002B6466"/>
    <w:rsid w:val="002B7538"/>
    <w:rsid w:val="002B7D16"/>
    <w:rsid w:val="002C0419"/>
    <w:rsid w:val="002C14E2"/>
    <w:rsid w:val="002C1E34"/>
    <w:rsid w:val="002C3C49"/>
    <w:rsid w:val="002C4A6C"/>
    <w:rsid w:val="002C4AC4"/>
    <w:rsid w:val="002C58C2"/>
    <w:rsid w:val="002D10BD"/>
    <w:rsid w:val="002D1765"/>
    <w:rsid w:val="002D2CA4"/>
    <w:rsid w:val="002D4A0F"/>
    <w:rsid w:val="002E0095"/>
    <w:rsid w:val="002E04CA"/>
    <w:rsid w:val="002E2FBF"/>
    <w:rsid w:val="002E3403"/>
    <w:rsid w:val="002E3C1F"/>
    <w:rsid w:val="002E3CE5"/>
    <w:rsid w:val="002E4FE4"/>
    <w:rsid w:val="002E5156"/>
    <w:rsid w:val="002E6DDE"/>
    <w:rsid w:val="002E6FA3"/>
    <w:rsid w:val="002F2E02"/>
    <w:rsid w:val="002F5A3F"/>
    <w:rsid w:val="002F5DB6"/>
    <w:rsid w:val="00302347"/>
    <w:rsid w:val="003028A7"/>
    <w:rsid w:val="00303D2E"/>
    <w:rsid w:val="003047AA"/>
    <w:rsid w:val="00304896"/>
    <w:rsid w:val="00305EA5"/>
    <w:rsid w:val="00306CE2"/>
    <w:rsid w:val="00307CF9"/>
    <w:rsid w:val="0031237A"/>
    <w:rsid w:val="00312468"/>
    <w:rsid w:val="00314A33"/>
    <w:rsid w:val="00315290"/>
    <w:rsid w:val="0031681E"/>
    <w:rsid w:val="00317F3D"/>
    <w:rsid w:val="00324067"/>
    <w:rsid w:val="00326950"/>
    <w:rsid w:val="003323DF"/>
    <w:rsid w:val="00332B57"/>
    <w:rsid w:val="00335591"/>
    <w:rsid w:val="0033617C"/>
    <w:rsid w:val="0033748D"/>
    <w:rsid w:val="003406DD"/>
    <w:rsid w:val="00340755"/>
    <w:rsid w:val="00340CB0"/>
    <w:rsid w:val="00340E4D"/>
    <w:rsid w:val="00340EC2"/>
    <w:rsid w:val="0034199A"/>
    <w:rsid w:val="0034341F"/>
    <w:rsid w:val="00343812"/>
    <w:rsid w:val="00343C17"/>
    <w:rsid w:val="003444AB"/>
    <w:rsid w:val="00346350"/>
    <w:rsid w:val="003514F2"/>
    <w:rsid w:val="003516B4"/>
    <w:rsid w:val="0035262E"/>
    <w:rsid w:val="0035370B"/>
    <w:rsid w:val="00354543"/>
    <w:rsid w:val="00357A82"/>
    <w:rsid w:val="00360C5D"/>
    <w:rsid w:val="00360D89"/>
    <w:rsid w:val="00361417"/>
    <w:rsid w:val="003617CC"/>
    <w:rsid w:val="003621A1"/>
    <w:rsid w:val="00363266"/>
    <w:rsid w:val="00363844"/>
    <w:rsid w:val="00371797"/>
    <w:rsid w:val="003723A3"/>
    <w:rsid w:val="00375454"/>
    <w:rsid w:val="0037709C"/>
    <w:rsid w:val="0037728B"/>
    <w:rsid w:val="0037753A"/>
    <w:rsid w:val="00381E46"/>
    <w:rsid w:val="003829A7"/>
    <w:rsid w:val="003841D9"/>
    <w:rsid w:val="00387402"/>
    <w:rsid w:val="003907AC"/>
    <w:rsid w:val="00390F53"/>
    <w:rsid w:val="0039125E"/>
    <w:rsid w:val="0039173B"/>
    <w:rsid w:val="003941F9"/>
    <w:rsid w:val="00394BD0"/>
    <w:rsid w:val="00396C06"/>
    <w:rsid w:val="00397D7A"/>
    <w:rsid w:val="00397E9E"/>
    <w:rsid w:val="003A4412"/>
    <w:rsid w:val="003A46A7"/>
    <w:rsid w:val="003A6CDE"/>
    <w:rsid w:val="003A70F3"/>
    <w:rsid w:val="003B42F6"/>
    <w:rsid w:val="003B54A8"/>
    <w:rsid w:val="003B5F94"/>
    <w:rsid w:val="003B6169"/>
    <w:rsid w:val="003B78BF"/>
    <w:rsid w:val="003C056D"/>
    <w:rsid w:val="003C0742"/>
    <w:rsid w:val="003C3E34"/>
    <w:rsid w:val="003C4C02"/>
    <w:rsid w:val="003C5B28"/>
    <w:rsid w:val="003C6AA3"/>
    <w:rsid w:val="003C7BC9"/>
    <w:rsid w:val="003D2E22"/>
    <w:rsid w:val="003D3D7D"/>
    <w:rsid w:val="003D42A9"/>
    <w:rsid w:val="003D528B"/>
    <w:rsid w:val="003D5541"/>
    <w:rsid w:val="003D6CD7"/>
    <w:rsid w:val="003D6FA5"/>
    <w:rsid w:val="003E1C16"/>
    <w:rsid w:val="003E221B"/>
    <w:rsid w:val="003E31E6"/>
    <w:rsid w:val="003E542E"/>
    <w:rsid w:val="003E79E3"/>
    <w:rsid w:val="003F09AD"/>
    <w:rsid w:val="003F11AF"/>
    <w:rsid w:val="003F1748"/>
    <w:rsid w:val="003F239F"/>
    <w:rsid w:val="003F3589"/>
    <w:rsid w:val="003F50FB"/>
    <w:rsid w:val="003F59DF"/>
    <w:rsid w:val="003F5D7D"/>
    <w:rsid w:val="004018AB"/>
    <w:rsid w:val="00401E9C"/>
    <w:rsid w:val="00402C2C"/>
    <w:rsid w:val="00406C31"/>
    <w:rsid w:val="00413B9A"/>
    <w:rsid w:val="00413BE2"/>
    <w:rsid w:val="004144EB"/>
    <w:rsid w:val="00414E5A"/>
    <w:rsid w:val="004178CD"/>
    <w:rsid w:val="004179C0"/>
    <w:rsid w:val="00420D68"/>
    <w:rsid w:val="00421D4B"/>
    <w:rsid w:val="0042559C"/>
    <w:rsid w:val="00425F32"/>
    <w:rsid w:val="00426702"/>
    <w:rsid w:val="00426709"/>
    <w:rsid w:val="004321B6"/>
    <w:rsid w:val="0043257F"/>
    <w:rsid w:val="00433D4B"/>
    <w:rsid w:val="00433FB0"/>
    <w:rsid w:val="00434F92"/>
    <w:rsid w:val="004379C4"/>
    <w:rsid w:val="00440D69"/>
    <w:rsid w:val="0044451E"/>
    <w:rsid w:val="0044456C"/>
    <w:rsid w:val="00445EB9"/>
    <w:rsid w:val="004463AB"/>
    <w:rsid w:val="00446491"/>
    <w:rsid w:val="004468E6"/>
    <w:rsid w:val="00447541"/>
    <w:rsid w:val="004477A4"/>
    <w:rsid w:val="00447FDE"/>
    <w:rsid w:val="004516F4"/>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6A5"/>
    <w:rsid w:val="00486E4A"/>
    <w:rsid w:val="004871E1"/>
    <w:rsid w:val="004914E4"/>
    <w:rsid w:val="004963F0"/>
    <w:rsid w:val="0049745D"/>
    <w:rsid w:val="00497611"/>
    <w:rsid w:val="004A0A84"/>
    <w:rsid w:val="004A1AB1"/>
    <w:rsid w:val="004A20AC"/>
    <w:rsid w:val="004A4445"/>
    <w:rsid w:val="004A58DC"/>
    <w:rsid w:val="004A5A28"/>
    <w:rsid w:val="004A6C60"/>
    <w:rsid w:val="004A7A45"/>
    <w:rsid w:val="004B090C"/>
    <w:rsid w:val="004B17DC"/>
    <w:rsid w:val="004B184A"/>
    <w:rsid w:val="004B1E32"/>
    <w:rsid w:val="004B4965"/>
    <w:rsid w:val="004B6B5C"/>
    <w:rsid w:val="004C2848"/>
    <w:rsid w:val="004C30E6"/>
    <w:rsid w:val="004C43C1"/>
    <w:rsid w:val="004C51D5"/>
    <w:rsid w:val="004C51EF"/>
    <w:rsid w:val="004C54DE"/>
    <w:rsid w:val="004C5A4F"/>
    <w:rsid w:val="004C699A"/>
    <w:rsid w:val="004C775B"/>
    <w:rsid w:val="004C7DC1"/>
    <w:rsid w:val="004D00D0"/>
    <w:rsid w:val="004D0452"/>
    <w:rsid w:val="004D190F"/>
    <w:rsid w:val="004D1CC4"/>
    <w:rsid w:val="004D493F"/>
    <w:rsid w:val="004D4F76"/>
    <w:rsid w:val="004D6B87"/>
    <w:rsid w:val="004D7828"/>
    <w:rsid w:val="004E20EF"/>
    <w:rsid w:val="004E410C"/>
    <w:rsid w:val="004E7C52"/>
    <w:rsid w:val="004F2A24"/>
    <w:rsid w:val="004F52C0"/>
    <w:rsid w:val="004F55CF"/>
    <w:rsid w:val="004F5E20"/>
    <w:rsid w:val="004F7F4D"/>
    <w:rsid w:val="00502F76"/>
    <w:rsid w:val="00503CEF"/>
    <w:rsid w:val="00503E1D"/>
    <w:rsid w:val="005046B2"/>
    <w:rsid w:val="005048CF"/>
    <w:rsid w:val="00504D89"/>
    <w:rsid w:val="00510A93"/>
    <w:rsid w:val="00517365"/>
    <w:rsid w:val="00520AF6"/>
    <w:rsid w:val="00522358"/>
    <w:rsid w:val="00522FB4"/>
    <w:rsid w:val="00524F8D"/>
    <w:rsid w:val="00531897"/>
    <w:rsid w:val="00531DCC"/>
    <w:rsid w:val="005338EA"/>
    <w:rsid w:val="00534748"/>
    <w:rsid w:val="00541A27"/>
    <w:rsid w:val="00541D60"/>
    <w:rsid w:val="00544F06"/>
    <w:rsid w:val="00546A03"/>
    <w:rsid w:val="00547CC2"/>
    <w:rsid w:val="00547FF3"/>
    <w:rsid w:val="00550271"/>
    <w:rsid w:val="0055035F"/>
    <w:rsid w:val="00550BF3"/>
    <w:rsid w:val="00551D84"/>
    <w:rsid w:val="00553789"/>
    <w:rsid w:val="00561200"/>
    <w:rsid w:val="00561916"/>
    <w:rsid w:val="0056681F"/>
    <w:rsid w:val="005727D0"/>
    <w:rsid w:val="00572E9F"/>
    <w:rsid w:val="0057376C"/>
    <w:rsid w:val="00574230"/>
    <w:rsid w:val="005758D5"/>
    <w:rsid w:val="00575F36"/>
    <w:rsid w:val="00581709"/>
    <w:rsid w:val="00581DDD"/>
    <w:rsid w:val="0058201E"/>
    <w:rsid w:val="00582F9A"/>
    <w:rsid w:val="00583513"/>
    <w:rsid w:val="00585EBE"/>
    <w:rsid w:val="00586CCA"/>
    <w:rsid w:val="0058713E"/>
    <w:rsid w:val="00593E63"/>
    <w:rsid w:val="00594AE0"/>
    <w:rsid w:val="00596B24"/>
    <w:rsid w:val="005A7CDE"/>
    <w:rsid w:val="005B00D1"/>
    <w:rsid w:val="005B0205"/>
    <w:rsid w:val="005B06A0"/>
    <w:rsid w:val="005B0C0E"/>
    <w:rsid w:val="005B1F6C"/>
    <w:rsid w:val="005B2244"/>
    <w:rsid w:val="005B2A1E"/>
    <w:rsid w:val="005B41BA"/>
    <w:rsid w:val="005B41D7"/>
    <w:rsid w:val="005B72D1"/>
    <w:rsid w:val="005B7B13"/>
    <w:rsid w:val="005C105D"/>
    <w:rsid w:val="005C2394"/>
    <w:rsid w:val="005C3025"/>
    <w:rsid w:val="005C4320"/>
    <w:rsid w:val="005C5636"/>
    <w:rsid w:val="005C716F"/>
    <w:rsid w:val="005D0173"/>
    <w:rsid w:val="005D2799"/>
    <w:rsid w:val="005D5538"/>
    <w:rsid w:val="005E0FBA"/>
    <w:rsid w:val="005E4881"/>
    <w:rsid w:val="005E48A7"/>
    <w:rsid w:val="005E4AC6"/>
    <w:rsid w:val="005E55E7"/>
    <w:rsid w:val="005E616E"/>
    <w:rsid w:val="005E7E2D"/>
    <w:rsid w:val="005F2340"/>
    <w:rsid w:val="005F255C"/>
    <w:rsid w:val="005F39D7"/>
    <w:rsid w:val="005F44F2"/>
    <w:rsid w:val="005F49D8"/>
    <w:rsid w:val="005F4B5C"/>
    <w:rsid w:val="005F651A"/>
    <w:rsid w:val="005F663C"/>
    <w:rsid w:val="0060227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2476E"/>
    <w:rsid w:val="006250BE"/>
    <w:rsid w:val="00626D95"/>
    <w:rsid w:val="00627971"/>
    <w:rsid w:val="00627C3E"/>
    <w:rsid w:val="0063110B"/>
    <w:rsid w:val="00631610"/>
    <w:rsid w:val="00632FC1"/>
    <w:rsid w:val="006355A1"/>
    <w:rsid w:val="006359A3"/>
    <w:rsid w:val="00641A28"/>
    <w:rsid w:val="00645E75"/>
    <w:rsid w:val="00650B6B"/>
    <w:rsid w:val="00651E7F"/>
    <w:rsid w:val="00653CFF"/>
    <w:rsid w:val="00656227"/>
    <w:rsid w:val="00656873"/>
    <w:rsid w:val="006608B4"/>
    <w:rsid w:val="0066443C"/>
    <w:rsid w:val="006664C4"/>
    <w:rsid w:val="00670E0B"/>
    <w:rsid w:val="00671F1E"/>
    <w:rsid w:val="00672524"/>
    <w:rsid w:val="00672594"/>
    <w:rsid w:val="006731E3"/>
    <w:rsid w:val="00673F8F"/>
    <w:rsid w:val="00676219"/>
    <w:rsid w:val="006766F7"/>
    <w:rsid w:val="00677D1F"/>
    <w:rsid w:val="006800EF"/>
    <w:rsid w:val="00680FB7"/>
    <w:rsid w:val="00683DED"/>
    <w:rsid w:val="00685610"/>
    <w:rsid w:val="006862D0"/>
    <w:rsid w:val="006864F7"/>
    <w:rsid w:val="006905CE"/>
    <w:rsid w:val="00691A88"/>
    <w:rsid w:val="00693DD6"/>
    <w:rsid w:val="006A02E2"/>
    <w:rsid w:val="006A032F"/>
    <w:rsid w:val="006A0621"/>
    <w:rsid w:val="006A2A13"/>
    <w:rsid w:val="006A4CC3"/>
    <w:rsid w:val="006A523B"/>
    <w:rsid w:val="006A5739"/>
    <w:rsid w:val="006A6A12"/>
    <w:rsid w:val="006A6DE1"/>
    <w:rsid w:val="006A6ECE"/>
    <w:rsid w:val="006B24DF"/>
    <w:rsid w:val="006B27A3"/>
    <w:rsid w:val="006B3654"/>
    <w:rsid w:val="006B3C20"/>
    <w:rsid w:val="006B5CAF"/>
    <w:rsid w:val="006C02A8"/>
    <w:rsid w:val="006C0472"/>
    <w:rsid w:val="006C199A"/>
    <w:rsid w:val="006C32CB"/>
    <w:rsid w:val="006C3553"/>
    <w:rsid w:val="006C40EE"/>
    <w:rsid w:val="006C5086"/>
    <w:rsid w:val="006C652D"/>
    <w:rsid w:val="006D1F2D"/>
    <w:rsid w:val="006D23AD"/>
    <w:rsid w:val="006D3D99"/>
    <w:rsid w:val="006D49AD"/>
    <w:rsid w:val="006E0FE0"/>
    <w:rsid w:val="006E1A71"/>
    <w:rsid w:val="006E7B74"/>
    <w:rsid w:val="006F0971"/>
    <w:rsid w:val="006F3894"/>
    <w:rsid w:val="006F4015"/>
    <w:rsid w:val="006F49EC"/>
    <w:rsid w:val="00700A33"/>
    <w:rsid w:val="00700E5D"/>
    <w:rsid w:val="00702C94"/>
    <w:rsid w:val="007038A9"/>
    <w:rsid w:val="00704E7D"/>
    <w:rsid w:val="0070614C"/>
    <w:rsid w:val="00711133"/>
    <w:rsid w:val="007114A0"/>
    <w:rsid w:val="00713ADF"/>
    <w:rsid w:val="0071442C"/>
    <w:rsid w:val="00715245"/>
    <w:rsid w:val="00715AFC"/>
    <w:rsid w:val="007166A3"/>
    <w:rsid w:val="0071723E"/>
    <w:rsid w:val="00720C91"/>
    <w:rsid w:val="007230AF"/>
    <w:rsid w:val="00724F63"/>
    <w:rsid w:val="007257C9"/>
    <w:rsid w:val="007260D9"/>
    <w:rsid w:val="0072611F"/>
    <w:rsid w:val="00726683"/>
    <w:rsid w:val="00730C13"/>
    <w:rsid w:val="00735869"/>
    <w:rsid w:val="0073635F"/>
    <w:rsid w:val="0073700A"/>
    <w:rsid w:val="00742393"/>
    <w:rsid w:val="007443B0"/>
    <w:rsid w:val="00746633"/>
    <w:rsid w:val="007467E4"/>
    <w:rsid w:val="007473E8"/>
    <w:rsid w:val="007501DD"/>
    <w:rsid w:val="00750BBA"/>
    <w:rsid w:val="007526D6"/>
    <w:rsid w:val="0075364C"/>
    <w:rsid w:val="00755B83"/>
    <w:rsid w:val="00760C8C"/>
    <w:rsid w:val="00761D4A"/>
    <w:rsid w:val="00761DB4"/>
    <w:rsid w:val="00763CF3"/>
    <w:rsid w:val="007650C7"/>
    <w:rsid w:val="00765409"/>
    <w:rsid w:val="007702B7"/>
    <w:rsid w:val="007714AA"/>
    <w:rsid w:val="00772A4E"/>
    <w:rsid w:val="0077411F"/>
    <w:rsid w:val="00775832"/>
    <w:rsid w:val="0077650E"/>
    <w:rsid w:val="0077685C"/>
    <w:rsid w:val="007776BB"/>
    <w:rsid w:val="00777C11"/>
    <w:rsid w:val="00784E07"/>
    <w:rsid w:val="00786451"/>
    <w:rsid w:val="0079015F"/>
    <w:rsid w:val="00790938"/>
    <w:rsid w:val="0079165E"/>
    <w:rsid w:val="00794B21"/>
    <w:rsid w:val="007956E4"/>
    <w:rsid w:val="0079736A"/>
    <w:rsid w:val="007A0A19"/>
    <w:rsid w:val="007A3079"/>
    <w:rsid w:val="007A34D8"/>
    <w:rsid w:val="007A418A"/>
    <w:rsid w:val="007A4E8A"/>
    <w:rsid w:val="007A51A7"/>
    <w:rsid w:val="007A54EE"/>
    <w:rsid w:val="007A7E41"/>
    <w:rsid w:val="007B18F7"/>
    <w:rsid w:val="007B2FCB"/>
    <w:rsid w:val="007C0CD3"/>
    <w:rsid w:val="007C154C"/>
    <w:rsid w:val="007C4876"/>
    <w:rsid w:val="007D2944"/>
    <w:rsid w:val="007D3E46"/>
    <w:rsid w:val="007D4E0F"/>
    <w:rsid w:val="007D5B51"/>
    <w:rsid w:val="007D5CD7"/>
    <w:rsid w:val="007D64AD"/>
    <w:rsid w:val="007D6FCA"/>
    <w:rsid w:val="007E1B9E"/>
    <w:rsid w:val="007E25B1"/>
    <w:rsid w:val="007E3233"/>
    <w:rsid w:val="007E3320"/>
    <w:rsid w:val="007E52C9"/>
    <w:rsid w:val="007E5C4A"/>
    <w:rsid w:val="007E5F7D"/>
    <w:rsid w:val="007E7109"/>
    <w:rsid w:val="007E78EB"/>
    <w:rsid w:val="007F0E6D"/>
    <w:rsid w:val="007F1D62"/>
    <w:rsid w:val="007F32C2"/>
    <w:rsid w:val="007F33F9"/>
    <w:rsid w:val="00803188"/>
    <w:rsid w:val="0080320C"/>
    <w:rsid w:val="00804544"/>
    <w:rsid w:val="008059E7"/>
    <w:rsid w:val="008064B6"/>
    <w:rsid w:val="00806F05"/>
    <w:rsid w:val="00811B5F"/>
    <w:rsid w:val="00811F5D"/>
    <w:rsid w:val="0081213E"/>
    <w:rsid w:val="00812275"/>
    <w:rsid w:val="00812DC5"/>
    <w:rsid w:val="00813B71"/>
    <w:rsid w:val="008142A1"/>
    <w:rsid w:val="00815BC2"/>
    <w:rsid w:val="0081727E"/>
    <w:rsid w:val="00820166"/>
    <w:rsid w:val="00822974"/>
    <w:rsid w:val="0082610C"/>
    <w:rsid w:val="008265CB"/>
    <w:rsid w:val="00830634"/>
    <w:rsid w:val="008324CF"/>
    <w:rsid w:val="008328AC"/>
    <w:rsid w:val="00835F7F"/>
    <w:rsid w:val="008363B6"/>
    <w:rsid w:val="00837760"/>
    <w:rsid w:val="008403A2"/>
    <w:rsid w:val="0084186D"/>
    <w:rsid w:val="008465D7"/>
    <w:rsid w:val="0085077C"/>
    <w:rsid w:val="00850A42"/>
    <w:rsid w:val="00851158"/>
    <w:rsid w:val="00851FCE"/>
    <w:rsid w:val="00854232"/>
    <w:rsid w:val="008552E6"/>
    <w:rsid w:val="00855681"/>
    <w:rsid w:val="00857C5D"/>
    <w:rsid w:val="008661A6"/>
    <w:rsid w:val="0087094F"/>
    <w:rsid w:val="00870F52"/>
    <w:rsid w:val="00871585"/>
    <w:rsid w:val="008717B7"/>
    <w:rsid w:val="008727DD"/>
    <w:rsid w:val="00875270"/>
    <w:rsid w:val="00875AC0"/>
    <w:rsid w:val="00881111"/>
    <w:rsid w:val="00886E06"/>
    <w:rsid w:val="008919FA"/>
    <w:rsid w:val="0089292D"/>
    <w:rsid w:val="00894A7F"/>
    <w:rsid w:val="00894DB2"/>
    <w:rsid w:val="00894EBC"/>
    <w:rsid w:val="008A27AF"/>
    <w:rsid w:val="008A4C99"/>
    <w:rsid w:val="008A5561"/>
    <w:rsid w:val="008A6530"/>
    <w:rsid w:val="008A6E64"/>
    <w:rsid w:val="008B05D8"/>
    <w:rsid w:val="008B1154"/>
    <w:rsid w:val="008B4318"/>
    <w:rsid w:val="008B56B4"/>
    <w:rsid w:val="008B5A3B"/>
    <w:rsid w:val="008B6C2D"/>
    <w:rsid w:val="008B78C3"/>
    <w:rsid w:val="008C062E"/>
    <w:rsid w:val="008C0ED6"/>
    <w:rsid w:val="008C1601"/>
    <w:rsid w:val="008C2A49"/>
    <w:rsid w:val="008C2CD7"/>
    <w:rsid w:val="008C5A9B"/>
    <w:rsid w:val="008C7D9F"/>
    <w:rsid w:val="008D0166"/>
    <w:rsid w:val="008D35D8"/>
    <w:rsid w:val="008D42C0"/>
    <w:rsid w:val="008D47C4"/>
    <w:rsid w:val="008D5546"/>
    <w:rsid w:val="008D6137"/>
    <w:rsid w:val="008D6448"/>
    <w:rsid w:val="008E5CFE"/>
    <w:rsid w:val="008E6EAD"/>
    <w:rsid w:val="008E718E"/>
    <w:rsid w:val="008E786D"/>
    <w:rsid w:val="008E7B70"/>
    <w:rsid w:val="008F3565"/>
    <w:rsid w:val="008F3A29"/>
    <w:rsid w:val="008F404F"/>
    <w:rsid w:val="00902549"/>
    <w:rsid w:val="0090271B"/>
    <w:rsid w:val="00904A84"/>
    <w:rsid w:val="00904EA0"/>
    <w:rsid w:val="00906071"/>
    <w:rsid w:val="00906777"/>
    <w:rsid w:val="00907C17"/>
    <w:rsid w:val="00907C34"/>
    <w:rsid w:val="0091052D"/>
    <w:rsid w:val="00910762"/>
    <w:rsid w:val="00910E9A"/>
    <w:rsid w:val="009115BC"/>
    <w:rsid w:val="00914D27"/>
    <w:rsid w:val="009150BC"/>
    <w:rsid w:val="009170D0"/>
    <w:rsid w:val="0091791F"/>
    <w:rsid w:val="00920120"/>
    <w:rsid w:val="0092019E"/>
    <w:rsid w:val="00920985"/>
    <w:rsid w:val="00920FBD"/>
    <w:rsid w:val="00922EC3"/>
    <w:rsid w:val="00924D6E"/>
    <w:rsid w:val="00925482"/>
    <w:rsid w:val="00933BBA"/>
    <w:rsid w:val="00937246"/>
    <w:rsid w:val="00937626"/>
    <w:rsid w:val="00940181"/>
    <w:rsid w:val="00942319"/>
    <w:rsid w:val="00944846"/>
    <w:rsid w:val="00946B2F"/>
    <w:rsid w:val="00953793"/>
    <w:rsid w:val="00955F9D"/>
    <w:rsid w:val="00956926"/>
    <w:rsid w:val="00956B20"/>
    <w:rsid w:val="00957712"/>
    <w:rsid w:val="009608B8"/>
    <w:rsid w:val="0096144C"/>
    <w:rsid w:val="00963353"/>
    <w:rsid w:val="009638B9"/>
    <w:rsid w:val="00964623"/>
    <w:rsid w:val="0096576D"/>
    <w:rsid w:val="009664A5"/>
    <w:rsid w:val="00967227"/>
    <w:rsid w:val="00973973"/>
    <w:rsid w:val="009748C3"/>
    <w:rsid w:val="0097551F"/>
    <w:rsid w:val="00976388"/>
    <w:rsid w:val="0097669E"/>
    <w:rsid w:val="009775D4"/>
    <w:rsid w:val="0098077C"/>
    <w:rsid w:val="00981655"/>
    <w:rsid w:val="00986B20"/>
    <w:rsid w:val="00987EDF"/>
    <w:rsid w:val="00990A91"/>
    <w:rsid w:val="00994361"/>
    <w:rsid w:val="00994AA4"/>
    <w:rsid w:val="00997285"/>
    <w:rsid w:val="009A063D"/>
    <w:rsid w:val="009A14F3"/>
    <w:rsid w:val="009A1F6D"/>
    <w:rsid w:val="009A2A29"/>
    <w:rsid w:val="009A3B97"/>
    <w:rsid w:val="009A3FCD"/>
    <w:rsid w:val="009A54FF"/>
    <w:rsid w:val="009A76E2"/>
    <w:rsid w:val="009B14DB"/>
    <w:rsid w:val="009B3E71"/>
    <w:rsid w:val="009C3465"/>
    <w:rsid w:val="009C3752"/>
    <w:rsid w:val="009C468C"/>
    <w:rsid w:val="009C65FC"/>
    <w:rsid w:val="009D0026"/>
    <w:rsid w:val="009D0FFC"/>
    <w:rsid w:val="009D1CCD"/>
    <w:rsid w:val="009D4B34"/>
    <w:rsid w:val="009D4E3A"/>
    <w:rsid w:val="009D5357"/>
    <w:rsid w:val="009D5C37"/>
    <w:rsid w:val="009D691F"/>
    <w:rsid w:val="009D6C5E"/>
    <w:rsid w:val="009D6EA5"/>
    <w:rsid w:val="009D7ABF"/>
    <w:rsid w:val="009E068C"/>
    <w:rsid w:val="009E0EDF"/>
    <w:rsid w:val="009E2659"/>
    <w:rsid w:val="009E33D2"/>
    <w:rsid w:val="009E37BD"/>
    <w:rsid w:val="009E3FF8"/>
    <w:rsid w:val="009E543C"/>
    <w:rsid w:val="009E5F56"/>
    <w:rsid w:val="009F0105"/>
    <w:rsid w:val="009F0C94"/>
    <w:rsid w:val="009F0DB9"/>
    <w:rsid w:val="009F19A5"/>
    <w:rsid w:val="009F1F00"/>
    <w:rsid w:val="009F5C4E"/>
    <w:rsid w:val="009F7275"/>
    <w:rsid w:val="00A0049F"/>
    <w:rsid w:val="00A02580"/>
    <w:rsid w:val="00A02A10"/>
    <w:rsid w:val="00A046A5"/>
    <w:rsid w:val="00A06563"/>
    <w:rsid w:val="00A06C96"/>
    <w:rsid w:val="00A102FD"/>
    <w:rsid w:val="00A12A14"/>
    <w:rsid w:val="00A12A6C"/>
    <w:rsid w:val="00A15257"/>
    <w:rsid w:val="00A15387"/>
    <w:rsid w:val="00A16CFB"/>
    <w:rsid w:val="00A21196"/>
    <w:rsid w:val="00A23867"/>
    <w:rsid w:val="00A243CC"/>
    <w:rsid w:val="00A24B06"/>
    <w:rsid w:val="00A25B12"/>
    <w:rsid w:val="00A3007B"/>
    <w:rsid w:val="00A30B23"/>
    <w:rsid w:val="00A32488"/>
    <w:rsid w:val="00A32E68"/>
    <w:rsid w:val="00A33606"/>
    <w:rsid w:val="00A344F3"/>
    <w:rsid w:val="00A3459C"/>
    <w:rsid w:val="00A34702"/>
    <w:rsid w:val="00A34A79"/>
    <w:rsid w:val="00A35465"/>
    <w:rsid w:val="00A35E0F"/>
    <w:rsid w:val="00A376E3"/>
    <w:rsid w:val="00A425BF"/>
    <w:rsid w:val="00A44429"/>
    <w:rsid w:val="00A46F23"/>
    <w:rsid w:val="00A4703D"/>
    <w:rsid w:val="00A50245"/>
    <w:rsid w:val="00A511EB"/>
    <w:rsid w:val="00A512B9"/>
    <w:rsid w:val="00A51889"/>
    <w:rsid w:val="00A52DE8"/>
    <w:rsid w:val="00A52EF2"/>
    <w:rsid w:val="00A536AB"/>
    <w:rsid w:val="00A55029"/>
    <w:rsid w:val="00A55A0E"/>
    <w:rsid w:val="00A6059F"/>
    <w:rsid w:val="00A60FA8"/>
    <w:rsid w:val="00A6175D"/>
    <w:rsid w:val="00A61A34"/>
    <w:rsid w:val="00A62203"/>
    <w:rsid w:val="00A64388"/>
    <w:rsid w:val="00A65267"/>
    <w:rsid w:val="00A65C40"/>
    <w:rsid w:val="00A6659D"/>
    <w:rsid w:val="00A67530"/>
    <w:rsid w:val="00A675B0"/>
    <w:rsid w:val="00A6767E"/>
    <w:rsid w:val="00A707C1"/>
    <w:rsid w:val="00A72DC3"/>
    <w:rsid w:val="00A7309E"/>
    <w:rsid w:val="00A7345D"/>
    <w:rsid w:val="00A74C3A"/>
    <w:rsid w:val="00A7584A"/>
    <w:rsid w:val="00A776B9"/>
    <w:rsid w:val="00A84E2F"/>
    <w:rsid w:val="00A84FC1"/>
    <w:rsid w:val="00A8722B"/>
    <w:rsid w:val="00A87AA0"/>
    <w:rsid w:val="00A904FD"/>
    <w:rsid w:val="00A92EDE"/>
    <w:rsid w:val="00A92F7E"/>
    <w:rsid w:val="00A933D8"/>
    <w:rsid w:val="00A9476A"/>
    <w:rsid w:val="00A96ACC"/>
    <w:rsid w:val="00AA021A"/>
    <w:rsid w:val="00AA4BDE"/>
    <w:rsid w:val="00AA55A4"/>
    <w:rsid w:val="00AA5F97"/>
    <w:rsid w:val="00AA76E5"/>
    <w:rsid w:val="00AB04EE"/>
    <w:rsid w:val="00AB09FC"/>
    <w:rsid w:val="00AB3DC5"/>
    <w:rsid w:val="00AB4445"/>
    <w:rsid w:val="00AB73A5"/>
    <w:rsid w:val="00AB77C8"/>
    <w:rsid w:val="00AC01D3"/>
    <w:rsid w:val="00AC25DF"/>
    <w:rsid w:val="00AC3A60"/>
    <w:rsid w:val="00AC4307"/>
    <w:rsid w:val="00AC4464"/>
    <w:rsid w:val="00AC485B"/>
    <w:rsid w:val="00AD0D74"/>
    <w:rsid w:val="00AD0DD9"/>
    <w:rsid w:val="00AD0FE5"/>
    <w:rsid w:val="00AD410E"/>
    <w:rsid w:val="00AD598E"/>
    <w:rsid w:val="00AD5F43"/>
    <w:rsid w:val="00AD671E"/>
    <w:rsid w:val="00AE1971"/>
    <w:rsid w:val="00AE1DE6"/>
    <w:rsid w:val="00AE2378"/>
    <w:rsid w:val="00AE2BAA"/>
    <w:rsid w:val="00AE38ED"/>
    <w:rsid w:val="00AE4821"/>
    <w:rsid w:val="00AE4DEE"/>
    <w:rsid w:val="00AE6E11"/>
    <w:rsid w:val="00AE7215"/>
    <w:rsid w:val="00AF034E"/>
    <w:rsid w:val="00AF0454"/>
    <w:rsid w:val="00AF08A3"/>
    <w:rsid w:val="00AF0AEC"/>
    <w:rsid w:val="00AF2B59"/>
    <w:rsid w:val="00AF2B73"/>
    <w:rsid w:val="00AF41D5"/>
    <w:rsid w:val="00AF5799"/>
    <w:rsid w:val="00AF6F37"/>
    <w:rsid w:val="00B03DCB"/>
    <w:rsid w:val="00B04772"/>
    <w:rsid w:val="00B06623"/>
    <w:rsid w:val="00B0696C"/>
    <w:rsid w:val="00B07A21"/>
    <w:rsid w:val="00B07D2F"/>
    <w:rsid w:val="00B12366"/>
    <w:rsid w:val="00B12AEA"/>
    <w:rsid w:val="00B13154"/>
    <w:rsid w:val="00B14A91"/>
    <w:rsid w:val="00B17B45"/>
    <w:rsid w:val="00B17D12"/>
    <w:rsid w:val="00B17EAA"/>
    <w:rsid w:val="00B20826"/>
    <w:rsid w:val="00B2171E"/>
    <w:rsid w:val="00B21BEC"/>
    <w:rsid w:val="00B221DE"/>
    <w:rsid w:val="00B22A1F"/>
    <w:rsid w:val="00B22B3C"/>
    <w:rsid w:val="00B24204"/>
    <w:rsid w:val="00B248F3"/>
    <w:rsid w:val="00B26162"/>
    <w:rsid w:val="00B2715A"/>
    <w:rsid w:val="00B31875"/>
    <w:rsid w:val="00B31F87"/>
    <w:rsid w:val="00B32022"/>
    <w:rsid w:val="00B33309"/>
    <w:rsid w:val="00B334DE"/>
    <w:rsid w:val="00B33D6E"/>
    <w:rsid w:val="00B343D4"/>
    <w:rsid w:val="00B371B0"/>
    <w:rsid w:val="00B404B6"/>
    <w:rsid w:val="00B40A29"/>
    <w:rsid w:val="00B42514"/>
    <w:rsid w:val="00B429B1"/>
    <w:rsid w:val="00B42A5D"/>
    <w:rsid w:val="00B43B07"/>
    <w:rsid w:val="00B46DB2"/>
    <w:rsid w:val="00B503FF"/>
    <w:rsid w:val="00B50E72"/>
    <w:rsid w:val="00B535EC"/>
    <w:rsid w:val="00B5489C"/>
    <w:rsid w:val="00B55666"/>
    <w:rsid w:val="00B56006"/>
    <w:rsid w:val="00B568EA"/>
    <w:rsid w:val="00B578EA"/>
    <w:rsid w:val="00B60902"/>
    <w:rsid w:val="00B6101A"/>
    <w:rsid w:val="00B656A2"/>
    <w:rsid w:val="00B71CAD"/>
    <w:rsid w:val="00B743F9"/>
    <w:rsid w:val="00B74C61"/>
    <w:rsid w:val="00B76A9F"/>
    <w:rsid w:val="00B77EA2"/>
    <w:rsid w:val="00B813E1"/>
    <w:rsid w:val="00B820FC"/>
    <w:rsid w:val="00B82369"/>
    <w:rsid w:val="00B82C3A"/>
    <w:rsid w:val="00B83C5E"/>
    <w:rsid w:val="00B85C59"/>
    <w:rsid w:val="00B87E16"/>
    <w:rsid w:val="00B90C47"/>
    <w:rsid w:val="00B910C2"/>
    <w:rsid w:val="00B91C14"/>
    <w:rsid w:val="00B92734"/>
    <w:rsid w:val="00B94EAC"/>
    <w:rsid w:val="00BA02DD"/>
    <w:rsid w:val="00BA0721"/>
    <w:rsid w:val="00BA1BFD"/>
    <w:rsid w:val="00BA2EAE"/>
    <w:rsid w:val="00BA6106"/>
    <w:rsid w:val="00BB0D5E"/>
    <w:rsid w:val="00BB2A42"/>
    <w:rsid w:val="00BB397B"/>
    <w:rsid w:val="00BC0BCB"/>
    <w:rsid w:val="00BC2C93"/>
    <w:rsid w:val="00BC2F20"/>
    <w:rsid w:val="00BC3006"/>
    <w:rsid w:val="00BC5FD2"/>
    <w:rsid w:val="00BC743B"/>
    <w:rsid w:val="00BD01C4"/>
    <w:rsid w:val="00BD47FC"/>
    <w:rsid w:val="00BE32C5"/>
    <w:rsid w:val="00BE46A1"/>
    <w:rsid w:val="00BE6AE9"/>
    <w:rsid w:val="00BE7F01"/>
    <w:rsid w:val="00BF267F"/>
    <w:rsid w:val="00BF4120"/>
    <w:rsid w:val="00BF78C6"/>
    <w:rsid w:val="00C00AEE"/>
    <w:rsid w:val="00C0229E"/>
    <w:rsid w:val="00C02381"/>
    <w:rsid w:val="00C02710"/>
    <w:rsid w:val="00C05AF9"/>
    <w:rsid w:val="00C06A0A"/>
    <w:rsid w:val="00C06B48"/>
    <w:rsid w:val="00C07D57"/>
    <w:rsid w:val="00C14428"/>
    <w:rsid w:val="00C14B35"/>
    <w:rsid w:val="00C16A5F"/>
    <w:rsid w:val="00C16C55"/>
    <w:rsid w:val="00C210F7"/>
    <w:rsid w:val="00C21942"/>
    <w:rsid w:val="00C224DE"/>
    <w:rsid w:val="00C24221"/>
    <w:rsid w:val="00C24AFC"/>
    <w:rsid w:val="00C252E0"/>
    <w:rsid w:val="00C265C5"/>
    <w:rsid w:val="00C33392"/>
    <w:rsid w:val="00C347AC"/>
    <w:rsid w:val="00C35D25"/>
    <w:rsid w:val="00C37268"/>
    <w:rsid w:val="00C37E94"/>
    <w:rsid w:val="00C412AC"/>
    <w:rsid w:val="00C41439"/>
    <w:rsid w:val="00C41635"/>
    <w:rsid w:val="00C417C7"/>
    <w:rsid w:val="00C42418"/>
    <w:rsid w:val="00C43ECE"/>
    <w:rsid w:val="00C441DA"/>
    <w:rsid w:val="00C45356"/>
    <w:rsid w:val="00C457D9"/>
    <w:rsid w:val="00C45813"/>
    <w:rsid w:val="00C477E5"/>
    <w:rsid w:val="00C50733"/>
    <w:rsid w:val="00C5147F"/>
    <w:rsid w:val="00C516C7"/>
    <w:rsid w:val="00C6060C"/>
    <w:rsid w:val="00C615AD"/>
    <w:rsid w:val="00C63F25"/>
    <w:rsid w:val="00C65B99"/>
    <w:rsid w:val="00C65DFE"/>
    <w:rsid w:val="00C66A5C"/>
    <w:rsid w:val="00C67649"/>
    <w:rsid w:val="00C70639"/>
    <w:rsid w:val="00C70934"/>
    <w:rsid w:val="00C70F18"/>
    <w:rsid w:val="00C71C15"/>
    <w:rsid w:val="00C724EE"/>
    <w:rsid w:val="00C72C3E"/>
    <w:rsid w:val="00C730F3"/>
    <w:rsid w:val="00C7310C"/>
    <w:rsid w:val="00C74373"/>
    <w:rsid w:val="00C76C56"/>
    <w:rsid w:val="00C80559"/>
    <w:rsid w:val="00C80A0E"/>
    <w:rsid w:val="00C81934"/>
    <w:rsid w:val="00C85798"/>
    <w:rsid w:val="00C86754"/>
    <w:rsid w:val="00C87759"/>
    <w:rsid w:val="00C87F02"/>
    <w:rsid w:val="00C901DB"/>
    <w:rsid w:val="00C90D1B"/>
    <w:rsid w:val="00C91806"/>
    <w:rsid w:val="00C91D6D"/>
    <w:rsid w:val="00C93557"/>
    <w:rsid w:val="00C93740"/>
    <w:rsid w:val="00C96028"/>
    <w:rsid w:val="00C97255"/>
    <w:rsid w:val="00C97822"/>
    <w:rsid w:val="00CA1A95"/>
    <w:rsid w:val="00CA2D9F"/>
    <w:rsid w:val="00CA393D"/>
    <w:rsid w:val="00CA5E58"/>
    <w:rsid w:val="00CA7D20"/>
    <w:rsid w:val="00CB0C60"/>
    <w:rsid w:val="00CB1804"/>
    <w:rsid w:val="00CB26A4"/>
    <w:rsid w:val="00CB3EE4"/>
    <w:rsid w:val="00CB4505"/>
    <w:rsid w:val="00CB6B54"/>
    <w:rsid w:val="00CC0FE1"/>
    <w:rsid w:val="00CC1765"/>
    <w:rsid w:val="00CC1893"/>
    <w:rsid w:val="00CC21F3"/>
    <w:rsid w:val="00CC309E"/>
    <w:rsid w:val="00CC561C"/>
    <w:rsid w:val="00CC5E76"/>
    <w:rsid w:val="00CC6FE9"/>
    <w:rsid w:val="00CC7F82"/>
    <w:rsid w:val="00CD0B15"/>
    <w:rsid w:val="00CD235D"/>
    <w:rsid w:val="00CD479E"/>
    <w:rsid w:val="00CD4B2C"/>
    <w:rsid w:val="00CD5BF8"/>
    <w:rsid w:val="00CE15F9"/>
    <w:rsid w:val="00CE2B7C"/>
    <w:rsid w:val="00CE78E3"/>
    <w:rsid w:val="00CF0AAF"/>
    <w:rsid w:val="00CF1FC9"/>
    <w:rsid w:val="00CF7144"/>
    <w:rsid w:val="00CF732E"/>
    <w:rsid w:val="00CF7B20"/>
    <w:rsid w:val="00CF7EE4"/>
    <w:rsid w:val="00D0019E"/>
    <w:rsid w:val="00D004A5"/>
    <w:rsid w:val="00D02DE6"/>
    <w:rsid w:val="00D0325E"/>
    <w:rsid w:val="00D035B4"/>
    <w:rsid w:val="00D05261"/>
    <w:rsid w:val="00D057E5"/>
    <w:rsid w:val="00D109BA"/>
    <w:rsid w:val="00D12946"/>
    <w:rsid w:val="00D12F4B"/>
    <w:rsid w:val="00D15F2D"/>
    <w:rsid w:val="00D231C0"/>
    <w:rsid w:val="00D237B0"/>
    <w:rsid w:val="00D23F61"/>
    <w:rsid w:val="00D24D28"/>
    <w:rsid w:val="00D25B0F"/>
    <w:rsid w:val="00D26C3B"/>
    <w:rsid w:val="00D31D05"/>
    <w:rsid w:val="00D3284B"/>
    <w:rsid w:val="00D32AB6"/>
    <w:rsid w:val="00D33954"/>
    <w:rsid w:val="00D33A2E"/>
    <w:rsid w:val="00D33A86"/>
    <w:rsid w:val="00D3482A"/>
    <w:rsid w:val="00D3556B"/>
    <w:rsid w:val="00D36B90"/>
    <w:rsid w:val="00D4055F"/>
    <w:rsid w:val="00D42C79"/>
    <w:rsid w:val="00D436AA"/>
    <w:rsid w:val="00D43F01"/>
    <w:rsid w:val="00D44895"/>
    <w:rsid w:val="00D5230D"/>
    <w:rsid w:val="00D526C5"/>
    <w:rsid w:val="00D52F55"/>
    <w:rsid w:val="00D5515B"/>
    <w:rsid w:val="00D603BE"/>
    <w:rsid w:val="00D63075"/>
    <w:rsid w:val="00D63DE8"/>
    <w:rsid w:val="00D65B04"/>
    <w:rsid w:val="00D65EEB"/>
    <w:rsid w:val="00D6625C"/>
    <w:rsid w:val="00D67DEA"/>
    <w:rsid w:val="00D70969"/>
    <w:rsid w:val="00D73EDD"/>
    <w:rsid w:val="00D7739D"/>
    <w:rsid w:val="00D77633"/>
    <w:rsid w:val="00D81B8D"/>
    <w:rsid w:val="00D8343B"/>
    <w:rsid w:val="00D83A36"/>
    <w:rsid w:val="00D85E8F"/>
    <w:rsid w:val="00D860F1"/>
    <w:rsid w:val="00D86226"/>
    <w:rsid w:val="00D93A5F"/>
    <w:rsid w:val="00D93C1A"/>
    <w:rsid w:val="00DA2CDB"/>
    <w:rsid w:val="00DA30FF"/>
    <w:rsid w:val="00DA349F"/>
    <w:rsid w:val="00DA375F"/>
    <w:rsid w:val="00DA5F76"/>
    <w:rsid w:val="00DA6B88"/>
    <w:rsid w:val="00DB0E56"/>
    <w:rsid w:val="00DB1E62"/>
    <w:rsid w:val="00DB3426"/>
    <w:rsid w:val="00DB3940"/>
    <w:rsid w:val="00DB3DE5"/>
    <w:rsid w:val="00DB42FA"/>
    <w:rsid w:val="00DB71B3"/>
    <w:rsid w:val="00DB7D79"/>
    <w:rsid w:val="00DC032E"/>
    <w:rsid w:val="00DC096B"/>
    <w:rsid w:val="00DC0A26"/>
    <w:rsid w:val="00DC1F79"/>
    <w:rsid w:val="00DC54B6"/>
    <w:rsid w:val="00DC7067"/>
    <w:rsid w:val="00DD2052"/>
    <w:rsid w:val="00DD216B"/>
    <w:rsid w:val="00DD266B"/>
    <w:rsid w:val="00DD3265"/>
    <w:rsid w:val="00DD35F7"/>
    <w:rsid w:val="00DE0896"/>
    <w:rsid w:val="00DE18D7"/>
    <w:rsid w:val="00DE1C40"/>
    <w:rsid w:val="00DE2204"/>
    <w:rsid w:val="00DE4567"/>
    <w:rsid w:val="00DE6813"/>
    <w:rsid w:val="00DE7961"/>
    <w:rsid w:val="00DE7A3C"/>
    <w:rsid w:val="00DF0204"/>
    <w:rsid w:val="00DF0B4E"/>
    <w:rsid w:val="00DF1CC9"/>
    <w:rsid w:val="00DF252A"/>
    <w:rsid w:val="00DF2B90"/>
    <w:rsid w:val="00DF36C7"/>
    <w:rsid w:val="00DF3A21"/>
    <w:rsid w:val="00DF3ED0"/>
    <w:rsid w:val="00DF54EF"/>
    <w:rsid w:val="00DF6B85"/>
    <w:rsid w:val="00E01EFB"/>
    <w:rsid w:val="00E02296"/>
    <w:rsid w:val="00E04911"/>
    <w:rsid w:val="00E0603E"/>
    <w:rsid w:val="00E0653A"/>
    <w:rsid w:val="00E068E2"/>
    <w:rsid w:val="00E1217E"/>
    <w:rsid w:val="00E124F8"/>
    <w:rsid w:val="00E12FAD"/>
    <w:rsid w:val="00E136A8"/>
    <w:rsid w:val="00E13FF3"/>
    <w:rsid w:val="00E14100"/>
    <w:rsid w:val="00E141B4"/>
    <w:rsid w:val="00E14755"/>
    <w:rsid w:val="00E14BF3"/>
    <w:rsid w:val="00E159FC"/>
    <w:rsid w:val="00E208D8"/>
    <w:rsid w:val="00E20CF9"/>
    <w:rsid w:val="00E22EEA"/>
    <w:rsid w:val="00E260AE"/>
    <w:rsid w:val="00E307CF"/>
    <w:rsid w:val="00E30C1A"/>
    <w:rsid w:val="00E311C8"/>
    <w:rsid w:val="00E31EEB"/>
    <w:rsid w:val="00E32D78"/>
    <w:rsid w:val="00E33E89"/>
    <w:rsid w:val="00E34AAC"/>
    <w:rsid w:val="00E35D04"/>
    <w:rsid w:val="00E364B4"/>
    <w:rsid w:val="00E37BD0"/>
    <w:rsid w:val="00E407F0"/>
    <w:rsid w:val="00E414C7"/>
    <w:rsid w:val="00E41E59"/>
    <w:rsid w:val="00E43AF0"/>
    <w:rsid w:val="00E43C45"/>
    <w:rsid w:val="00E440D0"/>
    <w:rsid w:val="00E45145"/>
    <w:rsid w:val="00E454FE"/>
    <w:rsid w:val="00E4662E"/>
    <w:rsid w:val="00E4767C"/>
    <w:rsid w:val="00E504E3"/>
    <w:rsid w:val="00E50995"/>
    <w:rsid w:val="00E5320B"/>
    <w:rsid w:val="00E5359A"/>
    <w:rsid w:val="00E5526F"/>
    <w:rsid w:val="00E62A27"/>
    <w:rsid w:val="00E63E69"/>
    <w:rsid w:val="00E64707"/>
    <w:rsid w:val="00E660C2"/>
    <w:rsid w:val="00E6632B"/>
    <w:rsid w:val="00E6683B"/>
    <w:rsid w:val="00E6751A"/>
    <w:rsid w:val="00E70041"/>
    <w:rsid w:val="00E707E0"/>
    <w:rsid w:val="00E70E8E"/>
    <w:rsid w:val="00E711D5"/>
    <w:rsid w:val="00E746C1"/>
    <w:rsid w:val="00E74B42"/>
    <w:rsid w:val="00E77824"/>
    <w:rsid w:val="00E80E2B"/>
    <w:rsid w:val="00E849E0"/>
    <w:rsid w:val="00E8549D"/>
    <w:rsid w:val="00E8581D"/>
    <w:rsid w:val="00E90160"/>
    <w:rsid w:val="00E91486"/>
    <w:rsid w:val="00E9379B"/>
    <w:rsid w:val="00E9463B"/>
    <w:rsid w:val="00E95DE3"/>
    <w:rsid w:val="00E96E63"/>
    <w:rsid w:val="00EA0755"/>
    <w:rsid w:val="00EA087C"/>
    <w:rsid w:val="00EA35F3"/>
    <w:rsid w:val="00EA3B48"/>
    <w:rsid w:val="00EA4765"/>
    <w:rsid w:val="00EA54B4"/>
    <w:rsid w:val="00EA6F9A"/>
    <w:rsid w:val="00EA73E4"/>
    <w:rsid w:val="00EA7DDB"/>
    <w:rsid w:val="00EB05BD"/>
    <w:rsid w:val="00EB0A79"/>
    <w:rsid w:val="00EB595C"/>
    <w:rsid w:val="00EB6F1C"/>
    <w:rsid w:val="00EC1CA3"/>
    <w:rsid w:val="00EC1E3C"/>
    <w:rsid w:val="00EC4055"/>
    <w:rsid w:val="00EC4AC2"/>
    <w:rsid w:val="00EC7164"/>
    <w:rsid w:val="00EC72BA"/>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0980"/>
    <w:rsid w:val="00F10B6A"/>
    <w:rsid w:val="00F14F63"/>
    <w:rsid w:val="00F16CBE"/>
    <w:rsid w:val="00F220E8"/>
    <w:rsid w:val="00F23E16"/>
    <w:rsid w:val="00F270CC"/>
    <w:rsid w:val="00F30D1D"/>
    <w:rsid w:val="00F353C8"/>
    <w:rsid w:val="00F36985"/>
    <w:rsid w:val="00F37BF3"/>
    <w:rsid w:val="00F37F45"/>
    <w:rsid w:val="00F45166"/>
    <w:rsid w:val="00F453BC"/>
    <w:rsid w:val="00F45C05"/>
    <w:rsid w:val="00F46971"/>
    <w:rsid w:val="00F46A75"/>
    <w:rsid w:val="00F47BAF"/>
    <w:rsid w:val="00F50B2A"/>
    <w:rsid w:val="00F518A2"/>
    <w:rsid w:val="00F533A4"/>
    <w:rsid w:val="00F55D67"/>
    <w:rsid w:val="00F56708"/>
    <w:rsid w:val="00F56D47"/>
    <w:rsid w:val="00F5799D"/>
    <w:rsid w:val="00F63519"/>
    <w:rsid w:val="00F6409A"/>
    <w:rsid w:val="00F6477E"/>
    <w:rsid w:val="00F654CF"/>
    <w:rsid w:val="00F662F5"/>
    <w:rsid w:val="00F74EEF"/>
    <w:rsid w:val="00F80B8D"/>
    <w:rsid w:val="00F81D3D"/>
    <w:rsid w:val="00F82360"/>
    <w:rsid w:val="00F837B7"/>
    <w:rsid w:val="00F8460F"/>
    <w:rsid w:val="00F85AE5"/>
    <w:rsid w:val="00F86ACB"/>
    <w:rsid w:val="00F879E0"/>
    <w:rsid w:val="00F90846"/>
    <w:rsid w:val="00F94AD4"/>
    <w:rsid w:val="00F97648"/>
    <w:rsid w:val="00FA09EB"/>
    <w:rsid w:val="00FA3908"/>
    <w:rsid w:val="00FA4E5D"/>
    <w:rsid w:val="00FA745E"/>
    <w:rsid w:val="00FB0C60"/>
    <w:rsid w:val="00FB15B5"/>
    <w:rsid w:val="00FB184A"/>
    <w:rsid w:val="00FB2CDA"/>
    <w:rsid w:val="00FB3434"/>
    <w:rsid w:val="00FB5231"/>
    <w:rsid w:val="00FB5626"/>
    <w:rsid w:val="00FB6750"/>
    <w:rsid w:val="00FB7AA6"/>
    <w:rsid w:val="00FC047E"/>
    <w:rsid w:val="00FC362F"/>
    <w:rsid w:val="00FC430C"/>
    <w:rsid w:val="00FC58D1"/>
    <w:rsid w:val="00FD1F5F"/>
    <w:rsid w:val="00FD246F"/>
    <w:rsid w:val="00FD4058"/>
    <w:rsid w:val="00FD55C9"/>
    <w:rsid w:val="00FD6087"/>
    <w:rsid w:val="00FD60D5"/>
    <w:rsid w:val="00FE14ED"/>
    <w:rsid w:val="00FE1B0E"/>
    <w:rsid w:val="00FE26E3"/>
    <w:rsid w:val="00FE2700"/>
    <w:rsid w:val="00FE2A35"/>
    <w:rsid w:val="00FE48FE"/>
    <w:rsid w:val="00FE5BFD"/>
    <w:rsid w:val="00FE6615"/>
    <w:rsid w:val="00FF133F"/>
    <w:rsid w:val="00FF2FD5"/>
    <w:rsid w:val="00FF3459"/>
    <w:rsid w:val="00FF50F7"/>
    <w:rsid w:val="00FF5C10"/>
    <w:rsid w:val="00FF6AB4"/>
    <w:rsid w:val="00FF6D88"/>
    <w:rsid w:val="00FF742A"/>
    <w:rsid w:val="00FF7E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nhideWhenUsed/>
    <w:qFormat/>
    <w:locked/>
    <w:rsid w:val="00202F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paragraph" w:customStyle="1" w:styleId="Char2">
    <w:name w:val="Char2"/>
    <w:basedOn w:val="Normal"/>
    <w:rsid w:val="0089292D"/>
    <w:rPr>
      <w:sz w:val="24"/>
      <w:szCs w:val="24"/>
      <w:lang w:val="pl-PL" w:eastAsia="pl-PL"/>
    </w:rPr>
  </w:style>
  <w:style w:type="character" w:customStyle="1" w:styleId="shorttext">
    <w:name w:val="short_text"/>
    <w:basedOn w:val="DefaultParagraphFont"/>
    <w:rsid w:val="00280FBA"/>
  </w:style>
  <w:style w:type="paragraph" w:styleId="ListNumber">
    <w:name w:val="List Number"/>
    <w:basedOn w:val="Normal"/>
    <w:rsid w:val="00087407"/>
    <w:pPr>
      <w:numPr>
        <w:numId w:val="4"/>
      </w:numPr>
      <w:spacing w:before="120" w:after="120"/>
      <w:jc w:val="both"/>
    </w:pPr>
    <w:rPr>
      <w:sz w:val="24"/>
      <w:szCs w:val="24"/>
      <w:lang w:eastAsia="de-DE"/>
    </w:rPr>
  </w:style>
  <w:style w:type="paragraph" w:customStyle="1" w:styleId="ListNumberLevel2">
    <w:name w:val="List Number (Level 2)"/>
    <w:basedOn w:val="Normal"/>
    <w:rsid w:val="00087407"/>
    <w:pPr>
      <w:numPr>
        <w:ilvl w:val="1"/>
        <w:numId w:val="4"/>
      </w:numPr>
      <w:spacing w:before="120" w:after="120"/>
      <w:jc w:val="both"/>
    </w:pPr>
    <w:rPr>
      <w:sz w:val="24"/>
      <w:szCs w:val="24"/>
      <w:lang w:eastAsia="de-DE"/>
    </w:rPr>
  </w:style>
  <w:style w:type="paragraph" w:customStyle="1" w:styleId="ListNumberLevel3">
    <w:name w:val="List Number (Level 3)"/>
    <w:basedOn w:val="Normal"/>
    <w:rsid w:val="00087407"/>
    <w:pPr>
      <w:numPr>
        <w:ilvl w:val="2"/>
        <w:numId w:val="4"/>
      </w:numPr>
      <w:spacing w:before="120" w:after="120"/>
      <w:jc w:val="both"/>
    </w:pPr>
    <w:rPr>
      <w:sz w:val="24"/>
      <w:szCs w:val="24"/>
      <w:lang w:eastAsia="de-DE"/>
    </w:rPr>
  </w:style>
  <w:style w:type="paragraph" w:customStyle="1" w:styleId="ListNumberLevel4">
    <w:name w:val="List Number (Level 4)"/>
    <w:basedOn w:val="Normal"/>
    <w:rsid w:val="00087407"/>
    <w:pPr>
      <w:numPr>
        <w:ilvl w:val="3"/>
        <w:numId w:val="4"/>
      </w:numPr>
      <w:spacing w:before="120" w:after="120"/>
      <w:jc w:val="both"/>
    </w:pPr>
    <w:rPr>
      <w:sz w:val="24"/>
      <w:szCs w:val="24"/>
      <w:lang w:eastAsia="de-DE"/>
    </w:rPr>
  </w:style>
  <w:style w:type="paragraph" w:customStyle="1" w:styleId="CharChar2Char">
    <w:name w:val="Char Char2 Char"/>
    <w:basedOn w:val="Normal"/>
    <w:rsid w:val="00E6683B"/>
    <w:rPr>
      <w:sz w:val="24"/>
      <w:szCs w:val="24"/>
      <w:lang w:val="pl-PL" w:eastAsia="pl-PL"/>
    </w:rPr>
  </w:style>
  <w:style w:type="paragraph" w:customStyle="1" w:styleId="Par-dash">
    <w:name w:val="Par-dash"/>
    <w:basedOn w:val="Normal"/>
    <w:next w:val="Normal"/>
    <w:rsid w:val="003028A7"/>
    <w:pPr>
      <w:widowControl w:val="0"/>
      <w:numPr>
        <w:numId w:val="5"/>
      </w:numPr>
      <w:spacing w:line="360" w:lineRule="auto"/>
    </w:pPr>
    <w:rPr>
      <w:sz w:val="24"/>
      <w:szCs w:val="24"/>
      <w:lang w:eastAsia="fr-BE"/>
    </w:rPr>
  </w:style>
  <w:style w:type="character" w:customStyle="1" w:styleId="longtext">
    <w:name w:val="long_text"/>
    <w:basedOn w:val="DefaultParagraphFont"/>
    <w:rsid w:val="00EC7164"/>
  </w:style>
  <w:style w:type="character" w:customStyle="1" w:styleId="Heading4Char">
    <w:name w:val="Heading 4 Char"/>
    <w:basedOn w:val="DefaultParagraphFont"/>
    <w:link w:val="Heading4"/>
    <w:rsid w:val="00202FD5"/>
    <w:rPr>
      <w:rFonts w:asciiTheme="majorHAnsi" w:eastAsiaTheme="majorEastAsia" w:hAnsiTheme="majorHAnsi" w:cstheme="majorBidi"/>
      <w:b/>
      <w:bCs/>
      <w:i/>
      <w:iCs/>
      <w:color w:val="4F81BD" w:themeColor="accent1"/>
      <w:sz w:val="20"/>
      <w:szCs w:val="20"/>
      <w:lang w:val="en-GB"/>
    </w:rPr>
  </w:style>
  <w:style w:type="paragraph" w:customStyle="1" w:styleId="Text1">
    <w:name w:val="Text 1"/>
    <w:basedOn w:val="Normal"/>
    <w:link w:val="Text1Char"/>
    <w:rsid w:val="00D65B04"/>
    <w:pPr>
      <w:ind w:left="567"/>
      <w:outlineLvl w:val="0"/>
    </w:pPr>
    <w:rPr>
      <w:sz w:val="24"/>
      <w:szCs w:val="24"/>
      <w:lang w:eastAsia="fr-BE"/>
    </w:rPr>
  </w:style>
  <w:style w:type="paragraph" w:customStyle="1" w:styleId="Text2">
    <w:name w:val="Text 2"/>
    <w:basedOn w:val="Normal"/>
    <w:link w:val="Text2Char"/>
    <w:rsid w:val="00D65B04"/>
    <w:pPr>
      <w:ind w:left="1134"/>
      <w:outlineLvl w:val="1"/>
    </w:pPr>
    <w:rPr>
      <w:sz w:val="24"/>
      <w:szCs w:val="24"/>
      <w:lang w:eastAsia="fr-BE"/>
    </w:rPr>
  </w:style>
  <w:style w:type="paragraph" w:customStyle="1" w:styleId="Text3">
    <w:name w:val="Text 3"/>
    <w:basedOn w:val="Normal"/>
    <w:link w:val="Text3Char"/>
    <w:rsid w:val="00D65B04"/>
    <w:pPr>
      <w:ind w:left="1701"/>
      <w:outlineLvl w:val="2"/>
    </w:pPr>
    <w:rPr>
      <w:sz w:val="24"/>
      <w:szCs w:val="24"/>
      <w:lang w:eastAsia="fr-BE"/>
    </w:rPr>
  </w:style>
  <w:style w:type="paragraph" w:customStyle="1" w:styleId="Text5">
    <w:name w:val="Text 5"/>
    <w:basedOn w:val="Normal"/>
    <w:rsid w:val="00D65B04"/>
    <w:pPr>
      <w:ind w:left="2835"/>
      <w:outlineLvl w:val="4"/>
    </w:pPr>
    <w:rPr>
      <w:sz w:val="24"/>
      <w:szCs w:val="24"/>
      <w:lang w:eastAsia="fr-BE"/>
    </w:rPr>
  </w:style>
  <w:style w:type="paragraph" w:customStyle="1" w:styleId="PointManual1">
    <w:name w:val="Point Manual (1)"/>
    <w:basedOn w:val="Normal"/>
    <w:link w:val="PointManual1Char"/>
    <w:rsid w:val="00D65B04"/>
    <w:pPr>
      <w:ind w:left="1134" w:hanging="567"/>
      <w:outlineLvl w:val="0"/>
    </w:pPr>
    <w:rPr>
      <w:sz w:val="24"/>
      <w:szCs w:val="24"/>
      <w:lang w:eastAsia="fr-BE"/>
    </w:rPr>
  </w:style>
  <w:style w:type="character" w:customStyle="1" w:styleId="PointManual1Char">
    <w:name w:val="Point Manual (1) Char"/>
    <w:basedOn w:val="DefaultParagraphFont"/>
    <w:link w:val="PointManual1"/>
    <w:rsid w:val="00D65B04"/>
    <w:rPr>
      <w:rFonts w:ascii="Times New Roman" w:eastAsia="Times New Roman" w:hAnsi="Times New Roman"/>
      <w:sz w:val="24"/>
      <w:szCs w:val="24"/>
      <w:lang w:val="en-GB" w:eastAsia="fr-BE"/>
    </w:rPr>
  </w:style>
  <w:style w:type="character" w:customStyle="1" w:styleId="Text2Char">
    <w:name w:val="Text 2 Char"/>
    <w:basedOn w:val="DefaultParagraphFont"/>
    <w:link w:val="Text2"/>
    <w:rsid w:val="00D65B04"/>
    <w:rPr>
      <w:rFonts w:ascii="Times New Roman" w:eastAsia="Times New Roman" w:hAnsi="Times New Roman"/>
      <w:sz w:val="24"/>
      <w:szCs w:val="24"/>
      <w:lang w:val="en-GB" w:eastAsia="fr-BE"/>
    </w:rPr>
  </w:style>
  <w:style w:type="character" w:customStyle="1" w:styleId="Text1Char">
    <w:name w:val="Text 1 Char"/>
    <w:basedOn w:val="DefaultParagraphFont"/>
    <w:link w:val="Text1"/>
    <w:rsid w:val="00D65B04"/>
    <w:rPr>
      <w:rFonts w:ascii="Times New Roman" w:eastAsia="Times New Roman" w:hAnsi="Times New Roman"/>
      <w:sz w:val="24"/>
      <w:szCs w:val="24"/>
      <w:lang w:val="en-GB" w:eastAsia="fr-BE"/>
    </w:rPr>
  </w:style>
  <w:style w:type="character" w:customStyle="1" w:styleId="Text3Char">
    <w:name w:val="Text 3 Char"/>
    <w:basedOn w:val="DefaultParagraphFont"/>
    <w:link w:val="Text3"/>
    <w:rsid w:val="00D65B04"/>
    <w:rPr>
      <w:rFonts w:ascii="Times New Roman" w:eastAsia="Times New Roman" w:hAnsi="Times New Roman"/>
      <w:sz w:val="24"/>
      <w:szCs w:val="24"/>
      <w:lang w:val="en-GB" w:eastAsia="fr-BE"/>
    </w:rPr>
  </w:style>
  <w:style w:type="paragraph" w:customStyle="1" w:styleId="PointManual">
    <w:name w:val="Point Manual"/>
    <w:basedOn w:val="Normal"/>
    <w:link w:val="PointManualChar"/>
    <w:rsid w:val="000E5A52"/>
    <w:pPr>
      <w:spacing w:before="200"/>
      <w:ind w:left="567" w:hanging="567"/>
    </w:pPr>
    <w:rPr>
      <w:sz w:val="24"/>
      <w:szCs w:val="24"/>
      <w:lang w:eastAsia="fr-BE"/>
    </w:rPr>
  </w:style>
  <w:style w:type="character" w:customStyle="1" w:styleId="PointManualChar">
    <w:name w:val="Point Manual Char"/>
    <w:basedOn w:val="DefaultParagraphFont"/>
    <w:link w:val="PointManual"/>
    <w:rsid w:val="000E5A52"/>
    <w:rPr>
      <w:rFonts w:ascii="Times New Roman" w:eastAsia="Times New Roman" w:hAnsi="Times New Roman"/>
      <w:sz w:val="24"/>
      <w:szCs w:val="24"/>
      <w:lang w:val="en-GB" w:eastAsia="fr-BE"/>
    </w:rPr>
  </w:style>
  <w:style w:type="paragraph" w:customStyle="1" w:styleId="Dash1">
    <w:name w:val="Dash 1"/>
    <w:basedOn w:val="Normal"/>
    <w:link w:val="Dash1Char"/>
    <w:rsid w:val="000E5A52"/>
    <w:pPr>
      <w:numPr>
        <w:numId w:val="10"/>
      </w:numPr>
      <w:outlineLvl w:val="0"/>
    </w:pPr>
    <w:rPr>
      <w:sz w:val="24"/>
      <w:szCs w:val="24"/>
      <w:lang w:eastAsia="fr-BE"/>
    </w:rPr>
  </w:style>
  <w:style w:type="character" w:customStyle="1" w:styleId="Dash1Char">
    <w:name w:val="Dash 1 Char"/>
    <w:basedOn w:val="DefaultParagraphFont"/>
    <w:link w:val="Dash1"/>
    <w:rsid w:val="000E5A52"/>
    <w:rPr>
      <w:rFonts w:ascii="Times New Roman" w:eastAsia="Times New Roman" w:hAnsi="Times New Roman"/>
      <w:sz w:val="24"/>
      <w:szCs w:val="24"/>
      <w:lang w:val="en-GB" w:eastAsia="fr-BE"/>
    </w:rPr>
  </w:style>
  <w:style w:type="paragraph" w:customStyle="1" w:styleId="Default">
    <w:name w:val="Default"/>
    <w:rsid w:val="0033559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12">
      <w:bodyDiv w:val="1"/>
      <w:marLeft w:val="0"/>
      <w:marRight w:val="0"/>
      <w:marTop w:val="0"/>
      <w:marBottom w:val="0"/>
      <w:divBdr>
        <w:top w:val="none" w:sz="0" w:space="0" w:color="auto"/>
        <w:left w:val="none" w:sz="0" w:space="0" w:color="auto"/>
        <w:bottom w:val="none" w:sz="0" w:space="0" w:color="auto"/>
        <w:right w:val="none" w:sz="0" w:space="0" w:color="auto"/>
      </w:divBdr>
      <w:divsChild>
        <w:div w:id="867184781">
          <w:marLeft w:val="0"/>
          <w:marRight w:val="0"/>
          <w:marTop w:val="0"/>
          <w:marBottom w:val="0"/>
          <w:divBdr>
            <w:top w:val="none" w:sz="0" w:space="0" w:color="auto"/>
            <w:left w:val="none" w:sz="0" w:space="0" w:color="auto"/>
            <w:bottom w:val="none" w:sz="0" w:space="0" w:color="auto"/>
            <w:right w:val="none" w:sz="0" w:space="0" w:color="auto"/>
          </w:divBdr>
          <w:divsChild>
            <w:div w:id="978263150">
              <w:marLeft w:val="0"/>
              <w:marRight w:val="0"/>
              <w:marTop w:val="0"/>
              <w:marBottom w:val="0"/>
              <w:divBdr>
                <w:top w:val="none" w:sz="0" w:space="0" w:color="auto"/>
                <w:left w:val="none" w:sz="0" w:space="0" w:color="auto"/>
                <w:bottom w:val="none" w:sz="0" w:space="0" w:color="auto"/>
                <w:right w:val="none" w:sz="0" w:space="0" w:color="auto"/>
              </w:divBdr>
              <w:divsChild>
                <w:div w:id="967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824">
      <w:bodyDiv w:val="1"/>
      <w:marLeft w:val="0"/>
      <w:marRight w:val="0"/>
      <w:marTop w:val="0"/>
      <w:marBottom w:val="0"/>
      <w:divBdr>
        <w:top w:val="none" w:sz="0" w:space="0" w:color="auto"/>
        <w:left w:val="none" w:sz="0" w:space="0" w:color="auto"/>
        <w:bottom w:val="none" w:sz="0" w:space="0" w:color="auto"/>
        <w:right w:val="none" w:sz="0" w:space="0" w:color="auto"/>
      </w:divBdr>
      <w:divsChild>
        <w:div w:id="206140896">
          <w:marLeft w:val="0"/>
          <w:marRight w:val="0"/>
          <w:marTop w:val="0"/>
          <w:marBottom w:val="0"/>
          <w:divBdr>
            <w:top w:val="none" w:sz="0" w:space="0" w:color="auto"/>
            <w:left w:val="none" w:sz="0" w:space="0" w:color="auto"/>
            <w:bottom w:val="none" w:sz="0" w:space="0" w:color="auto"/>
            <w:right w:val="none" w:sz="0" w:space="0" w:color="auto"/>
          </w:divBdr>
          <w:divsChild>
            <w:div w:id="12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867">
      <w:bodyDiv w:val="1"/>
      <w:marLeft w:val="0"/>
      <w:marRight w:val="0"/>
      <w:marTop w:val="0"/>
      <w:marBottom w:val="0"/>
      <w:divBdr>
        <w:top w:val="none" w:sz="0" w:space="0" w:color="auto"/>
        <w:left w:val="none" w:sz="0" w:space="0" w:color="auto"/>
        <w:bottom w:val="none" w:sz="0" w:space="0" w:color="auto"/>
        <w:right w:val="none" w:sz="0" w:space="0" w:color="auto"/>
      </w:divBdr>
      <w:divsChild>
        <w:div w:id="1272669690">
          <w:marLeft w:val="0"/>
          <w:marRight w:val="0"/>
          <w:marTop w:val="0"/>
          <w:marBottom w:val="0"/>
          <w:divBdr>
            <w:top w:val="none" w:sz="0" w:space="0" w:color="auto"/>
            <w:left w:val="none" w:sz="0" w:space="0" w:color="auto"/>
            <w:bottom w:val="none" w:sz="0" w:space="0" w:color="auto"/>
            <w:right w:val="none" w:sz="0" w:space="0" w:color="auto"/>
          </w:divBdr>
          <w:divsChild>
            <w:div w:id="1443264337">
              <w:marLeft w:val="0"/>
              <w:marRight w:val="0"/>
              <w:marTop w:val="0"/>
              <w:marBottom w:val="0"/>
              <w:divBdr>
                <w:top w:val="none" w:sz="0" w:space="0" w:color="auto"/>
                <w:left w:val="none" w:sz="0" w:space="0" w:color="auto"/>
                <w:bottom w:val="none" w:sz="0" w:space="0" w:color="auto"/>
                <w:right w:val="none" w:sz="0" w:space="0" w:color="auto"/>
              </w:divBdr>
              <w:divsChild>
                <w:div w:id="67503520">
                  <w:marLeft w:val="0"/>
                  <w:marRight w:val="0"/>
                  <w:marTop w:val="0"/>
                  <w:marBottom w:val="0"/>
                  <w:divBdr>
                    <w:top w:val="none" w:sz="0" w:space="0" w:color="auto"/>
                    <w:left w:val="none" w:sz="0" w:space="0" w:color="auto"/>
                    <w:bottom w:val="none" w:sz="0" w:space="0" w:color="auto"/>
                    <w:right w:val="none" w:sz="0" w:space="0" w:color="auto"/>
                  </w:divBdr>
                  <w:divsChild>
                    <w:div w:id="649676828">
                      <w:marLeft w:val="0"/>
                      <w:marRight w:val="0"/>
                      <w:marTop w:val="0"/>
                      <w:marBottom w:val="0"/>
                      <w:divBdr>
                        <w:top w:val="none" w:sz="0" w:space="0" w:color="auto"/>
                        <w:left w:val="none" w:sz="0" w:space="0" w:color="auto"/>
                        <w:bottom w:val="none" w:sz="0" w:space="0" w:color="auto"/>
                        <w:right w:val="none" w:sz="0" w:space="0" w:color="auto"/>
                      </w:divBdr>
                      <w:divsChild>
                        <w:div w:id="859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1963">
              <w:marLeft w:val="0"/>
              <w:marRight w:val="0"/>
              <w:marTop w:val="0"/>
              <w:marBottom w:val="0"/>
              <w:divBdr>
                <w:top w:val="none" w:sz="0" w:space="0" w:color="auto"/>
                <w:left w:val="none" w:sz="0" w:space="0" w:color="auto"/>
                <w:bottom w:val="none" w:sz="0" w:space="0" w:color="auto"/>
                <w:right w:val="none" w:sz="0" w:space="0" w:color="auto"/>
              </w:divBdr>
              <w:divsChild>
                <w:div w:id="2000233995">
                  <w:marLeft w:val="0"/>
                  <w:marRight w:val="0"/>
                  <w:marTop w:val="0"/>
                  <w:marBottom w:val="0"/>
                  <w:divBdr>
                    <w:top w:val="none" w:sz="0" w:space="0" w:color="auto"/>
                    <w:left w:val="none" w:sz="0" w:space="0" w:color="auto"/>
                    <w:bottom w:val="none" w:sz="0" w:space="0" w:color="auto"/>
                    <w:right w:val="none" w:sz="0" w:space="0" w:color="auto"/>
                  </w:divBdr>
                  <w:divsChild>
                    <w:div w:id="1870071668">
                      <w:marLeft w:val="0"/>
                      <w:marRight w:val="0"/>
                      <w:marTop w:val="0"/>
                      <w:marBottom w:val="0"/>
                      <w:divBdr>
                        <w:top w:val="none" w:sz="0" w:space="0" w:color="auto"/>
                        <w:left w:val="none" w:sz="0" w:space="0" w:color="auto"/>
                        <w:bottom w:val="none" w:sz="0" w:space="0" w:color="auto"/>
                        <w:right w:val="none" w:sz="0" w:space="0" w:color="auto"/>
                      </w:divBdr>
                      <w:divsChild>
                        <w:div w:id="577600080">
                          <w:marLeft w:val="0"/>
                          <w:marRight w:val="0"/>
                          <w:marTop w:val="0"/>
                          <w:marBottom w:val="0"/>
                          <w:divBdr>
                            <w:top w:val="none" w:sz="0" w:space="0" w:color="auto"/>
                            <w:left w:val="none" w:sz="0" w:space="0" w:color="auto"/>
                            <w:bottom w:val="none" w:sz="0" w:space="0" w:color="auto"/>
                            <w:right w:val="none" w:sz="0" w:space="0" w:color="auto"/>
                          </w:divBdr>
                          <w:divsChild>
                            <w:div w:id="529609589">
                              <w:marLeft w:val="0"/>
                              <w:marRight w:val="0"/>
                              <w:marTop w:val="0"/>
                              <w:marBottom w:val="0"/>
                              <w:divBdr>
                                <w:top w:val="none" w:sz="0" w:space="0" w:color="auto"/>
                                <w:left w:val="none" w:sz="0" w:space="0" w:color="auto"/>
                                <w:bottom w:val="none" w:sz="0" w:space="0" w:color="auto"/>
                                <w:right w:val="none" w:sz="0" w:space="0" w:color="auto"/>
                              </w:divBdr>
                              <w:divsChild>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203975412">
      <w:bodyDiv w:val="1"/>
      <w:marLeft w:val="0"/>
      <w:marRight w:val="0"/>
      <w:marTop w:val="0"/>
      <w:marBottom w:val="0"/>
      <w:divBdr>
        <w:top w:val="none" w:sz="0" w:space="0" w:color="auto"/>
        <w:left w:val="none" w:sz="0" w:space="0" w:color="auto"/>
        <w:bottom w:val="none" w:sz="0" w:space="0" w:color="auto"/>
        <w:right w:val="none" w:sz="0" w:space="0" w:color="auto"/>
      </w:divBdr>
      <w:divsChild>
        <w:div w:id="1688290350">
          <w:marLeft w:val="0"/>
          <w:marRight w:val="0"/>
          <w:marTop w:val="0"/>
          <w:marBottom w:val="0"/>
          <w:divBdr>
            <w:top w:val="none" w:sz="0" w:space="0" w:color="auto"/>
            <w:left w:val="none" w:sz="0" w:space="0" w:color="auto"/>
            <w:bottom w:val="none" w:sz="0" w:space="0" w:color="auto"/>
            <w:right w:val="none" w:sz="0" w:space="0" w:color="auto"/>
          </w:divBdr>
          <w:divsChild>
            <w:div w:id="1517689360">
              <w:marLeft w:val="0"/>
              <w:marRight w:val="0"/>
              <w:marTop w:val="0"/>
              <w:marBottom w:val="0"/>
              <w:divBdr>
                <w:top w:val="none" w:sz="0" w:space="0" w:color="auto"/>
                <w:left w:val="none" w:sz="0" w:space="0" w:color="auto"/>
                <w:bottom w:val="none" w:sz="0" w:space="0" w:color="auto"/>
                <w:right w:val="none" w:sz="0" w:space="0" w:color="auto"/>
              </w:divBdr>
              <w:divsChild>
                <w:div w:id="1791632165">
                  <w:marLeft w:val="0"/>
                  <w:marRight w:val="0"/>
                  <w:marTop w:val="0"/>
                  <w:marBottom w:val="0"/>
                  <w:divBdr>
                    <w:top w:val="none" w:sz="0" w:space="0" w:color="auto"/>
                    <w:left w:val="none" w:sz="0" w:space="0" w:color="auto"/>
                    <w:bottom w:val="none" w:sz="0" w:space="0" w:color="auto"/>
                    <w:right w:val="none" w:sz="0" w:space="0" w:color="auto"/>
                  </w:divBdr>
                  <w:divsChild>
                    <w:div w:id="645739880">
                      <w:marLeft w:val="0"/>
                      <w:marRight w:val="0"/>
                      <w:marTop w:val="0"/>
                      <w:marBottom w:val="0"/>
                      <w:divBdr>
                        <w:top w:val="none" w:sz="0" w:space="0" w:color="auto"/>
                        <w:left w:val="none" w:sz="0" w:space="0" w:color="auto"/>
                        <w:bottom w:val="none" w:sz="0" w:space="0" w:color="auto"/>
                        <w:right w:val="none" w:sz="0" w:space="0" w:color="auto"/>
                      </w:divBdr>
                      <w:divsChild>
                        <w:div w:id="1786460352">
                          <w:marLeft w:val="0"/>
                          <w:marRight w:val="0"/>
                          <w:marTop w:val="0"/>
                          <w:marBottom w:val="0"/>
                          <w:divBdr>
                            <w:top w:val="none" w:sz="0" w:space="0" w:color="auto"/>
                            <w:left w:val="none" w:sz="0" w:space="0" w:color="auto"/>
                            <w:bottom w:val="none" w:sz="0" w:space="0" w:color="auto"/>
                            <w:right w:val="none" w:sz="0" w:space="0" w:color="auto"/>
                          </w:divBdr>
                          <w:divsChild>
                            <w:div w:id="1236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8555">
      <w:bodyDiv w:val="1"/>
      <w:marLeft w:val="0"/>
      <w:marRight w:val="0"/>
      <w:marTop w:val="0"/>
      <w:marBottom w:val="0"/>
      <w:divBdr>
        <w:top w:val="none" w:sz="0" w:space="0" w:color="auto"/>
        <w:left w:val="none" w:sz="0" w:space="0" w:color="auto"/>
        <w:bottom w:val="none" w:sz="0" w:space="0" w:color="auto"/>
        <w:right w:val="none" w:sz="0" w:space="0" w:color="auto"/>
      </w:divBdr>
    </w:div>
    <w:div w:id="1841771437">
      <w:bodyDiv w:val="1"/>
      <w:marLeft w:val="0"/>
      <w:marRight w:val="0"/>
      <w:marTop w:val="0"/>
      <w:marBottom w:val="0"/>
      <w:divBdr>
        <w:top w:val="none" w:sz="0" w:space="0" w:color="auto"/>
        <w:left w:val="none" w:sz="0" w:space="0" w:color="auto"/>
        <w:bottom w:val="none" w:sz="0" w:space="0" w:color="auto"/>
        <w:right w:val="none" w:sz="0" w:space="0" w:color="auto"/>
      </w:divBdr>
      <w:divsChild>
        <w:div w:id="808867118">
          <w:marLeft w:val="0"/>
          <w:marRight w:val="0"/>
          <w:marTop w:val="0"/>
          <w:marBottom w:val="0"/>
          <w:divBdr>
            <w:top w:val="none" w:sz="0" w:space="0" w:color="auto"/>
            <w:left w:val="none" w:sz="0" w:space="0" w:color="auto"/>
            <w:bottom w:val="none" w:sz="0" w:space="0" w:color="auto"/>
            <w:right w:val="none" w:sz="0" w:space="0" w:color="auto"/>
          </w:divBdr>
          <w:divsChild>
            <w:div w:id="357199331">
              <w:marLeft w:val="0"/>
              <w:marRight w:val="0"/>
              <w:marTop w:val="0"/>
              <w:marBottom w:val="0"/>
              <w:divBdr>
                <w:top w:val="none" w:sz="0" w:space="0" w:color="auto"/>
                <w:left w:val="none" w:sz="0" w:space="0" w:color="auto"/>
                <w:bottom w:val="none" w:sz="0" w:space="0" w:color="auto"/>
                <w:right w:val="none" w:sz="0" w:space="0" w:color="auto"/>
              </w:divBdr>
              <w:divsChild>
                <w:div w:id="1194612672">
                  <w:marLeft w:val="0"/>
                  <w:marRight w:val="0"/>
                  <w:marTop w:val="0"/>
                  <w:marBottom w:val="0"/>
                  <w:divBdr>
                    <w:top w:val="none" w:sz="0" w:space="0" w:color="auto"/>
                    <w:left w:val="none" w:sz="0" w:space="0" w:color="auto"/>
                    <w:bottom w:val="none" w:sz="0" w:space="0" w:color="auto"/>
                    <w:right w:val="none" w:sz="0" w:space="0" w:color="auto"/>
                  </w:divBdr>
                  <w:divsChild>
                    <w:div w:id="938030132">
                      <w:marLeft w:val="0"/>
                      <w:marRight w:val="0"/>
                      <w:marTop w:val="0"/>
                      <w:marBottom w:val="0"/>
                      <w:divBdr>
                        <w:top w:val="none" w:sz="0" w:space="0" w:color="auto"/>
                        <w:left w:val="none" w:sz="0" w:space="0" w:color="auto"/>
                        <w:bottom w:val="none" w:sz="0" w:space="0" w:color="auto"/>
                        <w:right w:val="none" w:sz="0" w:space="0" w:color="auto"/>
                      </w:divBdr>
                      <w:divsChild>
                        <w:div w:id="1123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3839">
              <w:marLeft w:val="0"/>
              <w:marRight w:val="0"/>
              <w:marTop w:val="0"/>
              <w:marBottom w:val="0"/>
              <w:divBdr>
                <w:top w:val="none" w:sz="0" w:space="0" w:color="auto"/>
                <w:left w:val="none" w:sz="0" w:space="0" w:color="auto"/>
                <w:bottom w:val="none" w:sz="0" w:space="0" w:color="auto"/>
                <w:right w:val="none" w:sz="0" w:space="0" w:color="auto"/>
              </w:divBdr>
              <w:divsChild>
                <w:div w:id="530991547">
                  <w:marLeft w:val="0"/>
                  <w:marRight w:val="0"/>
                  <w:marTop w:val="0"/>
                  <w:marBottom w:val="0"/>
                  <w:divBdr>
                    <w:top w:val="none" w:sz="0" w:space="0" w:color="auto"/>
                    <w:left w:val="none" w:sz="0" w:space="0" w:color="auto"/>
                    <w:bottom w:val="none" w:sz="0" w:space="0" w:color="auto"/>
                    <w:right w:val="none" w:sz="0" w:space="0" w:color="auto"/>
                  </w:divBdr>
                  <w:divsChild>
                    <w:div w:id="894313138">
                      <w:marLeft w:val="0"/>
                      <w:marRight w:val="0"/>
                      <w:marTop w:val="0"/>
                      <w:marBottom w:val="0"/>
                      <w:divBdr>
                        <w:top w:val="none" w:sz="0" w:space="0" w:color="auto"/>
                        <w:left w:val="none" w:sz="0" w:space="0" w:color="auto"/>
                        <w:bottom w:val="none" w:sz="0" w:space="0" w:color="auto"/>
                        <w:right w:val="none" w:sz="0" w:space="0" w:color="auto"/>
                      </w:divBdr>
                      <w:divsChild>
                        <w:div w:id="667440839">
                          <w:marLeft w:val="0"/>
                          <w:marRight w:val="0"/>
                          <w:marTop w:val="0"/>
                          <w:marBottom w:val="0"/>
                          <w:divBdr>
                            <w:top w:val="none" w:sz="0" w:space="0" w:color="auto"/>
                            <w:left w:val="none" w:sz="0" w:space="0" w:color="auto"/>
                            <w:bottom w:val="none" w:sz="0" w:space="0" w:color="auto"/>
                            <w:right w:val="none" w:sz="0" w:space="0" w:color="auto"/>
                          </w:divBdr>
                          <w:divsChild>
                            <w:div w:id="467867784">
                              <w:marLeft w:val="0"/>
                              <w:marRight w:val="0"/>
                              <w:marTop w:val="0"/>
                              <w:marBottom w:val="0"/>
                              <w:divBdr>
                                <w:top w:val="none" w:sz="0" w:space="0" w:color="auto"/>
                                <w:left w:val="none" w:sz="0" w:space="0" w:color="auto"/>
                                <w:bottom w:val="none" w:sz="0" w:space="0" w:color="auto"/>
                                <w:right w:val="none" w:sz="0" w:space="0" w:color="auto"/>
                              </w:divBdr>
                              <w:divsChild>
                                <w:div w:id="887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611">
      <w:bodyDiv w:val="1"/>
      <w:marLeft w:val="0"/>
      <w:marRight w:val="0"/>
      <w:marTop w:val="0"/>
      <w:marBottom w:val="0"/>
      <w:divBdr>
        <w:top w:val="none" w:sz="0" w:space="0" w:color="auto"/>
        <w:left w:val="none" w:sz="0" w:space="0" w:color="auto"/>
        <w:bottom w:val="none" w:sz="0" w:space="0" w:color="auto"/>
        <w:right w:val="none" w:sz="0" w:space="0" w:color="auto"/>
      </w:divBdr>
      <w:divsChild>
        <w:div w:id="1468084013">
          <w:marLeft w:val="0"/>
          <w:marRight w:val="0"/>
          <w:marTop w:val="0"/>
          <w:marBottom w:val="0"/>
          <w:divBdr>
            <w:top w:val="none" w:sz="0" w:space="0" w:color="auto"/>
            <w:left w:val="none" w:sz="0" w:space="0" w:color="auto"/>
            <w:bottom w:val="none" w:sz="0" w:space="0" w:color="auto"/>
            <w:right w:val="none" w:sz="0" w:space="0" w:color="auto"/>
          </w:divBdr>
          <w:divsChild>
            <w:div w:id="425226594">
              <w:marLeft w:val="0"/>
              <w:marRight w:val="0"/>
              <w:marTop w:val="0"/>
              <w:marBottom w:val="0"/>
              <w:divBdr>
                <w:top w:val="none" w:sz="0" w:space="0" w:color="auto"/>
                <w:left w:val="none" w:sz="0" w:space="0" w:color="auto"/>
                <w:bottom w:val="none" w:sz="0" w:space="0" w:color="auto"/>
                <w:right w:val="none" w:sz="0" w:space="0" w:color="auto"/>
              </w:divBdr>
              <w:divsChild>
                <w:div w:id="720901939">
                  <w:marLeft w:val="0"/>
                  <w:marRight w:val="0"/>
                  <w:marTop w:val="0"/>
                  <w:marBottom w:val="0"/>
                  <w:divBdr>
                    <w:top w:val="none" w:sz="0" w:space="0" w:color="auto"/>
                    <w:left w:val="none" w:sz="0" w:space="0" w:color="auto"/>
                    <w:bottom w:val="none" w:sz="0" w:space="0" w:color="auto"/>
                    <w:right w:val="none" w:sz="0" w:space="0" w:color="auto"/>
                  </w:divBdr>
                  <w:divsChild>
                    <w:div w:id="68768518">
                      <w:marLeft w:val="0"/>
                      <w:marRight w:val="0"/>
                      <w:marTop w:val="0"/>
                      <w:marBottom w:val="0"/>
                      <w:divBdr>
                        <w:top w:val="none" w:sz="0" w:space="0" w:color="auto"/>
                        <w:left w:val="none" w:sz="0" w:space="0" w:color="auto"/>
                        <w:bottom w:val="none" w:sz="0" w:space="0" w:color="auto"/>
                        <w:right w:val="none" w:sz="0" w:space="0" w:color="auto"/>
                      </w:divBdr>
                      <w:divsChild>
                        <w:div w:id="1779906958">
                          <w:marLeft w:val="0"/>
                          <w:marRight w:val="0"/>
                          <w:marTop w:val="0"/>
                          <w:marBottom w:val="0"/>
                          <w:divBdr>
                            <w:top w:val="none" w:sz="0" w:space="0" w:color="auto"/>
                            <w:left w:val="none" w:sz="0" w:space="0" w:color="auto"/>
                            <w:bottom w:val="none" w:sz="0" w:space="0" w:color="auto"/>
                            <w:right w:val="none" w:sz="0" w:space="0" w:color="auto"/>
                          </w:divBdr>
                          <w:divsChild>
                            <w:div w:id="19643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37194">
      <w:bodyDiv w:val="1"/>
      <w:marLeft w:val="0"/>
      <w:marRight w:val="0"/>
      <w:marTop w:val="0"/>
      <w:marBottom w:val="0"/>
      <w:divBdr>
        <w:top w:val="none" w:sz="0" w:space="0" w:color="auto"/>
        <w:left w:val="none" w:sz="0" w:space="0" w:color="auto"/>
        <w:bottom w:val="none" w:sz="0" w:space="0" w:color="auto"/>
        <w:right w:val="none" w:sz="0" w:space="0" w:color="auto"/>
      </w:divBdr>
    </w:div>
    <w:div w:id="1991669537">
      <w:bodyDiv w:val="1"/>
      <w:marLeft w:val="0"/>
      <w:marRight w:val="0"/>
      <w:marTop w:val="0"/>
      <w:marBottom w:val="0"/>
      <w:divBdr>
        <w:top w:val="none" w:sz="0" w:space="0" w:color="auto"/>
        <w:left w:val="none" w:sz="0" w:space="0" w:color="auto"/>
        <w:bottom w:val="none" w:sz="0" w:space="0" w:color="auto"/>
        <w:right w:val="none" w:sz="0" w:space="0" w:color="auto"/>
      </w:divBdr>
      <w:divsChild>
        <w:div w:id="1149902726">
          <w:marLeft w:val="0"/>
          <w:marRight w:val="0"/>
          <w:marTop w:val="0"/>
          <w:marBottom w:val="0"/>
          <w:divBdr>
            <w:top w:val="none" w:sz="0" w:space="0" w:color="auto"/>
            <w:left w:val="none" w:sz="0" w:space="0" w:color="auto"/>
            <w:bottom w:val="none" w:sz="0" w:space="0" w:color="auto"/>
            <w:right w:val="none" w:sz="0" w:space="0" w:color="auto"/>
          </w:divBdr>
          <w:divsChild>
            <w:div w:id="177818401">
              <w:marLeft w:val="0"/>
              <w:marRight w:val="0"/>
              <w:marTop w:val="0"/>
              <w:marBottom w:val="0"/>
              <w:divBdr>
                <w:top w:val="none" w:sz="0" w:space="0" w:color="auto"/>
                <w:left w:val="none" w:sz="0" w:space="0" w:color="auto"/>
                <w:bottom w:val="none" w:sz="0" w:space="0" w:color="auto"/>
                <w:right w:val="none" w:sz="0" w:space="0" w:color="auto"/>
              </w:divBdr>
              <w:divsChild>
                <w:div w:id="1354648241">
                  <w:marLeft w:val="0"/>
                  <w:marRight w:val="0"/>
                  <w:marTop w:val="0"/>
                  <w:marBottom w:val="0"/>
                  <w:divBdr>
                    <w:top w:val="none" w:sz="0" w:space="0" w:color="auto"/>
                    <w:left w:val="none" w:sz="0" w:space="0" w:color="auto"/>
                    <w:bottom w:val="none" w:sz="0" w:space="0" w:color="auto"/>
                    <w:right w:val="none" w:sz="0" w:space="0" w:color="auto"/>
                  </w:divBdr>
                  <w:divsChild>
                    <w:div w:id="1528373079">
                      <w:marLeft w:val="0"/>
                      <w:marRight w:val="0"/>
                      <w:marTop w:val="0"/>
                      <w:marBottom w:val="0"/>
                      <w:divBdr>
                        <w:top w:val="none" w:sz="0" w:space="0" w:color="auto"/>
                        <w:left w:val="none" w:sz="0" w:space="0" w:color="auto"/>
                        <w:bottom w:val="none" w:sz="0" w:space="0" w:color="auto"/>
                        <w:right w:val="none" w:sz="0" w:space="0" w:color="auto"/>
                      </w:divBdr>
                      <w:divsChild>
                        <w:div w:id="1659919806">
                          <w:marLeft w:val="0"/>
                          <w:marRight w:val="0"/>
                          <w:marTop w:val="0"/>
                          <w:marBottom w:val="0"/>
                          <w:divBdr>
                            <w:top w:val="none" w:sz="0" w:space="0" w:color="auto"/>
                            <w:left w:val="none" w:sz="0" w:space="0" w:color="auto"/>
                            <w:bottom w:val="none" w:sz="0" w:space="0" w:color="auto"/>
                            <w:right w:val="none" w:sz="0" w:space="0" w:color="auto"/>
                          </w:divBdr>
                          <w:divsChild>
                            <w:div w:id="14061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48253">
      <w:bodyDiv w:val="1"/>
      <w:marLeft w:val="0"/>
      <w:marRight w:val="0"/>
      <w:marTop w:val="0"/>
      <w:marBottom w:val="0"/>
      <w:divBdr>
        <w:top w:val="none" w:sz="0" w:space="0" w:color="auto"/>
        <w:left w:val="none" w:sz="0" w:space="0" w:color="auto"/>
        <w:bottom w:val="none" w:sz="0" w:space="0" w:color="auto"/>
        <w:right w:val="none" w:sz="0" w:space="0" w:color="auto"/>
      </w:divBdr>
      <w:divsChild>
        <w:div w:id="192351930">
          <w:marLeft w:val="0"/>
          <w:marRight w:val="0"/>
          <w:marTop w:val="0"/>
          <w:marBottom w:val="0"/>
          <w:divBdr>
            <w:top w:val="none" w:sz="0" w:space="0" w:color="auto"/>
            <w:left w:val="none" w:sz="0" w:space="0" w:color="auto"/>
            <w:bottom w:val="none" w:sz="0" w:space="0" w:color="auto"/>
            <w:right w:val="none" w:sz="0" w:space="0" w:color="auto"/>
          </w:divBdr>
          <w:divsChild>
            <w:div w:id="1263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B038-1E05-4760-A4BB-D075C931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7</Pages>
  <Words>10465</Words>
  <Characters>5966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94</cp:revision>
  <cp:lastPrinted>2013-05-27T09:43:00Z</cp:lastPrinted>
  <dcterms:created xsi:type="dcterms:W3CDTF">2013-02-12T08:30:00Z</dcterms:created>
  <dcterms:modified xsi:type="dcterms:W3CDTF">2013-05-27T09:45:00Z</dcterms:modified>
</cp:coreProperties>
</file>