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BC" w:rsidRPr="009F6E8E" w:rsidRDefault="001D26BC" w:rsidP="001D26BC"/>
    <w:p w:rsidR="001D26BC" w:rsidRPr="009F6E8E" w:rsidRDefault="001D26BC" w:rsidP="001D26BC"/>
    <w:p w:rsidR="001D26BC" w:rsidRPr="009F6E8E" w:rsidRDefault="001D26BC" w:rsidP="001D26BC"/>
    <w:p w:rsidR="001D26BC" w:rsidRPr="009F6E8E" w:rsidRDefault="001D26BC" w:rsidP="001D26BC"/>
    <w:p w:rsidR="001D26BC" w:rsidRPr="009F6E8E" w:rsidRDefault="001D26BC" w:rsidP="001D26BC"/>
    <w:p w:rsidR="001D26BC" w:rsidRPr="009F6E8E" w:rsidRDefault="001D26BC" w:rsidP="001D26BC"/>
    <w:p w:rsidR="001D26BC" w:rsidRPr="009F6E8E" w:rsidRDefault="001D26BC" w:rsidP="001D26BC"/>
    <w:p w:rsidR="001D26BC" w:rsidRDefault="001D26BC" w:rsidP="001D26BC"/>
    <w:p w:rsidR="001D26BC" w:rsidRDefault="001D26BC" w:rsidP="001D26BC"/>
    <w:p w:rsidR="001D26BC" w:rsidRDefault="001D26BC" w:rsidP="001D26BC"/>
    <w:p w:rsidR="001D26BC" w:rsidRPr="009F6E8E" w:rsidRDefault="001D26BC" w:rsidP="001D26BC"/>
    <w:p w:rsidR="001D26BC" w:rsidRPr="009F6E8E" w:rsidRDefault="001D26BC" w:rsidP="001D26BC"/>
    <w:p w:rsidR="001D26BC" w:rsidRPr="009F6E8E" w:rsidRDefault="001D26BC" w:rsidP="001D26BC"/>
    <w:p w:rsidR="001D26BC" w:rsidRPr="009F6E8E" w:rsidRDefault="001D26BC" w:rsidP="001D26BC">
      <w:pPr>
        <w:jc w:val="center"/>
        <w:rPr>
          <w:b/>
          <w:sz w:val="44"/>
          <w:szCs w:val="40"/>
        </w:rPr>
      </w:pPr>
      <w:r>
        <w:rPr>
          <w:b/>
          <w:sz w:val="44"/>
          <w:szCs w:val="40"/>
        </w:rPr>
        <w:t xml:space="preserve">Koncepcija par </w:t>
      </w:r>
      <w:r w:rsidR="000C7940">
        <w:rPr>
          <w:b/>
          <w:sz w:val="44"/>
          <w:szCs w:val="40"/>
        </w:rPr>
        <w:t>kosmosa tehnoloģiju attīstību</w:t>
      </w:r>
      <w:r>
        <w:rPr>
          <w:b/>
          <w:sz w:val="44"/>
          <w:szCs w:val="40"/>
        </w:rPr>
        <w:t xml:space="preserve"> un kosmosa </w:t>
      </w:r>
      <w:proofErr w:type="spellStart"/>
      <w:r>
        <w:rPr>
          <w:b/>
          <w:sz w:val="44"/>
          <w:szCs w:val="40"/>
        </w:rPr>
        <w:t>rīcībpolitikas</w:t>
      </w:r>
      <w:proofErr w:type="spellEnd"/>
      <w:r>
        <w:rPr>
          <w:b/>
          <w:sz w:val="44"/>
          <w:szCs w:val="40"/>
        </w:rPr>
        <w:t xml:space="preserve"> ieviešanu valstī </w:t>
      </w: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jc w:val="center"/>
        <w:rPr>
          <w:sz w:val="28"/>
        </w:rPr>
      </w:pPr>
    </w:p>
    <w:p w:rsidR="001D26BC" w:rsidRPr="009F6E8E" w:rsidRDefault="001D26BC" w:rsidP="001D26BC">
      <w:pPr>
        <w:rPr>
          <w:sz w:val="28"/>
        </w:rPr>
      </w:pPr>
    </w:p>
    <w:p w:rsidR="001D26BC" w:rsidRPr="009F6E8E" w:rsidRDefault="001D26BC" w:rsidP="001D26BC">
      <w:pPr>
        <w:jc w:val="center"/>
        <w:rPr>
          <w:sz w:val="28"/>
        </w:rPr>
      </w:pPr>
    </w:p>
    <w:p w:rsidR="001D26BC" w:rsidRDefault="001D26BC" w:rsidP="001D26BC">
      <w:pPr>
        <w:jc w:val="center"/>
        <w:rPr>
          <w:sz w:val="28"/>
        </w:rPr>
      </w:pPr>
    </w:p>
    <w:p w:rsidR="001D26BC" w:rsidRDefault="001D26BC" w:rsidP="001D26BC">
      <w:pPr>
        <w:jc w:val="center"/>
        <w:rPr>
          <w:sz w:val="28"/>
        </w:rPr>
      </w:pPr>
    </w:p>
    <w:p w:rsidR="001D26BC" w:rsidRDefault="001D26BC" w:rsidP="001D26BC">
      <w:pPr>
        <w:jc w:val="center"/>
        <w:rPr>
          <w:sz w:val="28"/>
        </w:rPr>
      </w:pPr>
    </w:p>
    <w:p w:rsidR="001D26BC" w:rsidRDefault="001D26BC" w:rsidP="001D26BC">
      <w:pPr>
        <w:jc w:val="center"/>
        <w:rPr>
          <w:sz w:val="28"/>
        </w:rPr>
      </w:pPr>
    </w:p>
    <w:p w:rsidR="001D26BC" w:rsidRDefault="001D26BC" w:rsidP="001D26BC">
      <w:pPr>
        <w:jc w:val="center"/>
        <w:rPr>
          <w:sz w:val="28"/>
        </w:rPr>
      </w:pPr>
    </w:p>
    <w:p w:rsidR="001D26BC" w:rsidRDefault="001D26BC" w:rsidP="001D26BC">
      <w:pPr>
        <w:jc w:val="center"/>
        <w:rPr>
          <w:sz w:val="28"/>
        </w:rPr>
      </w:pPr>
    </w:p>
    <w:p w:rsidR="001D26BC" w:rsidRPr="009F6E8E" w:rsidRDefault="001D26BC" w:rsidP="001D26BC">
      <w:pPr>
        <w:jc w:val="center"/>
        <w:rPr>
          <w:sz w:val="28"/>
        </w:rPr>
      </w:pPr>
      <w:r w:rsidRPr="009F6E8E">
        <w:rPr>
          <w:sz w:val="28"/>
        </w:rPr>
        <w:t>RĪGA</w:t>
      </w:r>
    </w:p>
    <w:p w:rsidR="001D26BC" w:rsidRPr="00736EA6" w:rsidRDefault="001D26BC" w:rsidP="001D26BC">
      <w:pPr>
        <w:jc w:val="center"/>
        <w:rPr>
          <w:sz w:val="28"/>
        </w:rPr>
      </w:pPr>
      <w:r>
        <w:rPr>
          <w:sz w:val="28"/>
        </w:rPr>
        <w:t>2011</w:t>
      </w:r>
      <w:r w:rsidRPr="009F6E8E">
        <w:rPr>
          <w:sz w:val="28"/>
        </w:rPr>
        <w:t xml:space="preserve">.gada </w:t>
      </w:r>
      <w:r>
        <w:rPr>
          <w:sz w:val="28"/>
        </w:rPr>
        <w:t>septembris</w:t>
      </w:r>
    </w:p>
    <w:p w:rsidR="001D26BC" w:rsidRDefault="001D26BC" w:rsidP="001D26BC">
      <w:pPr>
        <w:jc w:val="center"/>
        <w:rPr>
          <w:b/>
          <w:bCs/>
          <w:sz w:val="36"/>
          <w:szCs w:val="36"/>
        </w:rPr>
      </w:pPr>
    </w:p>
    <w:p w:rsidR="001D26BC" w:rsidRDefault="001D26BC" w:rsidP="001D26BC">
      <w:pPr>
        <w:jc w:val="center"/>
        <w:rPr>
          <w:b/>
          <w:bCs/>
          <w:sz w:val="36"/>
          <w:szCs w:val="36"/>
        </w:rPr>
      </w:pPr>
    </w:p>
    <w:p w:rsidR="001D26BC" w:rsidRPr="009F6E8E" w:rsidRDefault="001D26BC" w:rsidP="001D26BC">
      <w:pPr>
        <w:jc w:val="center"/>
        <w:rPr>
          <w:b/>
          <w:bCs/>
          <w:sz w:val="36"/>
          <w:szCs w:val="36"/>
        </w:rPr>
      </w:pPr>
      <w:r w:rsidRPr="009F6E8E">
        <w:rPr>
          <w:b/>
          <w:bCs/>
          <w:sz w:val="36"/>
          <w:szCs w:val="36"/>
        </w:rPr>
        <w:lastRenderedPageBreak/>
        <w:t>Saturs</w:t>
      </w:r>
    </w:p>
    <w:p w:rsidR="001D26BC" w:rsidRPr="009F6E8E" w:rsidRDefault="001D26BC" w:rsidP="001D26BC">
      <w:pPr>
        <w:jc w:val="center"/>
        <w:rPr>
          <w:sz w:val="8"/>
          <w:szCs w:val="32"/>
        </w:rPr>
      </w:pPr>
    </w:p>
    <w:p w:rsidR="001D26BC" w:rsidRPr="009F6E8E" w:rsidRDefault="001D26BC" w:rsidP="001D26BC">
      <w:pPr>
        <w:jc w:val="center"/>
        <w:rPr>
          <w:sz w:val="28"/>
          <w:szCs w:val="32"/>
        </w:rPr>
      </w:pPr>
    </w:p>
    <w:p w:rsidR="001D26BC" w:rsidRPr="009F6E8E" w:rsidRDefault="001D26BC" w:rsidP="001D26BC">
      <w:pPr>
        <w:jc w:val="center"/>
        <w:rPr>
          <w:sz w:val="28"/>
          <w:szCs w:val="32"/>
        </w:rPr>
      </w:pPr>
    </w:p>
    <w:p w:rsidR="001D26BC" w:rsidRDefault="001D26BC" w:rsidP="001D26BC">
      <w:pPr>
        <w:pStyle w:val="TOC1"/>
      </w:pPr>
    </w:p>
    <w:p w:rsidR="001D26BC" w:rsidRDefault="00277129">
      <w:pPr>
        <w:pStyle w:val="TOC1"/>
        <w:rPr>
          <w:rFonts w:asciiTheme="minorHAnsi" w:eastAsiaTheme="minorEastAsia" w:hAnsiTheme="minorHAnsi" w:cstheme="minorBidi"/>
          <w:b w:val="0"/>
          <w:bCs w:val="0"/>
          <w:caps w:val="0"/>
          <w:sz w:val="22"/>
          <w:szCs w:val="22"/>
          <w:lang w:eastAsia="lv-LV"/>
        </w:rPr>
      </w:pPr>
      <w:r>
        <w:rPr>
          <w:rFonts w:eastAsia="Times New Roman"/>
          <w:sz w:val="28"/>
        </w:rPr>
        <w:fldChar w:fldCharType="begin"/>
      </w:r>
      <w:r w:rsidR="001D26BC">
        <w:rPr>
          <w:rFonts w:eastAsia="Times New Roman"/>
          <w:sz w:val="28"/>
        </w:rPr>
        <w:instrText xml:space="preserve"> TOC \o "1-3" \h \z \u </w:instrText>
      </w:r>
      <w:r>
        <w:rPr>
          <w:rFonts w:eastAsia="Times New Roman"/>
          <w:sz w:val="28"/>
        </w:rPr>
        <w:fldChar w:fldCharType="separate"/>
      </w:r>
      <w:hyperlink w:anchor="_Toc303176588" w:history="1">
        <w:r w:rsidR="001D26BC" w:rsidRPr="0088245E">
          <w:rPr>
            <w:rStyle w:val="Hyperlink"/>
          </w:rPr>
          <w:t>Saīsinājumi</w:t>
        </w:r>
        <w:r w:rsidR="001D26BC">
          <w:rPr>
            <w:webHidden/>
          </w:rPr>
          <w:tab/>
        </w:r>
        <w:r>
          <w:rPr>
            <w:webHidden/>
          </w:rPr>
          <w:fldChar w:fldCharType="begin"/>
        </w:r>
        <w:r w:rsidR="001D26BC">
          <w:rPr>
            <w:webHidden/>
          </w:rPr>
          <w:instrText xml:space="preserve"> PAGEREF _Toc303176588 \h </w:instrText>
        </w:r>
        <w:r>
          <w:rPr>
            <w:webHidden/>
          </w:rPr>
        </w:r>
        <w:r>
          <w:rPr>
            <w:webHidden/>
          </w:rPr>
          <w:fldChar w:fldCharType="separate"/>
        </w:r>
        <w:r w:rsidR="00885249">
          <w:rPr>
            <w:webHidden/>
          </w:rPr>
          <w:t>4</w:t>
        </w:r>
        <w:r>
          <w:rPr>
            <w:webHidden/>
          </w:rPr>
          <w:fldChar w:fldCharType="end"/>
        </w:r>
      </w:hyperlink>
    </w:p>
    <w:p w:rsidR="001D26BC" w:rsidRDefault="00277129">
      <w:pPr>
        <w:pStyle w:val="TOC1"/>
        <w:rPr>
          <w:rFonts w:asciiTheme="minorHAnsi" w:eastAsiaTheme="minorEastAsia" w:hAnsiTheme="minorHAnsi" w:cstheme="minorBidi"/>
          <w:b w:val="0"/>
          <w:bCs w:val="0"/>
          <w:caps w:val="0"/>
          <w:sz w:val="22"/>
          <w:szCs w:val="22"/>
          <w:lang w:eastAsia="lv-LV"/>
        </w:rPr>
      </w:pPr>
      <w:hyperlink w:anchor="_Toc303176589" w:history="1">
        <w:r w:rsidR="001D26BC" w:rsidRPr="0088245E">
          <w:rPr>
            <w:rStyle w:val="Hyperlink"/>
          </w:rPr>
          <w:t>I Situācijas detalizēts izklāsts</w:t>
        </w:r>
        <w:r w:rsidR="001D26BC">
          <w:rPr>
            <w:webHidden/>
          </w:rPr>
          <w:tab/>
        </w:r>
        <w:r>
          <w:rPr>
            <w:webHidden/>
          </w:rPr>
          <w:fldChar w:fldCharType="begin"/>
        </w:r>
        <w:r w:rsidR="001D26BC">
          <w:rPr>
            <w:webHidden/>
          </w:rPr>
          <w:instrText xml:space="preserve"> PAGEREF _Toc303176589 \h </w:instrText>
        </w:r>
        <w:r>
          <w:rPr>
            <w:webHidden/>
          </w:rPr>
        </w:r>
        <w:r>
          <w:rPr>
            <w:webHidden/>
          </w:rPr>
          <w:fldChar w:fldCharType="separate"/>
        </w:r>
        <w:r w:rsidR="00885249">
          <w:rPr>
            <w:webHidden/>
          </w:rPr>
          <w:t>6</w:t>
        </w:r>
        <w:r>
          <w:rPr>
            <w:webHidden/>
          </w:rPr>
          <w:fldChar w:fldCharType="end"/>
        </w:r>
      </w:hyperlink>
    </w:p>
    <w:p w:rsidR="001D26BC" w:rsidRDefault="00277129">
      <w:pPr>
        <w:pStyle w:val="TOC2"/>
        <w:tabs>
          <w:tab w:val="right" w:leader="dot" w:pos="8302"/>
        </w:tabs>
        <w:rPr>
          <w:rFonts w:asciiTheme="minorHAnsi" w:eastAsiaTheme="minorEastAsia" w:hAnsiTheme="minorHAnsi" w:cstheme="minorBidi"/>
          <w:smallCaps w:val="0"/>
          <w:noProof/>
          <w:sz w:val="22"/>
          <w:szCs w:val="22"/>
          <w:lang w:eastAsia="lv-LV"/>
        </w:rPr>
      </w:pPr>
      <w:hyperlink w:anchor="_Toc303176590" w:history="1">
        <w:r w:rsidR="001D26BC" w:rsidRPr="0088245E">
          <w:rPr>
            <w:rStyle w:val="Hyperlink"/>
            <w:noProof/>
          </w:rPr>
          <w:t>1.Ievads</w:t>
        </w:r>
        <w:r w:rsidR="001D26BC">
          <w:rPr>
            <w:noProof/>
            <w:webHidden/>
          </w:rPr>
          <w:tab/>
        </w:r>
        <w:r>
          <w:rPr>
            <w:noProof/>
            <w:webHidden/>
          </w:rPr>
          <w:fldChar w:fldCharType="begin"/>
        </w:r>
        <w:r w:rsidR="001D26BC">
          <w:rPr>
            <w:noProof/>
            <w:webHidden/>
          </w:rPr>
          <w:instrText xml:space="preserve"> PAGEREF _Toc303176590 \h </w:instrText>
        </w:r>
        <w:r>
          <w:rPr>
            <w:noProof/>
            <w:webHidden/>
          </w:rPr>
        </w:r>
        <w:r>
          <w:rPr>
            <w:noProof/>
            <w:webHidden/>
          </w:rPr>
          <w:fldChar w:fldCharType="separate"/>
        </w:r>
        <w:r w:rsidR="00885249">
          <w:rPr>
            <w:noProof/>
            <w:webHidden/>
          </w:rPr>
          <w:t>6</w:t>
        </w:r>
        <w:r>
          <w:rPr>
            <w:noProof/>
            <w:webHidden/>
          </w:rPr>
          <w:fldChar w:fldCharType="end"/>
        </w:r>
      </w:hyperlink>
    </w:p>
    <w:p w:rsidR="001D26BC" w:rsidRDefault="00277129">
      <w:pPr>
        <w:pStyle w:val="TOC2"/>
        <w:tabs>
          <w:tab w:val="right" w:leader="dot" w:pos="8302"/>
        </w:tabs>
        <w:rPr>
          <w:rFonts w:asciiTheme="minorHAnsi" w:eastAsiaTheme="minorEastAsia" w:hAnsiTheme="minorHAnsi" w:cstheme="minorBidi"/>
          <w:smallCaps w:val="0"/>
          <w:noProof/>
          <w:sz w:val="22"/>
          <w:szCs w:val="22"/>
          <w:lang w:eastAsia="lv-LV"/>
        </w:rPr>
      </w:pPr>
      <w:hyperlink w:anchor="_Toc303176591" w:history="1">
        <w:r w:rsidR="001D26BC" w:rsidRPr="0088245E">
          <w:rPr>
            <w:rStyle w:val="Hyperlink"/>
            <w:noProof/>
          </w:rPr>
          <w:t>2. Pašreizējais kosmosa nozares raksturojums pasaulē</w:t>
        </w:r>
        <w:r w:rsidR="001D26BC">
          <w:rPr>
            <w:noProof/>
            <w:webHidden/>
          </w:rPr>
          <w:tab/>
        </w:r>
        <w:r>
          <w:rPr>
            <w:noProof/>
            <w:webHidden/>
          </w:rPr>
          <w:fldChar w:fldCharType="begin"/>
        </w:r>
        <w:r w:rsidR="001D26BC">
          <w:rPr>
            <w:noProof/>
            <w:webHidden/>
          </w:rPr>
          <w:instrText xml:space="preserve"> PAGEREF _Toc303176591 \h </w:instrText>
        </w:r>
        <w:r>
          <w:rPr>
            <w:noProof/>
            <w:webHidden/>
          </w:rPr>
        </w:r>
        <w:r>
          <w:rPr>
            <w:noProof/>
            <w:webHidden/>
          </w:rPr>
          <w:fldChar w:fldCharType="separate"/>
        </w:r>
        <w:r w:rsidR="00885249">
          <w:rPr>
            <w:noProof/>
            <w:webHidden/>
          </w:rPr>
          <w:t>8</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592" w:history="1">
        <w:r w:rsidR="001D26BC" w:rsidRPr="0088245E">
          <w:rPr>
            <w:rStyle w:val="Hyperlink"/>
            <w:noProof/>
          </w:rPr>
          <w:t>2.1. Kosmosa nozares radītie pozitīvie ieguvumi</w:t>
        </w:r>
        <w:r w:rsidR="001D26BC">
          <w:rPr>
            <w:noProof/>
            <w:webHidden/>
          </w:rPr>
          <w:tab/>
        </w:r>
        <w:r>
          <w:rPr>
            <w:noProof/>
            <w:webHidden/>
          </w:rPr>
          <w:fldChar w:fldCharType="begin"/>
        </w:r>
        <w:r w:rsidR="001D26BC">
          <w:rPr>
            <w:noProof/>
            <w:webHidden/>
          </w:rPr>
          <w:instrText xml:space="preserve"> PAGEREF _Toc303176592 \h </w:instrText>
        </w:r>
        <w:r>
          <w:rPr>
            <w:noProof/>
            <w:webHidden/>
          </w:rPr>
        </w:r>
        <w:r>
          <w:rPr>
            <w:noProof/>
            <w:webHidden/>
          </w:rPr>
          <w:fldChar w:fldCharType="separate"/>
        </w:r>
        <w:r w:rsidR="00885249">
          <w:rPr>
            <w:noProof/>
            <w:webHidden/>
          </w:rPr>
          <w:t>8</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593" w:history="1">
        <w:r w:rsidR="001D26BC" w:rsidRPr="0088245E">
          <w:rPr>
            <w:rStyle w:val="Hyperlink"/>
            <w:noProof/>
          </w:rPr>
          <w:t>2.2. Kosmosa tehnoloģiju attīstības nākotnes tendences</w:t>
        </w:r>
        <w:r w:rsidR="001D26BC">
          <w:rPr>
            <w:noProof/>
            <w:webHidden/>
          </w:rPr>
          <w:tab/>
        </w:r>
        <w:r>
          <w:rPr>
            <w:noProof/>
            <w:webHidden/>
          </w:rPr>
          <w:fldChar w:fldCharType="begin"/>
        </w:r>
        <w:r w:rsidR="001D26BC">
          <w:rPr>
            <w:noProof/>
            <w:webHidden/>
          </w:rPr>
          <w:instrText xml:space="preserve"> PAGEREF _Toc303176593 \h </w:instrText>
        </w:r>
        <w:r>
          <w:rPr>
            <w:noProof/>
            <w:webHidden/>
          </w:rPr>
        </w:r>
        <w:r>
          <w:rPr>
            <w:noProof/>
            <w:webHidden/>
          </w:rPr>
          <w:fldChar w:fldCharType="separate"/>
        </w:r>
        <w:r w:rsidR="00885249">
          <w:rPr>
            <w:noProof/>
            <w:webHidden/>
          </w:rPr>
          <w:t>10</w:t>
        </w:r>
        <w:r>
          <w:rPr>
            <w:noProof/>
            <w:webHidden/>
          </w:rPr>
          <w:fldChar w:fldCharType="end"/>
        </w:r>
      </w:hyperlink>
    </w:p>
    <w:p w:rsidR="001D26BC" w:rsidRDefault="00277129">
      <w:pPr>
        <w:pStyle w:val="TOC2"/>
        <w:tabs>
          <w:tab w:val="right" w:leader="dot" w:pos="8302"/>
        </w:tabs>
        <w:rPr>
          <w:rFonts w:asciiTheme="minorHAnsi" w:eastAsiaTheme="minorEastAsia" w:hAnsiTheme="minorHAnsi" w:cstheme="minorBidi"/>
          <w:smallCaps w:val="0"/>
          <w:noProof/>
          <w:sz w:val="22"/>
          <w:szCs w:val="22"/>
          <w:lang w:eastAsia="lv-LV"/>
        </w:rPr>
      </w:pPr>
      <w:hyperlink w:anchor="_Toc303176594" w:history="1">
        <w:r w:rsidR="001D26BC" w:rsidRPr="0088245E">
          <w:rPr>
            <w:rStyle w:val="Hyperlink"/>
            <w:noProof/>
          </w:rPr>
          <w:t>3.Latvijas kosmosa tehnoloģiju nozares tendences</w:t>
        </w:r>
        <w:r w:rsidR="001D26BC">
          <w:rPr>
            <w:noProof/>
            <w:webHidden/>
          </w:rPr>
          <w:tab/>
        </w:r>
        <w:r>
          <w:rPr>
            <w:noProof/>
            <w:webHidden/>
          </w:rPr>
          <w:fldChar w:fldCharType="begin"/>
        </w:r>
        <w:r w:rsidR="001D26BC">
          <w:rPr>
            <w:noProof/>
            <w:webHidden/>
          </w:rPr>
          <w:instrText xml:space="preserve"> PAGEREF _Toc303176594 \h </w:instrText>
        </w:r>
        <w:r>
          <w:rPr>
            <w:noProof/>
            <w:webHidden/>
          </w:rPr>
        </w:r>
        <w:r>
          <w:rPr>
            <w:noProof/>
            <w:webHidden/>
          </w:rPr>
          <w:fldChar w:fldCharType="separate"/>
        </w:r>
        <w:r w:rsidR="00885249">
          <w:rPr>
            <w:noProof/>
            <w:webHidden/>
          </w:rPr>
          <w:t>17</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595" w:history="1">
        <w:r w:rsidR="001D26BC" w:rsidRPr="0088245E">
          <w:rPr>
            <w:rStyle w:val="Hyperlink"/>
            <w:noProof/>
          </w:rPr>
          <w:t>3.1. Līdzšinējā integrācija ES un EKA</w:t>
        </w:r>
        <w:r w:rsidR="001D26BC">
          <w:rPr>
            <w:noProof/>
            <w:webHidden/>
          </w:rPr>
          <w:tab/>
        </w:r>
        <w:r>
          <w:rPr>
            <w:noProof/>
            <w:webHidden/>
          </w:rPr>
          <w:fldChar w:fldCharType="begin"/>
        </w:r>
        <w:r w:rsidR="001D26BC">
          <w:rPr>
            <w:noProof/>
            <w:webHidden/>
          </w:rPr>
          <w:instrText xml:space="preserve"> PAGEREF _Toc303176595 \h </w:instrText>
        </w:r>
        <w:r>
          <w:rPr>
            <w:noProof/>
            <w:webHidden/>
          </w:rPr>
        </w:r>
        <w:r>
          <w:rPr>
            <w:noProof/>
            <w:webHidden/>
          </w:rPr>
          <w:fldChar w:fldCharType="separate"/>
        </w:r>
        <w:r w:rsidR="00885249">
          <w:rPr>
            <w:noProof/>
            <w:webHidden/>
          </w:rPr>
          <w:t>18</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596" w:history="1">
        <w:r w:rsidR="001D26BC" w:rsidRPr="0088245E">
          <w:rPr>
            <w:rStyle w:val="Hyperlink"/>
            <w:noProof/>
            <w:lang w:eastAsia="lv-LV"/>
          </w:rPr>
          <w:t>3</w:t>
        </w:r>
        <w:r w:rsidR="001D26BC" w:rsidRPr="0088245E">
          <w:rPr>
            <w:rStyle w:val="Hyperlink"/>
            <w:noProof/>
          </w:rPr>
          <w:t>.2.Valsts Kosmosa tehnoloģiju attīstības darba grupa</w:t>
        </w:r>
        <w:r w:rsidR="001D26BC">
          <w:rPr>
            <w:noProof/>
            <w:webHidden/>
          </w:rPr>
          <w:tab/>
        </w:r>
        <w:r>
          <w:rPr>
            <w:noProof/>
            <w:webHidden/>
          </w:rPr>
          <w:fldChar w:fldCharType="begin"/>
        </w:r>
        <w:r w:rsidR="001D26BC">
          <w:rPr>
            <w:noProof/>
            <w:webHidden/>
          </w:rPr>
          <w:instrText xml:space="preserve"> PAGEREF _Toc303176596 \h </w:instrText>
        </w:r>
        <w:r>
          <w:rPr>
            <w:noProof/>
            <w:webHidden/>
          </w:rPr>
        </w:r>
        <w:r>
          <w:rPr>
            <w:noProof/>
            <w:webHidden/>
          </w:rPr>
          <w:fldChar w:fldCharType="separate"/>
        </w:r>
        <w:r w:rsidR="00885249">
          <w:rPr>
            <w:noProof/>
            <w:webHidden/>
          </w:rPr>
          <w:t>20</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597" w:history="1">
        <w:r w:rsidR="001D26BC" w:rsidRPr="0088245E">
          <w:rPr>
            <w:rStyle w:val="Hyperlink"/>
            <w:noProof/>
          </w:rPr>
          <w:t>3.3. Latvijas zinātniskais un biznesa kosmosa sektora potenciāls</w:t>
        </w:r>
        <w:r w:rsidR="001D26BC">
          <w:rPr>
            <w:noProof/>
            <w:webHidden/>
          </w:rPr>
          <w:tab/>
        </w:r>
        <w:r>
          <w:rPr>
            <w:noProof/>
            <w:webHidden/>
          </w:rPr>
          <w:fldChar w:fldCharType="begin"/>
        </w:r>
        <w:r w:rsidR="001D26BC">
          <w:rPr>
            <w:noProof/>
            <w:webHidden/>
          </w:rPr>
          <w:instrText xml:space="preserve"> PAGEREF _Toc303176597 \h </w:instrText>
        </w:r>
        <w:r>
          <w:rPr>
            <w:noProof/>
            <w:webHidden/>
          </w:rPr>
        </w:r>
        <w:r>
          <w:rPr>
            <w:noProof/>
            <w:webHidden/>
          </w:rPr>
          <w:fldChar w:fldCharType="separate"/>
        </w:r>
        <w:r w:rsidR="00885249">
          <w:rPr>
            <w:noProof/>
            <w:webHidden/>
          </w:rPr>
          <w:t>21</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598" w:history="1">
        <w:r w:rsidR="001D26BC" w:rsidRPr="0088245E">
          <w:rPr>
            <w:rStyle w:val="Hyperlink"/>
            <w:noProof/>
          </w:rPr>
          <w:t>3.4. Publiskā un privātā sektora sadarbība kosmosa jomā</w:t>
        </w:r>
        <w:r w:rsidR="001D26BC">
          <w:rPr>
            <w:noProof/>
            <w:webHidden/>
          </w:rPr>
          <w:tab/>
        </w:r>
        <w:r>
          <w:rPr>
            <w:noProof/>
            <w:webHidden/>
          </w:rPr>
          <w:fldChar w:fldCharType="begin"/>
        </w:r>
        <w:r w:rsidR="001D26BC">
          <w:rPr>
            <w:noProof/>
            <w:webHidden/>
          </w:rPr>
          <w:instrText xml:space="preserve"> PAGEREF _Toc303176598 \h </w:instrText>
        </w:r>
        <w:r>
          <w:rPr>
            <w:noProof/>
            <w:webHidden/>
          </w:rPr>
        </w:r>
        <w:r>
          <w:rPr>
            <w:noProof/>
            <w:webHidden/>
          </w:rPr>
          <w:fldChar w:fldCharType="separate"/>
        </w:r>
        <w:r w:rsidR="00885249">
          <w:rPr>
            <w:noProof/>
            <w:webHidden/>
          </w:rPr>
          <w:t>32</w:t>
        </w:r>
        <w:r>
          <w:rPr>
            <w:noProof/>
            <w:webHidden/>
          </w:rPr>
          <w:fldChar w:fldCharType="end"/>
        </w:r>
      </w:hyperlink>
    </w:p>
    <w:p w:rsidR="001D26BC" w:rsidRDefault="00277129">
      <w:pPr>
        <w:pStyle w:val="TOC1"/>
        <w:rPr>
          <w:rFonts w:asciiTheme="minorHAnsi" w:eastAsiaTheme="minorEastAsia" w:hAnsiTheme="minorHAnsi" w:cstheme="minorBidi"/>
          <w:b w:val="0"/>
          <w:bCs w:val="0"/>
          <w:caps w:val="0"/>
          <w:sz w:val="22"/>
          <w:szCs w:val="22"/>
          <w:lang w:eastAsia="lv-LV"/>
        </w:rPr>
      </w:pPr>
      <w:hyperlink w:anchor="_Toc303176599" w:history="1">
        <w:r w:rsidR="001D26BC" w:rsidRPr="0088245E">
          <w:rPr>
            <w:rStyle w:val="Hyperlink"/>
          </w:rPr>
          <w:t>II Iespējamā rīcība</w:t>
        </w:r>
        <w:r w:rsidR="001D26BC">
          <w:rPr>
            <w:webHidden/>
          </w:rPr>
          <w:tab/>
        </w:r>
        <w:r>
          <w:rPr>
            <w:webHidden/>
          </w:rPr>
          <w:fldChar w:fldCharType="begin"/>
        </w:r>
        <w:r w:rsidR="001D26BC">
          <w:rPr>
            <w:webHidden/>
          </w:rPr>
          <w:instrText xml:space="preserve"> PAGEREF _Toc303176599 \h </w:instrText>
        </w:r>
        <w:r>
          <w:rPr>
            <w:webHidden/>
          </w:rPr>
        </w:r>
        <w:r>
          <w:rPr>
            <w:webHidden/>
          </w:rPr>
          <w:fldChar w:fldCharType="separate"/>
        </w:r>
        <w:r w:rsidR="00885249">
          <w:rPr>
            <w:webHidden/>
          </w:rPr>
          <w:t>36</w:t>
        </w:r>
        <w:r>
          <w:rPr>
            <w:webHidden/>
          </w:rPr>
          <w:fldChar w:fldCharType="end"/>
        </w:r>
      </w:hyperlink>
    </w:p>
    <w:p w:rsidR="001D26BC" w:rsidRDefault="00277129">
      <w:pPr>
        <w:pStyle w:val="TOC1"/>
        <w:rPr>
          <w:rFonts w:asciiTheme="minorHAnsi" w:eastAsiaTheme="minorEastAsia" w:hAnsiTheme="minorHAnsi" w:cstheme="minorBidi"/>
          <w:b w:val="0"/>
          <w:bCs w:val="0"/>
          <w:caps w:val="0"/>
          <w:sz w:val="22"/>
          <w:szCs w:val="22"/>
          <w:lang w:eastAsia="lv-LV"/>
        </w:rPr>
      </w:pPr>
      <w:hyperlink w:anchor="_Toc303176600" w:history="1">
        <w:r w:rsidR="001D26BC" w:rsidRPr="0088245E">
          <w:rPr>
            <w:rStyle w:val="Hyperlink"/>
          </w:rPr>
          <w:t>III Iespējamās alternatīvas</w:t>
        </w:r>
        <w:r w:rsidR="001D26BC">
          <w:rPr>
            <w:webHidden/>
          </w:rPr>
          <w:tab/>
        </w:r>
        <w:r>
          <w:rPr>
            <w:webHidden/>
          </w:rPr>
          <w:fldChar w:fldCharType="begin"/>
        </w:r>
        <w:r w:rsidR="001D26BC">
          <w:rPr>
            <w:webHidden/>
          </w:rPr>
          <w:instrText xml:space="preserve"> PAGEREF _Toc303176600 \h </w:instrText>
        </w:r>
        <w:r>
          <w:rPr>
            <w:webHidden/>
          </w:rPr>
        </w:r>
        <w:r>
          <w:rPr>
            <w:webHidden/>
          </w:rPr>
          <w:fldChar w:fldCharType="separate"/>
        </w:r>
        <w:r w:rsidR="00885249">
          <w:rPr>
            <w:webHidden/>
          </w:rPr>
          <w:t>38</w:t>
        </w:r>
        <w:r>
          <w:rPr>
            <w:webHidden/>
          </w:rPr>
          <w:fldChar w:fldCharType="end"/>
        </w:r>
      </w:hyperlink>
    </w:p>
    <w:p w:rsidR="001D26BC" w:rsidRDefault="00277129">
      <w:pPr>
        <w:pStyle w:val="TOC2"/>
        <w:tabs>
          <w:tab w:val="right" w:leader="dot" w:pos="8302"/>
        </w:tabs>
        <w:rPr>
          <w:rFonts w:asciiTheme="minorHAnsi" w:eastAsiaTheme="minorEastAsia" w:hAnsiTheme="minorHAnsi" w:cstheme="minorBidi"/>
          <w:smallCaps w:val="0"/>
          <w:noProof/>
          <w:sz w:val="22"/>
          <w:szCs w:val="22"/>
          <w:lang w:eastAsia="lv-LV"/>
        </w:rPr>
      </w:pPr>
      <w:hyperlink w:anchor="_Toc303176601" w:history="1">
        <w:r w:rsidR="001D26BC" w:rsidRPr="0088245E">
          <w:rPr>
            <w:rStyle w:val="Hyperlink"/>
            <w:noProof/>
          </w:rPr>
          <w:t>Finanšu un ekonomiskais modelis</w:t>
        </w:r>
        <w:r w:rsidR="001D26BC">
          <w:rPr>
            <w:noProof/>
            <w:webHidden/>
          </w:rPr>
          <w:tab/>
        </w:r>
        <w:r>
          <w:rPr>
            <w:noProof/>
            <w:webHidden/>
          </w:rPr>
          <w:fldChar w:fldCharType="begin"/>
        </w:r>
        <w:r w:rsidR="001D26BC">
          <w:rPr>
            <w:noProof/>
            <w:webHidden/>
          </w:rPr>
          <w:instrText xml:space="preserve"> PAGEREF _Toc303176601 \h </w:instrText>
        </w:r>
        <w:r>
          <w:rPr>
            <w:noProof/>
            <w:webHidden/>
          </w:rPr>
        </w:r>
        <w:r>
          <w:rPr>
            <w:noProof/>
            <w:webHidden/>
          </w:rPr>
          <w:fldChar w:fldCharType="separate"/>
        </w:r>
        <w:r w:rsidR="00885249">
          <w:rPr>
            <w:noProof/>
            <w:webHidden/>
          </w:rPr>
          <w:t>38</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02" w:history="1">
        <w:r w:rsidR="001D26BC" w:rsidRPr="0088245E">
          <w:rPr>
            <w:rStyle w:val="Hyperlink"/>
            <w:noProof/>
          </w:rPr>
          <w:t>Laika periods</w:t>
        </w:r>
        <w:r w:rsidR="001D26BC">
          <w:rPr>
            <w:noProof/>
            <w:webHidden/>
          </w:rPr>
          <w:tab/>
        </w:r>
        <w:r>
          <w:rPr>
            <w:noProof/>
            <w:webHidden/>
          </w:rPr>
          <w:fldChar w:fldCharType="begin"/>
        </w:r>
        <w:r w:rsidR="001D26BC">
          <w:rPr>
            <w:noProof/>
            <w:webHidden/>
          </w:rPr>
          <w:instrText xml:space="preserve"> PAGEREF _Toc303176602 \h </w:instrText>
        </w:r>
        <w:r>
          <w:rPr>
            <w:noProof/>
            <w:webHidden/>
          </w:rPr>
        </w:r>
        <w:r>
          <w:rPr>
            <w:noProof/>
            <w:webHidden/>
          </w:rPr>
          <w:fldChar w:fldCharType="separate"/>
        </w:r>
        <w:r w:rsidR="00885249">
          <w:rPr>
            <w:noProof/>
            <w:webHidden/>
          </w:rPr>
          <w:t>38</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03" w:history="1">
        <w:r w:rsidR="001D26BC" w:rsidRPr="0088245E">
          <w:rPr>
            <w:rStyle w:val="Hyperlink"/>
            <w:noProof/>
          </w:rPr>
          <w:t>Valūta un cenas</w:t>
        </w:r>
        <w:r w:rsidR="001D26BC">
          <w:rPr>
            <w:noProof/>
            <w:webHidden/>
          </w:rPr>
          <w:tab/>
        </w:r>
        <w:r>
          <w:rPr>
            <w:noProof/>
            <w:webHidden/>
          </w:rPr>
          <w:fldChar w:fldCharType="begin"/>
        </w:r>
        <w:r w:rsidR="001D26BC">
          <w:rPr>
            <w:noProof/>
            <w:webHidden/>
          </w:rPr>
          <w:instrText xml:space="preserve"> PAGEREF _Toc303176603 \h </w:instrText>
        </w:r>
        <w:r>
          <w:rPr>
            <w:noProof/>
            <w:webHidden/>
          </w:rPr>
        </w:r>
        <w:r>
          <w:rPr>
            <w:noProof/>
            <w:webHidden/>
          </w:rPr>
          <w:fldChar w:fldCharType="separate"/>
        </w:r>
        <w:r w:rsidR="00885249">
          <w:rPr>
            <w:noProof/>
            <w:webHidden/>
          </w:rPr>
          <w:t>38</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04" w:history="1">
        <w:r w:rsidR="001D26BC" w:rsidRPr="0088245E">
          <w:rPr>
            <w:rStyle w:val="Hyperlink"/>
            <w:noProof/>
          </w:rPr>
          <w:t>Diskonta likme</w:t>
        </w:r>
        <w:r w:rsidR="001D26BC">
          <w:rPr>
            <w:noProof/>
            <w:webHidden/>
          </w:rPr>
          <w:tab/>
        </w:r>
        <w:r>
          <w:rPr>
            <w:noProof/>
            <w:webHidden/>
          </w:rPr>
          <w:fldChar w:fldCharType="begin"/>
        </w:r>
        <w:r w:rsidR="001D26BC">
          <w:rPr>
            <w:noProof/>
            <w:webHidden/>
          </w:rPr>
          <w:instrText xml:space="preserve"> PAGEREF _Toc303176604 \h </w:instrText>
        </w:r>
        <w:r>
          <w:rPr>
            <w:noProof/>
            <w:webHidden/>
          </w:rPr>
        </w:r>
        <w:r>
          <w:rPr>
            <w:noProof/>
            <w:webHidden/>
          </w:rPr>
          <w:fldChar w:fldCharType="separate"/>
        </w:r>
        <w:r w:rsidR="00885249">
          <w:rPr>
            <w:noProof/>
            <w:webHidden/>
          </w:rPr>
          <w:t>38</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05" w:history="1">
        <w:r w:rsidR="001D26BC" w:rsidRPr="0088245E">
          <w:rPr>
            <w:rStyle w:val="Hyperlink"/>
            <w:noProof/>
          </w:rPr>
          <w:t>Izdevumi</w:t>
        </w:r>
        <w:r w:rsidR="001D26BC">
          <w:rPr>
            <w:noProof/>
            <w:webHidden/>
          </w:rPr>
          <w:tab/>
        </w:r>
        <w:r>
          <w:rPr>
            <w:noProof/>
            <w:webHidden/>
          </w:rPr>
          <w:fldChar w:fldCharType="begin"/>
        </w:r>
        <w:r w:rsidR="001D26BC">
          <w:rPr>
            <w:noProof/>
            <w:webHidden/>
          </w:rPr>
          <w:instrText xml:space="preserve"> PAGEREF _Toc303176605 \h </w:instrText>
        </w:r>
        <w:r>
          <w:rPr>
            <w:noProof/>
            <w:webHidden/>
          </w:rPr>
        </w:r>
        <w:r>
          <w:rPr>
            <w:noProof/>
            <w:webHidden/>
          </w:rPr>
          <w:fldChar w:fldCharType="separate"/>
        </w:r>
        <w:r w:rsidR="00885249">
          <w:rPr>
            <w:noProof/>
            <w:webHidden/>
          </w:rPr>
          <w:t>38</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06" w:history="1">
        <w:r w:rsidR="001D26BC" w:rsidRPr="0088245E">
          <w:rPr>
            <w:rStyle w:val="Hyperlink"/>
            <w:noProof/>
          </w:rPr>
          <w:t>Finanšu ieņēmumi</w:t>
        </w:r>
        <w:r w:rsidR="001D26BC">
          <w:rPr>
            <w:noProof/>
            <w:webHidden/>
          </w:rPr>
          <w:tab/>
        </w:r>
        <w:r>
          <w:rPr>
            <w:noProof/>
            <w:webHidden/>
          </w:rPr>
          <w:fldChar w:fldCharType="begin"/>
        </w:r>
        <w:r w:rsidR="001D26BC">
          <w:rPr>
            <w:noProof/>
            <w:webHidden/>
          </w:rPr>
          <w:instrText xml:space="preserve"> PAGEREF _Toc303176606 \h </w:instrText>
        </w:r>
        <w:r>
          <w:rPr>
            <w:noProof/>
            <w:webHidden/>
          </w:rPr>
        </w:r>
        <w:r>
          <w:rPr>
            <w:noProof/>
            <w:webHidden/>
          </w:rPr>
          <w:fldChar w:fldCharType="separate"/>
        </w:r>
        <w:r w:rsidR="00885249">
          <w:rPr>
            <w:noProof/>
            <w:webHidden/>
          </w:rPr>
          <w:t>39</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07" w:history="1">
        <w:r w:rsidR="001D26BC" w:rsidRPr="0088245E">
          <w:rPr>
            <w:rStyle w:val="Hyperlink"/>
            <w:noProof/>
          </w:rPr>
          <w:t>Ekonomiskie ieguvumi</w:t>
        </w:r>
        <w:r w:rsidR="001D26BC">
          <w:rPr>
            <w:noProof/>
            <w:webHidden/>
          </w:rPr>
          <w:tab/>
        </w:r>
        <w:r>
          <w:rPr>
            <w:noProof/>
            <w:webHidden/>
          </w:rPr>
          <w:fldChar w:fldCharType="begin"/>
        </w:r>
        <w:r w:rsidR="001D26BC">
          <w:rPr>
            <w:noProof/>
            <w:webHidden/>
          </w:rPr>
          <w:instrText xml:space="preserve"> PAGEREF _Toc303176607 \h </w:instrText>
        </w:r>
        <w:r>
          <w:rPr>
            <w:noProof/>
            <w:webHidden/>
          </w:rPr>
        </w:r>
        <w:r>
          <w:rPr>
            <w:noProof/>
            <w:webHidden/>
          </w:rPr>
          <w:fldChar w:fldCharType="separate"/>
        </w:r>
        <w:r w:rsidR="00885249">
          <w:rPr>
            <w:noProof/>
            <w:webHidden/>
          </w:rPr>
          <w:t>39</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08" w:history="1">
        <w:r w:rsidR="001D26BC" w:rsidRPr="0088245E">
          <w:rPr>
            <w:rStyle w:val="Hyperlink"/>
            <w:noProof/>
          </w:rPr>
          <w:t>Limitācijas un konservatīva pieeja</w:t>
        </w:r>
        <w:r w:rsidR="001D26BC">
          <w:rPr>
            <w:noProof/>
            <w:webHidden/>
          </w:rPr>
          <w:tab/>
        </w:r>
        <w:r>
          <w:rPr>
            <w:noProof/>
            <w:webHidden/>
          </w:rPr>
          <w:fldChar w:fldCharType="begin"/>
        </w:r>
        <w:r w:rsidR="001D26BC">
          <w:rPr>
            <w:noProof/>
            <w:webHidden/>
          </w:rPr>
          <w:instrText xml:space="preserve"> PAGEREF _Toc303176608 \h </w:instrText>
        </w:r>
        <w:r>
          <w:rPr>
            <w:noProof/>
            <w:webHidden/>
          </w:rPr>
        </w:r>
        <w:r>
          <w:rPr>
            <w:noProof/>
            <w:webHidden/>
          </w:rPr>
          <w:fldChar w:fldCharType="separate"/>
        </w:r>
        <w:r w:rsidR="00885249">
          <w:rPr>
            <w:noProof/>
            <w:webHidden/>
          </w:rPr>
          <w:t>40</w:t>
        </w:r>
        <w:r>
          <w:rPr>
            <w:noProof/>
            <w:webHidden/>
          </w:rPr>
          <w:fldChar w:fldCharType="end"/>
        </w:r>
      </w:hyperlink>
    </w:p>
    <w:p w:rsidR="001D26BC" w:rsidRDefault="00277129">
      <w:pPr>
        <w:pStyle w:val="TOC2"/>
        <w:tabs>
          <w:tab w:val="right" w:leader="dot" w:pos="8302"/>
        </w:tabs>
        <w:rPr>
          <w:rFonts w:asciiTheme="minorHAnsi" w:eastAsiaTheme="minorEastAsia" w:hAnsiTheme="minorHAnsi" w:cstheme="minorBidi"/>
          <w:smallCaps w:val="0"/>
          <w:noProof/>
          <w:sz w:val="22"/>
          <w:szCs w:val="22"/>
          <w:lang w:eastAsia="lv-LV"/>
        </w:rPr>
      </w:pPr>
      <w:hyperlink w:anchor="_Toc303176609" w:history="1">
        <w:r w:rsidR="001D26BC" w:rsidRPr="0088245E">
          <w:rPr>
            <w:rStyle w:val="Hyperlink"/>
            <w:noProof/>
          </w:rPr>
          <w:t>Galvenie pieņēmumi un ieejas (</w:t>
        </w:r>
        <w:r w:rsidR="001D26BC" w:rsidRPr="0088245E">
          <w:rPr>
            <w:rStyle w:val="Hyperlink"/>
            <w:i/>
            <w:noProof/>
          </w:rPr>
          <w:t>input</w:t>
        </w:r>
        <w:r w:rsidR="001D26BC" w:rsidRPr="0088245E">
          <w:rPr>
            <w:rStyle w:val="Hyperlink"/>
            <w:noProof/>
          </w:rPr>
          <w:t>) parametri</w:t>
        </w:r>
        <w:r w:rsidR="001D26BC">
          <w:rPr>
            <w:noProof/>
            <w:webHidden/>
          </w:rPr>
          <w:tab/>
        </w:r>
        <w:r>
          <w:rPr>
            <w:noProof/>
            <w:webHidden/>
          </w:rPr>
          <w:fldChar w:fldCharType="begin"/>
        </w:r>
        <w:r w:rsidR="001D26BC">
          <w:rPr>
            <w:noProof/>
            <w:webHidden/>
          </w:rPr>
          <w:instrText xml:space="preserve"> PAGEREF _Toc303176609 \h </w:instrText>
        </w:r>
        <w:r>
          <w:rPr>
            <w:noProof/>
            <w:webHidden/>
          </w:rPr>
        </w:r>
        <w:r>
          <w:rPr>
            <w:noProof/>
            <w:webHidden/>
          </w:rPr>
          <w:fldChar w:fldCharType="separate"/>
        </w:r>
        <w:r w:rsidR="00885249">
          <w:rPr>
            <w:noProof/>
            <w:webHidden/>
          </w:rPr>
          <w:t>41</w:t>
        </w:r>
        <w:r>
          <w:rPr>
            <w:noProof/>
            <w:webHidden/>
          </w:rPr>
          <w:fldChar w:fldCharType="end"/>
        </w:r>
      </w:hyperlink>
    </w:p>
    <w:p w:rsidR="001D26BC" w:rsidRDefault="00277129">
      <w:pPr>
        <w:pStyle w:val="TOC2"/>
        <w:tabs>
          <w:tab w:val="right" w:leader="dot" w:pos="8302"/>
        </w:tabs>
        <w:rPr>
          <w:rFonts w:asciiTheme="minorHAnsi" w:eastAsiaTheme="minorEastAsia" w:hAnsiTheme="minorHAnsi" w:cstheme="minorBidi"/>
          <w:smallCaps w:val="0"/>
          <w:noProof/>
          <w:sz w:val="22"/>
          <w:szCs w:val="22"/>
          <w:lang w:eastAsia="lv-LV"/>
        </w:rPr>
      </w:pPr>
      <w:hyperlink w:anchor="_Toc303176610" w:history="1">
        <w:r w:rsidR="001D26BC" w:rsidRPr="0088245E">
          <w:rPr>
            <w:rStyle w:val="Hyperlink"/>
            <w:noProof/>
          </w:rPr>
          <w:t>Ekonomiskā analīze</w:t>
        </w:r>
        <w:r w:rsidR="001D26BC">
          <w:rPr>
            <w:noProof/>
            <w:webHidden/>
          </w:rPr>
          <w:tab/>
        </w:r>
        <w:r>
          <w:rPr>
            <w:noProof/>
            <w:webHidden/>
          </w:rPr>
          <w:fldChar w:fldCharType="begin"/>
        </w:r>
        <w:r w:rsidR="001D26BC">
          <w:rPr>
            <w:noProof/>
            <w:webHidden/>
          </w:rPr>
          <w:instrText xml:space="preserve"> PAGEREF _Toc303176610 \h </w:instrText>
        </w:r>
        <w:r>
          <w:rPr>
            <w:noProof/>
            <w:webHidden/>
          </w:rPr>
        </w:r>
        <w:r>
          <w:rPr>
            <w:noProof/>
            <w:webHidden/>
          </w:rPr>
          <w:fldChar w:fldCharType="separate"/>
        </w:r>
        <w:r w:rsidR="00885249">
          <w:rPr>
            <w:noProof/>
            <w:webHidden/>
          </w:rPr>
          <w:t>42</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11" w:history="1">
        <w:r w:rsidR="001D26BC" w:rsidRPr="0088245E">
          <w:rPr>
            <w:rStyle w:val="Hyperlink"/>
            <w:noProof/>
          </w:rPr>
          <w:t>A variants - Bāzes alternatīva</w:t>
        </w:r>
        <w:r w:rsidR="001D26BC">
          <w:rPr>
            <w:noProof/>
            <w:webHidden/>
          </w:rPr>
          <w:tab/>
        </w:r>
        <w:r>
          <w:rPr>
            <w:noProof/>
            <w:webHidden/>
          </w:rPr>
          <w:fldChar w:fldCharType="begin"/>
        </w:r>
        <w:r w:rsidR="001D26BC">
          <w:rPr>
            <w:noProof/>
            <w:webHidden/>
          </w:rPr>
          <w:instrText xml:space="preserve"> PAGEREF _Toc303176611 \h </w:instrText>
        </w:r>
        <w:r>
          <w:rPr>
            <w:noProof/>
            <w:webHidden/>
          </w:rPr>
        </w:r>
        <w:r>
          <w:rPr>
            <w:noProof/>
            <w:webHidden/>
          </w:rPr>
          <w:fldChar w:fldCharType="separate"/>
        </w:r>
        <w:r w:rsidR="00885249">
          <w:rPr>
            <w:noProof/>
            <w:webHidden/>
          </w:rPr>
          <w:t>42</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12" w:history="1">
        <w:r w:rsidR="001D26BC" w:rsidRPr="0088245E">
          <w:rPr>
            <w:rStyle w:val="Hyperlink"/>
            <w:noProof/>
          </w:rPr>
          <w:t>B variants – Sadarbības alternatīva</w:t>
        </w:r>
        <w:r w:rsidR="001D26BC">
          <w:rPr>
            <w:noProof/>
            <w:webHidden/>
          </w:rPr>
          <w:tab/>
        </w:r>
        <w:r>
          <w:rPr>
            <w:noProof/>
            <w:webHidden/>
          </w:rPr>
          <w:fldChar w:fldCharType="begin"/>
        </w:r>
        <w:r w:rsidR="001D26BC">
          <w:rPr>
            <w:noProof/>
            <w:webHidden/>
          </w:rPr>
          <w:instrText xml:space="preserve"> PAGEREF _Toc303176612 \h </w:instrText>
        </w:r>
        <w:r>
          <w:rPr>
            <w:noProof/>
            <w:webHidden/>
          </w:rPr>
        </w:r>
        <w:r>
          <w:rPr>
            <w:noProof/>
            <w:webHidden/>
          </w:rPr>
          <w:fldChar w:fldCharType="separate"/>
        </w:r>
        <w:r w:rsidR="00885249">
          <w:rPr>
            <w:noProof/>
            <w:webHidden/>
          </w:rPr>
          <w:t>43</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13" w:history="1">
        <w:r w:rsidR="001D26BC" w:rsidRPr="0088245E">
          <w:rPr>
            <w:rStyle w:val="Hyperlink"/>
            <w:noProof/>
          </w:rPr>
          <w:t>Izdevumi</w:t>
        </w:r>
        <w:r w:rsidR="001D26BC">
          <w:rPr>
            <w:noProof/>
            <w:webHidden/>
          </w:rPr>
          <w:tab/>
        </w:r>
        <w:r>
          <w:rPr>
            <w:noProof/>
            <w:webHidden/>
          </w:rPr>
          <w:fldChar w:fldCharType="begin"/>
        </w:r>
        <w:r w:rsidR="001D26BC">
          <w:rPr>
            <w:noProof/>
            <w:webHidden/>
          </w:rPr>
          <w:instrText xml:space="preserve"> PAGEREF _Toc303176613 \h </w:instrText>
        </w:r>
        <w:r>
          <w:rPr>
            <w:noProof/>
            <w:webHidden/>
          </w:rPr>
        </w:r>
        <w:r>
          <w:rPr>
            <w:noProof/>
            <w:webHidden/>
          </w:rPr>
          <w:fldChar w:fldCharType="separate"/>
        </w:r>
        <w:r w:rsidR="00885249">
          <w:rPr>
            <w:noProof/>
            <w:webHidden/>
          </w:rPr>
          <w:t>44</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14" w:history="1">
        <w:r w:rsidR="001D26BC" w:rsidRPr="0088245E">
          <w:rPr>
            <w:rStyle w:val="Hyperlink"/>
            <w:noProof/>
          </w:rPr>
          <w:t>Scenārijs 2</w:t>
        </w:r>
        <w:r w:rsidR="001D26BC">
          <w:rPr>
            <w:noProof/>
            <w:webHidden/>
          </w:rPr>
          <w:tab/>
        </w:r>
        <w:r>
          <w:rPr>
            <w:noProof/>
            <w:webHidden/>
          </w:rPr>
          <w:fldChar w:fldCharType="begin"/>
        </w:r>
        <w:r w:rsidR="001D26BC">
          <w:rPr>
            <w:noProof/>
            <w:webHidden/>
          </w:rPr>
          <w:instrText xml:space="preserve"> PAGEREF _Toc303176614 \h </w:instrText>
        </w:r>
        <w:r>
          <w:rPr>
            <w:noProof/>
            <w:webHidden/>
          </w:rPr>
        </w:r>
        <w:r>
          <w:rPr>
            <w:noProof/>
            <w:webHidden/>
          </w:rPr>
          <w:fldChar w:fldCharType="separate"/>
        </w:r>
        <w:r w:rsidR="00885249">
          <w:rPr>
            <w:noProof/>
            <w:webHidden/>
          </w:rPr>
          <w:t>45</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15" w:history="1">
        <w:r w:rsidR="001D26BC" w:rsidRPr="0088245E">
          <w:rPr>
            <w:rStyle w:val="Hyperlink"/>
            <w:noProof/>
          </w:rPr>
          <w:t>Scenārijs 3</w:t>
        </w:r>
        <w:r w:rsidR="001D26BC">
          <w:rPr>
            <w:noProof/>
            <w:webHidden/>
          </w:rPr>
          <w:tab/>
        </w:r>
        <w:r>
          <w:rPr>
            <w:noProof/>
            <w:webHidden/>
          </w:rPr>
          <w:fldChar w:fldCharType="begin"/>
        </w:r>
        <w:r w:rsidR="001D26BC">
          <w:rPr>
            <w:noProof/>
            <w:webHidden/>
          </w:rPr>
          <w:instrText xml:space="preserve"> PAGEREF _Toc303176615 \h </w:instrText>
        </w:r>
        <w:r>
          <w:rPr>
            <w:noProof/>
            <w:webHidden/>
          </w:rPr>
        </w:r>
        <w:r>
          <w:rPr>
            <w:noProof/>
            <w:webHidden/>
          </w:rPr>
          <w:fldChar w:fldCharType="separate"/>
        </w:r>
        <w:r w:rsidR="00885249">
          <w:rPr>
            <w:noProof/>
            <w:webHidden/>
          </w:rPr>
          <w:t>46</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16" w:history="1">
        <w:r w:rsidR="001D26BC" w:rsidRPr="0088245E">
          <w:rPr>
            <w:rStyle w:val="Hyperlink"/>
            <w:noProof/>
          </w:rPr>
          <w:t>Ieguvumi</w:t>
        </w:r>
        <w:r w:rsidR="001D26BC">
          <w:rPr>
            <w:noProof/>
            <w:webHidden/>
          </w:rPr>
          <w:tab/>
        </w:r>
        <w:r>
          <w:rPr>
            <w:noProof/>
            <w:webHidden/>
          </w:rPr>
          <w:fldChar w:fldCharType="begin"/>
        </w:r>
        <w:r w:rsidR="001D26BC">
          <w:rPr>
            <w:noProof/>
            <w:webHidden/>
          </w:rPr>
          <w:instrText xml:space="preserve"> PAGEREF _Toc303176616 \h </w:instrText>
        </w:r>
        <w:r>
          <w:rPr>
            <w:noProof/>
            <w:webHidden/>
          </w:rPr>
        </w:r>
        <w:r>
          <w:rPr>
            <w:noProof/>
            <w:webHidden/>
          </w:rPr>
          <w:fldChar w:fldCharType="separate"/>
        </w:r>
        <w:r w:rsidR="00885249">
          <w:rPr>
            <w:noProof/>
            <w:webHidden/>
          </w:rPr>
          <w:t>47</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17" w:history="1">
        <w:r w:rsidR="001D26BC" w:rsidRPr="0088245E">
          <w:rPr>
            <w:rStyle w:val="Hyperlink"/>
            <w:noProof/>
          </w:rPr>
          <w:t>Valsts budžeta izdevumi un investīciju atdeve - Scenāriju 0, 1, 2, 3, kopsavilkums</w:t>
        </w:r>
        <w:r w:rsidR="001D26BC">
          <w:rPr>
            <w:noProof/>
            <w:webHidden/>
          </w:rPr>
          <w:tab/>
        </w:r>
        <w:r>
          <w:rPr>
            <w:noProof/>
            <w:webHidden/>
          </w:rPr>
          <w:fldChar w:fldCharType="begin"/>
        </w:r>
        <w:r w:rsidR="001D26BC">
          <w:rPr>
            <w:noProof/>
            <w:webHidden/>
          </w:rPr>
          <w:instrText xml:space="preserve"> PAGEREF _Toc303176617 \h </w:instrText>
        </w:r>
        <w:r>
          <w:rPr>
            <w:noProof/>
            <w:webHidden/>
          </w:rPr>
        </w:r>
        <w:r>
          <w:rPr>
            <w:noProof/>
            <w:webHidden/>
          </w:rPr>
          <w:fldChar w:fldCharType="separate"/>
        </w:r>
        <w:r w:rsidR="00885249">
          <w:rPr>
            <w:noProof/>
            <w:webHidden/>
          </w:rPr>
          <w:t>47</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18" w:history="1">
        <w:r w:rsidR="001D26BC" w:rsidRPr="0088245E">
          <w:rPr>
            <w:rStyle w:val="Hyperlink"/>
            <w:noProof/>
          </w:rPr>
          <w:t>Finanšu analīze</w:t>
        </w:r>
        <w:r w:rsidR="001D26BC">
          <w:rPr>
            <w:noProof/>
            <w:webHidden/>
          </w:rPr>
          <w:tab/>
        </w:r>
        <w:r>
          <w:rPr>
            <w:noProof/>
            <w:webHidden/>
          </w:rPr>
          <w:fldChar w:fldCharType="begin"/>
        </w:r>
        <w:r w:rsidR="001D26BC">
          <w:rPr>
            <w:noProof/>
            <w:webHidden/>
          </w:rPr>
          <w:instrText xml:space="preserve"> PAGEREF _Toc303176618 \h </w:instrText>
        </w:r>
        <w:r>
          <w:rPr>
            <w:noProof/>
            <w:webHidden/>
          </w:rPr>
        </w:r>
        <w:r>
          <w:rPr>
            <w:noProof/>
            <w:webHidden/>
          </w:rPr>
          <w:fldChar w:fldCharType="separate"/>
        </w:r>
        <w:r w:rsidR="00885249">
          <w:rPr>
            <w:noProof/>
            <w:webHidden/>
          </w:rPr>
          <w:t>48</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19" w:history="1">
        <w:r w:rsidR="001D26BC" w:rsidRPr="0088245E">
          <w:rPr>
            <w:rStyle w:val="Hyperlink"/>
            <w:noProof/>
          </w:rPr>
          <w:t>Jūtīguma analīze</w:t>
        </w:r>
        <w:r w:rsidR="001D26BC">
          <w:rPr>
            <w:noProof/>
            <w:webHidden/>
          </w:rPr>
          <w:tab/>
        </w:r>
        <w:r>
          <w:rPr>
            <w:noProof/>
            <w:webHidden/>
          </w:rPr>
          <w:fldChar w:fldCharType="begin"/>
        </w:r>
        <w:r w:rsidR="001D26BC">
          <w:rPr>
            <w:noProof/>
            <w:webHidden/>
          </w:rPr>
          <w:instrText xml:space="preserve"> PAGEREF _Toc303176619 \h </w:instrText>
        </w:r>
        <w:r>
          <w:rPr>
            <w:noProof/>
            <w:webHidden/>
          </w:rPr>
        </w:r>
        <w:r>
          <w:rPr>
            <w:noProof/>
            <w:webHidden/>
          </w:rPr>
          <w:fldChar w:fldCharType="separate"/>
        </w:r>
        <w:r w:rsidR="00885249">
          <w:rPr>
            <w:noProof/>
            <w:webHidden/>
          </w:rPr>
          <w:t>50</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20" w:history="1">
        <w:r w:rsidR="001D26BC" w:rsidRPr="0088245E">
          <w:rPr>
            <w:rStyle w:val="Hyperlink"/>
            <w:noProof/>
          </w:rPr>
          <w:t>Diskonta likmes izmaiņas</w:t>
        </w:r>
        <w:r w:rsidR="001D26BC">
          <w:rPr>
            <w:noProof/>
            <w:webHidden/>
          </w:rPr>
          <w:tab/>
        </w:r>
        <w:r>
          <w:rPr>
            <w:noProof/>
            <w:webHidden/>
          </w:rPr>
          <w:fldChar w:fldCharType="begin"/>
        </w:r>
        <w:r w:rsidR="001D26BC">
          <w:rPr>
            <w:noProof/>
            <w:webHidden/>
          </w:rPr>
          <w:instrText xml:space="preserve"> PAGEREF _Toc303176620 \h </w:instrText>
        </w:r>
        <w:r>
          <w:rPr>
            <w:noProof/>
            <w:webHidden/>
          </w:rPr>
        </w:r>
        <w:r>
          <w:rPr>
            <w:noProof/>
            <w:webHidden/>
          </w:rPr>
          <w:fldChar w:fldCharType="separate"/>
        </w:r>
        <w:r w:rsidR="00885249">
          <w:rPr>
            <w:noProof/>
            <w:webHidden/>
          </w:rPr>
          <w:t>50</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21" w:history="1">
        <w:r w:rsidR="001D26BC" w:rsidRPr="0088245E">
          <w:rPr>
            <w:rStyle w:val="Hyperlink"/>
            <w:noProof/>
          </w:rPr>
          <w:t>EKA sadarbības valsts maksa</w:t>
        </w:r>
        <w:r w:rsidR="001D26BC">
          <w:rPr>
            <w:noProof/>
            <w:webHidden/>
          </w:rPr>
          <w:tab/>
        </w:r>
        <w:r>
          <w:rPr>
            <w:noProof/>
            <w:webHidden/>
          </w:rPr>
          <w:fldChar w:fldCharType="begin"/>
        </w:r>
        <w:r w:rsidR="001D26BC">
          <w:rPr>
            <w:noProof/>
            <w:webHidden/>
          </w:rPr>
          <w:instrText xml:space="preserve"> PAGEREF _Toc303176621 \h </w:instrText>
        </w:r>
        <w:r>
          <w:rPr>
            <w:noProof/>
            <w:webHidden/>
          </w:rPr>
        </w:r>
        <w:r>
          <w:rPr>
            <w:noProof/>
            <w:webHidden/>
          </w:rPr>
          <w:fldChar w:fldCharType="separate"/>
        </w:r>
        <w:r w:rsidR="00885249">
          <w:rPr>
            <w:noProof/>
            <w:webHidden/>
          </w:rPr>
          <w:t>51</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22" w:history="1">
        <w:r w:rsidR="001D26BC" w:rsidRPr="0088245E">
          <w:rPr>
            <w:rStyle w:val="Hyperlink"/>
            <w:noProof/>
          </w:rPr>
          <w:t>EKA kontraktu apgrozījuma multiplikators</w:t>
        </w:r>
        <w:r w:rsidR="001D26BC">
          <w:rPr>
            <w:noProof/>
            <w:webHidden/>
          </w:rPr>
          <w:tab/>
        </w:r>
        <w:r>
          <w:rPr>
            <w:noProof/>
            <w:webHidden/>
          </w:rPr>
          <w:fldChar w:fldCharType="begin"/>
        </w:r>
        <w:r w:rsidR="001D26BC">
          <w:rPr>
            <w:noProof/>
            <w:webHidden/>
          </w:rPr>
          <w:instrText xml:space="preserve"> PAGEREF _Toc303176622 \h </w:instrText>
        </w:r>
        <w:r>
          <w:rPr>
            <w:noProof/>
            <w:webHidden/>
          </w:rPr>
        </w:r>
        <w:r>
          <w:rPr>
            <w:noProof/>
            <w:webHidden/>
          </w:rPr>
          <w:fldChar w:fldCharType="separate"/>
        </w:r>
        <w:r w:rsidR="00885249">
          <w:rPr>
            <w:noProof/>
            <w:webHidden/>
          </w:rPr>
          <w:t>52</w:t>
        </w:r>
        <w:r>
          <w:rPr>
            <w:noProof/>
            <w:webHidden/>
          </w:rPr>
          <w:fldChar w:fldCharType="end"/>
        </w:r>
      </w:hyperlink>
    </w:p>
    <w:p w:rsidR="001D26BC" w:rsidRDefault="00277129">
      <w:pPr>
        <w:pStyle w:val="TOC2"/>
        <w:tabs>
          <w:tab w:val="right" w:leader="dot" w:pos="8302"/>
        </w:tabs>
        <w:rPr>
          <w:rFonts w:asciiTheme="minorHAnsi" w:eastAsiaTheme="minorEastAsia" w:hAnsiTheme="minorHAnsi" w:cstheme="minorBidi"/>
          <w:smallCaps w:val="0"/>
          <w:noProof/>
          <w:sz w:val="22"/>
          <w:szCs w:val="22"/>
          <w:lang w:eastAsia="lv-LV"/>
        </w:rPr>
      </w:pPr>
      <w:hyperlink w:anchor="_Toc303176623" w:history="1">
        <w:r w:rsidR="001D26BC" w:rsidRPr="0088245E">
          <w:rPr>
            <w:rStyle w:val="Hyperlink"/>
            <w:noProof/>
          </w:rPr>
          <w:t>Risku analīze</w:t>
        </w:r>
        <w:r w:rsidR="001D26BC">
          <w:rPr>
            <w:noProof/>
            <w:webHidden/>
          </w:rPr>
          <w:tab/>
        </w:r>
        <w:r>
          <w:rPr>
            <w:noProof/>
            <w:webHidden/>
          </w:rPr>
          <w:fldChar w:fldCharType="begin"/>
        </w:r>
        <w:r w:rsidR="001D26BC">
          <w:rPr>
            <w:noProof/>
            <w:webHidden/>
          </w:rPr>
          <w:instrText xml:space="preserve"> PAGEREF _Toc303176623 \h </w:instrText>
        </w:r>
        <w:r>
          <w:rPr>
            <w:noProof/>
            <w:webHidden/>
          </w:rPr>
        </w:r>
        <w:r>
          <w:rPr>
            <w:noProof/>
            <w:webHidden/>
          </w:rPr>
          <w:fldChar w:fldCharType="separate"/>
        </w:r>
        <w:r w:rsidR="00885249">
          <w:rPr>
            <w:noProof/>
            <w:webHidden/>
          </w:rPr>
          <w:t>54</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24" w:history="1">
        <w:r w:rsidR="001D26BC" w:rsidRPr="0088245E">
          <w:rPr>
            <w:rStyle w:val="Hyperlink"/>
            <w:noProof/>
          </w:rPr>
          <w:t>Ar EKA darbību saistītie riski</w:t>
        </w:r>
        <w:r w:rsidR="001D26BC">
          <w:rPr>
            <w:noProof/>
            <w:webHidden/>
          </w:rPr>
          <w:tab/>
        </w:r>
        <w:r>
          <w:rPr>
            <w:noProof/>
            <w:webHidden/>
          </w:rPr>
          <w:fldChar w:fldCharType="begin"/>
        </w:r>
        <w:r w:rsidR="001D26BC">
          <w:rPr>
            <w:noProof/>
            <w:webHidden/>
          </w:rPr>
          <w:instrText xml:space="preserve"> PAGEREF _Toc303176624 \h </w:instrText>
        </w:r>
        <w:r>
          <w:rPr>
            <w:noProof/>
            <w:webHidden/>
          </w:rPr>
        </w:r>
        <w:r>
          <w:rPr>
            <w:noProof/>
            <w:webHidden/>
          </w:rPr>
          <w:fldChar w:fldCharType="separate"/>
        </w:r>
        <w:r w:rsidR="00885249">
          <w:rPr>
            <w:noProof/>
            <w:webHidden/>
          </w:rPr>
          <w:t>54</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25" w:history="1">
        <w:r w:rsidR="001D26BC" w:rsidRPr="0088245E">
          <w:rPr>
            <w:rStyle w:val="Hyperlink"/>
            <w:noProof/>
          </w:rPr>
          <w:t>EKA sadarbības valsts maksa</w:t>
        </w:r>
        <w:r w:rsidR="001D26BC">
          <w:rPr>
            <w:noProof/>
            <w:webHidden/>
          </w:rPr>
          <w:tab/>
        </w:r>
        <w:r>
          <w:rPr>
            <w:noProof/>
            <w:webHidden/>
          </w:rPr>
          <w:fldChar w:fldCharType="begin"/>
        </w:r>
        <w:r w:rsidR="001D26BC">
          <w:rPr>
            <w:noProof/>
            <w:webHidden/>
          </w:rPr>
          <w:instrText xml:space="preserve"> PAGEREF _Toc303176625 \h </w:instrText>
        </w:r>
        <w:r>
          <w:rPr>
            <w:noProof/>
            <w:webHidden/>
          </w:rPr>
        </w:r>
        <w:r>
          <w:rPr>
            <w:noProof/>
            <w:webHidden/>
          </w:rPr>
          <w:fldChar w:fldCharType="separate"/>
        </w:r>
        <w:r w:rsidR="00885249">
          <w:rPr>
            <w:noProof/>
            <w:webHidden/>
          </w:rPr>
          <w:t>54</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26" w:history="1">
        <w:r w:rsidR="001D26BC" w:rsidRPr="0088245E">
          <w:rPr>
            <w:rStyle w:val="Hyperlink"/>
            <w:noProof/>
          </w:rPr>
          <w:t>EKA dalībvalsts maksa un vienreizējā iestāšanās maksa</w:t>
        </w:r>
        <w:r w:rsidR="001D26BC">
          <w:rPr>
            <w:noProof/>
            <w:webHidden/>
          </w:rPr>
          <w:tab/>
        </w:r>
        <w:r>
          <w:rPr>
            <w:noProof/>
            <w:webHidden/>
          </w:rPr>
          <w:fldChar w:fldCharType="begin"/>
        </w:r>
        <w:r w:rsidR="001D26BC">
          <w:rPr>
            <w:noProof/>
            <w:webHidden/>
          </w:rPr>
          <w:instrText xml:space="preserve"> PAGEREF _Toc303176626 \h </w:instrText>
        </w:r>
        <w:r>
          <w:rPr>
            <w:noProof/>
            <w:webHidden/>
          </w:rPr>
        </w:r>
        <w:r>
          <w:rPr>
            <w:noProof/>
            <w:webHidden/>
          </w:rPr>
          <w:fldChar w:fldCharType="separate"/>
        </w:r>
        <w:r w:rsidR="00885249">
          <w:rPr>
            <w:noProof/>
            <w:webHidden/>
          </w:rPr>
          <w:t>54</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27" w:history="1">
        <w:r w:rsidR="001D26BC" w:rsidRPr="0088245E">
          <w:rPr>
            <w:rStyle w:val="Hyperlink"/>
            <w:noProof/>
          </w:rPr>
          <w:t>EKA administratīvā ieturējuma procents no sadarbības valsts maksas</w:t>
        </w:r>
        <w:r w:rsidR="001D26BC">
          <w:rPr>
            <w:noProof/>
            <w:webHidden/>
          </w:rPr>
          <w:tab/>
        </w:r>
        <w:r>
          <w:rPr>
            <w:noProof/>
            <w:webHidden/>
          </w:rPr>
          <w:fldChar w:fldCharType="begin"/>
        </w:r>
        <w:r w:rsidR="001D26BC">
          <w:rPr>
            <w:noProof/>
            <w:webHidden/>
          </w:rPr>
          <w:instrText xml:space="preserve"> PAGEREF _Toc303176627 \h </w:instrText>
        </w:r>
        <w:r>
          <w:rPr>
            <w:noProof/>
            <w:webHidden/>
          </w:rPr>
        </w:r>
        <w:r>
          <w:rPr>
            <w:noProof/>
            <w:webHidden/>
          </w:rPr>
          <w:fldChar w:fldCharType="separate"/>
        </w:r>
        <w:r w:rsidR="00885249">
          <w:rPr>
            <w:noProof/>
            <w:webHidden/>
          </w:rPr>
          <w:t>54</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28" w:history="1">
        <w:r w:rsidR="001D26BC" w:rsidRPr="0088245E">
          <w:rPr>
            <w:rStyle w:val="Hyperlink"/>
            <w:noProof/>
          </w:rPr>
          <w:t>Ģeogrāfiskās atdeves princips</w:t>
        </w:r>
        <w:r w:rsidR="001D26BC">
          <w:rPr>
            <w:noProof/>
            <w:webHidden/>
          </w:rPr>
          <w:tab/>
        </w:r>
        <w:r>
          <w:rPr>
            <w:noProof/>
            <w:webHidden/>
          </w:rPr>
          <w:fldChar w:fldCharType="begin"/>
        </w:r>
        <w:r w:rsidR="001D26BC">
          <w:rPr>
            <w:noProof/>
            <w:webHidden/>
          </w:rPr>
          <w:instrText xml:space="preserve"> PAGEREF _Toc303176628 \h </w:instrText>
        </w:r>
        <w:r>
          <w:rPr>
            <w:noProof/>
            <w:webHidden/>
          </w:rPr>
        </w:r>
        <w:r>
          <w:rPr>
            <w:noProof/>
            <w:webHidden/>
          </w:rPr>
          <w:fldChar w:fldCharType="separate"/>
        </w:r>
        <w:r w:rsidR="00885249">
          <w:rPr>
            <w:noProof/>
            <w:webHidden/>
          </w:rPr>
          <w:t>55</w:t>
        </w:r>
        <w:r>
          <w:rPr>
            <w:noProof/>
            <w:webHidden/>
          </w:rPr>
          <w:fldChar w:fldCharType="end"/>
        </w:r>
      </w:hyperlink>
    </w:p>
    <w:p w:rsidR="001D26BC" w:rsidRDefault="00277129">
      <w:pPr>
        <w:pStyle w:val="TOC2"/>
        <w:tabs>
          <w:tab w:val="right" w:leader="dot" w:pos="8302"/>
        </w:tabs>
        <w:rPr>
          <w:rFonts w:asciiTheme="minorHAnsi" w:eastAsiaTheme="minorEastAsia" w:hAnsiTheme="minorHAnsi" w:cstheme="minorBidi"/>
          <w:smallCaps w:val="0"/>
          <w:noProof/>
          <w:sz w:val="22"/>
          <w:szCs w:val="22"/>
          <w:lang w:eastAsia="lv-LV"/>
        </w:rPr>
      </w:pPr>
      <w:hyperlink w:anchor="_Toc303176629" w:history="1">
        <w:r w:rsidR="001D26BC" w:rsidRPr="0088245E">
          <w:rPr>
            <w:rStyle w:val="Hyperlink"/>
            <w:noProof/>
          </w:rPr>
          <w:t>Ar Latvijas kosmosa nozari saistītie riski</w:t>
        </w:r>
        <w:r w:rsidR="001D26BC">
          <w:rPr>
            <w:noProof/>
            <w:webHidden/>
          </w:rPr>
          <w:tab/>
        </w:r>
        <w:r>
          <w:rPr>
            <w:noProof/>
            <w:webHidden/>
          </w:rPr>
          <w:fldChar w:fldCharType="begin"/>
        </w:r>
        <w:r w:rsidR="001D26BC">
          <w:rPr>
            <w:noProof/>
            <w:webHidden/>
          </w:rPr>
          <w:instrText xml:space="preserve"> PAGEREF _Toc303176629 \h </w:instrText>
        </w:r>
        <w:r>
          <w:rPr>
            <w:noProof/>
            <w:webHidden/>
          </w:rPr>
        </w:r>
        <w:r>
          <w:rPr>
            <w:noProof/>
            <w:webHidden/>
          </w:rPr>
          <w:fldChar w:fldCharType="separate"/>
        </w:r>
        <w:r w:rsidR="00885249">
          <w:rPr>
            <w:noProof/>
            <w:webHidden/>
          </w:rPr>
          <w:t>55</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30" w:history="1">
        <w:r w:rsidR="001D26BC" w:rsidRPr="0088245E">
          <w:rPr>
            <w:rStyle w:val="Hyperlink"/>
            <w:noProof/>
          </w:rPr>
          <w:t>Spēja apgūt EKA finansējumu</w:t>
        </w:r>
        <w:r w:rsidR="001D26BC">
          <w:rPr>
            <w:noProof/>
            <w:webHidden/>
          </w:rPr>
          <w:tab/>
        </w:r>
        <w:r>
          <w:rPr>
            <w:noProof/>
            <w:webHidden/>
          </w:rPr>
          <w:fldChar w:fldCharType="begin"/>
        </w:r>
        <w:r w:rsidR="001D26BC">
          <w:rPr>
            <w:noProof/>
            <w:webHidden/>
          </w:rPr>
          <w:instrText xml:space="preserve"> PAGEREF _Toc303176630 \h </w:instrText>
        </w:r>
        <w:r>
          <w:rPr>
            <w:noProof/>
            <w:webHidden/>
          </w:rPr>
        </w:r>
        <w:r>
          <w:rPr>
            <w:noProof/>
            <w:webHidden/>
          </w:rPr>
          <w:fldChar w:fldCharType="separate"/>
        </w:r>
        <w:r w:rsidR="00885249">
          <w:rPr>
            <w:noProof/>
            <w:webHidden/>
          </w:rPr>
          <w:t>55</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31" w:history="1">
        <w:r w:rsidR="001D26BC" w:rsidRPr="0088245E">
          <w:rPr>
            <w:rStyle w:val="Hyperlink"/>
            <w:noProof/>
          </w:rPr>
          <w:t>Cilvēkresursi</w:t>
        </w:r>
        <w:r w:rsidR="001D26BC">
          <w:rPr>
            <w:noProof/>
            <w:webHidden/>
          </w:rPr>
          <w:tab/>
        </w:r>
        <w:r>
          <w:rPr>
            <w:noProof/>
            <w:webHidden/>
          </w:rPr>
          <w:fldChar w:fldCharType="begin"/>
        </w:r>
        <w:r w:rsidR="001D26BC">
          <w:rPr>
            <w:noProof/>
            <w:webHidden/>
          </w:rPr>
          <w:instrText xml:space="preserve"> PAGEREF _Toc303176631 \h </w:instrText>
        </w:r>
        <w:r>
          <w:rPr>
            <w:noProof/>
            <w:webHidden/>
          </w:rPr>
        </w:r>
        <w:r>
          <w:rPr>
            <w:noProof/>
            <w:webHidden/>
          </w:rPr>
          <w:fldChar w:fldCharType="separate"/>
        </w:r>
        <w:r w:rsidR="00885249">
          <w:rPr>
            <w:noProof/>
            <w:webHidden/>
          </w:rPr>
          <w:t>56</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32" w:history="1">
        <w:r w:rsidR="001D26BC" w:rsidRPr="0088245E">
          <w:rPr>
            <w:rStyle w:val="Hyperlink"/>
            <w:noProof/>
          </w:rPr>
          <w:t>Spēja komercializēt EKA ietvaros apgūtās zināšanas ārpus EKA kontraktiem (EKA kontraktu apgrozījuma multiplikators)</w:t>
        </w:r>
        <w:r w:rsidR="001D26BC">
          <w:rPr>
            <w:noProof/>
            <w:webHidden/>
          </w:rPr>
          <w:tab/>
        </w:r>
        <w:r>
          <w:rPr>
            <w:noProof/>
            <w:webHidden/>
          </w:rPr>
          <w:fldChar w:fldCharType="begin"/>
        </w:r>
        <w:r w:rsidR="001D26BC">
          <w:rPr>
            <w:noProof/>
            <w:webHidden/>
          </w:rPr>
          <w:instrText xml:space="preserve"> PAGEREF _Toc303176632 \h </w:instrText>
        </w:r>
        <w:r>
          <w:rPr>
            <w:noProof/>
            <w:webHidden/>
          </w:rPr>
        </w:r>
        <w:r>
          <w:rPr>
            <w:noProof/>
            <w:webHidden/>
          </w:rPr>
          <w:fldChar w:fldCharType="separate"/>
        </w:r>
        <w:r w:rsidR="00885249">
          <w:rPr>
            <w:noProof/>
            <w:webHidden/>
          </w:rPr>
          <w:t>56</w:t>
        </w:r>
        <w:r>
          <w:rPr>
            <w:noProof/>
            <w:webHidden/>
          </w:rPr>
          <w:fldChar w:fldCharType="end"/>
        </w:r>
      </w:hyperlink>
    </w:p>
    <w:p w:rsidR="001D26BC" w:rsidRDefault="00277129">
      <w:pPr>
        <w:pStyle w:val="TOC2"/>
        <w:tabs>
          <w:tab w:val="right" w:leader="dot" w:pos="8302"/>
        </w:tabs>
        <w:rPr>
          <w:rFonts w:asciiTheme="minorHAnsi" w:eastAsiaTheme="minorEastAsia" w:hAnsiTheme="minorHAnsi" w:cstheme="minorBidi"/>
          <w:smallCaps w:val="0"/>
          <w:noProof/>
          <w:sz w:val="22"/>
          <w:szCs w:val="22"/>
          <w:lang w:eastAsia="lv-LV"/>
        </w:rPr>
      </w:pPr>
      <w:hyperlink w:anchor="_Toc303176633" w:history="1">
        <w:r w:rsidR="001D26BC" w:rsidRPr="0088245E">
          <w:rPr>
            <w:rStyle w:val="Hyperlink"/>
            <w:noProof/>
          </w:rPr>
          <w:t>Rezultāti, secinājumi un rekomendācijas</w:t>
        </w:r>
        <w:r w:rsidR="001D26BC">
          <w:rPr>
            <w:noProof/>
            <w:webHidden/>
          </w:rPr>
          <w:tab/>
        </w:r>
        <w:r>
          <w:rPr>
            <w:noProof/>
            <w:webHidden/>
          </w:rPr>
          <w:fldChar w:fldCharType="begin"/>
        </w:r>
        <w:r w:rsidR="001D26BC">
          <w:rPr>
            <w:noProof/>
            <w:webHidden/>
          </w:rPr>
          <w:instrText xml:space="preserve"> PAGEREF _Toc303176633 \h </w:instrText>
        </w:r>
        <w:r>
          <w:rPr>
            <w:noProof/>
            <w:webHidden/>
          </w:rPr>
        </w:r>
        <w:r>
          <w:rPr>
            <w:noProof/>
            <w:webHidden/>
          </w:rPr>
          <w:fldChar w:fldCharType="separate"/>
        </w:r>
        <w:r w:rsidR="00885249">
          <w:rPr>
            <w:noProof/>
            <w:webHidden/>
          </w:rPr>
          <w:t>57</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34" w:history="1">
        <w:r w:rsidR="001D26BC" w:rsidRPr="0088245E">
          <w:rPr>
            <w:rStyle w:val="Hyperlink"/>
            <w:noProof/>
          </w:rPr>
          <w:t>Rezultātu kopsavilkums</w:t>
        </w:r>
        <w:r w:rsidR="001D26BC">
          <w:rPr>
            <w:noProof/>
            <w:webHidden/>
          </w:rPr>
          <w:tab/>
        </w:r>
        <w:r>
          <w:rPr>
            <w:noProof/>
            <w:webHidden/>
          </w:rPr>
          <w:fldChar w:fldCharType="begin"/>
        </w:r>
        <w:r w:rsidR="001D26BC">
          <w:rPr>
            <w:noProof/>
            <w:webHidden/>
          </w:rPr>
          <w:instrText xml:space="preserve"> PAGEREF _Toc303176634 \h </w:instrText>
        </w:r>
        <w:r>
          <w:rPr>
            <w:noProof/>
            <w:webHidden/>
          </w:rPr>
        </w:r>
        <w:r>
          <w:rPr>
            <w:noProof/>
            <w:webHidden/>
          </w:rPr>
          <w:fldChar w:fldCharType="separate"/>
        </w:r>
        <w:r w:rsidR="00885249">
          <w:rPr>
            <w:noProof/>
            <w:webHidden/>
          </w:rPr>
          <w:t>57</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35" w:history="1">
        <w:r w:rsidR="001D26BC" w:rsidRPr="0088245E">
          <w:rPr>
            <w:rStyle w:val="Hyperlink"/>
            <w:noProof/>
          </w:rPr>
          <w:t>Secinājumi</w:t>
        </w:r>
        <w:r w:rsidR="001D26BC">
          <w:rPr>
            <w:noProof/>
            <w:webHidden/>
          </w:rPr>
          <w:tab/>
        </w:r>
        <w:r>
          <w:rPr>
            <w:noProof/>
            <w:webHidden/>
          </w:rPr>
          <w:fldChar w:fldCharType="begin"/>
        </w:r>
        <w:r w:rsidR="001D26BC">
          <w:rPr>
            <w:noProof/>
            <w:webHidden/>
          </w:rPr>
          <w:instrText xml:space="preserve"> PAGEREF _Toc303176635 \h </w:instrText>
        </w:r>
        <w:r>
          <w:rPr>
            <w:noProof/>
            <w:webHidden/>
          </w:rPr>
        </w:r>
        <w:r>
          <w:rPr>
            <w:noProof/>
            <w:webHidden/>
          </w:rPr>
          <w:fldChar w:fldCharType="separate"/>
        </w:r>
        <w:r w:rsidR="00885249">
          <w:rPr>
            <w:noProof/>
            <w:webHidden/>
          </w:rPr>
          <w:t>58</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36" w:history="1">
        <w:r w:rsidR="001D26BC" w:rsidRPr="0088245E">
          <w:rPr>
            <w:rStyle w:val="Hyperlink"/>
            <w:noProof/>
          </w:rPr>
          <w:t>Rekomendācijas</w:t>
        </w:r>
        <w:r w:rsidR="001D26BC">
          <w:rPr>
            <w:noProof/>
            <w:webHidden/>
          </w:rPr>
          <w:tab/>
        </w:r>
        <w:r>
          <w:rPr>
            <w:noProof/>
            <w:webHidden/>
          </w:rPr>
          <w:fldChar w:fldCharType="begin"/>
        </w:r>
        <w:r w:rsidR="001D26BC">
          <w:rPr>
            <w:noProof/>
            <w:webHidden/>
          </w:rPr>
          <w:instrText xml:space="preserve"> PAGEREF _Toc303176636 \h </w:instrText>
        </w:r>
        <w:r>
          <w:rPr>
            <w:noProof/>
            <w:webHidden/>
          </w:rPr>
        </w:r>
        <w:r>
          <w:rPr>
            <w:noProof/>
            <w:webHidden/>
          </w:rPr>
          <w:fldChar w:fldCharType="separate"/>
        </w:r>
        <w:r w:rsidR="00885249">
          <w:rPr>
            <w:noProof/>
            <w:webHidden/>
          </w:rPr>
          <w:t>58</w:t>
        </w:r>
        <w:r>
          <w:rPr>
            <w:noProof/>
            <w:webHidden/>
          </w:rPr>
          <w:fldChar w:fldCharType="end"/>
        </w:r>
      </w:hyperlink>
    </w:p>
    <w:p w:rsidR="001D26BC" w:rsidRDefault="00277129">
      <w:pPr>
        <w:pStyle w:val="TOC2"/>
        <w:tabs>
          <w:tab w:val="right" w:leader="dot" w:pos="8302"/>
        </w:tabs>
        <w:rPr>
          <w:rFonts w:asciiTheme="minorHAnsi" w:eastAsiaTheme="minorEastAsia" w:hAnsiTheme="minorHAnsi" w:cstheme="minorBidi"/>
          <w:smallCaps w:val="0"/>
          <w:noProof/>
          <w:sz w:val="22"/>
          <w:szCs w:val="22"/>
          <w:lang w:eastAsia="lv-LV"/>
        </w:rPr>
      </w:pPr>
      <w:hyperlink w:anchor="_Toc303176637" w:history="1">
        <w:r w:rsidR="001D26BC" w:rsidRPr="0088245E">
          <w:rPr>
            <w:rStyle w:val="Hyperlink"/>
            <w:noProof/>
          </w:rPr>
          <w:t>Koncepcijas īstenošanas pasākumu plāns, laika grafiks un finansējums</w:t>
        </w:r>
        <w:r w:rsidR="001D26BC">
          <w:rPr>
            <w:noProof/>
            <w:webHidden/>
          </w:rPr>
          <w:tab/>
        </w:r>
        <w:r>
          <w:rPr>
            <w:noProof/>
            <w:webHidden/>
          </w:rPr>
          <w:fldChar w:fldCharType="begin"/>
        </w:r>
        <w:r w:rsidR="001D26BC">
          <w:rPr>
            <w:noProof/>
            <w:webHidden/>
          </w:rPr>
          <w:instrText xml:space="preserve"> PAGEREF _Toc303176637 \h </w:instrText>
        </w:r>
        <w:r>
          <w:rPr>
            <w:noProof/>
            <w:webHidden/>
          </w:rPr>
        </w:r>
        <w:r>
          <w:rPr>
            <w:noProof/>
            <w:webHidden/>
          </w:rPr>
          <w:fldChar w:fldCharType="separate"/>
        </w:r>
        <w:r w:rsidR="00885249">
          <w:rPr>
            <w:noProof/>
            <w:webHidden/>
          </w:rPr>
          <w:t>59</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38" w:history="1">
        <w:r w:rsidR="001D26BC" w:rsidRPr="0088245E">
          <w:rPr>
            <w:rStyle w:val="Hyperlink"/>
            <w:noProof/>
          </w:rPr>
          <w:t>Atbalstāmais variants</w:t>
        </w:r>
        <w:r w:rsidR="001D26BC">
          <w:rPr>
            <w:noProof/>
            <w:webHidden/>
          </w:rPr>
          <w:tab/>
        </w:r>
        <w:r>
          <w:rPr>
            <w:noProof/>
            <w:webHidden/>
          </w:rPr>
          <w:fldChar w:fldCharType="begin"/>
        </w:r>
        <w:r w:rsidR="001D26BC">
          <w:rPr>
            <w:noProof/>
            <w:webHidden/>
          </w:rPr>
          <w:instrText xml:space="preserve"> PAGEREF _Toc303176638 \h </w:instrText>
        </w:r>
        <w:r>
          <w:rPr>
            <w:noProof/>
            <w:webHidden/>
          </w:rPr>
        </w:r>
        <w:r>
          <w:rPr>
            <w:noProof/>
            <w:webHidden/>
          </w:rPr>
          <w:fldChar w:fldCharType="separate"/>
        </w:r>
        <w:r w:rsidR="00885249">
          <w:rPr>
            <w:noProof/>
            <w:webHidden/>
          </w:rPr>
          <w:t>59</w:t>
        </w:r>
        <w:r>
          <w:rPr>
            <w:noProof/>
            <w:webHidden/>
          </w:rPr>
          <w:fldChar w:fldCharType="end"/>
        </w:r>
      </w:hyperlink>
    </w:p>
    <w:p w:rsidR="001D26BC" w:rsidRDefault="00277129">
      <w:pPr>
        <w:pStyle w:val="TOC3"/>
        <w:tabs>
          <w:tab w:val="right" w:leader="dot" w:pos="8302"/>
        </w:tabs>
        <w:rPr>
          <w:rFonts w:asciiTheme="minorHAnsi" w:eastAsiaTheme="minorEastAsia" w:hAnsiTheme="minorHAnsi" w:cstheme="minorBidi"/>
          <w:i w:val="0"/>
          <w:iCs w:val="0"/>
          <w:noProof/>
          <w:sz w:val="22"/>
          <w:szCs w:val="22"/>
          <w:lang w:eastAsia="lv-LV"/>
        </w:rPr>
      </w:pPr>
      <w:hyperlink w:anchor="_Toc303176639" w:history="1">
        <w:r w:rsidR="001D26BC" w:rsidRPr="0088245E">
          <w:rPr>
            <w:rStyle w:val="Hyperlink"/>
            <w:noProof/>
          </w:rPr>
          <w:t>Esošais un papildus nepieciešamais finansējums politikas koncepcijas atbalstāmā varianta īstenošanai</w:t>
        </w:r>
        <w:r w:rsidR="001D26BC">
          <w:rPr>
            <w:noProof/>
            <w:webHidden/>
          </w:rPr>
          <w:tab/>
        </w:r>
        <w:r>
          <w:rPr>
            <w:noProof/>
            <w:webHidden/>
          </w:rPr>
          <w:fldChar w:fldCharType="begin"/>
        </w:r>
        <w:r w:rsidR="001D26BC">
          <w:rPr>
            <w:noProof/>
            <w:webHidden/>
          </w:rPr>
          <w:instrText xml:space="preserve"> PAGEREF _Toc303176639 \h </w:instrText>
        </w:r>
        <w:r>
          <w:rPr>
            <w:noProof/>
            <w:webHidden/>
          </w:rPr>
        </w:r>
        <w:r>
          <w:rPr>
            <w:noProof/>
            <w:webHidden/>
          </w:rPr>
          <w:fldChar w:fldCharType="separate"/>
        </w:r>
        <w:r w:rsidR="00885249">
          <w:rPr>
            <w:noProof/>
            <w:webHidden/>
          </w:rPr>
          <w:t>59</w:t>
        </w:r>
        <w:r>
          <w:rPr>
            <w:noProof/>
            <w:webHidden/>
          </w:rPr>
          <w:fldChar w:fldCharType="end"/>
        </w:r>
      </w:hyperlink>
    </w:p>
    <w:p w:rsidR="001D26BC" w:rsidRDefault="00277129" w:rsidP="001D26BC">
      <w:pPr>
        <w:pStyle w:val="TOC1"/>
      </w:pPr>
      <w:r>
        <w:rPr>
          <w:rFonts w:eastAsia="Times New Roman"/>
          <w:sz w:val="28"/>
        </w:rPr>
        <w:fldChar w:fldCharType="end"/>
      </w:r>
    </w:p>
    <w:p w:rsidR="001D26BC" w:rsidRDefault="001D26BC" w:rsidP="001D26BC">
      <w:pPr>
        <w:jc w:val="center"/>
        <w:rPr>
          <w:sz w:val="28"/>
        </w:rPr>
      </w:pPr>
    </w:p>
    <w:p w:rsidR="001D26BC" w:rsidRDefault="001D26BC" w:rsidP="001D26BC">
      <w:pPr>
        <w:jc w:val="center"/>
        <w:rPr>
          <w:sz w:val="28"/>
        </w:rPr>
      </w:pPr>
    </w:p>
    <w:p w:rsidR="001D26BC" w:rsidRDefault="001D26BC" w:rsidP="001D26BC">
      <w:pPr>
        <w:jc w:val="center"/>
        <w:rPr>
          <w:sz w:val="28"/>
        </w:rPr>
      </w:pPr>
    </w:p>
    <w:p w:rsidR="001D26BC" w:rsidRDefault="001D26BC" w:rsidP="001D26BC">
      <w:pPr>
        <w:rPr>
          <w:sz w:val="28"/>
        </w:rPr>
      </w:pPr>
    </w:p>
    <w:p w:rsidR="001D26BC" w:rsidRDefault="001D26BC" w:rsidP="001D26BC">
      <w:pPr>
        <w:pStyle w:val="Heading1"/>
      </w:pPr>
      <w:bookmarkStart w:id="0" w:name="_Toc280366506"/>
      <w:bookmarkStart w:id="1" w:name="_Toc303176588"/>
      <w:r w:rsidRPr="00B40493">
        <w:lastRenderedPageBreak/>
        <w:t>Saīsinājumi</w:t>
      </w:r>
      <w:bookmarkEnd w:id="0"/>
      <w:bookmarkEnd w:id="1"/>
    </w:p>
    <w:p w:rsidR="001D26BC" w:rsidRPr="00F62B79" w:rsidRDefault="001D26BC" w:rsidP="001D26BC">
      <w:pPr>
        <w:rPr>
          <w:sz w:val="28"/>
        </w:rPr>
      </w:pPr>
      <w:r w:rsidRPr="00F62B79">
        <w:rPr>
          <w:sz w:val="28"/>
        </w:rPr>
        <w:t>ASV</w:t>
      </w:r>
      <w:r w:rsidRPr="00F62B79">
        <w:rPr>
          <w:sz w:val="28"/>
        </w:rPr>
        <w:tab/>
        <w:t xml:space="preserve"> </w:t>
      </w:r>
      <w:r w:rsidRPr="00F62B79">
        <w:rPr>
          <w:sz w:val="28"/>
        </w:rPr>
        <w:tab/>
        <w:t xml:space="preserve">–  </w:t>
      </w:r>
      <w:r w:rsidRPr="00F62B79">
        <w:rPr>
          <w:sz w:val="28"/>
        </w:rPr>
        <w:tab/>
        <w:t xml:space="preserve">Amerikas Savienotās Valstis </w:t>
      </w:r>
    </w:p>
    <w:p w:rsidR="001D26BC" w:rsidRPr="00F62B79" w:rsidRDefault="001D26BC" w:rsidP="001D26BC">
      <w:pPr>
        <w:rPr>
          <w:sz w:val="28"/>
        </w:rPr>
      </w:pPr>
      <w:r w:rsidRPr="00F62B79">
        <w:rPr>
          <w:sz w:val="28"/>
        </w:rPr>
        <w:t>EIB</w:t>
      </w:r>
      <w:r w:rsidRPr="00F62B79">
        <w:rPr>
          <w:sz w:val="28"/>
        </w:rPr>
        <w:tab/>
      </w:r>
      <w:r w:rsidRPr="00F62B79">
        <w:rPr>
          <w:sz w:val="28"/>
        </w:rPr>
        <w:tab/>
        <w:t>–</w:t>
      </w:r>
      <w:r w:rsidRPr="00F62B79">
        <w:rPr>
          <w:sz w:val="28"/>
        </w:rPr>
        <w:tab/>
        <w:t>Eiropas Investīciju banka</w:t>
      </w:r>
    </w:p>
    <w:p w:rsidR="001D26BC" w:rsidRPr="00F62B79" w:rsidRDefault="001D26BC" w:rsidP="001D26BC">
      <w:pPr>
        <w:rPr>
          <w:sz w:val="28"/>
        </w:rPr>
      </w:pPr>
      <w:r w:rsidRPr="00F62B79">
        <w:rPr>
          <w:sz w:val="28"/>
        </w:rPr>
        <w:t xml:space="preserve">EK </w:t>
      </w:r>
      <w:r w:rsidRPr="00F62B79">
        <w:rPr>
          <w:sz w:val="28"/>
        </w:rPr>
        <w:tab/>
      </w:r>
      <w:r w:rsidRPr="00F62B79">
        <w:rPr>
          <w:sz w:val="28"/>
        </w:rPr>
        <w:tab/>
        <w:t>–</w:t>
      </w:r>
      <w:r w:rsidRPr="00F62B79">
        <w:rPr>
          <w:sz w:val="28"/>
        </w:rPr>
        <w:tab/>
        <w:t>Eiropas Komisija</w:t>
      </w:r>
    </w:p>
    <w:p w:rsidR="001D26BC" w:rsidRPr="00F62B79" w:rsidRDefault="001D26BC" w:rsidP="001D26BC">
      <w:pPr>
        <w:rPr>
          <w:sz w:val="28"/>
        </w:rPr>
      </w:pPr>
      <w:r w:rsidRPr="00F62B79">
        <w:rPr>
          <w:sz w:val="28"/>
        </w:rPr>
        <w:t xml:space="preserve">EM </w:t>
      </w:r>
      <w:r w:rsidRPr="00F62B79">
        <w:rPr>
          <w:sz w:val="28"/>
        </w:rPr>
        <w:tab/>
      </w:r>
      <w:r w:rsidRPr="00F62B79">
        <w:rPr>
          <w:sz w:val="28"/>
        </w:rPr>
        <w:tab/>
        <w:t>–</w:t>
      </w:r>
      <w:r w:rsidRPr="00F62B79">
        <w:rPr>
          <w:sz w:val="28"/>
        </w:rPr>
        <w:tab/>
        <w:t>Latvijas Republikas Ekonomikas ministrija</w:t>
      </w:r>
    </w:p>
    <w:p w:rsidR="001D26BC" w:rsidRPr="00F62B79" w:rsidRDefault="001D26BC" w:rsidP="001D26BC">
      <w:pPr>
        <w:rPr>
          <w:sz w:val="28"/>
        </w:rPr>
      </w:pPr>
      <w:r w:rsidRPr="00F62B79">
        <w:rPr>
          <w:sz w:val="28"/>
        </w:rPr>
        <w:t>EKA</w:t>
      </w:r>
      <w:r w:rsidRPr="00F62B79">
        <w:rPr>
          <w:sz w:val="28"/>
        </w:rPr>
        <w:tab/>
        <w:t xml:space="preserve"> </w:t>
      </w:r>
      <w:r w:rsidRPr="00F62B79">
        <w:rPr>
          <w:sz w:val="28"/>
        </w:rPr>
        <w:tab/>
        <w:t>–</w:t>
      </w:r>
      <w:r w:rsidRPr="00F62B79">
        <w:rPr>
          <w:sz w:val="28"/>
        </w:rPr>
        <w:tab/>
        <w:t xml:space="preserve">Eiropas Kosmosa aģentūra </w:t>
      </w:r>
    </w:p>
    <w:p w:rsidR="001D26BC" w:rsidRPr="00F62B79" w:rsidRDefault="001D26BC" w:rsidP="001D26BC">
      <w:pPr>
        <w:rPr>
          <w:sz w:val="28"/>
        </w:rPr>
      </w:pPr>
      <w:r w:rsidRPr="00F62B79">
        <w:rPr>
          <w:sz w:val="28"/>
        </w:rPr>
        <w:t xml:space="preserve">ES </w:t>
      </w:r>
      <w:r w:rsidRPr="00F62B79">
        <w:rPr>
          <w:sz w:val="28"/>
        </w:rPr>
        <w:tab/>
      </w:r>
      <w:r w:rsidRPr="00F62B79">
        <w:rPr>
          <w:sz w:val="28"/>
        </w:rPr>
        <w:tab/>
        <w:t>–</w:t>
      </w:r>
      <w:r w:rsidRPr="00F62B79">
        <w:rPr>
          <w:sz w:val="28"/>
        </w:rPr>
        <w:tab/>
        <w:t>Eiropas Savienība</w:t>
      </w:r>
    </w:p>
    <w:p w:rsidR="001D26BC" w:rsidRPr="00F62B79" w:rsidRDefault="001D26BC" w:rsidP="001D26BC">
      <w:pPr>
        <w:rPr>
          <w:sz w:val="28"/>
        </w:rPr>
      </w:pPr>
      <w:r w:rsidRPr="00F62B79">
        <w:rPr>
          <w:sz w:val="28"/>
        </w:rPr>
        <w:t>EUR</w:t>
      </w:r>
      <w:r w:rsidRPr="00F62B79">
        <w:rPr>
          <w:sz w:val="28"/>
        </w:rPr>
        <w:tab/>
      </w:r>
      <w:r w:rsidRPr="00F62B79">
        <w:rPr>
          <w:sz w:val="28"/>
        </w:rPr>
        <w:tab/>
        <w:t>–</w:t>
      </w:r>
      <w:r w:rsidRPr="00F62B79">
        <w:rPr>
          <w:sz w:val="28"/>
        </w:rPr>
        <w:tab/>
        <w:t>eiro</w:t>
      </w:r>
    </w:p>
    <w:p w:rsidR="001D26BC" w:rsidRPr="00F62B79" w:rsidRDefault="001D26BC" w:rsidP="001D26BC">
      <w:pPr>
        <w:rPr>
          <w:sz w:val="28"/>
        </w:rPr>
      </w:pPr>
      <w:r w:rsidRPr="00F62B79">
        <w:rPr>
          <w:sz w:val="28"/>
        </w:rPr>
        <w:t xml:space="preserve">FM </w:t>
      </w:r>
      <w:r w:rsidRPr="00F62B79">
        <w:rPr>
          <w:sz w:val="28"/>
        </w:rPr>
        <w:tab/>
      </w:r>
      <w:r w:rsidRPr="00F62B79">
        <w:rPr>
          <w:sz w:val="28"/>
        </w:rPr>
        <w:tab/>
      </w:r>
      <w:bookmarkStart w:id="2" w:name="OLE_LINK1"/>
      <w:bookmarkStart w:id="3" w:name="OLE_LINK2"/>
      <w:r w:rsidRPr="00F62B79">
        <w:rPr>
          <w:sz w:val="28"/>
        </w:rPr>
        <w:t>–</w:t>
      </w:r>
      <w:bookmarkEnd w:id="2"/>
      <w:bookmarkEnd w:id="3"/>
      <w:r w:rsidRPr="00F62B79">
        <w:rPr>
          <w:sz w:val="28"/>
        </w:rPr>
        <w:t xml:space="preserve"> </w:t>
      </w:r>
      <w:r w:rsidRPr="00F62B79">
        <w:rPr>
          <w:sz w:val="28"/>
        </w:rPr>
        <w:tab/>
        <w:t>Latvijas Republikas Finanšu ministrija;</w:t>
      </w:r>
    </w:p>
    <w:p w:rsidR="001D26BC" w:rsidRDefault="001D26BC" w:rsidP="001D26BC">
      <w:pPr>
        <w:rPr>
          <w:sz w:val="28"/>
        </w:rPr>
      </w:pPr>
      <w:r w:rsidRPr="00F62B79">
        <w:rPr>
          <w:sz w:val="28"/>
        </w:rPr>
        <w:t xml:space="preserve">FP7 </w:t>
      </w:r>
      <w:r w:rsidRPr="00F62B79">
        <w:rPr>
          <w:sz w:val="28"/>
        </w:rPr>
        <w:tab/>
      </w:r>
      <w:r w:rsidRPr="00F62B79">
        <w:rPr>
          <w:sz w:val="28"/>
        </w:rPr>
        <w:tab/>
        <w:t>–</w:t>
      </w:r>
      <w:r w:rsidRPr="00F62B79">
        <w:rPr>
          <w:sz w:val="28"/>
        </w:rPr>
        <w:tab/>
        <w:t xml:space="preserve">Septītā Ietvara programma </w:t>
      </w:r>
    </w:p>
    <w:p w:rsidR="001D26BC" w:rsidRPr="00F62B79" w:rsidRDefault="001D26BC" w:rsidP="001D26BC">
      <w:pPr>
        <w:rPr>
          <w:sz w:val="28"/>
        </w:rPr>
      </w:pPr>
      <w:r>
        <w:rPr>
          <w:sz w:val="28"/>
        </w:rPr>
        <w:t>FP8</w:t>
      </w:r>
      <w:r>
        <w:rPr>
          <w:sz w:val="28"/>
        </w:rPr>
        <w:tab/>
      </w:r>
      <w:r>
        <w:rPr>
          <w:sz w:val="28"/>
        </w:rPr>
        <w:tab/>
      </w:r>
      <w:r w:rsidRPr="00F62B79">
        <w:rPr>
          <w:sz w:val="28"/>
        </w:rPr>
        <w:t>–</w:t>
      </w:r>
      <w:r>
        <w:rPr>
          <w:sz w:val="28"/>
        </w:rPr>
        <w:tab/>
        <w:t>Astotā Ietvara programma</w:t>
      </w:r>
    </w:p>
    <w:p w:rsidR="001D26BC" w:rsidRPr="00F62B79" w:rsidRDefault="001D26BC" w:rsidP="001D26BC">
      <w:pPr>
        <w:rPr>
          <w:sz w:val="28"/>
        </w:rPr>
      </w:pPr>
      <w:r w:rsidRPr="00F62B79">
        <w:rPr>
          <w:sz w:val="28"/>
        </w:rPr>
        <w:t xml:space="preserve">GMES </w:t>
      </w:r>
      <w:r w:rsidRPr="00F62B79">
        <w:rPr>
          <w:sz w:val="28"/>
        </w:rPr>
        <w:tab/>
        <w:t>–</w:t>
      </w:r>
      <w:r w:rsidRPr="00F62B79">
        <w:rPr>
          <w:sz w:val="28"/>
        </w:rPr>
        <w:tab/>
      </w:r>
      <w:r w:rsidRPr="00F62B79">
        <w:rPr>
          <w:sz w:val="28"/>
          <w:lang w:eastAsia="lv-LV"/>
        </w:rPr>
        <w:t>Globālā vides un novērošanas sistēma</w:t>
      </w:r>
    </w:p>
    <w:p w:rsidR="001D26BC" w:rsidRPr="00F62B79" w:rsidRDefault="001D26BC" w:rsidP="001D26BC">
      <w:pPr>
        <w:rPr>
          <w:sz w:val="28"/>
        </w:rPr>
      </w:pPr>
      <w:r w:rsidRPr="00F62B79">
        <w:rPr>
          <w:sz w:val="28"/>
        </w:rPr>
        <w:t xml:space="preserve">IT </w:t>
      </w:r>
      <w:r w:rsidRPr="00F62B79">
        <w:rPr>
          <w:sz w:val="28"/>
        </w:rPr>
        <w:tab/>
      </w:r>
      <w:r w:rsidRPr="00F62B79">
        <w:rPr>
          <w:sz w:val="28"/>
        </w:rPr>
        <w:tab/>
        <w:t>–</w:t>
      </w:r>
      <w:r w:rsidRPr="00F62B79">
        <w:rPr>
          <w:sz w:val="28"/>
        </w:rPr>
        <w:tab/>
        <w:t>informācijas tehnoloģijas</w:t>
      </w:r>
    </w:p>
    <w:p w:rsidR="001D26BC" w:rsidRPr="00F62B79" w:rsidRDefault="001D26BC" w:rsidP="001D26BC">
      <w:pPr>
        <w:rPr>
          <w:sz w:val="28"/>
        </w:rPr>
      </w:pPr>
      <w:r w:rsidRPr="00F62B79">
        <w:rPr>
          <w:sz w:val="28"/>
        </w:rPr>
        <w:t>IZI VSRC</w:t>
      </w:r>
      <w:r w:rsidRPr="00F62B79">
        <w:rPr>
          <w:sz w:val="28"/>
        </w:rPr>
        <w:tab/>
        <w:t>–</w:t>
      </w:r>
      <w:r w:rsidRPr="00F62B79">
        <w:rPr>
          <w:sz w:val="28"/>
        </w:rPr>
        <w:tab/>
        <w:t>Inženierzinātņu institūts “Ventspils Starptautiskais              </w:t>
      </w:r>
      <w:r>
        <w:rPr>
          <w:sz w:val="28"/>
        </w:rPr>
        <w:tab/>
      </w:r>
      <w:r>
        <w:rPr>
          <w:sz w:val="28"/>
        </w:rPr>
        <w:tab/>
      </w:r>
      <w:r>
        <w:rPr>
          <w:sz w:val="28"/>
        </w:rPr>
        <w:tab/>
      </w:r>
      <w:r w:rsidRPr="00F62B79">
        <w:rPr>
          <w:sz w:val="28"/>
        </w:rPr>
        <w:t>Radioastronomijas centrs ”</w:t>
      </w:r>
    </w:p>
    <w:p w:rsidR="001D26BC" w:rsidRPr="00F62B79" w:rsidRDefault="001D26BC" w:rsidP="001D26BC">
      <w:pPr>
        <w:rPr>
          <w:sz w:val="28"/>
        </w:rPr>
      </w:pPr>
      <w:r w:rsidRPr="00F62B79">
        <w:rPr>
          <w:sz w:val="28"/>
        </w:rPr>
        <w:t xml:space="preserve">IZM </w:t>
      </w:r>
      <w:r w:rsidRPr="00F62B79">
        <w:rPr>
          <w:sz w:val="28"/>
        </w:rPr>
        <w:tab/>
      </w:r>
      <w:r w:rsidRPr="00F62B79">
        <w:rPr>
          <w:sz w:val="28"/>
        </w:rPr>
        <w:tab/>
        <w:t>–</w:t>
      </w:r>
      <w:r w:rsidRPr="00F62B79">
        <w:rPr>
          <w:sz w:val="28"/>
        </w:rPr>
        <w:tab/>
        <w:t>Latvijas Republikas Izglītības un zinātnes ministrija</w:t>
      </w:r>
    </w:p>
    <w:p w:rsidR="001D26BC" w:rsidRPr="00F62B79" w:rsidRDefault="001D26BC" w:rsidP="001D26BC">
      <w:pPr>
        <w:rPr>
          <w:sz w:val="28"/>
        </w:rPr>
      </w:pPr>
      <w:r w:rsidRPr="00F62B79">
        <w:rPr>
          <w:sz w:val="28"/>
        </w:rPr>
        <w:t>KC</w:t>
      </w:r>
      <w:r w:rsidRPr="00F62B79">
        <w:rPr>
          <w:sz w:val="28"/>
        </w:rPr>
        <w:tab/>
      </w:r>
      <w:r w:rsidRPr="00F62B79">
        <w:rPr>
          <w:sz w:val="28"/>
        </w:rPr>
        <w:tab/>
        <w:t>–</w:t>
      </w:r>
      <w:r w:rsidRPr="00F62B79">
        <w:rPr>
          <w:sz w:val="28"/>
        </w:rPr>
        <w:tab/>
        <w:t>kompetences centri</w:t>
      </w:r>
    </w:p>
    <w:p w:rsidR="001D26BC" w:rsidRPr="00F62B79" w:rsidRDefault="001D26BC" w:rsidP="001D26BC">
      <w:pPr>
        <w:rPr>
          <w:sz w:val="28"/>
        </w:rPr>
      </w:pPr>
      <w:r w:rsidRPr="00F62B79">
        <w:rPr>
          <w:sz w:val="28"/>
        </w:rPr>
        <w:t>KDAC</w:t>
      </w:r>
      <w:r w:rsidRPr="00F62B79">
        <w:rPr>
          <w:sz w:val="28"/>
        </w:rPr>
        <w:tab/>
        <w:t>–</w:t>
      </w:r>
      <w:r w:rsidRPr="00F62B79">
        <w:rPr>
          <w:sz w:val="28"/>
        </w:rPr>
        <w:tab/>
        <w:t>Kosmisko datu apstrādes centrs</w:t>
      </w:r>
    </w:p>
    <w:p w:rsidR="001D26BC" w:rsidRPr="00F62B79" w:rsidRDefault="001D26BC" w:rsidP="001D26BC">
      <w:pPr>
        <w:rPr>
          <w:sz w:val="28"/>
        </w:rPr>
      </w:pPr>
      <w:r w:rsidRPr="00F62B79">
        <w:rPr>
          <w:sz w:val="28"/>
        </w:rPr>
        <w:t xml:space="preserve">LIAA </w:t>
      </w:r>
      <w:r w:rsidRPr="00F62B79">
        <w:rPr>
          <w:sz w:val="28"/>
        </w:rPr>
        <w:tab/>
        <w:t>–</w:t>
      </w:r>
      <w:r w:rsidRPr="00F62B79">
        <w:rPr>
          <w:sz w:val="28"/>
        </w:rPr>
        <w:tab/>
        <w:t>Valsts aģentūra “Latvijas Investīciju un attīstības aģentūra”</w:t>
      </w:r>
    </w:p>
    <w:p w:rsidR="001D26BC" w:rsidRPr="00F62B79" w:rsidRDefault="001D26BC" w:rsidP="001D26BC">
      <w:pPr>
        <w:rPr>
          <w:sz w:val="28"/>
        </w:rPr>
      </w:pPr>
      <w:r w:rsidRPr="00F62B79">
        <w:rPr>
          <w:sz w:val="28"/>
        </w:rPr>
        <w:t>LPSR</w:t>
      </w:r>
      <w:r w:rsidRPr="00F62B79">
        <w:rPr>
          <w:sz w:val="28"/>
        </w:rPr>
        <w:tab/>
      </w:r>
      <w:r w:rsidRPr="00F62B79">
        <w:rPr>
          <w:sz w:val="28"/>
        </w:rPr>
        <w:tab/>
        <w:t>–</w:t>
      </w:r>
      <w:r w:rsidRPr="00F62B79">
        <w:rPr>
          <w:sz w:val="28"/>
        </w:rPr>
        <w:tab/>
        <w:t>Latvijas Padomju Sociālistiskā Republika</w:t>
      </w:r>
    </w:p>
    <w:p w:rsidR="001D26BC" w:rsidRPr="00F62B79" w:rsidRDefault="001D26BC" w:rsidP="001D26BC">
      <w:pPr>
        <w:rPr>
          <w:sz w:val="28"/>
        </w:rPr>
      </w:pPr>
      <w:r w:rsidRPr="00F62B79">
        <w:rPr>
          <w:sz w:val="28"/>
        </w:rPr>
        <w:t>LR</w:t>
      </w:r>
      <w:r w:rsidRPr="00F62B79">
        <w:rPr>
          <w:sz w:val="28"/>
        </w:rPr>
        <w:tab/>
      </w:r>
      <w:r w:rsidRPr="00F62B79">
        <w:rPr>
          <w:sz w:val="28"/>
        </w:rPr>
        <w:tab/>
        <w:t>–</w:t>
      </w:r>
      <w:r w:rsidRPr="00F62B79">
        <w:rPr>
          <w:sz w:val="28"/>
        </w:rPr>
        <w:tab/>
        <w:t>Latvijas Republika</w:t>
      </w:r>
    </w:p>
    <w:p w:rsidR="001D26BC" w:rsidRPr="00F62B79" w:rsidRDefault="001D26BC" w:rsidP="001D26BC">
      <w:pPr>
        <w:rPr>
          <w:sz w:val="28"/>
        </w:rPr>
      </w:pPr>
      <w:r w:rsidRPr="00F62B79">
        <w:rPr>
          <w:sz w:val="28"/>
        </w:rPr>
        <w:t>LU MII</w:t>
      </w:r>
      <w:r w:rsidRPr="00F62B79">
        <w:rPr>
          <w:sz w:val="28"/>
        </w:rPr>
        <w:tab/>
        <w:t>–</w:t>
      </w:r>
      <w:r w:rsidRPr="00F62B79">
        <w:rPr>
          <w:sz w:val="28"/>
        </w:rPr>
        <w:tab/>
        <w:t>Latvijas Universitātes Matemātikas un informācijas institūts</w:t>
      </w:r>
    </w:p>
    <w:p w:rsidR="001D26BC" w:rsidRPr="00F62B79" w:rsidRDefault="001D26BC" w:rsidP="001D26BC">
      <w:pPr>
        <w:rPr>
          <w:sz w:val="28"/>
        </w:rPr>
      </w:pPr>
      <w:r w:rsidRPr="00F62B79">
        <w:rPr>
          <w:sz w:val="28"/>
        </w:rPr>
        <w:t>MEUR</w:t>
      </w:r>
      <w:r w:rsidRPr="00F62B79">
        <w:rPr>
          <w:sz w:val="28"/>
        </w:rPr>
        <w:tab/>
        <w:t>–</w:t>
      </w:r>
      <w:r w:rsidRPr="00F62B79">
        <w:rPr>
          <w:sz w:val="28"/>
        </w:rPr>
        <w:tab/>
        <w:t>Miljons eiro</w:t>
      </w:r>
    </w:p>
    <w:p w:rsidR="001D26BC" w:rsidRPr="00F62B79" w:rsidRDefault="001D26BC" w:rsidP="001D26BC">
      <w:pPr>
        <w:rPr>
          <w:sz w:val="28"/>
        </w:rPr>
      </w:pPr>
      <w:r w:rsidRPr="00F62B79">
        <w:rPr>
          <w:sz w:val="28"/>
        </w:rPr>
        <w:t xml:space="preserve">milj. </w:t>
      </w:r>
      <w:r w:rsidRPr="00F62B79">
        <w:rPr>
          <w:sz w:val="28"/>
        </w:rPr>
        <w:tab/>
      </w:r>
      <w:r w:rsidRPr="00F62B79">
        <w:rPr>
          <w:sz w:val="28"/>
        </w:rPr>
        <w:tab/>
        <w:t>–</w:t>
      </w:r>
      <w:r w:rsidRPr="00F62B79">
        <w:rPr>
          <w:sz w:val="28"/>
        </w:rPr>
        <w:tab/>
        <w:t>miljons</w:t>
      </w:r>
    </w:p>
    <w:p w:rsidR="001D26BC" w:rsidRPr="00F62B79" w:rsidRDefault="001D26BC" w:rsidP="001D26BC">
      <w:pPr>
        <w:rPr>
          <w:sz w:val="28"/>
        </w:rPr>
      </w:pPr>
      <w:r w:rsidRPr="00F62B79">
        <w:rPr>
          <w:sz w:val="28"/>
        </w:rPr>
        <w:t>MK</w:t>
      </w:r>
      <w:r w:rsidRPr="00F62B79">
        <w:rPr>
          <w:sz w:val="28"/>
        </w:rPr>
        <w:tab/>
      </w:r>
      <w:r w:rsidRPr="00F62B79">
        <w:rPr>
          <w:sz w:val="28"/>
        </w:rPr>
        <w:tab/>
        <w:t>–</w:t>
      </w:r>
      <w:r w:rsidRPr="00F62B79">
        <w:rPr>
          <w:sz w:val="28"/>
        </w:rPr>
        <w:tab/>
        <w:t>Latvijas Republikas Ministru kabinets</w:t>
      </w:r>
    </w:p>
    <w:p w:rsidR="001D26BC" w:rsidRPr="00F62B79" w:rsidRDefault="001D26BC" w:rsidP="001D26BC">
      <w:pPr>
        <w:rPr>
          <w:sz w:val="28"/>
        </w:rPr>
      </w:pPr>
      <w:r w:rsidRPr="00F62B79">
        <w:rPr>
          <w:sz w:val="28"/>
        </w:rPr>
        <w:t>MVU</w:t>
      </w:r>
      <w:r w:rsidRPr="00F62B79">
        <w:rPr>
          <w:sz w:val="28"/>
        </w:rPr>
        <w:tab/>
      </w:r>
      <w:r w:rsidRPr="00F62B79">
        <w:rPr>
          <w:sz w:val="28"/>
        </w:rPr>
        <w:tab/>
        <w:t>–</w:t>
      </w:r>
      <w:r w:rsidRPr="00F62B79">
        <w:rPr>
          <w:sz w:val="28"/>
        </w:rPr>
        <w:tab/>
        <w:t>mazie un vidējie uzņēmumi</w:t>
      </w:r>
    </w:p>
    <w:p w:rsidR="001D26BC" w:rsidRPr="00F62B79" w:rsidRDefault="001D26BC" w:rsidP="001D26BC">
      <w:pPr>
        <w:rPr>
          <w:color w:val="000000"/>
          <w:sz w:val="28"/>
        </w:rPr>
      </w:pPr>
      <w:r w:rsidRPr="00F62B79">
        <w:rPr>
          <w:sz w:val="28"/>
        </w:rPr>
        <w:t xml:space="preserve">NASA </w:t>
      </w:r>
      <w:r w:rsidRPr="00F62B79">
        <w:rPr>
          <w:sz w:val="28"/>
        </w:rPr>
        <w:tab/>
        <w:t>–</w:t>
      </w:r>
      <w:r w:rsidRPr="00F62B79">
        <w:rPr>
          <w:sz w:val="28"/>
        </w:rPr>
        <w:tab/>
      </w:r>
      <w:r w:rsidRPr="00F62B79">
        <w:rPr>
          <w:color w:val="000000"/>
          <w:sz w:val="28"/>
        </w:rPr>
        <w:t>Nacionālās Aeronautikas un kosmosa pārvalde</w:t>
      </w:r>
    </w:p>
    <w:p w:rsidR="001D26BC" w:rsidRPr="00F62B79" w:rsidRDefault="001D26BC" w:rsidP="001D26BC">
      <w:pPr>
        <w:rPr>
          <w:color w:val="000000"/>
          <w:sz w:val="28"/>
        </w:rPr>
      </w:pPr>
      <w:r w:rsidRPr="00F62B79">
        <w:rPr>
          <w:color w:val="000000"/>
          <w:sz w:val="28"/>
        </w:rPr>
        <w:t>NVO</w:t>
      </w:r>
      <w:r w:rsidRPr="00F62B79">
        <w:rPr>
          <w:color w:val="000000"/>
          <w:sz w:val="28"/>
        </w:rPr>
        <w:tab/>
      </w:r>
      <w:r w:rsidRPr="00F62B79">
        <w:rPr>
          <w:color w:val="000000"/>
          <w:sz w:val="28"/>
        </w:rPr>
        <w:tab/>
      </w:r>
      <w:r w:rsidRPr="00F62B79">
        <w:rPr>
          <w:sz w:val="28"/>
        </w:rPr>
        <w:t>–</w:t>
      </w:r>
      <w:r w:rsidRPr="00F62B79">
        <w:rPr>
          <w:sz w:val="28"/>
        </w:rPr>
        <w:tab/>
        <w:t>Nevalstiskās organizācijas</w:t>
      </w:r>
    </w:p>
    <w:p w:rsidR="001D26BC" w:rsidRPr="00F62B79" w:rsidRDefault="001D26BC" w:rsidP="001D26BC">
      <w:pPr>
        <w:rPr>
          <w:sz w:val="28"/>
        </w:rPr>
      </w:pPr>
      <w:r w:rsidRPr="00F62B79">
        <w:rPr>
          <w:color w:val="000000"/>
          <w:sz w:val="28"/>
        </w:rPr>
        <w:t>OECD</w:t>
      </w:r>
      <w:r w:rsidRPr="00F62B79">
        <w:rPr>
          <w:color w:val="000000"/>
          <w:sz w:val="28"/>
        </w:rPr>
        <w:tab/>
      </w:r>
      <w:r w:rsidRPr="00F62B79">
        <w:rPr>
          <w:sz w:val="28"/>
        </w:rPr>
        <w:t>–</w:t>
      </w:r>
      <w:r w:rsidRPr="00F62B79">
        <w:rPr>
          <w:sz w:val="28"/>
        </w:rPr>
        <w:tab/>
        <w:t>Ekonomiskās sadarbības un attīstības organizācija</w:t>
      </w:r>
    </w:p>
    <w:p w:rsidR="001D26BC" w:rsidRPr="00F62B79" w:rsidRDefault="001D26BC" w:rsidP="001D26BC">
      <w:pPr>
        <w:rPr>
          <w:sz w:val="28"/>
        </w:rPr>
      </w:pPr>
      <w:r w:rsidRPr="00F62B79">
        <w:rPr>
          <w:sz w:val="28"/>
        </w:rPr>
        <w:t xml:space="preserve">P&amp;A </w:t>
      </w:r>
      <w:r w:rsidRPr="00F62B79">
        <w:rPr>
          <w:sz w:val="28"/>
        </w:rPr>
        <w:tab/>
      </w:r>
      <w:r w:rsidRPr="00F62B79">
        <w:rPr>
          <w:sz w:val="28"/>
        </w:rPr>
        <w:tab/>
        <w:t>–</w:t>
      </w:r>
      <w:r w:rsidRPr="00F62B79">
        <w:rPr>
          <w:sz w:val="28"/>
        </w:rPr>
        <w:tab/>
        <w:t>pētniecība un attīstība</w:t>
      </w:r>
    </w:p>
    <w:p w:rsidR="001D26BC" w:rsidRPr="00F62B79" w:rsidRDefault="001D26BC" w:rsidP="001D26BC">
      <w:pPr>
        <w:rPr>
          <w:sz w:val="28"/>
        </w:rPr>
      </w:pPr>
      <w:r w:rsidRPr="00F62B79">
        <w:rPr>
          <w:sz w:val="28"/>
        </w:rPr>
        <w:t>PECS</w:t>
      </w:r>
      <w:r w:rsidRPr="00F62B79">
        <w:rPr>
          <w:sz w:val="28"/>
        </w:rPr>
        <w:tab/>
      </w:r>
      <w:r w:rsidRPr="00F62B79">
        <w:rPr>
          <w:sz w:val="28"/>
        </w:rPr>
        <w:tab/>
        <w:t xml:space="preserve">– </w:t>
      </w:r>
      <w:r w:rsidRPr="00F62B79">
        <w:rPr>
          <w:sz w:val="28"/>
        </w:rPr>
        <w:tab/>
        <w:t xml:space="preserve">Eiropas Kosmosa aģentūras sadarbības valsts projektu plāns </w:t>
      </w:r>
    </w:p>
    <w:p w:rsidR="001D26BC" w:rsidRPr="00F62B79" w:rsidRDefault="001D26BC" w:rsidP="001D26BC">
      <w:pPr>
        <w:rPr>
          <w:sz w:val="28"/>
        </w:rPr>
      </w:pPr>
      <w:r w:rsidRPr="00F62B79">
        <w:rPr>
          <w:sz w:val="28"/>
        </w:rPr>
        <w:t xml:space="preserve">PPP </w:t>
      </w:r>
      <w:r w:rsidRPr="00F62B79">
        <w:rPr>
          <w:sz w:val="28"/>
        </w:rPr>
        <w:tab/>
      </w:r>
      <w:r w:rsidRPr="00F62B79">
        <w:rPr>
          <w:sz w:val="28"/>
        </w:rPr>
        <w:tab/>
        <w:t>–</w:t>
      </w:r>
      <w:r w:rsidRPr="00F62B79">
        <w:rPr>
          <w:sz w:val="28"/>
        </w:rPr>
        <w:tab/>
        <w:t>Publiskā privātā partnerība</w:t>
      </w:r>
    </w:p>
    <w:p w:rsidR="001D26BC" w:rsidRPr="00F62B79" w:rsidRDefault="001D26BC" w:rsidP="001D26BC">
      <w:pPr>
        <w:rPr>
          <w:sz w:val="28"/>
        </w:rPr>
      </w:pPr>
      <w:r w:rsidRPr="00F62B79">
        <w:rPr>
          <w:sz w:val="28"/>
        </w:rPr>
        <w:t xml:space="preserve">Padome </w:t>
      </w:r>
      <w:r w:rsidRPr="00F62B79">
        <w:rPr>
          <w:sz w:val="28"/>
        </w:rPr>
        <w:tab/>
        <w:t xml:space="preserve">– </w:t>
      </w:r>
      <w:r w:rsidRPr="00F62B79">
        <w:rPr>
          <w:sz w:val="28"/>
        </w:rPr>
        <w:tab/>
        <w:t xml:space="preserve">Eiropas Savienības Padome </w:t>
      </w:r>
    </w:p>
    <w:p w:rsidR="001D26BC" w:rsidRPr="00F62B79" w:rsidRDefault="001D26BC" w:rsidP="001D26BC">
      <w:pPr>
        <w:rPr>
          <w:sz w:val="28"/>
        </w:rPr>
      </w:pPr>
      <w:r w:rsidRPr="00F62B79">
        <w:rPr>
          <w:sz w:val="28"/>
        </w:rPr>
        <w:t>PSRS</w:t>
      </w:r>
      <w:r w:rsidRPr="00F62B79">
        <w:rPr>
          <w:sz w:val="28"/>
        </w:rPr>
        <w:tab/>
      </w:r>
      <w:r w:rsidRPr="00F62B79">
        <w:rPr>
          <w:sz w:val="28"/>
        </w:rPr>
        <w:tab/>
        <w:t>–</w:t>
      </w:r>
      <w:r w:rsidRPr="00F62B79">
        <w:rPr>
          <w:sz w:val="28"/>
        </w:rPr>
        <w:tab/>
      </w:r>
      <w:r w:rsidRPr="00F62B79">
        <w:rPr>
          <w:rStyle w:val="Emphasis"/>
          <w:i w:val="0"/>
          <w:sz w:val="28"/>
        </w:rPr>
        <w:t>Padomju Sociālistisko Republiku Savienība</w:t>
      </w:r>
    </w:p>
    <w:p w:rsidR="001D26BC" w:rsidRPr="00F62B79" w:rsidRDefault="001D26BC" w:rsidP="001D26BC">
      <w:pPr>
        <w:rPr>
          <w:sz w:val="28"/>
        </w:rPr>
      </w:pPr>
      <w:r w:rsidRPr="00F62B79">
        <w:rPr>
          <w:sz w:val="28"/>
        </w:rPr>
        <w:t>SAR</w:t>
      </w:r>
      <w:r w:rsidRPr="00F62B79">
        <w:rPr>
          <w:sz w:val="28"/>
        </w:rPr>
        <w:tab/>
      </w:r>
      <w:r w:rsidRPr="00F62B79">
        <w:rPr>
          <w:sz w:val="28"/>
        </w:rPr>
        <w:tab/>
        <w:t>–</w:t>
      </w:r>
      <w:r w:rsidRPr="00F62B79">
        <w:rPr>
          <w:sz w:val="28"/>
        </w:rPr>
        <w:tab/>
        <w:t>Sintētiskās apertūras radars (</w:t>
      </w:r>
      <w:proofErr w:type="spellStart"/>
      <w:r w:rsidRPr="00F62B79">
        <w:rPr>
          <w:sz w:val="28"/>
        </w:rPr>
        <w:t>Sinthetic</w:t>
      </w:r>
      <w:proofErr w:type="spellEnd"/>
      <w:r w:rsidRPr="00F62B79">
        <w:rPr>
          <w:sz w:val="28"/>
        </w:rPr>
        <w:t xml:space="preserve"> </w:t>
      </w:r>
      <w:proofErr w:type="spellStart"/>
      <w:r w:rsidRPr="00F62B79">
        <w:rPr>
          <w:sz w:val="28"/>
        </w:rPr>
        <w:t>Apperture</w:t>
      </w:r>
      <w:proofErr w:type="spellEnd"/>
      <w:r w:rsidRPr="00F62B79">
        <w:rPr>
          <w:sz w:val="28"/>
        </w:rPr>
        <w:t xml:space="preserve"> </w:t>
      </w:r>
      <w:proofErr w:type="spellStart"/>
      <w:r w:rsidRPr="00F62B79">
        <w:rPr>
          <w:sz w:val="28"/>
        </w:rPr>
        <w:t>radar</w:t>
      </w:r>
      <w:proofErr w:type="spellEnd"/>
      <w:r w:rsidRPr="00F62B79">
        <w:rPr>
          <w:sz w:val="28"/>
        </w:rPr>
        <w:t>)</w:t>
      </w:r>
    </w:p>
    <w:p w:rsidR="001D26BC" w:rsidRPr="00F62B79" w:rsidRDefault="001D26BC" w:rsidP="001D26BC">
      <w:pPr>
        <w:rPr>
          <w:sz w:val="28"/>
        </w:rPr>
      </w:pPr>
      <w:r w:rsidRPr="00F62B79">
        <w:rPr>
          <w:sz w:val="28"/>
        </w:rPr>
        <w:t xml:space="preserve">SKS </w:t>
      </w:r>
      <w:r w:rsidRPr="00F62B79">
        <w:rPr>
          <w:sz w:val="28"/>
        </w:rPr>
        <w:tab/>
      </w:r>
      <w:r w:rsidRPr="00F62B79">
        <w:rPr>
          <w:sz w:val="28"/>
        </w:rPr>
        <w:tab/>
        <w:t>–</w:t>
      </w:r>
      <w:r w:rsidRPr="00F62B79">
        <w:rPr>
          <w:sz w:val="28"/>
        </w:rPr>
        <w:tab/>
        <w:t xml:space="preserve">Starptautiskā kosmosa stacija </w:t>
      </w:r>
    </w:p>
    <w:p w:rsidR="001D26BC" w:rsidRPr="00F62B79" w:rsidRDefault="001D26BC" w:rsidP="001D26BC">
      <w:pPr>
        <w:rPr>
          <w:sz w:val="28"/>
        </w:rPr>
      </w:pPr>
      <w:proofErr w:type="spellStart"/>
      <w:r w:rsidRPr="00F62B79">
        <w:rPr>
          <w:sz w:val="28"/>
        </w:rPr>
        <w:t>Spin-off</w:t>
      </w:r>
      <w:proofErr w:type="spellEnd"/>
      <w:r w:rsidRPr="00F62B79">
        <w:rPr>
          <w:sz w:val="28"/>
        </w:rPr>
        <w:t xml:space="preserve"> </w:t>
      </w:r>
    </w:p>
    <w:p w:rsidR="001D26BC" w:rsidRPr="00F62B79" w:rsidRDefault="001D26BC" w:rsidP="001D26BC">
      <w:pPr>
        <w:rPr>
          <w:sz w:val="28"/>
        </w:rPr>
      </w:pPr>
      <w:r w:rsidRPr="00F62B79">
        <w:rPr>
          <w:sz w:val="28"/>
        </w:rPr>
        <w:t xml:space="preserve">uzņēmums   – </w:t>
      </w:r>
      <w:r w:rsidRPr="00F62B79">
        <w:rPr>
          <w:sz w:val="28"/>
        </w:rPr>
        <w:tab/>
        <w:t>zinātnieku veidots uzņēmums</w:t>
      </w:r>
    </w:p>
    <w:p w:rsidR="001D26BC" w:rsidRPr="00F62B79" w:rsidRDefault="001D26BC" w:rsidP="001D26BC">
      <w:pPr>
        <w:rPr>
          <w:sz w:val="28"/>
        </w:rPr>
      </w:pPr>
      <w:r w:rsidRPr="00F62B79">
        <w:rPr>
          <w:sz w:val="28"/>
        </w:rPr>
        <w:lastRenderedPageBreak/>
        <w:t>USD</w:t>
      </w:r>
      <w:r w:rsidRPr="00F62B79">
        <w:rPr>
          <w:sz w:val="28"/>
        </w:rPr>
        <w:tab/>
      </w:r>
      <w:r w:rsidRPr="00F62B79">
        <w:rPr>
          <w:sz w:val="28"/>
        </w:rPr>
        <w:tab/>
        <w:t>–</w:t>
      </w:r>
      <w:r w:rsidRPr="00F62B79">
        <w:rPr>
          <w:sz w:val="28"/>
        </w:rPr>
        <w:tab/>
        <w:t>Amerikas Savienoto Valstu dolārs</w:t>
      </w:r>
    </w:p>
    <w:p w:rsidR="001D26BC" w:rsidRPr="00F62B79" w:rsidRDefault="001D26BC" w:rsidP="001D26BC">
      <w:pPr>
        <w:rPr>
          <w:sz w:val="28"/>
        </w:rPr>
      </w:pPr>
      <w:r w:rsidRPr="00F62B79">
        <w:rPr>
          <w:sz w:val="28"/>
        </w:rPr>
        <w:t>VATP</w:t>
      </w:r>
      <w:r w:rsidRPr="00F62B79">
        <w:rPr>
          <w:sz w:val="28"/>
        </w:rPr>
        <w:tab/>
        <w:t>–</w:t>
      </w:r>
      <w:r w:rsidRPr="00F62B79">
        <w:rPr>
          <w:sz w:val="28"/>
        </w:rPr>
        <w:tab/>
        <w:t>nodibinājums “Ventspils Augsto tehnoloģiju parks”</w:t>
      </w:r>
    </w:p>
    <w:p w:rsidR="001D26BC" w:rsidRPr="00F62B79" w:rsidRDefault="001D26BC" w:rsidP="001D26BC">
      <w:pPr>
        <w:rPr>
          <w:sz w:val="28"/>
        </w:rPr>
      </w:pPr>
      <w:r w:rsidRPr="00F62B79">
        <w:rPr>
          <w:sz w:val="28"/>
        </w:rPr>
        <w:t xml:space="preserve">t.i. </w:t>
      </w:r>
      <w:r w:rsidRPr="00F62B79">
        <w:rPr>
          <w:sz w:val="28"/>
        </w:rPr>
        <w:tab/>
      </w:r>
      <w:r w:rsidRPr="00F62B79">
        <w:rPr>
          <w:sz w:val="28"/>
        </w:rPr>
        <w:tab/>
        <w:t>–</w:t>
      </w:r>
      <w:r w:rsidRPr="00F62B79">
        <w:rPr>
          <w:sz w:val="28"/>
        </w:rPr>
        <w:tab/>
        <w:t>tas ir</w:t>
      </w:r>
    </w:p>
    <w:p w:rsidR="001D26BC" w:rsidRPr="00F62B79" w:rsidRDefault="001D26BC" w:rsidP="001D26BC">
      <w:pPr>
        <w:rPr>
          <w:sz w:val="28"/>
        </w:rPr>
      </w:pPr>
      <w:r w:rsidRPr="00F62B79">
        <w:rPr>
          <w:sz w:val="28"/>
        </w:rPr>
        <w:t>t.sk.</w:t>
      </w:r>
      <w:r w:rsidRPr="00F62B79">
        <w:rPr>
          <w:sz w:val="28"/>
        </w:rPr>
        <w:tab/>
      </w:r>
      <w:r w:rsidRPr="00F62B79">
        <w:rPr>
          <w:sz w:val="28"/>
        </w:rPr>
        <w:tab/>
        <w:t>–</w:t>
      </w:r>
      <w:r w:rsidRPr="00F62B79">
        <w:rPr>
          <w:sz w:val="28"/>
        </w:rPr>
        <w:tab/>
        <w:t>tai skaitā</w:t>
      </w:r>
    </w:p>
    <w:p w:rsidR="001D26BC" w:rsidRPr="00F62B79" w:rsidRDefault="001D26BC" w:rsidP="001D26BC">
      <w:pPr>
        <w:rPr>
          <w:sz w:val="28"/>
        </w:rPr>
      </w:pPr>
      <w:r w:rsidRPr="00F62B79">
        <w:rPr>
          <w:sz w:val="28"/>
        </w:rPr>
        <w:t xml:space="preserve">tūkst. </w:t>
      </w:r>
      <w:r w:rsidRPr="00F62B79">
        <w:rPr>
          <w:sz w:val="28"/>
        </w:rPr>
        <w:tab/>
      </w:r>
      <w:r w:rsidRPr="00F62B79">
        <w:rPr>
          <w:sz w:val="28"/>
        </w:rPr>
        <w:tab/>
        <w:t>–</w:t>
      </w:r>
      <w:r w:rsidRPr="00F62B79">
        <w:rPr>
          <w:sz w:val="28"/>
        </w:rPr>
        <w:tab/>
        <w:t>tūkstotis</w:t>
      </w:r>
    </w:p>
    <w:p w:rsidR="001D26BC" w:rsidRPr="00F62B79" w:rsidRDefault="001D26BC" w:rsidP="001D26BC">
      <w:pPr>
        <w:rPr>
          <w:sz w:val="28"/>
        </w:rPr>
      </w:pPr>
      <w:r w:rsidRPr="00F62B79">
        <w:rPr>
          <w:sz w:val="28"/>
        </w:rPr>
        <w:t xml:space="preserve">u.c. </w:t>
      </w:r>
      <w:r w:rsidRPr="00F62B79">
        <w:rPr>
          <w:sz w:val="28"/>
        </w:rPr>
        <w:tab/>
      </w:r>
      <w:r w:rsidRPr="00F62B79">
        <w:rPr>
          <w:sz w:val="28"/>
        </w:rPr>
        <w:tab/>
        <w:t>–</w:t>
      </w:r>
      <w:r w:rsidRPr="00F62B79">
        <w:rPr>
          <w:sz w:val="28"/>
        </w:rPr>
        <w:tab/>
        <w:t>un citi</w:t>
      </w:r>
    </w:p>
    <w:p w:rsidR="001D26BC" w:rsidRPr="00AF4E24" w:rsidRDefault="001D26BC" w:rsidP="001D26BC">
      <w:pPr>
        <w:pStyle w:val="Heading1"/>
        <w:pBdr>
          <w:bottom w:val="single" w:sz="12" w:space="1" w:color="000080"/>
        </w:pBdr>
      </w:pPr>
      <w:bookmarkStart w:id="4" w:name="_Toc200255779"/>
      <w:bookmarkStart w:id="5" w:name="_Toc220327260"/>
      <w:bookmarkStart w:id="6" w:name="_Toc220327326"/>
      <w:bookmarkStart w:id="7" w:name="_Toc220327456"/>
      <w:bookmarkStart w:id="8" w:name="_Toc220327620"/>
      <w:bookmarkStart w:id="9" w:name="_Toc220327877"/>
      <w:bookmarkStart w:id="10" w:name="_Toc220328204"/>
      <w:bookmarkStart w:id="11" w:name="_Toc220328331"/>
      <w:bookmarkStart w:id="12" w:name="_Toc303176589"/>
      <w:r>
        <w:lastRenderedPageBreak/>
        <w:t>I Situācijas</w:t>
      </w:r>
      <w:r w:rsidRPr="00AF4E24">
        <w:t xml:space="preserve"> detalizēts izklāsts</w:t>
      </w:r>
      <w:bookmarkEnd w:id="4"/>
      <w:bookmarkEnd w:id="5"/>
      <w:bookmarkEnd w:id="6"/>
      <w:bookmarkEnd w:id="7"/>
      <w:bookmarkEnd w:id="8"/>
      <w:bookmarkEnd w:id="9"/>
      <w:bookmarkEnd w:id="10"/>
      <w:bookmarkEnd w:id="11"/>
      <w:bookmarkEnd w:id="12"/>
      <w:r w:rsidRPr="00AF4E24">
        <w:t xml:space="preserve"> </w:t>
      </w:r>
    </w:p>
    <w:p w:rsidR="001D26BC" w:rsidRPr="008F0648" w:rsidRDefault="001D26BC" w:rsidP="001D26BC">
      <w:pPr>
        <w:pStyle w:val="Heading2"/>
      </w:pPr>
      <w:bookmarkStart w:id="13" w:name="_Toc200255780"/>
      <w:bookmarkStart w:id="14" w:name="_Toc220327261"/>
      <w:bookmarkStart w:id="15" w:name="_Toc220327327"/>
      <w:bookmarkStart w:id="16" w:name="_Toc220327457"/>
      <w:bookmarkStart w:id="17" w:name="_Toc220327621"/>
      <w:bookmarkStart w:id="18" w:name="_Toc220327878"/>
      <w:bookmarkStart w:id="19" w:name="_Toc220328205"/>
      <w:bookmarkStart w:id="20" w:name="_Toc220328332"/>
      <w:bookmarkStart w:id="21" w:name="_Toc303176590"/>
      <w:r w:rsidRPr="008F0648">
        <w:t>1.Ievads</w:t>
      </w:r>
      <w:bookmarkEnd w:id="13"/>
      <w:bookmarkEnd w:id="14"/>
      <w:bookmarkEnd w:id="15"/>
      <w:bookmarkEnd w:id="16"/>
      <w:bookmarkEnd w:id="17"/>
      <w:bookmarkEnd w:id="18"/>
      <w:bookmarkEnd w:id="19"/>
      <w:bookmarkEnd w:id="20"/>
      <w:bookmarkEnd w:id="21"/>
    </w:p>
    <w:p w:rsidR="001D26BC" w:rsidRPr="005438E1" w:rsidRDefault="001D26BC" w:rsidP="001D26BC">
      <w:pPr>
        <w:ind w:firstLine="360"/>
        <w:jc w:val="both"/>
        <w:rPr>
          <w:rFonts w:eastAsia="Times New Roman"/>
          <w:sz w:val="28"/>
          <w:lang w:eastAsia="lv-LV"/>
        </w:rPr>
      </w:pPr>
      <w:r w:rsidRPr="005438E1">
        <w:rPr>
          <w:sz w:val="28"/>
        </w:rPr>
        <w:t xml:space="preserve">Izglītības un zinātnes ministrija un </w:t>
      </w:r>
      <w:r>
        <w:rPr>
          <w:sz w:val="28"/>
        </w:rPr>
        <w:t xml:space="preserve">ar Izglītības un zinātnes ministrijas 2009.gada 27.maija rīkojumu Nr. 290 izveidotā </w:t>
      </w:r>
      <w:r w:rsidRPr="005438E1">
        <w:rPr>
          <w:sz w:val="28"/>
        </w:rPr>
        <w:t>Valsts kosmosa tehnoloģiju attīstības darba grupa</w:t>
      </w:r>
      <w:r>
        <w:rPr>
          <w:sz w:val="28"/>
        </w:rPr>
        <w:t>, kurā tika iekļauti pārstāvji no ministrijām, zinātniskajām institūcijām un komercsabiedrībām ir izstrādājuši koncepciju</w:t>
      </w:r>
      <w:r w:rsidRPr="005438E1">
        <w:rPr>
          <w:sz w:val="28"/>
        </w:rPr>
        <w:t xml:space="preserve"> par kosmosa tehnoloģiju attīstību un kosmosa </w:t>
      </w:r>
      <w:proofErr w:type="spellStart"/>
      <w:r w:rsidRPr="005438E1">
        <w:rPr>
          <w:sz w:val="28"/>
        </w:rPr>
        <w:t>rīcībpolitikas</w:t>
      </w:r>
      <w:proofErr w:type="spellEnd"/>
      <w:r w:rsidRPr="005438E1">
        <w:rPr>
          <w:sz w:val="28"/>
        </w:rPr>
        <w:t xml:space="preserve"> veidošanu valstī. </w:t>
      </w:r>
    </w:p>
    <w:p w:rsidR="001D26BC" w:rsidRPr="005438E1" w:rsidRDefault="001D26BC" w:rsidP="001D26BC">
      <w:pPr>
        <w:ind w:firstLine="360"/>
        <w:jc w:val="both"/>
        <w:rPr>
          <w:sz w:val="28"/>
        </w:rPr>
      </w:pPr>
      <w:r>
        <w:rPr>
          <w:rFonts w:eastAsia="Times New Roman"/>
          <w:sz w:val="28"/>
          <w:lang w:eastAsia="lv-LV"/>
        </w:rPr>
        <w:t>Koncepcija</w:t>
      </w:r>
      <w:r w:rsidRPr="005438E1">
        <w:rPr>
          <w:rFonts w:eastAsia="Times New Roman"/>
          <w:sz w:val="28"/>
          <w:lang w:eastAsia="lv-LV"/>
        </w:rPr>
        <w:t xml:space="preserve"> </w:t>
      </w:r>
      <w:r>
        <w:rPr>
          <w:rFonts w:eastAsia="Times New Roman"/>
          <w:sz w:val="28"/>
          <w:lang w:eastAsia="lv-LV"/>
        </w:rPr>
        <w:t>izstrādāta</w:t>
      </w:r>
      <w:r w:rsidRPr="005438E1">
        <w:rPr>
          <w:rFonts w:eastAsia="Times New Roman"/>
          <w:sz w:val="28"/>
          <w:lang w:eastAsia="lv-LV"/>
        </w:rPr>
        <w:t xml:space="preserve">, pamatojoties uz </w:t>
      </w:r>
      <w:r w:rsidRPr="005438E1">
        <w:rPr>
          <w:sz w:val="28"/>
        </w:rPr>
        <w:t>uzsākto sadarbību ar Eiropas Kosmosa aģentūr</w:t>
      </w:r>
      <w:r>
        <w:rPr>
          <w:sz w:val="28"/>
        </w:rPr>
        <w:t>u</w:t>
      </w:r>
      <w:r w:rsidRPr="005438E1">
        <w:rPr>
          <w:sz w:val="28"/>
        </w:rPr>
        <w:t xml:space="preserve">, 2009.gada 23.jūlijā parakstot „Latvijas Republikas valdības un Eiropas Kosmosa aģentūras līgumu par sadarbību kosmosa jomā miermīlīgiem mērķiem” un nepieciešamību izstrādāt </w:t>
      </w:r>
      <w:proofErr w:type="spellStart"/>
      <w:r w:rsidRPr="005438E1">
        <w:rPr>
          <w:sz w:val="28"/>
        </w:rPr>
        <w:t>rīcībpolitiku</w:t>
      </w:r>
      <w:proofErr w:type="spellEnd"/>
      <w:r w:rsidRPr="005438E1">
        <w:rPr>
          <w:sz w:val="28"/>
        </w:rPr>
        <w:t>, lai attīstītu Latvijas kosmosa nozari.</w:t>
      </w:r>
    </w:p>
    <w:p w:rsidR="001D26BC" w:rsidRPr="00417F1F" w:rsidRDefault="001D26BC" w:rsidP="001D26BC">
      <w:pPr>
        <w:ind w:firstLine="360"/>
        <w:jc w:val="both"/>
        <w:rPr>
          <w:sz w:val="28"/>
        </w:rPr>
      </w:pPr>
      <w:r>
        <w:rPr>
          <w:color w:val="000000"/>
          <w:sz w:val="28"/>
        </w:rPr>
        <w:t xml:space="preserve">Eiropas Savienības un Eiropas Kosmosa aģentūras 2007.gadā piedāvātā Eiropas kosmosa politika, kuru aktivizē Kosmosa Padomes un Eiropas Parlamenta rezolūcijas, paredz pieaugošu atbalstu kosmosa aktivitātēm. Jau vairāk nekā 30 gadus </w:t>
      </w:r>
      <w:r w:rsidRPr="005438E1">
        <w:rPr>
          <w:sz w:val="28"/>
        </w:rPr>
        <w:t>Eiropas Kosmosa aģentūr</w:t>
      </w:r>
      <w:r>
        <w:rPr>
          <w:sz w:val="28"/>
        </w:rPr>
        <w:t xml:space="preserve">a </w:t>
      </w:r>
      <w:r>
        <w:rPr>
          <w:color w:val="000000"/>
          <w:sz w:val="28"/>
        </w:rPr>
        <w:t xml:space="preserve">un Eiropas Savienības </w:t>
      </w:r>
      <w:r>
        <w:rPr>
          <w:sz w:val="28"/>
        </w:rPr>
        <w:t>Septītās Ietvara programmas</w:t>
      </w:r>
      <w:r>
        <w:rPr>
          <w:color w:val="000000"/>
          <w:sz w:val="28"/>
        </w:rPr>
        <w:t xml:space="preserve"> darbības galvenie uzsvari vērsti uz praktiskiem kosmosa pielietojumiem. Šai kontekstā par Eiropas globālo pozīciju nostiprināšanu jākalpo navigācijas (Galileo</w:t>
      </w:r>
      <w:r w:rsidRPr="00417F1F">
        <w:rPr>
          <w:sz w:val="28"/>
        </w:rPr>
        <w:t>) un Zemes virsmas novērošanas programmām (GMES). Abas šīs programmas var uzlūkot kā izcilus Eiropas sasniegumu paraugus pasaules arēnā, kurus papildina nacionālas programmas un kosmosa aģentūru aktivitātes.</w:t>
      </w:r>
      <w:r w:rsidRPr="00460C6E">
        <w:rPr>
          <w:rStyle w:val="FootnoteReference"/>
          <w:color w:val="000000"/>
          <w:sz w:val="28"/>
        </w:rPr>
        <w:footnoteReference w:id="1"/>
      </w:r>
    </w:p>
    <w:p w:rsidR="001D26BC" w:rsidRDefault="001D26BC" w:rsidP="001D26BC">
      <w:pPr>
        <w:ind w:firstLine="360"/>
        <w:jc w:val="both"/>
        <w:rPr>
          <w:color w:val="000000"/>
          <w:sz w:val="28"/>
        </w:rPr>
      </w:pPr>
      <w:r>
        <w:rPr>
          <w:sz w:val="28"/>
        </w:rPr>
        <w:t>Eiropas kosmosa politika</w:t>
      </w:r>
      <w:r w:rsidRPr="00417F1F">
        <w:rPr>
          <w:sz w:val="28"/>
        </w:rPr>
        <w:t xml:space="preserve"> ir noteikusi uzdevumu Eiropai kļūt par pasaules</w:t>
      </w:r>
      <w:r>
        <w:rPr>
          <w:color w:val="000000"/>
          <w:sz w:val="28"/>
        </w:rPr>
        <w:t xml:space="preserve"> klases kosmosa līderi atbilstoši Eiropas mērķiem un politikas vajadzībām, izveidojot atbilstošu industriālo un zinātnisko potenciālu un tā nostiprinot savu politisko un tehnoloģisko autonomiju.</w:t>
      </w:r>
      <w:r>
        <w:rPr>
          <w:rStyle w:val="FootnoteReference"/>
          <w:color w:val="000000"/>
          <w:sz w:val="28"/>
        </w:rPr>
        <w:footnoteReference w:id="2"/>
      </w:r>
      <w:r>
        <w:rPr>
          <w:color w:val="000000"/>
          <w:sz w:val="28"/>
        </w:rPr>
        <w:t xml:space="preserve"> Saules sistēmas un Zemes virsmas izpēte, kā arī ilgtspējīga attīstība ir galvenie pīlāri starptautiskajā sadarbībā, lai spētu sekmīgi paaugstināt </w:t>
      </w:r>
      <w:r>
        <w:rPr>
          <w:sz w:val="28"/>
        </w:rPr>
        <w:t xml:space="preserve">Eiropas Savienības  </w:t>
      </w:r>
      <w:r>
        <w:rPr>
          <w:color w:val="000000"/>
          <w:sz w:val="28"/>
        </w:rPr>
        <w:t xml:space="preserve">globālo konkurētspēju. </w:t>
      </w:r>
    </w:p>
    <w:p w:rsidR="001D26BC" w:rsidRDefault="001D26BC" w:rsidP="001D26BC">
      <w:pPr>
        <w:ind w:firstLine="360"/>
        <w:jc w:val="both"/>
        <w:rPr>
          <w:color w:val="000000"/>
          <w:sz w:val="28"/>
        </w:rPr>
      </w:pPr>
      <w:r>
        <w:rPr>
          <w:color w:val="000000"/>
          <w:sz w:val="28"/>
        </w:rPr>
        <w:t xml:space="preserve">Kosmosa zinātne nav nodalīta vai izolēta darbība, bet jau šodien ir kļuvusi par ikviena indivīda dzīves sastāvdaļu. No telekomunikācijām līdz televīzijai daudzi pakalpojumi, kurus izmantojam, pielieto kosmosa tehnoloģijas. Tas ir nozīmīgs tirgus 90 miljardu eiro apmērā ar ilgtermiņa potenciālu un izaugsmi 7% gadā. Ir novērtēts, ka </w:t>
      </w:r>
      <w:proofErr w:type="spellStart"/>
      <w:r>
        <w:rPr>
          <w:color w:val="000000"/>
          <w:sz w:val="28"/>
        </w:rPr>
        <w:t>satelītnavigācijas</w:t>
      </w:r>
      <w:proofErr w:type="spellEnd"/>
      <w:r>
        <w:rPr>
          <w:color w:val="000000"/>
          <w:sz w:val="28"/>
        </w:rPr>
        <w:t xml:space="preserve"> iekārtu </w:t>
      </w:r>
      <w:r>
        <w:rPr>
          <w:color w:val="000000"/>
          <w:sz w:val="28"/>
        </w:rPr>
        <w:lastRenderedPageBreak/>
        <w:t>un pakalpojumu tirgus 2025.gadā sasniegs 400 miljardus eiro, pie kam atvasināto pielietojumu vērtība tautsaimniecībā ir daudzreiz lielāka.</w:t>
      </w:r>
    </w:p>
    <w:p w:rsidR="001D26BC" w:rsidRDefault="001D26BC" w:rsidP="001D26BC">
      <w:pPr>
        <w:ind w:firstLine="360"/>
        <w:jc w:val="both"/>
        <w:rPr>
          <w:color w:val="000000"/>
          <w:sz w:val="28"/>
        </w:rPr>
      </w:pPr>
      <w:r>
        <w:rPr>
          <w:color w:val="000000"/>
          <w:sz w:val="28"/>
        </w:rPr>
        <w:t xml:space="preserve">Nacionālās Aeronautikas un kosmosa pārvalde izstrādāja zvaigžņu atpazīšanas algoritmu, kas šodien palīdz ekoloģijā izsekot izmirstošu sugu dzīvniekus; iekārta šūnu pētījumiem bezsvara apstākļos kalpo sirds slimību un diabēta pētījumos; Nacionālās Aeronautikas un kosmosa pārvalde kosmosa kostīmu auduma tehnoloģiju pielieto </w:t>
      </w:r>
      <w:proofErr w:type="spellStart"/>
      <w:r>
        <w:rPr>
          <w:color w:val="000000"/>
          <w:sz w:val="28"/>
        </w:rPr>
        <w:t>energoefektīvos</w:t>
      </w:r>
      <w:proofErr w:type="spellEnd"/>
      <w:r>
        <w:rPr>
          <w:color w:val="000000"/>
          <w:sz w:val="28"/>
        </w:rPr>
        <w:t xml:space="preserve"> jumta klājumos; maiznieki savās krāsnīs izmanto elektriski dzesējamu apakšveļu, ko saņēma </w:t>
      </w:r>
      <w:r w:rsidRPr="005438E1">
        <w:rPr>
          <w:sz w:val="28"/>
        </w:rPr>
        <w:t>Eiropas Kosmosa aģentūr</w:t>
      </w:r>
      <w:r>
        <w:rPr>
          <w:sz w:val="28"/>
        </w:rPr>
        <w:t xml:space="preserve">as </w:t>
      </w:r>
      <w:r>
        <w:rPr>
          <w:color w:val="000000"/>
          <w:sz w:val="28"/>
        </w:rPr>
        <w:t xml:space="preserve">astronauti. Lai samazinātu </w:t>
      </w:r>
      <w:proofErr w:type="spellStart"/>
      <w:r>
        <w:rPr>
          <w:color w:val="000000"/>
          <w:sz w:val="28"/>
        </w:rPr>
        <w:t>jaunizprojektētu</w:t>
      </w:r>
      <w:proofErr w:type="spellEnd"/>
      <w:r>
        <w:rPr>
          <w:color w:val="000000"/>
          <w:sz w:val="28"/>
        </w:rPr>
        <w:t xml:space="preserve"> automašīnu vibrāciju, vācu autobūvētāji izmanto programmatūru, kuru pirmoreiz izmantoja </w:t>
      </w:r>
      <w:r w:rsidRPr="005438E1">
        <w:rPr>
          <w:sz w:val="28"/>
        </w:rPr>
        <w:t>Eiropas Kosmosa aģentūr</w:t>
      </w:r>
      <w:r>
        <w:rPr>
          <w:sz w:val="28"/>
        </w:rPr>
        <w:t xml:space="preserve">as </w:t>
      </w:r>
      <w:proofErr w:type="spellStart"/>
      <w:r>
        <w:rPr>
          <w:color w:val="000000"/>
          <w:sz w:val="28"/>
        </w:rPr>
        <w:t>Kolumba</w:t>
      </w:r>
      <w:proofErr w:type="spellEnd"/>
      <w:r>
        <w:rPr>
          <w:color w:val="000000"/>
          <w:sz w:val="28"/>
        </w:rPr>
        <w:t xml:space="preserve"> laboratorijā SKS.</w:t>
      </w:r>
      <w:r>
        <w:rPr>
          <w:rStyle w:val="FootnoteReference"/>
          <w:color w:val="000000"/>
          <w:sz w:val="28"/>
        </w:rPr>
        <w:footnoteReference w:id="3"/>
      </w:r>
      <w:r>
        <w:rPr>
          <w:color w:val="000000"/>
          <w:sz w:val="28"/>
        </w:rPr>
        <w:t xml:space="preserve"> Šādi pielietojumi iespējami ikvienā sabiedrībai svarīgā jomā.</w:t>
      </w:r>
    </w:p>
    <w:p w:rsidR="001D26BC" w:rsidRDefault="001D26BC" w:rsidP="001D26BC">
      <w:pPr>
        <w:ind w:firstLine="360"/>
        <w:jc w:val="both"/>
        <w:rPr>
          <w:color w:val="000000"/>
          <w:sz w:val="28"/>
        </w:rPr>
      </w:pPr>
      <w:r>
        <w:rPr>
          <w:color w:val="000000"/>
          <w:sz w:val="28"/>
        </w:rPr>
        <w:t>Ekonomiskās krīzes pārvarēšana, mūsu iedzīvotāju labklājība, klimata izmaiņu risinājumi, spēja izmantot visu inovācijas potenciālu un veidot zināšanu sabiedrību lielā mērā ir atkarīga no tādiem sekmējošiem rīkiem kā kosmosa pielietojumi.</w:t>
      </w:r>
      <w:r>
        <w:rPr>
          <w:rStyle w:val="FootnoteReference"/>
          <w:color w:val="000000"/>
          <w:sz w:val="28"/>
        </w:rPr>
        <w:footnoteReference w:id="4"/>
      </w:r>
      <w:r>
        <w:rPr>
          <w:color w:val="000000"/>
          <w:sz w:val="28"/>
        </w:rPr>
        <w:t xml:space="preserve"> Latvijas spēja izmantot esošās kompetences, palielināt kosmosa tehnoloģiju jomā iesaistīto zinātnisko kapacitāti, veicināt nozares industriālo potenciālu, kā arī sekmēt produktīvu tehnoloģiju pārnesi un absorbciju, noteiks sadarbības atdevi un efektivitāti ar </w:t>
      </w:r>
      <w:r w:rsidRPr="005438E1">
        <w:rPr>
          <w:sz w:val="28"/>
        </w:rPr>
        <w:t>Eiropas Kosmosa aģentūr</w:t>
      </w:r>
      <w:r>
        <w:rPr>
          <w:sz w:val="28"/>
        </w:rPr>
        <w:t xml:space="preserve">u </w:t>
      </w:r>
      <w:r>
        <w:rPr>
          <w:color w:val="000000"/>
          <w:sz w:val="28"/>
        </w:rPr>
        <w:t xml:space="preserve"> un saistītajām Eiropas Savienības struktūrām un, visbeidzot, iespējas kļūt par līdzvērtīgu partneri Eiropas kosmosa tehnoloģiju tirgū.</w:t>
      </w:r>
    </w:p>
    <w:p w:rsidR="001D26BC" w:rsidRPr="00051398" w:rsidRDefault="001D26BC" w:rsidP="001D26BC">
      <w:pPr>
        <w:ind w:firstLine="360"/>
        <w:jc w:val="both"/>
        <w:rPr>
          <w:sz w:val="28"/>
        </w:rPr>
      </w:pPr>
      <w:r>
        <w:rPr>
          <w:color w:val="000000"/>
          <w:sz w:val="28"/>
        </w:rPr>
        <w:t>Koncepcija</w:t>
      </w:r>
      <w:r w:rsidRPr="00940734">
        <w:rPr>
          <w:sz w:val="28"/>
        </w:rPr>
        <w:t xml:space="preserve"> akcentē </w:t>
      </w:r>
      <w:r>
        <w:rPr>
          <w:sz w:val="28"/>
        </w:rPr>
        <w:t xml:space="preserve">Latvijas </w:t>
      </w:r>
      <w:r w:rsidRPr="00940734">
        <w:rPr>
          <w:sz w:val="28"/>
        </w:rPr>
        <w:t xml:space="preserve">kosmosa </w:t>
      </w:r>
      <w:r>
        <w:rPr>
          <w:sz w:val="28"/>
        </w:rPr>
        <w:t>nozares</w:t>
      </w:r>
      <w:r w:rsidRPr="00940734">
        <w:rPr>
          <w:sz w:val="28"/>
        </w:rPr>
        <w:t xml:space="preserve"> zinātnisko un tehnoloģisko kapacitāti un nepieciešamību valstī attīstīt kosmosa </w:t>
      </w:r>
      <w:r>
        <w:rPr>
          <w:sz w:val="28"/>
        </w:rPr>
        <w:t xml:space="preserve">tehnoloģiju </w:t>
      </w:r>
      <w:r w:rsidRPr="00940734">
        <w:rPr>
          <w:sz w:val="28"/>
        </w:rPr>
        <w:t>se</w:t>
      </w:r>
      <w:r>
        <w:rPr>
          <w:sz w:val="28"/>
        </w:rPr>
        <w:t>gmentu</w:t>
      </w:r>
      <w:r w:rsidRPr="00940734">
        <w:rPr>
          <w:sz w:val="28"/>
        </w:rPr>
        <w:t xml:space="preserve"> kā atsevišķu </w:t>
      </w:r>
      <w:r>
        <w:rPr>
          <w:sz w:val="28"/>
        </w:rPr>
        <w:t xml:space="preserve">mērķa </w:t>
      </w:r>
      <w:r w:rsidRPr="00940734">
        <w:rPr>
          <w:sz w:val="28"/>
        </w:rPr>
        <w:t>nozari ar tai atbilstošu politikas plānošanu</w:t>
      </w:r>
      <w:r>
        <w:rPr>
          <w:sz w:val="28"/>
        </w:rPr>
        <w:t>, un</w:t>
      </w:r>
      <w:r w:rsidRPr="00940734">
        <w:rPr>
          <w:sz w:val="28"/>
        </w:rPr>
        <w:t xml:space="preserve"> saskaņā ar </w:t>
      </w:r>
      <w:r w:rsidRPr="00D6481F">
        <w:rPr>
          <w:sz w:val="28"/>
        </w:rPr>
        <w:t>Zinātnes un tehnoloģijas attīstības pamatnostādņu</w:t>
      </w:r>
      <w:r w:rsidRPr="00051398">
        <w:rPr>
          <w:sz w:val="28"/>
        </w:rPr>
        <w:t xml:space="preserve"> </w:t>
      </w:r>
      <w:r w:rsidRPr="00940734">
        <w:rPr>
          <w:bCs/>
          <w:sz w:val="28"/>
        </w:rPr>
        <w:t xml:space="preserve">ieviešanas rīcības plāna </w:t>
      </w:r>
      <w:r w:rsidRPr="00940734">
        <w:rPr>
          <w:sz w:val="28"/>
        </w:rPr>
        <w:t xml:space="preserve">2010. – 2011.gadam pasākumu Nr. 3.1.2. </w:t>
      </w:r>
      <w:r>
        <w:rPr>
          <w:rFonts w:eastAsia="Times New Roman"/>
          <w:sz w:val="28"/>
          <w:lang w:eastAsia="lv-LV"/>
        </w:rPr>
        <w:t xml:space="preserve">izstrādāt „Latvijas </w:t>
      </w:r>
      <w:r w:rsidRPr="00940734">
        <w:rPr>
          <w:rFonts w:eastAsia="Times New Roman"/>
          <w:sz w:val="28"/>
          <w:lang w:eastAsia="lv-LV"/>
        </w:rPr>
        <w:t xml:space="preserve">kosmosa </w:t>
      </w:r>
      <w:r>
        <w:rPr>
          <w:rFonts w:eastAsia="Times New Roman"/>
          <w:sz w:val="28"/>
          <w:lang w:eastAsia="lv-LV"/>
        </w:rPr>
        <w:t xml:space="preserve">nozares </w:t>
      </w:r>
      <w:r w:rsidRPr="00940734">
        <w:rPr>
          <w:rFonts w:eastAsia="Times New Roman"/>
          <w:sz w:val="28"/>
          <w:lang w:eastAsia="lv-LV"/>
        </w:rPr>
        <w:t>pamatnostādnes</w:t>
      </w:r>
      <w:r>
        <w:rPr>
          <w:rFonts w:eastAsia="Times New Roman"/>
          <w:sz w:val="28"/>
          <w:lang w:eastAsia="lv-LV"/>
        </w:rPr>
        <w:t xml:space="preserve"> 2012. -2017.gadam</w:t>
      </w:r>
      <w:r w:rsidRPr="00940734">
        <w:rPr>
          <w:rFonts w:eastAsia="Times New Roman"/>
          <w:sz w:val="28"/>
          <w:lang w:eastAsia="lv-LV"/>
        </w:rPr>
        <w:t>” kosmosa un tehnoloģiju izpētes jomā</w:t>
      </w:r>
      <w:r>
        <w:rPr>
          <w:rFonts w:eastAsia="Times New Roman"/>
          <w:sz w:val="28"/>
          <w:lang w:eastAsia="lv-LV"/>
        </w:rPr>
        <w:t xml:space="preserve">. </w:t>
      </w:r>
    </w:p>
    <w:p w:rsidR="001D26BC" w:rsidRPr="00736EA6" w:rsidRDefault="00277129" w:rsidP="001D26BC">
      <w:pPr>
        <w:jc w:val="both"/>
        <w:rPr>
          <w:sz w:val="28"/>
          <w:szCs w:val="32"/>
        </w:rPr>
      </w:pPr>
      <w:r w:rsidRPr="00277129">
        <w:rPr>
          <w:noProof/>
        </w:rPr>
        <w:pict>
          <v:shapetype id="_x0000_t202" coordsize="21600,21600" o:spt="202" path="m,l,21600r21600,l21600,xe">
            <v:stroke joinstyle="miter"/>
            <v:path gradientshapeok="t" o:connecttype="rect"/>
          </v:shapetype>
          <v:shape id="_x0000_s1026" type="#_x0000_t202" style="position:absolute;left:0;text-align:left;margin-left:-11.25pt;margin-top:16.3pt;width:466.3pt;height:72.35pt;z-index:251660288" fillcolor="silver">
            <v:textbox style="mso-next-textbox:#_x0000_s1026;mso-fit-shape-to-text:t">
              <w:txbxContent>
                <w:p w:rsidR="00821038" w:rsidRPr="0084422E" w:rsidRDefault="00821038" w:rsidP="001D26BC">
                  <w:pPr>
                    <w:jc w:val="both"/>
                    <w:rPr>
                      <w:sz w:val="28"/>
                    </w:rPr>
                  </w:pPr>
                  <w:r w:rsidRPr="00736EA6">
                    <w:rPr>
                      <w:sz w:val="28"/>
                    </w:rPr>
                    <w:t xml:space="preserve">Šīs koncepcijas </w:t>
                  </w:r>
                  <w:r w:rsidRPr="00736EA6">
                    <w:rPr>
                      <w:b/>
                      <w:sz w:val="28"/>
                    </w:rPr>
                    <w:t>mērķis ir</w:t>
                  </w:r>
                  <w:r w:rsidRPr="00736EA6">
                    <w:rPr>
                      <w:sz w:val="28"/>
                    </w:rPr>
                    <w:t xml:space="preserve"> palielināt Latvijas kosmosa un saistīto nozaru starptautisko konkurētspēju, īstenojot aktīvu nacionālo kosmosa </w:t>
                  </w:r>
                  <w:proofErr w:type="spellStart"/>
                  <w:r w:rsidRPr="00736EA6">
                    <w:rPr>
                      <w:sz w:val="28"/>
                    </w:rPr>
                    <w:t>rīcībpolitiku</w:t>
                  </w:r>
                  <w:proofErr w:type="spellEnd"/>
                  <w:r w:rsidRPr="00736EA6">
                    <w:rPr>
                      <w:sz w:val="28"/>
                    </w:rPr>
                    <w:t xml:space="preserve"> un efektīvi izmantojot agrākās kosmosa tehnoloģiju prasmes, kompetenci un zinātnisko infrastruktūru</w:t>
                  </w:r>
                  <w:r>
                    <w:rPr>
                      <w:sz w:val="28"/>
                    </w:rPr>
                    <w:t>, iesaistoties EKA programmās</w:t>
                  </w:r>
                </w:p>
              </w:txbxContent>
            </v:textbox>
            <w10:wrap type="square"/>
          </v:shape>
        </w:pict>
      </w:r>
    </w:p>
    <w:p w:rsidR="001D26BC" w:rsidRPr="008F0648" w:rsidRDefault="001D26BC" w:rsidP="001D26BC">
      <w:pPr>
        <w:pStyle w:val="Heading2"/>
      </w:pPr>
      <w:bookmarkStart w:id="22" w:name="_Toc277513975"/>
      <w:bookmarkStart w:id="23" w:name="_Toc277672585"/>
      <w:bookmarkStart w:id="24" w:name="_Toc280366507"/>
      <w:bookmarkStart w:id="25" w:name="_Toc303176591"/>
      <w:r w:rsidRPr="008F0648">
        <w:lastRenderedPageBreak/>
        <w:t>2. Pašreizējais kosmosa nozares raksturojums</w:t>
      </w:r>
      <w:bookmarkEnd w:id="22"/>
      <w:bookmarkEnd w:id="23"/>
      <w:bookmarkEnd w:id="24"/>
      <w:r w:rsidRPr="008F0648">
        <w:t xml:space="preserve"> pasaulē</w:t>
      </w:r>
      <w:bookmarkEnd w:id="25"/>
      <w:r w:rsidRPr="008F0648">
        <w:t xml:space="preserve"> </w:t>
      </w:r>
    </w:p>
    <w:p w:rsidR="001D26BC" w:rsidRPr="00497F5F" w:rsidRDefault="001D26BC" w:rsidP="001D26BC">
      <w:pPr>
        <w:pStyle w:val="Heading3"/>
      </w:pPr>
      <w:bookmarkStart w:id="26" w:name="_Toc277513976"/>
      <w:bookmarkStart w:id="27" w:name="_Toc277672586"/>
      <w:bookmarkStart w:id="28" w:name="_Toc280366508"/>
      <w:bookmarkStart w:id="29" w:name="_Toc303176592"/>
      <w:r>
        <w:t xml:space="preserve">2.1. </w:t>
      </w:r>
      <w:r w:rsidRPr="00497F5F">
        <w:t>K</w:t>
      </w:r>
      <w:r>
        <w:t>osmosa nozares radītie pozitīvie ieguvumi</w:t>
      </w:r>
      <w:bookmarkEnd w:id="26"/>
      <w:bookmarkEnd w:id="27"/>
      <w:bookmarkEnd w:id="28"/>
      <w:bookmarkEnd w:id="29"/>
      <w:r>
        <w:t xml:space="preserve"> </w:t>
      </w:r>
    </w:p>
    <w:p w:rsidR="001D26BC" w:rsidRDefault="001D26BC" w:rsidP="001D26BC">
      <w:pPr>
        <w:ind w:right="283"/>
        <w:jc w:val="both"/>
        <w:rPr>
          <w:sz w:val="28"/>
        </w:rPr>
      </w:pPr>
    </w:p>
    <w:p w:rsidR="001D26BC" w:rsidRPr="001A3F06" w:rsidRDefault="001D26BC" w:rsidP="001D26BC">
      <w:pPr>
        <w:pStyle w:val="NoSpacing"/>
        <w:ind w:firstLine="720"/>
        <w:jc w:val="both"/>
        <w:rPr>
          <w:sz w:val="28"/>
        </w:rPr>
      </w:pPr>
      <w:r>
        <w:rPr>
          <w:sz w:val="28"/>
        </w:rPr>
        <w:t xml:space="preserve">2007.gada apjomīgajā OECD kvantitatīvajā pētījumā </w:t>
      </w:r>
      <w:r w:rsidRPr="00804E45">
        <w:rPr>
          <w:sz w:val="28"/>
        </w:rPr>
        <w:t>„</w:t>
      </w:r>
      <w:proofErr w:type="spellStart"/>
      <w:r w:rsidRPr="00804E45">
        <w:rPr>
          <w:sz w:val="28"/>
          <w:lang w:eastAsia="lv-LV"/>
        </w:rPr>
        <w:t>The</w:t>
      </w:r>
      <w:proofErr w:type="spellEnd"/>
      <w:r w:rsidRPr="00804E45">
        <w:rPr>
          <w:sz w:val="28"/>
          <w:lang w:eastAsia="lv-LV"/>
        </w:rPr>
        <w:t xml:space="preserve"> </w:t>
      </w:r>
      <w:proofErr w:type="spellStart"/>
      <w:r w:rsidRPr="00804E45">
        <w:rPr>
          <w:sz w:val="28"/>
          <w:lang w:eastAsia="lv-LV"/>
        </w:rPr>
        <w:t>Space</w:t>
      </w:r>
      <w:proofErr w:type="spellEnd"/>
      <w:r w:rsidRPr="00804E45">
        <w:rPr>
          <w:sz w:val="28"/>
          <w:lang w:eastAsia="lv-LV"/>
        </w:rPr>
        <w:t xml:space="preserve"> </w:t>
      </w:r>
      <w:proofErr w:type="spellStart"/>
      <w:r w:rsidRPr="00804E45">
        <w:rPr>
          <w:sz w:val="28"/>
          <w:lang w:eastAsia="lv-LV"/>
        </w:rPr>
        <w:t>Economy</w:t>
      </w:r>
      <w:proofErr w:type="spellEnd"/>
      <w:r w:rsidRPr="00804E45">
        <w:rPr>
          <w:sz w:val="28"/>
          <w:lang w:eastAsia="lv-LV"/>
        </w:rPr>
        <w:t xml:space="preserve"> </w:t>
      </w:r>
      <w:proofErr w:type="spellStart"/>
      <w:r w:rsidRPr="00804E45">
        <w:rPr>
          <w:sz w:val="28"/>
          <w:lang w:eastAsia="lv-LV"/>
        </w:rPr>
        <w:t>at</w:t>
      </w:r>
      <w:proofErr w:type="spellEnd"/>
      <w:r w:rsidRPr="00804E45">
        <w:rPr>
          <w:sz w:val="28"/>
          <w:lang w:eastAsia="lv-LV"/>
        </w:rPr>
        <w:t xml:space="preserve"> a </w:t>
      </w:r>
      <w:proofErr w:type="spellStart"/>
      <w:r w:rsidRPr="00804E45">
        <w:rPr>
          <w:sz w:val="28"/>
          <w:lang w:eastAsia="lv-LV"/>
        </w:rPr>
        <w:t>Glance</w:t>
      </w:r>
      <w:proofErr w:type="spellEnd"/>
      <w:r w:rsidRPr="00804E45">
        <w:rPr>
          <w:sz w:val="28"/>
        </w:rPr>
        <w:t>”</w:t>
      </w:r>
      <w:r>
        <w:rPr>
          <w:sz w:val="28"/>
        </w:rPr>
        <w:t xml:space="preserve"> tika pierādīta investīciju kosmosa tehnoloģijās pozitīvā ietekme uz valsts ekonomikas attīstību kopumā un zināšanu ieguvi</w:t>
      </w:r>
      <w:r w:rsidRPr="0077382A">
        <w:rPr>
          <w:sz w:val="28"/>
        </w:rPr>
        <w:t>. OECD pētījum</w:t>
      </w:r>
      <w:r>
        <w:rPr>
          <w:sz w:val="28"/>
        </w:rPr>
        <w:t>s apliecina</w:t>
      </w:r>
      <w:r w:rsidRPr="0077382A">
        <w:rPr>
          <w:sz w:val="28"/>
        </w:rPr>
        <w:t xml:space="preserve">, ka daudzām </w:t>
      </w:r>
      <w:r>
        <w:rPr>
          <w:sz w:val="28"/>
        </w:rPr>
        <w:t>ar kosmosu</w:t>
      </w:r>
      <w:r w:rsidRPr="0077382A">
        <w:rPr>
          <w:sz w:val="28"/>
        </w:rPr>
        <w:t xml:space="preserve"> </w:t>
      </w:r>
      <w:r>
        <w:rPr>
          <w:sz w:val="28"/>
        </w:rPr>
        <w:t>saistītām</w:t>
      </w:r>
      <w:r w:rsidRPr="0077382A">
        <w:rPr>
          <w:sz w:val="28"/>
        </w:rPr>
        <w:t xml:space="preserve"> aktivitātēm i</w:t>
      </w:r>
      <w:r>
        <w:rPr>
          <w:sz w:val="28"/>
        </w:rPr>
        <w:t xml:space="preserve">r pozitīva ietekme uz sabiedrības un tautsaimniecības attīstību. Tas ir ne tikai kvantitatīvs atspoguļojums apgrozījuma vai eksporta palielinājuma izteiksmē, bet arī </w:t>
      </w:r>
      <w:r w:rsidRPr="001A3F06">
        <w:rPr>
          <w:sz w:val="28"/>
        </w:rPr>
        <w:t>kvalitātes atspoguļojums – cilvēkresursu attīstība, jaunu darba vietu radīšana, zinātnes un izglītības izcilība.</w:t>
      </w:r>
    </w:p>
    <w:p w:rsidR="001D26BC" w:rsidRPr="001A3F06" w:rsidRDefault="001D26BC" w:rsidP="001D26BC">
      <w:pPr>
        <w:pStyle w:val="NoSpacing"/>
        <w:ind w:firstLine="720"/>
        <w:jc w:val="both"/>
        <w:rPr>
          <w:sz w:val="28"/>
        </w:rPr>
      </w:pPr>
      <w:r w:rsidRPr="001A3F06">
        <w:rPr>
          <w:sz w:val="28"/>
        </w:rPr>
        <w:t>Ar kosmosu saistītās aktivitātes, kas, piemēram, paredz kosmosa un saistīto tehnoloģiju attīstīšanu, kosmosa tehnoloģiju izstrādi un kosmosa pētniecībai nepieciešamās infrastruktūras izveidi un modernizēšanu, var uzskatīt par nozīmīgu valsts tautsaimniecības izaugsmi ietekmējošu instrumentu. Ekonomiskā ietekme, kas ir uzskatāma kā investīciju atdeve</w:t>
      </w:r>
      <w:r w:rsidRPr="006E3420">
        <w:rPr>
          <w:sz w:val="28"/>
          <w:vertAlign w:val="superscript"/>
        </w:rPr>
        <w:footnoteReference w:id="5"/>
      </w:r>
      <w:r w:rsidRPr="001A3F06">
        <w:rPr>
          <w:sz w:val="28"/>
        </w:rPr>
        <w:t xml:space="preserve"> kosmosa aktivitātēs ir mērāma ar koeficentu 4,5 (viens ieguldītais eiro rada 4,5 EUR apgrozījumu), kā to novērtējusi OECD Norvēģijas un Dānijas gadījumā, citos pētījumos šī vērtība </w:t>
      </w:r>
      <w:r>
        <w:rPr>
          <w:sz w:val="28"/>
        </w:rPr>
        <w:t>sasniedz vērtību 8-10</w:t>
      </w:r>
      <w:r w:rsidRPr="001A3F06">
        <w:rPr>
          <w:sz w:val="28"/>
        </w:rPr>
        <w:t>.</w:t>
      </w:r>
      <w:r w:rsidRPr="006E3420">
        <w:rPr>
          <w:sz w:val="28"/>
          <w:vertAlign w:val="superscript"/>
        </w:rPr>
        <w:footnoteReference w:id="6"/>
      </w:r>
      <w:r w:rsidRPr="001A3F06">
        <w:rPr>
          <w:sz w:val="28"/>
        </w:rPr>
        <w:t xml:space="preserve"> Nepieciešamība pielietot un apgūt intelektuālo kapitālu, kas veidojas akadēmiskajās aprindās un industrijā, ir svarīgs priekšnosacījums, lai nodrošinātu investīciju atdevi.</w:t>
      </w:r>
    </w:p>
    <w:p w:rsidR="001D26BC" w:rsidRDefault="001D26BC" w:rsidP="001D26BC">
      <w:pPr>
        <w:pStyle w:val="NoSpacing"/>
        <w:ind w:firstLine="720"/>
        <w:jc w:val="both"/>
        <w:rPr>
          <w:rStyle w:val="longtext"/>
          <w:sz w:val="28"/>
          <w:shd w:val="clear" w:color="auto" w:fill="FFFFFF"/>
        </w:rPr>
      </w:pPr>
      <w:r w:rsidRPr="001A3F06">
        <w:rPr>
          <w:sz w:val="28"/>
        </w:rPr>
        <w:t>Dānijas Zinātnes, tehnoloģiju un inovācijas aģentūras 2008.gada pētījumā „Dānijas industriālo aktivitāšu attīstība EKA” tiek norādīts, ka katrs miljons EUR, ko Dānija iegulda EKA kosmosa programmās, akumulē 3,7 miljon</w:t>
      </w:r>
      <w:r>
        <w:rPr>
          <w:sz w:val="28"/>
        </w:rPr>
        <w:t>us</w:t>
      </w:r>
      <w:r w:rsidRPr="001A3F06">
        <w:rPr>
          <w:sz w:val="28"/>
        </w:rPr>
        <w:t xml:space="preserve"> EUR lielu apgrozījumu.</w:t>
      </w:r>
      <w:r w:rsidRPr="006E3420">
        <w:rPr>
          <w:sz w:val="28"/>
          <w:vertAlign w:val="superscript"/>
        </w:rPr>
        <w:footnoteReference w:id="7"/>
      </w:r>
      <w:r w:rsidRPr="006E3420">
        <w:rPr>
          <w:sz w:val="28"/>
          <w:vertAlign w:val="superscript"/>
        </w:rPr>
        <w:t xml:space="preserve"> </w:t>
      </w:r>
      <w:r w:rsidRPr="001A3F06">
        <w:rPr>
          <w:sz w:val="28"/>
        </w:rPr>
        <w:t>Pētījuma analīzes arī parāda, ka</w:t>
      </w:r>
      <w:r>
        <w:rPr>
          <w:sz w:val="28"/>
        </w:rPr>
        <w:t>,</w:t>
      </w:r>
      <w:r w:rsidRPr="001A3F06">
        <w:rPr>
          <w:sz w:val="28"/>
        </w:rPr>
        <w:t xml:space="preserve"> iesaistoties EKA projektos un paaugstinot</w:t>
      </w:r>
      <w:r w:rsidRPr="002A7338">
        <w:rPr>
          <w:rStyle w:val="longtext"/>
          <w:sz w:val="28"/>
          <w:shd w:val="clear" w:color="auto" w:fill="FFFFFF"/>
        </w:rPr>
        <w:t xml:space="preserve"> kompetenci kosmosa aktivitātēs, </w:t>
      </w:r>
      <w:r>
        <w:rPr>
          <w:rStyle w:val="longtext"/>
          <w:sz w:val="28"/>
          <w:shd w:val="clear" w:color="auto" w:fill="FFFFFF"/>
        </w:rPr>
        <w:t>tiek</w:t>
      </w:r>
      <w:r w:rsidRPr="002A7338">
        <w:rPr>
          <w:rStyle w:val="longtext"/>
          <w:sz w:val="28"/>
          <w:shd w:val="clear" w:color="auto" w:fill="FFFFFF"/>
        </w:rPr>
        <w:t xml:space="preserve"> </w:t>
      </w:r>
      <w:r w:rsidRPr="002A7338">
        <w:rPr>
          <w:rStyle w:val="longtext"/>
          <w:sz w:val="28"/>
        </w:rPr>
        <w:t>veicin</w:t>
      </w:r>
      <w:r>
        <w:rPr>
          <w:rStyle w:val="longtext"/>
          <w:sz w:val="28"/>
        </w:rPr>
        <w:t>āta</w:t>
      </w:r>
      <w:r w:rsidRPr="002A7338">
        <w:rPr>
          <w:rStyle w:val="longtext"/>
          <w:sz w:val="28"/>
        </w:rPr>
        <w:t xml:space="preserve"> kompetenču attīstīb</w:t>
      </w:r>
      <w:r>
        <w:rPr>
          <w:rStyle w:val="longtext"/>
          <w:sz w:val="28"/>
        </w:rPr>
        <w:t>a</w:t>
      </w:r>
      <w:r w:rsidRPr="002A7338">
        <w:rPr>
          <w:rStyle w:val="longtext"/>
          <w:sz w:val="28"/>
        </w:rPr>
        <w:t xml:space="preserve"> </w:t>
      </w:r>
      <w:r w:rsidRPr="002A7338">
        <w:rPr>
          <w:rStyle w:val="longtext"/>
          <w:sz w:val="28"/>
          <w:shd w:val="clear" w:color="auto" w:fill="FFFFFF"/>
        </w:rPr>
        <w:t xml:space="preserve">citās nozarēs. Intervijas ar Dānijas kosmosa kompānijām </w:t>
      </w:r>
      <w:r>
        <w:rPr>
          <w:rStyle w:val="longtext"/>
          <w:sz w:val="28"/>
          <w:shd w:val="clear" w:color="auto" w:fill="FFFFFF"/>
        </w:rPr>
        <w:t>ap</w:t>
      </w:r>
      <w:r w:rsidRPr="002A7338">
        <w:rPr>
          <w:rStyle w:val="longtext"/>
          <w:sz w:val="28"/>
          <w:shd w:val="clear" w:color="auto" w:fill="FFFFFF"/>
        </w:rPr>
        <w:t>liecina, ka iesaistīšanās E</w:t>
      </w:r>
      <w:r>
        <w:rPr>
          <w:rStyle w:val="longtext"/>
          <w:sz w:val="28"/>
          <w:shd w:val="clear" w:color="auto" w:fill="FFFFFF"/>
        </w:rPr>
        <w:t>K</w:t>
      </w:r>
      <w:r w:rsidRPr="002A7338">
        <w:rPr>
          <w:rStyle w:val="longtext"/>
          <w:sz w:val="28"/>
          <w:shd w:val="clear" w:color="auto" w:fill="FFFFFF"/>
        </w:rPr>
        <w:t xml:space="preserve">A projektos nodrošina </w:t>
      </w:r>
      <w:r>
        <w:rPr>
          <w:rStyle w:val="longtext"/>
          <w:sz w:val="28"/>
          <w:shd w:val="clear" w:color="auto" w:fill="FFFFFF"/>
        </w:rPr>
        <w:t xml:space="preserve">plašākas tehnoloģiskās </w:t>
      </w:r>
      <w:r w:rsidRPr="002A7338">
        <w:rPr>
          <w:rStyle w:val="longtext"/>
          <w:sz w:val="28"/>
          <w:shd w:val="clear" w:color="auto" w:fill="FFFFFF"/>
        </w:rPr>
        <w:t>platform</w:t>
      </w:r>
      <w:r>
        <w:rPr>
          <w:rStyle w:val="longtext"/>
          <w:sz w:val="28"/>
          <w:shd w:val="clear" w:color="auto" w:fill="FFFFFF"/>
        </w:rPr>
        <w:t>as izveidi</w:t>
      </w:r>
      <w:r w:rsidRPr="002A7338">
        <w:rPr>
          <w:rStyle w:val="longtext"/>
          <w:sz w:val="28"/>
          <w:shd w:val="clear" w:color="auto" w:fill="FFFFFF"/>
        </w:rPr>
        <w:t xml:space="preserve"> </w:t>
      </w:r>
      <w:r>
        <w:rPr>
          <w:rStyle w:val="longtext"/>
          <w:sz w:val="28"/>
          <w:shd w:val="clear" w:color="auto" w:fill="FFFFFF"/>
        </w:rPr>
        <w:t>–</w:t>
      </w:r>
      <w:r w:rsidRPr="002A7338">
        <w:rPr>
          <w:rStyle w:val="longtext"/>
          <w:sz w:val="28"/>
          <w:shd w:val="clear" w:color="auto" w:fill="FFFFFF"/>
        </w:rPr>
        <w:t xml:space="preserve"> </w:t>
      </w:r>
      <w:r>
        <w:rPr>
          <w:rStyle w:val="longtext"/>
          <w:sz w:val="28"/>
          <w:shd w:val="clear" w:color="auto" w:fill="FFFFFF"/>
        </w:rPr>
        <w:t xml:space="preserve">lai radītās </w:t>
      </w:r>
      <w:r w:rsidRPr="002A7338">
        <w:rPr>
          <w:rStyle w:val="longtext"/>
          <w:sz w:val="28"/>
          <w:shd w:val="clear" w:color="auto" w:fill="FFFFFF"/>
        </w:rPr>
        <w:t>kompetences komercializē</w:t>
      </w:r>
      <w:r>
        <w:rPr>
          <w:rStyle w:val="longtext"/>
          <w:sz w:val="28"/>
          <w:shd w:val="clear" w:color="auto" w:fill="FFFFFF"/>
        </w:rPr>
        <w:t>tu</w:t>
      </w:r>
      <w:r w:rsidRPr="002A7338">
        <w:rPr>
          <w:rStyle w:val="longtext"/>
          <w:sz w:val="28"/>
          <w:shd w:val="clear" w:color="auto" w:fill="FFFFFF"/>
        </w:rPr>
        <w:t xml:space="preserve"> citās nozarēs un veido</w:t>
      </w:r>
      <w:r>
        <w:rPr>
          <w:rStyle w:val="longtext"/>
          <w:sz w:val="28"/>
          <w:shd w:val="clear" w:color="auto" w:fill="FFFFFF"/>
        </w:rPr>
        <w:t>tu</w:t>
      </w:r>
      <w:r w:rsidRPr="002A7338">
        <w:rPr>
          <w:rStyle w:val="longtext"/>
          <w:sz w:val="28"/>
          <w:shd w:val="clear" w:color="auto" w:fill="FFFFFF"/>
        </w:rPr>
        <w:t xml:space="preserve"> jaunus uzņēmumus (</w:t>
      </w:r>
      <w:r>
        <w:rPr>
          <w:rStyle w:val="longtext"/>
          <w:sz w:val="28"/>
          <w:shd w:val="clear" w:color="auto" w:fill="FFFFFF"/>
        </w:rPr>
        <w:t xml:space="preserve">t.s. </w:t>
      </w:r>
      <w:proofErr w:type="spellStart"/>
      <w:r w:rsidRPr="002D4E84">
        <w:rPr>
          <w:rStyle w:val="longtext"/>
          <w:i/>
          <w:sz w:val="28"/>
          <w:shd w:val="clear" w:color="auto" w:fill="FFFFFF"/>
        </w:rPr>
        <w:t>spin-off</w:t>
      </w:r>
      <w:proofErr w:type="spellEnd"/>
      <w:r>
        <w:rPr>
          <w:rStyle w:val="longtext"/>
          <w:sz w:val="28"/>
          <w:shd w:val="clear" w:color="auto" w:fill="FFFFFF"/>
        </w:rPr>
        <w:t xml:space="preserve"> </w:t>
      </w:r>
      <w:r w:rsidRPr="002A7338">
        <w:rPr>
          <w:rStyle w:val="longtext"/>
          <w:sz w:val="28"/>
          <w:shd w:val="clear" w:color="auto" w:fill="FFFFFF"/>
        </w:rPr>
        <w:t>uzņēmum</w:t>
      </w:r>
      <w:r>
        <w:rPr>
          <w:rStyle w:val="longtext"/>
          <w:sz w:val="28"/>
          <w:shd w:val="clear" w:color="auto" w:fill="FFFFFF"/>
        </w:rPr>
        <w:t>us</w:t>
      </w:r>
      <w:r w:rsidRPr="002A7338">
        <w:rPr>
          <w:rStyle w:val="longtext"/>
          <w:sz w:val="28"/>
          <w:shd w:val="clear" w:color="auto" w:fill="FFFFFF"/>
        </w:rPr>
        <w:t>).</w:t>
      </w:r>
      <w:r>
        <w:rPr>
          <w:rStyle w:val="longtext"/>
          <w:sz w:val="28"/>
          <w:shd w:val="clear" w:color="auto" w:fill="FFFFFF"/>
        </w:rPr>
        <w:t xml:space="preserve"> Līdzīgā pētījumā Norvēģijā ir noskaidrots, ka katrs miljons norvēģu kronu, kas ieguldīts nacionālajās vai EKA kosmosa programmās, piesaista papildu 4,4 miljonus norvēģu </w:t>
      </w:r>
      <w:r>
        <w:rPr>
          <w:rStyle w:val="longtext"/>
          <w:sz w:val="28"/>
          <w:shd w:val="clear" w:color="auto" w:fill="FFFFFF"/>
        </w:rPr>
        <w:lastRenderedPageBreak/>
        <w:t xml:space="preserve">kronu. Abos gadījumos papildu apgrozījumu ir radījis tā saucamais </w:t>
      </w:r>
      <w:proofErr w:type="spellStart"/>
      <w:r w:rsidRPr="002D4E84">
        <w:rPr>
          <w:rStyle w:val="longtext"/>
          <w:i/>
          <w:sz w:val="28"/>
          <w:shd w:val="clear" w:color="auto" w:fill="FFFFFF"/>
        </w:rPr>
        <w:t>spin-off</w:t>
      </w:r>
      <w:proofErr w:type="spellEnd"/>
      <w:r>
        <w:rPr>
          <w:rStyle w:val="longtext"/>
          <w:sz w:val="28"/>
          <w:shd w:val="clear" w:color="auto" w:fill="FFFFFF"/>
        </w:rPr>
        <w:t xml:space="preserve"> faktors</w:t>
      </w:r>
      <w:r>
        <w:rPr>
          <w:rStyle w:val="FootnoteReference"/>
          <w:sz w:val="28"/>
          <w:shd w:val="clear" w:color="auto" w:fill="FFFFFF"/>
        </w:rPr>
        <w:footnoteReference w:id="8"/>
      </w:r>
      <w:r>
        <w:rPr>
          <w:rStyle w:val="longtext"/>
          <w:sz w:val="28"/>
          <w:shd w:val="clear" w:color="auto" w:fill="FFFFFF"/>
        </w:rPr>
        <w:t xml:space="preserve">. </w:t>
      </w:r>
    </w:p>
    <w:p w:rsidR="001D26BC" w:rsidRPr="001A3F06" w:rsidRDefault="001D26BC" w:rsidP="001D26BC">
      <w:pPr>
        <w:pStyle w:val="NoSpacing"/>
        <w:ind w:firstLine="720"/>
        <w:jc w:val="both"/>
        <w:rPr>
          <w:sz w:val="28"/>
        </w:rPr>
      </w:pPr>
      <w:r>
        <w:rPr>
          <w:rStyle w:val="longtext"/>
          <w:sz w:val="28"/>
          <w:shd w:val="clear" w:color="auto" w:fill="FFFFFF"/>
        </w:rPr>
        <w:t xml:space="preserve">Arī Lielbritānijā kosmosa nozares attīstība tiek vērtēta kā veiksmes piemērs. Lielbritānijas kosmosa nozares pieaugums ir 9% gadā jeb ar 3 reizes straujāku izaugsmi kā citos tautsaimniecības sektoros kopā, pie kam nozare saglabā šādu straujas izaugsmes potenciālu arī ilgtermiņā, ko nosaka kosmosa datu iegūšanas un izmantošanas jaunu tehnoloģiju un pakalpojumu turpmāka attīstība, tai skaitā mobilo telefonu koordināšu izmantojuma pakalpojumu, precīzāka </w:t>
      </w:r>
      <w:proofErr w:type="spellStart"/>
      <w:r>
        <w:rPr>
          <w:rStyle w:val="longtext"/>
          <w:sz w:val="28"/>
          <w:shd w:val="clear" w:color="auto" w:fill="FFFFFF"/>
        </w:rPr>
        <w:t>satelītdatu</w:t>
      </w:r>
      <w:proofErr w:type="spellEnd"/>
      <w:r>
        <w:rPr>
          <w:rStyle w:val="longtext"/>
          <w:sz w:val="28"/>
          <w:shd w:val="clear" w:color="auto" w:fill="FFFFFF"/>
        </w:rPr>
        <w:t xml:space="preserve"> izmantošana laika prognožu izstrādē, vairāku jomu kosmosa datu un pakalpojumu integrācija ar virszemes komponentēm. Pievienotā vērtība uz strādājošo kosmosa nozarē četras reizes pārsniedz valstī vidējo. Nozari raksturo apjomīgas privātā sektora kapitāla investīcijas, un tā nodarbina 60% speciālistu ar vismaz 1.līmeņa augstāko izglītību, kas ievērojami pārsniedz valsts vidējo rādītāju. Turklāt kosmosa sektors tiek atzīts kā viens no galvenajiem faktoriem, kas nosaka izvēli par labu dabaszinātņu studiju apguvei, kā rezultātā tautsaimniecībā ieplūst augstāks </w:t>
      </w:r>
      <w:r w:rsidRPr="001A3F06">
        <w:rPr>
          <w:sz w:val="28"/>
        </w:rPr>
        <w:t>iedzīvotāju ienākuma nodokļu ieņēmumu apjoms, ko rada augsti kvalificētu darbinieku un attiecīgi ienākumu pieaugums. Nozares apgrozījums 2007.gadā sasniedza 5.9 miljardi £ ar 68 tūkst. nodarbināto, pie kam nozares pasūtījumi nodrošina vēl 35 000 darba vietas citās nozarēs, bet nozarē strādājošo pirkumi sekmē vēl 13600 darba vietu pastāvēšanu. Tiešie ieguldījumi P&amp;A 130 miljonu £ apjomā rada aptuveni 900 miljonu £ pienesumu IKP pārplūšanas rezultātā.</w:t>
      </w:r>
      <w:r w:rsidRPr="00923E7E">
        <w:rPr>
          <w:sz w:val="28"/>
          <w:vertAlign w:val="superscript"/>
        </w:rPr>
        <w:footnoteReference w:id="9"/>
      </w:r>
    </w:p>
    <w:p w:rsidR="001D26BC" w:rsidRPr="001A3F06" w:rsidRDefault="001D26BC" w:rsidP="001D26BC">
      <w:pPr>
        <w:pStyle w:val="NoSpacing"/>
        <w:ind w:firstLine="720"/>
        <w:jc w:val="both"/>
        <w:rPr>
          <w:sz w:val="28"/>
        </w:rPr>
      </w:pPr>
      <w:r w:rsidRPr="001A3F06">
        <w:rPr>
          <w:sz w:val="28"/>
        </w:rPr>
        <w:t>Savukārt</w:t>
      </w:r>
      <w:r>
        <w:rPr>
          <w:sz w:val="28"/>
        </w:rPr>
        <w:t>,</w:t>
      </w:r>
      <w:r w:rsidRPr="001A3F06">
        <w:rPr>
          <w:sz w:val="28"/>
        </w:rPr>
        <w:t xml:space="preserve"> </w:t>
      </w:r>
      <w:r w:rsidR="00A1288B">
        <w:rPr>
          <w:sz w:val="28"/>
        </w:rPr>
        <w:t xml:space="preserve">saskaņā ar 2010.gada datiem </w:t>
      </w:r>
      <w:r w:rsidRPr="001A3F06">
        <w:rPr>
          <w:sz w:val="28"/>
        </w:rPr>
        <w:t>vispasaules</w:t>
      </w:r>
      <w:r w:rsidR="00A1288B">
        <w:rPr>
          <w:sz w:val="28"/>
        </w:rPr>
        <w:t xml:space="preserve"> mērogā kosmosa nozare pieaug</w:t>
      </w:r>
      <w:r w:rsidRPr="001A3F06">
        <w:rPr>
          <w:sz w:val="28"/>
        </w:rPr>
        <w:t xml:space="preserve"> par 7% - 8% gadā. Globālais kosmosa nozares tirgus ir 250 miljardi ASV dolāru gadā, kur tā pastāvēšanu un attīstību galvenokārt nosaka komercpakalpojumi un noieta pakalpojumi, kas ietver satelītus un ar to saistīto Zemes segmentu, kosmosa nozarē balstītas aplikācijas, </w:t>
      </w:r>
      <w:proofErr w:type="spellStart"/>
      <w:r w:rsidRPr="001A3F06">
        <w:rPr>
          <w:sz w:val="28"/>
        </w:rPr>
        <w:t>klientorientētus</w:t>
      </w:r>
      <w:proofErr w:type="spellEnd"/>
      <w:r w:rsidRPr="001A3F06">
        <w:rPr>
          <w:sz w:val="28"/>
        </w:rPr>
        <w:t xml:space="preserve"> pakalpojumus un tehnoloģijas. </w:t>
      </w:r>
    </w:p>
    <w:p w:rsidR="001D26BC" w:rsidRDefault="001D26BC" w:rsidP="001D26BC">
      <w:pPr>
        <w:pStyle w:val="NoSpacing"/>
        <w:ind w:firstLine="720"/>
        <w:jc w:val="both"/>
        <w:rPr>
          <w:sz w:val="28"/>
        </w:rPr>
      </w:pPr>
      <w:r w:rsidRPr="001A3F06">
        <w:rPr>
          <w:sz w:val="28"/>
        </w:rPr>
        <w:t xml:space="preserve">Kosmosa nozares aktivitātes parasti raksturo to augstais tehnoloģiskais raksturs, </w:t>
      </w:r>
      <w:proofErr w:type="spellStart"/>
      <w:r w:rsidRPr="001A3F06">
        <w:rPr>
          <w:sz w:val="28"/>
        </w:rPr>
        <w:t>multidisciplinaritāte</w:t>
      </w:r>
      <w:proofErr w:type="spellEnd"/>
      <w:r w:rsidRPr="001A3F06">
        <w:rPr>
          <w:sz w:val="28"/>
        </w:rPr>
        <w:t xml:space="preserve"> un augsta pievienotā vērtība, pie kam parasti daudz augstāka par citu zināšanu intensīvo nozaru radīto pievienoto vērtību. Lai Latvija spētu pilnvērtīgi izmantot pieejamo kosmosa zinātnisko un tehnoloģisko izstrādņu potenciālu un unikālo zinātnisko infrastruktūru, Latvijai īpaši būtiski būtu pilnvērtīgi iesaistīties ES FP7 kosmosa jom</w:t>
      </w:r>
      <w:r>
        <w:rPr>
          <w:sz w:val="28"/>
        </w:rPr>
        <w:t>ā</w:t>
      </w:r>
      <w:r w:rsidRPr="001A3F06">
        <w:rPr>
          <w:sz w:val="28"/>
        </w:rPr>
        <w:t>s un EKA kopējās Eiropas kosmosa</w:t>
      </w:r>
      <w:r w:rsidRPr="004D56EE">
        <w:rPr>
          <w:rStyle w:val="longtext"/>
          <w:sz w:val="28"/>
        </w:rPr>
        <w:t xml:space="preserve"> programmā</w:t>
      </w:r>
      <w:r>
        <w:rPr>
          <w:rStyle w:val="longtext"/>
          <w:sz w:val="28"/>
        </w:rPr>
        <w:t>s</w:t>
      </w:r>
      <w:r w:rsidRPr="004D56EE">
        <w:rPr>
          <w:rStyle w:val="longtext"/>
          <w:sz w:val="28"/>
        </w:rPr>
        <w:t xml:space="preserve">, </w:t>
      </w:r>
      <w:r w:rsidRPr="004D56EE">
        <w:rPr>
          <w:rStyle w:val="longtext"/>
          <w:sz w:val="28"/>
        </w:rPr>
        <w:lastRenderedPageBreak/>
        <w:t>kur</w:t>
      </w:r>
      <w:r>
        <w:rPr>
          <w:rStyle w:val="longtext"/>
          <w:sz w:val="28"/>
        </w:rPr>
        <w:t xml:space="preserve">u sasniegumi tālāk </w:t>
      </w:r>
      <w:r w:rsidRPr="004D56EE">
        <w:rPr>
          <w:rStyle w:val="longtext"/>
          <w:sz w:val="28"/>
        </w:rPr>
        <w:t>tiek komercializēt</w:t>
      </w:r>
      <w:r>
        <w:rPr>
          <w:rStyle w:val="longtext"/>
          <w:sz w:val="28"/>
        </w:rPr>
        <w:t>i</w:t>
      </w:r>
      <w:r w:rsidRPr="004D56EE">
        <w:rPr>
          <w:rStyle w:val="longtext"/>
          <w:sz w:val="28"/>
        </w:rPr>
        <w:t xml:space="preserve"> un izmantot</w:t>
      </w:r>
      <w:r>
        <w:rPr>
          <w:rStyle w:val="longtext"/>
          <w:sz w:val="28"/>
        </w:rPr>
        <w:t>i</w:t>
      </w:r>
      <w:r w:rsidRPr="004D56EE">
        <w:rPr>
          <w:rStyle w:val="longtext"/>
          <w:sz w:val="28"/>
        </w:rPr>
        <w:t xml:space="preserve"> citu Eiropas organizāciju </w:t>
      </w:r>
      <w:r>
        <w:rPr>
          <w:rStyle w:val="longtext"/>
          <w:sz w:val="28"/>
        </w:rPr>
        <w:t>(</w:t>
      </w:r>
      <w:r w:rsidRPr="004D56EE">
        <w:rPr>
          <w:rStyle w:val="longtext"/>
          <w:sz w:val="28"/>
        </w:rPr>
        <w:t xml:space="preserve">kā EUMETSAT, </w:t>
      </w:r>
      <w:proofErr w:type="spellStart"/>
      <w:r w:rsidRPr="004D56EE">
        <w:rPr>
          <w:rStyle w:val="longtext"/>
          <w:sz w:val="28"/>
        </w:rPr>
        <w:t>Arianespace</w:t>
      </w:r>
      <w:proofErr w:type="spellEnd"/>
      <w:r w:rsidRPr="004D56EE">
        <w:rPr>
          <w:rStyle w:val="longtext"/>
          <w:sz w:val="28"/>
        </w:rPr>
        <w:t xml:space="preserve">, </w:t>
      </w:r>
      <w:proofErr w:type="spellStart"/>
      <w:r w:rsidRPr="004D56EE">
        <w:rPr>
          <w:rStyle w:val="longtext"/>
          <w:sz w:val="28"/>
        </w:rPr>
        <w:t>Eutelsat</w:t>
      </w:r>
      <w:proofErr w:type="spellEnd"/>
      <w:r w:rsidRPr="004D56EE">
        <w:rPr>
          <w:rStyle w:val="longtext"/>
          <w:sz w:val="28"/>
        </w:rPr>
        <w:t>, EGNOS un</w:t>
      </w:r>
      <w:r w:rsidRPr="004D56EE">
        <w:rPr>
          <w:sz w:val="28"/>
        </w:rPr>
        <w:t xml:space="preserve"> </w:t>
      </w:r>
      <w:r w:rsidRPr="004D56EE">
        <w:rPr>
          <w:rStyle w:val="longtext"/>
          <w:sz w:val="28"/>
        </w:rPr>
        <w:t>Galileo operatora</w:t>
      </w:r>
      <w:r>
        <w:rPr>
          <w:rStyle w:val="longtext"/>
          <w:sz w:val="28"/>
        </w:rPr>
        <w:t>)</w:t>
      </w:r>
      <w:r w:rsidRPr="004D56EE">
        <w:rPr>
          <w:rStyle w:val="longtext"/>
          <w:sz w:val="28"/>
        </w:rPr>
        <w:t xml:space="preserve"> darbībās. </w:t>
      </w:r>
      <w:r>
        <w:rPr>
          <w:sz w:val="28"/>
        </w:rPr>
        <w:t>Dalība EKA ir galvenais Eiropas un izplatītākais nacionāla līmeņa kosmosa programmu īstenošanas mehānisms. Līdz ar to dalība EKA uzskatāma nevis par pašmērķi, bet gan līdzekli savas valsts kosmosa nozares un visas tautsaimniecības attīstībai.</w:t>
      </w:r>
    </w:p>
    <w:p w:rsidR="001D26BC" w:rsidRDefault="001D26BC" w:rsidP="001D26BC">
      <w:pPr>
        <w:pStyle w:val="NoSpacing"/>
        <w:ind w:firstLine="720"/>
        <w:jc w:val="both"/>
        <w:rPr>
          <w:sz w:val="28"/>
        </w:rPr>
      </w:pPr>
    </w:p>
    <w:p w:rsidR="001D26BC" w:rsidRDefault="001D26BC" w:rsidP="001D26BC">
      <w:pPr>
        <w:pStyle w:val="Heading3"/>
      </w:pPr>
      <w:bookmarkStart w:id="30" w:name="_Toc277513977"/>
      <w:bookmarkStart w:id="31" w:name="_Toc277672587"/>
      <w:bookmarkStart w:id="32" w:name="_Toc280366509"/>
      <w:bookmarkStart w:id="33" w:name="_Toc303176593"/>
      <w:r>
        <w:t>2.2. Kosmosa tehnoloģiju attīstības nākotnes tendences</w:t>
      </w:r>
      <w:bookmarkEnd w:id="30"/>
      <w:bookmarkEnd w:id="31"/>
      <w:bookmarkEnd w:id="32"/>
      <w:bookmarkEnd w:id="33"/>
    </w:p>
    <w:p w:rsidR="001D26BC" w:rsidRPr="00D1230F" w:rsidRDefault="001D26BC" w:rsidP="001D26BC">
      <w:pPr>
        <w:pStyle w:val="ColorfulList-Accent11"/>
        <w:spacing w:before="120" w:after="120"/>
        <w:ind w:left="0" w:firstLine="360"/>
        <w:jc w:val="both"/>
        <w:rPr>
          <w:sz w:val="28"/>
        </w:rPr>
      </w:pPr>
      <w:r w:rsidRPr="00D1230F">
        <w:rPr>
          <w:sz w:val="28"/>
        </w:rPr>
        <w:t xml:space="preserve">Visuma un kosmiskie pētījumi un to attīstība palīdzēja būtiski paaugstināt cilvēces izpratni un iegūt jaunas zināšanas par Visuma izcelsmi, likumsakarībām, evolūciju, zvaigžņu un galaktiku veidošanos, kodolreakcijām u.c. dabas likumsakarībām. Pašreizējās tendences var raksturot </w:t>
      </w:r>
      <w:r>
        <w:rPr>
          <w:sz w:val="28"/>
        </w:rPr>
        <w:t>šādi rezultāti</w:t>
      </w:r>
      <w:r w:rsidRPr="00D1230F">
        <w:rPr>
          <w:sz w:val="28"/>
        </w:rPr>
        <w:t>:</w:t>
      </w:r>
    </w:p>
    <w:p w:rsidR="001D26BC" w:rsidRPr="00D1230F" w:rsidRDefault="001D26BC" w:rsidP="001D26BC">
      <w:pPr>
        <w:pStyle w:val="ColorfulList-Accent11"/>
        <w:numPr>
          <w:ilvl w:val="0"/>
          <w:numId w:val="14"/>
        </w:numPr>
        <w:spacing w:before="120" w:after="120"/>
        <w:jc w:val="both"/>
        <w:rPr>
          <w:sz w:val="28"/>
        </w:rPr>
      </w:pPr>
      <w:r>
        <w:rPr>
          <w:sz w:val="28"/>
        </w:rPr>
        <w:t>i</w:t>
      </w:r>
      <w:r w:rsidRPr="00D1230F">
        <w:rPr>
          <w:sz w:val="28"/>
        </w:rPr>
        <w:t>zdevumi zinātnei un pētniecībai pasaulē desmit gadu laikā ir divkāršojušies. 2007.gada izdevumi zinātnei un pētniecībai veido aptuveni 660 miljardu</w:t>
      </w:r>
      <w:r>
        <w:rPr>
          <w:sz w:val="28"/>
        </w:rPr>
        <w:t>s</w:t>
      </w:r>
      <w:r w:rsidRPr="00D1230F">
        <w:rPr>
          <w:sz w:val="28"/>
        </w:rPr>
        <w:t xml:space="preserve"> LVL, ES desmit gadu laikā tie pieauguši par 57% </w:t>
      </w:r>
      <w:r w:rsidRPr="00923E7E">
        <w:rPr>
          <w:iCs/>
          <w:sz w:val="28"/>
        </w:rPr>
        <w:t>(2007.gada ieguldījumi P&amp;A veido aptuveni 200 miljardus LVL)</w:t>
      </w:r>
      <w:r>
        <w:rPr>
          <w:iCs/>
          <w:sz w:val="28"/>
        </w:rPr>
        <w:t>;</w:t>
      </w:r>
      <w:r w:rsidRPr="00923E7E">
        <w:rPr>
          <w:rStyle w:val="FootnoteReference"/>
          <w:iCs/>
          <w:sz w:val="28"/>
        </w:rPr>
        <w:footnoteReference w:id="10"/>
      </w:r>
      <w:r w:rsidRPr="00D1230F">
        <w:rPr>
          <w:i/>
          <w:iCs/>
          <w:sz w:val="28"/>
        </w:rPr>
        <w:t xml:space="preserve"> </w:t>
      </w:r>
    </w:p>
    <w:p w:rsidR="001D26BC" w:rsidRPr="00D1230F" w:rsidRDefault="001D26BC" w:rsidP="001D26BC">
      <w:pPr>
        <w:pStyle w:val="ColorfulList-Accent11"/>
        <w:numPr>
          <w:ilvl w:val="0"/>
          <w:numId w:val="14"/>
        </w:numPr>
        <w:spacing w:before="120" w:after="120"/>
        <w:jc w:val="both"/>
        <w:rPr>
          <w:i/>
          <w:iCs/>
          <w:sz w:val="28"/>
        </w:rPr>
      </w:pPr>
      <w:r w:rsidRPr="00D1230F">
        <w:rPr>
          <w:sz w:val="28"/>
        </w:rPr>
        <w:t xml:space="preserve">ES kosmosa nozares apgrozījums veido aptuveni 6 miljardus EUR gadā, t.sk. </w:t>
      </w:r>
      <w:r>
        <w:rPr>
          <w:sz w:val="28"/>
        </w:rPr>
        <w:t>EKA</w:t>
      </w:r>
      <w:r w:rsidRPr="00D1230F">
        <w:rPr>
          <w:sz w:val="28"/>
        </w:rPr>
        <w:t xml:space="preserve"> apgrozījums 3 miljardi EUR</w:t>
      </w:r>
      <w:r>
        <w:rPr>
          <w:sz w:val="28"/>
        </w:rPr>
        <w:t>;</w:t>
      </w:r>
    </w:p>
    <w:p w:rsidR="001D26BC" w:rsidRPr="00D1230F" w:rsidRDefault="001D26BC" w:rsidP="001D26BC">
      <w:pPr>
        <w:pStyle w:val="ColorfulList-Accent11"/>
        <w:numPr>
          <w:ilvl w:val="0"/>
          <w:numId w:val="14"/>
        </w:numPr>
        <w:spacing w:before="120" w:after="120"/>
        <w:jc w:val="both"/>
        <w:rPr>
          <w:i/>
          <w:iCs/>
          <w:sz w:val="28"/>
        </w:rPr>
      </w:pPr>
      <w:r w:rsidRPr="00D1230F">
        <w:rPr>
          <w:sz w:val="28"/>
        </w:rPr>
        <w:t xml:space="preserve">½ no Eiropas kosmosa industrijas apgrozījuma veido </w:t>
      </w:r>
      <w:proofErr w:type="spellStart"/>
      <w:r w:rsidRPr="00D1230F">
        <w:rPr>
          <w:sz w:val="28"/>
        </w:rPr>
        <w:t>komercsektors</w:t>
      </w:r>
      <w:proofErr w:type="spellEnd"/>
      <w:r w:rsidRPr="00D1230F">
        <w:rPr>
          <w:sz w:val="28"/>
        </w:rPr>
        <w:t>.</w:t>
      </w:r>
    </w:p>
    <w:p w:rsidR="001D26BC" w:rsidRPr="00D1230F" w:rsidRDefault="001D26BC" w:rsidP="001D26BC">
      <w:pPr>
        <w:pStyle w:val="ColorfulList-Accent11"/>
        <w:numPr>
          <w:ilvl w:val="0"/>
          <w:numId w:val="14"/>
        </w:numPr>
        <w:spacing w:before="120" w:after="120"/>
        <w:jc w:val="both"/>
        <w:rPr>
          <w:i/>
          <w:iCs/>
          <w:sz w:val="28"/>
        </w:rPr>
      </w:pPr>
      <w:r>
        <w:rPr>
          <w:sz w:val="28"/>
        </w:rPr>
        <w:t>g</w:t>
      </w:r>
      <w:r w:rsidRPr="00D1230F">
        <w:rPr>
          <w:sz w:val="28"/>
        </w:rPr>
        <w:t xml:space="preserve">alvenās kosmosa aktivitātes, kurās tiek investēti līdzekļi: komunikācijas, satelītu lidojumi, </w:t>
      </w:r>
      <w:r>
        <w:rPr>
          <w:sz w:val="28"/>
        </w:rPr>
        <w:t>Z</w:t>
      </w:r>
      <w:r w:rsidRPr="00D1230F">
        <w:rPr>
          <w:sz w:val="28"/>
        </w:rPr>
        <w:t>emes virsmas novērojumi</w:t>
      </w:r>
      <w:r>
        <w:rPr>
          <w:sz w:val="28"/>
        </w:rPr>
        <w:t>;</w:t>
      </w:r>
    </w:p>
    <w:p w:rsidR="001D26BC" w:rsidRPr="00D1230F" w:rsidRDefault="001D26BC" w:rsidP="001D26BC">
      <w:pPr>
        <w:pStyle w:val="ColorfulList-Accent11"/>
        <w:numPr>
          <w:ilvl w:val="0"/>
          <w:numId w:val="14"/>
        </w:numPr>
        <w:spacing w:before="120" w:after="120"/>
        <w:jc w:val="both"/>
        <w:rPr>
          <w:i/>
          <w:iCs/>
          <w:sz w:val="28"/>
        </w:rPr>
      </w:pPr>
      <w:r>
        <w:rPr>
          <w:sz w:val="28"/>
        </w:rPr>
        <w:t>i</w:t>
      </w:r>
      <w:r w:rsidRPr="00D1230F">
        <w:rPr>
          <w:sz w:val="28"/>
        </w:rPr>
        <w:t>nvestīcijas kosmiskajās aplikācijās rada 10-kārša apmēra pakalpojumu tirgu</w:t>
      </w:r>
      <w:r>
        <w:rPr>
          <w:sz w:val="28"/>
        </w:rPr>
        <w:t>;</w:t>
      </w:r>
    </w:p>
    <w:p w:rsidR="001D26BC" w:rsidRPr="00D1230F" w:rsidRDefault="001D26BC" w:rsidP="001D26BC">
      <w:pPr>
        <w:pStyle w:val="ColorfulList-Accent11"/>
        <w:numPr>
          <w:ilvl w:val="0"/>
          <w:numId w:val="14"/>
        </w:numPr>
        <w:spacing w:before="120" w:after="120"/>
        <w:jc w:val="both"/>
        <w:rPr>
          <w:sz w:val="28"/>
        </w:rPr>
      </w:pPr>
      <w:r>
        <w:rPr>
          <w:sz w:val="28"/>
        </w:rPr>
        <w:t>t</w:t>
      </w:r>
      <w:r w:rsidRPr="00D1230F">
        <w:rPr>
          <w:sz w:val="28"/>
        </w:rPr>
        <w:t>irgus pieprasījums pēc zinātnes un tehnoloģiju jomas darbiniekiem pasaulē stabili augošs</w:t>
      </w:r>
      <w:r>
        <w:rPr>
          <w:sz w:val="28"/>
        </w:rPr>
        <w:t>;</w:t>
      </w:r>
    </w:p>
    <w:p w:rsidR="001D26BC" w:rsidRPr="00D1230F" w:rsidRDefault="001D26BC" w:rsidP="001D26BC">
      <w:pPr>
        <w:pStyle w:val="ColorfulList-Accent11"/>
        <w:numPr>
          <w:ilvl w:val="0"/>
          <w:numId w:val="14"/>
        </w:numPr>
        <w:spacing w:before="120" w:after="120"/>
        <w:jc w:val="both"/>
        <w:rPr>
          <w:sz w:val="28"/>
        </w:rPr>
      </w:pPr>
      <w:r>
        <w:rPr>
          <w:sz w:val="28"/>
        </w:rPr>
        <w:t>a</w:t>
      </w:r>
      <w:r w:rsidRPr="00D1230F">
        <w:rPr>
          <w:sz w:val="28"/>
        </w:rPr>
        <w:t xml:space="preserve">ugstākā pievienotā vērtība </w:t>
      </w:r>
      <w:proofErr w:type="spellStart"/>
      <w:r w:rsidRPr="00D1230F">
        <w:rPr>
          <w:sz w:val="28"/>
        </w:rPr>
        <w:t>satelītnavigācijā</w:t>
      </w:r>
      <w:proofErr w:type="spellEnd"/>
      <w:r w:rsidRPr="00D1230F">
        <w:rPr>
          <w:sz w:val="28"/>
        </w:rPr>
        <w:t xml:space="preserve"> un komunikācijā (pakalpojumi un Zemes bāzes stacijas)</w:t>
      </w:r>
      <w:r>
        <w:rPr>
          <w:sz w:val="28"/>
        </w:rPr>
        <w:t>;</w:t>
      </w:r>
      <w:r w:rsidRPr="00D1230F">
        <w:rPr>
          <w:rStyle w:val="FootnoteReference"/>
          <w:sz w:val="28"/>
        </w:rPr>
        <w:footnoteReference w:id="11"/>
      </w:r>
    </w:p>
    <w:p w:rsidR="001D26BC" w:rsidRDefault="001D26BC" w:rsidP="001D26BC">
      <w:pPr>
        <w:pStyle w:val="ColorfulList-Accent11"/>
        <w:numPr>
          <w:ilvl w:val="0"/>
          <w:numId w:val="14"/>
        </w:numPr>
        <w:spacing w:before="120" w:after="120"/>
        <w:jc w:val="both"/>
        <w:rPr>
          <w:sz w:val="28"/>
        </w:rPr>
      </w:pPr>
      <w:r>
        <w:rPr>
          <w:sz w:val="28"/>
        </w:rPr>
        <w:t>z</w:t>
      </w:r>
      <w:r w:rsidRPr="00D1230F">
        <w:rPr>
          <w:sz w:val="28"/>
        </w:rPr>
        <w:t>ināšanu ietilpīgo un augsto tehnoloģiju industriju pievienotās vērtības īpatsvars IKP – pieaugošs, ES ap 30% no IKP</w:t>
      </w:r>
      <w:r>
        <w:rPr>
          <w:sz w:val="28"/>
        </w:rPr>
        <w:t>;</w:t>
      </w:r>
      <w:r w:rsidRPr="00D1230F">
        <w:rPr>
          <w:rStyle w:val="FootnoteReference"/>
          <w:sz w:val="28"/>
        </w:rPr>
        <w:footnoteReference w:id="12"/>
      </w:r>
    </w:p>
    <w:p w:rsidR="001D26BC" w:rsidRDefault="001D26BC" w:rsidP="001D26BC">
      <w:pPr>
        <w:pStyle w:val="ColorfulList-Accent11"/>
        <w:numPr>
          <w:ilvl w:val="0"/>
          <w:numId w:val="14"/>
        </w:numPr>
        <w:spacing w:before="120" w:after="120"/>
        <w:jc w:val="both"/>
        <w:rPr>
          <w:sz w:val="28"/>
        </w:rPr>
      </w:pPr>
      <w:r>
        <w:rPr>
          <w:sz w:val="28"/>
        </w:rPr>
        <w:t xml:space="preserve">jau tuvākajā laikā kosmosa izpētē pieaugs tālo kosmosa misiju nozīme Saules sistēmas izpētē, pirmkārt, uz Marsu. Tas prasīs sadarbību ar SKS un </w:t>
      </w:r>
      <w:proofErr w:type="spellStart"/>
      <w:r>
        <w:rPr>
          <w:sz w:val="28"/>
        </w:rPr>
        <w:t>Kolumba</w:t>
      </w:r>
      <w:proofErr w:type="spellEnd"/>
      <w:r>
        <w:rPr>
          <w:sz w:val="28"/>
        </w:rPr>
        <w:t xml:space="preserve"> laboratoriju.</w:t>
      </w:r>
      <w:r>
        <w:rPr>
          <w:rStyle w:val="FootnoteReference"/>
          <w:sz w:val="28"/>
        </w:rPr>
        <w:footnoteReference w:id="13"/>
      </w:r>
    </w:p>
    <w:p w:rsidR="001D26BC" w:rsidRPr="00D1230F" w:rsidRDefault="001D26BC" w:rsidP="001D26BC">
      <w:pPr>
        <w:pStyle w:val="NoSpacing"/>
        <w:ind w:firstLine="720"/>
        <w:jc w:val="both"/>
        <w:rPr>
          <w:sz w:val="28"/>
        </w:rPr>
      </w:pPr>
      <w:r>
        <w:rPr>
          <w:sz w:val="28"/>
        </w:rPr>
        <w:lastRenderedPageBreak/>
        <w:t>Pašreiz aktuāla ir virzība uz arvien vājāku signālu uztveršanu arvien augstākās frekvencēs, pieaugot datu plūsmu apjomiem, ko uztver un raida arvien miniatūrākas iekārtas.</w:t>
      </w:r>
      <w:r w:rsidRPr="002F0FEE">
        <w:rPr>
          <w:sz w:val="28"/>
        </w:rPr>
        <w:t xml:space="preserve"> </w:t>
      </w:r>
      <w:r>
        <w:rPr>
          <w:sz w:val="28"/>
        </w:rPr>
        <w:t>Līdz ar to pieaug liela diametra radioteleskopu nozīme, kas var strādāt vairākās joslās ar attālinātām vadības sistēmām reālā laika režīmā. Tam Baltijā un C-A-Eiropā pilnībā atbilst Irbenes unikālais RT32 radioteleskops.</w:t>
      </w:r>
    </w:p>
    <w:p w:rsidR="001D26BC" w:rsidRPr="00D1230F" w:rsidRDefault="001D26BC" w:rsidP="001D26BC">
      <w:pPr>
        <w:pStyle w:val="NoSpacing"/>
        <w:ind w:firstLine="720"/>
        <w:jc w:val="both"/>
        <w:rPr>
          <w:sz w:val="28"/>
        </w:rPr>
      </w:pPr>
      <w:r>
        <w:rPr>
          <w:sz w:val="28"/>
        </w:rPr>
        <w:t xml:space="preserve">ES ir </w:t>
      </w:r>
      <w:r w:rsidRPr="00D1230F">
        <w:rPr>
          <w:sz w:val="28"/>
        </w:rPr>
        <w:t xml:space="preserve">vērojamas tendences un faktiski tiek īstenota politika, kas vērsta uz zinātnes infrastruktūras centralizēšanu – tiek nodrošināta atsevišķu jau esošu spēcīgu centru un atbalstošo centru darbība. To zināmā mērā stiprina ES programmas zinātnei, kuru līdzekļi paredzēti nefinanšu investīcijām (investīcijām pakalpojumos, pētījumu virzienos, cilvēkresursos), bez iespējām veikt būtiskus fiziskās infrastruktūras uzlabojumus. </w:t>
      </w:r>
    </w:p>
    <w:p w:rsidR="001D26BC" w:rsidRPr="00D1230F" w:rsidRDefault="001D26BC" w:rsidP="001D26BC">
      <w:pPr>
        <w:pStyle w:val="NoSpacing"/>
        <w:ind w:firstLine="720"/>
        <w:jc w:val="both"/>
        <w:rPr>
          <w:sz w:val="28"/>
        </w:rPr>
      </w:pPr>
      <w:r w:rsidRPr="00D1230F">
        <w:rPr>
          <w:sz w:val="28"/>
        </w:rPr>
        <w:t xml:space="preserve">ES centralizētā politika </w:t>
      </w:r>
      <w:r>
        <w:rPr>
          <w:sz w:val="28"/>
        </w:rPr>
        <w:t>paredz</w:t>
      </w:r>
      <w:r w:rsidRPr="00D1230F">
        <w:rPr>
          <w:sz w:val="28"/>
        </w:rPr>
        <w:t xml:space="preserve"> veidot vienu vai dažus centrus, kurus izmanto pārējie lietotāji. </w:t>
      </w:r>
      <w:proofErr w:type="spellStart"/>
      <w:r w:rsidRPr="00D1230F">
        <w:rPr>
          <w:sz w:val="28"/>
        </w:rPr>
        <w:t>Distributētā</w:t>
      </w:r>
      <w:proofErr w:type="spellEnd"/>
      <w:r w:rsidRPr="00D1230F">
        <w:rPr>
          <w:sz w:val="28"/>
        </w:rPr>
        <w:t xml:space="preserve"> politika – </w:t>
      </w:r>
      <w:r>
        <w:rPr>
          <w:sz w:val="28"/>
        </w:rPr>
        <w:t xml:space="preserve">ietver pasākumus, kuros </w:t>
      </w:r>
      <w:r w:rsidRPr="00D1230F">
        <w:rPr>
          <w:sz w:val="28"/>
        </w:rPr>
        <w:t xml:space="preserve">izdala investīcijas arī dažu jau gatavu pavadošo centru izaugsmei, ja to pastāvēšana zināmā “pamata” attīstības līmenī nodrošināta </w:t>
      </w:r>
      <w:r>
        <w:rPr>
          <w:sz w:val="28"/>
        </w:rPr>
        <w:t xml:space="preserve">jau </w:t>
      </w:r>
      <w:r w:rsidRPr="00D1230F">
        <w:rPr>
          <w:sz w:val="28"/>
        </w:rPr>
        <w:t xml:space="preserve">nacionālajā līmenī. Turklāt ES programmu finansējums tiek piešķirts aktivitātēm, kuru rezultāti noderēs visai ES, savukārt aktivitātes, kas ir </w:t>
      </w:r>
      <w:r>
        <w:rPr>
          <w:sz w:val="28"/>
        </w:rPr>
        <w:t xml:space="preserve">uzskatāmas </w:t>
      </w:r>
      <w:r w:rsidRPr="00D1230F">
        <w:rPr>
          <w:sz w:val="28"/>
        </w:rPr>
        <w:t xml:space="preserve">tikai </w:t>
      </w:r>
      <w:r>
        <w:rPr>
          <w:sz w:val="28"/>
        </w:rPr>
        <w:t xml:space="preserve">par </w:t>
      </w:r>
      <w:r w:rsidRPr="00D1230F">
        <w:rPr>
          <w:sz w:val="28"/>
        </w:rPr>
        <w:t>nacionāl</w:t>
      </w:r>
      <w:r>
        <w:rPr>
          <w:sz w:val="28"/>
        </w:rPr>
        <w:t>u</w:t>
      </w:r>
      <w:r w:rsidRPr="00D1230F">
        <w:rPr>
          <w:sz w:val="28"/>
        </w:rPr>
        <w:t xml:space="preserve"> prioritāt</w:t>
      </w:r>
      <w:r>
        <w:rPr>
          <w:sz w:val="28"/>
        </w:rPr>
        <w:t>i</w:t>
      </w:r>
      <w:r w:rsidRPr="00D1230F">
        <w:rPr>
          <w:sz w:val="28"/>
        </w:rPr>
        <w:t>, jāfinansē attiecīgajai valstij pašai.</w:t>
      </w:r>
    </w:p>
    <w:p w:rsidR="001D26BC" w:rsidRPr="00513534" w:rsidRDefault="001D26BC" w:rsidP="001D26BC">
      <w:pPr>
        <w:pStyle w:val="NoSpacing"/>
        <w:ind w:firstLine="720"/>
        <w:jc w:val="both"/>
        <w:rPr>
          <w:sz w:val="28"/>
        </w:rPr>
      </w:pPr>
      <w:r w:rsidRPr="00513534">
        <w:rPr>
          <w:sz w:val="28"/>
        </w:rPr>
        <w:t>Šāda ES prakse atbalsta to centru attīstību, kuros līdz šim jau veiktas nepieciešamās investīcijas darbības nodrošināšanai, savukārt to valstu zinātniekiem, kuru rīcībā nav nacionālo zinātnes infrastruktūras resursu, ir iespēja īrēt jau attīstīto centru (</w:t>
      </w:r>
      <w:proofErr w:type="spellStart"/>
      <w:r w:rsidRPr="00513534">
        <w:rPr>
          <w:sz w:val="28"/>
        </w:rPr>
        <w:t>supercentru</w:t>
      </w:r>
      <w:proofErr w:type="spellEnd"/>
      <w:r w:rsidRPr="00513534">
        <w:rPr>
          <w:sz w:val="28"/>
        </w:rPr>
        <w:t>) infrastruktūru un pakalpojumus.</w:t>
      </w:r>
    </w:p>
    <w:p w:rsidR="001D26BC" w:rsidRPr="001A3F06" w:rsidRDefault="001D26BC" w:rsidP="001D26BC">
      <w:pPr>
        <w:pStyle w:val="NoSpacing"/>
        <w:ind w:firstLine="720"/>
        <w:jc w:val="both"/>
        <w:rPr>
          <w:sz w:val="28"/>
        </w:rPr>
      </w:pPr>
      <w:r w:rsidRPr="001A3F06">
        <w:rPr>
          <w:sz w:val="28"/>
        </w:rPr>
        <w:t xml:space="preserve">6.Ietvara programma </w:t>
      </w:r>
      <w:r w:rsidRPr="00513534">
        <w:rPr>
          <w:sz w:val="28"/>
        </w:rPr>
        <w:t xml:space="preserve">FP6 (2002-2006) </w:t>
      </w:r>
      <w:r w:rsidRPr="001A3F06">
        <w:rPr>
          <w:sz w:val="28"/>
        </w:rPr>
        <w:t>kosmosa nozares aktivitātēm sniedza finansējumu aptuveni 230 miljonus EUR, galvenokārt GMES aktivitātēm ar uzsvaru uz pielietojumiem un pakalpojumiem. FP7 (2007 –2013) paredz atbalstu kosmosa nozares GMES aktivitātēm ar uzsvaru uz pakalpojumiem un jaunu tehnoloģiju izstrādi ar finansējumu jau 1,4 miljardu EUR apjomā.</w:t>
      </w:r>
      <w:r w:rsidRPr="002D4E84">
        <w:rPr>
          <w:vertAlign w:val="superscript"/>
        </w:rPr>
        <w:footnoteReference w:id="14"/>
      </w:r>
    </w:p>
    <w:p w:rsidR="001D26BC" w:rsidRPr="00513534" w:rsidRDefault="001D26BC" w:rsidP="001D26BC">
      <w:pPr>
        <w:pStyle w:val="NoSpacing"/>
        <w:ind w:firstLine="720"/>
        <w:jc w:val="both"/>
        <w:rPr>
          <w:color w:val="000000"/>
          <w:sz w:val="28"/>
        </w:rPr>
      </w:pPr>
      <w:r w:rsidRPr="001A3F06">
        <w:rPr>
          <w:sz w:val="28"/>
        </w:rPr>
        <w:t xml:space="preserve">Saistībā ar FP7 Eiropas Investīciju banka (EIB) kopā ar ES izveidoja speciālu finanšu instrumentu zinātnes atbalstam – </w:t>
      </w:r>
      <w:proofErr w:type="spellStart"/>
      <w:r w:rsidRPr="002D4E84">
        <w:rPr>
          <w:i/>
          <w:sz w:val="28"/>
        </w:rPr>
        <w:t>Risk</w:t>
      </w:r>
      <w:proofErr w:type="spellEnd"/>
      <w:r w:rsidRPr="002D4E84">
        <w:rPr>
          <w:i/>
          <w:sz w:val="28"/>
        </w:rPr>
        <w:t xml:space="preserve"> </w:t>
      </w:r>
      <w:proofErr w:type="spellStart"/>
      <w:r w:rsidRPr="002D4E84">
        <w:rPr>
          <w:i/>
          <w:sz w:val="28"/>
        </w:rPr>
        <w:t>Sharing</w:t>
      </w:r>
      <w:proofErr w:type="spellEnd"/>
      <w:r w:rsidRPr="002D4E84">
        <w:rPr>
          <w:i/>
          <w:sz w:val="28"/>
        </w:rPr>
        <w:t xml:space="preserve"> </w:t>
      </w:r>
      <w:proofErr w:type="spellStart"/>
      <w:r w:rsidRPr="002D4E84">
        <w:rPr>
          <w:i/>
          <w:sz w:val="28"/>
        </w:rPr>
        <w:t>Finance</w:t>
      </w:r>
      <w:proofErr w:type="spellEnd"/>
      <w:r w:rsidRPr="002D4E84">
        <w:rPr>
          <w:i/>
          <w:sz w:val="28"/>
        </w:rPr>
        <w:t xml:space="preserve"> </w:t>
      </w:r>
      <w:proofErr w:type="spellStart"/>
      <w:r w:rsidRPr="002D4E84">
        <w:rPr>
          <w:i/>
          <w:sz w:val="28"/>
        </w:rPr>
        <w:t>Facility</w:t>
      </w:r>
      <w:proofErr w:type="spellEnd"/>
      <w:r w:rsidRPr="001A3F06">
        <w:rPr>
          <w:sz w:val="28"/>
        </w:rPr>
        <w:t xml:space="preserve"> (RSFF), kas ir kļuvis par nozīmīgu </w:t>
      </w:r>
      <w:r w:rsidRPr="00513534">
        <w:rPr>
          <w:rFonts w:eastAsia="Times New Roman"/>
          <w:sz w:val="28"/>
          <w:lang w:eastAsia="lv-LV"/>
        </w:rPr>
        <w:t>atbalsta instrumentu ES P&amp;A. Apvienojot 1 miljardu EUR no ES budžeta ar 1 miljardu EUR no EIB finansējum</w:t>
      </w:r>
      <w:r>
        <w:rPr>
          <w:rFonts w:eastAsia="Times New Roman"/>
          <w:sz w:val="28"/>
          <w:lang w:eastAsia="lv-LV"/>
        </w:rPr>
        <w:t>a</w:t>
      </w:r>
      <w:r w:rsidRPr="00513534">
        <w:rPr>
          <w:rFonts w:eastAsia="Times New Roman"/>
          <w:sz w:val="28"/>
          <w:lang w:eastAsia="lv-LV"/>
        </w:rPr>
        <w:t xml:space="preserve">, ir paredzams, ka šajā plānošanas periodā līdz 2013.gadam EIB papildus piedāvās kredītus 10 miljardu EUR apjomā </w:t>
      </w:r>
      <w:r w:rsidRPr="00513534">
        <w:rPr>
          <w:rFonts w:eastAsia="Times New Roman"/>
          <w:sz w:val="28"/>
          <w:lang w:eastAsia="lv-LV"/>
        </w:rPr>
        <w:lastRenderedPageBreak/>
        <w:t>augsta riska investīcijām P&amp;A – investīcijās, kas nenotiktu tradicionālo instrumentu ietvaros.</w:t>
      </w:r>
      <w:r w:rsidRPr="00513534">
        <w:rPr>
          <w:rStyle w:val="FootnoteReference"/>
          <w:sz w:val="28"/>
          <w:lang w:eastAsia="lv-LV"/>
        </w:rPr>
        <w:footnoteReference w:id="15"/>
      </w:r>
    </w:p>
    <w:p w:rsidR="001D26BC" w:rsidRPr="009F6E8E" w:rsidRDefault="001D26BC" w:rsidP="001D26BC">
      <w:pPr>
        <w:autoSpaceDE w:val="0"/>
        <w:autoSpaceDN w:val="0"/>
        <w:adjustRightInd w:val="0"/>
        <w:rPr>
          <w:color w:val="000000"/>
          <w:sz w:val="28"/>
        </w:rPr>
      </w:pPr>
    </w:p>
    <w:p w:rsidR="001D26BC" w:rsidRPr="00513534" w:rsidRDefault="001D26BC" w:rsidP="001D26BC">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283" w:firstLine="720"/>
        <w:jc w:val="both"/>
        <w:rPr>
          <w:b/>
          <w:szCs w:val="24"/>
        </w:rPr>
      </w:pPr>
      <w:r w:rsidRPr="00513534">
        <w:rPr>
          <w:b/>
          <w:szCs w:val="24"/>
        </w:rPr>
        <w:t>Informācija 1. Indijas 1.kosmosa programma.</w:t>
      </w:r>
    </w:p>
    <w:p w:rsidR="001D26BC" w:rsidRPr="00513534" w:rsidRDefault="001D26BC" w:rsidP="001D26BC">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right="283" w:firstLine="720"/>
        <w:jc w:val="both"/>
        <w:rPr>
          <w:szCs w:val="24"/>
        </w:rPr>
      </w:pPr>
      <w:r w:rsidRPr="00513534">
        <w:rPr>
          <w:szCs w:val="24"/>
        </w:rPr>
        <w:t xml:space="preserve">21.gadsimtā Indijas programma piedzīvo ekspansiju. Atšķirībā no ASV, Krievijas, pat Japānas, ES un Ķīnas, Indijas kosmosa programma atšķiras ar izteiktu uzsvaru uz sociālo vajadzību risinājumu. Tās popularitāti šajā attīstības valstī nosaka tas, ka satelīti tiek izveidoti, lai atrisinātu telekomunikāciju, meteoroloģiskās prognozēšanas, </w:t>
      </w:r>
      <w:proofErr w:type="spellStart"/>
      <w:r w:rsidRPr="00513534">
        <w:rPr>
          <w:szCs w:val="24"/>
        </w:rPr>
        <w:t>telemedicīnas</w:t>
      </w:r>
      <w:proofErr w:type="spellEnd"/>
      <w:r w:rsidRPr="00513534">
        <w:rPr>
          <w:szCs w:val="24"/>
        </w:rPr>
        <w:t xml:space="preserve"> un lauksaimniecības jautājumus. Kosmosa programmas budžets ir 800 miljoni USD, tā nodarbina 16 500 strādājošo visā valstī. Cilvēki redz programmas rezultātus un novērtē kosmosa tehnoloģiju iespējas. Indija plāno attīstīt </w:t>
      </w:r>
      <w:proofErr w:type="spellStart"/>
      <w:r w:rsidRPr="00513534">
        <w:rPr>
          <w:szCs w:val="24"/>
        </w:rPr>
        <w:t>tālizpēti</w:t>
      </w:r>
      <w:proofErr w:type="spellEnd"/>
      <w:r w:rsidRPr="00513534">
        <w:rPr>
          <w:szCs w:val="24"/>
        </w:rPr>
        <w:t xml:space="preserve"> un turpināt visas iesāktās satelītu attīstības programmas. Nākotnes plāni saistās ar nodarbinātības saglabāšanu, iesaistoties “Cilvēks kosmosā” programmās, piekrastes joslas katastrofu monitoringa un cunami brīdināšanas sistēmas izveidei.</w:t>
      </w:r>
      <w:r w:rsidRPr="00513534">
        <w:rPr>
          <w:rStyle w:val="FootnoteReference"/>
        </w:rPr>
        <w:footnoteReference w:id="16"/>
      </w:r>
    </w:p>
    <w:p w:rsidR="001D26BC" w:rsidRDefault="001D26BC" w:rsidP="001D26BC">
      <w:pPr>
        <w:pStyle w:val="NormalWeb"/>
        <w:rPr>
          <w:sz w:val="20"/>
          <w:szCs w:val="20"/>
        </w:rPr>
      </w:pPr>
    </w:p>
    <w:p w:rsidR="001D26BC" w:rsidRPr="009F2FC3" w:rsidRDefault="001D26BC" w:rsidP="001D26BC">
      <w:pPr>
        <w:pStyle w:val="Heading4"/>
      </w:pPr>
      <w:bookmarkStart w:id="35" w:name="_Toc142573507"/>
      <w:bookmarkStart w:id="36" w:name="_Toc277672588"/>
      <w:bookmarkStart w:id="37" w:name="_Toc280366510"/>
      <w:r w:rsidRPr="009F2FC3">
        <w:t>2.2.1.ES kosmisko militāro tehnoloģiju tirgus</w:t>
      </w:r>
      <w:bookmarkEnd w:id="35"/>
      <w:bookmarkEnd w:id="36"/>
      <w:bookmarkEnd w:id="37"/>
    </w:p>
    <w:p w:rsidR="001D26BC" w:rsidRPr="00513534" w:rsidRDefault="001D26BC" w:rsidP="001D26BC">
      <w:pPr>
        <w:rPr>
          <w:sz w:val="28"/>
        </w:rPr>
      </w:pPr>
    </w:p>
    <w:p w:rsidR="001D26BC" w:rsidRPr="00513534" w:rsidRDefault="001D26BC" w:rsidP="001D26BC">
      <w:pPr>
        <w:pStyle w:val="NoSpacing"/>
        <w:ind w:firstLine="720"/>
        <w:jc w:val="both"/>
        <w:rPr>
          <w:sz w:val="28"/>
        </w:rPr>
      </w:pPr>
      <w:r w:rsidRPr="00513534">
        <w:rPr>
          <w:sz w:val="28"/>
        </w:rPr>
        <w:t>Kosmisko tehnoloģiju un pakalpojumu globālais tirgus apjoms ir 70 miljardi EUR</w:t>
      </w:r>
      <w:r w:rsidRPr="00513534">
        <w:rPr>
          <w:rStyle w:val="FootnoteReference"/>
          <w:sz w:val="28"/>
        </w:rPr>
        <w:footnoteReference w:id="17"/>
      </w:r>
      <w:r w:rsidRPr="00513534">
        <w:rPr>
          <w:sz w:val="28"/>
        </w:rPr>
        <w:t>, kur dominē ASV ar valdības finansējumu 35 miljardu</w:t>
      </w:r>
      <w:r w:rsidR="005A3881">
        <w:rPr>
          <w:sz w:val="28"/>
        </w:rPr>
        <w:t xml:space="preserve"> EUR, kas sadalās aptuveni</w:t>
      </w:r>
      <w:r w:rsidRPr="00513534">
        <w:rPr>
          <w:sz w:val="28"/>
        </w:rPr>
        <w:t xml:space="preserve"> līdzvērtīgi starp militārajiem un civilajiem projektiem. ASV izdevumi veido 90% no kopējā militāro kosmosa projektu budžeta apjoma.</w:t>
      </w:r>
      <w:r w:rsidRPr="00CF3C5A">
        <w:rPr>
          <w:vertAlign w:val="superscript"/>
        </w:rPr>
        <w:footnoteReference w:id="18"/>
      </w:r>
    </w:p>
    <w:p w:rsidR="001D26BC" w:rsidRPr="00513534" w:rsidRDefault="001D26BC" w:rsidP="001D26BC">
      <w:pPr>
        <w:pStyle w:val="NoSpacing"/>
        <w:ind w:firstLine="720"/>
        <w:jc w:val="both"/>
        <w:rPr>
          <w:sz w:val="28"/>
        </w:rPr>
      </w:pPr>
      <w:r w:rsidRPr="00513534">
        <w:rPr>
          <w:sz w:val="28"/>
        </w:rPr>
        <w:t xml:space="preserve">Eiropas valstu valdības iegulda kosmisko </w:t>
      </w:r>
      <w:r w:rsidR="005A3881" w:rsidRPr="00513534">
        <w:rPr>
          <w:sz w:val="28"/>
        </w:rPr>
        <w:t>tehnoloģiju</w:t>
      </w:r>
      <w:r w:rsidRPr="00513534">
        <w:rPr>
          <w:sz w:val="28"/>
        </w:rPr>
        <w:t xml:space="preserve"> un pakalpojumu nozarē aptuveni 5,5 miljardus EUR, kas aptver ES un nacionālos budžetus civilajā un militārajā jomā, šajā nozarē tieši nodarbinot 40</w:t>
      </w:r>
      <w:r>
        <w:rPr>
          <w:sz w:val="28"/>
        </w:rPr>
        <w:t xml:space="preserve"> </w:t>
      </w:r>
      <w:r w:rsidRPr="00513534">
        <w:rPr>
          <w:sz w:val="28"/>
        </w:rPr>
        <w:t>000 cilvēkus. Lielākās kosmosa programmas īsteno Francija un Itālija (0,09% no IKP katrai), Beļģija (0,07%), Vācija (0,04%) un Lielbritānija (0,02%).</w:t>
      </w:r>
    </w:p>
    <w:p w:rsidR="001D26BC" w:rsidRDefault="001D26BC" w:rsidP="001D26BC">
      <w:pPr>
        <w:pStyle w:val="Heading3"/>
      </w:pPr>
    </w:p>
    <w:p w:rsidR="001D26BC" w:rsidRPr="00A00C9A" w:rsidRDefault="001D26BC" w:rsidP="001D26BC">
      <w:pPr>
        <w:pBdr>
          <w:top w:val="single" w:sz="4" w:space="1" w:color="auto"/>
          <w:left w:val="single" w:sz="4" w:space="4" w:color="auto"/>
          <w:bottom w:val="single" w:sz="4" w:space="1" w:color="auto"/>
          <w:right w:val="single" w:sz="4" w:space="4" w:color="auto"/>
        </w:pBdr>
        <w:shd w:val="clear" w:color="auto" w:fill="F3F3F3"/>
        <w:rPr>
          <w:b/>
          <w:sz w:val="20"/>
          <w:szCs w:val="20"/>
        </w:rPr>
      </w:pPr>
      <w:r w:rsidRPr="00A00C9A">
        <w:rPr>
          <w:b/>
          <w:sz w:val="20"/>
          <w:szCs w:val="20"/>
        </w:rPr>
        <w:t>Informācija 2. Vācijas kosmosa aģentūra (DLR).</w:t>
      </w:r>
      <w:r>
        <w:rPr>
          <w:rStyle w:val="FootnoteReference"/>
          <w:b/>
          <w:sz w:val="20"/>
          <w:szCs w:val="20"/>
        </w:rPr>
        <w:footnoteReference w:id="19"/>
      </w:r>
    </w:p>
    <w:p w:rsidR="001D26BC" w:rsidRPr="00513534" w:rsidRDefault="001D26BC" w:rsidP="001D26BC">
      <w:pPr>
        <w:pBdr>
          <w:top w:val="single" w:sz="4" w:space="1" w:color="auto"/>
          <w:left w:val="single" w:sz="4" w:space="4" w:color="auto"/>
          <w:bottom w:val="single" w:sz="4" w:space="1" w:color="auto"/>
          <w:right w:val="single" w:sz="4" w:space="4" w:color="auto"/>
        </w:pBdr>
        <w:shd w:val="clear" w:color="auto" w:fill="F3F3F3"/>
        <w:jc w:val="both"/>
        <w:rPr>
          <w:szCs w:val="24"/>
        </w:rPr>
      </w:pPr>
      <w:r w:rsidRPr="00513534">
        <w:rPr>
          <w:szCs w:val="24"/>
        </w:rPr>
        <w:t xml:space="preserve">DLR ir būtiski atšķirīga, salīdzinot ar NASA pēc izmēra un funkcijām. Vācija izdod EKA programmām 572 </w:t>
      </w:r>
      <w:proofErr w:type="spellStart"/>
      <w:r>
        <w:rPr>
          <w:szCs w:val="24"/>
        </w:rPr>
        <w:t>milj.</w:t>
      </w:r>
      <w:r w:rsidRPr="00513534">
        <w:rPr>
          <w:szCs w:val="24"/>
        </w:rPr>
        <w:t>EUR</w:t>
      </w:r>
      <w:proofErr w:type="spellEnd"/>
      <w:r w:rsidRPr="00513534">
        <w:rPr>
          <w:szCs w:val="24"/>
        </w:rPr>
        <w:t xml:space="preserve"> un 191 </w:t>
      </w:r>
      <w:proofErr w:type="spellStart"/>
      <w:r>
        <w:rPr>
          <w:szCs w:val="24"/>
        </w:rPr>
        <w:t>milj.</w:t>
      </w:r>
      <w:r w:rsidRPr="00513534">
        <w:rPr>
          <w:szCs w:val="24"/>
        </w:rPr>
        <w:t>EUR</w:t>
      </w:r>
      <w:proofErr w:type="spellEnd"/>
      <w:r w:rsidRPr="00513534">
        <w:rPr>
          <w:szCs w:val="24"/>
        </w:rPr>
        <w:t xml:space="preserve"> savai nacionālajai programmai. Papildus tam, valsts investē 124 </w:t>
      </w:r>
      <w:proofErr w:type="spellStart"/>
      <w:r>
        <w:rPr>
          <w:szCs w:val="24"/>
        </w:rPr>
        <w:t>milj.</w:t>
      </w:r>
      <w:r w:rsidRPr="00513534">
        <w:rPr>
          <w:szCs w:val="24"/>
        </w:rPr>
        <w:t>EUR</w:t>
      </w:r>
      <w:proofErr w:type="spellEnd"/>
      <w:r w:rsidRPr="00513534">
        <w:rPr>
          <w:szCs w:val="24"/>
        </w:rPr>
        <w:t xml:space="preserve"> P&amp;A, ko saņem dažādas institūcijas visā Vācijā. Kaut gan lielākā investīciju daļa attiecas uz kosmosa nozari, aģentūra finansē arī pētījumus četrās citās jomās – aviācijā, enerģētikā, transportā, un jaunākajā nozarē – drošībā, t.sk. lidostu drošības sistēmu pilnveidē.</w:t>
      </w:r>
    </w:p>
    <w:p w:rsidR="001D26BC" w:rsidRPr="00513534" w:rsidRDefault="001D26BC" w:rsidP="001D26BC">
      <w:pPr>
        <w:pBdr>
          <w:top w:val="single" w:sz="4" w:space="1" w:color="auto"/>
          <w:left w:val="single" w:sz="4" w:space="4" w:color="auto"/>
          <w:bottom w:val="single" w:sz="4" w:space="1" w:color="auto"/>
          <w:right w:val="single" w:sz="4" w:space="4" w:color="auto"/>
        </w:pBdr>
        <w:shd w:val="clear" w:color="auto" w:fill="F3F3F3"/>
        <w:jc w:val="both"/>
        <w:rPr>
          <w:szCs w:val="24"/>
        </w:rPr>
      </w:pPr>
      <w:r w:rsidRPr="00513534">
        <w:rPr>
          <w:szCs w:val="24"/>
        </w:rPr>
        <w:t xml:space="preserve">40% no ieguldījumiem EKA ir novirzīti SKS, kur Vācija ir līderis </w:t>
      </w:r>
      <w:proofErr w:type="spellStart"/>
      <w:r w:rsidRPr="00513534">
        <w:rPr>
          <w:szCs w:val="24"/>
        </w:rPr>
        <w:t>Kolumba</w:t>
      </w:r>
      <w:proofErr w:type="spellEnd"/>
      <w:r w:rsidRPr="00513534">
        <w:rPr>
          <w:szCs w:val="24"/>
        </w:rPr>
        <w:t xml:space="preserve"> laboratorijas izveidē. Līdzdalība pēdējās miera misijās ievērojami sekmēja satelītu </w:t>
      </w:r>
      <w:r w:rsidRPr="00513534">
        <w:rPr>
          <w:szCs w:val="24"/>
        </w:rPr>
        <w:lastRenderedPageBreak/>
        <w:t>pielietojumu pieaugumu. DLR izstrādāja jaunus satelītus, kuri spēja analizēt 3D attēlus un noteikt kustošus objektus ar vismaz 1 m izšķiršanu, kā arī novērtēt kustības ātrumu.</w:t>
      </w:r>
    </w:p>
    <w:p w:rsidR="001D26BC" w:rsidRPr="00513534" w:rsidRDefault="001D26BC" w:rsidP="001D26BC">
      <w:pPr>
        <w:pBdr>
          <w:top w:val="single" w:sz="4" w:space="1" w:color="auto"/>
          <w:left w:val="single" w:sz="4" w:space="4" w:color="auto"/>
          <w:bottom w:val="single" w:sz="4" w:space="1" w:color="auto"/>
          <w:right w:val="single" w:sz="4" w:space="4" w:color="auto"/>
        </w:pBdr>
        <w:shd w:val="clear" w:color="auto" w:fill="F3F3F3"/>
        <w:jc w:val="both"/>
        <w:rPr>
          <w:szCs w:val="24"/>
        </w:rPr>
      </w:pPr>
      <w:r w:rsidRPr="00513534">
        <w:rPr>
          <w:szCs w:val="24"/>
        </w:rPr>
        <w:t xml:space="preserve">DLR plāno 2013.gadā nosūtīt uz </w:t>
      </w:r>
      <w:proofErr w:type="spellStart"/>
      <w:r w:rsidRPr="00513534">
        <w:rPr>
          <w:szCs w:val="24"/>
        </w:rPr>
        <w:t>Menesi</w:t>
      </w:r>
      <w:proofErr w:type="spellEnd"/>
      <w:r w:rsidRPr="00513534">
        <w:rPr>
          <w:szCs w:val="24"/>
        </w:rPr>
        <w:t xml:space="preserve"> pētniecisku kuģi ar plašu iekārtu aprīkojumu. Plāni ietver mērīt gravitāciju, uzņemt stereo un </w:t>
      </w:r>
      <w:proofErr w:type="spellStart"/>
      <w:r w:rsidRPr="00513534">
        <w:rPr>
          <w:szCs w:val="24"/>
        </w:rPr>
        <w:t>multispektru</w:t>
      </w:r>
      <w:proofErr w:type="spellEnd"/>
      <w:r w:rsidRPr="00513534">
        <w:rPr>
          <w:szCs w:val="24"/>
        </w:rPr>
        <w:t xml:space="preserve"> attēlus ar augstāku izšķirtspēju, nekā NASA plānotajā Mēness misijā 2012.gadā. Pēc Vācijas apvienošanās kosmosa programmas tika ievērojami samazinātas, jo ievērojamas investīcijas tika veiktas </w:t>
      </w:r>
      <w:proofErr w:type="spellStart"/>
      <w:r w:rsidRPr="00513534">
        <w:rPr>
          <w:szCs w:val="24"/>
        </w:rPr>
        <w:t>Austrumvācijā</w:t>
      </w:r>
      <w:proofErr w:type="spellEnd"/>
      <w:r w:rsidRPr="00513534">
        <w:rPr>
          <w:szCs w:val="24"/>
        </w:rPr>
        <w:t>.</w:t>
      </w:r>
    </w:p>
    <w:p w:rsidR="001D26BC" w:rsidRPr="00983C2D" w:rsidRDefault="001D26BC" w:rsidP="001D26BC"/>
    <w:p w:rsidR="001D26BC" w:rsidRPr="00513534" w:rsidRDefault="001D26BC" w:rsidP="001D26BC">
      <w:pPr>
        <w:pStyle w:val="NoSpacing"/>
        <w:ind w:firstLine="720"/>
        <w:jc w:val="both"/>
        <w:rPr>
          <w:sz w:val="28"/>
        </w:rPr>
      </w:pPr>
      <w:r w:rsidRPr="00513534">
        <w:rPr>
          <w:sz w:val="28"/>
        </w:rPr>
        <w:t>Eiropas kosmisko teh</w:t>
      </w:r>
      <w:r>
        <w:rPr>
          <w:sz w:val="28"/>
        </w:rPr>
        <w:t>n</w:t>
      </w:r>
      <w:r w:rsidRPr="00513534">
        <w:rPr>
          <w:sz w:val="28"/>
        </w:rPr>
        <w:t xml:space="preserve">oloģiju un pakalpojumu industrija ir vairāk saistīta ar privāto sektoru nekā ASV. ASV gadījumā 80% finansējums nāk no valdības pasūtījumiem, ES šī daļa ir 50%. Kaut arī ES kosmisko tehnoloģiju un pakalpojumu nozarē ievērojami atpaliek investīciju apjoma ziņā, nozares izaugsme kalpo par pamatu augsto tehnoloģiju nozares attīstībai. Piemēram, ES telekomunikāciju attīstību nosaka tieši ar kosmosu saistītās tehnoloģijas. Kosmisko tehnoloģiju un pakalpojumu nozare nosaka arī drošības politiku, konflikta zonu attīstību un vides monitoringu. Kosmisko tehnoloģiju un pakalpojumu jomai ES ir civils raksturs kopš attīstības sākuma, savukārt </w:t>
      </w:r>
      <w:proofErr w:type="spellStart"/>
      <w:r w:rsidRPr="00CF3C5A">
        <w:rPr>
          <w:i/>
          <w:sz w:val="28"/>
        </w:rPr>
        <w:t>Ariane</w:t>
      </w:r>
      <w:proofErr w:type="spellEnd"/>
      <w:r w:rsidRPr="00513534">
        <w:rPr>
          <w:sz w:val="28"/>
        </w:rPr>
        <w:t xml:space="preserve"> raķešu tirgus panākumi saistās ar privāto partnerību.</w:t>
      </w:r>
    </w:p>
    <w:p w:rsidR="001D26BC" w:rsidRPr="00513534" w:rsidRDefault="001D26BC" w:rsidP="001D26BC">
      <w:pPr>
        <w:pStyle w:val="NoSpacing"/>
        <w:ind w:firstLine="720"/>
        <w:jc w:val="both"/>
        <w:rPr>
          <w:sz w:val="28"/>
        </w:rPr>
      </w:pPr>
      <w:r w:rsidRPr="00513534">
        <w:rPr>
          <w:sz w:val="28"/>
        </w:rPr>
        <w:t xml:space="preserve">ES ir apsvērusi iespēju palielināt izdevumus kosmisko tehnoloģiju un pakalpojumu jomai līdz 10 miljardiem EUR vai vismaz 1 miljardam EUR ik gadu, izdalot speciālu drošības programmu ar uzsvaru uz satelītu komunikācijas tehnoloģiju attīstību, iesaistot policijas, ātrās reaģēšanas un militāros spēkus cīņā pret dabas katastrofām un terorismu. ASV kosmosa politika paredz atkal nosūtīt cilvēkus uz Mēnesi un </w:t>
      </w:r>
      <w:r>
        <w:rPr>
          <w:sz w:val="28"/>
        </w:rPr>
        <w:t>2020.gadā</w:t>
      </w:r>
      <w:r w:rsidRPr="00513534">
        <w:rPr>
          <w:sz w:val="28"/>
        </w:rPr>
        <w:t xml:space="preserve"> – uz Marsu. ASV ir lielākais ES partneris kosmosa jomā</w:t>
      </w:r>
      <w:r>
        <w:rPr>
          <w:sz w:val="28"/>
        </w:rPr>
        <w:t>,</w:t>
      </w:r>
      <w:r w:rsidRPr="00513534">
        <w:rPr>
          <w:sz w:val="28"/>
        </w:rPr>
        <w:t xml:space="preserve"> un sadarbība kļūs vēl ciešāka saistībā ar lielu kravu nogādi uz SKS pēc vairākkārtējas izmantošanas kuģu (</w:t>
      </w:r>
      <w:proofErr w:type="spellStart"/>
      <w:r w:rsidRPr="00CF3C5A">
        <w:rPr>
          <w:i/>
          <w:sz w:val="28"/>
        </w:rPr>
        <w:t>space</w:t>
      </w:r>
      <w:proofErr w:type="spellEnd"/>
      <w:r w:rsidRPr="00CF3C5A">
        <w:rPr>
          <w:i/>
          <w:sz w:val="28"/>
        </w:rPr>
        <w:t xml:space="preserve"> </w:t>
      </w:r>
      <w:proofErr w:type="spellStart"/>
      <w:r w:rsidRPr="00CF3C5A">
        <w:rPr>
          <w:i/>
          <w:sz w:val="28"/>
        </w:rPr>
        <w:t>shuttle</w:t>
      </w:r>
      <w:proofErr w:type="spellEnd"/>
      <w:r w:rsidRPr="00513534">
        <w:rPr>
          <w:sz w:val="28"/>
        </w:rPr>
        <w:t>) programmas noslēguma.</w:t>
      </w:r>
    </w:p>
    <w:p w:rsidR="001D26BC" w:rsidRDefault="001D26BC" w:rsidP="001D26BC">
      <w:pPr>
        <w:pStyle w:val="NormalWeb"/>
      </w:pPr>
    </w:p>
    <w:p w:rsidR="001D26BC" w:rsidRPr="00513534" w:rsidRDefault="001D26BC" w:rsidP="001D26BC">
      <w:pPr>
        <w:pBdr>
          <w:top w:val="single" w:sz="4" w:space="1" w:color="auto"/>
          <w:left w:val="single" w:sz="4" w:space="4" w:color="auto"/>
          <w:bottom w:val="single" w:sz="4" w:space="1" w:color="auto"/>
          <w:right w:val="single" w:sz="4" w:space="4" w:color="auto"/>
        </w:pBdr>
        <w:shd w:val="clear" w:color="auto" w:fill="F3F3F3"/>
        <w:rPr>
          <w:b/>
          <w:szCs w:val="24"/>
        </w:rPr>
      </w:pPr>
      <w:r w:rsidRPr="00513534">
        <w:rPr>
          <w:b/>
          <w:szCs w:val="24"/>
        </w:rPr>
        <w:t>Informācija 3. Ķīna kosmosā.</w:t>
      </w:r>
      <w:r w:rsidRPr="00513534">
        <w:rPr>
          <w:rStyle w:val="FootnoteReference"/>
          <w:b/>
        </w:rPr>
        <w:footnoteReference w:id="20"/>
      </w:r>
    </w:p>
    <w:p w:rsidR="001D26BC" w:rsidRPr="00513534" w:rsidRDefault="001D26BC" w:rsidP="001D26BC">
      <w:pPr>
        <w:pBdr>
          <w:top w:val="single" w:sz="4" w:space="1" w:color="auto"/>
          <w:left w:val="single" w:sz="4" w:space="4" w:color="auto"/>
          <w:bottom w:val="single" w:sz="4" w:space="1" w:color="auto"/>
          <w:right w:val="single" w:sz="4" w:space="4" w:color="auto"/>
        </w:pBdr>
        <w:shd w:val="clear" w:color="auto" w:fill="F3F3F3"/>
        <w:jc w:val="both"/>
        <w:rPr>
          <w:szCs w:val="24"/>
        </w:rPr>
      </w:pPr>
      <w:r w:rsidRPr="00513534">
        <w:rPr>
          <w:szCs w:val="24"/>
        </w:rPr>
        <w:t xml:space="preserve">Ķīna ir tikai trešā valsts pēc Krievijas un ASV, kura spēja kosmosā nosūtīt cilvēkus. 2003.gadā pirmais </w:t>
      </w:r>
      <w:proofErr w:type="spellStart"/>
      <w:r w:rsidRPr="00513534">
        <w:rPr>
          <w:szCs w:val="24"/>
        </w:rPr>
        <w:t>taikonauts</w:t>
      </w:r>
      <w:proofErr w:type="spellEnd"/>
      <w:r w:rsidRPr="00513534">
        <w:rPr>
          <w:szCs w:val="24"/>
        </w:rPr>
        <w:t xml:space="preserve"> veica lidojumu, kurš ilga mazāk par diennakti. Nākamajā lidojumā 2005.gadā jau divi </w:t>
      </w:r>
      <w:proofErr w:type="spellStart"/>
      <w:r w:rsidRPr="00513534">
        <w:rPr>
          <w:szCs w:val="24"/>
        </w:rPr>
        <w:t>taikonauti</w:t>
      </w:r>
      <w:proofErr w:type="spellEnd"/>
      <w:r w:rsidRPr="00513534">
        <w:rPr>
          <w:szCs w:val="24"/>
        </w:rPr>
        <w:t xml:space="preserve"> pabija kosmosā jau piecas diennaktis. Ķīnas kosmosa ambīcijas pieaug atbilstoši ekonomikas attīstības tempiem. Tiek plānotas misijas uz Mēnesi, pirmajā etapā  izmantojot robotus. Ikgada finansējuma apjomu kosmosa nozarei ir grūti novērtēt, tomēr tas atrodas 1.4-2.2 miljardu USD robežās gadā. </w:t>
      </w:r>
    </w:p>
    <w:p w:rsidR="001D26BC" w:rsidRDefault="001D26BC" w:rsidP="001D26BC">
      <w:pPr>
        <w:autoSpaceDE w:val="0"/>
        <w:autoSpaceDN w:val="0"/>
        <w:adjustRightInd w:val="0"/>
        <w:ind w:right="283" w:firstLine="720"/>
        <w:jc w:val="both"/>
        <w:rPr>
          <w:sz w:val="28"/>
        </w:rPr>
      </w:pPr>
    </w:p>
    <w:p w:rsidR="001D26BC" w:rsidRPr="00513534" w:rsidRDefault="001D26BC" w:rsidP="001D26BC">
      <w:pPr>
        <w:pStyle w:val="NoSpacing"/>
        <w:ind w:firstLine="720"/>
        <w:jc w:val="both"/>
        <w:rPr>
          <w:sz w:val="28"/>
        </w:rPr>
      </w:pPr>
      <w:r w:rsidRPr="00513534">
        <w:rPr>
          <w:sz w:val="28"/>
        </w:rPr>
        <w:t xml:space="preserve">25 ES valstu valdības kolektīvi ik gadus izdod aptuveni 40 miljardus EUR, lai radītu un iepirktu ar kosmosa tehnoloģijām saistītas militārās iekārtas (no 180 miljardiem EUR kopējā militārā budžeta). No </w:t>
      </w:r>
      <w:r w:rsidRPr="00513534">
        <w:rPr>
          <w:sz w:val="28"/>
        </w:rPr>
        <w:lastRenderedPageBreak/>
        <w:t xml:space="preserve">šiem 40 miljardiem ik gadu eiropieši izdod 550 MEUR kosmiskajām militārajām tehnoloģijām. </w:t>
      </w:r>
    </w:p>
    <w:p w:rsidR="001D26BC" w:rsidRPr="00513534" w:rsidRDefault="001D26BC" w:rsidP="001D26BC">
      <w:pPr>
        <w:pStyle w:val="NoSpacing"/>
        <w:ind w:firstLine="720"/>
        <w:jc w:val="both"/>
        <w:rPr>
          <w:sz w:val="28"/>
        </w:rPr>
      </w:pPr>
      <w:r w:rsidRPr="00513534">
        <w:rPr>
          <w:sz w:val="28"/>
        </w:rPr>
        <w:t xml:space="preserve">Savukārt ASV investē 15 miljardus EUR gadā, lai izstrādātu kosmiskās militārās tehnoloģijas un aizņem 90% no pasaules kopējā apjoma šajā nozarē. MILSTAR militāro telekomunikāciju sistēmu izstrādes programmas budžets 1983.-2002.gadam bija 25,3 miljardi USD; SBIRS infrasarkanās identifikācijas un brīdinājuma sistēmas izstrādes izmaksas aprēķinātas 22 miljardi USD; </w:t>
      </w:r>
      <w:proofErr w:type="spellStart"/>
      <w:r w:rsidRPr="00513534">
        <w:rPr>
          <w:sz w:val="28"/>
        </w:rPr>
        <w:t>Navstar</w:t>
      </w:r>
      <w:proofErr w:type="spellEnd"/>
      <w:r w:rsidRPr="00513534">
        <w:rPr>
          <w:sz w:val="28"/>
        </w:rPr>
        <w:t xml:space="preserve"> / GPS navigācijas sistēmas izstrāde veido 25 miljardu USD investīcijas 1974.-2016.gadu periodā.</w:t>
      </w:r>
    </w:p>
    <w:p w:rsidR="001D26BC" w:rsidRPr="00513534" w:rsidRDefault="001D26BC" w:rsidP="001D26BC">
      <w:pPr>
        <w:pStyle w:val="NoSpacing"/>
        <w:ind w:firstLine="720"/>
        <w:jc w:val="both"/>
        <w:rPr>
          <w:sz w:val="28"/>
        </w:rPr>
      </w:pPr>
      <w:r w:rsidRPr="00513534">
        <w:rPr>
          <w:sz w:val="28"/>
        </w:rPr>
        <w:t xml:space="preserve">Šāda </w:t>
      </w:r>
      <w:r>
        <w:rPr>
          <w:sz w:val="28"/>
        </w:rPr>
        <w:t>investīciju starpība</w:t>
      </w:r>
      <w:r w:rsidRPr="00513534">
        <w:rPr>
          <w:sz w:val="28"/>
        </w:rPr>
        <w:t xml:space="preserve"> palielina atšķirības starp ASV un Eiropas militārajām spējām. Atšķirīgā aprīkojuma kvalitāte samazina iespējas veidot kopējus manevrus un kampaņas.</w:t>
      </w:r>
    </w:p>
    <w:p w:rsidR="001D26BC" w:rsidRPr="00513534" w:rsidRDefault="001D26BC" w:rsidP="001D26BC">
      <w:pPr>
        <w:pStyle w:val="NoSpacing"/>
        <w:ind w:firstLine="720"/>
        <w:jc w:val="both"/>
        <w:rPr>
          <w:sz w:val="28"/>
        </w:rPr>
      </w:pPr>
      <w:r w:rsidRPr="00513534">
        <w:rPr>
          <w:sz w:val="28"/>
        </w:rPr>
        <w:t xml:space="preserve">Irākas kara laikā 2003.gadā militāristi izmantoja jau vairāk </w:t>
      </w:r>
      <w:r>
        <w:rPr>
          <w:sz w:val="28"/>
        </w:rPr>
        <w:t>ne</w:t>
      </w:r>
      <w:r w:rsidRPr="00513534">
        <w:rPr>
          <w:sz w:val="28"/>
        </w:rPr>
        <w:t>kā 50 satelītus, lai veidotu efektīvu komunikāciju un vadītu raķetes. Pieaug kosmisko tehnoloģiju nozīme arī miera uzturēšanas</w:t>
      </w:r>
      <w:r w:rsidRPr="006D1B1D">
        <w:t xml:space="preserve"> </w:t>
      </w:r>
      <w:r w:rsidRPr="00513534">
        <w:rPr>
          <w:sz w:val="28"/>
        </w:rPr>
        <w:t xml:space="preserve">misijās. Francija izveidoja savu pirmo satelītu </w:t>
      </w:r>
      <w:proofErr w:type="spellStart"/>
      <w:r w:rsidRPr="00513534">
        <w:rPr>
          <w:sz w:val="28"/>
        </w:rPr>
        <w:t>Helios</w:t>
      </w:r>
      <w:proofErr w:type="spellEnd"/>
      <w:r w:rsidRPr="00513534">
        <w:rPr>
          <w:sz w:val="28"/>
        </w:rPr>
        <w:t xml:space="preserve"> vēl 1995.gadā. Vācija un Lielbritānija pašreiz attīsta savas patstāvīgas satelītu programmas (attiecīgi SAR-</w:t>
      </w:r>
      <w:proofErr w:type="spellStart"/>
      <w:r w:rsidRPr="00513534">
        <w:rPr>
          <w:sz w:val="28"/>
        </w:rPr>
        <w:t>Lupe</w:t>
      </w:r>
      <w:proofErr w:type="spellEnd"/>
      <w:r w:rsidRPr="00513534">
        <w:rPr>
          <w:sz w:val="28"/>
        </w:rPr>
        <w:t xml:space="preserve"> un </w:t>
      </w:r>
      <w:proofErr w:type="spellStart"/>
      <w:r w:rsidRPr="00513534">
        <w:rPr>
          <w:sz w:val="28"/>
        </w:rPr>
        <w:t>Skynet</w:t>
      </w:r>
      <w:proofErr w:type="spellEnd"/>
      <w:r w:rsidRPr="00513534">
        <w:rPr>
          <w:sz w:val="28"/>
        </w:rPr>
        <w:t xml:space="preserve">). Nacionālās programmas Zemes novērošanai un telekomunikācijām ir kļuvušas par </w:t>
      </w:r>
      <w:proofErr w:type="spellStart"/>
      <w:r w:rsidRPr="00513534">
        <w:rPr>
          <w:sz w:val="28"/>
        </w:rPr>
        <w:t>multinacionālām</w:t>
      </w:r>
      <w:proofErr w:type="spellEnd"/>
      <w:r w:rsidRPr="00513534">
        <w:rPr>
          <w:sz w:val="28"/>
        </w:rPr>
        <w:t xml:space="preserve">. Liela nozīme militārajā jomā ir NATO politikai un ieviestajiem standartiem. Tomēr jāatzīmē, ka ES joprojām būtiski atpaliek no ASV pēc datu pārraides spējas to telekomunikāciju sistēmās. Strauji attīstās ātrās paziņošanas (Francijā SPIRALE), elektroniskā intelekta (ELINT ar </w:t>
      </w:r>
      <w:proofErr w:type="spellStart"/>
      <w:r w:rsidRPr="00513534">
        <w:rPr>
          <w:sz w:val="28"/>
        </w:rPr>
        <w:t>mikrosatelītu</w:t>
      </w:r>
      <w:proofErr w:type="spellEnd"/>
      <w:r w:rsidRPr="00513534">
        <w:rPr>
          <w:sz w:val="28"/>
        </w:rPr>
        <w:t xml:space="preserve"> tīklu ESSAIM) un kosmosa uzraudzības sistēmas. Kopā ES ik gadu sešās militārajās programmās izdod 730 milj.</w:t>
      </w:r>
      <w:r w:rsidR="005A3881">
        <w:rPr>
          <w:sz w:val="28"/>
        </w:rPr>
        <w:t xml:space="preserve"> </w:t>
      </w:r>
      <w:r w:rsidRPr="00513534">
        <w:rPr>
          <w:sz w:val="28"/>
        </w:rPr>
        <w:t>EUR, kas ir tikai neliela daļa no attiecīgās jomas izdevumiem ASV.</w:t>
      </w:r>
    </w:p>
    <w:p w:rsidR="001D26BC" w:rsidRPr="00513534" w:rsidRDefault="001D26BC" w:rsidP="001D26BC">
      <w:pPr>
        <w:pStyle w:val="NoSpacing"/>
        <w:ind w:firstLine="720"/>
        <w:jc w:val="both"/>
        <w:rPr>
          <w:sz w:val="28"/>
        </w:rPr>
      </w:pPr>
      <w:r w:rsidRPr="00513534">
        <w:rPr>
          <w:sz w:val="28"/>
        </w:rPr>
        <w:t xml:space="preserve">GMES no sākotnēji tikai vides monitoringa programmas pilda arvien plašākus uzdevumus, tai skaitā arī drošības monitoringā. Francija un Itālija attīsta civilo novērošanas programmu </w:t>
      </w:r>
      <w:proofErr w:type="spellStart"/>
      <w:r w:rsidRPr="00513534">
        <w:rPr>
          <w:sz w:val="28"/>
        </w:rPr>
        <w:t>Pleiades</w:t>
      </w:r>
      <w:proofErr w:type="spellEnd"/>
      <w:r w:rsidRPr="00513534">
        <w:rPr>
          <w:sz w:val="28"/>
        </w:rPr>
        <w:t xml:space="preserve"> – </w:t>
      </w:r>
      <w:proofErr w:type="spellStart"/>
      <w:r w:rsidRPr="00513534">
        <w:rPr>
          <w:sz w:val="28"/>
        </w:rPr>
        <w:t>Cosmo</w:t>
      </w:r>
      <w:proofErr w:type="spellEnd"/>
      <w:r w:rsidRPr="00513534">
        <w:rPr>
          <w:sz w:val="28"/>
        </w:rPr>
        <w:t xml:space="preserve"> ar spēju pildī</w:t>
      </w:r>
      <w:r w:rsidR="001319A0">
        <w:rPr>
          <w:sz w:val="28"/>
        </w:rPr>
        <w:t>t noteiktus militāros uzdevumus</w:t>
      </w:r>
      <w:r w:rsidRPr="00513534">
        <w:rPr>
          <w:sz w:val="28"/>
        </w:rPr>
        <w:t>.</w:t>
      </w:r>
    </w:p>
    <w:p w:rsidR="001D26BC" w:rsidRDefault="001D26BC" w:rsidP="001D26BC">
      <w:pPr>
        <w:pStyle w:val="NoSpacing"/>
        <w:ind w:firstLine="720"/>
        <w:jc w:val="both"/>
        <w:rPr>
          <w:sz w:val="28"/>
        </w:rPr>
      </w:pPr>
      <w:r w:rsidRPr="00513534">
        <w:rPr>
          <w:sz w:val="28"/>
        </w:rPr>
        <w:t xml:space="preserve">Latvijas turpmākā līdzdalība militārajās un miera uzturēšanas misijās būs grūti iedomājama bez pieaugošas kompetences un ieguldījumiem globālajās kosmiskajās tehnoloģijās. </w:t>
      </w:r>
    </w:p>
    <w:p w:rsidR="001D26BC" w:rsidRPr="00513534" w:rsidRDefault="001D26BC" w:rsidP="001D26BC">
      <w:pPr>
        <w:pStyle w:val="NoSpacing"/>
        <w:ind w:firstLine="720"/>
        <w:jc w:val="both"/>
        <w:rPr>
          <w:sz w:val="28"/>
        </w:rPr>
      </w:pPr>
    </w:p>
    <w:p w:rsidR="001D26BC" w:rsidRPr="009F2FC3" w:rsidRDefault="001D26BC" w:rsidP="001D26BC">
      <w:pPr>
        <w:pStyle w:val="Heading4"/>
      </w:pPr>
      <w:bookmarkStart w:id="38" w:name="_Toc142573508"/>
      <w:bookmarkStart w:id="39" w:name="_Toc277672589"/>
      <w:bookmarkStart w:id="40" w:name="_Toc280366511"/>
      <w:r w:rsidRPr="009F2FC3">
        <w:t>2.2.2.Satelītnavigācija</w:t>
      </w:r>
      <w:bookmarkEnd w:id="38"/>
      <w:bookmarkEnd w:id="39"/>
      <w:bookmarkEnd w:id="40"/>
    </w:p>
    <w:p w:rsidR="001D26BC" w:rsidRPr="00513534" w:rsidRDefault="001D26BC" w:rsidP="001D26BC">
      <w:pPr>
        <w:spacing w:after="120"/>
        <w:ind w:firstLine="720"/>
        <w:jc w:val="both"/>
        <w:rPr>
          <w:sz w:val="28"/>
        </w:rPr>
      </w:pPr>
      <w:r w:rsidRPr="00513534">
        <w:rPr>
          <w:sz w:val="28"/>
        </w:rPr>
        <w:t xml:space="preserve">Arvien vairāk pieaug automašīnu, laivu, kuģu un lidmašīnu skaits, kas pielieto GPS navigācijas tehnoloģijas. Jautājums ir atklāts – vai ES ir mērķtiecīgi ieguldīt ik gadu 1 miljardu EUR, lai dublētu ASV jau izstrādātos pakalpojumus. 2004.gadā noslēgtais ES un ASV savstarpējais līgums par frekvenču savietojamību ļauj ievērojami attīstīt minētos pakalpojumus un tehnoloģijas satiksmes drošības, lauksaimniecības u.c. jomās. </w:t>
      </w:r>
    </w:p>
    <w:p w:rsidR="001D26BC" w:rsidRPr="009F2FC3" w:rsidRDefault="001D26BC" w:rsidP="001D26BC">
      <w:pPr>
        <w:pStyle w:val="Heading4"/>
      </w:pPr>
      <w:bookmarkStart w:id="41" w:name="_Toc142573509"/>
      <w:bookmarkStart w:id="42" w:name="_Toc277672590"/>
      <w:bookmarkStart w:id="43" w:name="_Toc280366512"/>
      <w:r w:rsidRPr="009F2FC3">
        <w:lastRenderedPageBreak/>
        <w:t>2.2.3.Kosmiskās telekomunikācijas</w:t>
      </w:r>
      <w:bookmarkEnd w:id="41"/>
      <w:bookmarkEnd w:id="42"/>
      <w:bookmarkEnd w:id="43"/>
    </w:p>
    <w:p w:rsidR="001D26BC" w:rsidRPr="00513534" w:rsidRDefault="001D26BC" w:rsidP="001D26BC">
      <w:pPr>
        <w:pStyle w:val="NoSpacing"/>
        <w:ind w:firstLine="720"/>
        <w:jc w:val="both"/>
        <w:rPr>
          <w:sz w:val="28"/>
        </w:rPr>
      </w:pPr>
      <w:r w:rsidRPr="00513534">
        <w:rPr>
          <w:sz w:val="28"/>
        </w:rPr>
        <w:t>Satelītu telekomunikācijas ir visnozīmīgākā un visvairāk attīstītā kosmisko tehnoloģiju pielietojumu nozare. Pēdējos gados orbītās ik gadu sekmīgi tiek ievadīti daudzi telekomunikāciju satelīti (aptuveni 90% no kopējā jauno satelītu skaita</w:t>
      </w:r>
      <w:r w:rsidRPr="00513534">
        <w:rPr>
          <w:rStyle w:val="FootnoteReference"/>
          <w:sz w:val="28"/>
        </w:rPr>
        <w:footnoteReference w:id="21"/>
      </w:r>
      <w:r w:rsidRPr="00513534">
        <w:rPr>
          <w:sz w:val="28"/>
        </w:rPr>
        <w:t>); tie arī nodrošina ES galveno ražošanas īpatsvaru un ieņēmumu lielāko daļu, kā arī nosaka ES kosmosa industrijas ilgtspēju. Piemēram, derīgās kravas transporta pakalpojumi līdz orbītai ļāva nopelnīt 5 miljardus EUR, bet mobilo satelītu pakalpojumu ieņēmumi veido 800 miljonus EUR ik gadus. No Eiropas kosmosa industrijas ikgada ieņēmumiem 5 miljardiem EUR, 50-60% attiecināmi tieši uz telekomunikāciju satelītu izstrādi un palaišanu.</w:t>
      </w:r>
    </w:p>
    <w:p w:rsidR="001D26BC" w:rsidRPr="00513534" w:rsidRDefault="001D26BC" w:rsidP="001D26BC">
      <w:pPr>
        <w:pStyle w:val="NoSpacing"/>
        <w:ind w:firstLine="720"/>
        <w:jc w:val="both"/>
        <w:rPr>
          <w:sz w:val="28"/>
        </w:rPr>
      </w:pPr>
      <w:r w:rsidRPr="00513534">
        <w:rPr>
          <w:sz w:val="28"/>
        </w:rPr>
        <w:t>Tomēr līdzšinējie EKA ieguldījumi satelītu telekomunikācijās ir vērtējami kā nepilnīgi un tiem pēc atgūšanās no krīzes būtu ievērojami jāpieaug.</w:t>
      </w:r>
      <w:r w:rsidRPr="00513534">
        <w:rPr>
          <w:rStyle w:val="FootnoteReference"/>
          <w:sz w:val="28"/>
        </w:rPr>
        <w:footnoteReference w:id="22"/>
      </w:r>
      <w:r w:rsidRPr="00513534">
        <w:rPr>
          <w:sz w:val="28"/>
        </w:rPr>
        <w:t xml:space="preserve"> Virzieni, kuros plānots pieaugums nākotnē, ir šādi:</w:t>
      </w:r>
    </w:p>
    <w:p w:rsidR="001D26BC" w:rsidRPr="00513534" w:rsidRDefault="001D26BC" w:rsidP="001D26BC">
      <w:pPr>
        <w:numPr>
          <w:ilvl w:val="0"/>
          <w:numId w:val="15"/>
        </w:numPr>
        <w:spacing w:after="120"/>
        <w:jc w:val="both"/>
        <w:rPr>
          <w:sz w:val="28"/>
        </w:rPr>
      </w:pPr>
      <w:r w:rsidRPr="00513534">
        <w:rPr>
          <w:sz w:val="28"/>
        </w:rPr>
        <w:t>TV un radio pārraides pakalpojumi, kuros izmanto satelītu tehnoloģijas, ekspluatējot jau pieejamo platjoslas infrastruktūru;</w:t>
      </w:r>
    </w:p>
    <w:p w:rsidR="001D26BC" w:rsidRPr="00513534" w:rsidRDefault="001D26BC" w:rsidP="001D26BC">
      <w:pPr>
        <w:numPr>
          <w:ilvl w:val="0"/>
          <w:numId w:val="15"/>
        </w:numPr>
        <w:spacing w:after="120"/>
        <w:jc w:val="both"/>
        <w:rPr>
          <w:sz w:val="28"/>
        </w:rPr>
      </w:pPr>
      <w:r>
        <w:rPr>
          <w:sz w:val="28"/>
        </w:rPr>
        <w:t>f</w:t>
      </w:r>
      <w:r w:rsidRPr="00513534">
        <w:rPr>
          <w:sz w:val="28"/>
        </w:rPr>
        <w:t>iksēto telekomunikāciju optisko kabeļu integrācija ar satelītu tehnoloģijām, interneta nodrošināšana attālinātajiem reģioniem;</w:t>
      </w:r>
    </w:p>
    <w:p w:rsidR="001D26BC" w:rsidRPr="00513534" w:rsidRDefault="001D26BC" w:rsidP="001D26BC">
      <w:pPr>
        <w:numPr>
          <w:ilvl w:val="0"/>
          <w:numId w:val="15"/>
        </w:numPr>
        <w:spacing w:after="120"/>
        <w:jc w:val="both"/>
        <w:rPr>
          <w:sz w:val="28"/>
        </w:rPr>
      </w:pPr>
      <w:r>
        <w:rPr>
          <w:sz w:val="28"/>
        </w:rPr>
        <w:t>m</w:t>
      </w:r>
      <w:r w:rsidRPr="00513534">
        <w:rPr>
          <w:sz w:val="28"/>
        </w:rPr>
        <w:t>obilās satelītu sakaru sistēmas, t.sk. tehniskais nodrošinājums. Pašreiz pieejami 1 miljons mobilo satelītsakaru termināļu, kas ir ievērojams pieaugums kopš 1995.gada, kad bija pieejami 200 000 šādi termināli</w:t>
      </w:r>
      <w:r>
        <w:rPr>
          <w:sz w:val="28"/>
        </w:rPr>
        <w:t>;</w:t>
      </w:r>
    </w:p>
    <w:p w:rsidR="001D26BC" w:rsidRPr="00513534" w:rsidRDefault="001D26BC" w:rsidP="001D26BC">
      <w:pPr>
        <w:numPr>
          <w:ilvl w:val="0"/>
          <w:numId w:val="15"/>
        </w:numPr>
        <w:spacing w:after="120"/>
        <w:jc w:val="both"/>
        <w:rPr>
          <w:sz w:val="28"/>
        </w:rPr>
      </w:pPr>
      <w:r>
        <w:rPr>
          <w:sz w:val="28"/>
        </w:rPr>
        <w:t>s</w:t>
      </w:r>
      <w:r w:rsidRPr="00513534">
        <w:rPr>
          <w:sz w:val="28"/>
        </w:rPr>
        <w:t>atelītu telekomunikāciju platformu izveide un attīstība.</w:t>
      </w:r>
    </w:p>
    <w:p w:rsidR="001D26BC" w:rsidRPr="00513534" w:rsidRDefault="001D26BC" w:rsidP="001D26BC">
      <w:pPr>
        <w:spacing w:after="120"/>
        <w:ind w:firstLine="360"/>
        <w:jc w:val="both"/>
        <w:rPr>
          <w:sz w:val="28"/>
        </w:rPr>
      </w:pPr>
      <w:r w:rsidRPr="00513534">
        <w:rPr>
          <w:sz w:val="28"/>
        </w:rPr>
        <w:t>Pēdējos trijos gados kosmisko telekomunikāciju industrija pārdzīvo ievērojamu krīzi. Industriju, kurā darbojās 50 operatori, pateicoties uzņēmumu apvienošanai vai pārņemšanai, šobrīd pārstāv</w:t>
      </w:r>
      <w:r w:rsidRPr="006D1B1D">
        <w:t xml:space="preserve"> </w:t>
      </w:r>
      <w:r w:rsidRPr="00513534">
        <w:rPr>
          <w:sz w:val="28"/>
        </w:rPr>
        <w:t>35 operatori. Kopumā satelītu telekomunikāciju segments veido 32% no kopējā ES kosmosa tehnoloģiju budžeta.</w:t>
      </w:r>
    </w:p>
    <w:p w:rsidR="001D26BC" w:rsidRPr="00513534" w:rsidRDefault="001D26BC" w:rsidP="001D26BC">
      <w:pPr>
        <w:spacing w:after="120"/>
        <w:jc w:val="both"/>
        <w:rPr>
          <w:sz w:val="28"/>
        </w:rPr>
      </w:pPr>
      <w:r w:rsidRPr="00513534">
        <w:rPr>
          <w:sz w:val="28"/>
        </w:rPr>
        <w:t>Attīstība sagaidāma šādos virzienos:</w:t>
      </w:r>
    </w:p>
    <w:p w:rsidR="001D26BC" w:rsidRPr="00513534" w:rsidRDefault="001D26BC" w:rsidP="001D26BC">
      <w:pPr>
        <w:numPr>
          <w:ilvl w:val="0"/>
          <w:numId w:val="18"/>
        </w:numPr>
        <w:tabs>
          <w:tab w:val="clear" w:pos="720"/>
        </w:tabs>
        <w:spacing w:after="120"/>
        <w:ind w:left="851" w:hanging="567"/>
        <w:jc w:val="both"/>
        <w:rPr>
          <w:sz w:val="28"/>
        </w:rPr>
      </w:pPr>
      <w:r w:rsidRPr="00513534">
        <w:rPr>
          <w:sz w:val="28"/>
        </w:rPr>
        <w:t>video: pārraide, izplatīšana un pievienošana. Īpaši pieaugs pieprasījums pēc satelītu tehnoloģijām „</w:t>
      </w:r>
      <w:proofErr w:type="spellStart"/>
      <w:r w:rsidRPr="00513534">
        <w:rPr>
          <w:sz w:val="28"/>
        </w:rPr>
        <w:t>High</w:t>
      </w:r>
      <w:proofErr w:type="spellEnd"/>
      <w:r w:rsidRPr="00513534">
        <w:rPr>
          <w:sz w:val="28"/>
        </w:rPr>
        <w:t xml:space="preserve"> </w:t>
      </w:r>
      <w:proofErr w:type="spellStart"/>
      <w:r w:rsidRPr="00513534">
        <w:rPr>
          <w:sz w:val="28"/>
        </w:rPr>
        <w:t>definition</w:t>
      </w:r>
      <w:proofErr w:type="spellEnd"/>
      <w:r w:rsidRPr="00513534">
        <w:rPr>
          <w:sz w:val="28"/>
        </w:rPr>
        <w:t xml:space="preserve"> </w:t>
      </w:r>
      <w:proofErr w:type="spellStart"/>
      <w:r w:rsidRPr="00513534">
        <w:rPr>
          <w:sz w:val="28"/>
        </w:rPr>
        <w:t>television</w:t>
      </w:r>
      <w:proofErr w:type="spellEnd"/>
      <w:r w:rsidRPr="00513534">
        <w:rPr>
          <w:sz w:val="28"/>
        </w:rPr>
        <w:t xml:space="preserve"> (HDTV)”;</w:t>
      </w:r>
    </w:p>
    <w:p w:rsidR="001D26BC" w:rsidRPr="00513534" w:rsidRDefault="001D26BC" w:rsidP="001D26BC">
      <w:pPr>
        <w:numPr>
          <w:ilvl w:val="0"/>
          <w:numId w:val="18"/>
        </w:numPr>
        <w:tabs>
          <w:tab w:val="clear" w:pos="720"/>
        </w:tabs>
        <w:spacing w:after="120"/>
        <w:ind w:left="851" w:hanging="567"/>
        <w:jc w:val="both"/>
        <w:rPr>
          <w:sz w:val="28"/>
        </w:rPr>
      </w:pPr>
      <w:r w:rsidRPr="00513534">
        <w:rPr>
          <w:sz w:val="28"/>
        </w:rPr>
        <w:t xml:space="preserve">sistēmu un tehnoloģiju attīstība, ko prasa pārraides prasību nodrošināšana (attīstot arī jaunus modularitātes un </w:t>
      </w:r>
      <w:proofErr w:type="spellStart"/>
      <w:r w:rsidRPr="00513534">
        <w:rPr>
          <w:sz w:val="28"/>
        </w:rPr>
        <w:t>starpsavienojumu</w:t>
      </w:r>
      <w:proofErr w:type="spellEnd"/>
      <w:r w:rsidRPr="00513534">
        <w:rPr>
          <w:sz w:val="28"/>
        </w:rPr>
        <w:t xml:space="preserve"> risinājumus);</w:t>
      </w:r>
    </w:p>
    <w:p w:rsidR="001D26BC" w:rsidRPr="00513534" w:rsidRDefault="001D26BC" w:rsidP="001D26BC">
      <w:pPr>
        <w:numPr>
          <w:ilvl w:val="0"/>
          <w:numId w:val="18"/>
        </w:numPr>
        <w:tabs>
          <w:tab w:val="clear" w:pos="720"/>
        </w:tabs>
        <w:spacing w:after="120"/>
        <w:ind w:left="851" w:hanging="567"/>
        <w:jc w:val="both"/>
        <w:rPr>
          <w:sz w:val="28"/>
        </w:rPr>
      </w:pPr>
      <w:proofErr w:type="spellStart"/>
      <w:r w:rsidRPr="00513534">
        <w:rPr>
          <w:sz w:val="28"/>
        </w:rPr>
        <w:lastRenderedPageBreak/>
        <w:t>satelīttehnoloģiju</w:t>
      </w:r>
      <w:proofErr w:type="spellEnd"/>
      <w:r w:rsidRPr="00513534">
        <w:rPr>
          <w:sz w:val="28"/>
        </w:rPr>
        <w:t xml:space="preserve"> risinājumi ne-IP telefonu tālsarunām un interneta pieejamībai attālinātiem, mazāk attīstītiem reģioniem;</w:t>
      </w:r>
    </w:p>
    <w:p w:rsidR="001D26BC" w:rsidRPr="00513534" w:rsidRDefault="001D26BC" w:rsidP="001D26BC">
      <w:pPr>
        <w:numPr>
          <w:ilvl w:val="0"/>
          <w:numId w:val="18"/>
        </w:numPr>
        <w:tabs>
          <w:tab w:val="clear" w:pos="720"/>
        </w:tabs>
        <w:spacing w:after="120"/>
        <w:ind w:left="851" w:hanging="567"/>
        <w:jc w:val="both"/>
        <w:rPr>
          <w:sz w:val="28"/>
        </w:rPr>
      </w:pPr>
      <w:r w:rsidRPr="00513534">
        <w:rPr>
          <w:sz w:val="28"/>
        </w:rPr>
        <w:t xml:space="preserve">mobilās </w:t>
      </w:r>
      <w:r w:rsidR="001319A0">
        <w:rPr>
          <w:sz w:val="28"/>
        </w:rPr>
        <w:t>ciparu</w:t>
      </w:r>
      <w:r w:rsidRPr="00513534">
        <w:rPr>
          <w:sz w:val="28"/>
        </w:rPr>
        <w:t xml:space="preserve"> TV attīstība – 21.gs. tehnoloģijas;</w:t>
      </w:r>
    </w:p>
    <w:p w:rsidR="001D26BC" w:rsidRDefault="001D26BC" w:rsidP="001D26BC">
      <w:pPr>
        <w:numPr>
          <w:ilvl w:val="0"/>
          <w:numId w:val="18"/>
        </w:numPr>
        <w:tabs>
          <w:tab w:val="clear" w:pos="720"/>
        </w:tabs>
        <w:spacing w:after="120"/>
        <w:ind w:left="851" w:hanging="567"/>
        <w:jc w:val="both"/>
        <w:rPr>
          <w:sz w:val="28"/>
        </w:rPr>
      </w:pPr>
      <w:r w:rsidRPr="00513534">
        <w:rPr>
          <w:sz w:val="28"/>
        </w:rPr>
        <w:t>korporatīvās komunikāciju sistēmas.</w:t>
      </w:r>
    </w:p>
    <w:p w:rsidR="001D26BC" w:rsidRDefault="001D26BC" w:rsidP="001D26BC">
      <w:pPr>
        <w:jc w:val="both"/>
      </w:pPr>
    </w:p>
    <w:p w:rsidR="001D26BC" w:rsidRPr="009F2FC3" w:rsidRDefault="001D26BC" w:rsidP="001D26BC">
      <w:pPr>
        <w:pStyle w:val="Heading4"/>
      </w:pPr>
      <w:bookmarkStart w:id="44" w:name="_Toc142573511"/>
      <w:bookmarkStart w:id="45" w:name="_Toc277672594"/>
      <w:bookmarkStart w:id="46" w:name="_Toc280366513"/>
      <w:r w:rsidRPr="009F2FC3">
        <w:t>2.2.4.Nākotnes prognozes</w:t>
      </w:r>
      <w:bookmarkEnd w:id="44"/>
      <w:bookmarkEnd w:id="45"/>
      <w:bookmarkEnd w:id="46"/>
    </w:p>
    <w:p w:rsidR="001D26BC" w:rsidRPr="0041307E" w:rsidRDefault="001D26BC" w:rsidP="001D26BC">
      <w:pPr>
        <w:spacing w:after="120"/>
        <w:ind w:firstLine="720"/>
        <w:jc w:val="both"/>
        <w:rPr>
          <w:b/>
          <w:sz w:val="28"/>
        </w:rPr>
      </w:pPr>
      <w:r w:rsidRPr="00513534">
        <w:rPr>
          <w:sz w:val="28"/>
        </w:rPr>
        <w:t xml:space="preserve">Apkopojot informāciju par kosmisko tehnoloģiju un pakalpojumu tirgu, kas tai skaitā ietver kosmisko datu apstrādi, situāciju, uzskatāms, ka nozare ir perspektīva un </w:t>
      </w:r>
      <w:r w:rsidR="00D96699" w:rsidRPr="00513534">
        <w:rPr>
          <w:sz w:val="28"/>
        </w:rPr>
        <w:t>uzskatāma</w:t>
      </w:r>
      <w:r w:rsidRPr="00513534">
        <w:rPr>
          <w:sz w:val="28"/>
        </w:rPr>
        <w:t xml:space="preserve"> par attīstāmu Latvijā. Zemāk </w:t>
      </w:r>
      <w:r>
        <w:rPr>
          <w:sz w:val="28"/>
        </w:rPr>
        <w:t>sniegti</w:t>
      </w:r>
      <w:r w:rsidRPr="00513534">
        <w:rPr>
          <w:sz w:val="28"/>
        </w:rPr>
        <w:t xml:space="preserve"> </w:t>
      </w:r>
      <w:r w:rsidRPr="0041307E">
        <w:rPr>
          <w:b/>
          <w:sz w:val="28"/>
        </w:rPr>
        <w:t>galvenie secinājumi, kas norāda uz kosmisko tehnoloģiju un pakalpojumu nozares perspektīvu:</w:t>
      </w:r>
    </w:p>
    <w:p w:rsidR="001D26BC" w:rsidRPr="00513534" w:rsidRDefault="001D26BC" w:rsidP="001D26BC">
      <w:pPr>
        <w:numPr>
          <w:ilvl w:val="0"/>
          <w:numId w:val="19"/>
        </w:numPr>
        <w:spacing w:after="120"/>
        <w:jc w:val="both"/>
        <w:rPr>
          <w:sz w:val="28"/>
        </w:rPr>
      </w:pPr>
      <w:r>
        <w:rPr>
          <w:sz w:val="28"/>
        </w:rPr>
        <w:t>p</w:t>
      </w:r>
      <w:r w:rsidRPr="00513534">
        <w:rPr>
          <w:sz w:val="28"/>
        </w:rPr>
        <w:t>lānota intensīvāka attīstība satelītu palaišanas (</w:t>
      </w:r>
      <w:proofErr w:type="spellStart"/>
      <w:r w:rsidRPr="0019013E">
        <w:rPr>
          <w:i/>
          <w:sz w:val="28"/>
        </w:rPr>
        <w:t>launchers</w:t>
      </w:r>
      <w:proofErr w:type="spellEnd"/>
      <w:r w:rsidRPr="00513534">
        <w:rPr>
          <w:sz w:val="28"/>
        </w:rPr>
        <w:t>) jomā, ko lielā mērā nosaka uzlaboti risinājumi, kas ļauj samazināt izmaksas satelītu palaišanai</w:t>
      </w:r>
      <w:r>
        <w:rPr>
          <w:sz w:val="28"/>
        </w:rPr>
        <w:t>;</w:t>
      </w:r>
    </w:p>
    <w:p w:rsidR="001D26BC" w:rsidRPr="00513534" w:rsidRDefault="001D26BC" w:rsidP="001D26BC">
      <w:pPr>
        <w:numPr>
          <w:ilvl w:val="0"/>
          <w:numId w:val="19"/>
        </w:numPr>
        <w:spacing w:after="120"/>
        <w:jc w:val="both"/>
        <w:rPr>
          <w:sz w:val="28"/>
        </w:rPr>
      </w:pPr>
      <w:r>
        <w:rPr>
          <w:sz w:val="28"/>
        </w:rPr>
        <w:t>k</w:t>
      </w:r>
      <w:r w:rsidRPr="00513534">
        <w:rPr>
          <w:sz w:val="28"/>
        </w:rPr>
        <w:t>osm</w:t>
      </w:r>
      <w:r>
        <w:rPr>
          <w:sz w:val="28"/>
        </w:rPr>
        <w:t>osa</w:t>
      </w:r>
      <w:r w:rsidRPr="00513534">
        <w:rPr>
          <w:sz w:val="28"/>
        </w:rPr>
        <w:t xml:space="preserve"> telekomunikācijas – stabili pieaugs pieprasījums šajā tirgus segmentā un virzīsies uz informācijas sabiedrības komunikāciju</w:t>
      </w:r>
      <w:r w:rsidRPr="00513534">
        <w:rPr>
          <w:color w:val="231F20"/>
          <w:sz w:val="28"/>
        </w:rPr>
        <w:t xml:space="preserve"> </w:t>
      </w:r>
      <w:r w:rsidRPr="00513534">
        <w:rPr>
          <w:sz w:val="28"/>
        </w:rPr>
        <w:t>pieprasījuma apmierināšanu, kā arī uz integrāciju ar platjoslas interneta tehnoloģijām un infrastruktūru</w:t>
      </w:r>
      <w:r>
        <w:rPr>
          <w:sz w:val="28"/>
        </w:rPr>
        <w:t>;</w:t>
      </w:r>
    </w:p>
    <w:p w:rsidR="001D26BC" w:rsidRPr="00513534" w:rsidRDefault="001D26BC" w:rsidP="001D26BC">
      <w:pPr>
        <w:numPr>
          <w:ilvl w:val="0"/>
          <w:numId w:val="19"/>
        </w:numPr>
        <w:spacing w:after="120"/>
        <w:jc w:val="both"/>
        <w:rPr>
          <w:sz w:val="28"/>
        </w:rPr>
      </w:pPr>
      <w:r w:rsidRPr="00513534">
        <w:rPr>
          <w:sz w:val="28"/>
        </w:rPr>
        <w:t xml:space="preserve">Zemes virsmas novērojumi – </w:t>
      </w:r>
      <w:r w:rsidR="00A1288B">
        <w:rPr>
          <w:sz w:val="28"/>
        </w:rPr>
        <w:t>novērots</w:t>
      </w:r>
      <w:r w:rsidRPr="00513534">
        <w:rPr>
          <w:sz w:val="28"/>
        </w:rPr>
        <w:t xml:space="preserve"> stabils tirgus pieaugums no 2 miljardiem USD 2000.gadā līdz 4,7 miljardiem USD 2007.gadā. Pieaugs Ģ</w:t>
      </w:r>
      <w:r>
        <w:rPr>
          <w:sz w:val="28"/>
        </w:rPr>
        <w:t xml:space="preserve">eogrāfiskās </w:t>
      </w:r>
      <w:r w:rsidRPr="00513534">
        <w:rPr>
          <w:sz w:val="28"/>
        </w:rPr>
        <w:t>I</w:t>
      </w:r>
      <w:r>
        <w:rPr>
          <w:sz w:val="28"/>
        </w:rPr>
        <w:t xml:space="preserve">nformācijas </w:t>
      </w:r>
      <w:r w:rsidRPr="00513534">
        <w:rPr>
          <w:sz w:val="28"/>
        </w:rPr>
        <w:t>S</w:t>
      </w:r>
      <w:r>
        <w:rPr>
          <w:sz w:val="28"/>
        </w:rPr>
        <w:t>istēmas</w:t>
      </w:r>
      <w:r w:rsidRPr="00513534">
        <w:rPr>
          <w:sz w:val="28"/>
        </w:rPr>
        <w:t xml:space="preserve"> aplikācijas, </w:t>
      </w:r>
      <w:proofErr w:type="spellStart"/>
      <w:r w:rsidRPr="00513534">
        <w:rPr>
          <w:sz w:val="28"/>
        </w:rPr>
        <w:t>tālizpētes</w:t>
      </w:r>
      <w:proofErr w:type="spellEnd"/>
      <w:r w:rsidRPr="00513534">
        <w:rPr>
          <w:sz w:val="28"/>
        </w:rPr>
        <w:t xml:space="preserve"> un </w:t>
      </w:r>
      <w:proofErr w:type="spellStart"/>
      <w:r w:rsidRPr="00513534">
        <w:rPr>
          <w:sz w:val="28"/>
        </w:rPr>
        <w:t>fotogrametrijas</w:t>
      </w:r>
      <w:proofErr w:type="spellEnd"/>
      <w:r w:rsidRPr="00513534">
        <w:rPr>
          <w:sz w:val="28"/>
        </w:rPr>
        <w:t xml:space="preserve"> risinājumu pielietojumi. EKA tomēr īsti nenovērtē šīs nozares potenciālu, salīdzinot ar ASV un citām valstīm, līdz ar to var sagaidīt EKA politikas maiņu un attiecīgi – investīciju pieaugumu</w:t>
      </w:r>
      <w:r>
        <w:rPr>
          <w:sz w:val="28"/>
        </w:rPr>
        <w:t>;</w:t>
      </w:r>
    </w:p>
    <w:p w:rsidR="001D26BC" w:rsidRPr="00513534" w:rsidRDefault="001D26BC" w:rsidP="001D26BC">
      <w:pPr>
        <w:numPr>
          <w:ilvl w:val="0"/>
          <w:numId w:val="19"/>
        </w:numPr>
        <w:spacing w:after="120"/>
        <w:jc w:val="both"/>
        <w:rPr>
          <w:sz w:val="28"/>
        </w:rPr>
      </w:pPr>
      <w:proofErr w:type="spellStart"/>
      <w:r>
        <w:rPr>
          <w:sz w:val="28"/>
        </w:rPr>
        <w:t>s</w:t>
      </w:r>
      <w:r w:rsidRPr="00513534">
        <w:rPr>
          <w:sz w:val="28"/>
        </w:rPr>
        <w:t>atelītnavigācija</w:t>
      </w:r>
      <w:proofErr w:type="spellEnd"/>
      <w:r w:rsidRPr="00513534">
        <w:rPr>
          <w:sz w:val="28"/>
        </w:rPr>
        <w:t>. GPS iekārtu un pakalpojumu tirgus apjoms 2003.gadā sasniedza 16 miljardus. Satiksmes drošības, vadības, roku aparatūras un auto iebūvētās aparatūras un uzslāņoto pakalpojumu tirgus 2020.gadā pieaugs līdz 150 miljardiem EUR.</w:t>
      </w:r>
      <w:r w:rsidRPr="00513534">
        <w:rPr>
          <w:rStyle w:val="FootnoteReference"/>
          <w:sz w:val="28"/>
        </w:rPr>
        <w:footnoteReference w:id="23"/>
      </w:r>
      <w:r w:rsidRPr="00513534">
        <w:rPr>
          <w:sz w:val="28"/>
        </w:rPr>
        <w:t xml:space="preserve"> Attīstības etapu finansēs ES un EKA, pētnieciskās izmaksas gadā sasniegs līdz 1 miljardam EUR</w:t>
      </w:r>
      <w:r>
        <w:rPr>
          <w:sz w:val="28"/>
        </w:rPr>
        <w:t>;</w:t>
      </w:r>
    </w:p>
    <w:p w:rsidR="001D26BC" w:rsidRPr="00513534" w:rsidRDefault="001D26BC" w:rsidP="001D26BC">
      <w:pPr>
        <w:numPr>
          <w:ilvl w:val="0"/>
          <w:numId w:val="19"/>
        </w:numPr>
        <w:spacing w:after="120"/>
        <w:jc w:val="both"/>
        <w:rPr>
          <w:sz w:val="28"/>
        </w:rPr>
      </w:pPr>
      <w:r>
        <w:rPr>
          <w:sz w:val="28"/>
        </w:rPr>
        <w:t>m</w:t>
      </w:r>
      <w:r w:rsidRPr="00513534">
        <w:rPr>
          <w:sz w:val="28"/>
        </w:rPr>
        <w:t>ilitārais kosmisko tehnoloģiju un pakalpojumu tirgus saistās ar milzīgām iespējām un izdevumi dažādās militārajās programmās mērāmi līdz desmit miljardiem EUR gadā</w:t>
      </w:r>
      <w:r>
        <w:rPr>
          <w:sz w:val="28"/>
        </w:rPr>
        <w:t>;</w:t>
      </w:r>
    </w:p>
    <w:p w:rsidR="001D26BC" w:rsidRPr="00513534" w:rsidRDefault="001D26BC" w:rsidP="001D26BC">
      <w:pPr>
        <w:numPr>
          <w:ilvl w:val="0"/>
          <w:numId w:val="19"/>
        </w:numPr>
        <w:spacing w:after="120"/>
        <w:jc w:val="both"/>
        <w:rPr>
          <w:sz w:val="28"/>
        </w:rPr>
      </w:pPr>
      <w:r>
        <w:rPr>
          <w:sz w:val="28"/>
        </w:rPr>
        <w:t>j</w:t>
      </w:r>
      <w:r w:rsidRPr="00513534">
        <w:rPr>
          <w:sz w:val="28"/>
        </w:rPr>
        <w:t xml:space="preserve">aunu perspektīvu tirgu attīstība: </w:t>
      </w:r>
    </w:p>
    <w:p w:rsidR="001D26BC" w:rsidRPr="00513534" w:rsidRDefault="001D26BC" w:rsidP="001D26BC">
      <w:pPr>
        <w:numPr>
          <w:ilvl w:val="1"/>
          <w:numId w:val="16"/>
        </w:numPr>
        <w:spacing w:after="120"/>
        <w:jc w:val="both"/>
        <w:rPr>
          <w:sz w:val="28"/>
        </w:rPr>
      </w:pPr>
      <w:r w:rsidRPr="00513534">
        <w:rPr>
          <w:sz w:val="28"/>
        </w:rPr>
        <w:t>Ķīnas un Indijas tirgus ar milzīgām iespējām un potenciālu</w:t>
      </w:r>
      <w:r>
        <w:rPr>
          <w:sz w:val="28"/>
        </w:rPr>
        <w:t>;</w:t>
      </w:r>
    </w:p>
    <w:p w:rsidR="001D26BC" w:rsidRPr="00513534" w:rsidRDefault="001D26BC" w:rsidP="001D26BC">
      <w:pPr>
        <w:numPr>
          <w:ilvl w:val="1"/>
          <w:numId w:val="16"/>
        </w:numPr>
        <w:spacing w:after="120"/>
        <w:jc w:val="both"/>
        <w:rPr>
          <w:sz w:val="28"/>
        </w:rPr>
      </w:pPr>
      <w:r>
        <w:rPr>
          <w:sz w:val="28"/>
        </w:rPr>
        <w:lastRenderedPageBreak/>
        <w:t>v</w:t>
      </w:r>
      <w:r w:rsidRPr="00513534">
        <w:rPr>
          <w:sz w:val="28"/>
        </w:rPr>
        <w:t xml:space="preserve">ispārējie </w:t>
      </w:r>
      <w:r>
        <w:rPr>
          <w:sz w:val="28"/>
        </w:rPr>
        <w:t>IKT</w:t>
      </w:r>
      <w:r w:rsidRPr="00513534">
        <w:rPr>
          <w:sz w:val="28"/>
        </w:rPr>
        <w:t xml:space="preserve"> produkti – bezvadu risinājumi, telemātika, norēķinu sistēmas, virtuālais darbaspēks, ĢIS risinājumi, videokonferences ar jauniem </w:t>
      </w:r>
      <w:proofErr w:type="spellStart"/>
      <w:r w:rsidRPr="00513534">
        <w:rPr>
          <w:sz w:val="28"/>
        </w:rPr>
        <w:t>satelītt</w:t>
      </w:r>
      <w:r w:rsidR="00D96699">
        <w:rPr>
          <w:sz w:val="28"/>
        </w:rPr>
        <w:t>eh</w:t>
      </w:r>
      <w:r w:rsidRPr="00513534">
        <w:rPr>
          <w:sz w:val="28"/>
        </w:rPr>
        <w:t>noloģiju</w:t>
      </w:r>
      <w:proofErr w:type="spellEnd"/>
      <w:r w:rsidRPr="00513534">
        <w:rPr>
          <w:sz w:val="28"/>
        </w:rPr>
        <w:t xml:space="preserve"> pielietojumiem</w:t>
      </w:r>
      <w:r>
        <w:rPr>
          <w:sz w:val="28"/>
        </w:rPr>
        <w:t>;</w:t>
      </w:r>
    </w:p>
    <w:p w:rsidR="001D26BC" w:rsidRDefault="001D26BC" w:rsidP="001D26BC">
      <w:pPr>
        <w:numPr>
          <w:ilvl w:val="1"/>
          <w:numId w:val="16"/>
        </w:numPr>
        <w:spacing w:after="120"/>
        <w:jc w:val="both"/>
        <w:rPr>
          <w:sz w:val="28"/>
        </w:rPr>
      </w:pPr>
      <w:r>
        <w:rPr>
          <w:sz w:val="28"/>
        </w:rPr>
        <w:t>m</w:t>
      </w:r>
      <w:r w:rsidRPr="00513534">
        <w:rPr>
          <w:sz w:val="28"/>
        </w:rPr>
        <w:t>obilās aplikācijas.</w:t>
      </w:r>
      <w:bookmarkStart w:id="47" w:name="_Toc277672595"/>
    </w:p>
    <w:p w:rsidR="001D26BC" w:rsidRPr="00902986" w:rsidRDefault="001D26BC" w:rsidP="001D26BC">
      <w:pPr>
        <w:pStyle w:val="Heading2"/>
        <w:rPr>
          <w:sz w:val="28"/>
        </w:rPr>
      </w:pPr>
      <w:bookmarkStart w:id="48" w:name="_Toc280366514"/>
      <w:bookmarkStart w:id="49" w:name="_Toc303176594"/>
      <w:r w:rsidRPr="00902986">
        <w:rPr>
          <w:szCs w:val="36"/>
        </w:rPr>
        <w:t>3.</w:t>
      </w:r>
      <w:r w:rsidRPr="00902986">
        <w:t xml:space="preserve">Latvijas kosmosa </w:t>
      </w:r>
      <w:r>
        <w:t>tehnoloģiju nozares</w:t>
      </w:r>
      <w:r w:rsidRPr="00902986">
        <w:t xml:space="preserve"> </w:t>
      </w:r>
      <w:bookmarkEnd w:id="47"/>
      <w:bookmarkEnd w:id="48"/>
      <w:r>
        <w:t>tendences</w:t>
      </w:r>
      <w:bookmarkEnd w:id="49"/>
    </w:p>
    <w:p w:rsidR="001D26BC" w:rsidRPr="005124C5" w:rsidRDefault="001D26BC" w:rsidP="001D26BC"/>
    <w:p w:rsidR="001D26BC" w:rsidRDefault="001D26BC" w:rsidP="001D26BC">
      <w:pPr>
        <w:ind w:right="283" w:firstLine="720"/>
        <w:jc w:val="both"/>
        <w:rPr>
          <w:rStyle w:val="longtext"/>
          <w:sz w:val="28"/>
        </w:rPr>
      </w:pPr>
      <w:r>
        <w:rPr>
          <w:rStyle w:val="longtext"/>
          <w:sz w:val="28"/>
        </w:rPr>
        <w:t>Tajā pašā laikā ne visas Latvijas kosmosa nozares intereses var tikt aptvertas EKA vai citu saistīto un līdzīgo starptautisko organizāciju ietvaros. Tādēļ ir nepieciešams izstrādāt savu nacionālo programmu.</w:t>
      </w:r>
    </w:p>
    <w:p w:rsidR="001D26BC" w:rsidRDefault="001D26BC" w:rsidP="001D26BC">
      <w:pPr>
        <w:ind w:right="283"/>
        <w:jc w:val="both"/>
        <w:rPr>
          <w:sz w:val="28"/>
        </w:rPr>
      </w:pPr>
      <w:r>
        <w:rPr>
          <w:sz w:val="28"/>
        </w:rPr>
        <w:tab/>
        <w:t xml:space="preserve">Kosmosa nozari parasti iedala divās lielās grupās: </w:t>
      </w:r>
    </w:p>
    <w:p w:rsidR="001D26BC" w:rsidRDefault="001D26BC" w:rsidP="001D26BC">
      <w:pPr>
        <w:numPr>
          <w:ilvl w:val="0"/>
          <w:numId w:val="20"/>
        </w:numPr>
        <w:spacing w:after="120"/>
        <w:ind w:right="284"/>
        <w:jc w:val="both"/>
        <w:rPr>
          <w:sz w:val="28"/>
        </w:rPr>
      </w:pPr>
      <w:r w:rsidRPr="00F54E3A">
        <w:rPr>
          <w:b/>
          <w:sz w:val="28"/>
        </w:rPr>
        <w:t>tehnoloģiju ekselence</w:t>
      </w:r>
      <w:r>
        <w:rPr>
          <w:b/>
          <w:i/>
          <w:sz w:val="28"/>
        </w:rPr>
        <w:t xml:space="preserve"> (</w:t>
      </w:r>
      <w:proofErr w:type="spellStart"/>
      <w:r>
        <w:rPr>
          <w:b/>
          <w:i/>
          <w:sz w:val="28"/>
        </w:rPr>
        <w:t>upstream</w:t>
      </w:r>
      <w:proofErr w:type="spellEnd"/>
      <w:r>
        <w:rPr>
          <w:b/>
          <w:i/>
          <w:sz w:val="28"/>
        </w:rPr>
        <w:t xml:space="preserve">), </w:t>
      </w:r>
      <w:r>
        <w:rPr>
          <w:sz w:val="28"/>
        </w:rPr>
        <w:t xml:space="preserve">ar ko saprot jaunu kosmosa tehnoloģiju izstrādi un ražošanu, kā arī infrastruktūras attīstību. EKA var tikt uzskatīta par vienu no būtiskākajām Latvijā izstrādāto kosmosa tehnoloģiju noieta platformām, tajā pašā laikā pastāvot virknei citu tirgu, kur varētu būt pieprasītas Latvijā izstrādātās kosmosa tehnoloģijas; </w:t>
      </w:r>
    </w:p>
    <w:p w:rsidR="001D26BC" w:rsidRDefault="001D26BC" w:rsidP="001D26BC">
      <w:pPr>
        <w:numPr>
          <w:ilvl w:val="0"/>
          <w:numId w:val="20"/>
        </w:numPr>
        <w:ind w:right="283"/>
        <w:jc w:val="both"/>
        <w:rPr>
          <w:sz w:val="28"/>
        </w:rPr>
      </w:pPr>
      <w:r w:rsidRPr="00F54E3A">
        <w:rPr>
          <w:b/>
          <w:sz w:val="28"/>
        </w:rPr>
        <w:t>kosmosa tehnoloģiju pielietojumi</w:t>
      </w:r>
      <w:r>
        <w:rPr>
          <w:sz w:val="28"/>
        </w:rPr>
        <w:t xml:space="preserve">, </w:t>
      </w:r>
      <w:r w:rsidRPr="00F54E3A">
        <w:rPr>
          <w:b/>
          <w:i/>
          <w:sz w:val="28"/>
        </w:rPr>
        <w:t>(</w:t>
      </w:r>
      <w:proofErr w:type="spellStart"/>
      <w:r w:rsidRPr="00F54E3A">
        <w:rPr>
          <w:b/>
          <w:i/>
          <w:sz w:val="28"/>
        </w:rPr>
        <w:t>downstream</w:t>
      </w:r>
      <w:proofErr w:type="spellEnd"/>
      <w:r w:rsidRPr="00F54E3A">
        <w:rPr>
          <w:b/>
          <w:i/>
          <w:sz w:val="28"/>
        </w:rPr>
        <w:t>)</w:t>
      </w:r>
      <w:r>
        <w:rPr>
          <w:sz w:val="28"/>
        </w:rPr>
        <w:t xml:space="preserve"> ar tiem </w:t>
      </w:r>
      <w:r w:rsidRPr="00F52E27">
        <w:rPr>
          <w:sz w:val="28"/>
        </w:rPr>
        <w:t>saist</w:t>
      </w:r>
      <w:r>
        <w:rPr>
          <w:sz w:val="28"/>
        </w:rPr>
        <w:t>ītie pakalpojumi un to nodrošināšanai nepieciešamās tehnoloģijas, kuras iedala trīs lielās jomās:</w:t>
      </w:r>
    </w:p>
    <w:p w:rsidR="001D26BC" w:rsidRDefault="001D26BC" w:rsidP="001D26BC">
      <w:pPr>
        <w:numPr>
          <w:ilvl w:val="0"/>
          <w:numId w:val="4"/>
        </w:numPr>
        <w:ind w:right="283"/>
        <w:jc w:val="both"/>
        <w:rPr>
          <w:sz w:val="28"/>
        </w:rPr>
      </w:pPr>
      <w:r>
        <w:rPr>
          <w:sz w:val="28"/>
        </w:rPr>
        <w:t xml:space="preserve">telekomunikācijas; </w:t>
      </w:r>
    </w:p>
    <w:p w:rsidR="001D26BC" w:rsidRDefault="001D26BC" w:rsidP="001D26BC">
      <w:pPr>
        <w:numPr>
          <w:ilvl w:val="0"/>
          <w:numId w:val="4"/>
        </w:numPr>
        <w:ind w:right="283"/>
        <w:jc w:val="both"/>
        <w:rPr>
          <w:sz w:val="28"/>
        </w:rPr>
      </w:pPr>
      <w:r>
        <w:rPr>
          <w:sz w:val="28"/>
        </w:rPr>
        <w:t>Zemes novērošana;</w:t>
      </w:r>
    </w:p>
    <w:p w:rsidR="001D26BC" w:rsidRDefault="001D26BC" w:rsidP="001D26BC">
      <w:pPr>
        <w:numPr>
          <w:ilvl w:val="0"/>
          <w:numId w:val="4"/>
        </w:numPr>
        <w:spacing w:after="120"/>
        <w:ind w:left="1434" w:right="284" w:hanging="357"/>
        <w:jc w:val="both"/>
        <w:rPr>
          <w:sz w:val="28"/>
        </w:rPr>
      </w:pPr>
      <w:proofErr w:type="spellStart"/>
      <w:r>
        <w:rPr>
          <w:sz w:val="28"/>
        </w:rPr>
        <w:t>satelītnavigācija</w:t>
      </w:r>
      <w:proofErr w:type="spellEnd"/>
      <w:r>
        <w:rPr>
          <w:sz w:val="28"/>
        </w:rPr>
        <w:t>.</w:t>
      </w:r>
    </w:p>
    <w:p w:rsidR="001D26BC" w:rsidRDefault="001D26BC" w:rsidP="001D26BC">
      <w:pPr>
        <w:ind w:right="283" w:firstLine="567"/>
        <w:jc w:val="both"/>
        <w:rPr>
          <w:i/>
          <w:sz w:val="28"/>
        </w:rPr>
      </w:pPr>
      <w:r>
        <w:rPr>
          <w:sz w:val="28"/>
        </w:rPr>
        <w:t>Šo</w:t>
      </w:r>
      <w:r w:rsidRPr="00821CCD">
        <w:rPr>
          <w:i/>
          <w:sz w:val="28"/>
        </w:rPr>
        <w:t xml:space="preserve"> </w:t>
      </w:r>
      <w:r>
        <w:rPr>
          <w:sz w:val="28"/>
        </w:rPr>
        <w:t>pakalpojumu galvenās gala lietotājas ir piecas nozares, kurās tie ļauj nodrošināt efektīvāku resursu pārvaldību un uzraudzību:</w:t>
      </w:r>
      <w:r>
        <w:rPr>
          <w:i/>
          <w:sz w:val="28"/>
        </w:rPr>
        <w:t xml:space="preserve"> </w:t>
      </w:r>
    </w:p>
    <w:p w:rsidR="001D26BC" w:rsidRPr="00993A01" w:rsidRDefault="001D26BC" w:rsidP="001D26BC">
      <w:pPr>
        <w:numPr>
          <w:ilvl w:val="0"/>
          <w:numId w:val="5"/>
        </w:numPr>
        <w:ind w:right="283"/>
        <w:jc w:val="both"/>
        <w:rPr>
          <w:b/>
          <w:sz w:val="28"/>
        </w:rPr>
      </w:pPr>
      <w:r w:rsidRPr="00993A01">
        <w:rPr>
          <w:b/>
          <w:sz w:val="28"/>
        </w:rPr>
        <w:t>Lauksaimniecība un mežsaimniecība</w:t>
      </w:r>
      <w:r w:rsidR="00D96699" w:rsidRPr="00D96699">
        <w:rPr>
          <w:sz w:val="28"/>
        </w:rPr>
        <w:t>;</w:t>
      </w:r>
      <w:r w:rsidRPr="00993A01">
        <w:rPr>
          <w:b/>
          <w:sz w:val="28"/>
        </w:rPr>
        <w:t xml:space="preserve"> </w:t>
      </w:r>
    </w:p>
    <w:p w:rsidR="001D26BC" w:rsidRDefault="001D26BC" w:rsidP="001D26BC">
      <w:pPr>
        <w:numPr>
          <w:ilvl w:val="0"/>
          <w:numId w:val="5"/>
        </w:numPr>
        <w:ind w:right="283"/>
        <w:jc w:val="both"/>
        <w:rPr>
          <w:b/>
          <w:sz w:val="28"/>
        </w:rPr>
      </w:pPr>
      <w:r w:rsidRPr="00993A01">
        <w:rPr>
          <w:b/>
          <w:sz w:val="28"/>
        </w:rPr>
        <w:t>Drošība</w:t>
      </w:r>
      <w:r w:rsidR="00D96699">
        <w:rPr>
          <w:b/>
          <w:sz w:val="28"/>
        </w:rPr>
        <w:t>,</w:t>
      </w:r>
      <w:r w:rsidRPr="00993A01">
        <w:rPr>
          <w:b/>
          <w:sz w:val="28"/>
        </w:rPr>
        <w:t xml:space="preserve"> </w:t>
      </w:r>
      <w:r w:rsidRPr="009B031A">
        <w:rPr>
          <w:sz w:val="28"/>
        </w:rPr>
        <w:t xml:space="preserve">labāk reaģēt uz dabas kataklizmu izraisītajām sekām, nodrošināt efektīvāku likumu izpildi un </w:t>
      </w:r>
      <w:r>
        <w:rPr>
          <w:sz w:val="28"/>
        </w:rPr>
        <w:t>samazināt</w:t>
      </w:r>
      <w:r w:rsidRPr="009B031A">
        <w:rPr>
          <w:sz w:val="28"/>
        </w:rPr>
        <w:t xml:space="preserve"> robežu šķēr</w:t>
      </w:r>
      <w:r>
        <w:rPr>
          <w:sz w:val="28"/>
        </w:rPr>
        <w:t>so</w:t>
      </w:r>
      <w:r w:rsidRPr="009B031A">
        <w:rPr>
          <w:sz w:val="28"/>
        </w:rPr>
        <w:t>šanas riskus;</w:t>
      </w:r>
    </w:p>
    <w:p w:rsidR="001D26BC" w:rsidRDefault="001D26BC" w:rsidP="001D26BC">
      <w:pPr>
        <w:numPr>
          <w:ilvl w:val="0"/>
          <w:numId w:val="5"/>
        </w:numPr>
        <w:ind w:right="283"/>
        <w:jc w:val="both"/>
        <w:rPr>
          <w:b/>
          <w:sz w:val="28"/>
        </w:rPr>
      </w:pPr>
      <w:r w:rsidRPr="000C3578">
        <w:rPr>
          <w:b/>
          <w:sz w:val="28"/>
        </w:rPr>
        <w:t>Transports</w:t>
      </w:r>
      <w:r w:rsidR="00D96699" w:rsidRPr="00D96699">
        <w:rPr>
          <w:sz w:val="28"/>
        </w:rPr>
        <w:t>;</w:t>
      </w:r>
      <w:r w:rsidRPr="00D96699">
        <w:rPr>
          <w:sz w:val="28"/>
        </w:rPr>
        <w:t xml:space="preserve"> </w:t>
      </w:r>
    </w:p>
    <w:p w:rsidR="001D26BC" w:rsidRPr="000C3578" w:rsidRDefault="001D26BC" w:rsidP="001D26BC">
      <w:pPr>
        <w:numPr>
          <w:ilvl w:val="0"/>
          <w:numId w:val="5"/>
        </w:numPr>
        <w:ind w:right="283"/>
        <w:jc w:val="both"/>
        <w:rPr>
          <w:b/>
          <w:sz w:val="28"/>
        </w:rPr>
      </w:pPr>
      <w:r w:rsidRPr="000C3578">
        <w:rPr>
          <w:b/>
          <w:sz w:val="28"/>
        </w:rPr>
        <w:t>Tūrisms un rekreācija</w:t>
      </w:r>
      <w:r w:rsidR="00D96699">
        <w:rPr>
          <w:sz w:val="28"/>
        </w:rPr>
        <w:t>;</w:t>
      </w:r>
    </w:p>
    <w:p w:rsidR="001D26BC" w:rsidRPr="000C3578" w:rsidRDefault="001D26BC" w:rsidP="001D26BC">
      <w:pPr>
        <w:numPr>
          <w:ilvl w:val="0"/>
          <w:numId w:val="5"/>
        </w:numPr>
        <w:ind w:right="283"/>
        <w:jc w:val="both"/>
        <w:rPr>
          <w:b/>
          <w:sz w:val="28"/>
        </w:rPr>
      </w:pPr>
      <w:r w:rsidRPr="000C3578">
        <w:rPr>
          <w:b/>
          <w:sz w:val="28"/>
        </w:rPr>
        <w:t>Veselība un vide</w:t>
      </w:r>
      <w:r>
        <w:rPr>
          <w:b/>
          <w:sz w:val="28"/>
        </w:rPr>
        <w:t>:</w:t>
      </w:r>
      <w:r w:rsidRPr="000C3578">
        <w:rPr>
          <w:b/>
          <w:sz w:val="28"/>
        </w:rPr>
        <w:t xml:space="preserve"> </w:t>
      </w:r>
      <w:r>
        <w:rPr>
          <w:sz w:val="28"/>
        </w:rPr>
        <w:t>izveidot vienotu sistēmu un pakalpojumus par vides faktoriem, kas ietekmē cilvēku un dabiskos resursus klimatu izmaiņu ietekmē.</w:t>
      </w:r>
    </w:p>
    <w:p w:rsidR="001D26BC" w:rsidRDefault="001D26BC" w:rsidP="001D26BC">
      <w:pPr>
        <w:ind w:right="283" w:firstLine="567"/>
        <w:jc w:val="both"/>
        <w:rPr>
          <w:sz w:val="28"/>
        </w:rPr>
      </w:pPr>
      <w:r>
        <w:rPr>
          <w:sz w:val="28"/>
        </w:rPr>
        <w:t xml:space="preserve">Latvijai šobrīd ir pietiekams potenciāls iesaistīties šādu pakalpojumu nodrošināšanā gan nacionālā, gan starptautiskā līmenī. </w:t>
      </w:r>
    </w:p>
    <w:p w:rsidR="001D26BC" w:rsidRDefault="001D26BC" w:rsidP="001D26BC">
      <w:pPr>
        <w:ind w:right="283" w:firstLine="567"/>
        <w:jc w:val="both"/>
        <w:rPr>
          <w:sz w:val="28"/>
        </w:rPr>
      </w:pPr>
      <w:r>
        <w:rPr>
          <w:sz w:val="28"/>
        </w:rPr>
        <w:t xml:space="preserve">Tomēr, lai pilnībā varētu apzināt Latvijas iespējas, būtu nepieciešams izstrādāt pētījumu par kosmosa tehnoloģiju pielietojumiem Latvijas publiskajam sektoram. </w:t>
      </w:r>
    </w:p>
    <w:p w:rsidR="001D26BC" w:rsidRPr="00F54E3A" w:rsidRDefault="001D26BC" w:rsidP="001D26BC">
      <w:pPr>
        <w:ind w:firstLine="567"/>
        <w:jc w:val="both"/>
        <w:rPr>
          <w:b/>
          <w:sz w:val="28"/>
        </w:rPr>
      </w:pPr>
      <w:r w:rsidRPr="00F54E3A">
        <w:rPr>
          <w:sz w:val="28"/>
        </w:rPr>
        <w:lastRenderedPageBreak/>
        <w:t>Latvijai ir tradīcijas, prasmes un kompetences, kas sakņojas vēl PSRS laika 100 dažādās kosmosa programmās un projektos, kuros bija iesaistīti LPSR zinātnieki un inženieri.</w:t>
      </w:r>
      <w:r>
        <w:rPr>
          <w:sz w:val="28"/>
        </w:rPr>
        <w:t xml:space="preserve"> </w:t>
      </w:r>
      <w:r w:rsidRPr="00F54E3A">
        <w:rPr>
          <w:rFonts w:eastAsia="Times New Roman"/>
          <w:bCs/>
          <w:sz w:val="28"/>
          <w:lang w:eastAsia="lv-LV"/>
        </w:rPr>
        <w:t xml:space="preserve">Piemēram, Latvijas Valsts koksnes ķīmijas institūta polimēru laboratorijā tiek izstrādāti </w:t>
      </w:r>
      <w:r w:rsidRPr="00F54E3A">
        <w:rPr>
          <w:sz w:val="28"/>
        </w:rPr>
        <w:t xml:space="preserve">zemām temperatūrām paredzēti </w:t>
      </w:r>
      <w:proofErr w:type="spellStart"/>
      <w:r w:rsidRPr="00F54E3A">
        <w:rPr>
          <w:sz w:val="28"/>
        </w:rPr>
        <w:t>kriogēnās</w:t>
      </w:r>
      <w:proofErr w:type="spellEnd"/>
      <w:r w:rsidRPr="00F54E3A">
        <w:rPr>
          <w:sz w:val="28"/>
        </w:rPr>
        <w:t xml:space="preserve"> izolācijas materiāli. Institūts kā apakšuzņēmējs sadarbojas ar vācu kompāniju „</w:t>
      </w:r>
      <w:proofErr w:type="spellStart"/>
      <w:r w:rsidRPr="00F54E3A">
        <w:rPr>
          <w:sz w:val="28"/>
        </w:rPr>
        <w:t>Astrium</w:t>
      </w:r>
      <w:proofErr w:type="spellEnd"/>
      <w:r w:rsidRPr="00F54E3A">
        <w:rPr>
          <w:sz w:val="28"/>
        </w:rPr>
        <w:t xml:space="preserve">”, kura piedalās EKA projektos. </w:t>
      </w:r>
    </w:p>
    <w:p w:rsidR="001D26BC" w:rsidRPr="001A3F06" w:rsidRDefault="001D26BC" w:rsidP="001D26BC">
      <w:pPr>
        <w:tabs>
          <w:tab w:val="left" w:pos="993"/>
        </w:tabs>
        <w:autoSpaceDE w:val="0"/>
        <w:autoSpaceDN w:val="0"/>
        <w:adjustRightInd w:val="0"/>
        <w:spacing w:after="120"/>
        <w:jc w:val="both"/>
        <w:rPr>
          <w:rFonts w:eastAsia="Times New Roman"/>
          <w:bCs/>
          <w:sz w:val="28"/>
          <w:lang w:eastAsia="lv-LV"/>
        </w:rPr>
      </w:pPr>
      <w:r>
        <w:rPr>
          <w:color w:val="000000"/>
          <w:sz w:val="28"/>
          <w:lang w:eastAsia="lv-LV"/>
        </w:rPr>
        <w:tab/>
      </w:r>
      <w:r w:rsidRPr="00F54E3A">
        <w:rPr>
          <w:color w:val="000000"/>
          <w:sz w:val="28"/>
          <w:lang w:eastAsia="lv-LV"/>
        </w:rPr>
        <w:t xml:space="preserve">SIA </w:t>
      </w:r>
      <w:proofErr w:type="spellStart"/>
      <w:r w:rsidRPr="00F54E3A">
        <w:rPr>
          <w:color w:val="000000"/>
          <w:sz w:val="28"/>
          <w:lang w:eastAsia="lv-LV"/>
        </w:rPr>
        <w:t>Baltic</w:t>
      </w:r>
      <w:proofErr w:type="spellEnd"/>
      <w:r w:rsidRPr="00F54E3A">
        <w:rPr>
          <w:color w:val="000000"/>
          <w:sz w:val="28"/>
          <w:lang w:eastAsia="lv-LV"/>
        </w:rPr>
        <w:t xml:space="preserve"> </w:t>
      </w:r>
      <w:proofErr w:type="spellStart"/>
      <w:r w:rsidRPr="00F54E3A">
        <w:rPr>
          <w:color w:val="000000"/>
          <w:sz w:val="28"/>
          <w:lang w:eastAsia="lv-LV"/>
        </w:rPr>
        <w:t>Scientific</w:t>
      </w:r>
      <w:proofErr w:type="spellEnd"/>
      <w:r w:rsidRPr="00F54E3A">
        <w:rPr>
          <w:color w:val="000000"/>
          <w:sz w:val="28"/>
          <w:lang w:eastAsia="lv-LV"/>
        </w:rPr>
        <w:t xml:space="preserve"> Instruments ražo specializētos </w:t>
      </w:r>
      <w:r w:rsidRPr="00F54E3A">
        <w:rPr>
          <w:sz w:val="28"/>
        </w:rPr>
        <w:t xml:space="preserve">analizatorus, detektorus, </w:t>
      </w:r>
      <w:proofErr w:type="spellStart"/>
      <w:r w:rsidRPr="00F54E3A">
        <w:rPr>
          <w:sz w:val="28"/>
        </w:rPr>
        <w:t>spektometrus</w:t>
      </w:r>
      <w:proofErr w:type="spellEnd"/>
      <w:r w:rsidRPr="00F54E3A">
        <w:rPr>
          <w:sz w:val="28"/>
        </w:rPr>
        <w:t xml:space="preserve"> un radiācijas kontrolētājus izmanto kosmosa izpētē un uzņēmums ir iesaistījies vairākos ar kosmosa tehnoloģijām saistītos projektos. Uzņēmuma izpildīto pasūtījumu, kas ir saistīti ar kosmosa apguvi laikā no 1995. – 2009.gadam, kopā </w:t>
      </w:r>
      <w:r>
        <w:rPr>
          <w:sz w:val="28"/>
        </w:rPr>
        <w:t>veido</w:t>
      </w:r>
      <w:r w:rsidRPr="00F54E3A">
        <w:rPr>
          <w:sz w:val="28"/>
        </w:rPr>
        <w:t xml:space="preserve"> vairāk nekā </w:t>
      </w:r>
      <w:r w:rsidRPr="00F54E3A">
        <w:rPr>
          <w:rFonts w:eastAsia="Times New Roman"/>
          <w:bCs/>
          <w:sz w:val="28"/>
          <w:lang w:eastAsia="lv-LV"/>
        </w:rPr>
        <w:t xml:space="preserve">900 000 eiro. Vairāki no šiem līgumiem ir bijuši saistīti ar NASA un EKA pasūtījumiem. </w:t>
      </w:r>
    </w:p>
    <w:p w:rsidR="001D26BC" w:rsidRDefault="001D26BC" w:rsidP="001D26BC">
      <w:pPr>
        <w:jc w:val="both"/>
        <w:rPr>
          <w:sz w:val="28"/>
        </w:rPr>
      </w:pPr>
    </w:p>
    <w:p w:rsidR="001D26BC" w:rsidRPr="00902986" w:rsidRDefault="001D26BC" w:rsidP="001D26BC">
      <w:pPr>
        <w:pStyle w:val="Heading3"/>
      </w:pPr>
      <w:bookmarkStart w:id="50" w:name="_Toc277672598"/>
      <w:bookmarkStart w:id="51" w:name="_Toc280366515"/>
      <w:bookmarkStart w:id="52" w:name="_Toc303176595"/>
      <w:r w:rsidRPr="00902986">
        <w:t>3.1. Līdzšinējā integrācija ES un EKA</w:t>
      </w:r>
      <w:bookmarkEnd w:id="50"/>
      <w:bookmarkEnd w:id="51"/>
      <w:bookmarkEnd w:id="52"/>
      <w:r w:rsidRPr="00902986">
        <w:t xml:space="preserve"> </w:t>
      </w:r>
    </w:p>
    <w:p w:rsidR="00D96699" w:rsidRDefault="001D26BC" w:rsidP="001D26BC">
      <w:pPr>
        <w:tabs>
          <w:tab w:val="left" w:pos="993"/>
        </w:tabs>
        <w:autoSpaceDE w:val="0"/>
        <w:autoSpaceDN w:val="0"/>
        <w:adjustRightInd w:val="0"/>
        <w:spacing w:after="120"/>
        <w:ind w:firstLine="720"/>
        <w:jc w:val="both"/>
        <w:rPr>
          <w:color w:val="000000"/>
          <w:sz w:val="28"/>
          <w:lang w:eastAsia="lv-LV"/>
        </w:rPr>
      </w:pPr>
      <w:r w:rsidRPr="00AA6FFB">
        <w:rPr>
          <w:color w:val="000000"/>
          <w:sz w:val="28"/>
          <w:lang w:eastAsia="lv-LV"/>
        </w:rPr>
        <w:t xml:space="preserve">2009.gada 23.jūlijā </w:t>
      </w:r>
      <w:r>
        <w:rPr>
          <w:color w:val="000000"/>
          <w:sz w:val="28"/>
          <w:lang w:eastAsia="lv-LV"/>
        </w:rPr>
        <w:t>i</w:t>
      </w:r>
      <w:r w:rsidRPr="00AA6FFB">
        <w:rPr>
          <w:color w:val="000000"/>
          <w:sz w:val="28"/>
          <w:lang w:eastAsia="lv-LV"/>
        </w:rPr>
        <w:t xml:space="preserve">zglītības un zinātnes ministre </w:t>
      </w:r>
      <w:proofErr w:type="spellStart"/>
      <w:r w:rsidRPr="00AA6FFB">
        <w:rPr>
          <w:color w:val="000000"/>
          <w:sz w:val="28"/>
          <w:lang w:eastAsia="lv-LV"/>
        </w:rPr>
        <w:t>T.Koķe</w:t>
      </w:r>
      <w:proofErr w:type="spellEnd"/>
      <w:r w:rsidRPr="00AA6FFB">
        <w:rPr>
          <w:color w:val="000000"/>
          <w:sz w:val="28"/>
          <w:lang w:eastAsia="lv-LV"/>
        </w:rPr>
        <w:t xml:space="preserve"> </w:t>
      </w:r>
      <w:r>
        <w:rPr>
          <w:color w:val="000000"/>
          <w:sz w:val="28"/>
          <w:lang w:eastAsia="lv-LV"/>
        </w:rPr>
        <w:t xml:space="preserve">Latvijas Republikas valdības vārdā </w:t>
      </w:r>
      <w:r w:rsidRPr="00AA6FFB">
        <w:rPr>
          <w:color w:val="000000"/>
          <w:sz w:val="28"/>
          <w:lang w:eastAsia="lv-LV"/>
        </w:rPr>
        <w:t>parakst</w:t>
      </w:r>
      <w:r>
        <w:rPr>
          <w:color w:val="000000"/>
          <w:sz w:val="28"/>
          <w:lang w:eastAsia="lv-LV"/>
        </w:rPr>
        <w:t>īj</w:t>
      </w:r>
      <w:r w:rsidRPr="00AA6FFB">
        <w:rPr>
          <w:color w:val="000000"/>
          <w:sz w:val="28"/>
          <w:lang w:eastAsia="lv-LV"/>
        </w:rPr>
        <w:t xml:space="preserve">a sadarbības līgumu ar </w:t>
      </w:r>
      <w:r>
        <w:rPr>
          <w:color w:val="000000"/>
          <w:sz w:val="28"/>
          <w:lang w:eastAsia="lv-LV"/>
        </w:rPr>
        <w:t xml:space="preserve">EKA. Līgums pēc būtības paredz </w:t>
      </w:r>
      <w:r w:rsidR="00C427DA">
        <w:rPr>
          <w:color w:val="000000"/>
          <w:sz w:val="28"/>
          <w:lang w:eastAsia="lv-LV"/>
        </w:rPr>
        <w:t>5</w:t>
      </w:r>
      <w:r>
        <w:rPr>
          <w:color w:val="000000"/>
          <w:sz w:val="28"/>
          <w:lang w:eastAsia="lv-LV"/>
        </w:rPr>
        <w:t xml:space="preserve"> gadu ilgu iepazīšanās fāzi -</w:t>
      </w:r>
      <w:r w:rsidRPr="00AA6FFB">
        <w:rPr>
          <w:color w:val="000000"/>
          <w:sz w:val="28"/>
          <w:lang w:eastAsia="lv-LV"/>
        </w:rPr>
        <w:t xml:space="preserve"> attiecīgi EKA novērtējot Latvijas zinātnisko institūciju un komercsabiedrību gatavību iesaistīties EKA kosm</w:t>
      </w:r>
      <w:r>
        <w:rPr>
          <w:color w:val="000000"/>
          <w:sz w:val="28"/>
          <w:lang w:eastAsia="lv-LV"/>
        </w:rPr>
        <w:t>osa</w:t>
      </w:r>
      <w:r w:rsidRPr="00AA6FFB">
        <w:rPr>
          <w:color w:val="000000"/>
          <w:sz w:val="28"/>
          <w:lang w:eastAsia="lv-LV"/>
        </w:rPr>
        <w:t xml:space="preserve"> programmās un Latvijai saprotot E</w:t>
      </w:r>
      <w:r>
        <w:rPr>
          <w:color w:val="000000"/>
          <w:sz w:val="28"/>
          <w:lang w:eastAsia="lv-LV"/>
        </w:rPr>
        <w:t>K</w:t>
      </w:r>
      <w:r w:rsidRPr="00AA6FFB">
        <w:rPr>
          <w:color w:val="000000"/>
          <w:sz w:val="28"/>
          <w:lang w:eastAsia="lv-LV"/>
        </w:rPr>
        <w:t>A darbības principus un uzbūvi.</w:t>
      </w:r>
      <w:r>
        <w:rPr>
          <w:color w:val="000000"/>
          <w:sz w:val="28"/>
          <w:lang w:eastAsia="lv-LV"/>
        </w:rPr>
        <w:t xml:space="preserve"> </w:t>
      </w:r>
      <w:r w:rsidR="00A863A4">
        <w:rPr>
          <w:color w:val="000000"/>
          <w:sz w:val="28"/>
          <w:lang w:eastAsia="lv-LV"/>
        </w:rPr>
        <w:t xml:space="preserve">Jāņem vērā, ka praksē valsts jau pēc 2-3 gadiem var uzsākt sarunas par Eiropas Sadarbības valsts līguma slēgšanu, par to vienojoties ar EKA. </w:t>
      </w:r>
      <w:r>
        <w:rPr>
          <w:color w:val="000000"/>
          <w:sz w:val="28"/>
          <w:lang w:eastAsia="lv-LV"/>
        </w:rPr>
        <w:t xml:space="preserve">Tāpat līgums paredz konsultēt un auditēt </w:t>
      </w:r>
      <w:r w:rsidRPr="00AA6FFB">
        <w:rPr>
          <w:color w:val="000000"/>
          <w:sz w:val="28"/>
          <w:lang w:eastAsia="lv-LV"/>
        </w:rPr>
        <w:t>Latvijas zinātniskās institūcijas un komercsabiedrības</w:t>
      </w:r>
      <w:r>
        <w:rPr>
          <w:color w:val="000000"/>
          <w:sz w:val="28"/>
          <w:lang w:eastAsia="lv-LV"/>
        </w:rPr>
        <w:t xml:space="preserve">, kā arī jau piedalīties </w:t>
      </w:r>
      <w:r w:rsidRPr="00AA6FFB">
        <w:rPr>
          <w:color w:val="000000"/>
          <w:sz w:val="28"/>
          <w:lang w:eastAsia="lv-LV"/>
        </w:rPr>
        <w:t>EKA projektos ar savu finansējumu</w:t>
      </w:r>
      <w:r>
        <w:rPr>
          <w:color w:val="000000"/>
          <w:sz w:val="28"/>
          <w:lang w:eastAsia="lv-LV"/>
        </w:rPr>
        <w:t>. Viena no būtiskākajām aktivitātēm šī līguma ietvaros dod iespēju 1-2 doktorantiem iegūt stipendiju stažējoties kādā no EKA pētniecības centriem. 2011.gadā viens Latvijas jaunais zinātnieks ieguva iespēju</w:t>
      </w:r>
      <w:r w:rsidRPr="00A02ACB">
        <w:t xml:space="preserve"> </w:t>
      </w:r>
      <w:r w:rsidRPr="00A02ACB">
        <w:rPr>
          <w:sz w:val="28"/>
        </w:rPr>
        <w:t>stažēties EKA pētniecības centrā</w:t>
      </w:r>
      <w:r>
        <w:rPr>
          <w:sz w:val="28"/>
        </w:rPr>
        <w:t xml:space="preserve"> - </w:t>
      </w:r>
      <w:r w:rsidRPr="00A02ACB">
        <w:rPr>
          <w:sz w:val="28"/>
        </w:rPr>
        <w:t>ESTEC Mehānikas inženierijas centr</w:t>
      </w:r>
      <w:r>
        <w:rPr>
          <w:sz w:val="28"/>
        </w:rPr>
        <w:t>ā,</w:t>
      </w:r>
      <w:r w:rsidRPr="00A02ACB">
        <w:rPr>
          <w:sz w:val="28"/>
        </w:rPr>
        <w:t xml:space="preserve"> Nīderlandē</w:t>
      </w:r>
      <w:r w:rsidRPr="00A02ACB">
        <w:rPr>
          <w:color w:val="000000"/>
          <w:sz w:val="28"/>
          <w:lang w:eastAsia="lv-LV"/>
        </w:rPr>
        <w:t xml:space="preserve">. </w:t>
      </w:r>
      <w:r w:rsidRPr="00A02ACB">
        <w:rPr>
          <w:sz w:val="28"/>
        </w:rPr>
        <w:t xml:space="preserve">Stipendiju konkursa </w:t>
      </w:r>
      <w:r>
        <w:rPr>
          <w:sz w:val="28"/>
        </w:rPr>
        <w:t>laikā</w:t>
      </w:r>
      <w:r w:rsidRPr="00A02ACB">
        <w:rPr>
          <w:sz w:val="28"/>
        </w:rPr>
        <w:t xml:space="preserve"> IZM sadarbībā ar EKA aicināja pieteikties pretendentus – Latvijas akreditēto augstskolu doktorantus un jaunos zinātniekus, k</w:t>
      </w:r>
      <w:r>
        <w:rPr>
          <w:sz w:val="28"/>
        </w:rPr>
        <w:t>uri</w:t>
      </w:r>
      <w:r w:rsidRPr="00A02ACB">
        <w:rPr>
          <w:sz w:val="28"/>
        </w:rPr>
        <w:t xml:space="preserve"> vēlas stažēties Eiropas Kosmosa aģentūras pētniecības centros 2011.gadā. </w:t>
      </w:r>
    </w:p>
    <w:p w:rsidR="00D96699" w:rsidRPr="00D96699" w:rsidRDefault="00D96699" w:rsidP="00D96699">
      <w:pPr>
        <w:rPr>
          <w:sz w:val="28"/>
          <w:lang w:eastAsia="lv-LV"/>
        </w:rPr>
      </w:pPr>
    </w:p>
    <w:p w:rsidR="00D96699" w:rsidRDefault="00D96699" w:rsidP="00D96699">
      <w:pPr>
        <w:rPr>
          <w:sz w:val="28"/>
          <w:lang w:eastAsia="lv-LV"/>
        </w:rPr>
      </w:pPr>
    </w:p>
    <w:p w:rsidR="001D26BC" w:rsidRPr="00D96699" w:rsidRDefault="001D26BC" w:rsidP="00D96699">
      <w:pPr>
        <w:rPr>
          <w:sz w:val="28"/>
          <w:lang w:eastAsia="lv-LV"/>
        </w:rPr>
      </w:pPr>
    </w:p>
    <w:tbl>
      <w:tblPr>
        <w:tblpPr w:leftFromText="180" w:rightFromText="180" w:vertAnchor="text" w:horzAnchor="margin" w:tblpY="10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8"/>
      </w:tblGrid>
      <w:tr w:rsidR="001D26BC" w:rsidTr="00D96699">
        <w:trPr>
          <w:trHeight w:val="699"/>
        </w:trPr>
        <w:tc>
          <w:tcPr>
            <w:tcW w:w="9287" w:type="dxa"/>
          </w:tcPr>
          <w:p w:rsidR="001D26BC" w:rsidRPr="00E755AB" w:rsidRDefault="001D26BC" w:rsidP="00A1288B">
            <w:pPr>
              <w:pStyle w:val="NoSpacing"/>
              <w:rPr>
                <w:szCs w:val="24"/>
              </w:rPr>
            </w:pPr>
            <w:r w:rsidRPr="00E755AB">
              <w:rPr>
                <w:szCs w:val="24"/>
              </w:rPr>
              <w:t xml:space="preserve">Audita mērķi un ieguvumi: </w:t>
            </w:r>
          </w:p>
          <w:p w:rsidR="001D26BC" w:rsidRPr="00E755AB" w:rsidRDefault="001D26BC" w:rsidP="00A1288B">
            <w:pPr>
              <w:numPr>
                <w:ilvl w:val="0"/>
                <w:numId w:val="2"/>
              </w:numPr>
              <w:tabs>
                <w:tab w:val="left" w:pos="720"/>
                <w:tab w:val="left" w:pos="993"/>
              </w:tabs>
              <w:autoSpaceDE w:val="0"/>
              <w:autoSpaceDN w:val="0"/>
              <w:adjustRightInd w:val="0"/>
              <w:spacing w:after="120"/>
              <w:ind w:left="360" w:hanging="360"/>
              <w:jc w:val="both"/>
              <w:rPr>
                <w:szCs w:val="24"/>
              </w:rPr>
            </w:pPr>
            <w:r>
              <w:rPr>
                <w:szCs w:val="24"/>
              </w:rPr>
              <w:t>a</w:t>
            </w:r>
            <w:r w:rsidRPr="00E755AB">
              <w:rPr>
                <w:szCs w:val="24"/>
              </w:rPr>
              <w:t xml:space="preserve">tbalstīt Latvijas kosmosa stratēģijas izstrādi; </w:t>
            </w:r>
          </w:p>
          <w:p w:rsidR="001D26BC" w:rsidRPr="00E755AB" w:rsidRDefault="001D26BC" w:rsidP="00A1288B">
            <w:pPr>
              <w:numPr>
                <w:ilvl w:val="0"/>
                <w:numId w:val="2"/>
              </w:numPr>
              <w:tabs>
                <w:tab w:val="left" w:pos="720"/>
                <w:tab w:val="left" w:pos="993"/>
              </w:tabs>
              <w:autoSpaceDE w:val="0"/>
              <w:autoSpaceDN w:val="0"/>
              <w:adjustRightInd w:val="0"/>
              <w:spacing w:after="120"/>
              <w:ind w:left="360" w:hanging="360"/>
              <w:jc w:val="both"/>
              <w:rPr>
                <w:szCs w:val="24"/>
              </w:rPr>
            </w:pPr>
            <w:r>
              <w:rPr>
                <w:szCs w:val="24"/>
              </w:rPr>
              <w:lastRenderedPageBreak/>
              <w:t>a</w:t>
            </w:r>
            <w:r w:rsidRPr="00E755AB">
              <w:rPr>
                <w:szCs w:val="24"/>
              </w:rPr>
              <w:t xml:space="preserve">tbalstīt komercsabiedrību, un zinātnisko institūciju datubāzes izveidi, kuras ir ieinteresētas piedalīties kosmosa aktivitātēs; </w:t>
            </w:r>
          </w:p>
          <w:p w:rsidR="001D26BC" w:rsidRPr="00E755AB" w:rsidRDefault="001D26BC" w:rsidP="00A1288B">
            <w:pPr>
              <w:numPr>
                <w:ilvl w:val="0"/>
                <w:numId w:val="2"/>
              </w:numPr>
              <w:tabs>
                <w:tab w:val="left" w:pos="720"/>
                <w:tab w:val="left" w:pos="993"/>
              </w:tabs>
              <w:autoSpaceDE w:val="0"/>
              <w:autoSpaceDN w:val="0"/>
              <w:adjustRightInd w:val="0"/>
              <w:spacing w:after="120"/>
              <w:ind w:left="360" w:hanging="360"/>
              <w:jc w:val="both"/>
              <w:rPr>
                <w:szCs w:val="24"/>
              </w:rPr>
            </w:pPr>
            <w:r>
              <w:rPr>
                <w:szCs w:val="24"/>
              </w:rPr>
              <w:t>a</w:t>
            </w:r>
            <w:r w:rsidRPr="00E755AB">
              <w:rPr>
                <w:szCs w:val="24"/>
              </w:rPr>
              <w:t xml:space="preserve">pzināt eksistējošās kosmosa kompetences Latvijā; </w:t>
            </w:r>
          </w:p>
          <w:p w:rsidR="001D26BC" w:rsidRPr="00E755AB" w:rsidRDefault="001D26BC" w:rsidP="00A1288B">
            <w:pPr>
              <w:numPr>
                <w:ilvl w:val="0"/>
                <w:numId w:val="2"/>
              </w:numPr>
              <w:tabs>
                <w:tab w:val="left" w:pos="720"/>
                <w:tab w:val="left" w:pos="993"/>
              </w:tabs>
              <w:autoSpaceDE w:val="0"/>
              <w:autoSpaceDN w:val="0"/>
              <w:adjustRightInd w:val="0"/>
              <w:spacing w:after="120"/>
              <w:ind w:left="360" w:hanging="360"/>
              <w:jc w:val="both"/>
              <w:rPr>
                <w:szCs w:val="24"/>
              </w:rPr>
            </w:pPr>
            <w:r>
              <w:rPr>
                <w:szCs w:val="24"/>
              </w:rPr>
              <w:t>a</w:t>
            </w:r>
            <w:r w:rsidRPr="00E755AB">
              <w:rPr>
                <w:szCs w:val="24"/>
              </w:rPr>
              <w:t>tvieglot identificēt jomas, kurās Latvijas komercsabiedrībām un zinātniskajiem institūti ļaus efektīvāk piedalīties EKA programmās Sadarbības valsts statusā;</w:t>
            </w:r>
          </w:p>
          <w:p w:rsidR="001D26BC" w:rsidRPr="00E755AB" w:rsidRDefault="001D26BC" w:rsidP="00A1288B">
            <w:pPr>
              <w:numPr>
                <w:ilvl w:val="0"/>
                <w:numId w:val="2"/>
              </w:numPr>
              <w:tabs>
                <w:tab w:val="left" w:pos="720"/>
                <w:tab w:val="left" w:pos="993"/>
              </w:tabs>
              <w:autoSpaceDE w:val="0"/>
              <w:autoSpaceDN w:val="0"/>
              <w:adjustRightInd w:val="0"/>
              <w:spacing w:after="120"/>
              <w:ind w:left="360" w:hanging="360"/>
              <w:jc w:val="both"/>
              <w:rPr>
                <w:szCs w:val="24"/>
              </w:rPr>
            </w:pPr>
            <w:r>
              <w:rPr>
                <w:szCs w:val="24"/>
              </w:rPr>
              <w:t>i</w:t>
            </w:r>
            <w:r w:rsidRPr="00E755AB">
              <w:rPr>
                <w:szCs w:val="24"/>
              </w:rPr>
              <w:t>zskaidrot Latvijas komercsabiedrībām un zinātniskajiem institūtiem to iespējas Eiropas kosmosa sektora tirgū un veidotu nepieciešamo sinerģiju ar E</w:t>
            </w:r>
            <w:r>
              <w:rPr>
                <w:szCs w:val="24"/>
              </w:rPr>
              <w:t>K</w:t>
            </w:r>
            <w:r w:rsidRPr="00E755AB">
              <w:rPr>
                <w:szCs w:val="24"/>
              </w:rPr>
              <w:t xml:space="preserve">A dalībvalstīm,  kosmosa industriju un institūtiem. </w:t>
            </w:r>
          </w:p>
        </w:tc>
      </w:tr>
    </w:tbl>
    <w:p w:rsidR="001D26BC" w:rsidRDefault="001D26BC" w:rsidP="001D26BC">
      <w:pPr>
        <w:pStyle w:val="NoSpacing"/>
        <w:ind w:firstLine="720"/>
        <w:jc w:val="both"/>
        <w:rPr>
          <w:b/>
          <w:sz w:val="28"/>
        </w:rPr>
      </w:pPr>
    </w:p>
    <w:p w:rsidR="001D26BC" w:rsidRDefault="001D26BC" w:rsidP="001D26BC">
      <w:pPr>
        <w:pStyle w:val="Heading4"/>
      </w:pPr>
      <w:r>
        <w:t>3</w:t>
      </w:r>
      <w:r w:rsidRPr="00EE687C">
        <w:t>.</w:t>
      </w:r>
      <w:r>
        <w:t>1.1. EKA institucionālais</w:t>
      </w:r>
      <w:r w:rsidRPr="00706363">
        <w:t xml:space="preserve"> un industri</w:t>
      </w:r>
      <w:r>
        <w:t>ālais potenciālo iespēju audita rezultāti</w:t>
      </w:r>
    </w:p>
    <w:p w:rsidR="001D26BC" w:rsidRPr="00285C24" w:rsidRDefault="001D26BC" w:rsidP="001D26BC"/>
    <w:p w:rsidR="001D26BC" w:rsidRPr="00E755AB" w:rsidRDefault="001D26BC" w:rsidP="001D26BC">
      <w:pPr>
        <w:jc w:val="both"/>
        <w:rPr>
          <w:sz w:val="28"/>
        </w:rPr>
      </w:pPr>
      <w:r>
        <w:rPr>
          <w:b/>
          <w:sz w:val="28"/>
        </w:rPr>
        <w:t xml:space="preserve"> </w:t>
      </w:r>
      <w:r>
        <w:rPr>
          <w:b/>
          <w:sz w:val="28"/>
        </w:rPr>
        <w:tab/>
      </w:r>
      <w:r w:rsidRPr="00E755AB">
        <w:rPr>
          <w:sz w:val="28"/>
        </w:rPr>
        <w:t xml:space="preserve">Lai novērtētu Latvijas gatavību Eiropas sadarbības valsts statusam EKA ietvaros 2010.gada 22.-25.martā IZM </w:t>
      </w:r>
      <w:r>
        <w:rPr>
          <w:sz w:val="28"/>
        </w:rPr>
        <w:t xml:space="preserve">sadarbībā ar </w:t>
      </w:r>
      <w:r w:rsidRPr="00E755AB">
        <w:rPr>
          <w:sz w:val="28"/>
        </w:rPr>
        <w:t xml:space="preserve">EKA </w:t>
      </w:r>
      <w:r>
        <w:rPr>
          <w:sz w:val="28"/>
        </w:rPr>
        <w:t>veica</w:t>
      </w:r>
      <w:r w:rsidRPr="00E755AB">
        <w:rPr>
          <w:sz w:val="28"/>
        </w:rPr>
        <w:t xml:space="preserve"> institucionālo un industriāl</w:t>
      </w:r>
      <w:r>
        <w:rPr>
          <w:sz w:val="28"/>
        </w:rPr>
        <w:t>o</w:t>
      </w:r>
      <w:r w:rsidRPr="00E755AB">
        <w:rPr>
          <w:sz w:val="28"/>
        </w:rPr>
        <w:t xml:space="preserve"> potenciālo iespēju auditu, tiekoties ar </w:t>
      </w:r>
      <w:r w:rsidR="00D96699">
        <w:rPr>
          <w:sz w:val="28"/>
        </w:rPr>
        <w:t xml:space="preserve">Latvijas </w:t>
      </w:r>
      <w:r w:rsidRPr="00E755AB">
        <w:rPr>
          <w:sz w:val="28"/>
        </w:rPr>
        <w:t>kosmosa sektora saistītajām zinātniskajām institūcijām un komercsabiedrībām</w:t>
      </w:r>
      <w:r>
        <w:rPr>
          <w:b/>
          <w:sz w:val="28"/>
        </w:rPr>
        <w:t>.</w:t>
      </w:r>
    </w:p>
    <w:p w:rsidR="001D26BC" w:rsidRDefault="001D26BC" w:rsidP="001D26BC">
      <w:pPr>
        <w:pStyle w:val="ListParagraph"/>
        <w:ind w:left="0" w:firstLine="426"/>
        <w:jc w:val="both"/>
        <w:rPr>
          <w:sz w:val="28"/>
        </w:rPr>
      </w:pPr>
      <w:r>
        <w:rPr>
          <w:b/>
          <w:sz w:val="28"/>
        </w:rPr>
        <w:tab/>
      </w:r>
      <w:r w:rsidRPr="004A463B">
        <w:rPr>
          <w:sz w:val="28"/>
        </w:rPr>
        <w:t>Audit</w:t>
      </w:r>
      <w:r>
        <w:rPr>
          <w:sz w:val="28"/>
        </w:rPr>
        <w:t xml:space="preserve">ā, kas uzskatāms par pirmo ierobežoto LR kapacitātes starptautisko novērtējumu kosmosa tehnoloģiju jomā un EKA iekšējo dokumentu, </w:t>
      </w:r>
      <w:r w:rsidRPr="004A463B">
        <w:rPr>
          <w:sz w:val="28"/>
        </w:rPr>
        <w:t xml:space="preserve">pēc speciālas formas tika </w:t>
      </w:r>
      <w:r>
        <w:rPr>
          <w:sz w:val="28"/>
        </w:rPr>
        <w:t>izvērtēti</w:t>
      </w:r>
      <w:r w:rsidRPr="004A463B">
        <w:rPr>
          <w:sz w:val="28"/>
        </w:rPr>
        <w:t xml:space="preserve"> 11 zinātniskie institūti, 1 tehnoloģiskais parks un 13 </w:t>
      </w:r>
      <w:r>
        <w:rPr>
          <w:sz w:val="28"/>
        </w:rPr>
        <w:t>komercsabiedrības.</w:t>
      </w:r>
      <w:r w:rsidRPr="004A463B">
        <w:rPr>
          <w:sz w:val="28"/>
        </w:rPr>
        <w:t xml:space="preserve"> Audita </w:t>
      </w:r>
      <w:r>
        <w:rPr>
          <w:sz w:val="28"/>
        </w:rPr>
        <w:t>rezultātus EKA eksperti 2010.gada septembra vidū apkopoja ziņojumā, kur viņi novērtēja kosmosa jomas kapacitāti Latvijā un sniedza</w:t>
      </w:r>
      <w:r w:rsidRPr="004A463B">
        <w:rPr>
          <w:sz w:val="28"/>
        </w:rPr>
        <w:t xml:space="preserve"> rekom</w:t>
      </w:r>
      <w:r>
        <w:rPr>
          <w:sz w:val="28"/>
        </w:rPr>
        <w:t>endācijas kosmosa politikas un</w:t>
      </w:r>
      <w:r w:rsidRPr="004A463B">
        <w:rPr>
          <w:sz w:val="28"/>
        </w:rPr>
        <w:t xml:space="preserve"> nacionālās kosmosa stratēģijas izstrādē.</w:t>
      </w:r>
    </w:p>
    <w:p w:rsidR="001D26BC" w:rsidRPr="00054335" w:rsidRDefault="001D26BC" w:rsidP="001D26BC">
      <w:pPr>
        <w:pStyle w:val="ListParagraph"/>
        <w:ind w:left="0" w:firstLine="426"/>
        <w:jc w:val="both"/>
        <w:rPr>
          <w:b/>
          <w:sz w:val="28"/>
        </w:rPr>
      </w:pPr>
      <w:r w:rsidRPr="00054335">
        <w:rPr>
          <w:b/>
          <w:sz w:val="28"/>
        </w:rPr>
        <w:t>EKA ekspertu ko</w:t>
      </w:r>
      <w:r>
        <w:rPr>
          <w:b/>
          <w:sz w:val="28"/>
        </w:rPr>
        <w:t>pējais iespaids par Latviju tika</w:t>
      </w:r>
      <w:r w:rsidRPr="00054335">
        <w:rPr>
          <w:b/>
          <w:sz w:val="28"/>
        </w:rPr>
        <w:t xml:space="preserve"> </w:t>
      </w:r>
      <w:r>
        <w:rPr>
          <w:b/>
          <w:sz w:val="28"/>
        </w:rPr>
        <w:t>novērtēts</w:t>
      </w:r>
      <w:r w:rsidRPr="00054335">
        <w:rPr>
          <w:b/>
          <w:sz w:val="28"/>
        </w:rPr>
        <w:t xml:space="preserve"> </w:t>
      </w:r>
      <w:r>
        <w:rPr>
          <w:b/>
          <w:sz w:val="28"/>
        </w:rPr>
        <w:t xml:space="preserve">pozitīvi </w:t>
      </w:r>
      <w:r w:rsidRPr="00054335">
        <w:rPr>
          <w:b/>
          <w:sz w:val="28"/>
        </w:rPr>
        <w:t xml:space="preserve">kā </w:t>
      </w:r>
      <w:r>
        <w:rPr>
          <w:b/>
          <w:sz w:val="28"/>
        </w:rPr>
        <w:t>„</w:t>
      </w:r>
      <w:r w:rsidRPr="00054335">
        <w:rPr>
          <w:b/>
          <w:sz w:val="28"/>
        </w:rPr>
        <w:t>valsts ar kosmosam</w:t>
      </w:r>
      <w:r>
        <w:rPr>
          <w:b/>
          <w:sz w:val="28"/>
        </w:rPr>
        <w:t xml:space="preserve"> </w:t>
      </w:r>
      <w:r w:rsidRPr="00054335">
        <w:rPr>
          <w:b/>
          <w:sz w:val="28"/>
        </w:rPr>
        <w:t>atbilstoš</w:t>
      </w:r>
      <w:r>
        <w:rPr>
          <w:b/>
          <w:sz w:val="28"/>
        </w:rPr>
        <w:t xml:space="preserve">u </w:t>
      </w:r>
      <w:r w:rsidRPr="00054335">
        <w:rPr>
          <w:b/>
          <w:sz w:val="28"/>
        </w:rPr>
        <w:t>industriālo u</w:t>
      </w:r>
      <w:r>
        <w:rPr>
          <w:b/>
          <w:sz w:val="28"/>
        </w:rPr>
        <w:t>n intelektuālo infrastruktūru un tehniskajām iespējām”</w:t>
      </w:r>
      <w:r w:rsidRPr="00054335">
        <w:rPr>
          <w:b/>
          <w:sz w:val="28"/>
        </w:rPr>
        <w:t>.</w:t>
      </w:r>
      <w:r>
        <w:rPr>
          <w:b/>
          <w:sz w:val="28"/>
        </w:rPr>
        <w:t xml:space="preserve"> </w:t>
      </w:r>
      <w:r>
        <w:rPr>
          <w:sz w:val="28"/>
        </w:rPr>
        <w:t>Respektīvi,</w:t>
      </w:r>
      <w:r w:rsidRPr="00E755AB">
        <w:rPr>
          <w:b/>
          <w:sz w:val="28"/>
        </w:rPr>
        <w:t xml:space="preserve"> </w:t>
      </w:r>
      <w:r>
        <w:rPr>
          <w:b/>
          <w:sz w:val="28"/>
        </w:rPr>
        <w:t>-</w:t>
      </w:r>
      <w:r w:rsidRPr="00054335">
        <w:rPr>
          <w:sz w:val="28"/>
        </w:rPr>
        <w:t xml:space="preserve"> atbilstošs, lai jau ar </w:t>
      </w:r>
      <w:r>
        <w:rPr>
          <w:sz w:val="28"/>
        </w:rPr>
        <w:t>esošajām</w:t>
      </w:r>
      <w:r w:rsidRPr="00054335">
        <w:rPr>
          <w:sz w:val="28"/>
        </w:rPr>
        <w:t xml:space="preserve"> zināšanām un tehniskajām iespējām startētu EKA kosmosa programmās.</w:t>
      </w:r>
      <w:r>
        <w:rPr>
          <w:b/>
          <w:sz w:val="28"/>
        </w:rPr>
        <w:t xml:space="preserve"> </w:t>
      </w:r>
    </w:p>
    <w:p w:rsidR="001D26BC" w:rsidRDefault="001D26BC" w:rsidP="001D26BC">
      <w:pPr>
        <w:pStyle w:val="ListParagraph"/>
        <w:ind w:left="0"/>
        <w:jc w:val="both"/>
        <w:rPr>
          <w:sz w:val="28"/>
        </w:rPr>
      </w:pPr>
      <w:r>
        <w:rPr>
          <w:sz w:val="28"/>
        </w:rPr>
        <w:tab/>
        <w:t>Ziņojumā aptverts novērtējums par auditēto Latvijas zinātnisko institūtu un komercsabiedrību potenciālu sadarboties ar EKA dažādu PECS</w:t>
      </w:r>
      <w:r w:rsidR="00D96699">
        <w:rPr>
          <w:sz w:val="28"/>
        </w:rPr>
        <w:t xml:space="preserve"> (</w:t>
      </w:r>
      <w:proofErr w:type="spellStart"/>
      <w:r w:rsidR="00D96699">
        <w:rPr>
          <w:sz w:val="28"/>
        </w:rPr>
        <w:t>Plan</w:t>
      </w:r>
      <w:proofErr w:type="spellEnd"/>
      <w:r w:rsidR="00D96699">
        <w:rPr>
          <w:sz w:val="28"/>
        </w:rPr>
        <w:t xml:space="preserve"> </w:t>
      </w:r>
      <w:proofErr w:type="spellStart"/>
      <w:r w:rsidR="00D96699">
        <w:rPr>
          <w:sz w:val="28"/>
        </w:rPr>
        <w:t>for</w:t>
      </w:r>
      <w:proofErr w:type="spellEnd"/>
      <w:r w:rsidR="00D96699">
        <w:rPr>
          <w:sz w:val="28"/>
        </w:rPr>
        <w:t xml:space="preserve"> </w:t>
      </w:r>
      <w:proofErr w:type="spellStart"/>
      <w:r w:rsidR="00D96699">
        <w:rPr>
          <w:sz w:val="28"/>
        </w:rPr>
        <w:t>European</w:t>
      </w:r>
      <w:proofErr w:type="spellEnd"/>
      <w:r w:rsidR="00D96699">
        <w:rPr>
          <w:sz w:val="28"/>
        </w:rPr>
        <w:t xml:space="preserve"> </w:t>
      </w:r>
      <w:proofErr w:type="spellStart"/>
      <w:r w:rsidR="00D96699">
        <w:rPr>
          <w:sz w:val="28"/>
        </w:rPr>
        <w:t>Cooperating</w:t>
      </w:r>
      <w:proofErr w:type="spellEnd"/>
      <w:r w:rsidR="00D96699">
        <w:rPr>
          <w:sz w:val="28"/>
        </w:rPr>
        <w:t xml:space="preserve"> </w:t>
      </w:r>
      <w:proofErr w:type="spellStart"/>
      <w:r w:rsidR="00D96699">
        <w:rPr>
          <w:sz w:val="28"/>
        </w:rPr>
        <w:t>State</w:t>
      </w:r>
      <w:proofErr w:type="spellEnd"/>
      <w:r w:rsidR="00D96699">
        <w:rPr>
          <w:sz w:val="28"/>
        </w:rPr>
        <w:t xml:space="preserve">) </w:t>
      </w:r>
      <w:r>
        <w:rPr>
          <w:sz w:val="28"/>
        </w:rPr>
        <w:t xml:space="preserve"> projektu īstenošanai.</w:t>
      </w:r>
    </w:p>
    <w:p w:rsidR="001D26BC" w:rsidRDefault="001D26BC" w:rsidP="001D26BC">
      <w:pPr>
        <w:pStyle w:val="ListParagraph"/>
        <w:spacing w:after="200" w:line="276" w:lineRule="auto"/>
        <w:ind w:left="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8"/>
      </w:tblGrid>
      <w:tr w:rsidR="001D26BC" w:rsidRPr="00657559" w:rsidTr="00A1288B">
        <w:tc>
          <w:tcPr>
            <w:tcW w:w="9713" w:type="dxa"/>
          </w:tcPr>
          <w:p w:rsidR="001D26BC" w:rsidRPr="00E755AB" w:rsidRDefault="001D26BC" w:rsidP="00A1288B">
            <w:pPr>
              <w:pStyle w:val="ListParagraph"/>
              <w:numPr>
                <w:ilvl w:val="0"/>
                <w:numId w:val="7"/>
              </w:numPr>
              <w:spacing w:after="200"/>
              <w:ind w:left="426" w:hanging="426"/>
              <w:jc w:val="both"/>
              <w:rPr>
                <w:szCs w:val="24"/>
              </w:rPr>
            </w:pPr>
            <w:r w:rsidRPr="00E755AB">
              <w:rPr>
                <w:szCs w:val="24"/>
              </w:rPr>
              <w:t xml:space="preserve">LU, Astronomijas institūtam un Elektronikas un datorzinātņu institūtam ir iespējas un potenciāls darboties Starptautiskajā lāzeru tālmēra sistēmā. </w:t>
            </w:r>
          </w:p>
          <w:p w:rsidR="001D26BC" w:rsidRPr="00E755AB" w:rsidRDefault="001D26BC" w:rsidP="00A1288B">
            <w:pPr>
              <w:pStyle w:val="ListParagraph"/>
              <w:numPr>
                <w:ilvl w:val="0"/>
                <w:numId w:val="7"/>
              </w:numPr>
              <w:spacing w:after="200"/>
              <w:ind w:left="426" w:hanging="426"/>
              <w:jc w:val="both"/>
              <w:rPr>
                <w:szCs w:val="24"/>
              </w:rPr>
            </w:pPr>
            <w:r w:rsidRPr="00E755AB">
              <w:rPr>
                <w:szCs w:val="24"/>
              </w:rPr>
              <w:t xml:space="preserve">Ģeodēzijas un </w:t>
            </w:r>
            <w:proofErr w:type="spellStart"/>
            <w:r w:rsidRPr="00E755AB">
              <w:rPr>
                <w:szCs w:val="24"/>
              </w:rPr>
              <w:t>ģeoinformātikas</w:t>
            </w:r>
            <w:proofErr w:type="spellEnd"/>
            <w:r w:rsidRPr="00E755AB">
              <w:rPr>
                <w:szCs w:val="24"/>
              </w:rPr>
              <w:t xml:space="preserve"> institūts var iesaistīties EKA pavadoņa GOCE datu izmantošanā. </w:t>
            </w:r>
          </w:p>
          <w:p w:rsidR="001D26BC" w:rsidRPr="00E755AB" w:rsidRDefault="001D26BC" w:rsidP="00A1288B">
            <w:pPr>
              <w:pStyle w:val="ListParagraph"/>
              <w:numPr>
                <w:ilvl w:val="0"/>
                <w:numId w:val="7"/>
              </w:numPr>
              <w:spacing w:after="200"/>
              <w:ind w:left="426" w:hanging="426"/>
              <w:jc w:val="both"/>
              <w:rPr>
                <w:szCs w:val="24"/>
              </w:rPr>
            </w:pPr>
            <w:r w:rsidRPr="00E755AB">
              <w:rPr>
                <w:szCs w:val="24"/>
              </w:rPr>
              <w:t xml:space="preserve">SIA „Mežu īpašnieku konsultatīvais centrs” var tikt iesaistīts GMES pakalpojumu sniegšanā, kuri saistīti ar mežsaimniecību. </w:t>
            </w:r>
          </w:p>
          <w:p w:rsidR="001D26BC" w:rsidRPr="00E755AB" w:rsidRDefault="001D26BC" w:rsidP="00A1288B">
            <w:pPr>
              <w:pStyle w:val="ListParagraph"/>
              <w:numPr>
                <w:ilvl w:val="0"/>
                <w:numId w:val="7"/>
              </w:numPr>
              <w:spacing w:after="200"/>
              <w:ind w:left="426" w:hanging="426"/>
              <w:jc w:val="both"/>
              <w:rPr>
                <w:szCs w:val="24"/>
              </w:rPr>
            </w:pPr>
            <w:r w:rsidRPr="00E755AB">
              <w:rPr>
                <w:szCs w:val="24"/>
              </w:rPr>
              <w:t xml:space="preserve">SIA </w:t>
            </w:r>
            <w:proofErr w:type="spellStart"/>
            <w:r w:rsidRPr="00E755AB">
              <w:rPr>
                <w:szCs w:val="24"/>
              </w:rPr>
              <w:t>Baltic</w:t>
            </w:r>
            <w:proofErr w:type="spellEnd"/>
            <w:r w:rsidRPr="00E755AB">
              <w:rPr>
                <w:szCs w:val="24"/>
              </w:rPr>
              <w:t xml:space="preserve"> </w:t>
            </w:r>
            <w:proofErr w:type="spellStart"/>
            <w:r w:rsidRPr="00E755AB">
              <w:rPr>
                <w:szCs w:val="24"/>
              </w:rPr>
              <w:t>Scientific</w:t>
            </w:r>
            <w:proofErr w:type="spellEnd"/>
            <w:r w:rsidRPr="00E755AB">
              <w:rPr>
                <w:szCs w:val="24"/>
              </w:rPr>
              <w:t xml:space="preserve"> Instruments</w:t>
            </w:r>
            <w:r w:rsidRPr="00E755AB" w:rsidDel="006C0BC9">
              <w:rPr>
                <w:szCs w:val="24"/>
              </w:rPr>
              <w:t xml:space="preserve"> </w:t>
            </w:r>
            <w:r w:rsidRPr="00E755AB">
              <w:rPr>
                <w:szCs w:val="24"/>
              </w:rPr>
              <w:t>var tikt turpmāk iesaistīts specializēto detektoru ražošanā.</w:t>
            </w:r>
          </w:p>
          <w:p w:rsidR="001D26BC" w:rsidRPr="00E755AB" w:rsidRDefault="001D26BC" w:rsidP="00A1288B">
            <w:pPr>
              <w:pStyle w:val="ListParagraph"/>
              <w:numPr>
                <w:ilvl w:val="0"/>
                <w:numId w:val="7"/>
              </w:numPr>
              <w:spacing w:after="200"/>
              <w:ind w:left="426" w:hanging="426"/>
              <w:jc w:val="both"/>
              <w:rPr>
                <w:szCs w:val="24"/>
              </w:rPr>
            </w:pPr>
            <w:r w:rsidRPr="00E755AB">
              <w:rPr>
                <w:szCs w:val="24"/>
              </w:rPr>
              <w:t xml:space="preserve">Ventspils Starptautiskais radioastronomijas centrs var tik iesaistīts pētnieciskās aktivitātēs, kas saistītas </w:t>
            </w:r>
            <w:r>
              <w:rPr>
                <w:szCs w:val="24"/>
              </w:rPr>
              <w:t xml:space="preserve">ar ES kosmosa drošības programmu (kosmisko atlūzu un </w:t>
            </w:r>
            <w:proofErr w:type="spellStart"/>
            <w:r>
              <w:rPr>
                <w:szCs w:val="24"/>
              </w:rPr>
              <w:t>interferometrijas</w:t>
            </w:r>
            <w:proofErr w:type="spellEnd"/>
            <w:r>
              <w:rPr>
                <w:szCs w:val="24"/>
              </w:rPr>
              <w:t xml:space="preserve"> novērojumu programmās), GMES, </w:t>
            </w:r>
            <w:proofErr w:type="spellStart"/>
            <w:r>
              <w:rPr>
                <w:szCs w:val="24"/>
              </w:rPr>
              <w:t>satelītnavigācijas</w:t>
            </w:r>
            <w:proofErr w:type="spellEnd"/>
            <w:r>
              <w:rPr>
                <w:szCs w:val="24"/>
              </w:rPr>
              <w:t xml:space="preserve"> un </w:t>
            </w:r>
            <w:r>
              <w:rPr>
                <w:szCs w:val="24"/>
              </w:rPr>
              <w:lastRenderedPageBreak/>
              <w:t xml:space="preserve">ģeodēzijas pētījumiem </w:t>
            </w:r>
            <w:r w:rsidRPr="00E755AB">
              <w:rPr>
                <w:szCs w:val="24"/>
              </w:rPr>
              <w:t xml:space="preserve">EKA. </w:t>
            </w:r>
          </w:p>
          <w:p w:rsidR="001D26BC" w:rsidRPr="00E755AB" w:rsidRDefault="001D26BC" w:rsidP="00A1288B">
            <w:pPr>
              <w:pStyle w:val="ListParagraph"/>
              <w:numPr>
                <w:ilvl w:val="0"/>
                <w:numId w:val="7"/>
              </w:numPr>
              <w:spacing w:after="200"/>
              <w:ind w:left="426" w:hanging="426"/>
              <w:jc w:val="both"/>
              <w:rPr>
                <w:szCs w:val="24"/>
              </w:rPr>
            </w:pPr>
            <w:r w:rsidRPr="00E755AB">
              <w:rPr>
                <w:szCs w:val="24"/>
              </w:rPr>
              <w:t xml:space="preserve">Latvijas Valsts koksnes ķīmijas institūta Polimēru laboratorija var tikt iesaistīta pētījumu veikšanā  par izolācijas materiālu izmantošanu augstās temperatūrās EKA raķetēm. </w:t>
            </w:r>
          </w:p>
          <w:p w:rsidR="001D26BC" w:rsidRPr="00657559" w:rsidRDefault="001D26BC" w:rsidP="00A1288B">
            <w:pPr>
              <w:pStyle w:val="ListParagraph"/>
              <w:numPr>
                <w:ilvl w:val="0"/>
                <w:numId w:val="7"/>
              </w:numPr>
              <w:spacing w:after="200"/>
              <w:ind w:left="426" w:hanging="426"/>
              <w:jc w:val="both"/>
              <w:rPr>
                <w:sz w:val="28"/>
              </w:rPr>
            </w:pPr>
            <w:r w:rsidRPr="00E755AB">
              <w:rPr>
                <w:szCs w:val="24"/>
              </w:rPr>
              <w:t xml:space="preserve">LU, Fizikas institūts var izmantot tās augsto ekspertīzi, lai atbalstītu pētniecību </w:t>
            </w:r>
            <w:proofErr w:type="spellStart"/>
            <w:r w:rsidRPr="00E755AB">
              <w:rPr>
                <w:szCs w:val="24"/>
              </w:rPr>
              <w:t>magnētikas</w:t>
            </w:r>
            <w:proofErr w:type="spellEnd"/>
            <w:r w:rsidRPr="00E755AB">
              <w:rPr>
                <w:szCs w:val="24"/>
              </w:rPr>
              <w:t xml:space="preserve"> jomā.</w:t>
            </w:r>
          </w:p>
        </w:tc>
      </w:tr>
    </w:tbl>
    <w:p w:rsidR="001D26BC" w:rsidRDefault="001D26BC" w:rsidP="001D26BC">
      <w:pPr>
        <w:pStyle w:val="ListParagraph"/>
        <w:spacing w:after="200" w:line="276" w:lineRule="auto"/>
        <w:ind w:left="0"/>
        <w:jc w:val="both"/>
        <w:rPr>
          <w:sz w:val="28"/>
        </w:rPr>
      </w:pPr>
    </w:p>
    <w:p w:rsidR="001D26BC" w:rsidRDefault="001D26BC" w:rsidP="001D26BC">
      <w:pPr>
        <w:pStyle w:val="ListParagraph"/>
        <w:ind w:left="0" w:firstLine="720"/>
        <w:jc w:val="both"/>
        <w:rPr>
          <w:sz w:val="28"/>
        </w:rPr>
      </w:pPr>
      <w:r>
        <w:rPr>
          <w:sz w:val="28"/>
        </w:rPr>
        <w:t>Kopumā EKA sagatavotais ziņojums par esošo Latvijas kosmosa pārvaldību, kā arī zinātnisko institūciju un komercsabiedrību zināšanām par EKA kosmosa programmām vērtējams kā pietiekami kritisks. Vienlaikus EKA norāda uz vairākām būtiskām jomām, t.sk. vājajām vietām, kurās jāpanāk būtiskāki uzlabojumi un progress.</w:t>
      </w:r>
    </w:p>
    <w:p w:rsidR="001D26BC" w:rsidRDefault="001D26BC" w:rsidP="001D26BC">
      <w:pPr>
        <w:pStyle w:val="ListParagraph"/>
        <w:ind w:left="0" w:firstLine="720"/>
        <w:jc w:val="both"/>
        <w:rPr>
          <w:sz w:val="28"/>
        </w:rPr>
      </w:pPr>
      <w:r>
        <w:rPr>
          <w:sz w:val="28"/>
        </w:rPr>
        <w:t>EKA ekspertu rekomendācijas un secinājumi: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8"/>
      </w:tblGrid>
      <w:tr w:rsidR="001D26BC" w:rsidRPr="005A1403" w:rsidTr="00A1288B">
        <w:tc>
          <w:tcPr>
            <w:tcW w:w="9713" w:type="dxa"/>
          </w:tcPr>
          <w:p w:rsidR="001D26BC" w:rsidRPr="00E755AB" w:rsidRDefault="001D26BC" w:rsidP="00A1288B">
            <w:pPr>
              <w:pStyle w:val="ListParagraph"/>
              <w:spacing w:after="200"/>
              <w:ind w:left="0"/>
              <w:jc w:val="both"/>
              <w:rPr>
                <w:b/>
                <w:szCs w:val="24"/>
              </w:rPr>
            </w:pPr>
            <w:r w:rsidRPr="00E755AB">
              <w:rPr>
                <w:b/>
                <w:szCs w:val="24"/>
              </w:rPr>
              <w:t xml:space="preserve">Secinājumi </w:t>
            </w:r>
          </w:p>
          <w:p w:rsidR="001D26BC" w:rsidRPr="00E755AB" w:rsidRDefault="001D26BC" w:rsidP="00A1288B">
            <w:pPr>
              <w:pStyle w:val="ListParagraph"/>
              <w:numPr>
                <w:ilvl w:val="0"/>
                <w:numId w:val="5"/>
              </w:numPr>
              <w:spacing w:after="200"/>
              <w:ind w:left="426" w:hanging="426"/>
              <w:jc w:val="both"/>
              <w:rPr>
                <w:szCs w:val="24"/>
              </w:rPr>
            </w:pPr>
            <w:r w:rsidRPr="00E755AB">
              <w:rPr>
                <w:szCs w:val="24"/>
              </w:rPr>
              <w:t>Latvijā trūkst institūcijas, kas nodarbotos ar kosmosa jautājumu pārvaldību. Šobrīd šis funkcijas ar ierobežotiem cilvēkresursu un budžeta līdzekļiem veic IZM Zinātnes, tehnoloģiju un inovāciju departaments.</w:t>
            </w:r>
          </w:p>
          <w:p w:rsidR="001D26BC" w:rsidRPr="00E755AB" w:rsidRDefault="001D26BC" w:rsidP="00A1288B">
            <w:pPr>
              <w:pStyle w:val="ListParagraph"/>
              <w:numPr>
                <w:ilvl w:val="0"/>
                <w:numId w:val="5"/>
              </w:numPr>
              <w:spacing w:after="200"/>
              <w:ind w:left="426" w:hanging="426"/>
              <w:jc w:val="both"/>
              <w:rPr>
                <w:szCs w:val="24"/>
              </w:rPr>
            </w:pPr>
            <w:r w:rsidRPr="00E755AB">
              <w:rPr>
                <w:szCs w:val="24"/>
              </w:rPr>
              <w:t>Latvijas komercsabiedrību un zinātnisko institūciju zināšanas par EKA izvēles programmām ir ierobežotas vai pat neeksistējošās.</w:t>
            </w:r>
          </w:p>
          <w:p w:rsidR="001D26BC" w:rsidRPr="00E755AB" w:rsidRDefault="001D26BC" w:rsidP="00A1288B">
            <w:pPr>
              <w:pStyle w:val="ListParagraph"/>
              <w:spacing w:after="200"/>
              <w:ind w:left="0"/>
              <w:jc w:val="both"/>
              <w:rPr>
                <w:b/>
                <w:szCs w:val="24"/>
              </w:rPr>
            </w:pPr>
            <w:r w:rsidRPr="00E755AB">
              <w:rPr>
                <w:b/>
                <w:szCs w:val="24"/>
              </w:rPr>
              <w:t>Rekomendācijas</w:t>
            </w:r>
          </w:p>
          <w:p w:rsidR="001D26BC" w:rsidRPr="00E755AB" w:rsidRDefault="001D26BC" w:rsidP="00A1288B">
            <w:pPr>
              <w:pStyle w:val="ListParagraph"/>
              <w:numPr>
                <w:ilvl w:val="0"/>
                <w:numId w:val="9"/>
              </w:numPr>
              <w:spacing w:after="200"/>
              <w:ind w:left="426" w:hanging="426"/>
              <w:jc w:val="both"/>
              <w:rPr>
                <w:b/>
                <w:szCs w:val="24"/>
              </w:rPr>
            </w:pPr>
            <w:r w:rsidRPr="00E755AB">
              <w:rPr>
                <w:szCs w:val="24"/>
              </w:rPr>
              <w:t>EKA ietvaros jānodrošina plūstoša pāreja no Sadarbības līguma uz Eiropas PECS sadarbības valsti.</w:t>
            </w:r>
          </w:p>
          <w:p w:rsidR="001D26BC" w:rsidRPr="00E755AB" w:rsidRDefault="001D26BC" w:rsidP="00A1288B">
            <w:pPr>
              <w:pStyle w:val="ListParagraph"/>
              <w:numPr>
                <w:ilvl w:val="0"/>
                <w:numId w:val="8"/>
              </w:numPr>
              <w:spacing w:after="200"/>
              <w:ind w:left="426" w:hanging="426"/>
              <w:jc w:val="both"/>
              <w:rPr>
                <w:szCs w:val="24"/>
              </w:rPr>
            </w:pPr>
            <w:r w:rsidRPr="00E755AB">
              <w:rPr>
                <w:szCs w:val="24"/>
              </w:rPr>
              <w:t xml:space="preserve">Latvijas dalība PECS ir īpaši nozīmīga, ja tā vēlas  nākotnē kļūt par pilntiesīgu EKA dalībvalsti. </w:t>
            </w:r>
          </w:p>
          <w:p w:rsidR="001D26BC" w:rsidRPr="00E755AB" w:rsidRDefault="001D26BC" w:rsidP="00A1288B">
            <w:pPr>
              <w:pStyle w:val="ListParagraph"/>
              <w:numPr>
                <w:ilvl w:val="0"/>
                <w:numId w:val="9"/>
              </w:numPr>
              <w:spacing w:after="200"/>
              <w:ind w:left="426" w:hanging="426"/>
              <w:jc w:val="both"/>
              <w:rPr>
                <w:szCs w:val="24"/>
              </w:rPr>
            </w:pPr>
            <w:r w:rsidRPr="00E755AB">
              <w:rPr>
                <w:szCs w:val="24"/>
              </w:rPr>
              <w:t xml:space="preserve">Ņemot vērā, ka paredzētais valsts finansējuma PECS sastāda ap 1 milj. EUR gadā, nodrošināt, ka cilvēkresursu attīstībai būtu pieejami ap 3-5% no PECS ieguldījuma, novirzot tos izglītības aktivitātēm, kas saistītas ar studentu satelītu izstrādi, jauno zinātnieku un inženieru sagatavošanu </w:t>
            </w:r>
            <w:proofErr w:type="spellStart"/>
            <w:r w:rsidRPr="00E755AB">
              <w:rPr>
                <w:szCs w:val="24"/>
              </w:rPr>
              <w:t>utml</w:t>
            </w:r>
            <w:proofErr w:type="spellEnd"/>
            <w:r w:rsidRPr="00E755AB">
              <w:rPr>
                <w:szCs w:val="24"/>
              </w:rPr>
              <w:t xml:space="preserve">. </w:t>
            </w:r>
          </w:p>
          <w:p w:rsidR="001D26BC" w:rsidRPr="00E755AB" w:rsidRDefault="001D26BC" w:rsidP="00A1288B">
            <w:pPr>
              <w:pStyle w:val="ListParagraph"/>
              <w:numPr>
                <w:ilvl w:val="0"/>
                <w:numId w:val="9"/>
              </w:numPr>
              <w:spacing w:after="200"/>
              <w:ind w:left="426" w:hanging="426"/>
              <w:jc w:val="both"/>
              <w:rPr>
                <w:szCs w:val="24"/>
              </w:rPr>
            </w:pPr>
            <w:r w:rsidRPr="00E755AB">
              <w:rPr>
                <w:szCs w:val="24"/>
              </w:rPr>
              <w:t xml:space="preserve">Lai nodrošinātu, ka Latvijas kosmosa sektora prioritātes tiktu īstenotas 25-30% no PECS valsts finansējuma vajadzētu izmantot, lai izstrādātu Latvijas kosmosa programmu, kas ir nepieciešams, lai nodrošinātu produktu un tehnoloģiju  koordināciju un harmonizāciju starp EKA dalībvalstīm un optimizētu resursu izlietošanu. </w:t>
            </w:r>
          </w:p>
          <w:p w:rsidR="001D26BC" w:rsidRPr="00E755AB" w:rsidRDefault="001D26BC" w:rsidP="00A1288B">
            <w:pPr>
              <w:pStyle w:val="ListParagraph"/>
              <w:numPr>
                <w:ilvl w:val="0"/>
                <w:numId w:val="9"/>
              </w:numPr>
              <w:spacing w:after="200"/>
              <w:ind w:left="426" w:hanging="426"/>
              <w:jc w:val="both"/>
              <w:rPr>
                <w:szCs w:val="24"/>
              </w:rPr>
            </w:pPr>
            <w:r w:rsidRPr="00E755AB">
              <w:rPr>
                <w:szCs w:val="24"/>
              </w:rPr>
              <w:t xml:space="preserve">5 gadu periodā jāiegūst EKA sadarbības valsts statuss. </w:t>
            </w:r>
          </w:p>
          <w:p w:rsidR="001D26BC" w:rsidRPr="00763B93" w:rsidRDefault="001D26BC" w:rsidP="00A1288B">
            <w:pPr>
              <w:pStyle w:val="ListParagraph"/>
              <w:numPr>
                <w:ilvl w:val="0"/>
                <w:numId w:val="9"/>
              </w:numPr>
              <w:spacing w:after="200"/>
              <w:ind w:left="426" w:hanging="426"/>
              <w:jc w:val="both"/>
              <w:rPr>
                <w:sz w:val="28"/>
              </w:rPr>
            </w:pPr>
            <w:r w:rsidRPr="00E755AB">
              <w:rPr>
                <w:szCs w:val="24"/>
              </w:rPr>
              <w:t>Industrijai un zinātniskajiem institūtiem, kas tiks identificēti šajā 5 gadu periodā PECS projektiem vajadzētu virzīties no zemas tehnoloģiskās gatavības pakāpes (</w:t>
            </w:r>
            <w:proofErr w:type="spellStart"/>
            <w:r w:rsidRPr="00E755AB">
              <w:rPr>
                <w:i/>
                <w:szCs w:val="24"/>
              </w:rPr>
              <w:t>Technological</w:t>
            </w:r>
            <w:proofErr w:type="spellEnd"/>
            <w:r w:rsidRPr="00E755AB">
              <w:rPr>
                <w:i/>
                <w:szCs w:val="24"/>
              </w:rPr>
              <w:t xml:space="preserve"> </w:t>
            </w:r>
            <w:proofErr w:type="spellStart"/>
            <w:r w:rsidRPr="00E755AB">
              <w:rPr>
                <w:i/>
                <w:szCs w:val="24"/>
              </w:rPr>
              <w:t>readiness</w:t>
            </w:r>
            <w:proofErr w:type="spellEnd"/>
            <w:r w:rsidRPr="00E755AB">
              <w:rPr>
                <w:i/>
                <w:szCs w:val="24"/>
              </w:rPr>
              <w:t xml:space="preserve"> </w:t>
            </w:r>
            <w:proofErr w:type="spellStart"/>
            <w:r w:rsidRPr="00E755AB">
              <w:rPr>
                <w:i/>
                <w:szCs w:val="24"/>
              </w:rPr>
              <w:t>level</w:t>
            </w:r>
            <w:proofErr w:type="spellEnd"/>
            <w:r w:rsidRPr="00E755AB">
              <w:rPr>
                <w:szCs w:val="24"/>
              </w:rPr>
              <w:t>) uz augstāku TRL, lai nodrošinātu veiksmīgu pāreju uz EKA dalībvalsts statusu.</w:t>
            </w:r>
            <w:r>
              <w:rPr>
                <w:sz w:val="28"/>
              </w:rPr>
              <w:t xml:space="preserve"> </w:t>
            </w:r>
          </w:p>
        </w:tc>
      </w:tr>
    </w:tbl>
    <w:p w:rsidR="001D26BC" w:rsidRDefault="001D26BC" w:rsidP="001D26BC">
      <w:pPr>
        <w:pStyle w:val="ListParagraph"/>
        <w:spacing w:after="200" w:line="276" w:lineRule="auto"/>
        <w:ind w:left="0"/>
        <w:jc w:val="both"/>
        <w:rPr>
          <w:sz w:val="28"/>
        </w:rPr>
      </w:pPr>
    </w:p>
    <w:p w:rsidR="001D26BC" w:rsidRPr="00902986" w:rsidRDefault="001D26BC" w:rsidP="00AA6CAF">
      <w:pPr>
        <w:pStyle w:val="Heading3"/>
        <w:rPr>
          <w:color w:val="000000"/>
          <w:lang w:eastAsia="lv-LV"/>
        </w:rPr>
      </w:pPr>
      <w:bookmarkStart w:id="53" w:name="_Toc280366516"/>
      <w:bookmarkStart w:id="54" w:name="_Toc303176596"/>
      <w:r w:rsidRPr="00902986">
        <w:rPr>
          <w:color w:val="000000"/>
          <w:lang w:eastAsia="lv-LV"/>
        </w:rPr>
        <w:t>3</w:t>
      </w:r>
      <w:r w:rsidRPr="00902986">
        <w:rPr>
          <w:rFonts w:eastAsia="Calibri"/>
        </w:rPr>
        <w:t>.2.Valsts Kosmosa tehnoloģiju attīstības darba grupa</w:t>
      </w:r>
      <w:bookmarkEnd w:id="53"/>
      <w:bookmarkEnd w:id="54"/>
    </w:p>
    <w:p w:rsidR="001D26BC" w:rsidRDefault="001D26BC" w:rsidP="001D26BC">
      <w:pPr>
        <w:autoSpaceDE w:val="0"/>
        <w:autoSpaceDN w:val="0"/>
        <w:adjustRightInd w:val="0"/>
        <w:spacing w:after="240"/>
        <w:ind w:firstLine="720"/>
        <w:jc w:val="both"/>
        <w:rPr>
          <w:color w:val="000000"/>
          <w:sz w:val="28"/>
          <w:lang w:eastAsia="lv-LV"/>
        </w:rPr>
      </w:pPr>
      <w:r>
        <w:rPr>
          <w:color w:val="000000"/>
          <w:sz w:val="28"/>
          <w:lang w:eastAsia="lv-LV"/>
        </w:rPr>
        <w:t>2009.gad</w:t>
      </w:r>
      <w:r w:rsidRPr="00AA6FFB">
        <w:rPr>
          <w:color w:val="000000"/>
          <w:sz w:val="28"/>
          <w:lang w:eastAsia="lv-LV"/>
        </w:rPr>
        <w:t xml:space="preserve">a nogalē tika izveidota </w:t>
      </w:r>
      <w:r>
        <w:rPr>
          <w:color w:val="000000"/>
          <w:sz w:val="28"/>
          <w:lang w:eastAsia="lv-LV"/>
        </w:rPr>
        <w:t xml:space="preserve">konsultatīva institūcija – </w:t>
      </w:r>
      <w:r w:rsidRPr="00AA6FFB">
        <w:rPr>
          <w:color w:val="000000"/>
          <w:sz w:val="28"/>
          <w:lang w:eastAsia="lv-LV"/>
        </w:rPr>
        <w:t>Valsts kosmosa tehnoloģiju attīstības darba grupa</w:t>
      </w:r>
      <w:r>
        <w:rPr>
          <w:color w:val="000000"/>
          <w:sz w:val="28"/>
          <w:lang w:eastAsia="lv-LV"/>
        </w:rPr>
        <w:t xml:space="preserve"> (turpmāk – darba grupa)</w:t>
      </w:r>
      <w:r w:rsidRPr="00AA6FFB">
        <w:rPr>
          <w:color w:val="000000"/>
          <w:sz w:val="28"/>
          <w:lang w:eastAsia="lv-LV"/>
        </w:rPr>
        <w:t>, kura</w:t>
      </w:r>
      <w:r>
        <w:rPr>
          <w:color w:val="000000"/>
          <w:sz w:val="28"/>
          <w:lang w:eastAsia="lv-LV"/>
        </w:rPr>
        <w:t xml:space="preserve"> apvieno</w:t>
      </w:r>
      <w:r w:rsidRPr="00AA6FFB">
        <w:rPr>
          <w:color w:val="000000"/>
          <w:sz w:val="28"/>
          <w:lang w:eastAsia="lv-LV"/>
        </w:rPr>
        <w:t xml:space="preserve"> </w:t>
      </w:r>
      <w:r>
        <w:rPr>
          <w:color w:val="000000"/>
          <w:sz w:val="28"/>
          <w:lang w:eastAsia="lv-LV"/>
        </w:rPr>
        <w:t xml:space="preserve">kompetentos </w:t>
      </w:r>
      <w:r w:rsidRPr="00AA6FFB">
        <w:rPr>
          <w:color w:val="000000"/>
          <w:sz w:val="28"/>
          <w:lang w:eastAsia="lv-LV"/>
        </w:rPr>
        <w:t xml:space="preserve">valsts iestāžu, zinātnisko institūciju un </w:t>
      </w:r>
      <w:r w:rsidRPr="00AA6FFB">
        <w:rPr>
          <w:color w:val="000000"/>
          <w:sz w:val="28"/>
          <w:lang w:eastAsia="lv-LV"/>
        </w:rPr>
        <w:lastRenderedPageBreak/>
        <w:t>komercsabiedrību pārstāvjus</w:t>
      </w:r>
      <w:r>
        <w:rPr>
          <w:color w:val="000000"/>
          <w:sz w:val="28"/>
          <w:lang w:eastAsia="lv-LV"/>
        </w:rPr>
        <w:t xml:space="preserve"> ar mērķi</w:t>
      </w:r>
      <w:r w:rsidRPr="00AA6FFB">
        <w:rPr>
          <w:color w:val="000000"/>
          <w:sz w:val="28"/>
          <w:lang w:eastAsia="lv-LV"/>
        </w:rPr>
        <w:t xml:space="preserve"> veicināt valsts nacionālās kosmosa politikas izstrādi un tās īstenošanu</w:t>
      </w:r>
      <w:r>
        <w:rPr>
          <w:color w:val="000000"/>
          <w:sz w:val="28"/>
          <w:lang w:eastAsia="lv-LV"/>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8"/>
      </w:tblGrid>
      <w:tr w:rsidR="001D26BC" w:rsidRPr="005A1403" w:rsidTr="00A1288B">
        <w:tc>
          <w:tcPr>
            <w:tcW w:w="9713" w:type="dxa"/>
          </w:tcPr>
          <w:p w:rsidR="001D26BC" w:rsidRPr="00E755AB" w:rsidRDefault="001D26BC" w:rsidP="00A1288B">
            <w:pPr>
              <w:autoSpaceDE w:val="0"/>
              <w:autoSpaceDN w:val="0"/>
              <w:adjustRightInd w:val="0"/>
              <w:spacing w:after="240"/>
              <w:ind w:firstLine="720"/>
              <w:jc w:val="both"/>
              <w:rPr>
                <w:color w:val="000000"/>
                <w:szCs w:val="24"/>
                <w:lang w:eastAsia="lv-LV"/>
              </w:rPr>
            </w:pPr>
            <w:r w:rsidRPr="00E755AB">
              <w:rPr>
                <w:color w:val="000000"/>
                <w:szCs w:val="24"/>
                <w:lang w:eastAsia="lv-LV"/>
              </w:rPr>
              <w:t>Darba grupas funkcijas:</w:t>
            </w:r>
          </w:p>
          <w:p w:rsidR="001D26BC" w:rsidRPr="00E755AB" w:rsidRDefault="001D26BC" w:rsidP="00A1288B">
            <w:pPr>
              <w:numPr>
                <w:ilvl w:val="0"/>
                <w:numId w:val="3"/>
              </w:numPr>
              <w:autoSpaceDE w:val="0"/>
              <w:autoSpaceDN w:val="0"/>
              <w:adjustRightInd w:val="0"/>
              <w:spacing w:after="240"/>
              <w:jc w:val="both"/>
              <w:rPr>
                <w:color w:val="000000"/>
                <w:szCs w:val="24"/>
                <w:lang w:eastAsia="lv-LV"/>
              </w:rPr>
            </w:pPr>
            <w:r w:rsidRPr="00E755AB">
              <w:rPr>
                <w:color w:val="000000"/>
                <w:szCs w:val="24"/>
                <w:lang w:eastAsia="lv-LV"/>
              </w:rPr>
              <w:t>sekmēt Latvijas Republikas valdības un Eiropas kosmosa aģentūras līgumu par sadarbību kosmosa politikas jomā miermīlīgiem mērķiem īstenošanu.</w:t>
            </w:r>
          </w:p>
          <w:p w:rsidR="001D26BC" w:rsidRPr="00E755AB" w:rsidRDefault="001D26BC" w:rsidP="00A1288B">
            <w:pPr>
              <w:numPr>
                <w:ilvl w:val="0"/>
                <w:numId w:val="3"/>
              </w:numPr>
              <w:autoSpaceDE w:val="0"/>
              <w:autoSpaceDN w:val="0"/>
              <w:adjustRightInd w:val="0"/>
              <w:spacing w:after="240"/>
              <w:jc w:val="both"/>
              <w:rPr>
                <w:color w:val="000000"/>
                <w:szCs w:val="24"/>
                <w:lang w:eastAsia="lv-LV"/>
              </w:rPr>
            </w:pPr>
            <w:r w:rsidRPr="00E755AB">
              <w:rPr>
                <w:color w:val="000000"/>
                <w:szCs w:val="24"/>
                <w:lang w:eastAsia="lv-LV"/>
              </w:rPr>
              <w:t>veicināt sadarbību zinātniskās un tehniskās informācijas apmaiņā par kosmosa zinātni, kosmosa izpēti un tās tehnoloģiju pielietojumu, atbalstot komunikāciju un saskaņotu rīcību starp zinātniskajiem institūtiem, valsts un pašvaldību institūcijām un komercsabiedrībām, lai veicinātu valsts nacionālās kosmosa politikas izstrādi un īstenošanu.</w:t>
            </w:r>
          </w:p>
          <w:p w:rsidR="001D26BC" w:rsidRPr="00E755AB" w:rsidRDefault="001D26BC" w:rsidP="00A1288B">
            <w:pPr>
              <w:numPr>
                <w:ilvl w:val="0"/>
                <w:numId w:val="3"/>
              </w:numPr>
              <w:autoSpaceDE w:val="0"/>
              <w:autoSpaceDN w:val="0"/>
              <w:adjustRightInd w:val="0"/>
              <w:spacing w:after="240"/>
              <w:jc w:val="both"/>
              <w:rPr>
                <w:color w:val="000000"/>
                <w:szCs w:val="24"/>
                <w:lang w:eastAsia="lv-LV"/>
              </w:rPr>
            </w:pPr>
            <w:r w:rsidRPr="00E755AB">
              <w:rPr>
                <w:color w:val="000000"/>
                <w:szCs w:val="24"/>
                <w:lang w:eastAsia="lv-LV"/>
              </w:rPr>
              <w:t>veicināt dialogu starp publisko un privāto sektoru kosmosa jomā;</w:t>
            </w:r>
          </w:p>
          <w:p w:rsidR="001D26BC" w:rsidRPr="00E755AB" w:rsidRDefault="001D26BC" w:rsidP="00A1288B">
            <w:pPr>
              <w:numPr>
                <w:ilvl w:val="0"/>
                <w:numId w:val="3"/>
              </w:numPr>
              <w:autoSpaceDE w:val="0"/>
              <w:autoSpaceDN w:val="0"/>
              <w:adjustRightInd w:val="0"/>
              <w:spacing w:after="240"/>
              <w:jc w:val="both"/>
              <w:rPr>
                <w:color w:val="000000"/>
                <w:sz w:val="28"/>
                <w:lang w:eastAsia="lv-LV"/>
              </w:rPr>
            </w:pPr>
            <w:r w:rsidRPr="00E755AB">
              <w:rPr>
                <w:color w:val="000000"/>
                <w:szCs w:val="24"/>
                <w:lang w:eastAsia="lv-LV"/>
              </w:rPr>
              <w:t>sekmēt zinātnisko institūciju un komercsabiedrību dalību Eiropas kosmosa aģentūras un citās kosmiskajās programmās;</w:t>
            </w:r>
            <w:r w:rsidRPr="004A463B">
              <w:rPr>
                <w:color w:val="000000"/>
                <w:sz w:val="28"/>
                <w:lang w:eastAsia="lv-LV"/>
              </w:rPr>
              <w:t xml:space="preserve"> </w:t>
            </w:r>
          </w:p>
        </w:tc>
      </w:tr>
    </w:tbl>
    <w:p w:rsidR="001D26BC" w:rsidRDefault="001D26BC" w:rsidP="001D26BC">
      <w:pPr>
        <w:autoSpaceDE w:val="0"/>
        <w:autoSpaceDN w:val="0"/>
        <w:adjustRightInd w:val="0"/>
        <w:spacing w:after="240"/>
        <w:jc w:val="both"/>
        <w:rPr>
          <w:color w:val="000000"/>
          <w:sz w:val="28"/>
          <w:lang w:eastAsia="lv-LV"/>
        </w:rPr>
      </w:pPr>
    </w:p>
    <w:p w:rsidR="001D26BC" w:rsidRDefault="001D26BC" w:rsidP="001D26BC">
      <w:pPr>
        <w:tabs>
          <w:tab w:val="left" w:pos="709"/>
        </w:tabs>
        <w:autoSpaceDE w:val="0"/>
        <w:autoSpaceDN w:val="0"/>
        <w:adjustRightInd w:val="0"/>
        <w:spacing w:after="120"/>
        <w:ind w:firstLine="357"/>
        <w:jc w:val="both"/>
        <w:rPr>
          <w:sz w:val="28"/>
        </w:rPr>
      </w:pPr>
      <w:r>
        <w:rPr>
          <w:color w:val="000000"/>
          <w:sz w:val="28"/>
          <w:lang w:eastAsia="lv-LV"/>
        </w:rPr>
        <w:tab/>
        <w:t>P</w:t>
      </w:r>
      <w:r w:rsidRPr="00005145">
        <w:rPr>
          <w:color w:val="000000"/>
          <w:sz w:val="28"/>
          <w:lang w:eastAsia="lv-LV"/>
        </w:rPr>
        <w:t xml:space="preserve">aredzēts, ka </w:t>
      </w:r>
      <w:r>
        <w:rPr>
          <w:color w:val="000000"/>
          <w:sz w:val="28"/>
          <w:lang w:eastAsia="lv-LV"/>
        </w:rPr>
        <w:t xml:space="preserve">darba grupa sanāk kopā ne retāk kā 4 reizes gadā. Darba grupas sanāksmē 2010.gada 15.aprīlī tika pieņemts lēmums izstrādāt Kosmosa tehnoloģiju attīstības pamatnostādnes ar tai atbilstošu īstenošanas plānu, kas kalpotu kā vidēja līmeņa kosmosa sektora attīstības un plānošanas dokuments  5-7.gadiem. Lai sekmīgi izstrādātu un īstenotu Kosmosa tehnoloģiju attīstības pamatnostādnes ir nepieciešams īstenot vairākus  priekšnosacījumus un </w:t>
      </w:r>
      <w:r w:rsidRPr="00E1640A">
        <w:rPr>
          <w:color w:val="000000"/>
          <w:sz w:val="28"/>
          <w:lang w:eastAsia="lv-LV"/>
        </w:rPr>
        <w:t xml:space="preserve">izstrādāt </w:t>
      </w:r>
      <w:r w:rsidRPr="00E1640A">
        <w:rPr>
          <w:sz w:val="28"/>
        </w:rPr>
        <w:t xml:space="preserve">Latvijas kosmosa pamatnostādņu </w:t>
      </w:r>
      <w:proofErr w:type="spellStart"/>
      <w:r w:rsidRPr="00E1640A">
        <w:rPr>
          <w:sz w:val="28"/>
        </w:rPr>
        <w:t>priekšpētījumu</w:t>
      </w:r>
      <w:proofErr w:type="spellEnd"/>
      <w:r w:rsidRPr="00E1640A">
        <w:rPr>
          <w:sz w:val="28"/>
        </w:rPr>
        <w:t xml:space="preserve">, lai noskaidrotu dažādu pārvaldes un lēmumu pieņemšanas efektivitātes paaugstināšanas iespējas, izmantojot tehnoloģiskos risinājumus un tehnoloģiju pielietošana pārvaldes funkciju veikšanai un lēmumu pieņemšanai. </w:t>
      </w:r>
    </w:p>
    <w:p w:rsidR="001D26BC" w:rsidRPr="00A02ACB" w:rsidRDefault="001D26BC" w:rsidP="001D26BC">
      <w:pPr>
        <w:pStyle w:val="Heading3"/>
        <w:rPr>
          <w:szCs w:val="12"/>
        </w:rPr>
      </w:pPr>
      <w:bookmarkStart w:id="55" w:name="_Toc277672606"/>
      <w:bookmarkStart w:id="56" w:name="_Toc280366525"/>
      <w:bookmarkStart w:id="57" w:name="_Toc303176597"/>
      <w:r w:rsidRPr="00A02ACB">
        <w:t>3</w:t>
      </w:r>
      <w:bookmarkStart w:id="58" w:name="_Toc277513989"/>
      <w:r w:rsidRPr="00A02ACB">
        <w:t>.3. Latvijas zinātniskais un biznesa kosmosa sektora potenciāls</w:t>
      </w:r>
      <w:bookmarkEnd w:id="55"/>
      <w:bookmarkEnd w:id="56"/>
      <w:bookmarkEnd w:id="57"/>
      <w:bookmarkEnd w:id="58"/>
    </w:p>
    <w:p w:rsidR="001D26BC" w:rsidRDefault="001D26BC" w:rsidP="001D26BC">
      <w:pPr>
        <w:pStyle w:val="Heading4"/>
      </w:pPr>
      <w:bookmarkStart w:id="59" w:name="_Toc280366526"/>
      <w:r w:rsidRPr="009F2FC3">
        <w:t>3.</w:t>
      </w:r>
      <w:r>
        <w:t>3</w:t>
      </w:r>
      <w:r w:rsidRPr="009F2FC3">
        <w:t>.</w:t>
      </w:r>
      <w:r>
        <w:t xml:space="preserve">1. </w:t>
      </w:r>
      <w:r w:rsidRPr="009F2FC3">
        <w:t>Zinātniskais kosmosa sektora potenciāls</w:t>
      </w:r>
      <w:bookmarkEnd w:id="59"/>
      <w:r w:rsidRPr="009F2FC3">
        <w:t xml:space="preserve"> </w:t>
      </w:r>
    </w:p>
    <w:p w:rsidR="001D26BC" w:rsidRPr="00285C24" w:rsidRDefault="001D26BC" w:rsidP="001D26BC"/>
    <w:p w:rsidR="001D26BC" w:rsidRPr="00A02ACB" w:rsidRDefault="001D26BC" w:rsidP="001D26BC">
      <w:pPr>
        <w:autoSpaceDE w:val="0"/>
        <w:autoSpaceDN w:val="0"/>
        <w:adjustRightInd w:val="0"/>
        <w:ind w:firstLine="720"/>
        <w:jc w:val="both"/>
        <w:rPr>
          <w:b/>
          <w:bCs/>
          <w:color w:val="000000"/>
          <w:sz w:val="28"/>
          <w:lang w:eastAsia="lv-LV"/>
        </w:rPr>
      </w:pPr>
      <w:r w:rsidRPr="00A02ACB">
        <w:rPr>
          <w:color w:val="000000"/>
          <w:sz w:val="28"/>
          <w:lang w:eastAsia="lv-LV"/>
        </w:rPr>
        <w:t>Vēsturiski gandrīz visi Latvijas Zinātņu akadēmijas zinātniskie institūti ir veikuši pētījumus pēc PSRS kosmosa vai militārā sektora pasūtījuma. Īpaši aktīva zinātniskā pētniecība šajos virzienos Latvijā norisinājās pagājušā gadsimta septiņdesmitajos gados. Zinātnieki  piedalījās gan jaunās paaudzes vairākkārtējās izmantošanas  kosmosa kuģa izstrādes programmā „</w:t>
      </w:r>
      <w:proofErr w:type="spellStart"/>
      <w:r w:rsidRPr="00A02ACB">
        <w:rPr>
          <w:color w:val="000000"/>
          <w:sz w:val="28"/>
          <w:lang w:eastAsia="lv-LV"/>
        </w:rPr>
        <w:t>Buran</w:t>
      </w:r>
      <w:proofErr w:type="spellEnd"/>
      <w:r w:rsidRPr="00A02ACB">
        <w:rPr>
          <w:color w:val="000000"/>
          <w:sz w:val="28"/>
          <w:lang w:eastAsia="lv-LV"/>
        </w:rPr>
        <w:t xml:space="preserve">”, gan kosmosa stacijas „MIR” darbības nodrošināšanā, kā arī vēl šobrīd funkcionējošās Krievijas Federācijas satelītu navigācijas programmā „GLONASS”. Kā nozīmīgākos ar PSRS kosmosa tēmu saistīto programmu pētījumus, kuri darbojas arī šobrīd jāmin: </w:t>
      </w:r>
    </w:p>
    <w:p w:rsidR="001D26BC" w:rsidRPr="00A02ACB" w:rsidRDefault="001D26BC" w:rsidP="001D26BC">
      <w:pPr>
        <w:autoSpaceDE w:val="0"/>
        <w:autoSpaceDN w:val="0"/>
        <w:adjustRightInd w:val="0"/>
        <w:jc w:val="both"/>
        <w:rPr>
          <w:b/>
          <w:bCs/>
          <w:color w:val="000000"/>
          <w:sz w:val="28"/>
          <w:lang w:eastAsia="lv-LV"/>
        </w:rPr>
      </w:pPr>
      <w:r w:rsidRPr="00A02ACB">
        <w:rPr>
          <w:b/>
          <w:bCs/>
          <w:color w:val="000000"/>
          <w:sz w:val="28"/>
          <w:lang w:eastAsia="lv-LV"/>
        </w:rPr>
        <w:lastRenderedPageBreak/>
        <w:t>LU Polimēru mehānikas institūts</w:t>
      </w:r>
      <w:r w:rsidRPr="00A02ACB">
        <w:rPr>
          <w:color w:val="000000"/>
          <w:sz w:val="28"/>
          <w:lang w:eastAsia="lv-LV"/>
        </w:rPr>
        <w:t xml:space="preserve">. Jaunu </w:t>
      </w:r>
      <w:proofErr w:type="spellStart"/>
      <w:r w:rsidRPr="00A02ACB">
        <w:rPr>
          <w:color w:val="000000"/>
          <w:sz w:val="28"/>
          <w:lang w:eastAsia="lv-LV"/>
        </w:rPr>
        <w:t>kompozīto</w:t>
      </w:r>
      <w:proofErr w:type="spellEnd"/>
      <w:r w:rsidRPr="00A02ACB">
        <w:rPr>
          <w:color w:val="000000"/>
          <w:sz w:val="28"/>
          <w:lang w:eastAsia="lv-LV"/>
        </w:rPr>
        <w:t xml:space="preserve"> materiālu radīšana, to eksperimentālie pētījumi un īpašību modelēšana, </w:t>
      </w:r>
      <w:proofErr w:type="spellStart"/>
      <w:r w:rsidRPr="00A02ACB">
        <w:rPr>
          <w:color w:val="000000"/>
          <w:sz w:val="28"/>
          <w:lang w:eastAsia="lv-LV"/>
        </w:rPr>
        <w:t>kompozīto</w:t>
      </w:r>
      <w:proofErr w:type="spellEnd"/>
      <w:r w:rsidRPr="00A02ACB">
        <w:rPr>
          <w:color w:val="000000"/>
          <w:sz w:val="28"/>
          <w:lang w:eastAsia="lv-LV"/>
        </w:rPr>
        <w:t xml:space="preserve"> materiālu mehānisko īpašību diagnosticēšana ar fizikālajām metodēm. </w:t>
      </w:r>
    </w:p>
    <w:p w:rsidR="001D26BC" w:rsidRDefault="001D26BC" w:rsidP="001D26BC">
      <w:pPr>
        <w:autoSpaceDE w:val="0"/>
        <w:autoSpaceDN w:val="0"/>
        <w:adjustRightInd w:val="0"/>
        <w:jc w:val="both"/>
        <w:rPr>
          <w:b/>
          <w:bCs/>
          <w:color w:val="000000"/>
          <w:sz w:val="28"/>
          <w:lang w:eastAsia="lv-LV"/>
        </w:rPr>
      </w:pPr>
      <w:r w:rsidRPr="00A02ACB">
        <w:rPr>
          <w:b/>
          <w:bCs/>
          <w:color w:val="000000"/>
          <w:sz w:val="28"/>
          <w:lang w:eastAsia="lv-LV"/>
        </w:rPr>
        <w:t>RTU Neorganiskās ķīmijas institūts</w:t>
      </w:r>
      <w:r w:rsidRPr="00A02ACB">
        <w:rPr>
          <w:color w:val="000000"/>
          <w:sz w:val="28"/>
          <w:lang w:eastAsia="lv-LV"/>
        </w:rPr>
        <w:t xml:space="preserve">. Jaunu materiālu lietošana ekspluatācijai ekstremālos apstākļos. </w:t>
      </w:r>
      <w:proofErr w:type="spellStart"/>
      <w:r w:rsidRPr="00A02ACB">
        <w:rPr>
          <w:color w:val="000000"/>
          <w:sz w:val="28"/>
          <w:lang w:eastAsia="lv-LV"/>
        </w:rPr>
        <w:t>Ultradispersu</w:t>
      </w:r>
      <w:proofErr w:type="spellEnd"/>
      <w:r w:rsidRPr="00A02ACB">
        <w:rPr>
          <w:color w:val="000000"/>
          <w:sz w:val="28"/>
          <w:lang w:eastAsia="lv-LV"/>
        </w:rPr>
        <w:t xml:space="preserve"> (&lt; 100nm), grūti kūstošu savienojumu pētniecība, iegūšana un eksperimentālo partiju ražošana</w:t>
      </w:r>
      <w:r w:rsidRPr="00A02ACB">
        <w:rPr>
          <w:color w:val="004080"/>
          <w:sz w:val="28"/>
          <w:lang w:eastAsia="lv-LV"/>
        </w:rPr>
        <w:t xml:space="preserve"> </w:t>
      </w:r>
      <w:r w:rsidRPr="00A02ACB">
        <w:rPr>
          <w:sz w:val="28"/>
          <w:lang w:eastAsia="lv-LV"/>
        </w:rPr>
        <w:t xml:space="preserve">izmantojot specifiskas sintēzes </w:t>
      </w:r>
      <w:proofErr w:type="spellStart"/>
      <w:r w:rsidRPr="00A02ACB">
        <w:rPr>
          <w:sz w:val="28"/>
          <w:lang w:eastAsia="lv-LV"/>
        </w:rPr>
        <w:t>tehnologijas</w:t>
      </w:r>
      <w:proofErr w:type="spellEnd"/>
      <w:r w:rsidRPr="00A02ACB">
        <w:rPr>
          <w:sz w:val="28"/>
          <w:lang w:eastAsia="lv-LV"/>
        </w:rPr>
        <w:t xml:space="preserve">  RF plazmas vidē</w:t>
      </w:r>
      <w:r w:rsidRPr="00A02ACB">
        <w:rPr>
          <w:color w:val="000000"/>
          <w:sz w:val="28"/>
          <w:lang w:eastAsia="lv-LV"/>
        </w:rPr>
        <w:t xml:space="preserve">. Izstrādāti sastāvi un tehnoloģijas tādu </w:t>
      </w:r>
      <w:proofErr w:type="spellStart"/>
      <w:r w:rsidRPr="00A02ACB">
        <w:rPr>
          <w:color w:val="000000"/>
          <w:sz w:val="28"/>
          <w:lang w:eastAsia="lv-LV"/>
        </w:rPr>
        <w:t>termoregulējošo</w:t>
      </w:r>
      <w:proofErr w:type="spellEnd"/>
      <w:r w:rsidRPr="00A02ACB">
        <w:rPr>
          <w:color w:val="000000"/>
          <w:sz w:val="28"/>
          <w:lang w:eastAsia="lv-LV"/>
        </w:rPr>
        <w:t xml:space="preserve"> pārklājumu iegūšanai, kuri būtiski ietekmē atbilstošā temperatūras režīma nodrošināšanu kosmosā lidojoša objekta iekšpusē.</w:t>
      </w:r>
    </w:p>
    <w:p w:rsidR="001D26BC" w:rsidRPr="00522E39" w:rsidRDefault="001D26BC" w:rsidP="001D26BC">
      <w:pPr>
        <w:spacing w:after="120"/>
        <w:jc w:val="both"/>
      </w:pPr>
      <w:r w:rsidRPr="00522E39">
        <w:rPr>
          <w:b/>
          <w:bCs/>
          <w:sz w:val="28"/>
          <w:lang w:eastAsia="lv-LV"/>
        </w:rPr>
        <w:t>Latvijas Valsts Koksnes ķīmijas institūts.</w:t>
      </w:r>
      <w:r w:rsidRPr="00522E39">
        <w:rPr>
          <w:sz w:val="28"/>
          <w:lang w:eastAsia="lv-LV"/>
        </w:rPr>
        <w:t xml:space="preserve"> </w:t>
      </w:r>
      <w:r w:rsidRPr="00A02ACB">
        <w:rPr>
          <w:color w:val="000000"/>
          <w:sz w:val="28"/>
          <w:lang w:eastAsia="lv-LV"/>
        </w:rPr>
        <w:t xml:space="preserve">Jaunu </w:t>
      </w:r>
      <w:proofErr w:type="spellStart"/>
      <w:r w:rsidRPr="00A02ACB">
        <w:rPr>
          <w:color w:val="000000"/>
          <w:sz w:val="28"/>
          <w:lang w:eastAsia="lv-LV"/>
        </w:rPr>
        <w:t>putupoliuretāna</w:t>
      </w:r>
      <w:proofErr w:type="spellEnd"/>
      <w:r w:rsidRPr="00A02ACB">
        <w:rPr>
          <w:color w:val="000000"/>
          <w:sz w:val="28"/>
          <w:lang w:eastAsia="lv-LV"/>
        </w:rPr>
        <w:t xml:space="preserve"> </w:t>
      </w:r>
      <w:proofErr w:type="spellStart"/>
      <w:r w:rsidRPr="00A02ACB">
        <w:rPr>
          <w:color w:val="000000"/>
          <w:sz w:val="28"/>
          <w:lang w:eastAsia="lv-LV"/>
        </w:rPr>
        <w:t>kriogēnās</w:t>
      </w:r>
      <w:proofErr w:type="spellEnd"/>
      <w:r w:rsidRPr="00A02ACB">
        <w:rPr>
          <w:color w:val="000000"/>
          <w:sz w:val="28"/>
          <w:lang w:eastAsia="lv-LV"/>
        </w:rPr>
        <w:t xml:space="preserve"> izolācijas materiālu izstrāde kosmiskajai nesējraķetei "Enerģija", kurai kā </w:t>
      </w:r>
      <w:proofErr w:type="spellStart"/>
      <w:r w:rsidRPr="00A02ACB">
        <w:rPr>
          <w:color w:val="000000"/>
          <w:sz w:val="28"/>
          <w:lang w:eastAsia="lv-LV"/>
        </w:rPr>
        <w:t>raķešdegviela</w:t>
      </w:r>
      <w:proofErr w:type="spellEnd"/>
      <w:r w:rsidRPr="00A02ACB">
        <w:rPr>
          <w:color w:val="000000"/>
          <w:sz w:val="28"/>
          <w:lang w:eastAsia="lv-LV"/>
        </w:rPr>
        <w:t xml:space="preserve"> tika izmantoti sašķidrināts ūdeņradis un sašķidrināts skābeklis. Raķete "Enerģija" nodrošināja kosmosa kuģa "</w:t>
      </w:r>
      <w:proofErr w:type="spellStart"/>
      <w:r w:rsidRPr="00A02ACB">
        <w:rPr>
          <w:color w:val="000000"/>
          <w:sz w:val="28"/>
          <w:lang w:eastAsia="lv-LV"/>
        </w:rPr>
        <w:t>Buran</w:t>
      </w:r>
      <w:proofErr w:type="spellEnd"/>
      <w:r w:rsidRPr="00A02ACB">
        <w:rPr>
          <w:color w:val="000000"/>
          <w:sz w:val="28"/>
          <w:lang w:eastAsia="lv-LV"/>
        </w:rPr>
        <w:t xml:space="preserve">" nokļūšanu orbītā. Izolācijai ir jāsaglabā mehāniskās un </w:t>
      </w:r>
      <w:proofErr w:type="spellStart"/>
      <w:r w:rsidRPr="00A02ACB">
        <w:rPr>
          <w:color w:val="000000"/>
          <w:sz w:val="28"/>
          <w:lang w:eastAsia="lv-LV"/>
        </w:rPr>
        <w:t>siltumizolējošās</w:t>
      </w:r>
      <w:proofErr w:type="spellEnd"/>
      <w:r w:rsidRPr="00A02ACB">
        <w:rPr>
          <w:color w:val="000000"/>
          <w:sz w:val="28"/>
          <w:lang w:eastAsia="lv-LV"/>
        </w:rPr>
        <w:t xml:space="preserve"> īpašības pie </w:t>
      </w:r>
      <w:proofErr w:type="spellStart"/>
      <w:r w:rsidRPr="00A02ACB">
        <w:rPr>
          <w:color w:val="000000"/>
          <w:sz w:val="28"/>
          <w:lang w:eastAsia="lv-LV"/>
        </w:rPr>
        <w:t>kriogēnajām</w:t>
      </w:r>
      <w:proofErr w:type="spellEnd"/>
      <w:r w:rsidRPr="00A02ACB">
        <w:rPr>
          <w:color w:val="000000"/>
          <w:sz w:val="28"/>
          <w:lang w:eastAsia="lv-LV"/>
        </w:rPr>
        <w:t xml:space="preserve"> temperatūrām, un tajā pašā laikā jāiztur paaugstinātās temperatūras, kas rodas aerodinamiskās slodzes rezultātā raķetei paceļoties. Ar LZA KĶI izstrādāto </w:t>
      </w:r>
      <w:proofErr w:type="spellStart"/>
      <w:r w:rsidRPr="00A02ACB">
        <w:rPr>
          <w:color w:val="000000"/>
          <w:sz w:val="28"/>
          <w:lang w:eastAsia="lv-LV"/>
        </w:rPr>
        <w:t>putupoliuretānu</w:t>
      </w:r>
      <w:proofErr w:type="spellEnd"/>
      <w:r w:rsidRPr="00A02ACB">
        <w:rPr>
          <w:color w:val="000000"/>
          <w:sz w:val="28"/>
          <w:lang w:eastAsia="lv-LV"/>
        </w:rPr>
        <w:t xml:space="preserve"> "</w:t>
      </w:r>
      <w:proofErr w:type="spellStart"/>
      <w:r w:rsidRPr="00A02ACB">
        <w:rPr>
          <w:color w:val="000000"/>
          <w:sz w:val="28"/>
          <w:lang w:eastAsia="lv-LV"/>
        </w:rPr>
        <w:t>Ripor</w:t>
      </w:r>
      <w:proofErr w:type="spellEnd"/>
      <w:r w:rsidRPr="00A02ACB">
        <w:rPr>
          <w:color w:val="000000"/>
          <w:sz w:val="28"/>
          <w:lang w:eastAsia="lv-LV"/>
        </w:rPr>
        <w:t xml:space="preserve"> 2" raķete "Enerģija" kopā ar kosmosa kuģi "</w:t>
      </w:r>
      <w:proofErr w:type="spellStart"/>
      <w:r w:rsidRPr="00A02ACB">
        <w:rPr>
          <w:color w:val="000000"/>
          <w:sz w:val="28"/>
          <w:lang w:eastAsia="lv-LV"/>
        </w:rPr>
        <w:t>Buran</w:t>
      </w:r>
      <w:proofErr w:type="spellEnd"/>
      <w:r w:rsidRPr="00A02ACB">
        <w:rPr>
          <w:color w:val="000000"/>
          <w:sz w:val="28"/>
          <w:lang w:eastAsia="lv-LV"/>
        </w:rPr>
        <w:t>" veica veiksmīgu izmēģinājuma lidojumu.</w:t>
      </w:r>
      <w:r>
        <w:rPr>
          <w:color w:val="000000"/>
          <w:sz w:val="28"/>
          <w:lang w:eastAsia="lv-LV"/>
        </w:rPr>
        <w:t xml:space="preserve"> Šobrīd </w:t>
      </w:r>
      <w:r w:rsidRPr="00522E39">
        <w:rPr>
          <w:sz w:val="28"/>
        </w:rPr>
        <w:t xml:space="preserve">tiek izgatavota </w:t>
      </w:r>
      <w:proofErr w:type="spellStart"/>
      <w:r w:rsidRPr="00522E39">
        <w:rPr>
          <w:sz w:val="28"/>
        </w:rPr>
        <w:t>kriogēnā</w:t>
      </w:r>
      <w:proofErr w:type="spellEnd"/>
      <w:r w:rsidRPr="00522E39">
        <w:rPr>
          <w:sz w:val="28"/>
        </w:rPr>
        <w:t xml:space="preserve"> izolācija N</w:t>
      </w:r>
      <w:r w:rsidRPr="00522E39">
        <w:rPr>
          <w:sz w:val="28"/>
          <w:vertAlign w:val="subscript"/>
        </w:rPr>
        <w:t>2</w:t>
      </w:r>
      <w:r w:rsidRPr="00522E39">
        <w:rPr>
          <w:sz w:val="28"/>
        </w:rPr>
        <w:t xml:space="preserve"> un H</w:t>
      </w:r>
      <w:r w:rsidRPr="00522E39">
        <w:rPr>
          <w:sz w:val="28"/>
          <w:vertAlign w:val="subscript"/>
        </w:rPr>
        <w:t>2</w:t>
      </w:r>
      <w:r w:rsidRPr="00522E39">
        <w:rPr>
          <w:sz w:val="28"/>
        </w:rPr>
        <w:t xml:space="preserve"> cisternām </w:t>
      </w:r>
      <w:proofErr w:type="spellStart"/>
      <w:r w:rsidRPr="00522E39">
        <w:rPr>
          <w:sz w:val="28"/>
        </w:rPr>
        <w:t>Ariane</w:t>
      </w:r>
      <w:proofErr w:type="spellEnd"/>
      <w:r w:rsidRPr="00522E39">
        <w:rPr>
          <w:sz w:val="28"/>
        </w:rPr>
        <w:t xml:space="preserve"> nesējraķešu jaunākajām modifikācijām. Šie darbi tiek veikti līguma ar EADS </w:t>
      </w:r>
      <w:proofErr w:type="spellStart"/>
      <w:r w:rsidRPr="00522E39">
        <w:rPr>
          <w:sz w:val="28"/>
        </w:rPr>
        <w:t>Space</w:t>
      </w:r>
      <w:proofErr w:type="spellEnd"/>
      <w:r w:rsidRPr="00522E39">
        <w:rPr>
          <w:sz w:val="28"/>
        </w:rPr>
        <w:t xml:space="preserve"> </w:t>
      </w:r>
      <w:proofErr w:type="spellStart"/>
      <w:r w:rsidRPr="00522E39">
        <w:rPr>
          <w:sz w:val="28"/>
        </w:rPr>
        <w:t>Transportation</w:t>
      </w:r>
      <w:proofErr w:type="spellEnd"/>
      <w:r w:rsidRPr="00522E39">
        <w:rPr>
          <w:sz w:val="28"/>
        </w:rPr>
        <w:t xml:space="preserve"> (</w:t>
      </w:r>
      <w:proofErr w:type="spellStart"/>
      <w:r w:rsidRPr="00522E39">
        <w:rPr>
          <w:sz w:val="28"/>
        </w:rPr>
        <w:t>Astrium</w:t>
      </w:r>
      <w:proofErr w:type="spellEnd"/>
      <w:r w:rsidRPr="00522E39">
        <w:rPr>
          <w:sz w:val="28"/>
        </w:rPr>
        <w:t xml:space="preserve"> </w:t>
      </w:r>
      <w:proofErr w:type="spellStart"/>
      <w:r w:rsidRPr="00522E39">
        <w:rPr>
          <w:sz w:val="28"/>
        </w:rPr>
        <w:t>GmbH</w:t>
      </w:r>
      <w:proofErr w:type="spellEnd"/>
      <w:r w:rsidRPr="00522E39">
        <w:rPr>
          <w:sz w:val="28"/>
        </w:rPr>
        <w:t xml:space="preserve">) (Brēmene) ietvaros, kur LVKĶI darbojas kā </w:t>
      </w:r>
      <w:proofErr w:type="spellStart"/>
      <w:r w:rsidRPr="00522E39">
        <w:rPr>
          <w:sz w:val="28"/>
        </w:rPr>
        <w:t>apakškontraktori</w:t>
      </w:r>
      <w:proofErr w:type="spellEnd"/>
      <w:r w:rsidRPr="00522E39">
        <w:rPr>
          <w:sz w:val="28"/>
        </w:rPr>
        <w:t xml:space="preserve">. Arī šīs kompetences tiek mantotas no padomju laikiem, kad LVKĶI piedalījās PSRS kosmosa programmā. EADS </w:t>
      </w:r>
      <w:proofErr w:type="spellStart"/>
      <w:r w:rsidRPr="00522E39">
        <w:rPr>
          <w:sz w:val="28"/>
        </w:rPr>
        <w:t>Space</w:t>
      </w:r>
      <w:proofErr w:type="spellEnd"/>
      <w:r w:rsidRPr="00522E39">
        <w:rPr>
          <w:sz w:val="28"/>
        </w:rPr>
        <w:t xml:space="preserve"> </w:t>
      </w:r>
      <w:proofErr w:type="spellStart"/>
      <w:r w:rsidRPr="00522E39">
        <w:rPr>
          <w:sz w:val="28"/>
        </w:rPr>
        <w:t>Transportation</w:t>
      </w:r>
      <w:proofErr w:type="spellEnd"/>
      <w:r w:rsidRPr="00522E39">
        <w:rPr>
          <w:sz w:val="28"/>
        </w:rPr>
        <w:t xml:space="preserve"> pastāvīgi uzsver Latvijas formālas sadarbības nepieciešamību ar Eiropas Kosmosa aģentūru. Šādā gadījumā LVKĶI iespējas iesaistīties dažādos kosmosa projektos būtu daudz plašākas. Šobrīd </w:t>
      </w:r>
      <w:proofErr w:type="spellStart"/>
      <w:r w:rsidRPr="00522E39">
        <w:rPr>
          <w:sz w:val="28"/>
        </w:rPr>
        <w:t>Astrium</w:t>
      </w:r>
      <w:proofErr w:type="spellEnd"/>
      <w:r w:rsidRPr="00522E39">
        <w:rPr>
          <w:sz w:val="28"/>
        </w:rPr>
        <w:t xml:space="preserve"> piedalās EKA konkursā par finansējumu uz nākamajiem 4 gadiem. Konkursa tematika - CUST - </w:t>
      </w:r>
      <w:proofErr w:type="spellStart"/>
      <w:r w:rsidRPr="00522E39">
        <w:rPr>
          <w:sz w:val="28"/>
        </w:rPr>
        <w:t>cryogenic</w:t>
      </w:r>
      <w:proofErr w:type="spellEnd"/>
      <w:r w:rsidRPr="00522E39">
        <w:rPr>
          <w:sz w:val="28"/>
        </w:rPr>
        <w:t xml:space="preserve"> </w:t>
      </w:r>
      <w:proofErr w:type="spellStart"/>
      <w:r w:rsidRPr="00522E39">
        <w:rPr>
          <w:sz w:val="28"/>
        </w:rPr>
        <w:t>upper</w:t>
      </w:r>
      <w:proofErr w:type="spellEnd"/>
      <w:r w:rsidRPr="00522E39">
        <w:rPr>
          <w:sz w:val="28"/>
        </w:rPr>
        <w:t xml:space="preserve"> </w:t>
      </w:r>
      <w:proofErr w:type="spellStart"/>
      <w:r w:rsidRPr="00522E39">
        <w:rPr>
          <w:sz w:val="28"/>
        </w:rPr>
        <w:t>stage</w:t>
      </w:r>
      <w:proofErr w:type="spellEnd"/>
      <w:r w:rsidRPr="00522E39">
        <w:rPr>
          <w:sz w:val="28"/>
        </w:rPr>
        <w:t xml:space="preserve"> </w:t>
      </w:r>
      <w:proofErr w:type="spellStart"/>
      <w:r w:rsidRPr="00522E39">
        <w:rPr>
          <w:sz w:val="28"/>
        </w:rPr>
        <w:t>technologies</w:t>
      </w:r>
      <w:proofErr w:type="spellEnd"/>
      <w:r w:rsidRPr="00522E39">
        <w:rPr>
          <w:sz w:val="28"/>
        </w:rPr>
        <w:t xml:space="preserve"> (</w:t>
      </w:r>
      <w:proofErr w:type="spellStart"/>
      <w:r w:rsidRPr="00522E39">
        <w:rPr>
          <w:sz w:val="28"/>
        </w:rPr>
        <w:t>Upper</w:t>
      </w:r>
      <w:proofErr w:type="spellEnd"/>
      <w:r w:rsidRPr="00522E39">
        <w:rPr>
          <w:sz w:val="28"/>
        </w:rPr>
        <w:t xml:space="preserve"> </w:t>
      </w:r>
      <w:proofErr w:type="spellStart"/>
      <w:r w:rsidRPr="00522E39">
        <w:rPr>
          <w:sz w:val="28"/>
        </w:rPr>
        <w:t>stages</w:t>
      </w:r>
      <w:proofErr w:type="spellEnd"/>
      <w:r w:rsidRPr="00522E39">
        <w:rPr>
          <w:sz w:val="28"/>
        </w:rPr>
        <w:t xml:space="preserve"> - raķetes augšējā pakāpe).</w:t>
      </w:r>
    </w:p>
    <w:p w:rsidR="001D26BC" w:rsidRPr="00A02ACB" w:rsidRDefault="001D26BC" w:rsidP="001D26BC">
      <w:pPr>
        <w:autoSpaceDE w:val="0"/>
        <w:autoSpaceDN w:val="0"/>
        <w:adjustRightInd w:val="0"/>
        <w:jc w:val="both"/>
        <w:rPr>
          <w:b/>
          <w:bCs/>
          <w:color w:val="000000"/>
          <w:sz w:val="28"/>
          <w:lang w:eastAsia="lv-LV"/>
        </w:rPr>
      </w:pPr>
      <w:r w:rsidRPr="00A02ACB">
        <w:rPr>
          <w:b/>
          <w:bCs/>
          <w:color w:val="000000"/>
          <w:sz w:val="28"/>
          <w:lang w:eastAsia="lv-LV"/>
        </w:rPr>
        <w:t>LU Fizikas institūts</w:t>
      </w:r>
      <w:r w:rsidRPr="00A02ACB">
        <w:rPr>
          <w:color w:val="000000"/>
          <w:sz w:val="28"/>
          <w:lang w:eastAsia="lv-LV"/>
        </w:rPr>
        <w:t xml:space="preserve">. Bezsvara (kosmosa) stāvoklim analoģisku fizikālo apstākļu radīšana uz Zemes, izmantojot </w:t>
      </w:r>
      <w:proofErr w:type="spellStart"/>
      <w:r w:rsidRPr="00A02ACB">
        <w:rPr>
          <w:color w:val="000000"/>
          <w:sz w:val="28"/>
          <w:lang w:eastAsia="lv-LV"/>
        </w:rPr>
        <w:t>magnetohidrodinamiskās</w:t>
      </w:r>
      <w:proofErr w:type="spellEnd"/>
      <w:r w:rsidRPr="00A02ACB">
        <w:rPr>
          <w:color w:val="000000"/>
          <w:sz w:val="28"/>
          <w:lang w:eastAsia="lv-LV"/>
        </w:rPr>
        <w:t xml:space="preserve"> metodes (MHD), un atbilstošu (kosmosa) tehnoloģiju modelēšana un pētniecība uz Zemes. </w:t>
      </w:r>
    </w:p>
    <w:p w:rsidR="001D26BC" w:rsidRPr="00A02ACB" w:rsidRDefault="001D26BC" w:rsidP="001D26BC">
      <w:pPr>
        <w:autoSpaceDE w:val="0"/>
        <w:autoSpaceDN w:val="0"/>
        <w:adjustRightInd w:val="0"/>
        <w:jc w:val="both"/>
        <w:rPr>
          <w:sz w:val="28"/>
          <w:lang w:eastAsia="lv-LV"/>
        </w:rPr>
      </w:pPr>
      <w:r w:rsidRPr="00A02ACB">
        <w:rPr>
          <w:b/>
          <w:bCs/>
          <w:color w:val="000000"/>
          <w:sz w:val="28"/>
          <w:lang w:eastAsia="lv-LV"/>
        </w:rPr>
        <w:t>LU Astronomijas institūts.</w:t>
      </w:r>
      <w:r w:rsidRPr="00A02ACB">
        <w:rPr>
          <w:color w:val="000000"/>
          <w:sz w:val="28"/>
          <w:lang w:eastAsia="lv-LV"/>
        </w:rPr>
        <w:t xml:space="preserve"> Kosmisku objektu orbītu novērošana un satelītu lāzera lokācijas instrumentu izveide. </w:t>
      </w:r>
      <w:r w:rsidRPr="00A02ACB">
        <w:rPr>
          <w:sz w:val="28"/>
          <w:lang w:eastAsia="lv-LV"/>
        </w:rPr>
        <w:t xml:space="preserve">Latvijas Universitātes Astronomiskā observatorija nodarbojās ar zemes mākslīgo pavadoņu vizuāliem (sākotnēji), fotogrāfiskiem un </w:t>
      </w:r>
      <w:proofErr w:type="spellStart"/>
      <w:r w:rsidRPr="00A02ACB">
        <w:rPr>
          <w:sz w:val="28"/>
          <w:lang w:eastAsia="lv-LV"/>
        </w:rPr>
        <w:t>lāzertāmēru</w:t>
      </w:r>
      <w:proofErr w:type="spellEnd"/>
      <w:r w:rsidRPr="00A02ACB">
        <w:rPr>
          <w:sz w:val="28"/>
          <w:lang w:eastAsia="lv-LV"/>
        </w:rPr>
        <w:t xml:space="preserve"> novērojumiem, ar šo instrumentu aparatūras un programmatūras izstrādi, kā arī ar orbītu noteikšanas un uzlabošanas  debess mehānikas problēmām.  Ap 8 cilvēku grupa PSRS ZA Astronomiskās Padomes uzdevumā regulāri piedalījās </w:t>
      </w:r>
      <w:r w:rsidRPr="00A02ACB">
        <w:rPr>
          <w:sz w:val="28"/>
          <w:lang w:eastAsia="lv-LV"/>
        </w:rPr>
        <w:lastRenderedPageBreak/>
        <w:t xml:space="preserve">ārzemju </w:t>
      </w:r>
      <w:proofErr w:type="spellStart"/>
      <w:r w:rsidRPr="00A02ACB">
        <w:rPr>
          <w:sz w:val="28"/>
          <w:lang w:eastAsia="lv-LV"/>
        </w:rPr>
        <w:t>ekspedīicijās</w:t>
      </w:r>
      <w:proofErr w:type="spellEnd"/>
      <w:r w:rsidRPr="00A02ACB">
        <w:rPr>
          <w:sz w:val="28"/>
          <w:lang w:eastAsia="lv-LV"/>
        </w:rPr>
        <w:t xml:space="preserve"> zemes mākslīgo pavadoņu fotogrāfiskos un </w:t>
      </w:r>
      <w:proofErr w:type="spellStart"/>
      <w:r w:rsidRPr="00A02ACB">
        <w:rPr>
          <w:sz w:val="28"/>
          <w:lang w:eastAsia="lv-LV"/>
        </w:rPr>
        <w:t>lāzertalmēru</w:t>
      </w:r>
      <w:proofErr w:type="spellEnd"/>
      <w:r w:rsidRPr="00A02ACB">
        <w:rPr>
          <w:sz w:val="28"/>
          <w:lang w:eastAsia="lv-LV"/>
        </w:rPr>
        <w:t xml:space="preserve"> novērojumos un ekspedīcijas staciju izveidošanā (</w:t>
      </w:r>
      <w:proofErr w:type="spellStart"/>
      <w:r w:rsidRPr="00A02ACB">
        <w:rPr>
          <w:sz w:val="28"/>
          <w:lang w:eastAsia="lv-LV"/>
        </w:rPr>
        <w:t>Somalija</w:t>
      </w:r>
      <w:proofErr w:type="spellEnd"/>
      <w:r w:rsidRPr="00A02ACB">
        <w:rPr>
          <w:sz w:val="28"/>
          <w:lang w:eastAsia="lv-LV"/>
        </w:rPr>
        <w:t>, Mali,</w:t>
      </w:r>
      <w:r>
        <w:rPr>
          <w:sz w:val="28"/>
          <w:lang w:eastAsia="lv-LV"/>
        </w:rPr>
        <w:t xml:space="preserve"> </w:t>
      </w:r>
      <w:r w:rsidRPr="00A02ACB">
        <w:rPr>
          <w:sz w:val="28"/>
          <w:lang w:eastAsia="lv-LV"/>
        </w:rPr>
        <w:t xml:space="preserve">Čada, Mozambika, Angola, Ekvadora, Bolīvija, Kuba, Franču Gviāna, Indija, </w:t>
      </w:r>
      <w:proofErr w:type="spellStart"/>
      <w:r w:rsidRPr="00A02ACB">
        <w:rPr>
          <w:sz w:val="28"/>
          <w:lang w:eastAsia="lv-LV"/>
        </w:rPr>
        <w:t>Vjetnam</w:t>
      </w:r>
      <w:proofErr w:type="spellEnd"/>
      <w:r w:rsidRPr="00A02ACB">
        <w:rPr>
          <w:sz w:val="28"/>
          <w:lang w:eastAsia="lv-LV"/>
        </w:rPr>
        <w:t xml:space="preserve">, Mongolija, </w:t>
      </w:r>
      <w:proofErr w:type="spellStart"/>
      <w:r w:rsidRPr="00A02ACB">
        <w:rPr>
          <w:sz w:val="28"/>
          <w:lang w:eastAsia="lv-LV"/>
        </w:rPr>
        <w:t>Kergeļēna</w:t>
      </w:r>
      <w:proofErr w:type="spellEnd"/>
      <w:r w:rsidRPr="00A02ACB">
        <w:rPr>
          <w:sz w:val="28"/>
          <w:lang w:eastAsia="lv-LV"/>
        </w:rPr>
        <w:t xml:space="preserve"> salā). </w:t>
      </w:r>
    </w:p>
    <w:p w:rsidR="001D26BC" w:rsidRPr="00A02ACB" w:rsidRDefault="001D26BC" w:rsidP="001D26BC">
      <w:pPr>
        <w:autoSpaceDE w:val="0"/>
        <w:autoSpaceDN w:val="0"/>
        <w:adjustRightInd w:val="0"/>
        <w:jc w:val="both"/>
        <w:rPr>
          <w:sz w:val="28"/>
          <w:lang w:eastAsia="lv-LV"/>
        </w:rPr>
      </w:pPr>
      <w:r w:rsidRPr="00A02ACB">
        <w:rPr>
          <w:sz w:val="28"/>
          <w:lang w:eastAsia="lv-LV"/>
        </w:rPr>
        <w:t xml:space="preserve">Pēc neatkarības atjaunošanas lielākā daļa  pētnieku atdalījās un izveidoja </w:t>
      </w:r>
      <w:r w:rsidRPr="00A02ACB">
        <w:rPr>
          <w:b/>
          <w:sz w:val="28"/>
          <w:lang w:eastAsia="lv-LV"/>
        </w:rPr>
        <w:t xml:space="preserve">LU Ģeodēzijas un </w:t>
      </w:r>
      <w:proofErr w:type="spellStart"/>
      <w:r w:rsidRPr="00A02ACB">
        <w:rPr>
          <w:b/>
          <w:sz w:val="28"/>
          <w:lang w:eastAsia="lv-LV"/>
        </w:rPr>
        <w:t>ģeoinformātikas</w:t>
      </w:r>
      <w:proofErr w:type="spellEnd"/>
      <w:r w:rsidRPr="00A02ACB">
        <w:rPr>
          <w:b/>
          <w:sz w:val="28"/>
          <w:lang w:eastAsia="lv-LV"/>
        </w:rPr>
        <w:t xml:space="preserve"> institūtu</w:t>
      </w:r>
      <w:r w:rsidRPr="00A02ACB">
        <w:rPr>
          <w:sz w:val="28"/>
          <w:lang w:eastAsia="lv-LV"/>
        </w:rPr>
        <w:t xml:space="preserve"> (GGI). GGI izveidojās sadarbība ar Austrāliju – uzbūvēja jaunu </w:t>
      </w:r>
      <w:proofErr w:type="spellStart"/>
      <w:r w:rsidRPr="00A02ACB">
        <w:rPr>
          <w:sz w:val="28"/>
          <w:lang w:eastAsia="lv-LV"/>
        </w:rPr>
        <w:t>lāzertālmēru</w:t>
      </w:r>
      <w:proofErr w:type="spellEnd"/>
      <w:r w:rsidRPr="00A02ACB">
        <w:rPr>
          <w:sz w:val="28"/>
          <w:lang w:eastAsia="lv-LV"/>
        </w:rPr>
        <w:t xml:space="preserve">, ar kuru 2 gadus strādāja NASA labākajā </w:t>
      </w:r>
      <w:proofErr w:type="spellStart"/>
      <w:r w:rsidRPr="00A02ACB">
        <w:rPr>
          <w:sz w:val="28"/>
          <w:lang w:eastAsia="lv-LV"/>
        </w:rPr>
        <w:t>lāzertālmēru</w:t>
      </w:r>
      <w:proofErr w:type="spellEnd"/>
      <w:r w:rsidRPr="00A02ACB">
        <w:rPr>
          <w:sz w:val="28"/>
          <w:lang w:eastAsia="lv-LV"/>
        </w:rPr>
        <w:t xml:space="preserve"> stacijā </w:t>
      </w:r>
      <w:proofErr w:type="spellStart"/>
      <w:r w:rsidRPr="00A02ACB">
        <w:rPr>
          <w:i/>
          <w:sz w:val="28"/>
          <w:lang w:eastAsia="lv-LV"/>
        </w:rPr>
        <w:t>Yarragadee</w:t>
      </w:r>
      <w:proofErr w:type="spellEnd"/>
      <w:r w:rsidRPr="00A02ACB">
        <w:rPr>
          <w:sz w:val="28"/>
          <w:lang w:eastAsia="lv-LV"/>
        </w:rPr>
        <w:t xml:space="preserve">. Arī tagad GGI  ERAF projekta ietvaros ir uzkonstruēts jauns oriģināls </w:t>
      </w:r>
      <w:proofErr w:type="spellStart"/>
      <w:r w:rsidRPr="00A02ACB">
        <w:rPr>
          <w:sz w:val="28"/>
          <w:lang w:eastAsia="lv-LV"/>
        </w:rPr>
        <w:t>lāzertālmērs</w:t>
      </w:r>
      <w:proofErr w:type="spellEnd"/>
      <w:r w:rsidRPr="00A02ACB">
        <w:rPr>
          <w:sz w:val="28"/>
          <w:lang w:eastAsia="lv-LV"/>
        </w:rPr>
        <w:t>.</w:t>
      </w:r>
      <w:r>
        <w:rPr>
          <w:sz w:val="28"/>
          <w:lang w:eastAsia="lv-LV"/>
        </w:rPr>
        <w:t xml:space="preserve"> </w:t>
      </w:r>
      <w:r w:rsidRPr="00A02ACB">
        <w:rPr>
          <w:sz w:val="28"/>
          <w:lang w:eastAsia="lv-LV"/>
        </w:rPr>
        <w:t>GGI strādā 2 Eirop</w:t>
      </w:r>
      <w:r>
        <w:rPr>
          <w:sz w:val="28"/>
          <w:lang w:eastAsia="lv-LV"/>
        </w:rPr>
        <w:t>as kosmosa aģentūras akceptētos</w:t>
      </w:r>
      <w:r w:rsidRPr="00A02ACB">
        <w:rPr>
          <w:sz w:val="28"/>
          <w:lang w:eastAsia="lv-LV"/>
        </w:rPr>
        <w:t> projektos.</w:t>
      </w:r>
    </w:p>
    <w:p w:rsidR="001D26BC" w:rsidRPr="00A02ACB" w:rsidRDefault="001D26BC" w:rsidP="001D26BC">
      <w:pPr>
        <w:autoSpaceDE w:val="0"/>
        <w:autoSpaceDN w:val="0"/>
        <w:adjustRightInd w:val="0"/>
        <w:jc w:val="both"/>
        <w:rPr>
          <w:sz w:val="28"/>
          <w:lang w:eastAsia="lv-LV"/>
        </w:rPr>
      </w:pPr>
      <w:r w:rsidRPr="00D37041">
        <w:rPr>
          <w:b/>
          <w:sz w:val="28"/>
          <w:lang w:eastAsia="lv-LV"/>
        </w:rPr>
        <w:t xml:space="preserve">LU </w:t>
      </w:r>
      <w:proofErr w:type="spellStart"/>
      <w:r w:rsidRPr="00D37041">
        <w:rPr>
          <w:b/>
          <w:sz w:val="28"/>
          <w:lang w:eastAsia="lv-LV"/>
        </w:rPr>
        <w:t>Astronimijas</w:t>
      </w:r>
      <w:proofErr w:type="spellEnd"/>
      <w:r w:rsidRPr="00D37041">
        <w:rPr>
          <w:b/>
          <w:sz w:val="28"/>
          <w:lang w:eastAsia="lv-LV"/>
        </w:rPr>
        <w:t xml:space="preserve"> institūts</w:t>
      </w:r>
      <w:r w:rsidRPr="00A02ACB">
        <w:rPr>
          <w:sz w:val="28"/>
          <w:lang w:eastAsia="lv-LV"/>
        </w:rPr>
        <w:t xml:space="preserve"> sekmīgi strādā Starptautiskās Ģeodēzijas asociācijas  ILRS komisijā (</w:t>
      </w:r>
      <w:proofErr w:type="spellStart"/>
      <w:r w:rsidRPr="00A02ACB">
        <w:rPr>
          <w:sz w:val="28"/>
          <w:lang w:eastAsia="lv-LV"/>
        </w:rPr>
        <w:t>International</w:t>
      </w:r>
      <w:proofErr w:type="spellEnd"/>
      <w:r w:rsidRPr="00A02ACB">
        <w:rPr>
          <w:sz w:val="28"/>
          <w:lang w:eastAsia="lv-LV"/>
        </w:rPr>
        <w:t xml:space="preserve"> </w:t>
      </w:r>
      <w:proofErr w:type="spellStart"/>
      <w:r w:rsidRPr="00A02ACB">
        <w:rPr>
          <w:sz w:val="28"/>
          <w:lang w:eastAsia="lv-LV"/>
        </w:rPr>
        <w:t>Laser</w:t>
      </w:r>
      <w:proofErr w:type="spellEnd"/>
      <w:r w:rsidRPr="00A02ACB">
        <w:rPr>
          <w:sz w:val="28"/>
          <w:lang w:eastAsia="lv-LV"/>
        </w:rPr>
        <w:t xml:space="preserve"> </w:t>
      </w:r>
      <w:proofErr w:type="spellStart"/>
      <w:r w:rsidRPr="00A02ACB">
        <w:rPr>
          <w:sz w:val="28"/>
          <w:lang w:eastAsia="lv-LV"/>
        </w:rPr>
        <w:t>Ranging</w:t>
      </w:r>
      <w:proofErr w:type="spellEnd"/>
      <w:r w:rsidRPr="00A02ACB">
        <w:rPr>
          <w:sz w:val="28"/>
          <w:lang w:eastAsia="lv-LV"/>
        </w:rPr>
        <w:t xml:space="preserve"> </w:t>
      </w:r>
      <w:proofErr w:type="spellStart"/>
      <w:r w:rsidRPr="00A02ACB">
        <w:rPr>
          <w:sz w:val="28"/>
          <w:lang w:eastAsia="lv-LV"/>
        </w:rPr>
        <w:t>Systems</w:t>
      </w:r>
      <w:proofErr w:type="spellEnd"/>
      <w:r w:rsidRPr="00A02ACB">
        <w:rPr>
          <w:sz w:val="28"/>
          <w:lang w:eastAsia="lv-LV"/>
        </w:rPr>
        <w:t>).</w:t>
      </w:r>
    </w:p>
    <w:p w:rsidR="001D26BC" w:rsidRDefault="001D26BC" w:rsidP="001D26BC">
      <w:pPr>
        <w:autoSpaceDE w:val="0"/>
        <w:autoSpaceDN w:val="0"/>
        <w:adjustRightInd w:val="0"/>
        <w:rPr>
          <w:rFonts w:ascii="Tms Rmn" w:hAnsi="Tms Rmn" w:cs="Tms Rmn"/>
          <w:color w:val="000000"/>
          <w:sz w:val="28"/>
          <w:lang w:eastAsia="lv-LV"/>
        </w:rPr>
      </w:pPr>
      <w:r w:rsidRPr="00A02ACB">
        <w:rPr>
          <w:b/>
          <w:bCs/>
          <w:color w:val="000000"/>
          <w:sz w:val="28"/>
          <w:lang w:eastAsia="lv-LV"/>
        </w:rPr>
        <w:t>Elektronikas un datorzinātņu institūts</w:t>
      </w:r>
      <w:r w:rsidRPr="00A02ACB">
        <w:rPr>
          <w:color w:val="000000"/>
          <w:sz w:val="28"/>
          <w:lang w:eastAsia="lv-LV"/>
        </w:rPr>
        <w:t xml:space="preserve">. </w:t>
      </w:r>
      <w:r>
        <w:rPr>
          <w:rFonts w:ascii="Tms Rmn" w:hAnsi="Tms Rmn" w:cs="Tms Rmn"/>
          <w:color w:val="000000"/>
          <w:sz w:val="28"/>
          <w:lang w:eastAsia="lv-LV"/>
        </w:rPr>
        <w:t>Lāzera stara ceļojuma laika mērīšanas aparatūras izstrāde vairākiem satelītu lāzera lokācijas stacijām.</w:t>
      </w:r>
    </w:p>
    <w:p w:rsidR="001D26BC" w:rsidRPr="00A02ACB" w:rsidRDefault="001D26BC" w:rsidP="001D26BC">
      <w:pPr>
        <w:autoSpaceDE w:val="0"/>
        <w:autoSpaceDN w:val="0"/>
        <w:adjustRightInd w:val="0"/>
        <w:jc w:val="both"/>
        <w:rPr>
          <w:color w:val="000000"/>
          <w:sz w:val="28"/>
          <w:lang w:eastAsia="lv-LV"/>
        </w:rPr>
      </w:pPr>
      <w:r w:rsidRPr="00A02ACB">
        <w:rPr>
          <w:b/>
          <w:color w:val="000000"/>
          <w:sz w:val="28"/>
          <w:lang w:eastAsia="lv-LV"/>
        </w:rPr>
        <w:t>RTU, Būvniecības Fakultātes, Materiālu un konstrukciju institūts.</w:t>
      </w:r>
      <w:r w:rsidRPr="00A02ACB">
        <w:rPr>
          <w:color w:val="000000"/>
          <w:sz w:val="28"/>
          <w:lang w:eastAsia="lv-LV"/>
        </w:rPr>
        <w:t xml:space="preserve"> Institūts laika gaitā uzkrājis ilgstoš</w:t>
      </w:r>
      <w:r>
        <w:rPr>
          <w:color w:val="000000"/>
          <w:sz w:val="28"/>
          <w:lang w:eastAsia="lv-LV"/>
        </w:rPr>
        <w:t>u</w:t>
      </w:r>
      <w:r w:rsidRPr="00A02ACB">
        <w:rPr>
          <w:color w:val="000000"/>
          <w:sz w:val="28"/>
          <w:lang w:eastAsia="lv-LV"/>
        </w:rPr>
        <w:t xml:space="preserve"> pētniecības pieredzi starptautiskā sadarbībā Eiropas Komisijas Ietvara programmu (IP) projektu izstrādē. Uz šo brīdi realizēti jau sešpadsmit 5tās un 6ās IP projekti</w:t>
      </w:r>
      <w:r>
        <w:rPr>
          <w:color w:val="000000"/>
          <w:sz w:val="28"/>
          <w:lang w:eastAsia="lv-LV"/>
        </w:rPr>
        <w:t>; bet</w:t>
      </w:r>
      <w:r w:rsidRPr="00A02ACB">
        <w:rPr>
          <w:color w:val="000000"/>
          <w:sz w:val="28"/>
          <w:lang w:eastAsia="lv-LV"/>
        </w:rPr>
        <w:t xml:space="preserve"> četri 7tā IP projekti ir izstrādes gaitā. Salīdzinot ar Baltijas valstu kolēģiem, tikai Latvijas pētnieki ir spējuši izturēt konkurenci uz ražošanu vērstajos projektos, kuru koordinācija ir vadošo Eiropas aviācijas industrijas gigantu rokās, tādu kā </w:t>
      </w:r>
      <w:proofErr w:type="spellStart"/>
      <w:r w:rsidRPr="00A02ACB">
        <w:rPr>
          <w:color w:val="000000"/>
          <w:sz w:val="28"/>
          <w:lang w:eastAsia="lv-LV"/>
        </w:rPr>
        <w:t>Airbus</w:t>
      </w:r>
      <w:proofErr w:type="spellEnd"/>
      <w:r w:rsidRPr="00A02ACB">
        <w:rPr>
          <w:color w:val="000000"/>
          <w:sz w:val="28"/>
          <w:lang w:eastAsia="lv-LV"/>
        </w:rPr>
        <w:t xml:space="preserve"> [UK] vai </w:t>
      </w:r>
      <w:proofErr w:type="spellStart"/>
      <w:r w:rsidRPr="00A02ACB">
        <w:rPr>
          <w:color w:val="000000"/>
          <w:sz w:val="28"/>
          <w:lang w:eastAsia="lv-LV"/>
        </w:rPr>
        <w:t>Eurocopter</w:t>
      </w:r>
      <w:proofErr w:type="spellEnd"/>
      <w:r w:rsidRPr="00A02ACB">
        <w:rPr>
          <w:color w:val="000000"/>
          <w:sz w:val="28"/>
          <w:lang w:eastAsia="lv-LV"/>
        </w:rPr>
        <w:t xml:space="preserve"> [DE] un citu ne mazāk nozīmīgu. </w:t>
      </w:r>
    </w:p>
    <w:p w:rsidR="001D26BC" w:rsidRPr="00A02ACB" w:rsidRDefault="001D26BC" w:rsidP="00D37041">
      <w:pPr>
        <w:autoSpaceDE w:val="0"/>
        <w:autoSpaceDN w:val="0"/>
        <w:adjustRightInd w:val="0"/>
        <w:ind w:firstLine="720"/>
        <w:jc w:val="both"/>
        <w:rPr>
          <w:color w:val="000000"/>
          <w:sz w:val="28"/>
          <w:lang w:eastAsia="lv-LV"/>
        </w:rPr>
      </w:pPr>
      <w:r w:rsidRPr="00A02ACB">
        <w:rPr>
          <w:color w:val="000000"/>
          <w:sz w:val="28"/>
          <w:lang w:eastAsia="lv-LV"/>
        </w:rPr>
        <w:t xml:space="preserve">Ekspertīze skaitliskos aprēķinos un eksperimentālās pārbaudēs daudzslāņu </w:t>
      </w:r>
      <w:proofErr w:type="spellStart"/>
      <w:r w:rsidRPr="00A02ACB">
        <w:rPr>
          <w:color w:val="000000"/>
          <w:sz w:val="28"/>
          <w:lang w:eastAsia="lv-LV"/>
        </w:rPr>
        <w:t>kompozīto</w:t>
      </w:r>
      <w:proofErr w:type="spellEnd"/>
      <w:r w:rsidRPr="00A02ACB">
        <w:rPr>
          <w:color w:val="000000"/>
          <w:sz w:val="28"/>
          <w:lang w:eastAsia="lv-LV"/>
        </w:rPr>
        <w:t xml:space="preserve"> konstrukciju stiprības, sabrukuma izpētē, kā arī optimizācijā un mehānisko īpašību identifikācijas analīze ir nodrošinājusi vairāk kā 1 miljons eiro IP budžeta piesaisti a</w:t>
      </w:r>
      <w:r>
        <w:rPr>
          <w:color w:val="000000"/>
          <w:sz w:val="28"/>
          <w:lang w:eastAsia="lv-LV"/>
        </w:rPr>
        <w:t>eronautikas pētījumiem. Šobrīd RTU M</w:t>
      </w:r>
      <w:r w:rsidRPr="00A02ACB">
        <w:rPr>
          <w:color w:val="000000"/>
          <w:sz w:val="28"/>
          <w:lang w:eastAsia="lv-LV"/>
        </w:rPr>
        <w:t xml:space="preserve">ateriālu un konstrukciju institūts ir nodibinājis stabilu partnerību ar Vācijas Kosmosa aģentūra un kopīgi sagatavoti un jau realizēti vairāki </w:t>
      </w:r>
      <w:proofErr w:type="spellStart"/>
      <w:r w:rsidRPr="00A02ACB">
        <w:rPr>
          <w:color w:val="000000"/>
          <w:sz w:val="28"/>
          <w:lang w:eastAsia="lv-LV"/>
        </w:rPr>
        <w:t>kompozīto</w:t>
      </w:r>
      <w:proofErr w:type="spellEnd"/>
      <w:r w:rsidRPr="00A02ACB">
        <w:rPr>
          <w:color w:val="000000"/>
          <w:sz w:val="28"/>
          <w:lang w:eastAsia="lv-LV"/>
        </w:rPr>
        <w:t xml:space="preserve"> materiālu un konstrukciju pētījumi.</w:t>
      </w:r>
    </w:p>
    <w:p w:rsidR="001D26BC" w:rsidRPr="00A02ACB" w:rsidRDefault="001D26BC" w:rsidP="001D26BC">
      <w:pPr>
        <w:autoSpaceDE w:val="0"/>
        <w:autoSpaceDN w:val="0"/>
        <w:adjustRightInd w:val="0"/>
        <w:ind w:firstLine="720"/>
        <w:jc w:val="both"/>
        <w:rPr>
          <w:color w:val="000000"/>
          <w:sz w:val="28"/>
          <w:lang w:eastAsia="lv-LV"/>
        </w:rPr>
      </w:pPr>
      <w:r w:rsidRPr="00A02ACB">
        <w:rPr>
          <w:color w:val="000000"/>
          <w:sz w:val="28"/>
          <w:lang w:eastAsia="lv-LV"/>
        </w:rPr>
        <w:t>Jāatzīmē, ka atsevišķas tēmas tika pētītas arī LPSR augstākajās mācību iestādēs: Latvijas Universitātes un RTU (toreiz Rīgas Politehniskā institūta) katedrās, zinātniski pētnieciskajās grupās un laboratorijās. Tāpat arī atsevišķu ar kosmosa problemātiku saistītu pētījumu rezultātā tika izveidoti jauni virzieni, piemēram, optisko stiklu fizikas virziens Latvijā – Latvijas Universitātes Cietvielu Fizikas institūtā. Jāatzīmē arī tas, ka tajā laikā ar zinātniski eksperimentālo rūpnīcu starpniecību vairākas pētniecības izstrādnes tika ieviestas ražošanā, īpaši radioelektronikas</w:t>
      </w:r>
      <w:r w:rsidRPr="00A02ACB">
        <w:rPr>
          <w:color w:val="004080"/>
          <w:sz w:val="28"/>
          <w:lang w:eastAsia="lv-LV"/>
        </w:rPr>
        <w:t>,</w:t>
      </w:r>
      <w:r w:rsidRPr="00A02ACB">
        <w:rPr>
          <w:sz w:val="28"/>
          <w:lang w:eastAsia="lv-LV"/>
        </w:rPr>
        <w:t xml:space="preserve"> </w:t>
      </w:r>
      <w:proofErr w:type="spellStart"/>
      <w:r w:rsidRPr="00A02ACB">
        <w:rPr>
          <w:sz w:val="28"/>
          <w:lang w:eastAsia="lv-LV"/>
        </w:rPr>
        <w:t>optoelektronikas</w:t>
      </w:r>
      <w:proofErr w:type="spellEnd"/>
      <w:r w:rsidRPr="00A02ACB">
        <w:rPr>
          <w:color w:val="000000"/>
          <w:sz w:val="28"/>
          <w:lang w:eastAsia="lv-LV"/>
        </w:rPr>
        <w:t xml:space="preserve">  un dažādu viļņu spektra </w:t>
      </w:r>
      <w:proofErr w:type="spellStart"/>
      <w:r w:rsidRPr="00A02ACB">
        <w:rPr>
          <w:color w:val="000000"/>
          <w:sz w:val="28"/>
          <w:lang w:eastAsia="lv-LV"/>
        </w:rPr>
        <w:t>detekcijas</w:t>
      </w:r>
      <w:proofErr w:type="spellEnd"/>
      <w:r w:rsidRPr="00A02ACB">
        <w:rPr>
          <w:color w:val="000000"/>
          <w:sz w:val="28"/>
          <w:lang w:eastAsia="lv-LV"/>
        </w:rPr>
        <w:t xml:space="preserve"> iekārtu ražošanas jomās. </w:t>
      </w:r>
    </w:p>
    <w:p w:rsidR="001D26BC" w:rsidRPr="00A02ACB" w:rsidRDefault="001D26BC" w:rsidP="001D26BC">
      <w:pPr>
        <w:autoSpaceDE w:val="0"/>
        <w:autoSpaceDN w:val="0"/>
        <w:adjustRightInd w:val="0"/>
        <w:ind w:firstLine="720"/>
        <w:jc w:val="both"/>
        <w:rPr>
          <w:color w:val="000000"/>
          <w:sz w:val="28"/>
          <w:lang w:eastAsia="lv-LV"/>
        </w:rPr>
      </w:pPr>
      <w:r w:rsidRPr="00A02ACB">
        <w:rPr>
          <w:color w:val="000000"/>
          <w:sz w:val="28"/>
          <w:lang w:eastAsia="lv-LV"/>
        </w:rPr>
        <w:t xml:space="preserve">Apkopojot galvenās zinātnisko institūtu aktivitātes, kļūst redzams, ka tās ir bijušas savstarpēji nesaistītas un vērstas uz ļoti dažādu kosmosa tehnoloģiju atsevišķu komponenšu pētniecību, vai arī uz dažādu kosmosa </w:t>
      </w:r>
      <w:r w:rsidRPr="00A02ACB">
        <w:rPr>
          <w:color w:val="000000"/>
          <w:sz w:val="28"/>
          <w:lang w:eastAsia="lv-LV"/>
        </w:rPr>
        <w:lastRenderedPageBreak/>
        <w:t xml:space="preserve">tehnoloģiju izmantošanas gaitā radušos problēmu risinājumu meklējumu balstītu pētniecību. Vēl jo vairāk, kā likums, </w:t>
      </w:r>
      <w:r>
        <w:rPr>
          <w:color w:val="000000"/>
          <w:sz w:val="28"/>
          <w:lang w:eastAsia="lv-LV"/>
        </w:rPr>
        <w:t>Latvijas</w:t>
      </w:r>
      <w:r w:rsidRPr="00A02ACB">
        <w:rPr>
          <w:color w:val="000000"/>
          <w:sz w:val="28"/>
          <w:lang w:eastAsia="lv-LV"/>
        </w:rPr>
        <w:t xml:space="preserve"> institūti bijuši kāda vadoša PSRS institūta līgumdarbu izpildītāji, tādējādi projektā iesaistītajiem pētniekiem nebija pieejama pilna informācija par iegūto pētījumu rezultātu un to praktisko pielietojamību. Finansējumam kardināli samazinoties astoņdesmito gadu pirmajā pusē visā PSRS, tikai daži pētījumi tika turpināti Latvijā, kuru izpildi finansēja individuāli pētījuma granti</w:t>
      </w:r>
      <w:r w:rsidR="00D37041">
        <w:rPr>
          <w:color w:val="000000"/>
          <w:sz w:val="28"/>
          <w:lang w:eastAsia="lv-LV"/>
        </w:rPr>
        <w:t>.</w:t>
      </w:r>
      <w:r w:rsidRPr="00A02ACB">
        <w:rPr>
          <w:color w:val="000000"/>
          <w:sz w:val="28"/>
          <w:lang w:eastAsia="lv-LV"/>
        </w:rPr>
        <w:t xml:space="preserve"> Paralēli PSRS kosmosa programmām vairāki Latvijas izcelsmes zinātnieki ir strādājuši dažu citu valstu kosmosa aģentūrās, piemēram, ASV kosmosa un aeronautikas aģentūrā </w:t>
      </w:r>
      <w:r w:rsidRPr="00A02ACB">
        <w:rPr>
          <w:i/>
          <w:iCs/>
          <w:color w:val="000000"/>
          <w:sz w:val="28"/>
          <w:lang w:eastAsia="lv-LV"/>
        </w:rPr>
        <w:t>NASA</w:t>
      </w:r>
      <w:r w:rsidRPr="00A02ACB">
        <w:rPr>
          <w:color w:val="000000"/>
          <w:sz w:val="28"/>
          <w:lang w:eastAsia="lv-LV"/>
        </w:rPr>
        <w:t xml:space="preserve">. Tomēr pēdējos piecos gados ir novērojamas šajā ziņā pozitīvas pārmaiņas. Pārmaiņu pamatā ir Eiropas reģionālās attīstības fonda, kā arī Eiropas Komisijas FP7  finansējuma piesaiste zinātnei - cilvēkresursu kvalifikācijas celšanā un jaunu zinātnisku grupu veidošanā, piesaistot ārzemju ekspertus. Šāda prakse šobrīd tiek realizēta Latvijas Universitātē, Rīgas Tehniskajā universitātē un Ventspils augstskolā. </w:t>
      </w:r>
    </w:p>
    <w:p w:rsidR="001D26BC" w:rsidRPr="00A02ACB" w:rsidRDefault="001D26BC" w:rsidP="001D26BC">
      <w:pPr>
        <w:autoSpaceDE w:val="0"/>
        <w:autoSpaceDN w:val="0"/>
        <w:adjustRightInd w:val="0"/>
        <w:jc w:val="both"/>
        <w:rPr>
          <w:color w:val="000000"/>
          <w:sz w:val="28"/>
          <w:lang w:eastAsia="lv-LV"/>
        </w:rPr>
      </w:pPr>
      <w:r w:rsidRPr="00A02ACB">
        <w:rPr>
          <w:color w:val="000000"/>
          <w:sz w:val="28"/>
          <w:lang w:eastAsia="lv-LV"/>
        </w:rPr>
        <w:t xml:space="preserve">        Atjaunojoties Latvijas neatkarībai, tika uzsākta aktīva zinātnisko institūtu divpusējā (bilateriālā) sadarbība ar Rietumeiropas valstīm. Šīs agrīnās sadarbības rezultātā vairāki zinātniskie institūti jau pagājušā gadsimta deviņdesmito gadu vidū spēja iesaistīties Eiropas Komisijas Ietvara programmās, ko aktīvi turpina arī šobrīd. Iesaistoties šajās sadarbības programmās tika uzsākta sadarbība ar Rietumeiropas Kosmosa aģentūrām, piemēram, Vācijas aeronautikas un kosmosa aģentūru </w:t>
      </w:r>
      <w:r w:rsidRPr="00A02ACB">
        <w:rPr>
          <w:i/>
          <w:iCs/>
          <w:color w:val="000000"/>
          <w:sz w:val="28"/>
          <w:lang w:eastAsia="lv-LV"/>
        </w:rPr>
        <w:t>DLR</w:t>
      </w:r>
      <w:r w:rsidRPr="00A02ACB">
        <w:rPr>
          <w:color w:val="000000"/>
          <w:sz w:val="28"/>
          <w:lang w:eastAsia="lv-LV"/>
        </w:rPr>
        <w:t>. Apkopojot FP6</w:t>
      </w:r>
      <w:r>
        <w:rPr>
          <w:color w:val="000000"/>
          <w:sz w:val="28"/>
          <w:lang w:eastAsia="lv-LV"/>
        </w:rPr>
        <w:t xml:space="preserve"> </w:t>
      </w:r>
      <w:r w:rsidRPr="00A02ACB">
        <w:rPr>
          <w:color w:val="000000"/>
          <w:sz w:val="28"/>
          <w:lang w:eastAsia="lv-LV"/>
        </w:rPr>
        <w:t xml:space="preserve">un FP7 programmas datus, var secināt, ka aptuveni 5% no visiem (aptuveni 140) pētniecības projektiem, kuros piedalās Latvijas zinātnieki, ir sadarbībā ar Vācijas kosmosa aģentūru. Šāda sadarbība ir ļoti būtisks zinātniskās kapacitātes novērtējuma rādītājs, un ilgspējīga sadarbība ar šo un citām Rietumeiropas kosmosa aģentūrām būtu īpaši jāveicina. Paralēli šo sadarbības projektu ietvaros Latvijas zinātnieku partnerība ir izveidojusies arī ar lielākajām Eiropas kosmosa korporācijām, tādām kā </w:t>
      </w:r>
      <w:r w:rsidRPr="00A02ACB">
        <w:rPr>
          <w:i/>
          <w:iCs/>
          <w:color w:val="000000"/>
          <w:sz w:val="28"/>
          <w:lang w:eastAsia="lv-LV"/>
        </w:rPr>
        <w:t>EADS</w:t>
      </w:r>
      <w:r w:rsidRPr="00A02ACB">
        <w:rPr>
          <w:color w:val="000000"/>
          <w:sz w:val="28"/>
          <w:lang w:eastAsia="lv-LV"/>
        </w:rPr>
        <w:t xml:space="preserve"> un </w:t>
      </w:r>
      <w:proofErr w:type="spellStart"/>
      <w:r w:rsidRPr="00A02ACB">
        <w:rPr>
          <w:i/>
          <w:iCs/>
          <w:color w:val="000000"/>
          <w:sz w:val="28"/>
          <w:lang w:eastAsia="lv-LV"/>
        </w:rPr>
        <w:t>Thales</w:t>
      </w:r>
      <w:proofErr w:type="spellEnd"/>
      <w:r w:rsidRPr="00A02ACB">
        <w:rPr>
          <w:i/>
          <w:iCs/>
          <w:color w:val="000000"/>
          <w:sz w:val="28"/>
          <w:lang w:eastAsia="lv-LV"/>
        </w:rPr>
        <w:t xml:space="preserve"> </w:t>
      </w:r>
      <w:proofErr w:type="spellStart"/>
      <w:r w:rsidRPr="00A02ACB">
        <w:rPr>
          <w:i/>
          <w:iCs/>
          <w:color w:val="000000"/>
          <w:sz w:val="28"/>
          <w:lang w:eastAsia="lv-LV"/>
        </w:rPr>
        <w:t>Group</w:t>
      </w:r>
      <w:proofErr w:type="spellEnd"/>
      <w:r w:rsidRPr="00A02ACB">
        <w:rPr>
          <w:color w:val="000000"/>
          <w:sz w:val="28"/>
          <w:lang w:eastAsia="lv-LV"/>
        </w:rPr>
        <w:t xml:space="preserve">. Tomēr regulāru zinātnisko </w:t>
      </w:r>
      <w:proofErr w:type="spellStart"/>
      <w:r w:rsidRPr="00A02ACB">
        <w:rPr>
          <w:color w:val="000000"/>
          <w:sz w:val="28"/>
          <w:lang w:eastAsia="lv-LV"/>
        </w:rPr>
        <w:t>kontraktsaistību</w:t>
      </w:r>
      <w:proofErr w:type="spellEnd"/>
      <w:r w:rsidRPr="00A02ACB">
        <w:rPr>
          <w:color w:val="000000"/>
          <w:sz w:val="28"/>
          <w:lang w:eastAsia="lv-LV"/>
        </w:rPr>
        <w:t xml:space="preserve"> nodibināšanu ar </w:t>
      </w:r>
      <w:r w:rsidRPr="00A02ACB">
        <w:rPr>
          <w:i/>
          <w:iCs/>
          <w:color w:val="000000"/>
          <w:sz w:val="28"/>
          <w:lang w:eastAsia="lv-LV"/>
        </w:rPr>
        <w:t xml:space="preserve">EADS </w:t>
      </w:r>
      <w:proofErr w:type="spellStart"/>
      <w:r w:rsidRPr="00A02ACB">
        <w:rPr>
          <w:i/>
          <w:iCs/>
          <w:color w:val="000000"/>
          <w:sz w:val="28"/>
          <w:lang w:eastAsia="lv-LV"/>
        </w:rPr>
        <w:t>Astrium</w:t>
      </w:r>
      <w:proofErr w:type="spellEnd"/>
      <w:r w:rsidRPr="00A02ACB">
        <w:rPr>
          <w:color w:val="000000"/>
          <w:sz w:val="28"/>
          <w:lang w:eastAsia="lv-LV"/>
        </w:rPr>
        <w:t xml:space="preserve"> ir spējusi tikai Latvijas Koksnes Ķīmijas institūta Polimēru laboratorija. </w:t>
      </w:r>
      <w:r w:rsidRPr="00A02ACB">
        <w:rPr>
          <w:sz w:val="28"/>
          <w:lang w:eastAsia="lv-LV"/>
        </w:rPr>
        <w:t xml:space="preserve">Vēl viens piemērs ir Latvijas Universitātes Astronomijas institūts, kurš ir iesaistīts satelītu novērošanā un ar to saistīto </w:t>
      </w:r>
      <w:r w:rsidR="00D37041" w:rsidRPr="00A02ACB">
        <w:rPr>
          <w:sz w:val="28"/>
          <w:lang w:eastAsia="lv-LV"/>
        </w:rPr>
        <w:t>tehnoloģiju</w:t>
      </w:r>
      <w:r w:rsidRPr="00A02ACB">
        <w:rPr>
          <w:sz w:val="28"/>
          <w:lang w:eastAsia="lv-LV"/>
        </w:rPr>
        <w:t xml:space="preserve"> izstrādē un sekmīgi darbojas  atbilstoša profila Eiropas un starptautiskajās organizācijās, tajā skaitā </w:t>
      </w:r>
      <w:proofErr w:type="spellStart"/>
      <w:r w:rsidRPr="00A02ACB">
        <w:rPr>
          <w:sz w:val="28"/>
          <w:lang w:eastAsia="lv-LV"/>
        </w:rPr>
        <w:t>International</w:t>
      </w:r>
      <w:proofErr w:type="spellEnd"/>
      <w:r w:rsidRPr="00A02ACB">
        <w:rPr>
          <w:sz w:val="28"/>
          <w:lang w:eastAsia="lv-LV"/>
        </w:rPr>
        <w:t xml:space="preserve"> </w:t>
      </w:r>
      <w:proofErr w:type="spellStart"/>
      <w:r w:rsidRPr="00A02ACB">
        <w:rPr>
          <w:sz w:val="28"/>
          <w:lang w:eastAsia="lv-LV"/>
        </w:rPr>
        <w:t>Laser</w:t>
      </w:r>
      <w:proofErr w:type="spellEnd"/>
      <w:r w:rsidRPr="00A02ACB">
        <w:rPr>
          <w:sz w:val="28"/>
          <w:lang w:eastAsia="lv-LV"/>
        </w:rPr>
        <w:t xml:space="preserve"> </w:t>
      </w:r>
      <w:proofErr w:type="spellStart"/>
      <w:r w:rsidRPr="00A02ACB">
        <w:rPr>
          <w:sz w:val="28"/>
          <w:lang w:eastAsia="lv-LV"/>
        </w:rPr>
        <w:t>Ranging</w:t>
      </w:r>
      <w:proofErr w:type="spellEnd"/>
      <w:r w:rsidRPr="00A02ACB">
        <w:rPr>
          <w:sz w:val="28"/>
          <w:lang w:eastAsia="lv-LV"/>
        </w:rPr>
        <w:t xml:space="preserve"> </w:t>
      </w:r>
      <w:proofErr w:type="spellStart"/>
      <w:r w:rsidRPr="00A02ACB">
        <w:rPr>
          <w:sz w:val="28"/>
          <w:lang w:eastAsia="lv-LV"/>
        </w:rPr>
        <w:t>Service</w:t>
      </w:r>
      <w:proofErr w:type="spellEnd"/>
      <w:r w:rsidR="00D37041">
        <w:rPr>
          <w:sz w:val="28"/>
          <w:lang w:eastAsia="lv-LV"/>
        </w:rPr>
        <w:t xml:space="preserve"> </w:t>
      </w:r>
      <w:r w:rsidRPr="00A02ACB">
        <w:rPr>
          <w:sz w:val="28"/>
          <w:lang w:eastAsia="lv-LV"/>
        </w:rPr>
        <w:t>(ILRS), no 1992. gada, EUREF/EPN</w:t>
      </w:r>
      <w:r>
        <w:rPr>
          <w:sz w:val="28"/>
          <w:lang w:eastAsia="lv-LV"/>
        </w:rPr>
        <w:t xml:space="preserve"> </w:t>
      </w:r>
      <w:r w:rsidRPr="00A02ACB">
        <w:rPr>
          <w:sz w:val="28"/>
          <w:lang w:eastAsia="lv-LV"/>
        </w:rPr>
        <w:t xml:space="preserve">(no 1995. gada), </w:t>
      </w:r>
      <w:proofErr w:type="spellStart"/>
      <w:r w:rsidRPr="00A02ACB">
        <w:rPr>
          <w:sz w:val="28"/>
          <w:lang w:eastAsia="lv-LV"/>
        </w:rPr>
        <w:t>International</w:t>
      </w:r>
      <w:proofErr w:type="spellEnd"/>
      <w:r w:rsidRPr="00A02ACB">
        <w:rPr>
          <w:sz w:val="28"/>
          <w:lang w:eastAsia="lv-LV"/>
        </w:rPr>
        <w:t xml:space="preserve"> </w:t>
      </w:r>
      <w:proofErr w:type="spellStart"/>
      <w:r w:rsidRPr="00A02ACB">
        <w:rPr>
          <w:sz w:val="28"/>
          <w:lang w:eastAsia="lv-LV"/>
        </w:rPr>
        <w:t>Global</w:t>
      </w:r>
      <w:proofErr w:type="spellEnd"/>
      <w:r w:rsidRPr="00A02ACB">
        <w:rPr>
          <w:sz w:val="28"/>
          <w:lang w:eastAsia="lv-LV"/>
        </w:rPr>
        <w:t xml:space="preserve"> </w:t>
      </w:r>
      <w:proofErr w:type="spellStart"/>
      <w:r w:rsidRPr="00A02ACB">
        <w:rPr>
          <w:sz w:val="28"/>
          <w:lang w:eastAsia="lv-LV"/>
        </w:rPr>
        <w:t>Navigation</w:t>
      </w:r>
      <w:proofErr w:type="spellEnd"/>
      <w:r w:rsidRPr="00A02ACB">
        <w:rPr>
          <w:sz w:val="28"/>
          <w:lang w:eastAsia="lv-LV"/>
        </w:rPr>
        <w:t xml:space="preserve"> </w:t>
      </w:r>
      <w:proofErr w:type="spellStart"/>
      <w:r w:rsidRPr="00A02ACB">
        <w:rPr>
          <w:sz w:val="28"/>
          <w:lang w:eastAsia="lv-LV"/>
        </w:rPr>
        <w:t>Satellite</w:t>
      </w:r>
      <w:proofErr w:type="spellEnd"/>
      <w:r w:rsidRPr="00A02ACB">
        <w:rPr>
          <w:sz w:val="28"/>
          <w:lang w:eastAsia="lv-LV"/>
        </w:rPr>
        <w:t xml:space="preserve"> </w:t>
      </w:r>
      <w:proofErr w:type="spellStart"/>
      <w:r w:rsidRPr="00A02ACB">
        <w:rPr>
          <w:sz w:val="28"/>
          <w:lang w:eastAsia="lv-LV"/>
        </w:rPr>
        <w:t>System</w:t>
      </w:r>
      <w:proofErr w:type="spellEnd"/>
      <w:r w:rsidRPr="00A02ACB">
        <w:rPr>
          <w:sz w:val="28"/>
          <w:lang w:eastAsia="lv-LV"/>
        </w:rPr>
        <w:t xml:space="preserve"> </w:t>
      </w:r>
      <w:proofErr w:type="spellStart"/>
      <w:r w:rsidRPr="00A02ACB">
        <w:rPr>
          <w:sz w:val="28"/>
          <w:lang w:eastAsia="lv-LV"/>
        </w:rPr>
        <w:t>Service</w:t>
      </w:r>
      <w:proofErr w:type="spellEnd"/>
      <w:r w:rsidRPr="00A02ACB">
        <w:rPr>
          <w:sz w:val="28"/>
          <w:lang w:eastAsia="lv-LV"/>
        </w:rPr>
        <w:t xml:space="preserve"> (IGS) – no 2005. gada. Institūta rīcībā ir tajā izstrādāta </w:t>
      </w:r>
      <w:proofErr w:type="spellStart"/>
      <w:r w:rsidRPr="00A02ACB">
        <w:rPr>
          <w:sz w:val="28"/>
          <w:lang w:eastAsia="lv-LV"/>
        </w:rPr>
        <w:t>satelītlāzerlokācijas</w:t>
      </w:r>
      <w:proofErr w:type="spellEnd"/>
      <w:r w:rsidRPr="00A02ACB">
        <w:rPr>
          <w:sz w:val="28"/>
          <w:lang w:eastAsia="lv-LV"/>
        </w:rPr>
        <w:t xml:space="preserve"> sistēma, kura spēj mērīt attālumus līdz satelītiem orbītā ar </w:t>
      </w:r>
      <w:proofErr w:type="spellStart"/>
      <w:r w:rsidRPr="00A02ACB">
        <w:rPr>
          <w:sz w:val="28"/>
          <w:lang w:eastAsia="lv-LV"/>
        </w:rPr>
        <w:t>subcentimetru</w:t>
      </w:r>
      <w:proofErr w:type="spellEnd"/>
      <w:r w:rsidRPr="00A02ACB">
        <w:rPr>
          <w:sz w:val="28"/>
          <w:lang w:eastAsia="lv-LV"/>
        </w:rPr>
        <w:t xml:space="preserve"> precizitāti un tā ir viena no 40 pašlaik darbojošās iekārtām  visā pasaulē un vienīgā  Baltijā. Satelītu novērojumi un ar to saistīto </w:t>
      </w:r>
      <w:r w:rsidR="00D37041" w:rsidRPr="00A02ACB">
        <w:rPr>
          <w:sz w:val="28"/>
          <w:lang w:eastAsia="lv-LV"/>
        </w:rPr>
        <w:t>tehnoloģiju</w:t>
      </w:r>
      <w:r w:rsidRPr="00A02ACB">
        <w:rPr>
          <w:sz w:val="28"/>
          <w:lang w:eastAsia="lv-LV"/>
        </w:rPr>
        <w:t xml:space="preserve"> izstrāde ir viena no jomām, kura ir fiksēta Latvijas</w:t>
      </w:r>
      <w:r>
        <w:rPr>
          <w:sz w:val="28"/>
          <w:lang w:eastAsia="lv-LV"/>
        </w:rPr>
        <w:t xml:space="preserve"> </w:t>
      </w:r>
      <w:r>
        <w:rPr>
          <w:sz w:val="28"/>
          <w:lang w:eastAsia="lv-LV"/>
        </w:rPr>
        <w:lastRenderedPageBreak/>
        <w:t>valdības</w:t>
      </w:r>
      <w:r w:rsidRPr="00A02ACB">
        <w:rPr>
          <w:sz w:val="28"/>
          <w:lang w:eastAsia="lv-LV"/>
        </w:rPr>
        <w:t xml:space="preserve"> un EKA līgumā par sadarbību kosmosa jomā</w:t>
      </w:r>
      <w:r>
        <w:rPr>
          <w:sz w:val="28"/>
          <w:lang w:eastAsia="lv-LV"/>
        </w:rPr>
        <w:t xml:space="preserve"> miermīlīgiem mērķiem</w:t>
      </w:r>
      <w:r w:rsidRPr="00A02ACB">
        <w:rPr>
          <w:sz w:val="28"/>
          <w:lang w:eastAsia="lv-LV"/>
        </w:rPr>
        <w:t xml:space="preserve"> 2.pantā – 2b,</w:t>
      </w:r>
      <w:r>
        <w:rPr>
          <w:sz w:val="28"/>
          <w:lang w:eastAsia="lv-LV"/>
        </w:rPr>
        <w:t xml:space="preserve"> </w:t>
      </w:r>
      <w:r w:rsidRPr="00A02ACB">
        <w:rPr>
          <w:sz w:val="28"/>
          <w:lang w:eastAsia="lv-LV"/>
        </w:rPr>
        <w:t xml:space="preserve">2c un 2e. Jāatzīmē, ka būtisku sistēmas komponentu laika intervālu mērīšanai ar </w:t>
      </w:r>
      <w:proofErr w:type="spellStart"/>
      <w:r w:rsidRPr="00A02ACB">
        <w:rPr>
          <w:sz w:val="28"/>
          <w:lang w:eastAsia="lv-LV"/>
        </w:rPr>
        <w:t>pikosekunžu</w:t>
      </w:r>
      <w:proofErr w:type="spellEnd"/>
      <w:r w:rsidRPr="00A02ACB">
        <w:rPr>
          <w:sz w:val="28"/>
          <w:lang w:eastAsia="lv-LV"/>
        </w:rPr>
        <w:t xml:space="preserve"> precizitāti ir izstrādājis LZA Elektronikas un datorzinātņu institūts un izstrādātā iekārta ir viens no </w:t>
      </w:r>
      <w:proofErr w:type="spellStart"/>
      <w:r w:rsidRPr="00A02ACB">
        <w:rPr>
          <w:i/>
          <w:iCs/>
          <w:sz w:val="28"/>
          <w:lang w:eastAsia="lv-LV"/>
        </w:rPr>
        <w:t>de</w:t>
      </w:r>
      <w:proofErr w:type="spellEnd"/>
      <w:r w:rsidRPr="00A02ACB">
        <w:rPr>
          <w:i/>
          <w:iCs/>
          <w:sz w:val="28"/>
          <w:lang w:eastAsia="lv-LV"/>
        </w:rPr>
        <w:t xml:space="preserve"> </w:t>
      </w:r>
      <w:proofErr w:type="spellStart"/>
      <w:r w:rsidRPr="00A02ACB">
        <w:rPr>
          <w:i/>
          <w:iCs/>
          <w:sz w:val="28"/>
          <w:lang w:eastAsia="lv-LV"/>
        </w:rPr>
        <w:t>facto</w:t>
      </w:r>
      <w:proofErr w:type="spellEnd"/>
      <w:r w:rsidRPr="00A02ACB">
        <w:rPr>
          <w:sz w:val="28"/>
          <w:lang w:eastAsia="lv-LV"/>
        </w:rPr>
        <w:t xml:space="preserve"> standartiem starptautiskajā satelītu </w:t>
      </w:r>
      <w:proofErr w:type="spellStart"/>
      <w:r w:rsidRPr="00A02ACB">
        <w:rPr>
          <w:sz w:val="28"/>
          <w:lang w:eastAsia="lv-LV"/>
        </w:rPr>
        <w:t>lāzernovērojumu</w:t>
      </w:r>
      <w:proofErr w:type="spellEnd"/>
      <w:r w:rsidRPr="00A02ACB">
        <w:rPr>
          <w:sz w:val="28"/>
          <w:lang w:eastAsia="lv-LV"/>
        </w:rPr>
        <w:t xml:space="preserve"> tīklā. LU Astronomijas institūtā  veiktie regulārie satelītu novērojumi definē Latvijas </w:t>
      </w:r>
      <w:r w:rsidR="00D37041" w:rsidRPr="00A02ACB">
        <w:rPr>
          <w:sz w:val="28"/>
          <w:lang w:eastAsia="lv-LV"/>
        </w:rPr>
        <w:t>Ģeodēziskās</w:t>
      </w:r>
      <w:r w:rsidRPr="00A02ACB">
        <w:rPr>
          <w:sz w:val="28"/>
          <w:lang w:eastAsia="lv-LV"/>
        </w:rPr>
        <w:t xml:space="preserve"> koordinātu sistēmas LKS-92 sākumpunktu. Institūts aktīvi sadarbojas ar sadarbības partneriem Eiropā </w:t>
      </w:r>
      <w:proofErr w:type="spellStart"/>
      <w:r w:rsidRPr="00A02ACB">
        <w:rPr>
          <w:sz w:val="28"/>
          <w:lang w:eastAsia="lv-LV"/>
        </w:rPr>
        <w:t>lāzerlokācijas</w:t>
      </w:r>
      <w:proofErr w:type="spellEnd"/>
      <w:r w:rsidRPr="00A02ACB">
        <w:rPr>
          <w:sz w:val="28"/>
          <w:lang w:eastAsia="lv-LV"/>
        </w:rPr>
        <w:t xml:space="preserve"> </w:t>
      </w:r>
      <w:r w:rsidR="00D37041" w:rsidRPr="00A02ACB">
        <w:rPr>
          <w:sz w:val="28"/>
          <w:lang w:eastAsia="lv-LV"/>
        </w:rPr>
        <w:t>tehnoloģiju</w:t>
      </w:r>
      <w:r w:rsidRPr="00A02ACB">
        <w:rPr>
          <w:sz w:val="28"/>
          <w:lang w:eastAsia="lv-LV"/>
        </w:rPr>
        <w:t xml:space="preserve"> uzlabošanā kā arī tiek veikti priekšdarbi jaunu, perspektīvu projektu izstrādei. </w:t>
      </w:r>
      <w:r w:rsidRPr="00A02ACB">
        <w:rPr>
          <w:color w:val="004080"/>
          <w:sz w:val="28"/>
          <w:lang w:eastAsia="lv-LV"/>
        </w:rPr>
        <w:t>    </w:t>
      </w:r>
    </w:p>
    <w:p w:rsidR="001D26BC" w:rsidRPr="00A02ACB" w:rsidRDefault="001D26BC" w:rsidP="001D26BC">
      <w:pPr>
        <w:autoSpaceDE w:val="0"/>
        <w:autoSpaceDN w:val="0"/>
        <w:adjustRightInd w:val="0"/>
        <w:jc w:val="both"/>
        <w:rPr>
          <w:color w:val="000000"/>
          <w:sz w:val="28"/>
          <w:lang w:eastAsia="lv-LV"/>
        </w:rPr>
      </w:pPr>
      <w:r w:rsidRPr="00A02ACB">
        <w:rPr>
          <w:color w:val="000000"/>
          <w:sz w:val="28"/>
          <w:lang w:eastAsia="lv-LV"/>
        </w:rPr>
        <w:t xml:space="preserve">        Šobrīd novērtējot Latvijas zinātnisko institūtu kapacitātes, kā perspektīvākās jāmin informāciju tehnoloģiju sfēras iespējas kosmisko datu bāzētu programmatūru izstrādē, izmantojot tādu ES iniciatīvu kā GMES un Galileo vai arī šobrīd pieejamo EUMETSAT datu apstrādē un uz šiem </w:t>
      </w:r>
      <w:proofErr w:type="spellStart"/>
      <w:r w:rsidRPr="00A02ACB">
        <w:rPr>
          <w:color w:val="000000"/>
          <w:sz w:val="28"/>
          <w:lang w:eastAsia="lv-LV"/>
        </w:rPr>
        <w:t>tālizpētes</w:t>
      </w:r>
      <w:proofErr w:type="spellEnd"/>
      <w:r w:rsidRPr="00A02ACB">
        <w:rPr>
          <w:color w:val="000000"/>
          <w:sz w:val="28"/>
          <w:lang w:eastAsia="lv-LV"/>
        </w:rPr>
        <w:t xml:space="preserve"> datiem bāzētu programmatūru izstrādē. Šādām uz civilo mērķu orientētiem lietotājiem draudzīgiem risinājumiem ir, pirmkārt, liels ES finansiāls atbalsts, un jau šobrīd Latvija veic savus ikgadējos saistītos maksājumus par, piemēram, EUMETSAT datiem, otrkārt, nav nepieciešama dārga infrastruktūra produktu izstrādei, treškārt, nav stabili izveidojies tirgus segments, kurā ir gandrīz neiespējami iesaistīties jaunam uzņēmumam ar grandiozām idejām. Šī virziena perspektīvu un attīstīšanas nepieciešamību apliecina arī tas, ka Latvijā ir pieejama infrastruktūra kosmisko datu alternatīvai uztveršanai – </w:t>
      </w:r>
      <w:r w:rsidR="00D37041">
        <w:rPr>
          <w:color w:val="000000"/>
          <w:sz w:val="28"/>
          <w:lang w:eastAsia="lv-LV"/>
        </w:rPr>
        <w:t xml:space="preserve"> IZI </w:t>
      </w:r>
      <w:r w:rsidRPr="00A02ACB">
        <w:rPr>
          <w:color w:val="000000"/>
          <w:sz w:val="28"/>
          <w:lang w:eastAsia="lv-LV"/>
        </w:rPr>
        <w:t xml:space="preserve">VSRC Irbenē. Līdzīga stratēģija ir arī kaimiņvalsts Igaunijas virzībai uz Eiropas Kosmosa Aģentūras dalības valsts statusa nodrošināšanai. No otras puses Latvijā vēsturiski izveidojušās pētniecības tradīcijas kosmosa tehnoloģiju jomā, kas ir saistītas ar </w:t>
      </w:r>
      <w:proofErr w:type="spellStart"/>
      <w:r w:rsidRPr="00A02ACB">
        <w:rPr>
          <w:color w:val="000000"/>
          <w:sz w:val="28"/>
          <w:lang w:eastAsia="lv-LV"/>
        </w:rPr>
        <w:t>materiālzinātņu</w:t>
      </w:r>
      <w:proofErr w:type="spellEnd"/>
      <w:r w:rsidRPr="00A02ACB">
        <w:rPr>
          <w:color w:val="000000"/>
          <w:sz w:val="28"/>
          <w:lang w:eastAsia="lv-LV"/>
        </w:rPr>
        <w:t xml:space="preserve"> un fizikas pētījumiem, kā arī radioelektronikas tehnoloģiju risinājumiem, šīs zinātniskās iestrādnes arī turpmāk būs ļoti pieprasīti sadarbībā ar Eiropas Kosmosa aģentūrām. Tomēr šo pētniecības nozaru pilna kapacitātes un konkurētspējas nodrošināšana ir saistīta ar salīdzinoši augstu eksperimentālo iekārtu uzturēšanas un amortizācijas izmaksām, kuru segšanai ir nepieciešama pētījumu grantu nepārtrauktība. </w:t>
      </w:r>
    </w:p>
    <w:p w:rsidR="001D26BC" w:rsidRDefault="001D26BC" w:rsidP="001D26BC">
      <w:pPr>
        <w:autoSpaceDE w:val="0"/>
        <w:autoSpaceDN w:val="0"/>
        <w:adjustRightInd w:val="0"/>
        <w:ind w:firstLine="720"/>
        <w:jc w:val="both"/>
        <w:rPr>
          <w:color w:val="004080"/>
          <w:sz w:val="28"/>
          <w:lang w:eastAsia="lv-LV"/>
        </w:rPr>
      </w:pPr>
      <w:r w:rsidRPr="00A02ACB">
        <w:rPr>
          <w:color w:val="000000"/>
          <w:sz w:val="28"/>
          <w:lang w:eastAsia="lv-LV"/>
        </w:rPr>
        <w:t xml:space="preserve">Ir svarīgi atzīmēt, ka aizvien vēl nav zudušas iespējas, ko garantē Latvijas zinātnieku ilggadīga atrašanās pasaules līderu vidū  satelītu </w:t>
      </w:r>
      <w:proofErr w:type="spellStart"/>
      <w:r w:rsidRPr="00A02ACB">
        <w:rPr>
          <w:color w:val="000000"/>
          <w:sz w:val="28"/>
          <w:lang w:eastAsia="lv-LV"/>
        </w:rPr>
        <w:t>lāzerlokācijas</w:t>
      </w:r>
      <w:proofErr w:type="spellEnd"/>
      <w:r w:rsidRPr="00A02ACB">
        <w:rPr>
          <w:color w:val="000000"/>
          <w:sz w:val="28"/>
          <w:lang w:eastAsia="lv-LV"/>
        </w:rPr>
        <w:t xml:space="preserve"> jomā, neatlaidīgais darbs un sadarbības iespējas ar </w:t>
      </w:r>
      <w:r w:rsidR="00D37041" w:rsidRPr="00A02ACB">
        <w:rPr>
          <w:color w:val="000000"/>
          <w:sz w:val="28"/>
          <w:lang w:eastAsia="lv-LV"/>
        </w:rPr>
        <w:t>kolēģiem</w:t>
      </w:r>
      <w:r w:rsidRPr="00A02ACB">
        <w:rPr>
          <w:color w:val="000000"/>
          <w:sz w:val="28"/>
          <w:lang w:eastAsia="lv-LV"/>
        </w:rPr>
        <w:t xml:space="preserve"> Rietumu pasaulē pēc Latvijas neatkarības atjaunošanas. LU Astronomijas </w:t>
      </w:r>
      <w:r w:rsidR="00D37041" w:rsidRPr="00A02ACB">
        <w:rPr>
          <w:color w:val="000000"/>
          <w:sz w:val="28"/>
          <w:lang w:eastAsia="lv-LV"/>
        </w:rPr>
        <w:t>institūts</w:t>
      </w:r>
      <w:r w:rsidRPr="00A02ACB">
        <w:rPr>
          <w:color w:val="000000"/>
          <w:sz w:val="28"/>
          <w:lang w:eastAsia="lv-LV"/>
        </w:rPr>
        <w:t xml:space="preserve">, LU </w:t>
      </w:r>
      <w:r w:rsidR="00D37041" w:rsidRPr="00A02ACB">
        <w:rPr>
          <w:color w:val="000000"/>
          <w:sz w:val="28"/>
          <w:lang w:eastAsia="lv-LV"/>
        </w:rPr>
        <w:t>Ģeodēzijas</w:t>
      </w:r>
      <w:r w:rsidR="00D37041">
        <w:rPr>
          <w:color w:val="000000"/>
          <w:sz w:val="28"/>
          <w:lang w:eastAsia="lv-LV"/>
        </w:rPr>
        <w:t xml:space="preserve"> un </w:t>
      </w:r>
      <w:proofErr w:type="spellStart"/>
      <w:r w:rsidR="00D37041">
        <w:rPr>
          <w:color w:val="000000"/>
          <w:sz w:val="28"/>
          <w:lang w:eastAsia="lv-LV"/>
        </w:rPr>
        <w:t>Ģ</w:t>
      </w:r>
      <w:r w:rsidRPr="00A02ACB">
        <w:rPr>
          <w:color w:val="000000"/>
          <w:sz w:val="28"/>
          <w:lang w:eastAsia="lv-LV"/>
        </w:rPr>
        <w:t>eoinformātikas</w:t>
      </w:r>
      <w:proofErr w:type="spellEnd"/>
      <w:r w:rsidRPr="00A02ACB">
        <w:rPr>
          <w:color w:val="000000"/>
          <w:sz w:val="28"/>
          <w:lang w:eastAsia="lv-LV"/>
        </w:rPr>
        <w:t xml:space="preserve"> institūts  un LU Atomfizikas un </w:t>
      </w:r>
      <w:proofErr w:type="spellStart"/>
      <w:r w:rsidRPr="00A02ACB">
        <w:rPr>
          <w:color w:val="000000"/>
          <w:sz w:val="28"/>
          <w:lang w:eastAsia="lv-LV"/>
        </w:rPr>
        <w:t>Spektroskopijas</w:t>
      </w:r>
      <w:proofErr w:type="spellEnd"/>
      <w:r w:rsidRPr="00A02ACB">
        <w:rPr>
          <w:color w:val="000000"/>
          <w:sz w:val="28"/>
          <w:lang w:eastAsia="lv-LV"/>
        </w:rPr>
        <w:t xml:space="preserve"> institūts, kuri tagad veido </w:t>
      </w:r>
      <w:r w:rsidR="00D37041" w:rsidRPr="00A02ACB">
        <w:rPr>
          <w:color w:val="000000"/>
          <w:sz w:val="28"/>
          <w:lang w:eastAsia="lv-LV"/>
        </w:rPr>
        <w:t>asociāciju</w:t>
      </w:r>
      <w:r w:rsidR="00D37041">
        <w:rPr>
          <w:color w:val="000000"/>
          <w:sz w:val="28"/>
          <w:lang w:eastAsia="lv-LV"/>
        </w:rPr>
        <w:t xml:space="preserve"> FOTONIKA-LV</w:t>
      </w:r>
      <w:r w:rsidRPr="00A02ACB">
        <w:rPr>
          <w:color w:val="000000"/>
          <w:sz w:val="28"/>
          <w:lang w:eastAsia="lv-LV"/>
        </w:rPr>
        <w:t xml:space="preserve"> ir vienojušies par  resursu mobilizāciju un kopīgu darbu šādas līderības saglabāšanā konsolidējot institūtu rīcību esošo "</w:t>
      </w:r>
      <w:proofErr w:type="spellStart"/>
      <w:r w:rsidRPr="00D37041">
        <w:rPr>
          <w:i/>
          <w:color w:val="000000"/>
          <w:sz w:val="28"/>
          <w:lang w:eastAsia="lv-LV"/>
        </w:rPr>
        <w:t>know-how</w:t>
      </w:r>
      <w:r w:rsidRPr="00A02ACB">
        <w:rPr>
          <w:color w:val="000000"/>
          <w:sz w:val="28"/>
          <w:lang w:eastAsia="lv-LV"/>
        </w:rPr>
        <w:t>",</w:t>
      </w:r>
      <w:proofErr w:type="spellEnd"/>
      <w:r w:rsidRPr="00A02ACB">
        <w:rPr>
          <w:color w:val="000000"/>
          <w:sz w:val="28"/>
          <w:lang w:eastAsia="lv-LV"/>
        </w:rPr>
        <w:t xml:space="preserve"> intelektuālo kapitālu, cilvēku resursus un eksperimentālās iespējas. Vienlaicīgi visi trīs institūti ir  labi atpazīti Eiropas Vienotā pētniecības </w:t>
      </w:r>
      <w:r w:rsidRPr="00A02ACB">
        <w:rPr>
          <w:color w:val="000000"/>
          <w:sz w:val="28"/>
          <w:lang w:eastAsia="lv-LV"/>
        </w:rPr>
        <w:lastRenderedPageBreak/>
        <w:t xml:space="preserve">telpā, ko apliecina </w:t>
      </w:r>
      <w:r w:rsidR="00D37041" w:rsidRPr="00A02ACB">
        <w:rPr>
          <w:color w:val="000000"/>
          <w:sz w:val="28"/>
          <w:lang w:eastAsia="lv-LV"/>
        </w:rPr>
        <w:t>stratēģiskās</w:t>
      </w:r>
      <w:r w:rsidRPr="00A02ACB">
        <w:rPr>
          <w:color w:val="000000"/>
          <w:sz w:val="28"/>
          <w:lang w:eastAsia="lv-LV"/>
        </w:rPr>
        <w:t xml:space="preserve"> partnerības ar pasaulē labi atpazītiem zinātnes centriem, kuras jau gadiem ilgi ir palīdzējušas uzturēt aktīvu zinātnisko darbību un mūsdienu gaisotni kosmosa zinātnes un </w:t>
      </w:r>
      <w:r w:rsidR="00D37041" w:rsidRPr="00A02ACB">
        <w:rPr>
          <w:color w:val="000000"/>
          <w:sz w:val="28"/>
          <w:lang w:eastAsia="lv-LV"/>
        </w:rPr>
        <w:t>tehnoloģiju</w:t>
      </w:r>
      <w:r w:rsidRPr="00A02ACB">
        <w:rPr>
          <w:color w:val="000000"/>
          <w:sz w:val="28"/>
          <w:lang w:eastAsia="lv-LV"/>
        </w:rPr>
        <w:t xml:space="preserve"> jomā.  Kosmosa, satelītu </w:t>
      </w:r>
      <w:proofErr w:type="spellStart"/>
      <w:r w:rsidRPr="00A02ACB">
        <w:rPr>
          <w:color w:val="000000"/>
          <w:sz w:val="28"/>
          <w:lang w:eastAsia="lv-LV"/>
        </w:rPr>
        <w:t>lāzerlokācijas</w:t>
      </w:r>
      <w:proofErr w:type="spellEnd"/>
      <w:r w:rsidRPr="00A02ACB">
        <w:rPr>
          <w:color w:val="000000"/>
          <w:sz w:val="28"/>
          <w:lang w:eastAsia="lv-LV"/>
        </w:rPr>
        <w:t xml:space="preserve">  un attālinātas detektēšanas jomās kā svarīgākos var atzīmēt: </w:t>
      </w:r>
      <w:proofErr w:type="spellStart"/>
      <w:r w:rsidRPr="00A02ACB">
        <w:rPr>
          <w:color w:val="000000"/>
          <w:sz w:val="28"/>
          <w:lang w:eastAsia="lv-LV"/>
        </w:rPr>
        <w:t>GeoForschungs</w:t>
      </w:r>
      <w:proofErr w:type="spellEnd"/>
      <w:r w:rsidRPr="00A02ACB">
        <w:rPr>
          <w:color w:val="000000"/>
          <w:sz w:val="28"/>
          <w:lang w:eastAsia="lv-LV"/>
        </w:rPr>
        <w:t xml:space="preserve"> </w:t>
      </w:r>
      <w:proofErr w:type="spellStart"/>
      <w:r w:rsidRPr="00A02ACB">
        <w:rPr>
          <w:color w:val="000000"/>
          <w:sz w:val="28"/>
          <w:lang w:eastAsia="lv-LV"/>
        </w:rPr>
        <w:t>Zentrum</w:t>
      </w:r>
      <w:proofErr w:type="spellEnd"/>
      <w:r w:rsidRPr="00A02ACB">
        <w:rPr>
          <w:color w:val="000000"/>
          <w:sz w:val="28"/>
          <w:lang w:eastAsia="lv-LV"/>
        </w:rPr>
        <w:t xml:space="preserve">  </w:t>
      </w:r>
      <w:proofErr w:type="spellStart"/>
      <w:r w:rsidRPr="00A02ACB">
        <w:rPr>
          <w:color w:val="000000"/>
          <w:sz w:val="28"/>
          <w:lang w:eastAsia="lv-LV"/>
        </w:rPr>
        <w:t>Potsdam</w:t>
      </w:r>
      <w:proofErr w:type="spellEnd"/>
      <w:r w:rsidRPr="00A02ACB">
        <w:rPr>
          <w:color w:val="000000"/>
          <w:sz w:val="28"/>
          <w:lang w:eastAsia="lv-LV"/>
        </w:rPr>
        <w:t xml:space="preserve"> (kopš 1988.g.)  un </w:t>
      </w:r>
      <w:proofErr w:type="spellStart"/>
      <w:r w:rsidRPr="00A02ACB">
        <w:rPr>
          <w:color w:val="000000"/>
          <w:sz w:val="28"/>
          <w:lang w:eastAsia="lv-LV"/>
        </w:rPr>
        <w:t>The</w:t>
      </w:r>
      <w:proofErr w:type="spellEnd"/>
      <w:r w:rsidRPr="00A02ACB">
        <w:rPr>
          <w:color w:val="000000"/>
          <w:sz w:val="28"/>
          <w:lang w:eastAsia="lv-LV"/>
        </w:rPr>
        <w:t xml:space="preserve"> </w:t>
      </w:r>
      <w:proofErr w:type="spellStart"/>
      <w:r w:rsidRPr="00A02ACB">
        <w:rPr>
          <w:color w:val="000000"/>
          <w:sz w:val="28"/>
          <w:lang w:eastAsia="lv-LV"/>
        </w:rPr>
        <w:t>Finnish</w:t>
      </w:r>
      <w:proofErr w:type="spellEnd"/>
      <w:r w:rsidRPr="00A02ACB">
        <w:rPr>
          <w:color w:val="000000"/>
          <w:sz w:val="28"/>
          <w:lang w:eastAsia="lv-LV"/>
        </w:rPr>
        <w:t xml:space="preserve"> </w:t>
      </w:r>
      <w:proofErr w:type="spellStart"/>
      <w:r w:rsidRPr="00A02ACB">
        <w:rPr>
          <w:color w:val="000000"/>
          <w:sz w:val="28"/>
          <w:lang w:eastAsia="lv-LV"/>
        </w:rPr>
        <w:t>Geodetic</w:t>
      </w:r>
      <w:proofErr w:type="spellEnd"/>
      <w:r w:rsidRPr="00A02ACB">
        <w:rPr>
          <w:color w:val="000000"/>
          <w:sz w:val="28"/>
          <w:lang w:eastAsia="lv-LV"/>
        </w:rPr>
        <w:t xml:space="preserve"> </w:t>
      </w:r>
      <w:proofErr w:type="spellStart"/>
      <w:r w:rsidRPr="00A02ACB">
        <w:rPr>
          <w:color w:val="000000"/>
          <w:sz w:val="28"/>
          <w:lang w:eastAsia="lv-LV"/>
        </w:rPr>
        <w:t>Institute</w:t>
      </w:r>
      <w:proofErr w:type="spellEnd"/>
      <w:r w:rsidRPr="00A02ACB">
        <w:rPr>
          <w:color w:val="000000"/>
          <w:sz w:val="28"/>
          <w:lang w:eastAsia="lv-LV"/>
        </w:rPr>
        <w:t xml:space="preserve"> (kopš 1992.gada), kur </w:t>
      </w:r>
      <w:proofErr w:type="spellStart"/>
      <w:r w:rsidRPr="00A02ACB">
        <w:rPr>
          <w:color w:val="000000"/>
          <w:sz w:val="28"/>
          <w:lang w:eastAsia="lv-LV"/>
        </w:rPr>
        <w:t>stratēgiskā</w:t>
      </w:r>
      <w:proofErr w:type="spellEnd"/>
      <w:r w:rsidRPr="00A02ACB">
        <w:rPr>
          <w:color w:val="000000"/>
          <w:sz w:val="28"/>
          <w:lang w:eastAsia="lv-LV"/>
        </w:rPr>
        <w:t xml:space="preserve"> partnerība sakņojas kosmosa un satelītu </w:t>
      </w:r>
      <w:proofErr w:type="spellStart"/>
      <w:r w:rsidRPr="00A02ACB">
        <w:rPr>
          <w:color w:val="000000"/>
          <w:sz w:val="28"/>
          <w:lang w:eastAsia="lv-LV"/>
        </w:rPr>
        <w:t>lāzerulokācijas</w:t>
      </w:r>
      <w:proofErr w:type="spellEnd"/>
      <w:r w:rsidRPr="00A02ACB">
        <w:rPr>
          <w:color w:val="000000"/>
          <w:sz w:val="28"/>
          <w:lang w:eastAsia="lv-LV"/>
        </w:rPr>
        <w:t xml:space="preserve"> jomās; </w:t>
      </w:r>
      <w:proofErr w:type="spellStart"/>
      <w:r w:rsidRPr="00A02ACB">
        <w:rPr>
          <w:color w:val="000000"/>
          <w:sz w:val="28"/>
          <w:lang w:eastAsia="lv-LV"/>
        </w:rPr>
        <w:t>Max</w:t>
      </w:r>
      <w:proofErr w:type="spellEnd"/>
      <w:r w:rsidRPr="00A02ACB">
        <w:rPr>
          <w:color w:val="000000"/>
          <w:sz w:val="28"/>
          <w:lang w:eastAsia="lv-LV"/>
        </w:rPr>
        <w:t xml:space="preserve"> </w:t>
      </w:r>
      <w:proofErr w:type="spellStart"/>
      <w:r w:rsidRPr="00A02ACB">
        <w:rPr>
          <w:color w:val="000000"/>
          <w:sz w:val="28"/>
          <w:lang w:eastAsia="lv-LV"/>
        </w:rPr>
        <w:t>Planck</w:t>
      </w:r>
      <w:proofErr w:type="spellEnd"/>
      <w:r w:rsidRPr="00A02ACB">
        <w:rPr>
          <w:color w:val="000000"/>
          <w:sz w:val="28"/>
          <w:lang w:eastAsia="lv-LV"/>
        </w:rPr>
        <w:t xml:space="preserve"> </w:t>
      </w:r>
      <w:proofErr w:type="spellStart"/>
      <w:r w:rsidRPr="00A02ACB">
        <w:rPr>
          <w:color w:val="000000"/>
          <w:sz w:val="28"/>
          <w:lang w:eastAsia="lv-LV"/>
        </w:rPr>
        <w:t>Institute</w:t>
      </w:r>
      <w:proofErr w:type="spellEnd"/>
      <w:r w:rsidRPr="00A02ACB">
        <w:rPr>
          <w:color w:val="000000"/>
          <w:sz w:val="28"/>
          <w:lang w:eastAsia="lv-LV"/>
        </w:rPr>
        <w:t xml:space="preserve"> </w:t>
      </w:r>
      <w:proofErr w:type="spellStart"/>
      <w:r w:rsidRPr="00A02ACB">
        <w:rPr>
          <w:color w:val="000000"/>
          <w:sz w:val="28"/>
          <w:lang w:eastAsia="lv-LV"/>
        </w:rPr>
        <w:t>of</w:t>
      </w:r>
      <w:proofErr w:type="spellEnd"/>
      <w:r w:rsidRPr="00A02ACB">
        <w:rPr>
          <w:color w:val="000000"/>
          <w:sz w:val="28"/>
          <w:lang w:eastAsia="lv-LV"/>
        </w:rPr>
        <w:t xml:space="preserve"> </w:t>
      </w:r>
      <w:proofErr w:type="spellStart"/>
      <w:r w:rsidRPr="00A02ACB">
        <w:rPr>
          <w:color w:val="000000"/>
          <w:sz w:val="28"/>
          <w:lang w:eastAsia="lv-LV"/>
        </w:rPr>
        <w:t>Quantum</w:t>
      </w:r>
      <w:proofErr w:type="spellEnd"/>
      <w:r w:rsidR="00D37041">
        <w:rPr>
          <w:color w:val="000000"/>
          <w:sz w:val="28"/>
          <w:lang w:eastAsia="lv-LV"/>
        </w:rPr>
        <w:t xml:space="preserve"> </w:t>
      </w:r>
      <w:proofErr w:type="spellStart"/>
      <w:r w:rsidR="00D37041">
        <w:rPr>
          <w:color w:val="000000"/>
          <w:sz w:val="28"/>
          <w:lang w:eastAsia="lv-LV"/>
        </w:rPr>
        <w:t>Optics</w:t>
      </w:r>
      <w:proofErr w:type="spellEnd"/>
      <w:r w:rsidR="00D37041">
        <w:rPr>
          <w:color w:val="000000"/>
          <w:sz w:val="28"/>
          <w:lang w:eastAsia="lv-LV"/>
        </w:rPr>
        <w:t xml:space="preserve">, </w:t>
      </w:r>
      <w:proofErr w:type="spellStart"/>
      <w:r w:rsidR="00D37041">
        <w:rPr>
          <w:color w:val="000000"/>
          <w:sz w:val="28"/>
          <w:lang w:eastAsia="lv-LV"/>
        </w:rPr>
        <w:t>Munich</w:t>
      </w:r>
      <w:proofErr w:type="spellEnd"/>
      <w:r w:rsidR="00D37041">
        <w:rPr>
          <w:color w:val="000000"/>
          <w:sz w:val="28"/>
          <w:lang w:eastAsia="lv-LV"/>
        </w:rPr>
        <w:t xml:space="preserve"> (kopš</w:t>
      </w:r>
      <w:r w:rsidRPr="00A02ACB">
        <w:rPr>
          <w:color w:val="000000"/>
          <w:sz w:val="28"/>
          <w:lang w:eastAsia="lv-LV"/>
        </w:rPr>
        <w:t xml:space="preserve"> 2005. gada),  kur pateicoties FP-7 M-C stipendiāta  </w:t>
      </w:r>
      <w:proofErr w:type="spellStart"/>
      <w:r w:rsidRPr="00A02ACB">
        <w:rPr>
          <w:color w:val="000000"/>
          <w:sz w:val="28"/>
          <w:lang w:eastAsia="lv-LV"/>
        </w:rPr>
        <w:t>dr.Jāņa</w:t>
      </w:r>
      <w:proofErr w:type="spellEnd"/>
      <w:r w:rsidRPr="00A02ACB">
        <w:rPr>
          <w:color w:val="000000"/>
          <w:sz w:val="28"/>
          <w:lang w:eastAsia="lv-LV"/>
        </w:rPr>
        <w:t xml:space="preserve"> Aļņa klātbūtnei </w:t>
      </w:r>
      <w:proofErr w:type="spellStart"/>
      <w:r w:rsidRPr="00A02ACB">
        <w:rPr>
          <w:color w:val="000000"/>
          <w:sz w:val="28"/>
          <w:lang w:eastAsia="lv-LV"/>
        </w:rPr>
        <w:t>femtosekunžu</w:t>
      </w:r>
      <w:proofErr w:type="spellEnd"/>
      <w:r w:rsidRPr="00A02ACB">
        <w:rPr>
          <w:color w:val="000000"/>
          <w:sz w:val="28"/>
          <w:lang w:eastAsia="lv-LV"/>
        </w:rPr>
        <w:t xml:space="preserve"> lāzeru </w:t>
      </w:r>
      <w:proofErr w:type="spellStart"/>
      <w:r w:rsidRPr="00A02ACB">
        <w:rPr>
          <w:color w:val="000000"/>
          <w:sz w:val="28"/>
          <w:lang w:eastAsia="lv-LV"/>
        </w:rPr>
        <w:t>spektroskopijas</w:t>
      </w:r>
      <w:proofErr w:type="spellEnd"/>
      <w:r w:rsidRPr="00A02ACB">
        <w:rPr>
          <w:color w:val="000000"/>
          <w:sz w:val="28"/>
          <w:lang w:eastAsia="lv-LV"/>
        </w:rPr>
        <w:t xml:space="preserve"> grupā, kuru vada Nobela prēmijas laureāts  prof. Teodor </w:t>
      </w:r>
      <w:proofErr w:type="spellStart"/>
      <w:r w:rsidRPr="00A02ACB">
        <w:rPr>
          <w:color w:val="000000"/>
          <w:sz w:val="28"/>
          <w:lang w:eastAsia="lv-LV"/>
        </w:rPr>
        <w:t>Hansch</w:t>
      </w:r>
      <w:proofErr w:type="spellEnd"/>
      <w:r w:rsidRPr="00A02ACB">
        <w:rPr>
          <w:color w:val="000000"/>
          <w:sz w:val="28"/>
          <w:lang w:eastAsia="lv-LV"/>
        </w:rPr>
        <w:t xml:space="preserve">  tiek kopīgi apspriestas idejas un praktiski strādāts pie </w:t>
      </w:r>
      <w:proofErr w:type="spellStart"/>
      <w:r w:rsidRPr="00A02ACB">
        <w:rPr>
          <w:color w:val="000000"/>
          <w:sz w:val="28"/>
          <w:lang w:eastAsia="lv-LV"/>
        </w:rPr>
        <w:t>fs</w:t>
      </w:r>
      <w:proofErr w:type="spellEnd"/>
      <w:r w:rsidRPr="00A02ACB">
        <w:rPr>
          <w:color w:val="000000"/>
          <w:sz w:val="28"/>
          <w:lang w:eastAsia="lv-LV"/>
        </w:rPr>
        <w:t xml:space="preserve"> lāzeru izmantošanas kosmosa </w:t>
      </w:r>
      <w:r w:rsidR="00D37041" w:rsidRPr="00A02ACB">
        <w:rPr>
          <w:color w:val="000000"/>
          <w:sz w:val="28"/>
          <w:lang w:eastAsia="lv-LV"/>
        </w:rPr>
        <w:t>tehnoloģijās</w:t>
      </w:r>
      <w:r w:rsidRPr="00A02ACB">
        <w:rPr>
          <w:color w:val="000000"/>
          <w:sz w:val="28"/>
          <w:lang w:eastAsia="lv-LV"/>
        </w:rPr>
        <w:t xml:space="preserve">, satelītu lokācijā  un attālumu mērīšanā kosmosā </w:t>
      </w:r>
      <w:r w:rsidR="00D37041" w:rsidRPr="00A02ACB">
        <w:rPr>
          <w:color w:val="000000"/>
          <w:sz w:val="28"/>
          <w:lang w:eastAsia="lv-LV"/>
        </w:rPr>
        <w:t>līdz</w:t>
      </w:r>
      <w:r w:rsidRPr="00A02ACB">
        <w:rPr>
          <w:color w:val="000000"/>
          <w:sz w:val="28"/>
          <w:lang w:eastAsia="lv-LV"/>
        </w:rPr>
        <w:t xml:space="preserve"> </w:t>
      </w:r>
      <w:proofErr w:type="spellStart"/>
      <w:r w:rsidRPr="00A02ACB">
        <w:rPr>
          <w:color w:val="000000"/>
          <w:sz w:val="28"/>
          <w:lang w:eastAsia="lv-LV"/>
        </w:rPr>
        <w:t>nanolīmeņa</w:t>
      </w:r>
      <w:proofErr w:type="spellEnd"/>
      <w:r w:rsidRPr="00A02ACB">
        <w:rPr>
          <w:color w:val="000000"/>
          <w:sz w:val="28"/>
          <w:lang w:eastAsia="lv-LV"/>
        </w:rPr>
        <w:t xml:space="preserve"> precizitātei; Sadarbība ar </w:t>
      </w:r>
      <w:proofErr w:type="spellStart"/>
      <w:r w:rsidRPr="00A02ACB">
        <w:rPr>
          <w:color w:val="000000"/>
          <w:sz w:val="28"/>
          <w:lang w:eastAsia="lv-LV"/>
        </w:rPr>
        <w:t>Institute</w:t>
      </w:r>
      <w:proofErr w:type="spellEnd"/>
      <w:r w:rsidRPr="00A02ACB">
        <w:rPr>
          <w:color w:val="000000"/>
          <w:sz w:val="28"/>
          <w:lang w:eastAsia="lv-LV"/>
        </w:rPr>
        <w:t xml:space="preserve"> </w:t>
      </w:r>
      <w:proofErr w:type="spellStart"/>
      <w:r w:rsidRPr="00A02ACB">
        <w:rPr>
          <w:color w:val="000000"/>
          <w:sz w:val="28"/>
          <w:lang w:eastAsia="lv-LV"/>
        </w:rPr>
        <w:t>of</w:t>
      </w:r>
      <w:proofErr w:type="spellEnd"/>
      <w:r w:rsidRPr="00A02ACB">
        <w:rPr>
          <w:color w:val="000000"/>
          <w:sz w:val="28"/>
          <w:lang w:eastAsia="lv-LV"/>
        </w:rPr>
        <w:t xml:space="preserve"> </w:t>
      </w:r>
      <w:proofErr w:type="spellStart"/>
      <w:r w:rsidRPr="00A02ACB">
        <w:rPr>
          <w:color w:val="000000"/>
          <w:sz w:val="28"/>
          <w:lang w:eastAsia="lv-LV"/>
        </w:rPr>
        <w:t>Environmental</w:t>
      </w:r>
      <w:proofErr w:type="spellEnd"/>
      <w:r w:rsidRPr="00A02ACB">
        <w:rPr>
          <w:color w:val="000000"/>
          <w:sz w:val="28"/>
          <w:lang w:eastAsia="lv-LV"/>
        </w:rPr>
        <w:t xml:space="preserve"> </w:t>
      </w:r>
      <w:proofErr w:type="spellStart"/>
      <w:r w:rsidRPr="00A02ACB">
        <w:rPr>
          <w:color w:val="000000"/>
          <w:sz w:val="28"/>
          <w:lang w:eastAsia="lv-LV"/>
        </w:rPr>
        <w:t>Physics</w:t>
      </w:r>
      <w:proofErr w:type="spellEnd"/>
      <w:r w:rsidRPr="00A02ACB">
        <w:rPr>
          <w:color w:val="000000"/>
          <w:sz w:val="28"/>
          <w:lang w:eastAsia="lv-LV"/>
        </w:rPr>
        <w:t xml:space="preserve">, </w:t>
      </w:r>
      <w:proofErr w:type="spellStart"/>
      <w:r w:rsidRPr="00A02ACB">
        <w:rPr>
          <w:color w:val="000000"/>
          <w:sz w:val="28"/>
          <w:lang w:eastAsia="lv-LV"/>
        </w:rPr>
        <w:t>University</w:t>
      </w:r>
      <w:proofErr w:type="spellEnd"/>
      <w:r w:rsidRPr="00A02ACB">
        <w:rPr>
          <w:color w:val="000000"/>
          <w:sz w:val="28"/>
          <w:lang w:eastAsia="lv-LV"/>
        </w:rPr>
        <w:t xml:space="preserve"> </w:t>
      </w:r>
      <w:proofErr w:type="spellStart"/>
      <w:r w:rsidRPr="00A02ACB">
        <w:rPr>
          <w:color w:val="000000"/>
          <w:sz w:val="28"/>
          <w:lang w:eastAsia="lv-LV"/>
        </w:rPr>
        <w:t>of</w:t>
      </w:r>
      <w:proofErr w:type="spellEnd"/>
      <w:r w:rsidRPr="00A02ACB">
        <w:rPr>
          <w:color w:val="000000"/>
          <w:sz w:val="28"/>
          <w:lang w:eastAsia="lv-LV"/>
        </w:rPr>
        <w:t xml:space="preserve"> </w:t>
      </w:r>
      <w:proofErr w:type="spellStart"/>
      <w:r w:rsidRPr="00A02ACB">
        <w:rPr>
          <w:color w:val="000000"/>
          <w:sz w:val="28"/>
          <w:lang w:eastAsia="lv-LV"/>
        </w:rPr>
        <w:t>Bremen</w:t>
      </w:r>
      <w:proofErr w:type="spellEnd"/>
      <w:r w:rsidRPr="00A02ACB">
        <w:rPr>
          <w:color w:val="000000"/>
          <w:sz w:val="28"/>
          <w:lang w:eastAsia="lv-LV"/>
        </w:rPr>
        <w:t xml:space="preserve"> ir sākusies 1992.gadā atmosfēras un ozona slāņa problēmu pētniecības jomā un patreiz tiek attīstītas </w:t>
      </w:r>
      <w:r w:rsidR="00D37041" w:rsidRPr="00A02ACB">
        <w:rPr>
          <w:color w:val="000000"/>
          <w:sz w:val="28"/>
          <w:lang w:eastAsia="lv-LV"/>
        </w:rPr>
        <w:t>tehnoloģiskas</w:t>
      </w:r>
      <w:r w:rsidRPr="00A02ACB">
        <w:rPr>
          <w:color w:val="000000"/>
          <w:sz w:val="28"/>
          <w:lang w:eastAsia="lv-LV"/>
        </w:rPr>
        <w:t xml:space="preserve"> idejas, kuras atļaus uzsākt  atmosfēras   nakts apstākļos izmantojot  tālās detektēšanas </w:t>
      </w:r>
      <w:proofErr w:type="spellStart"/>
      <w:r w:rsidRPr="00A02ACB">
        <w:rPr>
          <w:color w:val="000000"/>
          <w:sz w:val="28"/>
          <w:lang w:eastAsia="lv-LV"/>
        </w:rPr>
        <w:t>lāzeru&amp;baltās</w:t>
      </w:r>
      <w:proofErr w:type="spellEnd"/>
      <w:r w:rsidRPr="00A02ACB">
        <w:rPr>
          <w:color w:val="000000"/>
          <w:sz w:val="28"/>
          <w:lang w:eastAsia="lv-LV"/>
        </w:rPr>
        <w:t xml:space="preserve"> gaismas teleskopu un </w:t>
      </w:r>
      <w:proofErr w:type="spellStart"/>
      <w:r w:rsidRPr="00A02ACB">
        <w:rPr>
          <w:color w:val="000000"/>
          <w:sz w:val="28"/>
          <w:lang w:eastAsia="lv-LV"/>
        </w:rPr>
        <w:t>locējot</w:t>
      </w:r>
      <w:proofErr w:type="spellEnd"/>
      <w:r w:rsidRPr="00A02ACB">
        <w:rPr>
          <w:color w:val="000000"/>
          <w:sz w:val="28"/>
          <w:lang w:eastAsia="lv-LV"/>
        </w:rPr>
        <w:t xml:space="preserve"> instrumentus uz satelīta platformas nakts apstākļos. Tādas </w:t>
      </w:r>
      <w:r w:rsidR="00D37041" w:rsidRPr="00A02ACB">
        <w:rPr>
          <w:color w:val="000000"/>
          <w:sz w:val="28"/>
          <w:lang w:eastAsia="lv-LV"/>
        </w:rPr>
        <w:t>tehnoloģijas</w:t>
      </w:r>
      <w:r w:rsidRPr="00A02ACB">
        <w:rPr>
          <w:color w:val="000000"/>
          <w:sz w:val="28"/>
          <w:lang w:eastAsia="lv-LV"/>
        </w:rPr>
        <w:t xml:space="preserve"> pasaulē vēl netiek pielietotas  un to pielietošana pacels specifisku satelītu izmantošanas efektivitāti atmosfēras pētniecībā gandrīz 2 reizes. </w:t>
      </w:r>
      <w:r w:rsidR="00D37041" w:rsidRPr="00A02ACB">
        <w:rPr>
          <w:color w:val="000000"/>
          <w:sz w:val="28"/>
          <w:lang w:eastAsia="lv-LV"/>
        </w:rPr>
        <w:t>Asociācija</w:t>
      </w:r>
      <w:r w:rsidRPr="00A02ACB">
        <w:rPr>
          <w:color w:val="000000"/>
          <w:sz w:val="28"/>
          <w:lang w:eastAsia="lv-LV"/>
        </w:rPr>
        <w:t xml:space="preserve"> FOTONIKA-LV 20010.7.decembrī iesniedza FP7 projekta pieteikumu (FP7-REGPOT-2011-1, FP7-285912) par gandrīz 2,8 </w:t>
      </w:r>
      <w:proofErr w:type="spellStart"/>
      <w:r w:rsidRPr="00A02ACB">
        <w:rPr>
          <w:color w:val="000000"/>
          <w:sz w:val="28"/>
          <w:lang w:eastAsia="lv-LV"/>
        </w:rPr>
        <w:t>milj</w:t>
      </w:r>
      <w:proofErr w:type="spellEnd"/>
      <w:r w:rsidRPr="00A02ACB">
        <w:rPr>
          <w:color w:val="000000"/>
          <w:sz w:val="28"/>
          <w:lang w:eastAsia="lv-LV"/>
        </w:rPr>
        <w:t xml:space="preserve"> </w:t>
      </w:r>
      <w:r w:rsidR="00D37041">
        <w:rPr>
          <w:color w:val="000000"/>
          <w:sz w:val="28"/>
          <w:lang w:eastAsia="lv-LV"/>
        </w:rPr>
        <w:t>EUR</w:t>
      </w:r>
      <w:r w:rsidRPr="00A02ACB">
        <w:rPr>
          <w:color w:val="000000"/>
          <w:sz w:val="28"/>
          <w:lang w:eastAsia="lv-LV"/>
        </w:rPr>
        <w:t xml:space="preserve">, kurš kopumā veltīts </w:t>
      </w:r>
      <w:proofErr w:type="spellStart"/>
      <w:r w:rsidRPr="00A02ACB">
        <w:rPr>
          <w:color w:val="000000"/>
          <w:sz w:val="28"/>
          <w:lang w:eastAsia="lv-LV"/>
        </w:rPr>
        <w:t>fotonikas</w:t>
      </w:r>
      <w:proofErr w:type="spellEnd"/>
      <w:r w:rsidRPr="00A02ACB">
        <w:rPr>
          <w:color w:val="000000"/>
          <w:sz w:val="28"/>
          <w:lang w:eastAsia="lv-LV"/>
        </w:rPr>
        <w:t xml:space="preserve"> sektora izaugsmei Latvijā, bet viena liela tā daļa atbalstīs tālāku sadarbību ar minētiem institūtiem ES. Kopumā projekts iezīmē </w:t>
      </w:r>
      <w:r w:rsidR="00D37041" w:rsidRPr="00A02ACB">
        <w:rPr>
          <w:color w:val="000000"/>
          <w:sz w:val="28"/>
          <w:lang w:eastAsia="lv-LV"/>
        </w:rPr>
        <w:t>stratēģiskās</w:t>
      </w:r>
      <w:r w:rsidRPr="00A02ACB">
        <w:rPr>
          <w:color w:val="000000"/>
          <w:sz w:val="28"/>
          <w:lang w:eastAsia="lv-LV"/>
        </w:rPr>
        <w:t xml:space="preserve"> partnerības tālāku izaugsmi ar 10 institūtiem ES  un  jau iezīmētu sadarbību  ar vēl 10 institūtiem gan ES, gan pasaulē</w:t>
      </w:r>
      <w:r w:rsidRPr="00A02ACB">
        <w:rPr>
          <w:color w:val="004080"/>
          <w:sz w:val="28"/>
          <w:lang w:eastAsia="lv-LV"/>
        </w:rPr>
        <w:t xml:space="preserve">.   </w:t>
      </w:r>
    </w:p>
    <w:p w:rsidR="001D26BC" w:rsidRPr="00A02ACB" w:rsidRDefault="001D26BC" w:rsidP="001D26BC">
      <w:pPr>
        <w:autoSpaceDE w:val="0"/>
        <w:autoSpaceDN w:val="0"/>
        <w:adjustRightInd w:val="0"/>
        <w:ind w:firstLine="720"/>
        <w:jc w:val="both"/>
        <w:rPr>
          <w:color w:val="004080"/>
          <w:sz w:val="28"/>
          <w:lang w:eastAsia="lv-LV"/>
        </w:rPr>
      </w:pPr>
    </w:p>
    <w:p w:rsidR="001D26BC" w:rsidRDefault="001D26BC" w:rsidP="001D26BC">
      <w:pPr>
        <w:pStyle w:val="Heading4"/>
      </w:pPr>
      <w:bookmarkStart w:id="60" w:name="_Toc277672596"/>
      <w:bookmarkStart w:id="61" w:name="_Toc280366527"/>
      <w:r w:rsidRPr="00A02ACB">
        <w:t>3.3.</w:t>
      </w:r>
      <w:r>
        <w:t>2</w:t>
      </w:r>
      <w:r w:rsidRPr="00A02ACB">
        <w:t>.</w:t>
      </w:r>
      <w:r>
        <w:t xml:space="preserve"> </w:t>
      </w:r>
      <w:r w:rsidRPr="00A02ACB">
        <w:t>IZI VSRC kompetence un dalība starptautiskajos tīklos</w:t>
      </w:r>
      <w:bookmarkEnd w:id="60"/>
      <w:bookmarkEnd w:id="61"/>
    </w:p>
    <w:p w:rsidR="001D26BC" w:rsidRDefault="001D26BC" w:rsidP="001D26BC"/>
    <w:p w:rsidR="001D26BC" w:rsidRPr="007B3993" w:rsidRDefault="001D26BC" w:rsidP="001D26BC">
      <w:pPr>
        <w:pStyle w:val="Pamattekstaatkpe2"/>
        <w:tabs>
          <w:tab w:val="clear" w:pos="8730"/>
          <w:tab w:val="num" w:pos="0"/>
        </w:tabs>
        <w:ind w:left="0" w:right="-23"/>
        <w:rPr>
          <w:rFonts w:ascii="Times New Roman" w:hAnsi="Times New Roman"/>
          <w:sz w:val="28"/>
          <w:szCs w:val="28"/>
        </w:rPr>
      </w:pPr>
      <w:r>
        <w:rPr>
          <w:rFonts w:ascii="Arial Narrow" w:hAnsi="Arial Narrow"/>
          <w:sz w:val="24"/>
          <w:szCs w:val="24"/>
        </w:rPr>
        <w:tab/>
      </w:r>
      <w:r w:rsidRPr="007B3993">
        <w:rPr>
          <w:rFonts w:ascii="Times New Roman" w:hAnsi="Times New Roman"/>
          <w:sz w:val="28"/>
          <w:szCs w:val="28"/>
        </w:rPr>
        <w:t>IZI VSRC savā sākotnējā attīstības posmā pastāvēja kā Ventspils Starptautiskais Radioastronomijas centrs (VSRC), kas kā Latvijas Zinātņu akadēmijas struktūrvienība tika dibināts 1994.gada 22. jūlijā, kad tika izveidota valsts komisija, un no Krievijas armijas pārņemts bijušais padomju (vēlāk Krievijas) karaspēka daļas nekustamais īpašums Irbenē, Ventspils rajonā (objekts „Zvaigznīte”).</w:t>
      </w:r>
    </w:p>
    <w:p w:rsidR="001D26BC" w:rsidRPr="007B3993" w:rsidRDefault="001D26BC" w:rsidP="001D26BC">
      <w:pPr>
        <w:pStyle w:val="BodyTextIndent"/>
        <w:tabs>
          <w:tab w:val="num" w:pos="0"/>
        </w:tabs>
        <w:spacing w:after="0"/>
        <w:ind w:left="0" w:right="-22"/>
        <w:jc w:val="both"/>
        <w:rPr>
          <w:sz w:val="28"/>
          <w:szCs w:val="28"/>
        </w:rPr>
      </w:pPr>
    </w:p>
    <w:p w:rsidR="001D26BC" w:rsidRPr="007B3993" w:rsidRDefault="001D26BC" w:rsidP="001D26BC">
      <w:pPr>
        <w:pStyle w:val="Pamattekstaatkpe3"/>
        <w:tabs>
          <w:tab w:val="clear" w:pos="1170"/>
          <w:tab w:val="left" w:pos="-2340"/>
          <w:tab w:val="num" w:pos="0"/>
          <w:tab w:val="left" w:pos="5627"/>
        </w:tabs>
        <w:ind w:right="-22" w:firstLine="0"/>
        <w:rPr>
          <w:rFonts w:ascii="Times New Roman" w:hAnsi="Times New Roman"/>
          <w:sz w:val="28"/>
          <w:szCs w:val="28"/>
        </w:rPr>
      </w:pPr>
      <w:r w:rsidRPr="007B3993">
        <w:rPr>
          <w:rFonts w:ascii="Times New Roman" w:hAnsi="Times New Roman"/>
          <w:sz w:val="28"/>
          <w:szCs w:val="28"/>
        </w:rPr>
        <w:t xml:space="preserve">Sākotnējais periods iedalāms divos posmos: </w:t>
      </w:r>
    </w:p>
    <w:p w:rsidR="001D26BC" w:rsidRPr="007B3993" w:rsidRDefault="00293550" w:rsidP="001D26BC">
      <w:pPr>
        <w:pStyle w:val="Pamattekstaatkpe3"/>
        <w:numPr>
          <w:ilvl w:val="0"/>
          <w:numId w:val="24"/>
        </w:numPr>
        <w:tabs>
          <w:tab w:val="clear" w:pos="1170"/>
          <w:tab w:val="left" w:pos="-2340"/>
          <w:tab w:val="num" w:pos="567"/>
        </w:tabs>
        <w:ind w:left="567" w:right="-22" w:hanging="425"/>
        <w:rPr>
          <w:rFonts w:ascii="Times New Roman" w:hAnsi="Times New Roman"/>
          <w:sz w:val="28"/>
          <w:szCs w:val="28"/>
        </w:rPr>
      </w:pPr>
      <w:r>
        <w:rPr>
          <w:rFonts w:ascii="Times New Roman" w:hAnsi="Times New Roman"/>
          <w:sz w:val="28"/>
          <w:szCs w:val="28"/>
        </w:rPr>
        <w:t xml:space="preserve">Radioteleskopu </w:t>
      </w:r>
      <w:r w:rsidR="001D26BC" w:rsidRPr="007B3993">
        <w:rPr>
          <w:rFonts w:ascii="Times New Roman" w:hAnsi="Times New Roman"/>
          <w:sz w:val="28"/>
          <w:szCs w:val="28"/>
        </w:rPr>
        <w:t xml:space="preserve">RT-32 un RT-16 funkcionēšanas atjaunošana, galveno zinātniski tehnisko un funkcionālo parametru noteikšana, atsevišķu testa novērojumu veikšana. </w:t>
      </w:r>
    </w:p>
    <w:p w:rsidR="001D26BC" w:rsidRPr="007B3993" w:rsidRDefault="001D26BC" w:rsidP="001D26BC">
      <w:pPr>
        <w:pStyle w:val="Pamattekstaatkpe3"/>
        <w:numPr>
          <w:ilvl w:val="0"/>
          <w:numId w:val="24"/>
        </w:numPr>
        <w:tabs>
          <w:tab w:val="clear" w:pos="1170"/>
          <w:tab w:val="left" w:pos="-2340"/>
          <w:tab w:val="num" w:pos="567"/>
        </w:tabs>
        <w:ind w:left="567" w:right="-22" w:hanging="425"/>
        <w:rPr>
          <w:rFonts w:ascii="Times New Roman" w:hAnsi="Times New Roman"/>
          <w:sz w:val="28"/>
          <w:szCs w:val="28"/>
        </w:rPr>
      </w:pPr>
      <w:r w:rsidRPr="007B3993">
        <w:rPr>
          <w:rFonts w:ascii="Times New Roman" w:hAnsi="Times New Roman"/>
          <w:sz w:val="28"/>
          <w:szCs w:val="28"/>
        </w:rPr>
        <w:t xml:space="preserve">VSRC antenu kompetences starptautiskā ekspertīze, </w:t>
      </w:r>
      <w:smartTag w:uri="schemas-tilde-lv/tildestengine" w:element="veidnes">
        <w:smartTagPr>
          <w:attr w:name="baseform" w:val="test|s"/>
          <w:attr w:name="id" w:val="-1"/>
          <w:attr w:name="text" w:val="testa"/>
        </w:smartTagPr>
        <w:r w:rsidRPr="007B3993">
          <w:rPr>
            <w:rFonts w:ascii="Times New Roman" w:hAnsi="Times New Roman"/>
            <w:sz w:val="28"/>
            <w:szCs w:val="28"/>
          </w:rPr>
          <w:t>testa</w:t>
        </w:r>
      </w:smartTag>
      <w:r w:rsidRPr="007B3993">
        <w:rPr>
          <w:rFonts w:ascii="Times New Roman" w:hAnsi="Times New Roman"/>
          <w:sz w:val="28"/>
          <w:szCs w:val="28"/>
        </w:rPr>
        <w:t xml:space="preserve"> novērojumi ar RT-32 atsevišķas antenas un VLBI darbības režīmā. </w:t>
      </w:r>
    </w:p>
    <w:p w:rsidR="001D26BC" w:rsidRPr="002C2228" w:rsidRDefault="001D26BC" w:rsidP="001D26BC">
      <w:pPr>
        <w:pStyle w:val="NormalWeb"/>
        <w:spacing w:before="2"/>
        <w:ind w:firstLine="567"/>
        <w:jc w:val="both"/>
        <w:rPr>
          <w:rFonts w:ascii="Times New Roman" w:hAnsi="Times New Roman" w:cs="Times New Roman"/>
          <w:sz w:val="28"/>
          <w:szCs w:val="28"/>
        </w:rPr>
      </w:pPr>
      <w:r w:rsidRPr="007B3993">
        <w:rPr>
          <w:rFonts w:ascii="Times New Roman" w:hAnsi="Times New Roman" w:cs="Times New Roman"/>
          <w:sz w:val="28"/>
          <w:szCs w:val="28"/>
        </w:rPr>
        <w:lastRenderedPageBreak/>
        <w:t>Laika posmā no 2004. līdz 2009.gadam institūta darbību noteica izvirzītie augstie mērķi un plāni, kurus arī salīdzinoši veiksmīgi izdevās īstenot. Tika iegādāta zinātniskā aparatūra, rekonstruēta VSRC elektroapgādes sistēma, izbūvēts ātrgaitas interneta pieslēgums VSRC pētnieciskajiem objektiem, kā arī veikti laboratoriju korpusa „Kristāls” un radioteleskopa RT-16 rekonstrukcijas darbi.</w:t>
      </w:r>
    </w:p>
    <w:p w:rsidR="001D26BC" w:rsidRPr="007B3993" w:rsidRDefault="001D26BC" w:rsidP="001D26BC">
      <w:pPr>
        <w:tabs>
          <w:tab w:val="num" w:pos="0"/>
        </w:tabs>
        <w:ind w:right="-23"/>
        <w:jc w:val="both"/>
        <w:rPr>
          <w:sz w:val="28"/>
        </w:rPr>
      </w:pPr>
      <w:r>
        <w:rPr>
          <w:sz w:val="28"/>
        </w:rPr>
        <w:tab/>
      </w:r>
      <w:r w:rsidRPr="007B3993">
        <w:rPr>
          <w:sz w:val="28"/>
        </w:rPr>
        <w:t xml:space="preserve">2010.gada sākumā, apvienojot VSRC un IPC (dibināts 2005.gada 1. septembrī ES </w:t>
      </w:r>
      <w:proofErr w:type="spellStart"/>
      <w:r w:rsidRPr="007B3993">
        <w:rPr>
          <w:sz w:val="28"/>
        </w:rPr>
        <w:t>Phare</w:t>
      </w:r>
      <w:proofErr w:type="spellEnd"/>
      <w:r w:rsidRPr="007B3993">
        <w:rPr>
          <w:sz w:val="28"/>
        </w:rPr>
        <w:t xml:space="preserve"> projekta ietvaros), tika izveidots apvienotais IZI VSRC, kas radīja nozīmīgu pamatu veiksmīgākai nākotnes attīstībai:</w:t>
      </w:r>
    </w:p>
    <w:p w:rsidR="001D26BC" w:rsidRPr="007B3993" w:rsidRDefault="001D26BC" w:rsidP="001D26BC">
      <w:pPr>
        <w:pStyle w:val="normalbulleted"/>
        <w:numPr>
          <w:ilvl w:val="0"/>
          <w:numId w:val="26"/>
        </w:numPr>
        <w:ind w:right="-23"/>
        <w:rPr>
          <w:sz w:val="28"/>
          <w:szCs w:val="28"/>
        </w:rPr>
      </w:pPr>
      <w:r w:rsidRPr="007B3993">
        <w:rPr>
          <w:sz w:val="28"/>
          <w:szCs w:val="28"/>
        </w:rPr>
        <w:t>iespēja aptvert lielāku zinātniskās pētniecības darbu apjomu;</w:t>
      </w:r>
    </w:p>
    <w:p w:rsidR="001D26BC" w:rsidRPr="007B3993" w:rsidRDefault="001D26BC" w:rsidP="001D26BC">
      <w:pPr>
        <w:pStyle w:val="normalbulleted"/>
        <w:numPr>
          <w:ilvl w:val="0"/>
          <w:numId w:val="26"/>
        </w:numPr>
        <w:ind w:right="-23"/>
        <w:rPr>
          <w:sz w:val="28"/>
          <w:szCs w:val="28"/>
        </w:rPr>
      </w:pPr>
      <w:r w:rsidRPr="007B3993">
        <w:rPr>
          <w:sz w:val="28"/>
          <w:szCs w:val="28"/>
        </w:rPr>
        <w:t>savstarpēja pētījumu virzienu sadarbība un atbalsta funkcijas;</w:t>
      </w:r>
    </w:p>
    <w:p w:rsidR="001D26BC" w:rsidRPr="007B3993" w:rsidRDefault="001D26BC" w:rsidP="001D26BC">
      <w:pPr>
        <w:pStyle w:val="normalbulleted"/>
        <w:numPr>
          <w:ilvl w:val="0"/>
          <w:numId w:val="26"/>
        </w:numPr>
        <w:ind w:right="-23"/>
        <w:rPr>
          <w:sz w:val="28"/>
          <w:szCs w:val="28"/>
        </w:rPr>
      </w:pPr>
      <w:r w:rsidRPr="007B3993">
        <w:rPr>
          <w:sz w:val="28"/>
          <w:szCs w:val="28"/>
        </w:rPr>
        <w:t>lielākas iespējas jauno zinātnieku profesionālajai izaugsmei;</w:t>
      </w:r>
    </w:p>
    <w:p w:rsidR="001D26BC" w:rsidRPr="007B3993" w:rsidRDefault="001D26BC" w:rsidP="001D26BC">
      <w:pPr>
        <w:pStyle w:val="normalbulleted"/>
        <w:numPr>
          <w:ilvl w:val="0"/>
          <w:numId w:val="26"/>
        </w:numPr>
        <w:ind w:right="-23"/>
        <w:rPr>
          <w:sz w:val="28"/>
          <w:szCs w:val="28"/>
        </w:rPr>
      </w:pPr>
      <w:r w:rsidRPr="007B3993">
        <w:rPr>
          <w:sz w:val="28"/>
          <w:szCs w:val="28"/>
        </w:rPr>
        <w:t>iespējas veidot plašāku starptautisko pētniecisko sadarbību, kā arī sadarbību ar privāto sektoru;</w:t>
      </w:r>
    </w:p>
    <w:p w:rsidR="001D26BC" w:rsidRPr="002C2228" w:rsidRDefault="001D26BC" w:rsidP="001D26BC">
      <w:pPr>
        <w:pStyle w:val="normalbulleted"/>
        <w:numPr>
          <w:ilvl w:val="0"/>
          <w:numId w:val="26"/>
        </w:numPr>
        <w:ind w:right="-23"/>
        <w:rPr>
          <w:sz w:val="28"/>
          <w:szCs w:val="28"/>
        </w:rPr>
      </w:pPr>
      <w:r w:rsidRPr="007B3993">
        <w:rPr>
          <w:sz w:val="28"/>
          <w:szCs w:val="28"/>
        </w:rPr>
        <w:t>iespējams veikt IZI VSRC administrācijas optimizāciju un efektivitātes paaugstināšanu.</w:t>
      </w:r>
    </w:p>
    <w:p w:rsidR="001D26BC" w:rsidRPr="00F54E3A" w:rsidRDefault="001D26BC" w:rsidP="001D26BC">
      <w:pPr>
        <w:ind w:firstLine="720"/>
        <w:jc w:val="both"/>
        <w:rPr>
          <w:sz w:val="28"/>
        </w:rPr>
      </w:pPr>
      <w:r w:rsidRPr="00F54E3A">
        <w:rPr>
          <w:sz w:val="28"/>
        </w:rPr>
        <w:t xml:space="preserve">Šobrīd ar parabolisko radioteleskopu RT-32 palīdzību tiek īstenoti būtiski zinātniskie pētījumi ES zinātnes telpā. Liela daļa astrofizikā un citās ar kosmosa izpēti saistītās zinātņu nozarēs veicamo pētījumu ir tādi, kas nav veicami ar viena konkrēta institūta spēkiem, gan veicamo pētījumu starpdisciplinārā rakstura, gan nepieciešamo tehnisko līdzekļu dēļ, kurus praktiski nav iespējams sakoncentrēt viena institūta rīcībā. Viena no šādām disciplīnām ir debess ķermeņu novērojumi, izmantojot </w:t>
      </w:r>
      <w:proofErr w:type="spellStart"/>
      <w:r w:rsidRPr="00F54E3A">
        <w:rPr>
          <w:sz w:val="28"/>
        </w:rPr>
        <w:t>daudzantenu</w:t>
      </w:r>
      <w:proofErr w:type="spellEnd"/>
      <w:r w:rsidRPr="00F54E3A">
        <w:rPr>
          <w:sz w:val="28"/>
        </w:rPr>
        <w:t xml:space="preserve"> novērojumu programmas, kas daudzos gadījumos dod iespēju iegūt daudz augstākas precizitātes un nozīmības rezultātus nekā izmantojot vienu, kaut arī lielu un modernu, antenu.</w:t>
      </w:r>
    </w:p>
    <w:p w:rsidR="001D26BC" w:rsidRPr="001A3F06" w:rsidRDefault="001D26BC" w:rsidP="001D26BC">
      <w:pPr>
        <w:ind w:firstLine="720"/>
        <w:jc w:val="both"/>
        <w:rPr>
          <w:sz w:val="28"/>
        </w:rPr>
      </w:pPr>
      <w:r w:rsidRPr="00F54E3A">
        <w:rPr>
          <w:sz w:val="28"/>
        </w:rPr>
        <w:t xml:space="preserve">IZI VSRC darbojas kā Eiropas ļoti garās bāzes </w:t>
      </w:r>
      <w:proofErr w:type="spellStart"/>
      <w:r w:rsidRPr="00F54E3A">
        <w:rPr>
          <w:sz w:val="28"/>
        </w:rPr>
        <w:t>interferometrijas</w:t>
      </w:r>
      <w:proofErr w:type="spellEnd"/>
      <w:r w:rsidRPr="00F54E3A">
        <w:rPr>
          <w:sz w:val="28"/>
        </w:rPr>
        <w:t xml:space="preserve"> tīkla (EVN) asociētais partneris un ir pilntiesīgs partneris šī tīkla realizētajos Eiropas Komisijas FP6 un FP7 projektos </w:t>
      </w:r>
      <w:proofErr w:type="spellStart"/>
      <w:r w:rsidRPr="00F54E3A">
        <w:rPr>
          <w:sz w:val="28"/>
        </w:rPr>
        <w:t>EXPReS</w:t>
      </w:r>
      <w:proofErr w:type="spellEnd"/>
      <w:r w:rsidRPr="00F54E3A">
        <w:rPr>
          <w:sz w:val="28"/>
        </w:rPr>
        <w:t xml:space="preserve">, </w:t>
      </w:r>
      <w:proofErr w:type="spellStart"/>
      <w:r w:rsidRPr="00F54E3A">
        <w:rPr>
          <w:sz w:val="28"/>
        </w:rPr>
        <w:t>NEXPReS</w:t>
      </w:r>
      <w:proofErr w:type="spellEnd"/>
      <w:r w:rsidRPr="00F54E3A">
        <w:rPr>
          <w:sz w:val="28"/>
        </w:rPr>
        <w:t xml:space="preserve"> un RADIONET 1 un 2, kas sniedz IZI VSRC darbiniekiem zināšanu un pieredzes gūšanas iespējas, kā arī finansējumu zinātniskajām aktivitātēm.</w:t>
      </w:r>
    </w:p>
    <w:p w:rsidR="001D26BC" w:rsidRPr="001A3F06" w:rsidRDefault="001D26BC" w:rsidP="001D26BC">
      <w:pPr>
        <w:ind w:firstLine="720"/>
        <w:jc w:val="both"/>
        <w:rPr>
          <w:sz w:val="28"/>
        </w:rPr>
      </w:pPr>
      <w:r w:rsidRPr="00F54E3A">
        <w:rPr>
          <w:sz w:val="28"/>
        </w:rPr>
        <w:t xml:space="preserve">Irbenes RT-32 ietilpst arī Zemas frekvences </w:t>
      </w:r>
      <w:proofErr w:type="spellStart"/>
      <w:r w:rsidRPr="00F54E3A">
        <w:rPr>
          <w:sz w:val="28"/>
        </w:rPr>
        <w:t>interferometrijas</w:t>
      </w:r>
      <w:proofErr w:type="spellEnd"/>
      <w:r w:rsidRPr="00F54E3A">
        <w:rPr>
          <w:sz w:val="28"/>
        </w:rPr>
        <w:t xml:space="preserve"> tīklā (</w:t>
      </w:r>
      <w:proofErr w:type="spellStart"/>
      <w:r w:rsidRPr="00F54E3A">
        <w:rPr>
          <w:sz w:val="28"/>
        </w:rPr>
        <w:t>Low</w:t>
      </w:r>
      <w:proofErr w:type="spellEnd"/>
      <w:r w:rsidRPr="00F54E3A">
        <w:rPr>
          <w:sz w:val="28"/>
        </w:rPr>
        <w:t xml:space="preserve"> </w:t>
      </w:r>
      <w:proofErr w:type="spellStart"/>
      <w:r w:rsidRPr="00F54E3A">
        <w:rPr>
          <w:sz w:val="28"/>
        </w:rPr>
        <w:t>frequency</w:t>
      </w:r>
      <w:proofErr w:type="spellEnd"/>
      <w:r w:rsidRPr="00F54E3A">
        <w:rPr>
          <w:sz w:val="28"/>
        </w:rPr>
        <w:t xml:space="preserve"> VLBI </w:t>
      </w:r>
      <w:proofErr w:type="spellStart"/>
      <w:r w:rsidRPr="00F54E3A">
        <w:rPr>
          <w:sz w:val="28"/>
        </w:rPr>
        <w:t>network</w:t>
      </w:r>
      <w:proofErr w:type="spellEnd"/>
      <w:r w:rsidRPr="00F54E3A">
        <w:rPr>
          <w:sz w:val="28"/>
        </w:rPr>
        <w:t xml:space="preserve"> – LFVN), kas darbojas 92, 18, 13, 6 un 3.6 cm viļņu garumos. Šīs sadarbības ietvaros IZI VSRC iegūst partnerus, ar kuriem ir iespējams veidot kopīgus zinātniskus projektus, kas veicinātu IZI VSRC attīstību un valsts virzību kosmosa pētījumu attīstībā.</w:t>
      </w:r>
    </w:p>
    <w:p w:rsidR="001D26BC" w:rsidRPr="00F54E3A" w:rsidRDefault="001D26BC" w:rsidP="001D26BC">
      <w:pPr>
        <w:ind w:firstLine="720"/>
        <w:jc w:val="both"/>
        <w:rPr>
          <w:sz w:val="28"/>
        </w:rPr>
      </w:pPr>
      <w:r w:rsidRPr="00F54E3A">
        <w:rPr>
          <w:sz w:val="28"/>
        </w:rPr>
        <w:t>IZI VSRC sadarbībā ar ES, Ukrainas un Krievijas partneriem veic pētījumus šādos pētījumu virzienos:</w:t>
      </w:r>
    </w:p>
    <w:p w:rsidR="001D26BC" w:rsidRPr="00F54E3A" w:rsidRDefault="001D26BC" w:rsidP="001D26BC">
      <w:pPr>
        <w:numPr>
          <w:ilvl w:val="1"/>
          <w:numId w:val="21"/>
        </w:numPr>
        <w:ind w:left="993" w:hanging="284"/>
        <w:jc w:val="both"/>
        <w:rPr>
          <w:sz w:val="28"/>
        </w:rPr>
      </w:pPr>
      <w:r w:rsidRPr="00F54E3A">
        <w:rPr>
          <w:sz w:val="28"/>
        </w:rPr>
        <w:t xml:space="preserve">astrofizikas un astronomijas pētījumi (kosmiskās telpas molekulu pētījumi; Saules </w:t>
      </w:r>
      <w:proofErr w:type="spellStart"/>
      <w:r w:rsidRPr="00F54E3A">
        <w:rPr>
          <w:sz w:val="28"/>
        </w:rPr>
        <w:t>radioastronomiskie</w:t>
      </w:r>
      <w:proofErr w:type="spellEnd"/>
      <w:r w:rsidRPr="00F54E3A">
        <w:rPr>
          <w:sz w:val="28"/>
        </w:rPr>
        <w:t xml:space="preserve"> pētījumi; bīstamo asteroīdu un kosmisko atlūzu radiolokācijas pētījumi; tālā kosmosa misiju apkalpošana; kosmisko atlūzu novērojumi);</w:t>
      </w:r>
    </w:p>
    <w:p w:rsidR="001D26BC" w:rsidRPr="00522E39" w:rsidRDefault="001D26BC" w:rsidP="001D26BC">
      <w:pPr>
        <w:numPr>
          <w:ilvl w:val="1"/>
          <w:numId w:val="21"/>
        </w:numPr>
        <w:ind w:left="993" w:hanging="284"/>
        <w:jc w:val="both"/>
        <w:rPr>
          <w:sz w:val="28"/>
        </w:rPr>
      </w:pPr>
      <w:r>
        <w:rPr>
          <w:bCs/>
          <w:sz w:val="28"/>
        </w:rPr>
        <w:lastRenderedPageBreak/>
        <w:t>k</w:t>
      </w:r>
      <w:r w:rsidRPr="00F54E3A">
        <w:rPr>
          <w:bCs/>
          <w:sz w:val="28"/>
        </w:rPr>
        <w:t>osmisko tehnoloģiju lietišķie pētījumi</w:t>
      </w:r>
      <w:r w:rsidRPr="00F54E3A">
        <w:rPr>
          <w:sz w:val="28"/>
        </w:rPr>
        <w:t xml:space="preserve">: </w:t>
      </w:r>
      <w:proofErr w:type="spellStart"/>
      <w:r w:rsidRPr="00F54E3A">
        <w:rPr>
          <w:sz w:val="28"/>
        </w:rPr>
        <w:t>satelītnavigācijas</w:t>
      </w:r>
      <w:proofErr w:type="spellEnd"/>
      <w:r w:rsidRPr="00F54E3A">
        <w:rPr>
          <w:sz w:val="28"/>
        </w:rPr>
        <w:t xml:space="preserve"> un </w:t>
      </w:r>
      <w:proofErr w:type="spellStart"/>
      <w:r w:rsidRPr="00F54E3A">
        <w:rPr>
          <w:sz w:val="28"/>
        </w:rPr>
        <w:t>satelītkomunikācijas</w:t>
      </w:r>
      <w:proofErr w:type="spellEnd"/>
      <w:r w:rsidRPr="00F54E3A">
        <w:rPr>
          <w:sz w:val="28"/>
        </w:rPr>
        <w:t xml:space="preserve"> pētījumi (pētījumi </w:t>
      </w:r>
      <w:proofErr w:type="spellStart"/>
      <w:r w:rsidRPr="00F54E3A">
        <w:rPr>
          <w:sz w:val="28"/>
        </w:rPr>
        <w:t>satelītnavigācijā</w:t>
      </w:r>
      <w:proofErr w:type="spellEnd"/>
      <w:r w:rsidRPr="00F54E3A">
        <w:rPr>
          <w:sz w:val="28"/>
        </w:rPr>
        <w:t xml:space="preserve"> (GPS, Galileo, GLONASS); bāzes stacijas pakalpojumi Zemei tuvās orbītas </w:t>
      </w:r>
      <w:proofErr w:type="spellStart"/>
      <w:r w:rsidRPr="00F54E3A">
        <w:rPr>
          <w:sz w:val="28"/>
        </w:rPr>
        <w:t>satelītnavigācijai</w:t>
      </w:r>
      <w:proofErr w:type="spellEnd"/>
      <w:r w:rsidRPr="00F54E3A">
        <w:rPr>
          <w:sz w:val="28"/>
        </w:rPr>
        <w:t xml:space="preserve"> (GNSS, GLONASS, Galileo) un signālu uztveršanas mērījumi (novērojumi 10 gadu posmā).</w:t>
      </w:r>
    </w:p>
    <w:p w:rsidR="001D26BC" w:rsidRPr="00F54E3A" w:rsidRDefault="001D26BC" w:rsidP="001D26BC">
      <w:pPr>
        <w:ind w:firstLine="720"/>
        <w:jc w:val="both"/>
        <w:rPr>
          <w:sz w:val="28"/>
        </w:rPr>
      </w:pPr>
      <w:r w:rsidRPr="00F54E3A">
        <w:rPr>
          <w:sz w:val="28"/>
        </w:rPr>
        <w:t>Patlaban attīstībā esošie virzieni veido izcilu kompetenci vāju Kosmosa signālu uztveršanā un apstrādē</w:t>
      </w:r>
      <w:r>
        <w:rPr>
          <w:sz w:val="28"/>
        </w:rPr>
        <w:t>,</w:t>
      </w:r>
      <w:r w:rsidRPr="00F54E3A">
        <w:rPr>
          <w:sz w:val="28"/>
        </w:rPr>
        <w:t xml:space="preserve"> un IZI VSRC papildu</w:t>
      </w:r>
      <w:r>
        <w:rPr>
          <w:sz w:val="28"/>
        </w:rPr>
        <w:t>s</w:t>
      </w:r>
      <w:r w:rsidRPr="00F54E3A">
        <w:rPr>
          <w:sz w:val="28"/>
        </w:rPr>
        <w:t xml:space="preserve"> jau esošajiem paredz piedāvāt Zemes bāzes stacijas pakalpojumus un pakalpojumus Zemei tuvās orbītās (LEO) esošu satelītu telekomunikācijai.</w:t>
      </w:r>
    </w:p>
    <w:p w:rsidR="001D26BC" w:rsidRPr="00F54E3A" w:rsidRDefault="001D26BC" w:rsidP="001D26BC">
      <w:pPr>
        <w:ind w:firstLine="720"/>
        <w:jc w:val="both"/>
        <w:rPr>
          <w:sz w:val="28"/>
        </w:rPr>
      </w:pPr>
      <w:r w:rsidRPr="00F54E3A">
        <w:rPr>
          <w:sz w:val="28"/>
        </w:rPr>
        <w:t>Šobrīd IZI VSRC realizē cilvēkresursu attīstībai nozīmīgu projektu “Uz Zemes Mākslīgo Pavadoņu (ZMP) attiecināmu signālu uztveršanas, raidīšanas un apstrādes tehnoloģijas” (Darbības programmas „Cilvēkresursi un nodarbinātība” aktivitātes 1.1.1.2. „Cilvēkresursu piesaiste zinātnei” ietvaros).</w:t>
      </w:r>
    </w:p>
    <w:p w:rsidR="001D26BC" w:rsidRPr="00F54E3A" w:rsidRDefault="001D26BC" w:rsidP="00293550">
      <w:pPr>
        <w:pStyle w:val="ColorfulList-Accent11"/>
        <w:ind w:left="0" w:firstLine="720"/>
        <w:jc w:val="both"/>
        <w:rPr>
          <w:sz w:val="28"/>
        </w:rPr>
      </w:pPr>
      <w:r w:rsidRPr="00F54E3A">
        <w:rPr>
          <w:sz w:val="28"/>
        </w:rPr>
        <w:t>Projekta mērķis: veicot pētījumus Zemes Mākslīgo Pavadoņu (ZMP) vadības, komunikāciju un signālu apstrādes jomās, izveidot starptautiska līmeņa kompetenci četrās jauno zinātnieku grupās</w:t>
      </w:r>
      <w:r w:rsidRPr="00AA3276">
        <w:t xml:space="preserve"> </w:t>
      </w:r>
      <w:r w:rsidRPr="00F54E3A">
        <w:rPr>
          <w:sz w:val="28"/>
        </w:rPr>
        <w:t xml:space="preserve">un izveidot platformu ZMP vadības un komunikāciju centram. Projekts ir starpdisciplinārs, jo projekta darbību rezultātus var sadalīt četrās grupās: ZMP signālu apstrāde, mehānikas un augstas veiktspējas skaitļošana, </w:t>
      </w:r>
      <w:proofErr w:type="spellStart"/>
      <w:r w:rsidRPr="00F54E3A">
        <w:rPr>
          <w:sz w:val="28"/>
        </w:rPr>
        <w:t>inženierpētniecība</w:t>
      </w:r>
      <w:proofErr w:type="spellEnd"/>
      <w:r w:rsidRPr="00F54E3A">
        <w:rPr>
          <w:sz w:val="28"/>
        </w:rPr>
        <w:t xml:space="preserve"> un elektronika un kosmisku atkritumu radiolokācija.</w:t>
      </w:r>
    </w:p>
    <w:p w:rsidR="001D26BC" w:rsidRPr="00F54E3A" w:rsidRDefault="001D26BC" w:rsidP="001D26BC">
      <w:pPr>
        <w:snapToGrid w:val="0"/>
        <w:ind w:firstLine="720"/>
        <w:jc w:val="both"/>
        <w:rPr>
          <w:sz w:val="28"/>
        </w:rPr>
      </w:pPr>
      <w:r w:rsidRPr="00F54E3A">
        <w:rPr>
          <w:sz w:val="28"/>
        </w:rPr>
        <w:t xml:space="preserve">Projekta īstenošanas rezultātā tika izveidotas četras jaunas zinātniskās grupas – ZMP signālu apstrādes grupa, mehānikas un augstas veiktspējas skaitļošanas grupa,  </w:t>
      </w:r>
      <w:proofErr w:type="spellStart"/>
      <w:r w:rsidRPr="00F54E3A">
        <w:rPr>
          <w:sz w:val="28"/>
        </w:rPr>
        <w:t>inženierpētniecības</w:t>
      </w:r>
      <w:proofErr w:type="spellEnd"/>
      <w:r w:rsidRPr="00F54E3A">
        <w:rPr>
          <w:sz w:val="28"/>
        </w:rPr>
        <w:t xml:space="preserve"> un elektronikas grupa un kosmisku atkritumu radiolokācijas grupa. </w:t>
      </w:r>
    </w:p>
    <w:p w:rsidR="001D26BC" w:rsidRPr="00AA3276" w:rsidRDefault="001D26BC" w:rsidP="001D26BC">
      <w:pPr>
        <w:jc w:val="both"/>
      </w:pPr>
    </w:p>
    <w:p w:rsidR="001D26BC" w:rsidRDefault="001D26BC" w:rsidP="001D26BC">
      <w:pPr>
        <w:pStyle w:val="Heading4"/>
      </w:pPr>
      <w:bookmarkStart w:id="62" w:name="_Toc142573518"/>
      <w:bookmarkStart w:id="63" w:name="_Toc277672597"/>
      <w:bookmarkStart w:id="64" w:name="_Toc280366528"/>
      <w:r w:rsidRPr="00A02ACB">
        <w:t>3.3.</w:t>
      </w:r>
      <w:r>
        <w:t>3</w:t>
      </w:r>
      <w:r w:rsidRPr="00A02ACB">
        <w:t>.</w:t>
      </w:r>
      <w:r>
        <w:t xml:space="preserve"> </w:t>
      </w:r>
      <w:r w:rsidRPr="00902986">
        <w:t>KDAC projekta aktivitātes</w:t>
      </w:r>
      <w:bookmarkEnd w:id="62"/>
      <w:bookmarkEnd w:id="63"/>
      <w:bookmarkEnd w:id="64"/>
    </w:p>
    <w:p w:rsidR="001D26BC" w:rsidRPr="00285C24" w:rsidRDefault="001D26BC" w:rsidP="001D26BC"/>
    <w:p w:rsidR="001D26BC" w:rsidRPr="00F54E3A" w:rsidRDefault="001D26BC" w:rsidP="001D26BC">
      <w:pPr>
        <w:ind w:firstLine="426"/>
        <w:jc w:val="both"/>
        <w:rPr>
          <w:sz w:val="28"/>
        </w:rPr>
      </w:pPr>
      <w:r w:rsidRPr="00F54E3A">
        <w:rPr>
          <w:sz w:val="28"/>
        </w:rPr>
        <w:t>KDAC attīstība plānota LU MII un IZI VSRC savstarpēji koordinētu aktivitāšu ietvaros:</w:t>
      </w:r>
    </w:p>
    <w:p w:rsidR="001D26BC" w:rsidRPr="00F54E3A" w:rsidRDefault="001D26BC" w:rsidP="001D26BC">
      <w:pPr>
        <w:pStyle w:val="TOC4"/>
        <w:numPr>
          <w:ilvl w:val="0"/>
          <w:numId w:val="13"/>
        </w:numPr>
        <w:tabs>
          <w:tab w:val="left" w:pos="709"/>
          <w:tab w:val="right" w:pos="8963"/>
        </w:tabs>
        <w:ind w:left="709" w:hanging="283"/>
        <w:jc w:val="both"/>
        <w:rPr>
          <w:rFonts w:eastAsia="Times New Roman"/>
          <w:noProof/>
          <w:sz w:val="28"/>
          <w:szCs w:val="28"/>
        </w:rPr>
      </w:pPr>
      <w:r>
        <w:rPr>
          <w:noProof/>
          <w:sz w:val="28"/>
          <w:szCs w:val="28"/>
        </w:rPr>
        <w:t>k</w:t>
      </w:r>
      <w:r w:rsidRPr="00F54E3A">
        <w:rPr>
          <w:noProof/>
          <w:sz w:val="28"/>
          <w:szCs w:val="28"/>
        </w:rPr>
        <w:t>osmisko datu ieguve;</w:t>
      </w:r>
    </w:p>
    <w:p w:rsidR="001D26BC" w:rsidRPr="00F54E3A" w:rsidRDefault="001D26BC" w:rsidP="001D26BC">
      <w:pPr>
        <w:pStyle w:val="TOC4"/>
        <w:numPr>
          <w:ilvl w:val="0"/>
          <w:numId w:val="13"/>
        </w:numPr>
        <w:tabs>
          <w:tab w:val="left" w:pos="709"/>
          <w:tab w:val="right" w:pos="8963"/>
        </w:tabs>
        <w:ind w:left="709" w:hanging="283"/>
        <w:jc w:val="both"/>
        <w:rPr>
          <w:rFonts w:eastAsia="Times New Roman"/>
          <w:noProof/>
          <w:sz w:val="28"/>
          <w:szCs w:val="28"/>
        </w:rPr>
      </w:pPr>
      <w:r>
        <w:rPr>
          <w:noProof/>
          <w:sz w:val="28"/>
          <w:szCs w:val="28"/>
        </w:rPr>
        <w:t>k</w:t>
      </w:r>
      <w:r w:rsidRPr="00F54E3A">
        <w:rPr>
          <w:noProof/>
          <w:sz w:val="28"/>
          <w:szCs w:val="28"/>
        </w:rPr>
        <w:t>osmisko datu buferēšana, pirmapstrāde un apstrāde;</w:t>
      </w:r>
    </w:p>
    <w:p w:rsidR="001D26BC" w:rsidRPr="00F54E3A" w:rsidRDefault="001D26BC" w:rsidP="001D26BC">
      <w:pPr>
        <w:pStyle w:val="TOC4"/>
        <w:numPr>
          <w:ilvl w:val="0"/>
          <w:numId w:val="13"/>
        </w:numPr>
        <w:tabs>
          <w:tab w:val="left" w:pos="709"/>
          <w:tab w:val="right" w:pos="8963"/>
        </w:tabs>
        <w:ind w:left="709" w:hanging="283"/>
        <w:jc w:val="both"/>
        <w:rPr>
          <w:rFonts w:eastAsia="Times New Roman"/>
          <w:noProof/>
          <w:sz w:val="28"/>
          <w:szCs w:val="28"/>
        </w:rPr>
      </w:pPr>
      <w:r>
        <w:rPr>
          <w:noProof/>
          <w:sz w:val="28"/>
          <w:szCs w:val="28"/>
        </w:rPr>
        <w:t>u</w:t>
      </w:r>
      <w:r w:rsidRPr="00F54E3A">
        <w:rPr>
          <w:noProof/>
          <w:sz w:val="28"/>
          <w:szCs w:val="28"/>
        </w:rPr>
        <w:t xml:space="preserve">z GEANT3 un Latvijas </w:t>
      </w:r>
      <w:proofErr w:type="spellStart"/>
      <w:r w:rsidRPr="00BA5C4B">
        <w:rPr>
          <w:i/>
          <w:sz w:val="28"/>
          <w:szCs w:val="28"/>
        </w:rPr>
        <w:t>National</w:t>
      </w:r>
      <w:proofErr w:type="spellEnd"/>
      <w:r w:rsidRPr="00BA5C4B">
        <w:rPr>
          <w:i/>
          <w:sz w:val="28"/>
          <w:szCs w:val="28"/>
        </w:rPr>
        <w:t xml:space="preserve"> </w:t>
      </w:r>
      <w:proofErr w:type="spellStart"/>
      <w:r w:rsidRPr="00BA5C4B">
        <w:rPr>
          <w:i/>
          <w:sz w:val="28"/>
          <w:szCs w:val="28"/>
        </w:rPr>
        <w:t>Research</w:t>
      </w:r>
      <w:proofErr w:type="spellEnd"/>
      <w:r w:rsidRPr="00BA5C4B">
        <w:rPr>
          <w:i/>
          <w:sz w:val="28"/>
          <w:szCs w:val="28"/>
        </w:rPr>
        <w:t xml:space="preserve"> </w:t>
      </w:r>
      <w:proofErr w:type="spellStart"/>
      <w:r w:rsidRPr="00BA5C4B">
        <w:rPr>
          <w:i/>
          <w:sz w:val="28"/>
          <w:szCs w:val="28"/>
        </w:rPr>
        <w:t>and</w:t>
      </w:r>
      <w:proofErr w:type="spellEnd"/>
      <w:r w:rsidRPr="00BA5C4B">
        <w:rPr>
          <w:i/>
          <w:sz w:val="28"/>
          <w:szCs w:val="28"/>
        </w:rPr>
        <w:t xml:space="preserve"> </w:t>
      </w:r>
      <w:proofErr w:type="spellStart"/>
      <w:r w:rsidRPr="00BA5C4B">
        <w:rPr>
          <w:i/>
          <w:sz w:val="28"/>
          <w:szCs w:val="28"/>
        </w:rPr>
        <w:t>Education</w:t>
      </w:r>
      <w:proofErr w:type="spellEnd"/>
      <w:r w:rsidRPr="00BA5C4B">
        <w:rPr>
          <w:i/>
          <w:sz w:val="28"/>
          <w:szCs w:val="28"/>
        </w:rPr>
        <w:t xml:space="preserve"> </w:t>
      </w:r>
      <w:proofErr w:type="spellStart"/>
      <w:r w:rsidRPr="00BA5C4B">
        <w:rPr>
          <w:i/>
          <w:sz w:val="28"/>
          <w:szCs w:val="28"/>
        </w:rPr>
        <w:t>Network</w:t>
      </w:r>
      <w:proofErr w:type="spellEnd"/>
      <w:r w:rsidRPr="00BA5C4B">
        <w:rPr>
          <w:i/>
          <w:noProof/>
          <w:sz w:val="28"/>
          <w:szCs w:val="28"/>
        </w:rPr>
        <w:t xml:space="preserve"> </w:t>
      </w:r>
      <w:r>
        <w:rPr>
          <w:noProof/>
          <w:sz w:val="28"/>
          <w:szCs w:val="28"/>
        </w:rPr>
        <w:t>(</w:t>
      </w:r>
      <w:r w:rsidRPr="00F54E3A">
        <w:rPr>
          <w:noProof/>
          <w:sz w:val="28"/>
          <w:szCs w:val="28"/>
        </w:rPr>
        <w:t>NREN</w:t>
      </w:r>
      <w:r>
        <w:rPr>
          <w:noProof/>
          <w:sz w:val="28"/>
          <w:szCs w:val="28"/>
        </w:rPr>
        <w:t>)</w:t>
      </w:r>
      <w:r w:rsidRPr="00F54E3A">
        <w:rPr>
          <w:noProof/>
          <w:sz w:val="28"/>
          <w:szCs w:val="28"/>
        </w:rPr>
        <w:t xml:space="preserve"> bāzētu radioteleskopu tīkla darbībai nepieciešamo papildu datu pārraides servisu nodrošināšana;</w:t>
      </w:r>
    </w:p>
    <w:p w:rsidR="001D26BC" w:rsidRPr="00F54E3A" w:rsidRDefault="001D26BC" w:rsidP="001D26BC">
      <w:pPr>
        <w:pStyle w:val="TOC4"/>
        <w:numPr>
          <w:ilvl w:val="0"/>
          <w:numId w:val="13"/>
        </w:numPr>
        <w:tabs>
          <w:tab w:val="left" w:pos="709"/>
          <w:tab w:val="right" w:pos="8963"/>
        </w:tabs>
        <w:ind w:left="709" w:hanging="283"/>
        <w:jc w:val="both"/>
        <w:rPr>
          <w:noProof/>
          <w:sz w:val="28"/>
          <w:szCs w:val="28"/>
        </w:rPr>
      </w:pPr>
      <w:r>
        <w:rPr>
          <w:noProof/>
          <w:sz w:val="28"/>
          <w:szCs w:val="28"/>
        </w:rPr>
        <w:t>k</w:t>
      </w:r>
      <w:r w:rsidRPr="00F54E3A">
        <w:rPr>
          <w:noProof/>
          <w:sz w:val="28"/>
          <w:szCs w:val="28"/>
        </w:rPr>
        <w:t>osmisko datu uzglabāšana;</w:t>
      </w:r>
    </w:p>
    <w:p w:rsidR="001D26BC" w:rsidRPr="00F54E3A" w:rsidRDefault="001D26BC" w:rsidP="001D26BC">
      <w:pPr>
        <w:pStyle w:val="TOC4"/>
        <w:numPr>
          <w:ilvl w:val="0"/>
          <w:numId w:val="13"/>
        </w:numPr>
        <w:tabs>
          <w:tab w:val="left" w:pos="709"/>
          <w:tab w:val="right" w:pos="8963"/>
        </w:tabs>
        <w:ind w:left="709" w:hanging="283"/>
        <w:jc w:val="both"/>
        <w:rPr>
          <w:rFonts w:eastAsia="Times New Roman"/>
          <w:noProof/>
          <w:sz w:val="28"/>
          <w:szCs w:val="28"/>
        </w:rPr>
      </w:pPr>
      <w:r>
        <w:rPr>
          <w:noProof/>
          <w:sz w:val="28"/>
          <w:szCs w:val="28"/>
        </w:rPr>
        <w:t>a</w:t>
      </w:r>
      <w:r w:rsidRPr="00F54E3A">
        <w:rPr>
          <w:noProof/>
          <w:sz w:val="28"/>
          <w:szCs w:val="28"/>
        </w:rPr>
        <w:t>ugstas veiktspējas aprēķini.</w:t>
      </w:r>
    </w:p>
    <w:p w:rsidR="001D26BC" w:rsidRPr="00F54E3A" w:rsidRDefault="001D26BC" w:rsidP="001D26BC">
      <w:pPr>
        <w:jc w:val="both"/>
        <w:rPr>
          <w:sz w:val="28"/>
        </w:rPr>
      </w:pPr>
    </w:p>
    <w:p w:rsidR="001D26BC" w:rsidRPr="00F54E3A" w:rsidRDefault="001D26BC" w:rsidP="001D26BC">
      <w:pPr>
        <w:ind w:firstLine="426"/>
        <w:jc w:val="both"/>
        <w:rPr>
          <w:sz w:val="28"/>
        </w:rPr>
      </w:pPr>
      <w:r w:rsidRPr="00F54E3A">
        <w:rPr>
          <w:sz w:val="28"/>
        </w:rPr>
        <w:t>Kosmisko datu apstrādes centrs tiks veidots kā attīstības pasākumu komplekss, kas paredz tieši stiprināt LU MII un IZI VSRC zinātnisko darbību šādos pamata aspektos:</w:t>
      </w:r>
    </w:p>
    <w:p w:rsidR="001D26BC" w:rsidRPr="00F54E3A" w:rsidRDefault="001D26BC" w:rsidP="001D26BC">
      <w:pPr>
        <w:numPr>
          <w:ilvl w:val="0"/>
          <w:numId w:val="12"/>
        </w:numPr>
        <w:jc w:val="both"/>
        <w:rPr>
          <w:sz w:val="28"/>
        </w:rPr>
      </w:pPr>
      <w:r w:rsidRPr="00F54E3A">
        <w:rPr>
          <w:sz w:val="28"/>
        </w:rPr>
        <w:t>personāla attīstība;</w:t>
      </w:r>
    </w:p>
    <w:p w:rsidR="001D26BC" w:rsidRPr="00F54E3A" w:rsidRDefault="001D26BC" w:rsidP="001D26BC">
      <w:pPr>
        <w:numPr>
          <w:ilvl w:val="0"/>
          <w:numId w:val="12"/>
        </w:numPr>
        <w:jc w:val="both"/>
        <w:rPr>
          <w:sz w:val="28"/>
        </w:rPr>
      </w:pPr>
      <w:r w:rsidRPr="00F54E3A">
        <w:rPr>
          <w:sz w:val="28"/>
        </w:rPr>
        <w:lastRenderedPageBreak/>
        <w:t>tehniskā aprīkojuma attīstība (fiziskā</w:t>
      </w:r>
      <w:r w:rsidRPr="00AA3276">
        <w:t xml:space="preserve"> </w:t>
      </w:r>
      <w:r w:rsidRPr="00F54E3A">
        <w:rPr>
          <w:sz w:val="28"/>
        </w:rPr>
        <w:t>infrastruktūra zinātnes attīstībai);</w:t>
      </w:r>
    </w:p>
    <w:p w:rsidR="001D26BC" w:rsidRPr="00F54E3A" w:rsidRDefault="001D26BC" w:rsidP="001D26BC">
      <w:pPr>
        <w:numPr>
          <w:ilvl w:val="0"/>
          <w:numId w:val="12"/>
        </w:numPr>
        <w:jc w:val="both"/>
        <w:rPr>
          <w:sz w:val="28"/>
        </w:rPr>
      </w:pPr>
      <w:r w:rsidRPr="00F54E3A">
        <w:rPr>
          <w:sz w:val="28"/>
        </w:rPr>
        <w:t>e-infrastruktūras attīstība.</w:t>
      </w:r>
    </w:p>
    <w:p w:rsidR="001D26BC" w:rsidRPr="00AA3276" w:rsidRDefault="001D26BC" w:rsidP="001D26BC">
      <w:pPr>
        <w:jc w:val="both"/>
      </w:pPr>
    </w:p>
    <w:p w:rsidR="001D26BC" w:rsidRPr="00F54E3A" w:rsidRDefault="001D26BC" w:rsidP="001D26BC">
      <w:pPr>
        <w:ind w:firstLine="426"/>
        <w:jc w:val="both"/>
        <w:rPr>
          <w:rFonts w:cs="Palatino"/>
          <w:sz w:val="28"/>
        </w:rPr>
      </w:pPr>
      <w:r w:rsidRPr="00F54E3A">
        <w:rPr>
          <w:sz w:val="28"/>
        </w:rPr>
        <w:t xml:space="preserve">Visu šo pamata virzienu stabila attīstība paredz pozicionēt KDAC kā </w:t>
      </w:r>
      <w:r w:rsidRPr="00F54E3A">
        <w:rPr>
          <w:rFonts w:cs="Palatino"/>
          <w:sz w:val="28"/>
        </w:rPr>
        <w:t>Eiropas līmeņa zinātnisku institūciju – fundamentālās un pielietojamās zinātnes centru ar unikālu zinātnes un izglītības piedāvājumu, kas kalpo kā:</w:t>
      </w:r>
    </w:p>
    <w:p w:rsidR="001D26BC" w:rsidRPr="00F54E3A" w:rsidRDefault="001D26BC" w:rsidP="001D26BC">
      <w:pPr>
        <w:numPr>
          <w:ilvl w:val="0"/>
          <w:numId w:val="11"/>
        </w:numPr>
        <w:jc w:val="both"/>
        <w:rPr>
          <w:rFonts w:cs="Palatino"/>
          <w:sz w:val="28"/>
        </w:rPr>
      </w:pPr>
      <w:r w:rsidRPr="00F54E3A">
        <w:rPr>
          <w:rFonts w:cs="Palatino"/>
          <w:sz w:val="28"/>
        </w:rPr>
        <w:t>kosmisko tehnoloģiju pielietojumu radīšanas un pielietojumu veicinātājs;</w:t>
      </w:r>
    </w:p>
    <w:p w:rsidR="001D26BC" w:rsidRPr="00F54E3A" w:rsidRDefault="001D26BC" w:rsidP="001D26BC">
      <w:pPr>
        <w:numPr>
          <w:ilvl w:val="0"/>
          <w:numId w:val="11"/>
        </w:numPr>
        <w:jc w:val="both"/>
        <w:rPr>
          <w:rFonts w:cs="Palatino"/>
          <w:sz w:val="28"/>
        </w:rPr>
      </w:pPr>
      <w:r w:rsidRPr="00F54E3A">
        <w:rPr>
          <w:rFonts w:cs="Palatino"/>
          <w:sz w:val="28"/>
        </w:rPr>
        <w:t>tehnoloģiskās izaugsmes dzinējspēks;</w:t>
      </w:r>
    </w:p>
    <w:p w:rsidR="001D26BC" w:rsidRPr="00F54E3A" w:rsidRDefault="001D26BC" w:rsidP="001D26BC">
      <w:pPr>
        <w:numPr>
          <w:ilvl w:val="0"/>
          <w:numId w:val="11"/>
        </w:numPr>
        <w:jc w:val="both"/>
        <w:rPr>
          <w:rFonts w:cs="Palatino"/>
          <w:sz w:val="28"/>
        </w:rPr>
      </w:pPr>
      <w:r w:rsidRPr="00F54E3A">
        <w:rPr>
          <w:rFonts w:cs="Palatino"/>
          <w:sz w:val="28"/>
        </w:rPr>
        <w:t>ekonomiskās izaugsmes, t.sk. pakalpojuma sektora izaugsmes veicinātājs;</w:t>
      </w:r>
    </w:p>
    <w:p w:rsidR="001D26BC" w:rsidRPr="00A02ACB" w:rsidRDefault="001D26BC" w:rsidP="001D26BC">
      <w:pPr>
        <w:numPr>
          <w:ilvl w:val="0"/>
          <w:numId w:val="11"/>
        </w:numPr>
        <w:jc w:val="both"/>
        <w:rPr>
          <w:sz w:val="28"/>
        </w:rPr>
      </w:pPr>
      <w:r w:rsidRPr="00F54E3A">
        <w:rPr>
          <w:rFonts w:cs="Palatino"/>
          <w:sz w:val="28"/>
        </w:rPr>
        <w:t>cilvēkresursu attīstītājs – izglītības un zinātnes sektora piedāvājuma stiprināšana, nodarbinātības veicināšana.</w:t>
      </w:r>
    </w:p>
    <w:p w:rsidR="001D26BC" w:rsidRPr="00645B92" w:rsidRDefault="00645B92" w:rsidP="00645B92">
      <w:pPr>
        <w:ind w:firstLine="360"/>
        <w:jc w:val="both"/>
        <w:rPr>
          <w:sz w:val="28"/>
        </w:rPr>
      </w:pPr>
      <w:r w:rsidRPr="00645B92">
        <w:rPr>
          <w:sz w:val="28"/>
        </w:rPr>
        <w:t xml:space="preserve">Norādām, ka ES struktūrfondu finansējums kosmosa izpētes attīstībai ir paredzēts darbības programmas „Uzņēmējdarbība un inovācijas 2.1.1.3.aktivitātes „Zinātnes un pētniecības infrastruktūras attīstība” 2.1.1.3.1. </w:t>
      </w:r>
      <w:proofErr w:type="spellStart"/>
      <w:r w:rsidRPr="00645B92">
        <w:rPr>
          <w:sz w:val="28"/>
        </w:rPr>
        <w:t>apakšaktivitātes</w:t>
      </w:r>
      <w:proofErr w:type="spellEnd"/>
      <w:r w:rsidRPr="00645B92">
        <w:rPr>
          <w:sz w:val="28"/>
        </w:rPr>
        <w:t xml:space="preserve"> „Zinātnes infrastruktūras attīstība” ietvaros saskaņā ar Izglītības un zinātnes ministrijas izstrādāto informatīvo ziņojumu „Par valsts nozīmes pētniecības centru noteikšanu, lai nodrošinātu resursu koncentrāciju un Eiropas Savienības struktūrfondu efektīvu ieguldījumu”, kas apstiprināts Ministru kabineta 2010.gada 17.augusta sēdē. Tā ietvaros ir paredzēts izveidot valsts nozīmes pētniecības centrus (VNPC), tai skaitā arī Kosmisko datu apstrādes centru. </w:t>
      </w:r>
      <w:proofErr w:type="spellStart"/>
      <w:r w:rsidRPr="00645B92">
        <w:rPr>
          <w:sz w:val="28"/>
        </w:rPr>
        <w:t>Apakšaktivitāti</w:t>
      </w:r>
      <w:proofErr w:type="spellEnd"/>
      <w:r w:rsidRPr="00645B92">
        <w:rPr>
          <w:sz w:val="28"/>
        </w:rPr>
        <w:t xml:space="preserve"> ir paredzēts ieviest divās atlases kārtās, kopējais </w:t>
      </w:r>
      <w:proofErr w:type="spellStart"/>
      <w:r w:rsidRPr="00645B92">
        <w:rPr>
          <w:sz w:val="28"/>
        </w:rPr>
        <w:t>apakšaktivitātē</w:t>
      </w:r>
      <w:proofErr w:type="spellEnd"/>
      <w:r w:rsidRPr="00645B92">
        <w:rPr>
          <w:sz w:val="28"/>
        </w:rPr>
        <w:t xml:space="preserve"> pieejamais Eiropas reģionālā attīstības fonda (turpmāk – ERAF) līdzfinansējums ir 102 696 235 latu</w:t>
      </w:r>
      <w:r w:rsidRPr="00645B92">
        <w:rPr>
          <w:color w:val="1F497D"/>
          <w:sz w:val="28"/>
        </w:rPr>
        <w:t xml:space="preserve">, </w:t>
      </w:r>
      <w:r w:rsidRPr="00645B92">
        <w:rPr>
          <w:sz w:val="28"/>
        </w:rPr>
        <w:t>tai skaitā ERAF finansējums, kas paredzēts Kosmisko datu apstrādes centra izveidei, sastāda 5 000 000 latu</w:t>
      </w:r>
    </w:p>
    <w:p w:rsidR="001D26BC" w:rsidRDefault="001D26BC" w:rsidP="001D26BC">
      <w:pPr>
        <w:pStyle w:val="Heading4"/>
      </w:pPr>
      <w:bookmarkStart w:id="65" w:name="_Toc280366529"/>
      <w:r>
        <w:t>3.3.4.Uzņēmumu un valsts institūciju kosmosa sektora potenciāls</w:t>
      </w:r>
      <w:bookmarkEnd w:id="65"/>
      <w:r>
        <w:t xml:space="preserve">  </w:t>
      </w:r>
    </w:p>
    <w:p w:rsidR="001D26BC" w:rsidRPr="00285C24" w:rsidRDefault="001D26BC" w:rsidP="001D26BC"/>
    <w:p w:rsidR="001D26BC" w:rsidRPr="0068765A" w:rsidRDefault="001D26BC" w:rsidP="001D26BC">
      <w:pPr>
        <w:ind w:firstLine="720"/>
        <w:jc w:val="both"/>
        <w:rPr>
          <w:sz w:val="28"/>
        </w:rPr>
      </w:pPr>
      <w:r w:rsidRPr="0068765A">
        <w:rPr>
          <w:sz w:val="28"/>
        </w:rPr>
        <w:t xml:space="preserve">Latvijā darbojas vairāki uzņēmumi, kuru ražotie produkti vai sniegtie pakalpojumi ir saistīti ar kosmosa tehnoloģijām, vai potenciāli varētu tikt ar to saistīti nākotnē. Šie uzņēmumi darbojas dažādās nozarēs, piemēram, mašīnbūve un metālapstrāde, informācijas un komunikācijas tehnoloģijas, dažāda veida pakalpojumu sniegšana un citās. Visplašākās ar kosmosa tehnoloģijām saistītās apakšnozares ir </w:t>
      </w:r>
      <w:proofErr w:type="spellStart"/>
      <w:r w:rsidRPr="0068765A">
        <w:rPr>
          <w:sz w:val="28"/>
        </w:rPr>
        <w:t>inženiernozares</w:t>
      </w:r>
      <w:proofErr w:type="spellEnd"/>
      <w:r w:rsidRPr="0068765A">
        <w:rPr>
          <w:sz w:val="28"/>
        </w:rPr>
        <w:t xml:space="preserve"> un produkti vai pakalpojumi, kas vērsti uz gala lietotāju aprīkojuma papildināšanu, taču vairāku uzņēmumu pa</w:t>
      </w:r>
      <w:r>
        <w:rPr>
          <w:sz w:val="28"/>
        </w:rPr>
        <w:t>š</w:t>
      </w:r>
      <w:r w:rsidRPr="0068765A">
        <w:rPr>
          <w:sz w:val="28"/>
        </w:rPr>
        <w:t xml:space="preserve">reizējie darbības virzieni perspektīvā var tikt attīstīti arī saistībā ar kosmosa tehnoloģijām, kas kopumā norāda uz attīstības potenciālu kosmosa tehnoloģiju jomā Latvijas uzņēmumu vidū. Vairāki no Latvijas uzņēmumu, kas saistīti ar </w:t>
      </w:r>
      <w:r w:rsidRPr="0068765A">
        <w:rPr>
          <w:sz w:val="28"/>
        </w:rPr>
        <w:lastRenderedPageBreak/>
        <w:t>kosmosa tehnoloģiju jomu, izstrādātie produkti vai pakalpojumi vai pat kopējā uzņēmuma darbība ir bijusi un ir cieši saistīta ar Latvijas zinātniskajām institūcijām. Elektronikas un datorzinātņu institūts, Koksnes ķīmijas institūts, LU Astronomijas institūts, RTU Neorganiskās ķīmijas institūts un LU Cietvielu fizikas institūts ir sadarbojušies ar vairākiem Latvijas uzņēmumiem, kas strādā šajā virzienā.</w:t>
      </w:r>
    </w:p>
    <w:p w:rsidR="001D26BC" w:rsidRPr="0068765A" w:rsidRDefault="001D26BC" w:rsidP="001D26BC">
      <w:pPr>
        <w:ind w:firstLine="720"/>
        <w:jc w:val="both"/>
        <w:rPr>
          <w:bCs/>
          <w:sz w:val="28"/>
        </w:rPr>
      </w:pPr>
      <w:r w:rsidRPr="0068765A">
        <w:rPr>
          <w:sz w:val="28"/>
        </w:rPr>
        <w:t xml:space="preserve">Latvijā viens no plašākajiem un apgrozījuma un eksporta ziņā lielākajiem sektoriem ar kosmosa jomas potenciālu ir </w:t>
      </w:r>
      <w:proofErr w:type="spellStart"/>
      <w:r w:rsidRPr="0068765A">
        <w:rPr>
          <w:sz w:val="28"/>
        </w:rPr>
        <w:t>inženiernozares</w:t>
      </w:r>
      <w:proofErr w:type="spellEnd"/>
      <w:r w:rsidRPr="0068765A">
        <w:rPr>
          <w:sz w:val="28"/>
        </w:rPr>
        <w:t xml:space="preserve">, kurās bez zinātniskajām institūcijām, kas tajās darbojas, kā nozīmīgākie uzņēmumi minami </w:t>
      </w:r>
      <w:r w:rsidRPr="00A02ACB">
        <w:rPr>
          <w:b/>
          <w:sz w:val="28"/>
        </w:rPr>
        <w:t xml:space="preserve">SIA </w:t>
      </w:r>
      <w:proofErr w:type="spellStart"/>
      <w:r w:rsidRPr="00A02ACB">
        <w:rPr>
          <w:b/>
          <w:sz w:val="28"/>
        </w:rPr>
        <w:t>Baltic</w:t>
      </w:r>
      <w:proofErr w:type="spellEnd"/>
      <w:r w:rsidRPr="00A02ACB">
        <w:rPr>
          <w:b/>
          <w:sz w:val="28"/>
        </w:rPr>
        <w:t xml:space="preserve"> </w:t>
      </w:r>
      <w:proofErr w:type="spellStart"/>
      <w:r w:rsidRPr="00A02ACB">
        <w:rPr>
          <w:b/>
          <w:sz w:val="28"/>
        </w:rPr>
        <w:t>Scientific</w:t>
      </w:r>
      <w:proofErr w:type="spellEnd"/>
      <w:r w:rsidRPr="00A02ACB">
        <w:rPr>
          <w:b/>
          <w:sz w:val="28"/>
        </w:rPr>
        <w:t xml:space="preserve"> Instruments</w:t>
      </w:r>
      <w:r w:rsidRPr="0068765A">
        <w:rPr>
          <w:sz w:val="28"/>
        </w:rPr>
        <w:t xml:space="preserve">, kas izgatavo radiācijas detektorus, un kura darbība saistīta ar materiālu, komponenšu, kā arī optikas inženieriju kosmosa tehnoloģijām, </w:t>
      </w:r>
      <w:r w:rsidRPr="00A02ACB">
        <w:rPr>
          <w:b/>
          <w:sz w:val="28"/>
        </w:rPr>
        <w:t>A/S Sidrabe</w:t>
      </w:r>
      <w:r w:rsidRPr="0068765A">
        <w:rPr>
          <w:sz w:val="28"/>
        </w:rPr>
        <w:t xml:space="preserve">, kas izstrādā vakuuma pārklājumu tehnoloģiskos procesus un iekārtas, kā arī A/S Valmieras stikla šķiedra, kas gan neražo kosmosa tehnoloģiju gala produktu, bet uzņēmuma saražotie </w:t>
      </w:r>
      <w:r w:rsidRPr="0068765A">
        <w:rPr>
          <w:bCs/>
          <w:sz w:val="28"/>
        </w:rPr>
        <w:t xml:space="preserve">tehniskie un </w:t>
      </w:r>
      <w:proofErr w:type="spellStart"/>
      <w:r w:rsidRPr="0068765A">
        <w:rPr>
          <w:bCs/>
          <w:sz w:val="28"/>
        </w:rPr>
        <w:t>teksturētie</w:t>
      </w:r>
      <w:proofErr w:type="spellEnd"/>
      <w:r w:rsidRPr="0068765A">
        <w:rPr>
          <w:bCs/>
          <w:sz w:val="28"/>
        </w:rPr>
        <w:t xml:space="preserve"> stikla šķiedras audumi un diegi tiek lietoti dažādu ar kosmosa tehnoloģiju saistītu materiālu un komponenšu inženierijā. </w:t>
      </w:r>
    </w:p>
    <w:p w:rsidR="001D26BC" w:rsidRPr="0068765A" w:rsidRDefault="001D26BC" w:rsidP="001D26BC">
      <w:pPr>
        <w:ind w:firstLine="720"/>
        <w:jc w:val="both"/>
        <w:rPr>
          <w:sz w:val="28"/>
        </w:rPr>
      </w:pPr>
      <w:proofErr w:type="spellStart"/>
      <w:r w:rsidRPr="0068765A">
        <w:rPr>
          <w:bCs/>
          <w:sz w:val="28"/>
        </w:rPr>
        <w:t>Inženiernozarēs</w:t>
      </w:r>
      <w:proofErr w:type="spellEnd"/>
      <w:r w:rsidRPr="0068765A">
        <w:rPr>
          <w:bCs/>
          <w:sz w:val="28"/>
        </w:rPr>
        <w:t xml:space="preserve"> saistībā ar kosmosa tehnoloģijām darbojas arī tādi Latvijas uzņēmumi kā </w:t>
      </w:r>
      <w:r w:rsidRPr="00A02ACB">
        <w:rPr>
          <w:b/>
          <w:bCs/>
          <w:sz w:val="28"/>
        </w:rPr>
        <w:t>SIA Plazma, keramika tehnoloģija</w:t>
      </w:r>
      <w:r w:rsidRPr="0068765A">
        <w:rPr>
          <w:bCs/>
          <w:sz w:val="28"/>
        </w:rPr>
        <w:t xml:space="preserve">, kas izgatavo keramiskos un </w:t>
      </w:r>
      <w:proofErr w:type="spellStart"/>
      <w:r w:rsidRPr="0068765A">
        <w:rPr>
          <w:bCs/>
          <w:sz w:val="28"/>
        </w:rPr>
        <w:t>nanopulverus</w:t>
      </w:r>
      <w:proofErr w:type="spellEnd"/>
      <w:r w:rsidRPr="0068765A">
        <w:rPr>
          <w:bCs/>
          <w:sz w:val="28"/>
        </w:rPr>
        <w:t xml:space="preserve"> kosmiskās tehnikas keramiskajām detaļām, SIA </w:t>
      </w:r>
      <w:r w:rsidRPr="00A02ACB">
        <w:rPr>
          <w:b/>
          <w:bCs/>
          <w:sz w:val="28"/>
        </w:rPr>
        <w:t xml:space="preserve">HEE </w:t>
      </w:r>
      <w:proofErr w:type="spellStart"/>
      <w:r w:rsidRPr="00A02ACB">
        <w:rPr>
          <w:b/>
          <w:bCs/>
          <w:sz w:val="28"/>
        </w:rPr>
        <w:t>Photonic</w:t>
      </w:r>
      <w:proofErr w:type="spellEnd"/>
      <w:r w:rsidRPr="00A02ACB">
        <w:rPr>
          <w:b/>
          <w:bCs/>
          <w:sz w:val="28"/>
        </w:rPr>
        <w:t xml:space="preserve"> Labs</w:t>
      </w:r>
      <w:r w:rsidRPr="0068765A">
        <w:rPr>
          <w:bCs/>
          <w:sz w:val="28"/>
        </w:rPr>
        <w:t xml:space="preserve">, kas izgatavo optiskās komponentes teleskopiem un </w:t>
      </w:r>
      <w:proofErr w:type="spellStart"/>
      <w:r w:rsidRPr="0068765A">
        <w:rPr>
          <w:bCs/>
          <w:sz w:val="28"/>
        </w:rPr>
        <w:t>satelītlāzertālmēriem</w:t>
      </w:r>
      <w:proofErr w:type="spellEnd"/>
      <w:r w:rsidRPr="0068765A">
        <w:rPr>
          <w:bCs/>
          <w:sz w:val="28"/>
        </w:rPr>
        <w:t xml:space="preserve">, A/S </w:t>
      </w:r>
      <w:proofErr w:type="spellStart"/>
      <w:r w:rsidRPr="0068765A">
        <w:rPr>
          <w:bCs/>
          <w:sz w:val="28"/>
        </w:rPr>
        <w:t>Neomat</w:t>
      </w:r>
      <w:proofErr w:type="spellEnd"/>
      <w:r w:rsidRPr="0068765A">
        <w:rPr>
          <w:bCs/>
          <w:sz w:val="28"/>
        </w:rPr>
        <w:t xml:space="preserve">, kas izgatavo </w:t>
      </w:r>
      <w:proofErr w:type="spellStart"/>
      <w:r w:rsidRPr="0068765A">
        <w:rPr>
          <w:bCs/>
          <w:sz w:val="28"/>
        </w:rPr>
        <w:t>nanopulverus</w:t>
      </w:r>
      <w:proofErr w:type="spellEnd"/>
      <w:r w:rsidRPr="0068765A">
        <w:rPr>
          <w:bCs/>
          <w:sz w:val="28"/>
        </w:rPr>
        <w:t xml:space="preserve"> pielietojumam aviācijā un kosmosa tehnikā un </w:t>
      </w:r>
      <w:r w:rsidRPr="00A02ACB">
        <w:rPr>
          <w:b/>
          <w:bCs/>
          <w:sz w:val="28"/>
        </w:rPr>
        <w:t xml:space="preserve">SIA </w:t>
      </w:r>
      <w:proofErr w:type="spellStart"/>
      <w:r w:rsidRPr="00A02ACB">
        <w:rPr>
          <w:b/>
          <w:bCs/>
          <w:sz w:val="28"/>
        </w:rPr>
        <w:t>GeoStar</w:t>
      </w:r>
      <w:proofErr w:type="spellEnd"/>
      <w:r w:rsidRPr="0068765A">
        <w:rPr>
          <w:bCs/>
          <w:sz w:val="28"/>
        </w:rPr>
        <w:t xml:space="preserve">, kas nodarbojas ar GPS un sakaru sistēmu modifikāciju un integrāciju, izbūvi un uzturēšanu. Vairumam šajā kosmosa tehnoloģiju apakšnozarē strādājošo uzņēmumu lielākā daļa produkcijas tiek eksportēta. </w:t>
      </w:r>
    </w:p>
    <w:p w:rsidR="001D26BC" w:rsidRPr="0068765A" w:rsidRDefault="001D26BC" w:rsidP="001D26BC">
      <w:pPr>
        <w:ind w:firstLine="720"/>
        <w:jc w:val="both"/>
        <w:rPr>
          <w:sz w:val="28"/>
        </w:rPr>
      </w:pPr>
      <w:r w:rsidRPr="0068765A">
        <w:rPr>
          <w:sz w:val="28"/>
        </w:rPr>
        <w:t xml:space="preserve">Arī gala lietotāju aprīkojuma apakšnozarē Latvijā saistībā ar kosmosa tehnoloģijām darbojas vairāki konkurētspējīgi uzņēmumi. Piemēram, </w:t>
      </w:r>
      <w:r w:rsidRPr="00A02ACB">
        <w:rPr>
          <w:b/>
          <w:sz w:val="28"/>
        </w:rPr>
        <w:t>SIA Hanzas elektronika</w:t>
      </w:r>
      <w:r w:rsidRPr="0068765A">
        <w:rPr>
          <w:sz w:val="28"/>
        </w:rPr>
        <w:t xml:space="preserve">, kas darbojas elektronisko komponenšu, sakaru nodrošināšanas terminālu, pozicionēšanas sistēmu, satelītu video un audio uztvērēju un lokalizācijas/ārkārtas signālu jomās. </w:t>
      </w:r>
      <w:r w:rsidRPr="00A02ACB">
        <w:rPr>
          <w:b/>
          <w:sz w:val="28"/>
        </w:rPr>
        <w:t>SIA RD Alfa</w:t>
      </w:r>
      <w:r w:rsidRPr="0068765A">
        <w:rPr>
          <w:sz w:val="28"/>
        </w:rPr>
        <w:t xml:space="preserve"> izstrādā un ražo elektroniskās komponentes gala lietotājiem, piemēram, mikroshēmas sērijveida </w:t>
      </w:r>
      <w:proofErr w:type="spellStart"/>
      <w:r w:rsidRPr="0068765A">
        <w:rPr>
          <w:sz w:val="28"/>
        </w:rPr>
        <w:t>aerokosmiskajām</w:t>
      </w:r>
      <w:proofErr w:type="spellEnd"/>
      <w:r w:rsidRPr="0068765A">
        <w:rPr>
          <w:sz w:val="28"/>
        </w:rPr>
        <w:t xml:space="preserve"> programmām. Šajā apakšnozarē strādā arī citi Latvijas uzņēmumi – </w:t>
      </w:r>
      <w:r w:rsidRPr="00A02ACB">
        <w:rPr>
          <w:b/>
          <w:sz w:val="28"/>
        </w:rPr>
        <w:t>SIA Ventspils Elektronikas fabrika</w:t>
      </w:r>
      <w:r w:rsidRPr="0068765A">
        <w:rPr>
          <w:sz w:val="28"/>
        </w:rPr>
        <w:t xml:space="preserve">, kas izstrādā elektroniskās komponentes GPS sistēmām, </w:t>
      </w:r>
      <w:r w:rsidRPr="00A02ACB">
        <w:rPr>
          <w:b/>
          <w:sz w:val="28"/>
        </w:rPr>
        <w:t xml:space="preserve">SIA </w:t>
      </w:r>
      <w:proofErr w:type="spellStart"/>
      <w:r w:rsidRPr="00A02ACB">
        <w:rPr>
          <w:b/>
          <w:sz w:val="28"/>
        </w:rPr>
        <w:t>Dynamic</w:t>
      </w:r>
      <w:proofErr w:type="spellEnd"/>
      <w:r w:rsidRPr="00A02ACB">
        <w:rPr>
          <w:b/>
          <w:sz w:val="28"/>
        </w:rPr>
        <w:t xml:space="preserve"> </w:t>
      </w:r>
      <w:proofErr w:type="spellStart"/>
      <w:r w:rsidRPr="00A02ACB">
        <w:rPr>
          <w:b/>
          <w:sz w:val="28"/>
        </w:rPr>
        <w:t>research</w:t>
      </w:r>
      <w:proofErr w:type="spellEnd"/>
      <w:r w:rsidRPr="0068765A">
        <w:rPr>
          <w:sz w:val="28"/>
        </w:rPr>
        <w:t xml:space="preserve"> un </w:t>
      </w:r>
      <w:r w:rsidRPr="00A02ACB">
        <w:rPr>
          <w:b/>
          <w:sz w:val="28"/>
        </w:rPr>
        <w:t xml:space="preserve">SIA </w:t>
      </w:r>
      <w:proofErr w:type="spellStart"/>
      <w:r w:rsidRPr="00A02ACB">
        <w:rPr>
          <w:b/>
          <w:sz w:val="28"/>
        </w:rPr>
        <w:t>Audiogids</w:t>
      </w:r>
      <w:proofErr w:type="spellEnd"/>
      <w:r w:rsidRPr="0068765A">
        <w:rPr>
          <w:sz w:val="28"/>
        </w:rPr>
        <w:t xml:space="preserve">, kas darbojas pozicionēšanas iekārtu apakšnozarē un SIA Mobilās sistēmas, kas izstrādā GPS bāzētus automatizācijas sistēmu risinājumus. </w:t>
      </w:r>
    </w:p>
    <w:p w:rsidR="001D26BC" w:rsidRPr="0068765A" w:rsidRDefault="001D26BC" w:rsidP="001D26BC">
      <w:pPr>
        <w:ind w:firstLine="720"/>
        <w:jc w:val="both"/>
        <w:rPr>
          <w:bCs/>
          <w:sz w:val="28"/>
        </w:rPr>
      </w:pPr>
      <w:r w:rsidRPr="0068765A">
        <w:rPr>
          <w:bCs/>
          <w:sz w:val="28"/>
        </w:rPr>
        <w:t xml:space="preserve">Bez inženierijas un gala lietotāju aprīkojuma </w:t>
      </w:r>
      <w:proofErr w:type="spellStart"/>
      <w:r w:rsidRPr="0068765A">
        <w:rPr>
          <w:bCs/>
          <w:sz w:val="28"/>
        </w:rPr>
        <w:t>apakšsektoriem</w:t>
      </w:r>
      <w:proofErr w:type="spellEnd"/>
      <w:r w:rsidRPr="0068765A">
        <w:rPr>
          <w:bCs/>
          <w:sz w:val="28"/>
        </w:rPr>
        <w:t xml:space="preserve">, kuros darbojas vairāki jau minētie Latvijas uzņēmumi, ar kosmosa tehnoloģijām saistīta darbība ir arī vēl vairākiem Latvijas uzņēmumiem, kas sniedz dažādus pakalpojumus vai izstrādā specifiskas tehnoloģijas. </w:t>
      </w:r>
      <w:r w:rsidRPr="00A02ACB">
        <w:rPr>
          <w:b/>
          <w:bCs/>
          <w:sz w:val="28"/>
        </w:rPr>
        <w:t xml:space="preserve">SIA </w:t>
      </w:r>
      <w:proofErr w:type="spellStart"/>
      <w:r w:rsidRPr="00A02ACB">
        <w:rPr>
          <w:b/>
          <w:bCs/>
          <w:sz w:val="28"/>
        </w:rPr>
        <w:lastRenderedPageBreak/>
        <w:t>Metrum</w:t>
      </w:r>
      <w:proofErr w:type="spellEnd"/>
      <w:r w:rsidRPr="00A02ACB">
        <w:rPr>
          <w:b/>
          <w:bCs/>
          <w:sz w:val="28"/>
        </w:rPr>
        <w:t xml:space="preserve">, SIA Mežu īpašnieku konsultatīvais centrs, </w:t>
      </w:r>
      <w:r w:rsidRPr="00A02ACB">
        <w:rPr>
          <w:bCs/>
          <w:sz w:val="28"/>
        </w:rPr>
        <w:t>kā arī</w:t>
      </w:r>
      <w:r w:rsidRPr="00A02ACB">
        <w:rPr>
          <w:b/>
          <w:bCs/>
          <w:sz w:val="28"/>
        </w:rPr>
        <w:t xml:space="preserve"> SIA Karšu izdevniecība „Jāņa sēta”</w:t>
      </w:r>
      <w:r w:rsidRPr="0068765A">
        <w:rPr>
          <w:bCs/>
          <w:sz w:val="28"/>
        </w:rPr>
        <w:t xml:space="preserve"> izmanto </w:t>
      </w:r>
      <w:proofErr w:type="spellStart"/>
      <w:r w:rsidRPr="0068765A">
        <w:rPr>
          <w:bCs/>
          <w:sz w:val="28"/>
        </w:rPr>
        <w:t>satelītattēlus</w:t>
      </w:r>
      <w:proofErr w:type="spellEnd"/>
      <w:r w:rsidRPr="0068765A">
        <w:rPr>
          <w:bCs/>
          <w:sz w:val="28"/>
        </w:rPr>
        <w:t xml:space="preserve"> un </w:t>
      </w:r>
      <w:proofErr w:type="spellStart"/>
      <w:r w:rsidRPr="0068765A">
        <w:rPr>
          <w:bCs/>
          <w:sz w:val="28"/>
        </w:rPr>
        <w:t>lāzerskenēšanu</w:t>
      </w:r>
      <w:proofErr w:type="spellEnd"/>
      <w:r w:rsidRPr="0068765A">
        <w:rPr>
          <w:bCs/>
          <w:sz w:val="28"/>
        </w:rPr>
        <w:t xml:space="preserve"> aerofotogrāfēšanai, mežu inventarizācijai un kartogrāfijai. Šie uzņēmumi, izmantojot  tehnoloģijas un zināšanas par to izmantošanu, var piedāvāt dažāda veida kvalitatīvus informācijas un datu produktus. Citā virzienā izstrādnes piedāvā </w:t>
      </w:r>
      <w:r w:rsidRPr="00A02ACB">
        <w:rPr>
          <w:b/>
          <w:bCs/>
          <w:sz w:val="28"/>
        </w:rPr>
        <w:t xml:space="preserve">SIA </w:t>
      </w:r>
      <w:proofErr w:type="spellStart"/>
      <w:r w:rsidRPr="00A02ACB">
        <w:rPr>
          <w:b/>
          <w:bCs/>
          <w:sz w:val="28"/>
        </w:rPr>
        <w:t>Altekum</w:t>
      </w:r>
      <w:proofErr w:type="spellEnd"/>
      <w:r w:rsidRPr="0068765A">
        <w:rPr>
          <w:bCs/>
          <w:sz w:val="28"/>
        </w:rPr>
        <w:t>, kas ir izstrādāj</w:t>
      </w:r>
      <w:r>
        <w:rPr>
          <w:bCs/>
          <w:sz w:val="28"/>
        </w:rPr>
        <w:t>usi</w:t>
      </w:r>
      <w:r w:rsidRPr="0068765A">
        <w:rPr>
          <w:bCs/>
          <w:sz w:val="28"/>
        </w:rPr>
        <w:t xml:space="preserve"> portatīvu ultraskaņas iekārtu kaulu stāvokļa diagnostikai un pielietošanai bezsvara apstākļos. Ar iekārtu var noteikt skeleta atrofiskās izmaiņas. </w:t>
      </w:r>
    </w:p>
    <w:p w:rsidR="001D26BC" w:rsidRDefault="001D26BC" w:rsidP="001D26BC">
      <w:pPr>
        <w:tabs>
          <w:tab w:val="left" w:pos="709"/>
        </w:tabs>
        <w:autoSpaceDE w:val="0"/>
        <w:autoSpaceDN w:val="0"/>
        <w:adjustRightInd w:val="0"/>
        <w:spacing w:after="120"/>
        <w:ind w:firstLine="357"/>
        <w:jc w:val="both"/>
        <w:rPr>
          <w:bCs/>
          <w:sz w:val="28"/>
        </w:rPr>
      </w:pPr>
      <w:r w:rsidRPr="0068765A">
        <w:rPr>
          <w:bCs/>
          <w:sz w:val="28"/>
        </w:rPr>
        <w:t xml:space="preserve">Potenciāls produktu vai pakalpojumu izmantojums kosmosa tehnoloģiju nozarē ir vairākiem citiem Latvijas uzņēmumiem, piemēram, </w:t>
      </w:r>
      <w:r w:rsidRPr="00A02ACB">
        <w:rPr>
          <w:b/>
          <w:bCs/>
          <w:sz w:val="28"/>
        </w:rPr>
        <w:t xml:space="preserve">SIA </w:t>
      </w:r>
      <w:proofErr w:type="spellStart"/>
      <w:r w:rsidRPr="00A02ACB">
        <w:rPr>
          <w:b/>
          <w:bCs/>
          <w:sz w:val="28"/>
        </w:rPr>
        <w:t>Applied</w:t>
      </w:r>
      <w:proofErr w:type="spellEnd"/>
      <w:r w:rsidRPr="00A02ACB">
        <w:rPr>
          <w:b/>
          <w:bCs/>
          <w:sz w:val="28"/>
        </w:rPr>
        <w:t xml:space="preserve"> </w:t>
      </w:r>
      <w:proofErr w:type="spellStart"/>
      <w:r w:rsidRPr="00A02ACB">
        <w:rPr>
          <w:b/>
          <w:bCs/>
          <w:sz w:val="28"/>
        </w:rPr>
        <w:t>Electronic</w:t>
      </w:r>
      <w:proofErr w:type="spellEnd"/>
      <w:r w:rsidRPr="00A02ACB">
        <w:rPr>
          <w:b/>
          <w:bCs/>
          <w:sz w:val="28"/>
        </w:rPr>
        <w:t xml:space="preserve"> Labs</w:t>
      </w:r>
      <w:r w:rsidRPr="0068765A">
        <w:rPr>
          <w:bCs/>
          <w:sz w:val="28"/>
        </w:rPr>
        <w:t xml:space="preserve">, kas strādā ar lieljaudas akumulatoriem, kas varētu tikt izmantoti arī kosmosa tehnoloģiju iekārtu uzlādei, kā arī </w:t>
      </w:r>
      <w:r w:rsidRPr="00A02ACB">
        <w:rPr>
          <w:b/>
          <w:bCs/>
          <w:sz w:val="28"/>
        </w:rPr>
        <w:t xml:space="preserve">SIA </w:t>
      </w:r>
      <w:proofErr w:type="spellStart"/>
      <w:r w:rsidRPr="00A02ACB">
        <w:rPr>
          <w:b/>
          <w:bCs/>
          <w:sz w:val="28"/>
        </w:rPr>
        <w:t>Audiogids</w:t>
      </w:r>
      <w:proofErr w:type="spellEnd"/>
      <w:r w:rsidRPr="0068765A">
        <w:rPr>
          <w:bCs/>
          <w:sz w:val="28"/>
        </w:rPr>
        <w:t>, kura</w:t>
      </w:r>
      <w:r>
        <w:rPr>
          <w:bCs/>
          <w:sz w:val="28"/>
        </w:rPr>
        <w:t>s</w:t>
      </w:r>
      <w:r w:rsidRPr="0068765A">
        <w:rPr>
          <w:bCs/>
          <w:sz w:val="28"/>
        </w:rPr>
        <w:t xml:space="preserve"> izstrādnes potenciāli varētu tikt izmantotas optisko sensoru izstrādē. Uz plašu sabiedrību vērsti ir </w:t>
      </w:r>
      <w:r w:rsidRPr="00A02ACB">
        <w:rPr>
          <w:b/>
          <w:bCs/>
          <w:sz w:val="28"/>
        </w:rPr>
        <w:t xml:space="preserve">SIA </w:t>
      </w:r>
      <w:proofErr w:type="spellStart"/>
      <w:r w:rsidRPr="00A02ACB">
        <w:rPr>
          <w:b/>
          <w:bCs/>
          <w:sz w:val="28"/>
        </w:rPr>
        <w:t>StarSpace</w:t>
      </w:r>
      <w:proofErr w:type="spellEnd"/>
      <w:r w:rsidRPr="0068765A">
        <w:rPr>
          <w:bCs/>
          <w:sz w:val="28"/>
        </w:rPr>
        <w:t xml:space="preserve"> piedāvātie pakalpojumi, kas galvenokārt ir informatīvi un izklaidējoši pasākumi, piemēram, observatorija, kurā tiek piedāvāti publiski debesu objektu novērojumi, kā arī tiek organizēti atraktīvi fizikas eksperimenti un citas aktivitātes, kas veicina kosmosa jomas izpratnes pieaugumu sabiedrībā.</w:t>
      </w:r>
    </w:p>
    <w:p w:rsidR="001D26BC" w:rsidRPr="00736EA6" w:rsidRDefault="001D26BC" w:rsidP="001D26BC">
      <w:pPr>
        <w:ind w:firstLine="567"/>
        <w:jc w:val="both"/>
        <w:rPr>
          <w:sz w:val="28"/>
        </w:rPr>
      </w:pPr>
      <w:proofErr w:type="spellStart"/>
      <w:r w:rsidRPr="00736EA6">
        <w:rPr>
          <w:sz w:val="28"/>
        </w:rPr>
        <w:t>Satelītattēlus</w:t>
      </w:r>
      <w:proofErr w:type="spellEnd"/>
      <w:r w:rsidRPr="00736EA6">
        <w:rPr>
          <w:sz w:val="28"/>
        </w:rPr>
        <w:t xml:space="preserve">, </w:t>
      </w:r>
      <w:proofErr w:type="spellStart"/>
      <w:r w:rsidRPr="00736EA6">
        <w:rPr>
          <w:sz w:val="28"/>
        </w:rPr>
        <w:t>lāzerskenēšanas</w:t>
      </w:r>
      <w:proofErr w:type="spellEnd"/>
      <w:r w:rsidRPr="00736EA6">
        <w:rPr>
          <w:sz w:val="28"/>
        </w:rPr>
        <w:t xml:space="preserve"> datus un globālās navigācijas satelītu datus savā darbā dažādu uzdevumu veikšanai plaši izmanto arī valsts iestādes, piemēram, valsts aģentūra </w:t>
      </w:r>
      <w:r w:rsidRPr="00736EA6">
        <w:rPr>
          <w:b/>
          <w:sz w:val="28"/>
        </w:rPr>
        <w:t>„Latvijas Ģeotelpiskās informācijas aģentūra”</w:t>
      </w:r>
      <w:r w:rsidRPr="00736EA6">
        <w:rPr>
          <w:sz w:val="28"/>
        </w:rPr>
        <w:t xml:space="preserve"> (ģeodēziskiem un kartogrāfiskiem darbiem), </w:t>
      </w:r>
      <w:r w:rsidRPr="00736EA6">
        <w:rPr>
          <w:b/>
          <w:sz w:val="28"/>
        </w:rPr>
        <w:t>Lauku atbalsta dienests</w:t>
      </w:r>
      <w:r w:rsidRPr="00736EA6">
        <w:rPr>
          <w:sz w:val="28"/>
        </w:rPr>
        <w:t xml:space="preserve"> (lauksaimniecības subsīdiju saņemšanai iesniegto datu pārbaudei), </w:t>
      </w:r>
      <w:r w:rsidRPr="00736EA6">
        <w:rPr>
          <w:b/>
          <w:sz w:val="28"/>
        </w:rPr>
        <w:t>Valsts meža dienests</w:t>
      </w:r>
      <w:r w:rsidRPr="00736EA6">
        <w:rPr>
          <w:sz w:val="28"/>
        </w:rPr>
        <w:t xml:space="preserve"> un </w:t>
      </w:r>
      <w:r w:rsidRPr="00736EA6">
        <w:rPr>
          <w:b/>
          <w:sz w:val="28"/>
        </w:rPr>
        <w:t>VAS „Latvijas Valsts meži”</w:t>
      </w:r>
      <w:r w:rsidRPr="00736EA6">
        <w:rPr>
          <w:sz w:val="28"/>
        </w:rPr>
        <w:t xml:space="preserve"> (meža stāvokļa novērojumiem), </w:t>
      </w:r>
      <w:r w:rsidRPr="00736EA6">
        <w:rPr>
          <w:b/>
          <w:sz w:val="28"/>
        </w:rPr>
        <w:t>VSIA „Latvijas Vides, ģeoloģijas un meteoroloģijas centrs”</w:t>
      </w:r>
      <w:r w:rsidRPr="00736EA6">
        <w:rPr>
          <w:sz w:val="28"/>
        </w:rPr>
        <w:t xml:space="preserve"> (meteoroloģiskajām prognozēm).</w:t>
      </w:r>
    </w:p>
    <w:p w:rsidR="001D26BC" w:rsidRDefault="001D26BC" w:rsidP="001D26BC">
      <w:pPr>
        <w:tabs>
          <w:tab w:val="left" w:pos="709"/>
        </w:tabs>
        <w:autoSpaceDE w:val="0"/>
        <w:autoSpaceDN w:val="0"/>
        <w:adjustRightInd w:val="0"/>
        <w:spacing w:after="120"/>
        <w:ind w:firstLine="357"/>
        <w:jc w:val="both"/>
        <w:rPr>
          <w:sz w:val="28"/>
        </w:rPr>
      </w:pPr>
      <w:r w:rsidRPr="00736EA6">
        <w:rPr>
          <w:sz w:val="28"/>
        </w:rPr>
        <w:t xml:space="preserve">Valsts aģentūrā </w:t>
      </w:r>
      <w:r w:rsidRPr="00736EA6">
        <w:rPr>
          <w:b/>
          <w:sz w:val="28"/>
        </w:rPr>
        <w:t>„Latvijas Ģeotelpiskās informācijas aģentūra”</w:t>
      </w:r>
      <w:r w:rsidRPr="00736EA6">
        <w:rPr>
          <w:sz w:val="28"/>
        </w:rPr>
        <w:t xml:space="preserve"> (LĢIA) strādā speciālisti ar pieredzi satelītu navigācijas sistēmas pielietošanā GPS mērījumos jau kopš 1994. gada. 2002. gadā tika uzstādīta pirmā pastāvīgā bāzes stacija, 2005. gadā tika uzstādīta pastāvīgo globālās pozicionēšanas bāzes staciju sistēma "Latvijas Pozicionēšanas sistēma" (</w:t>
      </w:r>
      <w:proofErr w:type="spellStart"/>
      <w:r w:rsidRPr="00736EA6">
        <w:rPr>
          <w:sz w:val="28"/>
        </w:rPr>
        <w:t>LatPos</w:t>
      </w:r>
      <w:proofErr w:type="spellEnd"/>
      <w:r w:rsidRPr="00736EA6">
        <w:rPr>
          <w:sz w:val="28"/>
        </w:rPr>
        <w:t>) no 19 bāzes stacijām, kas tagad paplašināta līdz 23 stacijām un uztver GPS un GLONASS satelītu signālus (gatava uztvert arī GALILEO satelītu signālus). LĢIA speciālisti darbojas EUPOS darba grupās par datu kvalitāti un monitoringu</w:t>
      </w:r>
      <w:r w:rsidR="00AF57C4">
        <w:rPr>
          <w:sz w:val="28"/>
        </w:rPr>
        <w:t>.</w:t>
      </w:r>
      <w:r w:rsidRPr="00736EA6">
        <w:rPr>
          <w:sz w:val="28"/>
        </w:rPr>
        <w:t xml:space="preserve"> LĢIA ir gatava līdzdarboties GOCE projektā.</w:t>
      </w:r>
    </w:p>
    <w:p w:rsidR="00AF57C4" w:rsidRPr="00AE2D7B" w:rsidRDefault="00AF57C4" w:rsidP="00AF57C4">
      <w:pPr>
        <w:ind w:firstLine="720"/>
        <w:jc w:val="both"/>
        <w:rPr>
          <w:sz w:val="28"/>
        </w:rPr>
      </w:pPr>
      <w:r w:rsidRPr="00AE2D7B">
        <w:rPr>
          <w:sz w:val="28"/>
        </w:rPr>
        <w:t>Liela iespējamība</w:t>
      </w:r>
      <w:r>
        <w:rPr>
          <w:sz w:val="28"/>
        </w:rPr>
        <w:t>,</w:t>
      </w:r>
      <w:r w:rsidRPr="00AE2D7B">
        <w:rPr>
          <w:sz w:val="28"/>
        </w:rPr>
        <w:t xml:space="preserve"> ka Latvijā izstrādāt</w:t>
      </w:r>
      <w:r>
        <w:rPr>
          <w:sz w:val="28"/>
        </w:rPr>
        <w:t>ie</w:t>
      </w:r>
      <w:r w:rsidRPr="00AE2D7B">
        <w:rPr>
          <w:sz w:val="28"/>
        </w:rPr>
        <w:t xml:space="preserve"> un ražoti</w:t>
      </w:r>
      <w:r>
        <w:rPr>
          <w:sz w:val="28"/>
        </w:rPr>
        <w:t>e</w:t>
      </w:r>
      <w:r w:rsidRPr="00AE2D7B">
        <w:rPr>
          <w:sz w:val="28"/>
        </w:rPr>
        <w:t xml:space="preserve"> (SIA </w:t>
      </w:r>
      <w:proofErr w:type="spellStart"/>
      <w:r w:rsidRPr="00AE2D7B">
        <w:rPr>
          <w:sz w:val="28"/>
        </w:rPr>
        <w:t>Baltic</w:t>
      </w:r>
      <w:proofErr w:type="spellEnd"/>
      <w:r w:rsidRPr="00AE2D7B">
        <w:rPr>
          <w:sz w:val="28"/>
        </w:rPr>
        <w:t xml:space="preserve"> </w:t>
      </w:r>
      <w:proofErr w:type="spellStart"/>
      <w:r w:rsidRPr="00AE2D7B">
        <w:rPr>
          <w:sz w:val="28"/>
        </w:rPr>
        <w:t>Scientific</w:t>
      </w:r>
      <w:proofErr w:type="spellEnd"/>
      <w:r w:rsidRPr="00AE2D7B">
        <w:rPr>
          <w:sz w:val="28"/>
        </w:rPr>
        <w:t xml:space="preserve"> Instruments vai LU </w:t>
      </w:r>
      <w:hyperlink r:id="rId8" w:history="1">
        <w:r w:rsidRPr="00AE2D7B">
          <w:rPr>
            <w:sz w:val="28"/>
          </w:rPr>
          <w:t xml:space="preserve">Atomfizikas un </w:t>
        </w:r>
        <w:proofErr w:type="spellStart"/>
        <w:r w:rsidRPr="00AE2D7B">
          <w:rPr>
            <w:sz w:val="28"/>
          </w:rPr>
          <w:t>spektroskopijas</w:t>
        </w:r>
        <w:proofErr w:type="spellEnd"/>
        <w:r w:rsidRPr="00AE2D7B">
          <w:rPr>
            <w:sz w:val="28"/>
          </w:rPr>
          <w:t xml:space="preserve"> institūts</w:t>
        </w:r>
      </w:hyperlink>
      <w:r w:rsidRPr="00AE2D7B">
        <w:rPr>
          <w:sz w:val="28"/>
        </w:rPr>
        <w:t xml:space="preserve">) instrumenti var tikt uzstādīti uz </w:t>
      </w:r>
      <w:proofErr w:type="spellStart"/>
      <w:r w:rsidRPr="00AE2D7B">
        <w:rPr>
          <w:i/>
          <w:sz w:val="28"/>
        </w:rPr>
        <w:t>Sentel</w:t>
      </w:r>
      <w:proofErr w:type="spellEnd"/>
      <w:r w:rsidRPr="00AE2D7B">
        <w:rPr>
          <w:i/>
          <w:sz w:val="28"/>
        </w:rPr>
        <w:t xml:space="preserve"> </w:t>
      </w:r>
      <w:r w:rsidRPr="00AE2D7B">
        <w:rPr>
          <w:sz w:val="28"/>
        </w:rPr>
        <w:t>5 sērijas satelītiem, kas šobrīd vēl joprojām ir tikai izstrādes stadijā. Zemes uztveršanas bāzes segmentam (</w:t>
      </w:r>
      <w:r>
        <w:rPr>
          <w:sz w:val="28"/>
        </w:rPr>
        <w:t>IZI VSRC</w:t>
      </w:r>
      <w:r w:rsidRPr="00AE2D7B">
        <w:rPr>
          <w:sz w:val="28"/>
        </w:rPr>
        <w:t xml:space="preserve">) tiek plānots liels pieprasījums GMES servisu un pakalpojumu ņēmēju apjomiem palielinoties. </w:t>
      </w:r>
    </w:p>
    <w:p w:rsidR="00AF57C4" w:rsidRDefault="00AF57C4" w:rsidP="00AF57C4">
      <w:pPr>
        <w:ind w:firstLine="720"/>
        <w:jc w:val="both"/>
        <w:rPr>
          <w:sz w:val="28"/>
        </w:rPr>
      </w:pPr>
      <w:r w:rsidRPr="00AE2D7B">
        <w:rPr>
          <w:sz w:val="28"/>
        </w:rPr>
        <w:lastRenderedPageBreak/>
        <w:t xml:space="preserve">Tomēr lielākās iespējas vajadzētu saistīt ar Latvijas informāciju tehnoloģiju produktu izstrādātājiem, jo šajā tirgus segmentā ir vēl joprojām daudz brīvu un nerealizētu nišu, kā arī lietotāji ar īpašām vajadzībām. Tādejādi Datu apstrāde un pakalpojumu izstrāde (Meža īpašnieku konsultatīvais centrs) ir arī pēc satelītu nozares ekspertu viedokļa perspektīvākais virziens ar labākās izaugsmes un relatīvi ātru tirgus atdeves perspektīvu. Šī virziena attīstību Igaunija ir izvirzījusi par galveno prioritāti sadarbības virzībai ar Eiropas Kosmosa aģentūru. </w:t>
      </w:r>
    </w:p>
    <w:p w:rsidR="00AF57C4" w:rsidRPr="00AF57C4" w:rsidRDefault="00AF57C4" w:rsidP="00AF57C4">
      <w:pPr>
        <w:ind w:firstLine="720"/>
        <w:jc w:val="both"/>
        <w:rPr>
          <w:sz w:val="28"/>
        </w:rPr>
      </w:pPr>
    </w:p>
    <w:p w:rsidR="001D26BC" w:rsidRPr="009F2FC3" w:rsidRDefault="001D26BC" w:rsidP="001D26BC">
      <w:pPr>
        <w:pStyle w:val="Heading3"/>
      </w:pPr>
      <w:bookmarkStart w:id="66" w:name="_Toc277513980"/>
      <w:bookmarkStart w:id="67" w:name="_Toc277672600"/>
      <w:bookmarkStart w:id="68" w:name="_Toc280366517"/>
      <w:bookmarkStart w:id="69" w:name="_Toc303176598"/>
      <w:r w:rsidRPr="009F2FC3">
        <w:t>3.</w:t>
      </w:r>
      <w:r>
        <w:t>4</w:t>
      </w:r>
      <w:r w:rsidRPr="009F2FC3">
        <w:t>. Publiskā un privātā sektora sadarbība kosmosa jomā</w:t>
      </w:r>
      <w:bookmarkEnd w:id="66"/>
      <w:bookmarkEnd w:id="67"/>
      <w:bookmarkEnd w:id="68"/>
      <w:bookmarkEnd w:id="69"/>
    </w:p>
    <w:p w:rsidR="001D26BC" w:rsidRDefault="001D26BC" w:rsidP="001D26BC">
      <w:pPr>
        <w:pStyle w:val="Heading4"/>
      </w:pPr>
      <w:bookmarkStart w:id="70" w:name="_Toc280366518"/>
      <w:r>
        <w:t xml:space="preserve">3.4.1. </w:t>
      </w:r>
      <w:bookmarkEnd w:id="70"/>
      <w:r>
        <w:t>Latvijas kosmiskais pavadonis un kosmosa infrastruktūras objekti</w:t>
      </w:r>
    </w:p>
    <w:p w:rsidR="001D26BC" w:rsidRPr="00285C24" w:rsidRDefault="001D26BC" w:rsidP="001D26BC"/>
    <w:p w:rsidR="001D26BC" w:rsidRPr="00EF4E3A" w:rsidRDefault="001D26BC" w:rsidP="001D26BC">
      <w:pPr>
        <w:pStyle w:val="NormalWeb"/>
        <w:numPr>
          <w:ilvl w:val="0"/>
          <w:numId w:val="22"/>
        </w:numPr>
        <w:ind w:left="426" w:hanging="426"/>
        <w:jc w:val="both"/>
        <w:rPr>
          <w:rFonts w:ascii="Times New Roman" w:hAnsi="Times New Roman" w:cs="Times New Roman"/>
          <w:color w:val="auto"/>
          <w:sz w:val="28"/>
          <w:szCs w:val="28"/>
        </w:rPr>
      </w:pPr>
      <w:r w:rsidRPr="00EF4E3A">
        <w:rPr>
          <w:rFonts w:ascii="Times New Roman" w:hAnsi="Times New Roman" w:cs="Times New Roman"/>
          <w:color w:val="auto"/>
          <w:sz w:val="28"/>
          <w:szCs w:val="28"/>
        </w:rPr>
        <w:t xml:space="preserve">No 2008.gada </w:t>
      </w:r>
      <w:proofErr w:type="spellStart"/>
      <w:r>
        <w:rPr>
          <w:rFonts w:ascii="Times New Roman" w:hAnsi="Times New Roman" w:cs="Times New Roman"/>
          <w:color w:val="auto"/>
          <w:sz w:val="28"/>
          <w:szCs w:val="28"/>
        </w:rPr>
        <w:t>VeA</w:t>
      </w:r>
      <w:proofErr w:type="spellEnd"/>
      <w:r w:rsidRPr="00EF4E3A">
        <w:rPr>
          <w:rFonts w:ascii="Times New Roman" w:hAnsi="Times New Roman" w:cs="Times New Roman"/>
          <w:color w:val="auto"/>
          <w:sz w:val="28"/>
          <w:szCs w:val="28"/>
        </w:rPr>
        <w:t>, VATP</w:t>
      </w:r>
      <w:r>
        <w:rPr>
          <w:rFonts w:ascii="Times New Roman" w:hAnsi="Times New Roman" w:cs="Times New Roman"/>
          <w:color w:val="auto"/>
          <w:sz w:val="28"/>
          <w:szCs w:val="28"/>
        </w:rPr>
        <w:t xml:space="preserve">, </w:t>
      </w:r>
      <w:r w:rsidRPr="00EF4E3A">
        <w:rPr>
          <w:rFonts w:ascii="Times New Roman" w:hAnsi="Times New Roman" w:cs="Times New Roman"/>
          <w:color w:val="auto"/>
          <w:sz w:val="28"/>
          <w:szCs w:val="28"/>
        </w:rPr>
        <w:t>sadarbojoties ar Brēmenes Tehnisko Universitāti, Latvijas Universitātes (LU) un Rīgas Tehniskās Universitātes (RTU), veic pirmā Latvijas satelīta “Venta-1” izstrādi.  </w:t>
      </w:r>
    </w:p>
    <w:p w:rsidR="001D26BC" w:rsidRPr="00EF4E3A" w:rsidRDefault="001D26BC" w:rsidP="001D26BC">
      <w:pPr>
        <w:pStyle w:val="NormalWeb"/>
        <w:ind w:firstLine="709"/>
        <w:jc w:val="both"/>
        <w:rPr>
          <w:rFonts w:ascii="Times New Roman" w:hAnsi="Times New Roman" w:cs="Times New Roman"/>
          <w:color w:val="auto"/>
          <w:sz w:val="28"/>
          <w:szCs w:val="28"/>
        </w:rPr>
      </w:pPr>
      <w:r w:rsidRPr="00EF4E3A">
        <w:rPr>
          <w:rFonts w:ascii="Times New Roman" w:hAnsi="Times New Roman" w:cs="Times New Roman"/>
          <w:color w:val="auto"/>
          <w:sz w:val="28"/>
          <w:szCs w:val="28"/>
        </w:rPr>
        <w:t>Šī projekta mērķi:</w:t>
      </w:r>
    </w:p>
    <w:p w:rsidR="001D26BC" w:rsidRPr="00EF4E3A" w:rsidRDefault="001D26BC" w:rsidP="001D26BC">
      <w:pPr>
        <w:pStyle w:val="NormalWeb"/>
        <w:numPr>
          <w:ilvl w:val="0"/>
          <w:numId w:val="6"/>
        </w:numPr>
        <w:ind w:hanging="11"/>
        <w:jc w:val="both"/>
        <w:rPr>
          <w:rFonts w:ascii="Times New Roman" w:hAnsi="Times New Roman" w:cs="Times New Roman"/>
          <w:color w:val="auto"/>
          <w:sz w:val="28"/>
          <w:szCs w:val="28"/>
        </w:rPr>
      </w:pPr>
      <w:r w:rsidRPr="00EF4E3A">
        <w:rPr>
          <w:rFonts w:ascii="Times New Roman" w:hAnsi="Times New Roman" w:cs="Times New Roman"/>
          <w:color w:val="auto"/>
          <w:sz w:val="28"/>
          <w:szCs w:val="28"/>
        </w:rPr>
        <w:t>gūt praktiskas iemaņas satelītu būvē;</w:t>
      </w:r>
    </w:p>
    <w:p w:rsidR="001D26BC" w:rsidRPr="00EF4E3A" w:rsidRDefault="001D26BC" w:rsidP="001D26BC">
      <w:pPr>
        <w:pStyle w:val="NormalWeb"/>
        <w:numPr>
          <w:ilvl w:val="0"/>
          <w:numId w:val="6"/>
        </w:numPr>
        <w:ind w:hanging="11"/>
        <w:jc w:val="both"/>
        <w:rPr>
          <w:rFonts w:ascii="Times New Roman" w:hAnsi="Times New Roman" w:cs="Times New Roman"/>
          <w:color w:val="auto"/>
          <w:sz w:val="28"/>
          <w:szCs w:val="28"/>
        </w:rPr>
      </w:pPr>
      <w:r w:rsidRPr="00EF4E3A">
        <w:rPr>
          <w:rFonts w:ascii="Times New Roman" w:hAnsi="Times New Roman" w:cs="Times New Roman"/>
          <w:color w:val="auto"/>
          <w:sz w:val="28"/>
          <w:szCs w:val="28"/>
        </w:rPr>
        <w:t>apgūt satelītu būves teoriju;</w:t>
      </w:r>
    </w:p>
    <w:p w:rsidR="001D26BC" w:rsidRPr="00EF4E3A" w:rsidRDefault="001D26BC" w:rsidP="001D26BC">
      <w:pPr>
        <w:pStyle w:val="NormalWeb"/>
        <w:numPr>
          <w:ilvl w:val="0"/>
          <w:numId w:val="6"/>
        </w:numPr>
        <w:ind w:hanging="11"/>
        <w:jc w:val="both"/>
        <w:rPr>
          <w:rFonts w:ascii="Times New Roman" w:hAnsi="Times New Roman" w:cs="Times New Roman"/>
          <w:color w:val="auto"/>
          <w:sz w:val="28"/>
          <w:szCs w:val="28"/>
        </w:rPr>
      </w:pPr>
      <w:r w:rsidRPr="00EF4E3A">
        <w:rPr>
          <w:rFonts w:ascii="Times New Roman" w:hAnsi="Times New Roman" w:cs="Times New Roman"/>
          <w:color w:val="auto"/>
          <w:sz w:val="28"/>
          <w:szCs w:val="28"/>
        </w:rPr>
        <w:t xml:space="preserve">attīstīt </w:t>
      </w:r>
      <w:proofErr w:type="spellStart"/>
      <w:r w:rsidRPr="00EF4E3A">
        <w:rPr>
          <w:rFonts w:ascii="Times New Roman" w:hAnsi="Times New Roman" w:cs="Times New Roman"/>
          <w:color w:val="auto"/>
          <w:sz w:val="28"/>
          <w:szCs w:val="28"/>
        </w:rPr>
        <w:t>satelīt-inženierzinātnes</w:t>
      </w:r>
      <w:proofErr w:type="spellEnd"/>
      <w:r w:rsidRPr="00EF4E3A">
        <w:rPr>
          <w:rFonts w:ascii="Times New Roman" w:hAnsi="Times New Roman" w:cs="Times New Roman"/>
          <w:color w:val="auto"/>
          <w:sz w:val="28"/>
          <w:szCs w:val="28"/>
        </w:rPr>
        <w:t xml:space="preserve"> Latvijā;</w:t>
      </w:r>
    </w:p>
    <w:p w:rsidR="001D26BC" w:rsidRPr="00EF4E3A" w:rsidRDefault="001D26BC" w:rsidP="001D26BC">
      <w:pPr>
        <w:pStyle w:val="NormalWeb"/>
        <w:numPr>
          <w:ilvl w:val="0"/>
          <w:numId w:val="6"/>
        </w:numPr>
        <w:ind w:hanging="11"/>
        <w:jc w:val="both"/>
        <w:rPr>
          <w:rFonts w:ascii="Times New Roman" w:hAnsi="Times New Roman" w:cs="Times New Roman"/>
          <w:color w:val="auto"/>
          <w:sz w:val="28"/>
          <w:szCs w:val="28"/>
        </w:rPr>
      </w:pPr>
      <w:r w:rsidRPr="00EF4E3A">
        <w:rPr>
          <w:rFonts w:ascii="Times New Roman" w:hAnsi="Times New Roman" w:cs="Times New Roman"/>
          <w:color w:val="auto"/>
          <w:sz w:val="28"/>
          <w:szCs w:val="28"/>
        </w:rPr>
        <w:t>veicināt augsto tehnoloģiju kompetenci Latvijā.</w:t>
      </w:r>
    </w:p>
    <w:p w:rsidR="001D26BC" w:rsidRPr="00EF4E3A" w:rsidRDefault="001D26BC" w:rsidP="001D26BC">
      <w:pPr>
        <w:ind w:left="709"/>
        <w:jc w:val="both"/>
        <w:rPr>
          <w:rFonts w:eastAsia="Times New Roman"/>
          <w:sz w:val="28"/>
        </w:rPr>
      </w:pPr>
      <w:r w:rsidRPr="00EF4E3A">
        <w:rPr>
          <w:rFonts w:eastAsia="Times New Roman"/>
          <w:sz w:val="28"/>
        </w:rPr>
        <w:t xml:space="preserve">“Venta-1” pamatuzdevums būs AIS (Automātiskās Identificēšanas Sistēma kuģu uzraudzībai) signālu ieguve un pārraide, kā arī papildus tam – fotoattēlu ieguve. </w:t>
      </w:r>
    </w:p>
    <w:p w:rsidR="001D26BC" w:rsidRDefault="001D26BC" w:rsidP="001D26BC">
      <w:pPr>
        <w:ind w:left="709"/>
        <w:jc w:val="both"/>
        <w:rPr>
          <w:rFonts w:eastAsia="Times New Roman"/>
          <w:sz w:val="28"/>
        </w:rPr>
      </w:pPr>
      <w:r w:rsidRPr="00EF4E3A">
        <w:rPr>
          <w:rFonts w:eastAsia="Times New Roman"/>
          <w:sz w:val="28"/>
        </w:rPr>
        <w:t>„Venta-1” plānot</w:t>
      </w:r>
      <w:r w:rsidR="00293550">
        <w:rPr>
          <w:rFonts w:eastAsia="Times New Roman"/>
          <w:sz w:val="28"/>
        </w:rPr>
        <w:t xml:space="preserve">ā palaišana kosmosā – 2011.gads vai 2012.gada sākums. </w:t>
      </w:r>
    </w:p>
    <w:p w:rsidR="001D26BC" w:rsidRPr="00522E39" w:rsidRDefault="001D26BC" w:rsidP="001D26BC">
      <w:pPr>
        <w:numPr>
          <w:ilvl w:val="0"/>
          <w:numId w:val="22"/>
        </w:numPr>
        <w:ind w:left="426" w:hanging="426"/>
        <w:jc w:val="both"/>
        <w:rPr>
          <w:rFonts w:eastAsia="Times New Roman"/>
          <w:sz w:val="28"/>
        </w:rPr>
      </w:pPr>
      <w:r>
        <w:rPr>
          <w:sz w:val="28"/>
        </w:rPr>
        <w:t xml:space="preserve">IZI </w:t>
      </w:r>
      <w:r w:rsidRPr="00522E39">
        <w:rPr>
          <w:sz w:val="28"/>
        </w:rPr>
        <w:t>VSRC 32–</w:t>
      </w:r>
      <w:proofErr w:type="spellStart"/>
      <w:r w:rsidRPr="00522E39">
        <w:rPr>
          <w:sz w:val="28"/>
        </w:rPr>
        <w:t>metrīgā</w:t>
      </w:r>
      <w:proofErr w:type="spellEnd"/>
      <w:r w:rsidRPr="00522E39">
        <w:rPr>
          <w:sz w:val="28"/>
        </w:rPr>
        <w:t xml:space="preserve"> paraboliskā antena (radioteleskops RT-32) un 16-metrīgā paraboliskā antena (radioteleskops RT-16)</w:t>
      </w:r>
      <w:r>
        <w:rPr>
          <w:sz w:val="28"/>
        </w:rPr>
        <w:t>.</w:t>
      </w:r>
      <w:r w:rsidRPr="00522E39">
        <w:rPr>
          <w:sz w:val="28"/>
        </w:rPr>
        <w:t xml:space="preserve"> </w:t>
      </w:r>
      <w:r>
        <w:rPr>
          <w:sz w:val="28"/>
        </w:rPr>
        <w:t xml:space="preserve">IZI </w:t>
      </w:r>
      <w:r w:rsidRPr="00522E39">
        <w:rPr>
          <w:sz w:val="28"/>
        </w:rPr>
        <w:t>VSRC</w:t>
      </w:r>
      <w:r w:rsidRPr="00522E39">
        <w:rPr>
          <w:b/>
          <w:sz w:val="28"/>
        </w:rPr>
        <w:t xml:space="preserve"> </w:t>
      </w:r>
      <w:r w:rsidRPr="00522E39">
        <w:rPr>
          <w:sz w:val="28"/>
        </w:rPr>
        <w:t xml:space="preserve">rīcībā esošās 32-metrīgās pilnīgi grozāmās paraboliskā antena, kas joprojām ir lielākā Ziemeļeiropā. </w:t>
      </w:r>
      <w:r>
        <w:rPr>
          <w:sz w:val="28"/>
        </w:rPr>
        <w:t>2010.gadā</w:t>
      </w:r>
      <w:r w:rsidRPr="00522E39">
        <w:rPr>
          <w:sz w:val="28"/>
        </w:rPr>
        <w:t xml:space="preserve"> atjaunota RT-</w:t>
      </w:r>
      <w:r>
        <w:rPr>
          <w:sz w:val="28"/>
        </w:rPr>
        <w:t>16</w:t>
      </w:r>
      <w:r w:rsidRPr="00522E39">
        <w:rPr>
          <w:sz w:val="28"/>
        </w:rPr>
        <w:t xml:space="preserve"> darbība</w:t>
      </w:r>
      <w:r>
        <w:rPr>
          <w:sz w:val="28"/>
        </w:rPr>
        <w:t>.</w:t>
      </w:r>
      <w:r w:rsidRPr="00522E39">
        <w:rPr>
          <w:sz w:val="28"/>
        </w:rPr>
        <w:t xml:space="preserve"> </w:t>
      </w:r>
      <w:r>
        <w:rPr>
          <w:sz w:val="28"/>
        </w:rPr>
        <w:t xml:space="preserve">Pēdējos gados </w:t>
      </w:r>
      <w:r w:rsidRPr="00522E39">
        <w:rPr>
          <w:sz w:val="28"/>
        </w:rPr>
        <w:t xml:space="preserve">veikti tālo zinātnisko objektu </w:t>
      </w:r>
      <w:proofErr w:type="spellStart"/>
      <w:r w:rsidRPr="00522E39">
        <w:rPr>
          <w:sz w:val="28"/>
        </w:rPr>
        <w:t>radioastronomiskā</w:t>
      </w:r>
      <w:proofErr w:type="spellEnd"/>
      <w:r w:rsidRPr="00522E39">
        <w:rPr>
          <w:sz w:val="28"/>
        </w:rPr>
        <w:t xml:space="preserve"> starojuma novērojumi, rezultātus apkopojot zinātniskās publikācijās. (detalizētāk skatīt sadaļā 3.3.2)</w:t>
      </w:r>
      <w:r>
        <w:rPr>
          <w:sz w:val="28"/>
        </w:rPr>
        <w:t>.</w:t>
      </w:r>
    </w:p>
    <w:p w:rsidR="001D26BC" w:rsidRPr="00285C24" w:rsidRDefault="001D26BC" w:rsidP="001D26BC">
      <w:pPr>
        <w:numPr>
          <w:ilvl w:val="0"/>
          <w:numId w:val="22"/>
        </w:numPr>
        <w:ind w:left="426" w:hanging="426"/>
        <w:jc w:val="both"/>
        <w:rPr>
          <w:rFonts w:eastAsia="Times New Roman"/>
          <w:sz w:val="28"/>
        </w:rPr>
      </w:pPr>
      <w:r w:rsidRPr="00522E39">
        <w:rPr>
          <w:sz w:val="28"/>
        </w:rPr>
        <w:t xml:space="preserve">1966.gadā savu darbu uzsāka </w:t>
      </w:r>
      <w:r w:rsidRPr="00522E39">
        <w:rPr>
          <w:i/>
          <w:iCs/>
          <w:sz w:val="28"/>
        </w:rPr>
        <w:t>Baldones</w:t>
      </w:r>
      <w:r>
        <w:rPr>
          <w:i/>
          <w:iCs/>
          <w:sz w:val="28"/>
        </w:rPr>
        <w:t xml:space="preserve"> </w:t>
      </w:r>
      <w:r w:rsidRPr="00522E39">
        <w:rPr>
          <w:sz w:val="28"/>
        </w:rPr>
        <w:t xml:space="preserve">observatorijas </w:t>
      </w:r>
      <w:r w:rsidRPr="00522E39">
        <w:rPr>
          <w:i/>
          <w:iCs/>
          <w:sz w:val="28"/>
        </w:rPr>
        <w:t>Šmita</w:t>
      </w:r>
      <w:r w:rsidRPr="00522E39">
        <w:rPr>
          <w:sz w:val="28"/>
        </w:rPr>
        <w:t xml:space="preserve"> sistēmas teleskops ar sfērisku galveno spoguli 1.2 m diametrā, un 5×5 </w:t>
      </w:r>
      <w:proofErr w:type="spellStart"/>
      <w:r w:rsidRPr="00522E39">
        <w:rPr>
          <w:sz w:val="28"/>
        </w:rPr>
        <w:t>kvadrātgrādu</w:t>
      </w:r>
      <w:proofErr w:type="spellEnd"/>
      <w:r w:rsidRPr="00522E39">
        <w:rPr>
          <w:sz w:val="28"/>
        </w:rPr>
        <w:t xml:space="preserve"> lielu redzes lauku. Šis līdz pat mūsu dienām lielākais Latvijas optiskais teleskops ir izgatavots Vācijas firmā </w:t>
      </w:r>
      <w:proofErr w:type="spellStart"/>
      <w:r w:rsidRPr="00522E39">
        <w:rPr>
          <w:i/>
          <w:iCs/>
          <w:sz w:val="28"/>
        </w:rPr>
        <w:t>Carl</w:t>
      </w:r>
      <w:proofErr w:type="spellEnd"/>
      <w:r w:rsidRPr="00522E39">
        <w:rPr>
          <w:i/>
          <w:iCs/>
          <w:sz w:val="28"/>
        </w:rPr>
        <w:t xml:space="preserve"> </w:t>
      </w:r>
      <w:proofErr w:type="spellStart"/>
      <w:r w:rsidRPr="00522E39">
        <w:rPr>
          <w:i/>
          <w:iCs/>
          <w:sz w:val="28"/>
        </w:rPr>
        <w:t>Zeiss</w:t>
      </w:r>
      <w:proofErr w:type="spellEnd"/>
      <w:r w:rsidRPr="00522E39">
        <w:rPr>
          <w:i/>
          <w:iCs/>
          <w:sz w:val="28"/>
        </w:rPr>
        <w:t xml:space="preserve"> Jena</w:t>
      </w:r>
      <w:r w:rsidRPr="00522E39">
        <w:rPr>
          <w:sz w:val="28"/>
        </w:rPr>
        <w:t xml:space="preserve">. Neraugoties uz tā relatīvi pieticīgajiem izmēriem salīdzinājumā ar lielākajiem mūsdienu pasaules instrumentiem, un pavisam ne ideāliem Latvijas klimatiskajiem apstākļiem, </w:t>
      </w:r>
      <w:r>
        <w:rPr>
          <w:iCs/>
          <w:sz w:val="28"/>
        </w:rPr>
        <w:t>Š</w:t>
      </w:r>
      <w:r w:rsidRPr="00285C24">
        <w:rPr>
          <w:iCs/>
          <w:sz w:val="28"/>
        </w:rPr>
        <w:t>mita sistēmas teleskops</w:t>
      </w:r>
      <w:r w:rsidRPr="00522E39">
        <w:rPr>
          <w:sz w:val="28"/>
        </w:rPr>
        <w:t xml:space="preserve"> savu nozīmi nav zaudējis. Ir daudzi astronomijas uzdevumi, kas ir pa spēkam šādas klases teleskopiem, it īpaši ņemot vērā faktu, ka Šmita optiskās sistēmas teleskopiem ir raksturīgi lieli novērojumu redzes </w:t>
      </w:r>
      <w:r w:rsidRPr="00522E39">
        <w:rPr>
          <w:sz w:val="28"/>
        </w:rPr>
        <w:lastRenderedPageBreak/>
        <w:t xml:space="preserve">lauki. </w:t>
      </w:r>
      <w:r w:rsidRPr="00285C24">
        <w:rPr>
          <w:sz w:val="28"/>
        </w:rPr>
        <w:t xml:space="preserve">2006.gada vasarā fotoplašu kasetes turētāja vietā teleskopa </w:t>
      </w:r>
      <w:proofErr w:type="spellStart"/>
      <w:r w:rsidRPr="00285C24">
        <w:rPr>
          <w:sz w:val="28"/>
        </w:rPr>
        <w:t>tubusa</w:t>
      </w:r>
      <w:proofErr w:type="spellEnd"/>
      <w:r w:rsidRPr="00285C24">
        <w:rPr>
          <w:sz w:val="28"/>
        </w:rPr>
        <w:t xml:space="preserve"> vidū tika uzstādīta </w:t>
      </w:r>
      <w:proofErr w:type="spellStart"/>
      <w:r w:rsidRPr="00285C24">
        <w:rPr>
          <w:sz w:val="28"/>
        </w:rPr>
        <w:t>lādiņsaites</w:t>
      </w:r>
      <w:proofErr w:type="spellEnd"/>
      <w:r w:rsidRPr="00285C24">
        <w:rPr>
          <w:sz w:val="28"/>
        </w:rPr>
        <w:t xml:space="preserve"> matrica ar ko Observatorijas vēsturē iezīmējas fotogrāfiskās astronomijas ēras beigas un digitālas astronomijas ēras sākums.</w:t>
      </w:r>
      <w:r w:rsidRPr="00285C24" w:rsidDel="008A240B">
        <w:rPr>
          <w:sz w:val="28"/>
        </w:rPr>
        <w:t xml:space="preserve"> </w:t>
      </w:r>
    </w:p>
    <w:p w:rsidR="001D26BC" w:rsidRPr="00522E39" w:rsidRDefault="001D26BC" w:rsidP="001D26BC">
      <w:pPr>
        <w:ind w:left="426"/>
        <w:jc w:val="both"/>
        <w:rPr>
          <w:rFonts w:eastAsia="Times New Roman"/>
          <w:sz w:val="28"/>
        </w:rPr>
      </w:pPr>
    </w:p>
    <w:p w:rsidR="001D26BC" w:rsidRDefault="001D26BC" w:rsidP="001D26BC">
      <w:pPr>
        <w:pStyle w:val="Heading4"/>
      </w:pPr>
      <w:bookmarkStart w:id="71" w:name="_Toc280366519"/>
      <w:r>
        <w:t xml:space="preserve">3.4.2. </w:t>
      </w:r>
      <w:bookmarkEnd w:id="71"/>
      <w:r>
        <w:t xml:space="preserve">Sadarbība kopēju kosmosa pētījumu īstenošanā </w:t>
      </w:r>
      <w:r w:rsidRPr="00B42985">
        <w:t xml:space="preserve"> </w:t>
      </w:r>
    </w:p>
    <w:p w:rsidR="001D26BC" w:rsidRPr="00285C24" w:rsidRDefault="001D26BC" w:rsidP="001D26BC"/>
    <w:p w:rsidR="001D26BC" w:rsidRPr="00A02ACB" w:rsidRDefault="001D26BC" w:rsidP="001D26BC">
      <w:r>
        <w:tab/>
      </w:r>
      <w:r w:rsidRPr="00CF3C56">
        <w:rPr>
          <w:sz w:val="28"/>
        </w:rPr>
        <w:t xml:space="preserve">VATP kopš 2005.gada Latvijā darbojas kā kosmosa tehnoloģiju attīstītājs un veicinātājs. VATP </w:t>
      </w:r>
      <w:r>
        <w:rPr>
          <w:sz w:val="28"/>
        </w:rPr>
        <w:t xml:space="preserve">darbības </w:t>
      </w:r>
      <w:r w:rsidRPr="00CF3C56">
        <w:rPr>
          <w:sz w:val="28"/>
        </w:rPr>
        <w:t xml:space="preserve">mērķis ir </w:t>
      </w:r>
      <w:r w:rsidRPr="00FA2CFB">
        <w:rPr>
          <w:sz w:val="28"/>
        </w:rPr>
        <w:t>apsaimniekot tā pārziņā esošo teritoriju un fizisko infrastruktūru, kā arī organizēt pasākumus, lai veicinātu augsto tehnoloģiju nozaru, tai skaitā kosmosa tehnoloģiju attīstību Ventspils pilsētā un Latvijā kopumā</w:t>
      </w:r>
    </w:p>
    <w:p w:rsidR="001D26BC" w:rsidRDefault="001D26BC" w:rsidP="001D26BC">
      <w:pPr>
        <w:ind w:firstLine="720"/>
        <w:jc w:val="both"/>
        <w:rPr>
          <w:sz w:val="28"/>
        </w:rPr>
      </w:pPr>
      <w:r w:rsidRPr="00FC6139">
        <w:rPr>
          <w:sz w:val="28"/>
        </w:rPr>
        <w:t xml:space="preserve">2007.gadā ar </w:t>
      </w:r>
      <w:r>
        <w:rPr>
          <w:sz w:val="28"/>
        </w:rPr>
        <w:t>LIAA</w:t>
      </w:r>
      <w:r w:rsidRPr="00FC6139">
        <w:rPr>
          <w:sz w:val="28"/>
        </w:rPr>
        <w:t xml:space="preserve"> atbalstu sagatavota Latvijas </w:t>
      </w:r>
      <w:proofErr w:type="spellStart"/>
      <w:r w:rsidRPr="00FC6139">
        <w:rPr>
          <w:sz w:val="28"/>
        </w:rPr>
        <w:t>Satelīttehnoloģiju</w:t>
      </w:r>
      <w:proofErr w:type="spellEnd"/>
      <w:r w:rsidRPr="00FC6139">
        <w:rPr>
          <w:sz w:val="28"/>
        </w:rPr>
        <w:t xml:space="preserve"> centra stratēģija, iekļaujot 15 perspektīvu projektu idejas. </w:t>
      </w:r>
    </w:p>
    <w:p w:rsidR="001D26BC" w:rsidRPr="00185921" w:rsidRDefault="001D26BC" w:rsidP="001D26BC">
      <w:pPr>
        <w:ind w:firstLine="720"/>
        <w:jc w:val="both"/>
        <w:rPr>
          <w:sz w:val="28"/>
        </w:rPr>
      </w:pPr>
      <w:r w:rsidRPr="00FC6139">
        <w:rPr>
          <w:sz w:val="28"/>
        </w:rPr>
        <w:t>2009.gadā Norvēģijas valdības grantu shēmas „Īstermiņa ekspertu fonds” projekta „</w:t>
      </w:r>
      <w:proofErr w:type="spellStart"/>
      <w:r w:rsidRPr="00FC6139">
        <w:rPr>
          <w:sz w:val="28"/>
        </w:rPr>
        <w:t>Smart</w:t>
      </w:r>
      <w:proofErr w:type="spellEnd"/>
      <w:r w:rsidRPr="00FC6139">
        <w:rPr>
          <w:sz w:val="28"/>
        </w:rPr>
        <w:t xml:space="preserve"> </w:t>
      </w:r>
      <w:proofErr w:type="spellStart"/>
      <w:r w:rsidRPr="00FC6139">
        <w:rPr>
          <w:sz w:val="28"/>
        </w:rPr>
        <w:t>Regions</w:t>
      </w:r>
      <w:proofErr w:type="spellEnd"/>
      <w:r w:rsidRPr="00FC6139">
        <w:rPr>
          <w:sz w:val="28"/>
        </w:rPr>
        <w:t xml:space="preserve"> – ekspertu atbalsts </w:t>
      </w:r>
      <w:proofErr w:type="spellStart"/>
      <w:r w:rsidRPr="00FC6139">
        <w:rPr>
          <w:sz w:val="28"/>
        </w:rPr>
        <w:t>satelīttehnoloģiju</w:t>
      </w:r>
      <w:proofErr w:type="spellEnd"/>
      <w:r w:rsidRPr="00FC6139">
        <w:rPr>
          <w:sz w:val="28"/>
        </w:rPr>
        <w:t xml:space="preserve"> centra izveidei Ventspilī” ietvaros, piesaistot ekspertus no „OHB </w:t>
      </w:r>
      <w:proofErr w:type="spellStart"/>
      <w:r w:rsidRPr="00FC6139">
        <w:rPr>
          <w:sz w:val="28"/>
        </w:rPr>
        <w:t>Systems</w:t>
      </w:r>
      <w:proofErr w:type="spellEnd"/>
      <w:r w:rsidRPr="00FC6139">
        <w:rPr>
          <w:sz w:val="28"/>
        </w:rPr>
        <w:t xml:space="preserve">”(Vācija), izstrādāta tehniskā dokumentācija satelītu integrācijas un testēšanas infrastruktūrai. </w:t>
      </w:r>
    </w:p>
    <w:p w:rsidR="001D26BC" w:rsidRDefault="001D26BC" w:rsidP="001D26BC">
      <w:pPr>
        <w:ind w:firstLine="720"/>
        <w:jc w:val="both"/>
        <w:rPr>
          <w:sz w:val="28"/>
        </w:rPr>
      </w:pPr>
      <w:r w:rsidRPr="00FC6139">
        <w:rPr>
          <w:sz w:val="28"/>
        </w:rPr>
        <w:t xml:space="preserve">No 2009.gada februāra </w:t>
      </w:r>
      <w:r>
        <w:rPr>
          <w:sz w:val="28"/>
        </w:rPr>
        <w:t xml:space="preserve">līdz 2010.gada septembrim </w:t>
      </w:r>
      <w:r w:rsidRPr="00FC6139">
        <w:rPr>
          <w:sz w:val="28"/>
        </w:rPr>
        <w:t>Norvēģijas valdības divpusējā finanšu instrumenta NVO projektu programmas ietvaros tik</w:t>
      </w:r>
      <w:r>
        <w:rPr>
          <w:sz w:val="28"/>
        </w:rPr>
        <w:t>a</w:t>
      </w:r>
      <w:r w:rsidRPr="00FC6139">
        <w:rPr>
          <w:sz w:val="28"/>
        </w:rPr>
        <w:t xml:space="preserve"> īstenots </w:t>
      </w:r>
      <w:proofErr w:type="spellStart"/>
      <w:r w:rsidRPr="00FC6139">
        <w:rPr>
          <w:sz w:val="28"/>
        </w:rPr>
        <w:t>apakšprojekts</w:t>
      </w:r>
      <w:proofErr w:type="spellEnd"/>
      <w:r w:rsidRPr="00FC6139">
        <w:rPr>
          <w:sz w:val="28"/>
        </w:rPr>
        <w:t xml:space="preserve"> „Kosmosa tehnoloģijas – iespējas izglītībai un ekonomikas attīstībai”. </w:t>
      </w:r>
      <w:r w:rsidRPr="00DB0304">
        <w:rPr>
          <w:sz w:val="28"/>
        </w:rPr>
        <w:t>Projekta ietvaros ir izveidots Informācijas punkts VATP telpās, lai organizētu un vadītu informatīvus un izglītojošus pasākumus saistībā ar kosmosa tehnoloģijām jauniešiem un sabiedrībai kopumā, kā arī piesaistot projektam sadarbības partneri „Tehnoloģiju attīstības forumu” ir organizēti informatīvi un izglītojoši pasākumi Latvijas uzņēmumiem un NVO par finanšu piesaistes iespējām kosmosa tehnoloģiju nozares attīstībai.</w:t>
      </w:r>
      <w:r w:rsidRPr="00FC6139">
        <w:rPr>
          <w:sz w:val="28"/>
        </w:rPr>
        <w:t xml:space="preserve"> </w:t>
      </w:r>
      <w:r>
        <w:rPr>
          <w:sz w:val="28"/>
        </w:rPr>
        <w:t xml:space="preserve">Šī projekta ietvaros </w:t>
      </w:r>
      <w:r w:rsidR="00BC02DE">
        <w:rPr>
          <w:sz w:val="28"/>
        </w:rPr>
        <w:t xml:space="preserve">no </w:t>
      </w:r>
      <w:r>
        <w:rPr>
          <w:sz w:val="28"/>
        </w:rPr>
        <w:t xml:space="preserve">2009.gada sadarbībā ar IZM tika organizēts konkurss 15-18 gadus veciem Latvijas skolu jauniešiem, kura uzvarētāji </w:t>
      </w:r>
      <w:r w:rsidR="00BC02DE">
        <w:rPr>
          <w:sz w:val="28"/>
        </w:rPr>
        <w:t>ir iespēja piedalīties</w:t>
      </w:r>
      <w:r>
        <w:rPr>
          <w:sz w:val="28"/>
        </w:rPr>
        <w:t xml:space="preserve"> nedēļu ilgā starptautiskā nometnē jauniešiem ASV Kosmosa un raķešu centrā (</w:t>
      </w:r>
      <w:proofErr w:type="spellStart"/>
      <w:r>
        <w:rPr>
          <w:sz w:val="28"/>
        </w:rPr>
        <w:t>Hunstvila</w:t>
      </w:r>
      <w:proofErr w:type="spellEnd"/>
      <w:r>
        <w:rPr>
          <w:sz w:val="28"/>
        </w:rPr>
        <w:t>, Alabama).</w:t>
      </w:r>
    </w:p>
    <w:p w:rsidR="001D26BC" w:rsidRDefault="001D26BC" w:rsidP="001D26BC">
      <w:pPr>
        <w:ind w:firstLine="720"/>
        <w:jc w:val="both"/>
        <w:rPr>
          <w:sz w:val="28"/>
        </w:rPr>
      </w:pPr>
      <w:r w:rsidRPr="00FC6139">
        <w:rPr>
          <w:sz w:val="28"/>
        </w:rPr>
        <w:t xml:space="preserve">No 2009.gada augusta tiek īstenots Norvēģijas valdības divpusējā finanšu instrumenta programmas „Pārrobežu sadarbība” </w:t>
      </w:r>
      <w:proofErr w:type="spellStart"/>
      <w:r w:rsidRPr="00FC6139">
        <w:rPr>
          <w:sz w:val="28"/>
        </w:rPr>
        <w:t>apakšprojekts</w:t>
      </w:r>
      <w:proofErr w:type="spellEnd"/>
      <w:r w:rsidRPr="00FC6139">
        <w:rPr>
          <w:sz w:val="28"/>
        </w:rPr>
        <w:t xml:space="preserve"> „Ventspils un Tartu sadarbība kosmosa tehnoloģiju nozares pētniecībā un apmācībā”. Šī projekta ietvaros studentiem un pētniekiem tiek nodrošināta pieeja kosmosa tehnoloģiju infrastruktūrai (Ventspilī – Ventspils Starptautiskais Radio Astronomijas Centrs; Tartu – Tartu Observatorija) un sagatavots darbības plāns, lai arī nākotnē tas tiktu turpināts, partnervalsts pārstāvji tiek iesaistīti mazo satelītu būvē, organizējot prakses Ventspils Augstskolas studentiem Tartu, savukārt igauņu studentiem – Ventspilī. </w:t>
      </w:r>
      <w:r>
        <w:rPr>
          <w:sz w:val="28"/>
        </w:rPr>
        <w:t xml:space="preserve">2010.gada augustā Ventspils Augstskolas </w:t>
      </w:r>
      <w:r>
        <w:rPr>
          <w:sz w:val="28"/>
        </w:rPr>
        <w:lastRenderedPageBreak/>
        <w:t xml:space="preserve">telpās </w:t>
      </w:r>
      <w:proofErr w:type="spellStart"/>
      <w:r>
        <w:rPr>
          <w:sz w:val="28"/>
        </w:rPr>
        <w:t>kampusā</w:t>
      </w:r>
      <w:proofErr w:type="spellEnd"/>
      <w:r>
        <w:rPr>
          <w:sz w:val="28"/>
        </w:rPr>
        <w:t xml:space="preserve"> un Irbenē VATP un </w:t>
      </w:r>
      <w:proofErr w:type="spellStart"/>
      <w:r>
        <w:rPr>
          <w:sz w:val="28"/>
        </w:rPr>
        <w:t>VeA</w:t>
      </w:r>
      <w:proofErr w:type="spellEnd"/>
      <w:r>
        <w:rPr>
          <w:sz w:val="28"/>
        </w:rPr>
        <w:t xml:space="preserve"> rīkoja pirmo </w:t>
      </w:r>
      <w:proofErr w:type="spellStart"/>
      <w:r>
        <w:rPr>
          <w:sz w:val="28"/>
        </w:rPr>
        <w:t>Satelīttehnoloģiju</w:t>
      </w:r>
      <w:proofErr w:type="spellEnd"/>
      <w:r>
        <w:rPr>
          <w:sz w:val="28"/>
        </w:rPr>
        <w:t xml:space="preserve"> vasaras skolu, kurā piedalījās mazo satelītu izstrādē iesaistīti studenti no Latvijas, Igaunijas, Somijas, Dānijas, Lietuvas. Eksperti no Dānijas, Somijas un arī EKA lasīja lekcijas par mazo satelītu izstrādi, kā arī par zemes bāzes staciju darbību. Gan lekciju, gan diskusiju laikā studenti un eksperti dalījās pieredzē dažādu mazo satelītu būvē, kā arī vienojās par turpmāku sadarbību kosmosa tehnoloģiju attīstībai. </w:t>
      </w:r>
      <w:r w:rsidRPr="00FC6139">
        <w:rPr>
          <w:sz w:val="28"/>
        </w:rPr>
        <w:t>Projekta ietvaros uzsākta t.s. „</w:t>
      </w:r>
      <w:proofErr w:type="spellStart"/>
      <w:r w:rsidRPr="00FC6139">
        <w:rPr>
          <w:i/>
          <w:sz w:val="28"/>
        </w:rPr>
        <w:t>Clean</w:t>
      </w:r>
      <w:proofErr w:type="spellEnd"/>
      <w:r w:rsidRPr="00FC6139">
        <w:rPr>
          <w:i/>
          <w:sz w:val="28"/>
        </w:rPr>
        <w:t xml:space="preserve"> </w:t>
      </w:r>
      <w:proofErr w:type="spellStart"/>
      <w:r w:rsidRPr="00FC6139">
        <w:rPr>
          <w:i/>
          <w:sz w:val="28"/>
        </w:rPr>
        <w:t>room</w:t>
      </w:r>
      <w:proofErr w:type="spellEnd"/>
      <w:r w:rsidRPr="00FC6139">
        <w:rPr>
          <w:sz w:val="28"/>
        </w:rPr>
        <w:t>” izveide, kas būs piemērota mazu satelītu testēšanai un verifikācijai</w:t>
      </w:r>
      <w:r>
        <w:rPr>
          <w:sz w:val="28"/>
        </w:rPr>
        <w:t>.</w:t>
      </w:r>
    </w:p>
    <w:p w:rsidR="001D26BC" w:rsidRPr="00FC6139" w:rsidRDefault="001D26BC" w:rsidP="001D26BC">
      <w:pPr>
        <w:ind w:firstLine="720"/>
        <w:jc w:val="both"/>
        <w:rPr>
          <w:sz w:val="28"/>
        </w:rPr>
      </w:pPr>
      <w:r w:rsidRPr="00C1792C">
        <w:rPr>
          <w:sz w:val="28"/>
        </w:rPr>
        <w:t xml:space="preserve">No 2010.gada marta ir uzsākta FP7 projekta </w:t>
      </w:r>
      <w:proofErr w:type="spellStart"/>
      <w:r w:rsidRPr="00C1792C">
        <w:rPr>
          <w:sz w:val="28"/>
        </w:rPr>
        <w:t>NordicBaltSat</w:t>
      </w:r>
      <w:proofErr w:type="spellEnd"/>
      <w:r w:rsidRPr="00C1792C">
        <w:rPr>
          <w:sz w:val="28"/>
        </w:rPr>
        <w:t xml:space="preserve"> īstenošana, kura gaitā kopā ar partneriem no Igaunijas, Lietuvas, Polijas, Zviedrijas un Francijas tiks sagatavota vienota kosmosa tehnoloģiju programma, organizēti apmācību semināri uzņēmējiem, kā arī politikas veidotājiem.</w:t>
      </w:r>
      <w:r w:rsidRPr="00FC6139">
        <w:rPr>
          <w:sz w:val="28"/>
        </w:rPr>
        <w:t xml:space="preserve"> </w:t>
      </w:r>
    </w:p>
    <w:p w:rsidR="001D26BC" w:rsidRPr="005A090C" w:rsidRDefault="001D26BC" w:rsidP="001D26BC">
      <w:pPr>
        <w:ind w:firstLine="720"/>
        <w:jc w:val="both"/>
        <w:rPr>
          <w:sz w:val="28"/>
        </w:rPr>
      </w:pPr>
      <w:r w:rsidRPr="005A090C">
        <w:rPr>
          <w:sz w:val="28"/>
        </w:rPr>
        <w:t xml:space="preserve">2009.gada sākumā pēc </w:t>
      </w:r>
      <w:r>
        <w:rPr>
          <w:sz w:val="28"/>
        </w:rPr>
        <w:t>LIAA</w:t>
      </w:r>
      <w:r w:rsidRPr="005A090C">
        <w:rPr>
          <w:sz w:val="28"/>
        </w:rPr>
        <w:t xml:space="preserve"> pasūtījuma veikta Priekšizpēte kosmosa/ </w:t>
      </w:r>
      <w:proofErr w:type="spellStart"/>
      <w:r w:rsidRPr="005A090C">
        <w:rPr>
          <w:sz w:val="28"/>
        </w:rPr>
        <w:t>satelīttehnoloģiju</w:t>
      </w:r>
      <w:proofErr w:type="spellEnd"/>
      <w:r w:rsidRPr="005A090C">
        <w:rPr>
          <w:sz w:val="28"/>
        </w:rPr>
        <w:t xml:space="preserve"> klastera izveidei. Pētījuma laikā apzināti Latvijas uzņēmumi, NVO, izglītības, pētniecības un valsts institūcijas un to piedāvātie/izmantotie produkti, kā arī perspektīvā attīstāmās izglītības un pētniecības nozares Latvijā.</w:t>
      </w:r>
    </w:p>
    <w:p w:rsidR="001D26BC" w:rsidRDefault="001D26BC" w:rsidP="001D26BC">
      <w:pPr>
        <w:ind w:firstLine="720"/>
        <w:jc w:val="both"/>
        <w:rPr>
          <w:sz w:val="28"/>
        </w:rPr>
      </w:pPr>
      <w:r w:rsidRPr="005A090C">
        <w:rPr>
          <w:sz w:val="28"/>
        </w:rPr>
        <w:t xml:space="preserve">2009.gada beigās, saņemot finansiālu atbalstu no </w:t>
      </w:r>
      <w:r w:rsidR="00645B92">
        <w:rPr>
          <w:sz w:val="28"/>
        </w:rPr>
        <w:t xml:space="preserve">LR </w:t>
      </w:r>
      <w:r w:rsidRPr="005A090C">
        <w:rPr>
          <w:sz w:val="28"/>
        </w:rPr>
        <w:t>Ekonomi</w:t>
      </w:r>
      <w:r>
        <w:rPr>
          <w:sz w:val="28"/>
        </w:rPr>
        <w:t>kas</w:t>
      </w:r>
      <w:r w:rsidRPr="005A090C">
        <w:rPr>
          <w:sz w:val="28"/>
        </w:rPr>
        <w:t xml:space="preserve"> ministrijas, īstenots projekts „Sadarbības pasākumi Kosmosa tehnoloģiju klastera izveidei”, kura laikā tika sagatavota Kosmosa tehnoloģiju klastera stratēģija un rīcības plāns, kā arī noskaidrots klastera dalībnieku viedoklis par piemērotāko organizatorisko modeli.</w:t>
      </w:r>
    </w:p>
    <w:p w:rsidR="001D26BC" w:rsidRDefault="001D26BC" w:rsidP="001D26BC">
      <w:pPr>
        <w:tabs>
          <w:tab w:val="left" w:pos="518"/>
        </w:tabs>
        <w:jc w:val="both"/>
        <w:rPr>
          <w:sz w:val="28"/>
        </w:rPr>
      </w:pPr>
      <w:r>
        <w:rPr>
          <w:sz w:val="28"/>
        </w:rPr>
        <w:tab/>
      </w:r>
      <w:r>
        <w:rPr>
          <w:sz w:val="28"/>
        </w:rPr>
        <w:tab/>
        <w:t xml:space="preserve">2010.gada jūnijā tika uzsākta LR Ekonomikas ministrijas līdzfinansēta projekta „Kosmosa tehnoloģiju klastera attīstības pasākumi” īstenošana, kura ietvaros tika rīkoti semināri klastera dalībniekiem par šādām tēmām: intelektuālā īpašuma tiesības, ar kosmosa nozari saistītā likumdošana, dalība </w:t>
      </w:r>
      <w:r w:rsidR="00BC02DE">
        <w:rPr>
          <w:sz w:val="28"/>
        </w:rPr>
        <w:t>ES</w:t>
      </w:r>
      <w:r>
        <w:rPr>
          <w:sz w:val="28"/>
        </w:rPr>
        <w:t xml:space="preserve"> iepirkumos, t.sk. EKA iepirkumos. </w:t>
      </w:r>
    </w:p>
    <w:p w:rsidR="001D26BC" w:rsidRPr="009A447A" w:rsidRDefault="001D26BC" w:rsidP="001D26BC">
      <w:pPr>
        <w:tabs>
          <w:tab w:val="left" w:pos="518"/>
        </w:tabs>
        <w:jc w:val="both"/>
        <w:rPr>
          <w:rFonts w:eastAsia="Times New Roman"/>
          <w:color w:val="000000"/>
          <w:sz w:val="28"/>
          <w:szCs w:val="22"/>
        </w:rPr>
      </w:pPr>
      <w:r>
        <w:rPr>
          <w:sz w:val="28"/>
        </w:rPr>
        <w:tab/>
        <w:t xml:space="preserve">Projekta ietvaros sadarbībā ar Latvijas Elektrotehnikas un elektronikas rūpniecības asociāciju un piesaistot ārvalstu partnerus tika sagatavots pieteikums ERAF programmā „Kompetences centri”. Saistībā ar pieteikuma sagatavošanu 27.07.2010. tika dibināts </w:t>
      </w:r>
      <w:r w:rsidRPr="005D2872">
        <w:rPr>
          <w:sz w:val="28"/>
          <w:szCs w:val="22"/>
        </w:rPr>
        <w:t xml:space="preserve">Latvijas elektrisko un optisko iekārtu ražošanas nozares </w:t>
      </w:r>
      <w:r>
        <w:rPr>
          <w:sz w:val="28"/>
        </w:rPr>
        <w:t xml:space="preserve">kompetences centrs – SIA „LEO PĒTĪJUMU CENTRS”. </w:t>
      </w:r>
      <w:r w:rsidRPr="009A447A">
        <w:rPr>
          <w:rFonts w:eastAsia="Times New Roman"/>
          <w:color w:val="000000"/>
          <w:sz w:val="28"/>
          <w:szCs w:val="22"/>
        </w:rPr>
        <w:t xml:space="preserve">Kompetences centra SIA „LEO PĒTĪJUMU CENTRS” </w:t>
      </w:r>
      <w:r w:rsidRPr="009A447A">
        <w:rPr>
          <w:rFonts w:eastAsia="Times New Roman"/>
          <w:color w:val="000000"/>
          <w:sz w:val="28"/>
          <w:szCs w:val="22"/>
          <w:u w:val="single"/>
        </w:rPr>
        <w:t>pētījumu virzieni</w:t>
      </w:r>
      <w:r w:rsidRPr="009A447A">
        <w:rPr>
          <w:rFonts w:eastAsia="Times New Roman"/>
          <w:color w:val="000000"/>
          <w:sz w:val="28"/>
          <w:szCs w:val="22"/>
        </w:rPr>
        <w:t>:</w:t>
      </w:r>
    </w:p>
    <w:p w:rsidR="001D26BC" w:rsidRPr="009A447A" w:rsidRDefault="001D26BC" w:rsidP="001D26BC">
      <w:pPr>
        <w:numPr>
          <w:ilvl w:val="0"/>
          <w:numId w:val="17"/>
        </w:numPr>
        <w:tabs>
          <w:tab w:val="left" w:pos="518"/>
        </w:tabs>
        <w:jc w:val="both"/>
        <w:rPr>
          <w:rFonts w:eastAsia="Arial"/>
          <w:color w:val="000000"/>
          <w:sz w:val="28"/>
          <w:szCs w:val="22"/>
        </w:rPr>
      </w:pPr>
      <w:r w:rsidRPr="009A447A">
        <w:rPr>
          <w:rFonts w:eastAsia="Arial"/>
          <w:color w:val="000000"/>
          <w:sz w:val="28"/>
          <w:szCs w:val="22"/>
        </w:rPr>
        <w:t>elektronikas un elektrotehnikas industriālo tehnoloģiju pētījumu un jaunu produktu izstrādes virziens;</w:t>
      </w:r>
    </w:p>
    <w:p w:rsidR="001D26BC" w:rsidRDefault="001D26BC" w:rsidP="001D26BC">
      <w:pPr>
        <w:numPr>
          <w:ilvl w:val="0"/>
          <w:numId w:val="17"/>
        </w:numPr>
        <w:tabs>
          <w:tab w:val="left" w:pos="518"/>
        </w:tabs>
        <w:jc w:val="both"/>
        <w:rPr>
          <w:rFonts w:eastAsia="Times New Roman"/>
          <w:color w:val="000000"/>
          <w:sz w:val="28"/>
          <w:szCs w:val="22"/>
        </w:rPr>
      </w:pPr>
      <w:proofErr w:type="spellStart"/>
      <w:r w:rsidRPr="009A447A">
        <w:rPr>
          <w:rFonts w:eastAsia="Arial"/>
          <w:color w:val="000000"/>
          <w:sz w:val="28"/>
          <w:szCs w:val="22"/>
        </w:rPr>
        <w:t>satelīttehnoloģiju</w:t>
      </w:r>
      <w:proofErr w:type="spellEnd"/>
      <w:r w:rsidRPr="009A447A">
        <w:rPr>
          <w:rFonts w:eastAsia="Arial"/>
          <w:color w:val="000000"/>
          <w:sz w:val="28"/>
          <w:szCs w:val="22"/>
        </w:rPr>
        <w:t xml:space="preserve"> pētījumu un jaunu produktu izstrādes virziens.</w:t>
      </w:r>
    </w:p>
    <w:p w:rsidR="001D26BC" w:rsidRDefault="001D26BC" w:rsidP="001D26BC">
      <w:pPr>
        <w:ind w:firstLine="720"/>
        <w:jc w:val="both"/>
        <w:rPr>
          <w:rFonts w:eastAsia="Times New Roman"/>
          <w:color w:val="000000"/>
          <w:sz w:val="28"/>
          <w:szCs w:val="22"/>
        </w:rPr>
      </w:pPr>
      <w:r w:rsidRPr="00145B45">
        <w:rPr>
          <w:rFonts w:eastAsia="Times New Roman"/>
          <w:color w:val="000000"/>
          <w:sz w:val="28"/>
        </w:rPr>
        <w:t xml:space="preserve">SIA „LEO PĒTĪJUMU CENTRS” projekta ietvaros veikto pētniecības projektu rezultātā izstrādātos elektronikas un </w:t>
      </w:r>
      <w:proofErr w:type="spellStart"/>
      <w:r w:rsidRPr="00145B45">
        <w:rPr>
          <w:rFonts w:eastAsia="Times New Roman"/>
          <w:color w:val="000000"/>
          <w:sz w:val="28"/>
        </w:rPr>
        <w:t>satelīttehnoloģiju</w:t>
      </w:r>
      <w:proofErr w:type="spellEnd"/>
      <w:r w:rsidRPr="00145B45">
        <w:rPr>
          <w:rFonts w:eastAsia="Times New Roman"/>
          <w:color w:val="000000"/>
          <w:sz w:val="28"/>
        </w:rPr>
        <w:t xml:space="preserve"> produktus un tehnoloģijas plānots izmantot </w:t>
      </w:r>
      <w:proofErr w:type="spellStart"/>
      <w:r w:rsidRPr="00145B45">
        <w:rPr>
          <w:rFonts w:eastAsia="Times New Roman"/>
          <w:color w:val="000000"/>
          <w:sz w:val="28"/>
        </w:rPr>
        <w:t>satelītbūves</w:t>
      </w:r>
      <w:proofErr w:type="spellEnd"/>
      <w:r w:rsidRPr="00145B45">
        <w:rPr>
          <w:rFonts w:eastAsia="Times New Roman"/>
          <w:color w:val="000000"/>
          <w:sz w:val="28"/>
        </w:rPr>
        <w:t xml:space="preserve"> attīstībā un dažādu iekārtu un programmu izstrādē, kas izmantojamas </w:t>
      </w:r>
      <w:r w:rsidRPr="00145B45">
        <w:rPr>
          <w:rFonts w:eastAsia="Times New Roman"/>
          <w:color w:val="000000"/>
          <w:sz w:val="28"/>
        </w:rPr>
        <w:lastRenderedPageBreak/>
        <w:t>visdažādākās jomās: gan sadzīvē izmantojamu iekārtu ražošanā un aplikāciju izstrādē, gan drošības, vides uzraudzības, transporta pakalpojumu uzlabošanā, gan izklaides produktu radīšanā u.c.</w:t>
      </w:r>
      <w:r w:rsidR="00BC02DE">
        <w:rPr>
          <w:rFonts w:eastAsia="Times New Roman"/>
          <w:color w:val="000000"/>
          <w:sz w:val="28"/>
        </w:rPr>
        <w:t xml:space="preserve"> </w:t>
      </w:r>
      <w:r>
        <w:rPr>
          <w:rFonts w:eastAsia="Times New Roman"/>
          <w:color w:val="000000"/>
          <w:sz w:val="28"/>
          <w:szCs w:val="22"/>
        </w:rPr>
        <w:t xml:space="preserve">Kompetences centra projekta īstenošanas termiņš būs 50 mēneši un kopējais ERAF </w:t>
      </w:r>
      <w:r w:rsidRPr="009A447A">
        <w:rPr>
          <w:rFonts w:eastAsia="Times New Roman"/>
          <w:color w:val="000000"/>
          <w:sz w:val="28"/>
          <w:szCs w:val="22"/>
          <w:u w:val="single"/>
        </w:rPr>
        <w:t>publiskā finansējuma apjoms:</w:t>
      </w:r>
      <w:r w:rsidRPr="009A447A">
        <w:rPr>
          <w:rFonts w:eastAsia="Times New Roman"/>
          <w:color w:val="000000"/>
          <w:sz w:val="28"/>
          <w:szCs w:val="22"/>
        </w:rPr>
        <w:t xml:space="preserve"> 6 250 </w:t>
      </w:r>
      <w:smartTag w:uri="schemas-tilde-lv/tildestengine" w:element="currency2">
        <w:smartTagPr>
          <w:attr w:name="currency_id" w:val="48"/>
          <w:attr w:name="currency_key" w:val="LVL"/>
          <w:attr w:name="currency_value" w:val="000"/>
          <w:attr w:name="currency_text" w:val="LVL"/>
        </w:smartTagPr>
        <w:r w:rsidRPr="009A447A">
          <w:rPr>
            <w:rFonts w:eastAsia="Times New Roman"/>
            <w:color w:val="000000"/>
            <w:sz w:val="28"/>
            <w:szCs w:val="22"/>
          </w:rPr>
          <w:t>000 LVL</w:t>
        </w:r>
      </w:smartTag>
      <w:r w:rsidRPr="009A447A">
        <w:rPr>
          <w:rFonts w:eastAsia="Times New Roman"/>
          <w:color w:val="000000"/>
          <w:sz w:val="28"/>
          <w:szCs w:val="22"/>
        </w:rPr>
        <w:t>.</w:t>
      </w:r>
      <w:r>
        <w:rPr>
          <w:rFonts w:eastAsia="Times New Roman"/>
          <w:color w:val="000000"/>
          <w:sz w:val="28"/>
          <w:szCs w:val="22"/>
        </w:rPr>
        <w:t xml:space="preserve"> </w:t>
      </w:r>
    </w:p>
    <w:p w:rsidR="001D26BC" w:rsidRPr="00AF4E24" w:rsidRDefault="001D26BC" w:rsidP="001D26BC">
      <w:pPr>
        <w:pStyle w:val="Heading1"/>
        <w:pBdr>
          <w:bottom w:val="single" w:sz="12" w:space="1" w:color="000066"/>
        </w:pBdr>
      </w:pPr>
      <w:bookmarkStart w:id="72" w:name="_Toc200255791"/>
      <w:bookmarkStart w:id="73" w:name="_Toc220327275"/>
      <w:bookmarkStart w:id="74" w:name="_Toc220327340"/>
      <w:bookmarkStart w:id="75" w:name="_Toc220327469"/>
      <w:bookmarkStart w:id="76" w:name="_Toc220327630"/>
      <w:bookmarkStart w:id="77" w:name="_Toc220327891"/>
      <w:bookmarkStart w:id="78" w:name="_Toc220328218"/>
      <w:bookmarkStart w:id="79" w:name="_Toc220328345"/>
      <w:bookmarkStart w:id="80" w:name="_Toc303176599"/>
      <w:bookmarkStart w:id="81" w:name="_Toc277513982"/>
      <w:bookmarkStart w:id="82" w:name="_Toc277672601"/>
      <w:bookmarkStart w:id="83" w:name="_Toc280366520"/>
      <w:r>
        <w:lastRenderedPageBreak/>
        <w:t>II</w:t>
      </w:r>
      <w:r w:rsidRPr="00AF4E24">
        <w:t xml:space="preserve"> </w:t>
      </w:r>
      <w:bookmarkEnd w:id="72"/>
      <w:bookmarkEnd w:id="73"/>
      <w:bookmarkEnd w:id="74"/>
      <w:bookmarkEnd w:id="75"/>
      <w:bookmarkEnd w:id="76"/>
      <w:bookmarkEnd w:id="77"/>
      <w:bookmarkEnd w:id="78"/>
      <w:bookmarkEnd w:id="79"/>
      <w:r>
        <w:t>Iespējamā rīcība</w:t>
      </w:r>
      <w:bookmarkEnd w:id="80"/>
      <w:r>
        <w:t xml:space="preserve"> </w:t>
      </w:r>
    </w:p>
    <w:p w:rsidR="001D26BC" w:rsidRDefault="001D26BC" w:rsidP="001D26BC"/>
    <w:bookmarkEnd w:id="81"/>
    <w:bookmarkEnd w:id="82"/>
    <w:bookmarkEnd w:id="83"/>
    <w:p w:rsidR="001D26BC" w:rsidRPr="00821CCD" w:rsidRDefault="001D26BC" w:rsidP="001D26BC">
      <w:pPr>
        <w:jc w:val="both"/>
        <w:rPr>
          <w:sz w:val="28"/>
        </w:rPr>
      </w:pPr>
      <w:r>
        <w:rPr>
          <w:b/>
          <w:sz w:val="28"/>
        </w:rPr>
        <w:tab/>
      </w:r>
      <w:r>
        <w:rPr>
          <w:sz w:val="28"/>
        </w:rPr>
        <w:t xml:space="preserve">Lai kļūtu par pilntiesīgu EKA dalībvalsti, katra valsts veic trīs etapus. Pirmais posms ir sadarbības līgums </w:t>
      </w:r>
      <w:r w:rsidR="00BC02DE">
        <w:rPr>
          <w:sz w:val="28"/>
        </w:rPr>
        <w:t xml:space="preserve">ar EKA, jeb iepazīšanās fāze līdz 5 </w:t>
      </w:r>
      <w:r>
        <w:rPr>
          <w:sz w:val="28"/>
        </w:rPr>
        <w:t>gadiem. Ja valsts vēlas sadarboties ciešāk, tā paraksta Eiropas Sadarbības valsts līgumu. Lai attiecīgā valsts varētu parakstīt šo līgumu, tai ir jābūt gatavai uz bilaterālu saistību ar EKA, kas valstij ļauj netieši piedalīties visos EKA iepirkumos un aktivitātēs. Šāda gadījumā, tāda sadarbība tiek noformulēta kā piecu gadu plāns Eiropas Sadarbības valstij (</w:t>
      </w:r>
      <w:proofErr w:type="spellStart"/>
      <w:r w:rsidRPr="00084A75">
        <w:rPr>
          <w:i/>
          <w:sz w:val="28"/>
        </w:rPr>
        <w:t>Plan</w:t>
      </w:r>
      <w:proofErr w:type="spellEnd"/>
      <w:r w:rsidRPr="00084A75">
        <w:rPr>
          <w:i/>
          <w:sz w:val="28"/>
        </w:rPr>
        <w:t xml:space="preserve"> </w:t>
      </w:r>
      <w:proofErr w:type="spellStart"/>
      <w:r w:rsidRPr="00084A75">
        <w:rPr>
          <w:i/>
          <w:sz w:val="28"/>
        </w:rPr>
        <w:t>for</w:t>
      </w:r>
      <w:proofErr w:type="spellEnd"/>
      <w:r w:rsidRPr="00084A75">
        <w:rPr>
          <w:i/>
          <w:sz w:val="28"/>
        </w:rPr>
        <w:t xml:space="preserve"> </w:t>
      </w:r>
      <w:proofErr w:type="spellStart"/>
      <w:r w:rsidRPr="00084A75">
        <w:rPr>
          <w:i/>
          <w:sz w:val="28"/>
        </w:rPr>
        <w:t>European</w:t>
      </w:r>
      <w:proofErr w:type="spellEnd"/>
      <w:r w:rsidRPr="00084A75">
        <w:rPr>
          <w:i/>
          <w:sz w:val="28"/>
        </w:rPr>
        <w:t xml:space="preserve"> </w:t>
      </w:r>
      <w:proofErr w:type="spellStart"/>
      <w:r w:rsidRPr="00084A75">
        <w:rPr>
          <w:i/>
          <w:sz w:val="28"/>
        </w:rPr>
        <w:t>Cooperating</w:t>
      </w:r>
      <w:proofErr w:type="spellEnd"/>
      <w:r w:rsidRPr="00084A75">
        <w:rPr>
          <w:i/>
          <w:sz w:val="28"/>
        </w:rPr>
        <w:t xml:space="preserve"> </w:t>
      </w:r>
      <w:proofErr w:type="spellStart"/>
      <w:r w:rsidRPr="00084A75">
        <w:rPr>
          <w:i/>
          <w:sz w:val="28"/>
        </w:rPr>
        <w:t>State</w:t>
      </w:r>
      <w:proofErr w:type="spellEnd"/>
      <w:r>
        <w:rPr>
          <w:sz w:val="28"/>
        </w:rPr>
        <w:t xml:space="preserve">) jeb PECS harta ar EKA. Šī piecu gadu P&amp;A programma ir veidota ar mērķi uzlabot valsts kosmosa industrijas kapacitāti un praktiski nozīmē dažādu zinātnisku un rūpniecisko projektu veikšanu kosmosa jomā. Piecu gadu perioda beigās valsts var uzsākt sarunas, lai kļūtu par pilntiesīgu dalībvalsti vai arī parakstīt jaunu PECS hartu uz 5 gadiem. Eiropas Sadarbības valsts statuss ir izstrādāts ar mērķi, lai palīdzētu Eiropas valstīm veiksmīgāk pievienoties EKA. </w:t>
      </w:r>
    </w:p>
    <w:p w:rsidR="001D26BC" w:rsidRDefault="001D26BC" w:rsidP="001D26BC">
      <w:pPr>
        <w:jc w:val="both"/>
        <w:rPr>
          <w:sz w:val="28"/>
        </w:rPr>
      </w:pPr>
    </w:p>
    <w:p w:rsidR="001D26BC" w:rsidRPr="00AF1D1C" w:rsidRDefault="001D26BC" w:rsidP="001D26BC">
      <w:pPr>
        <w:jc w:val="both"/>
        <w:rPr>
          <w:b/>
          <w:sz w:val="28"/>
        </w:rPr>
      </w:pPr>
      <w:bookmarkStart w:id="84" w:name="_Toc189922844"/>
      <w:bookmarkStart w:id="85" w:name="_Toc189922903"/>
      <w:bookmarkStart w:id="86" w:name="_Toc189923878"/>
      <w:bookmarkStart w:id="87" w:name="_Toc189992642"/>
      <w:bookmarkStart w:id="88" w:name="_Toc189993576"/>
      <w:bookmarkStart w:id="89" w:name="_Toc200255792"/>
      <w:bookmarkStart w:id="90" w:name="_Toc220327276"/>
      <w:bookmarkStart w:id="91" w:name="_Toc220327341"/>
      <w:bookmarkStart w:id="92" w:name="_Toc220327470"/>
      <w:r w:rsidRPr="008F0648">
        <w:rPr>
          <w:b/>
          <w:sz w:val="28"/>
        </w:rPr>
        <w:t>A variants</w:t>
      </w:r>
      <w:r w:rsidRPr="00AF1D1C">
        <w:rPr>
          <w:b/>
          <w:sz w:val="28"/>
        </w:rPr>
        <w:t xml:space="preserve"> –</w:t>
      </w:r>
      <w:r w:rsidRPr="00AF1D1C">
        <w:rPr>
          <w:sz w:val="28"/>
        </w:rPr>
        <w:t xml:space="preserve"> </w:t>
      </w:r>
      <w:bookmarkEnd w:id="84"/>
      <w:bookmarkEnd w:id="85"/>
      <w:bookmarkEnd w:id="86"/>
      <w:bookmarkEnd w:id="87"/>
      <w:bookmarkEnd w:id="88"/>
      <w:bookmarkEnd w:id="89"/>
      <w:bookmarkEnd w:id="90"/>
      <w:bookmarkEnd w:id="91"/>
      <w:bookmarkEnd w:id="92"/>
      <w:r w:rsidRPr="00AF1D1C">
        <w:rPr>
          <w:sz w:val="28"/>
        </w:rPr>
        <w:t>Bāzes alternatīva – Latvijas izvēlas nekļūt par EKA Eiropas sadarbības valsti (t.i. turpina sadarbību ar EKA pašreiz spēkā esošā „Līguma par sadarbību kosmosa jomā miermīlīgiem mērķiem” ietvaros)</w:t>
      </w:r>
    </w:p>
    <w:p w:rsidR="001D26BC" w:rsidRPr="00AF1D1C" w:rsidRDefault="001D26BC" w:rsidP="001D26BC">
      <w:pPr>
        <w:jc w:val="both"/>
        <w:rPr>
          <w:sz w:val="28"/>
        </w:rPr>
      </w:pPr>
    </w:p>
    <w:p w:rsidR="001D26BC" w:rsidRPr="00AF1D1C" w:rsidRDefault="001D26BC" w:rsidP="001D26BC">
      <w:pPr>
        <w:pStyle w:val="Bulletlists"/>
        <w:numPr>
          <w:ilvl w:val="0"/>
          <w:numId w:val="0"/>
        </w:numPr>
        <w:rPr>
          <w:sz w:val="28"/>
          <w:szCs w:val="28"/>
          <w:highlight w:val="yellow"/>
        </w:rPr>
      </w:pPr>
      <w:r w:rsidRPr="008F0648">
        <w:rPr>
          <w:b/>
          <w:sz w:val="28"/>
          <w:szCs w:val="28"/>
        </w:rPr>
        <w:t>B variants</w:t>
      </w:r>
      <w:r w:rsidRPr="00AF1D1C">
        <w:rPr>
          <w:b/>
          <w:sz w:val="28"/>
          <w:szCs w:val="28"/>
        </w:rPr>
        <w:t xml:space="preserve"> </w:t>
      </w:r>
      <w:r w:rsidRPr="00AF1D1C">
        <w:rPr>
          <w:sz w:val="28"/>
          <w:szCs w:val="28"/>
        </w:rPr>
        <w:t xml:space="preserve">– Sadarbības alternatīva – Latvija 2013.g. uzsāk sadarbību ar EKA kā Eiropas sadarbības valsts. No šīs alternatīvas izriet trīs iespējamie scenāriji. </w:t>
      </w:r>
    </w:p>
    <w:p w:rsidR="001D26BC" w:rsidRPr="00AF1D1C" w:rsidRDefault="001D26BC" w:rsidP="001D26BC">
      <w:pPr>
        <w:ind w:firstLine="720"/>
        <w:jc w:val="both"/>
        <w:rPr>
          <w:sz w:val="28"/>
        </w:rPr>
      </w:pPr>
      <w:r w:rsidRPr="00AF1D1C">
        <w:rPr>
          <w:sz w:val="28"/>
        </w:rPr>
        <w:t xml:space="preserve">Alternatīvas analizētas, izvērtējot Latvijas kosmosa nozares attīstību un tās radītos ieguvumus tautsaimniecībai, kā arī Latvijas izdevumus katrā no gadījumiem. Ņemot vērā gan EKA ekspertu pēc Latvijas audita veikšanas secināto, gan citu valstu pieredzi, ka EKA sadarbības kontraktu ietvaros iegūtajām tehnoloģijām, </w:t>
      </w:r>
      <w:proofErr w:type="spellStart"/>
      <w:r w:rsidRPr="00AF1D1C">
        <w:rPr>
          <w:i/>
          <w:sz w:val="28"/>
        </w:rPr>
        <w:t>know-how</w:t>
      </w:r>
      <w:r w:rsidRPr="00AF1D1C">
        <w:rPr>
          <w:sz w:val="28"/>
        </w:rPr>
        <w:t>,</w:t>
      </w:r>
      <w:proofErr w:type="spellEnd"/>
      <w:r w:rsidRPr="00AF1D1C">
        <w:rPr>
          <w:sz w:val="28"/>
        </w:rPr>
        <w:t xml:space="preserve"> pieredzei un kontaktiem ir pozitīva ietekme uz uzņēmumu un institūtu esošo darbību un pasūtījumu izpildi, kā arī to, ka Latvijas kosmosa nozare tāpat kā pārējā tautsaimniecība ekonomiskās krīzes ietvaros piedzīvoja gan apgrozījuma, gan nodarbinātības samazinājumu un līdz ar to tajā ir brīvi resursi turpmākai izaugsmei, tad analīze veidota uz pieņēmumu, ka Sadarbības alternatīvā kosmosa nozare Latvijā nezaudē neko no tās attīstības, kas notiek Bāzes alternatīvā, un viss apgrozījuma un nodarbinātības pieaugums, kas rodas sadarbības ar EKA rezultātā, vērtējams kā papildus ieguvums.</w:t>
      </w:r>
    </w:p>
    <w:p w:rsidR="001D26BC" w:rsidRPr="00AF1D1C" w:rsidRDefault="001D26BC" w:rsidP="001D26BC">
      <w:pPr>
        <w:jc w:val="both"/>
        <w:rPr>
          <w:sz w:val="28"/>
        </w:rPr>
      </w:pPr>
      <w:r w:rsidRPr="00AF1D1C">
        <w:rPr>
          <w:sz w:val="28"/>
        </w:rPr>
        <w:t>Alternatīvu izvērtēšanai apskatīti 4 scenāriji:</w:t>
      </w:r>
    </w:p>
    <w:p w:rsidR="001D26BC" w:rsidRPr="00AF1D1C" w:rsidRDefault="001D26BC" w:rsidP="001D26BC">
      <w:pPr>
        <w:pStyle w:val="Bulletlists"/>
        <w:rPr>
          <w:sz w:val="28"/>
          <w:szCs w:val="28"/>
        </w:rPr>
      </w:pPr>
      <w:r w:rsidRPr="00AF1D1C">
        <w:rPr>
          <w:sz w:val="28"/>
          <w:szCs w:val="28"/>
        </w:rPr>
        <w:lastRenderedPageBreak/>
        <w:t>Scenārijs 0 – Bāzes alternatīva</w:t>
      </w:r>
    </w:p>
    <w:p w:rsidR="001D26BC" w:rsidRPr="00AF1D1C" w:rsidRDefault="001D26BC" w:rsidP="001D26BC">
      <w:pPr>
        <w:jc w:val="both"/>
        <w:rPr>
          <w:sz w:val="28"/>
        </w:rPr>
      </w:pPr>
      <w:r w:rsidRPr="00AF1D1C">
        <w:rPr>
          <w:sz w:val="28"/>
        </w:rPr>
        <w:t xml:space="preserve">Scenārijā analizēts, kā attīstīties Latvijas kosmosa nozare, ja turpinās </w:t>
      </w:r>
      <w:r w:rsidRPr="00AF1D1C">
        <w:rPr>
          <w:i/>
          <w:sz w:val="28"/>
        </w:rPr>
        <w:t xml:space="preserve">status </w:t>
      </w:r>
      <w:proofErr w:type="spellStart"/>
      <w:r w:rsidRPr="00AF1D1C">
        <w:rPr>
          <w:i/>
          <w:sz w:val="28"/>
        </w:rPr>
        <w:t>quo</w:t>
      </w:r>
      <w:proofErr w:type="spellEnd"/>
      <w:r w:rsidRPr="00AF1D1C">
        <w:rPr>
          <w:sz w:val="28"/>
        </w:rPr>
        <w:t xml:space="preserve"> attiecībā pret EKA un Latvijas nolemj neuzsākt ciešāku sadarbību ar EKA (nekļūst par Eiropas sadarbības valsti).</w:t>
      </w:r>
    </w:p>
    <w:p w:rsidR="001D26BC" w:rsidRPr="00AF1D1C" w:rsidRDefault="001D26BC" w:rsidP="001D26BC">
      <w:pPr>
        <w:pStyle w:val="Bulletlists"/>
        <w:rPr>
          <w:sz w:val="28"/>
          <w:szCs w:val="28"/>
        </w:rPr>
      </w:pPr>
      <w:r w:rsidRPr="00AF1D1C">
        <w:rPr>
          <w:sz w:val="28"/>
          <w:szCs w:val="28"/>
        </w:rPr>
        <w:t>Scenārijs 1 – Latvija kā EKA Eiropas sadarbības valsts d</w:t>
      </w:r>
      <w:r w:rsidR="00BC02DE">
        <w:rPr>
          <w:sz w:val="28"/>
          <w:szCs w:val="28"/>
        </w:rPr>
        <w:t>iviem periodiem no 2013.-2017.gada un 2018.-2022.gada.</w:t>
      </w:r>
    </w:p>
    <w:p w:rsidR="001D26BC" w:rsidRPr="00AF1D1C" w:rsidRDefault="001D26BC" w:rsidP="001D26BC">
      <w:pPr>
        <w:ind w:firstLine="360"/>
        <w:jc w:val="both"/>
        <w:rPr>
          <w:sz w:val="28"/>
        </w:rPr>
      </w:pPr>
      <w:r w:rsidRPr="00AF1D1C">
        <w:rPr>
          <w:sz w:val="28"/>
        </w:rPr>
        <w:t>Šis uzskatāms par „mērenas” sadarbības scenāriju, kurā Latvija pēc pirmās piecgades sadarbības valsts statusā, izvērtējot sasniegto un ieguldīto, pieņem lēmumu, ka Latvijas kosmosa nozare vēl nav gatava un/vai valstij nav izdevīgi uzsākt pilnīgu integrāciju EKA dalībvalsts statusā un tā vietā valsts turpina būt par sadarbības valsti, lai pēc otrās piecgades noslēguma lemtu par tālāko sadarbības veidu ar EKA. Šāda scenārija iespējamība ir visai augsta, ņemot vērā tādu valstu pieredzi, kā Ungārija, Polija, u.c., kuras ilgstoši atrodas EKA sadarbības valsts statusā.</w:t>
      </w:r>
    </w:p>
    <w:p w:rsidR="001D26BC" w:rsidRPr="00AF1D1C" w:rsidRDefault="001D26BC" w:rsidP="001D26BC">
      <w:pPr>
        <w:pStyle w:val="Bulletlists"/>
        <w:rPr>
          <w:sz w:val="28"/>
          <w:szCs w:val="28"/>
        </w:rPr>
      </w:pPr>
      <w:r w:rsidRPr="00AF1D1C">
        <w:rPr>
          <w:sz w:val="28"/>
          <w:szCs w:val="28"/>
        </w:rPr>
        <w:t>Scenārijs 2 – Latvija kā EKA Eiropas sadarbības valsts no 2013.-2017.</w:t>
      </w:r>
      <w:r w:rsidR="00BC02DE" w:rsidRPr="00BC02DE">
        <w:rPr>
          <w:sz w:val="28"/>
          <w:szCs w:val="28"/>
        </w:rPr>
        <w:t xml:space="preserve"> </w:t>
      </w:r>
      <w:r w:rsidR="00BC02DE">
        <w:rPr>
          <w:sz w:val="28"/>
          <w:szCs w:val="28"/>
        </w:rPr>
        <w:t>gada</w:t>
      </w:r>
      <w:r w:rsidR="00BC02DE" w:rsidRPr="00AF1D1C">
        <w:rPr>
          <w:sz w:val="28"/>
          <w:szCs w:val="28"/>
        </w:rPr>
        <w:t xml:space="preserve"> </w:t>
      </w:r>
      <w:r w:rsidRPr="00AF1D1C">
        <w:rPr>
          <w:sz w:val="28"/>
          <w:szCs w:val="28"/>
        </w:rPr>
        <w:t>un kā EKA dalībvalsts no 2018.-2022.</w:t>
      </w:r>
      <w:r w:rsidR="00BC02DE" w:rsidRPr="00BC02DE">
        <w:rPr>
          <w:sz w:val="28"/>
          <w:szCs w:val="28"/>
        </w:rPr>
        <w:t xml:space="preserve"> </w:t>
      </w:r>
      <w:r w:rsidR="00BC02DE">
        <w:rPr>
          <w:sz w:val="28"/>
          <w:szCs w:val="28"/>
        </w:rPr>
        <w:t>gada</w:t>
      </w:r>
    </w:p>
    <w:p w:rsidR="001D26BC" w:rsidRPr="00AF1D1C" w:rsidRDefault="001D26BC" w:rsidP="001D26BC">
      <w:pPr>
        <w:ind w:firstLine="360"/>
        <w:jc w:val="both"/>
        <w:rPr>
          <w:sz w:val="28"/>
        </w:rPr>
      </w:pPr>
      <w:r w:rsidRPr="00AF1D1C">
        <w:rPr>
          <w:sz w:val="28"/>
        </w:rPr>
        <w:t>Šis uzskatāms par „ciešas” sadarbības scenāriju, kurā Latvija pēc pirmās piecgades sadarbības valsts statusā, izvērtējot sasniegto un ieguldīto, pieņem lēmumu, ka ir lietderīgi kļūt pilntiesīgu EKA dalībvalsti, kas no ieguvumu viedokļa dod iespēju Latvijai piedalīties EKA lēmumu pieņemšanas procesā un, piemēram, noteikt kādu tehnoloģiju attīstībā EKA būtu jāiegulda nauda, bet no otras puses prasa palielinātu ikgadējo ieguldījumu EKA budžetā, kā arī nepieciešamību segt vienreizēju iestāšanās maksu. Šāds scenārijs sevi attaisno, ja kosmosa industrija Latvijā pirmajā EKA sadarbības valsts statusa piecgadē strauji progresē un ir pārliecinoši pierādījumi par daudz lielāka EKA finansējuma apgūšanas iespējām periodā no 2018.-2022. gadam.</w:t>
      </w:r>
    </w:p>
    <w:p w:rsidR="001D26BC" w:rsidRPr="00AF1D1C" w:rsidRDefault="001D26BC" w:rsidP="001D26BC">
      <w:pPr>
        <w:pStyle w:val="Bulletlists"/>
        <w:rPr>
          <w:sz w:val="28"/>
          <w:szCs w:val="28"/>
        </w:rPr>
      </w:pPr>
      <w:r w:rsidRPr="00AF1D1C">
        <w:rPr>
          <w:sz w:val="28"/>
          <w:szCs w:val="28"/>
        </w:rPr>
        <w:t>Scenārijs 3 – Latvija kā EKA Eiropas sadarbības valsts no 2013.-2017.g. un atteikšanās būt par sadarbības vai dalībvalsti sākot ar 2018.g.</w:t>
      </w:r>
    </w:p>
    <w:p w:rsidR="001D26BC" w:rsidRPr="00AF1D1C" w:rsidRDefault="001D26BC" w:rsidP="001D26BC">
      <w:pPr>
        <w:ind w:firstLine="360"/>
        <w:jc w:val="both"/>
        <w:rPr>
          <w:sz w:val="28"/>
        </w:rPr>
      </w:pPr>
      <w:r w:rsidRPr="00AF1D1C">
        <w:rPr>
          <w:sz w:val="28"/>
        </w:rPr>
        <w:t>Šis uzskatāms par „vājas” sadarbības scenāriju, kurā Latvija pēc pirmās piecgades sadarbības valsts statusā, izvērtējot sasniegto un ieguldīto, pieņem lēmumu, ka Latvijas kosmosa nozare nespēj pilnvērtīgi izmanto EKA sniegtās iespējas, nav notikuši tās konkurētspējas būtiski uzlabojumi un turpmāk nav lietderīgi ieguldīt Latvijas valsts naudu EKA budžetā.</w:t>
      </w:r>
    </w:p>
    <w:p w:rsidR="001D26BC" w:rsidRDefault="001D26BC" w:rsidP="001D26BC">
      <w:pPr>
        <w:jc w:val="both"/>
        <w:rPr>
          <w:sz w:val="28"/>
        </w:rPr>
      </w:pPr>
    </w:p>
    <w:p w:rsidR="001D26BC" w:rsidRDefault="001D26BC" w:rsidP="001D26BC">
      <w:pPr>
        <w:jc w:val="both"/>
        <w:rPr>
          <w:sz w:val="28"/>
        </w:rPr>
      </w:pPr>
    </w:p>
    <w:p w:rsidR="001D26BC" w:rsidRPr="00AF4E24" w:rsidRDefault="001D26BC" w:rsidP="001D26BC">
      <w:pPr>
        <w:pStyle w:val="Heading1"/>
        <w:pBdr>
          <w:bottom w:val="single" w:sz="12" w:space="1" w:color="000066"/>
        </w:pBdr>
      </w:pPr>
      <w:bookmarkStart w:id="93" w:name="_Toc200255794"/>
      <w:bookmarkStart w:id="94" w:name="_Toc220327278"/>
      <w:bookmarkStart w:id="95" w:name="_Toc220327343"/>
      <w:bookmarkStart w:id="96" w:name="_Toc220327472"/>
      <w:bookmarkStart w:id="97" w:name="_Toc220327632"/>
      <w:bookmarkStart w:id="98" w:name="_Toc220327893"/>
      <w:bookmarkStart w:id="99" w:name="_Toc220328220"/>
      <w:bookmarkStart w:id="100" w:name="_Toc220328347"/>
      <w:bookmarkStart w:id="101" w:name="_Toc303176600"/>
      <w:r>
        <w:lastRenderedPageBreak/>
        <w:t>III Iespējam</w:t>
      </w:r>
      <w:bookmarkEnd w:id="93"/>
      <w:bookmarkEnd w:id="94"/>
      <w:bookmarkEnd w:id="95"/>
      <w:bookmarkEnd w:id="96"/>
      <w:bookmarkEnd w:id="97"/>
      <w:bookmarkEnd w:id="98"/>
      <w:bookmarkEnd w:id="99"/>
      <w:bookmarkEnd w:id="100"/>
      <w:r>
        <w:t>ās alternatīvas</w:t>
      </w:r>
      <w:bookmarkEnd w:id="101"/>
    </w:p>
    <w:p w:rsidR="001D26BC" w:rsidRPr="008F0648" w:rsidRDefault="001D26BC" w:rsidP="001D26BC">
      <w:pPr>
        <w:ind w:firstLine="720"/>
        <w:jc w:val="both"/>
        <w:rPr>
          <w:sz w:val="28"/>
        </w:rPr>
      </w:pPr>
      <w:bookmarkStart w:id="102" w:name="_Toc302987951"/>
      <w:r w:rsidRPr="008F0648">
        <w:rPr>
          <w:sz w:val="28"/>
        </w:rPr>
        <w:t xml:space="preserve">Koncepcijā piedāvāto alternatīvu mērķis ir panākt iespējamo labāko rīcību, lai nodrošinātu kosmosa jomas izaugsmi valstī ņemot vērā, gan iespējamos ieguvumus valsts tautsaimniecībai, gan pašreizējo valsts ekonomisko situāciju, gan ietekmi uz valsts budžetu.  </w:t>
      </w:r>
    </w:p>
    <w:p w:rsidR="001D26BC" w:rsidRPr="008F0648" w:rsidRDefault="001D26BC" w:rsidP="001D26BC">
      <w:pPr>
        <w:pStyle w:val="Heading2"/>
      </w:pPr>
      <w:bookmarkStart w:id="103" w:name="_Toc303176601"/>
      <w:r w:rsidRPr="008F0648">
        <w:t>Finanšu un ekonomiskais modelis</w:t>
      </w:r>
      <w:bookmarkStart w:id="104" w:name="_Toc302987952"/>
      <w:bookmarkEnd w:id="102"/>
      <w:bookmarkEnd w:id="103"/>
    </w:p>
    <w:p w:rsidR="001D26BC" w:rsidRDefault="001D26BC" w:rsidP="001D26BC">
      <w:pPr>
        <w:pStyle w:val="Heading3"/>
      </w:pPr>
      <w:bookmarkStart w:id="105" w:name="_Toc303176602"/>
      <w:r>
        <w:t>Laika periods</w:t>
      </w:r>
      <w:bookmarkEnd w:id="104"/>
      <w:bookmarkEnd w:id="105"/>
    </w:p>
    <w:p w:rsidR="001D26BC" w:rsidRDefault="001D26BC" w:rsidP="001D26BC">
      <w:pPr>
        <w:jc w:val="both"/>
        <w:rPr>
          <w:sz w:val="28"/>
        </w:rPr>
      </w:pPr>
      <w:r w:rsidRPr="0070330C">
        <w:rPr>
          <w:sz w:val="28"/>
        </w:rPr>
        <w:t xml:space="preserve">Analīze veikta 15 gadu laika periodam, kas ļauj sadarbības alternatīvu konstruēt no trim </w:t>
      </w:r>
      <w:r w:rsidR="00D93162">
        <w:rPr>
          <w:sz w:val="28"/>
        </w:rPr>
        <w:t>piecgadēm – pirmās 2013.-2017.gads</w:t>
      </w:r>
      <w:r w:rsidRPr="0070330C">
        <w:rPr>
          <w:sz w:val="28"/>
        </w:rPr>
        <w:t>, kurā Latvija ir sadarbības valsts statusā, otrās 2018.-20</w:t>
      </w:r>
      <w:r w:rsidR="00D93162">
        <w:rPr>
          <w:sz w:val="28"/>
        </w:rPr>
        <w:t>22.gads</w:t>
      </w:r>
      <w:r w:rsidRPr="0070330C">
        <w:rPr>
          <w:sz w:val="28"/>
        </w:rPr>
        <w:t>, kurā Latvija izlemj, kāda veida sadarbību turpi</w:t>
      </w:r>
      <w:r w:rsidR="00D93162">
        <w:rPr>
          <w:sz w:val="28"/>
        </w:rPr>
        <w:t>nāt ar EKA, trešās 2023.-2027.gads</w:t>
      </w:r>
      <w:r w:rsidRPr="0070330C">
        <w:rPr>
          <w:sz w:val="28"/>
        </w:rPr>
        <w:t>, kurā Latvijas kosmosa nozare un tautsaimniecība atkarībā no tā, vai sadarbība ar EKA īst</w:t>
      </w:r>
      <w:r w:rsidR="00D93162">
        <w:rPr>
          <w:sz w:val="28"/>
        </w:rPr>
        <w:t xml:space="preserve">enota arī otrajā piecgadē, gūst vai </w:t>
      </w:r>
      <w:r w:rsidRPr="0070330C">
        <w:rPr>
          <w:sz w:val="28"/>
        </w:rPr>
        <w:t>negūst turpmākus ekonomiskus ieguvums.</w:t>
      </w:r>
    </w:p>
    <w:p w:rsidR="0053632B" w:rsidRDefault="0053632B" w:rsidP="001D26BC">
      <w:pPr>
        <w:jc w:val="both"/>
        <w:rPr>
          <w:sz w:val="28"/>
        </w:rPr>
      </w:pPr>
    </w:p>
    <w:p w:rsidR="0053632B" w:rsidRDefault="0053632B" w:rsidP="001D26BC">
      <w:pPr>
        <w:jc w:val="both"/>
        <w:rPr>
          <w:b/>
          <w:sz w:val="28"/>
        </w:rPr>
      </w:pPr>
      <w:r w:rsidRPr="0053632B">
        <w:rPr>
          <w:b/>
          <w:sz w:val="28"/>
        </w:rPr>
        <w:t xml:space="preserve">Metodoloģija </w:t>
      </w:r>
    </w:p>
    <w:p w:rsidR="0053632B" w:rsidRPr="0053632B" w:rsidRDefault="0053632B" w:rsidP="0053632B">
      <w:pPr>
        <w:autoSpaceDE w:val="0"/>
        <w:autoSpaceDN w:val="0"/>
        <w:adjustRightInd w:val="0"/>
        <w:jc w:val="both"/>
        <w:rPr>
          <w:b/>
          <w:bCs/>
          <w:color w:val="000000"/>
          <w:sz w:val="28"/>
          <w:lang w:eastAsia="lv-LV"/>
        </w:rPr>
      </w:pPr>
      <w:r w:rsidRPr="0053632B">
        <w:rPr>
          <w:color w:val="000000"/>
          <w:sz w:val="28"/>
          <w:lang w:eastAsia="lv-LV"/>
        </w:rPr>
        <w:t xml:space="preserve">Alternatīvas analizētas, izvērtējot Latvijas kosmosa nozares attīstību un tās radītos ieguvumus tautsaimniecībai, kā arī Latvijas izdevumus katrā no gadījumiem. Ņemot vērā gan EKA ekspertu pēc Latvijas audita veikšanas secināto, gan citu valstu pieredzi, ka EKA sadarbības kontraktu ietvaros iegūtajām tehnoloģijām, </w:t>
      </w:r>
      <w:proofErr w:type="spellStart"/>
      <w:r w:rsidRPr="0053632B">
        <w:rPr>
          <w:i/>
          <w:iCs/>
          <w:color w:val="800000"/>
          <w:sz w:val="28"/>
          <w:lang w:eastAsia="lv-LV"/>
        </w:rPr>
        <w:t>know-how</w:t>
      </w:r>
      <w:r w:rsidRPr="0053632B">
        <w:rPr>
          <w:color w:val="000000"/>
          <w:sz w:val="28"/>
          <w:lang w:eastAsia="lv-LV"/>
        </w:rPr>
        <w:t>,</w:t>
      </w:r>
      <w:proofErr w:type="spellEnd"/>
      <w:r w:rsidRPr="0053632B">
        <w:rPr>
          <w:color w:val="000000"/>
          <w:sz w:val="28"/>
          <w:lang w:eastAsia="lv-LV"/>
        </w:rPr>
        <w:t xml:space="preserve"> pieredzei un kontaktiem ir pozitīva ietekme uz uzņēmumu un institūtu esošo darbību un pasūtījumu izpildi, kā arī to, ka Latvijas kosmosa nozare tāpat kā pārējā tautsaimniecība ekonomiskās krīzes ietvaros piedzīvoja gan apgrozījuma, gan nodarbinātības samazinājumu un līdz ar to tajā ir brīvi resursi turpmākai izaugsmei, tad </w:t>
      </w:r>
      <w:r w:rsidRPr="0053632B">
        <w:rPr>
          <w:bCs/>
          <w:color w:val="000000"/>
          <w:sz w:val="28"/>
          <w:lang w:eastAsia="lv-LV"/>
        </w:rPr>
        <w:t xml:space="preserve">analīze veidota uz pieņēmumu, ka Sadarbības alternatīvā kosmosa nozare Latvijā nezaudē neko no tās attīstības, kas notiek Bāzes alternatīvā, un viss apgrozījuma un nodarbinātības pieaugums, kas rodas sadarbības ar EKA rezultātā, vērtējams kā papildus ieguvums. </w:t>
      </w:r>
    </w:p>
    <w:p w:rsidR="0053632B" w:rsidRPr="0053632B" w:rsidRDefault="0053632B" w:rsidP="001D26BC">
      <w:pPr>
        <w:jc w:val="both"/>
        <w:rPr>
          <w:b/>
          <w:sz w:val="28"/>
        </w:rPr>
      </w:pPr>
    </w:p>
    <w:p w:rsidR="001D26BC" w:rsidRPr="008F0648" w:rsidRDefault="001D26BC" w:rsidP="001D26BC">
      <w:pPr>
        <w:pStyle w:val="Heading3"/>
      </w:pPr>
      <w:bookmarkStart w:id="106" w:name="_Toc302987953"/>
      <w:bookmarkStart w:id="107" w:name="_Toc303176603"/>
      <w:r w:rsidRPr="008F0648">
        <w:t>Valūta un cenas</w:t>
      </w:r>
      <w:bookmarkEnd w:id="106"/>
      <w:bookmarkEnd w:id="107"/>
      <w:r w:rsidRPr="008F0648">
        <w:t xml:space="preserve"> </w:t>
      </w:r>
    </w:p>
    <w:p w:rsidR="001D26BC" w:rsidRPr="0070330C" w:rsidRDefault="001D26BC" w:rsidP="001D26BC">
      <w:pPr>
        <w:jc w:val="both"/>
        <w:rPr>
          <w:sz w:val="28"/>
        </w:rPr>
      </w:pPr>
      <w:r w:rsidRPr="0070330C">
        <w:rPr>
          <w:sz w:val="28"/>
        </w:rPr>
        <w:t>Analīze veikta latos 2011.g. salīdzināmajās (t.i. reālajās nevis nominālajās) cenās.</w:t>
      </w:r>
    </w:p>
    <w:p w:rsidR="001D26BC" w:rsidRPr="008F0648" w:rsidRDefault="001D26BC" w:rsidP="001D26BC">
      <w:pPr>
        <w:pStyle w:val="Heading3"/>
      </w:pPr>
      <w:bookmarkStart w:id="108" w:name="_Toc302987954"/>
      <w:bookmarkStart w:id="109" w:name="_Toc303176604"/>
      <w:r w:rsidRPr="008F0648">
        <w:t>Diskonta likme</w:t>
      </w:r>
      <w:bookmarkEnd w:id="108"/>
      <w:bookmarkEnd w:id="109"/>
    </w:p>
    <w:p w:rsidR="001D26BC" w:rsidRPr="0070330C" w:rsidRDefault="001D26BC" w:rsidP="001D26BC">
      <w:pPr>
        <w:rPr>
          <w:sz w:val="28"/>
        </w:rPr>
      </w:pPr>
      <w:r w:rsidRPr="0070330C">
        <w:rPr>
          <w:sz w:val="28"/>
        </w:rPr>
        <w:t xml:space="preserve">5% finanšu diskonta likme, 5.5% </w:t>
      </w:r>
      <w:proofErr w:type="spellStart"/>
      <w:r w:rsidRPr="0070330C">
        <w:rPr>
          <w:sz w:val="28"/>
        </w:rPr>
        <w:t>socio-ekonomiskā</w:t>
      </w:r>
      <w:proofErr w:type="spellEnd"/>
      <w:r w:rsidRPr="0070330C">
        <w:rPr>
          <w:sz w:val="28"/>
        </w:rPr>
        <w:t xml:space="preserve"> diskonta likme.</w:t>
      </w:r>
    </w:p>
    <w:p w:rsidR="001D26BC" w:rsidRPr="008F0648" w:rsidRDefault="001D26BC" w:rsidP="001D26BC">
      <w:pPr>
        <w:pStyle w:val="Heading3"/>
      </w:pPr>
      <w:bookmarkStart w:id="110" w:name="_Toc302987955"/>
      <w:bookmarkStart w:id="111" w:name="_Toc303176605"/>
      <w:r w:rsidRPr="008F0648">
        <w:t>Izdevumi</w:t>
      </w:r>
      <w:bookmarkEnd w:id="110"/>
      <w:bookmarkEnd w:id="111"/>
    </w:p>
    <w:p w:rsidR="001D26BC" w:rsidRPr="0070330C" w:rsidRDefault="001D26BC" w:rsidP="001D26BC">
      <w:pPr>
        <w:rPr>
          <w:sz w:val="28"/>
        </w:rPr>
      </w:pPr>
      <w:r w:rsidRPr="0070330C">
        <w:rPr>
          <w:sz w:val="28"/>
        </w:rPr>
        <w:t>Kā izdevumi Latvijas dalībai EKA tiks aplēsti:</w:t>
      </w:r>
    </w:p>
    <w:p w:rsidR="001D26BC" w:rsidRPr="0070330C" w:rsidRDefault="001D26BC" w:rsidP="001D26BC">
      <w:pPr>
        <w:pStyle w:val="Bulletlists"/>
        <w:rPr>
          <w:sz w:val="28"/>
          <w:szCs w:val="28"/>
        </w:rPr>
      </w:pPr>
      <w:r w:rsidRPr="0070330C">
        <w:rPr>
          <w:sz w:val="28"/>
          <w:szCs w:val="28"/>
        </w:rPr>
        <w:t>Ikgadējās EKA sadarbības un dalības valsts maksas;</w:t>
      </w:r>
    </w:p>
    <w:p w:rsidR="001D26BC" w:rsidRPr="0070330C" w:rsidRDefault="001D26BC" w:rsidP="001D26BC">
      <w:pPr>
        <w:pStyle w:val="Bulletlists"/>
        <w:rPr>
          <w:sz w:val="28"/>
          <w:szCs w:val="28"/>
        </w:rPr>
      </w:pPr>
      <w:r w:rsidRPr="0070330C">
        <w:rPr>
          <w:sz w:val="28"/>
          <w:szCs w:val="28"/>
        </w:rPr>
        <w:lastRenderedPageBreak/>
        <w:t>Vienreizēja iestājmaksa EKA (tikai dalībvalsts gadījumā)</w:t>
      </w:r>
    </w:p>
    <w:p w:rsidR="001D26BC" w:rsidRPr="0070330C" w:rsidRDefault="001D26BC" w:rsidP="001D26BC">
      <w:pPr>
        <w:pStyle w:val="Bulletlists"/>
        <w:rPr>
          <w:sz w:val="28"/>
          <w:szCs w:val="28"/>
        </w:rPr>
      </w:pPr>
      <w:r w:rsidRPr="0070330C">
        <w:rPr>
          <w:sz w:val="28"/>
          <w:szCs w:val="28"/>
        </w:rPr>
        <w:t>Ikgadējas EKA kontaktpunkta izmaksas Latvijā (papildus LR IZM personāls);</w:t>
      </w:r>
    </w:p>
    <w:p w:rsidR="001D26BC" w:rsidRPr="008F0648" w:rsidRDefault="001D26BC" w:rsidP="001D26BC">
      <w:pPr>
        <w:pStyle w:val="Heading3"/>
      </w:pPr>
      <w:bookmarkStart w:id="112" w:name="_Toc302987956"/>
      <w:bookmarkStart w:id="113" w:name="_Toc303176606"/>
      <w:r w:rsidRPr="008F0648">
        <w:t>Finanšu ieņēmumi</w:t>
      </w:r>
      <w:bookmarkEnd w:id="112"/>
      <w:bookmarkEnd w:id="113"/>
    </w:p>
    <w:p w:rsidR="001D26BC" w:rsidRPr="0070330C" w:rsidRDefault="001D26BC" w:rsidP="001D26BC">
      <w:pPr>
        <w:rPr>
          <w:sz w:val="28"/>
        </w:rPr>
      </w:pPr>
      <w:r w:rsidRPr="0070330C">
        <w:rPr>
          <w:sz w:val="28"/>
        </w:rPr>
        <w:t>Latvijas dalībai EKA nav paredzami tieši finansiāli ieņēmumi.</w:t>
      </w:r>
    </w:p>
    <w:p w:rsidR="001D26BC" w:rsidRPr="008F0648" w:rsidRDefault="001D26BC" w:rsidP="001D26BC">
      <w:pPr>
        <w:pStyle w:val="Heading3"/>
      </w:pPr>
      <w:bookmarkStart w:id="114" w:name="_Toc302987957"/>
      <w:bookmarkStart w:id="115" w:name="_Toc303176607"/>
      <w:r w:rsidRPr="008F0648">
        <w:t>Ekonomiskie ieguvumi</w:t>
      </w:r>
      <w:bookmarkEnd w:id="114"/>
      <w:bookmarkEnd w:id="115"/>
    </w:p>
    <w:p w:rsidR="001D26BC" w:rsidRPr="0070330C" w:rsidRDefault="001D26BC" w:rsidP="001D26BC">
      <w:pPr>
        <w:ind w:firstLine="720"/>
        <w:jc w:val="both"/>
        <w:rPr>
          <w:sz w:val="28"/>
        </w:rPr>
      </w:pPr>
      <w:r w:rsidRPr="0070330C">
        <w:rPr>
          <w:sz w:val="28"/>
        </w:rPr>
        <w:t xml:space="preserve">Ņemot vērā to, ka Latvijā līdz šim nav veikti līdzīgi novērtējumi par kosmosa nozari, analīzē izmantota nozarē pieejamā literatūra un citu valstu pieredze, izstrādājot finanšu un ekonomiskās analīzes modeli. Modeļa izstrādē pamats ir diviem pēdējo gadu laikā publicētiem nozares pētījumiem: </w:t>
      </w:r>
    </w:p>
    <w:p w:rsidR="001D26BC" w:rsidRPr="0070330C" w:rsidRDefault="001D26BC" w:rsidP="001D26BC">
      <w:pPr>
        <w:jc w:val="both"/>
        <w:rPr>
          <w:sz w:val="28"/>
        </w:rPr>
      </w:pPr>
      <w:r w:rsidRPr="0070330C">
        <w:rPr>
          <w:sz w:val="28"/>
        </w:rPr>
        <w:t xml:space="preserve">(1) OECD </w:t>
      </w:r>
      <w:proofErr w:type="spellStart"/>
      <w:r w:rsidRPr="0070330C">
        <w:rPr>
          <w:i/>
          <w:sz w:val="28"/>
        </w:rPr>
        <w:t>Space</w:t>
      </w:r>
      <w:proofErr w:type="spellEnd"/>
      <w:r w:rsidRPr="0070330C">
        <w:rPr>
          <w:i/>
          <w:sz w:val="28"/>
        </w:rPr>
        <w:t xml:space="preserve"> </w:t>
      </w:r>
      <w:proofErr w:type="spellStart"/>
      <w:r w:rsidRPr="0070330C">
        <w:rPr>
          <w:i/>
          <w:sz w:val="28"/>
        </w:rPr>
        <w:t>at</w:t>
      </w:r>
      <w:proofErr w:type="spellEnd"/>
      <w:r w:rsidRPr="0070330C">
        <w:rPr>
          <w:i/>
          <w:sz w:val="28"/>
        </w:rPr>
        <w:t xml:space="preserve"> </w:t>
      </w:r>
      <w:proofErr w:type="spellStart"/>
      <w:r w:rsidRPr="0070330C">
        <w:rPr>
          <w:i/>
          <w:sz w:val="28"/>
        </w:rPr>
        <w:t>Glance</w:t>
      </w:r>
      <w:proofErr w:type="spellEnd"/>
      <w:r w:rsidRPr="0070330C">
        <w:rPr>
          <w:i/>
          <w:sz w:val="28"/>
        </w:rPr>
        <w:t xml:space="preserve"> 2011,</w:t>
      </w:r>
      <w:r w:rsidRPr="0070330C">
        <w:rPr>
          <w:sz w:val="28"/>
        </w:rPr>
        <w:t xml:space="preserve"> š.g. jūlija publikācija, kas ir plašākais pieejamais apskats un analīze par starptautisko kosmosa nozari, kurā atspoguļoti arī ekonomisko ieguvumu rezultāti EKA dalībvalstīs;</w:t>
      </w:r>
    </w:p>
    <w:p w:rsidR="001D26BC" w:rsidRPr="0070330C" w:rsidRDefault="001D26BC" w:rsidP="001D26BC">
      <w:pPr>
        <w:jc w:val="both"/>
        <w:rPr>
          <w:sz w:val="28"/>
        </w:rPr>
      </w:pPr>
      <w:r w:rsidRPr="0070330C">
        <w:rPr>
          <w:sz w:val="28"/>
        </w:rPr>
        <w:t xml:space="preserve">(2) </w:t>
      </w:r>
      <w:r w:rsidRPr="0070330C">
        <w:rPr>
          <w:i/>
          <w:sz w:val="28"/>
          <w:lang w:val="en-US"/>
        </w:rPr>
        <w:t>Summative Evaluation of the 2000-2009 Canada/ESA Cooperation Agreement</w:t>
      </w:r>
      <w:r w:rsidRPr="0070330C">
        <w:rPr>
          <w:sz w:val="28"/>
        </w:rPr>
        <w:t xml:space="preserve"> Gala ziņojuma, 2010.g. publikācija. Kanādas gadījums ir interesants un lietderīgs no tā viedokļa, ka Kanāda jau vairāk nekā 30 gadus ir vienīgā ne-Eiropas valsts, kurai ir sadarbības līgums ar EKA. Ņemot vērā tās īpašo statusu EKA un </w:t>
      </w:r>
      <w:proofErr w:type="spellStart"/>
      <w:r w:rsidRPr="0070330C">
        <w:rPr>
          <w:sz w:val="28"/>
        </w:rPr>
        <w:t>attālinātību</w:t>
      </w:r>
      <w:proofErr w:type="spellEnd"/>
      <w:r w:rsidRPr="0070330C">
        <w:rPr>
          <w:sz w:val="28"/>
        </w:rPr>
        <w:t xml:space="preserve"> no Eiropas, Kanādas valdība periodiski pasūta padziļinātus novērtējumus par sadarbības ar EKA lietderību Kanādas nodokļu maksātājiem un ekonomikai.</w:t>
      </w:r>
    </w:p>
    <w:p w:rsidR="001D26BC" w:rsidRPr="0070330C" w:rsidRDefault="001D26BC" w:rsidP="001D26BC">
      <w:pPr>
        <w:ind w:firstLine="720"/>
        <w:jc w:val="both"/>
        <w:rPr>
          <w:sz w:val="28"/>
        </w:rPr>
      </w:pPr>
      <w:r w:rsidRPr="0070330C">
        <w:rPr>
          <w:sz w:val="28"/>
        </w:rPr>
        <w:t xml:space="preserve">Kā galveno kvantificējamo ieguvumu indikatoru OECD izmanto „EKA kontraktu apgrozījuma multiplikatoru” tiem uzņēmumiem un institūtiem, kas piedalās EKA kontraktu izpildēs, t.i. </w:t>
      </w:r>
      <w:r w:rsidRPr="0070330C">
        <w:rPr>
          <w:i/>
          <w:sz w:val="28"/>
        </w:rPr>
        <w:t>attiecību starp papildus apgrozījumu ne-EKA kontraktos</w:t>
      </w:r>
      <w:r w:rsidRPr="0070330C">
        <w:rPr>
          <w:sz w:val="28"/>
        </w:rPr>
        <w:t xml:space="preserve">, ko guvuši konkrētās valsts uzņēmumi un zinātniskās institūcijas dēļ EKA kontraktu izpildes rezultātā iegūtām zināšanām, tehnoloģijām un iestrādnēm, </w:t>
      </w:r>
      <w:r w:rsidRPr="0070330C">
        <w:rPr>
          <w:i/>
          <w:sz w:val="28"/>
        </w:rPr>
        <w:t>pret EKA kontraktu apgrozījumu</w:t>
      </w:r>
      <w:r w:rsidRPr="0070330C">
        <w:rPr>
          <w:sz w:val="28"/>
        </w:rPr>
        <w:t>.</w:t>
      </w:r>
    </w:p>
    <w:p w:rsidR="001D26BC" w:rsidRDefault="001D26BC" w:rsidP="001D26BC">
      <w:pPr>
        <w:ind w:firstLine="360"/>
        <w:jc w:val="both"/>
        <w:rPr>
          <w:sz w:val="28"/>
        </w:rPr>
      </w:pPr>
      <w:r w:rsidRPr="0070330C">
        <w:rPr>
          <w:sz w:val="28"/>
        </w:rPr>
        <w:t>Taču uzņēmumu un institūtu radītais apgrozījums kā no EKA, tā arī papildus EKA kontraktiem ir labs rādītājs, lai apjaustu ietekmi uz nozari un tautsaimniecību, taču pats par sevi nav ieguvums, jo daļa no naudas tiek samaksāta piegādātājiem (preču un pakalpojumu), kas Latvijas kā mazas ekonomikas gadījumā bieži vien nozīmē importu. Tāpēc, kā faktiskie tautsaimniecības ieguvumi tiks aplūkoti 2 kvantificējami rādītāji, kas veido pienesumu valsts IKP:</w:t>
      </w:r>
    </w:p>
    <w:p w:rsidR="001D26BC" w:rsidRPr="0070330C" w:rsidRDefault="001D26BC" w:rsidP="001D26BC">
      <w:pPr>
        <w:ind w:firstLine="360"/>
        <w:jc w:val="both"/>
        <w:rPr>
          <w:sz w:val="28"/>
        </w:rPr>
      </w:pPr>
    </w:p>
    <w:p w:rsidR="001D26BC" w:rsidRPr="00D93162" w:rsidRDefault="001D26BC" w:rsidP="00D93162">
      <w:pPr>
        <w:pStyle w:val="Bulletlists"/>
        <w:rPr>
          <w:i/>
          <w:sz w:val="28"/>
          <w:szCs w:val="28"/>
        </w:rPr>
      </w:pPr>
      <w:r w:rsidRPr="0070330C">
        <w:rPr>
          <w:b/>
          <w:sz w:val="28"/>
          <w:szCs w:val="28"/>
        </w:rPr>
        <w:t>Uzņēmumu un institūtu saražotā pievienotā vērtība (PV)</w:t>
      </w:r>
      <w:r w:rsidRPr="0070330C">
        <w:rPr>
          <w:sz w:val="28"/>
          <w:szCs w:val="28"/>
        </w:rPr>
        <w:t xml:space="preserve"> – tā kā daļa no uzņēmumu papildus apgrozījuma tiek patērēta starppatēriņā, lai saražotu preces un pakalpojumus, tad tikai daļa no </w:t>
      </w:r>
      <w:r w:rsidRPr="0070330C">
        <w:rPr>
          <w:sz w:val="28"/>
          <w:szCs w:val="28"/>
        </w:rPr>
        <w:lastRenderedPageBreak/>
        <w:t>apgrozījuma uzskatāma par jaunradīto PV, kas sniedz ieguldījumu ekonomikā (t.sk. darbaspēka un ienākumu nodokļu veidā).</w:t>
      </w:r>
    </w:p>
    <w:p w:rsidR="001D26BC" w:rsidRPr="0070330C" w:rsidRDefault="001D26BC" w:rsidP="001D26BC">
      <w:pPr>
        <w:pStyle w:val="Bulletlists"/>
        <w:rPr>
          <w:sz w:val="28"/>
          <w:szCs w:val="28"/>
          <w:u w:val="single"/>
        </w:rPr>
      </w:pPr>
      <w:r w:rsidRPr="0070330C">
        <w:rPr>
          <w:b/>
          <w:sz w:val="28"/>
          <w:szCs w:val="28"/>
        </w:rPr>
        <w:t>Papildus darba spēka ienākumu (darba algu) stimuls vietējā ekonomikā</w:t>
      </w:r>
      <w:r w:rsidRPr="0070330C">
        <w:rPr>
          <w:sz w:val="28"/>
          <w:szCs w:val="28"/>
        </w:rPr>
        <w:t xml:space="preserve"> –</w:t>
      </w:r>
      <w:r w:rsidR="00D93162">
        <w:rPr>
          <w:sz w:val="28"/>
          <w:szCs w:val="28"/>
        </w:rPr>
        <w:t xml:space="preserve"> </w:t>
      </w:r>
      <w:r w:rsidRPr="0070330C">
        <w:rPr>
          <w:sz w:val="28"/>
          <w:szCs w:val="28"/>
        </w:rPr>
        <w:t>no papildus ienākumiem, ko EKA sadarbības rezultātā tiešā un netiešā veidā gūs Latvijas uzņēmumi, daļa tiks samaksāta uzņēmuma darbiniekiem, kā darba alga. Savukārt papildus darba algas ieņēmumi nozīmē, ka daļa no šīs naudas atgriezīsies Latvijas iekšzemes patēriņā uz vietējā tirgū saražotām precēm un pakalpojumiem, t.i. patēriņā, no kura jau ir atņemts imports (</w:t>
      </w:r>
      <w:proofErr w:type="spellStart"/>
      <w:r w:rsidRPr="0070330C">
        <w:rPr>
          <w:i/>
          <w:sz w:val="28"/>
          <w:szCs w:val="28"/>
        </w:rPr>
        <w:t>marginal</w:t>
      </w:r>
      <w:proofErr w:type="spellEnd"/>
      <w:r w:rsidRPr="0070330C">
        <w:rPr>
          <w:i/>
          <w:sz w:val="28"/>
          <w:szCs w:val="28"/>
        </w:rPr>
        <w:t xml:space="preserve"> </w:t>
      </w:r>
      <w:proofErr w:type="spellStart"/>
      <w:r w:rsidRPr="0070330C">
        <w:rPr>
          <w:i/>
          <w:sz w:val="28"/>
          <w:szCs w:val="28"/>
        </w:rPr>
        <w:t>propensity</w:t>
      </w:r>
      <w:proofErr w:type="spellEnd"/>
      <w:r w:rsidRPr="0070330C">
        <w:rPr>
          <w:i/>
          <w:sz w:val="28"/>
          <w:szCs w:val="28"/>
        </w:rPr>
        <w:t xml:space="preserve"> to </w:t>
      </w:r>
      <w:proofErr w:type="spellStart"/>
      <w:r w:rsidRPr="0070330C">
        <w:rPr>
          <w:i/>
          <w:sz w:val="28"/>
          <w:szCs w:val="28"/>
        </w:rPr>
        <w:t>consume</w:t>
      </w:r>
      <w:proofErr w:type="spellEnd"/>
      <w:r w:rsidRPr="0070330C">
        <w:rPr>
          <w:i/>
          <w:sz w:val="28"/>
          <w:szCs w:val="28"/>
        </w:rPr>
        <w:t xml:space="preserve"> </w:t>
      </w:r>
      <w:proofErr w:type="spellStart"/>
      <w:r w:rsidRPr="0070330C">
        <w:rPr>
          <w:i/>
          <w:sz w:val="28"/>
          <w:szCs w:val="28"/>
        </w:rPr>
        <w:t>local</w:t>
      </w:r>
      <w:proofErr w:type="spellEnd"/>
      <w:r w:rsidRPr="0070330C">
        <w:rPr>
          <w:i/>
          <w:sz w:val="28"/>
          <w:szCs w:val="28"/>
        </w:rPr>
        <w:t xml:space="preserve"> </w:t>
      </w:r>
      <w:proofErr w:type="spellStart"/>
      <w:r w:rsidRPr="0070330C">
        <w:rPr>
          <w:i/>
          <w:sz w:val="28"/>
          <w:szCs w:val="28"/>
        </w:rPr>
        <w:t>goods</w:t>
      </w:r>
      <w:proofErr w:type="spellEnd"/>
      <w:r w:rsidRPr="0070330C">
        <w:rPr>
          <w:i/>
          <w:sz w:val="28"/>
          <w:szCs w:val="28"/>
        </w:rPr>
        <w:t xml:space="preserve"> </w:t>
      </w:r>
      <w:proofErr w:type="spellStart"/>
      <w:r w:rsidRPr="0070330C">
        <w:rPr>
          <w:i/>
          <w:sz w:val="28"/>
          <w:szCs w:val="28"/>
        </w:rPr>
        <w:t>and</w:t>
      </w:r>
      <w:proofErr w:type="spellEnd"/>
      <w:r w:rsidRPr="0070330C">
        <w:rPr>
          <w:i/>
          <w:sz w:val="28"/>
          <w:szCs w:val="28"/>
        </w:rPr>
        <w:t xml:space="preserve"> </w:t>
      </w:r>
      <w:proofErr w:type="spellStart"/>
      <w:r w:rsidRPr="0070330C">
        <w:rPr>
          <w:i/>
          <w:sz w:val="28"/>
          <w:szCs w:val="28"/>
        </w:rPr>
        <w:t>services</w:t>
      </w:r>
      <w:proofErr w:type="spellEnd"/>
      <w:r w:rsidRPr="0070330C">
        <w:rPr>
          <w:sz w:val="28"/>
          <w:szCs w:val="28"/>
        </w:rPr>
        <w:t>), stimulējot tālāku tautsaimniecības izaugsmi.</w:t>
      </w:r>
    </w:p>
    <w:p w:rsidR="001D26BC" w:rsidRPr="008F0648" w:rsidRDefault="001D26BC" w:rsidP="001D26BC">
      <w:pPr>
        <w:pStyle w:val="Heading3"/>
      </w:pPr>
      <w:bookmarkStart w:id="116" w:name="_Toc302987958"/>
      <w:bookmarkStart w:id="117" w:name="_Toc303176608"/>
      <w:proofErr w:type="spellStart"/>
      <w:r w:rsidRPr="008F0648">
        <w:t>Limitācijas</w:t>
      </w:r>
      <w:proofErr w:type="spellEnd"/>
      <w:r w:rsidRPr="008F0648">
        <w:t xml:space="preserve"> un konservatīva pieeja</w:t>
      </w:r>
      <w:bookmarkEnd w:id="116"/>
      <w:bookmarkEnd w:id="117"/>
    </w:p>
    <w:p w:rsidR="001D26BC" w:rsidRPr="0070330C" w:rsidRDefault="001D26BC" w:rsidP="001D26BC">
      <w:pPr>
        <w:ind w:firstLine="360"/>
        <w:jc w:val="both"/>
        <w:rPr>
          <w:sz w:val="28"/>
        </w:rPr>
      </w:pPr>
      <w:r w:rsidRPr="0070330C">
        <w:rPr>
          <w:sz w:val="28"/>
        </w:rPr>
        <w:t>Analīzē tiek apskatīti iepriekšminēto divu ekonomisko ieguvumu rādītāji tikai kosmosa nozares ietvaros (Bāzes alternatīvas gadījumā) un tikai to uzņēmumu ietvaros kas sadarbojas ar EKA (Sadarbības alternatīvas) ietvaros, aplēšot šo uzņēmumu un institūtu ieguvumus gan no EKA kontraktiem, gan no papildus gūtajiem ieņēmumiem ārpus EKA kontraktiem.</w:t>
      </w:r>
    </w:p>
    <w:p w:rsidR="001D26BC" w:rsidRPr="0070330C" w:rsidRDefault="001D26BC" w:rsidP="001D26BC">
      <w:pPr>
        <w:ind w:firstLine="360"/>
        <w:jc w:val="both"/>
        <w:rPr>
          <w:sz w:val="28"/>
          <w:u w:val="single"/>
        </w:rPr>
      </w:pPr>
      <w:r w:rsidRPr="0070330C">
        <w:rPr>
          <w:sz w:val="28"/>
        </w:rPr>
        <w:t>Taču netiek aplūkota tālāka (</w:t>
      </w:r>
      <w:proofErr w:type="spellStart"/>
      <w:r w:rsidRPr="0070330C">
        <w:rPr>
          <w:i/>
          <w:sz w:val="28"/>
        </w:rPr>
        <w:t>induced</w:t>
      </w:r>
      <w:proofErr w:type="spellEnd"/>
      <w:r w:rsidRPr="0070330C">
        <w:rPr>
          <w:sz w:val="28"/>
        </w:rPr>
        <w:t xml:space="preserve">) ietekme tautsaimniecībā, piemēram, tas, ka EKA un ne-EKA kontraktos daļa no apgrozījuma aiziet vietējiem piegādātājiem, kas arī rada papildus vietējo pievienoto vērtību, un ka sākotnējais darba algu stimuls, kas rada tālāku vietējo patēriņu, nozīmē papildus apgrozījumu un darba algas vēl citiem vietējiem uzņēmumiem vairākās iterācijās. Šī ietekme netiek aplēsta, lai izvairītos no spekulācijām un pārāk attālinātām ieguvumu aplēsēm. Tas nozīmē, ka </w:t>
      </w:r>
      <w:r w:rsidRPr="00D93162">
        <w:rPr>
          <w:b/>
          <w:sz w:val="28"/>
        </w:rPr>
        <w:t>modeļa ieguvumu aplēses faktiski ir konservatīvas un patiesie ieguvumi būtu lielāki</w:t>
      </w:r>
      <w:r w:rsidRPr="0070330C">
        <w:rPr>
          <w:sz w:val="28"/>
        </w:rPr>
        <w:t>.</w:t>
      </w:r>
    </w:p>
    <w:p w:rsidR="001D26BC" w:rsidRPr="0070330C" w:rsidRDefault="001D26BC" w:rsidP="001D26BC">
      <w:pPr>
        <w:ind w:firstLine="360"/>
        <w:jc w:val="both"/>
        <w:rPr>
          <w:sz w:val="28"/>
        </w:rPr>
      </w:pPr>
      <w:r w:rsidRPr="0070330C">
        <w:rPr>
          <w:sz w:val="28"/>
        </w:rPr>
        <w:t>Bez tam, konservatīva pieeja izmantota praktiski visos parametros paredzamo ieguvumu plānošanai. Kā galvenie šīs pieejas piemēri jāmin tādi ekonomiskos ieguvumus veidojoši faktori, kā:</w:t>
      </w:r>
    </w:p>
    <w:p w:rsidR="001D26BC" w:rsidRPr="0070330C" w:rsidRDefault="001D26BC" w:rsidP="001D26BC">
      <w:pPr>
        <w:pStyle w:val="Bulletlists"/>
        <w:rPr>
          <w:sz w:val="28"/>
          <w:szCs w:val="28"/>
        </w:rPr>
      </w:pPr>
      <w:r w:rsidRPr="0070330C">
        <w:rPr>
          <w:sz w:val="28"/>
          <w:szCs w:val="28"/>
        </w:rPr>
        <w:t>EKA kontraktu apgrozījuma multiplikators (t.i. uzņēmumu un institūtu spēja komercializēt sadarbībā ar EKA gūtās zināšanas ārpus EKA kontraktiem). Citu valstu pieredze liecina, ka tas prognozējams 1.9-4.7 reižu robežās. Arī EKA PECS menedžeris</w:t>
      </w:r>
      <w:r w:rsidR="00D93162">
        <w:rPr>
          <w:sz w:val="28"/>
          <w:szCs w:val="28"/>
        </w:rPr>
        <w:t xml:space="preserve"> Bernard </w:t>
      </w:r>
      <w:proofErr w:type="spellStart"/>
      <w:r w:rsidR="00D93162">
        <w:rPr>
          <w:sz w:val="28"/>
          <w:szCs w:val="28"/>
        </w:rPr>
        <w:t>Zufferey</w:t>
      </w:r>
      <w:proofErr w:type="spellEnd"/>
      <w:r w:rsidRPr="0070330C">
        <w:rPr>
          <w:sz w:val="28"/>
          <w:szCs w:val="28"/>
        </w:rPr>
        <w:t xml:space="preserve"> prognozēja, ka tas varētu būt 1.5-2.5 reižu robežās un pirmās piecgades sadarbības laikā pieaugt vismaz līdz 2.0-2.5 reizēm. Savukārt aprēķinos pieņemts, ka, kamēr Latvija ir sadarbības valsts statusā, multiplikators paliek nemainīgs 1.4 reižu apmērā, kas ir aplēsta Beļģijā un ir starp zemākajām EKA </w:t>
      </w:r>
      <w:r w:rsidRPr="0070330C">
        <w:rPr>
          <w:sz w:val="28"/>
          <w:szCs w:val="28"/>
        </w:rPr>
        <w:lastRenderedPageBreak/>
        <w:t>aprēķinātajām. Līdzīga pieeja izmantota prognozējot multiplikatoru Latvijai dalībvalsts statusā.</w:t>
      </w:r>
    </w:p>
    <w:p w:rsidR="001D26BC" w:rsidRPr="0070330C" w:rsidRDefault="001D26BC" w:rsidP="001D26BC">
      <w:pPr>
        <w:pStyle w:val="Bulletlists"/>
        <w:rPr>
          <w:sz w:val="28"/>
          <w:szCs w:val="28"/>
        </w:rPr>
      </w:pPr>
      <w:r w:rsidRPr="0070330C">
        <w:rPr>
          <w:sz w:val="28"/>
          <w:szCs w:val="28"/>
        </w:rPr>
        <w:t>EKA administratīvā ieturējuma procents sadarbības valstij no ikgadējās iemaksas – Igaunijas piemērs liecina, ka tas ir tikai 7% visā piecgadē, bet prognozēs piemērots EKA standarta nosacījums 7% pirmajā gadā un pakāpenisks pieaugums līdz 12 % piektajā, jeb vidēji 10% gadā. Tas nozīmē, ka EKA PECS kontraktos faktiski prognozējamais naudas apjoms ir nevis 88-93% robežās, bet 93% ik gadu.</w:t>
      </w:r>
    </w:p>
    <w:p w:rsidR="001D26BC" w:rsidRPr="0070330C" w:rsidRDefault="001D26BC" w:rsidP="001D26BC">
      <w:pPr>
        <w:pStyle w:val="Bulletlists"/>
        <w:rPr>
          <w:sz w:val="28"/>
          <w:szCs w:val="28"/>
        </w:rPr>
      </w:pPr>
      <w:r w:rsidRPr="0070330C">
        <w:rPr>
          <w:sz w:val="28"/>
          <w:szCs w:val="28"/>
        </w:rPr>
        <w:t>EKA dalībvalsts ģeogrāfiskās atdeves koeficients – EKA mērķa līmenis ir 90%, aprēķinos izmantos 80%.</w:t>
      </w:r>
    </w:p>
    <w:p w:rsidR="001D26BC" w:rsidRPr="006B0509" w:rsidRDefault="001D26BC" w:rsidP="001D26BC">
      <w:pPr>
        <w:pStyle w:val="Heading2"/>
      </w:pPr>
      <w:bookmarkStart w:id="118" w:name="_Toc302987960"/>
      <w:bookmarkStart w:id="119" w:name="_Toc303176609"/>
      <w:r w:rsidRPr="006B0509">
        <w:t xml:space="preserve">Galvenie </w:t>
      </w:r>
      <w:r>
        <w:t>pieņēmumi un ieejas (</w:t>
      </w:r>
      <w:proofErr w:type="spellStart"/>
      <w:r w:rsidRPr="004A6FCB">
        <w:rPr>
          <w:i/>
        </w:rPr>
        <w:t>input</w:t>
      </w:r>
      <w:proofErr w:type="spellEnd"/>
      <w:r>
        <w:t>) parametri</w:t>
      </w:r>
      <w:bookmarkEnd w:id="118"/>
      <w:bookmarkEnd w:id="119"/>
    </w:p>
    <w:p w:rsidR="001D26BC" w:rsidRPr="0070330C" w:rsidRDefault="001D26BC" w:rsidP="001D26BC">
      <w:pPr>
        <w:ind w:firstLine="360"/>
        <w:jc w:val="both"/>
        <w:rPr>
          <w:sz w:val="28"/>
        </w:rPr>
      </w:pPr>
      <w:r w:rsidRPr="0070330C">
        <w:rPr>
          <w:sz w:val="28"/>
        </w:rPr>
        <w:t>Pilns, modelī izmantoto, pieņēmumu un ieejas datu saraksts un paskaidrojums par aprēķinos izmantotajiem principiem un datu avotiem atrodams</w:t>
      </w:r>
      <w:r>
        <w:rPr>
          <w:sz w:val="28"/>
        </w:rPr>
        <w:t xml:space="preserve"> Pielikumā 5</w:t>
      </w:r>
      <w:r w:rsidRPr="0070330C">
        <w:rPr>
          <w:sz w:val="28"/>
        </w:rPr>
        <w:t>. Zemāk sniegts ieskats galvenajos pieņēmumos un to skaitliskajās vērtībās.</w:t>
      </w:r>
    </w:p>
    <w:p w:rsidR="001D26BC" w:rsidRPr="00D1477C" w:rsidRDefault="001D26BC" w:rsidP="001D26BC">
      <w:pPr>
        <w:pStyle w:val="Caption"/>
        <w:jc w:val="both"/>
        <w:rPr>
          <w:i/>
          <w:sz w:val="28"/>
          <w:szCs w:val="28"/>
        </w:rPr>
      </w:pPr>
      <w:r w:rsidRPr="00D1477C">
        <w:rPr>
          <w:i/>
          <w:sz w:val="28"/>
          <w:szCs w:val="28"/>
        </w:rPr>
        <w:t xml:space="preserve">Tabula </w:t>
      </w:r>
      <w:r w:rsidR="00277129" w:rsidRPr="00D1477C">
        <w:rPr>
          <w:i/>
          <w:sz w:val="28"/>
          <w:szCs w:val="28"/>
        </w:rPr>
        <w:fldChar w:fldCharType="begin"/>
      </w:r>
      <w:r w:rsidRPr="00D1477C">
        <w:rPr>
          <w:i/>
          <w:sz w:val="28"/>
          <w:szCs w:val="28"/>
        </w:rPr>
        <w:instrText xml:space="preserve"> SEQ Tabula \* ARABIC </w:instrText>
      </w:r>
      <w:r w:rsidR="00277129" w:rsidRPr="00D1477C">
        <w:rPr>
          <w:i/>
          <w:sz w:val="28"/>
          <w:szCs w:val="28"/>
        </w:rPr>
        <w:fldChar w:fldCharType="separate"/>
      </w:r>
      <w:r w:rsidR="00885249">
        <w:rPr>
          <w:i/>
          <w:noProof/>
          <w:sz w:val="28"/>
          <w:szCs w:val="28"/>
        </w:rPr>
        <w:t>1</w:t>
      </w:r>
      <w:r w:rsidR="00277129" w:rsidRPr="00D1477C">
        <w:rPr>
          <w:i/>
          <w:sz w:val="28"/>
          <w:szCs w:val="28"/>
        </w:rPr>
        <w:fldChar w:fldCharType="end"/>
      </w:r>
      <w:r w:rsidRPr="00D1477C">
        <w:rPr>
          <w:i/>
          <w:sz w:val="28"/>
          <w:szCs w:val="28"/>
        </w:rPr>
        <w:t>, Galvenie parametri, latos sniegtās vērtības norādītas 2011.g. salīdzinošās cenās.</w:t>
      </w:r>
    </w:p>
    <w:tbl>
      <w:tblPr>
        <w:tblW w:w="5276" w:type="pct"/>
        <w:tblLook w:val="04A0"/>
      </w:tblPr>
      <w:tblGrid>
        <w:gridCol w:w="2497"/>
        <w:gridCol w:w="1361"/>
        <w:gridCol w:w="1262"/>
        <w:gridCol w:w="1262"/>
        <w:gridCol w:w="1357"/>
        <w:gridCol w:w="1260"/>
      </w:tblGrid>
      <w:tr w:rsidR="001D26BC" w:rsidRPr="0033020E" w:rsidTr="00A1288B">
        <w:trPr>
          <w:trHeight w:val="315"/>
        </w:trPr>
        <w:tc>
          <w:tcPr>
            <w:tcW w:w="1387" w:type="pct"/>
            <w:tcBorders>
              <w:top w:val="single" w:sz="8" w:space="0" w:color="000000"/>
              <w:left w:val="single" w:sz="8" w:space="0" w:color="000000"/>
              <w:bottom w:val="single" w:sz="8" w:space="0" w:color="000000"/>
              <w:right w:val="single" w:sz="8" w:space="0" w:color="000000"/>
            </w:tcBorders>
            <w:shd w:val="clear" w:color="auto" w:fill="auto"/>
            <w:hideMark/>
          </w:tcPr>
          <w:p w:rsidR="001D26BC" w:rsidRPr="0033020E" w:rsidRDefault="001D26BC" w:rsidP="00A1288B">
            <w:r w:rsidRPr="0033020E">
              <w:t> </w:t>
            </w:r>
          </w:p>
        </w:tc>
        <w:tc>
          <w:tcPr>
            <w:tcW w:w="756" w:type="pct"/>
            <w:tcBorders>
              <w:top w:val="single" w:sz="8" w:space="0" w:color="000000"/>
              <w:left w:val="nil"/>
              <w:bottom w:val="single" w:sz="8" w:space="0" w:color="000000"/>
              <w:right w:val="single" w:sz="8" w:space="0" w:color="000000"/>
            </w:tcBorders>
            <w:shd w:val="clear" w:color="auto" w:fill="auto"/>
            <w:vAlign w:val="center"/>
            <w:hideMark/>
          </w:tcPr>
          <w:p w:rsidR="001D26BC" w:rsidRPr="0033020E" w:rsidRDefault="001D26BC" w:rsidP="00A1288B">
            <w:r w:rsidRPr="0033020E">
              <w:t> </w:t>
            </w:r>
          </w:p>
        </w:tc>
        <w:tc>
          <w:tcPr>
            <w:tcW w:w="701" w:type="pct"/>
            <w:tcBorders>
              <w:top w:val="single" w:sz="8" w:space="0" w:color="000000"/>
              <w:left w:val="nil"/>
              <w:bottom w:val="single" w:sz="8" w:space="0" w:color="000000"/>
              <w:right w:val="single" w:sz="8" w:space="0" w:color="000000"/>
            </w:tcBorders>
            <w:shd w:val="clear" w:color="auto" w:fill="auto"/>
            <w:hideMark/>
          </w:tcPr>
          <w:p w:rsidR="001D26BC" w:rsidRPr="0033020E" w:rsidRDefault="001D26BC" w:rsidP="00A1288B">
            <w:r w:rsidRPr="0033020E">
              <w:t>Scenārijs 0</w:t>
            </w:r>
          </w:p>
        </w:tc>
        <w:tc>
          <w:tcPr>
            <w:tcW w:w="701" w:type="pct"/>
            <w:tcBorders>
              <w:top w:val="single" w:sz="8" w:space="0" w:color="000000"/>
              <w:left w:val="nil"/>
              <w:bottom w:val="single" w:sz="8" w:space="0" w:color="000000"/>
              <w:right w:val="single" w:sz="8" w:space="0" w:color="000000"/>
            </w:tcBorders>
            <w:shd w:val="clear" w:color="auto" w:fill="auto"/>
            <w:hideMark/>
          </w:tcPr>
          <w:p w:rsidR="001D26BC" w:rsidRPr="0033020E" w:rsidRDefault="001D26BC" w:rsidP="00A1288B">
            <w:r w:rsidRPr="0033020E">
              <w:t>Scenārijs 1</w:t>
            </w:r>
          </w:p>
        </w:tc>
        <w:tc>
          <w:tcPr>
            <w:tcW w:w="754" w:type="pct"/>
            <w:tcBorders>
              <w:top w:val="single" w:sz="8" w:space="0" w:color="000000"/>
              <w:left w:val="nil"/>
              <w:bottom w:val="single" w:sz="8" w:space="0" w:color="000000"/>
              <w:right w:val="single" w:sz="8" w:space="0" w:color="000000"/>
            </w:tcBorders>
            <w:shd w:val="clear" w:color="auto" w:fill="auto"/>
            <w:hideMark/>
          </w:tcPr>
          <w:p w:rsidR="001D26BC" w:rsidRPr="0033020E" w:rsidRDefault="001D26BC" w:rsidP="00A1288B">
            <w:r w:rsidRPr="0033020E">
              <w:t>Scenārijs 2</w:t>
            </w:r>
          </w:p>
        </w:tc>
        <w:tc>
          <w:tcPr>
            <w:tcW w:w="700" w:type="pct"/>
            <w:tcBorders>
              <w:top w:val="single" w:sz="8" w:space="0" w:color="000000"/>
              <w:left w:val="nil"/>
              <w:bottom w:val="single" w:sz="8" w:space="0" w:color="000000"/>
              <w:right w:val="single" w:sz="8" w:space="0" w:color="000000"/>
            </w:tcBorders>
            <w:shd w:val="clear" w:color="auto" w:fill="auto"/>
            <w:hideMark/>
          </w:tcPr>
          <w:p w:rsidR="001D26BC" w:rsidRPr="0033020E" w:rsidRDefault="001D26BC" w:rsidP="00A1288B">
            <w:r w:rsidRPr="0033020E">
              <w:t>Scenārijs 3</w:t>
            </w:r>
          </w:p>
        </w:tc>
      </w:tr>
      <w:tr w:rsidR="001D26BC" w:rsidRPr="0033020E" w:rsidTr="00A1288B">
        <w:trPr>
          <w:trHeight w:val="315"/>
        </w:trPr>
        <w:tc>
          <w:tcPr>
            <w:tcW w:w="1387" w:type="pct"/>
            <w:tcBorders>
              <w:top w:val="nil"/>
              <w:left w:val="single" w:sz="8" w:space="0" w:color="000000"/>
              <w:bottom w:val="single" w:sz="8" w:space="0" w:color="000000"/>
              <w:right w:val="single" w:sz="8" w:space="0" w:color="000000"/>
            </w:tcBorders>
            <w:shd w:val="clear" w:color="auto" w:fill="BFBFBF"/>
            <w:hideMark/>
          </w:tcPr>
          <w:p w:rsidR="001D26BC" w:rsidRPr="0033020E" w:rsidRDefault="001D26BC" w:rsidP="00A1288B">
            <w:r w:rsidRPr="0033020E">
              <w:t>Izdevumi</w:t>
            </w:r>
          </w:p>
        </w:tc>
        <w:tc>
          <w:tcPr>
            <w:tcW w:w="756" w:type="pct"/>
            <w:tcBorders>
              <w:top w:val="nil"/>
              <w:left w:val="nil"/>
              <w:bottom w:val="single" w:sz="8" w:space="0" w:color="000000"/>
              <w:right w:val="single" w:sz="8" w:space="0" w:color="000000"/>
            </w:tcBorders>
            <w:shd w:val="clear" w:color="auto" w:fill="BFBFBF"/>
            <w:vAlign w:val="center"/>
            <w:hideMark/>
          </w:tcPr>
          <w:p w:rsidR="001D26BC" w:rsidRPr="0033020E" w:rsidRDefault="001D26BC" w:rsidP="00A1288B">
            <w:proofErr w:type="spellStart"/>
            <w:r w:rsidRPr="0033020E">
              <w:t>mērvien</w:t>
            </w:r>
            <w:proofErr w:type="spellEnd"/>
            <w:r w:rsidRPr="0033020E">
              <w:t>.</w:t>
            </w:r>
          </w:p>
        </w:tc>
        <w:tc>
          <w:tcPr>
            <w:tcW w:w="701" w:type="pct"/>
            <w:tcBorders>
              <w:top w:val="nil"/>
              <w:left w:val="nil"/>
              <w:bottom w:val="single" w:sz="8" w:space="0" w:color="000000"/>
              <w:right w:val="single" w:sz="8" w:space="0" w:color="000000"/>
            </w:tcBorders>
            <w:shd w:val="clear" w:color="auto" w:fill="BFBFBF"/>
            <w:hideMark/>
          </w:tcPr>
          <w:p w:rsidR="001D26BC" w:rsidRPr="0033020E" w:rsidRDefault="001D26BC" w:rsidP="00A1288B">
            <w:r w:rsidRPr="0033020E">
              <w:t> </w:t>
            </w:r>
          </w:p>
        </w:tc>
        <w:tc>
          <w:tcPr>
            <w:tcW w:w="701" w:type="pct"/>
            <w:tcBorders>
              <w:top w:val="nil"/>
              <w:left w:val="nil"/>
              <w:bottom w:val="single" w:sz="8" w:space="0" w:color="000000"/>
              <w:right w:val="single" w:sz="8" w:space="0" w:color="000000"/>
            </w:tcBorders>
            <w:shd w:val="clear" w:color="auto" w:fill="BFBFBF"/>
            <w:hideMark/>
          </w:tcPr>
          <w:p w:rsidR="001D26BC" w:rsidRPr="0033020E" w:rsidRDefault="001D26BC" w:rsidP="00A1288B">
            <w:r w:rsidRPr="0033020E">
              <w:t> </w:t>
            </w:r>
          </w:p>
        </w:tc>
        <w:tc>
          <w:tcPr>
            <w:tcW w:w="754" w:type="pct"/>
            <w:tcBorders>
              <w:top w:val="nil"/>
              <w:left w:val="nil"/>
              <w:bottom w:val="single" w:sz="8" w:space="0" w:color="000000"/>
              <w:right w:val="single" w:sz="8" w:space="0" w:color="000000"/>
            </w:tcBorders>
            <w:shd w:val="clear" w:color="auto" w:fill="BFBFBF"/>
            <w:hideMark/>
          </w:tcPr>
          <w:p w:rsidR="001D26BC" w:rsidRPr="0033020E" w:rsidRDefault="001D26BC" w:rsidP="00A1288B">
            <w:r w:rsidRPr="0033020E">
              <w:t> </w:t>
            </w:r>
          </w:p>
        </w:tc>
        <w:tc>
          <w:tcPr>
            <w:tcW w:w="700" w:type="pct"/>
            <w:tcBorders>
              <w:top w:val="nil"/>
              <w:left w:val="nil"/>
              <w:bottom w:val="single" w:sz="8" w:space="0" w:color="000000"/>
              <w:right w:val="single" w:sz="8" w:space="0" w:color="000000"/>
            </w:tcBorders>
            <w:shd w:val="clear" w:color="auto" w:fill="BFBFBF"/>
            <w:hideMark/>
          </w:tcPr>
          <w:p w:rsidR="001D26BC" w:rsidRPr="0033020E" w:rsidRDefault="001D26BC" w:rsidP="00A1288B">
            <w:r w:rsidRPr="0033020E">
              <w:t> </w:t>
            </w:r>
          </w:p>
        </w:tc>
      </w:tr>
      <w:tr w:rsidR="001D26BC" w:rsidRPr="00EE490F" w:rsidTr="00A1288B">
        <w:trPr>
          <w:trHeight w:val="473"/>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 xml:space="preserve">EKA sadarbības valsts maksa </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LVL/gadā</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870 068</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870 068</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870 068</w:t>
            </w:r>
          </w:p>
        </w:tc>
      </w:tr>
      <w:tr w:rsidR="001D26BC" w:rsidRPr="00EE490F" w:rsidTr="00A1288B">
        <w:trPr>
          <w:trHeight w:val="615"/>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EKA dalības valsts maksa, % no IKP</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 no IKP gadā</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0.03%</w:t>
            </w:r>
          </w:p>
          <w:p w:rsidR="001D26BC" w:rsidRPr="00EE490F" w:rsidRDefault="001D26BC" w:rsidP="00A1288B">
            <w:r w:rsidRPr="00EE490F">
              <w:t>(aptuveni 5 milj. LVL)</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r>
      <w:tr w:rsidR="001D26BC" w:rsidRPr="00EE490F" w:rsidTr="00A1288B">
        <w:trPr>
          <w:trHeight w:val="534"/>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Vienreizējā dalības valsts iestāšanās maksa EKA</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 xml:space="preserve"> LVL </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1 757 010</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r>
      <w:tr w:rsidR="001D26BC" w:rsidRPr="00EE490F" w:rsidTr="00A1288B">
        <w:trPr>
          <w:trHeight w:val="694"/>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EKA kontaktpunkta izmaksas Latvijā sadarbības valstij</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LVL/gadā</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12 000</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12 000</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12 000</w:t>
            </w:r>
          </w:p>
        </w:tc>
      </w:tr>
      <w:tr w:rsidR="001D26BC" w:rsidRPr="00EE490F" w:rsidTr="00A1288B">
        <w:trPr>
          <w:trHeight w:val="778"/>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EKA kontaktpunkta izmaksas Latvijā dalībvalstij</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LVL/gadā</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18 000</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r>
      <w:tr w:rsidR="001D26BC" w:rsidRPr="0033020E" w:rsidTr="00A1288B">
        <w:trPr>
          <w:trHeight w:val="315"/>
        </w:trPr>
        <w:tc>
          <w:tcPr>
            <w:tcW w:w="1387" w:type="pct"/>
            <w:tcBorders>
              <w:top w:val="nil"/>
              <w:left w:val="single" w:sz="8" w:space="0" w:color="000000"/>
              <w:bottom w:val="single" w:sz="8" w:space="0" w:color="000000"/>
              <w:right w:val="single" w:sz="8" w:space="0" w:color="000000"/>
            </w:tcBorders>
            <w:shd w:val="clear" w:color="auto" w:fill="BFBFBF"/>
            <w:hideMark/>
          </w:tcPr>
          <w:p w:rsidR="001D26BC" w:rsidRPr="0033020E" w:rsidRDefault="001D26BC" w:rsidP="00A1288B">
            <w:r w:rsidRPr="0033020E">
              <w:t>Ieguvumi</w:t>
            </w:r>
          </w:p>
        </w:tc>
        <w:tc>
          <w:tcPr>
            <w:tcW w:w="756" w:type="pct"/>
            <w:tcBorders>
              <w:top w:val="nil"/>
              <w:left w:val="nil"/>
              <w:bottom w:val="single" w:sz="8" w:space="0" w:color="000000"/>
              <w:right w:val="single" w:sz="8" w:space="0" w:color="000000"/>
            </w:tcBorders>
            <w:shd w:val="clear" w:color="auto" w:fill="BFBFBF"/>
            <w:vAlign w:val="center"/>
            <w:hideMark/>
          </w:tcPr>
          <w:p w:rsidR="001D26BC" w:rsidRPr="0033020E" w:rsidRDefault="001D26BC" w:rsidP="00A1288B">
            <w:r w:rsidRPr="0033020E">
              <w:t> </w:t>
            </w:r>
          </w:p>
        </w:tc>
        <w:tc>
          <w:tcPr>
            <w:tcW w:w="701" w:type="pct"/>
            <w:tcBorders>
              <w:top w:val="nil"/>
              <w:left w:val="nil"/>
              <w:bottom w:val="single" w:sz="8" w:space="0" w:color="000000"/>
              <w:right w:val="single" w:sz="8" w:space="0" w:color="000000"/>
            </w:tcBorders>
            <w:shd w:val="clear" w:color="auto" w:fill="BFBFBF"/>
            <w:hideMark/>
          </w:tcPr>
          <w:p w:rsidR="001D26BC" w:rsidRPr="0033020E" w:rsidRDefault="001D26BC" w:rsidP="00A1288B">
            <w:r w:rsidRPr="0033020E">
              <w:t> </w:t>
            </w:r>
          </w:p>
        </w:tc>
        <w:tc>
          <w:tcPr>
            <w:tcW w:w="701" w:type="pct"/>
            <w:tcBorders>
              <w:top w:val="nil"/>
              <w:left w:val="nil"/>
              <w:bottom w:val="single" w:sz="8" w:space="0" w:color="000000"/>
              <w:right w:val="single" w:sz="8" w:space="0" w:color="000000"/>
            </w:tcBorders>
            <w:shd w:val="clear" w:color="auto" w:fill="BFBFBF"/>
            <w:hideMark/>
          </w:tcPr>
          <w:p w:rsidR="001D26BC" w:rsidRPr="0033020E" w:rsidRDefault="001D26BC" w:rsidP="00A1288B">
            <w:r w:rsidRPr="0033020E">
              <w:t> </w:t>
            </w:r>
          </w:p>
        </w:tc>
        <w:tc>
          <w:tcPr>
            <w:tcW w:w="754" w:type="pct"/>
            <w:tcBorders>
              <w:top w:val="nil"/>
              <w:left w:val="nil"/>
              <w:bottom w:val="single" w:sz="8" w:space="0" w:color="000000"/>
              <w:right w:val="single" w:sz="8" w:space="0" w:color="000000"/>
            </w:tcBorders>
            <w:shd w:val="clear" w:color="auto" w:fill="BFBFBF"/>
            <w:hideMark/>
          </w:tcPr>
          <w:p w:rsidR="001D26BC" w:rsidRPr="0033020E" w:rsidRDefault="001D26BC" w:rsidP="00A1288B">
            <w:r w:rsidRPr="0033020E">
              <w:t> </w:t>
            </w:r>
          </w:p>
        </w:tc>
        <w:tc>
          <w:tcPr>
            <w:tcW w:w="700" w:type="pct"/>
            <w:tcBorders>
              <w:top w:val="nil"/>
              <w:left w:val="nil"/>
              <w:bottom w:val="single" w:sz="8" w:space="0" w:color="000000"/>
              <w:right w:val="single" w:sz="8" w:space="0" w:color="000000"/>
            </w:tcBorders>
            <w:shd w:val="clear" w:color="auto" w:fill="BFBFBF"/>
            <w:hideMark/>
          </w:tcPr>
          <w:p w:rsidR="001D26BC" w:rsidRPr="0033020E" w:rsidRDefault="001D26BC" w:rsidP="00A1288B">
            <w:r w:rsidRPr="0033020E">
              <w:t> </w:t>
            </w:r>
          </w:p>
        </w:tc>
      </w:tr>
      <w:tr w:rsidR="001D26BC" w:rsidRPr="00EE490F" w:rsidTr="00A1288B">
        <w:trPr>
          <w:trHeight w:val="615"/>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PV īpatsvars nozarē un ne-EKA kontraktos</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 xml:space="preserve">% no </w:t>
            </w:r>
            <w:proofErr w:type="spellStart"/>
            <w:r w:rsidRPr="00EE490F">
              <w:t>apgroz</w:t>
            </w:r>
            <w:proofErr w:type="spellEnd"/>
            <w:r w:rsidRPr="00EE490F">
              <w:t>.</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41%</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41%</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41%</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41%</w:t>
            </w:r>
          </w:p>
        </w:tc>
      </w:tr>
      <w:tr w:rsidR="001D26BC" w:rsidRPr="00EE490F" w:rsidTr="00A1288B">
        <w:trPr>
          <w:trHeight w:val="615"/>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 xml:space="preserve">PV īpatsvars EKA kontraktos </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 xml:space="preserve">% no </w:t>
            </w:r>
            <w:proofErr w:type="spellStart"/>
            <w:r w:rsidRPr="00EE490F">
              <w:t>apgroz</w:t>
            </w:r>
            <w:proofErr w:type="spellEnd"/>
            <w:r w:rsidRPr="00EE490F">
              <w:t>.</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50%</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50%</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50%</w:t>
            </w:r>
          </w:p>
        </w:tc>
      </w:tr>
      <w:tr w:rsidR="001D26BC" w:rsidRPr="00EE490F" w:rsidTr="00A1288B">
        <w:trPr>
          <w:trHeight w:val="631"/>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lastRenderedPageBreak/>
              <w:t xml:space="preserve">Darba algu stimuls uz vietējo ekonomiku </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 no papi. ienāk.</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31%</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31%</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31%</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31%</w:t>
            </w:r>
          </w:p>
        </w:tc>
      </w:tr>
      <w:tr w:rsidR="001D26BC" w:rsidRPr="00EE490F" w:rsidTr="00A1288B">
        <w:trPr>
          <w:trHeight w:val="698"/>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EKA apgrozījuma multiplikators sadarbības valstij</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Reizes</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1.4</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1.4</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1.4</w:t>
            </w:r>
          </w:p>
        </w:tc>
      </w:tr>
      <w:tr w:rsidR="001D26BC" w:rsidRPr="00EE490F" w:rsidTr="00A1288B">
        <w:trPr>
          <w:trHeight w:val="766"/>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EKA apgrozījuma multiplikators dalības valstij</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Reizes</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1.9</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r>
      <w:tr w:rsidR="001D26BC" w:rsidRPr="00EE490F" w:rsidTr="00A1288B">
        <w:trPr>
          <w:trHeight w:val="822"/>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EKA kontraktu % no sadarbības valsts maksas (1.gadā)</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%/gadā</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93%</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93%</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93%</w:t>
            </w:r>
          </w:p>
        </w:tc>
      </w:tr>
      <w:tr w:rsidR="001D26BC" w:rsidRPr="00EE490F" w:rsidTr="00A1288B">
        <w:trPr>
          <w:trHeight w:val="692"/>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EKA kontraktu % no sadarbības valsts maksas (5.gadā)</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%/gadā</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88%</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88%</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88%</w:t>
            </w:r>
          </w:p>
        </w:tc>
      </w:tr>
      <w:tr w:rsidR="001D26BC" w:rsidRPr="00EE490F" w:rsidTr="00A1288B">
        <w:trPr>
          <w:trHeight w:val="746"/>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EKA kontraktu % no sadarbības valsts maksas (6.-10.gadā)</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 gadā</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90%</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r>
      <w:tr w:rsidR="001D26BC" w:rsidRPr="00EE490F" w:rsidTr="00A1288B">
        <w:trPr>
          <w:trHeight w:val="689"/>
        </w:trPr>
        <w:tc>
          <w:tcPr>
            <w:tcW w:w="1387" w:type="pct"/>
            <w:tcBorders>
              <w:top w:val="nil"/>
              <w:left w:val="single" w:sz="8" w:space="0" w:color="000000"/>
              <w:bottom w:val="single" w:sz="8" w:space="0" w:color="000000"/>
              <w:right w:val="single" w:sz="8" w:space="0" w:color="000000"/>
            </w:tcBorders>
            <w:shd w:val="clear" w:color="auto" w:fill="auto"/>
            <w:hideMark/>
          </w:tcPr>
          <w:p w:rsidR="001D26BC" w:rsidRPr="00EE490F" w:rsidRDefault="001D26BC" w:rsidP="00A1288B">
            <w:r w:rsidRPr="00EE490F">
              <w:t>EKA kontraktu % no dalībvalsts maksas (6.-10.gadā)</w:t>
            </w:r>
          </w:p>
        </w:tc>
        <w:tc>
          <w:tcPr>
            <w:tcW w:w="756"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 gadā</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01"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c>
          <w:tcPr>
            <w:tcW w:w="754"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80%</w:t>
            </w:r>
          </w:p>
        </w:tc>
        <w:tc>
          <w:tcPr>
            <w:tcW w:w="700" w:type="pct"/>
            <w:tcBorders>
              <w:top w:val="nil"/>
              <w:left w:val="nil"/>
              <w:bottom w:val="single" w:sz="8" w:space="0" w:color="000000"/>
              <w:right w:val="single" w:sz="8" w:space="0" w:color="000000"/>
            </w:tcBorders>
            <w:shd w:val="clear" w:color="auto" w:fill="auto"/>
            <w:vAlign w:val="center"/>
            <w:hideMark/>
          </w:tcPr>
          <w:p w:rsidR="001D26BC" w:rsidRPr="00EE490F" w:rsidRDefault="001D26BC" w:rsidP="00A1288B">
            <w:r w:rsidRPr="00EE490F">
              <w:t>n/a</w:t>
            </w:r>
          </w:p>
        </w:tc>
      </w:tr>
    </w:tbl>
    <w:p w:rsidR="001D26BC" w:rsidRPr="00AF4E24" w:rsidRDefault="001D26BC" w:rsidP="001D26BC">
      <w:pPr>
        <w:jc w:val="both"/>
        <w:rPr>
          <w:sz w:val="28"/>
        </w:rPr>
      </w:pPr>
    </w:p>
    <w:p w:rsidR="001D26BC" w:rsidRPr="00AF4E24" w:rsidRDefault="00277129" w:rsidP="001D26BC">
      <w:r w:rsidRPr="00277129">
        <w:rPr>
          <w:bCs/>
          <w:noProof/>
          <w:sz w:val="28"/>
        </w:rPr>
        <w:pict>
          <v:shape id="_x0000_s1027" type="#_x0000_t202" style="position:absolute;margin-left:-12pt;margin-top:11.9pt;width:462pt;height:71.85pt;z-index:251661312" fillcolor="silver" strokecolor="#333">
            <v:textbox style="mso-next-textbox:#_x0000_s1027">
              <w:txbxContent>
                <w:p w:rsidR="00821038" w:rsidRPr="00DF2A99" w:rsidRDefault="00821038" w:rsidP="001D26BC">
                  <w:pPr>
                    <w:jc w:val="center"/>
                    <w:rPr>
                      <w:b/>
                      <w:sz w:val="28"/>
                    </w:rPr>
                  </w:pPr>
                  <w:r w:rsidRPr="00DF2A99">
                    <w:rPr>
                      <w:b/>
                      <w:sz w:val="28"/>
                    </w:rPr>
                    <w:t>A variants</w:t>
                  </w:r>
                </w:p>
                <w:p w:rsidR="00821038" w:rsidRPr="004A6FCB" w:rsidRDefault="00821038" w:rsidP="001D26BC">
                  <w:pPr>
                    <w:pStyle w:val="Bulletlists"/>
                    <w:numPr>
                      <w:ilvl w:val="0"/>
                      <w:numId w:val="0"/>
                    </w:numPr>
                    <w:ind w:left="720"/>
                  </w:pPr>
                  <w:r>
                    <w:t>Bāzes alternatīva – Latvija</w:t>
                  </w:r>
                  <w:r w:rsidRPr="004A6FCB">
                    <w:t xml:space="preserve"> izvēlas nekļūt par EKA Eiropas sadarbības valsti (t.i. turpina sadarbību ar EKA pašreiz spēkā esošā „Līguma par sadarbību kosmosa jomā miermīlīgiem mērķiem” ietvaros)</w:t>
                  </w:r>
                </w:p>
                <w:p w:rsidR="00821038" w:rsidRPr="00DF2A99" w:rsidRDefault="00821038" w:rsidP="001D26BC">
                  <w:pPr>
                    <w:jc w:val="center"/>
                    <w:rPr>
                      <w:b/>
                      <w:sz w:val="28"/>
                    </w:rPr>
                  </w:pPr>
                </w:p>
              </w:txbxContent>
            </v:textbox>
          </v:shape>
        </w:pict>
      </w:r>
    </w:p>
    <w:p w:rsidR="001D26BC" w:rsidRPr="00AF4E24" w:rsidRDefault="001D26BC" w:rsidP="001D26BC">
      <w:pPr>
        <w:ind w:firstLine="720"/>
        <w:jc w:val="both"/>
        <w:rPr>
          <w:bCs/>
          <w:sz w:val="28"/>
        </w:rPr>
      </w:pPr>
    </w:p>
    <w:p w:rsidR="001D26BC" w:rsidRPr="00AF4E24" w:rsidRDefault="001D26BC" w:rsidP="001D26BC">
      <w:pPr>
        <w:ind w:firstLine="720"/>
        <w:jc w:val="both"/>
        <w:rPr>
          <w:bCs/>
          <w:sz w:val="28"/>
        </w:rPr>
      </w:pPr>
    </w:p>
    <w:p w:rsidR="001D26BC" w:rsidRPr="00AF4E24" w:rsidRDefault="001D26BC" w:rsidP="001D26BC">
      <w:pPr>
        <w:jc w:val="both"/>
        <w:rPr>
          <w:bCs/>
          <w:sz w:val="28"/>
        </w:rPr>
      </w:pPr>
    </w:p>
    <w:p w:rsidR="001D26BC" w:rsidRDefault="001D26BC" w:rsidP="001D26BC">
      <w:pPr>
        <w:jc w:val="both"/>
        <w:rPr>
          <w:sz w:val="28"/>
        </w:rPr>
      </w:pPr>
    </w:p>
    <w:p w:rsidR="001D26BC" w:rsidRPr="00F06912" w:rsidRDefault="001D26BC" w:rsidP="001D26BC">
      <w:pPr>
        <w:jc w:val="both"/>
        <w:rPr>
          <w:sz w:val="28"/>
        </w:rPr>
      </w:pPr>
    </w:p>
    <w:p w:rsidR="001D26BC" w:rsidRPr="0045431B" w:rsidRDefault="001D26BC" w:rsidP="001D26BC">
      <w:pPr>
        <w:pStyle w:val="Heading2"/>
      </w:pPr>
      <w:bookmarkStart w:id="120" w:name="_Toc302987961"/>
      <w:bookmarkStart w:id="121" w:name="_Toc303176610"/>
      <w:r w:rsidRPr="0045431B">
        <w:t>Ekonomiskā analīze</w:t>
      </w:r>
      <w:bookmarkEnd w:id="120"/>
      <w:bookmarkEnd w:id="121"/>
    </w:p>
    <w:p w:rsidR="001D26BC" w:rsidRPr="0070330C" w:rsidRDefault="001D26BC" w:rsidP="001D26BC">
      <w:pPr>
        <w:ind w:firstLine="360"/>
        <w:jc w:val="both"/>
        <w:rPr>
          <w:sz w:val="28"/>
        </w:rPr>
      </w:pPr>
      <w:r w:rsidRPr="0070330C">
        <w:rPr>
          <w:sz w:val="28"/>
        </w:rPr>
        <w:t xml:space="preserve">Pilnas ekonomiskās analīzes aprēķinu tabulas ar datu vērtībām pa </w:t>
      </w:r>
      <w:r>
        <w:rPr>
          <w:sz w:val="28"/>
        </w:rPr>
        <w:t>gadiem 2013.-2027.g. skatīt</w:t>
      </w:r>
      <w:r w:rsidRPr="0070330C">
        <w:rPr>
          <w:sz w:val="28"/>
        </w:rPr>
        <w:t xml:space="preserve"> </w:t>
      </w:r>
      <w:r>
        <w:rPr>
          <w:sz w:val="28"/>
        </w:rPr>
        <w:t>Pielikumā Nr. 6</w:t>
      </w:r>
      <w:r w:rsidR="00D1477C">
        <w:rPr>
          <w:sz w:val="28"/>
        </w:rPr>
        <w:t xml:space="preserve">. </w:t>
      </w:r>
    </w:p>
    <w:p w:rsidR="001D26BC" w:rsidRDefault="001D26BC" w:rsidP="001D26BC">
      <w:pPr>
        <w:pStyle w:val="Heading3"/>
      </w:pPr>
      <w:bookmarkStart w:id="122" w:name="_Toc302987962"/>
    </w:p>
    <w:p w:rsidR="001D26BC" w:rsidRPr="0056175E" w:rsidRDefault="001D26BC" w:rsidP="001D26BC">
      <w:pPr>
        <w:pStyle w:val="Heading3"/>
      </w:pPr>
      <w:bookmarkStart w:id="123" w:name="_Toc303176611"/>
      <w:r>
        <w:t xml:space="preserve">A variants - </w:t>
      </w:r>
      <w:r w:rsidRPr="0056175E">
        <w:t xml:space="preserve">Bāzes </w:t>
      </w:r>
      <w:r>
        <w:t>alternatīva</w:t>
      </w:r>
      <w:bookmarkEnd w:id="122"/>
      <w:bookmarkEnd w:id="123"/>
    </w:p>
    <w:p w:rsidR="001D26BC" w:rsidRPr="0070330C" w:rsidRDefault="001D26BC" w:rsidP="001D26BC">
      <w:pPr>
        <w:ind w:firstLine="360"/>
        <w:jc w:val="both"/>
        <w:rPr>
          <w:sz w:val="28"/>
        </w:rPr>
      </w:pPr>
      <w:r w:rsidRPr="0070330C">
        <w:rPr>
          <w:sz w:val="28"/>
        </w:rPr>
        <w:t xml:space="preserve">Tiks pieņemts, ka bez dalības EKA Latvijas kosmosa nozares apgrozījumā nebūs gaidāmas būtiskas izmaiņas un tas turpmākajos gados korelēsies ar tautsaimniecības kopējiem attīstības tempiem, augot par trim procentu punktiem virs vidējā tautsaimniecības attīstības tempa, kas saistāms ar kosmosa nozares orientāciju uz eksportu un perspektīvām tehnoloģijām. Uzskatāms, ka Latvija turpina dalību </w:t>
      </w:r>
      <w:r>
        <w:rPr>
          <w:sz w:val="28"/>
        </w:rPr>
        <w:t xml:space="preserve">Septītās un astotās </w:t>
      </w:r>
      <w:proofErr w:type="spellStart"/>
      <w:r w:rsidR="00D1477C">
        <w:rPr>
          <w:sz w:val="28"/>
        </w:rPr>
        <w:t>Ietvar</w:t>
      </w:r>
      <w:r w:rsidRPr="0070330C">
        <w:rPr>
          <w:sz w:val="28"/>
        </w:rPr>
        <w:t>programmās</w:t>
      </w:r>
      <w:proofErr w:type="spellEnd"/>
      <w:r w:rsidRPr="0070330C">
        <w:rPr>
          <w:sz w:val="28"/>
        </w:rPr>
        <w:t>. Par pamatu bāzes scenārija aprēķiniem tiks izmantoti dati, ka kosm</w:t>
      </w:r>
      <w:r>
        <w:rPr>
          <w:sz w:val="28"/>
        </w:rPr>
        <w:t xml:space="preserve">osa nozares apgrozījums 2013.gadā </w:t>
      </w:r>
      <w:r w:rsidRPr="0070330C">
        <w:rPr>
          <w:sz w:val="28"/>
        </w:rPr>
        <w:t>tiek prognozēts ap 1.97 milj. latu (2011.g. salīdzināmās cenās) un nodarbināto skaits ap 85 cilvēkiem.</w:t>
      </w:r>
    </w:p>
    <w:p w:rsidR="001D26BC" w:rsidRPr="0070330C" w:rsidRDefault="001D26BC" w:rsidP="00D1477C">
      <w:pPr>
        <w:ind w:firstLine="360"/>
        <w:jc w:val="both"/>
        <w:rPr>
          <w:sz w:val="28"/>
        </w:rPr>
      </w:pPr>
      <w:r w:rsidRPr="0070330C">
        <w:rPr>
          <w:sz w:val="28"/>
        </w:rPr>
        <w:lastRenderedPageBreak/>
        <w:t>No izdevumu viedokļa bāzes scenārijā nav paredzami izdevumi valsts budžetam saistībā ar sadarbības vai dalības valsts statusu EKA.</w:t>
      </w:r>
    </w:p>
    <w:p w:rsidR="001D26BC" w:rsidRDefault="001D26BC" w:rsidP="001D26BC">
      <w:pPr>
        <w:jc w:val="both"/>
        <w:rPr>
          <w:sz w:val="28"/>
        </w:rPr>
      </w:pPr>
      <w:r w:rsidRPr="0070330C">
        <w:rPr>
          <w:sz w:val="28"/>
        </w:rPr>
        <w:t>Tabula zemāk sniedz ieskatus galvenajos Bāzes alternatīvas ekonomiskās analīzes rezultātos:</w:t>
      </w:r>
    </w:p>
    <w:p w:rsidR="001D26BC" w:rsidRPr="0070330C" w:rsidRDefault="001D26BC" w:rsidP="001D26BC">
      <w:pPr>
        <w:jc w:val="both"/>
        <w:rPr>
          <w:sz w:val="28"/>
        </w:rPr>
      </w:pPr>
    </w:p>
    <w:p w:rsidR="001D26BC" w:rsidRPr="00222F4E" w:rsidRDefault="001D26BC" w:rsidP="001D26BC">
      <w:pPr>
        <w:pStyle w:val="Caption"/>
        <w:jc w:val="both"/>
      </w:pPr>
      <w:r w:rsidRPr="00222F4E">
        <w:t xml:space="preserve">Tabula </w:t>
      </w:r>
      <w:fldSimple w:instr=" SEQ Tabula \* ARABIC ">
        <w:r w:rsidR="00885249">
          <w:rPr>
            <w:noProof/>
          </w:rPr>
          <w:t>2</w:t>
        </w:r>
      </w:fldSimple>
      <w:r w:rsidRPr="00222F4E">
        <w:t>, Bāzes alternatīvas ietekme uz nozari un ekonomiku.</w:t>
      </w:r>
    </w:p>
    <w:tbl>
      <w:tblPr>
        <w:tblW w:w="8667" w:type="dxa"/>
        <w:tblInd w:w="91" w:type="dxa"/>
        <w:tblLook w:val="04A0"/>
      </w:tblPr>
      <w:tblGrid>
        <w:gridCol w:w="4483"/>
        <w:gridCol w:w="1197"/>
        <w:gridCol w:w="756"/>
        <w:gridCol w:w="756"/>
        <w:gridCol w:w="1529"/>
      </w:tblGrid>
      <w:tr w:rsidR="001D26BC" w:rsidRPr="00783F30" w:rsidTr="00A1288B">
        <w:trPr>
          <w:trHeight w:val="330"/>
        </w:trPr>
        <w:tc>
          <w:tcPr>
            <w:tcW w:w="44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 </w:t>
            </w:r>
          </w:p>
        </w:tc>
        <w:tc>
          <w:tcPr>
            <w:tcW w:w="1151" w:type="dxa"/>
            <w:tcBorders>
              <w:top w:val="single" w:sz="8" w:space="0" w:color="auto"/>
              <w:left w:val="nil"/>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 </w:t>
            </w:r>
          </w:p>
        </w:tc>
        <w:tc>
          <w:tcPr>
            <w:tcW w:w="752" w:type="dxa"/>
            <w:tcBorders>
              <w:top w:val="single" w:sz="8" w:space="0" w:color="auto"/>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 2013</w:t>
            </w:r>
          </w:p>
        </w:tc>
        <w:tc>
          <w:tcPr>
            <w:tcW w:w="752" w:type="dxa"/>
            <w:tcBorders>
              <w:top w:val="single" w:sz="8" w:space="0" w:color="auto"/>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 2027</w:t>
            </w:r>
          </w:p>
        </w:tc>
        <w:tc>
          <w:tcPr>
            <w:tcW w:w="1529" w:type="dxa"/>
            <w:tcBorders>
              <w:top w:val="single" w:sz="8" w:space="0" w:color="auto"/>
              <w:left w:val="nil"/>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 Vidēji gadā</w:t>
            </w:r>
          </w:p>
        </w:tc>
      </w:tr>
      <w:tr w:rsidR="001D26BC" w:rsidRPr="00783F30" w:rsidTr="00A1288B">
        <w:trPr>
          <w:trHeight w:val="330"/>
        </w:trPr>
        <w:tc>
          <w:tcPr>
            <w:tcW w:w="5634" w:type="dxa"/>
            <w:gridSpan w:val="2"/>
            <w:tcBorders>
              <w:top w:val="single" w:sz="8" w:space="0" w:color="auto"/>
              <w:left w:val="single" w:sz="8" w:space="0" w:color="auto"/>
              <w:bottom w:val="single" w:sz="8" w:space="0" w:color="auto"/>
              <w:right w:val="single" w:sz="8" w:space="0" w:color="000000"/>
            </w:tcBorders>
            <w:shd w:val="clear" w:color="000000" w:fill="D8D8D8"/>
            <w:noWrap/>
            <w:vAlign w:val="bottom"/>
            <w:hideMark/>
          </w:tcPr>
          <w:p w:rsidR="001D26BC" w:rsidRPr="00783F30" w:rsidRDefault="001D26BC" w:rsidP="00A1288B">
            <w:pPr>
              <w:rPr>
                <w:b/>
              </w:rPr>
            </w:pPr>
            <w:r w:rsidRPr="00783F30">
              <w:rPr>
                <w:b/>
              </w:rPr>
              <w:t>IETEKME UZ KOSMOSA NOZARI:</w:t>
            </w:r>
          </w:p>
        </w:tc>
        <w:tc>
          <w:tcPr>
            <w:tcW w:w="752" w:type="dxa"/>
            <w:tcBorders>
              <w:top w:val="nil"/>
              <w:left w:val="nil"/>
              <w:bottom w:val="single" w:sz="8" w:space="0" w:color="auto"/>
              <w:right w:val="single" w:sz="8" w:space="0" w:color="auto"/>
            </w:tcBorders>
            <w:shd w:val="clear" w:color="000000" w:fill="D8D8D8"/>
            <w:noWrap/>
            <w:vAlign w:val="bottom"/>
            <w:hideMark/>
          </w:tcPr>
          <w:p w:rsidR="001D26BC" w:rsidRPr="00783F30" w:rsidRDefault="001D26BC" w:rsidP="00A1288B">
            <w:pPr>
              <w:rPr>
                <w:b/>
              </w:rPr>
            </w:pPr>
            <w:r w:rsidRPr="00783F30">
              <w:rPr>
                <w:b/>
              </w:rPr>
              <w:t> </w:t>
            </w:r>
          </w:p>
        </w:tc>
        <w:tc>
          <w:tcPr>
            <w:tcW w:w="752" w:type="dxa"/>
            <w:tcBorders>
              <w:top w:val="nil"/>
              <w:left w:val="nil"/>
              <w:bottom w:val="single" w:sz="8" w:space="0" w:color="auto"/>
              <w:right w:val="single" w:sz="8" w:space="0" w:color="auto"/>
            </w:tcBorders>
            <w:shd w:val="clear" w:color="000000" w:fill="D8D8D8"/>
            <w:vAlign w:val="bottom"/>
            <w:hideMark/>
          </w:tcPr>
          <w:p w:rsidR="001D26BC" w:rsidRPr="00783F30" w:rsidRDefault="001D26BC" w:rsidP="00A1288B">
            <w:pPr>
              <w:rPr>
                <w:b/>
              </w:rPr>
            </w:pPr>
            <w:r w:rsidRPr="00783F30">
              <w:rPr>
                <w:b/>
              </w:rPr>
              <w:t> </w:t>
            </w:r>
          </w:p>
        </w:tc>
        <w:tc>
          <w:tcPr>
            <w:tcW w:w="1529" w:type="dxa"/>
            <w:tcBorders>
              <w:top w:val="nil"/>
              <w:left w:val="nil"/>
              <w:bottom w:val="single" w:sz="8" w:space="0" w:color="auto"/>
              <w:right w:val="single" w:sz="8" w:space="0" w:color="auto"/>
            </w:tcBorders>
            <w:shd w:val="clear" w:color="000000" w:fill="D8D8D8"/>
            <w:vAlign w:val="bottom"/>
            <w:hideMark/>
          </w:tcPr>
          <w:p w:rsidR="001D26BC" w:rsidRPr="00783F30" w:rsidRDefault="001D26BC" w:rsidP="00A1288B">
            <w:pPr>
              <w:rPr>
                <w:b/>
              </w:rPr>
            </w:pPr>
            <w:r w:rsidRPr="00783F30">
              <w:rPr>
                <w:b/>
              </w:rPr>
              <w:t> </w:t>
            </w:r>
          </w:p>
        </w:tc>
      </w:tr>
      <w:tr w:rsidR="001D26BC" w:rsidRPr="00783F30" w:rsidTr="00A1288B">
        <w:trPr>
          <w:trHeight w:val="330"/>
        </w:trPr>
        <w:tc>
          <w:tcPr>
            <w:tcW w:w="4483" w:type="dxa"/>
            <w:tcBorders>
              <w:top w:val="nil"/>
              <w:left w:val="single" w:sz="8" w:space="0" w:color="auto"/>
              <w:bottom w:val="single" w:sz="8" w:space="0" w:color="auto"/>
              <w:right w:val="single" w:sz="8" w:space="0" w:color="auto"/>
            </w:tcBorders>
            <w:shd w:val="clear" w:color="auto" w:fill="auto"/>
            <w:noWrap/>
            <w:vAlign w:val="bottom"/>
            <w:hideMark/>
          </w:tcPr>
          <w:p w:rsidR="001D26BC" w:rsidRPr="00783F30" w:rsidRDefault="001D26BC" w:rsidP="00A1288B">
            <w:pPr>
              <w:rPr>
                <w:b/>
              </w:rPr>
            </w:pPr>
            <w:r>
              <w:rPr>
                <w:b/>
              </w:rPr>
              <w:t>Apgrozījums kosmosa nozarē</w:t>
            </w:r>
          </w:p>
        </w:tc>
        <w:tc>
          <w:tcPr>
            <w:tcW w:w="1151" w:type="dxa"/>
            <w:tcBorders>
              <w:top w:val="nil"/>
              <w:left w:val="nil"/>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milj. LVL</w:t>
            </w:r>
          </w:p>
        </w:tc>
        <w:tc>
          <w:tcPr>
            <w:tcW w:w="752" w:type="dxa"/>
            <w:tcBorders>
              <w:top w:val="nil"/>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1.97</w:t>
            </w:r>
          </w:p>
        </w:tc>
        <w:tc>
          <w:tcPr>
            <w:tcW w:w="752" w:type="dxa"/>
            <w:tcBorders>
              <w:top w:val="nil"/>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3.90</w:t>
            </w:r>
          </w:p>
        </w:tc>
        <w:tc>
          <w:tcPr>
            <w:tcW w:w="1529" w:type="dxa"/>
            <w:tcBorders>
              <w:top w:val="nil"/>
              <w:left w:val="nil"/>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2.82</w:t>
            </w:r>
          </w:p>
        </w:tc>
      </w:tr>
      <w:tr w:rsidR="001D26BC" w:rsidRPr="00783F30" w:rsidTr="00A1288B">
        <w:trPr>
          <w:trHeight w:val="330"/>
        </w:trPr>
        <w:tc>
          <w:tcPr>
            <w:tcW w:w="4483" w:type="dxa"/>
            <w:tcBorders>
              <w:top w:val="nil"/>
              <w:left w:val="single" w:sz="8" w:space="0" w:color="auto"/>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Ikgadējais apgrozījuma pieaugums</w:t>
            </w:r>
          </w:p>
        </w:tc>
        <w:tc>
          <w:tcPr>
            <w:tcW w:w="1151" w:type="dxa"/>
            <w:tcBorders>
              <w:top w:val="nil"/>
              <w:left w:val="nil"/>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w:t>
            </w:r>
          </w:p>
        </w:tc>
        <w:tc>
          <w:tcPr>
            <w:tcW w:w="752" w:type="dxa"/>
            <w:tcBorders>
              <w:top w:val="nil"/>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4.0%</w:t>
            </w:r>
          </w:p>
        </w:tc>
        <w:tc>
          <w:tcPr>
            <w:tcW w:w="752" w:type="dxa"/>
            <w:tcBorders>
              <w:top w:val="nil"/>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5.1%</w:t>
            </w:r>
          </w:p>
        </w:tc>
        <w:tc>
          <w:tcPr>
            <w:tcW w:w="1529" w:type="dxa"/>
            <w:tcBorders>
              <w:top w:val="nil"/>
              <w:left w:val="nil"/>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5.0%</w:t>
            </w:r>
          </w:p>
        </w:tc>
      </w:tr>
      <w:tr w:rsidR="001D26BC" w:rsidRPr="00783F30" w:rsidTr="00A1288B">
        <w:trPr>
          <w:trHeight w:val="330"/>
        </w:trPr>
        <w:tc>
          <w:tcPr>
            <w:tcW w:w="4483" w:type="dxa"/>
            <w:tcBorders>
              <w:top w:val="nil"/>
              <w:left w:val="single" w:sz="8" w:space="0" w:color="auto"/>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Darba vietas (pilna laika ekvivalents)</w:t>
            </w:r>
          </w:p>
        </w:tc>
        <w:tc>
          <w:tcPr>
            <w:tcW w:w="1151" w:type="dxa"/>
            <w:tcBorders>
              <w:top w:val="nil"/>
              <w:left w:val="nil"/>
              <w:bottom w:val="single" w:sz="8" w:space="0" w:color="auto"/>
              <w:right w:val="single" w:sz="8" w:space="0" w:color="auto"/>
            </w:tcBorders>
            <w:shd w:val="clear" w:color="auto" w:fill="auto"/>
            <w:noWrap/>
            <w:vAlign w:val="bottom"/>
            <w:hideMark/>
          </w:tcPr>
          <w:p w:rsidR="001D26BC" w:rsidRPr="00783F30" w:rsidRDefault="001D26BC" w:rsidP="00A1288B">
            <w:pPr>
              <w:rPr>
                <w:b/>
              </w:rPr>
            </w:pPr>
            <w:proofErr w:type="spellStart"/>
            <w:r w:rsidRPr="00783F30">
              <w:rPr>
                <w:b/>
              </w:rPr>
              <w:t>cilv</w:t>
            </w:r>
            <w:proofErr w:type="spellEnd"/>
            <w:r w:rsidRPr="00783F30">
              <w:rPr>
                <w:b/>
              </w:rPr>
              <w:t>./gadā</w:t>
            </w:r>
          </w:p>
        </w:tc>
        <w:tc>
          <w:tcPr>
            <w:tcW w:w="752" w:type="dxa"/>
            <w:tcBorders>
              <w:top w:val="nil"/>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85</w:t>
            </w:r>
          </w:p>
        </w:tc>
        <w:tc>
          <w:tcPr>
            <w:tcW w:w="752" w:type="dxa"/>
            <w:tcBorders>
              <w:top w:val="nil"/>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132</w:t>
            </w:r>
          </w:p>
        </w:tc>
        <w:tc>
          <w:tcPr>
            <w:tcW w:w="1529" w:type="dxa"/>
            <w:tcBorders>
              <w:top w:val="nil"/>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107</w:t>
            </w:r>
          </w:p>
        </w:tc>
      </w:tr>
      <w:tr w:rsidR="001D26BC" w:rsidRPr="00783F30" w:rsidTr="00A1288B">
        <w:trPr>
          <w:trHeight w:val="330"/>
        </w:trPr>
        <w:tc>
          <w:tcPr>
            <w:tcW w:w="4483" w:type="dxa"/>
            <w:tcBorders>
              <w:top w:val="nil"/>
              <w:left w:val="single" w:sz="8" w:space="0" w:color="auto"/>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 </w:t>
            </w:r>
          </w:p>
        </w:tc>
        <w:tc>
          <w:tcPr>
            <w:tcW w:w="1151" w:type="dxa"/>
            <w:tcBorders>
              <w:top w:val="nil"/>
              <w:left w:val="nil"/>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 </w:t>
            </w:r>
          </w:p>
        </w:tc>
        <w:tc>
          <w:tcPr>
            <w:tcW w:w="752" w:type="dxa"/>
            <w:tcBorders>
              <w:top w:val="nil"/>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 </w:t>
            </w:r>
          </w:p>
        </w:tc>
        <w:tc>
          <w:tcPr>
            <w:tcW w:w="752" w:type="dxa"/>
            <w:tcBorders>
              <w:top w:val="nil"/>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 </w:t>
            </w:r>
          </w:p>
        </w:tc>
        <w:tc>
          <w:tcPr>
            <w:tcW w:w="1529" w:type="dxa"/>
            <w:tcBorders>
              <w:top w:val="nil"/>
              <w:left w:val="nil"/>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 </w:t>
            </w:r>
          </w:p>
        </w:tc>
      </w:tr>
      <w:tr w:rsidR="001D26BC" w:rsidRPr="00783F30" w:rsidTr="00A1288B">
        <w:trPr>
          <w:trHeight w:val="330"/>
        </w:trPr>
        <w:tc>
          <w:tcPr>
            <w:tcW w:w="5634" w:type="dxa"/>
            <w:gridSpan w:val="2"/>
            <w:tcBorders>
              <w:top w:val="single" w:sz="8" w:space="0" w:color="auto"/>
              <w:left w:val="single" w:sz="8" w:space="0" w:color="auto"/>
              <w:bottom w:val="single" w:sz="8" w:space="0" w:color="auto"/>
              <w:right w:val="single" w:sz="8" w:space="0" w:color="000000"/>
            </w:tcBorders>
            <w:shd w:val="clear" w:color="000000" w:fill="D8D8D8"/>
            <w:noWrap/>
            <w:vAlign w:val="bottom"/>
            <w:hideMark/>
          </w:tcPr>
          <w:p w:rsidR="001D26BC" w:rsidRPr="00783F30" w:rsidRDefault="001D26BC" w:rsidP="00A1288B">
            <w:pPr>
              <w:rPr>
                <w:b/>
              </w:rPr>
            </w:pPr>
            <w:r w:rsidRPr="00783F30">
              <w:rPr>
                <w:b/>
              </w:rPr>
              <w:t>IETEKME uz IKP:</w:t>
            </w:r>
          </w:p>
        </w:tc>
        <w:tc>
          <w:tcPr>
            <w:tcW w:w="752" w:type="dxa"/>
            <w:tcBorders>
              <w:top w:val="nil"/>
              <w:left w:val="nil"/>
              <w:bottom w:val="single" w:sz="8" w:space="0" w:color="auto"/>
              <w:right w:val="single" w:sz="8" w:space="0" w:color="auto"/>
            </w:tcBorders>
            <w:shd w:val="clear" w:color="000000" w:fill="D8D8D8"/>
            <w:noWrap/>
            <w:vAlign w:val="bottom"/>
            <w:hideMark/>
          </w:tcPr>
          <w:p w:rsidR="001D26BC" w:rsidRPr="00783F30" w:rsidRDefault="001D26BC" w:rsidP="00A1288B">
            <w:pPr>
              <w:rPr>
                <w:b/>
              </w:rPr>
            </w:pPr>
            <w:r w:rsidRPr="00783F30">
              <w:rPr>
                <w:b/>
              </w:rPr>
              <w:t> </w:t>
            </w:r>
          </w:p>
        </w:tc>
        <w:tc>
          <w:tcPr>
            <w:tcW w:w="752" w:type="dxa"/>
            <w:tcBorders>
              <w:top w:val="nil"/>
              <w:left w:val="nil"/>
              <w:bottom w:val="single" w:sz="8" w:space="0" w:color="auto"/>
              <w:right w:val="single" w:sz="8" w:space="0" w:color="auto"/>
            </w:tcBorders>
            <w:shd w:val="clear" w:color="000000" w:fill="D8D8D8"/>
            <w:vAlign w:val="bottom"/>
            <w:hideMark/>
          </w:tcPr>
          <w:p w:rsidR="001D26BC" w:rsidRPr="00783F30" w:rsidRDefault="001D26BC" w:rsidP="00A1288B">
            <w:pPr>
              <w:rPr>
                <w:b/>
              </w:rPr>
            </w:pPr>
            <w:r w:rsidRPr="00783F30">
              <w:rPr>
                <w:b/>
              </w:rPr>
              <w:t> </w:t>
            </w:r>
          </w:p>
        </w:tc>
        <w:tc>
          <w:tcPr>
            <w:tcW w:w="1529" w:type="dxa"/>
            <w:tcBorders>
              <w:top w:val="nil"/>
              <w:left w:val="nil"/>
              <w:bottom w:val="single" w:sz="8" w:space="0" w:color="auto"/>
              <w:right w:val="single" w:sz="8" w:space="0" w:color="auto"/>
            </w:tcBorders>
            <w:shd w:val="clear" w:color="000000" w:fill="D8D8D8"/>
            <w:vAlign w:val="bottom"/>
            <w:hideMark/>
          </w:tcPr>
          <w:p w:rsidR="001D26BC" w:rsidRPr="00783F30" w:rsidRDefault="001D26BC" w:rsidP="00A1288B">
            <w:pPr>
              <w:rPr>
                <w:b/>
              </w:rPr>
            </w:pPr>
            <w:r w:rsidRPr="00783F30">
              <w:rPr>
                <w:b/>
              </w:rPr>
              <w:t> </w:t>
            </w:r>
          </w:p>
        </w:tc>
      </w:tr>
      <w:tr w:rsidR="001D26BC" w:rsidRPr="00783F30" w:rsidTr="00A1288B">
        <w:trPr>
          <w:trHeight w:val="330"/>
        </w:trPr>
        <w:tc>
          <w:tcPr>
            <w:tcW w:w="4483" w:type="dxa"/>
            <w:tcBorders>
              <w:top w:val="nil"/>
              <w:left w:val="single" w:sz="8" w:space="0" w:color="auto"/>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KOPĀ:</w:t>
            </w:r>
          </w:p>
        </w:tc>
        <w:tc>
          <w:tcPr>
            <w:tcW w:w="1151" w:type="dxa"/>
            <w:tcBorders>
              <w:top w:val="nil"/>
              <w:left w:val="nil"/>
              <w:bottom w:val="single" w:sz="8" w:space="0" w:color="auto"/>
              <w:right w:val="single" w:sz="8" w:space="0" w:color="auto"/>
            </w:tcBorders>
            <w:shd w:val="clear" w:color="auto" w:fill="auto"/>
            <w:noWrap/>
            <w:vAlign w:val="bottom"/>
            <w:hideMark/>
          </w:tcPr>
          <w:p w:rsidR="001D26BC" w:rsidRPr="00783F30" w:rsidRDefault="001D26BC" w:rsidP="00A1288B">
            <w:pPr>
              <w:rPr>
                <w:b/>
              </w:rPr>
            </w:pPr>
            <w:r w:rsidRPr="00783F30">
              <w:rPr>
                <w:b/>
              </w:rPr>
              <w:t>milj. LVL</w:t>
            </w:r>
          </w:p>
        </w:tc>
        <w:tc>
          <w:tcPr>
            <w:tcW w:w="752" w:type="dxa"/>
            <w:tcBorders>
              <w:top w:val="nil"/>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0.98</w:t>
            </w:r>
          </w:p>
        </w:tc>
        <w:tc>
          <w:tcPr>
            <w:tcW w:w="752" w:type="dxa"/>
            <w:tcBorders>
              <w:top w:val="nil"/>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1.95</w:t>
            </w:r>
          </w:p>
        </w:tc>
        <w:tc>
          <w:tcPr>
            <w:tcW w:w="1529" w:type="dxa"/>
            <w:tcBorders>
              <w:top w:val="nil"/>
              <w:left w:val="nil"/>
              <w:bottom w:val="single" w:sz="8" w:space="0" w:color="auto"/>
              <w:right w:val="single" w:sz="8" w:space="0" w:color="auto"/>
            </w:tcBorders>
            <w:shd w:val="clear" w:color="auto" w:fill="auto"/>
            <w:vAlign w:val="bottom"/>
            <w:hideMark/>
          </w:tcPr>
          <w:p w:rsidR="001D26BC" w:rsidRPr="00783F30" w:rsidRDefault="001D26BC" w:rsidP="00A1288B">
            <w:pPr>
              <w:rPr>
                <w:b/>
              </w:rPr>
            </w:pPr>
            <w:r w:rsidRPr="00783F30">
              <w:rPr>
                <w:b/>
              </w:rPr>
              <w:t>1.41</w:t>
            </w:r>
          </w:p>
        </w:tc>
      </w:tr>
      <w:tr w:rsidR="001D26BC" w:rsidRPr="00EA0899" w:rsidTr="00A1288B">
        <w:trPr>
          <w:trHeight w:val="330"/>
        </w:trPr>
        <w:tc>
          <w:tcPr>
            <w:tcW w:w="4483" w:type="dxa"/>
            <w:tcBorders>
              <w:top w:val="nil"/>
              <w:left w:val="single" w:sz="8" w:space="0" w:color="auto"/>
              <w:bottom w:val="single" w:sz="8" w:space="0" w:color="auto"/>
              <w:right w:val="single" w:sz="8" w:space="0" w:color="auto"/>
            </w:tcBorders>
            <w:shd w:val="clear" w:color="auto" w:fill="auto"/>
            <w:noWrap/>
            <w:vAlign w:val="bottom"/>
            <w:hideMark/>
          </w:tcPr>
          <w:p w:rsidR="001D26BC" w:rsidRPr="00EA0899" w:rsidRDefault="001D26BC" w:rsidP="00A1288B">
            <w:r w:rsidRPr="00EA0899">
              <w:t>Papildus P</w:t>
            </w:r>
            <w:r>
              <w:t>ievienotā Vērtība kosmosa nozarē</w:t>
            </w:r>
          </w:p>
        </w:tc>
        <w:tc>
          <w:tcPr>
            <w:tcW w:w="1151" w:type="dxa"/>
            <w:tcBorders>
              <w:top w:val="nil"/>
              <w:left w:val="nil"/>
              <w:bottom w:val="single" w:sz="8" w:space="0" w:color="auto"/>
              <w:right w:val="single" w:sz="8" w:space="0" w:color="auto"/>
            </w:tcBorders>
            <w:shd w:val="clear" w:color="auto" w:fill="auto"/>
            <w:noWrap/>
            <w:vAlign w:val="bottom"/>
            <w:hideMark/>
          </w:tcPr>
          <w:p w:rsidR="001D26BC" w:rsidRPr="00EA0899" w:rsidRDefault="001D26BC" w:rsidP="00A1288B">
            <w:r w:rsidRPr="00EA0899">
              <w:t>milj. LVL</w:t>
            </w:r>
          </w:p>
        </w:tc>
        <w:tc>
          <w:tcPr>
            <w:tcW w:w="752" w:type="dxa"/>
            <w:tcBorders>
              <w:top w:val="nil"/>
              <w:left w:val="nil"/>
              <w:bottom w:val="single" w:sz="8" w:space="0" w:color="auto"/>
              <w:right w:val="single" w:sz="8" w:space="0" w:color="auto"/>
            </w:tcBorders>
            <w:shd w:val="clear" w:color="auto" w:fill="auto"/>
            <w:vAlign w:val="bottom"/>
            <w:hideMark/>
          </w:tcPr>
          <w:p w:rsidR="001D26BC" w:rsidRPr="00EA0899" w:rsidRDefault="001D26BC" w:rsidP="00A1288B">
            <w:r w:rsidRPr="00EA0899">
              <w:t>0.80</w:t>
            </w:r>
          </w:p>
        </w:tc>
        <w:tc>
          <w:tcPr>
            <w:tcW w:w="752" w:type="dxa"/>
            <w:tcBorders>
              <w:top w:val="nil"/>
              <w:left w:val="nil"/>
              <w:bottom w:val="single" w:sz="8" w:space="0" w:color="auto"/>
              <w:right w:val="single" w:sz="8" w:space="0" w:color="auto"/>
            </w:tcBorders>
            <w:shd w:val="clear" w:color="auto" w:fill="auto"/>
            <w:vAlign w:val="bottom"/>
            <w:hideMark/>
          </w:tcPr>
          <w:p w:rsidR="001D26BC" w:rsidRPr="00EA0899" w:rsidRDefault="001D26BC" w:rsidP="00A1288B">
            <w:r w:rsidRPr="00EA0899">
              <w:t>1.59</w:t>
            </w:r>
          </w:p>
        </w:tc>
        <w:tc>
          <w:tcPr>
            <w:tcW w:w="1529" w:type="dxa"/>
            <w:tcBorders>
              <w:top w:val="nil"/>
              <w:left w:val="nil"/>
              <w:bottom w:val="single" w:sz="8" w:space="0" w:color="auto"/>
              <w:right w:val="single" w:sz="8" w:space="0" w:color="auto"/>
            </w:tcBorders>
            <w:shd w:val="clear" w:color="auto" w:fill="auto"/>
            <w:vAlign w:val="bottom"/>
            <w:hideMark/>
          </w:tcPr>
          <w:p w:rsidR="001D26BC" w:rsidRPr="00EA0899" w:rsidRDefault="001D26BC" w:rsidP="00A1288B">
            <w:r w:rsidRPr="00EA0899">
              <w:t>1.15</w:t>
            </w:r>
          </w:p>
        </w:tc>
      </w:tr>
      <w:tr w:rsidR="001D26BC" w:rsidRPr="00EA0899" w:rsidTr="00A1288B">
        <w:trPr>
          <w:trHeight w:val="330"/>
        </w:trPr>
        <w:tc>
          <w:tcPr>
            <w:tcW w:w="4483" w:type="dxa"/>
            <w:tcBorders>
              <w:top w:val="nil"/>
              <w:left w:val="single" w:sz="8" w:space="0" w:color="auto"/>
              <w:bottom w:val="single" w:sz="8" w:space="0" w:color="auto"/>
              <w:right w:val="single" w:sz="8" w:space="0" w:color="auto"/>
            </w:tcBorders>
            <w:shd w:val="clear" w:color="auto" w:fill="auto"/>
            <w:noWrap/>
            <w:vAlign w:val="bottom"/>
            <w:hideMark/>
          </w:tcPr>
          <w:p w:rsidR="001D26BC" w:rsidRPr="00EA0899" w:rsidRDefault="001D26BC" w:rsidP="00A1288B">
            <w:r w:rsidRPr="00EA0899">
              <w:t>Darba algu stimuls vietējā ekonomikā</w:t>
            </w:r>
          </w:p>
        </w:tc>
        <w:tc>
          <w:tcPr>
            <w:tcW w:w="1151" w:type="dxa"/>
            <w:tcBorders>
              <w:top w:val="nil"/>
              <w:left w:val="nil"/>
              <w:bottom w:val="single" w:sz="8" w:space="0" w:color="auto"/>
              <w:right w:val="single" w:sz="8" w:space="0" w:color="auto"/>
            </w:tcBorders>
            <w:shd w:val="clear" w:color="auto" w:fill="auto"/>
            <w:noWrap/>
            <w:vAlign w:val="bottom"/>
            <w:hideMark/>
          </w:tcPr>
          <w:p w:rsidR="001D26BC" w:rsidRPr="00EA0899" w:rsidRDefault="001D26BC" w:rsidP="00A1288B">
            <w:r w:rsidRPr="00EA0899">
              <w:t>milj. LVL</w:t>
            </w:r>
          </w:p>
        </w:tc>
        <w:tc>
          <w:tcPr>
            <w:tcW w:w="752" w:type="dxa"/>
            <w:tcBorders>
              <w:top w:val="nil"/>
              <w:left w:val="nil"/>
              <w:bottom w:val="single" w:sz="8" w:space="0" w:color="auto"/>
              <w:right w:val="single" w:sz="8" w:space="0" w:color="auto"/>
            </w:tcBorders>
            <w:shd w:val="clear" w:color="auto" w:fill="auto"/>
            <w:vAlign w:val="bottom"/>
            <w:hideMark/>
          </w:tcPr>
          <w:p w:rsidR="001D26BC" w:rsidRPr="00EA0899" w:rsidRDefault="001D26BC" w:rsidP="00A1288B">
            <w:r w:rsidRPr="00EA0899">
              <w:t xml:space="preserve">0.18 </w:t>
            </w:r>
          </w:p>
        </w:tc>
        <w:tc>
          <w:tcPr>
            <w:tcW w:w="752" w:type="dxa"/>
            <w:tcBorders>
              <w:top w:val="nil"/>
              <w:left w:val="nil"/>
              <w:bottom w:val="single" w:sz="8" w:space="0" w:color="auto"/>
              <w:right w:val="single" w:sz="8" w:space="0" w:color="auto"/>
            </w:tcBorders>
            <w:shd w:val="clear" w:color="auto" w:fill="auto"/>
            <w:vAlign w:val="bottom"/>
            <w:hideMark/>
          </w:tcPr>
          <w:p w:rsidR="001D26BC" w:rsidRPr="00EA0899" w:rsidRDefault="001D26BC" w:rsidP="00A1288B">
            <w:r w:rsidRPr="00EA0899">
              <w:t xml:space="preserve">0.36 </w:t>
            </w:r>
          </w:p>
        </w:tc>
        <w:tc>
          <w:tcPr>
            <w:tcW w:w="1529" w:type="dxa"/>
            <w:tcBorders>
              <w:top w:val="nil"/>
              <w:left w:val="nil"/>
              <w:bottom w:val="single" w:sz="8" w:space="0" w:color="auto"/>
              <w:right w:val="single" w:sz="8" w:space="0" w:color="auto"/>
            </w:tcBorders>
            <w:shd w:val="clear" w:color="auto" w:fill="auto"/>
            <w:vAlign w:val="bottom"/>
            <w:hideMark/>
          </w:tcPr>
          <w:p w:rsidR="001D26BC" w:rsidRPr="00EA0899" w:rsidRDefault="001D26BC" w:rsidP="00A1288B">
            <w:r w:rsidRPr="00EA0899">
              <w:t>0.26</w:t>
            </w:r>
          </w:p>
        </w:tc>
      </w:tr>
    </w:tbl>
    <w:p w:rsidR="001D26BC" w:rsidRPr="00B85A50" w:rsidRDefault="001D26BC" w:rsidP="001D26BC"/>
    <w:p w:rsidR="001D26BC" w:rsidRPr="00E0137E" w:rsidRDefault="001D26BC" w:rsidP="001D26BC">
      <w:pPr>
        <w:ind w:firstLine="360"/>
        <w:jc w:val="both"/>
        <w:rPr>
          <w:sz w:val="28"/>
        </w:rPr>
      </w:pPr>
      <w:r w:rsidRPr="00E0137E">
        <w:rPr>
          <w:sz w:val="28"/>
        </w:rPr>
        <w:t xml:space="preserve">Kā redzams, tad Bāzes alternatīvas gadījumā paredzams, ka Latvijas kosmosa nozare analīzes laika periodā </w:t>
      </w:r>
      <w:r w:rsidR="00D1477C">
        <w:rPr>
          <w:sz w:val="28"/>
        </w:rPr>
        <w:t>varētu aptuveni dubultot savu ap</w:t>
      </w:r>
      <w:r w:rsidRPr="00E0137E">
        <w:rPr>
          <w:sz w:val="28"/>
        </w:rPr>
        <w:t>grozījumu no nepiln</w:t>
      </w:r>
      <w:r w:rsidR="00D1477C">
        <w:rPr>
          <w:sz w:val="28"/>
        </w:rPr>
        <w:t>iem 2 milj. latu 2013.gadā</w:t>
      </w:r>
      <w:r w:rsidRPr="00E0137E">
        <w:rPr>
          <w:sz w:val="28"/>
        </w:rPr>
        <w:t xml:space="preserve"> u</w:t>
      </w:r>
      <w:r w:rsidR="00D1477C">
        <w:rPr>
          <w:sz w:val="28"/>
        </w:rPr>
        <w:t>z nepilniem 4 milj. latu 2027.gadā v</w:t>
      </w:r>
      <w:r w:rsidRPr="00E0137E">
        <w:rPr>
          <w:sz w:val="28"/>
        </w:rPr>
        <w:t>idēji gadā nodarbinot ap 107 pilna laika darbiniekiem. Ikgadējais pienesums tautsaimniecībai, t.i. IK</w:t>
      </w:r>
      <w:r w:rsidR="00D1477C">
        <w:rPr>
          <w:sz w:val="28"/>
        </w:rPr>
        <w:t>P lēšams ap 1 milj. latu 2013.gadā un ap 2 milj. latu 2027.gadā, n</w:t>
      </w:r>
      <w:r w:rsidRPr="00E0137E">
        <w:rPr>
          <w:sz w:val="28"/>
        </w:rPr>
        <w:t>o šī pienesumu aptuveni vienu piekto daļu veido darba algu stimuls turpmākā vietējā patēriņā, bet pārējo - kosmosa nozares radītā pievienotā vērtība.</w:t>
      </w:r>
    </w:p>
    <w:p w:rsidR="001D26BC" w:rsidRDefault="001D26BC" w:rsidP="001D26BC">
      <w:pPr>
        <w:jc w:val="both"/>
        <w:rPr>
          <w:sz w:val="28"/>
        </w:rPr>
      </w:pPr>
      <w:bookmarkStart w:id="124" w:name="_Toc302987964"/>
    </w:p>
    <w:p w:rsidR="001D26BC" w:rsidRDefault="00277129" w:rsidP="001D26BC">
      <w:pPr>
        <w:jc w:val="both"/>
        <w:rPr>
          <w:sz w:val="28"/>
        </w:rPr>
      </w:pPr>
      <w:r w:rsidRPr="00277129">
        <w:rPr>
          <w:bCs/>
          <w:noProof/>
          <w:sz w:val="28"/>
        </w:rPr>
        <w:pict>
          <v:shape id="_x0000_s1028" type="#_x0000_t202" style="position:absolute;left:0;text-align:left;margin-left:-12pt;margin-top:1.7pt;width:462pt;height:71.85pt;z-index:251662336" fillcolor="silver" strokecolor="#333">
            <v:textbox style="mso-next-textbox:#_x0000_s1028">
              <w:txbxContent>
                <w:p w:rsidR="00821038" w:rsidRDefault="00821038" w:rsidP="001D26BC">
                  <w:pPr>
                    <w:jc w:val="center"/>
                    <w:rPr>
                      <w:b/>
                      <w:sz w:val="28"/>
                    </w:rPr>
                  </w:pPr>
                  <w:r>
                    <w:rPr>
                      <w:b/>
                      <w:sz w:val="28"/>
                    </w:rPr>
                    <w:t>B variants</w:t>
                  </w:r>
                </w:p>
                <w:p w:rsidR="00821038" w:rsidRPr="00DF2A99" w:rsidRDefault="00821038" w:rsidP="001D26BC">
                  <w:pPr>
                    <w:jc w:val="both"/>
                    <w:rPr>
                      <w:b/>
                      <w:sz w:val="28"/>
                    </w:rPr>
                  </w:pPr>
                  <w:r w:rsidRPr="00AF1D1C">
                    <w:rPr>
                      <w:sz w:val="28"/>
                    </w:rPr>
                    <w:t>Sadarbības alternatīva – Latvija 2013.g. uzsāk sadarbību ar EKA kā Eiropas sadarbības valsts. No šīs alternatīvas izriet trīs iespējamie scenāriji.</w:t>
                  </w:r>
                </w:p>
              </w:txbxContent>
            </v:textbox>
          </v:shape>
        </w:pict>
      </w:r>
    </w:p>
    <w:p w:rsidR="001D26BC" w:rsidRDefault="001D26BC" w:rsidP="001D26BC">
      <w:pPr>
        <w:jc w:val="both"/>
        <w:rPr>
          <w:sz w:val="28"/>
        </w:rPr>
      </w:pPr>
    </w:p>
    <w:p w:rsidR="001D26BC" w:rsidRDefault="001D26BC" w:rsidP="001D26BC">
      <w:pPr>
        <w:jc w:val="both"/>
        <w:rPr>
          <w:sz w:val="28"/>
        </w:rPr>
      </w:pPr>
    </w:p>
    <w:p w:rsidR="001D26BC" w:rsidRDefault="001D26BC" w:rsidP="001D26BC">
      <w:pPr>
        <w:jc w:val="both"/>
        <w:rPr>
          <w:sz w:val="28"/>
        </w:rPr>
      </w:pPr>
    </w:p>
    <w:p w:rsidR="001D26BC" w:rsidRDefault="001D26BC" w:rsidP="001D26BC">
      <w:pPr>
        <w:jc w:val="both"/>
        <w:rPr>
          <w:sz w:val="28"/>
        </w:rPr>
      </w:pPr>
    </w:p>
    <w:p w:rsidR="001D26BC" w:rsidRDefault="001D26BC" w:rsidP="001D26BC">
      <w:pPr>
        <w:pStyle w:val="Heading3"/>
      </w:pPr>
      <w:bookmarkStart w:id="125" w:name="_Toc303176612"/>
      <w:r>
        <w:t>B variants – Sadarbības alternatīva</w:t>
      </w:r>
      <w:bookmarkEnd w:id="125"/>
      <w:r>
        <w:t xml:space="preserve"> </w:t>
      </w:r>
    </w:p>
    <w:p w:rsidR="001D26BC" w:rsidRDefault="001D26BC" w:rsidP="001D26BC">
      <w:pPr>
        <w:pStyle w:val="Heading4"/>
      </w:pPr>
      <w:r>
        <w:t>Scenārijs 1</w:t>
      </w:r>
      <w:bookmarkEnd w:id="124"/>
    </w:p>
    <w:p w:rsidR="001D26BC" w:rsidRPr="00E0137E" w:rsidRDefault="001D26BC" w:rsidP="001D26BC">
      <w:pPr>
        <w:ind w:firstLine="720"/>
        <w:jc w:val="both"/>
        <w:rPr>
          <w:sz w:val="28"/>
        </w:rPr>
      </w:pPr>
      <w:r w:rsidRPr="00E0137E">
        <w:rPr>
          <w:sz w:val="28"/>
        </w:rPr>
        <w:t>Scenārijā 1 aplūkota alternatīva, kad Latvija darbojas kā EKA sadarbības valsts 10 gadu periodā (2013-2022). Šajā scenārijā tiek konservatīvi pieņemts, ka jau tā sākotnēji zemais EKA- kontraktu radītais apgrozījuma multiplikators (1.4) nepieaug otrajā sadarbības piecgadē (pretēji tam, ko minēja EKA eksperti, balstoties uz citu valstu pieredzi).</w:t>
      </w:r>
    </w:p>
    <w:p w:rsidR="001D26BC" w:rsidRPr="00E0137E" w:rsidRDefault="001D26BC" w:rsidP="001D26BC">
      <w:pPr>
        <w:pStyle w:val="Heading3"/>
      </w:pPr>
      <w:bookmarkStart w:id="126" w:name="_Toc303176613"/>
      <w:r w:rsidRPr="00E0137E">
        <w:lastRenderedPageBreak/>
        <w:t>Izdevumi</w:t>
      </w:r>
      <w:bookmarkEnd w:id="126"/>
    </w:p>
    <w:p w:rsidR="001D26BC" w:rsidRDefault="001D26BC" w:rsidP="001D26BC">
      <w:pPr>
        <w:ind w:firstLine="720"/>
        <w:jc w:val="both"/>
        <w:rPr>
          <w:sz w:val="28"/>
        </w:rPr>
      </w:pPr>
      <w:r w:rsidRPr="00E0137E">
        <w:rPr>
          <w:sz w:val="28"/>
        </w:rPr>
        <w:t>Kā redzams no tabulas zemāk, tad sadarbības valsts statusā Latvijai ik gadu vidēji jārēķinās ar 0.88 milj. latu izdevumiem, kas gandrīz pilnībā veidojas no ikgadējām iemaksām EKA budžetā, taču vidēji 90% no šīs summas ik gadu ir iespējams atgūt PECS kontraktos, ko var saņemt Latvijas uzņēmumi un institūti, kas gatavi sadarboties ar EKA kosmosa nozarē.</w:t>
      </w:r>
    </w:p>
    <w:p w:rsidR="001D26BC" w:rsidRPr="00E0137E" w:rsidRDefault="001D26BC" w:rsidP="001D26BC">
      <w:pPr>
        <w:ind w:firstLine="720"/>
        <w:rPr>
          <w:sz w:val="28"/>
        </w:rPr>
      </w:pPr>
    </w:p>
    <w:p w:rsidR="001D26BC" w:rsidRPr="00256918" w:rsidRDefault="001D26BC" w:rsidP="001D26BC">
      <w:pPr>
        <w:pStyle w:val="Caption"/>
      </w:pPr>
      <w:r w:rsidRPr="00256918">
        <w:t xml:space="preserve">Tabula </w:t>
      </w:r>
      <w:fldSimple w:instr=" SEQ Tabula \* ARABIC ">
        <w:r w:rsidR="00885249">
          <w:rPr>
            <w:noProof/>
          </w:rPr>
          <w:t>3</w:t>
        </w:r>
      </w:fldSimple>
      <w:r w:rsidRPr="00256918">
        <w:t>, Valsts budžeta izdevumi Scenārijā 1, vidēji gadā.</w:t>
      </w:r>
    </w:p>
    <w:tbl>
      <w:tblPr>
        <w:tblW w:w="8664" w:type="dxa"/>
        <w:tblInd w:w="91" w:type="dxa"/>
        <w:tblLook w:val="04A0"/>
      </w:tblPr>
      <w:tblGrid>
        <w:gridCol w:w="3678"/>
        <w:gridCol w:w="1114"/>
        <w:gridCol w:w="1157"/>
        <w:gridCol w:w="1227"/>
        <w:gridCol w:w="1526"/>
      </w:tblGrid>
      <w:tr w:rsidR="001D26BC" w:rsidRPr="00783F30" w:rsidTr="00A1288B">
        <w:trPr>
          <w:trHeight w:val="315"/>
        </w:trPr>
        <w:tc>
          <w:tcPr>
            <w:tcW w:w="4792" w:type="dxa"/>
            <w:gridSpan w:val="2"/>
            <w:tcBorders>
              <w:top w:val="single" w:sz="4" w:space="0" w:color="auto"/>
              <w:left w:val="single" w:sz="4" w:space="0" w:color="auto"/>
              <w:bottom w:val="single" w:sz="4" w:space="0" w:color="auto"/>
              <w:right w:val="nil"/>
            </w:tcBorders>
            <w:shd w:val="clear" w:color="000000" w:fill="D8D8D8"/>
            <w:noWrap/>
            <w:vAlign w:val="bottom"/>
            <w:hideMark/>
          </w:tcPr>
          <w:p w:rsidR="001D26BC" w:rsidRPr="00783F30" w:rsidRDefault="001D26BC" w:rsidP="00A1288B">
            <w:pPr>
              <w:rPr>
                <w:b/>
              </w:rPr>
            </w:pPr>
            <w:r w:rsidRPr="00783F30">
              <w:rPr>
                <w:b/>
              </w:rPr>
              <w:t>VALSTS BUDŽETA IZDEVUMI</w:t>
            </w:r>
          </w:p>
        </w:tc>
        <w:tc>
          <w:tcPr>
            <w:tcW w:w="1157" w:type="dxa"/>
            <w:tcBorders>
              <w:top w:val="single" w:sz="4" w:space="0" w:color="auto"/>
              <w:left w:val="nil"/>
              <w:bottom w:val="single" w:sz="4" w:space="0" w:color="auto"/>
              <w:right w:val="nil"/>
            </w:tcBorders>
            <w:shd w:val="clear" w:color="000000" w:fill="D8D8D8"/>
            <w:noWrap/>
            <w:vAlign w:val="bottom"/>
            <w:hideMark/>
          </w:tcPr>
          <w:p w:rsidR="001D26BC" w:rsidRPr="00783F30" w:rsidRDefault="001D26BC" w:rsidP="00A1288B">
            <w:pPr>
              <w:rPr>
                <w:b/>
              </w:rPr>
            </w:pPr>
            <w:r w:rsidRPr="00783F30">
              <w:rPr>
                <w:b/>
              </w:rPr>
              <w:t> </w:t>
            </w:r>
          </w:p>
        </w:tc>
        <w:tc>
          <w:tcPr>
            <w:tcW w:w="1227" w:type="dxa"/>
            <w:tcBorders>
              <w:top w:val="single" w:sz="4" w:space="0" w:color="auto"/>
              <w:left w:val="nil"/>
              <w:bottom w:val="single" w:sz="4" w:space="0" w:color="auto"/>
              <w:right w:val="nil"/>
            </w:tcBorders>
            <w:shd w:val="clear" w:color="000000" w:fill="D8D8D8"/>
            <w:noWrap/>
            <w:vAlign w:val="bottom"/>
            <w:hideMark/>
          </w:tcPr>
          <w:p w:rsidR="001D26BC" w:rsidRPr="00783F30" w:rsidRDefault="001D26BC" w:rsidP="00A1288B">
            <w:pPr>
              <w:rPr>
                <w:b/>
              </w:rPr>
            </w:pPr>
            <w:r w:rsidRPr="00783F30">
              <w:rPr>
                <w:b/>
              </w:rPr>
              <w:t> </w:t>
            </w:r>
          </w:p>
        </w:tc>
        <w:tc>
          <w:tcPr>
            <w:tcW w:w="1488" w:type="dxa"/>
            <w:tcBorders>
              <w:top w:val="single" w:sz="4" w:space="0" w:color="auto"/>
              <w:left w:val="nil"/>
              <w:bottom w:val="single" w:sz="4" w:space="0" w:color="auto"/>
              <w:right w:val="single" w:sz="4" w:space="0" w:color="auto"/>
            </w:tcBorders>
            <w:shd w:val="clear" w:color="000000" w:fill="D8D8D8"/>
            <w:noWrap/>
            <w:vAlign w:val="bottom"/>
            <w:hideMark/>
          </w:tcPr>
          <w:p w:rsidR="001D26BC" w:rsidRPr="00783F30" w:rsidRDefault="001D26BC" w:rsidP="00A1288B">
            <w:pPr>
              <w:rPr>
                <w:b/>
              </w:rPr>
            </w:pPr>
            <w:r w:rsidRPr="00783F30">
              <w:rPr>
                <w:b/>
              </w:rPr>
              <w:t> </w:t>
            </w:r>
          </w:p>
        </w:tc>
      </w:tr>
      <w:tr w:rsidR="001D26BC" w:rsidRPr="00783F30" w:rsidTr="00A1288B">
        <w:trPr>
          <w:trHeight w:val="315"/>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6BC" w:rsidRPr="00783F30" w:rsidRDefault="001D26BC" w:rsidP="00A1288B">
            <w:pPr>
              <w:rPr>
                <w:b/>
              </w:rPr>
            </w:pP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1D26BC" w:rsidRPr="00783F30" w:rsidRDefault="001D26BC" w:rsidP="00A1288B">
            <w:pPr>
              <w:rPr>
                <w:b/>
              </w:rPr>
            </w:pP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1D26BC" w:rsidRPr="00783F30" w:rsidRDefault="001D26BC" w:rsidP="00A1288B">
            <w:pPr>
              <w:rPr>
                <w:b/>
              </w:rPr>
            </w:pPr>
            <w:r w:rsidRPr="00783F30">
              <w:rPr>
                <w:b/>
              </w:rPr>
              <w:t>Bāze</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1D26BC" w:rsidRPr="00783F30" w:rsidRDefault="001D26BC" w:rsidP="00A1288B">
            <w:pPr>
              <w:rPr>
                <w:b/>
              </w:rPr>
            </w:pPr>
            <w:r w:rsidRPr="00783F30">
              <w:rPr>
                <w:b/>
              </w:rPr>
              <w:t>EKA izmaksas</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1D26BC" w:rsidRPr="00783F30" w:rsidRDefault="001D26BC" w:rsidP="00A1288B">
            <w:pPr>
              <w:rPr>
                <w:b/>
              </w:rPr>
            </w:pPr>
            <w:r w:rsidRPr="00783F30">
              <w:rPr>
                <w:b/>
              </w:rPr>
              <w:t>Kopā (</w:t>
            </w:r>
            <w:proofErr w:type="spellStart"/>
            <w:r w:rsidRPr="00783F30">
              <w:rPr>
                <w:b/>
              </w:rPr>
              <w:t>Bāze+EKA</w:t>
            </w:r>
            <w:proofErr w:type="spellEnd"/>
            <w:r w:rsidRPr="00783F30">
              <w:rPr>
                <w:b/>
              </w:rPr>
              <w:t>)</w:t>
            </w:r>
          </w:p>
        </w:tc>
      </w:tr>
      <w:tr w:rsidR="001D26BC" w:rsidRPr="00783F30" w:rsidTr="00A1288B">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Izdevumi – KOPĀ</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milj. LVL</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0.00</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0.88</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0.88</w:t>
            </w:r>
          </w:p>
        </w:tc>
      </w:tr>
      <w:tr w:rsidR="001D26BC" w:rsidRPr="00E46AFA" w:rsidTr="00A1288B">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E46AFA" w:rsidRDefault="001D26BC" w:rsidP="00A1288B">
            <w:r w:rsidRPr="00E46AFA">
              <w:t>EKA sadarbības/dalības valsts maksa</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milj. LVL</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0.00</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0.87</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0.87</w:t>
            </w:r>
          </w:p>
        </w:tc>
      </w:tr>
      <w:tr w:rsidR="001D26BC" w:rsidRPr="00E46AFA" w:rsidTr="00A1288B">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E46AFA" w:rsidRDefault="001D26BC" w:rsidP="00A1288B">
            <w:r w:rsidRPr="00E46AFA">
              <w:t>EKA koordinēšana Latvijā</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milj. LVL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1D26BC" w:rsidRPr="00E46AFA" w:rsidRDefault="001D26BC" w:rsidP="00A1288B">
            <w:r w:rsidRPr="00E46AFA">
              <w:t>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1D26BC" w:rsidRPr="00E46AFA" w:rsidRDefault="001D26BC" w:rsidP="00A1288B">
            <w:r w:rsidRPr="00E46AFA">
              <w:t>0.01</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1D26BC" w:rsidRPr="00E46AFA" w:rsidRDefault="001D26BC" w:rsidP="00A1288B">
            <w:r w:rsidRPr="00E46AFA">
              <w:t>0.01</w:t>
            </w:r>
          </w:p>
        </w:tc>
      </w:tr>
    </w:tbl>
    <w:p w:rsidR="001D26BC" w:rsidRDefault="001D26BC" w:rsidP="001D26BC">
      <w:pPr>
        <w:pStyle w:val="Heading4"/>
      </w:pPr>
    </w:p>
    <w:p w:rsidR="001D26BC" w:rsidRPr="00222F4E" w:rsidRDefault="001D26BC" w:rsidP="001D26BC">
      <w:pPr>
        <w:pStyle w:val="Heading4"/>
      </w:pPr>
      <w:r w:rsidRPr="00222F4E">
        <w:t>Ieguvumi</w:t>
      </w:r>
    </w:p>
    <w:p w:rsidR="001D26BC" w:rsidRPr="009A5C1E" w:rsidRDefault="001D26BC" w:rsidP="001D26BC">
      <w:pPr>
        <w:pStyle w:val="Caption"/>
      </w:pPr>
      <w:r>
        <w:t xml:space="preserve">Tabula </w:t>
      </w:r>
      <w:fldSimple w:instr=" SEQ Tabula \* ARABIC ">
        <w:r w:rsidR="00885249">
          <w:rPr>
            <w:noProof/>
          </w:rPr>
          <w:t>4</w:t>
        </w:r>
      </w:fldSimple>
      <w:r w:rsidRPr="009A5C1E">
        <w:t xml:space="preserve">, </w:t>
      </w:r>
      <w:r>
        <w:t>Ietekme uz nozari un tautsaimniecību</w:t>
      </w:r>
      <w:r w:rsidRPr="009A5C1E">
        <w:t xml:space="preserve"> Scenārijā </w:t>
      </w:r>
      <w:r>
        <w:t>1</w:t>
      </w:r>
      <w:r w:rsidRPr="009A5C1E">
        <w:t>, vidēji gadā</w:t>
      </w:r>
      <w:r>
        <w:rPr>
          <w:rStyle w:val="FootnoteReference"/>
          <w:b/>
        </w:rPr>
        <w:footnoteReference w:id="24"/>
      </w:r>
      <w:r w:rsidRPr="009A5C1E">
        <w:t>.</w:t>
      </w:r>
    </w:p>
    <w:tbl>
      <w:tblPr>
        <w:tblW w:w="8664" w:type="dxa"/>
        <w:tblInd w:w="91" w:type="dxa"/>
        <w:tblLook w:val="04A0"/>
      </w:tblPr>
      <w:tblGrid>
        <w:gridCol w:w="3678"/>
        <w:gridCol w:w="1197"/>
        <w:gridCol w:w="1157"/>
        <w:gridCol w:w="1227"/>
        <w:gridCol w:w="1526"/>
      </w:tblGrid>
      <w:tr w:rsidR="001D26BC" w:rsidRPr="00783F30" w:rsidTr="00A1288B">
        <w:trPr>
          <w:trHeight w:val="315"/>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 Bāze</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EKA ieguvums</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 Kopā (</w:t>
            </w:r>
            <w:proofErr w:type="spellStart"/>
            <w:r w:rsidRPr="00783F30">
              <w:rPr>
                <w:b/>
              </w:rPr>
              <w:t>Bāze+EKA</w:t>
            </w:r>
            <w:proofErr w:type="spellEnd"/>
            <w:r w:rsidRPr="00783F30">
              <w:rPr>
                <w:b/>
              </w:rPr>
              <w:t>)</w:t>
            </w:r>
          </w:p>
        </w:tc>
      </w:tr>
      <w:tr w:rsidR="001D26BC" w:rsidRPr="00783F30" w:rsidTr="00A1288B">
        <w:trPr>
          <w:trHeight w:val="315"/>
        </w:trPr>
        <w:tc>
          <w:tcPr>
            <w:tcW w:w="4873" w:type="dxa"/>
            <w:gridSpan w:val="2"/>
            <w:tcBorders>
              <w:top w:val="single" w:sz="4" w:space="0" w:color="auto"/>
              <w:left w:val="single" w:sz="4" w:space="0" w:color="auto"/>
              <w:bottom w:val="single" w:sz="4" w:space="0" w:color="auto"/>
              <w:right w:val="nil"/>
            </w:tcBorders>
            <w:shd w:val="clear" w:color="000000" w:fill="D8D8D8"/>
            <w:noWrap/>
            <w:vAlign w:val="bottom"/>
            <w:hideMark/>
          </w:tcPr>
          <w:p w:rsidR="001D26BC" w:rsidRPr="00783F30" w:rsidRDefault="001D26BC" w:rsidP="00A1288B">
            <w:pPr>
              <w:rPr>
                <w:b/>
              </w:rPr>
            </w:pPr>
            <w:r w:rsidRPr="00783F30">
              <w:rPr>
                <w:b/>
              </w:rPr>
              <w:t>IETEKME UZ KOSMOSA NOZARI:</w:t>
            </w:r>
          </w:p>
        </w:tc>
        <w:tc>
          <w:tcPr>
            <w:tcW w:w="1157" w:type="dxa"/>
            <w:tcBorders>
              <w:top w:val="nil"/>
              <w:left w:val="nil"/>
              <w:bottom w:val="single" w:sz="4" w:space="0" w:color="auto"/>
              <w:right w:val="nil"/>
            </w:tcBorders>
            <w:shd w:val="clear" w:color="000000" w:fill="D8D8D8"/>
            <w:noWrap/>
            <w:vAlign w:val="bottom"/>
            <w:hideMark/>
          </w:tcPr>
          <w:p w:rsidR="001D26BC" w:rsidRPr="00783F30" w:rsidRDefault="001D26BC" w:rsidP="00A1288B">
            <w:pPr>
              <w:rPr>
                <w:b/>
              </w:rPr>
            </w:pPr>
            <w:r w:rsidRPr="00783F30">
              <w:rPr>
                <w:b/>
              </w:rPr>
              <w:t> </w:t>
            </w:r>
          </w:p>
        </w:tc>
        <w:tc>
          <w:tcPr>
            <w:tcW w:w="1227" w:type="dxa"/>
            <w:tcBorders>
              <w:top w:val="nil"/>
              <w:left w:val="nil"/>
              <w:bottom w:val="single" w:sz="4" w:space="0" w:color="auto"/>
              <w:right w:val="nil"/>
            </w:tcBorders>
            <w:shd w:val="clear" w:color="000000" w:fill="D8D8D8"/>
            <w:noWrap/>
            <w:vAlign w:val="bottom"/>
            <w:hideMark/>
          </w:tcPr>
          <w:p w:rsidR="001D26BC" w:rsidRPr="00783F30" w:rsidRDefault="001D26BC" w:rsidP="00A1288B">
            <w:pPr>
              <w:rPr>
                <w:b/>
              </w:rPr>
            </w:pPr>
            <w:r w:rsidRPr="00783F30">
              <w:rPr>
                <w:b/>
              </w:rPr>
              <w:t> </w:t>
            </w:r>
          </w:p>
        </w:tc>
        <w:tc>
          <w:tcPr>
            <w:tcW w:w="1407" w:type="dxa"/>
            <w:tcBorders>
              <w:top w:val="nil"/>
              <w:left w:val="nil"/>
              <w:bottom w:val="single" w:sz="4" w:space="0" w:color="auto"/>
              <w:right w:val="nil"/>
            </w:tcBorders>
            <w:shd w:val="clear" w:color="000000" w:fill="D8D8D8"/>
            <w:noWrap/>
            <w:vAlign w:val="bottom"/>
            <w:hideMark/>
          </w:tcPr>
          <w:p w:rsidR="001D26BC" w:rsidRPr="00783F30" w:rsidRDefault="001D26BC" w:rsidP="00A1288B">
            <w:pPr>
              <w:rPr>
                <w:b/>
              </w:rPr>
            </w:pPr>
            <w:r w:rsidRPr="00783F30">
              <w:rPr>
                <w:b/>
              </w:rPr>
              <w:t> </w:t>
            </w:r>
          </w:p>
        </w:tc>
      </w:tr>
      <w:tr w:rsidR="001D26BC" w:rsidRPr="00783F30"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Apgrozījums kosmosa nozar</w:t>
            </w:r>
            <w:r w:rsidR="00D1477C">
              <w:rPr>
                <w:b/>
              </w:rPr>
              <w:t>ē</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milj. LVL</w:t>
            </w:r>
          </w:p>
        </w:tc>
        <w:tc>
          <w:tcPr>
            <w:tcW w:w="1157" w:type="dxa"/>
            <w:tcBorders>
              <w:top w:val="nil"/>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2.82</w:t>
            </w:r>
          </w:p>
        </w:tc>
        <w:tc>
          <w:tcPr>
            <w:tcW w:w="1227" w:type="dxa"/>
            <w:tcBorders>
              <w:top w:val="nil"/>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1.88</w:t>
            </w:r>
          </w:p>
        </w:tc>
        <w:tc>
          <w:tcPr>
            <w:tcW w:w="1407" w:type="dxa"/>
            <w:tcBorders>
              <w:top w:val="nil"/>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4.70</w:t>
            </w:r>
          </w:p>
        </w:tc>
      </w:tr>
      <w:tr w:rsidR="001D26BC" w:rsidRPr="00783F30"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Darba vietas (pilna laika ekvivalents)</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proofErr w:type="spellStart"/>
            <w:r w:rsidRPr="00783F30">
              <w:rPr>
                <w:b/>
              </w:rPr>
              <w:t>cilv</w:t>
            </w:r>
            <w:proofErr w:type="spellEnd"/>
            <w:r w:rsidRPr="00783F30">
              <w:rPr>
                <w:b/>
              </w:rPr>
              <w:t>./gadā</w:t>
            </w:r>
          </w:p>
        </w:tc>
        <w:tc>
          <w:tcPr>
            <w:tcW w:w="1157" w:type="dxa"/>
            <w:tcBorders>
              <w:top w:val="nil"/>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107</w:t>
            </w:r>
          </w:p>
        </w:tc>
        <w:tc>
          <w:tcPr>
            <w:tcW w:w="1227" w:type="dxa"/>
            <w:tcBorders>
              <w:top w:val="nil"/>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72</w:t>
            </w:r>
          </w:p>
        </w:tc>
        <w:tc>
          <w:tcPr>
            <w:tcW w:w="1407" w:type="dxa"/>
            <w:tcBorders>
              <w:top w:val="nil"/>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179</w:t>
            </w:r>
          </w:p>
        </w:tc>
      </w:tr>
      <w:tr w:rsidR="001D26BC" w:rsidRPr="00783F30" w:rsidTr="00A1288B">
        <w:trPr>
          <w:trHeight w:val="315"/>
        </w:trPr>
        <w:tc>
          <w:tcPr>
            <w:tcW w:w="4873" w:type="dxa"/>
            <w:gridSpan w:val="2"/>
            <w:tcBorders>
              <w:top w:val="single" w:sz="4" w:space="0" w:color="auto"/>
              <w:left w:val="single" w:sz="4" w:space="0" w:color="auto"/>
              <w:bottom w:val="single" w:sz="4" w:space="0" w:color="auto"/>
              <w:right w:val="nil"/>
            </w:tcBorders>
            <w:shd w:val="clear" w:color="000000" w:fill="D8D8D8"/>
            <w:noWrap/>
            <w:vAlign w:val="bottom"/>
            <w:hideMark/>
          </w:tcPr>
          <w:p w:rsidR="001D26BC" w:rsidRPr="00783F30" w:rsidRDefault="001D26BC" w:rsidP="00A1288B">
            <w:pPr>
              <w:rPr>
                <w:b/>
              </w:rPr>
            </w:pPr>
            <w:r w:rsidRPr="00783F30">
              <w:rPr>
                <w:b/>
              </w:rPr>
              <w:t>IETEKME uz IKP:</w:t>
            </w:r>
          </w:p>
        </w:tc>
        <w:tc>
          <w:tcPr>
            <w:tcW w:w="1157" w:type="dxa"/>
            <w:tcBorders>
              <w:top w:val="nil"/>
              <w:left w:val="nil"/>
              <w:bottom w:val="single" w:sz="4" w:space="0" w:color="auto"/>
              <w:right w:val="nil"/>
            </w:tcBorders>
            <w:shd w:val="clear" w:color="000000" w:fill="D8D8D8"/>
            <w:noWrap/>
            <w:vAlign w:val="bottom"/>
            <w:hideMark/>
          </w:tcPr>
          <w:p w:rsidR="001D26BC" w:rsidRPr="00783F30" w:rsidRDefault="001D26BC" w:rsidP="00A1288B">
            <w:pPr>
              <w:rPr>
                <w:b/>
              </w:rPr>
            </w:pPr>
            <w:r w:rsidRPr="00783F30">
              <w:rPr>
                <w:b/>
              </w:rPr>
              <w:t> </w:t>
            </w:r>
          </w:p>
        </w:tc>
        <w:tc>
          <w:tcPr>
            <w:tcW w:w="1227" w:type="dxa"/>
            <w:tcBorders>
              <w:top w:val="nil"/>
              <w:left w:val="nil"/>
              <w:bottom w:val="single" w:sz="4" w:space="0" w:color="auto"/>
              <w:right w:val="nil"/>
            </w:tcBorders>
            <w:shd w:val="clear" w:color="000000" w:fill="D8D8D8"/>
            <w:noWrap/>
            <w:vAlign w:val="bottom"/>
            <w:hideMark/>
          </w:tcPr>
          <w:p w:rsidR="001D26BC" w:rsidRPr="00783F30" w:rsidRDefault="001D26BC" w:rsidP="00A1288B">
            <w:pPr>
              <w:rPr>
                <w:b/>
              </w:rPr>
            </w:pPr>
            <w:r w:rsidRPr="00783F30">
              <w:rPr>
                <w:b/>
              </w:rPr>
              <w:t> </w:t>
            </w:r>
          </w:p>
        </w:tc>
        <w:tc>
          <w:tcPr>
            <w:tcW w:w="1407" w:type="dxa"/>
            <w:tcBorders>
              <w:top w:val="nil"/>
              <w:left w:val="nil"/>
              <w:bottom w:val="single" w:sz="4" w:space="0" w:color="auto"/>
              <w:right w:val="nil"/>
            </w:tcBorders>
            <w:shd w:val="clear" w:color="000000" w:fill="D8D8D8"/>
            <w:noWrap/>
            <w:vAlign w:val="bottom"/>
            <w:hideMark/>
          </w:tcPr>
          <w:p w:rsidR="001D26BC" w:rsidRPr="00783F30" w:rsidRDefault="001D26BC" w:rsidP="00A1288B">
            <w:pPr>
              <w:rPr>
                <w:b/>
              </w:rPr>
            </w:pPr>
            <w:r w:rsidRPr="00783F30">
              <w:rPr>
                <w:b/>
              </w:rPr>
              <w:t> </w:t>
            </w:r>
          </w:p>
        </w:tc>
      </w:tr>
      <w:tr w:rsidR="001D26BC" w:rsidRPr="00783F30"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KOPĀ:</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milj. LVL</w:t>
            </w:r>
          </w:p>
        </w:tc>
        <w:tc>
          <w:tcPr>
            <w:tcW w:w="1157" w:type="dxa"/>
            <w:tcBorders>
              <w:top w:val="nil"/>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1.41</w:t>
            </w:r>
          </w:p>
        </w:tc>
        <w:tc>
          <w:tcPr>
            <w:tcW w:w="1227" w:type="dxa"/>
            <w:tcBorders>
              <w:top w:val="nil"/>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1.05</w:t>
            </w:r>
          </w:p>
        </w:tc>
        <w:tc>
          <w:tcPr>
            <w:tcW w:w="1407" w:type="dxa"/>
            <w:tcBorders>
              <w:top w:val="nil"/>
              <w:left w:val="nil"/>
              <w:bottom w:val="single" w:sz="4" w:space="0" w:color="auto"/>
              <w:right w:val="single" w:sz="4" w:space="0" w:color="auto"/>
            </w:tcBorders>
            <w:shd w:val="clear" w:color="auto" w:fill="auto"/>
            <w:noWrap/>
            <w:vAlign w:val="bottom"/>
            <w:hideMark/>
          </w:tcPr>
          <w:p w:rsidR="001D26BC" w:rsidRPr="00783F30" w:rsidRDefault="001D26BC" w:rsidP="00A1288B">
            <w:pPr>
              <w:rPr>
                <w:b/>
              </w:rPr>
            </w:pPr>
            <w:r w:rsidRPr="00783F30">
              <w:rPr>
                <w:b/>
              </w:rPr>
              <w:t>2.46</w:t>
            </w:r>
          </w:p>
        </w:tc>
      </w:tr>
      <w:tr w:rsidR="001D26BC" w:rsidRPr="00E46AFA"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E46AFA" w:rsidRDefault="00D1477C" w:rsidP="00A1288B">
            <w:r>
              <w:t>Papildus Pievienotā Vērtība</w:t>
            </w:r>
            <w:r w:rsidR="001D26BC" w:rsidRPr="00E46AFA">
              <w:t xml:space="preserve"> </w:t>
            </w:r>
            <w:r>
              <w:t>k</w:t>
            </w:r>
            <w:r w:rsidR="001D26BC">
              <w:t>osm</w:t>
            </w:r>
            <w:r>
              <w:t>osa nozarē</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milj. LVL</w:t>
            </w:r>
          </w:p>
        </w:tc>
        <w:tc>
          <w:tcPr>
            <w:tcW w:w="1157" w:type="dxa"/>
            <w:tcBorders>
              <w:top w:val="nil"/>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1.15</w:t>
            </w:r>
          </w:p>
        </w:tc>
        <w:tc>
          <w:tcPr>
            <w:tcW w:w="1227" w:type="dxa"/>
            <w:tcBorders>
              <w:top w:val="nil"/>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0.87</w:t>
            </w:r>
          </w:p>
        </w:tc>
        <w:tc>
          <w:tcPr>
            <w:tcW w:w="1407" w:type="dxa"/>
            <w:tcBorders>
              <w:top w:val="nil"/>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2.02</w:t>
            </w:r>
          </w:p>
        </w:tc>
      </w:tr>
      <w:tr w:rsidR="001D26BC" w:rsidRPr="00E46AFA"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E46AFA" w:rsidRDefault="001D26BC" w:rsidP="00A1288B">
            <w:r w:rsidRPr="00E46AFA">
              <w:t xml:space="preserve">Darba algu stimuls vietējā </w:t>
            </w:r>
            <w:r>
              <w:t>ekon</w:t>
            </w:r>
            <w:r w:rsidR="00D1477C">
              <w:t>omikā</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milj. LVL</w:t>
            </w:r>
          </w:p>
        </w:tc>
        <w:tc>
          <w:tcPr>
            <w:tcW w:w="1157" w:type="dxa"/>
            <w:tcBorders>
              <w:top w:val="nil"/>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0.26</w:t>
            </w:r>
          </w:p>
        </w:tc>
        <w:tc>
          <w:tcPr>
            <w:tcW w:w="1227" w:type="dxa"/>
            <w:tcBorders>
              <w:top w:val="nil"/>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0.17</w:t>
            </w:r>
          </w:p>
        </w:tc>
        <w:tc>
          <w:tcPr>
            <w:tcW w:w="1407" w:type="dxa"/>
            <w:tcBorders>
              <w:top w:val="nil"/>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0.44</w:t>
            </w:r>
          </w:p>
        </w:tc>
      </w:tr>
    </w:tbl>
    <w:p w:rsidR="001D26BC" w:rsidRDefault="001D26BC" w:rsidP="001D26BC"/>
    <w:p w:rsidR="001D26BC" w:rsidRPr="00E0137E" w:rsidRDefault="001D26BC" w:rsidP="001D26BC">
      <w:pPr>
        <w:ind w:firstLine="720"/>
        <w:jc w:val="both"/>
        <w:rPr>
          <w:sz w:val="28"/>
        </w:rPr>
      </w:pPr>
      <w:r w:rsidRPr="00E0137E">
        <w:rPr>
          <w:sz w:val="28"/>
        </w:rPr>
        <w:t xml:space="preserve">Kā redzams, nozarē būtu vērojams būtisks pieaugums gan apgrozījuma, gan nodarbinātības izteiksmē. Šajā scenārijā tīrais ieguvums no sadarbības ar EKA būtu apgrozījuma pieaugums par vidēji 1.9 milj. latu gadā, kopā ar bāzes apgrozījumu summāri veidojot kopējo nozares apgrozījumu 4.7 milj. latu vidēji gadā. Prognozējams, ka nodarbinātības </w:t>
      </w:r>
      <w:r w:rsidRPr="00E0137E">
        <w:rPr>
          <w:sz w:val="28"/>
        </w:rPr>
        <w:lastRenderedPageBreak/>
        <w:t>tīrais ieguvums būtu ap 72 darba vietām, ko nodrošinātu EKA kontrakti, kā arī papildus pasūtījumi ārpus EKA, ko pateicoties EKA kontraktos gūtajām zināšanām, spētu iegūt ar EKA sadarbojošies uzņēmumi un institūti. Kopējā nodarbinātība nozarē vidēji gadā varētu sasniegt ap 179 pilna laika darba vietām.</w:t>
      </w:r>
    </w:p>
    <w:p w:rsidR="001D26BC" w:rsidRDefault="001D26BC" w:rsidP="001D26BC">
      <w:pPr>
        <w:ind w:firstLine="720"/>
        <w:jc w:val="both"/>
        <w:rPr>
          <w:sz w:val="28"/>
        </w:rPr>
      </w:pPr>
      <w:proofErr w:type="spellStart"/>
      <w:r w:rsidRPr="00E0137E">
        <w:rPr>
          <w:sz w:val="28"/>
        </w:rPr>
        <w:t>Rezultējošā</w:t>
      </w:r>
      <w:proofErr w:type="spellEnd"/>
      <w:r w:rsidRPr="00E0137E">
        <w:rPr>
          <w:sz w:val="28"/>
        </w:rPr>
        <w:t xml:space="preserve"> ietekme uz tautsaimniecību lēšama IKP pieaugumā par aptuveni 2.5 milj. latu gadā, no kā ap 2 milj. latu veido pievienotās vērtības pieaugums, bet nepilnu pusmiljonu latu darba algu stimuls.</w:t>
      </w:r>
    </w:p>
    <w:p w:rsidR="001D26BC" w:rsidRPr="00E0137E" w:rsidRDefault="001D26BC" w:rsidP="001D26BC">
      <w:pPr>
        <w:ind w:firstLine="720"/>
        <w:jc w:val="both"/>
        <w:rPr>
          <w:sz w:val="28"/>
        </w:rPr>
      </w:pPr>
    </w:p>
    <w:p w:rsidR="001D26BC" w:rsidRPr="00222F4E" w:rsidRDefault="001D26BC" w:rsidP="001D26BC">
      <w:pPr>
        <w:pStyle w:val="Heading3"/>
      </w:pPr>
      <w:bookmarkStart w:id="127" w:name="_Toc302987965"/>
      <w:bookmarkStart w:id="128" w:name="_Toc303176614"/>
      <w:r w:rsidRPr="00222F4E">
        <w:t>Scenārijs 2</w:t>
      </w:r>
      <w:bookmarkEnd w:id="127"/>
      <w:bookmarkEnd w:id="128"/>
    </w:p>
    <w:p w:rsidR="001D26BC" w:rsidRDefault="001D26BC" w:rsidP="001D26BC">
      <w:pPr>
        <w:ind w:firstLine="720"/>
        <w:jc w:val="both"/>
        <w:rPr>
          <w:sz w:val="28"/>
        </w:rPr>
      </w:pPr>
      <w:r w:rsidRPr="00E0137E">
        <w:rPr>
          <w:sz w:val="28"/>
        </w:rPr>
        <w:t>Scenārijā 2 aplūkota alternatīva, kad Latvija darbojas kā EKA sadarbības valsts pirmos piecus gadus un kļūst par dalībvalsti sākot ar 2018.g. Šajā scenārijā tiek pieņemts konservatīvs EKA- kontraktu radītā apgrozījuma multiplikatora pieaugums otrajā piecgadē līdz 1.9, neskatoties uz to, ka EKA ekspertu viedoklis bija, ka gadījumā, ja Latvija izlems kļūt par dalībvalsti, tas liecinās par veiksmīgu nozares sadarbību ar EKA, kas ļautu prognozēt multiplikatoru vismaz robežās starp 2.5-3.0. Savukārt jāņem vērā, ka kļūstot par dalībvalsti, lai arī pastāv EKA noteiktais ģeogrāfiskās atdeves princips, ka vidēji 90% naudai jāatgriežas dalībvalstī, tad atšķirībā no sadarbības valsts, kur PECS kontrakti ir konkrēti rezervēti noteiktai sadarbības valstij, dalībvalsts gadījumā uzņēmumiem un institūtiem nāksies konkurēt konkursos ar citu dalībvalstu pretendentiem, līdz ar to, modelējot ieguvumus, tiek piesardzīgi pieņemts, ka otrajā piecgadē ne vairāk kā 80% no Latvijas iemaksām atgriežas pašmāju nozarē EKA kontraktu veidā.</w:t>
      </w:r>
    </w:p>
    <w:p w:rsidR="001D26BC" w:rsidRPr="00E0137E" w:rsidRDefault="001D26BC" w:rsidP="001D26BC">
      <w:pPr>
        <w:ind w:firstLine="720"/>
        <w:jc w:val="both"/>
        <w:rPr>
          <w:sz w:val="28"/>
        </w:rPr>
      </w:pPr>
    </w:p>
    <w:p w:rsidR="001D26BC" w:rsidRPr="00222F4E" w:rsidRDefault="001D26BC" w:rsidP="001D26BC">
      <w:pPr>
        <w:pStyle w:val="Heading4"/>
      </w:pPr>
      <w:r w:rsidRPr="00222F4E">
        <w:t>Izdevumi</w:t>
      </w:r>
    </w:p>
    <w:p w:rsidR="001D26BC" w:rsidRPr="00886381" w:rsidRDefault="001D26BC" w:rsidP="001D26BC">
      <w:pPr>
        <w:pStyle w:val="Caption"/>
      </w:pPr>
      <w:r>
        <w:t xml:space="preserve">Tabula </w:t>
      </w:r>
      <w:fldSimple w:instr=" SEQ Tabula \* ARABIC ">
        <w:r w:rsidR="00885249">
          <w:rPr>
            <w:noProof/>
          </w:rPr>
          <w:t>5</w:t>
        </w:r>
      </w:fldSimple>
      <w:r w:rsidRPr="00886381">
        <w:t>, Valsts budžeta izdevumi Scenārijā 2, vidēji gadā.</w:t>
      </w:r>
    </w:p>
    <w:tbl>
      <w:tblPr>
        <w:tblW w:w="8664" w:type="dxa"/>
        <w:tblInd w:w="91" w:type="dxa"/>
        <w:tblLook w:val="04A0"/>
      </w:tblPr>
      <w:tblGrid>
        <w:gridCol w:w="3678"/>
        <w:gridCol w:w="1114"/>
        <w:gridCol w:w="1157"/>
        <w:gridCol w:w="1227"/>
        <w:gridCol w:w="1526"/>
      </w:tblGrid>
      <w:tr w:rsidR="001D26BC" w:rsidRPr="009A4F0E" w:rsidTr="00A1288B">
        <w:trPr>
          <w:trHeight w:val="315"/>
        </w:trPr>
        <w:tc>
          <w:tcPr>
            <w:tcW w:w="4792" w:type="dxa"/>
            <w:gridSpan w:val="2"/>
            <w:tcBorders>
              <w:top w:val="single" w:sz="4" w:space="0" w:color="auto"/>
              <w:left w:val="single" w:sz="4" w:space="0" w:color="auto"/>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VALSTS BUDŽETA IZDEVUMI</w:t>
            </w:r>
          </w:p>
        </w:tc>
        <w:tc>
          <w:tcPr>
            <w:tcW w:w="1157" w:type="dxa"/>
            <w:tcBorders>
              <w:top w:val="single" w:sz="4" w:space="0" w:color="auto"/>
              <w:left w:val="nil"/>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 </w:t>
            </w:r>
          </w:p>
        </w:tc>
        <w:tc>
          <w:tcPr>
            <w:tcW w:w="1227" w:type="dxa"/>
            <w:tcBorders>
              <w:top w:val="single" w:sz="4" w:space="0" w:color="auto"/>
              <w:left w:val="nil"/>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 </w:t>
            </w:r>
          </w:p>
        </w:tc>
        <w:tc>
          <w:tcPr>
            <w:tcW w:w="1488" w:type="dxa"/>
            <w:tcBorders>
              <w:top w:val="single" w:sz="4" w:space="0" w:color="auto"/>
              <w:left w:val="nil"/>
              <w:bottom w:val="single" w:sz="4" w:space="0" w:color="auto"/>
              <w:right w:val="single" w:sz="4" w:space="0" w:color="auto"/>
            </w:tcBorders>
            <w:shd w:val="clear" w:color="000000" w:fill="D8D8D8"/>
            <w:noWrap/>
            <w:vAlign w:val="bottom"/>
            <w:hideMark/>
          </w:tcPr>
          <w:p w:rsidR="001D26BC" w:rsidRPr="009A4F0E" w:rsidRDefault="001D26BC" w:rsidP="00A1288B">
            <w:pPr>
              <w:rPr>
                <w:b/>
              </w:rPr>
            </w:pPr>
            <w:r w:rsidRPr="009A4F0E">
              <w:rPr>
                <w:b/>
              </w:rPr>
              <w:t> </w:t>
            </w:r>
          </w:p>
        </w:tc>
      </w:tr>
      <w:tr w:rsidR="001D26BC" w:rsidRPr="009A4F0E" w:rsidTr="00A1288B">
        <w:trPr>
          <w:trHeight w:val="315"/>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Bāze</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EKA izmaksas</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Kopā (</w:t>
            </w:r>
            <w:proofErr w:type="spellStart"/>
            <w:r w:rsidRPr="009A4F0E">
              <w:rPr>
                <w:b/>
              </w:rPr>
              <w:t>Bāze+EKA</w:t>
            </w:r>
            <w:proofErr w:type="spellEnd"/>
            <w:r w:rsidRPr="009A4F0E">
              <w:rPr>
                <w:b/>
              </w:rPr>
              <w:t>)</w:t>
            </w:r>
          </w:p>
        </w:tc>
      </w:tr>
      <w:tr w:rsidR="001D26BC" w:rsidRPr="009A4F0E" w:rsidTr="00A1288B">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Izdevumi – KOPĀ</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milj. LVL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3.21</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3.21</w:t>
            </w:r>
          </w:p>
        </w:tc>
      </w:tr>
      <w:tr w:rsidR="001D26BC" w:rsidRPr="001E4530" w:rsidTr="00A1288B">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1E4530" w:rsidRDefault="001D26BC" w:rsidP="00A1288B">
            <w:r w:rsidRPr="001E4530">
              <w:t>EKA sadarbības/dalības valsts maksa</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D26BC" w:rsidRPr="001E4530" w:rsidRDefault="001D26BC" w:rsidP="00A1288B">
            <w:r w:rsidRPr="001E4530">
              <w:t>milj. LVL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3.02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3.02</w:t>
            </w:r>
          </w:p>
        </w:tc>
      </w:tr>
      <w:tr w:rsidR="001D26BC" w:rsidRPr="001E4530" w:rsidTr="00A1288B">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1E4530" w:rsidRDefault="001D26BC" w:rsidP="00A1288B">
            <w:r w:rsidRPr="001E4530">
              <w:t xml:space="preserve">EKA dalībvalsts iestāšanās maksa (vērtība sadalīta uz 10 </w:t>
            </w:r>
            <w:proofErr w:type="spellStart"/>
            <w:r w:rsidRPr="001E4530">
              <w:t>gad</w:t>
            </w:r>
            <w:proofErr w:type="spellEnd"/>
            <w:r w:rsidRPr="001E4530">
              <w:t>.)</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D26BC" w:rsidRPr="001E4530" w:rsidRDefault="001D26BC" w:rsidP="00A1288B">
            <w:r w:rsidRPr="001E4530">
              <w:t>milj. LVL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0.18</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0.18</w:t>
            </w:r>
          </w:p>
        </w:tc>
      </w:tr>
      <w:tr w:rsidR="001D26BC" w:rsidRPr="001E4530" w:rsidTr="00A1288B">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1E4530" w:rsidRDefault="001D26BC" w:rsidP="00A1288B">
            <w:r w:rsidRPr="001E4530">
              <w:t>EKA koordinēšana Latvijā</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D26BC" w:rsidRPr="001E4530" w:rsidRDefault="001D26BC" w:rsidP="00A1288B">
            <w:r w:rsidRPr="001E4530">
              <w:t>milj. LVL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0.02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0.02</w:t>
            </w:r>
          </w:p>
        </w:tc>
      </w:tr>
    </w:tbl>
    <w:p w:rsidR="001D26BC" w:rsidRDefault="001D26BC" w:rsidP="001D26BC"/>
    <w:p w:rsidR="001D26BC" w:rsidRDefault="001D26BC" w:rsidP="001D26BC">
      <w:pPr>
        <w:ind w:firstLine="720"/>
        <w:jc w:val="both"/>
        <w:rPr>
          <w:sz w:val="28"/>
        </w:rPr>
      </w:pPr>
      <w:r w:rsidRPr="00E0137E">
        <w:rPr>
          <w:sz w:val="28"/>
        </w:rPr>
        <w:t xml:space="preserve">Kā redzams, tad salīdzinājumā ar Scenāriju 1 vidējās ikgadējās valsts izmaksas sadarbībai ar EKA pieaug, kas skaidrojams ar to, ka kļūstot par pilntiesīgu dalībvalsti otrajā piecgadē, sākot ar 2018.g. būtiski </w:t>
      </w:r>
      <w:r w:rsidRPr="00E0137E">
        <w:rPr>
          <w:sz w:val="28"/>
        </w:rPr>
        <w:lastRenderedPageBreak/>
        <w:t>pieaug obligātie dalības maksas maksājumi EKA, kas lēšami vismaz 0.03% apmērā no IKP</w:t>
      </w:r>
      <w:r w:rsidRPr="00E0137E">
        <w:rPr>
          <w:rStyle w:val="FootnoteReference"/>
          <w:sz w:val="28"/>
        </w:rPr>
        <w:footnoteReference w:id="25"/>
      </w:r>
      <w:r w:rsidRPr="00E0137E">
        <w:rPr>
          <w:sz w:val="28"/>
        </w:rPr>
        <w:t xml:space="preserve"> jeb aptuveni 5 milj. latu gadā 2011.gada cenās. Tāpat arī jāierēķina vienreizējs maksājums aptuveni 1.8 milj. (2.5 milj. eiro) apmērā par pievienošanos EKA dalībvalstu konvencijai. Kopējās gada vidējās izmaksas šajā scenārijā lēšamas ap 3.21 milj. latu šā brīža cenās.</w:t>
      </w:r>
    </w:p>
    <w:p w:rsidR="001D26BC" w:rsidRPr="00E0137E" w:rsidRDefault="001D26BC" w:rsidP="001D26BC">
      <w:pPr>
        <w:ind w:firstLine="720"/>
        <w:jc w:val="both"/>
        <w:rPr>
          <w:sz w:val="28"/>
        </w:rPr>
      </w:pPr>
    </w:p>
    <w:p w:rsidR="001D26BC" w:rsidRPr="00222F4E" w:rsidRDefault="001D26BC" w:rsidP="001D26BC">
      <w:pPr>
        <w:pStyle w:val="Heading4"/>
      </w:pPr>
      <w:r w:rsidRPr="00222F4E">
        <w:t>Ieguvumi</w:t>
      </w:r>
    </w:p>
    <w:p w:rsidR="001D26BC" w:rsidRPr="009A5C1E" w:rsidRDefault="001D26BC" w:rsidP="001D26BC">
      <w:pPr>
        <w:pStyle w:val="Caption"/>
      </w:pPr>
      <w:r>
        <w:t xml:space="preserve">Tabula </w:t>
      </w:r>
      <w:fldSimple w:instr=" SEQ Tabula \* ARABIC ">
        <w:r w:rsidR="00885249">
          <w:rPr>
            <w:noProof/>
          </w:rPr>
          <w:t>6</w:t>
        </w:r>
      </w:fldSimple>
      <w:r w:rsidRPr="009A5C1E">
        <w:t xml:space="preserve">, </w:t>
      </w:r>
      <w:r>
        <w:t>Ietekme uz nozari un tautsaimniecību</w:t>
      </w:r>
      <w:r w:rsidRPr="009A5C1E">
        <w:t xml:space="preserve"> Scenārijā </w:t>
      </w:r>
      <w:r>
        <w:t>2</w:t>
      </w:r>
      <w:r w:rsidRPr="009A5C1E">
        <w:t>, vidēji gadā.</w:t>
      </w:r>
    </w:p>
    <w:tbl>
      <w:tblPr>
        <w:tblW w:w="8664" w:type="dxa"/>
        <w:tblInd w:w="91" w:type="dxa"/>
        <w:tblLook w:val="04A0"/>
      </w:tblPr>
      <w:tblGrid>
        <w:gridCol w:w="3678"/>
        <w:gridCol w:w="1197"/>
        <w:gridCol w:w="1157"/>
        <w:gridCol w:w="1227"/>
        <w:gridCol w:w="1526"/>
      </w:tblGrid>
      <w:tr w:rsidR="001D26BC" w:rsidRPr="009A4F0E" w:rsidTr="00A1288B">
        <w:trPr>
          <w:trHeight w:val="315"/>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Bāze</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EKA ieguvums</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Kopā (</w:t>
            </w:r>
            <w:proofErr w:type="spellStart"/>
            <w:r w:rsidRPr="009A4F0E">
              <w:rPr>
                <w:b/>
              </w:rPr>
              <w:t>Bāze+EKA</w:t>
            </w:r>
            <w:proofErr w:type="spellEnd"/>
            <w:r w:rsidRPr="009A4F0E">
              <w:rPr>
                <w:b/>
              </w:rPr>
              <w:t>)</w:t>
            </w:r>
          </w:p>
        </w:tc>
      </w:tr>
      <w:tr w:rsidR="001D26BC" w:rsidRPr="009A4F0E" w:rsidTr="00A1288B">
        <w:trPr>
          <w:trHeight w:val="315"/>
        </w:trPr>
        <w:tc>
          <w:tcPr>
            <w:tcW w:w="4873" w:type="dxa"/>
            <w:gridSpan w:val="2"/>
            <w:tcBorders>
              <w:top w:val="single" w:sz="4" w:space="0" w:color="auto"/>
              <w:left w:val="single" w:sz="4" w:space="0" w:color="auto"/>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IETEKME UZ KOSMOSA NOZARI:</w:t>
            </w:r>
          </w:p>
        </w:tc>
        <w:tc>
          <w:tcPr>
            <w:tcW w:w="1157" w:type="dxa"/>
            <w:tcBorders>
              <w:top w:val="nil"/>
              <w:left w:val="nil"/>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 </w:t>
            </w:r>
          </w:p>
        </w:tc>
        <w:tc>
          <w:tcPr>
            <w:tcW w:w="1227" w:type="dxa"/>
            <w:tcBorders>
              <w:top w:val="nil"/>
              <w:left w:val="nil"/>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 </w:t>
            </w:r>
          </w:p>
        </w:tc>
        <w:tc>
          <w:tcPr>
            <w:tcW w:w="1407" w:type="dxa"/>
            <w:tcBorders>
              <w:top w:val="nil"/>
              <w:left w:val="nil"/>
              <w:bottom w:val="single" w:sz="4" w:space="0" w:color="auto"/>
              <w:right w:val="single" w:sz="4" w:space="0" w:color="auto"/>
            </w:tcBorders>
            <w:shd w:val="clear" w:color="000000" w:fill="D8D8D8"/>
            <w:noWrap/>
            <w:vAlign w:val="bottom"/>
            <w:hideMark/>
          </w:tcPr>
          <w:p w:rsidR="001D26BC" w:rsidRPr="009A4F0E" w:rsidRDefault="001D26BC" w:rsidP="00A1288B">
            <w:pPr>
              <w:rPr>
                <w:b/>
              </w:rPr>
            </w:pPr>
            <w:r w:rsidRPr="009A4F0E">
              <w:rPr>
                <w:b/>
              </w:rPr>
              <w:t> </w:t>
            </w:r>
          </w:p>
        </w:tc>
      </w:tr>
      <w:tr w:rsidR="001D26BC" w:rsidRPr="009A4F0E"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xml:space="preserve">Apgrozījums kosmosa </w:t>
            </w:r>
            <w:proofErr w:type="spellStart"/>
            <w:r w:rsidRPr="009A4F0E">
              <w:rPr>
                <w:b/>
              </w:rPr>
              <w:t>nozar</w:t>
            </w:r>
            <w:proofErr w:type="spellEnd"/>
            <w:r w:rsidRPr="009A4F0E">
              <w:rPr>
                <w:b/>
              </w:rPr>
              <w:t>.</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milj. LVL</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2.82</w:t>
            </w: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7.45</w:t>
            </w: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10.27</w:t>
            </w:r>
          </w:p>
        </w:tc>
      </w:tr>
      <w:tr w:rsidR="001D26BC" w:rsidRPr="009A4F0E"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r>
      <w:tr w:rsidR="001D26BC" w:rsidRPr="009A4F0E"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Darba vietas (pilna laika ekvivalents)</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proofErr w:type="spellStart"/>
            <w:r w:rsidRPr="009A4F0E">
              <w:rPr>
                <w:b/>
              </w:rPr>
              <w:t>cilv</w:t>
            </w:r>
            <w:proofErr w:type="spellEnd"/>
            <w:r w:rsidRPr="009A4F0E">
              <w:rPr>
                <w:b/>
              </w:rPr>
              <w:t>./gadā</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107</w:t>
            </w: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268</w:t>
            </w: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375</w:t>
            </w:r>
          </w:p>
        </w:tc>
      </w:tr>
      <w:tr w:rsidR="001D26BC" w:rsidRPr="009A4F0E"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r>
      <w:tr w:rsidR="001D26BC" w:rsidRPr="009A4F0E" w:rsidTr="00A1288B">
        <w:trPr>
          <w:trHeight w:val="315"/>
        </w:trPr>
        <w:tc>
          <w:tcPr>
            <w:tcW w:w="4873" w:type="dxa"/>
            <w:gridSpan w:val="2"/>
            <w:tcBorders>
              <w:top w:val="single" w:sz="4" w:space="0" w:color="auto"/>
              <w:left w:val="single" w:sz="4" w:space="0" w:color="auto"/>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IETEKME uz IKP:</w:t>
            </w:r>
          </w:p>
        </w:tc>
        <w:tc>
          <w:tcPr>
            <w:tcW w:w="1157" w:type="dxa"/>
            <w:tcBorders>
              <w:top w:val="nil"/>
              <w:left w:val="nil"/>
              <w:bottom w:val="single" w:sz="4" w:space="0" w:color="auto"/>
              <w:right w:val="nil"/>
            </w:tcBorders>
            <w:shd w:val="clear" w:color="000000" w:fill="D8D8D8"/>
            <w:noWrap/>
            <w:vAlign w:val="center"/>
            <w:hideMark/>
          </w:tcPr>
          <w:p w:rsidR="001D26BC" w:rsidRPr="009A4F0E" w:rsidRDefault="001D26BC" w:rsidP="00A1288B">
            <w:pPr>
              <w:rPr>
                <w:b/>
              </w:rPr>
            </w:pPr>
          </w:p>
        </w:tc>
        <w:tc>
          <w:tcPr>
            <w:tcW w:w="1227" w:type="dxa"/>
            <w:tcBorders>
              <w:top w:val="nil"/>
              <w:left w:val="nil"/>
              <w:bottom w:val="single" w:sz="4" w:space="0" w:color="auto"/>
              <w:right w:val="nil"/>
            </w:tcBorders>
            <w:shd w:val="clear" w:color="000000" w:fill="D8D8D8"/>
            <w:noWrap/>
            <w:vAlign w:val="center"/>
            <w:hideMark/>
          </w:tcPr>
          <w:p w:rsidR="001D26BC" w:rsidRPr="009A4F0E" w:rsidRDefault="001D26BC" w:rsidP="00A1288B">
            <w:pPr>
              <w:rPr>
                <w:b/>
              </w:rPr>
            </w:pPr>
          </w:p>
        </w:tc>
        <w:tc>
          <w:tcPr>
            <w:tcW w:w="1407" w:type="dxa"/>
            <w:tcBorders>
              <w:top w:val="nil"/>
              <w:left w:val="nil"/>
              <w:bottom w:val="single" w:sz="4" w:space="0" w:color="auto"/>
              <w:right w:val="single" w:sz="4" w:space="0" w:color="auto"/>
            </w:tcBorders>
            <w:shd w:val="clear" w:color="000000" w:fill="D8D8D8"/>
            <w:noWrap/>
            <w:vAlign w:val="center"/>
            <w:hideMark/>
          </w:tcPr>
          <w:p w:rsidR="001D26BC" w:rsidRPr="009A4F0E" w:rsidRDefault="001D26BC" w:rsidP="00A1288B">
            <w:pPr>
              <w:rPr>
                <w:b/>
              </w:rPr>
            </w:pPr>
          </w:p>
        </w:tc>
      </w:tr>
      <w:tr w:rsidR="001D26BC" w:rsidRPr="009A4F0E"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KOPĀ:</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milj. LVL</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1.41</w:t>
            </w: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4.18</w:t>
            </w: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5.59</w:t>
            </w:r>
          </w:p>
        </w:tc>
      </w:tr>
      <w:tr w:rsidR="001D26BC" w:rsidRPr="00E46AFA"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E46AFA" w:rsidRDefault="001D26BC" w:rsidP="00A1288B">
            <w:r w:rsidRPr="00E46AFA">
              <w:t xml:space="preserve">Papildus Pievienotā Vērtība kosmosa </w:t>
            </w:r>
            <w:proofErr w:type="spellStart"/>
            <w:r w:rsidRPr="00E46AFA">
              <w:t>nozar</w:t>
            </w:r>
            <w:proofErr w:type="spellEnd"/>
            <w:r w:rsidRPr="00E46AFA">
              <w:t>.</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milj. LVL</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E86819" w:rsidRDefault="001D26BC" w:rsidP="00A1288B">
            <w:r w:rsidRPr="00E86819">
              <w:t>1.15</w:t>
            </w: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E86819" w:rsidRDefault="001D26BC" w:rsidP="00A1288B">
            <w:r w:rsidRPr="00E86819">
              <w:t>3.49</w:t>
            </w: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E86819" w:rsidRDefault="001D26BC" w:rsidP="00A1288B">
            <w:r w:rsidRPr="00E86819">
              <w:t>4.64</w:t>
            </w:r>
          </w:p>
        </w:tc>
      </w:tr>
      <w:tr w:rsidR="001D26BC" w:rsidRPr="00E46AFA"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E46AFA" w:rsidRDefault="001D26BC" w:rsidP="00A1288B">
            <w:r w:rsidRPr="00E46AFA">
              <w:t>Darba algu stimuls vietējā ekonomikā</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milj. LVL</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E86819" w:rsidRDefault="001D26BC" w:rsidP="00A1288B">
            <w:r w:rsidRPr="00E86819">
              <w:t>0.26</w:t>
            </w: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E86819" w:rsidRDefault="001D26BC" w:rsidP="00A1288B">
            <w:r w:rsidRPr="00E86819">
              <w:t>0.69</w:t>
            </w: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E86819" w:rsidRDefault="001D26BC" w:rsidP="00A1288B">
            <w:r w:rsidRPr="00E86819">
              <w:t>0.95</w:t>
            </w:r>
          </w:p>
        </w:tc>
      </w:tr>
    </w:tbl>
    <w:p w:rsidR="001D26BC" w:rsidRDefault="001D26BC" w:rsidP="001D26BC"/>
    <w:p w:rsidR="001D26BC" w:rsidRPr="00E0137E" w:rsidRDefault="001D26BC" w:rsidP="001D26BC">
      <w:pPr>
        <w:ind w:firstLine="720"/>
        <w:jc w:val="both"/>
        <w:rPr>
          <w:sz w:val="28"/>
        </w:rPr>
      </w:pPr>
      <w:r w:rsidRPr="00E0137E">
        <w:rPr>
          <w:sz w:val="28"/>
        </w:rPr>
        <w:t>EKA tiešo kontraktu un apgrozījuma multiplikatora ietekmē kosmosa nozares apgrozījums varētu pieaugt par aptuveni 7.5 milj. latu vidēji gadā, kopumā gandrīz vai četrkāršojot bāzes scenārija apgrozījumu līdz kopumā 10.3 milj. latu, kā arī, nodrošinot papildus nodarbinātību EKA ietekmē 268 pilna laika darba vietām, sasniedzot kopējo nodarbināto skaitu kosmosa nozarē 375 cilvēku vidēji gadā.</w:t>
      </w:r>
    </w:p>
    <w:p w:rsidR="001D26BC" w:rsidRPr="00222F4E" w:rsidRDefault="001D26BC" w:rsidP="001D26BC">
      <w:pPr>
        <w:pStyle w:val="Heading3"/>
      </w:pPr>
      <w:bookmarkStart w:id="129" w:name="_Toc302987966"/>
      <w:bookmarkStart w:id="130" w:name="_Toc303176615"/>
      <w:r w:rsidRPr="00222F4E">
        <w:t>Scenārijs 3</w:t>
      </w:r>
      <w:bookmarkEnd w:id="129"/>
      <w:bookmarkEnd w:id="130"/>
    </w:p>
    <w:p w:rsidR="001D26BC" w:rsidRDefault="001D26BC" w:rsidP="001D26BC">
      <w:pPr>
        <w:ind w:firstLine="720"/>
        <w:jc w:val="both"/>
        <w:rPr>
          <w:sz w:val="28"/>
        </w:rPr>
      </w:pPr>
      <w:r w:rsidRPr="00E0137E">
        <w:rPr>
          <w:sz w:val="28"/>
        </w:rPr>
        <w:t>Scenārijā 3 aplūkota alternatīva, kad Latvija pēc pirmās piecgades neturpina turpmāku sadarbību ar EKA ne sadarbības, ne dalībvalsts statusā.</w:t>
      </w:r>
    </w:p>
    <w:p w:rsidR="001D26BC" w:rsidRDefault="001D26BC" w:rsidP="001D26BC">
      <w:pPr>
        <w:ind w:firstLine="720"/>
        <w:jc w:val="both"/>
        <w:rPr>
          <w:sz w:val="28"/>
        </w:rPr>
      </w:pPr>
    </w:p>
    <w:p w:rsidR="001D26BC" w:rsidRPr="00256918" w:rsidRDefault="001D26BC" w:rsidP="001D26BC">
      <w:pPr>
        <w:pStyle w:val="Heading4"/>
      </w:pPr>
      <w:r w:rsidRPr="00256918">
        <w:t>Izdevumi</w:t>
      </w:r>
    </w:p>
    <w:p w:rsidR="001D26BC" w:rsidRDefault="001D26BC" w:rsidP="001D26BC">
      <w:pPr>
        <w:ind w:firstLine="720"/>
        <w:jc w:val="both"/>
        <w:rPr>
          <w:sz w:val="28"/>
        </w:rPr>
      </w:pPr>
      <w:r w:rsidRPr="00E0137E">
        <w:rPr>
          <w:sz w:val="28"/>
        </w:rPr>
        <w:t xml:space="preserve">Tabulā zemāk redzams, ka Scenārijā 3 valsts budžeta izdevumi izteikti 2011.gada salīdzināmās cenās vidēji gadā (pirmo piecu gadu periodā) ir tādi paši, kā Scenārijā 1. </w:t>
      </w:r>
    </w:p>
    <w:p w:rsidR="001D26BC" w:rsidRPr="00E0137E" w:rsidRDefault="001D26BC" w:rsidP="001D26BC">
      <w:pPr>
        <w:jc w:val="both"/>
        <w:rPr>
          <w:sz w:val="28"/>
        </w:rPr>
      </w:pPr>
    </w:p>
    <w:p w:rsidR="001D26BC" w:rsidRPr="000C6F84" w:rsidRDefault="001D26BC" w:rsidP="001D26BC">
      <w:pPr>
        <w:pStyle w:val="Caption"/>
        <w:jc w:val="both"/>
        <w:rPr>
          <w:i/>
        </w:rPr>
      </w:pPr>
      <w:r w:rsidRPr="000C6F84">
        <w:rPr>
          <w:i/>
        </w:rPr>
        <w:lastRenderedPageBreak/>
        <w:t xml:space="preserve">Tabula </w:t>
      </w:r>
      <w:r w:rsidR="00277129" w:rsidRPr="000C6F84">
        <w:rPr>
          <w:i/>
        </w:rPr>
        <w:fldChar w:fldCharType="begin"/>
      </w:r>
      <w:r w:rsidR="00EC68B2" w:rsidRPr="000C6F84">
        <w:rPr>
          <w:i/>
        </w:rPr>
        <w:instrText xml:space="preserve"> SEQ Tabula \* ARABIC </w:instrText>
      </w:r>
      <w:r w:rsidR="00277129" w:rsidRPr="000C6F84">
        <w:rPr>
          <w:i/>
        </w:rPr>
        <w:fldChar w:fldCharType="separate"/>
      </w:r>
      <w:r w:rsidR="00885249">
        <w:rPr>
          <w:i/>
          <w:noProof/>
        </w:rPr>
        <w:t>7</w:t>
      </w:r>
      <w:r w:rsidR="00277129" w:rsidRPr="000C6F84">
        <w:rPr>
          <w:i/>
        </w:rPr>
        <w:fldChar w:fldCharType="end"/>
      </w:r>
      <w:r w:rsidRPr="000C6F84">
        <w:rPr>
          <w:i/>
        </w:rPr>
        <w:t>, Valsts budžeta izdevumi Scenārijā 3, vidēji gadā.</w:t>
      </w:r>
    </w:p>
    <w:tbl>
      <w:tblPr>
        <w:tblW w:w="8664" w:type="dxa"/>
        <w:tblInd w:w="91" w:type="dxa"/>
        <w:tblLook w:val="04A0"/>
      </w:tblPr>
      <w:tblGrid>
        <w:gridCol w:w="3678"/>
        <w:gridCol w:w="1114"/>
        <w:gridCol w:w="1157"/>
        <w:gridCol w:w="1227"/>
        <w:gridCol w:w="1526"/>
      </w:tblGrid>
      <w:tr w:rsidR="001D26BC" w:rsidRPr="009A4F0E" w:rsidTr="00A1288B">
        <w:trPr>
          <w:trHeight w:val="315"/>
        </w:trPr>
        <w:tc>
          <w:tcPr>
            <w:tcW w:w="4792" w:type="dxa"/>
            <w:gridSpan w:val="2"/>
            <w:tcBorders>
              <w:top w:val="single" w:sz="4" w:space="0" w:color="auto"/>
              <w:left w:val="single" w:sz="4" w:space="0" w:color="auto"/>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VALSTS BUDŽETA IZDEVUMI</w:t>
            </w:r>
          </w:p>
        </w:tc>
        <w:tc>
          <w:tcPr>
            <w:tcW w:w="1157" w:type="dxa"/>
            <w:tcBorders>
              <w:top w:val="single" w:sz="4" w:space="0" w:color="auto"/>
              <w:left w:val="nil"/>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 </w:t>
            </w:r>
          </w:p>
        </w:tc>
        <w:tc>
          <w:tcPr>
            <w:tcW w:w="1227" w:type="dxa"/>
            <w:tcBorders>
              <w:top w:val="single" w:sz="4" w:space="0" w:color="auto"/>
              <w:left w:val="nil"/>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 </w:t>
            </w:r>
          </w:p>
        </w:tc>
        <w:tc>
          <w:tcPr>
            <w:tcW w:w="1488" w:type="dxa"/>
            <w:tcBorders>
              <w:top w:val="single" w:sz="4" w:space="0" w:color="auto"/>
              <w:left w:val="nil"/>
              <w:bottom w:val="single" w:sz="4" w:space="0" w:color="auto"/>
              <w:right w:val="single" w:sz="4" w:space="0" w:color="auto"/>
            </w:tcBorders>
            <w:shd w:val="clear" w:color="000000" w:fill="D8D8D8"/>
            <w:noWrap/>
            <w:vAlign w:val="bottom"/>
            <w:hideMark/>
          </w:tcPr>
          <w:p w:rsidR="001D26BC" w:rsidRPr="009A4F0E" w:rsidRDefault="001D26BC" w:rsidP="00A1288B">
            <w:pPr>
              <w:rPr>
                <w:b/>
              </w:rPr>
            </w:pPr>
            <w:r w:rsidRPr="009A4F0E">
              <w:rPr>
                <w:b/>
              </w:rPr>
              <w:t> </w:t>
            </w:r>
          </w:p>
        </w:tc>
      </w:tr>
      <w:tr w:rsidR="001D26BC" w:rsidRPr="009A4F0E" w:rsidTr="00A1288B">
        <w:trPr>
          <w:trHeight w:val="315"/>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Bāze</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EKA izmaksas</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Kopā (</w:t>
            </w:r>
            <w:proofErr w:type="spellStart"/>
            <w:r w:rsidRPr="009A4F0E">
              <w:rPr>
                <w:b/>
              </w:rPr>
              <w:t>Bāze+EKA</w:t>
            </w:r>
            <w:proofErr w:type="spellEnd"/>
            <w:r w:rsidRPr="009A4F0E">
              <w:rPr>
                <w:b/>
              </w:rPr>
              <w:t>)</w:t>
            </w:r>
          </w:p>
        </w:tc>
      </w:tr>
      <w:tr w:rsidR="001D26BC" w:rsidRPr="009A4F0E" w:rsidTr="00A1288B">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Izdevumi – KOPĀ</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milj. LVL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0.88</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0.88</w:t>
            </w:r>
          </w:p>
        </w:tc>
      </w:tr>
      <w:tr w:rsidR="001D26BC" w:rsidRPr="00E46AFA" w:rsidTr="00A1288B">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E46AFA" w:rsidRDefault="001D26BC" w:rsidP="00A1288B">
            <w:r w:rsidRPr="00E46AFA">
              <w:t>EKA sadarbības/dalības valsts maksa</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milj. LVL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0.87</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0.87</w:t>
            </w:r>
          </w:p>
        </w:tc>
      </w:tr>
      <w:tr w:rsidR="001D26BC" w:rsidRPr="00E46AFA" w:rsidTr="00A1288B">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E46AFA" w:rsidRDefault="001D26BC" w:rsidP="00A1288B">
            <w:r w:rsidRPr="00E46AFA">
              <w:t>EKA koordinēšana Latvijā</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milj. LVL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0.01</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1D26BC" w:rsidRPr="001E4530" w:rsidRDefault="001D26BC" w:rsidP="00A1288B">
            <w:r w:rsidRPr="001E4530">
              <w:t>0.01</w:t>
            </w:r>
          </w:p>
        </w:tc>
      </w:tr>
    </w:tbl>
    <w:p w:rsidR="001D26BC" w:rsidRPr="00E0137E" w:rsidRDefault="001D26BC" w:rsidP="001D26BC">
      <w:pPr>
        <w:pStyle w:val="Heading3"/>
      </w:pPr>
      <w:bookmarkStart w:id="131" w:name="_Toc303176616"/>
      <w:r w:rsidRPr="00E0137E">
        <w:t>Ieguvumi</w:t>
      </w:r>
      <w:bookmarkEnd w:id="131"/>
    </w:p>
    <w:p w:rsidR="001D26BC" w:rsidRPr="000C6F84" w:rsidRDefault="001D26BC" w:rsidP="001D26BC">
      <w:pPr>
        <w:pStyle w:val="Caption"/>
        <w:rPr>
          <w:i/>
        </w:rPr>
      </w:pPr>
      <w:r w:rsidRPr="000C6F84">
        <w:rPr>
          <w:i/>
        </w:rPr>
        <w:t xml:space="preserve">Tabula </w:t>
      </w:r>
      <w:r w:rsidR="00277129" w:rsidRPr="000C6F84">
        <w:rPr>
          <w:i/>
        </w:rPr>
        <w:fldChar w:fldCharType="begin"/>
      </w:r>
      <w:r w:rsidR="00EC68B2" w:rsidRPr="000C6F84">
        <w:rPr>
          <w:i/>
        </w:rPr>
        <w:instrText xml:space="preserve"> SEQ Tabula \* ARABIC </w:instrText>
      </w:r>
      <w:r w:rsidR="00277129" w:rsidRPr="000C6F84">
        <w:rPr>
          <w:i/>
        </w:rPr>
        <w:fldChar w:fldCharType="separate"/>
      </w:r>
      <w:r w:rsidR="00885249">
        <w:rPr>
          <w:i/>
          <w:noProof/>
        </w:rPr>
        <w:t>8</w:t>
      </w:r>
      <w:r w:rsidR="00277129" w:rsidRPr="000C6F84">
        <w:rPr>
          <w:i/>
        </w:rPr>
        <w:fldChar w:fldCharType="end"/>
      </w:r>
      <w:r w:rsidRPr="000C6F84">
        <w:rPr>
          <w:i/>
        </w:rPr>
        <w:t>, Ietekme uz nozari un tautsaimniecību Scenārijā 3, vidēji gadā.</w:t>
      </w:r>
    </w:p>
    <w:tbl>
      <w:tblPr>
        <w:tblW w:w="8664" w:type="dxa"/>
        <w:tblInd w:w="91" w:type="dxa"/>
        <w:tblLook w:val="04A0"/>
      </w:tblPr>
      <w:tblGrid>
        <w:gridCol w:w="3678"/>
        <w:gridCol w:w="1197"/>
        <w:gridCol w:w="1157"/>
        <w:gridCol w:w="1227"/>
        <w:gridCol w:w="1526"/>
      </w:tblGrid>
      <w:tr w:rsidR="001D26BC" w:rsidRPr="009A4F0E" w:rsidTr="00A1288B">
        <w:trPr>
          <w:trHeight w:val="315"/>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Bāze</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EKA ieguvums</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Kopā (</w:t>
            </w:r>
            <w:proofErr w:type="spellStart"/>
            <w:r w:rsidRPr="009A4F0E">
              <w:rPr>
                <w:b/>
              </w:rPr>
              <w:t>Bāze+EKA</w:t>
            </w:r>
            <w:proofErr w:type="spellEnd"/>
            <w:r w:rsidRPr="009A4F0E">
              <w:rPr>
                <w:b/>
              </w:rPr>
              <w:t>)</w:t>
            </w:r>
          </w:p>
        </w:tc>
      </w:tr>
      <w:tr w:rsidR="001D26BC" w:rsidRPr="009A4F0E" w:rsidTr="00A1288B">
        <w:trPr>
          <w:trHeight w:val="315"/>
        </w:trPr>
        <w:tc>
          <w:tcPr>
            <w:tcW w:w="4873" w:type="dxa"/>
            <w:gridSpan w:val="2"/>
            <w:tcBorders>
              <w:top w:val="single" w:sz="4" w:space="0" w:color="auto"/>
              <w:left w:val="single" w:sz="4" w:space="0" w:color="auto"/>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IETEKME UZ KOSMOSA NOZARI:</w:t>
            </w:r>
          </w:p>
        </w:tc>
        <w:tc>
          <w:tcPr>
            <w:tcW w:w="1157" w:type="dxa"/>
            <w:tcBorders>
              <w:top w:val="nil"/>
              <w:left w:val="nil"/>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 </w:t>
            </w:r>
          </w:p>
        </w:tc>
        <w:tc>
          <w:tcPr>
            <w:tcW w:w="1227" w:type="dxa"/>
            <w:tcBorders>
              <w:top w:val="nil"/>
              <w:left w:val="nil"/>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 </w:t>
            </w:r>
          </w:p>
        </w:tc>
        <w:tc>
          <w:tcPr>
            <w:tcW w:w="1407" w:type="dxa"/>
            <w:tcBorders>
              <w:top w:val="nil"/>
              <w:left w:val="nil"/>
              <w:bottom w:val="single" w:sz="4" w:space="0" w:color="auto"/>
              <w:right w:val="single" w:sz="4" w:space="0" w:color="auto"/>
            </w:tcBorders>
            <w:shd w:val="clear" w:color="000000" w:fill="D8D8D8"/>
            <w:noWrap/>
            <w:vAlign w:val="bottom"/>
            <w:hideMark/>
          </w:tcPr>
          <w:p w:rsidR="001D26BC" w:rsidRPr="009A4F0E" w:rsidRDefault="001D26BC" w:rsidP="00A1288B">
            <w:pPr>
              <w:rPr>
                <w:b/>
              </w:rPr>
            </w:pPr>
            <w:r w:rsidRPr="009A4F0E">
              <w:rPr>
                <w:b/>
              </w:rPr>
              <w:t> </w:t>
            </w:r>
          </w:p>
        </w:tc>
      </w:tr>
      <w:tr w:rsidR="001D26BC" w:rsidRPr="009A4F0E"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Pr>
                <w:b/>
              </w:rPr>
              <w:t>Apgrozījums kosmosa nozarē</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milj. LVL</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2.82</w:t>
            </w: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1.88</w:t>
            </w: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8.03</w:t>
            </w:r>
          </w:p>
        </w:tc>
      </w:tr>
      <w:tr w:rsidR="001D26BC" w:rsidRPr="009A4F0E"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r>
      <w:tr w:rsidR="001D26BC" w:rsidRPr="009A4F0E"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Darba vietas (pilna laika ekvivalents)</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proofErr w:type="spellStart"/>
            <w:r w:rsidRPr="009A4F0E">
              <w:rPr>
                <w:b/>
              </w:rPr>
              <w:t>cilv</w:t>
            </w:r>
            <w:proofErr w:type="spellEnd"/>
            <w:r w:rsidRPr="009A4F0E">
              <w:rPr>
                <w:b/>
              </w:rPr>
              <w:t>./gadā</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107</w:t>
            </w: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78</w:t>
            </w: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185</w:t>
            </w:r>
          </w:p>
        </w:tc>
      </w:tr>
      <w:tr w:rsidR="001D26BC" w:rsidRPr="009A4F0E"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p>
        </w:tc>
      </w:tr>
      <w:tr w:rsidR="001D26BC" w:rsidRPr="009A4F0E" w:rsidTr="00A1288B">
        <w:trPr>
          <w:trHeight w:val="315"/>
        </w:trPr>
        <w:tc>
          <w:tcPr>
            <w:tcW w:w="4873" w:type="dxa"/>
            <w:gridSpan w:val="2"/>
            <w:tcBorders>
              <w:top w:val="single" w:sz="4" w:space="0" w:color="auto"/>
              <w:left w:val="single" w:sz="4" w:space="0" w:color="auto"/>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IETEKME uz IKP:</w:t>
            </w:r>
          </w:p>
        </w:tc>
        <w:tc>
          <w:tcPr>
            <w:tcW w:w="1157" w:type="dxa"/>
            <w:tcBorders>
              <w:top w:val="nil"/>
              <w:left w:val="nil"/>
              <w:bottom w:val="single" w:sz="4" w:space="0" w:color="auto"/>
              <w:right w:val="nil"/>
            </w:tcBorders>
            <w:shd w:val="clear" w:color="000000" w:fill="D8D8D8"/>
            <w:noWrap/>
            <w:vAlign w:val="center"/>
            <w:hideMark/>
          </w:tcPr>
          <w:p w:rsidR="001D26BC" w:rsidRPr="009A4F0E" w:rsidRDefault="001D26BC" w:rsidP="00A1288B">
            <w:pPr>
              <w:rPr>
                <w:b/>
              </w:rPr>
            </w:pPr>
          </w:p>
        </w:tc>
        <w:tc>
          <w:tcPr>
            <w:tcW w:w="1227" w:type="dxa"/>
            <w:tcBorders>
              <w:top w:val="nil"/>
              <w:left w:val="nil"/>
              <w:bottom w:val="single" w:sz="4" w:space="0" w:color="auto"/>
              <w:right w:val="nil"/>
            </w:tcBorders>
            <w:shd w:val="clear" w:color="000000" w:fill="D8D8D8"/>
            <w:noWrap/>
            <w:vAlign w:val="center"/>
            <w:hideMark/>
          </w:tcPr>
          <w:p w:rsidR="001D26BC" w:rsidRPr="009A4F0E" w:rsidRDefault="001D26BC" w:rsidP="00A1288B">
            <w:pPr>
              <w:rPr>
                <w:b/>
              </w:rPr>
            </w:pPr>
          </w:p>
        </w:tc>
        <w:tc>
          <w:tcPr>
            <w:tcW w:w="1407" w:type="dxa"/>
            <w:tcBorders>
              <w:top w:val="nil"/>
              <w:left w:val="nil"/>
              <w:bottom w:val="single" w:sz="4" w:space="0" w:color="auto"/>
              <w:right w:val="single" w:sz="4" w:space="0" w:color="auto"/>
            </w:tcBorders>
            <w:shd w:val="clear" w:color="000000" w:fill="D8D8D8"/>
            <w:noWrap/>
            <w:vAlign w:val="center"/>
            <w:hideMark/>
          </w:tcPr>
          <w:p w:rsidR="001D26BC" w:rsidRPr="009A4F0E" w:rsidRDefault="001D26BC" w:rsidP="00A1288B">
            <w:pPr>
              <w:rPr>
                <w:b/>
              </w:rPr>
            </w:pPr>
          </w:p>
        </w:tc>
      </w:tr>
      <w:tr w:rsidR="001D26BC" w:rsidRPr="009A4F0E"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KOPĀ:</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milj. LVL</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1.41</w:t>
            </w: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1.01</w:t>
            </w: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9A4F0E" w:rsidRDefault="001D26BC" w:rsidP="00A1288B">
            <w:pPr>
              <w:rPr>
                <w:b/>
              </w:rPr>
            </w:pPr>
            <w:r w:rsidRPr="009A4F0E">
              <w:rPr>
                <w:b/>
              </w:rPr>
              <w:t>2.42</w:t>
            </w:r>
          </w:p>
        </w:tc>
      </w:tr>
      <w:tr w:rsidR="001D26BC" w:rsidRPr="00E46AFA"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E46AFA" w:rsidRDefault="001D26BC" w:rsidP="00A1288B">
            <w:r w:rsidRPr="00E46AFA">
              <w:t>Papildus P</w:t>
            </w:r>
            <w:r>
              <w:t>ievienotā Vērtība kosmosa nozarē</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milj. LVL</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E86819" w:rsidRDefault="001D26BC" w:rsidP="00A1288B">
            <w:r w:rsidRPr="00E86819">
              <w:t>1.15</w:t>
            </w: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E86819" w:rsidRDefault="001D26BC" w:rsidP="00A1288B">
            <w:r>
              <w:t>0.84</w:t>
            </w: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E86819" w:rsidRDefault="001D26BC" w:rsidP="00A1288B">
            <w:r>
              <w:t>1.99</w:t>
            </w:r>
          </w:p>
        </w:tc>
      </w:tr>
      <w:tr w:rsidR="001D26BC" w:rsidRPr="00E46AFA" w:rsidTr="00A1288B">
        <w:trPr>
          <w:trHeight w:val="300"/>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D26BC" w:rsidRPr="00E46AFA" w:rsidRDefault="001D26BC" w:rsidP="00A1288B">
            <w:r w:rsidRPr="00E46AFA">
              <w:t>Darba algu stimuls vietējā ekonomikā</w:t>
            </w:r>
          </w:p>
        </w:tc>
        <w:tc>
          <w:tcPr>
            <w:tcW w:w="1195" w:type="dxa"/>
            <w:tcBorders>
              <w:top w:val="nil"/>
              <w:left w:val="nil"/>
              <w:bottom w:val="single" w:sz="4" w:space="0" w:color="auto"/>
              <w:right w:val="single" w:sz="4" w:space="0" w:color="auto"/>
            </w:tcBorders>
            <w:shd w:val="clear" w:color="auto" w:fill="auto"/>
            <w:noWrap/>
            <w:vAlign w:val="bottom"/>
            <w:hideMark/>
          </w:tcPr>
          <w:p w:rsidR="001D26BC" w:rsidRPr="00E46AFA" w:rsidRDefault="001D26BC" w:rsidP="00A1288B">
            <w:r w:rsidRPr="00E46AFA">
              <w:t>milj. LVL</w:t>
            </w:r>
          </w:p>
        </w:tc>
        <w:tc>
          <w:tcPr>
            <w:tcW w:w="1157" w:type="dxa"/>
            <w:tcBorders>
              <w:top w:val="nil"/>
              <w:left w:val="nil"/>
              <w:bottom w:val="single" w:sz="4" w:space="0" w:color="auto"/>
              <w:right w:val="single" w:sz="4" w:space="0" w:color="auto"/>
            </w:tcBorders>
            <w:shd w:val="clear" w:color="auto" w:fill="auto"/>
            <w:noWrap/>
            <w:vAlign w:val="center"/>
            <w:hideMark/>
          </w:tcPr>
          <w:p w:rsidR="001D26BC" w:rsidRPr="00E86819" w:rsidRDefault="001D26BC" w:rsidP="00A1288B">
            <w:r w:rsidRPr="00E86819">
              <w:t>0.26</w:t>
            </w:r>
          </w:p>
        </w:tc>
        <w:tc>
          <w:tcPr>
            <w:tcW w:w="1227" w:type="dxa"/>
            <w:tcBorders>
              <w:top w:val="nil"/>
              <w:left w:val="nil"/>
              <w:bottom w:val="single" w:sz="4" w:space="0" w:color="auto"/>
              <w:right w:val="single" w:sz="4" w:space="0" w:color="auto"/>
            </w:tcBorders>
            <w:shd w:val="clear" w:color="auto" w:fill="auto"/>
            <w:noWrap/>
            <w:vAlign w:val="center"/>
            <w:hideMark/>
          </w:tcPr>
          <w:p w:rsidR="001D26BC" w:rsidRPr="00E86819" w:rsidRDefault="001D26BC" w:rsidP="00A1288B">
            <w:r>
              <w:t>0.17</w:t>
            </w:r>
          </w:p>
        </w:tc>
        <w:tc>
          <w:tcPr>
            <w:tcW w:w="1407" w:type="dxa"/>
            <w:tcBorders>
              <w:top w:val="nil"/>
              <w:left w:val="nil"/>
              <w:bottom w:val="single" w:sz="4" w:space="0" w:color="auto"/>
              <w:right w:val="single" w:sz="4" w:space="0" w:color="auto"/>
            </w:tcBorders>
            <w:shd w:val="clear" w:color="auto" w:fill="auto"/>
            <w:noWrap/>
            <w:vAlign w:val="center"/>
            <w:hideMark/>
          </w:tcPr>
          <w:p w:rsidR="001D26BC" w:rsidRPr="00E86819" w:rsidRDefault="001D26BC" w:rsidP="00A1288B">
            <w:r>
              <w:t>0.44</w:t>
            </w:r>
          </w:p>
        </w:tc>
      </w:tr>
    </w:tbl>
    <w:p w:rsidR="001D26BC" w:rsidRDefault="001D26BC" w:rsidP="001D26BC"/>
    <w:p w:rsidR="001D26BC" w:rsidRPr="00E0137E" w:rsidRDefault="001D26BC" w:rsidP="001D26BC">
      <w:pPr>
        <w:ind w:firstLine="360"/>
        <w:jc w:val="both"/>
        <w:rPr>
          <w:sz w:val="28"/>
        </w:rPr>
      </w:pPr>
      <w:r w:rsidRPr="00E0137E">
        <w:rPr>
          <w:sz w:val="28"/>
        </w:rPr>
        <w:t>Scenārijā 3 EKA sadarbības rezultātā papildus radītais vidējais gada apgrozījums ir tāds pats, kā Scenārijā 1, taču gada vidējais darba vietu skaits ir nedaudz lielāks, kas skaidrojams ar to, ka, sadarbojoties ar EKA tikai vienu piecgadi, nozare vēl nebauda produktivitātes un pievienotās vērības īpatsvara ieguvumus un nepieciešams nedaudz vairāk darbiniekus, lai spētu veidot tādu pašu apgrozījumu. Tas redzams arī pēc tā, ka EKA sadarbības rezultātā papildus radītā gada vidējā ietekme uz IKP 1.01 milj. latu apmērā ir neaudz mazāka, kā Scenārijā 1.</w:t>
      </w:r>
    </w:p>
    <w:p w:rsidR="001D26BC" w:rsidRDefault="001D26BC" w:rsidP="001D26BC">
      <w:bookmarkStart w:id="132" w:name="_Toc302987967"/>
    </w:p>
    <w:p w:rsidR="001D26BC" w:rsidRPr="00915C94" w:rsidRDefault="001D26BC" w:rsidP="001D26BC">
      <w:pPr>
        <w:pStyle w:val="Heading3"/>
      </w:pPr>
      <w:bookmarkStart w:id="133" w:name="_Toc303176617"/>
      <w:r w:rsidRPr="00915C94">
        <w:t>Valsts budžeta izdevumi un investīciju atdeve - Scenāriju 0, 1, 2, 3, kopsavilkums</w:t>
      </w:r>
      <w:bookmarkEnd w:id="132"/>
      <w:bookmarkEnd w:id="133"/>
    </w:p>
    <w:p w:rsidR="001D26BC" w:rsidRPr="00D1477C" w:rsidRDefault="001D26BC" w:rsidP="001D26BC">
      <w:pPr>
        <w:rPr>
          <w:i/>
        </w:rPr>
      </w:pPr>
    </w:p>
    <w:p w:rsidR="001D26BC" w:rsidRPr="00D1477C" w:rsidRDefault="001D26BC" w:rsidP="001D26BC">
      <w:pPr>
        <w:pStyle w:val="Caption"/>
        <w:rPr>
          <w:i/>
        </w:rPr>
      </w:pPr>
      <w:r w:rsidRPr="00D1477C">
        <w:rPr>
          <w:i/>
        </w:rPr>
        <w:t xml:space="preserve">Tabula </w:t>
      </w:r>
      <w:r w:rsidR="00277129" w:rsidRPr="00D1477C">
        <w:rPr>
          <w:i/>
        </w:rPr>
        <w:fldChar w:fldCharType="begin"/>
      </w:r>
      <w:r w:rsidR="00EC68B2" w:rsidRPr="00D1477C">
        <w:rPr>
          <w:i/>
        </w:rPr>
        <w:instrText xml:space="preserve"> SEQ Tabula \* ARABIC </w:instrText>
      </w:r>
      <w:r w:rsidR="00277129" w:rsidRPr="00D1477C">
        <w:rPr>
          <w:i/>
        </w:rPr>
        <w:fldChar w:fldCharType="separate"/>
      </w:r>
      <w:r w:rsidR="00885249">
        <w:rPr>
          <w:i/>
          <w:noProof/>
        </w:rPr>
        <w:t>9</w:t>
      </w:r>
      <w:r w:rsidR="00277129" w:rsidRPr="00D1477C">
        <w:rPr>
          <w:i/>
        </w:rPr>
        <w:fldChar w:fldCharType="end"/>
      </w:r>
      <w:r w:rsidRPr="00D1477C">
        <w:rPr>
          <w:i/>
        </w:rPr>
        <w:t>, Valsts budžeta izdevumu un ekonomiskās analīzes investīciju atdeves rādītāju salīdzinājums starp scenārijiem, diskonta likme r=5.5%.</w:t>
      </w:r>
    </w:p>
    <w:tbl>
      <w:tblPr>
        <w:tblW w:w="5000" w:type="pct"/>
        <w:tblLook w:val="04A0"/>
      </w:tblPr>
      <w:tblGrid>
        <w:gridCol w:w="4353"/>
        <w:gridCol w:w="1457"/>
        <w:gridCol w:w="695"/>
        <w:gridCol w:w="642"/>
        <w:gridCol w:w="739"/>
        <w:gridCol w:w="642"/>
      </w:tblGrid>
      <w:tr w:rsidR="001D26BC" w:rsidRPr="009A4F0E" w:rsidTr="00A1288B">
        <w:trPr>
          <w:trHeight w:val="600"/>
        </w:trPr>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lastRenderedPageBreak/>
              <w:t> </w:t>
            </w:r>
          </w:p>
        </w:tc>
        <w:tc>
          <w:tcPr>
            <w:tcW w:w="770" w:type="pct"/>
            <w:tcBorders>
              <w:top w:val="single" w:sz="4" w:space="0" w:color="auto"/>
              <w:left w:val="nil"/>
              <w:bottom w:val="single" w:sz="4" w:space="0" w:color="auto"/>
              <w:right w:val="single" w:sz="4" w:space="0" w:color="auto"/>
            </w:tcBorders>
            <w:shd w:val="clear" w:color="auto" w:fill="auto"/>
            <w:noWrap/>
            <w:vAlign w:val="bottom"/>
            <w:hideMark/>
          </w:tcPr>
          <w:p w:rsidR="001D26BC" w:rsidRPr="009A4F0E" w:rsidRDefault="001D26BC" w:rsidP="00A1288B">
            <w:pPr>
              <w:rPr>
                <w:b/>
              </w:rPr>
            </w:pPr>
            <w:r w:rsidRPr="009A4F0E">
              <w:rPr>
                <w:b/>
              </w:rPr>
              <w:t>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D26BC" w:rsidRPr="009A4F0E" w:rsidRDefault="001D26BC" w:rsidP="00A1288B">
            <w:pPr>
              <w:rPr>
                <w:b/>
              </w:rPr>
            </w:pPr>
            <w:r w:rsidRPr="009A4F0E">
              <w:rPr>
                <w:b/>
              </w:rPr>
              <w:t>S0 Bāze</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D26BC" w:rsidRPr="009A4F0E" w:rsidRDefault="001D26BC" w:rsidP="00A1288B">
            <w:pPr>
              <w:rPr>
                <w:b/>
              </w:rPr>
            </w:pPr>
            <w:r w:rsidRPr="009A4F0E">
              <w:rPr>
                <w:b/>
              </w:rPr>
              <w:t>S1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D26BC" w:rsidRPr="009A4F0E" w:rsidRDefault="001D26BC" w:rsidP="00A1288B">
            <w:pPr>
              <w:rPr>
                <w:b/>
              </w:rPr>
            </w:pPr>
            <w:r w:rsidRPr="009A4F0E">
              <w:rPr>
                <w:b/>
              </w:rPr>
              <w:t>S2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D26BC" w:rsidRPr="009A4F0E" w:rsidRDefault="001D26BC" w:rsidP="00A1288B">
            <w:pPr>
              <w:rPr>
                <w:b/>
              </w:rPr>
            </w:pPr>
            <w:r w:rsidRPr="009A4F0E">
              <w:rPr>
                <w:b/>
              </w:rPr>
              <w:t>S3</w:t>
            </w:r>
          </w:p>
        </w:tc>
      </w:tr>
      <w:tr w:rsidR="001D26BC" w:rsidRPr="00CC553E" w:rsidTr="00A1288B">
        <w:trPr>
          <w:trHeight w:val="315"/>
        </w:trPr>
        <w:tc>
          <w:tcPr>
            <w:tcW w:w="3076" w:type="pct"/>
            <w:gridSpan w:val="2"/>
            <w:tcBorders>
              <w:top w:val="single" w:sz="4" w:space="0" w:color="auto"/>
              <w:left w:val="single" w:sz="4" w:space="0" w:color="auto"/>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VALSTS BUDŽETA IZDEVUMI (kopsumma 15 gados)</w:t>
            </w:r>
          </w:p>
        </w:tc>
        <w:tc>
          <w:tcPr>
            <w:tcW w:w="481" w:type="pct"/>
            <w:tcBorders>
              <w:top w:val="nil"/>
              <w:left w:val="nil"/>
              <w:bottom w:val="single" w:sz="4" w:space="0" w:color="auto"/>
              <w:right w:val="nil"/>
            </w:tcBorders>
            <w:shd w:val="clear" w:color="000000" w:fill="D8D8D8"/>
            <w:noWrap/>
            <w:vAlign w:val="bottom"/>
            <w:hideMark/>
          </w:tcPr>
          <w:p w:rsidR="001D26BC" w:rsidRPr="00CC553E" w:rsidRDefault="001D26BC" w:rsidP="00A1288B">
            <w:r w:rsidRPr="00CC553E">
              <w:t> </w:t>
            </w:r>
          </w:p>
        </w:tc>
        <w:tc>
          <w:tcPr>
            <w:tcW w:w="481" w:type="pct"/>
            <w:tcBorders>
              <w:top w:val="nil"/>
              <w:left w:val="nil"/>
              <w:bottom w:val="single" w:sz="4" w:space="0" w:color="auto"/>
              <w:right w:val="nil"/>
            </w:tcBorders>
            <w:shd w:val="clear" w:color="000000" w:fill="D8D8D8"/>
            <w:noWrap/>
            <w:vAlign w:val="bottom"/>
            <w:hideMark/>
          </w:tcPr>
          <w:p w:rsidR="001D26BC" w:rsidRPr="00CC553E" w:rsidRDefault="001D26BC" w:rsidP="00A1288B">
            <w:r w:rsidRPr="00CC553E">
              <w:t> </w:t>
            </w:r>
          </w:p>
        </w:tc>
        <w:tc>
          <w:tcPr>
            <w:tcW w:w="481" w:type="pct"/>
            <w:tcBorders>
              <w:top w:val="nil"/>
              <w:left w:val="nil"/>
              <w:bottom w:val="single" w:sz="4" w:space="0" w:color="auto"/>
              <w:right w:val="nil"/>
            </w:tcBorders>
            <w:shd w:val="clear" w:color="000000" w:fill="D8D8D8"/>
            <w:noWrap/>
            <w:vAlign w:val="bottom"/>
            <w:hideMark/>
          </w:tcPr>
          <w:p w:rsidR="001D26BC" w:rsidRPr="00CC553E" w:rsidRDefault="001D26BC" w:rsidP="00A1288B">
            <w:r w:rsidRPr="00CC553E">
              <w:t> </w:t>
            </w:r>
          </w:p>
        </w:tc>
        <w:tc>
          <w:tcPr>
            <w:tcW w:w="481" w:type="pct"/>
            <w:tcBorders>
              <w:top w:val="nil"/>
              <w:left w:val="nil"/>
              <w:bottom w:val="single" w:sz="4" w:space="0" w:color="auto"/>
              <w:right w:val="single" w:sz="4" w:space="0" w:color="auto"/>
            </w:tcBorders>
            <w:shd w:val="clear" w:color="000000" w:fill="D8D8D8"/>
            <w:noWrap/>
            <w:vAlign w:val="bottom"/>
            <w:hideMark/>
          </w:tcPr>
          <w:p w:rsidR="001D26BC" w:rsidRPr="00CC553E" w:rsidRDefault="001D26BC" w:rsidP="00A1288B">
            <w:r w:rsidRPr="00CC553E">
              <w:t> </w:t>
            </w:r>
          </w:p>
        </w:tc>
      </w:tr>
      <w:tr w:rsidR="001D26BC" w:rsidRPr="00CC553E" w:rsidTr="00A1288B">
        <w:trPr>
          <w:trHeight w:val="300"/>
        </w:trPr>
        <w:tc>
          <w:tcPr>
            <w:tcW w:w="2306" w:type="pct"/>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i/>
              </w:rPr>
            </w:pPr>
            <w:r w:rsidRPr="009A4F0E">
              <w:rPr>
                <w:b/>
                <w:i/>
              </w:rPr>
              <w:t>Tagadnes vērtība (2011.g. cenās)</w:t>
            </w:r>
          </w:p>
          <w:p w:rsidR="001D26BC" w:rsidRPr="009A4F0E" w:rsidRDefault="001D26BC" w:rsidP="00A1288B">
            <w:pPr>
              <w:rPr>
                <w:b/>
                <w:i/>
              </w:rPr>
            </w:pPr>
          </w:p>
        </w:tc>
        <w:tc>
          <w:tcPr>
            <w:tcW w:w="770"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CC553E">
              <w:t>milj. LVL</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0</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t>6</w:t>
            </w:r>
            <w:r w:rsidRPr="00856D05">
              <w:t>.</w:t>
            </w:r>
            <w:r>
              <w:t>65</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t>21</w:t>
            </w:r>
            <w:r w:rsidRPr="00856D05">
              <w:t>.</w:t>
            </w:r>
            <w:r>
              <w:t>97</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t>3.77</w:t>
            </w:r>
          </w:p>
        </w:tc>
      </w:tr>
      <w:tr w:rsidR="001D26BC" w:rsidRPr="00CC553E" w:rsidTr="00A1288B">
        <w:trPr>
          <w:trHeight w:val="315"/>
        </w:trPr>
        <w:tc>
          <w:tcPr>
            <w:tcW w:w="3076" w:type="pct"/>
            <w:gridSpan w:val="2"/>
            <w:tcBorders>
              <w:top w:val="single" w:sz="4" w:space="0" w:color="auto"/>
              <w:left w:val="single" w:sz="4" w:space="0" w:color="auto"/>
              <w:bottom w:val="single" w:sz="4" w:space="0" w:color="auto"/>
              <w:right w:val="nil"/>
            </w:tcBorders>
            <w:shd w:val="clear" w:color="000000" w:fill="D8D8D8"/>
            <w:noWrap/>
            <w:vAlign w:val="bottom"/>
            <w:hideMark/>
          </w:tcPr>
          <w:p w:rsidR="001D26BC" w:rsidRPr="009A4F0E" w:rsidRDefault="001D26BC" w:rsidP="00A1288B">
            <w:pPr>
              <w:rPr>
                <w:b/>
              </w:rPr>
            </w:pPr>
            <w:r w:rsidRPr="009A4F0E">
              <w:rPr>
                <w:b/>
              </w:rPr>
              <w:t>INVESTĪCIJU ATDEVE</w:t>
            </w:r>
          </w:p>
        </w:tc>
        <w:tc>
          <w:tcPr>
            <w:tcW w:w="481" w:type="pct"/>
            <w:tcBorders>
              <w:top w:val="nil"/>
              <w:left w:val="nil"/>
              <w:bottom w:val="single" w:sz="4" w:space="0" w:color="auto"/>
              <w:right w:val="nil"/>
            </w:tcBorders>
            <w:shd w:val="clear" w:color="000000" w:fill="D8D8D8"/>
            <w:noWrap/>
            <w:vAlign w:val="bottom"/>
            <w:hideMark/>
          </w:tcPr>
          <w:p w:rsidR="001D26BC" w:rsidRPr="00CC553E" w:rsidRDefault="001D26BC" w:rsidP="00A1288B">
            <w:r w:rsidRPr="00CC553E">
              <w:t> </w:t>
            </w:r>
          </w:p>
        </w:tc>
        <w:tc>
          <w:tcPr>
            <w:tcW w:w="481" w:type="pct"/>
            <w:tcBorders>
              <w:top w:val="nil"/>
              <w:left w:val="nil"/>
              <w:bottom w:val="single" w:sz="4" w:space="0" w:color="auto"/>
              <w:right w:val="nil"/>
            </w:tcBorders>
            <w:shd w:val="clear" w:color="000000" w:fill="D8D8D8"/>
            <w:noWrap/>
            <w:vAlign w:val="bottom"/>
            <w:hideMark/>
          </w:tcPr>
          <w:p w:rsidR="001D26BC" w:rsidRPr="00CC553E" w:rsidRDefault="001D26BC" w:rsidP="00A1288B">
            <w:r w:rsidRPr="00CC553E">
              <w:t> </w:t>
            </w:r>
          </w:p>
        </w:tc>
        <w:tc>
          <w:tcPr>
            <w:tcW w:w="481" w:type="pct"/>
            <w:tcBorders>
              <w:top w:val="nil"/>
              <w:left w:val="nil"/>
              <w:bottom w:val="single" w:sz="4" w:space="0" w:color="auto"/>
              <w:right w:val="nil"/>
            </w:tcBorders>
            <w:shd w:val="clear" w:color="000000" w:fill="D8D8D8"/>
            <w:noWrap/>
            <w:vAlign w:val="bottom"/>
            <w:hideMark/>
          </w:tcPr>
          <w:p w:rsidR="001D26BC" w:rsidRPr="00CC553E" w:rsidRDefault="001D26BC" w:rsidP="00A1288B">
            <w:r w:rsidRPr="00CC553E">
              <w:t> </w:t>
            </w:r>
          </w:p>
        </w:tc>
        <w:tc>
          <w:tcPr>
            <w:tcW w:w="481" w:type="pct"/>
            <w:tcBorders>
              <w:top w:val="nil"/>
              <w:left w:val="nil"/>
              <w:bottom w:val="single" w:sz="4" w:space="0" w:color="auto"/>
              <w:right w:val="single" w:sz="4" w:space="0" w:color="auto"/>
            </w:tcBorders>
            <w:shd w:val="clear" w:color="000000" w:fill="D8D8D8"/>
            <w:noWrap/>
            <w:vAlign w:val="bottom"/>
            <w:hideMark/>
          </w:tcPr>
          <w:p w:rsidR="001D26BC" w:rsidRPr="00CC553E" w:rsidRDefault="001D26BC" w:rsidP="00A1288B">
            <w:r w:rsidRPr="00CC553E">
              <w:t> </w:t>
            </w:r>
          </w:p>
        </w:tc>
      </w:tr>
      <w:tr w:rsidR="001D26BC" w:rsidRPr="00CC553E" w:rsidTr="00A1288B">
        <w:trPr>
          <w:trHeight w:val="300"/>
        </w:trPr>
        <w:tc>
          <w:tcPr>
            <w:tcW w:w="2306" w:type="pct"/>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i/>
              </w:rPr>
            </w:pPr>
            <w:r w:rsidRPr="009A4F0E">
              <w:rPr>
                <w:b/>
                <w:i/>
              </w:rPr>
              <w:t>ENPV (2011.g. cenās)</w:t>
            </w:r>
          </w:p>
          <w:p w:rsidR="001D26BC" w:rsidRPr="009A4F0E" w:rsidRDefault="001D26BC" w:rsidP="00A1288B">
            <w:pPr>
              <w:rPr>
                <w:b/>
                <w:i/>
              </w:rPr>
            </w:pPr>
            <w:r w:rsidRPr="009A4F0E">
              <w:rPr>
                <w:b/>
                <w:i/>
              </w:rPr>
              <w:t>(Tīrā tagadnes vērtība)</w:t>
            </w:r>
          </w:p>
        </w:tc>
        <w:tc>
          <w:tcPr>
            <w:tcW w:w="770"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CC553E">
              <w:t>milj. LVL</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0</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1.59</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10.10</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0.44</w:t>
            </w:r>
          </w:p>
        </w:tc>
      </w:tr>
      <w:tr w:rsidR="001D26BC" w:rsidRPr="00CC553E" w:rsidTr="00A1288B">
        <w:trPr>
          <w:trHeight w:val="300"/>
        </w:trPr>
        <w:tc>
          <w:tcPr>
            <w:tcW w:w="2306" w:type="pct"/>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i/>
              </w:rPr>
            </w:pPr>
            <w:r w:rsidRPr="009A4F0E">
              <w:rPr>
                <w:b/>
                <w:i/>
              </w:rPr>
              <w:t>EIRR</w:t>
            </w:r>
          </w:p>
          <w:p w:rsidR="001D26BC" w:rsidRPr="009A4F0E" w:rsidRDefault="001D26BC" w:rsidP="00A1288B">
            <w:pPr>
              <w:rPr>
                <w:b/>
                <w:i/>
              </w:rPr>
            </w:pPr>
            <w:r w:rsidRPr="009A4F0E">
              <w:rPr>
                <w:b/>
                <w:i/>
              </w:rPr>
              <w:t>(Iekšējā atdeves likme)</w:t>
            </w:r>
          </w:p>
        </w:tc>
        <w:tc>
          <w:tcPr>
            <w:tcW w:w="770"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CC553E">
              <w:t>%</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n/a</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39%</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55%</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33%</w:t>
            </w:r>
          </w:p>
        </w:tc>
      </w:tr>
      <w:tr w:rsidR="001D26BC" w:rsidRPr="00CC553E" w:rsidTr="00A1288B">
        <w:trPr>
          <w:trHeight w:val="300"/>
        </w:trPr>
        <w:tc>
          <w:tcPr>
            <w:tcW w:w="2306" w:type="pct"/>
            <w:tcBorders>
              <w:top w:val="nil"/>
              <w:left w:val="single" w:sz="4" w:space="0" w:color="auto"/>
              <w:bottom w:val="single" w:sz="4" w:space="0" w:color="auto"/>
              <w:right w:val="single" w:sz="4" w:space="0" w:color="auto"/>
            </w:tcBorders>
            <w:shd w:val="clear" w:color="auto" w:fill="auto"/>
            <w:noWrap/>
            <w:vAlign w:val="bottom"/>
            <w:hideMark/>
          </w:tcPr>
          <w:p w:rsidR="001D26BC" w:rsidRPr="009A4F0E" w:rsidRDefault="001D26BC" w:rsidP="00A1288B">
            <w:pPr>
              <w:rPr>
                <w:b/>
                <w:i/>
              </w:rPr>
            </w:pPr>
            <w:r w:rsidRPr="009A4F0E">
              <w:rPr>
                <w:b/>
                <w:i/>
              </w:rPr>
              <w:t>B/C koeficients</w:t>
            </w:r>
          </w:p>
          <w:p w:rsidR="001D26BC" w:rsidRPr="009A4F0E" w:rsidRDefault="001D26BC" w:rsidP="00A1288B">
            <w:pPr>
              <w:rPr>
                <w:b/>
                <w:i/>
              </w:rPr>
            </w:pPr>
            <w:r w:rsidRPr="009A4F0E">
              <w:rPr>
                <w:b/>
                <w:i/>
              </w:rPr>
              <w:t>(Ieguvumu izdevumu attiecība)</w:t>
            </w:r>
          </w:p>
        </w:tc>
        <w:tc>
          <w:tcPr>
            <w:tcW w:w="770"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CC553E">
              <w:t>reizes</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n/a</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1.24</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1.46</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1.12</w:t>
            </w:r>
          </w:p>
        </w:tc>
      </w:tr>
    </w:tbl>
    <w:p w:rsidR="001D26BC" w:rsidRDefault="001D26BC" w:rsidP="001D26BC"/>
    <w:p w:rsidR="001D26BC" w:rsidRPr="00915C94" w:rsidRDefault="001D26BC" w:rsidP="001D26BC">
      <w:pPr>
        <w:ind w:firstLine="720"/>
        <w:jc w:val="both"/>
        <w:rPr>
          <w:sz w:val="28"/>
        </w:rPr>
      </w:pPr>
      <w:r w:rsidRPr="00915C94">
        <w:rPr>
          <w:sz w:val="28"/>
        </w:rPr>
        <w:t>Augstāk redzamā tabula atspoguļo investīciju atdevi, kas aprēķināta, balstoties uz sadarbības ar EKA radīto „papildus” ieguvumu un izdevumu vērtībām attiecībā pret bāzes scenāriju, līdz ar to Bāzes alternatīvā ieguvumu tīrā tagadnes vērtība ir nulle, jo nav ne papildus ieguvumu, ne izdevumu saistībā ar EKA.</w:t>
      </w:r>
    </w:p>
    <w:p w:rsidR="001D26BC" w:rsidRPr="00915C94" w:rsidRDefault="001D26BC" w:rsidP="001D26BC">
      <w:pPr>
        <w:ind w:firstLine="720"/>
        <w:jc w:val="both"/>
        <w:rPr>
          <w:sz w:val="28"/>
        </w:rPr>
      </w:pPr>
      <w:r w:rsidRPr="00915C94">
        <w:rPr>
          <w:sz w:val="28"/>
        </w:rPr>
        <w:t xml:space="preserve">Salīdzinot trīs sadarbības scenārijus savā starpā, redzams, ka visaugstākie atdeves rādītāji prognozējami Scenārijā 2, kad katrs EKA ieguldītais lats sniegtu kopējo atdevi gandrīz pusotra lata apmērā (B/C rādītājs 1.46), šajā scenārijā arī vērojama vislielākā tīro ieguvumu tagadnes vērtība (jeb </w:t>
      </w:r>
      <w:proofErr w:type="spellStart"/>
      <w:r w:rsidRPr="00915C94">
        <w:rPr>
          <w:sz w:val="28"/>
        </w:rPr>
        <w:t>socio-ekonomiskā</w:t>
      </w:r>
      <w:proofErr w:type="spellEnd"/>
      <w:r w:rsidRPr="00915C94">
        <w:rPr>
          <w:sz w:val="28"/>
        </w:rPr>
        <w:t xml:space="preserve"> peļņa) vairāk kā 10 milj. latu apmērā šā brīža cenās. </w:t>
      </w:r>
    </w:p>
    <w:p w:rsidR="001D26BC" w:rsidRPr="00915C94" w:rsidRDefault="001D26BC" w:rsidP="001D26BC">
      <w:pPr>
        <w:ind w:firstLine="720"/>
        <w:jc w:val="both"/>
        <w:rPr>
          <w:sz w:val="28"/>
        </w:rPr>
      </w:pPr>
      <w:r w:rsidRPr="00915C94">
        <w:rPr>
          <w:sz w:val="28"/>
        </w:rPr>
        <w:t xml:space="preserve">Kā otrs labākais vērtējams Scenārijs 1, kura gadījumā katrs ieguldītais lats atgriežas 1.24 latu veidā. </w:t>
      </w:r>
      <w:proofErr w:type="spellStart"/>
      <w:r w:rsidRPr="00915C94">
        <w:rPr>
          <w:sz w:val="28"/>
        </w:rPr>
        <w:t>Socio-ekonomiskās</w:t>
      </w:r>
      <w:proofErr w:type="spellEnd"/>
      <w:r w:rsidRPr="00915C94">
        <w:rPr>
          <w:sz w:val="28"/>
        </w:rPr>
        <w:t xml:space="preserve"> peļņas tagadnes vērtība šajā scenārijā lēšama nedaudz virs pusotra miljona latu. Jāpiebilst gan, ka, šajā gadījumā valsts ikgadējie ieguldījumi otrajā piecgadē būtu ievērojami mazāki, kā Scenārijā 2.</w:t>
      </w:r>
    </w:p>
    <w:p w:rsidR="001D26BC" w:rsidRPr="00915C94" w:rsidRDefault="001D26BC" w:rsidP="001D26BC">
      <w:pPr>
        <w:ind w:firstLine="720"/>
        <w:jc w:val="both"/>
        <w:rPr>
          <w:sz w:val="28"/>
        </w:rPr>
      </w:pPr>
      <w:r w:rsidRPr="00915C94">
        <w:rPr>
          <w:sz w:val="28"/>
        </w:rPr>
        <w:t xml:space="preserve">No investīciju atdeves viedokļa trešajā vietā rindojams Scenārijs 3, kurā ieguldītais lats atgriežas 1.12 latu apmērā. </w:t>
      </w:r>
      <w:proofErr w:type="spellStart"/>
      <w:r w:rsidRPr="00915C94">
        <w:rPr>
          <w:sz w:val="28"/>
        </w:rPr>
        <w:t>Socio-ekonomiskās</w:t>
      </w:r>
      <w:proofErr w:type="spellEnd"/>
      <w:r w:rsidRPr="00915C94">
        <w:rPr>
          <w:sz w:val="28"/>
        </w:rPr>
        <w:t xml:space="preserve"> peļņas tagadnes vērtība nedaudz mazāk par pusmiljonu latu. Šajā scenārijā paredzamas arī kopumā vismazākās valsts kopējās iemaksas EKA, jo tās notiktu tikai pirmo piecgadi.</w:t>
      </w:r>
    </w:p>
    <w:p w:rsidR="001D26BC" w:rsidRDefault="001D26BC" w:rsidP="001D26BC">
      <w:pPr>
        <w:ind w:firstLine="720"/>
        <w:jc w:val="both"/>
      </w:pPr>
      <w:r w:rsidRPr="00915C94">
        <w:rPr>
          <w:sz w:val="28"/>
        </w:rPr>
        <w:t xml:space="preserve">Salīdzinot trīs scenārijus no </w:t>
      </w:r>
      <w:proofErr w:type="spellStart"/>
      <w:r w:rsidRPr="00915C94">
        <w:rPr>
          <w:sz w:val="28"/>
        </w:rPr>
        <w:t>socio-ekonomiskās</w:t>
      </w:r>
      <w:proofErr w:type="spellEnd"/>
      <w:r w:rsidRPr="00915C94">
        <w:rPr>
          <w:sz w:val="28"/>
        </w:rPr>
        <w:t xml:space="preserve"> peļņas „procentuālās atdeves” (EIRR jeb iekšējās atdeves likmes) viedokļa, redzams, ka vislielākā peļņas norma 55% ir Scenārija 2 gadījumā, bet Scenārijos 1 un 3 tā ir zem 40% sliekšņa, attiecīgi 39% un 33%.</w:t>
      </w:r>
      <w:bookmarkStart w:id="134" w:name="_Toc302987968"/>
    </w:p>
    <w:p w:rsidR="001D26BC" w:rsidRDefault="001D26BC" w:rsidP="001D26BC">
      <w:pPr>
        <w:jc w:val="both"/>
      </w:pPr>
    </w:p>
    <w:p w:rsidR="001D26BC" w:rsidRPr="00915C94" w:rsidRDefault="001D26BC" w:rsidP="001D26BC">
      <w:pPr>
        <w:pStyle w:val="Heading3"/>
      </w:pPr>
      <w:bookmarkStart w:id="135" w:name="_Toc303176618"/>
      <w:r w:rsidRPr="00915C94">
        <w:t>Finanšu analīze</w:t>
      </w:r>
      <w:bookmarkEnd w:id="134"/>
      <w:bookmarkEnd w:id="135"/>
    </w:p>
    <w:p w:rsidR="001D26BC" w:rsidRPr="00915C94" w:rsidRDefault="001D26BC" w:rsidP="001D26BC">
      <w:pPr>
        <w:ind w:firstLine="720"/>
        <w:jc w:val="both"/>
        <w:rPr>
          <w:sz w:val="28"/>
        </w:rPr>
      </w:pPr>
      <w:r w:rsidRPr="00915C94">
        <w:rPr>
          <w:sz w:val="28"/>
        </w:rPr>
        <w:t xml:space="preserve">Ņemot vērā, ka no sadarbības vai dalības EKA valsts budžetā nav paredzēti tieši ieņēmumi, tad no finanšu analīzes viedokļa projektam </w:t>
      </w:r>
      <w:r w:rsidRPr="00915C94">
        <w:rPr>
          <w:sz w:val="28"/>
        </w:rPr>
        <w:lastRenderedPageBreak/>
        <w:t xml:space="preserve">paredzami tikai izdevumi, kas saistās ar sadarbību vai dalību EKA. Izdevumi ir tie, kas jau aplūkoti katrā no scenārijiem zem ekonomiskās analīzes. Zemāk sniegts investīciju atdeves apkopojums no finanšu analīzes viedokļa. Pilnus finanšu analīzes aprēķinu tabulas ar datu vērtībām pa gadiem 2013-2027 skatīt </w:t>
      </w:r>
      <w:r>
        <w:rPr>
          <w:sz w:val="28"/>
        </w:rPr>
        <w:t xml:space="preserve">Pielikumā Nr. 6. </w:t>
      </w:r>
    </w:p>
    <w:p w:rsidR="001D26BC" w:rsidRPr="00915C94" w:rsidRDefault="001D26BC" w:rsidP="001D26BC">
      <w:pPr>
        <w:jc w:val="both"/>
        <w:rPr>
          <w:sz w:val="28"/>
        </w:rPr>
      </w:pPr>
    </w:p>
    <w:p w:rsidR="001D26BC" w:rsidRPr="000C6F84" w:rsidRDefault="001D26BC" w:rsidP="001D26BC">
      <w:pPr>
        <w:pStyle w:val="Caption"/>
        <w:jc w:val="both"/>
        <w:rPr>
          <w:i/>
        </w:rPr>
      </w:pPr>
      <w:r w:rsidRPr="000C6F84">
        <w:rPr>
          <w:i/>
        </w:rPr>
        <w:t xml:space="preserve">Tabula </w:t>
      </w:r>
      <w:r w:rsidR="00277129" w:rsidRPr="000C6F84">
        <w:rPr>
          <w:i/>
        </w:rPr>
        <w:fldChar w:fldCharType="begin"/>
      </w:r>
      <w:r w:rsidR="00EC68B2" w:rsidRPr="000C6F84">
        <w:rPr>
          <w:i/>
        </w:rPr>
        <w:instrText xml:space="preserve"> SEQ Tabula \* ARABIC </w:instrText>
      </w:r>
      <w:r w:rsidR="00277129" w:rsidRPr="000C6F84">
        <w:rPr>
          <w:i/>
        </w:rPr>
        <w:fldChar w:fldCharType="separate"/>
      </w:r>
      <w:r w:rsidR="00885249">
        <w:rPr>
          <w:i/>
          <w:noProof/>
        </w:rPr>
        <w:t>10</w:t>
      </w:r>
      <w:r w:rsidR="00277129" w:rsidRPr="000C6F84">
        <w:rPr>
          <w:i/>
        </w:rPr>
        <w:fldChar w:fldCharType="end"/>
      </w:r>
      <w:r w:rsidRPr="000C6F84">
        <w:rPr>
          <w:i/>
        </w:rPr>
        <w:t>, Finanšu analīzes investīciju atdeves rādītāju salīdzinājums starp scenārijiem, diskonta likme r=5.0%.</w:t>
      </w:r>
    </w:p>
    <w:tbl>
      <w:tblPr>
        <w:tblW w:w="5000" w:type="pct"/>
        <w:tblLook w:val="04A0"/>
      </w:tblPr>
      <w:tblGrid>
        <w:gridCol w:w="3930"/>
        <w:gridCol w:w="1310"/>
        <w:gridCol w:w="817"/>
        <w:gridCol w:w="817"/>
        <w:gridCol w:w="836"/>
        <w:gridCol w:w="818"/>
      </w:tblGrid>
      <w:tr w:rsidR="001D26BC" w:rsidRPr="00AC7EAC" w:rsidTr="00A1288B">
        <w:trPr>
          <w:trHeight w:val="600"/>
        </w:trPr>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AC7EAC" w:rsidRDefault="001D26BC" w:rsidP="00A1288B">
            <w:pPr>
              <w:rPr>
                <w:b/>
              </w:rPr>
            </w:pPr>
            <w:r w:rsidRPr="00AC7EAC">
              <w:rPr>
                <w:b/>
              </w:rPr>
              <w:t> </w:t>
            </w:r>
          </w:p>
        </w:tc>
        <w:tc>
          <w:tcPr>
            <w:tcW w:w="770" w:type="pct"/>
            <w:tcBorders>
              <w:top w:val="single" w:sz="4" w:space="0" w:color="auto"/>
              <w:left w:val="nil"/>
              <w:bottom w:val="single" w:sz="4" w:space="0" w:color="auto"/>
              <w:right w:val="single" w:sz="4" w:space="0" w:color="auto"/>
            </w:tcBorders>
            <w:shd w:val="clear" w:color="auto" w:fill="auto"/>
            <w:noWrap/>
            <w:vAlign w:val="bottom"/>
            <w:hideMark/>
          </w:tcPr>
          <w:p w:rsidR="001D26BC" w:rsidRPr="00AC7EAC" w:rsidRDefault="001D26BC" w:rsidP="00A1288B">
            <w:pPr>
              <w:rPr>
                <w:b/>
              </w:rPr>
            </w:pPr>
            <w:r w:rsidRPr="00AC7EAC">
              <w:rPr>
                <w:b/>
              </w:rPr>
              <w:t>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S0 Bāze</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S1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S2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S3</w:t>
            </w:r>
          </w:p>
        </w:tc>
      </w:tr>
      <w:tr w:rsidR="001D26BC" w:rsidRPr="00AC7EAC" w:rsidTr="00A1288B">
        <w:trPr>
          <w:trHeight w:val="315"/>
        </w:trPr>
        <w:tc>
          <w:tcPr>
            <w:tcW w:w="3076" w:type="pct"/>
            <w:gridSpan w:val="2"/>
            <w:tcBorders>
              <w:top w:val="single" w:sz="4" w:space="0" w:color="auto"/>
              <w:left w:val="single" w:sz="4" w:space="0" w:color="auto"/>
              <w:bottom w:val="single" w:sz="4" w:space="0" w:color="auto"/>
              <w:right w:val="nil"/>
            </w:tcBorders>
            <w:shd w:val="clear" w:color="000000" w:fill="D8D8D8"/>
            <w:noWrap/>
            <w:vAlign w:val="bottom"/>
            <w:hideMark/>
          </w:tcPr>
          <w:p w:rsidR="001D26BC" w:rsidRPr="00AC7EAC" w:rsidRDefault="001D26BC" w:rsidP="00A1288B">
            <w:pPr>
              <w:rPr>
                <w:b/>
              </w:rPr>
            </w:pPr>
            <w:r w:rsidRPr="00AC7EAC">
              <w:rPr>
                <w:b/>
              </w:rPr>
              <w:t>INVESTĪCIJU ATDEVE</w:t>
            </w:r>
          </w:p>
        </w:tc>
        <w:tc>
          <w:tcPr>
            <w:tcW w:w="481" w:type="pct"/>
            <w:tcBorders>
              <w:top w:val="nil"/>
              <w:left w:val="nil"/>
              <w:bottom w:val="single" w:sz="4" w:space="0" w:color="auto"/>
              <w:right w:val="nil"/>
            </w:tcBorders>
            <w:shd w:val="clear" w:color="000000" w:fill="D8D8D8"/>
            <w:noWrap/>
            <w:vAlign w:val="bottom"/>
            <w:hideMark/>
          </w:tcPr>
          <w:p w:rsidR="001D26BC" w:rsidRPr="00AC7EAC" w:rsidRDefault="001D26BC" w:rsidP="00A1288B">
            <w:pPr>
              <w:rPr>
                <w:b/>
              </w:rPr>
            </w:pPr>
            <w:r w:rsidRPr="00AC7EAC">
              <w:rPr>
                <w:b/>
              </w:rPr>
              <w:t> </w:t>
            </w:r>
          </w:p>
        </w:tc>
        <w:tc>
          <w:tcPr>
            <w:tcW w:w="481" w:type="pct"/>
            <w:tcBorders>
              <w:top w:val="nil"/>
              <w:left w:val="nil"/>
              <w:bottom w:val="single" w:sz="4" w:space="0" w:color="auto"/>
              <w:right w:val="nil"/>
            </w:tcBorders>
            <w:shd w:val="clear" w:color="000000" w:fill="D8D8D8"/>
            <w:noWrap/>
            <w:vAlign w:val="bottom"/>
            <w:hideMark/>
          </w:tcPr>
          <w:p w:rsidR="001D26BC" w:rsidRPr="00AC7EAC" w:rsidRDefault="001D26BC" w:rsidP="00A1288B">
            <w:pPr>
              <w:rPr>
                <w:b/>
              </w:rPr>
            </w:pPr>
            <w:r w:rsidRPr="00AC7EAC">
              <w:rPr>
                <w:b/>
              </w:rPr>
              <w:t> </w:t>
            </w:r>
          </w:p>
        </w:tc>
        <w:tc>
          <w:tcPr>
            <w:tcW w:w="481" w:type="pct"/>
            <w:tcBorders>
              <w:top w:val="nil"/>
              <w:left w:val="nil"/>
              <w:bottom w:val="single" w:sz="4" w:space="0" w:color="auto"/>
              <w:right w:val="nil"/>
            </w:tcBorders>
            <w:shd w:val="clear" w:color="000000" w:fill="D8D8D8"/>
            <w:noWrap/>
            <w:vAlign w:val="bottom"/>
            <w:hideMark/>
          </w:tcPr>
          <w:p w:rsidR="001D26BC" w:rsidRPr="00AC7EAC" w:rsidRDefault="001D26BC" w:rsidP="00A1288B">
            <w:pPr>
              <w:rPr>
                <w:b/>
              </w:rPr>
            </w:pPr>
            <w:r w:rsidRPr="00AC7EAC">
              <w:rPr>
                <w:b/>
              </w:rPr>
              <w:t> </w:t>
            </w:r>
          </w:p>
        </w:tc>
        <w:tc>
          <w:tcPr>
            <w:tcW w:w="481" w:type="pct"/>
            <w:tcBorders>
              <w:top w:val="nil"/>
              <w:left w:val="nil"/>
              <w:bottom w:val="single" w:sz="4" w:space="0" w:color="auto"/>
              <w:right w:val="single" w:sz="4" w:space="0" w:color="auto"/>
            </w:tcBorders>
            <w:shd w:val="clear" w:color="000000" w:fill="D8D8D8"/>
            <w:noWrap/>
            <w:vAlign w:val="bottom"/>
            <w:hideMark/>
          </w:tcPr>
          <w:p w:rsidR="001D26BC" w:rsidRPr="00AC7EAC" w:rsidRDefault="001D26BC" w:rsidP="00A1288B">
            <w:pPr>
              <w:rPr>
                <w:b/>
              </w:rPr>
            </w:pPr>
            <w:r w:rsidRPr="00AC7EAC">
              <w:rPr>
                <w:b/>
              </w:rPr>
              <w:t> </w:t>
            </w:r>
          </w:p>
        </w:tc>
      </w:tr>
      <w:tr w:rsidR="001D26BC" w:rsidRPr="00CC553E" w:rsidTr="00A1288B">
        <w:trPr>
          <w:trHeight w:val="300"/>
        </w:trPr>
        <w:tc>
          <w:tcPr>
            <w:tcW w:w="2306" w:type="pct"/>
            <w:tcBorders>
              <w:top w:val="nil"/>
              <w:left w:val="single" w:sz="4" w:space="0" w:color="auto"/>
              <w:bottom w:val="single" w:sz="4" w:space="0" w:color="auto"/>
              <w:right w:val="single" w:sz="4" w:space="0" w:color="auto"/>
            </w:tcBorders>
            <w:shd w:val="clear" w:color="auto" w:fill="auto"/>
            <w:noWrap/>
            <w:vAlign w:val="bottom"/>
            <w:hideMark/>
          </w:tcPr>
          <w:p w:rsidR="001D26BC" w:rsidRPr="00AC7EAC" w:rsidRDefault="001D26BC" w:rsidP="00A1288B">
            <w:pPr>
              <w:rPr>
                <w:b/>
                <w:i/>
              </w:rPr>
            </w:pPr>
            <w:r w:rsidRPr="00AC7EAC">
              <w:rPr>
                <w:b/>
                <w:i/>
              </w:rPr>
              <w:t>FNPV</w:t>
            </w:r>
          </w:p>
          <w:p w:rsidR="001D26BC" w:rsidRPr="00AC7EAC" w:rsidRDefault="001D26BC" w:rsidP="00A1288B">
            <w:pPr>
              <w:rPr>
                <w:b/>
                <w:i/>
              </w:rPr>
            </w:pPr>
          </w:p>
        </w:tc>
        <w:tc>
          <w:tcPr>
            <w:tcW w:w="770"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CC553E">
              <w:t>milj. LVL</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0</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t>-6.81</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t>-22.69</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t>-3.82</w:t>
            </w:r>
          </w:p>
        </w:tc>
      </w:tr>
      <w:tr w:rsidR="001D26BC" w:rsidRPr="00CC553E" w:rsidTr="00A1288B">
        <w:trPr>
          <w:trHeight w:val="300"/>
        </w:trPr>
        <w:tc>
          <w:tcPr>
            <w:tcW w:w="2306" w:type="pct"/>
            <w:tcBorders>
              <w:top w:val="nil"/>
              <w:left w:val="single" w:sz="4" w:space="0" w:color="auto"/>
              <w:bottom w:val="single" w:sz="4" w:space="0" w:color="auto"/>
              <w:right w:val="single" w:sz="4" w:space="0" w:color="auto"/>
            </w:tcBorders>
            <w:shd w:val="clear" w:color="auto" w:fill="auto"/>
            <w:noWrap/>
            <w:vAlign w:val="bottom"/>
            <w:hideMark/>
          </w:tcPr>
          <w:p w:rsidR="001D26BC" w:rsidRPr="00AC7EAC" w:rsidRDefault="001D26BC" w:rsidP="00A1288B">
            <w:pPr>
              <w:rPr>
                <w:b/>
                <w:i/>
              </w:rPr>
            </w:pPr>
            <w:r w:rsidRPr="00AC7EAC">
              <w:rPr>
                <w:b/>
                <w:i/>
              </w:rPr>
              <w:t>FIRR</w:t>
            </w:r>
          </w:p>
          <w:p w:rsidR="001D26BC" w:rsidRPr="00AC7EAC" w:rsidRDefault="001D26BC" w:rsidP="00A1288B">
            <w:pPr>
              <w:rPr>
                <w:b/>
                <w:i/>
              </w:rPr>
            </w:pPr>
          </w:p>
        </w:tc>
        <w:tc>
          <w:tcPr>
            <w:tcW w:w="770"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CC553E">
              <w:t>%</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n/a</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n/a</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n/a</w:t>
            </w:r>
          </w:p>
        </w:tc>
        <w:tc>
          <w:tcPr>
            <w:tcW w:w="481" w:type="pct"/>
            <w:tcBorders>
              <w:top w:val="nil"/>
              <w:left w:val="nil"/>
              <w:bottom w:val="single" w:sz="4" w:space="0" w:color="auto"/>
              <w:right w:val="single" w:sz="4" w:space="0" w:color="auto"/>
            </w:tcBorders>
            <w:shd w:val="clear" w:color="auto" w:fill="auto"/>
            <w:noWrap/>
            <w:vAlign w:val="center"/>
            <w:hideMark/>
          </w:tcPr>
          <w:p w:rsidR="001D26BC" w:rsidRPr="00CC553E" w:rsidRDefault="001D26BC" w:rsidP="00A1288B">
            <w:r w:rsidRPr="00856D05">
              <w:t>n/a</w:t>
            </w:r>
          </w:p>
        </w:tc>
      </w:tr>
    </w:tbl>
    <w:p w:rsidR="001D26BC" w:rsidRDefault="001D26BC" w:rsidP="001D26BC"/>
    <w:p w:rsidR="001D26BC" w:rsidRPr="00915C94" w:rsidRDefault="001D26BC" w:rsidP="001D26BC">
      <w:pPr>
        <w:ind w:firstLine="720"/>
        <w:jc w:val="both"/>
        <w:rPr>
          <w:sz w:val="28"/>
        </w:rPr>
      </w:pPr>
      <w:r w:rsidRPr="00915C94">
        <w:rPr>
          <w:sz w:val="28"/>
        </w:rPr>
        <w:t>Līdzīgi kā ekonomiskā analīzē, arī finanšu analīzē bāzes scenārijā nav ne izdevumu, ne ieņēmumu saistībā ar EKA, tāpēc šajā scenārijā investīciju atdeves tīra tagadnes vērtība ir (FNPV) ir nulle.</w:t>
      </w:r>
    </w:p>
    <w:p w:rsidR="001D26BC" w:rsidRPr="00915C94" w:rsidRDefault="001D26BC" w:rsidP="001D26BC">
      <w:pPr>
        <w:ind w:firstLine="360"/>
        <w:jc w:val="both"/>
        <w:rPr>
          <w:sz w:val="28"/>
        </w:rPr>
        <w:sectPr w:rsidR="001D26BC" w:rsidRPr="00915C94" w:rsidSect="001D26BC">
          <w:headerReference w:type="default" r:id="rId9"/>
          <w:footerReference w:type="default" r:id="rId10"/>
          <w:pgSz w:w="11906" w:h="16838" w:code="9"/>
          <w:pgMar w:top="1440" w:right="1797" w:bottom="1440" w:left="1797" w:header="709" w:footer="709" w:gutter="0"/>
          <w:pgNumType w:start="1"/>
          <w:cols w:space="708"/>
          <w:titlePg/>
          <w:docGrid w:linePitch="360"/>
        </w:sectPr>
      </w:pPr>
      <w:r w:rsidRPr="00915C94">
        <w:rPr>
          <w:sz w:val="28"/>
        </w:rPr>
        <w:t>No trijiem EKA sadarbības scenārijiem izdevumu tīrā tagadnes vērtība vistuvāk nullei ir Scenārijā 3 bet vislielākā negatīvā vērtība ir Scenārijam 2, kas atbilst faktam, ka Scenārijā 3 valsts kopumā veic vismazāk iemaksu EKA (tikai 5 gadu sadarbības valsts maksu), savukārt Scenārijā 2 valsts kopējie maksājumi EKA ir vislielākie.</w:t>
      </w:r>
    </w:p>
    <w:p w:rsidR="001D26BC" w:rsidRPr="00915C94" w:rsidRDefault="001D26BC" w:rsidP="001D26BC">
      <w:pPr>
        <w:pStyle w:val="Heading3"/>
      </w:pPr>
      <w:bookmarkStart w:id="136" w:name="_Toc302987969"/>
      <w:bookmarkStart w:id="137" w:name="_Toc303176619"/>
      <w:r w:rsidRPr="00915C94">
        <w:lastRenderedPageBreak/>
        <w:t>Jūtīguma analīze</w:t>
      </w:r>
      <w:bookmarkEnd w:id="136"/>
      <w:bookmarkEnd w:id="137"/>
    </w:p>
    <w:p w:rsidR="001D26BC" w:rsidRPr="00915C94" w:rsidRDefault="001D26BC" w:rsidP="001D26BC">
      <w:pPr>
        <w:ind w:firstLine="360"/>
        <w:jc w:val="both"/>
        <w:rPr>
          <w:sz w:val="28"/>
        </w:rPr>
      </w:pPr>
      <w:r w:rsidRPr="00915C94">
        <w:rPr>
          <w:sz w:val="28"/>
        </w:rPr>
        <w:t>Tā kā bāzes scenārijā nav ieguvumu saistība ar EKA, tad Jūtīguma analīze veikta tikai Sadarbības alternatīvas 3 scenārijiem.</w:t>
      </w:r>
    </w:p>
    <w:p w:rsidR="001D26BC" w:rsidRPr="00915C94" w:rsidRDefault="001D26BC" w:rsidP="001D26BC">
      <w:pPr>
        <w:ind w:firstLine="360"/>
        <w:jc w:val="both"/>
        <w:rPr>
          <w:sz w:val="28"/>
        </w:rPr>
      </w:pPr>
      <w:r w:rsidRPr="00915C94">
        <w:rPr>
          <w:sz w:val="28"/>
        </w:rPr>
        <w:t xml:space="preserve">Analīze veikta priekš iespējamām: (1) izmaiņām diskonta likmē, gadījumā, ja mainās  alternatīvo ieguldījumu iespēju jeb </w:t>
      </w:r>
      <w:proofErr w:type="spellStart"/>
      <w:r w:rsidRPr="00915C94">
        <w:rPr>
          <w:i/>
          <w:sz w:val="28"/>
        </w:rPr>
        <w:t>opportunity</w:t>
      </w:r>
      <w:proofErr w:type="spellEnd"/>
      <w:r w:rsidRPr="00915C94">
        <w:rPr>
          <w:i/>
          <w:sz w:val="28"/>
        </w:rPr>
        <w:t xml:space="preserve"> </w:t>
      </w:r>
      <w:proofErr w:type="spellStart"/>
      <w:r w:rsidRPr="00915C94">
        <w:rPr>
          <w:i/>
          <w:sz w:val="28"/>
        </w:rPr>
        <w:t>cost</w:t>
      </w:r>
      <w:proofErr w:type="spellEnd"/>
      <w:r w:rsidRPr="00915C94">
        <w:rPr>
          <w:sz w:val="28"/>
        </w:rPr>
        <w:t xml:space="preserve"> novērtējums no valsts kā finansētāja viedokļa, (2) izmaiņām ar EKA saistītos parametros – sadarbības valsts ikgadējā maksā, EKA administratīvajā ieturējumā un EKA kontraktu apgrozījuma multiplikatorā. Jūtīguma analīzē izmantots kritērijs – ja 10% izmaiņas ieejas (</w:t>
      </w:r>
      <w:proofErr w:type="spellStart"/>
      <w:r w:rsidRPr="00915C94">
        <w:rPr>
          <w:i/>
          <w:sz w:val="28"/>
        </w:rPr>
        <w:t>input</w:t>
      </w:r>
      <w:proofErr w:type="spellEnd"/>
      <w:r w:rsidRPr="00915C94">
        <w:rPr>
          <w:sz w:val="28"/>
        </w:rPr>
        <w:t>) parametrā rada vismaz 10% izmaiņas izejas (</w:t>
      </w:r>
      <w:proofErr w:type="spellStart"/>
      <w:r w:rsidRPr="00915C94">
        <w:rPr>
          <w:i/>
          <w:sz w:val="28"/>
        </w:rPr>
        <w:t>output</w:t>
      </w:r>
      <w:proofErr w:type="spellEnd"/>
      <w:r w:rsidRPr="00915C94">
        <w:rPr>
          <w:i/>
          <w:sz w:val="28"/>
        </w:rPr>
        <w:t>)</w:t>
      </w:r>
      <w:r w:rsidRPr="00915C94">
        <w:rPr>
          <w:sz w:val="28"/>
        </w:rPr>
        <w:t xml:space="preserve"> parametrā, tad saistība uzskatāma par „jūtīgu”, pretējā gadījumā par „nejūtīgu”.</w:t>
      </w:r>
      <w:bookmarkStart w:id="138" w:name="_Toc302987970"/>
    </w:p>
    <w:p w:rsidR="001D26BC" w:rsidRPr="00915C94" w:rsidRDefault="001D26BC" w:rsidP="001D26BC">
      <w:pPr>
        <w:pStyle w:val="Heading3"/>
      </w:pPr>
      <w:bookmarkStart w:id="139" w:name="_Toc303176620"/>
      <w:r w:rsidRPr="00915C94">
        <w:t>Diskonta likmes izmaiņas</w:t>
      </w:r>
      <w:bookmarkEnd w:id="138"/>
      <w:bookmarkEnd w:id="139"/>
    </w:p>
    <w:p w:rsidR="001D26BC" w:rsidRPr="00915C94" w:rsidRDefault="001D26BC" w:rsidP="001D26BC">
      <w:pPr>
        <w:ind w:firstLine="720"/>
        <w:jc w:val="both"/>
        <w:rPr>
          <w:sz w:val="28"/>
        </w:rPr>
      </w:pPr>
      <w:r w:rsidRPr="00915C94">
        <w:rPr>
          <w:sz w:val="28"/>
        </w:rPr>
        <w:t xml:space="preserve">No tabulas zemāk redzams, ka 10% izmaiņas </w:t>
      </w:r>
      <w:proofErr w:type="spellStart"/>
      <w:r w:rsidRPr="00915C94">
        <w:rPr>
          <w:sz w:val="28"/>
        </w:rPr>
        <w:t>socio-ekonomiskajā</w:t>
      </w:r>
      <w:proofErr w:type="spellEnd"/>
      <w:r w:rsidRPr="00915C94">
        <w:rPr>
          <w:sz w:val="28"/>
        </w:rPr>
        <w:t xml:space="preserve"> reālajā diskonta likmē radam mazāk kā 10% izmaiņas investīciju atdeves rādītājos, līdz ar to uzskatāms, ka visu trīs Sadarbības alternatīvas scenāriju kopējie ieguldījumu atdeves rādītāji nav jūtīgi pret diskonta likmes svārstībām. Jūtīgums starp trim scenārijiem ir aptuveni līdzīgs, lai arī nedaudz mazāks Scenārijā 3, kas skaidrojams ar īsāku izdevumu un ieguvumu gūšanas periodu sakarā ar sadarbību ar EKA tikai pirmajā piecgadē.</w:t>
      </w:r>
    </w:p>
    <w:p w:rsidR="001D26BC" w:rsidRPr="00A64DF8" w:rsidRDefault="001D26BC" w:rsidP="001D26BC">
      <w:pPr>
        <w:pStyle w:val="Caption"/>
        <w:jc w:val="both"/>
      </w:pPr>
      <w:r w:rsidRPr="00A64DF8">
        <w:t xml:space="preserve">Tabula </w:t>
      </w:r>
      <w:fldSimple w:instr=" SEQ Tabula \* ARABIC ">
        <w:r w:rsidR="00885249">
          <w:rPr>
            <w:noProof/>
          </w:rPr>
          <w:t>11</w:t>
        </w:r>
      </w:fldSimple>
      <w:r w:rsidRPr="00A64DF8">
        <w:t xml:space="preserve">, Investīciju atdeves jūtīgums pret izmaiņām </w:t>
      </w:r>
      <w:proofErr w:type="spellStart"/>
      <w:r w:rsidRPr="00A64DF8">
        <w:t>socio-ekonomiskajā</w:t>
      </w:r>
      <w:proofErr w:type="spellEnd"/>
      <w:r w:rsidRPr="00A64DF8">
        <w:t xml:space="preserve"> diskonta likmē.</w:t>
      </w:r>
    </w:p>
    <w:tbl>
      <w:tblPr>
        <w:tblW w:w="12280" w:type="dxa"/>
        <w:tblInd w:w="91" w:type="dxa"/>
        <w:tblLook w:val="04A0"/>
      </w:tblPr>
      <w:tblGrid>
        <w:gridCol w:w="968"/>
        <w:gridCol w:w="1412"/>
        <w:gridCol w:w="660"/>
        <w:gridCol w:w="803"/>
        <w:gridCol w:w="823"/>
        <w:gridCol w:w="803"/>
        <w:gridCol w:w="660"/>
        <w:gridCol w:w="660"/>
        <w:gridCol w:w="803"/>
        <w:gridCol w:w="823"/>
        <w:gridCol w:w="803"/>
        <w:gridCol w:w="660"/>
        <w:gridCol w:w="660"/>
        <w:gridCol w:w="803"/>
        <w:gridCol w:w="823"/>
        <w:gridCol w:w="803"/>
        <w:gridCol w:w="660"/>
      </w:tblGrid>
      <w:tr w:rsidR="001D26BC" w:rsidRPr="00AC7EAC" w:rsidTr="00A1288B">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26BC" w:rsidRPr="00AC7EAC" w:rsidRDefault="001D26BC" w:rsidP="00A1288B">
            <w:pPr>
              <w:rPr>
                <w:b/>
              </w:rPr>
            </w:pPr>
            <w:r w:rsidRPr="00AC7EAC">
              <w:rPr>
                <w:b/>
              </w:rPr>
              <w:t> </w:t>
            </w:r>
          </w:p>
        </w:tc>
        <w:tc>
          <w:tcPr>
            <w:tcW w:w="33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D26BC" w:rsidRPr="00AC7EAC" w:rsidRDefault="001D26BC" w:rsidP="00A1288B">
            <w:pPr>
              <w:rPr>
                <w:b/>
              </w:rPr>
            </w:pPr>
            <w:r w:rsidRPr="00AC7EAC">
              <w:rPr>
                <w:b/>
              </w:rPr>
              <w:t>Scenārijs 1</w:t>
            </w:r>
          </w:p>
        </w:tc>
        <w:tc>
          <w:tcPr>
            <w:tcW w:w="33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D26BC" w:rsidRPr="00AC7EAC" w:rsidRDefault="001D26BC" w:rsidP="00A1288B">
            <w:pPr>
              <w:rPr>
                <w:b/>
              </w:rPr>
            </w:pPr>
            <w:r w:rsidRPr="00AC7EAC">
              <w:rPr>
                <w:b/>
              </w:rPr>
              <w:t>Scenārijs 2</w:t>
            </w:r>
          </w:p>
        </w:tc>
        <w:tc>
          <w:tcPr>
            <w:tcW w:w="33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D26BC" w:rsidRPr="00AC7EAC" w:rsidRDefault="001D26BC" w:rsidP="00A1288B">
            <w:pPr>
              <w:rPr>
                <w:b/>
              </w:rPr>
            </w:pPr>
            <w:r w:rsidRPr="00AC7EAC">
              <w:rPr>
                <w:b/>
              </w:rPr>
              <w:t>Scenārijs 3</w:t>
            </w:r>
          </w:p>
        </w:tc>
      </w:tr>
      <w:tr w:rsidR="001D26BC" w:rsidRPr="00AC7EAC" w:rsidTr="00A1288B">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D26BC" w:rsidRPr="00AC7EAC" w:rsidRDefault="001D26BC" w:rsidP="00A1288B">
            <w:pPr>
              <w:rPr>
                <w:b/>
              </w:rPr>
            </w:pPr>
            <w:r w:rsidRPr="00AC7EAC">
              <w:rPr>
                <w:b/>
              </w:rPr>
              <w:t>Mainīgais parametrs:</w:t>
            </w:r>
          </w:p>
        </w:tc>
        <w:tc>
          <w:tcPr>
            <w:tcW w:w="3300" w:type="dxa"/>
            <w:gridSpan w:val="5"/>
            <w:tcBorders>
              <w:top w:val="single" w:sz="4" w:space="0" w:color="auto"/>
              <w:left w:val="nil"/>
              <w:bottom w:val="single" w:sz="4" w:space="0" w:color="auto"/>
              <w:right w:val="single" w:sz="4" w:space="0" w:color="000000"/>
            </w:tcBorders>
            <w:shd w:val="clear" w:color="000000" w:fill="BFBFBF"/>
            <w:noWrap/>
            <w:vAlign w:val="bottom"/>
            <w:hideMark/>
          </w:tcPr>
          <w:p w:rsidR="001D26BC" w:rsidRPr="00AC7EAC" w:rsidRDefault="001D26BC" w:rsidP="00A1288B">
            <w:pPr>
              <w:rPr>
                <w:b/>
              </w:rPr>
            </w:pPr>
            <w:proofErr w:type="spellStart"/>
            <w:r w:rsidRPr="00AC7EAC">
              <w:rPr>
                <w:b/>
              </w:rPr>
              <w:t>Socio-ekonomiskā</w:t>
            </w:r>
            <w:proofErr w:type="spellEnd"/>
            <w:r w:rsidRPr="00AC7EAC">
              <w:rPr>
                <w:b/>
              </w:rPr>
              <w:t xml:space="preserve"> diskonta likme</w:t>
            </w:r>
          </w:p>
        </w:tc>
        <w:tc>
          <w:tcPr>
            <w:tcW w:w="3300" w:type="dxa"/>
            <w:gridSpan w:val="5"/>
            <w:tcBorders>
              <w:top w:val="single" w:sz="4" w:space="0" w:color="auto"/>
              <w:left w:val="nil"/>
              <w:bottom w:val="single" w:sz="4" w:space="0" w:color="auto"/>
              <w:right w:val="single" w:sz="4" w:space="0" w:color="000000"/>
            </w:tcBorders>
            <w:shd w:val="clear" w:color="000000" w:fill="BFBFBF"/>
            <w:noWrap/>
            <w:vAlign w:val="bottom"/>
            <w:hideMark/>
          </w:tcPr>
          <w:p w:rsidR="001D26BC" w:rsidRPr="00AC7EAC" w:rsidRDefault="001D26BC" w:rsidP="00A1288B">
            <w:pPr>
              <w:rPr>
                <w:b/>
              </w:rPr>
            </w:pPr>
            <w:proofErr w:type="spellStart"/>
            <w:r w:rsidRPr="00AC7EAC">
              <w:rPr>
                <w:b/>
              </w:rPr>
              <w:t>Socio-ekonomiskā</w:t>
            </w:r>
            <w:proofErr w:type="spellEnd"/>
            <w:r w:rsidRPr="00AC7EAC">
              <w:rPr>
                <w:b/>
              </w:rPr>
              <w:t xml:space="preserve"> diskonta likme</w:t>
            </w:r>
          </w:p>
        </w:tc>
        <w:tc>
          <w:tcPr>
            <w:tcW w:w="3300" w:type="dxa"/>
            <w:gridSpan w:val="5"/>
            <w:tcBorders>
              <w:top w:val="single" w:sz="4" w:space="0" w:color="auto"/>
              <w:left w:val="nil"/>
              <w:bottom w:val="single" w:sz="4" w:space="0" w:color="auto"/>
              <w:right w:val="single" w:sz="4" w:space="0" w:color="000000"/>
            </w:tcBorders>
            <w:shd w:val="clear" w:color="000000" w:fill="BFBFBF"/>
            <w:noWrap/>
            <w:vAlign w:val="bottom"/>
            <w:hideMark/>
          </w:tcPr>
          <w:p w:rsidR="001D26BC" w:rsidRPr="00AC7EAC" w:rsidRDefault="001D26BC" w:rsidP="00A1288B">
            <w:pPr>
              <w:rPr>
                <w:b/>
              </w:rPr>
            </w:pPr>
            <w:proofErr w:type="spellStart"/>
            <w:r w:rsidRPr="00AC7EAC">
              <w:rPr>
                <w:b/>
              </w:rPr>
              <w:t>Socio-ekonomiskā</w:t>
            </w:r>
            <w:proofErr w:type="spellEnd"/>
            <w:r w:rsidRPr="00AC7EAC">
              <w:rPr>
                <w:b/>
              </w:rPr>
              <w:t xml:space="preserve"> diskonta likme</w:t>
            </w:r>
          </w:p>
        </w:tc>
      </w:tr>
      <w:tr w:rsidR="001D26BC" w:rsidRPr="00AC7EAC" w:rsidTr="00A1288B">
        <w:trPr>
          <w:trHeight w:val="6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AC7EAC" w:rsidRDefault="001D26BC" w:rsidP="00A1288B">
            <w:pPr>
              <w:rPr>
                <w:b/>
              </w:rPr>
            </w:pPr>
            <w:r w:rsidRPr="00AC7EAC">
              <w:rPr>
                <w:b/>
              </w:rPr>
              <w:t> </w:t>
            </w:r>
          </w:p>
        </w:tc>
        <w:tc>
          <w:tcPr>
            <w:tcW w:w="1412"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b/>
              </w:rPr>
            </w:pPr>
            <w:r w:rsidRPr="00AC7EAC">
              <w:rPr>
                <w:b/>
              </w:rPr>
              <w:t> </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 xml:space="preserve">% </w:t>
            </w:r>
            <w:proofErr w:type="spellStart"/>
            <w:r w:rsidRPr="00AC7EAC">
              <w:rPr>
                <w:b/>
              </w:rPr>
              <w:t>izm</w:t>
            </w:r>
            <w:proofErr w:type="spellEnd"/>
            <w:r w:rsidRPr="00AC7EAC">
              <w:rPr>
                <w:b/>
              </w:rPr>
              <w: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jaunā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sākot.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jaunā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 xml:space="preserve">% </w:t>
            </w:r>
            <w:proofErr w:type="spellStart"/>
            <w:r w:rsidRPr="00AC7EAC">
              <w:rPr>
                <w:b/>
              </w:rPr>
              <w:t>izm</w:t>
            </w:r>
            <w:proofErr w:type="spellEnd"/>
            <w:r w:rsidRPr="00AC7EAC">
              <w:rPr>
                <w:b/>
              </w:rPr>
              <w: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 xml:space="preserve">% </w:t>
            </w:r>
            <w:proofErr w:type="spellStart"/>
            <w:r w:rsidRPr="00AC7EAC">
              <w:rPr>
                <w:b/>
              </w:rPr>
              <w:t>izm</w:t>
            </w:r>
            <w:proofErr w:type="spellEnd"/>
            <w:r w:rsidRPr="00AC7EAC">
              <w:rPr>
                <w:b/>
              </w:rPr>
              <w: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jaunā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sākot.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jaunā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 xml:space="preserve">% </w:t>
            </w:r>
            <w:proofErr w:type="spellStart"/>
            <w:r w:rsidRPr="00AC7EAC">
              <w:rPr>
                <w:b/>
              </w:rPr>
              <w:t>izm</w:t>
            </w:r>
            <w:proofErr w:type="spellEnd"/>
            <w:r w:rsidRPr="00AC7EAC">
              <w:rPr>
                <w:b/>
              </w:rPr>
              <w: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 xml:space="preserve">% </w:t>
            </w:r>
            <w:proofErr w:type="spellStart"/>
            <w:r w:rsidRPr="00AC7EAC">
              <w:rPr>
                <w:b/>
              </w:rPr>
              <w:t>izm</w:t>
            </w:r>
            <w:proofErr w:type="spellEnd"/>
            <w:r w:rsidRPr="00AC7EAC">
              <w:rPr>
                <w:b/>
              </w:rPr>
              <w: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jaunā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sākot.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jaunā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AC7EAC" w:rsidRDefault="001D26BC" w:rsidP="00A1288B">
            <w:pPr>
              <w:rPr>
                <w:b/>
              </w:rPr>
            </w:pPr>
            <w:r w:rsidRPr="00AC7EAC">
              <w:rPr>
                <w:b/>
              </w:rPr>
              <w:t xml:space="preserve">% </w:t>
            </w:r>
            <w:proofErr w:type="spellStart"/>
            <w:r w:rsidRPr="00AC7EAC">
              <w:rPr>
                <w:b/>
              </w:rPr>
              <w:t>izm</w:t>
            </w:r>
            <w:proofErr w:type="spellEnd"/>
            <w:r w:rsidRPr="00AC7EAC">
              <w:rPr>
                <w:b/>
              </w:rPr>
              <w:t>.</w:t>
            </w:r>
          </w:p>
        </w:tc>
      </w:tr>
      <w:tr w:rsidR="001D26BC" w:rsidRPr="00AC7EAC" w:rsidTr="00A1288B">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 </w:t>
            </w:r>
          </w:p>
        </w:tc>
        <w:tc>
          <w:tcPr>
            <w:tcW w:w="1412"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5.0%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5.5%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6.1%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5.0%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5.5%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6.1%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5.0%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5.5%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6.1%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AC7EAC" w:rsidRDefault="001D26BC" w:rsidP="00A1288B">
            <w:pPr>
              <w:rPr>
                <w:sz w:val="20"/>
              </w:rPr>
            </w:pPr>
            <w:r w:rsidRPr="00AC7EAC">
              <w:rPr>
                <w:sz w:val="20"/>
              </w:rPr>
              <w:t>10%</w:t>
            </w:r>
          </w:p>
        </w:tc>
      </w:tr>
      <w:tr w:rsidR="001D26BC" w:rsidRPr="00C31A8E" w:rsidTr="00A1288B">
        <w:trPr>
          <w:trHeight w:val="300"/>
        </w:trPr>
        <w:tc>
          <w:tcPr>
            <w:tcW w:w="2380"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1D26BC" w:rsidRPr="00C31A8E" w:rsidRDefault="001D26BC" w:rsidP="00A1288B">
            <w:pPr>
              <w:rPr>
                <w:b/>
              </w:rPr>
            </w:pPr>
            <w:r w:rsidRPr="00C31A8E">
              <w:rPr>
                <w:b/>
              </w:rPr>
              <w:t>Investīciju atdeve:</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r>
      <w:tr w:rsidR="001D26BC" w:rsidRPr="00967F9B" w:rsidTr="00A1288B">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67F9B" w:rsidRDefault="001D26BC" w:rsidP="00A1288B">
            <w:r w:rsidRPr="00967F9B">
              <w:t>ENPV</w:t>
            </w:r>
          </w:p>
        </w:tc>
        <w:tc>
          <w:tcPr>
            <w:tcW w:w="1412"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milj. LVL</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1.69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1.59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1.51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10.73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10.10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9.52</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0.46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0.44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0.42</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-4%</w:t>
            </w:r>
          </w:p>
        </w:tc>
      </w:tr>
      <w:tr w:rsidR="001D26BC" w:rsidRPr="00967F9B" w:rsidTr="00A1288B">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67F9B" w:rsidRDefault="001D26BC" w:rsidP="00A1288B">
            <w:r w:rsidRPr="00967F9B">
              <w:t>EIRR</w:t>
            </w:r>
          </w:p>
        </w:tc>
        <w:tc>
          <w:tcPr>
            <w:tcW w:w="1412"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39%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39%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39%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55%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55%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55%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33%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33%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33%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0%</w:t>
            </w:r>
          </w:p>
        </w:tc>
      </w:tr>
      <w:tr w:rsidR="001D26BC" w:rsidRPr="00967F9B" w:rsidTr="00A1288B">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967F9B" w:rsidRDefault="001D26BC" w:rsidP="00A1288B">
            <w:r w:rsidRPr="00967F9B">
              <w:t>B/C</w:t>
            </w:r>
          </w:p>
        </w:tc>
        <w:tc>
          <w:tcPr>
            <w:tcW w:w="1412"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reizes</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1.25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1.24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1.23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1.47</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1.46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1.45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1.12</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1.12</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1.11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967F9B" w:rsidRDefault="001D26BC" w:rsidP="00A1288B">
            <w:r w:rsidRPr="00967F9B">
              <w:t>0%</w:t>
            </w:r>
          </w:p>
        </w:tc>
      </w:tr>
    </w:tbl>
    <w:p w:rsidR="001D26BC" w:rsidRPr="009A5C1E" w:rsidRDefault="001D26BC" w:rsidP="001D26BC"/>
    <w:p w:rsidR="001D26BC" w:rsidRPr="00915C94" w:rsidRDefault="001D26BC" w:rsidP="001D26BC">
      <w:pPr>
        <w:pStyle w:val="Heading3"/>
      </w:pPr>
      <w:bookmarkStart w:id="140" w:name="_Toc302987971"/>
      <w:bookmarkStart w:id="141" w:name="_Toc303176621"/>
      <w:r w:rsidRPr="00915C94">
        <w:t>EKA sadarbības valsts maksa</w:t>
      </w:r>
      <w:bookmarkEnd w:id="140"/>
      <w:bookmarkEnd w:id="141"/>
    </w:p>
    <w:p w:rsidR="001D26BC" w:rsidRDefault="001D26BC" w:rsidP="001D26BC">
      <w:pPr>
        <w:ind w:firstLine="360"/>
        <w:jc w:val="both"/>
        <w:rPr>
          <w:sz w:val="28"/>
        </w:rPr>
      </w:pPr>
      <w:r w:rsidRPr="00915C94">
        <w:rPr>
          <w:sz w:val="28"/>
        </w:rPr>
        <w:t>Kā atspoguļots tabulā zemāk, tad Scenārijā 1 un Scenārijā 3 ieguldījumu-izdevumu tīrā tagadnes vērtības (ENPV) ir jūtīgas pret izmaiņām sadarbības valsts ikgadējās maksās, savukārt Scenārijā 2 nav, kas ir saprotams, jo šajā gadījumā daudz būtiskās faktors būtu izmaiņas ikgadējā dalībvalsts maksā.</w:t>
      </w:r>
    </w:p>
    <w:p w:rsidR="001D26BC" w:rsidRPr="00915C94" w:rsidRDefault="001D26BC" w:rsidP="001D26BC">
      <w:pPr>
        <w:ind w:firstLine="360"/>
        <w:jc w:val="both"/>
        <w:rPr>
          <w:sz w:val="28"/>
        </w:rPr>
      </w:pPr>
    </w:p>
    <w:p w:rsidR="001D26BC" w:rsidRPr="007C5036" w:rsidRDefault="001D26BC" w:rsidP="001D26BC">
      <w:pPr>
        <w:pStyle w:val="Caption"/>
        <w:jc w:val="both"/>
        <w:rPr>
          <w:i/>
        </w:rPr>
      </w:pPr>
      <w:r w:rsidRPr="007C5036">
        <w:rPr>
          <w:i/>
        </w:rPr>
        <w:t xml:space="preserve">Tabula </w:t>
      </w:r>
      <w:r w:rsidR="00277129" w:rsidRPr="007C5036">
        <w:rPr>
          <w:i/>
        </w:rPr>
        <w:fldChar w:fldCharType="begin"/>
      </w:r>
      <w:r w:rsidR="00EC68B2" w:rsidRPr="007C5036">
        <w:rPr>
          <w:i/>
        </w:rPr>
        <w:instrText xml:space="preserve"> SEQ Tabula \* ARABIC </w:instrText>
      </w:r>
      <w:r w:rsidR="00277129" w:rsidRPr="007C5036">
        <w:rPr>
          <w:i/>
        </w:rPr>
        <w:fldChar w:fldCharType="separate"/>
      </w:r>
      <w:r w:rsidR="00885249">
        <w:rPr>
          <w:i/>
          <w:noProof/>
        </w:rPr>
        <w:t>12</w:t>
      </w:r>
      <w:r w:rsidR="00277129" w:rsidRPr="007C5036">
        <w:rPr>
          <w:i/>
        </w:rPr>
        <w:fldChar w:fldCharType="end"/>
      </w:r>
      <w:r w:rsidRPr="007C5036">
        <w:rPr>
          <w:i/>
        </w:rPr>
        <w:t>, Investīciju atdeves jūtīgums pret izmaiņām EKA sadarbības valsts ikgadējā maksā.</w:t>
      </w:r>
    </w:p>
    <w:tbl>
      <w:tblPr>
        <w:tblW w:w="12295" w:type="dxa"/>
        <w:tblInd w:w="91" w:type="dxa"/>
        <w:tblLook w:val="04A0"/>
      </w:tblPr>
      <w:tblGrid>
        <w:gridCol w:w="968"/>
        <w:gridCol w:w="1412"/>
        <w:gridCol w:w="661"/>
        <w:gridCol w:w="803"/>
        <w:gridCol w:w="823"/>
        <w:gridCol w:w="803"/>
        <w:gridCol w:w="661"/>
        <w:gridCol w:w="661"/>
        <w:gridCol w:w="803"/>
        <w:gridCol w:w="823"/>
        <w:gridCol w:w="803"/>
        <w:gridCol w:w="661"/>
        <w:gridCol w:w="661"/>
        <w:gridCol w:w="803"/>
        <w:gridCol w:w="823"/>
        <w:gridCol w:w="803"/>
        <w:gridCol w:w="661"/>
      </w:tblGrid>
      <w:tr w:rsidR="001D26BC" w:rsidRPr="00C31A8E" w:rsidTr="00A1288B">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26BC" w:rsidRPr="00C31A8E" w:rsidRDefault="001D26BC" w:rsidP="00A1288B">
            <w:pPr>
              <w:rPr>
                <w:b/>
              </w:rPr>
            </w:pPr>
            <w:r w:rsidRPr="00C31A8E">
              <w:rPr>
                <w:b/>
              </w:rPr>
              <w:t> </w:t>
            </w:r>
          </w:p>
        </w:tc>
        <w:tc>
          <w:tcPr>
            <w:tcW w:w="330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D26BC" w:rsidRPr="00C31A8E" w:rsidRDefault="001D26BC" w:rsidP="00A1288B">
            <w:pPr>
              <w:rPr>
                <w:b/>
              </w:rPr>
            </w:pPr>
            <w:r w:rsidRPr="00C31A8E">
              <w:rPr>
                <w:b/>
              </w:rPr>
              <w:t>Scenārijs 1</w:t>
            </w:r>
          </w:p>
        </w:tc>
        <w:tc>
          <w:tcPr>
            <w:tcW w:w="330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D26BC" w:rsidRPr="00C31A8E" w:rsidRDefault="001D26BC" w:rsidP="00A1288B">
            <w:pPr>
              <w:rPr>
                <w:b/>
              </w:rPr>
            </w:pPr>
            <w:r w:rsidRPr="00C31A8E">
              <w:rPr>
                <w:b/>
              </w:rPr>
              <w:t>Scenārijs 2</w:t>
            </w:r>
          </w:p>
        </w:tc>
        <w:tc>
          <w:tcPr>
            <w:tcW w:w="330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D26BC" w:rsidRPr="00C31A8E" w:rsidRDefault="001D26BC" w:rsidP="00A1288B">
            <w:pPr>
              <w:rPr>
                <w:b/>
              </w:rPr>
            </w:pPr>
            <w:r w:rsidRPr="00C31A8E">
              <w:rPr>
                <w:b/>
              </w:rPr>
              <w:t>Scenārijs 3</w:t>
            </w:r>
          </w:p>
        </w:tc>
      </w:tr>
      <w:tr w:rsidR="001D26BC" w:rsidRPr="00C31A8E" w:rsidTr="00A1288B">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D26BC" w:rsidRPr="00C31A8E" w:rsidRDefault="001D26BC" w:rsidP="00A1288B">
            <w:pPr>
              <w:rPr>
                <w:b/>
              </w:rPr>
            </w:pPr>
            <w:r w:rsidRPr="00C31A8E">
              <w:rPr>
                <w:b/>
              </w:rPr>
              <w:t>Mainīgais parametrs:</w:t>
            </w:r>
          </w:p>
        </w:tc>
        <w:tc>
          <w:tcPr>
            <w:tcW w:w="3305" w:type="dxa"/>
            <w:gridSpan w:val="5"/>
            <w:tcBorders>
              <w:top w:val="single" w:sz="4" w:space="0" w:color="auto"/>
              <w:left w:val="nil"/>
              <w:bottom w:val="single" w:sz="4" w:space="0" w:color="auto"/>
              <w:right w:val="single" w:sz="4" w:space="0" w:color="000000"/>
            </w:tcBorders>
            <w:shd w:val="clear" w:color="000000" w:fill="BFBFBF"/>
            <w:noWrap/>
            <w:vAlign w:val="bottom"/>
            <w:hideMark/>
          </w:tcPr>
          <w:p w:rsidR="001D26BC" w:rsidRPr="00C31A8E" w:rsidRDefault="001D26BC" w:rsidP="00A1288B">
            <w:pPr>
              <w:rPr>
                <w:b/>
              </w:rPr>
            </w:pPr>
            <w:r w:rsidRPr="00C31A8E">
              <w:rPr>
                <w:b/>
              </w:rPr>
              <w:t>EKA sadarbības valsts maksa, M LVL</w:t>
            </w:r>
          </w:p>
        </w:tc>
        <w:tc>
          <w:tcPr>
            <w:tcW w:w="3305" w:type="dxa"/>
            <w:gridSpan w:val="5"/>
            <w:tcBorders>
              <w:top w:val="single" w:sz="4" w:space="0" w:color="auto"/>
              <w:left w:val="nil"/>
              <w:bottom w:val="single" w:sz="4" w:space="0" w:color="auto"/>
              <w:right w:val="single" w:sz="4" w:space="0" w:color="000000"/>
            </w:tcBorders>
            <w:shd w:val="clear" w:color="000000" w:fill="BFBFBF"/>
            <w:noWrap/>
            <w:vAlign w:val="bottom"/>
            <w:hideMark/>
          </w:tcPr>
          <w:p w:rsidR="001D26BC" w:rsidRPr="00C31A8E" w:rsidRDefault="001D26BC" w:rsidP="00A1288B">
            <w:pPr>
              <w:rPr>
                <w:b/>
              </w:rPr>
            </w:pPr>
            <w:r w:rsidRPr="00C31A8E">
              <w:rPr>
                <w:b/>
              </w:rPr>
              <w:t>EKA sadarbības valsts maksa, M LVL</w:t>
            </w:r>
          </w:p>
        </w:tc>
        <w:tc>
          <w:tcPr>
            <w:tcW w:w="3305" w:type="dxa"/>
            <w:gridSpan w:val="5"/>
            <w:tcBorders>
              <w:top w:val="single" w:sz="4" w:space="0" w:color="auto"/>
              <w:left w:val="nil"/>
              <w:bottom w:val="single" w:sz="4" w:space="0" w:color="auto"/>
              <w:right w:val="single" w:sz="4" w:space="0" w:color="000000"/>
            </w:tcBorders>
            <w:shd w:val="clear" w:color="000000" w:fill="BFBFBF"/>
            <w:noWrap/>
            <w:vAlign w:val="bottom"/>
            <w:hideMark/>
          </w:tcPr>
          <w:p w:rsidR="001D26BC" w:rsidRPr="00C31A8E" w:rsidRDefault="001D26BC" w:rsidP="00A1288B">
            <w:pPr>
              <w:rPr>
                <w:b/>
              </w:rPr>
            </w:pPr>
            <w:r w:rsidRPr="00C31A8E">
              <w:rPr>
                <w:b/>
              </w:rPr>
              <w:t>EKA sadarbības valsts maksa, M LVL</w:t>
            </w:r>
          </w:p>
        </w:tc>
      </w:tr>
      <w:tr w:rsidR="001D26BC" w:rsidRPr="00C31A8E" w:rsidTr="00A1288B">
        <w:trPr>
          <w:trHeight w:val="6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C31A8E" w:rsidRDefault="001D26BC" w:rsidP="00A1288B">
            <w:pPr>
              <w:rPr>
                <w:b/>
              </w:rPr>
            </w:pPr>
            <w:r w:rsidRPr="00C31A8E">
              <w:rPr>
                <w:b/>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 xml:space="preserve">% </w:t>
            </w:r>
            <w:proofErr w:type="spellStart"/>
            <w:r w:rsidRPr="00C31A8E">
              <w:rPr>
                <w:b/>
              </w:rPr>
              <w:t>izm</w:t>
            </w:r>
            <w:proofErr w:type="spellEnd"/>
            <w:r w:rsidRPr="00C31A8E">
              <w:rPr>
                <w:b/>
              </w:rPr>
              <w: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jaunā vērt.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sākot. vērt.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jaunā vērt.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 xml:space="preserve">% </w:t>
            </w:r>
            <w:proofErr w:type="spellStart"/>
            <w:r w:rsidRPr="00C31A8E">
              <w:rPr>
                <w:b/>
              </w:rPr>
              <w:t>izm</w:t>
            </w:r>
            <w:proofErr w:type="spellEnd"/>
            <w:r w:rsidRPr="00C31A8E">
              <w:rPr>
                <w:b/>
              </w:rPr>
              <w: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 xml:space="preserve">% </w:t>
            </w:r>
            <w:proofErr w:type="spellStart"/>
            <w:r w:rsidRPr="00C31A8E">
              <w:rPr>
                <w:b/>
              </w:rPr>
              <w:t>izm</w:t>
            </w:r>
            <w:proofErr w:type="spellEnd"/>
            <w:r w:rsidRPr="00C31A8E">
              <w:rPr>
                <w:b/>
              </w:rPr>
              <w: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jaunā vērt.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sākot. vērt.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jaunā vērt.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 xml:space="preserve">% </w:t>
            </w:r>
            <w:proofErr w:type="spellStart"/>
            <w:r w:rsidRPr="00C31A8E">
              <w:rPr>
                <w:b/>
              </w:rPr>
              <w:t>izm</w:t>
            </w:r>
            <w:proofErr w:type="spellEnd"/>
            <w:r w:rsidRPr="00C31A8E">
              <w:rPr>
                <w:b/>
              </w:rPr>
              <w: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 xml:space="preserve">% </w:t>
            </w:r>
            <w:proofErr w:type="spellStart"/>
            <w:r w:rsidRPr="00C31A8E">
              <w:rPr>
                <w:b/>
              </w:rPr>
              <w:t>izm</w:t>
            </w:r>
            <w:proofErr w:type="spellEnd"/>
            <w:r w:rsidRPr="00C31A8E">
              <w:rPr>
                <w:b/>
              </w:rPr>
              <w: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jaunā vērt.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sākot. vērt.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jaunā vērt.</w:t>
            </w:r>
          </w:p>
        </w:tc>
        <w:tc>
          <w:tcPr>
            <w:tcW w:w="661" w:type="dxa"/>
            <w:tcBorders>
              <w:top w:val="nil"/>
              <w:left w:val="nil"/>
              <w:bottom w:val="single" w:sz="4" w:space="0" w:color="auto"/>
              <w:right w:val="single" w:sz="4" w:space="0" w:color="auto"/>
            </w:tcBorders>
            <w:shd w:val="clear" w:color="auto" w:fill="auto"/>
            <w:vAlign w:val="center"/>
            <w:hideMark/>
          </w:tcPr>
          <w:p w:rsidR="001D26BC" w:rsidRPr="00C31A8E" w:rsidRDefault="001D26BC" w:rsidP="00A1288B">
            <w:pPr>
              <w:rPr>
                <w:b/>
              </w:rPr>
            </w:pPr>
            <w:r w:rsidRPr="00C31A8E">
              <w:rPr>
                <w:b/>
              </w:rPr>
              <w:t xml:space="preserve">% </w:t>
            </w:r>
            <w:proofErr w:type="spellStart"/>
            <w:r w:rsidRPr="00C31A8E">
              <w:rPr>
                <w:b/>
              </w:rPr>
              <w:t>izm</w:t>
            </w:r>
            <w:proofErr w:type="spellEnd"/>
            <w:r w:rsidRPr="00C31A8E">
              <w:rPr>
                <w:b/>
              </w:rPr>
              <w:t>.</w:t>
            </w:r>
          </w:p>
        </w:tc>
      </w:tr>
      <w:tr w:rsidR="001D26BC" w:rsidRPr="00C31A8E" w:rsidTr="00A1288B">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-10%</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0.78</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0.87</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0.96</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10%</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-10%</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0.78</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0.87</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0.96</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10%</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-10%</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0.78</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0.87</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0.96</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C31A8E" w:rsidRDefault="001D26BC" w:rsidP="00A1288B">
            <w:pPr>
              <w:rPr>
                <w:sz w:val="20"/>
              </w:rPr>
            </w:pPr>
            <w:r w:rsidRPr="00C31A8E">
              <w:rPr>
                <w:sz w:val="20"/>
              </w:rPr>
              <w:t>10%</w:t>
            </w:r>
          </w:p>
        </w:tc>
      </w:tr>
      <w:tr w:rsidR="001D26BC" w:rsidRPr="00C31A8E" w:rsidTr="00A1288B">
        <w:trPr>
          <w:trHeight w:val="300"/>
        </w:trPr>
        <w:tc>
          <w:tcPr>
            <w:tcW w:w="23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Investīciju atdeve:</w:t>
            </w:r>
          </w:p>
        </w:tc>
        <w:tc>
          <w:tcPr>
            <w:tcW w:w="661" w:type="dxa"/>
            <w:tcBorders>
              <w:top w:val="nil"/>
              <w:left w:val="single" w:sz="4" w:space="0" w:color="auto"/>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c>
          <w:tcPr>
            <w:tcW w:w="661" w:type="dxa"/>
            <w:tcBorders>
              <w:top w:val="nil"/>
              <w:left w:val="nil"/>
              <w:bottom w:val="single" w:sz="4" w:space="0" w:color="auto"/>
              <w:right w:val="single" w:sz="4" w:space="0" w:color="auto"/>
            </w:tcBorders>
            <w:shd w:val="clear" w:color="000000" w:fill="BFBFBF"/>
            <w:noWrap/>
            <w:vAlign w:val="bottom"/>
            <w:hideMark/>
          </w:tcPr>
          <w:p w:rsidR="001D26BC" w:rsidRPr="00C31A8E" w:rsidRDefault="001D26BC" w:rsidP="00A1288B">
            <w:pPr>
              <w:rPr>
                <w:b/>
              </w:rPr>
            </w:pPr>
            <w:r w:rsidRPr="00C31A8E">
              <w:rPr>
                <w:b/>
              </w:rPr>
              <w:t> </w:t>
            </w:r>
          </w:p>
        </w:tc>
      </w:tr>
      <w:tr w:rsidR="001D26BC" w:rsidRPr="006B057E" w:rsidTr="00A1288B">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6B057E" w:rsidRDefault="001D26BC" w:rsidP="00A1288B">
            <w:r w:rsidRPr="006B057E">
              <w:t>ENPV</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milj. LVL</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1D26BC" w:rsidRPr="006B057E" w:rsidRDefault="001D26BC" w:rsidP="00A1288B">
            <w:r w:rsidRPr="006B057E">
              <w:t>-11%</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1.43</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1.59</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1.76</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11%</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0%</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10.09</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10.10</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10.11</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0%</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-11%</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0.39</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0.44</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0.49</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11%</w:t>
            </w:r>
          </w:p>
        </w:tc>
      </w:tr>
      <w:tr w:rsidR="001D26BC" w:rsidRPr="006B057E" w:rsidTr="00A1288B">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6B057E" w:rsidRDefault="001D26BC" w:rsidP="00A1288B">
            <w:r w:rsidRPr="006B057E">
              <w:t>EIRR</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1D26BC" w:rsidRPr="006B057E" w:rsidRDefault="001D26BC" w:rsidP="00A1288B">
            <w:r w:rsidRPr="006B057E">
              <w:t>-1%</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38%</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39%</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39%</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2%</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56%</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55%</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54%</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-2%</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33%</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33%</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34%</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w:t>
            </w:r>
          </w:p>
        </w:tc>
      </w:tr>
      <w:tr w:rsidR="001D26BC" w:rsidRPr="006B057E" w:rsidTr="00A1288B">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6B057E" w:rsidRDefault="001D26BC" w:rsidP="00A1288B">
            <w:r w:rsidRPr="006B057E">
              <w:t>B/C</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reizes</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1D26BC" w:rsidRPr="006B057E" w:rsidRDefault="001D26BC" w:rsidP="00A1288B">
            <w:r w:rsidRPr="006B057E">
              <w:t>0%</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1.24</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1.24</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1.24</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0%</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1.47</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1.46</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1.45</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0%</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0%</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1.12</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1.12</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1.12</w:t>
            </w:r>
          </w:p>
        </w:tc>
        <w:tc>
          <w:tcPr>
            <w:tcW w:w="661" w:type="dxa"/>
            <w:tcBorders>
              <w:top w:val="nil"/>
              <w:left w:val="nil"/>
              <w:bottom w:val="single" w:sz="4" w:space="0" w:color="auto"/>
              <w:right w:val="single" w:sz="4" w:space="0" w:color="auto"/>
            </w:tcBorders>
            <w:shd w:val="clear" w:color="auto" w:fill="auto"/>
            <w:noWrap/>
            <w:vAlign w:val="bottom"/>
            <w:hideMark/>
          </w:tcPr>
          <w:p w:rsidR="001D26BC" w:rsidRPr="006B057E" w:rsidRDefault="001D26BC" w:rsidP="00A1288B">
            <w:r w:rsidRPr="006B057E">
              <w:t>0%</w:t>
            </w:r>
          </w:p>
        </w:tc>
      </w:tr>
    </w:tbl>
    <w:p w:rsidR="001D26BC" w:rsidRDefault="001D26BC" w:rsidP="001D26BC"/>
    <w:p w:rsidR="001D26BC" w:rsidRPr="00256918" w:rsidRDefault="001D26BC" w:rsidP="001D26BC">
      <w:pPr>
        <w:jc w:val="both"/>
      </w:pPr>
      <w:bookmarkStart w:id="142" w:name="_Toc302987972"/>
      <w:r w:rsidRPr="00915C94">
        <w:rPr>
          <w:sz w:val="28"/>
        </w:rPr>
        <w:t>EKA ikgadējais administratīvā ieturējuma procents no sadarbības valsts maksas</w:t>
      </w:r>
      <w:bookmarkEnd w:id="142"/>
    </w:p>
    <w:p w:rsidR="001D26BC" w:rsidRDefault="001D26BC" w:rsidP="001D26BC">
      <w:pPr>
        <w:ind w:firstLine="360"/>
        <w:jc w:val="both"/>
        <w:rPr>
          <w:sz w:val="28"/>
        </w:rPr>
      </w:pPr>
      <w:r w:rsidRPr="00A64DF8">
        <w:rPr>
          <w:sz w:val="28"/>
        </w:rPr>
        <w:t>Tabulā zemāk redzams, ka ikgadējā administratīvā ieturējuma procenta izmaiņas (piem. pieaugot no 7% uz 8% pirmajā gadā un no 12% uz 13% piektajā gadā) ir jūtīgi korelētas tikai Scenārija 3 gadījumā, kas skaidrojams ar EKA sadarbības rezultātā radušos labumu gūšanas īso periodu un iztrūkumu nākamajās piecgadēs.</w:t>
      </w:r>
    </w:p>
    <w:p w:rsidR="001D26BC" w:rsidRPr="00A64DF8" w:rsidRDefault="001D26BC" w:rsidP="001D26BC">
      <w:pPr>
        <w:ind w:firstLine="360"/>
        <w:jc w:val="both"/>
        <w:rPr>
          <w:sz w:val="28"/>
        </w:rPr>
      </w:pPr>
    </w:p>
    <w:p w:rsidR="001D26BC" w:rsidRPr="007C5036" w:rsidRDefault="001D26BC" w:rsidP="001D26BC">
      <w:pPr>
        <w:pStyle w:val="Caption"/>
        <w:jc w:val="both"/>
        <w:rPr>
          <w:i/>
        </w:rPr>
      </w:pPr>
      <w:r w:rsidRPr="007C5036">
        <w:rPr>
          <w:i/>
        </w:rPr>
        <w:t xml:space="preserve">Tabula </w:t>
      </w:r>
      <w:r w:rsidR="00277129" w:rsidRPr="007C5036">
        <w:rPr>
          <w:i/>
        </w:rPr>
        <w:fldChar w:fldCharType="begin"/>
      </w:r>
      <w:r w:rsidR="00EC68B2" w:rsidRPr="007C5036">
        <w:rPr>
          <w:i/>
        </w:rPr>
        <w:instrText xml:space="preserve"> SEQ Tabula \* ARABIC </w:instrText>
      </w:r>
      <w:r w:rsidR="00277129" w:rsidRPr="007C5036">
        <w:rPr>
          <w:i/>
        </w:rPr>
        <w:fldChar w:fldCharType="separate"/>
      </w:r>
      <w:r w:rsidR="00885249">
        <w:rPr>
          <w:i/>
          <w:noProof/>
        </w:rPr>
        <w:t>13</w:t>
      </w:r>
      <w:r w:rsidR="00277129" w:rsidRPr="007C5036">
        <w:rPr>
          <w:i/>
        </w:rPr>
        <w:fldChar w:fldCharType="end"/>
      </w:r>
      <w:r w:rsidRPr="007C5036">
        <w:rPr>
          <w:i/>
        </w:rPr>
        <w:t>, Investīciju atdeves jūtīgums pret izmaiņām EKA administratīvā ieturējuma procentā no sadarbības valsts maksas.</w:t>
      </w:r>
    </w:p>
    <w:tbl>
      <w:tblPr>
        <w:tblW w:w="12280" w:type="dxa"/>
        <w:tblInd w:w="91" w:type="dxa"/>
        <w:tblLook w:val="04A0"/>
      </w:tblPr>
      <w:tblGrid>
        <w:gridCol w:w="968"/>
        <w:gridCol w:w="1412"/>
        <w:gridCol w:w="660"/>
        <w:gridCol w:w="803"/>
        <w:gridCol w:w="823"/>
        <w:gridCol w:w="803"/>
        <w:gridCol w:w="660"/>
        <w:gridCol w:w="660"/>
        <w:gridCol w:w="803"/>
        <w:gridCol w:w="823"/>
        <w:gridCol w:w="803"/>
        <w:gridCol w:w="660"/>
        <w:gridCol w:w="660"/>
        <w:gridCol w:w="803"/>
        <w:gridCol w:w="823"/>
        <w:gridCol w:w="803"/>
        <w:gridCol w:w="660"/>
      </w:tblGrid>
      <w:tr w:rsidR="001D26BC" w:rsidRPr="0066414A" w:rsidTr="00A1288B">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26BC" w:rsidRPr="0066414A" w:rsidRDefault="001D26BC" w:rsidP="00A1288B">
            <w:pPr>
              <w:rPr>
                <w:b/>
              </w:rPr>
            </w:pPr>
            <w:r w:rsidRPr="0066414A">
              <w:rPr>
                <w:b/>
              </w:rPr>
              <w:lastRenderedPageBreak/>
              <w:t> </w:t>
            </w:r>
          </w:p>
        </w:tc>
        <w:tc>
          <w:tcPr>
            <w:tcW w:w="33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D26BC" w:rsidRPr="0066414A" w:rsidRDefault="001D26BC" w:rsidP="00A1288B">
            <w:pPr>
              <w:rPr>
                <w:b/>
              </w:rPr>
            </w:pPr>
            <w:r w:rsidRPr="0066414A">
              <w:rPr>
                <w:b/>
              </w:rPr>
              <w:t>Scenārijs 1</w:t>
            </w:r>
          </w:p>
        </w:tc>
        <w:tc>
          <w:tcPr>
            <w:tcW w:w="33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D26BC" w:rsidRPr="0066414A" w:rsidRDefault="001D26BC" w:rsidP="00A1288B">
            <w:pPr>
              <w:rPr>
                <w:b/>
              </w:rPr>
            </w:pPr>
            <w:r w:rsidRPr="0066414A">
              <w:rPr>
                <w:b/>
              </w:rPr>
              <w:t>Scenārijs 2</w:t>
            </w:r>
          </w:p>
        </w:tc>
        <w:tc>
          <w:tcPr>
            <w:tcW w:w="33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D26BC" w:rsidRPr="0066414A" w:rsidRDefault="001D26BC" w:rsidP="00A1288B">
            <w:pPr>
              <w:rPr>
                <w:b/>
              </w:rPr>
            </w:pPr>
            <w:r w:rsidRPr="0066414A">
              <w:rPr>
                <w:b/>
              </w:rPr>
              <w:t>Scenārijs 3</w:t>
            </w:r>
          </w:p>
        </w:tc>
      </w:tr>
      <w:tr w:rsidR="001D26BC" w:rsidRPr="0066414A" w:rsidTr="00A1288B">
        <w:trPr>
          <w:trHeight w:val="300"/>
        </w:trPr>
        <w:tc>
          <w:tcPr>
            <w:tcW w:w="238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D26BC" w:rsidRPr="0066414A" w:rsidRDefault="001D26BC" w:rsidP="00A1288B">
            <w:pPr>
              <w:rPr>
                <w:b/>
              </w:rPr>
            </w:pPr>
            <w:r w:rsidRPr="0066414A">
              <w:rPr>
                <w:b/>
              </w:rPr>
              <w:t>Mainīgais parametrs:</w:t>
            </w:r>
          </w:p>
        </w:tc>
        <w:tc>
          <w:tcPr>
            <w:tcW w:w="3300" w:type="dxa"/>
            <w:gridSpan w:val="5"/>
            <w:tcBorders>
              <w:top w:val="single" w:sz="4" w:space="0" w:color="auto"/>
              <w:left w:val="nil"/>
              <w:bottom w:val="single" w:sz="4" w:space="0" w:color="auto"/>
              <w:right w:val="single" w:sz="4" w:space="0" w:color="000000"/>
            </w:tcBorders>
            <w:shd w:val="clear" w:color="000000" w:fill="BFBFBF"/>
            <w:noWrap/>
            <w:vAlign w:val="bottom"/>
            <w:hideMark/>
          </w:tcPr>
          <w:p w:rsidR="001D26BC" w:rsidRPr="0066414A" w:rsidRDefault="001D26BC" w:rsidP="00A1288B">
            <w:pPr>
              <w:rPr>
                <w:b/>
              </w:rPr>
            </w:pPr>
            <w:r w:rsidRPr="0066414A">
              <w:rPr>
                <w:b/>
              </w:rPr>
              <w:t xml:space="preserve">EKA </w:t>
            </w:r>
            <w:proofErr w:type="spellStart"/>
            <w:r w:rsidRPr="0066414A">
              <w:rPr>
                <w:b/>
              </w:rPr>
              <w:t>adm.ietur</w:t>
            </w:r>
            <w:proofErr w:type="spellEnd"/>
            <w:r w:rsidRPr="0066414A">
              <w:rPr>
                <w:b/>
              </w:rPr>
              <w:t xml:space="preserve">. % no </w:t>
            </w:r>
            <w:proofErr w:type="spellStart"/>
            <w:r w:rsidRPr="0066414A">
              <w:rPr>
                <w:b/>
              </w:rPr>
              <w:t>sadarb.valsts</w:t>
            </w:r>
            <w:proofErr w:type="spellEnd"/>
            <w:r w:rsidRPr="0066414A">
              <w:rPr>
                <w:b/>
              </w:rPr>
              <w:t xml:space="preserve"> </w:t>
            </w:r>
          </w:p>
        </w:tc>
        <w:tc>
          <w:tcPr>
            <w:tcW w:w="3300" w:type="dxa"/>
            <w:gridSpan w:val="5"/>
            <w:tcBorders>
              <w:top w:val="single" w:sz="4" w:space="0" w:color="auto"/>
              <w:left w:val="nil"/>
              <w:bottom w:val="single" w:sz="4" w:space="0" w:color="auto"/>
              <w:right w:val="single" w:sz="4" w:space="0" w:color="000000"/>
            </w:tcBorders>
            <w:shd w:val="clear" w:color="000000" w:fill="BFBFBF"/>
            <w:noWrap/>
            <w:vAlign w:val="bottom"/>
            <w:hideMark/>
          </w:tcPr>
          <w:p w:rsidR="001D26BC" w:rsidRPr="0066414A" w:rsidRDefault="001D26BC" w:rsidP="00A1288B">
            <w:pPr>
              <w:rPr>
                <w:b/>
              </w:rPr>
            </w:pPr>
            <w:r w:rsidRPr="0066414A">
              <w:rPr>
                <w:b/>
              </w:rPr>
              <w:t xml:space="preserve">EKA </w:t>
            </w:r>
            <w:proofErr w:type="spellStart"/>
            <w:r w:rsidRPr="0066414A">
              <w:rPr>
                <w:b/>
              </w:rPr>
              <w:t>adm.ietur</w:t>
            </w:r>
            <w:proofErr w:type="spellEnd"/>
            <w:r w:rsidRPr="0066414A">
              <w:rPr>
                <w:b/>
              </w:rPr>
              <w:t xml:space="preserve">. % no </w:t>
            </w:r>
            <w:proofErr w:type="spellStart"/>
            <w:r w:rsidRPr="0066414A">
              <w:rPr>
                <w:b/>
              </w:rPr>
              <w:t>sadarb.valsts</w:t>
            </w:r>
            <w:proofErr w:type="spellEnd"/>
            <w:r w:rsidRPr="0066414A">
              <w:rPr>
                <w:b/>
              </w:rPr>
              <w:t xml:space="preserve"> </w:t>
            </w:r>
          </w:p>
        </w:tc>
        <w:tc>
          <w:tcPr>
            <w:tcW w:w="3300" w:type="dxa"/>
            <w:gridSpan w:val="5"/>
            <w:tcBorders>
              <w:top w:val="single" w:sz="4" w:space="0" w:color="auto"/>
              <w:left w:val="nil"/>
              <w:bottom w:val="single" w:sz="4" w:space="0" w:color="auto"/>
              <w:right w:val="single" w:sz="4" w:space="0" w:color="000000"/>
            </w:tcBorders>
            <w:shd w:val="clear" w:color="000000" w:fill="BFBFBF"/>
            <w:noWrap/>
            <w:vAlign w:val="bottom"/>
            <w:hideMark/>
          </w:tcPr>
          <w:p w:rsidR="001D26BC" w:rsidRPr="0066414A" w:rsidRDefault="001D26BC" w:rsidP="00A1288B">
            <w:pPr>
              <w:rPr>
                <w:b/>
              </w:rPr>
            </w:pPr>
            <w:r w:rsidRPr="0066414A">
              <w:rPr>
                <w:b/>
              </w:rPr>
              <w:t xml:space="preserve">EKA </w:t>
            </w:r>
            <w:proofErr w:type="spellStart"/>
            <w:r w:rsidRPr="0066414A">
              <w:rPr>
                <w:b/>
              </w:rPr>
              <w:t>adm.ietur</w:t>
            </w:r>
            <w:proofErr w:type="spellEnd"/>
            <w:r w:rsidRPr="0066414A">
              <w:rPr>
                <w:b/>
              </w:rPr>
              <w:t xml:space="preserve">. % no </w:t>
            </w:r>
            <w:proofErr w:type="spellStart"/>
            <w:r w:rsidRPr="0066414A">
              <w:rPr>
                <w:b/>
              </w:rPr>
              <w:t>sadarb.valsts</w:t>
            </w:r>
            <w:proofErr w:type="spellEnd"/>
            <w:r w:rsidRPr="0066414A">
              <w:rPr>
                <w:b/>
              </w:rPr>
              <w:t xml:space="preserve"> </w:t>
            </w:r>
          </w:p>
        </w:tc>
      </w:tr>
      <w:tr w:rsidR="001D26BC" w:rsidRPr="0066414A" w:rsidTr="00A1288B">
        <w:trPr>
          <w:trHeight w:val="6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66414A" w:rsidRDefault="001D26BC" w:rsidP="00A1288B">
            <w:pPr>
              <w:rPr>
                <w:b/>
              </w:rPr>
            </w:pPr>
            <w:r w:rsidRPr="0066414A">
              <w:rPr>
                <w:b/>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26BC" w:rsidRPr="0066414A" w:rsidRDefault="001D26BC" w:rsidP="00A1288B">
            <w:pPr>
              <w:rPr>
                <w:b/>
              </w:rPr>
            </w:pPr>
            <w:r w:rsidRPr="0066414A">
              <w:rPr>
                <w:b/>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 xml:space="preserve">% </w:t>
            </w:r>
            <w:proofErr w:type="spellStart"/>
            <w:r w:rsidRPr="0066414A">
              <w:rPr>
                <w:b/>
              </w:rPr>
              <w:t>izm</w:t>
            </w:r>
            <w:proofErr w:type="spellEnd"/>
            <w:r w:rsidRPr="0066414A">
              <w:rPr>
                <w:b/>
              </w:rPr>
              <w: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jaunā vērt.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sākot. vērt.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jaunā vērt.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 xml:space="preserve">% </w:t>
            </w:r>
            <w:proofErr w:type="spellStart"/>
            <w:r w:rsidRPr="0066414A">
              <w:rPr>
                <w:b/>
              </w:rPr>
              <w:t>izm</w:t>
            </w:r>
            <w:proofErr w:type="spellEnd"/>
            <w:r w:rsidRPr="0066414A">
              <w:rPr>
                <w:b/>
              </w:rPr>
              <w: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 xml:space="preserve">% </w:t>
            </w:r>
            <w:proofErr w:type="spellStart"/>
            <w:r w:rsidRPr="0066414A">
              <w:rPr>
                <w:b/>
              </w:rPr>
              <w:t>izm</w:t>
            </w:r>
            <w:proofErr w:type="spellEnd"/>
            <w:r w:rsidRPr="0066414A">
              <w:rPr>
                <w:b/>
              </w:rPr>
              <w: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jaunā vērt.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sākot. vērt.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jaunā vērt.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 xml:space="preserve">% </w:t>
            </w:r>
            <w:proofErr w:type="spellStart"/>
            <w:r w:rsidRPr="0066414A">
              <w:rPr>
                <w:b/>
              </w:rPr>
              <w:t>izm</w:t>
            </w:r>
            <w:proofErr w:type="spellEnd"/>
            <w:r w:rsidRPr="0066414A">
              <w:rPr>
                <w:b/>
              </w:rPr>
              <w: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 xml:space="preserve">% </w:t>
            </w:r>
            <w:proofErr w:type="spellStart"/>
            <w:r w:rsidRPr="0066414A">
              <w:rPr>
                <w:b/>
              </w:rPr>
              <w:t>izm</w:t>
            </w:r>
            <w:proofErr w:type="spellEnd"/>
            <w:r w:rsidRPr="0066414A">
              <w:rPr>
                <w:b/>
              </w:rPr>
              <w: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jaunā vērt.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sākot. vērt.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jaunā vērt.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D26BC" w:rsidRPr="0066414A" w:rsidRDefault="001D26BC" w:rsidP="00A1288B">
            <w:pPr>
              <w:rPr>
                <w:b/>
              </w:rPr>
            </w:pPr>
            <w:r w:rsidRPr="0066414A">
              <w:rPr>
                <w:b/>
              </w:rPr>
              <w:t xml:space="preserve">% </w:t>
            </w:r>
            <w:proofErr w:type="spellStart"/>
            <w:r w:rsidRPr="0066414A">
              <w:rPr>
                <w:b/>
              </w:rPr>
              <w:t>izm</w:t>
            </w:r>
            <w:proofErr w:type="spellEnd"/>
            <w:r w:rsidRPr="0066414A">
              <w:rPr>
                <w:b/>
              </w:rPr>
              <w:t>.</w:t>
            </w:r>
          </w:p>
        </w:tc>
      </w:tr>
      <w:tr w:rsidR="001D26BC" w:rsidRPr="0066414A" w:rsidTr="00A1288B">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-11%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6-11%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7-12%</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8-13%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11%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-11%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6-11%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7-12%</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8-13%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11%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-11%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6-11%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7-12%</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8-13%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66414A" w:rsidRDefault="001D26BC" w:rsidP="00A1288B">
            <w:pPr>
              <w:rPr>
                <w:sz w:val="20"/>
              </w:rPr>
            </w:pPr>
            <w:r w:rsidRPr="0066414A">
              <w:rPr>
                <w:sz w:val="20"/>
              </w:rPr>
              <w:t>11%</w:t>
            </w:r>
          </w:p>
        </w:tc>
      </w:tr>
      <w:tr w:rsidR="001D26BC" w:rsidRPr="00ED79AC" w:rsidTr="00A1288B">
        <w:trPr>
          <w:trHeight w:val="300"/>
        </w:trPr>
        <w:tc>
          <w:tcPr>
            <w:tcW w:w="23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Investīciju atdeve:</w:t>
            </w:r>
          </w:p>
        </w:tc>
        <w:tc>
          <w:tcPr>
            <w:tcW w:w="660" w:type="dxa"/>
            <w:tcBorders>
              <w:top w:val="nil"/>
              <w:left w:val="single" w:sz="4" w:space="0" w:color="auto"/>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r>
      <w:tr w:rsidR="001D26BC" w:rsidRPr="001C717D" w:rsidTr="00A1288B">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1C717D" w:rsidRDefault="001D26BC" w:rsidP="00A1288B">
            <w:r w:rsidRPr="001C717D">
              <w:t>ENPV</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milj. LVL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D26BC" w:rsidRPr="001C717D" w:rsidRDefault="001D26BC" w:rsidP="00A1288B">
            <w:r w:rsidRPr="001C717D">
              <w:t>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1.69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1.59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1.50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10.14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10.10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10.06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0.49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0.44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0.39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-11%</w:t>
            </w:r>
          </w:p>
        </w:tc>
      </w:tr>
      <w:tr w:rsidR="001D26BC" w:rsidRPr="001C717D" w:rsidTr="00A1288B">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1C717D" w:rsidRDefault="001D26BC" w:rsidP="00A1288B">
            <w:r w:rsidRPr="001C717D">
              <w:t>EIRR</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D26BC" w:rsidRPr="001C717D" w:rsidRDefault="001D26BC" w:rsidP="00A1288B">
            <w:r w:rsidRPr="001C717D">
              <w:t>7%</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41%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39%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36%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-7%</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57%</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55%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54%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-2%</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37%</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33%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30%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-10%</w:t>
            </w:r>
          </w:p>
        </w:tc>
      </w:tr>
      <w:tr w:rsidR="001D26BC" w:rsidRPr="001C717D" w:rsidTr="00A1288B">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1C717D" w:rsidRDefault="001D26BC" w:rsidP="00A1288B">
            <w:r w:rsidRPr="001C717D">
              <w:t>B/C</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reizes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D26BC" w:rsidRPr="001C717D" w:rsidRDefault="001D26BC" w:rsidP="00A1288B">
            <w:r w:rsidRPr="001C717D">
              <w:t>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1.25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1.24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1.23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1.46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1.46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1.46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1.13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1.12</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1C717D" w:rsidRDefault="001D26BC" w:rsidP="00A1288B">
            <w:r w:rsidRPr="001C717D">
              <w:t>-1%</w:t>
            </w:r>
          </w:p>
        </w:tc>
      </w:tr>
    </w:tbl>
    <w:p w:rsidR="001D26BC" w:rsidRDefault="001D26BC" w:rsidP="001D26BC">
      <w:pPr>
        <w:pStyle w:val="Heading3"/>
      </w:pPr>
      <w:bookmarkStart w:id="143" w:name="_Toc302987973"/>
    </w:p>
    <w:p w:rsidR="001D26BC" w:rsidRDefault="001D26BC" w:rsidP="001D26BC">
      <w:pPr>
        <w:pStyle w:val="Heading3"/>
      </w:pPr>
      <w:bookmarkStart w:id="144" w:name="_Toc303176622"/>
      <w:r>
        <w:t>EKA kontraktu apgrozījuma multiplikators</w:t>
      </w:r>
      <w:bookmarkEnd w:id="143"/>
      <w:bookmarkEnd w:id="144"/>
    </w:p>
    <w:p w:rsidR="001D26BC" w:rsidRPr="00915C94" w:rsidRDefault="001D26BC" w:rsidP="001D26BC">
      <w:pPr>
        <w:ind w:firstLine="360"/>
        <w:jc w:val="both"/>
        <w:rPr>
          <w:sz w:val="28"/>
        </w:rPr>
      </w:pPr>
      <w:r w:rsidRPr="00915C94">
        <w:rPr>
          <w:sz w:val="28"/>
        </w:rPr>
        <w:t>Kā redzams no tabulas zemāk, tad no visiem analizētājiem ieejas (</w:t>
      </w:r>
      <w:proofErr w:type="spellStart"/>
      <w:r w:rsidRPr="00915C94">
        <w:rPr>
          <w:i/>
          <w:sz w:val="28"/>
        </w:rPr>
        <w:t>input</w:t>
      </w:r>
      <w:proofErr w:type="spellEnd"/>
      <w:r w:rsidRPr="00915C94">
        <w:rPr>
          <w:sz w:val="28"/>
        </w:rPr>
        <w:t xml:space="preserve">) parametriem izmaiņām EKA multiplikatorā ir vislielākā ietekme  un jūtība uz investīciju atdeves rādītājiem visos trīs Sadarbības alternatīvas scenārijos. Visjūtīgākais pret izmaiņām multiplikatorā ir Scenārijs 3, kur 10% izmaiņas multiplikatorā var radīt 50% izmaiņas scenārija </w:t>
      </w:r>
      <w:proofErr w:type="spellStart"/>
      <w:r w:rsidRPr="00915C94">
        <w:rPr>
          <w:sz w:val="28"/>
        </w:rPr>
        <w:t>socio-ekonomiskās</w:t>
      </w:r>
      <w:proofErr w:type="spellEnd"/>
      <w:r w:rsidRPr="00915C94">
        <w:rPr>
          <w:sz w:val="28"/>
        </w:rPr>
        <w:t xml:space="preserve"> peļņas tagadnes vērtībā (ENPV), kas skaidrojams ar to, ka šajā scenārijā pēc sadarbības ar EKA pārtraukšanu nav gaidāmi ilgstoši tālāki ieguvumu efekti, kas nozīmē, ka visas „cerības” tiek liktas uz multiplikatora spēju sniegt tūlītēju atdevi pirmajā piecgadē, kas neapšaubāmi padara šo scenāriju par salīdzinoši riskantu, gadījumā, ja Latvijas kosmosa nozare nespēj tūlītēji izmantot EKA kontraktu sniegtās papildus iespējas. Kā otrs jūtīgākais vērtējams Scenārijs 1, kur 10% izmaiņas multiplikatorā rada 29% izmaiņas </w:t>
      </w:r>
      <w:proofErr w:type="spellStart"/>
      <w:r w:rsidRPr="00915C94">
        <w:rPr>
          <w:sz w:val="28"/>
        </w:rPr>
        <w:t>socio-ekonomiskās</w:t>
      </w:r>
      <w:proofErr w:type="spellEnd"/>
      <w:r w:rsidRPr="00915C94">
        <w:rPr>
          <w:sz w:val="28"/>
        </w:rPr>
        <w:t xml:space="preserve"> peļņas tagadnes vērtībā, savukārt vismazāk jūtīgais ir Scenārijs 2.</w:t>
      </w:r>
    </w:p>
    <w:p w:rsidR="001D26BC" w:rsidRPr="00EF1A4B" w:rsidRDefault="001D26BC" w:rsidP="001D26BC">
      <w:pPr>
        <w:rPr>
          <w:szCs w:val="24"/>
        </w:rPr>
      </w:pPr>
    </w:p>
    <w:p w:rsidR="001D26BC" w:rsidRPr="007C5036" w:rsidRDefault="001D26BC" w:rsidP="001D26BC">
      <w:pPr>
        <w:pStyle w:val="Caption"/>
        <w:rPr>
          <w:i/>
        </w:rPr>
      </w:pPr>
      <w:r w:rsidRPr="007C5036">
        <w:rPr>
          <w:i/>
        </w:rPr>
        <w:t xml:space="preserve">Tabula </w:t>
      </w:r>
      <w:r w:rsidR="00277129" w:rsidRPr="007C5036">
        <w:rPr>
          <w:i/>
        </w:rPr>
        <w:fldChar w:fldCharType="begin"/>
      </w:r>
      <w:r w:rsidR="00EC68B2" w:rsidRPr="007C5036">
        <w:rPr>
          <w:i/>
        </w:rPr>
        <w:instrText xml:space="preserve"> SEQ Tabula \* ARABIC </w:instrText>
      </w:r>
      <w:r w:rsidR="00277129" w:rsidRPr="007C5036">
        <w:rPr>
          <w:i/>
        </w:rPr>
        <w:fldChar w:fldCharType="separate"/>
      </w:r>
      <w:r w:rsidR="00885249">
        <w:rPr>
          <w:i/>
          <w:noProof/>
        </w:rPr>
        <w:t>14</w:t>
      </w:r>
      <w:r w:rsidR="00277129" w:rsidRPr="007C5036">
        <w:rPr>
          <w:i/>
        </w:rPr>
        <w:fldChar w:fldCharType="end"/>
      </w:r>
      <w:r w:rsidRPr="007C5036">
        <w:rPr>
          <w:i/>
        </w:rPr>
        <w:t>, Investīciju atdeves jūtīgums pret izmaiņām EKA apgrozījuma multiplikatorā.</w:t>
      </w:r>
    </w:p>
    <w:tbl>
      <w:tblPr>
        <w:tblW w:w="12280" w:type="dxa"/>
        <w:tblInd w:w="91" w:type="dxa"/>
        <w:tblLook w:val="04A0"/>
      </w:tblPr>
      <w:tblGrid>
        <w:gridCol w:w="968"/>
        <w:gridCol w:w="1412"/>
        <w:gridCol w:w="660"/>
        <w:gridCol w:w="803"/>
        <w:gridCol w:w="823"/>
        <w:gridCol w:w="803"/>
        <w:gridCol w:w="660"/>
        <w:gridCol w:w="660"/>
        <w:gridCol w:w="803"/>
        <w:gridCol w:w="823"/>
        <w:gridCol w:w="803"/>
        <w:gridCol w:w="660"/>
        <w:gridCol w:w="660"/>
        <w:gridCol w:w="803"/>
        <w:gridCol w:w="823"/>
        <w:gridCol w:w="803"/>
        <w:gridCol w:w="660"/>
      </w:tblGrid>
      <w:tr w:rsidR="001D26BC" w:rsidRPr="00ED79AC" w:rsidTr="00A1288B">
        <w:trPr>
          <w:trHeight w:val="30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BC" w:rsidRPr="00ED79AC" w:rsidRDefault="001D26BC" w:rsidP="00A1288B">
            <w:pPr>
              <w:rPr>
                <w:b/>
              </w:rPr>
            </w:pPr>
            <w:r w:rsidRPr="00ED79AC">
              <w:rPr>
                <w:b/>
              </w:rPr>
              <w:lastRenderedPageBreak/>
              <w:t> </w:t>
            </w:r>
          </w:p>
        </w:tc>
        <w:tc>
          <w:tcPr>
            <w:tcW w:w="33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D26BC" w:rsidRPr="00ED79AC" w:rsidRDefault="001D26BC" w:rsidP="00A1288B">
            <w:pPr>
              <w:rPr>
                <w:b/>
              </w:rPr>
            </w:pPr>
            <w:r w:rsidRPr="00ED79AC">
              <w:rPr>
                <w:b/>
              </w:rPr>
              <w:t>Scenārijs 1</w:t>
            </w:r>
          </w:p>
        </w:tc>
        <w:tc>
          <w:tcPr>
            <w:tcW w:w="33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D26BC" w:rsidRPr="00ED79AC" w:rsidRDefault="001D26BC" w:rsidP="00A1288B">
            <w:pPr>
              <w:rPr>
                <w:b/>
              </w:rPr>
            </w:pPr>
            <w:r w:rsidRPr="00ED79AC">
              <w:rPr>
                <w:b/>
              </w:rPr>
              <w:t>Scenārijs 2</w:t>
            </w:r>
          </w:p>
        </w:tc>
        <w:tc>
          <w:tcPr>
            <w:tcW w:w="33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D26BC" w:rsidRPr="00ED79AC" w:rsidRDefault="001D26BC" w:rsidP="00A1288B">
            <w:pPr>
              <w:rPr>
                <w:b/>
              </w:rPr>
            </w:pPr>
            <w:r w:rsidRPr="00ED79AC">
              <w:rPr>
                <w:b/>
              </w:rPr>
              <w:t>Scenārijs 3</w:t>
            </w:r>
          </w:p>
        </w:tc>
      </w:tr>
      <w:tr w:rsidR="001D26BC" w:rsidRPr="00ED79AC" w:rsidTr="00A1288B">
        <w:trPr>
          <w:trHeight w:val="300"/>
        </w:trPr>
        <w:tc>
          <w:tcPr>
            <w:tcW w:w="23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Mainīgais parametrs:</w:t>
            </w:r>
          </w:p>
        </w:tc>
        <w:tc>
          <w:tcPr>
            <w:tcW w:w="3300" w:type="dxa"/>
            <w:gridSpan w:val="5"/>
            <w:tcBorders>
              <w:top w:val="single" w:sz="4" w:space="0" w:color="auto"/>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Sākotnējais EKA multiplikators</w:t>
            </w:r>
          </w:p>
        </w:tc>
        <w:tc>
          <w:tcPr>
            <w:tcW w:w="3300" w:type="dxa"/>
            <w:gridSpan w:val="5"/>
            <w:tcBorders>
              <w:top w:val="single" w:sz="4" w:space="0" w:color="auto"/>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Sākotnējais EKA multiplikators</w:t>
            </w:r>
          </w:p>
        </w:tc>
        <w:tc>
          <w:tcPr>
            <w:tcW w:w="3300" w:type="dxa"/>
            <w:gridSpan w:val="5"/>
            <w:tcBorders>
              <w:top w:val="single" w:sz="4" w:space="0" w:color="auto"/>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Sākotnējais EKA multiplikators</w:t>
            </w:r>
          </w:p>
        </w:tc>
      </w:tr>
      <w:tr w:rsidR="001D26BC" w:rsidRPr="00ED79AC" w:rsidTr="00A1288B">
        <w:trPr>
          <w:trHeight w:val="6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ED79AC" w:rsidRDefault="001D26BC" w:rsidP="00A1288B">
            <w:pPr>
              <w:rPr>
                <w:b/>
              </w:rPr>
            </w:pPr>
            <w:r w:rsidRPr="00ED79AC">
              <w:rPr>
                <w:b/>
              </w:rPr>
              <w:t> </w:t>
            </w:r>
          </w:p>
        </w:tc>
        <w:tc>
          <w:tcPr>
            <w:tcW w:w="1412"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 xml:space="preserve">% </w:t>
            </w:r>
            <w:proofErr w:type="spellStart"/>
            <w:r w:rsidRPr="00ED79AC">
              <w:rPr>
                <w:b/>
              </w:rPr>
              <w:t>izm</w:t>
            </w:r>
            <w:proofErr w:type="spellEnd"/>
            <w:r w:rsidRPr="00ED79AC">
              <w:rPr>
                <w:b/>
              </w:rPr>
              <w: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jaunā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sākot.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jaunā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 xml:space="preserve">% </w:t>
            </w:r>
            <w:proofErr w:type="spellStart"/>
            <w:r w:rsidRPr="00ED79AC">
              <w:rPr>
                <w:b/>
              </w:rPr>
              <w:t>izm</w:t>
            </w:r>
            <w:proofErr w:type="spellEnd"/>
            <w:r w:rsidRPr="00ED79AC">
              <w:rPr>
                <w:b/>
              </w:rPr>
              <w: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 xml:space="preserve">% </w:t>
            </w:r>
            <w:proofErr w:type="spellStart"/>
            <w:r w:rsidRPr="00ED79AC">
              <w:rPr>
                <w:b/>
              </w:rPr>
              <w:t>izm</w:t>
            </w:r>
            <w:proofErr w:type="spellEnd"/>
            <w:r w:rsidRPr="00ED79AC">
              <w:rPr>
                <w:b/>
              </w:rPr>
              <w: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jaunā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sākot.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jaunā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 xml:space="preserve">% </w:t>
            </w:r>
            <w:proofErr w:type="spellStart"/>
            <w:r w:rsidRPr="00ED79AC">
              <w:rPr>
                <w:b/>
              </w:rPr>
              <w:t>izm</w:t>
            </w:r>
            <w:proofErr w:type="spellEnd"/>
            <w:r w:rsidRPr="00ED79AC">
              <w:rPr>
                <w:b/>
              </w:rPr>
              <w: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 xml:space="preserve">% </w:t>
            </w:r>
            <w:proofErr w:type="spellStart"/>
            <w:r w:rsidRPr="00ED79AC">
              <w:rPr>
                <w:b/>
              </w:rPr>
              <w:t>izm</w:t>
            </w:r>
            <w:proofErr w:type="spellEnd"/>
            <w:r w:rsidRPr="00ED79AC">
              <w:rPr>
                <w:b/>
              </w:rPr>
              <w: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jaunā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sākot.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jaunā vērt.</w:t>
            </w:r>
          </w:p>
        </w:tc>
        <w:tc>
          <w:tcPr>
            <w:tcW w:w="660" w:type="dxa"/>
            <w:tcBorders>
              <w:top w:val="nil"/>
              <w:left w:val="nil"/>
              <w:bottom w:val="single" w:sz="4" w:space="0" w:color="auto"/>
              <w:right w:val="single" w:sz="4" w:space="0" w:color="auto"/>
            </w:tcBorders>
            <w:shd w:val="clear" w:color="auto" w:fill="auto"/>
            <w:vAlign w:val="center"/>
            <w:hideMark/>
          </w:tcPr>
          <w:p w:rsidR="001D26BC" w:rsidRPr="00ED79AC" w:rsidRDefault="001D26BC" w:rsidP="00A1288B">
            <w:pPr>
              <w:rPr>
                <w:b/>
              </w:rPr>
            </w:pPr>
            <w:r w:rsidRPr="00ED79AC">
              <w:rPr>
                <w:b/>
              </w:rPr>
              <w:t xml:space="preserve">% </w:t>
            </w:r>
            <w:proofErr w:type="spellStart"/>
            <w:r w:rsidRPr="00ED79AC">
              <w:rPr>
                <w:b/>
              </w:rPr>
              <w:t>izm</w:t>
            </w:r>
            <w:proofErr w:type="spellEnd"/>
            <w:r w:rsidRPr="00ED79AC">
              <w:rPr>
                <w:b/>
              </w:rPr>
              <w:t>.</w:t>
            </w:r>
          </w:p>
        </w:tc>
      </w:tr>
      <w:tr w:rsidR="001D26BC" w:rsidRPr="00ED79AC" w:rsidTr="00A1288B">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 </w:t>
            </w:r>
          </w:p>
        </w:tc>
        <w:tc>
          <w:tcPr>
            <w:tcW w:w="1412"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1.26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1.40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1.54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1.26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1.40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1.54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1.26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1.40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1.54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ED79AC" w:rsidRDefault="001D26BC" w:rsidP="00A1288B">
            <w:pPr>
              <w:rPr>
                <w:sz w:val="20"/>
              </w:rPr>
            </w:pPr>
            <w:r w:rsidRPr="00ED79AC">
              <w:rPr>
                <w:sz w:val="20"/>
              </w:rPr>
              <w:t>10%</w:t>
            </w:r>
          </w:p>
        </w:tc>
      </w:tr>
      <w:tr w:rsidR="001D26BC" w:rsidRPr="00ED79AC" w:rsidTr="00A1288B">
        <w:trPr>
          <w:trHeight w:val="300"/>
        </w:trPr>
        <w:tc>
          <w:tcPr>
            <w:tcW w:w="23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Investīciju atdeve:</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c>
          <w:tcPr>
            <w:tcW w:w="660" w:type="dxa"/>
            <w:tcBorders>
              <w:top w:val="nil"/>
              <w:left w:val="nil"/>
              <w:bottom w:val="single" w:sz="4" w:space="0" w:color="auto"/>
              <w:right w:val="single" w:sz="4" w:space="0" w:color="auto"/>
            </w:tcBorders>
            <w:shd w:val="clear" w:color="000000" w:fill="BFBFBF"/>
            <w:noWrap/>
            <w:vAlign w:val="bottom"/>
            <w:hideMark/>
          </w:tcPr>
          <w:p w:rsidR="001D26BC" w:rsidRPr="00ED79AC" w:rsidRDefault="001D26BC" w:rsidP="00A1288B">
            <w:pPr>
              <w:rPr>
                <w:b/>
              </w:rPr>
            </w:pPr>
            <w:r w:rsidRPr="00ED79AC">
              <w:rPr>
                <w:b/>
              </w:rPr>
              <w:t> </w:t>
            </w:r>
          </w:p>
        </w:tc>
      </w:tr>
      <w:tr w:rsidR="001D26BC" w:rsidRPr="003C2E65" w:rsidTr="00A1288B">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3C2E65" w:rsidRDefault="001D26BC" w:rsidP="00A1288B">
            <w:r w:rsidRPr="003C2E65">
              <w:t>ENPV</w:t>
            </w:r>
          </w:p>
        </w:tc>
        <w:tc>
          <w:tcPr>
            <w:tcW w:w="1412"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milj. LVL</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-29%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1.13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1.59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2.06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29%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-17%</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8.40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10.10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11.80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17%</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-50%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0.22</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0.44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0.66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50%</w:t>
            </w:r>
          </w:p>
        </w:tc>
      </w:tr>
      <w:tr w:rsidR="001D26BC" w:rsidRPr="003C2E65" w:rsidTr="00A1288B">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3C2E65" w:rsidRDefault="001D26BC" w:rsidP="00A1288B">
            <w:r w:rsidRPr="003C2E65">
              <w:t>EIRR</w:t>
            </w:r>
          </w:p>
        </w:tc>
        <w:tc>
          <w:tcPr>
            <w:tcW w:w="1412"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-29%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28%</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39%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51%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31%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45%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55%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66%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20%</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-42%</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19%</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33%</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47%</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42%</w:t>
            </w:r>
          </w:p>
        </w:tc>
      </w:tr>
      <w:tr w:rsidR="001D26BC" w:rsidRPr="003C2E65" w:rsidTr="00A1288B">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D26BC" w:rsidRPr="003C2E65" w:rsidRDefault="001D26BC" w:rsidP="00A1288B">
            <w:r w:rsidRPr="003C2E65">
              <w:t>B/C</w:t>
            </w:r>
          </w:p>
        </w:tc>
        <w:tc>
          <w:tcPr>
            <w:tcW w:w="1412"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reizes</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1.17</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1.24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1.31</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1.38</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1.46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1.54</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-5%</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1.06</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1.12</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1.18</w:t>
            </w:r>
          </w:p>
        </w:tc>
        <w:tc>
          <w:tcPr>
            <w:tcW w:w="660" w:type="dxa"/>
            <w:tcBorders>
              <w:top w:val="nil"/>
              <w:left w:val="nil"/>
              <w:bottom w:val="single" w:sz="4" w:space="0" w:color="auto"/>
              <w:right w:val="single" w:sz="4" w:space="0" w:color="auto"/>
            </w:tcBorders>
            <w:shd w:val="clear" w:color="auto" w:fill="auto"/>
            <w:noWrap/>
            <w:vAlign w:val="bottom"/>
            <w:hideMark/>
          </w:tcPr>
          <w:p w:rsidR="001D26BC" w:rsidRPr="003C2E65" w:rsidRDefault="001D26BC" w:rsidP="00A1288B">
            <w:r w:rsidRPr="003C2E65">
              <w:t>5%</w:t>
            </w:r>
          </w:p>
        </w:tc>
      </w:tr>
    </w:tbl>
    <w:p w:rsidR="001D26BC" w:rsidRDefault="001D26BC" w:rsidP="001D26BC"/>
    <w:p w:rsidR="001D26BC" w:rsidRDefault="001D26BC" w:rsidP="001D26BC"/>
    <w:p w:rsidR="001D26BC" w:rsidRDefault="001D26BC" w:rsidP="001D26BC">
      <w:pPr>
        <w:sectPr w:rsidR="001D26BC" w:rsidSect="00A1288B">
          <w:pgSz w:w="16838" w:h="11906" w:orient="landscape" w:code="9"/>
          <w:pgMar w:top="1797" w:right="1440" w:bottom="1797" w:left="1440" w:header="709" w:footer="709" w:gutter="0"/>
          <w:cols w:space="708"/>
          <w:docGrid w:linePitch="360"/>
        </w:sectPr>
      </w:pPr>
    </w:p>
    <w:p w:rsidR="001D26BC" w:rsidRDefault="001D26BC" w:rsidP="001D26BC">
      <w:pPr>
        <w:pStyle w:val="Heading2"/>
      </w:pPr>
      <w:bookmarkStart w:id="145" w:name="_Toc302987974"/>
      <w:bookmarkStart w:id="146" w:name="_Toc303176623"/>
      <w:r w:rsidRPr="0028244C">
        <w:lastRenderedPageBreak/>
        <w:t>Risku analīze</w:t>
      </w:r>
      <w:bookmarkEnd w:id="145"/>
      <w:bookmarkEnd w:id="146"/>
    </w:p>
    <w:p w:rsidR="001D26BC" w:rsidRPr="00AF1D1C" w:rsidRDefault="001D26BC" w:rsidP="001D26BC">
      <w:pPr>
        <w:pStyle w:val="Heading3"/>
      </w:pPr>
      <w:bookmarkStart w:id="147" w:name="_Toc302987975"/>
      <w:bookmarkStart w:id="148" w:name="_Toc303176624"/>
      <w:r w:rsidRPr="00AF1D1C">
        <w:t>Ar EKA darbību saistītie riski</w:t>
      </w:r>
      <w:bookmarkEnd w:id="147"/>
      <w:bookmarkEnd w:id="148"/>
    </w:p>
    <w:p w:rsidR="001D26BC" w:rsidRPr="00AF1D1C" w:rsidRDefault="001D26BC" w:rsidP="001D26BC">
      <w:pPr>
        <w:pStyle w:val="Heading3"/>
        <w:numPr>
          <w:ilvl w:val="2"/>
          <w:numId w:val="0"/>
        </w:numPr>
        <w:spacing w:before="480" w:after="0" w:line="276" w:lineRule="auto"/>
        <w:jc w:val="both"/>
      </w:pPr>
      <w:bookmarkStart w:id="149" w:name="_Toc302987976"/>
      <w:bookmarkStart w:id="150" w:name="_Toc303176625"/>
      <w:r w:rsidRPr="00AF1D1C">
        <w:t>EKA sadarbības valsts maksa</w:t>
      </w:r>
      <w:bookmarkEnd w:id="149"/>
      <w:bookmarkEnd w:id="150"/>
    </w:p>
    <w:p w:rsidR="001D26BC" w:rsidRPr="00AF1D1C" w:rsidRDefault="001D26BC" w:rsidP="001D26BC">
      <w:pPr>
        <w:ind w:firstLine="720"/>
        <w:jc w:val="both"/>
        <w:rPr>
          <w:sz w:val="28"/>
        </w:rPr>
      </w:pPr>
      <w:r w:rsidRPr="00AF1D1C">
        <w:rPr>
          <w:sz w:val="28"/>
        </w:rPr>
        <w:t>EKA sadarbības valsts maksa salīdzināmās cenās tiktu fiksēta Latvijas un EKA noslēgtajā Eiropas sadarbības valsts līgumā un vienīgās tās izmaiņas paredzamas nominālā izteiksmē, ko aprēķina Eurostat saskaņā ar inflāciju. Līdz ar to nav pamata domāt, ka šī maksa varētu mainīties pirmās piecgades (2013-2018) ietvaros. Tāda pati sadarbības maksa, kas noteikta Latvijai, ir arī Igaunijai, kas Eiropas sadarbības valsts līgumu noslēdza 2009.gadā. Tāpat arī, saskaņā ar EKA pārstāvju pausto, šobrīd nav informācijas, kas liecinātu, ka minimālā Eiropas sadarbības valsts maksa varētu atšķirties otrajā piecgadē (2018-2022).</w:t>
      </w:r>
    </w:p>
    <w:p w:rsidR="001D26BC" w:rsidRDefault="001D26BC" w:rsidP="001D26BC">
      <w:pPr>
        <w:jc w:val="both"/>
        <w:rPr>
          <w:sz w:val="28"/>
        </w:rPr>
      </w:pPr>
      <w:r w:rsidRPr="00AF1D1C">
        <w:rPr>
          <w:sz w:val="28"/>
        </w:rPr>
        <w:t xml:space="preserve">Riska novērtējums: </w:t>
      </w:r>
      <w:r w:rsidRPr="00AF1D1C">
        <w:rPr>
          <w:b/>
          <w:sz w:val="28"/>
        </w:rPr>
        <w:t>zems</w:t>
      </w:r>
      <w:r w:rsidRPr="00AF1D1C">
        <w:rPr>
          <w:sz w:val="28"/>
        </w:rPr>
        <w:t>.</w:t>
      </w:r>
    </w:p>
    <w:p w:rsidR="001D26BC" w:rsidRPr="00AF1D1C" w:rsidRDefault="001D26BC" w:rsidP="001D26BC">
      <w:pPr>
        <w:jc w:val="both"/>
        <w:rPr>
          <w:sz w:val="28"/>
        </w:rPr>
      </w:pPr>
    </w:p>
    <w:p w:rsidR="001D26BC" w:rsidRPr="00222F4E" w:rsidRDefault="001D26BC" w:rsidP="001D26BC">
      <w:pPr>
        <w:pStyle w:val="Heading3"/>
      </w:pPr>
      <w:bookmarkStart w:id="151" w:name="_Toc302987977"/>
      <w:bookmarkStart w:id="152" w:name="_Toc303176626"/>
      <w:r w:rsidRPr="00222F4E">
        <w:t>EKA dalībvalsts maksa un vienreizējā iestāšanās maksa</w:t>
      </w:r>
      <w:bookmarkEnd w:id="151"/>
      <w:bookmarkEnd w:id="152"/>
    </w:p>
    <w:p w:rsidR="001D26BC" w:rsidRPr="00AF1D1C" w:rsidRDefault="001D26BC" w:rsidP="001D26BC">
      <w:pPr>
        <w:ind w:firstLine="720"/>
        <w:jc w:val="both"/>
        <w:rPr>
          <w:sz w:val="28"/>
        </w:rPr>
      </w:pPr>
      <w:r w:rsidRPr="00AF1D1C">
        <w:rPr>
          <w:sz w:val="28"/>
        </w:rPr>
        <w:t xml:space="preserve">Attiecībā uz dalībvalsts obligāto maksu, tad tās aprēķināšanas pamats ir noteikts procents no katras dalībvalsts nacionālā kopienākuma. Pašreiz pieejamie dati liecina, ka tas ir 0.03% apmērā. Saskaņā ar EKA Konvenciju dalības maksas apmērs var tikt pārskatīts vai nu reizi trijos gados ar 2/3 dalībvalstu balsīm, vai arī jebkurā brīdī, ja visas dalībvalstis vienbalsīgi nobalso. Līdz ar to pastāv zināma varbūtība ka līdz 2018.g. dalības maksa mainās. Taču no otras puses EKA ir ieinteresēta jaunu dalībnieku uzņemšanā un visas Eiropas valstu iesaistē, līdz ar to, domājams, ka tā ar izpratni raudzītos uz jauno dalībvalstu situāciju. Bez tam arī EKA Konvencija paredz iespēju atvieglot dalības maksu gadījumos, ja valsts ienākumi uz iedzīvotāju ir zemāki par noteiktu slieksni. </w:t>
      </w:r>
    </w:p>
    <w:p w:rsidR="001D26BC" w:rsidRPr="00AF1D1C" w:rsidRDefault="001D26BC" w:rsidP="007C5036">
      <w:pPr>
        <w:ind w:firstLine="720"/>
        <w:jc w:val="both"/>
        <w:rPr>
          <w:sz w:val="28"/>
        </w:rPr>
      </w:pPr>
      <w:r w:rsidRPr="00AF1D1C">
        <w:rPr>
          <w:sz w:val="28"/>
        </w:rPr>
        <w:t>Vienreizējā iestājmaksa jaunām dalībvalstīm šobrīd varētu būt visneskaidrākais jautājums, jo tā tiek rēķināta proporcionāli EKA konkrētā brīža aktīvu kopvērtībai, un tā tiek pārrēķināta katru reizi, kad jauna dalībvalsts pievienojas EKA. Līdz ar to šobrīd vienīgais informācijas avots ir EKA pārstāvju norādītā summa 2-3 milj. eiro.</w:t>
      </w:r>
    </w:p>
    <w:p w:rsidR="001D26BC" w:rsidRDefault="001D26BC" w:rsidP="001D26BC">
      <w:pPr>
        <w:jc w:val="both"/>
        <w:rPr>
          <w:sz w:val="28"/>
        </w:rPr>
      </w:pPr>
      <w:r w:rsidRPr="00AF1D1C">
        <w:rPr>
          <w:sz w:val="28"/>
          <w:u w:val="single"/>
        </w:rPr>
        <w:t>Riska novērtējums</w:t>
      </w:r>
      <w:r w:rsidRPr="00AF1D1C">
        <w:rPr>
          <w:sz w:val="28"/>
        </w:rPr>
        <w:t xml:space="preserve">: ikgadējai dalības maksai – </w:t>
      </w:r>
      <w:r w:rsidRPr="00AF1D1C">
        <w:rPr>
          <w:b/>
          <w:sz w:val="28"/>
        </w:rPr>
        <w:t>zems</w:t>
      </w:r>
      <w:r w:rsidRPr="00AF1D1C">
        <w:rPr>
          <w:sz w:val="28"/>
        </w:rPr>
        <w:t xml:space="preserve">; vienreizējai iestāšanās maksai – </w:t>
      </w:r>
      <w:r w:rsidRPr="00AF1D1C">
        <w:rPr>
          <w:b/>
          <w:sz w:val="28"/>
        </w:rPr>
        <w:t>vidējs</w:t>
      </w:r>
      <w:r w:rsidRPr="00AF1D1C">
        <w:rPr>
          <w:sz w:val="28"/>
        </w:rPr>
        <w:t>.</w:t>
      </w:r>
    </w:p>
    <w:p w:rsidR="001D26BC" w:rsidRPr="00AF1D1C" w:rsidRDefault="001D26BC" w:rsidP="001D26BC">
      <w:pPr>
        <w:jc w:val="both"/>
        <w:rPr>
          <w:sz w:val="28"/>
        </w:rPr>
      </w:pPr>
    </w:p>
    <w:p w:rsidR="001D26BC" w:rsidRPr="00222F4E" w:rsidRDefault="001D26BC" w:rsidP="001D26BC">
      <w:pPr>
        <w:pStyle w:val="Heading3"/>
      </w:pPr>
      <w:bookmarkStart w:id="153" w:name="_Toc302987978"/>
      <w:bookmarkStart w:id="154" w:name="_Toc303176627"/>
      <w:r w:rsidRPr="00222F4E">
        <w:t>EKA administratīvā ieturējuma procents no sadarbības valsts maksas</w:t>
      </w:r>
      <w:bookmarkEnd w:id="153"/>
      <w:bookmarkEnd w:id="154"/>
    </w:p>
    <w:p w:rsidR="001D26BC" w:rsidRPr="00AF1D1C" w:rsidRDefault="001D26BC" w:rsidP="001D26BC">
      <w:pPr>
        <w:ind w:firstLine="720"/>
        <w:jc w:val="both"/>
        <w:rPr>
          <w:sz w:val="28"/>
        </w:rPr>
      </w:pPr>
      <w:r w:rsidRPr="00AF1D1C">
        <w:rPr>
          <w:sz w:val="28"/>
        </w:rPr>
        <w:t xml:space="preserve">Līdzīgi kā ikgadējās sadarbības valsts maksas gadījumā, arī ieturējuma procents tiktu fiksēts Latvijas un EKA Eiropas sadarbības līgumā. Bez tam, saskaņā ar Igaunijas pārstāvja norādīto, pirms līguma </w:t>
      </w:r>
      <w:r w:rsidRPr="00AF1D1C">
        <w:rPr>
          <w:sz w:val="28"/>
        </w:rPr>
        <w:lastRenderedPageBreak/>
        <w:t>slēgšanas pastāv iespēja „kaulēties” ar EKA, jo, piemēram, Igaunijas gadījumā visos pirmās piecgades gados administratīvais ieturējums noteikts 7% apmērā, nevis 7% pirmajā gadā ar pakāpenisku pieaugumu līdz 12% piektajā gadā.</w:t>
      </w:r>
    </w:p>
    <w:p w:rsidR="001D26BC" w:rsidRDefault="001D26BC" w:rsidP="001D26BC">
      <w:pPr>
        <w:jc w:val="both"/>
        <w:rPr>
          <w:sz w:val="28"/>
        </w:rPr>
      </w:pPr>
      <w:r w:rsidRPr="00AF1D1C">
        <w:rPr>
          <w:sz w:val="28"/>
          <w:u w:val="single"/>
        </w:rPr>
        <w:t>Riska novērtējums</w:t>
      </w:r>
      <w:r w:rsidRPr="00AF1D1C">
        <w:rPr>
          <w:sz w:val="28"/>
        </w:rPr>
        <w:t xml:space="preserve">: </w:t>
      </w:r>
      <w:r w:rsidRPr="00AF1D1C">
        <w:rPr>
          <w:b/>
          <w:sz w:val="28"/>
        </w:rPr>
        <w:t>zems</w:t>
      </w:r>
      <w:r w:rsidRPr="00AF1D1C">
        <w:rPr>
          <w:sz w:val="28"/>
        </w:rPr>
        <w:t>.</w:t>
      </w:r>
    </w:p>
    <w:p w:rsidR="001D26BC" w:rsidRPr="00AF1D1C" w:rsidRDefault="001D26BC" w:rsidP="001D26BC">
      <w:pPr>
        <w:jc w:val="both"/>
        <w:rPr>
          <w:sz w:val="28"/>
        </w:rPr>
      </w:pPr>
    </w:p>
    <w:p w:rsidR="001D26BC" w:rsidRPr="00222F4E" w:rsidRDefault="001D26BC" w:rsidP="001D26BC">
      <w:pPr>
        <w:pStyle w:val="Heading3"/>
      </w:pPr>
      <w:bookmarkStart w:id="155" w:name="_Toc302987979"/>
      <w:bookmarkStart w:id="156" w:name="_Toc303176628"/>
      <w:r w:rsidRPr="00222F4E">
        <w:t>Ģeogrāfiskās atdeves princips</w:t>
      </w:r>
      <w:bookmarkEnd w:id="155"/>
      <w:bookmarkEnd w:id="156"/>
    </w:p>
    <w:p w:rsidR="001D26BC" w:rsidRPr="00AF1D1C" w:rsidRDefault="001D26BC" w:rsidP="001D26BC">
      <w:pPr>
        <w:ind w:firstLine="720"/>
        <w:jc w:val="both"/>
        <w:rPr>
          <w:sz w:val="28"/>
        </w:rPr>
      </w:pPr>
      <w:r w:rsidRPr="00AF1D1C">
        <w:rPr>
          <w:sz w:val="28"/>
        </w:rPr>
        <w:t>Eiropas sadarbības valsts gadījumā Latvijas iemaksātā nauda tiek rezervēta tieši priekš PECS projektiem Latvijas uzņēmumiem un institūtiem, un, piesakoties EKA konkursos, nebūtu jākonkurē ar citu valstu spēlētājiem. Līdz ar to šīs naudas atgriešanās Latvijā uzskatāma par drošu, ja vien nozare to vispār spēj apgūt (kas analizēts nākamajā sadaļā).</w:t>
      </w:r>
    </w:p>
    <w:p w:rsidR="001D26BC" w:rsidRPr="00AF1D1C" w:rsidRDefault="001D26BC" w:rsidP="001D26BC">
      <w:pPr>
        <w:ind w:firstLine="720"/>
        <w:jc w:val="both"/>
        <w:rPr>
          <w:sz w:val="28"/>
        </w:rPr>
      </w:pPr>
      <w:r w:rsidRPr="00AF1D1C">
        <w:rPr>
          <w:sz w:val="28"/>
        </w:rPr>
        <w:t>Dalībvalstu gadījumā kopējais EKA darbības modelis ir balstīts uz „maksā, lai spēlētu” (</w:t>
      </w:r>
      <w:proofErr w:type="spellStart"/>
      <w:r w:rsidRPr="00AF1D1C">
        <w:rPr>
          <w:i/>
          <w:sz w:val="28"/>
        </w:rPr>
        <w:t>pay-to-play</w:t>
      </w:r>
      <w:proofErr w:type="spellEnd"/>
      <w:r w:rsidRPr="00AF1D1C">
        <w:rPr>
          <w:sz w:val="28"/>
        </w:rPr>
        <w:t>) principu, t.i. katra no dalības valstīm veic iemaksas ar mērķi, lai tās uzņēmumi un institūti varētu piedalīties EKA pētniecības aktivitātēs. Līdz ar to EKA kopumā par mērķi ir izvirzījusi, ka vidēji vismaz 90% no izpētes programmās iemaksātās naudas vajadzētu atgriezties katrā no dalībvalstīm. Kā paskaidroja EKA pārstāvis, tad gadījumā, ja jaunai dalībvalstij pirmajā dalības piecgadē neizdodas sasniegt 90% ģeogrāfisko atdevi, tad EKA paspārnē tiek izveidota speciāla rīcības grupa, kas palīdz jaunajai dalībvalstij risināt problēmas cēloņus. Neskatoties uz to, pastāv piemēri, kā Grieķija, kur šī atdeve ir ievērojami zemāka. Taču tas drīzāk uzskatāms par izņēmumu. Līdz ar, to ekonomiskajā modelī izmantotais Latvijas kā dalībvalsts saņemtais EKA kontraktu procents 80% vērtībā no iemaksu apjoma, uzskatāms par vidēji piesardzīgu no EKA politikas pret ģeogrāfisko atdevi viedokļa. Arī šajā gadījumā būtiskāks risks būtu Latvijas nozares spēja šo naudu apgūt.</w:t>
      </w:r>
    </w:p>
    <w:p w:rsidR="001D26BC" w:rsidRDefault="001D26BC" w:rsidP="001D26BC">
      <w:pPr>
        <w:jc w:val="both"/>
        <w:rPr>
          <w:sz w:val="28"/>
        </w:rPr>
      </w:pPr>
      <w:r w:rsidRPr="00AF1D1C">
        <w:rPr>
          <w:sz w:val="28"/>
          <w:u w:val="single"/>
        </w:rPr>
        <w:t>Riska novērtējums</w:t>
      </w:r>
      <w:r w:rsidRPr="00AF1D1C">
        <w:rPr>
          <w:sz w:val="28"/>
        </w:rPr>
        <w:t xml:space="preserve">: sadarbības valstij PECS projektos – </w:t>
      </w:r>
      <w:r w:rsidRPr="00AF1D1C">
        <w:rPr>
          <w:b/>
          <w:sz w:val="28"/>
        </w:rPr>
        <w:t>zems</w:t>
      </w:r>
      <w:r w:rsidRPr="00AF1D1C">
        <w:rPr>
          <w:sz w:val="28"/>
        </w:rPr>
        <w:t xml:space="preserve">; jaunai dalībvalstij dalības sākumposmā – </w:t>
      </w:r>
      <w:r w:rsidRPr="00AF1D1C">
        <w:rPr>
          <w:b/>
          <w:sz w:val="28"/>
        </w:rPr>
        <w:t>vidējs</w:t>
      </w:r>
      <w:r w:rsidRPr="00AF1D1C">
        <w:rPr>
          <w:sz w:val="28"/>
        </w:rPr>
        <w:t>.</w:t>
      </w:r>
    </w:p>
    <w:p w:rsidR="001D26BC" w:rsidRPr="00AF1D1C" w:rsidRDefault="001D26BC" w:rsidP="001D26BC">
      <w:pPr>
        <w:jc w:val="both"/>
        <w:rPr>
          <w:sz w:val="28"/>
        </w:rPr>
      </w:pPr>
    </w:p>
    <w:p w:rsidR="001D26BC" w:rsidRPr="00222F4E" w:rsidRDefault="001D26BC" w:rsidP="001D26BC">
      <w:pPr>
        <w:pStyle w:val="Heading2"/>
      </w:pPr>
      <w:bookmarkStart w:id="157" w:name="_Toc302987980"/>
      <w:bookmarkStart w:id="158" w:name="_Toc303176629"/>
      <w:r w:rsidRPr="00222F4E">
        <w:t>Ar Latvijas kosmosa nozari saistītie riski</w:t>
      </w:r>
      <w:bookmarkEnd w:id="157"/>
      <w:bookmarkEnd w:id="158"/>
    </w:p>
    <w:p w:rsidR="001D26BC" w:rsidRPr="00222F4E" w:rsidRDefault="001D26BC" w:rsidP="001D26BC">
      <w:pPr>
        <w:pStyle w:val="Heading3"/>
      </w:pPr>
      <w:bookmarkStart w:id="159" w:name="_Toc302987981"/>
      <w:bookmarkStart w:id="160" w:name="_Toc303176630"/>
      <w:r w:rsidRPr="00222F4E">
        <w:t>Spēja apgūt EKA finansējumu</w:t>
      </w:r>
      <w:bookmarkEnd w:id="159"/>
      <w:bookmarkEnd w:id="160"/>
    </w:p>
    <w:p w:rsidR="001D26BC" w:rsidRPr="00AF1D1C" w:rsidRDefault="001D26BC" w:rsidP="001D26BC">
      <w:pPr>
        <w:ind w:firstLine="720"/>
        <w:jc w:val="both"/>
        <w:rPr>
          <w:sz w:val="28"/>
        </w:rPr>
      </w:pPr>
      <w:r w:rsidRPr="00AF1D1C">
        <w:rPr>
          <w:sz w:val="28"/>
        </w:rPr>
        <w:t>No vienas puses, kā konstatēts EKA Latvijas audita 2010 Gala ziņojumā, tad Latvijā šobrīd ir pietiekama industriālā un intelektuālā bāze un tehniskās zināšanas kosmosa nozarē, lai uzsāktu sadarbību ar EKA. Tomēr Latvijā identificētais uz kosmosa (</w:t>
      </w:r>
      <w:proofErr w:type="spellStart"/>
      <w:r w:rsidRPr="00AF1D1C">
        <w:rPr>
          <w:i/>
          <w:sz w:val="28"/>
        </w:rPr>
        <w:t>upstream</w:t>
      </w:r>
      <w:proofErr w:type="spellEnd"/>
      <w:r w:rsidRPr="00AF1D1C">
        <w:rPr>
          <w:sz w:val="28"/>
        </w:rPr>
        <w:t xml:space="preserve">) nozari attiecināmais uzņēmumu un institūtu apgrozījums ir ierobežots. Tāpat EKA konstatējusi, ka ir ierobežota informācija par EKA programmu iespējām </w:t>
      </w:r>
      <w:r w:rsidRPr="00AF1D1C">
        <w:rPr>
          <w:sz w:val="28"/>
        </w:rPr>
        <w:lastRenderedPageBreak/>
        <w:t>un uz doto brīdi tikai atsevišķi Latvijas spēlētāji nelielos apjomos ir iesaistīti EKA kontraktos. Līdz ar to, ņemot vērā arī cilvēkresursu risku, kas analizēts nākamajā sadaļā pastāv bažas vai Latvijas uzņēmumi un institūti būs spējīgi izturēt EKA PECS konkursu prasības jau pašā sākumā. Risku mazina tas, ja nauda netiek apgūta tekošajā gadā, EKA to joprojām rezervē konkrētās valsts PECS projektiem vēlākos gados. Pozitīvais piemērs šajā ziņā ir Igaunija, kura EKA piecgadē paredzēto PECS kontraktu budžetu sadalījusi 2 daļās un vispirms izsludinājusi PECS uzsaukumu tikai par pusi no naudas, lai ļautu Igaunijas nozares spēlētajiem adaptēties PECS apgūšanai, un, balstoties uz pirmo projektu pieredzi, piekoriģētu nākamo PECS uzsaukumu. Rezultāti pirmajā Igaunijas PECS uzsaukumā ir labi: uz 12 PECS projektiem saņemti 36 pieteikumi no 16 uzņēmumiem/institūtiem. Visos 12 PECS projektos izvēlēti uzvarētāji, ar kuriem EKA šobrīd ir līgumu slēgšanas procesā.</w:t>
      </w:r>
    </w:p>
    <w:p w:rsidR="001D26BC" w:rsidRPr="00AF1D1C" w:rsidRDefault="001D26BC" w:rsidP="007C5036">
      <w:pPr>
        <w:ind w:firstLine="720"/>
        <w:jc w:val="both"/>
        <w:rPr>
          <w:sz w:val="28"/>
        </w:rPr>
      </w:pPr>
      <w:r w:rsidRPr="00AF1D1C">
        <w:rPr>
          <w:sz w:val="28"/>
        </w:rPr>
        <w:t>Pirms nākamās – EKA dalībvalsts fāzes – šeit aprakstītie riski tiks samazināti, izvērtējot Latvijas kosmosa nozares sniegumu EKA sadarbības</w:t>
      </w:r>
      <w:r w:rsidR="007C5036">
        <w:rPr>
          <w:sz w:val="28"/>
        </w:rPr>
        <w:t xml:space="preserve"> valsts statusā no 2013.-2017.gadā.</w:t>
      </w:r>
      <w:r w:rsidRPr="00AF1D1C">
        <w:rPr>
          <w:sz w:val="28"/>
        </w:rPr>
        <w:t xml:space="preserve"> Pirmās piecgades </w:t>
      </w:r>
      <w:proofErr w:type="spellStart"/>
      <w:r w:rsidRPr="00AF1D1C">
        <w:rPr>
          <w:sz w:val="28"/>
        </w:rPr>
        <w:t>virsmērķis</w:t>
      </w:r>
      <w:proofErr w:type="spellEnd"/>
      <w:r w:rsidRPr="00AF1D1C">
        <w:rPr>
          <w:sz w:val="28"/>
        </w:rPr>
        <w:t xml:space="preserve"> sadarbības valsts statusā ir tieši sagatavot Latviju un tās kosmosa nozares spēlētājus situācijai dalībvalsts lomā</w:t>
      </w:r>
      <w:r w:rsidR="007C5036">
        <w:rPr>
          <w:sz w:val="28"/>
        </w:rPr>
        <w:t>, līdz ar to, ja Latvija 2018.gadā</w:t>
      </w:r>
      <w:r w:rsidRPr="00AF1D1C">
        <w:rPr>
          <w:sz w:val="28"/>
        </w:rPr>
        <w:t xml:space="preserve"> izlems kļūt par dalībvalsti, var pieņemt, ka pirmās piecgades rezultāti būs bijuši veiksmīgi un nozare ir pietiekami gatava pilntiesīgai sadarbībai un konkurencei EKA ietvaros.</w:t>
      </w:r>
    </w:p>
    <w:p w:rsidR="001D26BC" w:rsidRDefault="001D26BC" w:rsidP="001D26BC">
      <w:pPr>
        <w:jc w:val="both"/>
        <w:rPr>
          <w:sz w:val="28"/>
        </w:rPr>
      </w:pPr>
      <w:r w:rsidRPr="00AF1D1C">
        <w:rPr>
          <w:sz w:val="28"/>
          <w:u w:val="single"/>
        </w:rPr>
        <w:t>Riska novērtējums</w:t>
      </w:r>
      <w:r w:rsidRPr="00AF1D1C">
        <w:rPr>
          <w:sz w:val="28"/>
        </w:rPr>
        <w:t xml:space="preserve">: sadarbības valstij PECS projektos – </w:t>
      </w:r>
      <w:r w:rsidRPr="00AF1D1C">
        <w:rPr>
          <w:b/>
          <w:sz w:val="28"/>
        </w:rPr>
        <w:t>vidējs/augsts</w:t>
      </w:r>
      <w:r w:rsidRPr="00AF1D1C">
        <w:rPr>
          <w:sz w:val="28"/>
        </w:rPr>
        <w:t xml:space="preserve">; jaunai dalībvalstij dalības sākumposmā – </w:t>
      </w:r>
      <w:r w:rsidRPr="00AF1D1C">
        <w:rPr>
          <w:b/>
          <w:sz w:val="28"/>
        </w:rPr>
        <w:t>vidējs</w:t>
      </w:r>
      <w:r w:rsidRPr="00AF1D1C">
        <w:rPr>
          <w:sz w:val="28"/>
        </w:rPr>
        <w:t>.</w:t>
      </w:r>
    </w:p>
    <w:p w:rsidR="001D26BC" w:rsidRPr="00AF1D1C" w:rsidRDefault="001D26BC" w:rsidP="001D26BC">
      <w:pPr>
        <w:jc w:val="both"/>
        <w:rPr>
          <w:sz w:val="28"/>
        </w:rPr>
      </w:pPr>
    </w:p>
    <w:p w:rsidR="001D26BC" w:rsidRPr="00222F4E" w:rsidRDefault="001D26BC" w:rsidP="001D26BC">
      <w:pPr>
        <w:pStyle w:val="Heading3"/>
      </w:pPr>
      <w:bookmarkStart w:id="161" w:name="_Toc302987982"/>
      <w:bookmarkStart w:id="162" w:name="_Toc303176631"/>
      <w:r w:rsidRPr="00222F4E">
        <w:t>Cilvēkresursi</w:t>
      </w:r>
      <w:bookmarkEnd w:id="161"/>
      <w:bookmarkEnd w:id="162"/>
    </w:p>
    <w:p w:rsidR="001D26BC" w:rsidRPr="00AF1D1C" w:rsidRDefault="001D26BC" w:rsidP="001D26BC">
      <w:pPr>
        <w:ind w:firstLine="720"/>
        <w:jc w:val="both"/>
        <w:rPr>
          <w:sz w:val="28"/>
        </w:rPr>
      </w:pPr>
      <w:r w:rsidRPr="00AF1D1C">
        <w:rPr>
          <w:sz w:val="28"/>
        </w:rPr>
        <w:t>Kā vienu no būtiskākajiem riskiem EKA savā Latvijas auditā min to, ka zinātniskajos institūtos esošais personāls, kam ir unikālas  un sadarbībā ar EKA noderīgas zināšanas, strauji noveco un šobrīd iztrūkst paaudžu maiņa zinātniskajās aprindās. Līdz ar to EKA vedina domāt par papildus ieguldījumiem jauno speciālistu izglītošanā.</w:t>
      </w:r>
    </w:p>
    <w:p w:rsidR="001D26BC" w:rsidRPr="00AF1D1C" w:rsidRDefault="001D26BC" w:rsidP="003659D9">
      <w:pPr>
        <w:ind w:firstLine="720"/>
        <w:jc w:val="both"/>
        <w:rPr>
          <w:sz w:val="28"/>
        </w:rPr>
      </w:pPr>
      <w:r w:rsidRPr="00AF1D1C">
        <w:rPr>
          <w:sz w:val="28"/>
        </w:rPr>
        <w:t xml:space="preserve">Tomēr ne visos institūtos, un īpaši jaunāko tehnoloģiju un pielietojumu virzienos novecošana ir problēma. Piemēram, ar GMES un Galileo saistīto tehnoloģiju, datu ieguves, apstrādes un analīzes potenciālie pakalpojumi un produkti drīzāk ir jaunākās paaudzes zinātnieku un inovatīvu uzņēmumu darba lauks. </w:t>
      </w:r>
    </w:p>
    <w:p w:rsidR="001D26BC" w:rsidRDefault="001D26BC" w:rsidP="001D26BC">
      <w:pPr>
        <w:jc w:val="both"/>
        <w:rPr>
          <w:sz w:val="28"/>
        </w:rPr>
      </w:pPr>
      <w:r w:rsidRPr="00AF1D1C">
        <w:rPr>
          <w:sz w:val="28"/>
          <w:u w:val="single"/>
        </w:rPr>
        <w:t>Riska novērtējums</w:t>
      </w:r>
      <w:r w:rsidRPr="00AF1D1C">
        <w:rPr>
          <w:sz w:val="28"/>
        </w:rPr>
        <w:t xml:space="preserve">: zinātniskos institūtos - </w:t>
      </w:r>
      <w:r w:rsidRPr="00AF1D1C">
        <w:rPr>
          <w:b/>
          <w:sz w:val="28"/>
        </w:rPr>
        <w:t>vidējs</w:t>
      </w:r>
      <w:r w:rsidRPr="00AF1D1C">
        <w:rPr>
          <w:sz w:val="28"/>
        </w:rPr>
        <w:t>.</w:t>
      </w:r>
    </w:p>
    <w:p w:rsidR="001D26BC" w:rsidRPr="00AF1D1C" w:rsidRDefault="001D26BC" w:rsidP="001D26BC">
      <w:pPr>
        <w:jc w:val="both"/>
        <w:rPr>
          <w:sz w:val="28"/>
        </w:rPr>
      </w:pPr>
    </w:p>
    <w:p w:rsidR="001D26BC" w:rsidRPr="00222F4E" w:rsidRDefault="001D26BC" w:rsidP="001D26BC">
      <w:pPr>
        <w:pStyle w:val="Heading3"/>
      </w:pPr>
      <w:bookmarkStart w:id="163" w:name="_Toc302987983"/>
      <w:bookmarkStart w:id="164" w:name="_Toc303176632"/>
      <w:r w:rsidRPr="00222F4E">
        <w:t>Spēja komercializēt EKA ietvaros apgūtās zināšanas ārpus EKA kontraktiem (EKA kontraktu apgrozījuma multiplikators)</w:t>
      </w:r>
      <w:bookmarkEnd w:id="163"/>
      <w:bookmarkEnd w:id="164"/>
    </w:p>
    <w:p w:rsidR="001D26BC" w:rsidRPr="00AF1D1C" w:rsidRDefault="001D26BC" w:rsidP="001D26BC"/>
    <w:p w:rsidR="001D26BC" w:rsidRPr="00AF1D1C" w:rsidRDefault="001D26BC" w:rsidP="001D26BC">
      <w:pPr>
        <w:ind w:firstLine="720"/>
        <w:jc w:val="both"/>
        <w:rPr>
          <w:sz w:val="28"/>
        </w:rPr>
      </w:pPr>
      <w:r w:rsidRPr="00AF1D1C">
        <w:rPr>
          <w:sz w:val="28"/>
        </w:rPr>
        <w:lastRenderedPageBreak/>
        <w:t xml:space="preserve">Kā to parādīja jūtīguma analīze, tad EKA kontraktu apgrozījuma multiplikators, kas raksturo nozares kopējo spēju EKA kontraktos iegūtās zināšanas komercializēt ārpus EKA kontaktiem, ir būtiskākais parametrs, kas ietekmē investīciju atdeves rezultātus visos trīs Sadarbības alternatīvas scenārijos. No vienas puses multiplikatora apjomi ir ļoti atkarīgi no nozares situācijas konkrētā valstī un faktisko multiplikatora apjomu precīzi iespējams noteikt tikai ar </w:t>
      </w:r>
      <w:proofErr w:type="spellStart"/>
      <w:r w:rsidRPr="00AF1D1C">
        <w:rPr>
          <w:i/>
          <w:sz w:val="28"/>
        </w:rPr>
        <w:t>ex-post</w:t>
      </w:r>
      <w:proofErr w:type="spellEnd"/>
      <w:r w:rsidRPr="00AF1D1C">
        <w:rPr>
          <w:sz w:val="28"/>
        </w:rPr>
        <w:t xml:space="preserve"> analīzi retrospektīvā. No otras puses, skaidrs, ka Latvija, kā maza valsts ar mazu kosmosa nozari, nav spējīga attīstīties savrupus no pārējās pasaules un sadarbība ar EKA noteikt ļautu nonākt starptautiskā apritē un iegūt piekļuvi aktuālākām zināšanām un tehnoloģijām kosmosa jomā. Bez tam, kā jau minēts metodoloģijas sadaļā, tad ieguvumu un izdevumu analīze kopumā balstīta uz konservatīviem pieņēmumiem, t.sk. ar sākotnējo apgrozījuma multiplikatora lielumu 1.4, kas ir tuvu mazākajai vērtībai, kāda konstatēta citu valstu analīzēs par sadarbību ar EKA. No ieguvumu</w:t>
      </w:r>
      <w:r w:rsidR="003659D9">
        <w:rPr>
          <w:sz w:val="28"/>
        </w:rPr>
        <w:t xml:space="preserve"> </w:t>
      </w:r>
      <w:r w:rsidRPr="00AF1D1C">
        <w:rPr>
          <w:sz w:val="28"/>
        </w:rPr>
        <w:t>- izdevumu analīzes viedokļa aplūkojot „sliktāko” sadarbības scenāriju ar EKA – Scenāriju 3 – kurā Latvija pārtrauc sadarbību pēc 2018.g.- pieņemot sākotnējo multiplikatora vērtību 1.12, Latvijas ieguvumi būtu vienādi ar Latvijas ieguldījumiem (B/C koeficients =1 ), bet pārējos scenārijos kopējie ieguvumi joprojām pārsniegtu izdevumus (B/C koeficients lielāks par 1). Savukārt, pieņemot pesimistiskāko variantu, ka multiplikators = 0, t.i. Latvijas uzņēmumi nespēj iegūt nevienu darījumu ārpus EKA kontraktiem, Scenārijā 3 – B/C koeficients ir 0.53, kas nozīmē ka tiek atgūta aptuveni puse no katra EKA ieguldītā lata. Konsultanta un EKA ekspertu vērtējumā šāda iespēja ir ļoti mazticama.</w:t>
      </w:r>
    </w:p>
    <w:p w:rsidR="001D26BC" w:rsidRPr="00AF1D1C" w:rsidRDefault="001D26BC" w:rsidP="001D26BC">
      <w:pPr>
        <w:jc w:val="both"/>
        <w:rPr>
          <w:sz w:val="28"/>
        </w:rPr>
      </w:pPr>
      <w:r w:rsidRPr="00AF1D1C">
        <w:rPr>
          <w:sz w:val="28"/>
          <w:u w:val="single"/>
        </w:rPr>
        <w:t>Riska novērtējums</w:t>
      </w:r>
      <w:r w:rsidRPr="00AF1D1C">
        <w:rPr>
          <w:sz w:val="28"/>
        </w:rPr>
        <w:t xml:space="preserve">: </w:t>
      </w:r>
      <w:r w:rsidRPr="00AF1D1C">
        <w:rPr>
          <w:b/>
          <w:sz w:val="28"/>
        </w:rPr>
        <w:t>zems</w:t>
      </w:r>
      <w:r w:rsidRPr="00AF1D1C">
        <w:rPr>
          <w:sz w:val="28"/>
        </w:rPr>
        <w:t>.</w:t>
      </w:r>
    </w:p>
    <w:p w:rsidR="001D26BC" w:rsidRDefault="001D26BC" w:rsidP="001D26BC"/>
    <w:p w:rsidR="001D26BC" w:rsidRDefault="001D26BC" w:rsidP="001D26BC">
      <w:pPr>
        <w:pStyle w:val="Heading2"/>
      </w:pPr>
      <w:bookmarkStart w:id="165" w:name="_Toc302987984"/>
      <w:bookmarkStart w:id="166" w:name="_Toc303176633"/>
      <w:r>
        <w:t>Rezultāti, s</w:t>
      </w:r>
      <w:r w:rsidRPr="0028244C">
        <w:t>ecin</w:t>
      </w:r>
      <w:r>
        <w:t>ājumi</w:t>
      </w:r>
      <w:r w:rsidRPr="0028244C">
        <w:t xml:space="preserve"> un rekomend</w:t>
      </w:r>
      <w:r>
        <w:t>ācijas</w:t>
      </w:r>
      <w:bookmarkEnd w:id="165"/>
      <w:bookmarkEnd w:id="166"/>
    </w:p>
    <w:p w:rsidR="001D26BC" w:rsidRDefault="001D26BC" w:rsidP="001D26BC">
      <w:pPr>
        <w:pStyle w:val="Heading3"/>
      </w:pPr>
      <w:bookmarkStart w:id="167" w:name="_Toc302987985"/>
      <w:bookmarkStart w:id="168" w:name="_Toc303176634"/>
      <w:r>
        <w:t>Rezultātu kopsavilkums</w:t>
      </w:r>
      <w:bookmarkEnd w:id="167"/>
      <w:bookmarkEnd w:id="168"/>
    </w:p>
    <w:p w:rsidR="001D26BC" w:rsidRPr="00AF1D1C" w:rsidRDefault="001D26BC" w:rsidP="001D26BC">
      <w:pPr>
        <w:pStyle w:val="Numeretslists"/>
        <w:numPr>
          <w:ilvl w:val="0"/>
          <w:numId w:val="29"/>
        </w:numPr>
        <w:rPr>
          <w:sz w:val="28"/>
          <w:szCs w:val="28"/>
        </w:rPr>
      </w:pPr>
      <w:r w:rsidRPr="00AF1D1C">
        <w:rPr>
          <w:sz w:val="28"/>
          <w:szCs w:val="28"/>
        </w:rPr>
        <w:t>Bāzes alternatīvā, ja Latvija izlemj neuzsākt sadarbību ar EKA, Latvijas kosmosa nozare 15 gadu laikā varētu aptuveni dubultot savu atgrozījumu n</w:t>
      </w:r>
      <w:r w:rsidR="003659D9">
        <w:rPr>
          <w:sz w:val="28"/>
          <w:szCs w:val="28"/>
        </w:rPr>
        <w:t>o nepilniem 2 milj. latu 2013.gadā</w:t>
      </w:r>
      <w:r w:rsidRPr="00AF1D1C">
        <w:rPr>
          <w:sz w:val="28"/>
          <w:szCs w:val="28"/>
        </w:rPr>
        <w:t xml:space="preserve"> uz nepilniem 4 milj. latu 2027.g</w:t>
      </w:r>
      <w:r w:rsidR="003659D9">
        <w:rPr>
          <w:sz w:val="28"/>
          <w:szCs w:val="28"/>
        </w:rPr>
        <w:t>adā</w:t>
      </w:r>
      <w:r w:rsidRPr="00AF1D1C">
        <w:rPr>
          <w:sz w:val="28"/>
          <w:szCs w:val="28"/>
        </w:rPr>
        <w:t xml:space="preserve"> (izteiktu 2011.g. salīdzināmās cenās), vidēji gadā nodarbinot ap 107 pilna laika darbiniekiem. Ikgadējais pienesums tautsaimniecībai, t.i. IK</w:t>
      </w:r>
      <w:r w:rsidR="00615F5F">
        <w:rPr>
          <w:sz w:val="28"/>
          <w:szCs w:val="28"/>
        </w:rPr>
        <w:t>P lēšams ap 1 milj. latu 2013.gadā</w:t>
      </w:r>
      <w:r w:rsidRPr="00AF1D1C">
        <w:rPr>
          <w:sz w:val="28"/>
          <w:szCs w:val="28"/>
        </w:rPr>
        <w:t xml:space="preserve"> un ap 2 milj. latu 2027.g</w:t>
      </w:r>
      <w:r w:rsidR="00615F5F">
        <w:rPr>
          <w:sz w:val="28"/>
          <w:szCs w:val="28"/>
        </w:rPr>
        <w:t>adā.</w:t>
      </w:r>
    </w:p>
    <w:p w:rsidR="001D26BC" w:rsidRPr="00AF1D1C" w:rsidRDefault="001D26BC" w:rsidP="001D26BC">
      <w:pPr>
        <w:pStyle w:val="Numeretslists"/>
        <w:rPr>
          <w:sz w:val="28"/>
          <w:szCs w:val="28"/>
        </w:rPr>
      </w:pPr>
      <w:r w:rsidRPr="00AF1D1C">
        <w:rPr>
          <w:sz w:val="28"/>
          <w:szCs w:val="28"/>
        </w:rPr>
        <w:t xml:space="preserve">Ja Latvija uzsāk sadarbību ar EKA, tad atkarībā no izvēlēta scenārija, sadarbības perioda laikā vidēji gadā papildus apgrozījums kosmosa nozarē varētu sasniegt nepilnus 2 milj. līdz </w:t>
      </w:r>
      <w:r w:rsidRPr="00AF1D1C">
        <w:rPr>
          <w:sz w:val="28"/>
          <w:szCs w:val="28"/>
        </w:rPr>
        <w:lastRenderedPageBreak/>
        <w:t>pat 7.5 miljoniem latu, papildus nodrošinātā nodarbinātība aptuveni no 70 līdz 270 pilna laika darba vietām, savukārt papildus radītā iekšzemes kopprodukta vērtība no 1 līdz 4 miljoniem latu vidēji gadā.</w:t>
      </w:r>
    </w:p>
    <w:p w:rsidR="001D26BC" w:rsidRPr="00AF1D1C" w:rsidRDefault="001D26BC" w:rsidP="001D26BC">
      <w:pPr>
        <w:pStyle w:val="Numeretslists"/>
        <w:rPr>
          <w:sz w:val="28"/>
          <w:szCs w:val="28"/>
        </w:rPr>
      </w:pPr>
      <w:r w:rsidRPr="00AF1D1C">
        <w:rPr>
          <w:sz w:val="28"/>
          <w:szCs w:val="28"/>
        </w:rPr>
        <w:t>Neskatoties uz konservatīvo pieņēmumu bāzi un ievaddatu vērtībām, visi trīs Sadarbības alternatīvas scenāriji uzrāda pozitīvus investīcijas atdeves rādītājus, kur katrs ieguldītais lats sniedz ieguvumus vairāk kā viena lata apmērā (B/C koeficients &gt; 1). Sarindojot trīs sadarbības rezultātus secībā pēc investīciju ekonomiskās atdeves rezultātiem, redzams, ka visaugstāko prognozēto atdevi sniedz Scenārijs 2, kur Latvija pēc pirmās piecgades Eiropas sadarbības valsts statusā kļūst par pilntiesīgu dalībvalsti otrajā piecgadē, šajā scenārijā, katrs EKA ieguldītais lats varētu sniegt ieguvums aptuveni pusotra lata apmērā. Kā otrs labākais vērtējams Scenārijs 1, kur Latvija darbojas sadarbības valsts statusā divas secīgas piecgades, šajā scenārijā atgūstot ap 1.2 latiem no katra ieguldītā. Savukārt, kā trešais ierindojams Scenārijs 3, kur Latvija sadarbojas ar EKA tikai pirmo piecgadi, šajā gadījumā katrs ieguldītais lats sniedz atdevi ap 1.1 lata apmērā.</w:t>
      </w:r>
    </w:p>
    <w:p w:rsidR="001D26BC" w:rsidRPr="00AF1D1C" w:rsidRDefault="001D26BC" w:rsidP="001D26BC">
      <w:pPr>
        <w:pStyle w:val="Heading3"/>
      </w:pPr>
      <w:bookmarkStart w:id="169" w:name="_Toc302987986"/>
      <w:bookmarkStart w:id="170" w:name="_Toc303176635"/>
      <w:r w:rsidRPr="00AF1D1C">
        <w:t>Secinājumi</w:t>
      </w:r>
      <w:bookmarkEnd w:id="169"/>
      <w:bookmarkEnd w:id="170"/>
    </w:p>
    <w:p w:rsidR="001D26BC" w:rsidRPr="00AF1D1C" w:rsidRDefault="001D26BC" w:rsidP="001D26BC">
      <w:pPr>
        <w:pStyle w:val="Numeretslists"/>
        <w:numPr>
          <w:ilvl w:val="0"/>
          <w:numId w:val="30"/>
        </w:numPr>
        <w:rPr>
          <w:sz w:val="28"/>
          <w:szCs w:val="28"/>
        </w:rPr>
      </w:pPr>
      <w:r w:rsidRPr="00AF1D1C">
        <w:rPr>
          <w:sz w:val="28"/>
          <w:szCs w:val="28"/>
        </w:rPr>
        <w:t>Ņemot vērā prognozētos papildus ieguvumus visos Sadarbības alternatīvas scenārijos, Latvijai ir izdevīgi uzsākt sadarbību ar EKA</w:t>
      </w:r>
    </w:p>
    <w:p w:rsidR="001D26BC" w:rsidRPr="00AF1D1C" w:rsidRDefault="001D26BC" w:rsidP="001D26BC">
      <w:pPr>
        <w:pStyle w:val="Numeretslists"/>
        <w:rPr>
          <w:sz w:val="28"/>
          <w:szCs w:val="28"/>
        </w:rPr>
      </w:pPr>
      <w:r w:rsidRPr="00AF1D1C">
        <w:rPr>
          <w:sz w:val="28"/>
          <w:szCs w:val="28"/>
        </w:rPr>
        <w:t xml:space="preserve">Balstoties uz veikto jūtīguma un risku analīzi, būtiskākie faktori, kas varētu apdraudēt ieguvumu prognožu pieplīšanos, ir Latvijas kosmosa nozares spēja pilnā apmērā apgūt Latvijai pieejamo naudu, kā arī spēja tālāk ārpus EKA kontraktiem komercializēt iegūtās zināšanas, </w:t>
      </w:r>
      <w:proofErr w:type="spellStart"/>
      <w:r w:rsidRPr="00AF1D1C">
        <w:rPr>
          <w:i/>
          <w:sz w:val="28"/>
          <w:szCs w:val="28"/>
        </w:rPr>
        <w:t>know-how</w:t>
      </w:r>
      <w:r w:rsidRPr="00AF1D1C">
        <w:rPr>
          <w:sz w:val="28"/>
          <w:szCs w:val="28"/>
        </w:rPr>
        <w:t>,</w:t>
      </w:r>
      <w:proofErr w:type="spellEnd"/>
      <w:r w:rsidRPr="00AF1D1C">
        <w:rPr>
          <w:sz w:val="28"/>
          <w:szCs w:val="28"/>
        </w:rPr>
        <w:t xml:space="preserve"> pieredzi un kontaktus (EKA apgrozījuma multiplikatora patiesais apmērs).</w:t>
      </w:r>
    </w:p>
    <w:p w:rsidR="001D26BC" w:rsidRPr="00AF1D1C" w:rsidRDefault="001D26BC" w:rsidP="001D26BC">
      <w:pPr>
        <w:pStyle w:val="Heading3"/>
      </w:pPr>
      <w:bookmarkStart w:id="171" w:name="_Toc302987987"/>
      <w:bookmarkStart w:id="172" w:name="_Toc303176636"/>
      <w:r w:rsidRPr="00AF1D1C">
        <w:t>Rekomendācijas</w:t>
      </w:r>
      <w:bookmarkEnd w:id="171"/>
      <w:bookmarkEnd w:id="172"/>
    </w:p>
    <w:p w:rsidR="001D26BC" w:rsidRPr="00AF1D1C" w:rsidRDefault="001D26BC" w:rsidP="001D26BC">
      <w:pPr>
        <w:pStyle w:val="Numeretslists"/>
        <w:numPr>
          <w:ilvl w:val="0"/>
          <w:numId w:val="31"/>
        </w:numPr>
        <w:rPr>
          <w:sz w:val="28"/>
          <w:szCs w:val="28"/>
        </w:rPr>
      </w:pPr>
      <w:r w:rsidRPr="00AF1D1C">
        <w:rPr>
          <w:sz w:val="28"/>
          <w:szCs w:val="28"/>
        </w:rPr>
        <w:t>Parakstīt EKA Eiropas Sadarbības valsts līgumu 2011.gada laikā, lai 2012.gadā varētu saskaņot iespējamo PECS projektu sarakstu un parakstīt PECS Hartu ar EKA, kas ļautu uzsākt PECS projektu ieviešanu 2013.gadā</w:t>
      </w:r>
    </w:p>
    <w:p w:rsidR="001D26BC" w:rsidRPr="00AF1D1C" w:rsidRDefault="001D26BC" w:rsidP="001D26BC">
      <w:pPr>
        <w:pStyle w:val="Numeretslists"/>
        <w:rPr>
          <w:sz w:val="28"/>
          <w:szCs w:val="28"/>
        </w:rPr>
      </w:pPr>
      <w:r w:rsidRPr="00AF1D1C">
        <w:rPr>
          <w:sz w:val="28"/>
          <w:szCs w:val="28"/>
        </w:rPr>
        <w:lastRenderedPageBreak/>
        <w:t xml:space="preserve">Sākotnēji slēgt </w:t>
      </w:r>
      <w:r>
        <w:rPr>
          <w:sz w:val="28"/>
          <w:szCs w:val="28"/>
        </w:rPr>
        <w:t xml:space="preserve">Eiropas </w:t>
      </w:r>
      <w:r w:rsidRPr="00AF1D1C">
        <w:rPr>
          <w:sz w:val="28"/>
          <w:szCs w:val="28"/>
        </w:rPr>
        <w:t xml:space="preserve">sadarbības valsts līgumu </w:t>
      </w:r>
      <w:r>
        <w:rPr>
          <w:sz w:val="28"/>
          <w:szCs w:val="28"/>
        </w:rPr>
        <w:t xml:space="preserve"> ar EKA </w:t>
      </w:r>
      <w:r w:rsidRPr="00AF1D1C">
        <w:rPr>
          <w:sz w:val="28"/>
          <w:szCs w:val="28"/>
        </w:rPr>
        <w:t xml:space="preserve">un PECS Hartu uz 5 gadu periodu (2013-2017), un piecgades noslēgumā veikt kvantitatīvu uz faktiskajiem nozares datiem balstītu </w:t>
      </w:r>
      <w:proofErr w:type="spellStart"/>
      <w:r w:rsidRPr="00AF1D1C">
        <w:rPr>
          <w:i/>
          <w:sz w:val="28"/>
          <w:szCs w:val="28"/>
        </w:rPr>
        <w:t>ex-post</w:t>
      </w:r>
      <w:proofErr w:type="spellEnd"/>
      <w:r w:rsidRPr="00AF1D1C">
        <w:rPr>
          <w:sz w:val="28"/>
          <w:szCs w:val="28"/>
        </w:rPr>
        <w:t xml:space="preserve"> ieguvumu-izdevumu analīzi sadarbībai ar EKA, līdzīgi, kā tas, piemēram, tiek darīts Kanādā katra sadarbības perioda noslēgumā, pirms tiek pieņemts lēmums par turpmāko sadarbību ar EKA. Veicot šādu izvērtējumu pēc pirmās piecgades, Latvija varētu izvairīties no riska, ka patiesie ieguvumi nozarei ārpus EKA kontraktiem ir mazāki nekā cerēts, kā arī, ka EKA kontraktu nauda netiek apgūta plānotā apmērā.</w:t>
      </w:r>
    </w:p>
    <w:p w:rsidR="001D26BC" w:rsidRPr="00AF1D1C" w:rsidRDefault="001D26BC" w:rsidP="001D26BC">
      <w:pPr>
        <w:pStyle w:val="Numeretslists"/>
        <w:rPr>
          <w:sz w:val="28"/>
          <w:szCs w:val="28"/>
        </w:rPr>
      </w:pPr>
      <w:r w:rsidRPr="00AF1D1C">
        <w:rPr>
          <w:sz w:val="28"/>
          <w:szCs w:val="28"/>
        </w:rPr>
        <w:t xml:space="preserve">Veikt turpmāku ciešu pieredzes apmaiņu ar Igaunijas EKA kontaktpunktu iekš </w:t>
      </w:r>
      <w:proofErr w:type="spellStart"/>
      <w:r w:rsidRPr="00AF1D1C">
        <w:rPr>
          <w:i/>
          <w:sz w:val="28"/>
          <w:szCs w:val="28"/>
        </w:rPr>
        <w:t>Enterprise</w:t>
      </w:r>
      <w:proofErr w:type="spellEnd"/>
      <w:r w:rsidRPr="00AF1D1C">
        <w:rPr>
          <w:i/>
          <w:sz w:val="28"/>
          <w:szCs w:val="28"/>
        </w:rPr>
        <w:t xml:space="preserve"> </w:t>
      </w:r>
      <w:proofErr w:type="spellStart"/>
      <w:r w:rsidRPr="00AF1D1C">
        <w:rPr>
          <w:i/>
          <w:sz w:val="28"/>
          <w:szCs w:val="28"/>
        </w:rPr>
        <w:t>Estonia</w:t>
      </w:r>
      <w:proofErr w:type="spellEnd"/>
      <w:r w:rsidRPr="00AF1D1C">
        <w:rPr>
          <w:sz w:val="28"/>
          <w:szCs w:val="28"/>
        </w:rPr>
        <w:t>, kas ir 2 gadus priekšā Latvijai sadarbībā ar EKA. Pieredzes apmaiņu sākt jau gatavojoties sadarbības valsts līguma noslēgšanai un turpināt, izstrādājot PECS projektu sarakstu un Hartu, jo Igaunija var dalīties pieredzē gan par to, kā labāk pārstāvēt savas valsts finansiālās interese pārrunās ar EKA, gan, kā veidot PECS projektu sarakstu un uzsākt to ieviešanu.</w:t>
      </w:r>
    </w:p>
    <w:p w:rsidR="001D26BC" w:rsidRDefault="001D26BC" w:rsidP="001D26BC">
      <w:pPr>
        <w:pStyle w:val="Numeretslists"/>
        <w:rPr>
          <w:sz w:val="28"/>
          <w:szCs w:val="28"/>
        </w:rPr>
      </w:pPr>
      <w:r>
        <w:rPr>
          <w:sz w:val="28"/>
          <w:szCs w:val="28"/>
        </w:rPr>
        <w:t>Izstrādāt</w:t>
      </w:r>
      <w:r w:rsidRPr="00AF1D1C">
        <w:rPr>
          <w:sz w:val="28"/>
          <w:szCs w:val="28"/>
        </w:rPr>
        <w:t xml:space="preserve"> </w:t>
      </w:r>
      <w:r w:rsidRPr="003B6DE0">
        <w:rPr>
          <w:rFonts w:eastAsia="Times New Roman"/>
          <w:sz w:val="28"/>
        </w:rPr>
        <w:t>Nacionālās kosmosa nozares attīstības</w:t>
      </w:r>
      <w:r>
        <w:rPr>
          <w:rFonts w:eastAsia="Times New Roman"/>
          <w:sz w:val="28"/>
        </w:rPr>
        <w:t xml:space="preserve"> pamatnostādņu 2012.-2017.gadam</w:t>
      </w:r>
      <w:r w:rsidRPr="00AF1D1C">
        <w:rPr>
          <w:sz w:val="28"/>
          <w:szCs w:val="28"/>
        </w:rPr>
        <w:t xml:space="preserve">, kurā būtu nosprausti Latvijai prioritārie kosmosa tehnoloģiju virzieni, un uz šī fokusa pamata arī tālāk veidot PECS projektu un turpmāko finansiālo ieguldījumu EKA (piem. Igaunijas noteikusi, ka valstij nav lietderīgi finansēt nekāda veida aktivitātes, kas saistās ar cilvēka lidojumu kosmosā atstājot to lielvalstu ziņā, toties Igaunija fokusēsies uz </w:t>
      </w:r>
      <w:proofErr w:type="spellStart"/>
      <w:r w:rsidRPr="00AF1D1C">
        <w:rPr>
          <w:i/>
          <w:sz w:val="28"/>
          <w:szCs w:val="28"/>
        </w:rPr>
        <w:t>Earth</w:t>
      </w:r>
      <w:proofErr w:type="spellEnd"/>
      <w:r w:rsidRPr="00AF1D1C">
        <w:rPr>
          <w:i/>
          <w:sz w:val="28"/>
          <w:szCs w:val="28"/>
        </w:rPr>
        <w:t xml:space="preserve"> </w:t>
      </w:r>
      <w:proofErr w:type="spellStart"/>
      <w:r w:rsidRPr="00AF1D1C">
        <w:rPr>
          <w:i/>
          <w:sz w:val="28"/>
          <w:szCs w:val="28"/>
        </w:rPr>
        <w:t>Observation</w:t>
      </w:r>
      <w:proofErr w:type="spellEnd"/>
      <w:r w:rsidRPr="00AF1D1C">
        <w:rPr>
          <w:sz w:val="28"/>
          <w:szCs w:val="28"/>
        </w:rPr>
        <w:t xml:space="preserve">, satelītu komunikācijām, navigāciju pozicionēšanu, kā arī kosmosa zinātni, kas </w:t>
      </w:r>
      <w:proofErr w:type="spellStart"/>
      <w:r w:rsidRPr="00AF1D1C">
        <w:rPr>
          <w:sz w:val="28"/>
          <w:szCs w:val="28"/>
        </w:rPr>
        <w:t>sinerģē</w:t>
      </w:r>
      <w:proofErr w:type="spellEnd"/>
      <w:r w:rsidRPr="00AF1D1C">
        <w:rPr>
          <w:sz w:val="28"/>
          <w:szCs w:val="28"/>
        </w:rPr>
        <w:t>, piemēram, ar Igaunijas spēcīgo IT sektoru un Tartu universitātes zinātniskajām iestrādnēm).</w:t>
      </w:r>
    </w:p>
    <w:p w:rsidR="001D26BC" w:rsidRPr="00320F38" w:rsidRDefault="001D26BC" w:rsidP="001D26BC">
      <w:pPr>
        <w:pStyle w:val="Numeretslists"/>
        <w:rPr>
          <w:sz w:val="28"/>
          <w:szCs w:val="28"/>
        </w:rPr>
      </w:pPr>
      <w:r w:rsidRPr="00320F38">
        <w:rPr>
          <w:sz w:val="28"/>
        </w:rPr>
        <w:t xml:space="preserve">Ņemot vērā, ka Latvijas Republikas vēsturē līdz šim nav īstenota kosmosa politika ir nepieciešams atbildīgās ministrijas funkcijas papildināt ar kosmosa politikas veidošanas funkciju, kā arī nodrošināt šīs funkcijas administratīvo bāzi un nepieciešamās apmācības. </w:t>
      </w:r>
    </w:p>
    <w:p w:rsidR="001D26BC" w:rsidRPr="00320F38" w:rsidRDefault="001D26BC" w:rsidP="001D26BC">
      <w:pPr>
        <w:pStyle w:val="Numeretslists"/>
        <w:rPr>
          <w:sz w:val="28"/>
          <w:szCs w:val="28"/>
        </w:rPr>
      </w:pPr>
      <w:r w:rsidRPr="00320F38">
        <w:rPr>
          <w:sz w:val="28"/>
        </w:rPr>
        <w:t xml:space="preserve">Nozaru ministrijām (t.sk. </w:t>
      </w:r>
      <w:r w:rsidRPr="00615F5F">
        <w:rPr>
          <w:rStyle w:val="Hyperlink"/>
          <w:color w:val="auto"/>
          <w:sz w:val="28"/>
          <w:u w:val="none"/>
        </w:rPr>
        <w:t>Vides aizsardzības un reģionālās attīstības ministriju</w:t>
      </w:r>
      <w:r w:rsidRPr="00615F5F">
        <w:rPr>
          <w:sz w:val="28"/>
        </w:rPr>
        <w:t xml:space="preserve"> </w:t>
      </w:r>
      <w:r w:rsidRPr="00320F38">
        <w:rPr>
          <w:sz w:val="28"/>
        </w:rPr>
        <w:t xml:space="preserve">un Satiksmes ministrijai) sniegt priekšlikumus </w:t>
      </w:r>
      <w:r w:rsidRPr="00320F38">
        <w:rPr>
          <w:sz w:val="28"/>
        </w:rPr>
        <w:lastRenderedPageBreak/>
        <w:t>par kosmosa nozares produktu un pakalpojumu izmantošanu un sadarbības iespējām ar kosmosa nozares dalībniekiem Latvijā.</w:t>
      </w:r>
    </w:p>
    <w:p w:rsidR="001D26BC" w:rsidRPr="00AD327F" w:rsidRDefault="001D26BC" w:rsidP="001D26BC">
      <w:pPr>
        <w:pStyle w:val="Heading2"/>
      </w:pPr>
      <w:bookmarkStart w:id="173" w:name="_Toc303176637"/>
      <w:r w:rsidRPr="00AD327F">
        <w:t xml:space="preserve">Koncepcijas īstenošanas pasākumu </w:t>
      </w:r>
      <w:smartTag w:uri="schemas-tilde-lv/tildestengine" w:element="veidnes">
        <w:smartTagPr>
          <w:attr w:name="text" w:val="plāns"/>
          <w:attr w:name="baseform" w:val="plāns"/>
          <w:attr w:name="id" w:val="-1"/>
        </w:smartTagPr>
        <w:r w:rsidRPr="00AD327F">
          <w:t>plāns</w:t>
        </w:r>
      </w:smartTag>
      <w:r w:rsidRPr="00AD327F">
        <w:t>, laika grafiks un finansējums</w:t>
      </w:r>
      <w:bookmarkEnd w:id="173"/>
    </w:p>
    <w:tbl>
      <w:tblPr>
        <w:tblW w:w="96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3328"/>
        <w:gridCol w:w="1404"/>
        <w:gridCol w:w="1736"/>
        <w:gridCol w:w="1243"/>
        <w:gridCol w:w="1437"/>
      </w:tblGrid>
      <w:tr w:rsidR="001D26BC" w:rsidRPr="0030718B" w:rsidTr="00A1288B">
        <w:trPr>
          <w:trHeight w:val="244"/>
        </w:trPr>
        <w:tc>
          <w:tcPr>
            <w:tcW w:w="535" w:type="dxa"/>
          </w:tcPr>
          <w:p w:rsidR="001D26BC" w:rsidRPr="0030718B" w:rsidRDefault="001D26BC" w:rsidP="00A1288B">
            <w:pPr>
              <w:spacing w:before="120" w:after="120"/>
              <w:jc w:val="center"/>
              <w:rPr>
                <w:b/>
              </w:rPr>
            </w:pPr>
          </w:p>
        </w:tc>
        <w:tc>
          <w:tcPr>
            <w:tcW w:w="3328" w:type="dxa"/>
          </w:tcPr>
          <w:p w:rsidR="001D26BC" w:rsidRPr="0030718B" w:rsidRDefault="001D26BC" w:rsidP="00A1288B">
            <w:pPr>
              <w:spacing w:before="120" w:after="120"/>
              <w:jc w:val="center"/>
              <w:rPr>
                <w:b/>
              </w:rPr>
            </w:pPr>
            <w:r w:rsidRPr="0030718B">
              <w:rPr>
                <w:b/>
              </w:rPr>
              <w:t>Pasākums</w:t>
            </w:r>
          </w:p>
        </w:tc>
        <w:tc>
          <w:tcPr>
            <w:tcW w:w="1404" w:type="dxa"/>
          </w:tcPr>
          <w:p w:rsidR="001D26BC" w:rsidRPr="0030718B" w:rsidRDefault="001D26BC" w:rsidP="00A1288B">
            <w:pPr>
              <w:spacing w:before="120" w:after="120"/>
              <w:jc w:val="center"/>
              <w:rPr>
                <w:b/>
              </w:rPr>
            </w:pPr>
            <w:r w:rsidRPr="0030718B">
              <w:rPr>
                <w:b/>
              </w:rPr>
              <w:t>Izpildes termiņš</w:t>
            </w:r>
          </w:p>
        </w:tc>
        <w:tc>
          <w:tcPr>
            <w:tcW w:w="1736" w:type="dxa"/>
          </w:tcPr>
          <w:p w:rsidR="001D26BC" w:rsidRPr="0030718B" w:rsidRDefault="001D26BC" w:rsidP="00A1288B">
            <w:pPr>
              <w:spacing w:before="120" w:after="120"/>
              <w:jc w:val="center"/>
              <w:rPr>
                <w:b/>
              </w:rPr>
            </w:pPr>
            <w:r>
              <w:rPr>
                <w:b/>
              </w:rPr>
              <w:t>Finansējums</w:t>
            </w:r>
          </w:p>
        </w:tc>
        <w:tc>
          <w:tcPr>
            <w:tcW w:w="1243" w:type="dxa"/>
          </w:tcPr>
          <w:p w:rsidR="001D26BC" w:rsidRPr="0030718B" w:rsidRDefault="001D26BC" w:rsidP="00A1288B">
            <w:pPr>
              <w:spacing w:before="120" w:after="120"/>
              <w:jc w:val="center"/>
              <w:rPr>
                <w:b/>
              </w:rPr>
            </w:pPr>
            <w:r w:rsidRPr="0030718B">
              <w:rPr>
                <w:b/>
              </w:rPr>
              <w:t>Atbildīgā institūcija</w:t>
            </w:r>
          </w:p>
        </w:tc>
        <w:tc>
          <w:tcPr>
            <w:tcW w:w="1437" w:type="dxa"/>
          </w:tcPr>
          <w:p w:rsidR="001D26BC" w:rsidRPr="0030718B" w:rsidRDefault="001D26BC" w:rsidP="00A1288B">
            <w:pPr>
              <w:spacing w:before="120" w:after="120"/>
              <w:jc w:val="center"/>
              <w:rPr>
                <w:b/>
              </w:rPr>
            </w:pPr>
            <w:r w:rsidRPr="0030718B">
              <w:rPr>
                <w:b/>
              </w:rPr>
              <w:t>Iesaistītās institūcijas</w:t>
            </w:r>
          </w:p>
        </w:tc>
      </w:tr>
      <w:tr w:rsidR="001D26BC" w:rsidRPr="0030718B" w:rsidTr="00A1288B">
        <w:trPr>
          <w:trHeight w:val="463"/>
        </w:trPr>
        <w:tc>
          <w:tcPr>
            <w:tcW w:w="535" w:type="dxa"/>
          </w:tcPr>
          <w:p w:rsidR="001D26BC" w:rsidRPr="0030718B" w:rsidRDefault="001D26BC" w:rsidP="00A1288B">
            <w:pPr>
              <w:spacing w:before="120" w:after="120"/>
            </w:pPr>
            <w:r>
              <w:t>1.</w:t>
            </w:r>
          </w:p>
        </w:tc>
        <w:tc>
          <w:tcPr>
            <w:tcW w:w="3328" w:type="dxa"/>
          </w:tcPr>
          <w:p w:rsidR="001D26BC" w:rsidRPr="0030718B" w:rsidRDefault="001D26BC" w:rsidP="00A1288B">
            <w:pPr>
              <w:spacing w:before="120" w:after="120"/>
              <w:jc w:val="both"/>
            </w:pPr>
            <w:r>
              <w:t>Izstrādāt Likumprojektu</w:t>
            </w:r>
            <w:r w:rsidRPr="009D7ADB">
              <w:rPr>
                <w:bCs/>
              </w:rPr>
              <w:t xml:space="preserve"> </w:t>
            </w:r>
            <w:r w:rsidRPr="009D7ADB">
              <w:rPr>
                <w:color w:val="000000"/>
                <w:spacing w:val="15"/>
              </w:rPr>
              <w:t>„</w:t>
            </w:r>
            <w:r w:rsidRPr="009D7ADB">
              <w:rPr>
                <w:color w:val="000000"/>
              </w:rPr>
              <w:t xml:space="preserve">Par </w:t>
            </w:r>
            <w:r w:rsidRPr="000212A9">
              <w:t xml:space="preserve">Latvijas Republikas valdības un Eiropas Kosmosa aģentūras </w:t>
            </w:r>
            <w:r>
              <w:t>Eiropas sadarbības valsts līgumu</w:t>
            </w:r>
            <w:r w:rsidRPr="009D7ADB">
              <w:t>”</w:t>
            </w:r>
            <w:r>
              <w:t>.</w:t>
            </w:r>
          </w:p>
        </w:tc>
        <w:tc>
          <w:tcPr>
            <w:tcW w:w="1404" w:type="dxa"/>
          </w:tcPr>
          <w:p w:rsidR="001D26BC" w:rsidRPr="002C3DA7" w:rsidRDefault="001D26BC" w:rsidP="00A1288B">
            <w:pPr>
              <w:spacing w:before="120" w:after="120"/>
              <w:jc w:val="both"/>
            </w:pPr>
            <w:r w:rsidRPr="002C3DA7">
              <w:t>20</w:t>
            </w:r>
            <w:r>
              <w:t>11</w:t>
            </w:r>
            <w:r w:rsidRPr="002C3DA7">
              <w:t>.</w:t>
            </w:r>
            <w:r>
              <w:t xml:space="preserve"> gada decembris</w:t>
            </w:r>
          </w:p>
        </w:tc>
        <w:tc>
          <w:tcPr>
            <w:tcW w:w="1736" w:type="dxa"/>
          </w:tcPr>
          <w:p w:rsidR="001D26BC" w:rsidRPr="0030718B" w:rsidRDefault="00F470AD" w:rsidP="00A1288B">
            <w:pPr>
              <w:spacing w:before="120" w:after="120"/>
              <w:jc w:val="both"/>
            </w:pPr>
            <w:r>
              <w:t xml:space="preserve">884.9 </w:t>
            </w:r>
            <w:r w:rsidR="001D26BC">
              <w:t xml:space="preserve">tūkst katru gadu </w:t>
            </w:r>
            <w:r w:rsidR="003B6848">
              <w:t>no 2013.gada</w:t>
            </w:r>
          </w:p>
        </w:tc>
        <w:tc>
          <w:tcPr>
            <w:tcW w:w="1243" w:type="dxa"/>
          </w:tcPr>
          <w:p w:rsidR="001D26BC" w:rsidRPr="0030718B" w:rsidRDefault="001D26BC" w:rsidP="00A1288B">
            <w:pPr>
              <w:spacing w:before="120" w:after="120"/>
              <w:jc w:val="both"/>
            </w:pPr>
            <w:r>
              <w:t>IZM</w:t>
            </w:r>
          </w:p>
        </w:tc>
        <w:tc>
          <w:tcPr>
            <w:tcW w:w="1437" w:type="dxa"/>
          </w:tcPr>
          <w:p w:rsidR="001D26BC" w:rsidRPr="0030718B" w:rsidRDefault="001D26BC" w:rsidP="00A1288B">
            <w:pPr>
              <w:spacing w:before="120" w:after="120"/>
              <w:jc w:val="both"/>
            </w:pPr>
            <w:r>
              <w:t>Nozaru ministrijas</w:t>
            </w:r>
          </w:p>
        </w:tc>
      </w:tr>
      <w:tr w:rsidR="001D26BC" w:rsidRPr="0030718B" w:rsidTr="00A1288B">
        <w:trPr>
          <w:trHeight w:val="463"/>
        </w:trPr>
        <w:tc>
          <w:tcPr>
            <w:tcW w:w="535" w:type="dxa"/>
          </w:tcPr>
          <w:p w:rsidR="001D26BC" w:rsidRDefault="001D26BC" w:rsidP="00A1288B">
            <w:pPr>
              <w:spacing w:before="120" w:after="120"/>
            </w:pPr>
            <w:r>
              <w:t>2</w:t>
            </w:r>
          </w:p>
        </w:tc>
        <w:tc>
          <w:tcPr>
            <w:tcW w:w="3328" w:type="dxa"/>
          </w:tcPr>
          <w:p w:rsidR="001D26BC" w:rsidRPr="00B7660D" w:rsidRDefault="001D26BC" w:rsidP="00A1288B">
            <w:pPr>
              <w:spacing w:before="120" w:after="120"/>
              <w:jc w:val="both"/>
              <w:rPr>
                <w:szCs w:val="24"/>
              </w:rPr>
            </w:pPr>
            <w:r w:rsidRPr="00B7660D">
              <w:rPr>
                <w:szCs w:val="24"/>
              </w:rPr>
              <w:t xml:space="preserve">Izstrādāt </w:t>
            </w:r>
            <w:r w:rsidRPr="00B7660D">
              <w:rPr>
                <w:rFonts w:eastAsia="Times New Roman"/>
                <w:szCs w:val="24"/>
              </w:rPr>
              <w:t>Nacionālās kosmosa nozares attīstības pamatnostādņu 2012.-2017.gadam</w:t>
            </w:r>
            <w:r>
              <w:rPr>
                <w:rFonts w:eastAsia="Times New Roman"/>
                <w:szCs w:val="24"/>
              </w:rPr>
              <w:t>.</w:t>
            </w:r>
          </w:p>
        </w:tc>
        <w:tc>
          <w:tcPr>
            <w:tcW w:w="1404" w:type="dxa"/>
          </w:tcPr>
          <w:p w:rsidR="001D26BC" w:rsidRPr="002C3DA7" w:rsidRDefault="001D26BC" w:rsidP="00A1288B">
            <w:pPr>
              <w:spacing w:before="120" w:after="120"/>
              <w:jc w:val="both"/>
            </w:pPr>
            <w:r>
              <w:t xml:space="preserve">2012.gada jūnijs. </w:t>
            </w:r>
          </w:p>
        </w:tc>
        <w:tc>
          <w:tcPr>
            <w:tcW w:w="1736" w:type="dxa"/>
          </w:tcPr>
          <w:p w:rsidR="001D26BC" w:rsidRDefault="001D26BC" w:rsidP="00A1288B">
            <w:pPr>
              <w:spacing w:before="120" w:after="120"/>
              <w:jc w:val="both"/>
            </w:pPr>
            <w:r>
              <w:t>Esošā finansējuma ietvaros</w:t>
            </w:r>
          </w:p>
        </w:tc>
        <w:tc>
          <w:tcPr>
            <w:tcW w:w="1243" w:type="dxa"/>
          </w:tcPr>
          <w:p w:rsidR="001D26BC" w:rsidRDefault="001D26BC" w:rsidP="00A1288B">
            <w:pPr>
              <w:spacing w:before="120" w:after="120"/>
              <w:jc w:val="both"/>
            </w:pPr>
            <w:r>
              <w:t xml:space="preserve">IZM </w:t>
            </w:r>
          </w:p>
        </w:tc>
        <w:tc>
          <w:tcPr>
            <w:tcW w:w="1437" w:type="dxa"/>
          </w:tcPr>
          <w:p w:rsidR="001D26BC" w:rsidRDefault="001D26BC" w:rsidP="00A1288B">
            <w:pPr>
              <w:spacing w:before="120" w:after="120"/>
              <w:jc w:val="both"/>
            </w:pPr>
            <w:r>
              <w:t>Nozaru ministrijas</w:t>
            </w:r>
          </w:p>
        </w:tc>
      </w:tr>
      <w:tr w:rsidR="001D26BC" w:rsidRPr="0030718B" w:rsidDel="00F179D1" w:rsidTr="00A1288B">
        <w:trPr>
          <w:trHeight w:val="463"/>
        </w:trPr>
        <w:tc>
          <w:tcPr>
            <w:tcW w:w="535" w:type="dxa"/>
          </w:tcPr>
          <w:p w:rsidR="001D26BC" w:rsidRDefault="001D26BC" w:rsidP="00A1288B">
            <w:pPr>
              <w:spacing w:before="120" w:after="120"/>
            </w:pPr>
            <w:r>
              <w:t>3.</w:t>
            </w:r>
          </w:p>
        </w:tc>
        <w:tc>
          <w:tcPr>
            <w:tcW w:w="3328" w:type="dxa"/>
          </w:tcPr>
          <w:p w:rsidR="001D26BC" w:rsidRDefault="001D26BC" w:rsidP="00A1288B">
            <w:pPr>
              <w:spacing w:before="120" w:after="120"/>
              <w:jc w:val="both"/>
            </w:pPr>
            <w:r>
              <w:t xml:space="preserve">Veikt grozījumus </w:t>
            </w:r>
            <w:r w:rsidRPr="00A85F25">
              <w:rPr>
                <w:iCs/>
              </w:rPr>
              <w:t>2003.</w:t>
            </w:r>
            <w:r>
              <w:rPr>
                <w:iCs/>
              </w:rPr>
              <w:t>gada 16.septembra</w:t>
            </w:r>
            <w:r w:rsidRPr="00A85F25">
              <w:rPr>
                <w:iCs/>
              </w:rPr>
              <w:t xml:space="preserve"> M</w:t>
            </w:r>
            <w:r>
              <w:rPr>
                <w:iCs/>
              </w:rPr>
              <w:t>inistra kabineta noteikumos</w:t>
            </w:r>
            <w:r w:rsidRPr="00A85F25">
              <w:rPr>
                <w:iCs/>
              </w:rPr>
              <w:t xml:space="preserve"> Nr.528 "Izglītības un zinātnes ministrijas nolikums"</w:t>
            </w:r>
            <w:r>
              <w:rPr>
                <w:iCs/>
              </w:rPr>
              <w:t>, lai paredzētu, ka viena Izglītības un zinātnes ministrijas funkcijām ir izstrādāt, organizēt un koordinēt kosmosa politiku valstī.</w:t>
            </w:r>
          </w:p>
        </w:tc>
        <w:tc>
          <w:tcPr>
            <w:tcW w:w="1404" w:type="dxa"/>
          </w:tcPr>
          <w:p w:rsidR="001D26BC" w:rsidRPr="002C3DA7" w:rsidRDefault="001D26BC" w:rsidP="00A1288B">
            <w:pPr>
              <w:spacing w:before="120" w:after="120"/>
              <w:jc w:val="both"/>
            </w:pPr>
            <w:r>
              <w:t>2013</w:t>
            </w:r>
            <w:r w:rsidRPr="002C3DA7">
              <w:t>.</w:t>
            </w:r>
            <w:r>
              <w:t xml:space="preserve"> gada janvāris</w:t>
            </w:r>
          </w:p>
        </w:tc>
        <w:tc>
          <w:tcPr>
            <w:tcW w:w="1736" w:type="dxa"/>
          </w:tcPr>
          <w:p w:rsidR="001D26BC" w:rsidRPr="0030718B" w:rsidRDefault="001D26BC" w:rsidP="00A1288B">
            <w:pPr>
              <w:spacing w:before="120" w:after="120"/>
              <w:jc w:val="both"/>
            </w:pPr>
            <w:r>
              <w:t>Esošā finansējuma ietvaros</w:t>
            </w:r>
          </w:p>
        </w:tc>
        <w:tc>
          <w:tcPr>
            <w:tcW w:w="1243" w:type="dxa"/>
          </w:tcPr>
          <w:p w:rsidR="001D26BC" w:rsidRDefault="001D26BC" w:rsidP="00A1288B">
            <w:pPr>
              <w:spacing w:before="120" w:after="120"/>
              <w:jc w:val="both"/>
            </w:pPr>
            <w:r>
              <w:t>IZM</w:t>
            </w:r>
          </w:p>
        </w:tc>
        <w:tc>
          <w:tcPr>
            <w:tcW w:w="1437" w:type="dxa"/>
          </w:tcPr>
          <w:p w:rsidR="001D26BC" w:rsidRPr="0030718B" w:rsidDel="00F179D1" w:rsidRDefault="001D26BC" w:rsidP="00A1288B">
            <w:pPr>
              <w:spacing w:before="120" w:after="120"/>
              <w:jc w:val="both"/>
            </w:pPr>
            <w:r>
              <w:t xml:space="preserve">Nozaru ministrijas </w:t>
            </w:r>
          </w:p>
        </w:tc>
      </w:tr>
      <w:tr w:rsidR="001D26BC" w:rsidTr="00A1288B">
        <w:trPr>
          <w:trHeight w:val="566"/>
        </w:trPr>
        <w:tc>
          <w:tcPr>
            <w:tcW w:w="535" w:type="dxa"/>
          </w:tcPr>
          <w:p w:rsidR="001D26BC" w:rsidRDefault="001D26BC" w:rsidP="00A1288B">
            <w:pPr>
              <w:spacing w:before="120" w:after="120"/>
            </w:pPr>
            <w:r>
              <w:t>4.</w:t>
            </w:r>
          </w:p>
        </w:tc>
        <w:tc>
          <w:tcPr>
            <w:tcW w:w="3328" w:type="dxa"/>
          </w:tcPr>
          <w:p w:rsidR="001D26BC" w:rsidRPr="00925BA9" w:rsidRDefault="001D26BC" w:rsidP="00A1288B">
            <w:pPr>
              <w:pStyle w:val="Numeretslists"/>
              <w:numPr>
                <w:ilvl w:val="0"/>
                <w:numId w:val="0"/>
              </w:numPr>
            </w:pPr>
            <w:r w:rsidRPr="00B7660D">
              <w:t>Nozaru ministrijām (t.sk.</w:t>
            </w:r>
            <w:r w:rsidRPr="00DD1446">
              <w:t xml:space="preserve"> </w:t>
            </w:r>
            <w:r w:rsidRPr="00DD1446">
              <w:rPr>
                <w:rStyle w:val="Hyperlink"/>
                <w:color w:val="auto"/>
                <w:u w:val="none"/>
              </w:rPr>
              <w:t>Vides aizsardzības un reģionālās attīstības ministrij</w:t>
            </w:r>
            <w:r w:rsidR="00DD1446" w:rsidRPr="00DD1446">
              <w:rPr>
                <w:rStyle w:val="Hyperlink"/>
                <w:color w:val="auto"/>
                <w:u w:val="none"/>
              </w:rPr>
              <w:t>ai</w:t>
            </w:r>
            <w:r w:rsidRPr="00DD1446">
              <w:t xml:space="preserve"> </w:t>
            </w:r>
            <w:r w:rsidRPr="00B7660D">
              <w:t>un Satiksmes ministrijai) sniegt priekšlikumus par kosmosa nozares produktu un pakalpojumu izmantošanu un sadarbības iespējām ar kosmosa nozares dalībniekiem Latvijā.</w:t>
            </w:r>
          </w:p>
        </w:tc>
        <w:tc>
          <w:tcPr>
            <w:tcW w:w="1404" w:type="dxa"/>
            <w:tcBorders>
              <w:bottom w:val="single" w:sz="4" w:space="0" w:color="auto"/>
            </w:tcBorders>
            <w:shd w:val="clear" w:color="auto" w:fill="auto"/>
          </w:tcPr>
          <w:p w:rsidR="001D26BC" w:rsidRPr="0082747B" w:rsidRDefault="001D26BC" w:rsidP="00A1288B">
            <w:pPr>
              <w:spacing w:before="120" w:after="120"/>
              <w:jc w:val="both"/>
            </w:pPr>
            <w:r>
              <w:t>2013.gada janvāris</w:t>
            </w:r>
          </w:p>
        </w:tc>
        <w:tc>
          <w:tcPr>
            <w:tcW w:w="1736" w:type="dxa"/>
            <w:tcBorders>
              <w:bottom w:val="single" w:sz="4" w:space="0" w:color="auto"/>
            </w:tcBorders>
            <w:shd w:val="clear" w:color="auto" w:fill="auto"/>
          </w:tcPr>
          <w:p w:rsidR="001D26BC" w:rsidRPr="0082747B" w:rsidRDefault="001D26BC" w:rsidP="00A1288B">
            <w:pPr>
              <w:spacing w:before="120" w:after="120"/>
              <w:jc w:val="both"/>
            </w:pPr>
            <w:r>
              <w:t xml:space="preserve">Esošā finansējuma ietvaros </w:t>
            </w:r>
          </w:p>
          <w:p w:rsidR="001D26BC" w:rsidRPr="0082747B" w:rsidRDefault="001D26BC" w:rsidP="00A1288B">
            <w:pPr>
              <w:spacing w:before="120" w:after="120"/>
              <w:jc w:val="both"/>
            </w:pPr>
          </w:p>
        </w:tc>
        <w:tc>
          <w:tcPr>
            <w:tcW w:w="1243" w:type="dxa"/>
          </w:tcPr>
          <w:p w:rsidR="001D26BC" w:rsidRDefault="001D26BC" w:rsidP="00A1288B">
            <w:pPr>
              <w:spacing w:before="120" w:after="120"/>
              <w:jc w:val="both"/>
            </w:pPr>
            <w:r>
              <w:t>MK</w:t>
            </w:r>
          </w:p>
        </w:tc>
        <w:tc>
          <w:tcPr>
            <w:tcW w:w="1437" w:type="dxa"/>
          </w:tcPr>
          <w:p w:rsidR="001D26BC" w:rsidRDefault="001D26BC" w:rsidP="00A1288B">
            <w:pPr>
              <w:spacing w:before="120" w:after="120"/>
              <w:jc w:val="both"/>
            </w:pPr>
            <w:r>
              <w:t>Nozaru ministrijas</w:t>
            </w:r>
          </w:p>
        </w:tc>
      </w:tr>
    </w:tbl>
    <w:p w:rsidR="001D26BC" w:rsidRDefault="001D26BC" w:rsidP="001D26BC"/>
    <w:p w:rsidR="001D26BC" w:rsidRDefault="001D26BC" w:rsidP="001D26BC"/>
    <w:p w:rsidR="001D26BC" w:rsidRDefault="001D26BC" w:rsidP="001D26BC">
      <w:pPr>
        <w:pStyle w:val="Heading3"/>
      </w:pPr>
      <w:bookmarkStart w:id="174" w:name="_Toc303176638"/>
      <w:r>
        <w:t xml:space="preserve">Atbalstāmais </w:t>
      </w:r>
      <w:r w:rsidRPr="00AF4E24">
        <w:t>variants</w:t>
      </w:r>
      <w:bookmarkEnd w:id="174"/>
    </w:p>
    <w:p w:rsidR="001D26BC" w:rsidRPr="00320F38" w:rsidRDefault="001D26BC" w:rsidP="001D26BC">
      <w:pPr>
        <w:autoSpaceDE w:val="0"/>
        <w:autoSpaceDN w:val="0"/>
        <w:adjustRightInd w:val="0"/>
        <w:spacing w:before="120" w:after="120"/>
        <w:ind w:firstLine="720"/>
        <w:jc w:val="both"/>
        <w:rPr>
          <w:sz w:val="28"/>
        </w:rPr>
      </w:pPr>
      <w:r w:rsidRPr="002825C9">
        <w:rPr>
          <w:sz w:val="28"/>
        </w:rPr>
        <w:t xml:space="preserve">Izglītības un zinātnes ministrija atbalsta Koncepcijas </w:t>
      </w:r>
      <w:r>
        <w:rPr>
          <w:b/>
          <w:bCs/>
          <w:sz w:val="28"/>
          <w:u w:val="single"/>
        </w:rPr>
        <w:t>B</w:t>
      </w:r>
      <w:r w:rsidRPr="002825C9">
        <w:rPr>
          <w:b/>
          <w:bCs/>
          <w:sz w:val="28"/>
          <w:u w:val="single"/>
        </w:rPr>
        <w:t xml:space="preserve"> rīcības varianta</w:t>
      </w:r>
      <w:r>
        <w:rPr>
          <w:sz w:val="28"/>
        </w:rPr>
        <w:t xml:space="preserve"> tālāku virzību un piecgades beigu posmā ierosina veikt padziļinātu analīzi, lai izvērtētu kuru no iespējamajiem B rīcības varianta scenārijiem atbalstīt no 2018.gada</w:t>
      </w:r>
      <w:r w:rsidR="00615F5F">
        <w:rPr>
          <w:sz w:val="28"/>
        </w:rPr>
        <w:t xml:space="preserve">. </w:t>
      </w:r>
    </w:p>
    <w:p w:rsidR="001D26BC" w:rsidRPr="00AF4E24" w:rsidRDefault="001D26BC" w:rsidP="001D26BC">
      <w:pPr>
        <w:ind w:firstLine="720"/>
        <w:jc w:val="both"/>
        <w:rPr>
          <w:b/>
          <w:sz w:val="28"/>
        </w:rPr>
      </w:pPr>
    </w:p>
    <w:p w:rsidR="001D26BC" w:rsidRDefault="001D26BC" w:rsidP="001D26BC">
      <w:pPr>
        <w:pStyle w:val="Heading3"/>
      </w:pPr>
      <w:bookmarkStart w:id="175" w:name="_Toc303176639"/>
      <w:r w:rsidRPr="00524456">
        <w:t>Esošais un papildus nepieciešamais finansējums politikas koncepcijas atbalstāmā varianta īstenošanai</w:t>
      </w:r>
      <w:bookmarkEnd w:id="175"/>
      <w:r w:rsidR="00821038">
        <w:t xml:space="preserve">, t.sk. atbalstāmā varianta scenārijiem 1, 2 un 3.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52"/>
        <w:gridCol w:w="1000"/>
        <w:gridCol w:w="1000"/>
        <w:gridCol w:w="1084"/>
      </w:tblGrid>
      <w:tr w:rsidR="00EE7C0C" w:rsidRPr="00EE7C0C" w:rsidTr="00EE7C0C">
        <w:trPr>
          <w:trHeight w:val="450"/>
        </w:trPr>
        <w:tc>
          <w:tcPr>
            <w:tcW w:w="3150" w:type="pct"/>
            <w:vMerge w:val="restart"/>
            <w:tcBorders>
              <w:top w:val="single" w:sz="6" w:space="0" w:color="000000"/>
              <w:left w:val="single" w:sz="6" w:space="0" w:color="000000"/>
              <w:bottom w:val="single" w:sz="6" w:space="0" w:color="000000"/>
              <w:right w:val="single" w:sz="6" w:space="0" w:color="000000"/>
            </w:tcBorders>
            <w:vAlign w:val="center"/>
            <w:hideMark/>
          </w:tcPr>
          <w:p w:rsidR="00EE7C0C" w:rsidRPr="00EE7C0C" w:rsidRDefault="00EE7C0C" w:rsidP="00EE7C0C">
            <w:pPr>
              <w:spacing w:line="295" w:lineRule="atLeast"/>
              <w:rPr>
                <w:rFonts w:eastAsia="Times New Roman"/>
                <w:szCs w:val="24"/>
                <w:lang w:eastAsia="lv-LV"/>
              </w:rPr>
            </w:pPr>
            <w:r w:rsidRPr="00EE7C0C">
              <w:rPr>
                <w:rFonts w:eastAsia="Times New Roman"/>
                <w:szCs w:val="24"/>
                <w:lang w:eastAsia="lv-LV"/>
              </w:rPr>
              <w:t> </w:t>
            </w:r>
          </w:p>
        </w:tc>
        <w:tc>
          <w:tcPr>
            <w:tcW w:w="1850" w:type="pct"/>
            <w:gridSpan w:val="3"/>
            <w:tcBorders>
              <w:top w:val="single" w:sz="6" w:space="0" w:color="000000"/>
              <w:left w:val="single" w:sz="6" w:space="0" w:color="000000"/>
              <w:bottom w:val="single" w:sz="6" w:space="0" w:color="000000"/>
              <w:right w:val="single" w:sz="6" w:space="0" w:color="000000"/>
            </w:tcBorders>
            <w:vAlign w:val="center"/>
            <w:hideMark/>
          </w:tcPr>
          <w:p w:rsidR="00EE7C0C" w:rsidRPr="00EE7C0C" w:rsidRDefault="00EE7C0C" w:rsidP="00EE7C0C">
            <w:pPr>
              <w:spacing w:before="100" w:beforeAutospacing="1" w:after="100" w:afterAutospacing="1"/>
              <w:jc w:val="center"/>
              <w:rPr>
                <w:rFonts w:eastAsia="Times New Roman"/>
                <w:szCs w:val="24"/>
                <w:lang w:eastAsia="lv-LV"/>
              </w:rPr>
            </w:pPr>
            <w:r w:rsidRPr="00EE7C0C">
              <w:rPr>
                <w:rFonts w:eastAsia="Times New Roman"/>
                <w:szCs w:val="24"/>
                <w:lang w:eastAsia="lv-LV"/>
              </w:rPr>
              <w:t>Turpmākie trīs gadi (tūkst. latu)</w:t>
            </w:r>
          </w:p>
        </w:tc>
      </w:tr>
      <w:tr w:rsidR="00EE7C0C" w:rsidRPr="00EE7C0C" w:rsidTr="00EE7C0C">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C0C" w:rsidRPr="00EE7C0C" w:rsidRDefault="00EE7C0C" w:rsidP="00EE7C0C">
            <w:pPr>
              <w:rPr>
                <w:rFonts w:eastAsia="Times New Roman"/>
                <w:szCs w:val="24"/>
                <w:lang w:eastAsia="lv-LV"/>
              </w:rPr>
            </w:pP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EE7C0C" w:rsidRPr="00EE7C0C" w:rsidRDefault="00EE7C0C" w:rsidP="00EE7C0C">
            <w:pPr>
              <w:spacing w:before="100" w:beforeAutospacing="1" w:after="100" w:afterAutospacing="1"/>
              <w:jc w:val="center"/>
              <w:rPr>
                <w:rFonts w:eastAsia="Times New Roman"/>
                <w:szCs w:val="24"/>
                <w:lang w:eastAsia="lv-LV"/>
              </w:rPr>
            </w:pPr>
            <w:r>
              <w:rPr>
                <w:rFonts w:eastAsia="Times New Roman"/>
                <w:szCs w:val="24"/>
                <w:lang w:eastAsia="lv-LV"/>
              </w:rPr>
              <w:t>2012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EE7C0C" w:rsidRPr="00EE7C0C" w:rsidRDefault="00EE7C0C" w:rsidP="00EE7C0C">
            <w:pPr>
              <w:spacing w:before="100" w:beforeAutospacing="1" w:after="100" w:afterAutospacing="1"/>
              <w:jc w:val="center"/>
              <w:rPr>
                <w:rFonts w:eastAsia="Times New Roman"/>
                <w:szCs w:val="24"/>
                <w:lang w:eastAsia="lv-LV"/>
              </w:rPr>
            </w:pPr>
            <w:r>
              <w:rPr>
                <w:rFonts w:eastAsia="Times New Roman"/>
                <w:szCs w:val="24"/>
                <w:lang w:eastAsia="lv-LV"/>
              </w:rPr>
              <w:t>2013</w:t>
            </w:r>
          </w:p>
        </w:tc>
        <w:tc>
          <w:tcPr>
            <w:tcW w:w="650" w:type="pct"/>
            <w:tcBorders>
              <w:top w:val="single" w:sz="6" w:space="0" w:color="000000"/>
              <w:left w:val="single" w:sz="6" w:space="0" w:color="000000"/>
              <w:bottom w:val="single" w:sz="6" w:space="0" w:color="000000"/>
              <w:right w:val="single" w:sz="6" w:space="0" w:color="000000"/>
            </w:tcBorders>
            <w:vAlign w:val="center"/>
            <w:hideMark/>
          </w:tcPr>
          <w:p w:rsidR="00EE7C0C" w:rsidRPr="00EE7C0C" w:rsidRDefault="00EE7C0C" w:rsidP="00EE7C0C">
            <w:pPr>
              <w:spacing w:before="100" w:beforeAutospacing="1" w:after="100" w:afterAutospacing="1"/>
              <w:jc w:val="center"/>
              <w:rPr>
                <w:rFonts w:eastAsia="Times New Roman"/>
                <w:szCs w:val="24"/>
                <w:lang w:eastAsia="lv-LV"/>
              </w:rPr>
            </w:pPr>
            <w:r>
              <w:rPr>
                <w:rFonts w:eastAsia="Times New Roman"/>
                <w:szCs w:val="24"/>
                <w:lang w:eastAsia="lv-LV"/>
              </w:rPr>
              <w:t>2014</w:t>
            </w:r>
          </w:p>
        </w:tc>
      </w:tr>
      <w:tr w:rsidR="00EE7C0C" w:rsidRPr="00EE7C0C" w:rsidTr="00EE7C0C">
        <w:trPr>
          <w:trHeight w:val="255"/>
        </w:trPr>
        <w:tc>
          <w:tcPr>
            <w:tcW w:w="31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rPr>
                <w:rFonts w:eastAsia="Times New Roman"/>
                <w:szCs w:val="24"/>
                <w:lang w:eastAsia="lv-LV"/>
              </w:rPr>
            </w:pPr>
            <w:r w:rsidRPr="00EE7C0C">
              <w:rPr>
                <w:rFonts w:eastAsia="Times New Roman"/>
                <w:szCs w:val="24"/>
                <w:lang w:eastAsia="lv-LV"/>
              </w:rPr>
              <w:t>Kopējās izmaiņas budžeta ieņēmumos t.sk.:</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EE7C0C" w:rsidRPr="00EE7C0C" w:rsidRDefault="00EE7C0C" w:rsidP="00EE7C0C">
            <w:pPr>
              <w:spacing w:line="295"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EE7C0C" w:rsidRPr="00EE7C0C" w:rsidRDefault="00EE7C0C" w:rsidP="00EE7C0C">
            <w:pPr>
              <w:spacing w:line="295" w:lineRule="atLeast"/>
              <w:jc w:val="center"/>
              <w:rPr>
                <w:rFonts w:eastAsia="Times New Roman"/>
                <w:szCs w:val="24"/>
                <w:lang w:eastAsia="lv-LV"/>
              </w:rPr>
            </w:pPr>
            <w:r>
              <w:rPr>
                <w:rFonts w:eastAsia="Times New Roman"/>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vAlign w:val="center"/>
            <w:hideMark/>
          </w:tcPr>
          <w:p w:rsidR="00EE7C0C" w:rsidRPr="00EE7C0C" w:rsidRDefault="00EE7C0C" w:rsidP="00EE7C0C">
            <w:pPr>
              <w:spacing w:line="295" w:lineRule="atLeast"/>
              <w:jc w:val="center"/>
              <w:rPr>
                <w:rFonts w:eastAsia="Times New Roman"/>
                <w:szCs w:val="24"/>
                <w:lang w:eastAsia="lv-LV"/>
              </w:rPr>
            </w:pPr>
            <w:r>
              <w:rPr>
                <w:rFonts w:eastAsia="Times New Roman"/>
                <w:szCs w:val="24"/>
                <w:lang w:eastAsia="lv-LV"/>
              </w:rPr>
              <w:t>0</w:t>
            </w:r>
          </w:p>
        </w:tc>
      </w:tr>
      <w:tr w:rsidR="00EE7C0C" w:rsidRPr="00EE7C0C" w:rsidTr="00EE7C0C">
        <w:trPr>
          <w:trHeight w:val="60"/>
        </w:trPr>
        <w:tc>
          <w:tcPr>
            <w:tcW w:w="3150" w:type="pct"/>
            <w:tcBorders>
              <w:top w:val="single" w:sz="6" w:space="0" w:color="000000"/>
              <w:left w:val="single" w:sz="6" w:space="0" w:color="000000"/>
              <w:bottom w:val="single" w:sz="6" w:space="0" w:color="000000"/>
              <w:right w:val="single" w:sz="6" w:space="0" w:color="000000"/>
            </w:tcBorders>
            <w:vAlign w:val="center"/>
            <w:hideMark/>
          </w:tcPr>
          <w:p w:rsidR="00EE7C0C" w:rsidRPr="00EE7C0C" w:rsidRDefault="00EE7C0C" w:rsidP="00EE7C0C">
            <w:pPr>
              <w:spacing w:before="100" w:beforeAutospacing="1" w:after="100" w:afterAutospacing="1" w:line="60" w:lineRule="atLeast"/>
              <w:rPr>
                <w:rFonts w:eastAsia="Times New Roman"/>
                <w:szCs w:val="24"/>
                <w:lang w:eastAsia="lv-LV"/>
              </w:rPr>
            </w:pPr>
            <w:r w:rsidRPr="00EE7C0C">
              <w:rPr>
                <w:rFonts w:eastAsia="Times New Roman"/>
                <w:szCs w:val="24"/>
                <w:lang w:eastAsia="lv-LV"/>
              </w:rPr>
              <w:t>Izmaiņas valsts budžeta ieņēmumos</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jc w:val="center"/>
              <w:rPr>
                <w:rFonts w:eastAsia="Times New Roman"/>
                <w:szCs w:val="24"/>
                <w:lang w:eastAsia="lv-LV"/>
              </w:rPr>
            </w:pPr>
            <w:r>
              <w:rPr>
                <w:rFonts w:eastAsia="Times New Roman"/>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jc w:val="center"/>
              <w:rPr>
                <w:rFonts w:eastAsia="Times New Roman"/>
                <w:szCs w:val="24"/>
                <w:lang w:eastAsia="lv-LV"/>
              </w:rPr>
            </w:pPr>
            <w:r>
              <w:rPr>
                <w:rFonts w:eastAsia="Times New Roman"/>
                <w:szCs w:val="24"/>
                <w:lang w:eastAsia="lv-LV"/>
              </w:rPr>
              <w:t>0</w:t>
            </w:r>
          </w:p>
        </w:tc>
      </w:tr>
      <w:tr w:rsidR="00EE7C0C" w:rsidRPr="00EE7C0C" w:rsidTr="00EE7C0C">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rPr>
                <w:rFonts w:eastAsia="Times New Roman"/>
                <w:szCs w:val="24"/>
                <w:lang w:eastAsia="lv-LV"/>
              </w:rPr>
            </w:pPr>
            <w:r w:rsidRPr="00EE7C0C">
              <w:rPr>
                <w:rFonts w:eastAsia="Times New Roman"/>
                <w:szCs w:val="24"/>
                <w:lang w:eastAsia="lv-LV"/>
              </w:rPr>
              <w:t>Izmaiņas pašvaldību budžeta ieņēmumos</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jc w:val="center"/>
              <w:rPr>
                <w:rFonts w:eastAsia="Times New Roman"/>
                <w:szCs w:val="24"/>
                <w:lang w:eastAsia="lv-LV"/>
              </w:rPr>
            </w:pPr>
            <w:r>
              <w:rPr>
                <w:rFonts w:eastAsia="Times New Roman"/>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jc w:val="center"/>
              <w:rPr>
                <w:rFonts w:eastAsia="Times New Roman"/>
                <w:szCs w:val="24"/>
                <w:lang w:eastAsia="lv-LV"/>
              </w:rPr>
            </w:pPr>
            <w:r>
              <w:rPr>
                <w:rFonts w:eastAsia="Times New Roman"/>
                <w:szCs w:val="24"/>
                <w:lang w:eastAsia="lv-LV"/>
              </w:rPr>
              <w:t>0</w:t>
            </w:r>
          </w:p>
        </w:tc>
      </w:tr>
      <w:tr w:rsidR="00EE7C0C" w:rsidRPr="00EE7C0C" w:rsidTr="00EE7C0C">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rPr>
                <w:rFonts w:eastAsia="Times New Roman"/>
                <w:szCs w:val="24"/>
                <w:lang w:eastAsia="lv-LV"/>
              </w:rPr>
            </w:pPr>
            <w:r w:rsidRPr="00EE7C0C">
              <w:rPr>
                <w:rFonts w:eastAsia="Times New Roman"/>
                <w:szCs w:val="24"/>
                <w:lang w:eastAsia="lv-LV"/>
              </w:rPr>
              <w:t>Kopējās izmaiņas budžeta izdevumos t.sk.:</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291D3D" w:rsidRDefault="00EE7C0C" w:rsidP="00EE7C0C">
            <w:pPr>
              <w:pStyle w:val="naisf"/>
              <w:spacing w:before="0" w:after="0"/>
              <w:ind w:firstLine="0"/>
              <w:jc w:val="center"/>
            </w:pPr>
            <w:r>
              <w:t>884.9</w:t>
            </w:r>
          </w:p>
        </w:tc>
        <w:tc>
          <w:tcPr>
            <w:tcW w:w="650" w:type="pct"/>
            <w:tcBorders>
              <w:top w:val="single" w:sz="6" w:space="0" w:color="000000"/>
              <w:left w:val="single" w:sz="6" w:space="0" w:color="000000"/>
              <w:bottom w:val="single" w:sz="6" w:space="0" w:color="000000"/>
              <w:right w:val="single" w:sz="6" w:space="0" w:color="000000"/>
            </w:tcBorders>
            <w:hideMark/>
          </w:tcPr>
          <w:p w:rsidR="00EE7C0C" w:rsidRPr="00291D3D" w:rsidRDefault="00EE7C0C" w:rsidP="00EE7C0C">
            <w:pPr>
              <w:pStyle w:val="naisf"/>
              <w:spacing w:before="0" w:after="0"/>
              <w:ind w:firstLine="0"/>
              <w:jc w:val="center"/>
            </w:pPr>
            <w:r>
              <w:t>883.0</w:t>
            </w:r>
          </w:p>
        </w:tc>
      </w:tr>
      <w:tr w:rsidR="00EE7C0C" w:rsidRPr="00EE7C0C" w:rsidTr="00EE7C0C">
        <w:trPr>
          <w:trHeight w:val="60"/>
        </w:trPr>
        <w:tc>
          <w:tcPr>
            <w:tcW w:w="3150" w:type="pct"/>
            <w:tcBorders>
              <w:top w:val="single" w:sz="6" w:space="0" w:color="000000"/>
              <w:left w:val="single" w:sz="6" w:space="0" w:color="000000"/>
              <w:bottom w:val="single" w:sz="6" w:space="0" w:color="000000"/>
              <w:right w:val="single" w:sz="6" w:space="0" w:color="000000"/>
            </w:tcBorders>
            <w:vAlign w:val="center"/>
            <w:hideMark/>
          </w:tcPr>
          <w:p w:rsidR="00EE7C0C" w:rsidRPr="00EE7C0C" w:rsidRDefault="00EE7C0C" w:rsidP="00EE7C0C">
            <w:pPr>
              <w:spacing w:before="100" w:beforeAutospacing="1" w:after="100" w:afterAutospacing="1" w:line="60" w:lineRule="atLeast"/>
              <w:rPr>
                <w:rFonts w:eastAsia="Times New Roman"/>
                <w:szCs w:val="24"/>
                <w:lang w:eastAsia="lv-LV"/>
              </w:rPr>
            </w:pPr>
            <w:r w:rsidRPr="00EE7C0C">
              <w:rPr>
                <w:rFonts w:eastAsia="Times New Roman"/>
                <w:szCs w:val="24"/>
                <w:lang w:eastAsia="lv-LV"/>
              </w:rPr>
              <w:t>Izmaiņas valsts budžeta izdevumos</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291D3D" w:rsidRDefault="00EE7C0C" w:rsidP="00EE7C0C">
            <w:pPr>
              <w:pStyle w:val="naisf"/>
              <w:spacing w:before="0" w:after="0"/>
              <w:ind w:firstLine="0"/>
              <w:jc w:val="center"/>
            </w:pPr>
            <w:r>
              <w:t>884.9</w:t>
            </w:r>
          </w:p>
        </w:tc>
        <w:tc>
          <w:tcPr>
            <w:tcW w:w="650" w:type="pct"/>
            <w:tcBorders>
              <w:top w:val="single" w:sz="6" w:space="0" w:color="000000"/>
              <w:left w:val="single" w:sz="6" w:space="0" w:color="000000"/>
              <w:bottom w:val="single" w:sz="6" w:space="0" w:color="000000"/>
              <w:right w:val="single" w:sz="6" w:space="0" w:color="000000"/>
            </w:tcBorders>
            <w:hideMark/>
          </w:tcPr>
          <w:p w:rsidR="00EE7C0C" w:rsidRPr="00291D3D" w:rsidRDefault="00EE7C0C" w:rsidP="00EE7C0C">
            <w:pPr>
              <w:pStyle w:val="naisf"/>
              <w:spacing w:before="0" w:after="0"/>
              <w:ind w:firstLine="0"/>
              <w:jc w:val="center"/>
            </w:pPr>
            <w:r>
              <w:t>883.0</w:t>
            </w:r>
          </w:p>
        </w:tc>
      </w:tr>
      <w:tr w:rsidR="00EE7C0C" w:rsidRPr="00EE7C0C" w:rsidTr="00EE7C0C">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rPr>
                <w:rFonts w:eastAsia="Times New Roman"/>
                <w:szCs w:val="24"/>
                <w:lang w:eastAsia="lv-LV"/>
              </w:rPr>
            </w:pPr>
            <w:r w:rsidRPr="00EE7C0C">
              <w:rPr>
                <w:rFonts w:eastAsia="Times New Roman"/>
                <w:szCs w:val="24"/>
                <w:lang w:eastAsia="lv-LV"/>
              </w:rPr>
              <w:t>Izmaiņas pašvaldību budžeta izdevumos</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line="60" w:lineRule="atLeast"/>
              <w:jc w:val="center"/>
              <w:rPr>
                <w:rFonts w:eastAsia="Times New Roman"/>
                <w:szCs w:val="24"/>
                <w:lang w:eastAsia="lv-LV"/>
              </w:rPr>
            </w:pPr>
            <w:r>
              <w:rPr>
                <w:rFonts w:eastAsia="Times New Roman"/>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line="60" w:lineRule="atLeast"/>
              <w:jc w:val="center"/>
              <w:rPr>
                <w:rFonts w:eastAsia="Times New Roman"/>
                <w:szCs w:val="24"/>
                <w:lang w:eastAsia="lv-LV"/>
              </w:rPr>
            </w:pPr>
            <w:r>
              <w:rPr>
                <w:rFonts w:eastAsia="Times New Roman"/>
                <w:szCs w:val="24"/>
                <w:lang w:eastAsia="lv-LV"/>
              </w:rPr>
              <w:t>0</w:t>
            </w:r>
          </w:p>
        </w:tc>
      </w:tr>
      <w:tr w:rsidR="00EE7C0C" w:rsidRPr="00EE7C0C" w:rsidTr="00EE7C0C">
        <w:trPr>
          <w:trHeight w:val="99"/>
        </w:trPr>
        <w:tc>
          <w:tcPr>
            <w:tcW w:w="31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rPr>
                <w:rFonts w:eastAsia="Times New Roman"/>
                <w:szCs w:val="24"/>
                <w:lang w:eastAsia="lv-LV"/>
              </w:rPr>
            </w:pPr>
            <w:r w:rsidRPr="00EE7C0C">
              <w:rPr>
                <w:rFonts w:eastAsia="Times New Roman"/>
                <w:szCs w:val="24"/>
                <w:lang w:eastAsia="lv-LV"/>
              </w:rPr>
              <w:t>Kopējā finansiālā ietekme:</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291D3D" w:rsidRDefault="00EE7C0C" w:rsidP="00EE7C0C">
            <w:pPr>
              <w:pStyle w:val="naisf"/>
              <w:spacing w:before="0" w:after="0"/>
              <w:ind w:firstLine="0"/>
              <w:jc w:val="center"/>
            </w:pPr>
            <w:r>
              <w:t>884.9</w:t>
            </w:r>
          </w:p>
        </w:tc>
        <w:tc>
          <w:tcPr>
            <w:tcW w:w="650" w:type="pct"/>
            <w:tcBorders>
              <w:top w:val="single" w:sz="6" w:space="0" w:color="000000"/>
              <w:left w:val="single" w:sz="6" w:space="0" w:color="000000"/>
              <w:bottom w:val="single" w:sz="6" w:space="0" w:color="000000"/>
              <w:right w:val="single" w:sz="6" w:space="0" w:color="000000"/>
            </w:tcBorders>
            <w:hideMark/>
          </w:tcPr>
          <w:p w:rsidR="00EE7C0C" w:rsidRPr="00291D3D" w:rsidRDefault="00EE7C0C" w:rsidP="00EE7C0C">
            <w:pPr>
              <w:pStyle w:val="naisf"/>
              <w:spacing w:before="0" w:after="0"/>
              <w:ind w:firstLine="0"/>
              <w:jc w:val="center"/>
            </w:pPr>
            <w:r>
              <w:t>883.0</w:t>
            </w:r>
          </w:p>
        </w:tc>
      </w:tr>
      <w:tr w:rsidR="00EE7C0C" w:rsidRPr="00EE7C0C" w:rsidTr="00EE7C0C">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rPr>
                <w:rFonts w:eastAsia="Times New Roman"/>
                <w:szCs w:val="24"/>
                <w:lang w:eastAsia="lv-LV"/>
              </w:rPr>
            </w:pPr>
            <w:r w:rsidRPr="00EE7C0C">
              <w:rPr>
                <w:rFonts w:eastAsia="Times New Roman"/>
                <w:szCs w:val="24"/>
                <w:lang w:eastAsia="lv-LV"/>
              </w:rPr>
              <w:t>Finansiālā ietekme uz valsts budžetu</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EE7C0C" w:rsidRPr="00291D3D" w:rsidRDefault="00EE7C0C" w:rsidP="00EE7C0C">
            <w:pPr>
              <w:pStyle w:val="naisf"/>
              <w:spacing w:before="0" w:after="0"/>
              <w:ind w:firstLine="0"/>
              <w:jc w:val="center"/>
            </w:pPr>
            <w:r>
              <w:t>884.9</w:t>
            </w:r>
          </w:p>
        </w:tc>
        <w:tc>
          <w:tcPr>
            <w:tcW w:w="650" w:type="pct"/>
            <w:tcBorders>
              <w:top w:val="single" w:sz="6" w:space="0" w:color="000000"/>
              <w:left w:val="single" w:sz="6" w:space="0" w:color="000000"/>
              <w:bottom w:val="single" w:sz="6" w:space="0" w:color="000000"/>
              <w:right w:val="single" w:sz="6" w:space="0" w:color="000000"/>
            </w:tcBorders>
            <w:hideMark/>
          </w:tcPr>
          <w:p w:rsidR="00EE7C0C" w:rsidRPr="00291D3D" w:rsidRDefault="00EE7C0C" w:rsidP="00EE7C0C">
            <w:pPr>
              <w:pStyle w:val="naisf"/>
              <w:spacing w:before="0" w:after="0"/>
              <w:ind w:firstLine="0"/>
              <w:jc w:val="center"/>
            </w:pPr>
            <w:r>
              <w:t>883.0</w:t>
            </w:r>
          </w:p>
        </w:tc>
      </w:tr>
      <w:tr w:rsidR="00EE7C0C" w:rsidRPr="00EE7C0C" w:rsidTr="00EE7C0C">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rPr>
                <w:rFonts w:eastAsia="Times New Roman"/>
                <w:szCs w:val="24"/>
                <w:lang w:eastAsia="lv-LV"/>
              </w:rPr>
            </w:pPr>
            <w:r w:rsidRPr="00EE7C0C">
              <w:rPr>
                <w:rFonts w:eastAsia="Times New Roman"/>
                <w:szCs w:val="24"/>
                <w:lang w:eastAsia="lv-LV"/>
              </w:rPr>
              <w:t>Finansiālā ietekme uz pašvaldību budžetu</w:t>
            </w:r>
          </w:p>
        </w:tc>
        <w:tc>
          <w:tcPr>
            <w:tcW w:w="1850" w:type="pct"/>
            <w:gridSpan w:val="3"/>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line="60" w:lineRule="atLeast"/>
              <w:jc w:val="center"/>
              <w:rPr>
                <w:rFonts w:eastAsia="Times New Roman"/>
                <w:szCs w:val="24"/>
                <w:lang w:eastAsia="lv-LV"/>
              </w:rPr>
            </w:pPr>
            <w:r>
              <w:rPr>
                <w:rFonts w:eastAsia="Times New Roman"/>
                <w:szCs w:val="24"/>
                <w:lang w:eastAsia="lv-LV"/>
              </w:rPr>
              <w:t>0</w:t>
            </w:r>
          </w:p>
        </w:tc>
      </w:tr>
      <w:tr w:rsidR="00EE7C0C" w:rsidRPr="00EE7C0C" w:rsidTr="00EE7C0C">
        <w:trPr>
          <w:trHeight w:val="840"/>
        </w:trPr>
        <w:tc>
          <w:tcPr>
            <w:tcW w:w="31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rPr>
                <w:rFonts w:eastAsia="Times New Roman"/>
                <w:szCs w:val="24"/>
                <w:lang w:eastAsia="lv-LV"/>
              </w:rPr>
            </w:pPr>
            <w:r w:rsidRPr="00EE7C0C">
              <w:rPr>
                <w:rFonts w:eastAsia="Times New Roman"/>
                <w:szCs w:val="24"/>
                <w:lang w:eastAsia="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50" w:type="pct"/>
            <w:gridSpan w:val="3"/>
            <w:tcBorders>
              <w:top w:val="single" w:sz="6" w:space="0" w:color="000000"/>
              <w:left w:val="single" w:sz="6" w:space="0" w:color="000000"/>
              <w:bottom w:val="single" w:sz="6" w:space="0" w:color="000000"/>
              <w:right w:val="single" w:sz="6" w:space="0" w:color="000000"/>
            </w:tcBorders>
            <w:hideMark/>
          </w:tcPr>
          <w:p w:rsidR="00ED125E" w:rsidRDefault="00EE7C0C" w:rsidP="00EE7C0C">
            <w:pPr>
              <w:spacing w:before="100" w:beforeAutospacing="1" w:after="100" w:afterAutospacing="1"/>
              <w:rPr>
                <w:rFonts w:eastAsia="Times New Roman"/>
                <w:szCs w:val="24"/>
                <w:lang w:eastAsia="lv-LV"/>
              </w:rPr>
            </w:pPr>
            <w:r w:rsidRPr="00EE7C0C">
              <w:rPr>
                <w:rFonts w:eastAsia="Times New Roman"/>
                <w:szCs w:val="24"/>
                <w:lang w:eastAsia="lv-LV"/>
              </w:rPr>
              <w:t> </w:t>
            </w:r>
            <w:r w:rsidR="00ED125E">
              <w:rPr>
                <w:rFonts w:eastAsia="Times New Roman"/>
                <w:szCs w:val="24"/>
                <w:lang w:eastAsia="lv-LV"/>
              </w:rPr>
              <w:t>Detalizēts izdevumu aprēķins</w:t>
            </w:r>
          </w:p>
          <w:p w:rsidR="00ED125E" w:rsidRPr="00AE04B8" w:rsidRDefault="00ED125E" w:rsidP="00ED125E">
            <w:pPr>
              <w:autoSpaceDE w:val="0"/>
              <w:autoSpaceDN w:val="0"/>
              <w:adjustRightInd w:val="0"/>
              <w:jc w:val="both"/>
              <w:rPr>
                <w:color w:val="000000"/>
              </w:rPr>
            </w:pPr>
            <w:r w:rsidRPr="00104290">
              <w:t xml:space="preserve">Saskaņā ar </w:t>
            </w:r>
            <w:r>
              <w:rPr>
                <w:bCs/>
              </w:rPr>
              <w:t>Eiropas Sadarbības valsts līgumu</w:t>
            </w:r>
            <w:r w:rsidRPr="00104290">
              <w:rPr>
                <w:bCs/>
              </w:rPr>
              <w:t xml:space="preserve"> starp Eiropas Kosmosa aģentūru un Latvijas Republikas valdību</w:t>
            </w:r>
            <w:r w:rsidRPr="00104290">
              <w:rPr>
                <w:color w:val="000000"/>
              </w:rPr>
              <w:t xml:space="preserve"> </w:t>
            </w:r>
            <w:r w:rsidRPr="00104290">
              <w:t xml:space="preserve">II.4.2. punktā minēto „Minimālais finanšu iemaksas apmērs, kas nepieciešams jebkuras Eiropas Sadarbības Valsts dalībai Eiropas Sadarbības Valsts Plānā uz pieciem gadiem, ir EUR 5 miljoni (pieci miljoni eiro) 2001. gada ekonomiskajos apstākļos” Līdz ar to </w:t>
            </w:r>
            <w:r>
              <w:t>2011.gada ekonomiskajos apstākļos</w:t>
            </w:r>
            <w:r w:rsidRPr="00104290">
              <w:t xml:space="preserve"> šī summa </w:t>
            </w:r>
            <w:r>
              <w:t xml:space="preserve">sastāda </w:t>
            </w:r>
            <w:r w:rsidRPr="00104290">
              <w:t xml:space="preserve"> EUR </w:t>
            </w:r>
            <w:r>
              <w:t>6,189</w:t>
            </w:r>
            <w:r w:rsidRPr="00104290">
              <w:t xml:space="preserve"> miljoni, kas izdalot uz pieciem gadiem sastāda EUR </w:t>
            </w:r>
            <w:r>
              <w:t>1,237</w:t>
            </w:r>
            <w:r w:rsidRPr="00104290">
              <w:t xml:space="preserve"> </w:t>
            </w:r>
            <w:r>
              <w:t xml:space="preserve">miljoni </w:t>
            </w:r>
            <w:r w:rsidRPr="00104290">
              <w:t>gadā</w:t>
            </w:r>
            <w:r>
              <w:t xml:space="preserve"> jeb </w:t>
            </w:r>
            <w:r>
              <w:rPr>
                <w:b/>
              </w:rPr>
              <w:t>870 067</w:t>
            </w:r>
            <w:r>
              <w:t xml:space="preserve"> LVL gadā. (</w:t>
            </w:r>
            <w:r>
              <w:rPr>
                <w:color w:val="000000"/>
              </w:rPr>
              <w:t>1 237 995*0,702804=870 067 LVL)</w:t>
            </w:r>
          </w:p>
          <w:p w:rsidR="00ED125E" w:rsidRDefault="00ED125E" w:rsidP="00ED125E">
            <w:pPr>
              <w:jc w:val="both"/>
            </w:pPr>
            <w:r>
              <w:t xml:space="preserve">Lai nodrošinātu Izglītības un zinātnes ministrijas papildus funkcijas izpildi, kas saistīts ar kosmosa politikas īstenošanu un uzsāktās sadarbības nodrošināšanu ar EKA uz laiku ir nepieciešams izveidot 2 </w:t>
            </w:r>
            <w:r>
              <w:lastRenderedPageBreak/>
              <w:t xml:space="preserve">jaunas darbinieku štata vietas. To paredzamās izmaksas ir šādas: 2013.gadā 1084 (alga divām štata vietām mēnesī, 4.kvalifikācijas pakāpe, 9.algu grupa) X12 (mēnešu skaits) = </w:t>
            </w:r>
            <w:r w:rsidRPr="00AA7D15">
              <w:rPr>
                <w:b/>
              </w:rPr>
              <w:t>13 008</w:t>
            </w:r>
            <w:r>
              <w:t xml:space="preserve"> LVL. Divu darbinieka vietu tehniskais nodrošinājums sastāda: </w:t>
            </w:r>
            <w:r w:rsidRPr="00AA7D15">
              <w:t xml:space="preserve">916 </w:t>
            </w:r>
            <w:r>
              <w:t>LVL (darba telpas iekārtošana un datortehnikas nodrošināšana) X2=</w:t>
            </w:r>
            <w:r w:rsidRPr="00AA7D15">
              <w:rPr>
                <w:b/>
              </w:rPr>
              <w:t>1832</w:t>
            </w:r>
            <w:r>
              <w:t xml:space="preserve"> LVL. Sākot no 2014.gada divu darbinieku algošanai paredzēts </w:t>
            </w:r>
            <w:r w:rsidRPr="00AA7D15">
              <w:rPr>
                <w:b/>
              </w:rPr>
              <w:t>13 008</w:t>
            </w:r>
            <w:r>
              <w:t xml:space="preserve"> LVL gadā. </w:t>
            </w:r>
          </w:p>
          <w:p w:rsidR="00ED125E" w:rsidRDefault="00ED125E" w:rsidP="00ED125E">
            <w:pPr>
              <w:spacing w:before="100" w:beforeAutospacing="1" w:after="100" w:afterAutospacing="1"/>
              <w:rPr>
                <w:rFonts w:eastAsia="Times New Roman"/>
                <w:szCs w:val="24"/>
                <w:lang w:eastAsia="lv-LV"/>
              </w:rPr>
            </w:pPr>
            <w:r>
              <w:t>Divu darba vietu iekārtošanas izmaksas minimālā summa sastāda 1832 LVL, no kuriem  darba telpas iekārtošanas sastāda 296 LVL (Biroja plaukts 60 LVL, rakstāmgalds 90 LVL, atvilkņu lāde un darba krēsls 85 LVL, drēbju pakaramais un apmeklētāju krēsls 29 LVL, tālrunis un galda lampa 32 LVL) X2=592 un datortehnika, un programmatūra 620 LVL (Dators un monitors 400 LVL, printeris 100 LVL, programmatūra 100 LVL, tīkla nodrošinājums 20 LVL) X2=1240.</w:t>
            </w:r>
          </w:p>
          <w:p w:rsidR="00EE7C0C" w:rsidRPr="00EE7C0C" w:rsidRDefault="00ED125E" w:rsidP="00EE7C0C">
            <w:pPr>
              <w:spacing w:before="100" w:beforeAutospacing="1" w:after="100" w:afterAutospacing="1"/>
              <w:rPr>
                <w:rFonts w:eastAsia="Times New Roman"/>
                <w:szCs w:val="24"/>
                <w:lang w:eastAsia="lv-LV"/>
              </w:rPr>
            </w:pPr>
            <w:r>
              <w:rPr>
                <w:rFonts w:eastAsia="Times New Roman"/>
                <w:szCs w:val="24"/>
                <w:lang w:eastAsia="lv-LV"/>
              </w:rPr>
              <w:t xml:space="preserve"> </w:t>
            </w:r>
          </w:p>
        </w:tc>
      </w:tr>
      <w:tr w:rsidR="00EE7C0C" w:rsidRPr="00EE7C0C" w:rsidTr="00EE7C0C">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E7C0C">
            <w:pPr>
              <w:spacing w:before="100" w:beforeAutospacing="1" w:after="100" w:afterAutospacing="1" w:line="60" w:lineRule="atLeast"/>
              <w:rPr>
                <w:rFonts w:eastAsia="Times New Roman"/>
                <w:szCs w:val="24"/>
                <w:lang w:eastAsia="lv-LV"/>
              </w:rPr>
            </w:pPr>
            <w:r w:rsidRPr="00EE7C0C">
              <w:rPr>
                <w:rFonts w:eastAsia="Times New Roman"/>
                <w:szCs w:val="24"/>
                <w:lang w:eastAsia="lv-LV"/>
              </w:rPr>
              <w:lastRenderedPageBreak/>
              <w:t>Cita informācija</w:t>
            </w:r>
          </w:p>
        </w:tc>
        <w:tc>
          <w:tcPr>
            <w:tcW w:w="1850" w:type="pct"/>
            <w:gridSpan w:val="3"/>
            <w:tcBorders>
              <w:top w:val="single" w:sz="6" w:space="0" w:color="000000"/>
              <w:left w:val="single" w:sz="6" w:space="0" w:color="000000"/>
              <w:bottom w:val="single" w:sz="6" w:space="0" w:color="000000"/>
              <w:right w:val="single" w:sz="6" w:space="0" w:color="000000"/>
            </w:tcBorders>
            <w:hideMark/>
          </w:tcPr>
          <w:p w:rsidR="00EE7C0C" w:rsidRPr="00ED125E" w:rsidRDefault="00EE7C0C" w:rsidP="00ED125E">
            <w:pPr>
              <w:jc w:val="both"/>
            </w:pPr>
            <w:r w:rsidRPr="00EE7C0C">
              <w:rPr>
                <w:rFonts w:eastAsia="Times New Roman"/>
                <w:szCs w:val="24"/>
                <w:lang w:eastAsia="lv-LV"/>
              </w:rPr>
              <w:t>  </w:t>
            </w:r>
            <w:r w:rsidR="00ED125E">
              <w:t xml:space="preserve"> Lēmumu par papildus valsts budžeta līdzekļu piešķiršanu Latvijas dalībai Eiropas kosmosa aģentūras Eiropas S</w:t>
            </w:r>
            <w:r w:rsidR="00ED125E" w:rsidRPr="00045FAF">
              <w:t>adarbības valsts</w:t>
            </w:r>
            <w:r w:rsidR="00ED125E">
              <w:t xml:space="preserve"> statusā tiks pieņemts atsevišķi Ministru kabinetā sagatavojot valsts budžetu 2013.gadam.</w:t>
            </w:r>
          </w:p>
        </w:tc>
      </w:tr>
      <w:tr w:rsidR="00EE7C0C" w:rsidRPr="00EE7C0C" w:rsidTr="00EE7C0C">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EE7C0C" w:rsidRPr="00EE7C0C" w:rsidRDefault="00EE7C0C" w:rsidP="00ED125E">
            <w:pPr>
              <w:spacing w:before="100" w:beforeAutospacing="1" w:after="100" w:afterAutospacing="1" w:line="60" w:lineRule="atLeast"/>
              <w:rPr>
                <w:rFonts w:eastAsia="Times New Roman"/>
                <w:szCs w:val="24"/>
                <w:lang w:eastAsia="lv-LV"/>
              </w:rPr>
            </w:pPr>
            <w:r w:rsidRPr="00EE7C0C">
              <w:rPr>
                <w:rFonts w:eastAsia="Times New Roman"/>
                <w:szCs w:val="24"/>
                <w:lang w:eastAsia="lv-LV"/>
              </w:rPr>
              <w:t xml:space="preserve">Izmaiņas budžeta izdevumos no </w:t>
            </w:r>
            <w:r w:rsidR="00ED125E">
              <w:rPr>
                <w:rFonts w:eastAsia="Times New Roman"/>
                <w:szCs w:val="24"/>
                <w:lang w:eastAsia="lv-LV"/>
              </w:rPr>
              <w:t>2015</w:t>
            </w:r>
            <w:r w:rsidRPr="00EE7C0C">
              <w:rPr>
                <w:rFonts w:eastAsia="Times New Roman"/>
                <w:szCs w:val="24"/>
                <w:lang w:eastAsia="lv-LV"/>
              </w:rPr>
              <w:t xml:space="preserve"> līdz </w:t>
            </w:r>
            <w:r w:rsidR="00ED125E">
              <w:rPr>
                <w:rFonts w:eastAsia="Times New Roman"/>
                <w:szCs w:val="24"/>
                <w:lang w:eastAsia="lv-LV"/>
              </w:rPr>
              <w:t>2017</w:t>
            </w:r>
            <w:r w:rsidRPr="00EE7C0C">
              <w:rPr>
                <w:rFonts w:eastAsia="Times New Roman"/>
                <w:szCs w:val="24"/>
                <w:lang w:eastAsia="lv-LV"/>
              </w:rPr>
              <w:t xml:space="preserve"> gadiem</w:t>
            </w:r>
          </w:p>
        </w:tc>
        <w:tc>
          <w:tcPr>
            <w:tcW w:w="600" w:type="pct"/>
            <w:tcBorders>
              <w:top w:val="single" w:sz="6" w:space="0" w:color="000000"/>
              <w:left w:val="single" w:sz="6" w:space="0" w:color="000000"/>
              <w:bottom w:val="single" w:sz="6" w:space="0" w:color="000000"/>
              <w:right w:val="single" w:sz="6" w:space="0" w:color="000000"/>
            </w:tcBorders>
            <w:hideMark/>
          </w:tcPr>
          <w:p w:rsidR="00ED125E" w:rsidRDefault="00ED125E" w:rsidP="00ED125E">
            <w:pPr>
              <w:spacing w:line="60" w:lineRule="atLeast"/>
              <w:jc w:val="center"/>
            </w:pPr>
          </w:p>
          <w:p w:rsidR="00EE7C0C" w:rsidRPr="00EE7C0C" w:rsidRDefault="00ED125E" w:rsidP="00ED125E">
            <w:pPr>
              <w:spacing w:line="60" w:lineRule="atLeast"/>
              <w:jc w:val="center"/>
              <w:rPr>
                <w:rFonts w:eastAsia="Times New Roman"/>
                <w:szCs w:val="24"/>
                <w:lang w:eastAsia="lv-LV"/>
              </w:rPr>
            </w:pPr>
            <w:r>
              <w:t>883.0</w:t>
            </w:r>
          </w:p>
        </w:tc>
        <w:tc>
          <w:tcPr>
            <w:tcW w:w="600" w:type="pct"/>
            <w:tcBorders>
              <w:top w:val="single" w:sz="6" w:space="0" w:color="000000"/>
              <w:left w:val="single" w:sz="6" w:space="0" w:color="000000"/>
              <w:bottom w:val="single" w:sz="6" w:space="0" w:color="000000"/>
              <w:right w:val="single" w:sz="6" w:space="0" w:color="000000"/>
            </w:tcBorders>
            <w:vAlign w:val="bottom"/>
            <w:hideMark/>
          </w:tcPr>
          <w:p w:rsidR="00EE7C0C" w:rsidRPr="00EE7C0C" w:rsidRDefault="00ED125E" w:rsidP="00ED125E">
            <w:pPr>
              <w:spacing w:line="60" w:lineRule="atLeast"/>
              <w:jc w:val="center"/>
              <w:rPr>
                <w:rFonts w:eastAsia="Times New Roman"/>
                <w:szCs w:val="24"/>
                <w:lang w:eastAsia="lv-LV"/>
              </w:rPr>
            </w:pPr>
            <w:r>
              <w:t>883.0</w:t>
            </w:r>
          </w:p>
        </w:tc>
        <w:tc>
          <w:tcPr>
            <w:tcW w:w="650" w:type="pct"/>
            <w:tcBorders>
              <w:top w:val="single" w:sz="6" w:space="0" w:color="000000"/>
              <w:left w:val="single" w:sz="6" w:space="0" w:color="000000"/>
              <w:bottom w:val="single" w:sz="6" w:space="0" w:color="000000"/>
              <w:right w:val="single" w:sz="6" w:space="0" w:color="000000"/>
            </w:tcBorders>
            <w:vAlign w:val="bottom"/>
            <w:hideMark/>
          </w:tcPr>
          <w:p w:rsidR="00EE7C0C" w:rsidRPr="00EE7C0C" w:rsidRDefault="00ED125E" w:rsidP="00ED125E">
            <w:pPr>
              <w:spacing w:line="60" w:lineRule="atLeast"/>
              <w:jc w:val="center"/>
              <w:rPr>
                <w:rFonts w:eastAsia="Times New Roman"/>
                <w:szCs w:val="24"/>
                <w:lang w:eastAsia="lv-LV"/>
              </w:rPr>
            </w:pPr>
            <w:r>
              <w:t>883.0</w:t>
            </w:r>
          </w:p>
        </w:tc>
      </w:tr>
    </w:tbl>
    <w:p w:rsidR="00EE7C0C" w:rsidRDefault="00EE7C0C" w:rsidP="00EE7C0C"/>
    <w:p w:rsidR="00821038" w:rsidRDefault="00821038" w:rsidP="00EE7C0C">
      <w:pPr>
        <w:rPr>
          <w:b/>
          <w:sz w:val="28"/>
        </w:rPr>
      </w:pPr>
      <w:r w:rsidRPr="00821038">
        <w:rPr>
          <w:b/>
          <w:sz w:val="28"/>
        </w:rPr>
        <w:t>Esošais un papildus nepieciešamais finansējums politikas ko</w:t>
      </w:r>
      <w:r w:rsidR="008C6179">
        <w:rPr>
          <w:b/>
          <w:sz w:val="28"/>
        </w:rPr>
        <w:t>ncepcijas A varianta īstenošana</w:t>
      </w:r>
    </w:p>
    <w:p w:rsidR="008C6179" w:rsidRDefault="008C6179" w:rsidP="00EE7C0C">
      <w:pPr>
        <w:rPr>
          <w:b/>
          <w:sz w:val="28"/>
        </w:rPr>
      </w:pPr>
    </w:p>
    <w:p w:rsidR="008C6179" w:rsidRDefault="008C6179" w:rsidP="008C6179">
      <w:pPr>
        <w:pStyle w:val="Heading3"/>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52"/>
        <w:gridCol w:w="1000"/>
        <w:gridCol w:w="1000"/>
        <w:gridCol w:w="1084"/>
      </w:tblGrid>
      <w:tr w:rsidR="008C6179" w:rsidRPr="00EE7C0C" w:rsidTr="008C6179">
        <w:trPr>
          <w:trHeight w:val="450"/>
        </w:trPr>
        <w:tc>
          <w:tcPr>
            <w:tcW w:w="3150" w:type="pct"/>
            <w:vMerge w:val="restart"/>
            <w:tcBorders>
              <w:top w:val="single" w:sz="6" w:space="0" w:color="000000"/>
              <w:left w:val="single" w:sz="6" w:space="0" w:color="000000"/>
              <w:bottom w:val="single" w:sz="6" w:space="0" w:color="000000"/>
              <w:right w:val="single" w:sz="6" w:space="0" w:color="000000"/>
            </w:tcBorders>
            <w:vAlign w:val="center"/>
            <w:hideMark/>
          </w:tcPr>
          <w:p w:rsidR="008C6179" w:rsidRPr="00EE7C0C" w:rsidRDefault="008C6179" w:rsidP="00B40618">
            <w:pPr>
              <w:spacing w:line="295" w:lineRule="atLeast"/>
              <w:rPr>
                <w:rFonts w:eastAsia="Times New Roman"/>
                <w:szCs w:val="24"/>
                <w:lang w:eastAsia="lv-LV"/>
              </w:rPr>
            </w:pPr>
            <w:r w:rsidRPr="00EE7C0C">
              <w:rPr>
                <w:rFonts w:eastAsia="Times New Roman"/>
                <w:szCs w:val="24"/>
                <w:lang w:eastAsia="lv-LV"/>
              </w:rPr>
              <w:t> </w:t>
            </w:r>
          </w:p>
        </w:tc>
        <w:tc>
          <w:tcPr>
            <w:tcW w:w="1850" w:type="pct"/>
            <w:gridSpan w:val="3"/>
            <w:tcBorders>
              <w:top w:val="single" w:sz="6" w:space="0" w:color="000000"/>
              <w:left w:val="single" w:sz="6" w:space="0" w:color="000000"/>
              <w:bottom w:val="single" w:sz="6" w:space="0" w:color="000000"/>
              <w:right w:val="single" w:sz="6" w:space="0" w:color="000000"/>
            </w:tcBorders>
            <w:vAlign w:val="center"/>
            <w:hideMark/>
          </w:tcPr>
          <w:p w:rsidR="008C6179" w:rsidRPr="00EE7C0C" w:rsidRDefault="008C6179" w:rsidP="00B40618">
            <w:pPr>
              <w:spacing w:before="100" w:beforeAutospacing="1" w:after="100" w:afterAutospacing="1"/>
              <w:jc w:val="center"/>
              <w:rPr>
                <w:rFonts w:eastAsia="Times New Roman"/>
                <w:szCs w:val="24"/>
                <w:lang w:eastAsia="lv-LV"/>
              </w:rPr>
            </w:pPr>
            <w:r w:rsidRPr="00EE7C0C">
              <w:rPr>
                <w:rFonts w:eastAsia="Times New Roman"/>
                <w:szCs w:val="24"/>
                <w:lang w:eastAsia="lv-LV"/>
              </w:rPr>
              <w:t>Turpmākie trīs gadi (tūkst. latu)</w:t>
            </w:r>
          </w:p>
        </w:tc>
      </w:tr>
      <w:tr w:rsidR="008C6179" w:rsidRPr="00EE7C0C" w:rsidTr="008C6179">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6179" w:rsidRPr="00EE7C0C" w:rsidRDefault="008C6179" w:rsidP="00B40618">
            <w:pPr>
              <w:rPr>
                <w:rFonts w:eastAsia="Times New Roman"/>
                <w:szCs w:val="24"/>
                <w:lang w:eastAsia="lv-LV"/>
              </w:rPr>
            </w:pP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8C6179" w:rsidRPr="00EE7C0C" w:rsidRDefault="008C6179" w:rsidP="00B40618">
            <w:pPr>
              <w:spacing w:before="100" w:beforeAutospacing="1" w:after="100" w:afterAutospacing="1"/>
              <w:jc w:val="center"/>
              <w:rPr>
                <w:rFonts w:eastAsia="Times New Roman"/>
                <w:szCs w:val="24"/>
                <w:lang w:eastAsia="lv-LV"/>
              </w:rPr>
            </w:pPr>
            <w:r>
              <w:rPr>
                <w:rFonts w:eastAsia="Times New Roman"/>
                <w:szCs w:val="24"/>
                <w:lang w:eastAsia="lv-LV"/>
              </w:rPr>
              <w:t>2012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8C6179" w:rsidRPr="00EE7C0C" w:rsidRDefault="008C6179" w:rsidP="00B40618">
            <w:pPr>
              <w:spacing w:before="100" w:beforeAutospacing="1" w:after="100" w:afterAutospacing="1"/>
              <w:jc w:val="center"/>
              <w:rPr>
                <w:rFonts w:eastAsia="Times New Roman"/>
                <w:szCs w:val="24"/>
                <w:lang w:eastAsia="lv-LV"/>
              </w:rPr>
            </w:pPr>
            <w:r>
              <w:rPr>
                <w:rFonts w:eastAsia="Times New Roman"/>
                <w:szCs w:val="24"/>
                <w:lang w:eastAsia="lv-LV"/>
              </w:rPr>
              <w:t>2013</w:t>
            </w:r>
          </w:p>
        </w:tc>
        <w:tc>
          <w:tcPr>
            <w:tcW w:w="650" w:type="pct"/>
            <w:tcBorders>
              <w:top w:val="single" w:sz="6" w:space="0" w:color="000000"/>
              <w:left w:val="single" w:sz="6" w:space="0" w:color="000000"/>
              <w:bottom w:val="single" w:sz="6" w:space="0" w:color="000000"/>
              <w:right w:val="single" w:sz="6" w:space="0" w:color="000000"/>
            </w:tcBorders>
            <w:vAlign w:val="center"/>
            <w:hideMark/>
          </w:tcPr>
          <w:p w:rsidR="008C6179" w:rsidRPr="00EE7C0C" w:rsidRDefault="008C6179" w:rsidP="00B40618">
            <w:pPr>
              <w:spacing w:before="100" w:beforeAutospacing="1" w:after="100" w:afterAutospacing="1"/>
              <w:jc w:val="center"/>
              <w:rPr>
                <w:rFonts w:eastAsia="Times New Roman"/>
                <w:szCs w:val="24"/>
                <w:lang w:eastAsia="lv-LV"/>
              </w:rPr>
            </w:pPr>
            <w:r>
              <w:rPr>
                <w:rFonts w:eastAsia="Times New Roman"/>
                <w:szCs w:val="24"/>
                <w:lang w:eastAsia="lv-LV"/>
              </w:rPr>
              <w:t>2014</w:t>
            </w:r>
          </w:p>
        </w:tc>
      </w:tr>
      <w:tr w:rsidR="008C6179" w:rsidRPr="00EE7C0C" w:rsidTr="008C6179">
        <w:trPr>
          <w:trHeight w:val="255"/>
        </w:trPr>
        <w:tc>
          <w:tcPr>
            <w:tcW w:w="31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rPr>
                <w:rFonts w:eastAsia="Times New Roman"/>
                <w:szCs w:val="24"/>
                <w:lang w:eastAsia="lv-LV"/>
              </w:rPr>
            </w:pPr>
            <w:r w:rsidRPr="00EE7C0C">
              <w:rPr>
                <w:rFonts w:eastAsia="Times New Roman"/>
                <w:szCs w:val="24"/>
                <w:lang w:eastAsia="lv-LV"/>
              </w:rPr>
              <w:t>Kopējās izmaiņas budžeta ieņēmumos t.sk.:</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8C6179" w:rsidRPr="00EE7C0C" w:rsidRDefault="008C6179" w:rsidP="00B40618">
            <w:pPr>
              <w:spacing w:line="295"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8C6179" w:rsidRPr="00EE7C0C" w:rsidRDefault="008C6179" w:rsidP="00B40618">
            <w:pPr>
              <w:spacing w:line="295" w:lineRule="atLeast"/>
              <w:jc w:val="center"/>
              <w:rPr>
                <w:rFonts w:eastAsia="Times New Roman"/>
                <w:szCs w:val="24"/>
                <w:lang w:eastAsia="lv-LV"/>
              </w:rPr>
            </w:pPr>
            <w:r>
              <w:rPr>
                <w:rFonts w:eastAsia="Times New Roman"/>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vAlign w:val="center"/>
            <w:hideMark/>
          </w:tcPr>
          <w:p w:rsidR="008C6179" w:rsidRPr="00EE7C0C" w:rsidRDefault="008C6179" w:rsidP="00B40618">
            <w:pPr>
              <w:spacing w:line="295" w:lineRule="atLeast"/>
              <w:jc w:val="center"/>
              <w:rPr>
                <w:rFonts w:eastAsia="Times New Roman"/>
                <w:szCs w:val="24"/>
                <w:lang w:eastAsia="lv-LV"/>
              </w:rPr>
            </w:pPr>
            <w:r>
              <w:rPr>
                <w:rFonts w:eastAsia="Times New Roman"/>
                <w:szCs w:val="24"/>
                <w:lang w:eastAsia="lv-LV"/>
              </w:rPr>
              <w:t>0</w:t>
            </w:r>
          </w:p>
        </w:tc>
      </w:tr>
      <w:tr w:rsidR="008C6179" w:rsidRPr="00EE7C0C" w:rsidTr="008C6179">
        <w:trPr>
          <w:trHeight w:val="60"/>
        </w:trPr>
        <w:tc>
          <w:tcPr>
            <w:tcW w:w="3150" w:type="pct"/>
            <w:tcBorders>
              <w:top w:val="single" w:sz="6" w:space="0" w:color="000000"/>
              <w:left w:val="single" w:sz="6" w:space="0" w:color="000000"/>
              <w:bottom w:val="single" w:sz="6" w:space="0" w:color="000000"/>
              <w:right w:val="single" w:sz="6" w:space="0" w:color="000000"/>
            </w:tcBorders>
            <w:vAlign w:val="center"/>
            <w:hideMark/>
          </w:tcPr>
          <w:p w:rsidR="008C6179" w:rsidRPr="00EE7C0C" w:rsidRDefault="008C6179" w:rsidP="00B40618">
            <w:pPr>
              <w:spacing w:before="100" w:beforeAutospacing="1" w:after="100" w:afterAutospacing="1" w:line="60" w:lineRule="atLeast"/>
              <w:rPr>
                <w:rFonts w:eastAsia="Times New Roman"/>
                <w:szCs w:val="24"/>
                <w:lang w:eastAsia="lv-LV"/>
              </w:rPr>
            </w:pPr>
            <w:r w:rsidRPr="00EE7C0C">
              <w:rPr>
                <w:rFonts w:eastAsia="Times New Roman"/>
                <w:szCs w:val="24"/>
                <w:lang w:eastAsia="lv-LV"/>
              </w:rPr>
              <w:t>Izmaiņas valsts budžeta ieņēmumos</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jc w:val="center"/>
              <w:rPr>
                <w:rFonts w:eastAsia="Times New Roman"/>
                <w:szCs w:val="24"/>
                <w:lang w:eastAsia="lv-LV"/>
              </w:rPr>
            </w:pPr>
            <w:r>
              <w:rPr>
                <w:rFonts w:eastAsia="Times New Roman"/>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jc w:val="center"/>
              <w:rPr>
                <w:rFonts w:eastAsia="Times New Roman"/>
                <w:szCs w:val="24"/>
                <w:lang w:eastAsia="lv-LV"/>
              </w:rPr>
            </w:pPr>
            <w:r>
              <w:rPr>
                <w:rFonts w:eastAsia="Times New Roman"/>
                <w:szCs w:val="24"/>
                <w:lang w:eastAsia="lv-LV"/>
              </w:rPr>
              <w:t>0</w:t>
            </w:r>
          </w:p>
        </w:tc>
      </w:tr>
      <w:tr w:rsidR="008C6179" w:rsidRPr="00EE7C0C" w:rsidTr="008C6179">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rPr>
                <w:rFonts w:eastAsia="Times New Roman"/>
                <w:szCs w:val="24"/>
                <w:lang w:eastAsia="lv-LV"/>
              </w:rPr>
            </w:pPr>
            <w:r w:rsidRPr="00EE7C0C">
              <w:rPr>
                <w:rFonts w:eastAsia="Times New Roman"/>
                <w:szCs w:val="24"/>
                <w:lang w:eastAsia="lv-LV"/>
              </w:rPr>
              <w:t>Izmaiņas pašvaldību budžeta ieņēmumos</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jc w:val="center"/>
              <w:rPr>
                <w:rFonts w:eastAsia="Times New Roman"/>
                <w:szCs w:val="24"/>
                <w:lang w:eastAsia="lv-LV"/>
              </w:rPr>
            </w:pPr>
            <w:r>
              <w:rPr>
                <w:rFonts w:eastAsia="Times New Roman"/>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jc w:val="center"/>
              <w:rPr>
                <w:rFonts w:eastAsia="Times New Roman"/>
                <w:szCs w:val="24"/>
                <w:lang w:eastAsia="lv-LV"/>
              </w:rPr>
            </w:pPr>
            <w:r>
              <w:rPr>
                <w:rFonts w:eastAsia="Times New Roman"/>
                <w:szCs w:val="24"/>
                <w:lang w:eastAsia="lv-LV"/>
              </w:rPr>
              <w:t>0</w:t>
            </w:r>
          </w:p>
        </w:tc>
      </w:tr>
      <w:tr w:rsidR="008C6179" w:rsidRPr="00EE7C0C" w:rsidTr="008C6179">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rPr>
                <w:rFonts w:eastAsia="Times New Roman"/>
                <w:szCs w:val="24"/>
                <w:lang w:eastAsia="lv-LV"/>
              </w:rPr>
            </w:pPr>
            <w:r w:rsidRPr="00EE7C0C">
              <w:rPr>
                <w:rFonts w:eastAsia="Times New Roman"/>
                <w:szCs w:val="24"/>
                <w:lang w:eastAsia="lv-LV"/>
              </w:rPr>
              <w:t>Kopējās izmaiņas budžeta izdevumos t.sk.:</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291D3D" w:rsidRDefault="008C6179" w:rsidP="00B40618">
            <w:pPr>
              <w:pStyle w:val="naisf"/>
              <w:spacing w:before="0" w:after="0"/>
              <w:ind w:firstLine="0"/>
              <w:jc w:val="center"/>
            </w:pPr>
            <w:r>
              <w:t>0</w:t>
            </w:r>
          </w:p>
        </w:tc>
        <w:tc>
          <w:tcPr>
            <w:tcW w:w="650" w:type="pct"/>
            <w:tcBorders>
              <w:top w:val="single" w:sz="6" w:space="0" w:color="000000"/>
              <w:left w:val="single" w:sz="6" w:space="0" w:color="000000"/>
              <w:bottom w:val="single" w:sz="6" w:space="0" w:color="000000"/>
              <w:right w:val="single" w:sz="6" w:space="0" w:color="000000"/>
            </w:tcBorders>
            <w:hideMark/>
          </w:tcPr>
          <w:p w:rsidR="008C6179" w:rsidRPr="00291D3D" w:rsidRDefault="008C6179" w:rsidP="00B40618">
            <w:pPr>
              <w:pStyle w:val="naisf"/>
              <w:spacing w:before="0" w:after="0"/>
              <w:ind w:firstLine="0"/>
              <w:jc w:val="center"/>
            </w:pPr>
            <w:r>
              <w:t>0</w:t>
            </w:r>
          </w:p>
        </w:tc>
      </w:tr>
      <w:tr w:rsidR="008C6179" w:rsidRPr="00EE7C0C" w:rsidTr="008C6179">
        <w:trPr>
          <w:trHeight w:val="60"/>
        </w:trPr>
        <w:tc>
          <w:tcPr>
            <w:tcW w:w="3150" w:type="pct"/>
            <w:tcBorders>
              <w:top w:val="single" w:sz="6" w:space="0" w:color="000000"/>
              <w:left w:val="single" w:sz="6" w:space="0" w:color="000000"/>
              <w:bottom w:val="single" w:sz="6" w:space="0" w:color="000000"/>
              <w:right w:val="single" w:sz="6" w:space="0" w:color="000000"/>
            </w:tcBorders>
            <w:vAlign w:val="center"/>
            <w:hideMark/>
          </w:tcPr>
          <w:p w:rsidR="008C6179" w:rsidRPr="00EE7C0C" w:rsidRDefault="008C6179" w:rsidP="00B40618">
            <w:pPr>
              <w:spacing w:before="100" w:beforeAutospacing="1" w:after="100" w:afterAutospacing="1" w:line="60" w:lineRule="atLeast"/>
              <w:rPr>
                <w:rFonts w:eastAsia="Times New Roman"/>
                <w:szCs w:val="24"/>
                <w:lang w:eastAsia="lv-LV"/>
              </w:rPr>
            </w:pPr>
            <w:r w:rsidRPr="00EE7C0C">
              <w:rPr>
                <w:rFonts w:eastAsia="Times New Roman"/>
                <w:szCs w:val="24"/>
                <w:lang w:eastAsia="lv-LV"/>
              </w:rPr>
              <w:t>Izmaiņas valsts budžeta izdevumos</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291D3D" w:rsidRDefault="008C6179" w:rsidP="00B40618">
            <w:pPr>
              <w:pStyle w:val="naisf"/>
              <w:spacing w:before="0" w:after="0"/>
              <w:ind w:firstLine="0"/>
              <w:jc w:val="center"/>
            </w:pPr>
            <w:r>
              <w:t>0</w:t>
            </w:r>
          </w:p>
        </w:tc>
        <w:tc>
          <w:tcPr>
            <w:tcW w:w="650" w:type="pct"/>
            <w:tcBorders>
              <w:top w:val="single" w:sz="6" w:space="0" w:color="000000"/>
              <w:left w:val="single" w:sz="6" w:space="0" w:color="000000"/>
              <w:bottom w:val="single" w:sz="6" w:space="0" w:color="000000"/>
              <w:right w:val="single" w:sz="6" w:space="0" w:color="000000"/>
            </w:tcBorders>
            <w:hideMark/>
          </w:tcPr>
          <w:p w:rsidR="008C6179" w:rsidRPr="00291D3D" w:rsidRDefault="008C6179" w:rsidP="00B40618">
            <w:pPr>
              <w:pStyle w:val="naisf"/>
              <w:spacing w:before="0" w:after="0"/>
              <w:ind w:firstLine="0"/>
              <w:jc w:val="center"/>
            </w:pPr>
            <w:r>
              <w:t>0</w:t>
            </w:r>
          </w:p>
        </w:tc>
      </w:tr>
      <w:tr w:rsidR="008C6179" w:rsidRPr="00EE7C0C" w:rsidTr="008C6179">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rPr>
                <w:rFonts w:eastAsia="Times New Roman"/>
                <w:szCs w:val="24"/>
                <w:lang w:eastAsia="lv-LV"/>
              </w:rPr>
            </w:pPr>
            <w:r w:rsidRPr="00EE7C0C">
              <w:rPr>
                <w:rFonts w:eastAsia="Times New Roman"/>
                <w:szCs w:val="24"/>
                <w:lang w:eastAsia="lv-LV"/>
              </w:rPr>
              <w:t>Izmaiņas pašvaldību budžeta izdevumos</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line="60" w:lineRule="atLeast"/>
              <w:jc w:val="center"/>
              <w:rPr>
                <w:rFonts w:eastAsia="Times New Roman"/>
                <w:szCs w:val="24"/>
                <w:lang w:eastAsia="lv-LV"/>
              </w:rPr>
            </w:pPr>
            <w:r>
              <w:rPr>
                <w:rFonts w:eastAsia="Times New Roman"/>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line="60" w:lineRule="atLeast"/>
              <w:jc w:val="center"/>
              <w:rPr>
                <w:rFonts w:eastAsia="Times New Roman"/>
                <w:szCs w:val="24"/>
                <w:lang w:eastAsia="lv-LV"/>
              </w:rPr>
            </w:pPr>
            <w:r>
              <w:rPr>
                <w:rFonts w:eastAsia="Times New Roman"/>
                <w:szCs w:val="24"/>
                <w:lang w:eastAsia="lv-LV"/>
              </w:rPr>
              <w:t>0</w:t>
            </w:r>
          </w:p>
        </w:tc>
      </w:tr>
      <w:tr w:rsidR="008C6179" w:rsidRPr="00EE7C0C" w:rsidTr="008C6179">
        <w:trPr>
          <w:trHeight w:val="99"/>
        </w:trPr>
        <w:tc>
          <w:tcPr>
            <w:tcW w:w="31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rPr>
                <w:rFonts w:eastAsia="Times New Roman"/>
                <w:szCs w:val="24"/>
                <w:lang w:eastAsia="lv-LV"/>
              </w:rPr>
            </w:pPr>
            <w:r w:rsidRPr="00EE7C0C">
              <w:rPr>
                <w:rFonts w:eastAsia="Times New Roman"/>
                <w:szCs w:val="24"/>
                <w:lang w:eastAsia="lv-LV"/>
              </w:rPr>
              <w:t>Kopējā finansiālā ietekme:</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291D3D" w:rsidRDefault="008C6179" w:rsidP="00B40618">
            <w:pPr>
              <w:pStyle w:val="naisf"/>
              <w:spacing w:before="0" w:after="0"/>
              <w:ind w:firstLine="0"/>
              <w:jc w:val="center"/>
            </w:pPr>
            <w:r>
              <w:t>0</w:t>
            </w:r>
          </w:p>
        </w:tc>
        <w:tc>
          <w:tcPr>
            <w:tcW w:w="650" w:type="pct"/>
            <w:tcBorders>
              <w:top w:val="single" w:sz="6" w:space="0" w:color="000000"/>
              <w:left w:val="single" w:sz="6" w:space="0" w:color="000000"/>
              <w:bottom w:val="single" w:sz="6" w:space="0" w:color="000000"/>
              <w:right w:val="single" w:sz="6" w:space="0" w:color="000000"/>
            </w:tcBorders>
            <w:hideMark/>
          </w:tcPr>
          <w:p w:rsidR="008C6179" w:rsidRPr="00291D3D" w:rsidRDefault="008C6179" w:rsidP="00B40618">
            <w:pPr>
              <w:pStyle w:val="naisf"/>
              <w:spacing w:before="0" w:after="0"/>
              <w:ind w:firstLine="0"/>
              <w:jc w:val="center"/>
            </w:pPr>
            <w:r>
              <w:t>0</w:t>
            </w:r>
          </w:p>
        </w:tc>
      </w:tr>
      <w:tr w:rsidR="008C6179" w:rsidRPr="00EE7C0C" w:rsidTr="008C6179">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rPr>
                <w:rFonts w:eastAsia="Times New Roman"/>
                <w:szCs w:val="24"/>
                <w:lang w:eastAsia="lv-LV"/>
              </w:rPr>
            </w:pPr>
            <w:r w:rsidRPr="00EE7C0C">
              <w:rPr>
                <w:rFonts w:eastAsia="Times New Roman"/>
                <w:szCs w:val="24"/>
                <w:lang w:eastAsia="lv-LV"/>
              </w:rPr>
              <w:t>Finansiālā ietekme uz valsts budžetu</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line="60" w:lineRule="atLeast"/>
              <w:jc w:val="center"/>
              <w:rPr>
                <w:rFonts w:eastAsia="Times New Roman"/>
                <w:szCs w:val="24"/>
                <w:lang w:eastAsia="lv-LV"/>
              </w:rPr>
            </w:pPr>
            <w:r>
              <w:rPr>
                <w:rFonts w:eastAsia="Times New Roman"/>
                <w:szCs w:val="24"/>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8C6179" w:rsidRPr="00291D3D" w:rsidRDefault="008C6179" w:rsidP="00B40618">
            <w:pPr>
              <w:pStyle w:val="naisf"/>
              <w:spacing w:before="0" w:after="0"/>
              <w:ind w:firstLine="0"/>
              <w:jc w:val="center"/>
            </w:pPr>
            <w:r>
              <w:t>0</w:t>
            </w:r>
          </w:p>
        </w:tc>
        <w:tc>
          <w:tcPr>
            <w:tcW w:w="650" w:type="pct"/>
            <w:tcBorders>
              <w:top w:val="single" w:sz="6" w:space="0" w:color="000000"/>
              <w:left w:val="single" w:sz="6" w:space="0" w:color="000000"/>
              <w:bottom w:val="single" w:sz="6" w:space="0" w:color="000000"/>
              <w:right w:val="single" w:sz="6" w:space="0" w:color="000000"/>
            </w:tcBorders>
            <w:hideMark/>
          </w:tcPr>
          <w:p w:rsidR="008C6179" w:rsidRPr="00291D3D" w:rsidRDefault="008C6179" w:rsidP="00B40618">
            <w:pPr>
              <w:pStyle w:val="naisf"/>
              <w:spacing w:before="0" w:after="0"/>
              <w:ind w:firstLine="0"/>
              <w:jc w:val="center"/>
            </w:pPr>
            <w:r>
              <w:t>0</w:t>
            </w:r>
          </w:p>
        </w:tc>
      </w:tr>
      <w:tr w:rsidR="008C6179" w:rsidRPr="00EE7C0C" w:rsidTr="008C6179">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rPr>
                <w:rFonts w:eastAsia="Times New Roman"/>
                <w:szCs w:val="24"/>
                <w:lang w:eastAsia="lv-LV"/>
              </w:rPr>
            </w:pPr>
            <w:r w:rsidRPr="00EE7C0C">
              <w:rPr>
                <w:rFonts w:eastAsia="Times New Roman"/>
                <w:szCs w:val="24"/>
                <w:lang w:eastAsia="lv-LV"/>
              </w:rPr>
              <w:t>Finansiālā ietekme uz pašvaldību budžetu</w:t>
            </w:r>
          </w:p>
        </w:tc>
        <w:tc>
          <w:tcPr>
            <w:tcW w:w="1850" w:type="pct"/>
            <w:gridSpan w:val="3"/>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line="60" w:lineRule="atLeast"/>
              <w:jc w:val="center"/>
              <w:rPr>
                <w:rFonts w:eastAsia="Times New Roman"/>
                <w:szCs w:val="24"/>
                <w:lang w:eastAsia="lv-LV"/>
              </w:rPr>
            </w:pPr>
            <w:r>
              <w:rPr>
                <w:rFonts w:eastAsia="Times New Roman"/>
                <w:szCs w:val="24"/>
                <w:lang w:eastAsia="lv-LV"/>
              </w:rPr>
              <w:t>0</w:t>
            </w:r>
          </w:p>
        </w:tc>
      </w:tr>
      <w:tr w:rsidR="008C6179" w:rsidRPr="00EE7C0C" w:rsidTr="008C6179">
        <w:trPr>
          <w:trHeight w:val="840"/>
        </w:trPr>
        <w:tc>
          <w:tcPr>
            <w:tcW w:w="31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rPr>
                <w:rFonts w:eastAsia="Times New Roman"/>
                <w:szCs w:val="24"/>
                <w:lang w:eastAsia="lv-LV"/>
              </w:rPr>
            </w:pPr>
            <w:r w:rsidRPr="00EE7C0C">
              <w:rPr>
                <w:rFonts w:eastAsia="Times New Roman"/>
                <w:szCs w:val="24"/>
                <w:lang w:eastAsia="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50" w:type="pct"/>
            <w:gridSpan w:val="3"/>
            <w:tcBorders>
              <w:top w:val="single" w:sz="6" w:space="0" w:color="000000"/>
              <w:left w:val="single" w:sz="6" w:space="0" w:color="000000"/>
              <w:bottom w:val="single" w:sz="6" w:space="0" w:color="000000"/>
              <w:right w:val="single" w:sz="6" w:space="0" w:color="000000"/>
            </w:tcBorders>
            <w:hideMark/>
          </w:tcPr>
          <w:p w:rsidR="008C6179" w:rsidRDefault="008C6179" w:rsidP="008C6179">
            <w:pPr>
              <w:spacing w:before="100" w:beforeAutospacing="1" w:after="100" w:afterAutospacing="1"/>
            </w:pPr>
            <w:r w:rsidRPr="00EE7C0C">
              <w:rPr>
                <w:rFonts w:eastAsia="Times New Roman"/>
                <w:szCs w:val="24"/>
                <w:lang w:eastAsia="lv-LV"/>
              </w:rPr>
              <w:t> </w:t>
            </w:r>
          </w:p>
          <w:p w:rsidR="008C6179" w:rsidRPr="00EE7C0C" w:rsidRDefault="008C6179" w:rsidP="008C6179">
            <w:pPr>
              <w:jc w:val="both"/>
              <w:rPr>
                <w:rFonts w:eastAsia="Times New Roman"/>
                <w:szCs w:val="24"/>
                <w:lang w:eastAsia="lv-LV"/>
              </w:rPr>
            </w:pPr>
          </w:p>
        </w:tc>
      </w:tr>
      <w:tr w:rsidR="008C6179" w:rsidRPr="00EE7C0C" w:rsidTr="008C6179">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rPr>
                <w:rFonts w:eastAsia="Times New Roman"/>
                <w:szCs w:val="24"/>
                <w:lang w:eastAsia="lv-LV"/>
              </w:rPr>
            </w:pPr>
            <w:r w:rsidRPr="00EE7C0C">
              <w:rPr>
                <w:rFonts w:eastAsia="Times New Roman"/>
                <w:szCs w:val="24"/>
                <w:lang w:eastAsia="lv-LV"/>
              </w:rPr>
              <w:t>Cita informācija</w:t>
            </w:r>
          </w:p>
        </w:tc>
        <w:tc>
          <w:tcPr>
            <w:tcW w:w="1850" w:type="pct"/>
            <w:gridSpan w:val="3"/>
            <w:tcBorders>
              <w:top w:val="single" w:sz="6" w:space="0" w:color="000000"/>
              <w:left w:val="single" w:sz="6" w:space="0" w:color="000000"/>
              <w:bottom w:val="single" w:sz="6" w:space="0" w:color="000000"/>
              <w:right w:val="single" w:sz="6" w:space="0" w:color="000000"/>
            </w:tcBorders>
            <w:hideMark/>
          </w:tcPr>
          <w:p w:rsidR="008C6179" w:rsidRPr="00ED125E" w:rsidRDefault="008C6179" w:rsidP="00B40618">
            <w:pPr>
              <w:jc w:val="both"/>
            </w:pPr>
          </w:p>
        </w:tc>
      </w:tr>
      <w:tr w:rsidR="008C6179" w:rsidRPr="00EE7C0C" w:rsidTr="008C6179">
        <w:trPr>
          <w:trHeight w:val="60"/>
        </w:trPr>
        <w:tc>
          <w:tcPr>
            <w:tcW w:w="3150" w:type="pct"/>
            <w:tcBorders>
              <w:top w:val="single" w:sz="6" w:space="0" w:color="000000"/>
              <w:left w:val="single" w:sz="6" w:space="0" w:color="000000"/>
              <w:bottom w:val="single" w:sz="6" w:space="0" w:color="000000"/>
              <w:right w:val="single" w:sz="6" w:space="0" w:color="000000"/>
            </w:tcBorders>
            <w:hideMark/>
          </w:tcPr>
          <w:p w:rsidR="008C6179" w:rsidRPr="00EE7C0C" w:rsidRDefault="008C6179" w:rsidP="00B40618">
            <w:pPr>
              <w:spacing w:before="100" w:beforeAutospacing="1" w:after="100" w:afterAutospacing="1" w:line="60" w:lineRule="atLeast"/>
              <w:rPr>
                <w:rFonts w:eastAsia="Times New Roman"/>
                <w:szCs w:val="24"/>
                <w:lang w:eastAsia="lv-LV"/>
              </w:rPr>
            </w:pPr>
            <w:r w:rsidRPr="00EE7C0C">
              <w:rPr>
                <w:rFonts w:eastAsia="Times New Roman"/>
                <w:szCs w:val="24"/>
                <w:lang w:eastAsia="lv-LV"/>
              </w:rPr>
              <w:t xml:space="preserve">Izmaiņas budžeta izdevumos no </w:t>
            </w:r>
            <w:r>
              <w:rPr>
                <w:rFonts w:eastAsia="Times New Roman"/>
                <w:szCs w:val="24"/>
                <w:lang w:eastAsia="lv-LV"/>
              </w:rPr>
              <w:t>2015</w:t>
            </w:r>
            <w:r w:rsidRPr="00EE7C0C">
              <w:rPr>
                <w:rFonts w:eastAsia="Times New Roman"/>
                <w:szCs w:val="24"/>
                <w:lang w:eastAsia="lv-LV"/>
              </w:rPr>
              <w:t xml:space="preserve"> līdz </w:t>
            </w:r>
            <w:r>
              <w:rPr>
                <w:rFonts w:eastAsia="Times New Roman"/>
                <w:szCs w:val="24"/>
                <w:lang w:eastAsia="lv-LV"/>
              </w:rPr>
              <w:t>2017</w:t>
            </w:r>
            <w:r w:rsidRPr="00EE7C0C">
              <w:rPr>
                <w:rFonts w:eastAsia="Times New Roman"/>
                <w:szCs w:val="24"/>
                <w:lang w:eastAsia="lv-LV"/>
              </w:rPr>
              <w:t xml:space="preserve"> gadiem</w:t>
            </w:r>
          </w:p>
        </w:tc>
        <w:tc>
          <w:tcPr>
            <w:tcW w:w="600" w:type="pct"/>
            <w:tcBorders>
              <w:top w:val="single" w:sz="6" w:space="0" w:color="000000"/>
              <w:left w:val="single" w:sz="6" w:space="0" w:color="000000"/>
              <w:bottom w:val="single" w:sz="6" w:space="0" w:color="000000"/>
              <w:right w:val="single" w:sz="6" w:space="0" w:color="000000"/>
            </w:tcBorders>
            <w:hideMark/>
          </w:tcPr>
          <w:p w:rsidR="008C6179" w:rsidRDefault="008C6179" w:rsidP="00B40618">
            <w:pPr>
              <w:spacing w:line="60" w:lineRule="atLeast"/>
              <w:jc w:val="center"/>
            </w:pPr>
          </w:p>
          <w:p w:rsidR="008C6179" w:rsidRPr="00EE7C0C" w:rsidRDefault="008C6179" w:rsidP="00B40618">
            <w:pPr>
              <w:spacing w:line="60" w:lineRule="atLeast"/>
              <w:jc w:val="center"/>
              <w:rPr>
                <w:rFonts w:eastAsia="Times New Roman"/>
                <w:szCs w:val="24"/>
                <w:lang w:eastAsia="lv-LV"/>
              </w:rPr>
            </w:pPr>
            <w:r>
              <w:t>0</w:t>
            </w:r>
          </w:p>
        </w:tc>
        <w:tc>
          <w:tcPr>
            <w:tcW w:w="600" w:type="pct"/>
            <w:tcBorders>
              <w:top w:val="single" w:sz="6" w:space="0" w:color="000000"/>
              <w:left w:val="single" w:sz="6" w:space="0" w:color="000000"/>
              <w:bottom w:val="single" w:sz="6" w:space="0" w:color="000000"/>
              <w:right w:val="single" w:sz="6" w:space="0" w:color="000000"/>
            </w:tcBorders>
            <w:vAlign w:val="bottom"/>
            <w:hideMark/>
          </w:tcPr>
          <w:p w:rsidR="008C6179" w:rsidRPr="00EE7C0C" w:rsidRDefault="008C6179" w:rsidP="00B40618">
            <w:pPr>
              <w:spacing w:line="60" w:lineRule="atLeast"/>
              <w:jc w:val="center"/>
              <w:rPr>
                <w:rFonts w:eastAsia="Times New Roman"/>
                <w:szCs w:val="24"/>
                <w:lang w:eastAsia="lv-LV"/>
              </w:rPr>
            </w:pPr>
            <w:r>
              <w:t>0</w:t>
            </w:r>
          </w:p>
        </w:tc>
        <w:tc>
          <w:tcPr>
            <w:tcW w:w="650" w:type="pct"/>
            <w:tcBorders>
              <w:top w:val="single" w:sz="6" w:space="0" w:color="000000"/>
              <w:left w:val="single" w:sz="6" w:space="0" w:color="000000"/>
              <w:bottom w:val="single" w:sz="6" w:space="0" w:color="000000"/>
              <w:right w:val="single" w:sz="6" w:space="0" w:color="000000"/>
            </w:tcBorders>
            <w:vAlign w:val="bottom"/>
            <w:hideMark/>
          </w:tcPr>
          <w:p w:rsidR="008C6179" w:rsidRPr="00EE7C0C" w:rsidRDefault="008C6179" w:rsidP="00B40618">
            <w:pPr>
              <w:spacing w:line="60" w:lineRule="atLeast"/>
              <w:jc w:val="center"/>
              <w:rPr>
                <w:rFonts w:eastAsia="Times New Roman"/>
                <w:szCs w:val="24"/>
                <w:lang w:eastAsia="lv-LV"/>
              </w:rPr>
            </w:pPr>
            <w:r>
              <w:t>0</w:t>
            </w:r>
          </w:p>
        </w:tc>
      </w:tr>
    </w:tbl>
    <w:p w:rsidR="00821038" w:rsidRPr="00821038" w:rsidRDefault="00821038" w:rsidP="00EE7C0C">
      <w:pPr>
        <w:rPr>
          <w:b/>
          <w:sz w:val="28"/>
        </w:rPr>
      </w:pPr>
    </w:p>
    <w:p w:rsidR="00DB75F4" w:rsidRPr="00DB75F4" w:rsidRDefault="001D26BC" w:rsidP="008C6179">
      <w:pPr>
        <w:autoSpaceDE w:val="0"/>
        <w:autoSpaceDN w:val="0"/>
        <w:adjustRightInd w:val="0"/>
        <w:spacing w:before="240"/>
        <w:ind w:firstLine="720"/>
        <w:jc w:val="both"/>
        <w:rPr>
          <w:color w:val="000000"/>
          <w:sz w:val="28"/>
          <w:lang w:eastAsia="lv-LV"/>
        </w:rPr>
      </w:pPr>
      <w:r w:rsidRPr="009A4084">
        <w:rPr>
          <w:sz w:val="28"/>
        </w:rPr>
        <w:t xml:space="preserve">Tā kā līdz šim no valsts budžeta kosmosa politikas īstenošanai finansējums nav piešķirts, taču atbalstāmais rīcības variants paredz no 2013.gada otrā ceturkšņa uzsākt inovatīvo PECS projektu realizāciju EKA ietvaros plānot papildus nepieciešamo finansējumu </w:t>
      </w:r>
      <w:r w:rsidR="00F470AD" w:rsidRPr="007D7D4A">
        <w:rPr>
          <w:b/>
        </w:rPr>
        <w:t>884.9</w:t>
      </w:r>
      <w:r w:rsidR="00F470AD">
        <w:t xml:space="preserve"> </w:t>
      </w:r>
      <w:r>
        <w:rPr>
          <w:b/>
          <w:bCs/>
          <w:sz w:val="28"/>
        </w:rPr>
        <w:t xml:space="preserve">tūkst. LVL </w:t>
      </w:r>
      <w:r w:rsidR="007D7D4A">
        <w:rPr>
          <w:sz w:val="28"/>
        </w:rPr>
        <w:t xml:space="preserve">apmērā </w:t>
      </w:r>
      <w:r w:rsidR="00615F5F">
        <w:rPr>
          <w:bCs/>
          <w:sz w:val="28"/>
        </w:rPr>
        <w:t>k</w:t>
      </w:r>
      <w:r w:rsidR="00615F5F" w:rsidRPr="007D7D4A">
        <w:rPr>
          <w:bCs/>
          <w:sz w:val="28"/>
        </w:rPr>
        <w:t>atru gadu</w:t>
      </w:r>
      <w:r w:rsidRPr="009A4084">
        <w:rPr>
          <w:sz w:val="28"/>
        </w:rPr>
        <w:t xml:space="preserve"> no 2013.gada</w:t>
      </w:r>
      <w:r>
        <w:rPr>
          <w:sz w:val="28"/>
        </w:rPr>
        <w:t xml:space="preserve"> līdz 2018.gadam.</w:t>
      </w:r>
      <w:r w:rsidR="00DB75F4">
        <w:rPr>
          <w:sz w:val="28"/>
        </w:rPr>
        <w:t xml:space="preserve"> </w:t>
      </w:r>
      <w:r w:rsidR="00DB75F4" w:rsidRPr="00DB75F4">
        <w:rPr>
          <w:color w:val="000000"/>
          <w:sz w:val="28"/>
          <w:lang w:eastAsia="lv-LV"/>
        </w:rPr>
        <w:t xml:space="preserve">Jautājums par papildu finansējumu </w:t>
      </w:r>
      <w:r w:rsidR="00DB75F4">
        <w:rPr>
          <w:color w:val="000000"/>
          <w:sz w:val="28"/>
          <w:lang w:eastAsia="lv-LV"/>
        </w:rPr>
        <w:t>PECS projektu realizācijai tiks izskatīts</w:t>
      </w:r>
      <w:r w:rsidR="00DB75F4" w:rsidRPr="00DB75F4">
        <w:rPr>
          <w:color w:val="000000"/>
          <w:sz w:val="28"/>
          <w:lang w:eastAsia="lv-LV"/>
        </w:rPr>
        <w:t xml:space="preserve"> Ministru kabinetā 2013.gada valsts budžeta likumprojekta izstrādes gaitā</w:t>
      </w:r>
      <w:r w:rsidR="00DB75F4">
        <w:rPr>
          <w:color w:val="000000"/>
          <w:sz w:val="28"/>
          <w:lang w:eastAsia="lv-LV"/>
        </w:rPr>
        <w:t>. Vēršam uzmanību, ka Izglītības un zinātnes ministrija ir izstrādājusi likumprojektu</w:t>
      </w:r>
      <w:r w:rsidR="00DB75F4" w:rsidRPr="00B07183">
        <w:rPr>
          <w:b/>
        </w:rPr>
        <w:t xml:space="preserve"> </w:t>
      </w:r>
      <w:r w:rsidR="00DB75F4" w:rsidRPr="00DB75F4">
        <w:rPr>
          <w:color w:val="000000"/>
          <w:spacing w:val="15"/>
          <w:sz w:val="28"/>
        </w:rPr>
        <w:t>„</w:t>
      </w:r>
      <w:r w:rsidR="00DB75F4" w:rsidRPr="00DB75F4">
        <w:rPr>
          <w:color w:val="000000"/>
          <w:sz w:val="28"/>
        </w:rPr>
        <w:t xml:space="preserve">Par </w:t>
      </w:r>
      <w:r w:rsidR="00DB75F4" w:rsidRPr="00DB75F4">
        <w:rPr>
          <w:sz w:val="28"/>
        </w:rPr>
        <w:t>Latvijas Republikas un Eiropas Kosmosa aģentūras Eiropas sadarbības valsts līgumu” (VSS-619), kur</w:t>
      </w:r>
      <w:r w:rsidR="00DB75F4">
        <w:rPr>
          <w:sz w:val="28"/>
        </w:rPr>
        <w:t>š noteiktā</w:t>
      </w:r>
      <w:r w:rsidR="00DB75F4" w:rsidRPr="00DB75F4">
        <w:rPr>
          <w:sz w:val="28"/>
        </w:rPr>
        <w:t xml:space="preserve"> kārtībā tiks iesniegts Ministru kabinetā</w:t>
      </w:r>
      <w:r w:rsidR="00DB75F4">
        <w:rPr>
          <w:sz w:val="28"/>
        </w:rPr>
        <w:t xml:space="preserve">. </w:t>
      </w:r>
      <w:r w:rsidR="00DB75F4" w:rsidRPr="00DB75F4">
        <w:rPr>
          <w:sz w:val="28"/>
        </w:rPr>
        <w:t xml:space="preserve"> </w:t>
      </w:r>
    </w:p>
    <w:p w:rsidR="001D26BC" w:rsidRPr="009A4084" w:rsidRDefault="001D26BC" w:rsidP="001D26BC">
      <w:pPr>
        <w:autoSpaceDE w:val="0"/>
        <w:autoSpaceDN w:val="0"/>
        <w:adjustRightInd w:val="0"/>
        <w:ind w:right="283" w:firstLine="720"/>
        <w:jc w:val="both"/>
        <w:rPr>
          <w:sz w:val="28"/>
        </w:rPr>
      </w:pPr>
    </w:p>
    <w:p w:rsidR="00204B6A" w:rsidRDefault="00204B6A"/>
    <w:p w:rsidR="001D26BC" w:rsidRDefault="001D26BC"/>
    <w:p w:rsidR="001D26BC" w:rsidRDefault="001D26BC" w:rsidP="001D26BC">
      <w:pPr>
        <w:pStyle w:val="Heading2"/>
        <w:jc w:val="center"/>
        <w:rPr>
          <w:sz w:val="36"/>
          <w:szCs w:val="36"/>
        </w:rPr>
      </w:pPr>
    </w:p>
    <w:p w:rsidR="001D26BC" w:rsidRDefault="001D26BC" w:rsidP="001D26BC">
      <w:pPr>
        <w:tabs>
          <w:tab w:val="right" w:pos="8931"/>
        </w:tabs>
        <w:rPr>
          <w:sz w:val="28"/>
        </w:rPr>
      </w:pPr>
    </w:p>
    <w:p w:rsidR="001D26BC" w:rsidRDefault="001D26BC" w:rsidP="001D26BC">
      <w:pPr>
        <w:tabs>
          <w:tab w:val="right" w:pos="8931"/>
        </w:tabs>
        <w:rPr>
          <w:sz w:val="28"/>
        </w:rPr>
      </w:pPr>
      <w:r>
        <w:rPr>
          <w:sz w:val="28"/>
        </w:rPr>
        <w:t>Izglītības un zinātnes ministrs</w:t>
      </w:r>
      <w:r>
        <w:rPr>
          <w:sz w:val="28"/>
        </w:rPr>
        <w:tab/>
      </w:r>
      <w:proofErr w:type="spellStart"/>
      <w:r>
        <w:rPr>
          <w:sz w:val="28"/>
        </w:rPr>
        <w:t>R.Broks</w:t>
      </w:r>
      <w:proofErr w:type="spellEnd"/>
      <w:r>
        <w:rPr>
          <w:sz w:val="28"/>
        </w:rPr>
        <w:t xml:space="preserve"> </w:t>
      </w:r>
    </w:p>
    <w:p w:rsidR="001D26BC" w:rsidRPr="00CB55A1" w:rsidRDefault="001D26BC" w:rsidP="001D26BC">
      <w:pPr>
        <w:rPr>
          <w:sz w:val="18"/>
        </w:rPr>
      </w:pPr>
    </w:p>
    <w:p w:rsidR="001D26BC" w:rsidRPr="00CB55A1" w:rsidRDefault="001D26BC" w:rsidP="001D26BC">
      <w:pPr>
        <w:rPr>
          <w:sz w:val="18"/>
        </w:rPr>
      </w:pPr>
    </w:p>
    <w:p w:rsidR="001D26BC" w:rsidRDefault="001D26BC" w:rsidP="001D26BC">
      <w:pPr>
        <w:tabs>
          <w:tab w:val="right" w:pos="9072"/>
        </w:tabs>
        <w:jc w:val="both"/>
        <w:rPr>
          <w:sz w:val="28"/>
        </w:rPr>
      </w:pPr>
      <w:r>
        <w:rPr>
          <w:sz w:val="28"/>
        </w:rPr>
        <w:t>Vīza: Valsts sekretārs –</w:t>
      </w:r>
      <w:r>
        <w:rPr>
          <w:sz w:val="28"/>
        </w:rPr>
        <w:tab/>
      </w:r>
      <w:proofErr w:type="spellStart"/>
      <w:r>
        <w:rPr>
          <w:sz w:val="28"/>
        </w:rPr>
        <w:t>M.Gruškevics</w:t>
      </w:r>
      <w:proofErr w:type="spellEnd"/>
      <w:r>
        <w:rPr>
          <w:sz w:val="28"/>
        </w:rPr>
        <w:t xml:space="preserve"> </w:t>
      </w:r>
    </w:p>
    <w:p w:rsidR="001D26BC" w:rsidRDefault="001D26BC" w:rsidP="001D26BC">
      <w:pPr>
        <w:pStyle w:val="Subtitle"/>
        <w:widowControl/>
        <w:spacing w:before="0" w:after="0"/>
        <w:rPr>
          <w:b w:val="0"/>
          <w:sz w:val="20"/>
          <w:lang w:val="lv-LV"/>
        </w:rPr>
      </w:pPr>
    </w:p>
    <w:p w:rsidR="001D26BC" w:rsidRPr="001E2ACC" w:rsidRDefault="001D26BC" w:rsidP="001D26BC">
      <w:pPr>
        <w:pStyle w:val="Subtitle"/>
        <w:widowControl/>
        <w:spacing w:before="0" w:after="0"/>
        <w:rPr>
          <w:b w:val="0"/>
          <w:sz w:val="20"/>
          <w:lang w:val="lv-LV"/>
        </w:rPr>
      </w:pPr>
    </w:p>
    <w:p w:rsidR="001D26BC" w:rsidRPr="001E2ACC" w:rsidRDefault="000208D4" w:rsidP="001D26BC">
      <w:pPr>
        <w:pStyle w:val="Subtitle"/>
        <w:widowControl/>
        <w:spacing w:before="0" w:after="0"/>
        <w:rPr>
          <w:b w:val="0"/>
          <w:sz w:val="20"/>
          <w:lang w:val="lv-LV"/>
        </w:rPr>
      </w:pPr>
      <w:r>
        <w:rPr>
          <w:b w:val="0"/>
          <w:sz w:val="20"/>
          <w:lang w:val="lv-LV"/>
        </w:rPr>
        <w:t>20</w:t>
      </w:r>
      <w:r w:rsidR="001D26BC">
        <w:rPr>
          <w:b w:val="0"/>
          <w:sz w:val="20"/>
          <w:lang w:val="lv-LV"/>
        </w:rPr>
        <w:t>.09</w:t>
      </w:r>
      <w:r w:rsidR="001D26BC" w:rsidRPr="001E2ACC">
        <w:rPr>
          <w:b w:val="0"/>
          <w:sz w:val="20"/>
          <w:lang w:val="lv-LV"/>
        </w:rPr>
        <w:t>.201</w:t>
      </w:r>
      <w:r w:rsidR="001D26BC">
        <w:rPr>
          <w:b w:val="0"/>
          <w:sz w:val="20"/>
          <w:lang w:val="lv-LV"/>
        </w:rPr>
        <w:t>1</w:t>
      </w:r>
      <w:r w:rsidR="001D26BC" w:rsidRPr="001E2ACC">
        <w:rPr>
          <w:b w:val="0"/>
          <w:sz w:val="20"/>
          <w:lang w:val="lv-LV"/>
        </w:rPr>
        <w:t>. 10:15</w:t>
      </w:r>
    </w:p>
    <w:p w:rsidR="001D26BC" w:rsidRDefault="00615F5F" w:rsidP="001D26BC">
      <w:pPr>
        <w:pStyle w:val="Subtitle"/>
        <w:widowControl/>
        <w:spacing w:before="0" w:after="0"/>
        <w:rPr>
          <w:b w:val="0"/>
          <w:sz w:val="20"/>
          <w:lang w:val="lv-LV"/>
        </w:rPr>
      </w:pPr>
      <w:r>
        <w:rPr>
          <w:b w:val="0"/>
          <w:sz w:val="20"/>
          <w:lang w:val="lv-LV"/>
        </w:rPr>
        <w:t>16</w:t>
      </w:r>
      <w:r w:rsidR="000208D4">
        <w:rPr>
          <w:b w:val="0"/>
          <w:sz w:val="20"/>
          <w:lang w:val="lv-LV"/>
        </w:rPr>
        <w:t>381</w:t>
      </w:r>
      <w:r w:rsidR="001D26BC" w:rsidRPr="001E2ACC">
        <w:rPr>
          <w:b w:val="0"/>
          <w:sz w:val="20"/>
          <w:lang w:val="lv-LV"/>
        </w:rPr>
        <w:br/>
        <w:t xml:space="preserve">Kaspars </w:t>
      </w:r>
      <w:proofErr w:type="spellStart"/>
      <w:r w:rsidR="001D26BC" w:rsidRPr="001E2ACC">
        <w:rPr>
          <w:b w:val="0"/>
          <w:sz w:val="20"/>
          <w:lang w:val="lv-LV"/>
        </w:rPr>
        <w:t>Karolis</w:t>
      </w:r>
      <w:proofErr w:type="spellEnd"/>
    </w:p>
    <w:p w:rsidR="008259C1" w:rsidRPr="008259C1" w:rsidRDefault="008259C1" w:rsidP="008259C1">
      <w:pPr>
        <w:rPr>
          <w:sz w:val="20"/>
          <w:szCs w:val="20"/>
          <w:lang w:eastAsia="lv-LV"/>
        </w:rPr>
      </w:pPr>
      <w:r w:rsidRPr="008259C1">
        <w:rPr>
          <w:sz w:val="20"/>
          <w:szCs w:val="20"/>
          <w:lang w:eastAsia="lv-LV"/>
        </w:rPr>
        <w:t>67047996</w:t>
      </w:r>
    </w:p>
    <w:p w:rsidR="001D26BC" w:rsidRPr="008259C1" w:rsidRDefault="001D26BC" w:rsidP="001D26BC">
      <w:pPr>
        <w:pStyle w:val="Subtitle"/>
        <w:widowControl/>
        <w:spacing w:before="0" w:after="0"/>
        <w:rPr>
          <w:lang w:val="lv-LV"/>
        </w:rPr>
      </w:pPr>
      <w:proofErr w:type="spellStart"/>
      <w:r>
        <w:rPr>
          <w:b w:val="0"/>
          <w:sz w:val="20"/>
          <w:lang w:val="lv-LV"/>
        </w:rPr>
        <w:t>Kaspars.karolis@izm.gov.lv</w:t>
      </w:r>
      <w:proofErr w:type="spellEnd"/>
      <w:r>
        <w:rPr>
          <w:b w:val="0"/>
          <w:sz w:val="20"/>
          <w:lang w:val="lv-LV"/>
        </w:rPr>
        <w:t xml:space="preserve">, </w:t>
      </w:r>
    </w:p>
    <w:p w:rsidR="00615F5F" w:rsidRDefault="00615F5F"/>
    <w:p w:rsidR="00615F5F" w:rsidRPr="00615F5F" w:rsidRDefault="00615F5F" w:rsidP="00615F5F"/>
    <w:p w:rsidR="00615F5F" w:rsidRPr="00615F5F" w:rsidRDefault="00615F5F" w:rsidP="00615F5F"/>
    <w:p w:rsidR="00615F5F" w:rsidRPr="00615F5F" w:rsidRDefault="00615F5F" w:rsidP="00615F5F"/>
    <w:p w:rsidR="00615F5F" w:rsidRPr="00615F5F" w:rsidRDefault="00615F5F" w:rsidP="00615F5F"/>
    <w:p w:rsidR="00615F5F" w:rsidRDefault="00615F5F" w:rsidP="00615F5F"/>
    <w:p w:rsidR="001D26BC" w:rsidRPr="00615F5F" w:rsidRDefault="00615F5F" w:rsidP="00615F5F">
      <w:pPr>
        <w:tabs>
          <w:tab w:val="left" w:pos="5498"/>
        </w:tabs>
      </w:pPr>
      <w:r>
        <w:tab/>
      </w:r>
    </w:p>
    <w:sectPr w:rsidR="001D26BC" w:rsidRPr="00615F5F" w:rsidSect="001D26BC">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E00" w:rsidRDefault="00B83E00" w:rsidP="001D26BC">
      <w:r>
        <w:separator/>
      </w:r>
    </w:p>
  </w:endnote>
  <w:endnote w:type="continuationSeparator" w:id="0">
    <w:p w:rsidR="00B83E00" w:rsidRDefault="00B83E00" w:rsidP="001D2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w:panose1 w:val="02040502050505030304"/>
    <w:charset w:val="BA"/>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38" w:rsidRDefault="00821038" w:rsidP="00A1288B">
    <w:pPr>
      <w:pStyle w:val="Footer"/>
      <w:jc w:val="center"/>
    </w:pPr>
  </w:p>
  <w:p w:rsidR="00821038" w:rsidRPr="00BD6CA4" w:rsidRDefault="00821038" w:rsidP="00A1288B">
    <w:pPr>
      <w:pStyle w:val="Footer"/>
      <w:rPr>
        <w:sz w:val="20"/>
        <w:szCs w:val="20"/>
      </w:rPr>
    </w:pPr>
    <w:r>
      <w:rPr>
        <w:sz w:val="20"/>
        <w:szCs w:val="20"/>
      </w:rPr>
      <w:t>IZMKonc_200911</w:t>
    </w:r>
    <w:r w:rsidRPr="00565C35">
      <w:rPr>
        <w:sz w:val="20"/>
        <w:szCs w:val="20"/>
      </w:rPr>
      <w:t xml:space="preserve">; </w:t>
    </w:r>
    <w:r>
      <w:rPr>
        <w:sz w:val="20"/>
        <w:szCs w:val="20"/>
      </w:rPr>
      <w:t>Koncepcija</w:t>
    </w:r>
    <w:r w:rsidRPr="00565C35">
      <w:rPr>
        <w:sz w:val="20"/>
        <w:szCs w:val="20"/>
      </w:rPr>
      <w:t xml:space="preserve"> par </w:t>
    </w:r>
    <w:r>
      <w:rPr>
        <w:sz w:val="20"/>
        <w:szCs w:val="20"/>
      </w:rPr>
      <w:t>kosmosa tehnoloģiju attīstību un kosmosa politikas veidošanu</w:t>
    </w:r>
    <w:r w:rsidRPr="00565C35">
      <w:rPr>
        <w:sz w:val="20"/>
        <w:szCs w:val="20"/>
      </w:rPr>
      <w:t xml:space="preserve"> valstī</w:t>
    </w:r>
  </w:p>
  <w:p w:rsidR="00821038" w:rsidRDefault="00821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E00" w:rsidRDefault="00B83E00" w:rsidP="001D26BC">
      <w:r>
        <w:separator/>
      </w:r>
    </w:p>
  </w:footnote>
  <w:footnote w:type="continuationSeparator" w:id="0">
    <w:p w:rsidR="00B83E00" w:rsidRDefault="00B83E00" w:rsidP="001D26BC">
      <w:r>
        <w:continuationSeparator/>
      </w:r>
    </w:p>
  </w:footnote>
  <w:footnote w:id="1">
    <w:p w:rsidR="00821038" w:rsidRDefault="00821038" w:rsidP="001D26BC">
      <w:pPr>
        <w:pStyle w:val="FootnoteText"/>
      </w:pPr>
      <w:r>
        <w:rPr>
          <w:rStyle w:val="FootnoteReference"/>
        </w:rPr>
        <w:footnoteRef/>
      </w:r>
      <w:r>
        <w:t xml:space="preserve"> </w:t>
      </w:r>
      <w:proofErr w:type="spellStart"/>
      <w:r w:rsidRPr="003038D0">
        <w:rPr>
          <w:bCs/>
          <w:szCs w:val="24"/>
        </w:rPr>
        <w:t>Space</w:t>
      </w:r>
      <w:proofErr w:type="spellEnd"/>
      <w:r w:rsidRPr="003038D0">
        <w:rPr>
          <w:bCs/>
          <w:szCs w:val="24"/>
        </w:rPr>
        <w:t xml:space="preserve"> </w:t>
      </w:r>
      <w:proofErr w:type="spellStart"/>
      <w:r w:rsidRPr="003038D0">
        <w:rPr>
          <w:bCs/>
          <w:szCs w:val="24"/>
        </w:rPr>
        <w:t>Exploration</w:t>
      </w:r>
      <w:proofErr w:type="spellEnd"/>
      <w:r w:rsidRPr="003038D0">
        <w:rPr>
          <w:bCs/>
          <w:szCs w:val="24"/>
        </w:rPr>
        <w:t xml:space="preserve">, a </w:t>
      </w:r>
      <w:proofErr w:type="spellStart"/>
      <w:r w:rsidRPr="003038D0">
        <w:rPr>
          <w:bCs/>
          <w:szCs w:val="24"/>
        </w:rPr>
        <w:t>new</w:t>
      </w:r>
      <w:proofErr w:type="spellEnd"/>
      <w:r w:rsidRPr="003038D0">
        <w:rPr>
          <w:bCs/>
          <w:szCs w:val="24"/>
        </w:rPr>
        <w:t xml:space="preserve"> </w:t>
      </w:r>
      <w:proofErr w:type="spellStart"/>
      <w:r w:rsidRPr="003038D0">
        <w:rPr>
          <w:bCs/>
          <w:szCs w:val="24"/>
        </w:rPr>
        <w:t>European</w:t>
      </w:r>
      <w:proofErr w:type="spellEnd"/>
      <w:r w:rsidRPr="003038D0">
        <w:rPr>
          <w:bCs/>
          <w:szCs w:val="24"/>
        </w:rPr>
        <w:t xml:space="preserve"> </w:t>
      </w:r>
      <w:proofErr w:type="spellStart"/>
      <w:r w:rsidRPr="003038D0">
        <w:rPr>
          <w:bCs/>
          <w:szCs w:val="24"/>
        </w:rPr>
        <w:t>flagship</w:t>
      </w:r>
      <w:proofErr w:type="spellEnd"/>
      <w:r w:rsidRPr="003038D0">
        <w:rPr>
          <w:bCs/>
          <w:szCs w:val="24"/>
        </w:rPr>
        <w:t xml:space="preserve"> </w:t>
      </w:r>
      <w:proofErr w:type="spellStart"/>
      <w:r w:rsidRPr="003038D0">
        <w:rPr>
          <w:bCs/>
          <w:szCs w:val="24"/>
        </w:rPr>
        <w:t>Programme</w:t>
      </w:r>
      <w:proofErr w:type="spellEnd"/>
      <w:r w:rsidRPr="003038D0">
        <w:rPr>
          <w:bCs/>
          <w:szCs w:val="24"/>
        </w:rPr>
        <w:t xml:space="preserve"> </w:t>
      </w:r>
      <w:proofErr w:type="spellStart"/>
      <w:r w:rsidRPr="003038D0">
        <w:rPr>
          <w:szCs w:val="24"/>
        </w:rPr>
        <w:t>Space</w:t>
      </w:r>
      <w:proofErr w:type="spellEnd"/>
      <w:r w:rsidRPr="003038D0">
        <w:rPr>
          <w:szCs w:val="24"/>
        </w:rPr>
        <w:t xml:space="preserve"> </w:t>
      </w:r>
      <w:proofErr w:type="spellStart"/>
      <w:r w:rsidRPr="003038D0">
        <w:rPr>
          <w:szCs w:val="24"/>
        </w:rPr>
        <w:t>Advisory</w:t>
      </w:r>
      <w:proofErr w:type="spellEnd"/>
      <w:r w:rsidRPr="003038D0">
        <w:rPr>
          <w:szCs w:val="24"/>
        </w:rPr>
        <w:t xml:space="preserve"> </w:t>
      </w:r>
      <w:proofErr w:type="spellStart"/>
      <w:r w:rsidRPr="003038D0">
        <w:rPr>
          <w:szCs w:val="24"/>
        </w:rPr>
        <w:t>Group</w:t>
      </w:r>
      <w:proofErr w:type="spellEnd"/>
      <w:r w:rsidRPr="003038D0">
        <w:rPr>
          <w:szCs w:val="24"/>
        </w:rPr>
        <w:t xml:space="preserve"> </w:t>
      </w:r>
      <w:proofErr w:type="spellStart"/>
      <w:r w:rsidRPr="003038D0">
        <w:rPr>
          <w:szCs w:val="24"/>
        </w:rPr>
        <w:t>of</w:t>
      </w:r>
      <w:proofErr w:type="spellEnd"/>
      <w:r w:rsidRPr="003038D0">
        <w:rPr>
          <w:szCs w:val="24"/>
        </w:rPr>
        <w:t xml:space="preserve"> </w:t>
      </w:r>
      <w:proofErr w:type="spellStart"/>
      <w:r w:rsidRPr="003038D0">
        <w:rPr>
          <w:szCs w:val="24"/>
        </w:rPr>
        <w:t>the</w:t>
      </w:r>
      <w:proofErr w:type="spellEnd"/>
      <w:r w:rsidRPr="003038D0">
        <w:rPr>
          <w:szCs w:val="24"/>
        </w:rPr>
        <w:t xml:space="preserve"> </w:t>
      </w:r>
      <w:proofErr w:type="spellStart"/>
      <w:r w:rsidRPr="003038D0">
        <w:rPr>
          <w:szCs w:val="24"/>
        </w:rPr>
        <w:t>European</w:t>
      </w:r>
      <w:proofErr w:type="spellEnd"/>
      <w:r w:rsidRPr="003038D0">
        <w:rPr>
          <w:szCs w:val="24"/>
        </w:rPr>
        <w:t xml:space="preserve"> </w:t>
      </w:r>
      <w:proofErr w:type="spellStart"/>
      <w:r w:rsidRPr="003038D0">
        <w:rPr>
          <w:szCs w:val="24"/>
        </w:rPr>
        <w:t>Commission</w:t>
      </w:r>
      <w:proofErr w:type="spellEnd"/>
      <w:r w:rsidRPr="003038D0">
        <w:rPr>
          <w:szCs w:val="24"/>
        </w:rPr>
        <w:t xml:space="preserve">, </w:t>
      </w:r>
      <w:proofErr w:type="spellStart"/>
      <w:r w:rsidRPr="003038D0">
        <w:rPr>
          <w:szCs w:val="24"/>
        </w:rPr>
        <w:t>Framework</w:t>
      </w:r>
      <w:proofErr w:type="spellEnd"/>
      <w:r w:rsidRPr="003038D0">
        <w:rPr>
          <w:szCs w:val="24"/>
        </w:rPr>
        <w:t xml:space="preserve"> </w:t>
      </w:r>
      <w:proofErr w:type="spellStart"/>
      <w:r w:rsidRPr="003038D0">
        <w:rPr>
          <w:szCs w:val="24"/>
        </w:rPr>
        <w:t>Programme</w:t>
      </w:r>
      <w:proofErr w:type="spellEnd"/>
      <w:r w:rsidRPr="003038D0">
        <w:rPr>
          <w:szCs w:val="24"/>
        </w:rPr>
        <w:t xml:space="preserve"> 7 – </w:t>
      </w:r>
      <w:proofErr w:type="spellStart"/>
      <w:r w:rsidRPr="003038D0">
        <w:rPr>
          <w:szCs w:val="24"/>
        </w:rPr>
        <w:t>Space</w:t>
      </w:r>
      <w:proofErr w:type="spellEnd"/>
      <w:r w:rsidRPr="003038D0">
        <w:rPr>
          <w:szCs w:val="24"/>
        </w:rPr>
        <w:t xml:space="preserve"> </w:t>
      </w:r>
      <w:proofErr w:type="spellStart"/>
      <w:r w:rsidRPr="003038D0">
        <w:rPr>
          <w:szCs w:val="24"/>
        </w:rPr>
        <w:t>Theme</w:t>
      </w:r>
      <w:proofErr w:type="spellEnd"/>
      <w:r>
        <w:rPr>
          <w:szCs w:val="24"/>
        </w:rPr>
        <w:t xml:space="preserve"> </w:t>
      </w:r>
      <w:r w:rsidRPr="003038D0">
        <w:rPr>
          <w:szCs w:val="24"/>
        </w:rPr>
        <w:t xml:space="preserve">10 </w:t>
      </w:r>
      <w:proofErr w:type="spellStart"/>
      <w:r w:rsidRPr="003038D0">
        <w:rPr>
          <w:szCs w:val="24"/>
        </w:rPr>
        <w:t>October</w:t>
      </w:r>
      <w:proofErr w:type="spellEnd"/>
      <w:r w:rsidRPr="003038D0">
        <w:rPr>
          <w:szCs w:val="24"/>
        </w:rPr>
        <w:t xml:space="preserve"> 2010 http://ec.europa.eu/enterprise/newsroom/cf/_getdocument.cfm?doc_id=6195</w:t>
      </w:r>
    </w:p>
  </w:footnote>
  <w:footnote w:id="2">
    <w:p w:rsidR="00821038" w:rsidRPr="00C070C0" w:rsidRDefault="00821038" w:rsidP="001D26BC">
      <w:pPr>
        <w:pStyle w:val="FootnoteText"/>
      </w:pPr>
      <w:r>
        <w:rPr>
          <w:rStyle w:val="FootnoteReference"/>
        </w:rPr>
        <w:footnoteRef/>
      </w:r>
      <w:r>
        <w:t xml:space="preserve"> ES Padomes Rezolūcija „</w:t>
      </w:r>
      <w:proofErr w:type="spellStart"/>
      <w:r>
        <w:t>Taking</w:t>
      </w:r>
      <w:proofErr w:type="spellEnd"/>
      <w:r>
        <w:t xml:space="preserve"> </w:t>
      </w:r>
      <w:proofErr w:type="spellStart"/>
      <w:r>
        <w:t>forward</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Space</w:t>
      </w:r>
      <w:proofErr w:type="spellEnd"/>
      <w:r>
        <w:t xml:space="preserve"> </w:t>
      </w:r>
      <w:proofErr w:type="spellStart"/>
      <w:r>
        <w:t>Policy</w:t>
      </w:r>
      <w:proofErr w:type="spellEnd"/>
      <w:r>
        <w:t xml:space="preserve">”. </w:t>
      </w:r>
      <w:r w:rsidRPr="00C070C0">
        <w:t xml:space="preserve">2891st </w:t>
      </w:r>
      <w:proofErr w:type="spellStart"/>
      <w:r w:rsidRPr="00C070C0">
        <w:t>Competitiveness</w:t>
      </w:r>
      <w:proofErr w:type="spellEnd"/>
      <w:r>
        <w:t xml:space="preserve">, 2008. Skatīt </w:t>
      </w:r>
      <w:r w:rsidRPr="00C070C0">
        <w:t>http://www.consilium.europa.eu/ueDocs/cms_Data/docs/pressData/en/intm/103050.pdf</w:t>
      </w:r>
    </w:p>
  </w:footnote>
  <w:footnote w:id="3">
    <w:p w:rsidR="00821038" w:rsidRDefault="00821038" w:rsidP="001D26BC">
      <w:pPr>
        <w:pStyle w:val="FootnoteText"/>
      </w:pPr>
      <w:r>
        <w:rPr>
          <w:rStyle w:val="FootnoteReference"/>
        </w:rPr>
        <w:footnoteRef/>
      </w:r>
      <w:r>
        <w:t xml:space="preserve"> </w:t>
      </w:r>
      <w:proofErr w:type="spellStart"/>
      <w:r w:rsidRPr="00DF70D5">
        <w:t>Speech</w:t>
      </w:r>
      <w:proofErr w:type="spellEnd"/>
      <w:r w:rsidRPr="00DF70D5">
        <w:t xml:space="preserve"> </w:t>
      </w:r>
      <w:proofErr w:type="spellStart"/>
      <w:r w:rsidRPr="00DF70D5">
        <w:t>by</w:t>
      </w:r>
      <w:proofErr w:type="spellEnd"/>
      <w:r w:rsidRPr="00DF70D5">
        <w:t xml:space="preserve"> </w:t>
      </w:r>
      <w:proofErr w:type="spellStart"/>
      <w:r w:rsidRPr="00DF70D5">
        <w:t>Professor</w:t>
      </w:r>
      <w:proofErr w:type="spellEnd"/>
      <w:r w:rsidRPr="00DF70D5">
        <w:t xml:space="preserve"> </w:t>
      </w:r>
      <w:proofErr w:type="spellStart"/>
      <w:r w:rsidRPr="00DF70D5">
        <w:t>Jerzy</w:t>
      </w:r>
      <w:proofErr w:type="spellEnd"/>
      <w:r w:rsidRPr="00DF70D5">
        <w:t xml:space="preserve"> </w:t>
      </w:r>
      <w:proofErr w:type="spellStart"/>
      <w:r w:rsidRPr="00DF70D5">
        <w:t>Buzek</w:t>
      </w:r>
      <w:proofErr w:type="spellEnd"/>
      <w:r w:rsidRPr="00DF70D5">
        <w:t xml:space="preserve"> </w:t>
      </w:r>
      <w:proofErr w:type="spellStart"/>
      <w:r w:rsidRPr="00DF70D5">
        <w:t>President</w:t>
      </w:r>
      <w:proofErr w:type="spellEnd"/>
      <w:r w:rsidRPr="00DF70D5">
        <w:t xml:space="preserve"> </w:t>
      </w:r>
      <w:proofErr w:type="spellStart"/>
      <w:r w:rsidRPr="00DF70D5">
        <w:t>of</w:t>
      </w:r>
      <w:proofErr w:type="spellEnd"/>
      <w:r w:rsidRPr="00DF70D5">
        <w:t xml:space="preserve"> </w:t>
      </w:r>
      <w:proofErr w:type="spellStart"/>
      <w:r w:rsidRPr="00DF70D5">
        <w:t>the</w:t>
      </w:r>
      <w:proofErr w:type="spellEnd"/>
      <w:r w:rsidRPr="00DF70D5">
        <w:t xml:space="preserve"> </w:t>
      </w:r>
      <w:proofErr w:type="spellStart"/>
      <w:r w:rsidRPr="00DF70D5">
        <w:t>European</w:t>
      </w:r>
      <w:proofErr w:type="spellEnd"/>
      <w:r w:rsidRPr="00DF70D5">
        <w:t xml:space="preserve"> </w:t>
      </w:r>
      <w:proofErr w:type="spellStart"/>
      <w:r w:rsidRPr="00DF70D5">
        <w:t>Parliament</w:t>
      </w:r>
      <w:proofErr w:type="spellEnd"/>
      <w:r w:rsidRPr="00DF70D5">
        <w:t xml:space="preserve"> </w:t>
      </w:r>
      <w:r w:rsidRPr="00DF70D5">
        <w:rPr>
          <w:i/>
          <w:iCs/>
        </w:rPr>
        <w:t xml:space="preserve">"A </w:t>
      </w:r>
      <w:proofErr w:type="spellStart"/>
      <w:r w:rsidRPr="00DF70D5">
        <w:rPr>
          <w:i/>
          <w:iCs/>
        </w:rPr>
        <w:t>new</w:t>
      </w:r>
      <w:proofErr w:type="spellEnd"/>
      <w:r w:rsidRPr="00DF70D5">
        <w:rPr>
          <w:i/>
          <w:iCs/>
        </w:rPr>
        <w:t xml:space="preserve"> </w:t>
      </w:r>
      <w:proofErr w:type="spellStart"/>
      <w:r w:rsidRPr="00DF70D5">
        <w:rPr>
          <w:i/>
          <w:iCs/>
        </w:rPr>
        <w:t>space</w:t>
      </w:r>
      <w:proofErr w:type="spellEnd"/>
      <w:r w:rsidRPr="00DF70D5">
        <w:rPr>
          <w:i/>
          <w:iCs/>
        </w:rPr>
        <w:t xml:space="preserve"> </w:t>
      </w:r>
      <w:proofErr w:type="spellStart"/>
      <w:r w:rsidRPr="00DF70D5">
        <w:rPr>
          <w:i/>
          <w:iCs/>
        </w:rPr>
        <w:t>policy</w:t>
      </w:r>
      <w:proofErr w:type="spellEnd"/>
      <w:r w:rsidRPr="00DF70D5">
        <w:rPr>
          <w:i/>
          <w:iCs/>
        </w:rPr>
        <w:t xml:space="preserve"> </w:t>
      </w:r>
      <w:proofErr w:type="spellStart"/>
      <w:r w:rsidRPr="00DF70D5">
        <w:rPr>
          <w:i/>
          <w:iCs/>
        </w:rPr>
        <w:t>for</w:t>
      </w:r>
      <w:proofErr w:type="spellEnd"/>
      <w:r w:rsidRPr="00DF70D5">
        <w:rPr>
          <w:i/>
          <w:iCs/>
        </w:rPr>
        <w:t xml:space="preserve"> </w:t>
      </w:r>
      <w:proofErr w:type="spellStart"/>
      <w:r w:rsidRPr="00DF70D5">
        <w:rPr>
          <w:i/>
          <w:iCs/>
        </w:rPr>
        <w:t>Europe</w:t>
      </w:r>
      <w:proofErr w:type="spellEnd"/>
      <w:r w:rsidRPr="00DF70D5">
        <w:rPr>
          <w:i/>
          <w:iCs/>
        </w:rPr>
        <w:t xml:space="preserve">: </w:t>
      </w:r>
      <w:proofErr w:type="spellStart"/>
      <w:r w:rsidRPr="00DF70D5">
        <w:rPr>
          <w:i/>
          <w:iCs/>
        </w:rPr>
        <w:t>new</w:t>
      </w:r>
      <w:proofErr w:type="spellEnd"/>
      <w:r w:rsidRPr="00DF70D5">
        <w:rPr>
          <w:i/>
          <w:iCs/>
        </w:rPr>
        <w:t xml:space="preserve"> </w:t>
      </w:r>
      <w:proofErr w:type="spellStart"/>
      <w:r w:rsidRPr="00DF70D5">
        <w:rPr>
          <w:i/>
          <w:iCs/>
        </w:rPr>
        <w:t>challenges</w:t>
      </w:r>
      <w:proofErr w:type="spellEnd"/>
      <w:r w:rsidRPr="00DF70D5">
        <w:rPr>
          <w:i/>
          <w:iCs/>
        </w:rPr>
        <w:t xml:space="preserve">, </w:t>
      </w:r>
      <w:proofErr w:type="spellStart"/>
      <w:r w:rsidRPr="00DF70D5">
        <w:rPr>
          <w:i/>
          <w:iCs/>
        </w:rPr>
        <w:t>new</w:t>
      </w:r>
      <w:proofErr w:type="spellEnd"/>
      <w:r w:rsidRPr="00DF70D5">
        <w:rPr>
          <w:i/>
          <w:iCs/>
        </w:rPr>
        <w:t xml:space="preserve"> </w:t>
      </w:r>
      <w:proofErr w:type="spellStart"/>
      <w:r w:rsidRPr="00DF70D5">
        <w:rPr>
          <w:i/>
          <w:iCs/>
        </w:rPr>
        <w:t>opportunities</w:t>
      </w:r>
      <w:proofErr w:type="spellEnd"/>
      <w:r w:rsidRPr="00DF70D5">
        <w:rPr>
          <w:i/>
          <w:iCs/>
        </w:rPr>
        <w:t xml:space="preserve">" </w:t>
      </w:r>
      <w:proofErr w:type="spellStart"/>
      <w:r w:rsidRPr="00DF70D5">
        <w:t>Brussels</w:t>
      </w:r>
      <w:proofErr w:type="spellEnd"/>
      <w:r w:rsidRPr="00DF70D5">
        <w:t xml:space="preserve">, 26 </w:t>
      </w:r>
      <w:proofErr w:type="spellStart"/>
      <w:r w:rsidRPr="00DF70D5">
        <w:t>October</w:t>
      </w:r>
      <w:proofErr w:type="spellEnd"/>
      <w:r w:rsidRPr="00DF70D5">
        <w:t xml:space="preserve"> 2010</w:t>
      </w:r>
    </w:p>
  </w:footnote>
  <w:footnote w:id="4">
    <w:p w:rsidR="00821038" w:rsidRDefault="00821038" w:rsidP="001D26BC">
      <w:pPr>
        <w:pStyle w:val="FootnoteText"/>
      </w:pPr>
      <w:r>
        <w:rPr>
          <w:rStyle w:val="FootnoteReference"/>
        </w:rPr>
        <w:footnoteRef/>
      </w:r>
      <w:r>
        <w:t xml:space="preserve"> </w:t>
      </w:r>
      <w:proofErr w:type="spellStart"/>
      <w:r>
        <w:t>Speech</w:t>
      </w:r>
      <w:proofErr w:type="spellEnd"/>
      <w:r>
        <w:t xml:space="preserve"> </w:t>
      </w:r>
      <w:proofErr w:type="spellStart"/>
      <w:r>
        <w:t>by</w:t>
      </w:r>
      <w:proofErr w:type="spellEnd"/>
      <w:r>
        <w:t xml:space="preserve"> </w:t>
      </w:r>
      <w:proofErr w:type="spellStart"/>
      <w:r w:rsidRPr="006574A5">
        <w:t>José</w:t>
      </w:r>
      <w:proofErr w:type="spellEnd"/>
      <w:r w:rsidRPr="006574A5">
        <w:t xml:space="preserve"> </w:t>
      </w:r>
      <w:proofErr w:type="spellStart"/>
      <w:r w:rsidRPr="006574A5">
        <w:t>Manuel</w:t>
      </w:r>
      <w:proofErr w:type="spellEnd"/>
      <w:r w:rsidRPr="006574A5">
        <w:t xml:space="preserve"> </w:t>
      </w:r>
      <w:proofErr w:type="spellStart"/>
      <w:r w:rsidRPr="006574A5">
        <w:t>Durão</w:t>
      </w:r>
      <w:proofErr w:type="spellEnd"/>
      <w:r w:rsidRPr="006574A5">
        <w:t xml:space="preserve"> </w:t>
      </w:r>
      <w:proofErr w:type="spellStart"/>
      <w:r w:rsidRPr="006574A5">
        <w:t>Barroso</w:t>
      </w:r>
      <w:proofErr w:type="spellEnd"/>
      <w:r w:rsidRPr="006574A5">
        <w:t xml:space="preserve"> </w:t>
      </w:r>
      <w:proofErr w:type="spellStart"/>
      <w:r w:rsidRPr="006574A5">
        <w:t>The</w:t>
      </w:r>
      <w:proofErr w:type="spellEnd"/>
      <w:r w:rsidRPr="006574A5">
        <w:t xml:space="preserve"> </w:t>
      </w:r>
      <w:proofErr w:type="spellStart"/>
      <w:r w:rsidRPr="006574A5">
        <w:t>Ambitions</w:t>
      </w:r>
      <w:proofErr w:type="spellEnd"/>
      <w:r w:rsidRPr="006574A5">
        <w:t xml:space="preserve"> </w:t>
      </w:r>
      <w:proofErr w:type="spellStart"/>
      <w:r w:rsidRPr="006574A5">
        <w:t>of</w:t>
      </w:r>
      <w:proofErr w:type="spellEnd"/>
      <w:r w:rsidRPr="006574A5">
        <w:t xml:space="preserve"> </w:t>
      </w:r>
      <w:proofErr w:type="spellStart"/>
      <w:r w:rsidRPr="006574A5">
        <w:t>Europe</w:t>
      </w:r>
      <w:proofErr w:type="spellEnd"/>
      <w:r w:rsidRPr="006574A5">
        <w:t xml:space="preserve"> </w:t>
      </w:r>
      <w:proofErr w:type="spellStart"/>
      <w:r w:rsidRPr="006574A5">
        <w:t>in</w:t>
      </w:r>
      <w:proofErr w:type="spellEnd"/>
      <w:r w:rsidRPr="006574A5">
        <w:t xml:space="preserve"> </w:t>
      </w:r>
      <w:proofErr w:type="spellStart"/>
      <w:r w:rsidRPr="006574A5">
        <w:t>Space</w:t>
      </w:r>
      <w:proofErr w:type="spellEnd"/>
      <w:r w:rsidRPr="006574A5">
        <w:t xml:space="preserve">  EU </w:t>
      </w:r>
      <w:proofErr w:type="spellStart"/>
      <w:r w:rsidRPr="006574A5">
        <w:t>Conference</w:t>
      </w:r>
      <w:proofErr w:type="spellEnd"/>
      <w:r w:rsidRPr="006574A5">
        <w:t xml:space="preserve"> </w:t>
      </w:r>
      <w:proofErr w:type="spellStart"/>
      <w:r w:rsidRPr="006574A5">
        <w:t>in</w:t>
      </w:r>
      <w:proofErr w:type="spellEnd"/>
      <w:r w:rsidRPr="006574A5">
        <w:t xml:space="preserve"> </w:t>
      </w:r>
      <w:proofErr w:type="spellStart"/>
      <w:r w:rsidRPr="006574A5">
        <w:t>Brussels</w:t>
      </w:r>
      <w:proofErr w:type="spellEnd"/>
      <w:r w:rsidRPr="006574A5">
        <w:t xml:space="preserve">, </w:t>
      </w:r>
      <w:proofErr w:type="spellStart"/>
      <w:r w:rsidRPr="006574A5">
        <w:t>Brussels</w:t>
      </w:r>
      <w:proofErr w:type="spellEnd"/>
      <w:r w:rsidRPr="006574A5">
        <w:t xml:space="preserve">, 15-19 </w:t>
      </w:r>
      <w:proofErr w:type="spellStart"/>
      <w:r w:rsidRPr="006574A5">
        <w:t>October</w:t>
      </w:r>
      <w:proofErr w:type="spellEnd"/>
      <w:r w:rsidRPr="006574A5">
        <w:t xml:space="preserve"> 2009</w:t>
      </w:r>
    </w:p>
  </w:footnote>
  <w:footnote w:id="5">
    <w:p w:rsidR="00821038" w:rsidRDefault="00821038" w:rsidP="001D26BC">
      <w:pPr>
        <w:pStyle w:val="FootnoteText"/>
      </w:pPr>
      <w:r>
        <w:rPr>
          <w:rStyle w:val="FootnoteReference"/>
        </w:rPr>
        <w:footnoteRef/>
      </w:r>
      <w:r>
        <w:t xml:space="preserve"> Angļu valodā : </w:t>
      </w:r>
      <w:proofErr w:type="spellStart"/>
      <w:r w:rsidRPr="00286E9A">
        <w:rPr>
          <w:rStyle w:val="longtext"/>
          <w:iCs/>
        </w:rPr>
        <w:t>return-on-investment</w:t>
      </w:r>
      <w:proofErr w:type="spellEnd"/>
    </w:p>
  </w:footnote>
  <w:footnote w:id="6">
    <w:p w:rsidR="00821038" w:rsidRDefault="00821038" w:rsidP="001D26BC">
      <w:pPr>
        <w:pStyle w:val="FootnoteText"/>
      </w:pPr>
      <w:r>
        <w:rPr>
          <w:rStyle w:val="FootnoteReference"/>
        </w:rPr>
        <w:footnoteRef/>
      </w:r>
      <w:r>
        <w:t xml:space="preserve"> </w:t>
      </w:r>
      <w:proofErr w:type="spellStart"/>
      <w:r w:rsidRPr="00B63B58">
        <w:rPr>
          <w:rFonts w:ascii="TimesNewRoman" w:hAnsi="TimesNewRoman" w:cs="TimesNewRoman"/>
        </w:rPr>
        <w:t>The</w:t>
      </w:r>
      <w:proofErr w:type="spellEnd"/>
      <w:r w:rsidRPr="00B63B58">
        <w:rPr>
          <w:rFonts w:ascii="TimesNewRoman" w:hAnsi="TimesNewRoman" w:cs="TimesNewRoman"/>
        </w:rPr>
        <w:t xml:space="preserve"> </w:t>
      </w:r>
      <w:proofErr w:type="spellStart"/>
      <w:r w:rsidRPr="00B63B58">
        <w:rPr>
          <w:rFonts w:ascii="TimesNewRoman" w:hAnsi="TimesNewRoman" w:cs="TimesNewRoman"/>
        </w:rPr>
        <w:t>Space</w:t>
      </w:r>
      <w:proofErr w:type="spellEnd"/>
      <w:r w:rsidRPr="00B63B58">
        <w:rPr>
          <w:rFonts w:ascii="TimesNewRoman" w:hAnsi="TimesNewRoman" w:cs="TimesNewRoman"/>
        </w:rPr>
        <w:t xml:space="preserve"> </w:t>
      </w:r>
      <w:proofErr w:type="spellStart"/>
      <w:r w:rsidRPr="00B63B58">
        <w:rPr>
          <w:rFonts w:ascii="TimesNewRoman" w:hAnsi="TimesNewRoman" w:cs="TimesNewRoman"/>
        </w:rPr>
        <w:t>Economy</w:t>
      </w:r>
      <w:proofErr w:type="spellEnd"/>
      <w:r w:rsidRPr="00B63B58">
        <w:rPr>
          <w:rFonts w:ascii="TimesNewRoman" w:hAnsi="TimesNewRoman" w:cs="TimesNewRoman"/>
        </w:rPr>
        <w:t xml:space="preserve"> </w:t>
      </w:r>
      <w:proofErr w:type="spellStart"/>
      <w:r w:rsidRPr="00B63B58">
        <w:rPr>
          <w:rFonts w:ascii="TimesNewRoman" w:hAnsi="TimesNewRoman" w:cs="TimesNewRoman"/>
        </w:rPr>
        <w:t>at</w:t>
      </w:r>
      <w:proofErr w:type="spellEnd"/>
      <w:r w:rsidRPr="00B63B58">
        <w:rPr>
          <w:rFonts w:ascii="TimesNewRoman" w:hAnsi="TimesNewRoman" w:cs="TimesNewRoman"/>
        </w:rPr>
        <w:t xml:space="preserve"> a </w:t>
      </w:r>
      <w:proofErr w:type="spellStart"/>
      <w:r w:rsidRPr="00B63B58">
        <w:rPr>
          <w:rFonts w:ascii="TimesNewRoman" w:hAnsi="TimesNewRoman" w:cs="TimesNewRoman"/>
        </w:rPr>
        <w:t>Glance</w:t>
      </w:r>
      <w:proofErr w:type="spellEnd"/>
      <w:r w:rsidRPr="00B63B58">
        <w:rPr>
          <w:rFonts w:ascii="TimesNewRoman" w:hAnsi="TimesNewRoman" w:cs="TimesNewRoman"/>
        </w:rPr>
        <w:t xml:space="preserve"> 2007, OECD 2007, lpp. 89-90.</w:t>
      </w:r>
    </w:p>
  </w:footnote>
  <w:footnote w:id="7">
    <w:p w:rsidR="00821038" w:rsidRPr="00B63B58" w:rsidRDefault="00821038" w:rsidP="001D26BC">
      <w:pPr>
        <w:autoSpaceDE w:val="0"/>
        <w:autoSpaceDN w:val="0"/>
        <w:adjustRightInd w:val="0"/>
        <w:jc w:val="both"/>
        <w:rPr>
          <w:sz w:val="20"/>
          <w:szCs w:val="20"/>
          <w:lang w:eastAsia="lv-LV"/>
        </w:rPr>
      </w:pPr>
      <w:r>
        <w:rPr>
          <w:rStyle w:val="FootnoteReference"/>
        </w:rPr>
        <w:footnoteRef/>
      </w:r>
      <w:r>
        <w:t xml:space="preserve"> </w:t>
      </w:r>
      <w:proofErr w:type="spellStart"/>
      <w:r w:rsidRPr="00B63B58">
        <w:rPr>
          <w:sz w:val="20"/>
          <w:szCs w:val="20"/>
          <w:lang w:eastAsia="lv-LV"/>
        </w:rPr>
        <w:t>Evaluation</w:t>
      </w:r>
      <w:proofErr w:type="spellEnd"/>
      <w:r w:rsidRPr="00B63B58">
        <w:rPr>
          <w:sz w:val="20"/>
          <w:szCs w:val="20"/>
          <w:lang w:eastAsia="lv-LV"/>
        </w:rPr>
        <w:t xml:space="preserve"> </w:t>
      </w:r>
      <w:proofErr w:type="spellStart"/>
      <w:r w:rsidRPr="00B63B58">
        <w:rPr>
          <w:sz w:val="20"/>
          <w:szCs w:val="20"/>
          <w:lang w:eastAsia="lv-LV"/>
        </w:rPr>
        <w:t>of</w:t>
      </w:r>
      <w:proofErr w:type="spellEnd"/>
      <w:r w:rsidRPr="00B63B58">
        <w:rPr>
          <w:sz w:val="20"/>
          <w:szCs w:val="20"/>
          <w:lang w:eastAsia="lv-LV"/>
        </w:rPr>
        <w:t xml:space="preserve"> </w:t>
      </w:r>
      <w:proofErr w:type="spellStart"/>
      <w:r w:rsidRPr="00B63B58">
        <w:rPr>
          <w:sz w:val="20"/>
          <w:szCs w:val="20"/>
          <w:lang w:eastAsia="lv-LV"/>
        </w:rPr>
        <w:t>Danish</w:t>
      </w:r>
      <w:proofErr w:type="spellEnd"/>
      <w:r w:rsidRPr="00B63B58">
        <w:rPr>
          <w:sz w:val="20"/>
          <w:szCs w:val="20"/>
          <w:lang w:eastAsia="lv-LV"/>
        </w:rPr>
        <w:t xml:space="preserve"> </w:t>
      </w:r>
      <w:proofErr w:type="spellStart"/>
      <w:r w:rsidRPr="00B63B58">
        <w:rPr>
          <w:sz w:val="20"/>
          <w:szCs w:val="20"/>
          <w:lang w:eastAsia="lv-LV"/>
        </w:rPr>
        <w:t>Industrial</w:t>
      </w:r>
      <w:proofErr w:type="spellEnd"/>
      <w:r w:rsidRPr="00B63B58">
        <w:rPr>
          <w:sz w:val="20"/>
          <w:szCs w:val="20"/>
          <w:lang w:eastAsia="lv-LV"/>
        </w:rPr>
        <w:t xml:space="preserve"> </w:t>
      </w:r>
      <w:proofErr w:type="spellStart"/>
      <w:r w:rsidRPr="00B63B58">
        <w:rPr>
          <w:sz w:val="20"/>
          <w:szCs w:val="20"/>
          <w:lang w:eastAsia="lv-LV"/>
        </w:rPr>
        <w:t>Activities</w:t>
      </w:r>
      <w:proofErr w:type="spellEnd"/>
      <w:r w:rsidRPr="00B63B58">
        <w:rPr>
          <w:sz w:val="20"/>
          <w:szCs w:val="20"/>
          <w:lang w:eastAsia="lv-LV"/>
        </w:rPr>
        <w:t xml:space="preserve"> </w:t>
      </w:r>
      <w:proofErr w:type="spellStart"/>
      <w:r w:rsidRPr="00B63B58">
        <w:rPr>
          <w:sz w:val="20"/>
          <w:szCs w:val="20"/>
          <w:lang w:eastAsia="lv-LV"/>
        </w:rPr>
        <w:t>in</w:t>
      </w:r>
      <w:proofErr w:type="spellEnd"/>
      <w:r w:rsidRPr="00B63B58">
        <w:rPr>
          <w:sz w:val="20"/>
          <w:szCs w:val="20"/>
          <w:lang w:eastAsia="lv-LV"/>
        </w:rPr>
        <w:t xml:space="preserve"> </w:t>
      </w:r>
      <w:proofErr w:type="spellStart"/>
      <w:r w:rsidRPr="00B63B58">
        <w:rPr>
          <w:sz w:val="20"/>
          <w:szCs w:val="20"/>
          <w:lang w:eastAsia="lv-LV"/>
        </w:rPr>
        <w:t>the</w:t>
      </w:r>
      <w:proofErr w:type="spellEnd"/>
      <w:r w:rsidRPr="00B63B58">
        <w:rPr>
          <w:sz w:val="20"/>
          <w:szCs w:val="20"/>
          <w:lang w:eastAsia="lv-LV"/>
        </w:rPr>
        <w:t xml:space="preserve"> </w:t>
      </w:r>
      <w:proofErr w:type="spellStart"/>
      <w:r w:rsidRPr="00B63B58">
        <w:rPr>
          <w:sz w:val="20"/>
          <w:szCs w:val="20"/>
          <w:lang w:eastAsia="lv-LV"/>
        </w:rPr>
        <w:t>European</w:t>
      </w:r>
      <w:proofErr w:type="spellEnd"/>
      <w:r w:rsidRPr="00B63B58">
        <w:rPr>
          <w:sz w:val="20"/>
          <w:szCs w:val="20"/>
          <w:lang w:eastAsia="lv-LV"/>
        </w:rPr>
        <w:t xml:space="preserve"> </w:t>
      </w:r>
      <w:proofErr w:type="spellStart"/>
      <w:r w:rsidRPr="00B63B58">
        <w:rPr>
          <w:sz w:val="20"/>
          <w:szCs w:val="20"/>
          <w:lang w:eastAsia="lv-LV"/>
        </w:rPr>
        <w:t>Space</w:t>
      </w:r>
      <w:proofErr w:type="spellEnd"/>
      <w:r w:rsidRPr="00B63B58">
        <w:rPr>
          <w:sz w:val="20"/>
          <w:szCs w:val="20"/>
          <w:lang w:eastAsia="lv-LV"/>
        </w:rPr>
        <w:t xml:space="preserve"> </w:t>
      </w:r>
      <w:proofErr w:type="spellStart"/>
      <w:r w:rsidRPr="00B63B58">
        <w:rPr>
          <w:sz w:val="20"/>
          <w:szCs w:val="20"/>
          <w:lang w:eastAsia="lv-LV"/>
        </w:rPr>
        <w:t>Agency</w:t>
      </w:r>
      <w:proofErr w:type="spellEnd"/>
      <w:r w:rsidRPr="00B63B58">
        <w:rPr>
          <w:sz w:val="20"/>
          <w:szCs w:val="20"/>
          <w:lang w:eastAsia="lv-LV"/>
        </w:rPr>
        <w:t xml:space="preserve"> (ESA): </w:t>
      </w:r>
      <w:proofErr w:type="spellStart"/>
      <w:r w:rsidRPr="00B63B58">
        <w:rPr>
          <w:rFonts w:eastAsia="Times New Roman"/>
          <w:iCs/>
          <w:sz w:val="20"/>
          <w:szCs w:val="20"/>
          <w:lang w:eastAsia="lv-LV"/>
        </w:rPr>
        <w:t>Assessment</w:t>
      </w:r>
      <w:proofErr w:type="spellEnd"/>
      <w:r w:rsidRPr="00B63B58">
        <w:rPr>
          <w:rFonts w:eastAsia="Times New Roman"/>
          <w:iCs/>
          <w:sz w:val="20"/>
          <w:szCs w:val="20"/>
          <w:lang w:eastAsia="lv-LV"/>
        </w:rPr>
        <w:t xml:space="preserve"> </w:t>
      </w:r>
      <w:proofErr w:type="spellStart"/>
      <w:r w:rsidRPr="00B63B58">
        <w:rPr>
          <w:rFonts w:eastAsia="Times New Roman"/>
          <w:iCs/>
          <w:sz w:val="20"/>
          <w:szCs w:val="20"/>
          <w:lang w:eastAsia="lv-LV"/>
        </w:rPr>
        <w:t>of</w:t>
      </w:r>
      <w:proofErr w:type="spellEnd"/>
      <w:r w:rsidRPr="00B63B58">
        <w:rPr>
          <w:rFonts w:eastAsia="Times New Roman"/>
          <w:iCs/>
          <w:sz w:val="20"/>
          <w:szCs w:val="20"/>
          <w:lang w:eastAsia="lv-LV"/>
        </w:rPr>
        <w:t xml:space="preserve"> </w:t>
      </w:r>
      <w:proofErr w:type="spellStart"/>
      <w:r w:rsidRPr="00B63B58">
        <w:rPr>
          <w:rFonts w:eastAsia="Times New Roman"/>
          <w:iCs/>
          <w:sz w:val="20"/>
          <w:szCs w:val="20"/>
          <w:lang w:eastAsia="lv-LV"/>
        </w:rPr>
        <w:t>the</w:t>
      </w:r>
      <w:proofErr w:type="spellEnd"/>
      <w:r w:rsidRPr="00B63B58">
        <w:rPr>
          <w:rFonts w:eastAsia="Times New Roman"/>
          <w:iCs/>
          <w:sz w:val="20"/>
          <w:szCs w:val="20"/>
          <w:lang w:eastAsia="lv-LV"/>
        </w:rPr>
        <w:t xml:space="preserve"> </w:t>
      </w:r>
      <w:proofErr w:type="spellStart"/>
      <w:r w:rsidRPr="00B63B58">
        <w:rPr>
          <w:rFonts w:eastAsia="Times New Roman"/>
          <w:iCs/>
          <w:sz w:val="20"/>
          <w:szCs w:val="20"/>
          <w:lang w:eastAsia="lv-LV"/>
        </w:rPr>
        <w:t>economic</w:t>
      </w:r>
      <w:proofErr w:type="spellEnd"/>
      <w:r w:rsidRPr="00B63B58">
        <w:rPr>
          <w:rFonts w:eastAsia="Times New Roman"/>
          <w:iCs/>
          <w:sz w:val="20"/>
          <w:szCs w:val="20"/>
          <w:lang w:eastAsia="lv-LV"/>
        </w:rPr>
        <w:t xml:space="preserve"> </w:t>
      </w:r>
      <w:proofErr w:type="spellStart"/>
      <w:r w:rsidRPr="00B63B58">
        <w:rPr>
          <w:rFonts w:eastAsia="Times New Roman"/>
          <w:iCs/>
          <w:sz w:val="20"/>
          <w:szCs w:val="20"/>
          <w:lang w:eastAsia="lv-LV"/>
        </w:rPr>
        <w:t>impacts</w:t>
      </w:r>
      <w:proofErr w:type="spellEnd"/>
      <w:r w:rsidRPr="00B63B58">
        <w:rPr>
          <w:rFonts w:eastAsia="Times New Roman"/>
          <w:iCs/>
          <w:sz w:val="20"/>
          <w:szCs w:val="20"/>
          <w:lang w:eastAsia="lv-LV"/>
        </w:rPr>
        <w:t xml:space="preserve"> </w:t>
      </w:r>
      <w:proofErr w:type="spellStart"/>
      <w:r w:rsidRPr="00B63B58">
        <w:rPr>
          <w:rFonts w:eastAsia="Times New Roman"/>
          <w:iCs/>
          <w:sz w:val="20"/>
          <w:szCs w:val="20"/>
          <w:lang w:eastAsia="lv-LV"/>
        </w:rPr>
        <w:t>of</w:t>
      </w:r>
      <w:proofErr w:type="spellEnd"/>
      <w:r w:rsidRPr="00B63B58">
        <w:rPr>
          <w:rFonts w:eastAsia="Times New Roman"/>
          <w:iCs/>
          <w:sz w:val="20"/>
          <w:szCs w:val="20"/>
          <w:lang w:eastAsia="lv-LV"/>
        </w:rPr>
        <w:t xml:space="preserve"> </w:t>
      </w:r>
      <w:proofErr w:type="spellStart"/>
      <w:r w:rsidRPr="00B63B58">
        <w:rPr>
          <w:rFonts w:eastAsia="Times New Roman"/>
          <w:iCs/>
          <w:sz w:val="20"/>
          <w:szCs w:val="20"/>
          <w:lang w:eastAsia="lv-LV"/>
        </w:rPr>
        <w:t>the</w:t>
      </w:r>
      <w:proofErr w:type="spellEnd"/>
      <w:r w:rsidRPr="00B63B58">
        <w:rPr>
          <w:rFonts w:eastAsia="Times New Roman"/>
          <w:iCs/>
          <w:sz w:val="20"/>
          <w:szCs w:val="20"/>
          <w:lang w:eastAsia="lv-LV"/>
        </w:rPr>
        <w:t xml:space="preserve"> </w:t>
      </w:r>
      <w:proofErr w:type="spellStart"/>
      <w:r w:rsidRPr="00B63B58">
        <w:rPr>
          <w:rFonts w:eastAsia="Times New Roman"/>
          <w:iCs/>
          <w:sz w:val="20"/>
          <w:szCs w:val="20"/>
          <w:lang w:eastAsia="lv-LV"/>
        </w:rPr>
        <w:t>Danish</w:t>
      </w:r>
      <w:proofErr w:type="spellEnd"/>
      <w:r w:rsidRPr="00B63B58">
        <w:rPr>
          <w:rFonts w:eastAsia="Times New Roman"/>
          <w:iCs/>
          <w:sz w:val="20"/>
          <w:szCs w:val="20"/>
          <w:lang w:eastAsia="lv-LV"/>
        </w:rPr>
        <w:t xml:space="preserve"> ESA- </w:t>
      </w:r>
      <w:proofErr w:type="spellStart"/>
      <w:r w:rsidRPr="00B63B58">
        <w:rPr>
          <w:rFonts w:eastAsia="Times New Roman"/>
          <w:iCs/>
          <w:sz w:val="20"/>
          <w:szCs w:val="20"/>
          <w:lang w:eastAsia="lv-LV"/>
        </w:rPr>
        <w:t>membership</w:t>
      </w:r>
      <w:proofErr w:type="spellEnd"/>
      <w:r w:rsidRPr="00B63B58">
        <w:rPr>
          <w:rFonts w:eastAsia="Times New Roman"/>
          <w:iCs/>
          <w:sz w:val="20"/>
          <w:szCs w:val="20"/>
          <w:lang w:eastAsia="lv-LV"/>
        </w:rPr>
        <w:t xml:space="preserve"> (</w:t>
      </w:r>
      <w:proofErr w:type="spellStart"/>
      <w:r w:rsidRPr="00B63B58">
        <w:rPr>
          <w:rFonts w:eastAsia="Times New Roman"/>
          <w:iCs/>
          <w:sz w:val="20"/>
          <w:szCs w:val="20"/>
          <w:lang w:eastAsia="lv-LV"/>
        </w:rPr>
        <w:t>March</w:t>
      </w:r>
      <w:proofErr w:type="spellEnd"/>
      <w:r w:rsidRPr="00B63B58">
        <w:rPr>
          <w:rFonts w:eastAsia="Times New Roman"/>
          <w:iCs/>
          <w:sz w:val="20"/>
          <w:szCs w:val="20"/>
          <w:lang w:eastAsia="lv-LV"/>
        </w:rPr>
        <w:t xml:space="preserve"> 2008)</w:t>
      </w:r>
    </w:p>
  </w:footnote>
  <w:footnote w:id="8">
    <w:p w:rsidR="00821038" w:rsidRPr="00B63B58" w:rsidRDefault="00821038" w:rsidP="001D26BC">
      <w:pPr>
        <w:jc w:val="both"/>
        <w:rPr>
          <w:sz w:val="20"/>
          <w:szCs w:val="20"/>
        </w:rPr>
      </w:pPr>
      <w:r w:rsidRPr="00337406">
        <w:rPr>
          <w:rStyle w:val="FootnoteReference"/>
        </w:rPr>
        <w:footnoteRef/>
      </w:r>
      <w:r w:rsidRPr="00337406">
        <w:rPr>
          <w:szCs w:val="24"/>
        </w:rPr>
        <w:t xml:space="preserve"> </w:t>
      </w:r>
      <w:proofErr w:type="spellStart"/>
      <w:r w:rsidRPr="00B63B58">
        <w:rPr>
          <w:sz w:val="20"/>
          <w:szCs w:val="20"/>
        </w:rPr>
        <w:t>Spin</w:t>
      </w:r>
      <w:proofErr w:type="spellEnd"/>
      <w:r w:rsidRPr="00B63B58">
        <w:rPr>
          <w:sz w:val="20"/>
          <w:szCs w:val="20"/>
        </w:rPr>
        <w:t xml:space="preserve"> –</w:t>
      </w:r>
      <w:proofErr w:type="spellStart"/>
      <w:r w:rsidRPr="00B63B58">
        <w:rPr>
          <w:sz w:val="20"/>
          <w:szCs w:val="20"/>
        </w:rPr>
        <w:t>off</w:t>
      </w:r>
      <w:proofErr w:type="spellEnd"/>
      <w:r w:rsidRPr="00B63B58">
        <w:rPr>
          <w:sz w:val="20"/>
          <w:szCs w:val="20"/>
        </w:rPr>
        <w:t xml:space="preserve"> faktors – Šajā gadījumā, investīciju veidotais papildus apgrozījums, kas veidojas ieguldot līdzekļus kosmosa nozarē. Tas var būt gan tiešais apgrozījums, gan netiešais, kas ir eksistējošu vai jaunu tirgu apgūšana. Minētā pētījuma ietvaros šis jēdziens jāskata arī t.s. pārplūšanas (</w:t>
      </w:r>
      <w:proofErr w:type="spellStart"/>
      <w:r w:rsidRPr="00B63B58">
        <w:rPr>
          <w:sz w:val="20"/>
          <w:szCs w:val="20"/>
        </w:rPr>
        <w:t>spillover</w:t>
      </w:r>
      <w:proofErr w:type="spellEnd"/>
      <w:r w:rsidRPr="00B63B58">
        <w:rPr>
          <w:sz w:val="20"/>
          <w:szCs w:val="20"/>
        </w:rPr>
        <w:t>) un tehnoloģiju difūzijas (</w:t>
      </w:r>
      <w:proofErr w:type="spellStart"/>
      <w:r w:rsidRPr="00B63B58">
        <w:rPr>
          <w:sz w:val="20"/>
          <w:szCs w:val="20"/>
        </w:rPr>
        <w:t>diffusion</w:t>
      </w:r>
      <w:proofErr w:type="spellEnd"/>
      <w:r w:rsidRPr="00B63B58">
        <w:rPr>
          <w:sz w:val="20"/>
          <w:szCs w:val="20"/>
        </w:rPr>
        <w:t xml:space="preserve">) saistībā. </w:t>
      </w:r>
    </w:p>
    <w:p w:rsidR="00821038" w:rsidRDefault="00821038" w:rsidP="001D26BC">
      <w:pPr>
        <w:pStyle w:val="FootnoteText"/>
      </w:pPr>
    </w:p>
  </w:footnote>
  <w:footnote w:id="9">
    <w:p w:rsidR="00821038" w:rsidRDefault="00821038" w:rsidP="001D26BC">
      <w:pPr>
        <w:pStyle w:val="FootnoteText"/>
      </w:pPr>
      <w:r>
        <w:rPr>
          <w:rStyle w:val="FootnoteReference"/>
        </w:rPr>
        <w:footnoteRef/>
      </w:r>
      <w:r>
        <w:t xml:space="preserve"> </w:t>
      </w:r>
      <w:proofErr w:type="spellStart"/>
      <w:r>
        <w:t>The</w:t>
      </w:r>
      <w:proofErr w:type="spellEnd"/>
      <w:r>
        <w:t xml:space="preserve"> </w:t>
      </w:r>
      <w:proofErr w:type="spellStart"/>
      <w:r>
        <w:t>case</w:t>
      </w:r>
      <w:proofErr w:type="spellEnd"/>
      <w:r>
        <w:t xml:space="preserve"> </w:t>
      </w:r>
      <w:proofErr w:type="spellStart"/>
      <w:r>
        <w:t>for</w:t>
      </w:r>
      <w:proofErr w:type="spellEnd"/>
      <w:r>
        <w:t xml:space="preserve"> </w:t>
      </w:r>
      <w:proofErr w:type="spellStart"/>
      <w:r>
        <w:t>space</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space</w:t>
      </w:r>
      <w:proofErr w:type="spellEnd"/>
      <w:r>
        <w:t xml:space="preserve"> </w:t>
      </w:r>
      <w:proofErr w:type="spellStart"/>
      <w:r>
        <w:t>derived</w:t>
      </w:r>
      <w:proofErr w:type="spellEnd"/>
      <w:r>
        <w:t xml:space="preserve"> </w:t>
      </w:r>
      <w:proofErr w:type="spellStart"/>
      <w:r>
        <w:t>services</w:t>
      </w:r>
      <w:proofErr w:type="spellEnd"/>
      <w:r>
        <w:t xml:space="preserve"> </w:t>
      </w:r>
      <w:proofErr w:type="spellStart"/>
      <w:r>
        <w:t>and</w:t>
      </w:r>
      <w:proofErr w:type="spellEnd"/>
      <w:r>
        <w:t xml:space="preserve"> </w:t>
      </w:r>
      <w:proofErr w:type="spellStart"/>
      <w:r>
        <w:t>data</w:t>
      </w:r>
      <w:proofErr w:type="spellEnd"/>
      <w:r>
        <w:t xml:space="preserve">. </w:t>
      </w:r>
      <w:proofErr w:type="spellStart"/>
      <w:r>
        <w:t>Final</w:t>
      </w:r>
      <w:proofErr w:type="spellEnd"/>
      <w:r>
        <w:t xml:space="preserve"> </w:t>
      </w:r>
      <w:proofErr w:type="spellStart"/>
      <w:r>
        <w:t>Report</w:t>
      </w:r>
      <w:proofErr w:type="spellEnd"/>
      <w:r>
        <w:t xml:space="preserve">. </w:t>
      </w:r>
      <w:proofErr w:type="spellStart"/>
      <w:r>
        <w:t>Oxford</w:t>
      </w:r>
      <w:proofErr w:type="spellEnd"/>
      <w:r>
        <w:t xml:space="preserve"> </w:t>
      </w:r>
      <w:proofErr w:type="spellStart"/>
      <w:r>
        <w:t>Economics</w:t>
      </w:r>
      <w:proofErr w:type="spellEnd"/>
      <w:r>
        <w:t xml:space="preserve">, </w:t>
      </w:r>
      <w:proofErr w:type="spellStart"/>
      <w:r>
        <w:t>July</w:t>
      </w:r>
      <w:proofErr w:type="spellEnd"/>
      <w:r>
        <w:t xml:space="preserve"> 2009, </w:t>
      </w:r>
      <w:proofErr w:type="spellStart"/>
      <w:r>
        <w:t>commissioned</w:t>
      </w:r>
      <w:proofErr w:type="spellEnd"/>
      <w:r>
        <w:t xml:space="preserve"> </w:t>
      </w:r>
      <w:proofErr w:type="spellStart"/>
      <w:r>
        <w:t>by</w:t>
      </w:r>
      <w:proofErr w:type="spellEnd"/>
      <w:r>
        <w:t xml:space="preserve"> SEEDA, 42 p.</w:t>
      </w:r>
    </w:p>
  </w:footnote>
  <w:footnote w:id="10">
    <w:p w:rsidR="00821038" w:rsidRDefault="00821038" w:rsidP="001D26BC">
      <w:pPr>
        <w:pStyle w:val="FootnoteText"/>
      </w:pPr>
      <w:r>
        <w:rPr>
          <w:rStyle w:val="FootnoteReference"/>
        </w:rPr>
        <w:footnoteRef/>
      </w:r>
      <w:r>
        <w:t xml:space="preserve"> </w:t>
      </w:r>
      <w:proofErr w:type="spellStart"/>
      <w:r w:rsidRPr="00F44BBB">
        <w:rPr>
          <w:iCs/>
        </w:rPr>
        <w:t>Science</w:t>
      </w:r>
      <w:proofErr w:type="spellEnd"/>
      <w:r w:rsidRPr="00F44BBB">
        <w:rPr>
          <w:iCs/>
        </w:rPr>
        <w:t xml:space="preserve"> </w:t>
      </w:r>
      <w:proofErr w:type="spellStart"/>
      <w:r w:rsidRPr="00F44BBB">
        <w:rPr>
          <w:iCs/>
        </w:rPr>
        <w:t>and</w:t>
      </w:r>
      <w:proofErr w:type="spellEnd"/>
      <w:r w:rsidRPr="00F44BBB">
        <w:rPr>
          <w:iCs/>
        </w:rPr>
        <w:t xml:space="preserve"> </w:t>
      </w:r>
      <w:proofErr w:type="spellStart"/>
      <w:r w:rsidRPr="00F44BBB">
        <w:rPr>
          <w:iCs/>
        </w:rPr>
        <w:t>Engineering</w:t>
      </w:r>
      <w:proofErr w:type="spellEnd"/>
      <w:r w:rsidRPr="00F44BBB">
        <w:rPr>
          <w:iCs/>
        </w:rPr>
        <w:t xml:space="preserve"> </w:t>
      </w:r>
      <w:proofErr w:type="spellStart"/>
      <w:r w:rsidRPr="00F44BBB">
        <w:rPr>
          <w:iCs/>
        </w:rPr>
        <w:t>Indicators</w:t>
      </w:r>
      <w:proofErr w:type="spellEnd"/>
      <w:r w:rsidRPr="00F44BBB">
        <w:rPr>
          <w:iCs/>
        </w:rPr>
        <w:t xml:space="preserve"> 2010, OECD, UNESCO</w:t>
      </w:r>
    </w:p>
  </w:footnote>
  <w:footnote w:id="11">
    <w:p w:rsidR="00821038" w:rsidRDefault="00821038" w:rsidP="001D26BC">
      <w:pPr>
        <w:pStyle w:val="FootnoteText"/>
      </w:pPr>
      <w:r>
        <w:rPr>
          <w:rStyle w:val="FootnoteReference"/>
        </w:rPr>
        <w:footnoteRef/>
      </w:r>
      <w:r>
        <w:t xml:space="preserve"> </w:t>
      </w:r>
      <w:proofErr w:type="spellStart"/>
      <w:r w:rsidRPr="006D1B1D">
        <w:rPr>
          <w:i/>
          <w:iCs/>
        </w:rPr>
        <w:t>European</w:t>
      </w:r>
      <w:proofErr w:type="spellEnd"/>
      <w:r w:rsidRPr="006D1B1D">
        <w:rPr>
          <w:i/>
          <w:iCs/>
        </w:rPr>
        <w:t xml:space="preserve"> </w:t>
      </w:r>
      <w:proofErr w:type="spellStart"/>
      <w:r w:rsidRPr="006D1B1D">
        <w:rPr>
          <w:i/>
          <w:iCs/>
        </w:rPr>
        <w:t>Space</w:t>
      </w:r>
      <w:proofErr w:type="spellEnd"/>
      <w:r w:rsidRPr="006D1B1D">
        <w:rPr>
          <w:i/>
          <w:iCs/>
        </w:rPr>
        <w:t xml:space="preserve"> </w:t>
      </w:r>
      <w:proofErr w:type="spellStart"/>
      <w:r w:rsidRPr="006D1B1D">
        <w:rPr>
          <w:i/>
          <w:iCs/>
        </w:rPr>
        <w:t>Policy</w:t>
      </w:r>
      <w:proofErr w:type="spellEnd"/>
    </w:p>
  </w:footnote>
  <w:footnote w:id="12">
    <w:p w:rsidR="00821038" w:rsidRDefault="00821038" w:rsidP="001D26BC">
      <w:pPr>
        <w:pStyle w:val="FootnoteText"/>
      </w:pPr>
      <w:r>
        <w:rPr>
          <w:rStyle w:val="FootnoteReference"/>
        </w:rPr>
        <w:footnoteRef/>
      </w:r>
      <w:r>
        <w:t xml:space="preserve"> </w:t>
      </w:r>
      <w:proofErr w:type="spellStart"/>
      <w:r w:rsidRPr="006D1B1D">
        <w:rPr>
          <w:i/>
          <w:iCs/>
        </w:rPr>
        <w:t>Science</w:t>
      </w:r>
      <w:proofErr w:type="spellEnd"/>
      <w:r w:rsidRPr="006D1B1D">
        <w:rPr>
          <w:i/>
          <w:iCs/>
        </w:rPr>
        <w:t xml:space="preserve"> </w:t>
      </w:r>
      <w:proofErr w:type="spellStart"/>
      <w:r w:rsidRPr="006D1B1D">
        <w:rPr>
          <w:i/>
          <w:iCs/>
        </w:rPr>
        <w:t>and</w:t>
      </w:r>
      <w:proofErr w:type="spellEnd"/>
      <w:r w:rsidRPr="006D1B1D">
        <w:rPr>
          <w:i/>
          <w:iCs/>
        </w:rPr>
        <w:t xml:space="preserve"> </w:t>
      </w:r>
      <w:proofErr w:type="spellStart"/>
      <w:r w:rsidRPr="006D1B1D">
        <w:rPr>
          <w:i/>
          <w:iCs/>
        </w:rPr>
        <w:t>Engineering</w:t>
      </w:r>
      <w:proofErr w:type="spellEnd"/>
      <w:r w:rsidRPr="006D1B1D">
        <w:rPr>
          <w:i/>
          <w:iCs/>
        </w:rPr>
        <w:t xml:space="preserve"> </w:t>
      </w:r>
      <w:proofErr w:type="spellStart"/>
      <w:r w:rsidRPr="006D1B1D">
        <w:rPr>
          <w:i/>
          <w:iCs/>
        </w:rPr>
        <w:t>Indicators</w:t>
      </w:r>
      <w:proofErr w:type="spellEnd"/>
      <w:r w:rsidRPr="006D1B1D">
        <w:rPr>
          <w:i/>
          <w:iCs/>
        </w:rPr>
        <w:t xml:space="preserve"> 2010, IHS </w:t>
      </w:r>
      <w:proofErr w:type="spellStart"/>
      <w:r w:rsidRPr="006D1B1D">
        <w:rPr>
          <w:i/>
          <w:iCs/>
        </w:rPr>
        <w:t>Global</w:t>
      </w:r>
      <w:proofErr w:type="spellEnd"/>
      <w:r w:rsidRPr="006D1B1D">
        <w:rPr>
          <w:i/>
          <w:iCs/>
        </w:rPr>
        <w:t xml:space="preserve"> </w:t>
      </w:r>
      <w:proofErr w:type="spellStart"/>
      <w:r w:rsidRPr="006D1B1D">
        <w:rPr>
          <w:i/>
          <w:iCs/>
        </w:rPr>
        <w:t>Insight</w:t>
      </w:r>
      <w:proofErr w:type="spellEnd"/>
      <w:r w:rsidRPr="006D1B1D">
        <w:rPr>
          <w:i/>
          <w:iCs/>
        </w:rPr>
        <w:t xml:space="preserve">, </w:t>
      </w:r>
      <w:proofErr w:type="spellStart"/>
      <w:r w:rsidRPr="006D1B1D">
        <w:rPr>
          <w:i/>
          <w:iCs/>
        </w:rPr>
        <w:t>World</w:t>
      </w:r>
      <w:proofErr w:type="spellEnd"/>
      <w:r w:rsidRPr="006D1B1D">
        <w:rPr>
          <w:i/>
          <w:iCs/>
        </w:rPr>
        <w:t xml:space="preserve"> </w:t>
      </w:r>
      <w:proofErr w:type="spellStart"/>
      <w:r w:rsidRPr="006D1B1D">
        <w:rPr>
          <w:i/>
          <w:iCs/>
        </w:rPr>
        <w:t>Industry</w:t>
      </w:r>
      <w:proofErr w:type="spellEnd"/>
      <w:r w:rsidRPr="006D1B1D">
        <w:rPr>
          <w:i/>
          <w:iCs/>
        </w:rPr>
        <w:t xml:space="preserve"> </w:t>
      </w:r>
      <w:proofErr w:type="spellStart"/>
      <w:r w:rsidRPr="006D1B1D">
        <w:rPr>
          <w:i/>
          <w:iCs/>
        </w:rPr>
        <w:t>Service</w:t>
      </w:r>
      <w:proofErr w:type="spellEnd"/>
      <w:r w:rsidRPr="006D1B1D">
        <w:rPr>
          <w:i/>
          <w:iCs/>
        </w:rPr>
        <w:t xml:space="preserve"> </w:t>
      </w:r>
      <w:proofErr w:type="spellStart"/>
      <w:r w:rsidRPr="006D1B1D">
        <w:rPr>
          <w:i/>
          <w:iCs/>
        </w:rPr>
        <w:t>database</w:t>
      </w:r>
      <w:proofErr w:type="spellEnd"/>
    </w:p>
  </w:footnote>
  <w:footnote w:id="13">
    <w:p w:rsidR="00821038" w:rsidRDefault="00821038" w:rsidP="001D26BC">
      <w:pPr>
        <w:pStyle w:val="FootnoteText"/>
      </w:pPr>
      <w:r>
        <w:rPr>
          <w:rStyle w:val="FootnoteReference"/>
        </w:rPr>
        <w:footnoteRef/>
      </w:r>
      <w:r>
        <w:t xml:space="preserve"> </w:t>
      </w:r>
      <w:proofErr w:type="spellStart"/>
      <w:r w:rsidRPr="003038D0">
        <w:rPr>
          <w:bCs/>
          <w:szCs w:val="24"/>
        </w:rPr>
        <w:t>Space</w:t>
      </w:r>
      <w:proofErr w:type="spellEnd"/>
      <w:r w:rsidRPr="003038D0">
        <w:rPr>
          <w:bCs/>
          <w:szCs w:val="24"/>
        </w:rPr>
        <w:t xml:space="preserve"> </w:t>
      </w:r>
      <w:proofErr w:type="spellStart"/>
      <w:r w:rsidRPr="003038D0">
        <w:rPr>
          <w:bCs/>
          <w:szCs w:val="24"/>
        </w:rPr>
        <w:t>Exploration</w:t>
      </w:r>
      <w:proofErr w:type="spellEnd"/>
      <w:r w:rsidRPr="003038D0">
        <w:rPr>
          <w:bCs/>
          <w:szCs w:val="24"/>
        </w:rPr>
        <w:t xml:space="preserve">, a </w:t>
      </w:r>
      <w:proofErr w:type="spellStart"/>
      <w:r w:rsidRPr="003038D0">
        <w:rPr>
          <w:bCs/>
          <w:szCs w:val="24"/>
        </w:rPr>
        <w:t>new</w:t>
      </w:r>
      <w:proofErr w:type="spellEnd"/>
      <w:r w:rsidRPr="003038D0">
        <w:rPr>
          <w:bCs/>
          <w:szCs w:val="24"/>
        </w:rPr>
        <w:t xml:space="preserve"> </w:t>
      </w:r>
      <w:proofErr w:type="spellStart"/>
      <w:r w:rsidRPr="003038D0">
        <w:rPr>
          <w:bCs/>
          <w:szCs w:val="24"/>
        </w:rPr>
        <w:t>European</w:t>
      </w:r>
      <w:proofErr w:type="spellEnd"/>
      <w:r w:rsidRPr="003038D0">
        <w:rPr>
          <w:bCs/>
          <w:szCs w:val="24"/>
        </w:rPr>
        <w:t xml:space="preserve"> </w:t>
      </w:r>
      <w:proofErr w:type="spellStart"/>
      <w:r w:rsidRPr="003038D0">
        <w:rPr>
          <w:bCs/>
          <w:szCs w:val="24"/>
        </w:rPr>
        <w:t>flagship</w:t>
      </w:r>
      <w:proofErr w:type="spellEnd"/>
      <w:r w:rsidRPr="003038D0">
        <w:rPr>
          <w:bCs/>
          <w:szCs w:val="24"/>
        </w:rPr>
        <w:t xml:space="preserve"> </w:t>
      </w:r>
      <w:proofErr w:type="spellStart"/>
      <w:r w:rsidRPr="003038D0">
        <w:rPr>
          <w:bCs/>
          <w:szCs w:val="24"/>
        </w:rPr>
        <w:t>Programme</w:t>
      </w:r>
      <w:proofErr w:type="spellEnd"/>
      <w:r w:rsidRPr="003038D0">
        <w:rPr>
          <w:bCs/>
          <w:szCs w:val="24"/>
        </w:rPr>
        <w:t xml:space="preserve"> </w:t>
      </w:r>
      <w:proofErr w:type="spellStart"/>
      <w:r w:rsidRPr="003038D0">
        <w:rPr>
          <w:szCs w:val="24"/>
        </w:rPr>
        <w:t>Space</w:t>
      </w:r>
      <w:proofErr w:type="spellEnd"/>
      <w:r w:rsidRPr="003038D0">
        <w:rPr>
          <w:szCs w:val="24"/>
        </w:rPr>
        <w:t xml:space="preserve"> </w:t>
      </w:r>
      <w:proofErr w:type="spellStart"/>
      <w:r w:rsidRPr="003038D0">
        <w:rPr>
          <w:szCs w:val="24"/>
        </w:rPr>
        <w:t>Advisory</w:t>
      </w:r>
      <w:proofErr w:type="spellEnd"/>
      <w:r w:rsidRPr="003038D0">
        <w:rPr>
          <w:szCs w:val="24"/>
        </w:rPr>
        <w:t xml:space="preserve"> </w:t>
      </w:r>
      <w:proofErr w:type="spellStart"/>
      <w:r w:rsidRPr="003038D0">
        <w:rPr>
          <w:szCs w:val="24"/>
        </w:rPr>
        <w:t>Group</w:t>
      </w:r>
      <w:proofErr w:type="spellEnd"/>
      <w:r w:rsidRPr="003038D0">
        <w:rPr>
          <w:szCs w:val="24"/>
        </w:rPr>
        <w:t xml:space="preserve"> </w:t>
      </w:r>
      <w:proofErr w:type="spellStart"/>
      <w:r w:rsidRPr="003038D0">
        <w:rPr>
          <w:szCs w:val="24"/>
        </w:rPr>
        <w:t>of</w:t>
      </w:r>
      <w:proofErr w:type="spellEnd"/>
      <w:r w:rsidRPr="003038D0">
        <w:rPr>
          <w:szCs w:val="24"/>
        </w:rPr>
        <w:t xml:space="preserve"> </w:t>
      </w:r>
      <w:proofErr w:type="spellStart"/>
      <w:r w:rsidRPr="003038D0">
        <w:rPr>
          <w:szCs w:val="24"/>
        </w:rPr>
        <w:t>the</w:t>
      </w:r>
      <w:proofErr w:type="spellEnd"/>
      <w:r w:rsidRPr="003038D0">
        <w:rPr>
          <w:szCs w:val="24"/>
        </w:rPr>
        <w:t xml:space="preserve"> </w:t>
      </w:r>
      <w:proofErr w:type="spellStart"/>
      <w:r w:rsidRPr="003038D0">
        <w:rPr>
          <w:szCs w:val="24"/>
        </w:rPr>
        <w:t>European</w:t>
      </w:r>
      <w:proofErr w:type="spellEnd"/>
      <w:r w:rsidRPr="003038D0">
        <w:rPr>
          <w:szCs w:val="24"/>
        </w:rPr>
        <w:t xml:space="preserve"> </w:t>
      </w:r>
      <w:proofErr w:type="spellStart"/>
      <w:r w:rsidRPr="003038D0">
        <w:rPr>
          <w:szCs w:val="24"/>
        </w:rPr>
        <w:t>Commission</w:t>
      </w:r>
      <w:proofErr w:type="spellEnd"/>
      <w:r w:rsidRPr="003038D0">
        <w:rPr>
          <w:szCs w:val="24"/>
        </w:rPr>
        <w:t xml:space="preserve">, </w:t>
      </w:r>
      <w:proofErr w:type="spellStart"/>
      <w:r w:rsidRPr="003038D0">
        <w:rPr>
          <w:szCs w:val="24"/>
        </w:rPr>
        <w:t>Framework</w:t>
      </w:r>
      <w:proofErr w:type="spellEnd"/>
      <w:r w:rsidRPr="003038D0">
        <w:rPr>
          <w:szCs w:val="24"/>
        </w:rPr>
        <w:t xml:space="preserve"> </w:t>
      </w:r>
      <w:proofErr w:type="spellStart"/>
      <w:r w:rsidRPr="003038D0">
        <w:rPr>
          <w:szCs w:val="24"/>
        </w:rPr>
        <w:t>Programme</w:t>
      </w:r>
      <w:proofErr w:type="spellEnd"/>
      <w:r w:rsidRPr="003038D0">
        <w:rPr>
          <w:szCs w:val="24"/>
        </w:rPr>
        <w:t xml:space="preserve"> 7 – </w:t>
      </w:r>
      <w:proofErr w:type="spellStart"/>
      <w:r w:rsidRPr="003038D0">
        <w:rPr>
          <w:szCs w:val="24"/>
        </w:rPr>
        <w:t>Space</w:t>
      </w:r>
      <w:proofErr w:type="spellEnd"/>
      <w:r w:rsidRPr="003038D0">
        <w:rPr>
          <w:szCs w:val="24"/>
        </w:rPr>
        <w:t xml:space="preserve"> </w:t>
      </w:r>
      <w:proofErr w:type="spellStart"/>
      <w:r w:rsidRPr="003038D0">
        <w:rPr>
          <w:szCs w:val="24"/>
        </w:rPr>
        <w:t>Theme</w:t>
      </w:r>
      <w:proofErr w:type="spellEnd"/>
      <w:r>
        <w:rPr>
          <w:szCs w:val="24"/>
        </w:rPr>
        <w:t xml:space="preserve"> </w:t>
      </w:r>
      <w:r w:rsidRPr="003038D0">
        <w:rPr>
          <w:szCs w:val="24"/>
        </w:rPr>
        <w:t xml:space="preserve">10 </w:t>
      </w:r>
      <w:proofErr w:type="spellStart"/>
      <w:r w:rsidRPr="003038D0">
        <w:rPr>
          <w:szCs w:val="24"/>
        </w:rPr>
        <w:t>October</w:t>
      </w:r>
      <w:proofErr w:type="spellEnd"/>
      <w:r w:rsidRPr="003038D0">
        <w:rPr>
          <w:szCs w:val="24"/>
        </w:rPr>
        <w:t xml:space="preserve"> 2010 http://ec.europa.eu/enterprise/newsroom/cf/_getdocument.cfm?doc_id=6195</w:t>
      </w:r>
    </w:p>
  </w:footnote>
  <w:footnote w:id="14">
    <w:p w:rsidR="00821038" w:rsidRDefault="00821038" w:rsidP="001D26BC">
      <w:pPr>
        <w:pStyle w:val="FootnoteText"/>
      </w:pPr>
      <w:r>
        <w:rPr>
          <w:rStyle w:val="FootnoteReference"/>
        </w:rPr>
        <w:footnoteRef/>
      </w:r>
      <w:r>
        <w:t xml:space="preserve"> </w:t>
      </w:r>
      <w:proofErr w:type="spellStart"/>
      <w:r w:rsidRPr="00AC1662">
        <w:rPr>
          <w:bCs/>
        </w:rPr>
        <w:t>The</w:t>
      </w:r>
      <w:proofErr w:type="spellEnd"/>
      <w:r w:rsidRPr="00AC1662">
        <w:rPr>
          <w:bCs/>
        </w:rPr>
        <w:t xml:space="preserve"> FP7 </w:t>
      </w:r>
      <w:proofErr w:type="spellStart"/>
      <w:r w:rsidRPr="00AC1662">
        <w:rPr>
          <w:bCs/>
        </w:rPr>
        <w:t>Space</w:t>
      </w:r>
      <w:proofErr w:type="spellEnd"/>
      <w:r w:rsidRPr="00AC1662">
        <w:rPr>
          <w:bCs/>
        </w:rPr>
        <w:t xml:space="preserve"> </w:t>
      </w:r>
      <w:proofErr w:type="spellStart"/>
      <w:r w:rsidRPr="00AC1662">
        <w:rPr>
          <w:bCs/>
        </w:rPr>
        <w:t>ProgrammeUKRO</w:t>
      </w:r>
      <w:proofErr w:type="spellEnd"/>
      <w:r w:rsidRPr="00AC1662">
        <w:rPr>
          <w:bCs/>
        </w:rPr>
        <w:t xml:space="preserve"> </w:t>
      </w:r>
      <w:proofErr w:type="spellStart"/>
      <w:r w:rsidRPr="00AC1662">
        <w:rPr>
          <w:bCs/>
        </w:rPr>
        <w:t>Annual</w:t>
      </w:r>
      <w:proofErr w:type="spellEnd"/>
      <w:r w:rsidRPr="00AC1662">
        <w:rPr>
          <w:bCs/>
        </w:rPr>
        <w:t xml:space="preserve"> </w:t>
      </w:r>
      <w:proofErr w:type="spellStart"/>
      <w:r w:rsidRPr="00AC1662">
        <w:rPr>
          <w:bCs/>
        </w:rPr>
        <w:t>Conference</w:t>
      </w:r>
      <w:proofErr w:type="spellEnd"/>
      <w:r w:rsidRPr="00AC1662">
        <w:rPr>
          <w:bCs/>
        </w:rPr>
        <w:t xml:space="preserve"> 2009, </w:t>
      </w:r>
      <w:proofErr w:type="spellStart"/>
      <w:r w:rsidRPr="00AC1662">
        <w:rPr>
          <w:bCs/>
        </w:rPr>
        <w:t>Cardiff</w:t>
      </w:r>
      <w:proofErr w:type="spellEnd"/>
      <w:r w:rsidRPr="00AC1662">
        <w:rPr>
          <w:bCs/>
        </w:rPr>
        <w:t xml:space="preserve">. </w:t>
      </w:r>
      <w:proofErr w:type="spellStart"/>
      <w:r w:rsidRPr="00AC1662">
        <w:t>Richard</w:t>
      </w:r>
      <w:proofErr w:type="spellEnd"/>
      <w:r w:rsidRPr="00AC1662">
        <w:t xml:space="preserve"> </w:t>
      </w:r>
      <w:proofErr w:type="spellStart"/>
      <w:r w:rsidRPr="00AC1662">
        <w:t>Gilmore</w:t>
      </w:r>
      <w:proofErr w:type="spellEnd"/>
      <w:r w:rsidRPr="00AC1662">
        <w:t xml:space="preserve">, </w:t>
      </w:r>
      <w:proofErr w:type="spellStart"/>
      <w:r w:rsidRPr="00AC1662">
        <w:t>Space</w:t>
      </w:r>
      <w:proofErr w:type="spellEnd"/>
      <w:r w:rsidRPr="00AC1662">
        <w:t xml:space="preserve"> </w:t>
      </w:r>
      <w:proofErr w:type="spellStart"/>
      <w:r w:rsidRPr="00AC1662">
        <w:t>Research</w:t>
      </w:r>
      <w:proofErr w:type="spellEnd"/>
      <w:r w:rsidRPr="00AC1662">
        <w:t xml:space="preserve"> </w:t>
      </w:r>
      <w:proofErr w:type="spellStart"/>
      <w:r w:rsidRPr="00AC1662">
        <w:t>and</w:t>
      </w:r>
      <w:proofErr w:type="spellEnd"/>
      <w:r w:rsidRPr="00AC1662">
        <w:t xml:space="preserve"> </w:t>
      </w:r>
      <w:proofErr w:type="spellStart"/>
      <w:r w:rsidRPr="00AC1662">
        <w:t>Development</w:t>
      </w:r>
      <w:proofErr w:type="spellEnd"/>
      <w:r w:rsidRPr="00AC1662">
        <w:t xml:space="preserve"> </w:t>
      </w:r>
      <w:proofErr w:type="spellStart"/>
      <w:r w:rsidRPr="00AC1662">
        <w:t>Unit</w:t>
      </w:r>
      <w:proofErr w:type="spellEnd"/>
      <w:r w:rsidRPr="00AC1662">
        <w:t xml:space="preserve">, DG </w:t>
      </w:r>
      <w:proofErr w:type="spellStart"/>
      <w:r w:rsidRPr="00AC1662">
        <w:t>Enterprise</w:t>
      </w:r>
      <w:proofErr w:type="spellEnd"/>
      <w:r w:rsidRPr="00AC1662">
        <w:t xml:space="preserve"> </w:t>
      </w:r>
      <w:proofErr w:type="spellStart"/>
      <w:r w:rsidRPr="00AC1662">
        <w:t>and</w:t>
      </w:r>
      <w:proofErr w:type="spellEnd"/>
      <w:r w:rsidRPr="00AC1662">
        <w:t xml:space="preserve"> </w:t>
      </w:r>
      <w:proofErr w:type="spellStart"/>
      <w:r w:rsidRPr="00AC1662">
        <w:t>Industry</w:t>
      </w:r>
      <w:proofErr w:type="spellEnd"/>
    </w:p>
  </w:footnote>
  <w:footnote w:id="15">
    <w:p w:rsidR="00821038" w:rsidRDefault="00821038" w:rsidP="001D26BC">
      <w:pPr>
        <w:pStyle w:val="FootnoteText"/>
      </w:pPr>
      <w:r>
        <w:rPr>
          <w:rStyle w:val="FootnoteReference"/>
        </w:rPr>
        <w:footnoteRef/>
      </w:r>
      <w:r>
        <w:t xml:space="preserve"> </w:t>
      </w:r>
      <w:proofErr w:type="spellStart"/>
      <w:r w:rsidRPr="00D6710E">
        <w:rPr>
          <w:bCs/>
        </w:rPr>
        <w:t>Supporting</w:t>
      </w:r>
      <w:proofErr w:type="spellEnd"/>
      <w:r w:rsidRPr="00D6710E">
        <w:rPr>
          <w:bCs/>
        </w:rPr>
        <w:t xml:space="preserve"> EU </w:t>
      </w:r>
      <w:proofErr w:type="spellStart"/>
      <w:r w:rsidRPr="00D6710E">
        <w:rPr>
          <w:bCs/>
        </w:rPr>
        <w:t>Space</w:t>
      </w:r>
      <w:proofErr w:type="spellEnd"/>
      <w:r w:rsidRPr="00D6710E">
        <w:rPr>
          <w:bCs/>
        </w:rPr>
        <w:t xml:space="preserve"> </w:t>
      </w:r>
      <w:proofErr w:type="spellStart"/>
      <w:r w:rsidRPr="00D6710E">
        <w:rPr>
          <w:bCs/>
        </w:rPr>
        <w:t>Policy</w:t>
      </w:r>
      <w:proofErr w:type="spellEnd"/>
      <w:r w:rsidRPr="00D6710E">
        <w:rPr>
          <w:bCs/>
        </w:rPr>
        <w:t xml:space="preserve">. </w:t>
      </w:r>
      <w:proofErr w:type="spellStart"/>
      <w:r w:rsidRPr="00D6710E">
        <w:t>Philippe</w:t>
      </w:r>
      <w:proofErr w:type="spellEnd"/>
      <w:r w:rsidRPr="00D6710E">
        <w:t xml:space="preserve"> </w:t>
      </w:r>
      <w:proofErr w:type="spellStart"/>
      <w:r w:rsidRPr="00D6710E">
        <w:t>Maystadt</w:t>
      </w:r>
      <w:proofErr w:type="spellEnd"/>
      <w:r w:rsidRPr="00D6710E">
        <w:t xml:space="preserve">, </w:t>
      </w:r>
      <w:proofErr w:type="spellStart"/>
      <w:r w:rsidRPr="00D6710E">
        <w:t>President</w:t>
      </w:r>
      <w:proofErr w:type="spellEnd"/>
      <w:r w:rsidRPr="00D6710E">
        <w:t xml:space="preserve"> </w:t>
      </w:r>
      <w:proofErr w:type="spellStart"/>
      <w:r w:rsidRPr="00D6710E">
        <w:t>of</w:t>
      </w:r>
      <w:proofErr w:type="spellEnd"/>
      <w:r w:rsidRPr="00D6710E">
        <w:t xml:space="preserve"> </w:t>
      </w:r>
      <w:proofErr w:type="spellStart"/>
      <w:r w:rsidRPr="00D6710E">
        <w:t>European</w:t>
      </w:r>
      <w:proofErr w:type="spellEnd"/>
      <w:r w:rsidRPr="00D6710E">
        <w:t xml:space="preserve"> </w:t>
      </w:r>
      <w:proofErr w:type="spellStart"/>
      <w:r w:rsidRPr="00D6710E">
        <w:t>Investment</w:t>
      </w:r>
      <w:proofErr w:type="spellEnd"/>
      <w:r w:rsidRPr="00D6710E">
        <w:t xml:space="preserve"> </w:t>
      </w:r>
      <w:proofErr w:type="spellStart"/>
      <w:r w:rsidRPr="00D6710E">
        <w:t>Bank</w:t>
      </w:r>
      <w:proofErr w:type="spellEnd"/>
      <w:r w:rsidRPr="00D6710E">
        <w:t xml:space="preserve">. </w:t>
      </w:r>
      <w:r w:rsidRPr="00D6710E">
        <w:rPr>
          <w:bCs/>
        </w:rPr>
        <w:t>“</w:t>
      </w:r>
      <w:proofErr w:type="spellStart"/>
      <w:r w:rsidRPr="00D6710E">
        <w:rPr>
          <w:bCs/>
        </w:rPr>
        <w:t>The</w:t>
      </w:r>
      <w:proofErr w:type="spellEnd"/>
      <w:r w:rsidRPr="00D6710E">
        <w:rPr>
          <w:bCs/>
        </w:rPr>
        <w:t xml:space="preserve"> </w:t>
      </w:r>
      <w:proofErr w:type="spellStart"/>
      <w:r w:rsidRPr="00D6710E">
        <w:rPr>
          <w:bCs/>
        </w:rPr>
        <w:t>Ambitions</w:t>
      </w:r>
      <w:proofErr w:type="spellEnd"/>
      <w:r w:rsidRPr="00D6710E">
        <w:rPr>
          <w:bCs/>
        </w:rPr>
        <w:t xml:space="preserve"> </w:t>
      </w:r>
      <w:proofErr w:type="spellStart"/>
      <w:r w:rsidRPr="00D6710E">
        <w:rPr>
          <w:bCs/>
        </w:rPr>
        <w:t>of</w:t>
      </w:r>
      <w:proofErr w:type="spellEnd"/>
      <w:r w:rsidRPr="00D6710E">
        <w:rPr>
          <w:bCs/>
        </w:rPr>
        <w:t xml:space="preserve"> </w:t>
      </w:r>
      <w:proofErr w:type="spellStart"/>
      <w:r w:rsidRPr="00D6710E">
        <w:rPr>
          <w:bCs/>
        </w:rPr>
        <w:t>Europe</w:t>
      </w:r>
      <w:proofErr w:type="spellEnd"/>
      <w:r w:rsidRPr="00D6710E">
        <w:rPr>
          <w:bCs/>
        </w:rPr>
        <w:t xml:space="preserve"> </w:t>
      </w:r>
      <w:proofErr w:type="spellStart"/>
      <w:r w:rsidRPr="00D6710E">
        <w:rPr>
          <w:bCs/>
        </w:rPr>
        <w:t>in</w:t>
      </w:r>
      <w:proofErr w:type="spellEnd"/>
      <w:r w:rsidRPr="00D6710E">
        <w:rPr>
          <w:bCs/>
        </w:rPr>
        <w:t xml:space="preserve"> </w:t>
      </w:r>
      <w:proofErr w:type="spellStart"/>
      <w:r w:rsidRPr="00D6710E">
        <w:rPr>
          <w:bCs/>
        </w:rPr>
        <w:t>Space</w:t>
      </w:r>
      <w:proofErr w:type="spellEnd"/>
      <w:r w:rsidRPr="00D6710E">
        <w:rPr>
          <w:bCs/>
        </w:rPr>
        <w:t xml:space="preserve">” </w:t>
      </w:r>
      <w:proofErr w:type="spellStart"/>
      <w:r w:rsidRPr="00D6710E">
        <w:rPr>
          <w:bCs/>
        </w:rPr>
        <w:t>Conference</w:t>
      </w:r>
      <w:proofErr w:type="spellEnd"/>
      <w:r w:rsidRPr="00D6710E">
        <w:rPr>
          <w:bCs/>
        </w:rPr>
        <w:t xml:space="preserve">; </w:t>
      </w:r>
      <w:proofErr w:type="spellStart"/>
      <w:r w:rsidRPr="00D6710E">
        <w:rPr>
          <w:bCs/>
        </w:rPr>
        <w:t>Brussels</w:t>
      </w:r>
      <w:proofErr w:type="spellEnd"/>
      <w:r w:rsidRPr="00D6710E">
        <w:rPr>
          <w:bCs/>
        </w:rPr>
        <w:t xml:space="preserve">, 15 </w:t>
      </w:r>
      <w:proofErr w:type="spellStart"/>
      <w:r w:rsidRPr="00D6710E">
        <w:rPr>
          <w:bCs/>
        </w:rPr>
        <w:t>October</w:t>
      </w:r>
      <w:proofErr w:type="spellEnd"/>
      <w:r w:rsidRPr="00D6710E">
        <w:rPr>
          <w:bCs/>
        </w:rPr>
        <w:t xml:space="preserve"> 2009</w:t>
      </w:r>
    </w:p>
  </w:footnote>
  <w:footnote w:id="16">
    <w:p w:rsidR="00821038" w:rsidRPr="000E3820" w:rsidRDefault="00821038" w:rsidP="001D26BC">
      <w:pPr>
        <w:pStyle w:val="FootnoteText"/>
        <w:jc w:val="both"/>
      </w:pPr>
      <w:r w:rsidRPr="000E3820">
        <w:rPr>
          <w:rStyle w:val="FootnoteReference"/>
        </w:rPr>
        <w:footnoteRef/>
      </w:r>
      <w:r w:rsidRPr="000E3820">
        <w:t xml:space="preserve"> </w:t>
      </w:r>
      <w:proofErr w:type="spellStart"/>
      <w:r w:rsidRPr="000E3820">
        <w:t>Technical</w:t>
      </w:r>
      <w:proofErr w:type="spellEnd"/>
      <w:r w:rsidRPr="000E3820">
        <w:t xml:space="preserve"> </w:t>
      </w:r>
      <w:proofErr w:type="spellStart"/>
      <w:r w:rsidRPr="000E3820">
        <w:t>ego</w:t>
      </w:r>
      <w:proofErr w:type="spellEnd"/>
      <w:r w:rsidRPr="000E3820">
        <w:t xml:space="preserve">: </w:t>
      </w:r>
      <w:proofErr w:type="spellStart"/>
      <w:r w:rsidRPr="000E3820">
        <w:t>India</w:t>
      </w:r>
      <w:proofErr w:type="spellEnd"/>
      <w:r w:rsidRPr="000E3820">
        <w:t xml:space="preserve"> </w:t>
      </w:r>
      <w:proofErr w:type="spellStart"/>
      <w:r w:rsidRPr="000E3820">
        <w:t>and</w:t>
      </w:r>
      <w:proofErr w:type="spellEnd"/>
      <w:r w:rsidRPr="000E3820">
        <w:t xml:space="preserve"> </w:t>
      </w:r>
      <w:proofErr w:type="spellStart"/>
      <w:r w:rsidRPr="000E3820">
        <w:t>Germany</w:t>
      </w:r>
      <w:proofErr w:type="spellEnd"/>
      <w:r w:rsidRPr="000E3820">
        <w:t xml:space="preserve"> </w:t>
      </w:r>
      <w:proofErr w:type="spellStart"/>
      <w:r w:rsidRPr="000E3820">
        <w:t>in</w:t>
      </w:r>
      <w:proofErr w:type="spellEnd"/>
      <w:r w:rsidRPr="000E3820">
        <w:t xml:space="preserve"> </w:t>
      </w:r>
      <w:proofErr w:type="spellStart"/>
      <w:r w:rsidRPr="000E3820">
        <w:t>space</w:t>
      </w:r>
      <w:proofErr w:type="spellEnd"/>
      <w:r w:rsidRPr="000E3820">
        <w:t xml:space="preserve">. </w:t>
      </w:r>
      <w:bookmarkStart w:id="34" w:name="_Toc277614443"/>
      <w:proofErr w:type="spellStart"/>
      <w:r w:rsidRPr="000E3820">
        <w:rPr>
          <w:iCs/>
        </w:rPr>
        <w:t>by</w:t>
      </w:r>
      <w:proofErr w:type="spellEnd"/>
      <w:r w:rsidRPr="000E3820">
        <w:rPr>
          <w:iCs/>
        </w:rPr>
        <w:t xml:space="preserve"> </w:t>
      </w:r>
      <w:proofErr w:type="spellStart"/>
      <w:r w:rsidRPr="000E3820">
        <w:rPr>
          <w:iCs/>
        </w:rPr>
        <w:t>Dwayne</w:t>
      </w:r>
      <w:proofErr w:type="spellEnd"/>
      <w:r w:rsidRPr="000E3820">
        <w:rPr>
          <w:iCs/>
        </w:rPr>
        <w:t xml:space="preserve"> A. </w:t>
      </w:r>
      <w:proofErr w:type="spellStart"/>
      <w:r w:rsidRPr="000E3820">
        <w:rPr>
          <w:iCs/>
        </w:rPr>
        <w:t>Day</w:t>
      </w:r>
      <w:proofErr w:type="spellEnd"/>
      <w:r w:rsidRPr="000E3820">
        <w:rPr>
          <w:iCs/>
        </w:rPr>
        <w:t xml:space="preserve"> </w:t>
      </w:r>
      <w:proofErr w:type="spellStart"/>
      <w:r w:rsidRPr="000E3820">
        <w:rPr>
          <w:rStyle w:val="datetime1"/>
          <w:bCs/>
          <w:i w:val="0"/>
        </w:rPr>
        <w:t>Monday</w:t>
      </w:r>
      <w:proofErr w:type="spellEnd"/>
      <w:r w:rsidRPr="000E3820">
        <w:rPr>
          <w:rStyle w:val="datetime1"/>
          <w:bCs/>
          <w:i w:val="0"/>
        </w:rPr>
        <w:t xml:space="preserve">, </w:t>
      </w:r>
      <w:proofErr w:type="spellStart"/>
      <w:r w:rsidRPr="000E3820">
        <w:rPr>
          <w:rStyle w:val="datetime1"/>
          <w:bCs/>
          <w:i w:val="0"/>
        </w:rPr>
        <w:t>December</w:t>
      </w:r>
      <w:proofErr w:type="spellEnd"/>
      <w:r w:rsidRPr="000E3820">
        <w:rPr>
          <w:rStyle w:val="datetime1"/>
          <w:bCs/>
        </w:rPr>
        <w:t xml:space="preserve"> 8, 2008</w:t>
      </w:r>
      <w:bookmarkEnd w:id="34"/>
      <w:r w:rsidRPr="000E3820">
        <w:rPr>
          <w:rStyle w:val="datetime1"/>
          <w:bCs/>
        </w:rPr>
        <w:t xml:space="preserve">. </w:t>
      </w:r>
      <w:hyperlink r:id="rId1" w:history="1">
        <w:r w:rsidRPr="004024FE">
          <w:rPr>
            <w:rStyle w:val="Hyperlink"/>
          </w:rPr>
          <w:t>http://www.thespacereview.com/article/1265/1</w:t>
        </w:r>
      </w:hyperlink>
    </w:p>
  </w:footnote>
  <w:footnote w:id="17">
    <w:p w:rsidR="00821038" w:rsidRPr="00513534" w:rsidRDefault="00821038" w:rsidP="001D26BC">
      <w:pPr>
        <w:pStyle w:val="CommentText"/>
        <w:rPr>
          <w:lang w:val="lv-LV"/>
        </w:rPr>
      </w:pPr>
      <w:r>
        <w:rPr>
          <w:rStyle w:val="FootnoteReference"/>
        </w:rPr>
        <w:footnoteRef/>
      </w:r>
      <w:r>
        <w:t xml:space="preserve"> Case for Space, </w:t>
      </w:r>
      <w:r w:rsidRPr="000520FA">
        <w:rPr>
          <w:lang w:val="lv-LV"/>
        </w:rPr>
        <w:t>publicēts</w:t>
      </w:r>
      <w:r>
        <w:t xml:space="preserve"> 2009.gadā, </w:t>
      </w:r>
      <w:r w:rsidRPr="000520FA">
        <w:rPr>
          <w:lang w:val="lv-LV"/>
        </w:rPr>
        <w:t>konstatē globālo t</w:t>
      </w:r>
      <w:r>
        <w:rPr>
          <w:lang w:val="lv-LV"/>
        </w:rPr>
        <w:t>irgu 250 miljardu dolāru apmērā</w:t>
      </w:r>
    </w:p>
  </w:footnote>
  <w:footnote w:id="18">
    <w:p w:rsidR="00821038" w:rsidRDefault="00821038" w:rsidP="001D26BC">
      <w:pPr>
        <w:pStyle w:val="FootnoteText"/>
      </w:pPr>
      <w:r>
        <w:rPr>
          <w:rStyle w:val="FootnoteReference"/>
          <w:rFonts w:eastAsia="Calibri"/>
        </w:rPr>
        <w:footnoteRef/>
      </w:r>
      <w:r>
        <w:t xml:space="preserve"> </w:t>
      </w:r>
      <w:proofErr w:type="spellStart"/>
      <w:r>
        <w:t>Bildt</w:t>
      </w:r>
      <w:proofErr w:type="spellEnd"/>
      <w:r>
        <w:t xml:space="preserve"> C., </w:t>
      </w:r>
      <w:proofErr w:type="spellStart"/>
      <w:r>
        <w:t>Dillon</w:t>
      </w:r>
      <w:proofErr w:type="spellEnd"/>
      <w:r>
        <w:t xml:space="preserve"> M., </w:t>
      </w:r>
      <w:proofErr w:type="spellStart"/>
      <w:r>
        <w:t>Keohane</w:t>
      </w:r>
      <w:proofErr w:type="spellEnd"/>
      <w:r>
        <w:t xml:space="preserve"> D., </w:t>
      </w:r>
      <w:proofErr w:type="spellStart"/>
      <w:r>
        <w:t>Valasek</w:t>
      </w:r>
      <w:proofErr w:type="spellEnd"/>
      <w:r>
        <w:t xml:space="preserve"> T. </w:t>
      </w:r>
      <w:proofErr w:type="spellStart"/>
      <w:r>
        <w:t>Europe</w:t>
      </w:r>
      <w:proofErr w:type="spellEnd"/>
      <w:r>
        <w:t xml:space="preserve"> </w:t>
      </w:r>
      <w:proofErr w:type="spellStart"/>
      <w:r>
        <w:t>in</w:t>
      </w:r>
      <w:proofErr w:type="spellEnd"/>
      <w:r>
        <w:t xml:space="preserve"> </w:t>
      </w:r>
      <w:proofErr w:type="spellStart"/>
      <w:r>
        <w:t>Space</w:t>
      </w:r>
      <w:proofErr w:type="spellEnd"/>
      <w:r>
        <w:t xml:space="preserve">. </w:t>
      </w:r>
      <w:proofErr w:type="spellStart"/>
      <w:r>
        <w:t>Centre</w:t>
      </w:r>
      <w:proofErr w:type="spellEnd"/>
      <w:r>
        <w:t xml:space="preserve"> </w:t>
      </w:r>
      <w:proofErr w:type="spellStart"/>
      <w:r>
        <w:t>for</w:t>
      </w:r>
      <w:proofErr w:type="spellEnd"/>
      <w:r>
        <w:t xml:space="preserve"> </w:t>
      </w:r>
      <w:proofErr w:type="spellStart"/>
      <w:r>
        <w:t>European</w:t>
      </w:r>
      <w:proofErr w:type="spellEnd"/>
      <w:r>
        <w:t xml:space="preserve"> </w:t>
      </w:r>
      <w:proofErr w:type="spellStart"/>
      <w:r>
        <w:t>Reform</w:t>
      </w:r>
      <w:proofErr w:type="spellEnd"/>
      <w:r>
        <w:t>, 2004, 46 p.</w:t>
      </w:r>
    </w:p>
  </w:footnote>
  <w:footnote w:id="19">
    <w:p w:rsidR="00821038" w:rsidRDefault="00821038" w:rsidP="001D26BC">
      <w:pPr>
        <w:pStyle w:val="FootnoteText"/>
      </w:pPr>
      <w:r>
        <w:rPr>
          <w:rStyle w:val="FootnoteReference"/>
        </w:rPr>
        <w:footnoteRef/>
      </w:r>
      <w:r>
        <w:t xml:space="preserve"> Turpat.</w:t>
      </w:r>
    </w:p>
  </w:footnote>
  <w:footnote w:id="20">
    <w:p w:rsidR="00821038" w:rsidRDefault="00821038" w:rsidP="001D26BC">
      <w:pPr>
        <w:pStyle w:val="FootnoteText"/>
      </w:pPr>
      <w:r>
        <w:rPr>
          <w:rStyle w:val="FootnoteReference"/>
        </w:rPr>
        <w:footnoteRef/>
      </w:r>
      <w:r>
        <w:t xml:space="preserve"> </w:t>
      </w:r>
      <w:proofErr w:type="spellStart"/>
      <w:r w:rsidRPr="00D939ED">
        <w:rPr>
          <w:bCs/>
        </w:rPr>
        <w:t>China’s</w:t>
      </w:r>
      <w:proofErr w:type="spellEnd"/>
      <w:r w:rsidRPr="00D939ED">
        <w:rPr>
          <w:bCs/>
        </w:rPr>
        <w:t xml:space="preserve"> </w:t>
      </w:r>
      <w:proofErr w:type="spellStart"/>
      <w:r w:rsidRPr="00D939ED">
        <w:rPr>
          <w:bCs/>
        </w:rPr>
        <w:t>Space</w:t>
      </w:r>
      <w:proofErr w:type="spellEnd"/>
      <w:r w:rsidRPr="00D939ED">
        <w:rPr>
          <w:bCs/>
        </w:rPr>
        <w:t xml:space="preserve"> </w:t>
      </w:r>
      <w:proofErr w:type="spellStart"/>
      <w:r w:rsidRPr="00D939ED">
        <w:rPr>
          <w:bCs/>
        </w:rPr>
        <w:t>Program</w:t>
      </w:r>
      <w:proofErr w:type="spellEnd"/>
      <w:r w:rsidRPr="00D939ED">
        <w:rPr>
          <w:bCs/>
        </w:rPr>
        <w:t xml:space="preserve">: </w:t>
      </w:r>
      <w:proofErr w:type="spellStart"/>
      <w:r w:rsidRPr="00D939ED">
        <w:rPr>
          <w:bCs/>
        </w:rPr>
        <w:t>An</w:t>
      </w:r>
      <w:proofErr w:type="spellEnd"/>
      <w:r w:rsidRPr="00D939ED">
        <w:rPr>
          <w:bCs/>
        </w:rPr>
        <w:t xml:space="preserve"> </w:t>
      </w:r>
      <w:proofErr w:type="spellStart"/>
      <w:r w:rsidRPr="00D939ED">
        <w:rPr>
          <w:bCs/>
        </w:rPr>
        <w:t>Overview</w:t>
      </w:r>
      <w:proofErr w:type="spellEnd"/>
      <w:r w:rsidRPr="00D939ED">
        <w:rPr>
          <w:bCs/>
        </w:rPr>
        <w:t>.</w:t>
      </w:r>
      <w:r w:rsidRPr="00350931">
        <w:rPr>
          <w:b/>
          <w:bCs/>
        </w:rPr>
        <w:t xml:space="preserve"> </w:t>
      </w:r>
      <w:proofErr w:type="spellStart"/>
      <w:r w:rsidRPr="00350931">
        <w:t>Marcia</w:t>
      </w:r>
      <w:proofErr w:type="spellEnd"/>
      <w:r w:rsidRPr="00350931">
        <w:t xml:space="preserve"> S. </w:t>
      </w:r>
      <w:proofErr w:type="spellStart"/>
      <w:r w:rsidRPr="00350931">
        <w:t>Smith</w:t>
      </w:r>
      <w:proofErr w:type="spellEnd"/>
      <w:r w:rsidRPr="00350931">
        <w:t xml:space="preserve">, </w:t>
      </w:r>
      <w:proofErr w:type="spellStart"/>
      <w:r w:rsidRPr="00350931">
        <w:t>Specialist</w:t>
      </w:r>
      <w:proofErr w:type="spellEnd"/>
      <w:r w:rsidRPr="00350931">
        <w:t xml:space="preserve"> </w:t>
      </w:r>
      <w:proofErr w:type="spellStart"/>
      <w:r w:rsidRPr="00350931">
        <w:t>in</w:t>
      </w:r>
      <w:proofErr w:type="spellEnd"/>
      <w:r w:rsidRPr="00350931">
        <w:t xml:space="preserve"> </w:t>
      </w:r>
      <w:proofErr w:type="spellStart"/>
      <w:r w:rsidRPr="00350931">
        <w:t>Aerospace</w:t>
      </w:r>
      <w:proofErr w:type="spellEnd"/>
      <w:r w:rsidRPr="00350931">
        <w:t xml:space="preserve"> </w:t>
      </w:r>
      <w:proofErr w:type="spellStart"/>
      <w:r w:rsidRPr="00350931">
        <w:t>and</w:t>
      </w:r>
      <w:proofErr w:type="spellEnd"/>
      <w:r w:rsidRPr="00350931">
        <w:t xml:space="preserve"> </w:t>
      </w:r>
      <w:proofErr w:type="spellStart"/>
      <w:r w:rsidRPr="00350931">
        <w:t>Telecommunications</w:t>
      </w:r>
      <w:proofErr w:type="spellEnd"/>
      <w:r w:rsidRPr="00350931">
        <w:t xml:space="preserve"> </w:t>
      </w:r>
      <w:proofErr w:type="spellStart"/>
      <w:r w:rsidRPr="00350931">
        <w:t>Policy</w:t>
      </w:r>
      <w:proofErr w:type="spellEnd"/>
      <w:r w:rsidRPr="00350931">
        <w:t xml:space="preserve"> </w:t>
      </w:r>
      <w:proofErr w:type="spellStart"/>
      <w:r w:rsidRPr="00350931">
        <w:t>Resources</w:t>
      </w:r>
      <w:proofErr w:type="spellEnd"/>
      <w:r w:rsidRPr="00350931">
        <w:t xml:space="preserve">, </w:t>
      </w:r>
      <w:proofErr w:type="spellStart"/>
      <w:r w:rsidRPr="00350931">
        <w:t>Science</w:t>
      </w:r>
      <w:proofErr w:type="spellEnd"/>
      <w:r w:rsidRPr="00350931">
        <w:t xml:space="preserve">, </w:t>
      </w:r>
      <w:proofErr w:type="spellStart"/>
      <w:r w:rsidRPr="00350931">
        <w:t>and</w:t>
      </w:r>
      <w:proofErr w:type="spellEnd"/>
      <w:r w:rsidRPr="00350931">
        <w:t xml:space="preserve"> </w:t>
      </w:r>
      <w:proofErr w:type="spellStart"/>
      <w:r w:rsidRPr="00350931">
        <w:t>Industry</w:t>
      </w:r>
      <w:proofErr w:type="spellEnd"/>
      <w:r w:rsidRPr="00350931">
        <w:t xml:space="preserve"> </w:t>
      </w:r>
      <w:proofErr w:type="spellStart"/>
      <w:r w:rsidRPr="00350931">
        <w:t>Division</w:t>
      </w:r>
      <w:proofErr w:type="spellEnd"/>
      <w:r w:rsidRPr="00350931">
        <w:t xml:space="preserve"> CRS </w:t>
      </w:r>
      <w:proofErr w:type="spellStart"/>
      <w:r w:rsidRPr="00350931">
        <w:t>Report</w:t>
      </w:r>
      <w:proofErr w:type="spellEnd"/>
      <w:r w:rsidRPr="00350931">
        <w:t xml:space="preserve"> </w:t>
      </w:r>
      <w:proofErr w:type="spellStart"/>
      <w:r w:rsidRPr="00350931">
        <w:t>for</w:t>
      </w:r>
      <w:proofErr w:type="spellEnd"/>
      <w:r w:rsidRPr="00350931">
        <w:t xml:space="preserve"> </w:t>
      </w:r>
      <w:proofErr w:type="spellStart"/>
      <w:r w:rsidRPr="00350931">
        <w:t>Congress</w:t>
      </w:r>
      <w:proofErr w:type="spellEnd"/>
      <w:r w:rsidRPr="00350931">
        <w:t xml:space="preserve">, Skatīt </w:t>
      </w:r>
      <w:r w:rsidRPr="00D939ED">
        <w:t>http://www.fas.org/sgp/crs/space/RS21641.pdf</w:t>
      </w:r>
    </w:p>
  </w:footnote>
  <w:footnote w:id="21">
    <w:p w:rsidR="00821038" w:rsidRDefault="00821038" w:rsidP="001D26BC">
      <w:pPr>
        <w:pStyle w:val="FootnoteText"/>
      </w:pPr>
      <w:r>
        <w:rPr>
          <w:rStyle w:val="FootnoteReference"/>
          <w:rFonts w:eastAsia="Calibri"/>
        </w:rPr>
        <w:footnoteRef/>
      </w:r>
      <w:r>
        <w:t xml:space="preserve"> No </w:t>
      </w:r>
      <w:proofErr w:type="spellStart"/>
      <w:r>
        <w:t>Ariane</w:t>
      </w:r>
      <w:proofErr w:type="spellEnd"/>
      <w:r>
        <w:t xml:space="preserve"> – 4 orbītās sekmīgi ievadītajiem 155 satelītiem 139 attiecināmi uz telekomunikāciju nozari, attiecīgi no </w:t>
      </w:r>
      <w:proofErr w:type="spellStart"/>
      <w:r>
        <w:t>Ariane-</w:t>
      </w:r>
      <w:proofErr w:type="spellEnd"/>
      <w:r>
        <w:t xml:space="preserve"> 5 līdz 2005.gada vidum attiecība bija 26 no 39</w:t>
      </w:r>
    </w:p>
  </w:footnote>
  <w:footnote w:id="22">
    <w:p w:rsidR="00821038" w:rsidRDefault="00821038" w:rsidP="001D26BC">
      <w:pPr>
        <w:pStyle w:val="FootnoteText"/>
      </w:pPr>
      <w:r>
        <w:rPr>
          <w:rStyle w:val="FootnoteReference"/>
          <w:rFonts w:eastAsia="Calibri"/>
        </w:rPr>
        <w:footnoteRef/>
      </w:r>
      <w:r>
        <w:t xml:space="preserve"> </w:t>
      </w:r>
      <w:proofErr w:type="spellStart"/>
      <w:r>
        <w:t>Satellite</w:t>
      </w:r>
      <w:proofErr w:type="spellEnd"/>
      <w:r>
        <w:t xml:space="preserve"> </w:t>
      </w:r>
      <w:proofErr w:type="spellStart"/>
      <w:r>
        <w:t>telecommunications</w:t>
      </w:r>
      <w:proofErr w:type="spellEnd"/>
      <w:r>
        <w:t xml:space="preserve"> – </w:t>
      </w:r>
      <w:proofErr w:type="spellStart"/>
      <w:r>
        <w:t>market</w:t>
      </w:r>
      <w:proofErr w:type="spellEnd"/>
      <w:r>
        <w:t xml:space="preserve"> </w:t>
      </w:r>
      <w:proofErr w:type="spellStart"/>
      <w:r>
        <w:t>perspectives</w:t>
      </w:r>
      <w:proofErr w:type="spellEnd"/>
      <w:r>
        <w:t xml:space="preserve"> </w:t>
      </w:r>
      <w:proofErr w:type="spellStart"/>
      <w:r>
        <w:t>and</w:t>
      </w:r>
      <w:proofErr w:type="spellEnd"/>
      <w:r>
        <w:t xml:space="preserve"> </w:t>
      </w:r>
      <w:proofErr w:type="spellStart"/>
      <w:r>
        <w:t>industrial</w:t>
      </w:r>
      <w:proofErr w:type="spellEnd"/>
      <w:r>
        <w:t xml:space="preserve"> </w:t>
      </w:r>
      <w:proofErr w:type="spellStart"/>
      <w:r>
        <w:t>situation</w:t>
      </w:r>
      <w:proofErr w:type="spellEnd"/>
      <w:r>
        <w:t xml:space="preserve">. ESA </w:t>
      </w:r>
      <w:proofErr w:type="spellStart"/>
      <w:r>
        <w:t>Telecommmunications</w:t>
      </w:r>
      <w:proofErr w:type="spellEnd"/>
      <w:r>
        <w:t xml:space="preserve"> </w:t>
      </w:r>
      <w:proofErr w:type="spellStart"/>
      <w:r>
        <w:t>Dept</w:t>
      </w:r>
      <w:proofErr w:type="spellEnd"/>
      <w:r>
        <w:t xml:space="preserve">., BR-254, 2005, </w:t>
      </w:r>
      <w:proofErr w:type="spellStart"/>
      <w:r>
        <w:t>The</w:t>
      </w:r>
      <w:proofErr w:type="spellEnd"/>
      <w:r>
        <w:t xml:space="preserve"> </w:t>
      </w:r>
      <w:proofErr w:type="spellStart"/>
      <w:r>
        <w:t>Netherlands</w:t>
      </w:r>
      <w:proofErr w:type="spellEnd"/>
      <w:r>
        <w:t>, 34 p.</w:t>
      </w:r>
    </w:p>
  </w:footnote>
  <w:footnote w:id="23">
    <w:p w:rsidR="00821038" w:rsidRPr="006D1B1D" w:rsidRDefault="00821038" w:rsidP="001D26BC">
      <w:pPr>
        <w:autoSpaceDE w:val="0"/>
        <w:autoSpaceDN w:val="0"/>
        <w:adjustRightInd w:val="0"/>
        <w:rPr>
          <w:sz w:val="20"/>
          <w:szCs w:val="20"/>
        </w:rPr>
      </w:pPr>
      <w:r>
        <w:rPr>
          <w:rStyle w:val="FootnoteReference"/>
        </w:rPr>
        <w:footnoteRef/>
      </w:r>
      <w:r w:rsidRPr="006D1B1D">
        <w:t xml:space="preserve"> </w:t>
      </w:r>
      <w:r w:rsidRPr="006D1B1D">
        <w:rPr>
          <w:sz w:val="20"/>
          <w:szCs w:val="20"/>
        </w:rPr>
        <w:t xml:space="preserve">Skatīt arī </w:t>
      </w:r>
      <w:proofErr w:type="spellStart"/>
      <w:r w:rsidRPr="006D1B1D">
        <w:rPr>
          <w:sz w:val="20"/>
          <w:szCs w:val="20"/>
        </w:rPr>
        <w:t>European</w:t>
      </w:r>
      <w:proofErr w:type="spellEnd"/>
      <w:r w:rsidRPr="006D1B1D">
        <w:rPr>
          <w:sz w:val="20"/>
          <w:szCs w:val="20"/>
        </w:rPr>
        <w:t xml:space="preserve"> </w:t>
      </w:r>
      <w:proofErr w:type="spellStart"/>
      <w:r w:rsidRPr="006D1B1D">
        <w:rPr>
          <w:sz w:val="20"/>
          <w:szCs w:val="20"/>
        </w:rPr>
        <w:t>Commission</w:t>
      </w:r>
      <w:proofErr w:type="spellEnd"/>
      <w:r w:rsidRPr="006D1B1D">
        <w:rPr>
          <w:sz w:val="20"/>
          <w:szCs w:val="20"/>
        </w:rPr>
        <w:t xml:space="preserve">, </w:t>
      </w:r>
      <w:proofErr w:type="spellStart"/>
      <w:r w:rsidRPr="006D1B1D">
        <w:rPr>
          <w:sz w:val="20"/>
          <w:szCs w:val="20"/>
        </w:rPr>
        <w:t>European</w:t>
      </w:r>
      <w:proofErr w:type="spellEnd"/>
      <w:r w:rsidRPr="006D1B1D">
        <w:rPr>
          <w:sz w:val="20"/>
          <w:szCs w:val="20"/>
        </w:rPr>
        <w:t xml:space="preserve"> </w:t>
      </w:r>
      <w:proofErr w:type="spellStart"/>
      <w:r w:rsidRPr="006D1B1D">
        <w:rPr>
          <w:sz w:val="20"/>
          <w:szCs w:val="20"/>
        </w:rPr>
        <w:t>Space</w:t>
      </w:r>
      <w:proofErr w:type="spellEnd"/>
      <w:r w:rsidRPr="006D1B1D">
        <w:rPr>
          <w:sz w:val="20"/>
          <w:szCs w:val="20"/>
        </w:rPr>
        <w:t xml:space="preserve"> </w:t>
      </w:r>
      <w:proofErr w:type="spellStart"/>
      <w:r w:rsidRPr="006D1B1D">
        <w:rPr>
          <w:sz w:val="20"/>
          <w:szCs w:val="20"/>
        </w:rPr>
        <w:t>Agency</w:t>
      </w:r>
      <w:proofErr w:type="spellEnd"/>
      <w:r w:rsidRPr="006D1B1D">
        <w:rPr>
          <w:sz w:val="20"/>
          <w:szCs w:val="20"/>
        </w:rPr>
        <w:t xml:space="preserve">: </w:t>
      </w:r>
      <w:proofErr w:type="spellStart"/>
      <w:r w:rsidRPr="006D1B1D">
        <w:rPr>
          <w:sz w:val="20"/>
          <w:szCs w:val="20"/>
        </w:rPr>
        <w:t>Business</w:t>
      </w:r>
      <w:proofErr w:type="spellEnd"/>
      <w:r w:rsidRPr="006D1B1D">
        <w:rPr>
          <w:sz w:val="20"/>
          <w:szCs w:val="20"/>
        </w:rPr>
        <w:t xml:space="preserve"> </w:t>
      </w:r>
      <w:proofErr w:type="spellStart"/>
      <w:r w:rsidRPr="006D1B1D">
        <w:rPr>
          <w:sz w:val="20"/>
          <w:szCs w:val="20"/>
        </w:rPr>
        <w:t>In</w:t>
      </w:r>
      <w:proofErr w:type="spellEnd"/>
      <w:r w:rsidRPr="006D1B1D">
        <w:rPr>
          <w:sz w:val="20"/>
          <w:szCs w:val="20"/>
        </w:rPr>
        <w:t xml:space="preserve"> </w:t>
      </w:r>
      <w:proofErr w:type="spellStart"/>
      <w:r w:rsidRPr="006D1B1D">
        <w:rPr>
          <w:sz w:val="20"/>
          <w:szCs w:val="20"/>
        </w:rPr>
        <w:t>Satellite</w:t>
      </w:r>
      <w:proofErr w:type="spellEnd"/>
      <w:r w:rsidRPr="006D1B1D">
        <w:rPr>
          <w:sz w:val="20"/>
          <w:szCs w:val="20"/>
        </w:rPr>
        <w:t xml:space="preserve"> </w:t>
      </w:r>
      <w:proofErr w:type="spellStart"/>
      <w:r w:rsidRPr="006D1B1D">
        <w:rPr>
          <w:sz w:val="20"/>
          <w:szCs w:val="20"/>
        </w:rPr>
        <w:t>Navigation</w:t>
      </w:r>
      <w:proofErr w:type="spellEnd"/>
      <w:r w:rsidRPr="006D1B1D">
        <w:rPr>
          <w:sz w:val="20"/>
          <w:szCs w:val="20"/>
        </w:rPr>
        <w:t xml:space="preserve">: </w:t>
      </w:r>
      <w:proofErr w:type="spellStart"/>
      <w:r w:rsidRPr="006D1B1D">
        <w:rPr>
          <w:sz w:val="20"/>
          <w:szCs w:val="20"/>
        </w:rPr>
        <w:t>An</w:t>
      </w:r>
      <w:proofErr w:type="spellEnd"/>
      <w:r w:rsidRPr="006D1B1D">
        <w:rPr>
          <w:sz w:val="20"/>
          <w:szCs w:val="20"/>
        </w:rPr>
        <w:t xml:space="preserve"> </w:t>
      </w:r>
      <w:proofErr w:type="spellStart"/>
      <w:r w:rsidRPr="006D1B1D">
        <w:rPr>
          <w:sz w:val="20"/>
          <w:szCs w:val="20"/>
        </w:rPr>
        <w:t>Overview</w:t>
      </w:r>
      <w:proofErr w:type="spellEnd"/>
      <w:r w:rsidRPr="006D1B1D">
        <w:rPr>
          <w:sz w:val="20"/>
          <w:szCs w:val="20"/>
        </w:rPr>
        <w:t xml:space="preserve"> </w:t>
      </w:r>
      <w:proofErr w:type="spellStart"/>
      <w:r w:rsidRPr="006D1B1D">
        <w:rPr>
          <w:sz w:val="20"/>
          <w:szCs w:val="20"/>
        </w:rPr>
        <w:t>of</w:t>
      </w:r>
      <w:proofErr w:type="spellEnd"/>
      <w:r w:rsidRPr="006D1B1D">
        <w:rPr>
          <w:sz w:val="20"/>
          <w:szCs w:val="20"/>
        </w:rPr>
        <w:t xml:space="preserve"> </w:t>
      </w:r>
      <w:proofErr w:type="spellStart"/>
      <w:r w:rsidRPr="006D1B1D">
        <w:rPr>
          <w:sz w:val="20"/>
          <w:szCs w:val="20"/>
        </w:rPr>
        <w:t>Market</w:t>
      </w:r>
      <w:proofErr w:type="spellEnd"/>
      <w:r w:rsidRPr="006D1B1D">
        <w:rPr>
          <w:sz w:val="20"/>
          <w:szCs w:val="20"/>
        </w:rPr>
        <w:t xml:space="preserve"> </w:t>
      </w:r>
      <w:proofErr w:type="spellStart"/>
      <w:r w:rsidRPr="006D1B1D">
        <w:rPr>
          <w:sz w:val="20"/>
          <w:szCs w:val="20"/>
        </w:rPr>
        <w:t>Developments</w:t>
      </w:r>
      <w:proofErr w:type="spellEnd"/>
      <w:r w:rsidRPr="006D1B1D">
        <w:rPr>
          <w:sz w:val="20"/>
          <w:szCs w:val="20"/>
        </w:rPr>
        <w:t xml:space="preserve"> </w:t>
      </w:r>
      <w:proofErr w:type="spellStart"/>
      <w:r w:rsidRPr="006D1B1D">
        <w:rPr>
          <w:sz w:val="20"/>
          <w:szCs w:val="20"/>
        </w:rPr>
        <w:t>and</w:t>
      </w:r>
      <w:proofErr w:type="spellEnd"/>
      <w:r w:rsidRPr="006D1B1D">
        <w:rPr>
          <w:sz w:val="20"/>
          <w:szCs w:val="20"/>
        </w:rPr>
        <w:t xml:space="preserve"> </w:t>
      </w:r>
      <w:proofErr w:type="spellStart"/>
      <w:r w:rsidRPr="006D1B1D">
        <w:rPr>
          <w:sz w:val="20"/>
          <w:szCs w:val="20"/>
        </w:rPr>
        <w:t>Emerging</w:t>
      </w:r>
      <w:proofErr w:type="spellEnd"/>
      <w:r w:rsidRPr="006D1B1D">
        <w:rPr>
          <w:sz w:val="20"/>
          <w:szCs w:val="20"/>
        </w:rPr>
        <w:t xml:space="preserve"> </w:t>
      </w:r>
      <w:proofErr w:type="spellStart"/>
      <w:r w:rsidRPr="006D1B1D">
        <w:rPr>
          <w:sz w:val="20"/>
          <w:szCs w:val="20"/>
        </w:rPr>
        <w:t>Applications</w:t>
      </w:r>
      <w:proofErr w:type="spellEnd"/>
      <w:r w:rsidRPr="006D1B1D">
        <w:rPr>
          <w:sz w:val="20"/>
          <w:szCs w:val="20"/>
        </w:rPr>
        <w:t xml:space="preserve"> (5 </w:t>
      </w:r>
      <w:proofErr w:type="spellStart"/>
      <w:r w:rsidRPr="006D1B1D">
        <w:rPr>
          <w:sz w:val="20"/>
          <w:szCs w:val="20"/>
        </w:rPr>
        <w:t>March</w:t>
      </w:r>
      <w:proofErr w:type="spellEnd"/>
      <w:r w:rsidRPr="006D1B1D">
        <w:rPr>
          <w:sz w:val="20"/>
          <w:szCs w:val="20"/>
        </w:rPr>
        <w:t xml:space="preserve"> 2003)</w:t>
      </w:r>
    </w:p>
  </w:footnote>
  <w:footnote w:id="24">
    <w:p w:rsidR="00821038" w:rsidRDefault="00821038" w:rsidP="001D26BC">
      <w:pPr>
        <w:pStyle w:val="FootnoteText"/>
      </w:pPr>
      <w:r w:rsidRPr="000568DB">
        <w:rPr>
          <w:rStyle w:val="FootnoteReference"/>
        </w:rPr>
        <w:footnoteRef/>
      </w:r>
      <w:r w:rsidRPr="000568DB">
        <w:rPr>
          <w:rStyle w:val="FootnoteReference"/>
        </w:rPr>
        <w:footnoteRef/>
      </w:r>
      <w:r>
        <w:t xml:space="preserve"> Sadarbības Scenāriju 1 un 2</w:t>
      </w:r>
      <w:r w:rsidRPr="000568DB">
        <w:t xml:space="preserve"> gadījumā ar EKA vidējie gada rādītāji rēķināti no ekonomiskajiem efektiem, kas gūti pirma</w:t>
      </w:r>
      <w:r>
        <w:t>jās divās piecgadēs (2013-2022), bet Scenārijā 3 tikai no pirmās piecgades</w:t>
      </w:r>
      <w:r w:rsidRPr="000568DB">
        <w:t xml:space="preserve"> </w:t>
      </w:r>
      <w:r>
        <w:t>(2013-2017) efektiem, kad</w:t>
      </w:r>
      <w:r w:rsidRPr="000568DB">
        <w:t xml:space="preserve"> Latvija</w:t>
      </w:r>
      <w:r>
        <w:t xml:space="preserve"> veic faktiskos maksājumus EKA.</w:t>
      </w:r>
    </w:p>
  </w:footnote>
  <w:footnote w:id="25">
    <w:p w:rsidR="00821038" w:rsidRPr="00070D51" w:rsidRDefault="00821038" w:rsidP="001D26BC">
      <w:pPr>
        <w:pStyle w:val="FootnoteText"/>
        <w:jc w:val="both"/>
      </w:pPr>
      <w:r>
        <w:rPr>
          <w:rStyle w:val="FootnoteReference"/>
        </w:rPr>
        <w:footnoteRef/>
      </w:r>
      <w:r>
        <w:t xml:space="preserve"> EKA rēķina procentus no Nacionāla kopienākuma (</w:t>
      </w:r>
      <w:r w:rsidRPr="00A14CB4">
        <w:rPr>
          <w:i/>
          <w:lang w:val="en-US"/>
        </w:rPr>
        <w:t>Gross National Product</w:t>
      </w:r>
      <w:r>
        <w:rPr>
          <w:i/>
        </w:rPr>
        <w: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38" w:rsidRDefault="00277129">
    <w:pPr>
      <w:pStyle w:val="Header"/>
      <w:jc w:val="center"/>
    </w:pPr>
    <w:fldSimple w:instr=" PAGE   \* MERGEFORMAT ">
      <w:r w:rsidR="00885249">
        <w:rPr>
          <w:noProof/>
        </w:rPr>
        <w:t>2</w:t>
      </w:r>
    </w:fldSimple>
  </w:p>
  <w:p w:rsidR="00821038" w:rsidRDefault="008210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B89E7C"/>
    <w:lvl w:ilvl="0">
      <w:numFmt w:val="bullet"/>
      <w:lvlText w:val="*"/>
      <w:lvlJc w:val="left"/>
    </w:lvl>
  </w:abstractNum>
  <w:abstractNum w:abstractNumId="1">
    <w:nsid w:val="00B84DB9"/>
    <w:multiLevelType w:val="hybridMultilevel"/>
    <w:tmpl w:val="6442D69C"/>
    <w:lvl w:ilvl="0" w:tplc="9220545A">
      <w:start w:val="1"/>
      <w:numFmt w:val="decimal"/>
      <w:lvlText w:val="%1)"/>
      <w:lvlJc w:val="left"/>
      <w:pPr>
        <w:ind w:left="1145"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01E2639F"/>
    <w:multiLevelType w:val="hybridMultilevel"/>
    <w:tmpl w:val="206E9CB8"/>
    <w:lvl w:ilvl="0" w:tplc="6EBCB53C">
      <w:start w:val="1"/>
      <w:numFmt w:val="decimal"/>
      <w:lvlText w:val="%1)"/>
      <w:lvlJc w:val="left"/>
      <w:pPr>
        <w:ind w:left="1210"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nsid w:val="043C2194"/>
    <w:multiLevelType w:val="hybridMultilevel"/>
    <w:tmpl w:val="B1DCBA86"/>
    <w:lvl w:ilvl="0" w:tplc="3E1AFA6C">
      <w:start w:val="1"/>
      <w:numFmt w:val="decimal"/>
      <w:pStyle w:val="Numeretslists"/>
      <w:lvlText w:val="%1)"/>
      <w:lvlJc w:val="left"/>
      <w:pPr>
        <w:ind w:left="78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1C0EC0"/>
    <w:multiLevelType w:val="hybridMultilevel"/>
    <w:tmpl w:val="F7C61A56"/>
    <w:lvl w:ilvl="0" w:tplc="F3B89E7C">
      <w:numFmt w:val="bullet"/>
      <w:lvlText w:val="•"/>
      <w:lvlJc w:val="left"/>
      <w:pPr>
        <w:ind w:left="720" w:hanging="360"/>
      </w:pPr>
      <w:rPr>
        <w:rFonts w:ascii="Times New Roman" w:hAnsi="Times New Roman" w:cs="Times New Roman" w:hint="default"/>
        <w:sz w:val="28"/>
        <w:szCs w:val="28"/>
      </w:rPr>
    </w:lvl>
    <w:lvl w:ilvl="1" w:tplc="04260003" w:tentative="1">
      <w:start w:val="1"/>
      <w:numFmt w:val="bullet"/>
      <w:lvlText w:val="o"/>
      <w:lvlJc w:val="left"/>
      <w:pPr>
        <w:ind w:left="1440" w:hanging="360"/>
      </w:pPr>
      <w:rPr>
        <w:rFonts w:ascii="Courier New" w:hAnsi="Courier New" w:cs="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Wingdings"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Wingdings"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F4B6F6E"/>
    <w:multiLevelType w:val="hybridMultilevel"/>
    <w:tmpl w:val="8FE23FE2"/>
    <w:lvl w:ilvl="0" w:tplc="2D7A27A8">
      <w:start w:val="1"/>
      <w:numFmt w:val="bullet"/>
      <w:pStyle w:val="Bulletlists"/>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AE1E8E"/>
    <w:multiLevelType w:val="hybridMultilevel"/>
    <w:tmpl w:val="D700AFB8"/>
    <w:lvl w:ilvl="0" w:tplc="9CBC4176">
      <w:start w:val="1"/>
      <w:numFmt w:val="bullet"/>
      <w:lvlText w:val=""/>
      <w:lvlJc w:val="left"/>
      <w:pPr>
        <w:tabs>
          <w:tab w:val="num" w:pos="737"/>
        </w:tabs>
        <w:ind w:left="737" w:hanging="37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Wingdings"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Wingdings"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7623A95"/>
    <w:multiLevelType w:val="multilevel"/>
    <w:tmpl w:val="83F278DA"/>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930075"/>
    <w:multiLevelType w:val="hybridMultilevel"/>
    <w:tmpl w:val="9470FEA2"/>
    <w:lvl w:ilvl="0" w:tplc="3730861E">
      <w:start w:val="1"/>
      <w:numFmt w:val="bullet"/>
      <w:lvlText w:val=""/>
      <w:lvlJc w:val="left"/>
      <w:pPr>
        <w:ind w:left="1287" w:hanging="360"/>
      </w:pPr>
      <w:rPr>
        <w:rFonts w:ascii="Symbol" w:hAnsi="Symbol" w:hint="default"/>
        <w:sz w:val="20"/>
        <w:szCs w:val="20"/>
      </w:rPr>
    </w:lvl>
    <w:lvl w:ilvl="1" w:tplc="04260003" w:tentative="1">
      <w:start w:val="1"/>
      <w:numFmt w:val="bullet"/>
      <w:lvlText w:val="o"/>
      <w:lvlJc w:val="left"/>
      <w:pPr>
        <w:ind w:left="2007" w:hanging="360"/>
      </w:pPr>
      <w:rPr>
        <w:rFonts w:ascii="Courier New" w:hAnsi="Courier New" w:cs="Wingdings"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Wingdings"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Wingdings"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19B97328"/>
    <w:multiLevelType w:val="hybridMultilevel"/>
    <w:tmpl w:val="386AA12C"/>
    <w:lvl w:ilvl="0" w:tplc="AB3A4DD8">
      <w:start w:val="1"/>
      <w:numFmt w:val="bullet"/>
      <w:lvlText w:val=""/>
      <w:lvlJc w:val="left"/>
      <w:pPr>
        <w:ind w:left="1571" w:hanging="360"/>
      </w:pPr>
      <w:rPr>
        <w:rFonts w:ascii="Symbol" w:hAnsi="Symbol" w:hint="default"/>
      </w:rPr>
    </w:lvl>
    <w:lvl w:ilvl="1" w:tplc="AB3A4DD8">
      <w:start w:val="1"/>
      <w:numFmt w:val="bullet"/>
      <w:lvlText w:val=""/>
      <w:lvlJc w:val="left"/>
      <w:pPr>
        <w:ind w:left="2291" w:hanging="360"/>
      </w:pPr>
      <w:rPr>
        <w:rFonts w:ascii="Symbol" w:hAnsi="Symbol"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nsid w:val="22BB155E"/>
    <w:multiLevelType w:val="hybridMultilevel"/>
    <w:tmpl w:val="EB1412FC"/>
    <w:lvl w:ilvl="0" w:tplc="AB3A4DD8">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3B92E43"/>
    <w:multiLevelType w:val="hybridMultilevel"/>
    <w:tmpl w:val="E18898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F6442"/>
    <w:multiLevelType w:val="hybridMultilevel"/>
    <w:tmpl w:val="B9B85E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086753"/>
    <w:multiLevelType w:val="hybridMultilevel"/>
    <w:tmpl w:val="5F70B1BA"/>
    <w:lvl w:ilvl="0" w:tplc="46D83F6C">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8684AE2"/>
    <w:multiLevelType w:val="hybridMultilevel"/>
    <w:tmpl w:val="1F124B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295976D3"/>
    <w:multiLevelType w:val="hybridMultilevel"/>
    <w:tmpl w:val="50A8B3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ED738C0"/>
    <w:multiLevelType w:val="hybridMultilevel"/>
    <w:tmpl w:val="9FD893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0E15454"/>
    <w:multiLevelType w:val="hybridMultilevel"/>
    <w:tmpl w:val="D28E1E28"/>
    <w:lvl w:ilvl="0" w:tplc="B60EE0CE">
      <w:start w:val="2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B3B5F"/>
    <w:multiLevelType w:val="hybridMultilevel"/>
    <w:tmpl w:val="ED8E1D1C"/>
    <w:lvl w:ilvl="0" w:tplc="04260001">
      <w:start w:val="1"/>
      <w:numFmt w:val="bullet"/>
      <w:pStyle w:val="normalbulleted"/>
      <w:lvlText w:val=""/>
      <w:lvlJc w:val="left"/>
      <w:pPr>
        <w:tabs>
          <w:tab w:val="num" w:pos="717"/>
        </w:tabs>
        <w:ind w:left="717"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4E56C7F"/>
    <w:multiLevelType w:val="hybridMultilevel"/>
    <w:tmpl w:val="0B287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Wingdings"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Wingdings"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FDD33D5"/>
    <w:multiLevelType w:val="hybridMultilevel"/>
    <w:tmpl w:val="81728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1337457"/>
    <w:multiLevelType w:val="hybridMultilevel"/>
    <w:tmpl w:val="E446FB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AEE5721"/>
    <w:multiLevelType w:val="hybridMultilevel"/>
    <w:tmpl w:val="C268A8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C977B1D"/>
    <w:multiLevelType w:val="hybridMultilevel"/>
    <w:tmpl w:val="C0949268"/>
    <w:lvl w:ilvl="0" w:tplc="04090011">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24">
    <w:nsid w:val="4DB67208"/>
    <w:multiLevelType w:val="hybridMultilevel"/>
    <w:tmpl w:val="E988BAD2"/>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8F32555"/>
    <w:multiLevelType w:val="hybridMultilevel"/>
    <w:tmpl w:val="4EE8A14A"/>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3431F"/>
    <w:multiLevelType w:val="hybridMultilevel"/>
    <w:tmpl w:val="E9A4F9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BC85F02"/>
    <w:multiLevelType w:val="hybridMultilevel"/>
    <w:tmpl w:val="1302AFAC"/>
    <w:lvl w:ilvl="0" w:tplc="6EBCB53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8">
    <w:nsid w:val="5FB20828"/>
    <w:multiLevelType w:val="hybridMultilevel"/>
    <w:tmpl w:val="0B10AE76"/>
    <w:lvl w:ilvl="0" w:tplc="04260001">
      <w:start w:val="1"/>
      <w:numFmt w:val="bullet"/>
      <w:lvlText w:val=""/>
      <w:lvlJc w:val="left"/>
      <w:pPr>
        <w:ind w:left="360" w:hanging="360"/>
      </w:pPr>
      <w:rPr>
        <w:rFonts w:ascii="Symbol" w:hAnsi="Symbol" w:hint="default"/>
        <w:sz w:val="20"/>
        <w:szCs w:val="20"/>
      </w:rPr>
    </w:lvl>
    <w:lvl w:ilvl="1" w:tplc="04260003" w:tentative="1">
      <w:start w:val="1"/>
      <w:numFmt w:val="bullet"/>
      <w:lvlText w:val="o"/>
      <w:lvlJc w:val="left"/>
      <w:pPr>
        <w:ind w:left="513" w:hanging="360"/>
      </w:pPr>
      <w:rPr>
        <w:rFonts w:ascii="Courier New" w:hAnsi="Courier New" w:cs="Wingdings"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Wingdings"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Wingdings" w:hint="default"/>
      </w:rPr>
    </w:lvl>
    <w:lvl w:ilvl="8" w:tplc="04260005" w:tentative="1">
      <w:start w:val="1"/>
      <w:numFmt w:val="bullet"/>
      <w:lvlText w:val=""/>
      <w:lvlJc w:val="left"/>
      <w:pPr>
        <w:ind w:left="5553" w:hanging="360"/>
      </w:pPr>
      <w:rPr>
        <w:rFonts w:ascii="Wingdings" w:hAnsi="Wingdings" w:hint="default"/>
      </w:rPr>
    </w:lvl>
  </w:abstractNum>
  <w:abstractNum w:abstractNumId="29">
    <w:nsid w:val="61CB0426"/>
    <w:multiLevelType w:val="hybridMultilevel"/>
    <w:tmpl w:val="6AF83E88"/>
    <w:lvl w:ilvl="0" w:tplc="28AE262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0">
    <w:nsid w:val="62A80B43"/>
    <w:multiLevelType w:val="hybridMultilevel"/>
    <w:tmpl w:val="9E769D22"/>
    <w:lvl w:ilvl="0" w:tplc="22DA7178">
      <w:start w:val="1"/>
      <w:numFmt w:val="bullet"/>
      <w:lvlText w:val=""/>
      <w:lvlJc w:val="left"/>
      <w:pPr>
        <w:ind w:left="720" w:hanging="360"/>
      </w:pPr>
      <w:rPr>
        <w:rFonts w:ascii="Symbol" w:hAnsi="Symbol" w:hint="default"/>
      </w:rPr>
    </w:lvl>
    <w:lvl w:ilvl="1" w:tplc="04260003">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AF7511D"/>
    <w:multiLevelType w:val="hybridMultilevel"/>
    <w:tmpl w:val="7C50AE98"/>
    <w:lvl w:ilvl="0" w:tplc="9CBC4176">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Wingdings"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Wingdings"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B3F0FAC"/>
    <w:multiLevelType w:val="hybridMultilevel"/>
    <w:tmpl w:val="9F12F042"/>
    <w:lvl w:ilvl="0" w:tplc="F3B89E7C">
      <w:start w:val="1"/>
      <w:numFmt w:val="decimal"/>
      <w:pStyle w:val="pirmais"/>
      <w:lvlText w:val="%1)"/>
      <w:lvlJc w:val="left"/>
      <w:pPr>
        <w:tabs>
          <w:tab w:val="num" w:pos="720"/>
        </w:tabs>
        <w:ind w:left="720" w:hanging="360"/>
      </w:pPr>
    </w:lvl>
    <w:lvl w:ilvl="1" w:tplc="04260003">
      <w:start w:val="1"/>
      <w:numFmt w:val="lowerLetter"/>
      <w:pStyle w:val="otrais"/>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33">
    <w:nsid w:val="70577857"/>
    <w:multiLevelType w:val="hybridMultilevel"/>
    <w:tmpl w:val="E578EB8A"/>
    <w:lvl w:ilvl="0" w:tplc="BD7E114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4">
    <w:nsid w:val="70B10EDD"/>
    <w:multiLevelType w:val="hybridMultilevel"/>
    <w:tmpl w:val="70B07B6E"/>
    <w:lvl w:ilvl="0" w:tplc="04090011">
      <w:start w:val="1"/>
      <w:numFmt w:val="decimal"/>
      <w:lvlText w:val="%1)"/>
      <w:lvlJc w:val="left"/>
      <w:pPr>
        <w:tabs>
          <w:tab w:val="num" w:pos="1135"/>
        </w:tabs>
        <w:ind w:left="1135" w:hanging="567"/>
      </w:pPr>
      <w:rPr>
        <w:rFonts w:hint="default"/>
      </w:rPr>
    </w:lvl>
    <w:lvl w:ilvl="1" w:tplc="04090019">
      <w:start w:val="1"/>
      <w:numFmt w:val="decimal"/>
      <w:lvlText w:val="%2."/>
      <w:lvlJc w:val="left"/>
      <w:pPr>
        <w:ind w:left="2008" w:hanging="360"/>
      </w:pPr>
      <w:rPr>
        <w:rFonts w:hint="default"/>
      </w:r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35">
    <w:nsid w:val="72D230CB"/>
    <w:multiLevelType w:val="hybridMultilevel"/>
    <w:tmpl w:val="3C62007C"/>
    <w:lvl w:ilvl="0" w:tplc="28AE262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6">
    <w:nsid w:val="74610293"/>
    <w:multiLevelType w:val="hybridMultilevel"/>
    <w:tmpl w:val="FE383EA2"/>
    <w:lvl w:ilvl="0" w:tplc="840067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6BA0786"/>
    <w:multiLevelType w:val="hybridMultilevel"/>
    <w:tmpl w:val="FCEE0096"/>
    <w:lvl w:ilvl="0" w:tplc="0066B02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A2A5D6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B5352C"/>
    <w:multiLevelType w:val="hybridMultilevel"/>
    <w:tmpl w:val="489A98DC"/>
    <w:lvl w:ilvl="0" w:tplc="04260011">
      <w:start w:val="1"/>
      <w:numFmt w:val="bullet"/>
      <w:lvlText w:val=""/>
      <w:lvlJc w:val="left"/>
      <w:pPr>
        <w:ind w:left="1440" w:hanging="360"/>
      </w:pPr>
      <w:rPr>
        <w:rFonts w:ascii="Symbol" w:hAnsi="Symbol" w:hint="default"/>
      </w:rPr>
    </w:lvl>
    <w:lvl w:ilvl="1" w:tplc="CA4EB53E" w:tentative="1">
      <w:start w:val="1"/>
      <w:numFmt w:val="bullet"/>
      <w:lvlText w:val="o"/>
      <w:lvlJc w:val="left"/>
      <w:pPr>
        <w:ind w:left="2160" w:hanging="360"/>
      </w:pPr>
      <w:rPr>
        <w:rFonts w:ascii="Courier New" w:hAnsi="Courier New" w:cs="Wingdings" w:hint="default"/>
      </w:rPr>
    </w:lvl>
    <w:lvl w:ilvl="2" w:tplc="0426001B" w:tentative="1">
      <w:start w:val="1"/>
      <w:numFmt w:val="bullet"/>
      <w:lvlText w:val=""/>
      <w:lvlJc w:val="left"/>
      <w:pPr>
        <w:ind w:left="2880" w:hanging="360"/>
      </w:pPr>
      <w:rPr>
        <w:rFonts w:ascii="Wingdings" w:hAnsi="Wingdings" w:hint="default"/>
      </w:rPr>
    </w:lvl>
    <w:lvl w:ilvl="3" w:tplc="0426000F" w:tentative="1">
      <w:start w:val="1"/>
      <w:numFmt w:val="bullet"/>
      <w:lvlText w:val=""/>
      <w:lvlJc w:val="left"/>
      <w:pPr>
        <w:ind w:left="3600" w:hanging="360"/>
      </w:pPr>
      <w:rPr>
        <w:rFonts w:ascii="Symbol" w:hAnsi="Symbol" w:hint="default"/>
      </w:rPr>
    </w:lvl>
    <w:lvl w:ilvl="4" w:tplc="04260019" w:tentative="1">
      <w:start w:val="1"/>
      <w:numFmt w:val="bullet"/>
      <w:lvlText w:val="o"/>
      <w:lvlJc w:val="left"/>
      <w:pPr>
        <w:ind w:left="4320" w:hanging="360"/>
      </w:pPr>
      <w:rPr>
        <w:rFonts w:ascii="Courier New" w:hAnsi="Courier New" w:cs="Wingdings" w:hint="default"/>
      </w:rPr>
    </w:lvl>
    <w:lvl w:ilvl="5" w:tplc="0426001B" w:tentative="1">
      <w:start w:val="1"/>
      <w:numFmt w:val="bullet"/>
      <w:lvlText w:val=""/>
      <w:lvlJc w:val="left"/>
      <w:pPr>
        <w:ind w:left="5040" w:hanging="360"/>
      </w:pPr>
      <w:rPr>
        <w:rFonts w:ascii="Wingdings" w:hAnsi="Wingdings" w:hint="default"/>
      </w:rPr>
    </w:lvl>
    <w:lvl w:ilvl="6" w:tplc="0426000F" w:tentative="1">
      <w:start w:val="1"/>
      <w:numFmt w:val="bullet"/>
      <w:lvlText w:val=""/>
      <w:lvlJc w:val="left"/>
      <w:pPr>
        <w:ind w:left="5760" w:hanging="360"/>
      </w:pPr>
      <w:rPr>
        <w:rFonts w:ascii="Symbol" w:hAnsi="Symbol" w:hint="default"/>
      </w:rPr>
    </w:lvl>
    <w:lvl w:ilvl="7" w:tplc="04260019" w:tentative="1">
      <w:start w:val="1"/>
      <w:numFmt w:val="bullet"/>
      <w:lvlText w:val="o"/>
      <w:lvlJc w:val="left"/>
      <w:pPr>
        <w:ind w:left="6480" w:hanging="360"/>
      </w:pPr>
      <w:rPr>
        <w:rFonts w:ascii="Courier New" w:hAnsi="Courier New" w:cs="Wingdings" w:hint="default"/>
      </w:rPr>
    </w:lvl>
    <w:lvl w:ilvl="8" w:tplc="0426001B" w:tentative="1">
      <w:start w:val="1"/>
      <w:numFmt w:val="bullet"/>
      <w:lvlText w:val=""/>
      <w:lvlJc w:val="left"/>
      <w:pPr>
        <w:ind w:left="7200" w:hanging="360"/>
      </w:pPr>
      <w:rPr>
        <w:rFonts w:ascii="Wingdings" w:hAnsi="Wingdings" w:hint="default"/>
      </w:rPr>
    </w:lvl>
  </w:abstractNum>
  <w:abstractNum w:abstractNumId="40">
    <w:nsid w:val="7AB953E8"/>
    <w:multiLevelType w:val="hybridMultilevel"/>
    <w:tmpl w:val="BC98B388"/>
    <w:lvl w:ilvl="0" w:tplc="EAEACE6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AD163E0"/>
    <w:multiLevelType w:val="hybridMultilevel"/>
    <w:tmpl w:val="AEDCB26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numFmt w:val="bullet"/>
        <w:lvlText w:val="•"/>
        <w:legacy w:legacy="1" w:legacySpace="0" w:legacyIndent="0"/>
        <w:lvlJc w:val="left"/>
        <w:rPr>
          <w:rFonts w:ascii="Times New Roman" w:hAnsi="Times New Roman" w:cs="Times New Roman" w:hint="default"/>
          <w:sz w:val="28"/>
          <w:szCs w:val="28"/>
        </w:rPr>
      </w:lvl>
    </w:lvlOverride>
  </w:num>
  <w:num w:numId="3">
    <w:abstractNumId w:val="31"/>
  </w:num>
  <w:num w:numId="4">
    <w:abstractNumId w:val="39"/>
  </w:num>
  <w:num w:numId="5">
    <w:abstractNumId w:val="8"/>
  </w:num>
  <w:num w:numId="6">
    <w:abstractNumId w:val="17"/>
  </w:num>
  <w:num w:numId="7">
    <w:abstractNumId w:val="4"/>
  </w:num>
  <w:num w:numId="8">
    <w:abstractNumId w:val="25"/>
  </w:num>
  <w:num w:numId="9">
    <w:abstractNumId w:val="28"/>
  </w:num>
  <w:num w:numId="10">
    <w:abstractNumId w:val="38"/>
  </w:num>
  <w:num w:numId="11">
    <w:abstractNumId w:val="41"/>
  </w:num>
  <w:num w:numId="12">
    <w:abstractNumId w:val="11"/>
  </w:num>
  <w:num w:numId="13">
    <w:abstractNumId w:val="23"/>
  </w:num>
  <w:num w:numId="14">
    <w:abstractNumId w:val="36"/>
  </w:num>
  <w:num w:numId="15">
    <w:abstractNumId w:val="6"/>
  </w:num>
  <w:num w:numId="16">
    <w:abstractNumId w:val="26"/>
  </w:num>
  <w:num w:numId="17">
    <w:abstractNumId w:val="30"/>
  </w:num>
  <w:num w:numId="18">
    <w:abstractNumId w:val="10"/>
  </w:num>
  <w:num w:numId="19">
    <w:abstractNumId w:val="24"/>
  </w:num>
  <w:num w:numId="20">
    <w:abstractNumId w:val="34"/>
  </w:num>
  <w:num w:numId="21">
    <w:abstractNumId w:val="9"/>
  </w:num>
  <w:num w:numId="22">
    <w:abstractNumId w:val="14"/>
  </w:num>
  <w:num w:numId="23">
    <w:abstractNumId w:val="18"/>
  </w:num>
  <w:num w:numId="24">
    <w:abstractNumId w:val="7"/>
  </w:num>
  <w:num w:numId="25">
    <w:abstractNumId w:val="32"/>
  </w:num>
  <w:num w:numId="26">
    <w:abstractNumId w:val="21"/>
  </w:num>
  <w:num w:numId="27">
    <w:abstractNumId w:val="5"/>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22"/>
  </w:num>
  <w:num w:numId="33">
    <w:abstractNumId w:val="12"/>
  </w:num>
  <w:num w:numId="34">
    <w:abstractNumId w:val="15"/>
  </w:num>
  <w:num w:numId="35">
    <w:abstractNumId w:val="40"/>
  </w:num>
  <w:num w:numId="36">
    <w:abstractNumId w:val="37"/>
  </w:num>
  <w:num w:numId="37">
    <w:abstractNumId w:val="16"/>
  </w:num>
  <w:num w:numId="38">
    <w:abstractNumId w:val="20"/>
  </w:num>
  <w:num w:numId="39">
    <w:abstractNumId w:val="13"/>
  </w:num>
  <w:num w:numId="40">
    <w:abstractNumId w:val="33"/>
  </w:num>
  <w:num w:numId="41">
    <w:abstractNumId w:val="27"/>
  </w:num>
  <w:num w:numId="42">
    <w:abstractNumId w:val="3"/>
  </w:num>
  <w:num w:numId="43">
    <w:abstractNumId w:val="2"/>
  </w:num>
  <w:num w:numId="44">
    <w:abstractNumId w:val="35"/>
  </w:num>
  <w:num w:numId="45">
    <w:abstractNumId w:val="1"/>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26BC"/>
    <w:rsid w:val="00014AF5"/>
    <w:rsid w:val="000208D4"/>
    <w:rsid w:val="00022FA1"/>
    <w:rsid w:val="00094585"/>
    <w:rsid w:val="000B67E6"/>
    <w:rsid w:val="000C6F84"/>
    <w:rsid w:val="000C7940"/>
    <w:rsid w:val="001319A0"/>
    <w:rsid w:val="001D26BC"/>
    <w:rsid w:val="00204B6A"/>
    <w:rsid w:val="00277129"/>
    <w:rsid w:val="00280B1A"/>
    <w:rsid w:val="00293550"/>
    <w:rsid w:val="002D639E"/>
    <w:rsid w:val="00301181"/>
    <w:rsid w:val="003659D9"/>
    <w:rsid w:val="00366561"/>
    <w:rsid w:val="003B6848"/>
    <w:rsid w:val="003E042F"/>
    <w:rsid w:val="00401E7A"/>
    <w:rsid w:val="00480B2E"/>
    <w:rsid w:val="004B7B13"/>
    <w:rsid w:val="0053632B"/>
    <w:rsid w:val="005A3881"/>
    <w:rsid w:val="00615F5F"/>
    <w:rsid w:val="00645B92"/>
    <w:rsid w:val="0065443C"/>
    <w:rsid w:val="006D68C1"/>
    <w:rsid w:val="006E5AB0"/>
    <w:rsid w:val="0071675B"/>
    <w:rsid w:val="007C5036"/>
    <w:rsid w:val="007D7D4A"/>
    <w:rsid w:val="00803F8D"/>
    <w:rsid w:val="00821038"/>
    <w:rsid w:val="008259C1"/>
    <w:rsid w:val="008420C6"/>
    <w:rsid w:val="008603D5"/>
    <w:rsid w:val="00885249"/>
    <w:rsid w:val="008A52E8"/>
    <w:rsid w:val="008C6179"/>
    <w:rsid w:val="009D0BD5"/>
    <w:rsid w:val="00A1288B"/>
    <w:rsid w:val="00A43443"/>
    <w:rsid w:val="00A863A4"/>
    <w:rsid w:val="00AA321F"/>
    <w:rsid w:val="00AA6CAF"/>
    <w:rsid w:val="00AF57C4"/>
    <w:rsid w:val="00B00F98"/>
    <w:rsid w:val="00B648DA"/>
    <w:rsid w:val="00B83E00"/>
    <w:rsid w:val="00BA44BD"/>
    <w:rsid w:val="00BC02DE"/>
    <w:rsid w:val="00C427DA"/>
    <w:rsid w:val="00C432C2"/>
    <w:rsid w:val="00CB7EA6"/>
    <w:rsid w:val="00D1477C"/>
    <w:rsid w:val="00D37041"/>
    <w:rsid w:val="00D93162"/>
    <w:rsid w:val="00D96699"/>
    <w:rsid w:val="00DB75F4"/>
    <w:rsid w:val="00DD1446"/>
    <w:rsid w:val="00E01EC3"/>
    <w:rsid w:val="00EC68B2"/>
    <w:rsid w:val="00ED125E"/>
    <w:rsid w:val="00EE7C0C"/>
    <w:rsid w:val="00F470AD"/>
    <w:rsid w:val="00FA44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5"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BC"/>
    <w:rPr>
      <w:rFonts w:ascii="Times New Roman" w:hAnsi="Times New Roman"/>
      <w:sz w:val="24"/>
      <w:szCs w:val="28"/>
      <w:lang w:eastAsia="en-US"/>
    </w:rPr>
  </w:style>
  <w:style w:type="paragraph" w:styleId="Heading1">
    <w:name w:val="heading 1"/>
    <w:basedOn w:val="Normal"/>
    <w:next w:val="Normal"/>
    <w:link w:val="Heading1Char"/>
    <w:uiPriority w:val="9"/>
    <w:qFormat/>
    <w:rsid w:val="0071675B"/>
    <w:pPr>
      <w:pageBreakBefore/>
      <w:spacing w:after="240"/>
      <w:jc w:val="center"/>
      <w:outlineLvl w:val="0"/>
    </w:pPr>
    <w:rPr>
      <w:rFonts w:ascii="Calibri" w:hAnsi="Calibri"/>
      <w:b/>
      <w:bCs/>
      <w:sz w:val="36"/>
    </w:rPr>
  </w:style>
  <w:style w:type="paragraph" w:styleId="Heading2">
    <w:name w:val="heading 2"/>
    <w:basedOn w:val="Normal"/>
    <w:next w:val="Normal"/>
    <w:link w:val="Heading2Char"/>
    <w:uiPriority w:val="9"/>
    <w:qFormat/>
    <w:rsid w:val="0071675B"/>
    <w:pPr>
      <w:keepNext/>
      <w:keepLines/>
      <w:spacing w:before="120" w:after="120"/>
      <w:outlineLvl w:val="1"/>
    </w:pPr>
    <w:rPr>
      <w:rFonts w:eastAsia="Times New Roman"/>
      <w:b/>
      <w:bCs/>
      <w:sz w:val="32"/>
      <w:szCs w:val="26"/>
    </w:rPr>
  </w:style>
  <w:style w:type="paragraph" w:styleId="Heading3">
    <w:name w:val="heading 3"/>
    <w:basedOn w:val="Normal"/>
    <w:next w:val="Normal"/>
    <w:link w:val="Heading3Char"/>
    <w:uiPriority w:val="9"/>
    <w:qFormat/>
    <w:rsid w:val="0071675B"/>
    <w:pPr>
      <w:keepNext/>
      <w:keepLines/>
      <w:spacing w:after="120"/>
      <w:outlineLvl w:val="2"/>
    </w:pPr>
    <w:rPr>
      <w:rFonts w:eastAsia="Times New Roman"/>
      <w:b/>
      <w:bCs/>
      <w:sz w:val="28"/>
    </w:rPr>
  </w:style>
  <w:style w:type="paragraph" w:styleId="Heading4">
    <w:name w:val="heading 4"/>
    <w:basedOn w:val="Normal"/>
    <w:next w:val="Normal"/>
    <w:link w:val="Heading4Char"/>
    <w:uiPriority w:val="9"/>
    <w:qFormat/>
    <w:rsid w:val="0071675B"/>
    <w:pPr>
      <w:keepNext/>
      <w:keepLines/>
      <w:outlineLvl w:val="3"/>
    </w:pPr>
    <w:rPr>
      <w:rFonts w:eastAsia="Times New Roman"/>
      <w:b/>
      <w:bCs/>
      <w:i/>
      <w:iCs/>
      <w:szCs w:val="20"/>
      <w:lang w:eastAsia="lv-LV"/>
    </w:rPr>
  </w:style>
  <w:style w:type="paragraph" w:styleId="Heading5">
    <w:name w:val="heading 5"/>
    <w:basedOn w:val="Normal"/>
    <w:next w:val="Normal"/>
    <w:link w:val="Heading5Char"/>
    <w:qFormat/>
    <w:rsid w:val="0071675B"/>
    <w:pPr>
      <w:tabs>
        <w:tab w:val="num" w:pos="1008"/>
      </w:tabs>
      <w:spacing w:before="240" w:after="60"/>
      <w:ind w:left="1008" w:hanging="1008"/>
      <w:outlineLvl w:val="4"/>
    </w:pPr>
    <w:rPr>
      <w:b/>
      <w:bCs/>
      <w:i/>
      <w:iCs/>
      <w:sz w:val="26"/>
      <w:szCs w:val="26"/>
      <w:lang w:eastAsia="lv-LV"/>
    </w:rPr>
  </w:style>
  <w:style w:type="paragraph" w:styleId="Heading6">
    <w:name w:val="heading 6"/>
    <w:basedOn w:val="Normal"/>
    <w:next w:val="Normal"/>
    <w:link w:val="Heading6Char"/>
    <w:qFormat/>
    <w:rsid w:val="0071675B"/>
    <w:pPr>
      <w:spacing w:before="240" w:after="60"/>
      <w:outlineLvl w:val="5"/>
    </w:pPr>
    <w:rPr>
      <w:rFonts w:eastAsia="Times New Roman"/>
      <w:b/>
      <w:bCs/>
      <w:sz w:val="22"/>
      <w:szCs w:val="20"/>
      <w:lang w:eastAsia="lv-LV"/>
    </w:rPr>
  </w:style>
  <w:style w:type="paragraph" w:styleId="Heading7">
    <w:name w:val="heading 7"/>
    <w:basedOn w:val="Normal"/>
    <w:next w:val="Normal"/>
    <w:link w:val="Heading7Char"/>
    <w:qFormat/>
    <w:rsid w:val="0071675B"/>
    <w:pPr>
      <w:tabs>
        <w:tab w:val="num" w:pos="1296"/>
      </w:tabs>
      <w:spacing w:before="240" w:after="60"/>
      <w:ind w:left="1296" w:hanging="1296"/>
      <w:outlineLvl w:val="6"/>
    </w:pPr>
    <w:rPr>
      <w:szCs w:val="24"/>
      <w:lang w:eastAsia="lv-LV"/>
    </w:rPr>
  </w:style>
  <w:style w:type="paragraph" w:styleId="Heading8">
    <w:name w:val="heading 8"/>
    <w:basedOn w:val="Normal"/>
    <w:next w:val="Normal"/>
    <w:link w:val="Heading8Char"/>
    <w:qFormat/>
    <w:rsid w:val="0071675B"/>
    <w:pPr>
      <w:tabs>
        <w:tab w:val="num" w:pos="1440"/>
      </w:tabs>
      <w:spacing w:before="240" w:after="60"/>
      <w:ind w:left="1440" w:hanging="1440"/>
      <w:outlineLvl w:val="7"/>
    </w:pPr>
    <w:rPr>
      <w:i/>
      <w:iCs/>
      <w:szCs w:val="24"/>
      <w:lang w:eastAsia="lv-LV"/>
    </w:rPr>
  </w:style>
  <w:style w:type="paragraph" w:styleId="Heading9">
    <w:name w:val="heading 9"/>
    <w:basedOn w:val="Normal"/>
    <w:next w:val="Normal"/>
    <w:link w:val="Heading9Char"/>
    <w:uiPriority w:val="9"/>
    <w:qFormat/>
    <w:rsid w:val="0071675B"/>
    <w:pPr>
      <w:keepNext/>
      <w:keepLines/>
      <w:spacing w:before="200"/>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5B"/>
    <w:rPr>
      <w:b/>
      <w:bCs/>
      <w:sz w:val="36"/>
      <w:szCs w:val="28"/>
      <w:lang w:val="lv-LV" w:eastAsia="en-US" w:bidi="ar-SA"/>
    </w:rPr>
  </w:style>
  <w:style w:type="character" w:customStyle="1" w:styleId="Heading2Char">
    <w:name w:val="Heading 2 Char"/>
    <w:basedOn w:val="DefaultParagraphFont"/>
    <w:link w:val="Heading2"/>
    <w:uiPriority w:val="9"/>
    <w:rsid w:val="0071675B"/>
    <w:rPr>
      <w:rFonts w:ascii="Times New Roman" w:eastAsia="Times New Roman" w:hAnsi="Times New Roman"/>
      <w:b/>
      <w:bCs/>
      <w:sz w:val="32"/>
      <w:szCs w:val="26"/>
      <w:lang w:eastAsia="en-US"/>
    </w:rPr>
  </w:style>
  <w:style w:type="character" w:customStyle="1" w:styleId="Heading3Char">
    <w:name w:val="Heading 3 Char"/>
    <w:basedOn w:val="DefaultParagraphFont"/>
    <w:link w:val="Heading3"/>
    <w:uiPriority w:val="9"/>
    <w:rsid w:val="0071675B"/>
    <w:rPr>
      <w:rFonts w:ascii="Times New Roman" w:eastAsia="Times New Roman" w:hAnsi="Times New Roman"/>
      <w:b/>
      <w:bCs/>
      <w:sz w:val="28"/>
      <w:szCs w:val="28"/>
      <w:lang w:eastAsia="en-US"/>
    </w:rPr>
  </w:style>
  <w:style w:type="character" w:customStyle="1" w:styleId="Heading4Char">
    <w:name w:val="Heading 4 Char"/>
    <w:basedOn w:val="DefaultParagraphFont"/>
    <w:link w:val="Heading4"/>
    <w:uiPriority w:val="9"/>
    <w:rsid w:val="0071675B"/>
    <w:rPr>
      <w:rFonts w:ascii="Times New Roman" w:eastAsia="Times New Roman" w:hAnsi="Times New Roman" w:cs="Times New Roman"/>
      <w:b/>
      <w:bCs/>
      <w:i/>
      <w:iCs/>
      <w:sz w:val="24"/>
    </w:rPr>
  </w:style>
  <w:style w:type="character" w:customStyle="1" w:styleId="Heading5Char">
    <w:name w:val="Heading 5 Char"/>
    <w:basedOn w:val="DefaultParagraphFont"/>
    <w:link w:val="Heading5"/>
    <w:rsid w:val="0071675B"/>
    <w:rPr>
      <w:rFonts w:ascii="Times New Roman" w:hAnsi="Times New Roman"/>
      <w:b/>
      <w:bCs/>
      <w:i/>
      <w:iCs/>
      <w:sz w:val="26"/>
      <w:szCs w:val="26"/>
    </w:rPr>
  </w:style>
  <w:style w:type="character" w:customStyle="1" w:styleId="Heading6Char">
    <w:name w:val="Heading 6 Char"/>
    <w:basedOn w:val="DefaultParagraphFont"/>
    <w:link w:val="Heading6"/>
    <w:rsid w:val="0071675B"/>
    <w:rPr>
      <w:rFonts w:ascii="Times New Roman" w:eastAsia="Times New Roman" w:hAnsi="Times New Roman" w:cs="Times New Roman"/>
      <w:b/>
      <w:bCs/>
      <w:sz w:val="22"/>
      <w:lang w:eastAsia="lv-LV"/>
    </w:rPr>
  </w:style>
  <w:style w:type="character" w:customStyle="1" w:styleId="Heading7Char">
    <w:name w:val="Heading 7 Char"/>
    <w:basedOn w:val="DefaultParagraphFont"/>
    <w:link w:val="Heading7"/>
    <w:rsid w:val="0071675B"/>
    <w:rPr>
      <w:rFonts w:ascii="Times New Roman" w:hAnsi="Times New Roman"/>
      <w:sz w:val="24"/>
      <w:szCs w:val="24"/>
    </w:rPr>
  </w:style>
  <w:style w:type="character" w:customStyle="1" w:styleId="Heading8Char">
    <w:name w:val="Heading 8 Char"/>
    <w:basedOn w:val="DefaultParagraphFont"/>
    <w:link w:val="Heading8"/>
    <w:rsid w:val="0071675B"/>
    <w:rPr>
      <w:rFonts w:ascii="Times New Roman" w:hAnsi="Times New Roman"/>
      <w:i/>
      <w:iCs/>
      <w:sz w:val="24"/>
      <w:szCs w:val="24"/>
    </w:rPr>
  </w:style>
  <w:style w:type="character" w:customStyle="1" w:styleId="Heading9Char">
    <w:name w:val="Heading 9 Char"/>
    <w:basedOn w:val="DefaultParagraphFont"/>
    <w:link w:val="Heading9"/>
    <w:uiPriority w:val="9"/>
    <w:rsid w:val="0071675B"/>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71675B"/>
    <w:pPr>
      <w:tabs>
        <w:tab w:val="right" w:leader="dot" w:pos="9061"/>
      </w:tabs>
      <w:spacing w:before="120" w:after="120"/>
    </w:pPr>
    <w:rPr>
      <w:b/>
      <w:bCs/>
      <w:caps/>
      <w:noProof/>
      <w:szCs w:val="24"/>
    </w:rPr>
  </w:style>
  <w:style w:type="paragraph" w:styleId="TOC2">
    <w:name w:val="toc 2"/>
    <w:basedOn w:val="Normal"/>
    <w:next w:val="Normal"/>
    <w:autoRedefine/>
    <w:uiPriority w:val="39"/>
    <w:unhideWhenUsed/>
    <w:qFormat/>
    <w:rsid w:val="0071675B"/>
    <w:pPr>
      <w:ind w:left="240"/>
    </w:pPr>
    <w:rPr>
      <w:smallCaps/>
      <w:sz w:val="20"/>
      <w:szCs w:val="20"/>
    </w:rPr>
  </w:style>
  <w:style w:type="paragraph" w:styleId="TOC3">
    <w:name w:val="toc 3"/>
    <w:basedOn w:val="Normal"/>
    <w:next w:val="Normal"/>
    <w:autoRedefine/>
    <w:uiPriority w:val="39"/>
    <w:unhideWhenUsed/>
    <w:qFormat/>
    <w:rsid w:val="0071675B"/>
    <w:pPr>
      <w:ind w:left="480"/>
    </w:pPr>
    <w:rPr>
      <w:i/>
      <w:iCs/>
      <w:sz w:val="20"/>
      <w:szCs w:val="20"/>
    </w:rPr>
  </w:style>
  <w:style w:type="paragraph" w:styleId="Caption">
    <w:name w:val="caption"/>
    <w:basedOn w:val="Normal"/>
    <w:next w:val="Normal"/>
    <w:link w:val="CaptionChar"/>
    <w:uiPriority w:val="35"/>
    <w:qFormat/>
    <w:rsid w:val="0071675B"/>
    <w:pPr>
      <w:spacing w:after="200"/>
    </w:pPr>
    <w:rPr>
      <w:bCs/>
      <w:szCs w:val="24"/>
    </w:rPr>
  </w:style>
  <w:style w:type="character" w:customStyle="1" w:styleId="CaptionChar">
    <w:name w:val="Caption Char"/>
    <w:basedOn w:val="DefaultParagraphFont"/>
    <w:link w:val="Caption"/>
    <w:uiPriority w:val="35"/>
    <w:rsid w:val="0071675B"/>
    <w:rPr>
      <w:rFonts w:ascii="Times New Roman" w:hAnsi="Times New Roman"/>
      <w:bCs/>
      <w:sz w:val="24"/>
      <w:szCs w:val="24"/>
      <w:lang w:eastAsia="en-US"/>
    </w:rPr>
  </w:style>
  <w:style w:type="paragraph" w:styleId="TableofFigures">
    <w:name w:val="table of figures"/>
    <w:basedOn w:val="Normal"/>
    <w:next w:val="Normal"/>
    <w:autoRedefine/>
    <w:uiPriority w:val="99"/>
    <w:semiHidden/>
    <w:unhideWhenUsed/>
    <w:qFormat/>
    <w:rsid w:val="0071675B"/>
    <w:pPr>
      <w:spacing w:before="40" w:after="40"/>
    </w:pPr>
  </w:style>
  <w:style w:type="paragraph" w:styleId="Subtitle">
    <w:name w:val="Subtitle"/>
    <w:basedOn w:val="Normal"/>
    <w:next w:val="Normal"/>
    <w:link w:val="SubtitleChar"/>
    <w:uiPriority w:val="11"/>
    <w:qFormat/>
    <w:rsid w:val="0071675B"/>
    <w:pPr>
      <w:keepNext/>
      <w:keepLines/>
      <w:widowControl w:val="0"/>
      <w:suppressAutoHyphens/>
      <w:spacing w:before="600" w:after="600"/>
      <w:ind w:right="4820"/>
    </w:pPr>
    <w:rPr>
      <w:rFonts w:eastAsia="Times New Roman"/>
      <w:b/>
      <w:sz w:val="26"/>
      <w:szCs w:val="20"/>
      <w:lang w:val="en-AU" w:eastAsia="lv-LV"/>
    </w:rPr>
  </w:style>
  <w:style w:type="character" w:customStyle="1" w:styleId="SubtitleChar">
    <w:name w:val="Subtitle Char"/>
    <w:basedOn w:val="DefaultParagraphFont"/>
    <w:link w:val="Subtitle"/>
    <w:uiPriority w:val="11"/>
    <w:rsid w:val="0071675B"/>
    <w:rPr>
      <w:rFonts w:ascii="Times New Roman" w:eastAsia="Times New Roman" w:hAnsi="Times New Roman" w:cs="Times New Roman"/>
      <w:b/>
      <w:sz w:val="26"/>
      <w:szCs w:val="20"/>
      <w:lang w:val="en-AU"/>
    </w:rPr>
  </w:style>
  <w:style w:type="character" w:styleId="Strong">
    <w:name w:val="Strong"/>
    <w:basedOn w:val="DefaultParagraphFont"/>
    <w:uiPriority w:val="22"/>
    <w:qFormat/>
    <w:rsid w:val="0071675B"/>
    <w:rPr>
      <w:b/>
      <w:bCs/>
    </w:rPr>
  </w:style>
  <w:style w:type="character" w:styleId="Emphasis">
    <w:name w:val="Emphasis"/>
    <w:basedOn w:val="DefaultParagraphFont"/>
    <w:uiPriority w:val="20"/>
    <w:qFormat/>
    <w:rsid w:val="0071675B"/>
    <w:rPr>
      <w:i/>
      <w:iCs/>
    </w:rPr>
  </w:style>
  <w:style w:type="paragraph" w:styleId="NoSpacing">
    <w:name w:val="No Spacing"/>
    <w:uiPriority w:val="1"/>
    <w:qFormat/>
    <w:rsid w:val="0071675B"/>
    <w:rPr>
      <w:rFonts w:ascii="Times New Roman" w:hAnsi="Times New Roman"/>
      <w:sz w:val="24"/>
      <w:szCs w:val="28"/>
      <w:lang w:eastAsia="en-US"/>
    </w:rPr>
  </w:style>
  <w:style w:type="paragraph" w:styleId="ListParagraph">
    <w:name w:val="List Paragraph"/>
    <w:basedOn w:val="Normal"/>
    <w:uiPriority w:val="34"/>
    <w:qFormat/>
    <w:rsid w:val="0071675B"/>
    <w:pPr>
      <w:ind w:left="720"/>
      <w:contextualSpacing/>
    </w:pPr>
  </w:style>
  <w:style w:type="paragraph" w:styleId="TOCHeading">
    <w:name w:val="TOC Heading"/>
    <w:basedOn w:val="Heading1"/>
    <w:next w:val="Normal"/>
    <w:uiPriority w:val="39"/>
    <w:qFormat/>
    <w:rsid w:val="0071675B"/>
    <w:pPr>
      <w:spacing w:line="276" w:lineRule="auto"/>
      <w:outlineLvl w:val="9"/>
    </w:pPr>
    <w:rPr>
      <w:rFonts w:ascii="Times New Roman" w:eastAsia="Times New Roman" w:hAnsi="Times New Roman"/>
      <w:lang w:val="en-US"/>
    </w:rPr>
  </w:style>
  <w:style w:type="paragraph" w:customStyle="1" w:styleId="ColorfulList-Accent11">
    <w:name w:val="Colorful List - Accent 11"/>
    <w:basedOn w:val="Normal"/>
    <w:uiPriority w:val="34"/>
    <w:qFormat/>
    <w:rsid w:val="0071675B"/>
    <w:pPr>
      <w:ind w:left="720"/>
      <w:contextualSpacing/>
    </w:pPr>
  </w:style>
  <w:style w:type="paragraph" w:styleId="BodyText">
    <w:name w:val="Body Text"/>
    <w:aliases w:val="Body Text Char Char,Body Text Char Char Char"/>
    <w:basedOn w:val="Normal"/>
    <w:link w:val="BodyTextChar"/>
    <w:rsid w:val="001D26BC"/>
    <w:pPr>
      <w:spacing w:after="120"/>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rsid w:val="001D26B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6BC"/>
    <w:rPr>
      <w:rFonts w:ascii="Tahoma" w:hAnsi="Tahoma" w:cs="Tahoma"/>
      <w:sz w:val="16"/>
      <w:szCs w:val="16"/>
    </w:rPr>
  </w:style>
  <w:style w:type="character" w:customStyle="1" w:styleId="BalloonTextChar">
    <w:name w:val="Balloon Text Char"/>
    <w:basedOn w:val="DefaultParagraphFont"/>
    <w:link w:val="BalloonText"/>
    <w:uiPriority w:val="99"/>
    <w:semiHidden/>
    <w:rsid w:val="001D26BC"/>
    <w:rPr>
      <w:rFonts w:ascii="Tahoma" w:hAnsi="Tahoma" w:cs="Tahoma"/>
      <w:sz w:val="16"/>
      <w:szCs w:val="16"/>
      <w:lang w:eastAsia="en-US"/>
    </w:rPr>
  </w:style>
  <w:style w:type="paragraph" w:styleId="Header">
    <w:name w:val="header"/>
    <w:basedOn w:val="Normal"/>
    <w:link w:val="HeaderChar"/>
    <w:uiPriority w:val="99"/>
    <w:unhideWhenUsed/>
    <w:rsid w:val="001D26BC"/>
    <w:pPr>
      <w:tabs>
        <w:tab w:val="center" w:pos="4153"/>
        <w:tab w:val="right" w:pos="8306"/>
      </w:tabs>
    </w:pPr>
  </w:style>
  <w:style w:type="character" w:customStyle="1" w:styleId="HeaderChar">
    <w:name w:val="Header Char"/>
    <w:basedOn w:val="DefaultParagraphFont"/>
    <w:link w:val="Header"/>
    <w:uiPriority w:val="99"/>
    <w:rsid w:val="001D26BC"/>
    <w:rPr>
      <w:rFonts w:ascii="Times New Roman" w:hAnsi="Times New Roman"/>
      <w:sz w:val="24"/>
      <w:szCs w:val="28"/>
      <w:lang w:eastAsia="en-US"/>
    </w:rPr>
  </w:style>
  <w:style w:type="paragraph" w:styleId="Footer">
    <w:name w:val="footer"/>
    <w:basedOn w:val="Normal"/>
    <w:link w:val="FooterChar"/>
    <w:uiPriority w:val="99"/>
    <w:unhideWhenUsed/>
    <w:rsid w:val="001D26BC"/>
    <w:pPr>
      <w:tabs>
        <w:tab w:val="center" w:pos="4153"/>
        <w:tab w:val="right" w:pos="8306"/>
      </w:tabs>
    </w:pPr>
  </w:style>
  <w:style w:type="character" w:customStyle="1" w:styleId="FooterChar">
    <w:name w:val="Footer Char"/>
    <w:basedOn w:val="DefaultParagraphFont"/>
    <w:link w:val="Footer"/>
    <w:uiPriority w:val="99"/>
    <w:rsid w:val="001D26BC"/>
    <w:rPr>
      <w:rFonts w:ascii="Times New Roman" w:hAnsi="Times New Roman"/>
      <w:sz w:val="24"/>
      <w:szCs w:val="28"/>
      <w:lang w:eastAsia="en-US"/>
    </w:rPr>
  </w:style>
  <w:style w:type="paragraph" w:styleId="BodyText2">
    <w:name w:val="Body Text 2"/>
    <w:basedOn w:val="Normal"/>
    <w:link w:val="BodyText2Char"/>
    <w:semiHidden/>
    <w:unhideWhenUsed/>
    <w:rsid w:val="001D26BC"/>
    <w:pPr>
      <w:spacing w:after="120" w:line="480" w:lineRule="auto"/>
    </w:pPr>
  </w:style>
  <w:style w:type="character" w:customStyle="1" w:styleId="BodyText2Char">
    <w:name w:val="Body Text 2 Char"/>
    <w:basedOn w:val="DefaultParagraphFont"/>
    <w:link w:val="BodyText2"/>
    <w:semiHidden/>
    <w:rsid w:val="001D26BC"/>
    <w:rPr>
      <w:rFonts w:ascii="Times New Roman" w:hAnsi="Times New Roman"/>
      <w:sz w:val="24"/>
      <w:szCs w:val="28"/>
      <w:lang w:eastAsia="en-US"/>
    </w:rPr>
  </w:style>
  <w:style w:type="paragraph" w:customStyle="1" w:styleId="9pirmstab3">
    <w:name w:val="9_pirms_tab_3"/>
    <w:basedOn w:val="Normal"/>
    <w:uiPriority w:val="99"/>
    <w:rsid w:val="001D26BC"/>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1D26BC"/>
    <w:pPr>
      <w:spacing w:after="120" w:line="480" w:lineRule="auto"/>
      <w:ind w:left="283"/>
    </w:pPr>
  </w:style>
  <w:style w:type="character" w:customStyle="1" w:styleId="BodyTextIndent2Char">
    <w:name w:val="Body Text Indent 2 Char"/>
    <w:basedOn w:val="DefaultParagraphFont"/>
    <w:link w:val="BodyTextIndent2"/>
    <w:uiPriority w:val="99"/>
    <w:rsid w:val="001D26BC"/>
    <w:rPr>
      <w:rFonts w:ascii="Times New Roman" w:hAnsi="Times New Roman"/>
      <w:sz w:val="24"/>
      <w:szCs w:val="28"/>
      <w:lang w:eastAsia="en-US"/>
    </w:rPr>
  </w:style>
  <w:style w:type="paragraph" w:styleId="BodyTextIndent">
    <w:name w:val="Body Text Indent"/>
    <w:basedOn w:val="Normal"/>
    <w:link w:val="BodyTextIndentChar"/>
    <w:rsid w:val="001D26BC"/>
    <w:pPr>
      <w:spacing w:after="120"/>
      <w:ind w:left="283"/>
    </w:pPr>
    <w:rPr>
      <w:rFonts w:eastAsia="Times New Roman"/>
      <w:szCs w:val="24"/>
      <w:lang w:eastAsia="lv-LV"/>
    </w:rPr>
  </w:style>
  <w:style w:type="character" w:customStyle="1" w:styleId="BodyTextIndentChar">
    <w:name w:val="Body Text Indent Char"/>
    <w:basedOn w:val="DefaultParagraphFont"/>
    <w:link w:val="BodyTextIndent"/>
    <w:rsid w:val="001D26BC"/>
    <w:rPr>
      <w:rFonts w:ascii="Times New Roman" w:eastAsia="Times New Roman" w:hAnsi="Times New Roman"/>
      <w:sz w:val="24"/>
      <w:szCs w:val="24"/>
    </w:rPr>
  </w:style>
  <w:style w:type="paragraph" w:styleId="FootnoteText">
    <w:name w:val="footnote text"/>
    <w:basedOn w:val="Normal"/>
    <w:link w:val="FootnoteTextChar"/>
    <w:uiPriority w:val="99"/>
    <w:rsid w:val="001D26BC"/>
    <w:rPr>
      <w:rFonts w:eastAsia="Times New Roman"/>
      <w:sz w:val="20"/>
      <w:szCs w:val="20"/>
      <w:lang w:eastAsia="lv-LV"/>
    </w:rPr>
  </w:style>
  <w:style w:type="character" w:customStyle="1" w:styleId="FootnoteTextChar">
    <w:name w:val="Footnote Text Char"/>
    <w:basedOn w:val="DefaultParagraphFont"/>
    <w:link w:val="FootnoteText"/>
    <w:uiPriority w:val="99"/>
    <w:rsid w:val="001D26BC"/>
    <w:rPr>
      <w:rFonts w:ascii="Times New Roman" w:eastAsia="Times New Roman" w:hAnsi="Times New Roman"/>
    </w:rPr>
  </w:style>
  <w:style w:type="character" w:styleId="FootnoteReference">
    <w:name w:val="footnote reference"/>
    <w:basedOn w:val="DefaultParagraphFont"/>
    <w:uiPriority w:val="99"/>
    <w:rsid w:val="001D26BC"/>
    <w:rPr>
      <w:vertAlign w:val="superscript"/>
    </w:rPr>
  </w:style>
  <w:style w:type="table" w:styleId="MediumGrid3-Accent3">
    <w:name w:val="Medium Grid 3 Accent 3"/>
    <w:basedOn w:val="TableNormal"/>
    <w:uiPriority w:val="60"/>
    <w:rsid w:val="001D26BC"/>
    <w:rPr>
      <w:rFonts w:ascii="Times New Roman" w:eastAsia="Times New Roman" w:hAnsi="Times New Roman"/>
      <w:color w:val="76923C"/>
      <w:sz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59"/>
    <w:rsid w:val="001D26B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D26BC"/>
    <w:rPr>
      <w:sz w:val="16"/>
      <w:szCs w:val="16"/>
    </w:rPr>
  </w:style>
  <w:style w:type="paragraph" w:styleId="CommentText">
    <w:name w:val="annotation text"/>
    <w:basedOn w:val="Normal"/>
    <w:link w:val="CommentTextChar"/>
    <w:uiPriority w:val="99"/>
    <w:semiHidden/>
    <w:rsid w:val="001D26BC"/>
    <w:rPr>
      <w:rFonts w:eastAsia="Times New Roman"/>
      <w:sz w:val="20"/>
      <w:szCs w:val="20"/>
      <w:lang w:val="en-GB"/>
    </w:rPr>
  </w:style>
  <w:style w:type="character" w:customStyle="1" w:styleId="CommentTextChar">
    <w:name w:val="Comment Text Char"/>
    <w:basedOn w:val="DefaultParagraphFont"/>
    <w:link w:val="CommentText"/>
    <w:uiPriority w:val="99"/>
    <w:semiHidden/>
    <w:rsid w:val="001D26BC"/>
    <w:rPr>
      <w:rFonts w:ascii="Times New Roman" w:eastAsia="Times New Roman" w:hAnsi="Times New Roman"/>
      <w:lang w:val="en-GB" w:eastAsia="en-US"/>
    </w:rPr>
  </w:style>
  <w:style w:type="character" w:styleId="Hyperlink">
    <w:name w:val="Hyperlink"/>
    <w:basedOn w:val="DefaultParagraphFont"/>
    <w:uiPriority w:val="99"/>
    <w:unhideWhenUsed/>
    <w:rsid w:val="001D26BC"/>
    <w:rPr>
      <w:color w:val="0000FF"/>
      <w:u w:val="single"/>
    </w:rPr>
  </w:style>
  <w:style w:type="paragraph" w:styleId="BodyTextIndent3">
    <w:name w:val="Body Text Indent 3"/>
    <w:basedOn w:val="Normal"/>
    <w:link w:val="BodyTextIndent3Char"/>
    <w:uiPriority w:val="99"/>
    <w:semiHidden/>
    <w:unhideWhenUsed/>
    <w:rsid w:val="001D26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26BC"/>
    <w:rPr>
      <w:rFonts w:ascii="Times New Roman" w:hAnsi="Times New Roman"/>
      <w:sz w:val="16"/>
      <w:szCs w:val="16"/>
      <w:lang w:eastAsia="en-US"/>
    </w:rPr>
  </w:style>
  <w:style w:type="character" w:customStyle="1" w:styleId="city2">
    <w:name w:val="city2"/>
    <w:basedOn w:val="DefaultParagraphFont"/>
    <w:rsid w:val="001D26BC"/>
    <w:rPr>
      <w:caps w:val="0"/>
      <w:color w:val="777F8D"/>
      <w:sz w:val="14"/>
      <w:szCs w:val="14"/>
    </w:rPr>
  </w:style>
  <w:style w:type="table" w:customStyle="1" w:styleId="Tabula">
    <w:name w:val="Tabula"/>
    <w:basedOn w:val="TableNormal"/>
    <w:uiPriority w:val="99"/>
    <w:rsid w:val="001D26BC"/>
    <w:rPr>
      <w:rFonts w:ascii="Times New Roman" w:hAnsi="Times New Roman"/>
    </w:rPr>
    <w:tblPr>
      <w:tblInd w:w="0" w:type="dxa"/>
      <w:tblCellMar>
        <w:top w:w="0" w:type="dxa"/>
        <w:left w:w="108" w:type="dxa"/>
        <w:bottom w:w="0" w:type="dxa"/>
        <w:right w:w="108" w:type="dxa"/>
      </w:tblCellMar>
    </w:tblPr>
  </w:style>
  <w:style w:type="table" w:styleId="MediumGrid3-Accent4">
    <w:name w:val="Medium Grid 3 Accent 4"/>
    <w:basedOn w:val="TableNormal"/>
    <w:uiPriority w:val="60"/>
    <w:rsid w:val="001D26BC"/>
    <w:rPr>
      <w:rFonts w:ascii="Times New Roman" w:hAnsi="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unhideWhenUsed/>
    <w:rsid w:val="001D26BC"/>
    <w:rPr>
      <w:rFonts w:ascii="Tahoma" w:eastAsia="Times New Roman" w:hAnsi="Tahoma" w:cs="Tahoma"/>
      <w:color w:val="333333"/>
      <w:sz w:val="16"/>
      <w:szCs w:val="16"/>
      <w:lang w:eastAsia="lv-LV"/>
    </w:rPr>
  </w:style>
  <w:style w:type="paragraph" w:customStyle="1" w:styleId="teksts">
    <w:name w:val="teksts"/>
    <w:rsid w:val="001D26BC"/>
    <w:pPr>
      <w:spacing w:after="120"/>
      <w:jc w:val="both"/>
    </w:pPr>
    <w:rPr>
      <w:rFonts w:ascii="NewsGoth Cn TL" w:eastAsia="Times New Roman" w:hAnsi="NewsGoth Cn TL"/>
      <w:kern w:val="18"/>
      <w:sz w:val="18"/>
      <w:lang w:eastAsia="en-US"/>
    </w:rPr>
  </w:style>
  <w:style w:type="table" w:customStyle="1" w:styleId="LightShading2">
    <w:name w:val="Light Shading2"/>
    <w:basedOn w:val="TableNormal"/>
    <w:uiPriority w:val="60"/>
    <w:rsid w:val="001D26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D26BC"/>
    <w:rPr>
      <w:rFonts w:ascii="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1D26B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6">
    <w:name w:val="Medium Grid 3 Accent 6"/>
    <w:basedOn w:val="TableNormal"/>
    <w:uiPriority w:val="60"/>
    <w:rsid w:val="001D26B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ubtleEmphasis1">
    <w:name w:val="Subtle Emphasis1"/>
    <w:basedOn w:val="TableNormal"/>
    <w:uiPriority w:val="65"/>
    <w:qFormat/>
    <w:rsid w:val="001D26B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Shading-Accent4">
    <w:name w:val="Light Shading Accent 4"/>
    <w:basedOn w:val="TableNormal"/>
    <w:uiPriority w:val="65"/>
    <w:rsid w:val="001D26B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PageNumber">
    <w:name w:val="page number"/>
    <w:basedOn w:val="DefaultParagraphFont"/>
    <w:rsid w:val="001D26BC"/>
    <w:rPr>
      <w:rFonts w:cs="Times New Roman"/>
    </w:rPr>
  </w:style>
  <w:style w:type="character" w:customStyle="1" w:styleId="longtext">
    <w:name w:val="long_text"/>
    <w:basedOn w:val="DefaultParagraphFont"/>
    <w:rsid w:val="001D26BC"/>
  </w:style>
  <w:style w:type="character" w:customStyle="1" w:styleId="a11ynode">
    <w:name w:val="a11ynode"/>
    <w:basedOn w:val="DefaultParagraphFont"/>
    <w:rsid w:val="001D26BC"/>
  </w:style>
  <w:style w:type="paragraph" w:customStyle="1" w:styleId="CharCharCharCharChar">
    <w:name w:val="Char Char Char Char Char"/>
    <w:basedOn w:val="Normal"/>
    <w:rsid w:val="001D26BC"/>
    <w:pPr>
      <w:spacing w:after="160" w:line="240" w:lineRule="exact"/>
    </w:pPr>
    <w:rPr>
      <w:rFonts w:ascii="Tahoma" w:eastAsia="Times New Roman" w:hAnsi="Tahoma"/>
      <w:sz w:val="20"/>
      <w:szCs w:val="20"/>
      <w:lang w:val="en-US"/>
    </w:rPr>
  </w:style>
  <w:style w:type="paragraph" w:customStyle="1" w:styleId="CharCharCharCharCharChar">
    <w:name w:val="Char Char Char Char Char Char"/>
    <w:basedOn w:val="Normal"/>
    <w:rsid w:val="001D26BC"/>
    <w:pPr>
      <w:spacing w:after="160" w:line="240" w:lineRule="exact"/>
    </w:pPr>
    <w:rPr>
      <w:rFonts w:ascii="Tahoma" w:eastAsia="Times New Roman" w:hAnsi="Tahoma"/>
      <w:sz w:val="20"/>
      <w:szCs w:val="20"/>
      <w:lang w:val="en-US"/>
    </w:rPr>
  </w:style>
  <w:style w:type="paragraph" w:styleId="EndnoteText">
    <w:name w:val="endnote text"/>
    <w:basedOn w:val="Normal"/>
    <w:link w:val="EndnoteTextChar"/>
    <w:uiPriority w:val="99"/>
    <w:semiHidden/>
    <w:unhideWhenUsed/>
    <w:rsid w:val="001D26BC"/>
    <w:rPr>
      <w:rFonts w:ascii="Calibri" w:hAnsi="Calibri"/>
      <w:sz w:val="20"/>
      <w:szCs w:val="20"/>
    </w:rPr>
  </w:style>
  <w:style w:type="character" w:customStyle="1" w:styleId="EndnoteTextChar">
    <w:name w:val="Endnote Text Char"/>
    <w:basedOn w:val="DefaultParagraphFont"/>
    <w:link w:val="EndnoteText"/>
    <w:uiPriority w:val="99"/>
    <w:semiHidden/>
    <w:rsid w:val="001D26BC"/>
    <w:rPr>
      <w:lang w:eastAsia="en-US"/>
    </w:rPr>
  </w:style>
  <w:style w:type="character" w:styleId="EndnoteReference">
    <w:name w:val="endnote reference"/>
    <w:basedOn w:val="DefaultParagraphFont"/>
    <w:uiPriority w:val="99"/>
    <w:semiHidden/>
    <w:unhideWhenUsed/>
    <w:rsid w:val="001D26BC"/>
    <w:rPr>
      <w:vertAlign w:val="superscript"/>
    </w:rPr>
  </w:style>
  <w:style w:type="paragraph" w:styleId="CommentSubject">
    <w:name w:val="annotation subject"/>
    <w:basedOn w:val="CommentText"/>
    <w:next w:val="CommentText"/>
    <w:link w:val="CommentSubjectChar"/>
    <w:uiPriority w:val="99"/>
    <w:semiHidden/>
    <w:unhideWhenUsed/>
    <w:rsid w:val="001D26BC"/>
    <w:rPr>
      <w:rFonts w:eastAsia="Calibri"/>
      <w:b/>
      <w:bCs/>
      <w:lang w:val="lv-LV"/>
    </w:rPr>
  </w:style>
  <w:style w:type="character" w:customStyle="1" w:styleId="CommentSubjectChar">
    <w:name w:val="Comment Subject Char"/>
    <w:basedOn w:val="CommentTextChar"/>
    <w:link w:val="CommentSubject"/>
    <w:uiPriority w:val="99"/>
    <w:semiHidden/>
    <w:rsid w:val="001D26BC"/>
    <w:rPr>
      <w:b/>
      <w:bCs/>
    </w:rPr>
  </w:style>
  <w:style w:type="paragraph" w:styleId="TOC4">
    <w:name w:val="toc 4"/>
    <w:basedOn w:val="Normal"/>
    <w:next w:val="Normal"/>
    <w:autoRedefine/>
    <w:uiPriority w:val="39"/>
    <w:rsid w:val="001D26BC"/>
    <w:pPr>
      <w:ind w:left="720"/>
    </w:pPr>
    <w:rPr>
      <w:sz w:val="18"/>
      <w:szCs w:val="18"/>
    </w:rPr>
  </w:style>
  <w:style w:type="paragraph" w:styleId="TOC5">
    <w:name w:val="toc 5"/>
    <w:basedOn w:val="Normal"/>
    <w:next w:val="Normal"/>
    <w:autoRedefine/>
    <w:uiPriority w:val="39"/>
    <w:rsid w:val="001D26BC"/>
    <w:pPr>
      <w:ind w:left="960"/>
    </w:pPr>
    <w:rPr>
      <w:sz w:val="18"/>
      <w:szCs w:val="18"/>
    </w:rPr>
  </w:style>
  <w:style w:type="paragraph" w:styleId="TOC6">
    <w:name w:val="toc 6"/>
    <w:basedOn w:val="Normal"/>
    <w:next w:val="Normal"/>
    <w:autoRedefine/>
    <w:uiPriority w:val="39"/>
    <w:rsid w:val="001D26BC"/>
    <w:pPr>
      <w:ind w:left="1200"/>
    </w:pPr>
    <w:rPr>
      <w:sz w:val="18"/>
      <w:szCs w:val="18"/>
    </w:rPr>
  </w:style>
  <w:style w:type="paragraph" w:styleId="TOC7">
    <w:name w:val="toc 7"/>
    <w:basedOn w:val="Normal"/>
    <w:next w:val="Normal"/>
    <w:autoRedefine/>
    <w:uiPriority w:val="39"/>
    <w:rsid w:val="001D26BC"/>
    <w:pPr>
      <w:ind w:left="1440"/>
    </w:pPr>
    <w:rPr>
      <w:sz w:val="18"/>
      <w:szCs w:val="18"/>
    </w:rPr>
  </w:style>
  <w:style w:type="paragraph" w:styleId="TOC8">
    <w:name w:val="toc 8"/>
    <w:basedOn w:val="Normal"/>
    <w:next w:val="Normal"/>
    <w:autoRedefine/>
    <w:uiPriority w:val="39"/>
    <w:rsid w:val="001D26BC"/>
    <w:pPr>
      <w:ind w:left="1680"/>
    </w:pPr>
    <w:rPr>
      <w:sz w:val="18"/>
      <w:szCs w:val="18"/>
    </w:rPr>
  </w:style>
  <w:style w:type="paragraph" w:styleId="TOC9">
    <w:name w:val="toc 9"/>
    <w:basedOn w:val="Normal"/>
    <w:next w:val="Normal"/>
    <w:autoRedefine/>
    <w:uiPriority w:val="39"/>
    <w:rsid w:val="001D26BC"/>
    <w:pPr>
      <w:ind w:left="1920"/>
    </w:pPr>
    <w:rPr>
      <w:sz w:val="18"/>
      <w:szCs w:val="18"/>
    </w:rPr>
  </w:style>
  <w:style w:type="paragraph" w:customStyle="1" w:styleId="Default">
    <w:name w:val="Default"/>
    <w:rsid w:val="001D26BC"/>
    <w:pPr>
      <w:autoSpaceDE w:val="0"/>
      <w:autoSpaceDN w:val="0"/>
      <w:adjustRightInd w:val="0"/>
    </w:pPr>
    <w:rPr>
      <w:rFonts w:ascii="Arial" w:eastAsia="Times New Roman" w:hAnsi="Arial" w:cs="Arial"/>
      <w:color w:val="000000"/>
      <w:sz w:val="24"/>
      <w:szCs w:val="24"/>
    </w:rPr>
  </w:style>
  <w:style w:type="character" w:customStyle="1" w:styleId="datetime1">
    <w:name w:val="datetime1"/>
    <w:basedOn w:val="DefaultParagraphFont"/>
    <w:rsid w:val="001D26BC"/>
    <w:rPr>
      <w:rFonts w:ascii="Trebuchet MS" w:hAnsi="Trebuchet MS" w:hint="default"/>
      <w:b w:val="0"/>
      <w:bCs w:val="0"/>
      <w:i/>
      <w:iCs/>
      <w:color w:val="000000"/>
      <w:sz w:val="18"/>
      <w:szCs w:val="18"/>
    </w:rPr>
  </w:style>
  <w:style w:type="numbering" w:styleId="111111">
    <w:name w:val="Outline List 2"/>
    <w:basedOn w:val="NoList"/>
    <w:rsid w:val="001D26BC"/>
    <w:pPr>
      <w:numPr>
        <w:numId w:val="10"/>
      </w:numPr>
    </w:pPr>
  </w:style>
  <w:style w:type="paragraph" w:customStyle="1" w:styleId="Pamattekstaatkpe2">
    <w:name w:val="Pamatteksta atkāpe 2"/>
    <w:basedOn w:val="Normal"/>
    <w:rsid w:val="001D26BC"/>
    <w:pPr>
      <w:tabs>
        <w:tab w:val="left" w:pos="8730"/>
      </w:tabs>
      <w:suppressAutoHyphens/>
      <w:ind w:left="1080"/>
      <w:jc w:val="both"/>
    </w:pPr>
    <w:rPr>
      <w:rFonts w:ascii="Arial" w:hAnsi="Arial"/>
      <w:sz w:val="20"/>
      <w:szCs w:val="20"/>
      <w:lang w:eastAsia="ar-SA"/>
    </w:rPr>
  </w:style>
  <w:style w:type="paragraph" w:customStyle="1" w:styleId="Pamattekstaatkpe3">
    <w:name w:val="Pamatteksta atkāpe 3"/>
    <w:basedOn w:val="Normal"/>
    <w:rsid w:val="001D26BC"/>
    <w:pPr>
      <w:tabs>
        <w:tab w:val="left" w:pos="1170"/>
      </w:tabs>
      <w:suppressAutoHyphens/>
      <w:ind w:firstLine="540"/>
      <w:jc w:val="both"/>
    </w:pPr>
    <w:rPr>
      <w:rFonts w:ascii="Arial" w:hAnsi="Arial"/>
      <w:sz w:val="20"/>
      <w:szCs w:val="20"/>
      <w:lang w:eastAsia="ar-SA"/>
    </w:rPr>
  </w:style>
  <w:style w:type="paragraph" w:customStyle="1" w:styleId="normalbulleted">
    <w:name w:val="normalbulleted"/>
    <w:basedOn w:val="Normal"/>
    <w:rsid w:val="001D26BC"/>
    <w:pPr>
      <w:numPr>
        <w:numId w:val="23"/>
      </w:numPr>
      <w:jc w:val="both"/>
    </w:pPr>
    <w:rPr>
      <w:szCs w:val="24"/>
    </w:rPr>
  </w:style>
  <w:style w:type="paragraph" w:customStyle="1" w:styleId="pirmais">
    <w:name w:val="pirmais"/>
    <w:basedOn w:val="Heading1"/>
    <w:rsid w:val="001D26BC"/>
    <w:pPr>
      <w:keepNext/>
      <w:pageBreakBefore w:val="0"/>
      <w:numPr>
        <w:numId w:val="25"/>
      </w:numPr>
      <w:spacing w:before="240" w:after="60"/>
      <w:jc w:val="left"/>
    </w:pPr>
    <w:rPr>
      <w:rFonts w:ascii="Arial Narrow" w:hAnsi="Arial Narrow" w:cs="Arial"/>
      <w:color w:val="0F243E"/>
      <w:kern w:val="32"/>
      <w:sz w:val="32"/>
      <w:szCs w:val="32"/>
      <w:lang w:eastAsia="lv-LV"/>
    </w:rPr>
  </w:style>
  <w:style w:type="paragraph" w:customStyle="1" w:styleId="otrais">
    <w:name w:val="otrais"/>
    <w:basedOn w:val="Heading2"/>
    <w:rsid w:val="001D26BC"/>
    <w:pPr>
      <w:keepLines w:val="0"/>
      <w:numPr>
        <w:ilvl w:val="1"/>
        <w:numId w:val="25"/>
      </w:numPr>
      <w:spacing w:before="240" w:after="240"/>
    </w:pPr>
    <w:rPr>
      <w:rFonts w:ascii="Arial Narrow" w:eastAsia="Calibri" w:hAnsi="Arial Narrow" w:cs="Arial"/>
      <w:color w:val="0F243E"/>
      <w:szCs w:val="28"/>
      <w:lang w:eastAsia="lv-LV"/>
    </w:rPr>
  </w:style>
  <w:style w:type="paragraph" w:customStyle="1" w:styleId="tresaisnr2">
    <w:name w:val="tresaisnr2"/>
    <w:basedOn w:val="Heading3"/>
    <w:rsid w:val="001D26BC"/>
    <w:pPr>
      <w:keepLines w:val="0"/>
      <w:tabs>
        <w:tab w:val="num" w:pos="720"/>
      </w:tabs>
      <w:spacing w:before="480" w:after="360"/>
      <w:ind w:left="720" w:hanging="720"/>
    </w:pPr>
    <w:rPr>
      <w:rFonts w:ascii="Arial Narrow" w:hAnsi="Arial Narrow"/>
      <w:color w:val="0F243E"/>
      <w:szCs w:val="20"/>
      <w:lang w:eastAsia="lv-LV"/>
    </w:rPr>
  </w:style>
  <w:style w:type="paragraph" w:customStyle="1" w:styleId="cetri">
    <w:name w:val="cetri"/>
    <w:basedOn w:val="Heading3"/>
    <w:rsid w:val="001D26BC"/>
    <w:pPr>
      <w:keepLines w:val="0"/>
      <w:tabs>
        <w:tab w:val="num" w:pos="864"/>
      </w:tabs>
      <w:spacing w:before="240" w:after="60"/>
      <w:ind w:left="864" w:hanging="864"/>
    </w:pPr>
    <w:rPr>
      <w:rFonts w:ascii="Arial Narrow" w:eastAsia="Calibri" w:hAnsi="Arial Narrow" w:cs="Arial"/>
      <w:color w:val="0F243E"/>
      <w:sz w:val="24"/>
      <w:szCs w:val="26"/>
      <w:lang w:eastAsia="lv-LV"/>
    </w:rPr>
  </w:style>
  <w:style w:type="paragraph" w:customStyle="1" w:styleId="Bulletlists">
    <w:name w:val="Bullet_lists"/>
    <w:basedOn w:val="ListParagraph"/>
    <w:qFormat/>
    <w:rsid w:val="001D26BC"/>
    <w:pPr>
      <w:numPr>
        <w:numId w:val="27"/>
      </w:numPr>
      <w:spacing w:after="200" w:line="276" w:lineRule="auto"/>
      <w:jc w:val="both"/>
    </w:pPr>
    <w:rPr>
      <w:szCs w:val="24"/>
    </w:rPr>
  </w:style>
  <w:style w:type="character" w:customStyle="1" w:styleId="apple-style-span">
    <w:name w:val="apple-style-span"/>
    <w:basedOn w:val="DefaultParagraphFont"/>
    <w:rsid w:val="001D26BC"/>
  </w:style>
  <w:style w:type="paragraph" w:styleId="Title">
    <w:name w:val="Title"/>
    <w:basedOn w:val="Normal"/>
    <w:next w:val="Normal"/>
    <w:link w:val="TitleChar"/>
    <w:uiPriority w:val="10"/>
    <w:qFormat/>
    <w:rsid w:val="001D26BC"/>
    <w:pPr>
      <w:pBdr>
        <w:bottom w:val="single" w:sz="8" w:space="4" w:color="4F81BD"/>
      </w:pBdr>
      <w:spacing w:after="300"/>
      <w:contextualSpacing/>
      <w:jc w:val="both"/>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D26BC"/>
    <w:rPr>
      <w:rFonts w:ascii="Cambria" w:eastAsia="Times New Roman" w:hAnsi="Cambria"/>
      <w:color w:val="17365D"/>
      <w:spacing w:val="5"/>
      <w:kern w:val="28"/>
      <w:sz w:val="52"/>
      <w:szCs w:val="52"/>
      <w:lang w:eastAsia="en-US"/>
    </w:rPr>
  </w:style>
  <w:style w:type="paragraph" w:styleId="DocumentMap">
    <w:name w:val="Document Map"/>
    <w:basedOn w:val="Normal"/>
    <w:link w:val="DocumentMapChar"/>
    <w:uiPriority w:val="99"/>
    <w:unhideWhenUsed/>
    <w:rsid w:val="001D26BC"/>
    <w:pPr>
      <w:jc w:val="both"/>
    </w:pPr>
    <w:rPr>
      <w:rFonts w:ascii="Tahoma" w:hAnsi="Tahoma" w:cs="Tahoma"/>
      <w:sz w:val="16"/>
      <w:szCs w:val="16"/>
    </w:rPr>
  </w:style>
  <w:style w:type="character" w:customStyle="1" w:styleId="DocumentMapChar">
    <w:name w:val="Document Map Char"/>
    <w:basedOn w:val="DefaultParagraphFont"/>
    <w:link w:val="DocumentMap"/>
    <w:uiPriority w:val="99"/>
    <w:rsid w:val="001D26BC"/>
    <w:rPr>
      <w:rFonts w:ascii="Tahoma" w:hAnsi="Tahoma" w:cs="Tahoma"/>
      <w:sz w:val="16"/>
      <w:szCs w:val="16"/>
      <w:lang w:eastAsia="en-US"/>
    </w:rPr>
  </w:style>
  <w:style w:type="character" w:styleId="FollowedHyperlink">
    <w:name w:val="FollowedHyperlink"/>
    <w:basedOn w:val="DefaultParagraphFont"/>
    <w:uiPriority w:val="99"/>
    <w:unhideWhenUsed/>
    <w:rsid w:val="001D26BC"/>
    <w:rPr>
      <w:color w:val="800080"/>
      <w:u w:val="single"/>
    </w:rPr>
  </w:style>
  <w:style w:type="paragraph" w:customStyle="1" w:styleId="xl65">
    <w:name w:val="xl65"/>
    <w:basedOn w:val="Normal"/>
    <w:rsid w:val="001D26BC"/>
    <w:pPr>
      <w:spacing w:before="100" w:beforeAutospacing="1" w:after="100" w:afterAutospacing="1"/>
      <w:jc w:val="both"/>
    </w:pPr>
    <w:rPr>
      <w:rFonts w:ascii="Calibri" w:eastAsia="Times New Roman" w:hAnsi="Calibri"/>
      <w:b/>
      <w:bCs/>
      <w:szCs w:val="24"/>
      <w:lang w:eastAsia="lv-LV"/>
    </w:rPr>
  </w:style>
  <w:style w:type="paragraph" w:customStyle="1" w:styleId="xl67">
    <w:name w:val="xl67"/>
    <w:basedOn w:val="Normal"/>
    <w:rsid w:val="001D26BC"/>
    <w:pPr>
      <w:spacing w:before="100" w:beforeAutospacing="1" w:after="100" w:afterAutospacing="1"/>
      <w:jc w:val="center"/>
    </w:pPr>
    <w:rPr>
      <w:rFonts w:ascii="Calibri" w:eastAsia="Times New Roman" w:hAnsi="Calibri"/>
      <w:i/>
      <w:iCs/>
      <w:szCs w:val="24"/>
      <w:lang w:eastAsia="lv-LV"/>
    </w:rPr>
  </w:style>
  <w:style w:type="paragraph" w:customStyle="1" w:styleId="xl69">
    <w:name w:val="xl69"/>
    <w:basedOn w:val="Normal"/>
    <w:rsid w:val="001D26BC"/>
    <w:pPr>
      <w:shd w:val="clear" w:color="000000" w:fill="DDD9C3"/>
      <w:spacing w:before="100" w:beforeAutospacing="1" w:after="100" w:afterAutospacing="1"/>
      <w:jc w:val="both"/>
    </w:pPr>
    <w:rPr>
      <w:rFonts w:eastAsia="Times New Roman"/>
      <w:szCs w:val="24"/>
      <w:lang w:eastAsia="lv-LV"/>
    </w:rPr>
  </w:style>
  <w:style w:type="paragraph" w:customStyle="1" w:styleId="xl70">
    <w:name w:val="xl70"/>
    <w:basedOn w:val="Normal"/>
    <w:rsid w:val="001D26BC"/>
    <w:pPr>
      <w:spacing w:before="100" w:beforeAutospacing="1" w:after="100" w:afterAutospacing="1"/>
      <w:jc w:val="right"/>
    </w:pPr>
    <w:rPr>
      <w:rFonts w:ascii="Calibri" w:eastAsia="Times New Roman" w:hAnsi="Calibri"/>
      <w:b/>
      <w:bCs/>
      <w:szCs w:val="24"/>
      <w:lang w:eastAsia="lv-LV"/>
    </w:rPr>
  </w:style>
  <w:style w:type="paragraph" w:customStyle="1" w:styleId="xl72">
    <w:name w:val="xl72"/>
    <w:basedOn w:val="Normal"/>
    <w:rsid w:val="001D26BC"/>
    <w:pPr>
      <w:shd w:val="clear" w:color="000000" w:fill="8DB4E3"/>
      <w:spacing w:before="100" w:beforeAutospacing="1" w:after="100" w:afterAutospacing="1"/>
      <w:jc w:val="both"/>
    </w:pPr>
    <w:rPr>
      <w:rFonts w:eastAsia="Times New Roman"/>
      <w:szCs w:val="24"/>
      <w:lang w:eastAsia="lv-LV"/>
    </w:rPr>
  </w:style>
  <w:style w:type="paragraph" w:customStyle="1" w:styleId="xl73">
    <w:name w:val="xl73"/>
    <w:basedOn w:val="Normal"/>
    <w:rsid w:val="001D26BC"/>
    <w:pPr>
      <w:spacing w:before="100" w:beforeAutospacing="1" w:after="100" w:afterAutospacing="1"/>
      <w:jc w:val="center"/>
    </w:pPr>
    <w:rPr>
      <w:rFonts w:ascii="Calibri" w:eastAsia="Times New Roman" w:hAnsi="Calibri"/>
      <w:i/>
      <w:iCs/>
      <w:szCs w:val="24"/>
      <w:lang w:eastAsia="lv-LV"/>
    </w:rPr>
  </w:style>
  <w:style w:type="paragraph" w:customStyle="1" w:styleId="xl74">
    <w:name w:val="xl74"/>
    <w:basedOn w:val="Normal"/>
    <w:rsid w:val="001D26BC"/>
    <w:pPr>
      <w:shd w:val="clear" w:color="000000" w:fill="8DB4E3"/>
      <w:spacing w:before="100" w:beforeAutospacing="1" w:after="100" w:afterAutospacing="1"/>
      <w:jc w:val="center"/>
    </w:pPr>
    <w:rPr>
      <w:rFonts w:ascii="Calibri" w:eastAsia="Times New Roman" w:hAnsi="Calibri"/>
      <w:i/>
      <w:iCs/>
      <w:szCs w:val="24"/>
      <w:lang w:eastAsia="lv-LV"/>
    </w:rPr>
  </w:style>
  <w:style w:type="paragraph" w:customStyle="1" w:styleId="xl75">
    <w:name w:val="xl75"/>
    <w:basedOn w:val="Normal"/>
    <w:rsid w:val="001D26BC"/>
    <w:pPr>
      <w:shd w:val="clear" w:color="000000" w:fill="D8D8D8"/>
      <w:spacing w:before="100" w:beforeAutospacing="1" w:after="100" w:afterAutospacing="1"/>
      <w:jc w:val="both"/>
    </w:pPr>
    <w:rPr>
      <w:rFonts w:eastAsia="Times New Roman"/>
      <w:szCs w:val="24"/>
      <w:lang w:eastAsia="lv-LV"/>
    </w:rPr>
  </w:style>
  <w:style w:type="paragraph" w:customStyle="1" w:styleId="xl77">
    <w:name w:val="xl77"/>
    <w:basedOn w:val="Normal"/>
    <w:rsid w:val="001D26BC"/>
    <w:pPr>
      <w:spacing w:before="100" w:beforeAutospacing="1" w:after="100" w:afterAutospacing="1"/>
      <w:jc w:val="center"/>
    </w:pPr>
    <w:rPr>
      <w:rFonts w:ascii="Calibri" w:eastAsia="Times New Roman" w:hAnsi="Calibri"/>
      <w:i/>
      <w:iCs/>
      <w:szCs w:val="24"/>
      <w:lang w:eastAsia="lv-LV"/>
    </w:rPr>
  </w:style>
  <w:style w:type="paragraph" w:customStyle="1" w:styleId="xl78">
    <w:name w:val="xl78"/>
    <w:basedOn w:val="Normal"/>
    <w:rsid w:val="001D26BC"/>
    <w:pPr>
      <w:shd w:val="clear" w:color="000000" w:fill="D8D8D8"/>
      <w:spacing w:before="100" w:beforeAutospacing="1" w:after="100" w:afterAutospacing="1"/>
      <w:jc w:val="both"/>
    </w:pPr>
    <w:rPr>
      <w:rFonts w:eastAsia="Times New Roman"/>
      <w:szCs w:val="24"/>
      <w:lang w:eastAsia="lv-LV"/>
    </w:rPr>
  </w:style>
  <w:style w:type="paragraph" w:customStyle="1" w:styleId="xl79">
    <w:name w:val="xl79"/>
    <w:basedOn w:val="Normal"/>
    <w:rsid w:val="001D26BC"/>
    <w:pPr>
      <w:shd w:val="clear" w:color="000000" w:fill="D8D8D8"/>
      <w:spacing w:before="100" w:beforeAutospacing="1" w:after="100" w:afterAutospacing="1"/>
      <w:jc w:val="both"/>
    </w:pPr>
    <w:rPr>
      <w:rFonts w:eastAsia="Times New Roman"/>
      <w:szCs w:val="24"/>
      <w:lang w:eastAsia="lv-LV"/>
    </w:rPr>
  </w:style>
  <w:style w:type="paragraph" w:customStyle="1" w:styleId="xl80">
    <w:name w:val="xl80"/>
    <w:basedOn w:val="Normal"/>
    <w:rsid w:val="001D26BC"/>
    <w:pPr>
      <w:shd w:val="clear" w:color="000000" w:fill="D8D8D8"/>
      <w:spacing w:before="100" w:beforeAutospacing="1" w:after="100" w:afterAutospacing="1"/>
      <w:jc w:val="both"/>
    </w:pPr>
    <w:rPr>
      <w:rFonts w:eastAsia="Times New Roman"/>
      <w:szCs w:val="24"/>
      <w:lang w:eastAsia="lv-LV"/>
    </w:rPr>
  </w:style>
  <w:style w:type="paragraph" w:customStyle="1" w:styleId="xl81">
    <w:name w:val="xl81"/>
    <w:basedOn w:val="Normal"/>
    <w:rsid w:val="001D26BC"/>
    <w:pPr>
      <w:shd w:val="clear" w:color="000000" w:fill="D8D8D8"/>
      <w:spacing w:before="100" w:beforeAutospacing="1" w:after="100" w:afterAutospacing="1"/>
      <w:jc w:val="both"/>
    </w:pPr>
    <w:rPr>
      <w:rFonts w:eastAsia="Times New Roman"/>
      <w:szCs w:val="24"/>
      <w:lang w:eastAsia="lv-LV"/>
    </w:rPr>
  </w:style>
  <w:style w:type="paragraph" w:customStyle="1" w:styleId="xl83">
    <w:name w:val="xl83"/>
    <w:basedOn w:val="Normal"/>
    <w:rsid w:val="001D26BC"/>
    <w:pPr>
      <w:spacing w:before="100" w:beforeAutospacing="1" w:after="100" w:afterAutospacing="1"/>
      <w:jc w:val="center"/>
    </w:pPr>
    <w:rPr>
      <w:rFonts w:ascii="Calibri" w:eastAsia="Times New Roman" w:hAnsi="Calibri"/>
      <w:b/>
      <w:bCs/>
      <w:i/>
      <w:iCs/>
      <w:szCs w:val="24"/>
      <w:lang w:eastAsia="lv-LV"/>
    </w:rPr>
  </w:style>
  <w:style w:type="paragraph" w:customStyle="1" w:styleId="xl84">
    <w:name w:val="xl84"/>
    <w:basedOn w:val="Normal"/>
    <w:rsid w:val="001D26BC"/>
    <w:pPr>
      <w:spacing w:before="100" w:beforeAutospacing="1" w:after="100" w:afterAutospacing="1"/>
      <w:jc w:val="both"/>
    </w:pPr>
    <w:rPr>
      <w:rFonts w:ascii="Calibri" w:eastAsia="Times New Roman" w:hAnsi="Calibri"/>
      <w:b/>
      <w:bCs/>
      <w:szCs w:val="24"/>
      <w:lang w:eastAsia="lv-LV"/>
    </w:rPr>
  </w:style>
  <w:style w:type="paragraph" w:customStyle="1" w:styleId="xl85">
    <w:name w:val="xl85"/>
    <w:basedOn w:val="Normal"/>
    <w:rsid w:val="001D26BC"/>
    <w:pPr>
      <w:spacing w:before="100" w:beforeAutospacing="1" w:after="100" w:afterAutospacing="1"/>
      <w:jc w:val="center"/>
    </w:pPr>
    <w:rPr>
      <w:rFonts w:ascii="Calibri" w:eastAsia="Times New Roman" w:hAnsi="Calibri"/>
      <w:i/>
      <w:iCs/>
      <w:szCs w:val="24"/>
      <w:lang w:eastAsia="lv-LV"/>
    </w:rPr>
  </w:style>
  <w:style w:type="paragraph" w:customStyle="1" w:styleId="xl86">
    <w:name w:val="xl86"/>
    <w:basedOn w:val="Normal"/>
    <w:rsid w:val="001D26BC"/>
    <w:pPr>
      <w:spacing w:before="100" w:beforeAutospacing="1" w:after="100" w:afterAutospacing="1"/>
      <w:jc w:val="center"/>
    </w:pPr>
    <w:rPr>
      <w:rFonts w:ascii="Calibri" w:eastAsia="Times New Roman" w:hAnsi="Calibri"/>
      <w:b/>
      <w:bCs/>
      <w:i/>
      <w:iCs/>
      <w:szCs w:val="24"/>
      <w:lang w:eastAsia="lv-LV"/>
    </w:rPr>
  </w:style>
  <w:style w:type="paragraph" w:customStyle="1" w:styleId="xl87">
    <w:name w:val="xl87"/>
    <w:basedOn w:val="Normal"/>
    <w:rsid w:val="001D26BC"/>
    <w:pPr>
      <w:spacing w:before="100" w:beforeAutospacing="1" w:after="100" w:afterAutospacing="1"/>
      <w:jc w:val="center"/>
    </w:pPr>
    <w:rPr>
      <w:rFonts w:ascii="Calibri" w:eastAsia="Times New Roman" w:hAnsi="Calibri"/>
      <w:i/>
      <w:iCs/>
      <w:szCs w:val="24"/>
      <w:lang w:eastAsia="lv-LV"/>
    </w:rPr>
  </w:style>
  <w:style w:type="paragraph" w:customStyle="1" w:styleId="xl88">
    <w:name w:val="xl88"/>
    <w:basedOn w:val="Normal"/>
    <w:rsid w:val="001D26BC"/>
    <w:pPr>
      <w:shd w:val="clear" w:color="000000" w:fill="C5D9F1"/>
      <w:spacing w:before="100" w:beforeAutospacing="1" w:after="100" w:afterAutospacing="1"/>
      <w:jc w:val="both"/>
    </w:pPr>
    <w:rPr>
      <w:rFonts w:eastAsia="Times New Roman"/>
      <w:szCs w:val="24"/>
      <w:lang w:eastAsia="lv-LV"/>
    </w:rPr>
  </w:style>
  <w:style w:type="paragraph" w:customStyle="1" w:styleId="xl89">
    <w:name w:val="xl89"/>
    <w:basedOn w:val="Normal"/>
    <w:rsid w:val="001D26BC"/>
    <w:pPr>
      <w:shd w:val="clear" w:color="000000" w:fill="C5D9F1"/>
      <w:spacing w:before="100" w:beforeAutospacing="1" w:after="100" w:afterAutospacing="1"/>
      <w:jc w:val="center"/>
    </w:pPr>
    <w:rPr>
      <w:rFonts w:ascii="Calibri" w:eastAsia="Times New Roman" w:hAnsi="Calibri"/>
      <w:i/>
      <w:iCs/>
      <w:szCs w:val="24"/>
      <w:lang w:eastAsia="lv-LV"/>
    </w:rPr>
  </w:style>
  <w:style w:type="paragraph" w:customStyle="1" w:styleId="xl90">
    <w:name w:val="xl90"/>
    <w:basedOn w:val="Normal"/>
    <w:rsid w:val="001D26BC"/>
    <w:pPr>
      <w:shd w:val="clear" w:color="000000" w:fill="CCC0DA"/>
      <w:spacing w:before="100" w:beforeAutospacing="1" w:after="100" w:afterAutospacing="1"/>
      <w:jc w:val="both"/>
    </w:pPr>
    <w:rPr>
      <w:rFonts w:eastAsia="Times New Roman"/>
      <w:szCs w:val="24"/>
      <w:lang w:eastAsia="lv-LV"/>
    </w:rPr>
  </w:style>
  <w:style w:type="paragraph" w:customStyle="1" w:styleId="xl91">
    <w:name w:val="xl91"/>
    <w:basedOn w:val="Normal"/>
    <w:rsid w:val="001D26BC"/>
    <w:pPr>
      <w:shd w:val="clear" w:color="000000" w:fill="CCC0DA"/>
      <w:spacing w:before="100" w:beforeAutospacing="1" w:after="100" w:afterAutospacing="1"/>
      <w:jc w:val="center"/>
    </w:pPr>
    <w:rPr>
      <w:rFonts w:ascii="Calibri" w:eastAsia="Times New Roman" w:hAnsi="Calibri"/>
      <w:i/>
      <w:iCs/>
      <w:szCs w:val="24"/>
      <w:lang w:eastAsia="lv-LV"/>
    </w:rPr>
  </w:style>
  <w:style w:type="paragraph" w:customStyle="1" w:styleId="xl92">
    <w:name w:val="xl92"/>
    <w:basedOn w:val="Normal"/>
    <w:rsid w:val="001D26BC"/>
    <w:pPr>
      <w:shd w:val="clear" w:color="000000" w:fill="B2A1C7"/>
      <w:spacing w:before="100" w:beforeAutospacing="1" w:after="100" w:afterAutospacing="1"/>
      <w:jc w:val="both"/>
    </w:pPr>
    <w:rPr>
      <w:rFonts w:eastAsia="Times New Roman"/>
      <w:szCs w:val="24"/>
      <w:lang w:eastAsia="lv-LV"/>
    </w:rPr>
  </w:style>
  <w:style w:type="paragraph" w:customStyle="1" w:styleId="xl93">
    <w:name w:val="xl93"/>
    <w:basedOn w:val="Normal"/>
    <w:rsid w:val="001D26BC"/>
    <w:pPr>
      <w:shd w:val="clear" w:color="000000" w:fill="B2A1C7"/>
      <w:spacing w:before="100" w:beforeAutospacing="1" w:after="100" w:afterAutospacing="1"/>
      <w:jc w:val="center"/>
    </w:pPr>
    <w:rPr>
      <w:rFonts w:ascii="Calibri" w:eastAsia="Times New Roman" w:hAnsi="Calibri"/>
      <w:i/>
      <w:iCs/>
      <w:szCs w:val="24"/>
      <w:lang w:eastAsia="lv-LV"/>
    </w:rPr>
  </w:style>
  <w:style w:type="paragraph" w:customStyle="1" w:styleId="xl94">
    <w:name w:val="xl94"/>
    <w:basedOn w:val="Normal"/>
    <w:rsid w:val="001D26BC"/>
    <w:pPr>
      <w:shd w:val="clear" w:color="000000" w:fill="C5D9F1"/>
      <w:spacing w:before="100" w:beforeAutospacing="1" w:after="100" w:afterAutospacing="1"/>
      <w:jc w:val="both"/>
    </w:pPr>
    <w:rPr>
      <w:rFonts w:ascii="Calibri" w:eastAsia="Times New Roman" w:hAnsi="Calibri"/>
      <w:b/>
      <w:bCs/>
      <w:szCs w:val="24"/>
      <w:lang w:eastAsia="lv-LV"/>
    </w:rPr>
  </w:style>
  <w:style w:type="paragraph" w:customStyle="1" w:styleId="xl95">
    <w:name w:val="xl95"/>
    <w:basedOn w:val="Normal"/>
    <w:rsid w:val="001D26BC"/>
    <w:pPr>
      <w:shd w:val="clear" w:color="000000" w:fill="C5D9F1"/>
      <w:spacing w:before="100" w:beforeAutospacing="1" w:after="100" w:afterAutospacing="1"/>
      <w:ind w:firstLineChars="200" w:firstLine="200"/>
      <w:jc w:val="both"/>
    </w:pPr>
    <w:rPr>
      <w:rFonts w:ascii="Calibri" w:eastAsia="Times New Roman" w:hAnsi="Calibri"/>
      <w:szCs w:val="24"/>
      <w:lang w:eastAsia="lv-LV"/>
    </w:rPr>
  </w:style>
  <w:style w:type="paragraph" w:customStyle="1" w:styleId="xl96">
    <w:name w:val="xl96"/>
    <w:basedOn w:val="Normal"/>
    <w:rsid w:val="001D26BC"/>
    <w:pPr>
      <w:shd w:val="clear" w:color="000000" w:fill="C5D9F1"/>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97">
    <w:name w:val="xl97"/>
    <w:basedOn w:val="Normal"/>
    <w:rsid w:val="001D26BC"/>
    <w:pPr>
      <w:shd w:val="clear" w:color="000000" w:fill="C5D9F1"/>
      <w:spacing w:before="100" w:beforeAutospacing="1" w:after="100" w:afterAutospacing="1"/>
      <w:jc w:val="both"/>
    </w:pPr>
    <w:rPr>
      <w:rFonts w:ascii="Calibri" w:eastAsia="Times New Roman" w:hAnsi="Calibri"/>
      <w:b/>
      <w:bCs/>
      <w:szCs w:val="24"/>
      <w:lang w:eastAsia="lv-LV"/>
    </w:rPr>
  </w:style>
  <w:style w:type="paragraph" w:customStyle="1" w:styleId="xl98">
    <w:name w:val="xl98"/>
    <w:basedOn w:val="Normal"/>
    <w:rsid w:val="001D26BC"/>
    <w:pPr>
      <w:shd w:val="clear" w:color="000000" w:fill="D7E4BC"/>
      <w:spacing w:before="100" w:beforeAutospacing="1" w:after="100" w:afterAutospacing="1"/>
      <w:jc w:val="both"/>
    </w:pPr>
    <w:rPr>
      <w:rFonts w:ascii="Calibri" w:eastAsia="Times New Roman" w:hAnsi="Calibri"/>
      <w:b/>
      <w:bCs/>
      <w:szCs w:val="24"/>
      <w:lang w:eastAsia="lv-LV"/>
    </w:rPr>
  </w:style>
  <w:style w:type="paragraph" w:customStyle="1" w:styleId="xl99">
    <w:name w:val="xl99"/>
    <w:basedOn w:val="Normal"/>
    <w:rsid w:val="001D26BC"/>
    <w:pPr>
      <w:shd w:val="clear" w:color="000000" w:fill="D7E4BC"/>
      <w:spacing w:before="100" w:beforeAutospacing="1" w:after="100" w:afterAutospacing="1"/>
      <w:ind w:firstLineChars="200" w:firstLine="200"/>
      <w:jc w:val="both"/>
    </w:pPr>
    <w:rPr>
      <w:rFonts w:ascii="Calibri" w:eastAsia="Times New Roman" w:hAnsi="Calibri"/>
      <w:szCs w:val="24"/>
      <w:lang w:eastAsia="lv-LV"/>
    </w:rPr>
  </w:style>
  <w:style w:type="paragraph" w:customStyle="1" w:styleId="xl100">
    <w:name w:val="xl100"/>
    <w:basedOn w:val="Normal"/>
    <w:rsid w:val="001D26BC"/>
    <w:pPr>
      <w:shd w:val="clear" w:color="000000" w:fill="D7E4BC"/>
      <w:spacing w:before="100" w:beforeAutospacing="1" w:after="100" w:afterAutospacing="1"/>
      <w:jc w:val="center"/>
    </w:pPr>
    <w:rPr>
      <w:rFonts w:ascii="Calibri" w:eastAsia="Times New Roman" w:hAnsi="Calibri"/>
      <w:i/>
      <w:iCs/>
      <w:szCs w:val="24"/>
      <w:lang w:eastAsia="lv-LV"/>
    </w:rPr>
  </w:style>
  <w:style w:type="paragraph" w:customStyle="1" w:styleId="xl101">
    <w:name w:val="xl101"/>
    <w:basedOn w:val="Normal"/>
    <w:rsid w:val="001D26BC"/>
    <w:pPr>
      <w:shd w:val="clear" w:color="000000" w:fill="D7E4BC"/>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02">
    <w:name w:val="xl102"/>
    <w:basedOn w:val="Normal"/>
    <w:rsid w:val="001D26BC"/>
    <w:pPr>
      <w:shd w:val="clear" w:color="000000" w:fill="D7E4BC"/>
      <w:spacing w:before="100" w:beforeAutospacing="1" w:after="100" w:afterAutospacing="1"/>
      <w:jc w:val="both"/>
    </w:pPr>
    <w:rPr>
      <w:rFonts w:eastAsia="Times New Roman"/>
      <w:szCs w:val="24"/>
      <w:lang w:eastAsia="lv-LV"/>
    </w:rPr>
  </w:style>
  <w:style w:type="paragraph" w:customStyle="1" w:styleId="xl103">
    <w:name w:val="xl103"/>
    <w:basedOn w:val="Normal"/>
    <w:rsid w:val="001D26BC"/>
    <w:pPr>
      <w:shd w:val="clear" w:color="000000" w:fill="D7E4BC"/>
      <w:spacing w:before="100" w:beforeAutospacing="1" w:after="100" w:afterAutospacing="1"/>
      <w:jc w:val="both"/>
    </w:pPr>
    <w:rPr>
      <w:rFonts w:ascii="Calibri" w:eastAsia="Times New Roman" w:hAnsi="Calibri"/>
      <w:b/>
      <w:bCs/>
      <w:szCs w:val="24"/>
      <w:lang w:eastAsia="lv-LV"/>
    </w:rPr>
  </w:style>
  <w:style w:type="paragraph" w:customStyle="1" w:styleId="xl104">
    <w:name w:val="xl104"/>
    <w:basedOn w:val="Normal"/>
    <w:rsid w:val="001D26BC"/>
    <w:pPr>
      <w:shd w:val="clear" w:color="000000" w:fill="CCC0DA"/>
      <w:spacing w:before="100" w:beforeAutospacing="1" w:after="100" w:afterAutospacing="1"/>
      <w:jc w:val="both"/>
    </w:pPr>
    <w:rPr>
      <w:rFonts w:ascii="Calibri" w:eastAsia="Times New Roman" w:hAnsi="Calibri"/>
      <w:b/>
      <w:bCs/>
      <w:szCs w:val="24"/>
      <w:lang w:eastAsia="lv-LV"/>
    </w:rPr>
  </w:style>
  <w:style w:type="paragraph" w:customStyle="1" w:styleId="xl105">
    <w:name w:val="xl105"/>
    <w:basedOn w:val="Normal"/>
    <w:rsid w:val="001D26BC"/>
    <w:pPr>
      <w:shd w:val="clear" w:color="000000" w:fill="CCC0DA"/>
      <w:spacing w:before="100" w:beforeAutospacing="1" w:after="100" w:afterAutospacing="1"/>
      <w:ind w:firstLineChars="200" w:firstLine="200"/>
      <w:jc w:val="both"/>
    </w:pPr>
    <w:rPr>
      <w:rFonts w:ascii="Calibri" w:eastAsia="Times New Roman" w:hAnsi="Calibri"/>
      <w:szCs w:val="24"/>
      <w:lang w:eastAsia="lv-LV"/>
    </w:rPr>
  </w:style>
  <w:style w:type="paragraph" w:customStyle="1" w:styleId="xl106">
    <w:name w:val="xl106"/>
    <w:basedOn w:val="Normal"/>
    <w:rsid w:val="001D26BC"/>
    <w:pPr>
      <w:shd w:val="clear" w:color="000000" w:fill="CCC0DA"/>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07">
    <w:name w:val="xl107"/>
    <w:basedOn w:val="Normal"/>
    <w:rsid w:val="001D26BC"/>
    <w:pPr>
      <w:shd w:val="clear" w:color="000000" w:fill="CCC0DA"/>
      <w:spacing w:before="100" w:beforeAutospacing="1" w:after="100" w:afterAutospacing="1"/>
      <w:jc w:val="both"/>
    </w:pPr>
    <w:rPr>
      <w:rFonts w:ascii="Calibri" w:eastAsia="Times New Roman" w:hAnsi="Calibri"/>
      <w:b/>
      <w:bCs/>
      <w:szCs w:val="24"/>
      <w:lang w:eastAsia="lv-LV"/>
    </w:rPr>
  </w:style>
  <w:style w:type="paragraph" w:customStyle="1" w:styleId="xl108">
    <w:name w:val="xl108"/>
    <w:basedOn w:val="Normal"/>
    <w:rsid w:val="001D26BC"/>
    <w:pPr>
      <w:shd w:val="clear" w:color="000000" w:fill="CCC0DA"/>
      <w:spacing w:before="100" w:beforeAutospacing="1" w:after="100" w:afterAutospacing="1"/>
      <w:ind w:firstLineChars="400" w:firstLine="400"/>
      <w:jc w:val="both"/>
    </w:pPr>
    <w:rPr>
      <w:rFonts w:ascii="Calibri" w:eastAsia="Times New Roman" w:hAnsi="Calibri"/>
      <w:szCs w:val="24"/>
      <w:lang w:eastAsia="lv-LV"/>
    </w:rPr>
  </w:style>
  <w:style w:type="paragraph" w:customStyle="1" w:styleId="xl109">
    <w:name w:val="xl109"/>
    <w:basedOn w:val="Normal"/>
    <w:rsid w:val="001D26BC"/>
    <w:pPr>
      <w:shd w:val="clear" w:color="000000" w:fill="CCC0DA"/>
      <w:spacing w:before="100" w:beforeAutospacing="1" w:after="100" w:afterAutospacing="1"/>
      <w:ind w:firstLineChars="200" w:firstLine="200"/>
      <w:jc w:val="both"/>
    </w:pPr>
    <w:rPr>
      <w:rFonts w:ascii="Calibri" w:eastAsia="Times New Roman" w:hAnsi="Calibri"/>
      <w:b/>
      <w:bCs/>
      <w:color w:val="0070C0"/>
      <w:szCs w:val="24"/>
      <w:lang w:eastAsia="lv-LV"/>
    </w:rPr>
  </w:style>
  <w:style w:type="paragraph" w:customStyle="1" w:styleId="xl110">
    <w:name w:val="xl110"/>
    <w:basedOn w:val="Normal"/>
    <w:rsid w:val="001D26BC"/>
    <w:pPr>
      <w:spacing w:before="100" w:beforeAutospacing="1" w:after="100" w:afterAutospacing="1"/>
      <w:jc w:val="center"/>
    </w:pPr>
    <w:rPr>
      <w:rFonts w:ascii="Calibri" w:eastAsia="Times New Roman" w:hAnsi="Calibri"/>
      <w:b/>
      <w:bCs/>
      <w:i/>
      <w:iCs/>
      <w:color w:val="0070C0"/>
      <w:szCs w:val="24"/>
      <w:lang w:eastAsia="lv-LV"/>
    </w:rPr>
  </w:style>
  <w:style w:type="paragraph" w:customStyle="1" w:styleId="xl111">
    <w:name w:val="xl111"/>
    <w:basedOn w:val="Normal"/>
    <w:rsid w:val="001D26BC"/>
    <w:pPr>
      <w:spacing w:before="100" w:beforeAutospacing="1" w:after="100" w:afterAutospacing="1"/>
      <w:jc w:val="center"/>
    </w:pPr>
    <w:rPr>
      <w:rFonts w:ascii="Calibri" w:eastAsia="Times New Roman" w:hAnsi="Calibri"/>
      <w:b/>
      <w:bCs/>
      <w:i/>
      <w:iCs/>
      <w:color w:val="0070C0"/>
      <w:szCs w:val="24"/>
      <w:lang w:eastAsia="lv-LV"/>
    </w:rPr>
  </w:style>
  <w:style w:type="paragraph" w:customStyle="1" w:styleId="xl112">
    <w:name w:val="xl112"/>
    <w:basedOn w:val="Normal"/>
    <w:rsid w:val="001D26BC"/>
    <w:pPr>
      <w:shd w:val="clear" w:color="000000" w:fill="D8D8D8"/>
      <w:spacing w:before="100" w:beforeAutospacing="1" w:after="100" w:afterAutospacing="1"/>
      <w:jc w:val="both"/>
    </w:pPr>
    <w:rPr>
      <w:rFonts w:ascii="Calibri" w:eastAsia="Times New Roman" w:hAnsi="Calibri"/>
      <w:b/>
      <w:bCs/>
      <w:color w:val="0070C0"/>
      <w:szCs w:val="24"/>
      <w:lang w:eastAsia="lv-LV"/>
    </w:rPr>
  </w:style>
  <w:style w:type="paragraph" w:customStyle="1" w:styleId="xl113">
    <w:name w:val="xl113"/>
    <w:basedOn w:val="Normal"/>
    <w:rsid w:val="001D26BC"/>
    <w:pPr>
      <w:spacing w:before="100" w:beforeAutospacing="1" w:after="100" w:afterAutospacing="1"/>
      <w:jc w:val="both"/>
    </w:pPr>
    <w:rPr>
      <w:rFonts w:ascii="Calibri" w:eastAsia="Times New Roman" w:hAnsi="Calibri"/>
      <w:b/>
      <w:bCs/>
      <w:color w:val="0070C0"/>
      <w:szCs w:val="24"/>
      <w:lang w:eastAsia="lv-LV"/>
    </w:rPr>
  </w:style>
  <w:style w:type="paragraph" w:customStyle="1" w:styleId="xl114">
    <w:name w:val="xl114"/>
    <w:basedOn w:val="Normal"/>
    <w:rsid w:val="001D26BC"/>
    <w:pPr>
      <w:spacing w:before="100" w:beforeAutospacing="1" w:after="100" w:afterAutospacing="1"/>
      <w:jc w:val="both"/>
    </w:pPr>
    <w:rPr>
      <w:rFonts w:ascii="Calibri" w:eastAsia="Times New Roman" w:hAnsi="Calibri"/>
      <w:b/>
      <w:bCs/>
      <w:color w:val="0070C0"/>
      <w:szCs w:val="24"/>
      <w:lang w:eastAsia="lv-LV"/>
    </w:rPr>
  </w:style>
  <w:style w:type="paragraph" w:customStyle="1" w:styleId="xl115">
    <w:name w:val="xl115"/>
    <w:basedOn w:val="Normal"/>
    <w:rsid w:val="001D26BC"/>
    <w:pPr>
      <w:shd w:val="clear" w:color="000000" w:fill="C5D9F1"/>
      <w:spacing w:before="100" w:beforeAutospacing="1" w:after="100" w:afterAutospacing="1"/>
      <w:ind w:firstLineChars="200" w:firstLine="200"/>
      <w:jc w:val="both"/>
    </w:pPr>
    <w:rPr>
      <w:rFonts w:ascii="Calibri" w:eastAsia="Times New Roman" w:hAnsi="Calibri"/>
      <w:b/>
      <w:bCs/>
      <w:color w:val="0070C0"/>
      <w:szCs w:val="24"/>
      <w:lang w:eastAsia="lv-LV"/>
    </w:rPr>
  </w:style>
  <w:style w:type="paragraph" w:customStyle="1" w:styleId="xl116">
    <w:name w:val="xl116"/>
    <w:basedOn w:val="Normal"/>
    <w:rsid w:val="001D26BC"/>
    <w:pPr>
      <w:spacing w:before="100" w:beforeAutospacing="1" w:after="100" w:afterAutospacing="1"/>
      <w:jc w:val="center"/>
    </w:pPr>
    <w:rPr>
      <w:rFonts w:ascii="Calibri" w:eastAsia="Times New Roman" w:hAnsi="Calibri"/>
      <w:b/>
      <w:bCs/>
      <w:color w:val="0070C0"/>
      <w:szCs w:val="24"/>
      <w:lang w:eastAsia="lv-LV"/>
    </w:rPr>
  </w:style>
  <w:style w:type="paragraph" w:customStyle="1" w:styleId="xl117">
    <w:name w:val="xl117"/>
    <w:basedOn w:val="Normal"/>
    <w:rsid w:val="001D26BC"/>
    <w:pPr>
      <w:spacing w:before="100" w:beforeAutospacing="1" w:after="100" w:afterAutospacing="1"/>
      <w:jc w:val="both"/>
    </w:pPr>
    <w:rPr>
      <w:rFonts w:ascii="Calibri" w:eastAsia="Times New Roman" w:hAnsi="Calibri"/>
      <w:b/>
      <w:bCs/>
      <w:color w:val="0070C0"/>
      <w:szCs w:val="24"/>
      <w:lang w:eastAsia="lv-LV"/>
    </w:rPr>
  </w:style>
  <w:style w:type="paragraph" w:customStyle="1" w:styleId="xl119">
    <w:name w:val="xl119"/>
    <w:basedOn w:val="Normal"/>
    <w:rsid w:val="001D26BC"/>
    <w:pPr>
      <w:shd w:val="clear" w:color="000000" w:fill="D8D8D8"/>
      <w:spacing w:before="100" w:beforeAutospacing="1" w:after="100" w:afterAutospacing="1"/>
      <w:jc w:val="center"/>
    </w:pPr>
    <w:rPr>
      <w:rFonts w:ascii="Calibri" w:eastAsia="Times New Roman" w:hAnsi="Calibri"/>
      <w:szCs w:val="24"/>
      <w:lang w:eastAsia="lv-LV"/>
    </w:rPr>
  </w:style>
  <w:style w:type="paragraph" w:customStyle="1" w:styleId="xl121">
    <w:name w:val="xl121"/>
    <w:basedOn w:val="Normal"/>
    <w:rsid w:val="001D26BC"/>
    <w:pPr>
      <w:shd w:val="clear" w:color="000000" w:fill="D8D8D8"/>
      <w:spacing w:before="100" w:beforeAutospacing="1" w:after="100" w:afterAutospacing="1"/>
      <w:jc w:val="both"/>
    </w:pPr>
    <w:rPr>
      <w:rFonts w:eastAsia="Times New Roman"/>
      <w:szCs w:val="24"/>
      <w:lang w:eastAsia="lv-LV"/>
    </w:rPr>
  </w:style>
  <w:style w:type="paragraph" w:customStyle="1" w:styleId="xl122">
    <w:name w:val="xl122"/>
    <w:basedOn w:val="Normal"/>
    <w:rsid w:val="001D26BC"/>
    <w:pPr>
      <w:spacing w:before="100" w:beforeAutospacing="1" w:after="100" w:afterAutospacing="1"/>
      <w:jc w:val="right"/>
    </w:pPr>
    <w:rPr>
      <w:rFonts w:ascii="Calibri" w:eastAsia="Times New Roman" w:hAnsi="Calibri"/>
      <w:b/>
      <w:bCs/>
      <w:szCs w:val="24"/>
      <w:lang w:eastAsia="lv-LV"/>
    </w:rPr>
  </w:style>
  <w:style w:type="paragraph" w:customStyle="1" w:styleId="xl123">
    <w:name w:val="xl123"/>
    <w:basedOn w:val="Normal"/>
    <w:rsid w:val="001D26BC"/>
    <w:pPr>
      <w:shd w:val="clear" w:color="000000" w:fill="C5D9F1"/>
      <w:spacing w:before="100" w:beforeAutospacing="1" w:after="100" w:afterAutospacing="1"/>
      <w:jc w:val="center"/>
    </w:pPr>
    <w:rPr>
      <w:rFonts w:ascii="Calibri" w:eastAsia="Times New Roman" w:hAnsi="Calibri"/>
      <w:b/>
      <w:bCs/>
      <w:i/>
      <w:iCs/>
      <w:szCs w:val="24"/>
      <w:lang w:eastAsia="lv-LV"/>
    </w:rPr>
  </w:style>
  <w:style w:type="paragraph" w:customStyle="1" w:styleId="xl124">
    <w:name w:val="xl124"/>
    <w:basedOn w:val="Normal"/>
    <w:rsid w:val="001D26BC"/>
    <w:pPr>
      <w:shd w:val="clear" w:color="000000" w:fill="C5D9F1"/>
      <w:spacing w:before="100" w:beforeAutospacing="1" w:after="100" w:afterAutospacing="1"/>
      <w:jc w:val="center"/>
    </w:pPr>
    <w:rPr>
      <w:rFonts w:ascii="Calibri" w:eastAsia="Times New Roman" w:hAnsi="Calibri"/>
      <w:b/>
      <w:bCs/>
      <w:i/>
      <w:iCs/>
      <w:szCs w:val="24"/>
      <w:lang w:eastAsia="lv-LV"/>
    </w:rPr>
  </w:style>
  <w:style w:type="paragraph" w:customStyle="1" w:styleId="xl125">
    <w:name w:val="xl125"/>
    <w:basedOn w:val="Normal"/>
    <w:rsid w:val="001D26BC"/>
    <w:pPr>
      <w:shd w:val="clear" w:color="000000" w:fill="C5D9F1"/>
      <w:spacing w:before="100" w:beforeAutospacing="1" w:after="100" w:afterAutospacing="1"/>
      <w:jc w:val="center"/>
    </w:pPr>
    <w:rPr>
      <w:rFonts w:ascii="Calibri" w:eastAsia="Times New Roman" w:hAnsi="Calibri"/>
      <w:b/>
      <w:bCs/>
      <w:i/>
      <w:iCs/>
      <w:szCs w:val="24"/>
      <w:lang w:eastAsia="lv-LV"/>
    </w:rPr>
  </w:style>
  <w:style w:type="paragraph" w:customStyle="1" w:styleId="xl126">
    <w:name w:val="xl126"/>
    <w:basedOn w:val="Normal"/>
    <w:rsid w:val="001D26BC"/>
    <w:pPr>
      <w:shd w:val="clear" w:color="000000" w:fill="CCC0DA"/>
      <w:spacing w:before="100" w:beforeAutospacing="1" w:after="100" w:afterAutospacing="1"/>
      <w:jc w:val="center"/>
    </w:pPr>
    <w:rPr>
      <w:rFonts w:ascii="Calibri" w:eastAsia="Times New Roman" w:hAnsi="Calibri"/>
      <w:b/>
      <w:bCs/>
      <w:i/>
      <w:iCs/>
      <w:szCs w:val="24"/>
      <w:lang w:eastAsia="lv-LV"/>
    </w:rPr>
  </w:style>
  <w:style w:type="paragraph" w:customStyle="1" w:styleId="xl127">
    <w:name w:val="xl127"/>
    <w:basedOn w:val="Normal"/>
    <w:rsid w:val="001D26BC"/>
    <w:pPr>
      <w:shd w:val="clear" w:color="000000" w:fill="CCC0DA"/>
      <w:spacing w:before="100" w:beforeAutospacing="1" w:after="100" w:afterAutospacing="1"/>
      <w:jc w:val="center"/>
    </w:pPr>
    <w:rPr>
      <w:rFonts w:ascii="Calibri" w:eastAsia="Times New Roman" w:hAnsi="Calibri"/>
      <w:b/>
      <w:bCs/>
      <w:i/>
      <w:iCs/>
      <w:szCs w:val="24"/>
      <w:lang w:eastAsia="lv-LV"/>
    </w:rPr>
  </w:style>
  <w:style w:type="paragraph" w:customStyle="1" w:styleId="xl128">
    <w:name w:val="xl128"/>
    <w:basedOn w:val="Normal"/>
    <w:rsid w:val="001D26BC"/>
    <w:pPr>
      <w:shd w:val="clear" w:color="000000" w:fill="CCC0DA"/>
      <w:spacing w:before="100" w:beforeAutospacing="1" w:after="100" w:afterAutospacing="1"/>
      <w:jc w:val="center"/>
    </w:pPr>
    <w:rPr>
      <w:rFonts w:ascii="Calibri" w:eastAsia="Times New Roman" w:hAnsi="Calibri"/>
      <w:b/>
      <w:bCs/>
      <w:i/>
      <w:iCs/>
      <w:szCs w:val="24"/>
      <w:lang w:eastAsia="lv-LV"/>
    </w:rPr>
  </w:style>
  <w:style w:type="paragraph" w:customStyle="1" w:styleId="xl129">
    <w:name w:val="xl129"/>
    <w:basedOn w:val="Normal"/>
    <w:rsid w:val="001D26BC"/>
    <w:pPr>
      <w:shd w:val="clear" w:color="000000" w:fill="D7E4BC"/>
      <w:spacing w:before="100" w:beforeAutospacing="1" w:after="100" w:afterAutospacing="1"/>
      <w:jc w:val="center"/>
    </w:pPr>
    <w:rPr>
      <w:rFonts w:ascii="Calibri" w:eastAsia="Times New Roman" w:hAnsi="Calibri"/>
      <w:b/>
      <w:bCs/>
      <w:i/>
      <w:iCs/>
      <w:szCs w:val="24"/>
      <w:lang w:eastAsia="lv-LV"/>
    </w:rPr>
  </w:style>
  <w:style w:type="paragraph" w:customStyle="1" w:styleId="xl130">
    <w:name w:val="xl130"/>
    <w:basedOn w:val="Normal"/>
    <w:rsid w:val="001D26BC"/>
    <w:pPr>
      <w:shd w:val="clear" w:color="000000" w:fill="D7E4BC"/>
      <w:spacing w:before="100" w:beforeAutospacing="1" w:after="100" w:afterAutospacing="1"/>
      <w:jc w:val="center"/>
    </w:pPr>
    <w:rPr>
      <w:rFonts w:ascii="Calibri" w:eastAsia="Times New Roman" w:hAnsi="Calibri"/>
      <w:b/>
      <w:bCs/>
      <w:i/>
      <w:iCs/>
      <w:szCs w:val="24"/>
      <w:lang w:eastAsia="lv-LV"/>
    </w:rPr>
  </w:style>
  <w:style w:type="paragraph" w:customStyle="1" w:styleId="xl131">
    <w:name w:val="xl131"/>
    <w:basedOn w:val="Normal"/>
    <w:rsid w:val="001D26BC"/>
    <w:pPr>
      <w:shd w:val="clear" w:color="000000" w:fill="D7E4BC"/>
      <w:spacing w:before="100" w:beforeAutospacing="1" w:after="100" w:afterAutospacing="1"/>
      <w:ind w:firstLineChars="200" w:firstLine="200"/>
      <w:jc w:val="both"/>
    </w:pPr>
    <w:rPr>
      <w:rFonts w:ascii="Calibri" w:eastAsia="Times New Roman" w:hAnsi="Calibri"/>
      <w:b/>
      <w:bCs/>
      <w:color w:val="0070C0"/>
      <w:szCs w:val="24"/>
      <w:lang w:eastAsia="lv-LV"/>
    </w:rPr>
  </w:style>
  <w:style w:type="paragraph" w:customStyle="1" w:styleId="xl132">
    <w:name w:val="xl132"/>
    <w:basedOn w:val="Normal"/>
    <w:rsid w:val="001D26BC"/>
    <w:pPr>
      <w:shd w:val="clear" w:color="000000" w:fill="D7E4BC"/>
      <w:spacing w:before="100" w:beforeAutospacing="1" w:after="100" w:afterAutospacing="1"/>
      <w:jc w:val="center"/>
    </w:pPr>
    <w:rPr>
      <w:rFonts w:ascii="Calibri" w:eastAsia="Times New Roman" w:hAnsi="Calibri"/>
      <w:b/>
      <w:bCs/>
      <w:i/>
      <w:iCs/>
      <w:szCs w:val="24"/>
      <w:lang w:eastAsia="lv-LV"/>
    </w:rPr>
  </w:style>
  <w:style w:type="paragraph" w:customStyle="1" w:styleId="xl133">
    <w:name w:val="xl133"/>
    <w:basedOn w:val="Normal"/>
    <w:rsid w:val="001D26BC"/>
    <w:pPr>
      <w:shd w:val="clear" w:color="000000" w:fill="9BBB59"/>
      <w:spacing w:before="100" w:beforeAutospacing="1" w:after="100" w:afterAutospacing="1"/>
      <w:jc w:val="both"/>
    </w:pPr>
    <w:rPr>
      <w:rFonts w:eastAsia="Times New Roman"/>
      <w:szCs w:val="24"/>
      <w:lang w:eastAsia="lv-LV"/>
    </w:rPr>
  </w:style>
  <w:style w:type="paragraph" w:customStyle="1" w:styleId="xl134">
    <w:name w:val="xl134"/>
    <w:basedOn w:val="Normal"/>
    <w:rsid w:val="001D26BC"/>
    <w:pPr>
      <w:shd w:val="clear" w:color="000000" w:fill="9BBB59"/>
      <w:spacing w:before="100" w:beforeAutospacing="1" w:after="100" w:afterAutospacing="1"/>
      <w:jc w:val="center"/>
    </w:pPr>
    <w:rPr>
      <w:rFonts w:ascii="Calibri" w:eastAsia="Times New Roman" w:hAnsi="Calibri"/>
      <w:i/>
      <w:iCs/>
      <w:szCs w:val="24"/>
      <w:lang w:eastAsia="lv-LV"/>
    </w:rPr>
  </w:style>
  <w:style w:type="paragraph" w:customStyle="1" w:styleId="xl135">
    <w:name w:val="xl135"/>
    <w:basedOn w:val="Normal"/>
    <w:rsid w:val="001D26BC"/>
    <w:pPr>
      <w:spacing w:before="100" w:beforeAutospacing="1" w:after="100" w:afterAutospacing="1"/>
      <w:jc w:val="both"/>
    </w:pPr>
    <w:rPr>
      <w:rFonts w:ascii="Calibri" w:eastAsia="Times New Roman" w:hAnsi="Calibri"/>
      <w:szCs w:val="24"/>
      <w:lang w:eastAsia="lv-LV"/>
    </w:rPr>
  </w:style>
  <w:style w:type="paragraph" w:customStyle="1" w:styleId="xl136">
    <w:name w:val="xl136"/>
    <w:basedOn w:val="Normal"/>
    <w:rsid w:val="001D26BC"/>
    <w:pPr>
      <w:shd w:val="clear" w:color="000000" w:fill="D8D8D8"/>
      <w:spacing w:before="100" w:beforeAutospacing="1" w:after="100" w:afterAutospacing="1"/>
      <w:jc w:val="both"/>
    </w:pPr>
    <w:rPr>
      <w:rFonts w:eastAsia="Times New Roman"/>
      <w:szCs w:val="24"/>
      <w:lang w:eastAsia="lv-LV"/>
    </w:rPr>
  </w:style>
  <w:style w:type="paragraph" w:customStyle="1" w:styleId="xl137">
    <w:name w:val="xl137"/>
    <w:basedOn w:val="Normal"/>
    <w:rsid w:val="001D26BC"/>
    <w:pPr>
      <w:shd w:val="clear" w:color="000000" w:fill="CCC0DA"/>
      <w:spacing w:before="100" w:beforeAutospacing="1" w:after="100" w:afterAutospacing="1"/>
      <w:ind w:firstLineChars="400" w:firstLine="400"/>
      <w:jc w:val="both"/>
    </w:pPr>
    <w:rPr>
      <w:rFonts w:ascii="Calibri" w:eastAsia="Times New Roman" w:hAnsi="Calibri"/>
      <w:szCs w:val="24"/>
      <w:lang w:eastAsia="lv-LV"/>
    </w:rPr>
  </w:style>
  <w:style w:type="paragraph" w:customStyle="1" w:styleId="xl138">
    <w:name w:val="xl138"/>
    <w:basedOn w:val="Normal"/>
    <w:rsid w:val="001D26BC"/>
    <w:pPr>
      <w:shd w:val="clear" w:color="000000" w:fill="C5D9F1"/>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39">
    <w:name w:val="xl139"/>
    <w:basedOn w:val="Normal"/>
    <w:rsid w:val="001D26BC"/>
    <w:pPr>
      <w:spacing w:before="100" w:beforeAutospacing="1" w:after="100" w:afterAutospacing="1"/>
      <w:jc w:val="center"/>
    </w:pPr>
    <w:rPr>
      <w:rFonts w:ascii="Calibri" w:eastAsia="Times New Roman" w:hAnsi="Calibri"/>
      <w:i/>
      <w:iCs/>
      <w:szCs w:val="24"/>
      <w:lang w:eastAsia="lv-LV"/>
    </w:rPr>
  </w:style>
  <w:style w:type="paragraph" w:customStyle="1" w:styleId="xl140">
    <w:name w:val="xl140"/>
    <w:basedOn w:val="Normal"/>
    <w:rsid w:val="001D26BC"/>
    <w:pPr>
      <w:spacing w:before="100" w:beforeAutospacing="1" w:after="100" w:afterAutospacing="1"/>
      <w:jc w:val="center"/>
    </w:pPr>
    <w:rPr>
      <w:rFonts w:ascii="Calibri" w:eastAsia="Times New Roman" w:hAnsi="Calibri"/>
      <w:i/>
      <w:iCs/>
      <w:szCs w:val="24"/>
      <w:lang w:eastAsia="lv-LV"/>
    </w:rPr>
  </w:style>
  <w:style w:type="paragraph" w:customStyle="1" w:styleId="xl141">
    <w:name w:val="xl141"/>
    <w:basedOn w:val="Normal"/>
    <w:rsid w:val="001D26BC"/>
    <w:pPr>
      <w:shd w:val="clear" w:color="000000" w:fill="D8D8D8"/>
      <w:spacing w:before="100" w:beforeAutospacing="1" w:after="100" w:afterAutospacing="1"/>
      <w:jc w:val="both"/>
    </w:pPr>
    <w:rPr>
      <w:rFonts w:ascii="Calibri" w:eastAsia="Times New Roman" w:hAnsi="Calibri"/>
      <w:szCs w:val="24"/>
      <w:lang w:eastAsia="lv-LV"/>
    </w:rPr>
  </w:style>
  <w:style w:type="paragraph" w:customStyle="1" w:styleId="xl142">
    <w:name w:val="xl142"/>
    <w:basedOn w:val="Normal"/>
    <w:rsid w:val="001D26BC"/>
    <w:pPr>
      <w:spacing w:before="100" w:beforeAutospacing="1" w:after="100" w:afterAutospacing="1"/>
      <w:jc w:val="both"/>
    </w:pPr>
    <w:rPr>
      <w:rFonts w:ascii="Calibri" w:eastAsia="Times New Roman" w:hAnsi="Calibri"/>
      <w:szCs w:val="24"/>
      <w:lang w:eastAsia="lv-LV"/>
    </w:rPr>
  </w:style>
  <w:style w:type="paragraph" w:customStyle="1" w:styleId="xl143">
    <w:name w:val="xl143"/>
    <w:basedOn w:val="Normal"/>
    <w:rsid w:val="001D26BC"/>
    <w:pPr>
      <w:shd w:val="clear" w:color="000000" w:fill="D7E4BC"/>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44">
    <w:name w:val="xl144"/>
    <w:basedOn w:val="Normal"/>
    <w:rsid w:val="001D26BC"/>
    <w:pPr>
      <w:shd w:val="clear" w:color="000000" w:fill="CCC0DA"/>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45">
    <w:name w:val="xl145"/>
    <w:basedOn w:val="Normal"/>
    <w:rsid w:val="001D26BC"/>
    <w:pPr>
      <w:spacing w:before="100" w:beforeAutospacing="1" w:after="100" w:afterAutospacing="1"/>
      <w:jc w:val="center"/>
    </w:pPr>
    <w:rPr>
      <w:rFonts w:ascii="Calibri" w:eastAsia="Times New Roman" w:hAnsi="Calibri"/>
      <w:i/>
      <w:iCs/>
      <w:szCs w:val="24"/>
      <w:lang w:eastAsia="lv-LV"/>
    </w:rPr>
  </w:style>
  <w:style w:type="paragraph" w:customStyle="1" w:styleId="xl146">
    <w:name w:val="xl146"/>
    <w:basedOn w:val="Normal"/>
    <w:rsid w:val="001D26BC"/>
    <w:pPr>
      <w:spacing w:before="100" w:beforeAutospacing="1" w:after="100" w:afterAutospacing="1"/>
      <w:jc w:val="center"/>
    </w:pPr>
    <w:rPr>
      <w:rFonts w:ascii="Calibri" w:eastAsia="Times New Roman" w:hAnsi="Calibri"/>
      <w:i/>
      <w:iCs/>
      <w:szCs w:val="24"/>
      <w:lang w:eastAsia="lv-LV"/>
    </w:rPr>
  </w:style>
  <w:style w:type="paragraph" w:customStyle="1" w:styleId="xl147">
    <w:name w:val="xl147"/>
    <w:basedOn w:val="Normal"/>
    <w:rsid w:val="001D26BC"/>
    <w:pPr>
      <w:shd w:val="clear" w:color="000000" w:fill="D8D8D8"/>
      <w:spacing w:before="100" w:beforeAutospacing="1" w:after="100" w:afterAutospacing="1"/>
      <w:jc w:val="both"/>
    </w:pPr>
    <w:rPr>
      <w:rFonts w:ascii="Calibri" w:eastAsia="Times New Roman" w:hAnsi="Calibri"/>
      <w:szCs w:val="24"/>
      <w:lang w:eastAsia="lv-LV"/>
    </w:rPr>
  </w:style>
  <w:style w:type="paragraph" w:customStyle="1" w:styleId="xl148">
    <w:name w:val="xl148"/>
    <w:basedOn w:val="Normal"/>
    <w:rsid w:val="001D26BC"/>
    <w:pPr>
      <w:shd w:val="clear" w:color="000000" w:fill="C5BE97"/>
      <w:spacing w:before="100" w:beforeAutospacing="1" w:after="100" w:afterAutospacing="1"/>
      <w:jc w:val="both"/>
    </w:pPr>
    <w:rPr>
      <w:rFonts w:eastAsia="Times New Roman"/>
      <w:szCs w:val="24"/>
      <w:lang w:eastAsia="lv-LV"/>
    </w:rPr>
  </w:style>
  <w:style w:type="paragraph" w:customStyle="1" w:styleId="xl149">
    <w:name w:val="xl149"/>
    <w:basedOn w:val="Normal"/>
    <w:rsid w:val="001D26BC"/>
    <w:pPr>
      <w:shd w:val="clear" w:color="000000" w:fill="C5BE97"/>
      <w:spacing w:before="100" w:beforeAutospacing="1" w:after="100" w:afterAutospacing="1"/>
      <w:jc w:val="center"/>
    </w:pPr>
    <w:rPr>
      <w:rFonts w:ascii="Calibri" w:eastAsia="Times New Roman" w:hAnsi="Calibri"/>
      <w:i/>
      <w:iCs/>
      <w:szCs w:val="24"/>
      <w:lang w:eastAsia="lv-LV"/>
    </w:rPr>
  </w:style>
  <w:style w:type="paragraph" w:customStyle="1" w:styleId="xl150">
    <w:name w:val="xl150"/>
    <w:basedOn w:val="Normal"/>
    <w:rsid w:val="001D26BC"/>
    <w:pPr>
      <w:shd w:val="clear" w:color="000000" w:fill="C5BE97"/>
      <w:spacing w:before="100" w:beforeAutospacing="1" w:after="100" w:afterAutospacing="1"/>
      <w:jc w:val="both"/>
    </w:pPr>
    <w:rPr>
      <w:rFonts w:ascii="Calibri" w:eastAsia="Times New Roman" w:hAnsi="Calibri"/>
      <w:b/>
      <w:bCs/>
      <w:szCs w:val="24"/>
      <w:lang w:eastAsia="lv-LV"/>
    </w:rPr>
  </w:style>
  <w:style w:type="paragraph" w:customStyle="1" w:styleId="xl151">
    <w:name w:val="xl151"/>
    <w:basedOn w:val="Normal"/>
    <w:rsid w:val="001D26BC"/>
    <w:pPr>
      <w:shd w:val="clear" w:color="000000" w:fill="C5BE97"/>
      <w:spacing w:before="100" w:beforeAutospacing="1" w:after="100" w:afterAutospacing="1"/>
      <w:jc w:val="both"/>
    </w:pPr>
    <w:rPr>
      <w:rFonts w:ascii="Calibri" w:eastAsia="Times New Roman" w:hAnsi="Calibri"/>
      <w:szCs w:val="24"/>
      <w:lang w:eastAsia="lv-LV"/>
    </w:rPr>
  </w:style>
  <w:style w:type="paragraph" w:customStyle="1" w:styleId="xl152">
    <w:name w:val="xl152"/>
    <w:basedOn w:val="Normal"/>
    <w:rsid w:val="001D26BC"/>
    <w:pPr>
      <w:shd w:val="clear" w:color="000000" w:fill="DDD9C3"/>
      <w:spacing w:before="100" w:beforeAutospacing="1" w:after="100" w:afterAutospacing="1"/>
      <w:ind w:firstLineChars="200" w:firstLine="200"/>
      <w:jc w:val="both"/>
    </w:pPr>
    <w:rPr>
      <w:rFonts w:ascii="Calibri" w:eastAsia="Times New Roman" w:hAnsi="Calibri"/>
      <w:b/>
      <w:bCs/>
      <w:color w:val="0070C0"/>
      <w:szCs w:val="24"/>
      <w:lang w:eastAsia="lv-LV"/>
    </w:rPr>
  </w:style>
  <w:style w:type="paragraph" w:customStyle="1" w:styleId="xl153">
    <w:name w:val="xl153"/>
    <w:basedOn w:val="Normal"/>
    <w:rsid w:val="001D26BC"/>
    <w:pPr>
      <w:shd w:val="clear" w:color="000000" w:fill="DDD9C3"/>
      <w:spacing w:before="100" w:beforeAutospacing="1" w:after="100" w:afterAutospacing="1"/>
      <w:jc w:val="right"/>
    </w:pPr>
    <w:rPr>
      <w:rFonts w:ascii="Calibri" w:eastAsia="Times New Roman" w:hAnsi="Calibri"/>
      <w:b/>
      <w:bCs/>
      <w:szCs w:val="24"/>
      <w:lang w:eastAsia="lv-LV"/>
    </w:rPr>
  </w:style>
  <w:style w:type="paragraph" w:customStyle="1" w:styleId="xl154">
    <w:name w:val="xl154"/>
    <w:basedOn w:val="Normal"/>
    <w:rsid w:val="001D26BC"/>
    <w:pPr>
      <w:shd w:val="clear" w:color="000000" w:fill="DDD9C3"/>
      <w:spacing w:before="100" w:beforeAutospacing="1" w:after="100" w:afterAutospacing="1"/>
      <w:jc w:val="both"/>
    </w:pPr>
    <w:rPr>
      <w:rFonts w:ascii="Calibri" w:eastAsia="Times New Roman" w:hAnsi="Calibri"/>
      <w:b/>
      <w:bCs/>
      <w:szCs w:val="24"/>
      <w:lang w:eastAsia="lv-LV"/>
    </w:rPr>
  </w:style>
  <w:style w:type="paragraph" w:customStyle="1" w:styleId="xl155">
    <w:name w:val="xl155"/>
    <w:basedOn w:val="Normal"/>
    <w:rsid w:val="001D26BC"/>
    <w:pPr>
      <w:shd w:val="clear" w:color="000000" w:fill="DDD9C3"/>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56">
    <w:name w:val="xl156"/>
    <w:basedOn w:val="Normal"/>
    <w:rsid w:val="001D26BC"/>
    <w:pPr>
      <w:shd w:val="clear" w:color="000000" w:fill="DDD9C3"/>
      <w:spacing w:before="100" w:beforeAutospacing="1" w:after="100" w:afterAutospacing="1"/>
      <w:ind w:firstLineChars="500" w:firstLine="500"/>
      <w:jc w:val="both"/>
    </w:pPr>
    <w:rPr>
      <w:rFonts w:ascii="Calibri" w:eastAsia="Times New Roman" w:hAnsi="Calibri"/>
      <w:szCs w:val="24"/>
      <w:lang w:eastAsia="lv-LV"/>
    </w:rPr>
  </w:style>
  <w:style w:type="paragraph" w:customStyle="1" w:styleId="xl157">
    <w:name w:val="xl157"/>
    <w:basedOn w:val="Normal"/>
    <w:rsid w:val="001D26BC"/>
    <w:pPr>
      <w:shd w:val="clear" w:color="000000" w:fill="D8D8D8"/>
      <w:spacing w:before="100" w:beforeAutospacing="1" w:after="100" w:afterAutospacing="1"/>
      <w:jc w:val="both"/>
    </w:pPr>
    <w:rPr>
      <w:rFonts w:ascii="Calibri" w:eastAsia="Times New Roman" w:hAnsi="Calibri"/>
      <w:szCs w:val="24"/>
      <w:lang w:eastAsia="lv-LV"/>
    </w:rPr>
  </w:style>
  <w:style w:type="paragraph" w:customStyle="1" w:styleId="xl158">
    <w:name w:val="xl158"/>
    <w:basedOn w:val="Normal"/>
    <w:rsid w:val="001D26BC"/>
    <w:pPr>
      <w:spacing w:before="100" w:beforeAutospacing="1" w:after="100" w:afterAutospacing="1"/>
      <w:jc w:val="both"/>
    </w:pPr>
    <w:rPr>
      <w:rFonts w:ascii="Calibri" w:eastAsia="Times New Roman" w:hAnsi="Calibri"/>
      <w:szCs w:val="24"/>
      <w:lang w:eastAsia="lv-LV"/>
    </w:rPr>
  </w:style>
  <w:style w:type="paragraph" w:customStyle="1" w:styleId="xl159">
    <w:name w:val="xl159"/>
    <w:basedOn w:val="Normal"/>
    <w:rsid w:val="001D26BC"/>
    <w:pPr>
      <w:spacing w:before="100" w:beforeAutospacing="1" w:after="100" w:afterAutospacing="1"/>
      <w:jc w:val="both"/>
    </w:pPr>
    <w:rPr>
      <w:rFonts w:ascii="Calibri" w:eastAsia="Times New Roman" w:hAnsi="Calibri"/>
      <w:szCs w:val="24"/>
      <w:lang w:eastAsia="lv-LV"/>
    </w:rPr>
  </w:style>
  <w:style w:type="paragraph" w:customStyle="1" w:styleId="xl160">
    <w:name w:val="xl160"/>
    <w:basedOn w:val="Normal"/>
    <w:rsid w:val="001D26BC"/>
    <w:pPr>
      <w:shd w:val="clear" w:color="000000" w:fill="DDD9C3"/>
      <w:spacing w:before="100" w:beforeAutospacing="1" w:after="100" w:afterAutospacing="1"/>
      <w:ind w:firstLineChars="500" w:firstLine="500"/>
      <w:jc w:val="both"/>
    </w:pPr>
    <w:rPr>
      <w:rFonts w:ascii="Calibri" w:eastAsia="Times New Roman" w:hAnsi="Calibri"/>
      <w:color w:val="FF0000"/>
      <w:szCs w:val="24"/>
      <w:lang w:eastAsia="lv-LV"/>
    </w:rPr>
  </w:style>
  <w:style w:type="paragraph" w:customStyle="1" w:styleId="xl161">
    <w:name w:val="xl161"/>
    <w:basedOn w:val="Normal"/>
    <w:rsid w:val="001D26BC"/>
    <w:pPr>
      <w:shd w:val="clear" w:color="000000" w:fill="DDD9C3"/>
      <w:spacing w:before="100" w:beforeAutospacing="1" w:after="100" w:afterAutospacing="1"/>
      <w:jc w:val="both"/>
    </w:pPr>
    <w:rPr>
      <w:rFonts w:ascii="Calibri" w:eastAsia="Times New Roman" w:hAnsi="Calibri"/>
      <w:b/>
      <w:bCs/>
      <w:szCs w:val="24"/>
      <w:lang w:eastAsia="lv-LV"/>
    </w:rPr>
  </w:style>
  <w:style w:type="paragraph" w:customStyle="1" w:styleId="xl162">
    <w:name w:val="xl162"/>
    <w:basedOn w:val="Normal"/>
    <w:rsid w:val="001D26BC"/>
    <w:pPr>
      <w:shd w:val="clear" w:color="000000" w:fill="DDD9C3"/>
      <w:spacing w:before="100" w:beforeAutospacing="1" w:after="100" w:afterAutospacing="1"/>
      <w:jc w:val="center"/>
    </w:pPr>
    <w:rPr>
      <w:rFonts w:ascii="Calibri" w:eastAsia="Times New Roman" w:hAnsi="Calibri"/>
      <w:b/>
      <w:bCs/>
      <w:i/>
      <w:iCs/>
      <w:szCs w:val="24"/>
      <w:lang w:eastAsia="lv-LV"/>
    </w:rPr>
  </w:style>
  <w:style w:type="paragraph" w:customStyle="1" w:styleId="xl163">
    <w:name w:val="xl163"/>
    <w:basedOn w:val="Normal"/>
    <w:rsid w:val="001D26BC"/>
    <w:pPr>
      <w:shd w:val="clear" w:color="000000" w:fill="DDD9C3"/>
      <w:spacing w:before="100" w:beforeAutospacing="1" w:after="100" w:afterAutospacing="1"/>
      <w:jc w:val="center"/>
    </w:pPr>
    <w:rPr>
      <w:rFonts w:ascii="Calibri" w:eastAsia="Times New Roman" w:hAnsi="Calibri"/>
      <w:b/>
      <w:bCs/>
      <w:i/>
      <w:iCs/>
      <w:szCs w:val="24"/>
      <w:lang w:eastAsia="lv-LV"/>
    </w:rPr>
  </w:style>
  <w:style w:type="paragraph" w:customStyle="1" w:styleId="xl164">
    <w:name w:val="xl164"/>
    <w:basedOn w:val="Normal"/>
    <w:rsid w:val="001D26BC"/>
    <w:pPr>
      <w:shd w:val="clear" w:color="000000" w:fill="DDD9C3"/>
      <w:spacing w:before="100" w:beforeAutospacing="1" w:after="100" w:afterAutospacing="1"/>
      <w:jc w:val="center"/>
    </w:pPr>
    <w:rPr>
      <w:rFonts w:ascii="Calibri" w:eastAsia="Times New Roman" w:hAnsi="Calibri"/>
      <w:b/>
      <w:bCs/>
      <w:i/>
      <w:iCs/>
      <w:color w:val="FF0000"/>
      <w:szCs w:val="24"/>
      <w:lang w:eastAsia="lv-LV"/>
    </w:rPr>
  </w:style>
  <w:style w:type="paragraph" w:customStyle="1" w:styleId="xl165">
    <w:name w:val="xl165"/>
    <w:basedOn w:val="Normal"/>
    <w:rsid w:val="001D26BC"/>
    <w:pPr>
      <w:shd w:val="clear" w:color="000000" w:fill="DDD9C3"/>
      <w:spacing w:before="100" w:beforeAutospacing="1" w:after="100" w:afterAutospacing="1"/>
      <w:jc w:val="center"/>
    </w:pPr>
    <w:rPr>
      <w:rFonts w:ascii="Calibri" w:eastAsia="Times New Roman" w:hAnsi="Calibri"/>
      <w:b/>
      <w:bCs/>
      <w:i/>
      <w:iCs/>
      <w:color w:val="FF0000"/>
      <w:szCs w:val="24"/>
      <w:lang w:eastAsia="lv-LV"/>
    </w:rPr>
  </w:style>
  <w:style w:type="paragraph" w:customStyle="1" w:styleId="Numeretslists">
    <w:name w:val="Numerets_lists"/>
    <w:basedOn w:val="ListParagraph"/>
    <w:qFormat/>
    <w:rsid w:val="001D26BC"/>
    <w:pPr>
      <w:numPr>
        <w:numId w:val="28"/>
      </w:numPr>
      <w:spacing w:after="120" w:line="276" w:lineRule="auto"/>
      <w:ind w:left="714" w:hanging="357"/>
      <w:contextualSpacing w:val="0"/>
      <w:jc w:val="both"/>
    </w:pPr>
    <w:rPr>
      <w:szCs w:val="24"/>
    </w:rPr>
  </w:style>
  <w:style w:type="paragraph" w:styleId="BodyText3">
    <w:name w:val="Body Text 3"/>
    <w:basedOn w:val="Normal"/>
    <w:link w:val="BodyText3Char"/>
    <w:rsid w:val="001D26BC"/>
    <w:pPr>
      <w:spacing w:after="120"/>
    </w:pPr>
    <w:rPr>
      <w:sz w:val="16"/>
      <w:szCs w:val="16"/>
    </w:rPr>
  </w:style>
  <w:style w:type="character" w:customStyle="1" w:styleId="BodyText3Char">
    <w:name w:val="Body Text 3 Char"/>
    <w:basedOn w:val="DefaultParagraphFont"/>
    <w:link w:val="BodyText3"/>
    <w:rsid w:val="001D26BC"/>
    <w:rPr>
      <w:rFonts w:ascii="Times New Roman" w:hAnsi="Times New Roman"/>
      <w:sz w:val="16"/>
      <w:szCs w:val="16"/>
      <w:lang w:eastAsia="en-US"/>
    </w:rPr>
  </w:style>
  <w:style w:type="character" w:customStyle="1" w:styleId="st">
    <w:name w:val="st"/>
    <w:basedOn w:val="DefaultParagraphFont"/>
    <w:rsid w:val="001D26BC"/>
  </w:style>
  <w:style w:type="paragraph" w:customStyle="1" w:styleId="Standard">
    <w:name w:val="Standard"/>
    <w:rsid w:val="001D26BC"/>
    <w:pPr>
      <w:suppressAutoHyphens/>
      <w:autoSpaceDN w:val="0"/>
      <w:textAlignment w:val="baseline"/>
    </w:pPr>
    <w:rPr>
      <w:rFonts w:ascii="Times New Roman" w:eastAsia="Times New Roman" w:hAnsi="Times New Roman" w:cs="Mangal"/>
      <w:kern w:val="3"/>
      <w:sz w:val="24"/>
      <w:szCs w:val="24"/>
      <w:lang w:eastAsia="en-US" w:bidi="hi-IN"/>
    </w:rPr>
  </w:style>
  <w:style w:type="paragraph" w:customStyle="1" w:styleId="Textbody">
    <w:name w:val="Text body"/>
    <w:basedOn w:val="Standard"/>
    <w:rsid w:val="001D26BC"/>
    <w:pPr>
      <w:jc w:val="both"/>
    </w:pPr>
  </w:style>
  <w:style w:type="paragraph" w:customStyle="1" w:styleId="Footnote">
    <w:name w:val="Footnote"/>
    <w:basedOn w:val="Standard"/>
    <w:rsid w:val="001D26BC"/>
    <w:pPr>
      <w:suppressLineNumbers/>
      <w:ind w:left="283" w:hanging="283"/>
    </w:pPr>
    <w:rPr>
      <w:sz w:val="20"/>
      <w:szCs w:val="20"/>
    </w:rPr>
  </w:style>
  <w:style w:type="character" w:customStyle="1" w:styleId="colora">
    <w:name w:val="colora"/>
    <w:basedOn w:val="DefaultParagraphFont"/>
    <w:rsid w:val="001D26BC"/>
  </w:style>
  <w:style w:type="paragraph" w:customStyle="1" w:styleId="tvhtml">
    <w:name w:val="tv_html"/>
    <w:basedOn w:val="Normal"/>
    <w:rsid w:val="00EE7C0C"/>
    <w:pPr>
      <w:spacing w:before="100" w:beforeAutospacing="1" w:after="100" w:afterAutospacing="1"/>
    </w:pPr>
    <w:rPr>
      <w:rFonts w:eastAsia="Times New Roman"/>
      <w:szCs w:val="24"/>
      <w:lang w:eastAsia="lv-LV"/>
    </w:rPr>
  </w:style>
  <w:style w:type="paragraph" w:customStyle="1" w:styleId="naisf">
    <w:name w:val="naisf"/>
    <w:basedOn w:val="Normal"/>
    <w:rsid w:val="00EE7C0C"/>
    <w:pPr>
      <w:spacing w:before="75" w:after="75"/>
      <w:ind w:firstLine="375"/>
      <w:jc w:val="both"/>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16118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lu.lv/%7E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spacereview.com/article/12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D902-2B80-470F-BB85-20635AE8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64</Pages>
  <Words>82379</Words>
  <Characters>46957</Characters>
  <Application>Microsoft Office Word</Application>
  <DocSecurity>0</DocSecurity>
  <Lines>391</Lines>
  <Paragraphs>258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KKarolis</dc:creator>
  <cp:keywords/>
  <dc:description/>
  <cp:lastModifiedBy>Gita Verhoustinska</cp:lastModifiedBy>
  <cp:revision>16</cp:revision>
  <cp:lastPrinted>2011-09-22T12:29:00Z</cp:lastPrinted>
  <dcterms:created xsi:type="dcterms:W3CDTF">2011-09-07T13:32:00Z</dcterms:created>
  <dcterms:modified xsi:type="dcterms:W3CDTF">2011-09-22T12:31:00Z</dcterms:modified>
</cp:coreProperties>
</file>