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23C" w:rsidRDefault="00F3023C" w:rsidP="00F3023C">
      <w:pPr>
        <w:pStyle w:val="Heading2"/>
        <w:jc w:val="center"/>
        <w:rPr>
          <w:sz w:val="36"/>
          <w:szCs w:val="36"/>
        </w:rPr>
      </w:pPr>
      <w:bookmarkStart w:id="0" w:name="_Toc303092689"/>
    </w:p>
    <w:p w:rsidR="00F3023C" w:rsidRDefault="00F3023C" w:rsidP="00F3023C">
      <w:pPr>
        <w:pStyle w:val="Heading2"/>
        <w:jc w:val="center"/>
        <w:rPr>
          <w:sz w:val="36"/>
          <w:szCs w:val="36"/>
        </w:rPr>
      </w:pPr>
    </w:p>
    <w:p w:rsidR="00F3023C" w:rsidRDefault="00F3023C" w:rsidP="00F3023C">
      <w:pPr>
        <w:pStyle w:val="Heading2"/>
        <w:jc w:val="center"/>
        <w:rPr>
          <w:sz w:val="36"/>
          <w:szCs w:val="36"/>
        </w:rPr>
      </w:pPr>
    </w:p>
    <w:p w:rsidR="00F3023C" w:rsidRDefault="00F3023C" w:rsidP="00F3023C">
      <w:pPr>
        <w:pStyle w:val="Heading2"/>
        <w:jc w:val="center"/>
        <w:rPr>
          <w:sz w:val="36"/>
          <w:szCs w:val="36"/>
        </w:rPr>
      </w:pPr>
    </w:p>
    <w:p w:rsidR="00F3023C" w:rsidRDefault="00F3023C" w:rsidP="00F3023C">
      <w:pPr>
        <w:pStyle w:val="Heading2"/>
        <w:jc w:val="center"/>
        <w:rPr>
          <w:sz w:val="36"/>
          <w:szCs w:val="36"/>
        </w:rPr>
      </w:pPr>
    </w:p>
    <w:p w:rsidR="00F3023C" w:rsidRDefault="00F3023C" w:rsidP="00F3023C">
      <w:pPr>
        <w:pStyle w:val="Heading2"/>
        <w:jc w:val="center"/>
        <w:rPr>
          <w:sz w:val="36"/>
          <w:szCs w:val="36"/>
        </w:rPr>
      </w:pPr>
    </w:p>
    <w:p w:rsidR="00F3023C" w:rsidRDefault="00F3023C" w:rsidP="00F3023C">
      <w:pPr>
        <w:pStyle w:val="Heading2"/>
        <w:jc w:val="center"/>
        <w:rPr>
          <w:sz w:val="36"/>
          <w:szCs w:val="36"/>
        </w:rPr>
      </w:pPr>
    </w:p>
    <w:p w:rsidR="00F3023C" w:rsidRDefault="00F3023C" w:rsidP="00F3023C">
      <w:pPr>
        <w:pStyle w:val="Heading2"/>
        <w:jc w:val="center"/>
        <w:rPr>
          <w:sz w:val="36"/>
          <w:szCs w:val="36"/>
        </w:rPr>
      </w:pPr>
    </w:p>
    <w:p w:rsidR="00F3023C" w:rsidRDefault="00F3023C" w:rsidP="00F3023C">
      <w:pPr>
        <w:pStyle w:val="Heading2"/>
        <w:jc w:val="center"/>
        <w:rPr>
          <w:sz w:val="36"/>
          <w:szCs w:val="36"/>
        </w:rPr>
      </w:pPr>
    </w:p>
    <w:p w:rsidR="00F3023C" w:rsidRDefault="00F3023C" w:rsidP="00F3023C">
      <w:pPr>
        <w:pStyle w:val="Heading2"/>
        <w:jc w:val="center"/>
        <w:rPr>
          <w:sz w:val="36"/>
          <w:szCs w:val="36"/>
        </w:rPr>
      </w:pPr>
    </w:p>
    <w:p w:rsidR="00F3023C" w:rsidRPr="00BE6434" w:rsidRDefault="00F3023C" w:rsidP="00F3023C">
      <w:pPr>
        <w:pStyle w:val="Heading2"/>
        <w:jc w:val="center"/>
        <w:rPr>
          <w:sz w:val="36"/>
          <w:szCs w:val="36"/>
        </w:rPr>
      </w:pPr>
      <w:r w:rsidRPr="00BE6434">
        <w:rPr>
          <w:sz w:val="36"/>
          <w:szCs w:val="36"/>
        </w:rPr>
        <w:t>Koncepcija par kosmosa tehnoloģiju attīstību un kosmosa politikas veidošanu valstī</w:t>
      </w:r>
      <w:bookmarkEnd w:id="0"/>
    </w:p>
    <w:p w:rsidR="00F3023C" w:rsidRPr="00BE6434" w:rsidRDefault="00F3023C" w:rsidP="00F3023C">
      <w:pPr>
        <w:pStyle w:val="Heading2"/>
        <w:jc w:val="center"/>
        <w:rPr>
          <w:sz w:val="36"/>
          <w:szCs w:val="36"/>
        </w:rPr>
      </w:pPr>
      <w:bookmarkStart w:id="1" w:name="_Toc303092690"/>
      <w:r w:rsidRPr="00BE6434">
        <w:rPr>
          <w:sz w:val="36"/>
          <w:szCs w:val="36"/>
        </w:rPr>
        <w:t>Kopsavilkums</w:t>
      </w:r>
      <w:bookmarkEnd w:id="1"/>
    </w:p>
    <w:p w:rsidR="00F3023C" w:rsidRPr="00167D47" w:rsidRDefault="00F3023C" w:rsidP="00F3023C">
      <w:pPr>
        <w:rPr>
          <w:b/>
          <w:sz w:val="44"/>
          <w:szCs w:val="44"/>
        </w:rPr>
      </w:pPr>
    </w:p>
    <w:p w:rsidR="00F3023C" w:rsidRDefault="00F3023C" w:rsidP="00F3023C">
      <w:pPr>
        <w:ind w:firstLine="360"/>
        <w:jc w:val="both"/>
        <w:rPr>
          <w:b/>
          <w:sz w:val="28"/>
        </w:rPr>
      </w:pPr>
    </w:p>
    <w:p w:rsidR="00F3023C" w:rsidRDefault="00F3023C" w:rsidP="00F3023C">
      <w:pPr>
        <w:ind w:firstLine="360"/>
        <w:jc w:val="both"/>
        <w:rPr>
          <w:b/>
          <w:sz w:val="28"/>
        </w:rPr>
      </w:pPr>
    </w:p>
    <w:p w:rsidR="00F3023C" w:rsidRDefault="00F3023C" w:rsidP="00F3023C">
      <w:pPr>
        <w:ind w:firstLine="360"/>
        <w:jc w:val="both"/>
        <w:rPr>
          <w:b/>
          <w:sz w:val="28"/>
        </w:rPr>
      </w:pPr>
    </w:p>
    <w:p w:rsidR="00F3023C" w:rsidRDefault="00F3023C" w:rsidP="00F3023C">
      <w:pPr>
        <w:ind w:firstLine="360"/>
        <w:jc w:val="both"/>
        <w:rPr>
          <w:b/>
          <w:sz w:val="28"/>
        </w:rPr>
      </w:pPr>
    </w:p>
    <w:p w:rsidR="00F3023C" w:rsidRDefault="00F3023C" w:rsidP="00F3023C">
      <w:pPr>
        <w:ind w:firstLine="360"/>
        <w:jc w:val="both"/>
        <w:rPr>
          <w:b/>
          <w:sz w:val="28"/>
        </w:rPr>
      </w:pPr>
    </w:p>
    <w:p w:rsidR="00F3023C" w:rsidRDefault="00F3023C" w:rsidP="00F3023C">
      <w:pPr>
        <w:ind w:firstLine="360"/>
        <w:jc w:val="both"/>
        <w:rPr>
          <w:b/>
          <w:sz w:val="28"/>
        </w:rPr>
      </w:pPr>
    </w:p>
    <w:p w:rsidR="00F3023C" w:rsidRDefault="00F3023C" w:rsidP="00F3023C">
      <w:pPr>
        <w:ind w:firstLine="360"/>
        <w:jc w:val="both"/>
        <w:rPr>
          <w:b/>
          <w:sz w:val="28"/>
        </w:rPr>
      </w:pPr>
    </w:p>
    <w:p w:rsidR="00F3023C" w:rsidRDefault="00F3023C" w:rsidP="00F3023C">
      <w:pPr>
        <w:ind w:firstLine="360"/>
        <w:jc w:val="both"/>
        <w:rPr>
          <w:b/>
          <w:sz w:val="28"/>
        </w:rPr>
      </w:pPr>
    </w:p>
    <w:p w:rsidR="00F3023C" w:rsidRDefault="00F3023C" w:rsidP="00F3023C">
      <w:pPr>
        <w:ind w:firstLine="360"/>
        <w:jc w:val="both"/>
        <w:rPr>
          <w:b/>
          <w:sz w:val="28"/>
        </w:rPr>
      </w:pPr>
    </w:p>
    <w:p w:rsidR="00F3023C" w:rsidRDefault="00F3023C" w:rsidP="00F3023C">
      <w:pPr>
        <w:ind w:firstLine="360"/>
        <w:jc w:val="both"/>
        <w:rPr>
          <w:b/>
          <w:sz w:val="28"/>
        </w:rPr>
      </w:pPr>
    </w:p>
    <w:p w:rsidR="00F3023C" w:rsidRDefault="00F3023C" w:rsidP="00F3023C">
      <w:pPr>
        <w:ind w:firstLine="360"/>
        <w:jc w:val="both"/>
        <w:rPr>
          <w:b/>
          <w:sz w:val="28"/>
        </w:rPr>
      </w:pPr>
    </w:p>
    <w:p w:rsidR="00F3023C" w:rsidRDefault="00F3023C" w:rsidP="00F3023C">
      <w:pPr>
        <w:ind w:firstLine="360"/>
        <w:jc w:val="both"/>
        <w:rPr>
          <w:b/>
          <w:sz w:val="28"/>
        </w:rPr>
      </w:pPr>
    </w:p>
    <w:p w:rsidR="00F3023C" w:rsidRDefault="00F3023C" w:rsidP="00F3023C">
      <w:pPr>
        <w:ind w:firstLine="360"/>
        <w:jc w:val="both"/>
        <w:rPr>
          <w:b/>
          <w:sz w:val="28"/>
        </w:rPr>
      </w:pPr>
    </w:p>
    <w:p w:rsidR="00F3023C" w:rsidRDefault="00F3023C" w:rsidP="00F3023C">
      <w:pPr>
        <w:ind w:firstLine="360"/>
        <w:jc w:val="both"/>
        <w:rPr>
          <w:b/>
          <w:sz w:val="28"/>
        </w:rPr>
      </w:pPr>
    </w:p>
    <w:p w:rsidR="00F3023C" w:rsidRDefault="00F3023C" w:rsidP="00F3023C">
      <w:pPr>
        <w:ind w:firstLine="360"/>
        <w:jc w:val="both"/>
        <w:rPr>
          <w:b/>
          <w:sz w:val="28"/>
        </w:rPr>
      </w:pPr>
    </w:p>
    <w:p w:rsidR="00F3023C" w:rsidRDefault="00F3023C" w:rsidP="00F3023C">
      <w:pPr>
        <w:ind w:firstLine="360"/>
        <w:jc w:val="both"/>
        <w:rPr>
          <w:b/>
          <w:sz w:val="28"/>
        </w:rPr>
      </w:pPr>
    </w:p>
    <w:p w:rsidR="00F3023C" w:rsidRDefault="00F3023C" w:rsidP="00F3023C">
      <w:pPr>
        <w:ind w:firstLine="360"/>
        <w:jc w:val="both"/>
        <w:rPr>
          <w:b/>
          <w:sz w:val="28"/>
        </w:rPr>
      </w:pPr>
    </w:p>
    <w:p w:rsidR="00F3023C" w:rsidRDefault="00F3023C" w:rsidP="00F3023C">
      <w:pPr>
        <w:ind w:firstLine="360"/>
        <w:jc w:val="both"/>
        <w:rPr>
          <w:b/>
          <w:sz w:val="28"/>
        </w:rPr>
      </w:pPr>
    </w:p>
    <w:p w:rsidR="00F3023C" w:rsidRDefault="00F3023C" w:rsidP="00F3023C">
      <w:pPr>
        <w:ind w:firstLine="360"/>
        <w:jc w:val="both"/>
        <w:rPr>
          <w:b/>
          <w:sz w:val="28"/>
        </w:rPr>
      </w:pPr>
    </w:p>
    <w:p w:rsidR="00F3023C" w:rsidRDefault="00F3023C" w:rsidP="00F3023C">
      <w:pPr>
        <w:jc w:val="both"/>
        <w:rPr>
          <w:b/>
          <w:sz w:val="28"/>
        </w:rPr>
      </w:pPr>
    </w:p>
    <w:p w:rsidR="00F3023C" w:rsidRDefault="00F3023C" w:rsidP="00F3023C">
      <w:pPr>
        <w:pStyle w:val="Heading3"/>
      </w:pPr>
      <w:r>
        <w:t>1. </w:t>
      </w:r>
      <w:r w:rsidRPr="00F877FF">
        <w:t>Risināmā</w:t>
      </w:r>
      <w:r w:rsidRPr="00563D98">
        <w:t xml:space="preserve"> jautājuma būtība</w:t>
      </w:r>
    </w:p>
    <w:p w:rsidR="00F3023C" w:rsidRDefault="00F3023C" w:rsidP="00F3023C">
      <w:pPr>
        <w:ind w:firstLine="660"/>
        <w:jc w:val="both"/>
        <w:rPr>
          <w:sz w:val="28"/>
        </w:rPr>
      </w:pPr>
      <w:r w:rsidRPr="00ED22AF">
        <w:rPr>
          <w:sz w:val="28"/>
        </w:rPr>
        <w:t>Koncepcija  par kosmosa tehnoloģiju attīstību un kosmosa politikas veidošanu valstī mērķis ir palielināt</w:t>
      </w:r>
      <w:r w:rsidRPr="00736EA6">
        <w:rPr>
          <w:sz w:val="28"/>
        </w:rPr>
        <w:t xml:space="preserve"> Latvijas kosmosa un saistīto nozaru starptautisko konkurētspēju, īstenojot aktīvu nacionālo kosmosa </w:t>
      </w:r>
      <w:proofErr w:type="spellStart"/>
      <w:r w:rsidRPr="00736EA6">
        <w:rPr>
          <w:sz w:val="28"/>
        </w:rPr>
        <w:t>rīcībpolitiku</w:t>
      </w:r>
      <w:proofErr w:type="spellEnd"/>
      <w:r w:rsidRPr="00736EA6">
        <w:rPr>
          <w:sz w:val="28"/>
        </w:rPr>
        <w:t xml:space="preserve"> un efektīvi izmantojot agrākās kosmosa tehnoloģiju prasmes, kompetenci un zinātnisko infrastruktūru</w:t>
      </w:r>
      <w:r>
        <w:rPr>
          <w:sz w:val="28"/>
        </w:rPr>
        <w:t xml:space="preserve"> iesaistoties EKA programmās. </w:t>
      </w:r>
    </w:p>
    <w:p w:rsidR="00F3023C" w:rsidRPr="005438E1" w:rsidRDefault="00F3023C" w:rsidP="00F3023C">
      <w:pPr>
        <w:ind w:firstLine="720"/>
        <w:jc w:val="both"/>
        <w:rPr>
          <w:sz w:val="28"/>
        </w:rPr>
      </w:pPr>
      <w:r>
        <w:rPr>
          <w:rFonts w:eastAsia="Times New Roman"/>
          <w:sz w:val="28"/>
          <w:lang w:eastAsia="lv-LV"/>
        </w:rPr>
        <w:t>Koncepcija</w:t>
      </w:r>
      <w:r w:rsidRPr="005438E1">
        <w:rPr>
          <w:rFonts w:eastAsia="Times New Roman"/>
          <w:sz w:val="28"/>
          <w:lang w:eastAsia="lv-LV"/>
        </w:rPr>
        <w:t xml:space="preserve"> </w:t>
      </w:r>
      <w:r>
        <w:rPr>
          <w:rFonts w:eastAsia="Times New Roman"/>
          <w:sz w:val="28"/>
          <w:lang w:eastAsia="lv-LV"/>
        </w:rPr>
        <w:t>izstrādāta</w:t>
      </w:r>
      <w:r w:rsidRPr="005438E1">
        <w:rPr>
          <w:rFonts w:eastAsia="Times New Roman"/>
          <w:sz w:val="28"/>
          <w:lang w:eastAsia="lv-LV"/>
        </w:rPr>
        <w:t xml:space="preserve">, pamatojoties uz </w:t>
      </w:r>
      <w:r w:rsidRPr="005438E1">
        <w:rPr>
          <w:sz w:val="28"/>
        </w:rPr>
        <w:t>uzsākto sadarbību ar Eiropas Kosmosa aģentūr</w:t>
      </w:r>
      <w:r>
        <w:rPr>
          <w:sz w:val="28"/>
        </w:rPr>
        <w:t>u</w:t>
      </w:r>
      <w:r w:rsidRPr="005438E1">
        <w:rPr>
          <w:sz w:val="28"/>
        </w:rPr>
        <w:t xml:space="preserve">, 2009.gada 23.jūlijā parakstot „Latvijas Republikas valdības un Eiropas Kosmosa aģentūras līgumu par sadarbību kosmosa jomā miermīlīgiem mērķiem” un nepieciešamību izstrādāt </w:t>
      </w:r>
      <w:proofErr w:type="spellStart"/>
      <w:r w:rsidRPr="005438E1">
        <w:rPr>
          <w:sz w:val="28"/>
        </w:rPr>
        <w:t>rīcībpolitiku</w:t>
      </w:r>
      <w:proofErr w:type="spellEnd"/>
      <w:r w:rsidRPr="005438E1">
        <w:rPr>
          <w:sz w:val="28"/>
        </w:rPr>
        <w:t>, lai attīstītu Latvijas kosmosa nozari.</w:t>
      </w:r>
    </w:p>
    <w:p w:rsidR="00F3023C" w:rsidRPr="0025678E" w:rsidRDefault="00F3023C" w:rsidP="00F3023C">
      <w:pPr>
        <w:ind w:firstLine="660"/>
        <w:jc w:val="both"/>
        <w:rPr>
          <w:sz w:val="28"/>
        </w:rPr>
      </w:pPr>
      <w:r w:rsidRPr="00040A18">
        <w:rPr>
          <w:sz w:val="28"/>
        </w:rPr>
        <w:t>Koncepcijā, izvērtējot pašreizējo situāciju, konstatēts, ka</w:t>
      </w:r>
      <w:r>
        <w:rPr>
          <w:sz w:val="28"/>
        </w:rPr>
        <w:t xml:space="preserve"> Latvijai šobrīd ir pietiekams potenciāls iesaistīties kosmosa tehnoloģiju izstrādē un ražošanā, gan </w:t>
      </w:r>
      <w:r w:rsidRPr="0025678E">
        <w:rPr>
          <w:sz w:val="28"/>
        </w:rPr>
        <w:t xml:space="preserve">kosmosa tehnoloģiju pielietojumu </w:t>
      </w:r>
      <w:r>
        <w:rPr>
          <w:sz w:val="28"/>
        </w:rPr>
        <w:t>izveidē</w:t>
      </w:r>
      <w:r w:rsidRPr="0025678E">
        <w:rPr>
          <w:sz w:val="28"/>
        </w:rPr>
        <w:t xml:space="preserve"> dažādās tautsaimniecības sfērās.</w:t>
      </w:r>
      <w:r>
        <w:rPr>
          <w:b/>
          <w:sz w:val="28"/>
        </w:rPr>
        <w:t xml:space="preserve"> </w:t>
      </w:r>
      <w:r w:rsidRPr="0025678E">
        <w:rPr>
          <w:sz w:val="28"/>
        </w:rPr>
        <w:t>Pamatā tam</w:t>
      </w:r>
      <w:r>
        <w:rPr>
          <w:b/>
          <w:sz w:val="28"/>
        </w:rPr>
        <w:t xml:space="preserve"> </w:t>
      </w:r>
      <w:r w:rsidRPr="0025678E">
        <w:rPr>
          <w:sz w:val="28"/>
        </w:rPr>
        <w:t xml:space="preserve">ir </w:t>
      </w:r>
      <w:r>
        <w:rPr>
          <w:sz w:val="28"/>
        </w:rPr>
        <w:t xml:space="preserve">Latvijas </w:t>
      </w:r>
      <w:r w:rsidRPr="00F54E3A">
        <w:rPr>
          <w:sz w:val="28"/>
        </w:rPr>
        <w:t>tradīcijas, prasmes un kompetences, kas sakņojas vēl PSRS laika 100 dažādās kosmosa programmās un projektos, kuros bija iesaistīti LPSR zinātnieki un inženieri.</w:t>
      </w:r>
      <w:r>
        <w:rPr>
          <w:sz w:val="28"/>
        </w:rPr>
        <w:t xml:space="preserve"> Latvijas kosmosa jomas kompetenci ir novērtējuši arī  EKA eksperti </w:t>
      </w:r>
      <w:r w:rsidRPr="00E755AB">
        <w:rPr>
          <w:sz w:val="28"/>
        </w:rPr>
        <w:t xml:space="preserve">2010.gada 22.-25.martā </w:t>
      </w:r>
      <w:r>
        <w:rPr>
          <w:sz w:val="28"/>
        </w:rPr>
        <w:t xml:space="preserve">organizējot </w:t>
      </w:r>
      <w:r w:rsidRPr="00E755AB">
        <w:rPr>
          <w:sz w:val="28"/>
        </w:rPr>
        <w:t xml:space="preserve">EKA institucionālo un industriālais potenciālo iespēju auditu, </w:t>
      </w:r>
      <w:r>
        <w:rPr>
          <w:sz w:val="28"/>
        </w:rPr>
        <w:t xml:space="preserve">kurā </w:t>
      </w:r>
      <w:r w:rsidRPr="004A463B">
        <w:rPr>
          <w:sz w:val="28"/>
        </w:rPr>
        <w:t xml:space="preserve">pēc speciālas formas tika auditēti 11 zinātniskie institūti, 1 tehnoloģiskais parks un 13 </w:t>
      </w:r>
      <w:r>
        <w:rPr>
          <w:sz w:val="28"/>
        </w:rPr>
        <w:t xml:space="preserve">komercsabiedrības. </w:t>
      </w:r>
      <w:r w:rsidRPr="0025678E">
        <w:rPr>
          <w:sz w:val="28"/>
        </w:rPr>
        <w:t>EKA ekspertu kopējais iespaids par Latviju tika atspoguļots, kā „valsts ar kosmosam atbilstošu industriālo un intelektuālo infrastruktūru un tehniskajām iespējām”.</w:t>
      </w:r>
      <w:r>
        <w:rPr>
          <w:b/>
          <w:sz w:val="28"/>
        </w:rPr>
        <w:t xml:space="preserve"> </w:t>
      </w:r>
      <w:r w:rsidRPr="00054335">
        <w:rPr>
          <w:b/>
          <w:sz w:val="28"/>
        </w:rPr>
        <w:t xml:space="preserve"> </w:t>
      </w:r>
      <w:r>
        <w:rPr>
          <w:sz w:val="28"/>
        </w:rPr>
        <w:t>Respektīvi,</w:t>
      </w:r>
      <w:r w:rsidRPr="00E755AB">
        <w:rPr>
          <w:b/>
          <w:sz w:val="28"/>
        </w:rPr>
        <w:t xml:space="preserve"> </w:t>
      </w:r>
      <w:r>
        <w:rPr>
          <w:b/>
          <w:sz w:val="28"/>
        </w:rPr>
        <w:t>-</w:t>
      </w:r>
      <w:r w:rsidRPr="00054335">
        <w:rPr>
          <w:sz w:val="28"/>
        </w:rPr>
        <w:t xml:space="preserve"> atbilstošs, lai jau ar </w:t>
      </w:r>
      <w:r>
        <w:rPr>
          <w:sz w:val="28"/>
        </w:rPr>
        <w:t>esošajām</w:t>
      </w:r>
      <w:r w:rsidRPr="00054335">
        <w:rPr>
          <w:sz w:val="28"/>
        </w:rPr>
        <w:t xml:space="preserve"> zināšanām un tehniskajām iespējām startētu EKA kosmosa programmās.</w:t>
      </w:r>
      <w:r>
        <w:rPr>
          <w:b/>
          <w:sz w:val="28"/>
        </w:rPr>
        <w:t xml:space="preserve"> </w:t>
      </w:r>
    </w:p>
    <w:p w:rsidR="00F3023C" w:rsidRDefault="00F3023C" w:rsidP="00F3023C">
      <w:pPr>
        <w:ind w:firstLine="660"/>
        <w:jc w:val="both"/>
        <w:rPr>
          <w:sz w:val="28"/>
        </w:rPr>
      </w:pPr>
      <w:r w:rsidRPr="00A543C5">
        <w:rPr>
          <w:sz w:val="28"/>
        </w:rPr>
        <w:t xml:space="preserve">Koncepcijā piedāvāto </w:t>
      </w:r>
      <w:r>
        <w:rPr>
          <w:sz w:val="28"/>
        </w:rPr>
        <w:t>rīcības</w:t>
      </w:r>
      <w:r w:rsidRPr="00A543C5">
        <w:rPr>
          <w:sz w:val="28"/>
        </w:rPr>
        <w:t xml:space="preserve"> variantu </w:t>
      </w:r>
      <w:r w:rsidRPr="00090CB5">
        <w:rPr>
          <w:sz w:val="28"/>
        </w:rPr>
        <w:t>mērķis</w:t>
      </w:r>
      <w:r>
        <w:rPr>
          <w:sz w:val="28"/>
        </w:rPr>
        <w:t xml:space="preserve"> ir izvēlēties labāko risinājumu, kas saistās ar pievienošanos EKA Sadarbības valsts statusā un kosmosa jomas attīstību valstī, ņemot vērā patreizējo valsts ekonomisko stāvokli, ietekmi uz budžetu un ieguvumus valsts tautsaimniecībai.  </w:t>
      </w:r>
    </w:p>
    <w:p w:rsidR="00F3023C" w:rsidRDefault="00F3023C" w:rsidP="00F3023C">
      <w:pPr>
        <w:ind w:firstLine="660"/>
        <w:jc w:val="both"/>
        <w:rPr>
          <w:sz w:val="28"/>
        </w:rPr>
      </w:pPr>
      <w:r>
        <w:rPr>
          <w:sz w:val="28"/>
        </w:rPr>
        <w:t xml:space="preserve">Koncepcijā analizēta pasaules kosmosa jomas tendences un attīstības virzieni, citu valstu pieredze sadarbībā ar EKA, kā arī potenciālie ieguvumi valsts tautsaimniecībai, izglītībai, zinātnei un valsts tēlam. Koncepcijā secināts, ka kosmosa nozare Eiropā kopumā aug pa 8% gadā, kā arī šī sektora piedāvātie pielietojumi spēj risināt dažādas drošības, vides, transporta, lauksaimniecības, mežsaimniecības  u.c. problēmas. Analizēta arī Latvijas zinātnisko institūtu, komercsabiedrību un nevalstisko organizāciju pašreizējā darbība kosmosa jomā un secināts, ka jau šobrīd vairāki zinātniskie institūti (piemēram, LVKĶI un LU Astronomijas institūts) un komercsabiedrības (piemēram SIA </w:t>
      </w:r>
      <w:proofErr w:type="spellStart"/>
      <w:r>
        <w:rPr>
          <w:sz w:val="28"/>
        </w:rPr>
        <w:t>Baltic</w:t>
      </w:r>
      <w:proofErr w:type="spellEnd"/>
      <w:r>
        <w:rPr>
          <w:sz w:val="28"/>
        </w:rPr>
        <w:t xml:space="preserve"> </w:t>
      </w:r>
      <w:proofErr w:type="spellStart"/>
      <w:r>
        <w:rPr>
          <w:sz w:val="28"/>
        </w:rPr>
        <w:lastRenderedPageBreak/>
        <w:t>Scientific</w:t>
      </w:r>
      <w:proofErr w:type="spellEnd"/>
      <w:r>
        <w:rPr>
          <w:sz w:val="28"/>
        </w:rPr>
        <w:t xml:space="preserve"> Instruments) sadarbojas ar EKA un vairākiem ir liels potenciāls to darīt nākotnē. </w:t>
      </w:r>
    </w:p>
    <w:p w:rsidR="00F3023C" w:rsidRPr="00E67D93" w:rsidRDefault="00F3023C" w:rsidP="00F3023C">
      <w:pPr>
        <w:ind w:firstLine="660"/>
        <w:jc w:val="both"/>
        <w:rPr>
          <w:sz w:val="28"/>
        </w:rPr>
      </w:pPr>
    </w:p>
    <w:p w:rsidR="00F3023C" w:rsidRPr="00C06E41" w:rsidRDefault="00F3023C" w:rsidP="00F3023C">
      <w:pPr>
        <w:pStyle w:val="Heading3"/>
      </w:pPr>
      <w:r w:rsidRPr="00E67D93">
        <w:t xml:space="preserve">2. Piedāvātie </w:t>
      </w:r>
      <w:r>
        <w:t>rīcības</w:t>
      </w:r>
      <w:r w:rsidRPr="00E67D93">
        <w:t xml:space="preserve"> varianti</w:t>
      </w:r>
    </w:p>
    <w:p w:rsidR="00F3023C" w:rsidRDefault="00F3023C" w:rsidP="00F3023C">
      <w:pPr>
        <w:ind w:firstLine="360"/>
        <w:jc w:val="both"/>
        <w:rPr>
          <w:sz w:val="28"/>
        </w:rPr>
      </w:pPr>
      <w:r w:rsidRPr="00083F65">
        <w:rPr>
          <w:sz w:val="28"/>
        </w:rPr>
        <w:t xml:space="preserve">Lai iespējami pilnvērtīgi un </w:t>
      </w:r>
      <w:proofErr w:type="spellStart"/>
      <w:r w:rsidRPr="00083F65">
        <w:rPr>
          <w:sz w:val="28"/>
        </w:rPr>
        <w:t>ilgtermiņā</w:t>
      </w:r>
      <w:proofErr w:type="spellEnd"/>
      <w:r w:rsidRPr="00083F65">
        <w:rPr>
          <w:sz w:val="28"/>
        </w:rPr>
        <w:t xml:space="preserve"> izvērtētu  visas potenciālās Latvijas izmaksas un ieguvumus no Latvijas iesaistīšanās EKA sadarbības valsts statusā no 2013.gada, tika analizēti divi iespējamie rīcības varianti,</w:t>
      </w:r>
    </w:p>
    <w:p w:rsidR="00F3023C" w:rsidRPr="00C06E41" w:rsidRDefault="00F3023C" w:rsidP="00F3023C">
      <w:pPr>
        <w:jc w:val="both"/>
        <w:rPr>
          <w:sz w:val="28"/>
        </w:rPr>
      </w:pPr>
    </w:p>
    <w:p w:rsidR="00F3023C" w:rsidRPr="00C06E41" w:rsidRDefault="00F3023C" w:rsidP="00F3023C">
      <w:pPr>
        <w:pStyle w:val="Numeretslists"/>
        <w:numPr>
          <w:ilvl w:val="0"/>
          <w:numId w:val="0"/>
        </w:numPr>
        <w:ind w:firstLine="426"/>
        <w:rPr>
          <w:sz w:val="28"/>
          <w:szCs w:val="28"/>
        </w:rPr>
      </w:pPr>
      <w:r w:rsidRPr="00C06E41">
        <w:rPr>
          <w:b/>
          <w:sz w:val="28"/>
          <w:szCs w:val="28"/>
        </w:rPr>
        <w:t>A variants –</w:t>
      </w:r>
      <w:r w:rsidRPr="00C06E41">
        <w:rPr>
          <w:sz w:val="28"/>
          <w:szCs w:val="28"/>
        </w:rPr>
        <w:t xml:space="preserve"> Latvijas turpina sadarbību ar EKA pašreiz spēkā esošā „Līguma par</w:t>
      </w:r>
      <w:r>
        <w:rPr>
          <w:sz w:val="28"/>
          <w:szCs w:val="28"/>
        </w:rPr>
        <w:t xml:space="preserve"> </w:t>
      </w:r>
      <w:r w:rsidRPr="00C06E41">
        <w:rPr>
          <w:sz w:val="28"/>
          <w:szCs w:val="28"/>
        </w:rPr>
        <w:t>sadarbību kosmosa jomā miermīlīgiem mērķiem” ietvaros (Bāzes alternatīva).</w:t>
      </w:r>
    </w:p>
    <w:p w:rsidR="00F3023C" w:rsidRPr="00C06E41" w:rsidRDefault="00F3023C" w:rsidP="00F3023C">
      <w:pPr>
        <w:ind w:firstLine="357"/>
        <w:jc w:val="both"/>
        <w:rPr>
          <w:sz w:val="28"/>
        </w:rPr>
      </w:pPr>
      <w:r w:rsidRPr="00C06E41">
        <w:rPr>
          <w:b/>
          <w:sz w:val="28"/>
        </w:rPr>
        <w:t xml:space="preserve">B variants </w:t>
      </w:r>
      <w:r w:rsidRPr="00C06E41">
        <w:rPr>
          <w:sz w:val="28"/>
        </w:rPr>
        <w:t>–Latvijas dalībai Eiropas Kosmosa aģentūras (EKA) Eiropas sadarbības valsts statusā no 2013.gada (Sadarbības alternatīva)</w:t>
      </w:r>
      <w:r>
        <w:rPr>
          <w:sz w:val="28"/>
        </w:rPr>
        <w:t>,</w:t>
      </w:r>
      <w:r w:rsidRPr="00C06E41">
        <w:rPr>
          <w:sz w:val="28"/>
        </w:rPr>
        <w:t xml:space="preserve"> </w:t>
      </w:r>
    </w:p>
    <w:p w:rsidR="00F3023C" w:rsidRDefault="00F3023C" w:rsidP="00F3023C">
      <w:pPr>
        <w:jc w:val="both"/>
        <w:rPr>
          <w:sz w:val="28"/>
        </w:rPr>
      </w:pPr>
    </w:p>
    <w:p w:rsidR="00F3023C" w:rsidRPr="00083F65" w:rsidRDefault="00F3023C" w:rsidP="00F3023C">
      <w:pPr>
        <w:ind w:firstLine="360"/>
        <w:jc w:val="both"/>
        <w:rPr>
          <w:sz w:val="28"/>
        </w:rPr>
      </w:pPr>
      <w:r w:rsidRPr="00083F65">
        <w:rPr>
          <w:sz w:val="28"/>
        </w:rPr>
        <w:t xml:space="preserve"> kā arī trīs </w:t>
      </w:r>
      <w:proofErr w:type="spellStart"/>
      <w:r w:rsidRPr="00083F65">
        <w:rPr>
          <w:sz w:val="28"/>
        </w:rPr>
        <w:t>apakšscenāriji</w:t>
      </w:r>
      <w:proofErr w:type="spellEnd"/>
      <w:r w:rsidRPr="00083F65">
        <w:rPr>
          <w:sz w:val="28"/>
        </w:rPr>
        <w:t xml:space="preserve"> sadarbības alternatīvai – pēc 5 gadiem EKA sadarbības valsts statusā, Latvija 2018.gadā:</w:t>
      </w:r>
    </w:p>
    <w:p w:rsidR="00F3023C" w:rsidRPr="00083F65" w:rsidRDefault="00F3023C" w:rsidP="00F3023C">
      <w:pPr>
        <w:pStyle w:val="Numeretslists"/>
        <w:numPr>
          <w:ilvl w:val="0"/>
          <w:numId w:val="2"/>
        </w:numPr>
        <w:rPr>
          <w:sz w:val="28"/>
          <w:szCs w:val="28"/>
        </w:rPr>
      </w:pPr>
      <w:r w:rsidRPr="00083F65">
        <w:rPr>
          <w:sz w:val="28"/>
          <w:szCs w:val="28"/>
        </w:rPr>
        <w:t>turpina būt par EKA Eiropas sadarbības valsti uz nākošo 5 gadu periodu,</w:t>
      </w:r>
    </w:p>
    <w:p w:rsidR="00F3023C" w:rsidRPr="00083F65" w:rsidRDefault="00F3023C" w:rsidP="00F3023C">
      <w:pPr>
        <w:pStyle w:val="Numeretslists"/>
        <w:numPr>
          <w:ilvl w:val="0"/>
          <w:numId w:val="2"/>
        </w:numPr>
        <w:rPr>
          <w:sz w:val="28"/>
          <w:szCs w:val="28"/>
        </w:rPr>
      </w:pPr>
      <w:r w:rsidRPr="00083F65">
        <w:rPr>
          <w:sz w:val="28"/>
          <w:szCs w:val="28"/>
        </w:rPr>
        <w:t>kļūst par pilntiesīgu EKA dalībvalsti,</w:t>
      </w:r>
    </w:p>
    <w:p w:rsidR="00F3023C" w:rsidRPr="00083F65" w:rsidRDefault="00F3023C" w:rsidP="00F3023C">
      <w:pPr>
        <w:pStyle w:val="Numeretslists"/>
        <w:numPr>
          <w:ilvl w:val="0"/>
          <w:numId w:val="2"/>
        </w:numPr>
        <w:rPr>
          <w:sz w:val="28"/>
          <w:szCs w:val="28"/>
        </w:rPr>
      </w:pPr>
      <w:r w:rsidRPr="00083F65">
        <w:rPr>
          <w:sz w:val="28"/>
          <w:szCs w:val="28"/>
        </w:rPr>
        <w:t xml:space="preserve"> pārtrauc sadarbību ar EKA.</w:t>
      </w:r>
    </w:p>
    <w:p w:rsidR="00F3023C" w:rsidRPr="00083F65" w:rsidRDefault="00F3023C" w:rsidP="00F3023C">
      <w:pPr>
        <w:ind w:firstLine="357"/>
        <w:jc w:val="both"/>
        <w:rPr>
          <w:sz w:val="28"/>
        </w:rPr>
      </w:pPr>
      <w:proofErr w:type="spellStart"/>
      <w:r w:rsidRPr="00083F65">
        <w:rPr>
          <w:sz w:val="28"/>
        </w:rPr>
        <w:t>Apakšscenāriju</w:t>
      </w:r>
      <w:proofErr w:type="spellEnd"/>
      <w:r w:rsidRPr="00083F65">
        <w:rPr>
          <w:sz w:val="28"/>
        </w:rPr>
        <w:t xml:space="preserve"> analīze ir būtiska, lemjot par līdzekļu piešķiršanu pirmajam 5 gadu periodam, jo EKA sadarbības valsts statuss pats par sevi vēl negarantē noteiktus kosmosa nozares vai kosmosa tehnoloģiju sniegtos uzlabojumus Latvijas tautsaimniecībā. Tādēļ pēc </w:t>
      </w:r>
      <w:proofErr w:type="spellStart"/>
      <w:r w:rsidRPr="00083F65">
        <w:rPr>
          <w:i/>
          <w:sz w:val="28"/>
        </w:rPr>
        <w:t>ex-post</w:t>
      </w:r>
      <w:proofErr w:type="spellEnd"/>
      <w:r w:rsidRPr="00083F65">
        <w:rPr>
          <w:sz w:val="28"/>
        </w:rPr>
        <w:t xml:space="preserve"> izmaksu/ieguvuma izvērtējuma 2017.gada beigās, pastāv noteikta varbūtība jebkuram no augstāk minētajiem </w:t>
      </w:r>
      <w:proofErr w:type="spellStart"/>
      <w:r w:rsidRPr="00083F65">
        <w:rPr>
          <w:sz w:val="28"/>
        </w:rPr>
        <w:t>apakšscenārijiem</w:t>
      </w:r>
      <w:proofErr w:type="spellEnd"/>
      <w:r w:rsidRPr="00083F65">
        <w:rPr>
          <w:sz w:val="28"/>
        </w:rPr>
        <w:t>.</w:t>
      </w:r>
    </w:p>
    <w:p w:rsidR="00F3023C" w:rsidRPr="00083F65" w:rsidRDefault="00F3023C" w:rsidP="00F3023C">
      <w:pPr>
        <w:ind w:firstLine="357"/>
        <w:jc w:val="both"/>
        <w:rPr>
          <w:sz w:val="28"/>
        </w:rPr>
      </w:pPr>
      <w:proofErr w:type="spellStart"/>
      <w:r w:rsidRPr="00083F65">
        <w:rPr>
          <w:i/>
          <w:sz w:val="28"/>
        </w:rPr>
        <w:t>Ex-ante</w:t>
      </w:r>
      <w:proofErr w:type="spellEnd"/>
      <w:r w:rsidRPr="00083F65">
        <w:rPr>
          <w:sz w:val="28"/>
        </w:rPr>
        <w:t xml:space="preserve"> kvantitatīvās ieguvumu/ieņēmumu un izdevumu analīzes veikšanai ir izveidots finanšu un ekonomiskās analīzes modelis, kura galvenie rezultāti apkopoti zemāk. Galvenie metodoloģiskie apsvērumi, pieņēmumi un datu avoti sniegti analīzes metodoloģijas apskatā, kā arī pielikumos.</w:t>
      </w:r>
    </w:p>
    <w:p w:rsidR="00F3023C" w:rsidRPr="00083F65" w:rsidRDefault="00F3023C" w:rsidP="00F3023C">
      <w:pPr>
        <w:ind w:firstLine="357"/>
        <w:jc w:val="both"/>
        <w:rPr>
          <w:sz w:val="28"/>
        </w:rPr>
      </w:pPr>
      <w:r w:rsidRPr="00083F65">
        <w:rPr>
          <w:sz w:val="28"/>
        </w:rPr>
        <w:t>Ekonomiskās analīzes rezultāti parāda, ka Bāzes alternatīvā, ja Latvijas izlemj neuzsākt sadarbību ar EKA Latvijas kosmosa nozare</w:t>
      </w:r>
      <w:r w:rsidRPr="00083F65">
        <w:rPr>
          <w:rStyle w:val="FootnoteReference"/>
          <w:sz w:val="28"/>
        </w:rPr>
        <w:footnoteReference w:id="1"/>
      </w:r>
      <w:r w:rsidRPr="00083F65">
        <w:rPr>
          <w:sz w:val="28"/>
        </w:rPr>
        <w:t xml:space="preserve"> 15 gadu laikā aptuveni dubultos savu apgrozījumu no nepilniem 2 milj. latu 2013.g. uz nepilniem 4 milj. latu 2027.g (izteiktu 2011.g. salīdzināmās </w:t>
      </w:r>
      <w:r w:rsidRPr="00083F65">
        <w:rPr>
          <w:sz w:val="28"/>
        </w:rPr>
        <w:lastRenderedPageBreak/>
        <w:t>cenās), vidēji gadā nodarbinot ap 107 pilna laika darbiniekiem. Ikgadējais pienesums IKP lēšams starp 1 milj. latu 2013.g. un 2 milj. latu 2027.g.</w:t>
      </w:r>
    </w:p>
    <w:p w:rsidR="00F3023C" w:rsidRPr="00083F65" w:rsidRDefault="00F3023C" w:rsidP="00F3023C">
      <w:pPr>
        <w:ind w:firstLine="357"/>
        <w:jc w:val="both"/>
        <w:rPr>
          <w:sz w:val="28"/>
        </w:rPr>
      </w:pPr>
      <w:r w:rsidRPr="00083F65">
        <w:rPr>
          <w:sz w:val="28"/>
        </w:rPr>
        <w:t xml:space="preserve">Ja Latvija uzsāk sadarbību ar EKA, tad atkarībā no 2018.gadā valsts izvēlētā </w:t>
      </w:r>
      <w:proofErr w:type="spellStart"/>
      <w:r w:rsidRPr="00083F65">
        <w:rPr>
          <w:sz w:val="28"/>
        </w:rPr>
        <w:t>apakšscenārija</w:t>
      </w:r>
      <w:proofErr w:type="spellEnd"/>
      <w:r w:rsidRPr="00083F65">
        <w:rPr>
          <w:sz w:val="28"/>
        </w:rPr>
        <w:t xml:space="preserve">, sadarbības perioda laikā </w:t>
      </w:r>
      <w:r w:rsidRPr="00083F65">
        <w:rPr>
          <w:b/>
          <w:sz w:val="28"/>
        </w:rPr>
        <w:t>papildus bāzes alternatīvā prognozētajam</w:t>
      </w:r>
      <w:r w:rsidRPr="00083F65">
        <w:rPr>
          <w:sz w:val="28"/>
        </w:rPr>
        <w:t xml:space="preserve"> Latvijas </w:t>
      </w:r>
      <w:proofErr w:type="spellStart"/>
      <w:r w:rsidRPr="00083F65">
        <w:rPr>
          <w:i/>
          <w:sz w:val="28"/>
        </w:rPr>
        <w:t>upstream</w:t>
      </w:r>
      <w:proofErr w:type="spellEnd"/>
      <w:r w:rsidRPr="00083F65">
        <w:rPr>
          <w:sz w:val="28"/>
        </w:rPr>
        <w:t xml:space="preserve"> kosmosa nozares </w:t>
      </w:r>
      <w:r w:rsidRPr="00083F65">
        <w:rPr>
          <w:b/>
          <w:sz w:val="28"/>
        </w:rPr>
        <w:t>apgrozījums vidēji gadā  pieaug par 2 milj. līdz pat 7.5 milj. latu, nodarbinātība aptuveni par 70 līdz 270 pilna laika darba vietām, savukārt papildus radītā iekšzemes kopprodukta vērtība no 1 līdz 4 miljoniem latu</w:t>
      </w:r>
      <w:r w:rsidRPr="00083F65">
        <w:rPr>
          <w:sz w:val="28"/>
        </w:rPr>
        <w:t xml:space="preserve"> vidēji gadā.</w:t>
      </w:r>
    </w:p>
    <w:p w:rsidR="00F3023C" w:rsidRDefault="00F3023C" w:rsidP="00F3023C">
      <w:pPr>
        <w:ind w:firstLine="357"/>
        <w:jc w:val="both"/>
        <w:rPr>
          <w:sz w:val="28"/>
        </w:rPr>
      </w:pPr>
      <w:r w:rsidRPr="00083F65">
        <w:rPr>
          <w:sz w:val="28"/>
        </w:rPr>
        <w:t xml:space="preserve">Neskatoties uz konservatīvo pieņēmumu bāzi un ievaddatu vērtībām, visi trīs Sadarbības alternatīvas </w:t>
      </w:r>
      <w:proofErr w:type="spellStart"/>
      <w:r w:rsidRPr="00083F65">
        <w:rPr>
          <w:sz w:val="28"/>
        </w:rPr>
        <w:t>apakšscenāriji</w:t>
      </w:r>
      <w:proofErr w:type="spellEnd"/>
      <w:r w:rsidRPr="00083F65">
        <w:rPr>
          <w:sz w:val="28"/>
        </w:rPr>
        <w:t xml:space="preserve"> uzrāda pozitīvus investīciju atdeves rādītājus, kur katrs EKA ieguldītais lats sniedz atdevi vairāk kā 1 lata apmērā, atdeve robežās starp 1.12 un 1.46 latiem uz katru ieguldīto latu.</w:t>
      </w:r>
    </w:p>
    <w:p w:rsidR="00F3023C" w:rsidRPr="00083F65" w:rsidRDefault="00F3023C" w:rsidP="00F3023C">
      <w:pPr>
        <w:ind w:firstLine="357"/>
        <w:jc w:val="both"/>
        <w:rPr>
          <w:sz w:val="28"/>
        </w:rPr>
      </w:pPr>
    </w:p>
    <w:p w:rsidR="00F3023C" w:rsidRPr="00083F65" w:rsidRDefault="00F3023C" w:rsidP="00F3023C">
      <w:pPr>
        <w:pStyle w:val="Caption"/>
        <w:jc w:val="both"/>
      </w:pPr>
      <w:r w:rsidRPr="00083F65">
        <w:t>Tabula, Valsts budžeta izdevumu un ekonomiskās analīzes investīciju atdeves rādītāju salīdzinājums starp scenārijiem, diskonta likme r=5.5%.</w:t>
      </w:r>
    </w:p>
    <w:tbl>
      <w:tblPr>
        <w:tblW w:w="5157" w:type="pct"/>
        <w:tblInd w:w="-34" w:type="dxa"/>
        <w:tblLayout w:type="fixed"/>
        <w:tblLook w:val="04A0"/>
      </w:tblPr>
      <w:tblGrid>
        <w:gridCol w:w="4248"/>
        <w:gridCol w:w="1569"/>
        <w:gridCol w:w="708"/>
        <w:gridCol w:w="708"/>
        <w:gridCol w:w="849"/>
        <w:gridCol w:w="708"/>
      </w:tblGrid>
      <w:tr w:rsidR="00F3023C" w:rsidRPr="00083F65" w:rsidTr="00F3023C">
        <w:trPr>
          <w:trHeight w:val="600"/>
        </w:trPr>
        <w:tc>
          <w:tcPr>
            <w:tcW w:w="2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23C" w:rsidRPr="00083F65" w:rsidRDefault="00F3023C" w:rsidP="000D5CA4">
            <w:pPr>
              <w:jc w:val="both"/>
              <w:rPr>
                <w:b/>
                <w:sz w:val="28"/>
              </w:rPr>
            </w:pPr>
          </w:p>
        </w:tc>
        <w:tc>
          <w:tcPr>
            <w:tcW w:w="892" w:type="pct"/>
            <w:tcBorders>
              <w:top w:val="single" w:sz="4" w:space="0" w:color="auto"/>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b/>
                <w:sz w:val="28"/>
              </w:rPr>
            </w:pP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F3023C" w:rsidRPr="00083F65" w:rsidRDefault="00F3023C" w:rsidP="000D5CA4">
            <w:pPr>
              <w:jc w:val="both"/>
              <w:rPr>
                <w:b/>
                <w:sz w:val="28"/>
              </w:rPr>
            </w:pPr>
            <w:r w:rsidRPr="00083F65">
              <w:rPr>
                <w:b/>
                <w:sz w:val="28"/>
              </w:rPr>
              <w:t>S0 Bāze</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F3023C" w:rsidRPr="00083F65" w:rsidRDefault="00F3023C" w:rsidP="000D5CA4">
            <w:pPr>
              <w:jc w:val="both"/>
              <w:rPr>
                <w:b/>
                <w:sz w:val="28"/>
              </w:rPr>
            </w:pPr>
            <w:r w:rsidRPr="00083F65">
              <w:rPr>
                <w:b/>
                <w:sz w:val="28"/>
              </w:rPr>
              <w:t>S1</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F3023C" w:rsidRPr="00083F65" w:rsidRDefault="00F3023C" w:rsidP="000D5CA4">
            <w:pPr>
              <w:jc w:val="both"/>
              <w:rPr>
                <w:b/>
                <w:sz w:val="28"/>
              </w:rPr>
            </w:pPr>
            <w:r w:rsidRPr="00083F65">
              <w:rPr>
                <w:b/>
                <w:sz w:val="28"/>
              </w:rPr>
              <w:t>S2</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F3023C" w:rsidRPr="00083F65" w:rsidRDefault="00F3023C" w:rsidP="000D5CA4">
            <w:pPr>
              <w:jc w:val="both"/>
              <w:rPr>
                <w:b/>
                <w:sz w:val="28"/>
              </w:rPr>
            </w:pPr>
            <w:r w:rsidRPr="00083F65">
              <w:rPr>
                <w:b/>
                <w:sz w:val="28"/>
              </w:rPr>
              <w:t>S3</w:t>
            </w:r>
          </w:p>
        </w:tc>
      </w:tr>
      <w:tr w:rsidR="00F3023C" w:rsidRPr="00083F65" w:rsidTr="00F3023C">
        <w:trPr>
          <w:trHeight w:val="315"/>
        </w:trPr>
        <w:tc>
          <w:tcPr>
            <w:tcW w:w="3308" w:type="pct"/>
            <w:gridSpan w:val="2"/>
            <w:tcBorders>
              <w:top w:val="single" w:sz="4" w:space="0" w:color="auto"/>
              <w:left w:val="single" w:sz="4" w:space="0" w:color="auto"/>
              <w:bottom w:val="single" w:sz="4" w:space="0" w:color="auto"/>
              <w:right w:val="nil"/>
            </w:tcBorders>
            <w:shd w:val="clear" w:color="000000" w:fill="D8D8D8"/>
            <w:noWrap/>
            <w:vAlign w:val="center"/>
            <w:hideMark/>
          </w:tcPr>
          <w:p w:rsidR="00F3023C" w:rsidRPr="00083F65" w:rsidRDefault="00F3023C" w:rsidP="000D5CA4">
            <w:pPr>
              <w:jc w:val="both"/>
              <w:rPr>
                <w:b/>
                <w:sz w:val="28"/>
              </w:rPr>
            </w:pPr>
            <w:r w:rsidRPr="00083F65">
              <w:rPr>
                <w:b/>
                <w:sz w:val="28"/>
              </w:rPr>
              <w:t>VALSTS BUDŽETA IZDEVUMI (kopsumma 15 gados)</w:t>
            </w:r>
          </w:p>
        </w:tc>
        <w:tc>
          <w:tcPr>
            <w:tcW w:w="403" w:type="pct"/>
            <w:tcBorders>
              <w:top w:val="nil"/>
              <w:left w:val="nil"/>
              <w:bottom w:val="single" w:sz="4" w:space="0" w:color="auto"/>
              <w:right w:val="nil"/>
            </w:tcBorders>
            <w:shd w:val="clear" w:color="000000" w:fill="D8D8D8"/>
            <w:noWrap/>
            <w:vAlign w:val="center"/>
            <w:hideMark/>
          </w:tcPr>
          <w:p w:rsidR="00F3023C" w:rsidRPr="00083F65" w:rsidRDefault="00F3023C" w:rsidP="000D5CA4">
            <w:pPr>
              <w:jc w:val="both"/>
              <w:rPr>
                <w:b/>
                <w:sz w:val="28"/>
              </w:rPr>
            </w:pPr>
          </w:p>
        </w:tc>
        <w:tc>
          <w:tcPr>
            <w:tcW w:w="403" w:type="pct"/>
            <w:tcBorders>
              <w:top w:val="nil"/>
              <w:left w:val="nil"/>
              <w:bottom w:val="single" w:sz="4" w:space="0" w:color="auto"/>
              <w:right w:val="nil"/>
            </w:tcBorders>
            <w:shd w:val="clear" w:color="000000" w:fill="D8D8D8"/>
            <w:noWrap/>
            <w:vAlign w:val="center"/>
            <w:hideMark/>
          </w:tcPr>
          <w:p w:rsidR="00F3023C" w:rsidRPr="00083F65" w:rsidRDefault="00F3023C" w:rsidP="000D5CA4">
            <w:pPr>
              <w:jc w:val="both"/>
              <w:rPr>
                <w:b/>
                <w:sz w:val="28"/>
              </w:rPr>
            </w:pPr>
          </w:p>
        </w:tc>
        <w:tc>
          <w:tcPr>
            <w:tcW w:w="483" w:type="pct"/>
            <w:tcBorders>
              <w:top w:val="nil"/>
              <w:left w:val="nil"/>
              <w:bottom w:val="single" w:sz="4" w:space="0" w:color="auto"/>
              <w:right w:val="nil"/>
            </w:tcBorders>
            <w:shd w:val="clear" w:color="000000" w:fill="D8D8D8"/>
            <w:noWrap/>
            <w:vAlign w:val="center"/>
            <w:hideMark/>
          </w:tcPr>
          <w:p w:rsidR="00F3023C" w:rsidRPr="00083F65" w:rsidRDefault="00F3023C" w:rsidP="000D5CA4">
            <w:pPr>
              <w:jc w:val="both"/>
              <w:rPr>
                <w:b/>
                <w:sz w:val="28"/>
              </w:rPr>
            </w:pPr>
          </w:p>
        </w:tc>
        <w:tc>
          <w:tcPr>
            <w:tcW w:w="403" w:type="pct"/>
            <w:tcBorders>
              <w:top w:val="nil"/>
              <w:left w:val="nil"/>
              <w:bottom w:val="single" w:sz="4" w:space="0" w:color="auto"/>
              <w:right w:val="single" w:sz="4" w:space="0" w:color="auto"/>
            </w:tcBorders>
            <w:shd w:val="clear" w:color="000000" w:fill="D8D8D8"/>
            <w:noWrap/>
            <w:vAlign w:val="center"/>
            <w:hideMark/>
          </w:tcPr>
          <w:p w:rsidR="00F3023C" w:rsidRPr="00083F65" w:rsidRDefault="00F3023C" w:rsidP="000D5CA4">
            <w:pPr>
              <w:jc w:val="both"/>
              <w:rPr>
                <w:b/>
                <w:sz w:val="28"/>
              </w:rPr>
            </w:pPr>
          </w:p>
        </w:tc>
      </w:tr>
      <w:tr w:rsidR="00F3023C" w:rsidRPr="00083F65" w:rsidTr="00F3023C">
        <w:trPr>
          <w:trHeight w:val="300"/>
        </w:trPr>
        <w:tc>
          <w:tcPr>
            <w:tcW w:w="2416" w:type="pct"/>
            <w:tcBorders>
              <w:top w:val="nil"/>
              <w:left w:val="single" w:sz="4" w:space="0" w:color="auto"/>
              <w:bottom w:val="single" w:sz="4" w:space="0" w:color="auto"/>
              <w:right w:val="single" w:sz="4" w:space="0" w:color="auto"/>
            </w:tcBorders>
            <w:shd w:val="clear" w:color="auto" w:fill="auto"/>
            <w:noWrap/>
            <w:vAlign w:val="center"/>
            <w:hideMark/>
          </w:tcPr>
          <w:p w:rsidR="00F3023C" w:rsidRPr="00083F65" w:rsidRDefault="00F3023C" w:rsidP="000D5CA4">
            <w:pPr>
              <w:jc w:val="both"/>
              <w:rPr>
                <w:b/>
                <w:i/>
                <w:sz w:val="28"/>
              </w:rPr>
            </w:pPr>
            <w:r w:rsidRPr="00083F65">
              <w:rPr>
                <w:b/>
                <w:i/>
                <w:sz w:val="28"/>
              </w:rPr>
              <w:t>Tagadnes vērtība (2011.g. cenās)</w:t>
            </w:r>
          </w:p>
          <w:p w:rsidR="00F3023C" w:rsidRPr="00083F65" w:rsidRDefault="00F3023C" w:rsidP="000D5CA4">
            <w:pPr>
              <w:jc w:val="both"/>
              <w:rPr>
                <w:b/>
                <w:i/>
                <w:sz w:val="28"/>
              </w:rPr>
            </w:pPr>
          </w:p>
        </w:tc>
        <w:tc>
          <w:tcPr>
            <w:tcW w:w="892"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milj. LVL</w:t>
            </w:r>
          </w:p>
        </w:tc>
        <w:tc>
          <w:tcPr>
            <w:tcW w:w="403"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0</w:t>
            </w:r>
          </w:p>
        </w:tc>
        <w:tc>
          <w:tcPr>
            <w:tcW w:w="403"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6.65</w:t>
            </w:r>
          </w:p>
        </w:tc>
        <w:tc>
          <w:tcPr>
            <w:tcW w:w="483"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21.97</w:t>
            </w:r>
          </w:p>
        </w:tc>
        <w:tc>
          <w:tcPr>
            <w:tcW w:w="403"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3.77</w:t>
            </w:r>
          </w:p>
        </w:tc>
      </w:tr>
      <w:tr w:rsidR="00F3023C" w:rsidRPr="00083F65" w:rsidTr="00F3023C">
        <w:trPr>
          <w:trHeight w:val="315"/>
        </w:trPr>
        <w:tc>
          <w:tcPr>
            <w:tcW w:w="3308" w:type="pct"/>
            <w:gridSpan w:val="2"/>
            <w:tcBorders>
              <w:top w:val="single" w:sz="4" w:space="0" w:color="auto"/>
              <w:left w:val="single" w:sz="4" w:space="0" w:color="auto"/>
              <w:bottom w:val="single" w:sz="4" w:space="0" w:color="auto"/>
              <w:right w:val="nil"/>
            </w:tcBorders>
            <w:shd w:val="clear" w:color="000000" w:fill="D8D8D8"/>
            <w:noWrap/>
            <w:vAlign w:val="center"/>
            <w:hideMark/>
          </w:tcPr>
          <w:p w:rsidR="00F3023C" w:rsidRPr="00083F65" w:rsidRDefault="00F3023C" w:rsidP="000D5CA4">
            <w:pPr>
              <w:jc w:val="both"/>
              <w:rPr>
                <w:b/>
                <w:sz w:val="28"/>
              </w:rPr>
            </w:pPr>
            <w:r w:rsidRPr="00083F65">
              <w:rPr>
                <w:b/>
                <w:sz w:val="28"/>
              </w:rPr>
              <w:t>INVESTĪCIJU ATDEVE</w:t>
            </w:r>
          </w:p>
        </w:tc>
        <w:tc>
          <w:tcPr>
            <w:tcW w:w="403" w:type="pct"/>
            <w:tcBorders>
              <w:top w:val="nil"/>
              <w:left w:val="nil"/>
              <w:bottom w:val="single" w:sz="4" w:space="0" w:color="auto"/>
              <w:right w:val="nil"/>
            </w:tcBorders>
            <w:shd w:val="clear" w:color="000000" w:fill="D8D8D8"/>
            <w:noWrap/>
            <w:vAlign w:val="center"/>
            <w:hideMark/>
          </w:tcPr>
          <w:p w:rsidR="00F3023C" w:rsidRPr="00083F65" w:rsidRDefault="00F3023C" w:rsidP="000D5CA4">
            <w:pPr>
              <w:jc w:val="both"/>
              <w:rPr>
                <w:sz w:val="28"/>
              </w:rPr>
            </w:pPr>
          </w:p>
        </w:tc>
        <w:tc>
          <w:tcPr>
            <w:tcW w:w="403" w:type="pct"/>
            <w:tcBorders>
              <w:top w:val="nil"/>
              <w:left w:val="nil"/>
              <w:bottom w:val="single" w:sz="4" w:space="0" w:color="auto"/>
              <w:right w:val="nil"/>
            </w:tcBorders>
            <w:shd w:val="clear" w:color="000000" w:fill="D8D8D8"/>
            <w:noWrap/>
            <w:vAlign w:val="center"/>
            <w:hideMark/>
          </w:tcPr>
          <w:p w:rsidR="00F3023C" w:rsidRPr="00083F65" w:rsidRDefault="00F3023C" w:rsidP="000D5CA4">
            <w:pPr>
              <w:jc w:val="both"/>
              <w:rPr>
                <w:sz w:val="28"/>
              </w:rPr>
            </w:pPr>
          </w:p>
        </w:tc>
        <w:tc>
          <w:tcPr>
            <w:tcW w:w="483" w:type="pct"/>
            <w:tcBorders>
              <w:top w:val="nil"/>
              <w:left w:val="nil"/>
              <w:bottom w:val="single" w:sz="4" w:space="0" w:color="auto"/>
              <w:right w:val="nil"/>
            </w:tcBorders>
            <w:shd w:val="clear" w:color="000000" w:fill="D8D8D8"/>
            <w:noWrap/>
            <w:vAlign w:val="center"/>
            <w:hideMark/>
          </w:tcPr>
          <w:p w:rsidR="00F3023C" w:rsidRPr="00083F65" w:rsidRDefault="00F3023C" w:rsidP="000D5CA4">
            <w:pPr>
              <w:jc w:val="both"/>
              <w:rPr>
                <w:sz w:val="28"/>
              </w:rPr>
            </w:pPr>
          </w:p>
        </w:tc>
        <w:tc>
          <w:tcPr>
            <w:tcW w:w="403" w:type="pct"/>
            <w:tcBorders>
              <w:top w:val="nil"/>
              <w:left w:val="nil"/>
              <w:bottom w:val="single" w:sz="4" w:space="0" w:color="auto"/>
              <w:right w:val="single" w:sz="4" w:space="0" w:color="auto"/>
            </w:tcBorders>
            <w:shd w:val="clear" w:color="000000" w:fill="D8D8D8"/>
            <w:noWrap/>
            <w:vAlign w:val="center"/>
            <w:hideMark/>
          </w:tcPr>
          <w:p w:rsidR="00F3023C" w:rsidRPr="00083F65" w:rsidRDefault="00F3023C" w:rsidP="000D5CA4">
            <w:pPr>
              <w:jc w:val="both"/>
              <w:rPr>
                <w:sz w:val="28"/>
              </w:rPr>
            </w:pPr>
          </w:p>
        </w:tc>
      </w:tr>
      <w:tr w:rsidR="00F3023C" w:rsidRPr="00083F65" w:rsidTr="00F3023C">
        <w:trPr>
          <w:trHeight w:val="300"/>
        </w:trPr>
        <w:tc>
          <w:tcPr>
            <w:tcW w:w="2416" w:type="pct"/>
            <w:tcBorders>
              <w:top w:val="nil"/>
              <w:left w:val="single" w:sz="4" w:space="0" w:color="auto"/>
              <w:bottom w:val="single" w:sz="4" w:space="0" w:color="auto"/>
              <w:right w:val="single" w:sz="4" w:space="0" w:color="auto"/>
            </w:tcBorders>
            <w:shd w:val="clear" w:color="auto" w:fill="auto"/>
            <w:noWrap/>
            <w:vAlign w:val="center"/>
            <w:hideMark/>
          </w:tcPr>
          <w:p w:rsidR="00F3023C" w:rsidRPr="00083F65" w:rsidRDefault="00F3023C" w:rsidP="000D5CA4">
            <w:pPr>
              <w:jc w:val="both"/>
              <w:rPr>
                <w:b/>
                <w:i/>
                <w:sz w:val="28"/>
              </w:rPr>
            </w:pPr>
            <w:r w:rsidRPr="00083F65">
              <w:rPr>
                <w:b/>
                <w:i/>
                <w:sz w:val="28"/>
              </w:rPr>
              <w:t>ENPV (2011.g. cenās)</w:t>
            </w:r>
          </w:p>
          <w:p w:rsidR="00F3023C" w:rsidRPr="00083F65" w:rsidRDefault="00F3023C" w:rsidP="000D5CA4">
            <w:pPr>
              <w:jc w:val="both"/>
              <w:rPr>
                <w:b/>
                <w:i/>
                <w:sz w:val="28"/>
              </w:rPr>
            </w:pPr>
            <w:r w:rsidRPr="00083F65">
              <w:rPr>
                <w:b/>
                <w:i/>
                <w:sz w:val="28"/>
              </w:rPr>
              <w:t>(Tīrā tagadnes vērtība)</w:t>
            </w:r>
          </w:p>
        </w:tc>
        <w:tc>
          <w:tcPr>
            <w:tcW w:w="892"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milj. LVL</w:t>
            </w:r>
          </w:p>
        </w:tc>
        <w:tc>
          <w:tcPr>
            <w:tcW w:w="403"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0</w:t>
            </w:r>
          </w:p>
        </w:tc>
        <w:tc>
          <w:tcPr>
            <w:tcW w:w="403"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1.59</w:t>
            </w:r>
          </w:p>
        </w:tc>
        <w:tc>
          <w:tcPr>
            <w:tcW w:w="483"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10.10</w:t>
            </w:r>
          </w:p>
        </w:tc>
        <w:tc>
          <w:tcPr>
            <w:tcW w:w="403"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0.44</w:t>
            </w:r>
          </w:p>
        </w:tc>
      </w:tr>
      <w:tr w:rsidR="00F3023C" w:rsidRPr="00083F65" w:rsidTr="00F3023C">
        <w:trPr>
          <w:trHeight w:val="300"/>
        </w:trPr>
        <w:tc>
          <w:tcPr>
            <w:tcW w:w="2416" w:type="pct"/>
            <w:tcBorders>
              <w:top w:val="nil"/>
              <w:left w:val="single" w:sz="4" w:space="0" w:color="auto"/>
              <w:bottom w:val="single" w:sz="4" w:space="0" w:color="auto"/>
              <w:right w:val="single" w:sz="4" w:space="0" w:color="auto"/>
            </w:tcBorders>
            <w:shd w:val="clear" w:color="auto" w:fill="auto"/>
            <w:noWrap/>
            <w:vAlign w:val="center"/>
            <w:hideMark/>
          </w:tcPr>
          <w:p w:rsidR="00F3023C" w:rsidRPr="00083F65" w:rsidRDefault="00F3023C" w:rsidP="000D5CA4">
            <w:pPr>
              <w:jc w:val="both"/>
              <w:rPr>
                <w:b/>
                <w:i/>
                <w:sz w:val="28"/>
              </w:rPr>
            </w:pPr>
            <w:r w:rsidRPr="00083F65">
              <w:rPr>
                <w:b/>
                <w:i/>
                <w:sz w:val="28"/>
              </w:rPr>
              <w:t>EIRR</w:t>
            </w:r>
          </w:p>
          <w:p w:rsidR="00F3023C" w:rsidRPr="00083F65" w:rsidRDefault="00F3023C" w:rsidP="000D5CA4">
            <w:pPr>
              <w:jc w:val="both"/>
              <w:rPr>
                <w:b/>
                <w:i/>
                <w:sz w:val="28"/>
              </w:rPr>
            </w:pPr>
            <w:r w:rsidRPr="00083F65">
              <w:rPr>
                <w:b/>
                <w:i/>
                <w:sz w:val="28"/>
              </w:rPr>
              <w:t>(Iekšējā atdeves likme)</w:t>
            </w:r>
          </w:p>
        </w:tc>
        <w:tc>
          <w:tcPr>
            <w:tcW w:w="892"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w:t>
            </w:r>
          </w:p>
        </w:tc>
        <w:tc>
          <w:tcPr>
            <w:tcW w:w="403"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n/a</w:t>
            </w:r>
          </w:p>
        </w:tc>
        <w:tc>
          <w:tcPr>
            <w:tcW w:w="403"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39%</w:t>
            </w:r>
          </w:p>
        </w:tc>
        <w:tc>
          <w:tcPr>
            <w:tcW w:w="483"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55%</w:t>
            </w:r>
          </w:p>
        </w:tc>
        <w:tc>
          <w:tcPr>
            <w:tcW w:w="403"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33%</w:t>
            </w:r>
          </w:p>
        </w:tc>
      </w:tr>
      <w:tr w:rsidR="00F3023C" w:rsidRPr="00083F65" w:rsidTr="00F3023C">
        <w:trPr>
          <w:trHeight w:val="300"/>
        </w:trPr>
        <w:tc>
          <w:tcPr>
            <w:tcW w:w="2416" w:type="pct"/>
            <w:tcBorders>
              <w:top w:val="nil"/>
              <w:left w:val="single" w:sz="4" w:space="0" w:color="auto"/>
              <w:bottom w:val="single" w:sz="4" w:space="0" w:color="auto"/>
              <w:right w:val="single" w:sz="4" w:space="0" w:color="auto"/>
            </w:tcBorders>
            <w:shd w:val="clear" w:color="auto" w:fill="auto"/>
            <w:noWrap/>
            <w:vAlign w:val="center"/>
            <w:hideMark/>
          </w:tcPr>
          <w:p w:rsidR="00F3023C" w:rsidRPr="00083F65" w:rsidRDefault="00F3023C" w:rsidP="000D5CA4">
            <w:pPr>
              <w:jc w:val="both"/>
              <w:rPr>
                <w:b/>
                <w:i/>
                <w:sz w:val="28"/>
              </w:rPr>
            </w:pPr>
            <w:r w:rsidRPr="00083F65">
              <w:rPr>
                <w:b/>
                <w:i/>
                <w:sz w:val="28"/>
              </w:rPr>
              <w:t>B/C koeficients</w:t>
            </w:r>
          </w:p>
          <w:p w:rsidR="00F3023C" w:rsidRPr="00083F65" w:rsidRDefault="00F3023C" w:rsidP="000D5CA4">
            <w:pPr>
              <w:jc w:val="both"/>
              <w:rPr>
                <w:b/>
                <w:i/>
                <w:sz w:val="28"/>
              </w:rPr>
            </w:pPr>
            <w:r w:rsidRPr="00083F65">
              <w:rPr>
                <w:b/>
                <w:i/>
                <w:sz w:val="28"/>
              </w:rPr>
              <w:t>(Ieguvumu izdevumu attiecība)</w:t>
            </w:r>
          </w:p>
        </w:tc>
        <w:tc>
          <w:tcPr>
            <w:tcW w:w="892"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reizes</w:t>
            </w:r>
          </w:p>
        </w:tc>
        <w:tc>
          <w:tcPr>
            <w:tcW w:w="403"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n/a</w:t>
            </w:r>
          </w:p>
        </w:tc>
        <w:tc>
          <w:tcPr>
            <w:tcW w:w="403"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1.24</w:t>
            </w:r>
          </w:p>
        </w:tc>
        <w:tc>
          <w:tcPr>
            <w:tcW w:w="483"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1.46</w:t>
            </w:r>
          </w:p>
        </w:tc>
        <w:tc>
          <w:tcPr>
            <w:tcW w:w="403" w:type="pct"/>
            <w:tcBorders>
              <w:top w:val="nil"/>
              <w:left w:val="nil"/>
              <w:bottom w:val="single" w:sz="4" w:space="0" w:color="auto"/>
              <w:right w:val="single" w:sz="4" w:space="0" w:color="auto"/>
            </w:tcBorders>
            <w:shd w:val="clear" w:color="auto" w:fill="auto"/>
            <w:noWrap/>
            <w:vAlign w:val="center"/>
            <w:hideMark/>
          </w:tcPr>
          <w:p w:rsidR="00F3023C" w:rsidRPr="00083F65" w:rsidRDefault="00F3023C" w:rsidP="000D5CA4">
            <w:pPr>
              <w:jc w:val="both"/>
              <w:rPr>
                <w:sz w:val="28"/>
              </w:rPr>
            </w:pPr>
            <w:r w:rsidRPr="00083F65">
              <w:rPr>
                <w:sz w:val="28"/>
              </w:rPr>
              <w:t>1.12</w:t>
            </w:r>
          </w:p>
        </w:tc>
      </w:tr>
    </w:tbl>
    <w:p w:rsidR="00F3023C" w:rsidRPr="00083F65" w:rsidRDefault="00F3023C" w:rsidP="00F3023C">
      <w:pPr>
        <w:jc w:val="both"/>
        <w:rPr>
          <w:sz w:val="28"/>
        </w:rPr>
      </w:pPr>
    </w:p>
    <w:p w:rsidR="00F3023C" w:rsidRPr="00083F65" w:rsidRDefault="00F3023C" w:rsidP="00F3023C">
      <w:pPr>
        <w:ind w:firstLine="660"/>
        <w:jc w:val="both"/>
        <w:rPr>
          <w:sz w:val="28"/>
        </w:rPr>
      </w:pPr>
      <w:r w:rsidRPr="00083F65">
        <w:rPr>
          <w:sz w:val="28"/>
        </w:rPr>
        <w:t xml:space="preserve">Balstoties uz veikto jūtīguma un risku analīzi, būtiskākie faktori, kas varētu apdraudēt ieguvumu prognožu piepildīšanos, ir Latvijas kosmosa nozares spēja pilnā apmērā apgūt Latvijai pieejamo naudu, kā arī spēja tālāk ārpus EKA kontraktiem </w:t>
      </w:r>
      <w:proofErr w:type="spellStart"/>
      <w:r w:rsidRPr="00083F65">
        <w:rPr>
          <w:sz w:val="28"/>
        </w:rPr>
        <w:t>komercializēt</w:t>
      </w:r>
      <w:proofErr w:type="spellEnd"/>
      <w:r w:rsidRPr="00083F65">
        <w:rPr>
          <w:sz w:val="28"/>
        </w:rPr>
        <w:t xml:space="preserve"> iegūtās zināšanas, </w:t>
      </w:r>
      <w:proofErr w:type="spellStart"/>
      <w:r w:rsidRPr="00083F65">
        <w:rPr>
          <w:i/>
          <w:sz w:val="28"/>
        </w:rPr>
        <w:t>know-how</w:t>
      </w:r>
      <w:r w:rsidRPr="00083F65">
        <w:rPr>
          <w:sz w:val="28"/>
        </w:rPr>
        <w:t>,</w:t>
      </w:r>
      <w:proofErr w:type="spellEnd"/>
      <w:r w:rsidRPr="00083F65">
        <w:rPr>
          <w:sz w:val="28"/>
        </w:rPr>
        <w:t xml:space="preserve"> pieredzi un kontaktus.</w:t>
      </w:r>
    </w:p>
    <w:p w:rsidR="00F3023C" w:rsidRDefault="00F3023C" w:rsidP="00F3023C">
      <w:pPr>
        <w:pStyle w:val="Heading2"/>
      </w:pPr>
      <w:r>
        <w:t>Rezultāti, s</w:t>
      </w:r>
      <w:r w:rsidRPr="0028244C">
        <w:t>ecin</w:t>
      </w:r>
      <w:r>
        <w:t>ājumi</w:t>
      </w:r>
      <w:r w:rsidRPr="0028244C">
        <w:t xml:space="preserve"> un rekomend</w:t>
      </w:r>
      <w:r>
        <w:t>ācijas</w:t>
      </w:r>
    </w:p>
    <w:p w:rsidR="00F3023C" w:rsidRDefault="00F3023C" w:rsidP="00F3023C">
      <w:pPr>
        <w:pStyle w:val="Heading3"/>
      </w:pPr>
      <w:r>
        <w:t>Rezultātu kopsavilkums</w:t>
      </w:r>
    </w:p>
    <w:p w:rsidR="00F3023C" w:rsidRPr="000263A0" w:rsidRDefault="00F3023C" w:rsidP="00F3023C">
      <w:pPr>
        <w:pStyle w:val="Numeretslists"/>
        <w:numPr>
          <w:ilvl w:val="0"/>
          <w:numId w:val="3"/>
        </w:numPr>
        <w:rPr>
          <w:sz w:val="28"/>
          <w:szCs w:val="28"/>
        </w:rPr>
      </w:pPr>
      <w:r w:rsidRPr="00AF1D1C">
        <w:rPr>
          <w:sz w:val="28"/>
          <w:szCs w:val="28"/>
        </w:rPr>
        <w:t xml:space="preserve">Bāzes alternatīvā, ja Latvija izlemj neuzsākt sadarbību ar EKA, Latvijas kosmosa nozare 15 gadu laikā varētu aptuveni dubultot </w:t>
      </w:r>
      <w:r w:rsidRPr="00AF1D1C">
        <w:rPr>
          <w:sz w:val="28"/>
          <w:szCs w:val="28"/>
        </w:rPr>
        <w:lastRenderedPageBreak/>
        <w:t>savu atgrozījumu no nepilniem 2 milj. latu 2013.g. uz nepilniem 4 milj. latu 2027.g (izteiktu 2011.g. salīdzināmās cenās), vidēji gadā nodarbinot ap 107 pilna laika darbiniekiem. Ikgadējais pienesums tautsaimniecībai, t.i. IKP lēšams ap 1 milj. latu 2013.g. un ap 2 milj. latu 2027.g</w:t>
      </w:r>
      <w:r>
        <w:rPr>
          <w:sz w:val="28"/>
          <w:szCs w:val="28"/>
        </w:rPr>
        <w:t xml:space="preserve">adā. </w:t>
      </w:r>
    </w:p>
    <w:p w:rsidR="00F3023C" w:rsidRPr="00AF1D1C" w:rsidRDefault="00F3023C" w:rsidP="00F3023C">
      <w:pPr>
        <w:pStyle w:val="Numeretslists"/>
        <w:numPr>
          <w:ilvl w:val="0"/>
          <w:numId w:val="3"/>
        </w:numPr>
        <w:rPr>
          <w:sz w:val="28"/>
          <w:szCs w:val="28"/>
        </w:rPr>
      </w:pPr>
      <w:r w:rsidRPr="00AF1D1C">
        <w:rPr>
          <w:sz w:val="28"/>
          <w:szCs w:val="28"/>
        </w:rPr>
        <w:t>Ja Latvija uzsāk sadarbību ar EKA, tad atkarībā no izvēlēta scenārija, sadarbības perioda laikā vidēji gadā papildus apgrozījums kosmosa nozarē varētu sasniegt nepilnus 2 milj. līdz pat 7.5 miljoniem latu, papildus nodrošinātā nodarbinātība aptuveni no 70 līdz 270 pilna laika darba vietām, savukārt papildus radītā iekšzemes kopprodukta vērtība no 1 līdz 4 miljoniem latu vidēji gadā.</w:t>
      </w:r>
    </w:p>
    <w:p w:rsidR="00F3023C" w:rsidRPr="00AF1D1C" w:rsidRDefault="00F3023C" w:rsidP="00F3023C">
      <w:pPr>
        <w:pStyle w:val="Numeretslists"/>
        <w:numPr>
          <w:ilvl w:val="0"/>
          <w:numId w:val="3"/>
        </w:numPr>
        <w:rPr>
          <w:sz w:val="28"/>
          <w:szCs w:val="28"/>
        </w:rPr>
      </w:pPr>
      <w:r w:rsidRPr="00AF1D1C">
        <w:rPr>
          <w:sz w:val="28"/>
          <w:szCs w:val="28"/>
        </w:rPr>
        <w:t>Neskatoties uz konservatīvo pieņēmumu bāzi un ievaddatu vērtībām, visi trīs Sadarbības alternatīvas scenāriji uzrāda pozitīvus investīcijas atdeves rādītājus, kur katrs ieguldītais lats sniedz ieguvumus vairāk kā viena lata apmērā (B/C koeficients &gt; 1). Sarindojot trīs sadarbības rezultātus secībā pēc investīciju ekonomiskās atdeves rezultātiem, redzams, ka visaugstāko prognozēto atdevi sniedz Scenārijs 2, kur Latvija pēc pirmās piecgades Eiropas sadarbības valsts statusā kļūst par pilntiesīgu dalībvalsti otrajā piecgadē, šajā scenārijā, katrs EKA ieguldītais lats varētu sniegt ieguvums aptuveni pusotra lata apmērā. Kā otrs labākais vērtējams Scenārijs 1, kur Latvija darbojas sadarbības valsts statusā divas secīgas piecgades, šajā scenārijā atgūstot ap 1.2 latiem no katra ieguldītā. Savukārt, kā trešais ierindojams Scenārijs 3, kur Latvija sadarbojas ar EKA tikai pirmo piecgadi, šajā gadījumā katrs ieguldītais lats sniedz atdevi ap 1.1 lata apmērā.</w:t>
      </w:r>
    </w:p>
    <w:p w:rsidR="00F3023C" w:rsidRPr="00AF1D1C" w:rsidRDefault="00F3023C" w:rsidP="00F3023C">
      <w:pPr>
        <w:pStyle w:val="Heading3"/>
      </w:pPr>
      <w:r w:rsidRPr="00AF1D1C">
        <w:t>Secinājumi</w:t>
      </w:r>
    </w:p>
    <w:p w:rsidR="00F3023C" w:rsidRPr="00AF1D1C" w:rsidRDefault="00F3023C" w:rsidP="00F3023C">
      <w:pPr>
        <w:pStyle w:val="Numeretslists"/>
        <w:numPr>
          <w:ilvl w:val="0"/>
          <w:numId w:val="4"/>
        </w:numPr>
        <w:rPr>
          <w:sz w:val="28"/>
          <w:szCs w:val="28"/>
        </w:rPr>
      </w:pPr>
      <w:r w:rsidRPr="00AF1D1C">
        <w:rPr>
          <w:sz w:val="28"/>
          <w:szCs w:val="28"/>
        </w:rPr>
        <w:t>Ņemot vērā prognozētos papildus ieguvumus visos Sadarbības alternatīvas scenārijos, Latvijai ir izdevīgi uzsākt sadarbību ar EKA</w:t>
      </w:r>
    </w:p>
    <w:p w:rsidR="00F3023C" w:rsidRPr="00AF1D1C" w:rsidRDefault="00F3023C" w:rsidP="00F3023C">
      <w:pPr>
        <w:pStyle w:val="Numeretslists"/>
        <w:numPr>
          <w:ilvl w:val="0"/>
          <w:numId w:val="4"/>
        </w:numPr>
        <w:rPr>
          <w:sz w:val="28"/>
          <w:szCs w:val="28"/>
        </w:rPr>
      </w:pPr>
      <w:r w:rsidRPr="00AF1D1C">
        <w:rPr>
          <w:sz w:val="28"/>
          <w:szCs w:val="28"/>
        </w:rPr>
        <w:t xml:space="preserve">Balstoties uz veikto jūtīguma un risku analīzi, būtiskākie faktori, kas varētu apdraudēt ieguvumu prognožu pieplīšanos, ir Latvijas kosmosa nozares spēja pilnā apmērā apgūt Latvijai pieejamo naudu, kā arī spēja tālāk ārpus EKA kontraktiem </w:t>
      </w:r>
      <w:proofErr w:type="spellStart"/>
      <w:r w:rsidRPr="00AF1D1C">
        <w:rPr>
          <w:sz w:val="28"/>
          <w:szCs w:val="28"/>
        </w:rPr>
        <w:t>komercializēt</w:t>
      </w:r>
      <w:proofErr w:type="spellEnd"/>
      <w:r w:rsidRPr="00AF1D1C">
        <w:rPr>
          <w:sz w:val="28"/>
          <w:szCs w:val="28"/>
        </w:rPr>
        <w:t xml:space="preserve"> </w:t>
      </w:r>
      <w:r w:rsidRPr="00AF1D1C">
        <w:rPr>
          <w:sz w:val="28"/>
          <w:szCs w:val="28"/>
        </w:rPr>
        <w:lastRenderedPageBreak/>
        <w:t xml:space="preserve">iegūtās zināšanas, </w:t>
      </w:r>
      <w:proofErr w:type="spellStart"/>
      <w:r w:rsidRPr="00AF1D1C">
        <w:rPr>
          <w:i/>
          <w:sz w:val="28"/>
          <w:szCs w:val="28"/>
        </w:rPr>
        <w:t>know-how</w:t>
      </w:r>
      <w:r w:rsidRPr="00AF1D1C">
        <w:rPr>
          <w:sz w:val="28"/>
          <w:szCs w:val="28"/>
        </w:rPr>
        <w:t>,</w:t>
      </w:r>
      <w:proofErr w:type="spellEnd"/>
      <w:r w:rsidRPr="00AF1D1C">
        <w:rPr>
          <w:sz w:val="28"/>
          <w:szCs w:val="28"/>
        </w:rPr>
        <w:t xml:space="preserve"> pieredzi un kontaktus (EKA apgrozījuma multiplikatora patiesais apmērs).</w:t>
      </w:r>
    </w:p>
    <w:p w:rsidR="00F3023C" w:rsidRPr="00AF1D1C" w:rsidRDefault="00F3023C" w:rsidP="00F3023C">
      <w:pPr>
        <w:pStyle w:val="Heading3"/>
      </w:pPr>
      <w:r w:rsidRPr="00AF1D1C">
        <w:t>Rekomendācijas</w:t>
      </w:r>
    </w:p>
    <w:p w:rsidR="00F3023C" w:rsidRPr="00AF1D1C" w:rsidRDefault="00F3023C" w:rsidP="00F3023C">
      <w:pPr>
        <w:pStyle w:val="Numeretslists"/>
        <w:numPr>
          <w:ilvl w:val="0"/>
          <w:numId w:val="5"/>
        </w:numPr>
        <w:rPr>
          <w:sz w:val="28"/>
          <w:szCs w:val="28"/>
        </w:rPr>
      </w:pPr>
      <w:r w:rsidRPr="00AF1D1C">
        <w:rPr>
          <w:sz w:val="28"/>
          <w:szCs w:val="28"/>
        </w:rPr>
        <w:t>Parakstīt EKA Eiropas Sadarbības valsts līgumu 2011.gada laikā, lai 2012.gadā varētu saskaņot iespējamo PECS projektu sarakstu un parakstīt PECS Hartu ar EKA, kas ļautu uzsākt PECS projektu ieviešanu 2013.gadā</w:t>
      </w:r>
    </w:p>
    <w:p w:rsidR="00F3023C" w:rsidRPr="00AF1D1C" w:rsidRDefault="00F3023C" w:rsidP="00F3023C">
      <w:pPr>
        <w:pStyle w:val="Numeretslists"/>
        <w:numPr>
          <w:ilvl w:val="0"/>
          <w:numId w:val="5"/>
        </w:numPr>
        <w:rPr>
          <w:sz w:val="28"/>
          <w:szCs w:val="28"/>
        </w:rPr>
      </w:pPr>
      <w:r w:rsidRPr="00AF1D1C">
        <w:rPr>
          <w:sz w:val="28"/>
          <w:szCs w:val="28"/>
        </w:rPr>
        <w:t xml:space="preserve">Sākotnēji slēgt </w:t>
      </w:r>
      <w:r>
        <w:rPr>
          <w:sz w:val="28"/>
          <w:szCs w:val="28"/>
        </w:rPr>
        <w:t xml:space="preserve">Eiropas </w:t>
      </w:r>
      <w:r w:rsidRPr="00AF1D1C">
        <w:rPr>
          <w:sz w:val="28"/>
          <w:szCs w:val="28"/>
        </w:rPr>
        <w:t xml:space="preserve">sadarbības valsts līgumu </w:t>
      </w:r>
      <w:r>
        <w:rPr>
          <w:sz w:val="28"/>
          <w:szCs w:val="28"/>
        </w:rPr>
        <w:t xml:space="preserve"> ar EKA </w:t>
      </w:r>
      <w:r w:rsidRPr="00AF1D1C">
        <w:rPr>
          <w:sz w:val="28"/>
          <w:szCs w:val="28"/>
        </w:rPr>
        <w:t xml:space="preserve">un PECS Hartu uz 5 gadu periodu (2013-2017), un piecgades noslēgumā veikt kvantitatīvu uz faktiskajiem nozares datiem balstītu </w:t>
      </w:r>
      <w:proofErr w:type="spellStart"/>
      <w:r w:rsidRPr="00AF1D1C">
        <w:rPr>
          <w:i/>
          <w:sz w:val="28"/>
          <w:szCs w:val="28"/>
        </w:rPr>
        <w:t>ex-post</w:t>
      </w:r>
      <w:proofErr w:type="spellEnd"/>
      <w:r w:rsidRPr="00AF1D1C">
        <w:rPr>
          <w:sz w:val="28"/>
          <w:szCs w:val="28"/>
        </w:rPr>
        <w:t xml:space="preserve"> ieguvumu-izdevumu analīzi sadarbībai ar EKA, līdzīgi, kā tas, piemēram, tiek darīts Kanādā katra sadarbības perioda noslēgumā, pirms tiek pieņemts lēmums par turpmāko sadarbību ar EKA. Veicot šādu izvērtējumu pēc pirmās piecgades, Latvija varētu izvairīties no riska, ka patiesie ieguvumi nozarei ārpus EKA kontraktiem ir mazāki nekā cerēts, kā arī, ka EKA kontraktu nauda netiek apgūta plānotā apmērā.</w:t>
      </w:r>
    </w:p>
    <w:p w:rsidR="00F3023C" w:rsidRPr="00AF1D1C" w:rsidRDefault="00F3023C" w:rsidP="00F3023C">
      <w:pPr>
        <w:pStyle w:val="Numeretslists"/>
        <w:numPr>
          <w:ilvl w:val="0"/>
          <w:numId w:val="5"/>
        </w:numPr>
        <w:ind w:left="714" w:hanging="357"/>
        <w:rPr>
          <w:sz w:val="28"/>
          <w:szCs w:val="28"/>
        </w:rPr>
      </w:pPr>
      <w:r w:rsidRPr="00AF1D1C">
        <w:rPr>
          <w:sz w:val="28"/>
          <w:szCs w:val="28"/>
        </w:rPr>
        <w:t xml:space="preserve">Veikt turpmāku ciešu pieredzes apmaiņu ar Igaunijas EKA </w:t>
      </w:r>
      <w:proofErr w:type="spellStart"/>
      <w:r w:rsidRPr="00AF1D1C">
        <w:rPr>
          <w:sz w:val="28"/>
          <w:szCs w:val="28"/>
        </w:rPr>
        <w:t>kontaktpunktu</w:t>
      </w:r>
      <w:proofErr w:type="spellEnd"/>
      <w:r w:rsidRPr="00AF1D1C">
        <w:rPr>
          <w:sz w:val="28"/>
          <w:szCs w:val="28"/>
        </w:rPr>
        <w:t xml:space="preserve"> iekš </w:t>
      </w:r>
      <w:proofErr w:type="spellStart"/>
      <w:r w:rsidRPr="00AF1D1C">
        <w:rPr>
          <w:i/>
          <w:sz w:val="28"/>
          <w:szCs w:val="28"/>
        </w:rPr>
        <w:t>Enterprise</w:t>
      </w:r>
      <w:proofErr w:type="spellEnd"/>
      <w:r w:rsidRPr="00AF1D1C">
        <w:rPr>
          <w:i/>
          <w:sz w:val="28"/>
          <w:szCs w:val="28"/>
        </w:rPr>
        <w:t xml:space="preserve"> </w:t>
      </w:r>
      <w:proofErr w:type="spellStart"/>
      <w:r w:rsidRPr="00AF1D1C">
        <w:rPr>
          <w:i/>
          <w:sz w:val="28"/>
          <w:szCs w:val="28"/>
        </w:rPr>
        <w:t>Estonia</w:t>
      </w:r>
      <w:proofErr w:type="spellEnd"/>
      <w:r w:rsidRPr="00AF1D1C">
        <w:rPr>
          <w:sz w:val="28"/>
          <w:szCs w:val="28"/>
        </w:rPr>
        <w:t>, kas ir 2 gadus priekšā Latvijai sadarbībā ar EKA. Pieredzes apmaiņu sākt jau gatavojoties sadarbības valsts līguma noslēgšanai un turpināt, izstrādājot PECS projektu sarakstu un Hartu, jo Igaunija var dalīties pieredzē gan par to, kā labāk pārstāvēt savas valsts finansiālās interese pārrunās ar EKA, gan, kā veidot PECS projektu sarakstu un uzsākt to ieviešanu.</w:t>
      </w:r>
    </w:p>
    <w:p w:rsidR="00F3023C" w:rsidRDefault="00F3023C" w:rsidP="00F3023C">
      <w:pPr>
        <w:pStyle w:val="Numeretslists"/>
        <w:numPr>
          <w:ilvl w:val="0"/>
          <w:numId w:val="5"/>
        </w:numPr>
        <w:ind w:left="714" w:hanging="357"/>
        <w:rPr>
          <w:sz w:val="28"/>
          <w:szCs w:val="28"/>
        </w:rPr>
      </w:pPr>
      <w:r>
        <w:rPr>
          <w:sz w:val="28"/>
          <w:szCs w:val="28"/>
        </w:rPr>
        <w:t>Izstrādāt</w:t>
      </w:r>
      <w:r w:rsidRPr="00AF1D1C">
        <w:rPr>
          <w:sz w:val="28"/>
          <w:szCs w:val="28"/>
        </w:rPr>
        <w:t xml:space="preserve"> </w:t>
      </w:r>
      <w:r w:rsidRPr="003B6DE0">
        <w:rPr>
          <w:rFonts w:eastAsia="Times New Roman"/>
          <w:sz w:val="28"/>
        </w:rPr>
        <w:t>Nacionālās kosmosa nozares attīstības</w:t>
      </w:r>
      <w:r>
        <w:rPr>
          <w:rFonts w:eastAsia="Times New Roman"/>
          <w:sz w:val="28"/>
        </w:rPr>
        <w:t xml:space="preserve"> pamatnostādņu 2012.-2017.gadam</w:t>
      </w:r>
      <w:r w:rsidRPr="00AF1D1C">
        <w:rPr>
          <w:sz w:val="28"/>
          <w:szCs w:val="28"/>
        </w:rPr>
        <w:t xml:space="preserve">, kurā būtu nosprausti Latvijai prioritārie kosmosa tehnoloģiju virzieni, un uz šī fokusa pamata arī tālāk veidot PECS projektu un turpmāko finansiālo ieguldījumu EKA (piem. Igaunijas noteikusi, ka valstij nav lietderīgi finansēt nekāda veida aktivitātes, kas saistās ar cilvēka lidojumu kosmosā atstājot to lielvalstu ziņā, toties Igaunija fokusēsies uz </w:t>
      </w:r>
      <w:proofErr w:type="spellStart"/>
      <w:r w:rsidRPr="00AF1D1C">
        <w:rPr>
          <w:i/>
          <w:sz w:val="28"/>
          <w:szCs w:val="28"/>
        </w:rPr>
        <w:t>Earth</w:t>
      </w:r>
      <w:proofErr w:type="spellEnd"/>
      <w:r w:rsidRPr="00AF1D1C">
        <w:rPr>
          <w:i/>
          <w:sz w:val="28"/>
          <w:szCs w:val="28"/>
        </w:rPr>
        <w:t xml:space="preserve"> </w:t>
      </w:r>
      <w:proofErr w:type="spellStart"/>
      <w:r w:rsidRPr="00AF1D1C">
        <w:rPr>
          <w:i/>
          <w:sz w:val="28"/>
          <w:szCs w:val="28"/>
        </w:rPr>
        <w:t>Observation</w:t>
      </w:r>
      <w:proofErr w:type="spellEnd"/>
      <w:r w:rsidRPr="00AF1D1C">
        <w:rPr>
          <w:sz w:val="28"/>
          <w:szCs w:val="28"/>
        </w:rPr>
        <w:t xml:space="preserve">, satelītu komunikācijām, navigāciju pozicionēšanu, kā arī kosmosa zinātni, kas </w:t>
      </w:r>
      <w:proofErr w:type="spellStart"/>
      <w:r w:rsidRPr="00AF1D1C">
        <w:rPr>
          <w:sz w:val="28"/>
          <w:szCs w:val="28"/>
        </w:rPr>
        <w:t>sinerģē</w:t>
      </w:r>
      <w:proofErr w:type="spellEnd"/>
      <w:r w:rsidRPr="00AF1D1C">
        <w:rPr>
          <w:sz w:val="28"/>
          <w:szCs w:val="28"/>
        </w:rPr>
        <w:t xml:space="preserve">, piemēram, ar Igaunijas spēcīgo IT sektoru un </w:t>
      </w:r>
      <w:proofErr w:type="spellStart"/>
      <w:r w:rsidRPr="00AF1D1C">
        <w:rPr>
          <w:sz w:val="28"/>
          <w:szCs w:val="28"/>
        </w:rPr>
        <w:t>Tartu</w:t>
      </w:r>
      <w:proofErr w:type="spellEnd"/>
      <w:r w:rsidRPr="00AF1D1C">
        <w:rPr>
          <w:sz w:val="28"/>
          <w:szCs w:val="28"/>
        </w:rPr>
        <w:t xml:space="preserve"> universitātes zinātniskajām iestrādnēm).</w:t>
      </w:r>
    </w:p>
    <w:p w:rsidR="00F3023C" w:rsidRPr="00320F38" w:rsidRDefault="00F3023C" w:rsidP="00F3023C">
      <w:pPr>
        <w:pStyle w:val="Numeretslists"/>
        <w:numPr>
          <w:ilvl w:val="0"/>
          <w:numId w:val="5"/>
        </w:numPr>
        <w:ind w:left="714" w:hanging="357"/>
        <w:rPr>
          <w:sz w:val="28"/>
          <w:szCs w:val="28"/>
        </w:rPr>
      </w:pPr>
      <w:r w:rsidRPr="00320F38">
        <w:rPr>
          <w:sz w:val="28"/>
        </w:rPr>
        <w:lastRenderedPageBreak/>
        <w:t xml:space="preserve">Ņemot vērā, ka Latvijas Republikas vēsturē līdz šim nav īstenota kosmosa politika ir nepieciešams atbildīgās ministrijas funkcijas papildināt ar kosmosa politikas veidošanas funkciju, kā arī nodrošināt šīs funkcijas administratīvo bāzi un nepieciešamās apmācības. </w:t>
      </w:r>
    </w:p>
    <w:p w:rsidR="00F3023C" w:rsidRPr="00320F38" w:rsidRDefault="00F3023C" w:rsidP="00F3023C">
      <w:pPr>
        <w:pStyle w:val="Numeretslists"/>
        <w:numPr>
          <w:ilvl w:val="0"/>
          <w:numId w:val="5"/>
        </w:numPr>
        <w:ind w:left="714" w:hanging="357"/>
        <w:rPr>
          <w:sz w:val="28"/>
          <w:szCs w:val="28"/>
        </w:rPr>
      </w:pPr>
      <w:r w:rsidRPr="00320F38">
        <w:rPr>
          <w:sz w:val="28"/>
        </w:rPr>
        <w:t xml:space="preserve">Nozaru ministrijām (t.sk. </w:t>
      </w:r>
      <w:r w:rsidRPr="00320F38">
        <w:rPr>
          <w:rStyle w:val="Hyperlink"/>
          <w:sz w:val="28"/>
        </w:rPr>
        <w:t>Vides aizsardzības un reģionālās attīstības ministriju</w:t>
      </w:r>
      <w:r w:rsidRPr="00320F38">
        <w:rPr>
          <w:sz w:val="28"/>
        </w:rPr>
        <w:t xml:space="preserve"> un Satiksmes ministrijai) sniegt priekšlikumus par kosmosa nozares produktu un pakalpojumu izmantošanu un sadarbības iespējām ar kosmosa nozares dalībniekiem Latvijā.</w:t>
      </w:r>
    </w:p>
    <w:p w:rsidR="00F3023C" w:rsidRPr="00AD327F" w:rsidRDefault="00F3023C" w:rsidP="00F3023C">
      <w:pPr>
        <w:pStyle w:val="Heading2"/>
      </w:pPr>
      <w:r w:rsidRPr="00AD327F">
        <w:t xml:space="preserve">Koncepcijas īstenošanas pasākumu </w:t>
      </w:r>
      <w:smartTag w:uri="schemas-tilde-lv/tildestengine" w:element="veidnes">
        <w:smartTagPr>
          <w:attr w:name="text" w:val="plāns"/>
          <w:attr w:name="baseform" w:val="plāns"/>
          <w:attr w:name="id" w:val="-1"/>
        </w:smartTagPr>
        <w:r w:rsidRPr="00AD327F">
          <w:t>plāns</w:t>
        </w:r>
      </w:smartTag>
      <w:r w:rsidRPr="00AD327F">
        <w:t>, laika grafiks un finansējums</w:t>
      </w:r>
    </w:p>
    <w:tbl>
      <w:tblPr>
        <w:tblW w:w="96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3328"/>
        <w:gridCol w:w="1404"/>
        <w:gridCol w:w="1736"/>
        <w:gridCol w:w="1243"/>
        <w:gridCol w:w="1437"/>
      </w:tblGrid>
      <w:tr w:rsidR="00F3023C" w:rsidRPr="0030718B" w:rsidTr="000D5CA4">
        <w:trPr>
          <w:trHeight w:val="244"/>
        </w:trPr>
        <w:tc>
          <w:tcPr>
            <w:tcW w:w="535" w:type="dxa"/>
          </w:tcPr>
          <w:p w:rsidR="00F3023C" w:rsidRPr="0030718B" w:rsidRDefault="00F3023C" w:rsidP="000D5CA4">
            <w:pPr>
              <w:spacing w:before="120" w:after="120"/>
              <w:jc w:val="center"/>
              <w:rPr>
                <w:b/>
              </w:rPr>
            </w:pPr>
          </w:p>
        </w:tc>
        <w:tc>
          <w:tcPr>
            <w:tcW w:w="3328" w:type="dxa"/>
          </w:tcPr>
          <w:p w:rsidR="00F3023C" w:rsidRPr="0030718B" w:rsidRDefault="00F3023C" w:rsidP="000D5CA4">
            <w:pPr>
              <w:spacing w:before="120" w:after="120"/>
              <w:jc w:val="center"/>
              <w:rPr>
                <w:b/>
              </w:rPr>
            </w:pPr>
            <w:r w:rsidRPr="0030718B">
              <w:rPr>
                <w:b/>
              </w:rPr>
              <w:t>Pasākums</w:t>
            </w:r>
          </w:p>
        </w:tc>
        <w:tc>
          <w:tcPr>
            <w:tcW w:w="1404" w:type="dxa"/>
          </w:tcPr>
          <w:p w:rsidR="00F3023C" w:rsidRPr="0030718B" w:rsidRDefault="00F3023C" w:rsidP="000D5CA4">
            <w:pPr>
              <w:spacing w:before="120" w:after="120"/>
              <w:jc w:val="center"/>
              <w:rPr>
                <w:b/>
              </w:rPr>
            </w:pPr>
            <w:r w:rsidRPr="0030718B">
              <w:rPr>
                <w:b/>
              </w:rPr>
              <w:t>Izpildes termiņš</w:t>
            </w:r>
          </w:p>
        </w:tc>
        <w:tc>
          <w:tcPr>
            <w:tcW w:w="1736" w:type="dxa"/>
          </w:tcPr>
          <w:p w:rsidR="00F3023C" w:rsidRPr="0030718B" w:rsidRDefault="00F3023C" w:rsidP="000D5CA4">
            <w:pPr>
              <w:spacing w:before="120" w:after="120"/>
              <w:jc w:val="center"/>
              <w:rPr>
                <w:b/>
              </w:rPr>
            </w:pPr>
            <w:r>
              <w:rPr>
                <w:b/>
              </w:rPr>
              <w:t>Finansējums</w:t>
            </w:r>
          </w:p>
        </w:tc>
        <w:tc>
          <w:tcPr>
            <w:tcW w:w="1243" w:type="dxa"/>
          </w:tcPr>
          <w:p w:rsidR="00F3023C" w:rsidRPr="0030718B" w:rsidRDefault="00F3023C" w:rsidP="000D5CA4">
            <w:pPr>
              <w:spacing w:before="120" w:after="120"/>
              <w:jc w:val="center"/>
              <w:rPr>
                <w:b/>
              </w:rPr>
            </w:pPr>
            <w:r w:rsidRPr="0030718B">
              <w:rPr>
                <w:b/>
              </w:rPr>
              <w:t>Atbildīgā institūcija</w:t>
            </w:r>
          </w:p>
        </w:tc>
        <w:tc>
          <w:tcPr>
            <w:tcW w:w="1437" w:type="dxa"/>
          </w:tcPr>
          <w:p w:rsidR="00F3023C" w:rsidRPr="0030718B" w:rsidRDefault="00F3023C" w:rsidP="000D5CA4">
            <w:pPr>
              <w:spacing w:before="120" w:after="120"/>
              <w:jc w:val="center"/>
              <w:rPr>
                <w:b/>
              </w:rPr>
            </w:pPr>
            <w:r w:rsidRPr="0030718B">
              <w:rPr>
                <w:b/>
              </w:rPr>
              <w:t>Iesaistītās institūcijas</w:t>
            </w:r>
          </w:p>
        </w:tc>
      </w:tr>
      <w:tr w:rsidR="00F3023C" w:rsidRPr="0030718B" w:rsidTr="000D5CA4">
        <w:trPr>
          <w:trHeight w:val="463"/>
        </w:trPr>
        <w:tc>
          <w:tcPr>
            <w:tcW w:w="535" w:type="dxa"/>
          </w:tcPr>
          <w:p w:rsidR="00F3023C" w:rsidRPr="0030718B" w:rsidRDefault="00F3023C" w:rsidP="000D5CA4">
            <w:pPr>
              <w:spacing w:before="120" w:after="120"/>
            </w:pPr>
            <w:r>
              <w:t>1.</w:t>
            </w:r>
          </w:p>
        </w:tc>
        <w:tc>
          <w:tcPr>
            <w:tcW w:w="3328" w:type="dxa"/>
          </w:tcPr>
          <w:p w:rsidR="00F3023C" w:rsidRPr="0030718B" w:rsidRDefault="00F3023C" w:rsidP="000D5CA4">
            <w:pPr>
              <w:spacing w:before="120" w:after="120"/>
              <w:jc w:val="both"/>
            </w:pPr>
            <w:r>
              <w:t>Izstrādāt Likumprojektu</w:t>
            </w:r>
            <w:r w:rsidRPr="009D7ADB">
              <w:rPr>
                <w:bCs/>
              </w:rPr>
              <w:t xml:space="preserve"> </w:t>
            </w:r>
            <w:r w:rsidRPr="009D7ADB">
              <w:rPr>
                <w:color w:val="000000"/>
                <w:spacing w:val="15"/>
              </w:rPr>
              <w:t>„</w:t>
            </w:r>
            <w:r w:rsidRPr="009D7ADB">
              <w:rPr>
                <w:color w:val="000000"/>
              </w:rPr>
              <w:t xml:space="preserve">Par </w:t>
            </w:r>
            <w:r w:rsidRPr="000212A9">
              <w:t xml:space="preserve">Latvijas Republikas valdības un Eiropas Kosmosa aģentūras </w:t>
            </w:r>
            <w:r>
              <w:t>Eiropas sadarbības valsts līgumu</w:t>
            </w:r>
            <w:r w:rsidRPr="009D7ADB">
              <w:t>”</w:t>
            </w:r>
            <w:r>
              <w:t>.</w:t>
            </w:r>
          </w:p>
        </w:tc>
        <w:tc>
          <w:tcPr>
            <w:tcW w:w="1404" w:type="dxa"/>
          </w:tcPr>
          <w:p w:rsidR="00F3023C" w:rsidRPr="002C3DA7" w:rsidRDefault="00F3023C" w:rsidP="000D5CA4">
            <w:pPr>
              <w:spacing w:before="120" w:after="120"/>
              <w:jc w:val="both"/>
            </w:pPr>
            <w:r w:rsidRPr="002C3DA7">
              <w:t>20</w:t>
            </w:r>
            <w:r>
              <w:t>11</w:t>
            </w:r>
            <w:r w:rsidRPr="002C3DA7">
              <w:t>.</w:t>
            </w:r>
            <w:r>
              <w:t xml:space="preserve"> gada decembris</w:t>
            </w:r>
          </w:p>
        </w:tc>
        <w:tc>
          <w:tcPr>
            <w:tcW w:w="1736" w:type="dxa"/>
          </w:tcPr>
          <w:p w:rsidR="00F3023C" w:rsidRPr="0030718B" w:rsidRDefault="00F47A6F" w:rsidP="000D5CA4">
            <w:pPr>
              <w:spacing w:before="120" w:after="120"/>
              <w:jc w:val="both"/>
            </w:pPr>
            <w:r>
              <w:t xml:space="preserve">884.9 </w:t>
            </w:r>
            <w:r w:rsidR="00F3023C">
              <w:t xml:space="preserve">tūkst katru gadu </w:t>
            </w:r>
            <w:r w:rsidR="00170B5B">
              <w:t>no 2013.gada</w:t>
            </w:r>
          </w:p>
        </w:tc>
        <w:tc>
          <w:tcPr>
            <w:tcW w:w="1243" w:type="dxa"/>
          </w:tcPr>
          <w:p w:rsidR="00F3023C" w:rsidRPr="0030718B" w:rsidRDefault="00F3023C" w:rsidP="000D5CA4">
            <w:pPr>
              <w:spacing w:before="120" w:after="120"/>
              <w:jc w:val="both"/>
            </w:pPr>
            <w:r>
              <w:t>IZM</w:t>
            </w:r>
          </w:p>
        </w:tc>
        <w:tc>
          <w:tcPr>
            <w:tcW w:w="1437" w:type="dxa"/>
          </w:tcPr>
          <w:p w:rsidR="00F3023C" w:rsidRPr="0030718B" w:rsidRDefault="00F3023C" w:rsidP="000D5CA4">
            <w:pPr>
              <w:spacing w:before="120" w:after="120"/>
              <w:jc w:val="both"/>
            </w:pPr>
            <w:r>
              <w:t>Nozaru ministrijas</w:t>
            </w:r>
          </w:p>
        </w:tc>
      </w:tr>
      <w:tr w:rsidR="00F3023C" w:rsidRPr="0030718B" w:rsidTr="000D5CA4">
        <w:trPr>
          <w:trHeight w:val="463"/>
        </w:trPr>
        <w:tc>
          <w:tcPr>
            <w:tcW w:w="535" w:type="dxa"/>
          </w:tcPr>
          <w:p w:rsidR="00F3023C" w:rsidRDefault="00F3023C" w:rsidP="000D5CA4">
            <w:pPr>
              <w:spacing w:before="120" w:after="120"/>
            </w:pPr>
            <w:r>
              <w:t>2</w:t>
            </w:r>
          </w:p>
        </w:tc>
        <w:tc>
          <w:tcPr>
            <w:tcW w:w="3328" w:type="dxa"/>
          </w:tcPr>
          <w:p w:rsidR="00F3023C" w:rsidRPr="00B7660D" w:rsidRDefault="00F3023C" w:rsidP="000D5CA4">
            <w:pPr>
              <w:spacing w:before="120" w:after="120"/>
              <w:jc w:val="both"/>
              <w:rPr>
                <w:szCs w:val="24"/>
              </w:rPr>
            </w:pPr>
            <w:r w:rsidRPr="00B7660D">
              <w:rPr>
                <w:szCs w:val="24"/>
              </w:rPr>
              <w:t xml:space="preserve">Izstrādāt </w:t>
            </w:r>
            <w:r w:rsidRPr="00B7660D">
              <w:rPr>
                <w:rFonts w:eastAsia="Times New Roman"/>
                <w:szCs w:val="24"/>
              </w:rPr>
              <w:t>Nacionālās kosmosa nozares attīstības pamatnostādņu 2012.-2017.gadam</w:t>
            </w:r>
            <w:r>
              <w:rPr>
                <w:rFonts w:eastAsia="Times New Roman"/>
                <w:szCs w:val="24"/>
              </w:rPr>
              <w:t>.</w:t>
            </w:r>
          </w:p>
        </w:tc>
        <w:tc>
          <w:tcPr>
            <w:tcW w:w="1404" w:type="dxa"/>
          </w:tcPr>
          <w:p w:rsidR="00F3023C" w:rsidRPr="002C3DA7" w:rsidRDefault="00F3023C" w:rsidP="000D5CA4">
            <w:pPr>
              <w:spacing w:before="120" w:after="120"/>
              <w:jc w:val="both"/>
            </w:pPr>
            <w:r>
              <w:t xml:space="preserve">2012.gada jūnijs. </w:t>
            </w:r>
          </w:p>
        </w:tc>
        <w:tc>
          <w:tcPr>
            <w:tcW w:w="1736" w:type="dxa"/>
          </w:tcPr>
          <w:p w:rsidR="00F3023C" w:rsidRDefault="00F3023C" w:rsidP="000D5CA4">
            <w:pPr>
              <w:spacing w:before="120" w:after="120"/>
              <w:jc w:val="both"/>
            </w:pPr>
            <w:r>
              <w:t>Esošā finansējuma ietvaros</w:t>
            </w:r>
          </w:p>
        </w:tc>
        <w:tc>
          <w:tcPr>
            <w:tcW w:w="1243" w:type="dxa"/>
          </w:tcPr>
          <w:p w:rsidR="00F3023C" w:rsidRDefault="00F3023C" w:rsidP="000D5CA4">
            <w:pPr>
              <w:spacing w:before="120" w:after="120"/>
              <w:jc w:val="both"/>
            </w:pPr>
            <w:r>
              <w:t xml:space="preserve">IZM </w:t>
            </w:r>
          </w:p>
        </w:tc>
        <w:tc>
          <w:tcPr>
            <w:tcW w:w="1437" w:type="dxa"/>
          </w:tcPr>
          <w:p w:rsidR="00F3023C" w:rsidRDefault="00F3023C" w:rsidP="000D5CA4">
            <w:pPr>
              <w:spacing w:before="120" w:after="120"/>
              <w:jc w:val="both"/>
            </w:pPr>
            <w:r>
              <w:t>Nozaru ministrijas</w:t>
            </w:r>
          </w:p>
        </w:tc>
      </w:tr>
      <w:tr w:rsidR="00F3023C" w:rsidRPr="0030718B" w:rsidDel="00F179D1" w:rsidTr="000D5CA4">
        <w:trPr>
          <w:trHeight w:val="463"/>
        </w:trPr>
        <w:tc>
          <w:tcPr>
            <w:tcW w:w="535" w:type="dxa"/>
          </w:tcPr>
          <w:p w:rsidR="00F3023C" w:rsidRDefault="00F3023C" w:rsidP="000D5CA4">
            <w:pPr>
              <w:spacing w:before="120" w:after="120"/>
            </w:pPr>
            <w:r>
              <w:t>3.</w:t>
            </w:r>
          </w:p>
        </w:tc>
        <w:tc>
          <w:tcPr>
            <w:tcW w:w="3328" w:type="dxa"/>
          </w:tcPr>
          <w:p w:rsidR="00F3023C" w:rsidRDefault="00F3023C" w:rsidP="000D5CA4">
            <w:pPr>
              <w:spacing w:before="120" w:after="120"/>
              <w:jc w:val="both"/>
            </w:pPr>
            <w:r>
              <w:t xml:space="preserve">Veikt grozījumus </w:t>
            </w:r>
            <w:r w:rsidRPr="00A85F25">
              <w:rPr>
                <w:iCs/>
              </w:rPr>
              <w:t>2003.</w:t>
            </w:r>
            <w:r>
              <w:rPr>
                <w:iCs/>
              </w:rPr>
              <w:t>gada 16.septembra</w:t>
            </w:r>
            <w:r w:rsidRPr="00A85F25">
              <w:rPr>
                <w:iCs/>
              </w:rPr>
              <w:t xml:space="preserve"> M</w:t>
            </w:r>
            <w:r>
              <w:rPr>
                <w:iCs/>
              </w:rPr>
              <w:t>inistra kabineta noteikumos</w:t>
            </w:r>
            <w:r w:rsidRPr="00A85F25">
              <w:rPr>
                <w:iCs/>
              </w:rPr>
              <w:t xml:space="preserve"> Nr.528 "Izglītības un zinātnes ministrijas nolikums"</w:t>
            </w:r>
            <w:r>
              <w:rPr>
                <w:iCs/>
              </w:rPr>
              <w:t>, lai paredzētu, ka viena Izglītības un zinātnes ministrijas funkcijām ir izstrādāt, organizēt un koordinēt kosmosa politiku valstī.</w:t>
            </w:r>
          </w:p>
        </w:tc>
        <w:tc>
          <w:tcPr>
            <w:tcW w:w="1404" w:type="dxa"/>
          </w:tcPr>
          <w:p w:rsidR="00F3023C" w:rsidRPr="002C3DA7" w:rsidRDefault="00F3023C" w:rsidP="000D5CA4">
            <w:pPr>
              <w:spacing w:before="120" w:after="120"/>
              <w:jc w:val="both"/>
            </w:pPr>
            <w:r>
              <w:t>2013</w:t>
            </w:r>
            <w:r w:rsidRPr="002C3DA7">
              <w:t>.</w:t>
            </w:r>
            <w:r>
              <w:t xml:space="preserve"> gada janvāris</w:t>
            </w:r>
          </w:p>
        </w:tc>
        <w:tc>
          <w:tcPr>
            <w:tcW w:w="1736" w:type="dxa"/>
          </w:tcPr>
          <w:p w:rsidR="00F3023C" w:rsidRPr="0030718B" w:rsidRDefault="00F3023C" w:rsidP="000D5CA4">
            <w:pPr>
              <w:spacing w:before="120" w:after="120"/>
              <w:jc w:val="both"/>
            </w:pPr>
            <w:r>
              <w:t>Esošā finansējuma ietvaros</w:t>
            </w:r>
          </w:p>
        </w:tc>
        <w:tc>
          <w:tcPr>
            <w:tcW w:w="1243" w:type="dxa"/>
          </w:tcPr>
          <w:p w:rsidR="00F3023C" w:rsidRDefault="00F3023C" w:rsidP="000D5CA4">
            <w:pPr>
              <w:spacing w:before="120" w:after="120"/>
              <w:jc w:val="both"/>
            </w:pPr>
            <w:r>
              <w:t>IZM</w:t>
            </w:r>
          </w:p>
        </w:tc>
        <w:tc>
          <w:tcPr>
            <w:tcW w:w="1437" w:type="dxa"/>
          </w:tcPr>
          <w:p w:rsidR="00F3023C" w:rsidRPr="0030718B" w:rsidDel="00F179D1" w:rsidRDefault="00F3023C" w:rsidP="000D5CA4">
            <w:pPr>
              <w:spacing w:before="120" w:after="120"/>
              <w:jc w:val="both"/>
            </w:pPr>
            <w:r>
              <w:t xml:space="preserve">Nozaru ministrijas </w:t>
            </w:r>
          </w:p>
        </w:tc>
      </w:tr>
      <w:tr w:rsidR="00F3023C" w:rsidTr="000D5CA4">
        <w:trPr>
          <w:trHeight w:val="566"/>
        </w:trPr>
        <w:tc>
          <w:tcPr>
            <w:tcW w:w="535" w:type="dxa"/>
          </w:tcPr>
          <w:p w:rsidR="00F3023C" w:rsidRDefault="00F3023C" w:rsidP="000D5CA4">
            <w:pPr>
              <w:spacing w:before="120" w:after="120"/>
            </w:pPr>
            <w:r>
              <w:t>4.</w:t>
            </w:r>
          </w:p>
        </w:tc>
        <w:tc>
          <w:tcPr>
            <w:tcW w:w="3328" w:type="dxa"/>
          </w:tcPr>
          <w:p w:rsidR="00F3023C" w:rsidRPr="00925BA9" w:rsidRDefault="00F3023C" w:rsidP="000D5CA4">
            <w:pPr>
              <w:pStyle w:val="Numeretslists"/>
              <w:numPr>
                <w:ilvl w:val="0"/>
                <w:numId w:val="0"/>
              </w:numPr>
            </w:pPr>
            <w:r w:rsidRPr="00B7660D">
              <w:t xml:space="preserve">Nozaru ministrijām (t.sk. </w:t>
            </w:r>
            <w:r w:rsidRPr="00B7660D">
              <w:rPr>
                <w:rStyle w:val="Hyperlink"/>
              </w:rPr>
              <w:t>Vides aizsardzības un reģionālās attīstības ministriju</w:t>
            </w:r>
            <w:r w:rsidRPr="00B7660D">
              <w:t xml:space="preserve"> un Satiksmes ministrijai) sniegt priekšlikumus par kosmosa nozares produktu un pakalpojumu izmantošanu un sadarbības iespējām ar kosmosa </w:t>
            </w:r>
            <w:r w:rsidRPr="00B7660D">
              <w:lastRenderedPageBreak/>
              <w:t>nozares dalībniekiem Latvijā.</w:t>
            </w:r>
          </w:p>
        </w:tc>
        <w:tc>
          <w:tcPr>
            <w:tcW w:w="1404" w:type="dxa"/>
            <w:tcBorders>
              <w:bottom w:val="single" w:sz="4" w:space="0" w:color="auto"/>
            </w:tcBorders>
            <w:shd w:val="clear" w:color="auto" w:fill="auto"/>
          </w:tcPr>
          <w:p w:rsidR="00F3023C" w:rsidRPr="0082747B" w:rsidRDefault="00F3023C" w:rsidP="000D5CA4">
            <w:pPr>
              <w:spacing w:before="120" w:after="120"/>
              <w:jc w:val="both"/>
            </w:pPr>
            <w:r>
              <w:lastRenderedPageBreak/>
              <w:t>2013.gada janvāris</w:t>
            </w:r>
          </w:p>
        </w:tc>
        <w:tc>
          <w:tcPr>
            <w:tcW w:w="1736" w:type="dxa"/>
            <w:tcBorders>
              <w:bottom w:val="single" w:sz="4" w:space="0" w:color="auto"/>
            </w:tcBorders>
            <w:shd w:val="clear" w:color="auto" w:fill="auto"/>
          </w:tcPr>
          <w:p w:rsidR="00F3023C" w:rsidRPr="0082747B" w:rsidRDefault="00F3023C" w:rsidP="000D5CA4">
            <w:pPr>
              <w:spacing w:before="120" w:after="120"/>
              <w:jc w:val="both"/>
            </w:pPr>
            <w:r>
              <w:t xml:space="preserve">Esošā finansējuma ietvaros </w:t>
            </w:r>
          </w:p>
          <w:p w:rsidR="00F3023C" w:rsidRPr="0082747B" w:rsidRDefault="00F3023C" w:rsidP="000D5CA4">
            <w:pPr>
              <w:spacing w:before="120" w:after="120"/>
              <w:jc w:val="both"/>
            </w:pPr>
          </w:p>
        </w:tc>
        <w:tc>
          <w:tcPr>
            <w:tcW w:w="1243" w:type="dxa"/>
          </w:tcPr>
          <w:p w:rsidR="00F3023C" w:rsidRDefault="00F3023C" w:rsidP="000D5CA4">
            <w:pPr>
              <w:spacing w:before="120" w:after="120"/>
              <w:jc w:val="both"/>
            </w:pPr>
            <w:r>
              <w:t>MK</w:t>
            </w:r>
          </w:p>
        </w:tc>
        <w:tc>
          <w:tcPr>
            <w:tcW w:w="1437" w:type="dxa"/>
          </w:tcPr>
          <w:p w:rsidR="00F3023C" w:rsidRDefault="00F3023C" w:rsidP="000D5CA4">
            <w:pPr>
              <w:spacing w:before="120" w:after="120"/>
              <w:jc w:val="both"/>
            </w:pPr>
            <w:r>
              <w:t>Nozaru ministrijas</w:t>
            </w:r>
          </w:p>
        </w:tc>
      </w:tr>
    </w:tbl>
    <w:p w:rsidR="00F3023C" w:rsidRDefault="00F3023C" w:rsidP="00F3023C">
      <w:pPr>
        <w:jc w:val="both"/>
        <w:rPr>
          <w:sz w:val="28"/>
        </w:rPr>
      </w:pPr>
    </w:p>
    <w:p w:rsidR="00F3023C" w:rsidRPr="0024674E" w:rsidRDefault="00F3023C" w:rsidP="00F3023C">
      <w:pPr>
        <w:ind w:firstLine="660"/>
        <w:jc w:val="both"/>
        <w:rPr>
          <w:b/>
          <w:sz w:val="28"/>
          <w:u w:val="single"/>
        </w:rPr>
      </w:pPr>
      <w:r w:rsidRPr="0024674E">
        <w:rPr>
          <w:b/>
          <w:sz w:val="28"/>
          <w:u w:val="single"/>
        </w:rPr>
        <w:t xml:space="preserve">Atbalstāmais </w:t>
      </w:r>
      <w:r w:rsidR="007F0085">
        <w:rPr>
          <w:b/>
          <w:sz w:val="28"/>
          <w:u w:val="single"/>
        </w:rPr>
        <w:t>B</w:t>
      </w:r>
      <w:r w:rsidRPr="0024674E">
        <w:rPr>
          <w:b/>
          <w:sz w:val="28"/>
          <w:u w:val="single"/>
        </w:rPr>
        <w:t xml:space="preserve"> variants </w:t>
      </w:r>
    </w:p>
    <w:p w:rsidR="00F3023C" w:rsidRPr="00E67D93" w:rsidRDefault="00F3023C" w:rsidP="00F3023C">
      <w:pPr>
        <w:pStyle w:val="Heading3"/>
      </w:pPr>
    </w:p>
    <w:p w:rsidR="00F3023C" w:rsidRPr="00F62B79" w:rsidRDefault="00F3023C" w:rsidP="00AB424F">
      <w:pPr>
        <w:pStyle w:val="Heading3"/>
      </w:pPr>
      <w:r>
        <w:t>3. </w:t>
      </w:r>
      <w:r w:rsidRPr="00E67D93">
        <w:t>Koncepcijas īstenošanai nepieciešamais papildu finansējums</w:t>
      </w:r>
    </w:p>
    <w:p w:rsidR="00267F4B" w:rsidRPr="00DB75F4" w:rsidRDefault="00F3023C" w:rsidP="00267F4B">
      <w:pPr>
        <w:autoSpaceDE w:val="0"/>
        <w:autoSpaceDN w:val="0"/>
        <w:adjustRightInd w:val="0"/>
        <w:spacing w:before="240"/>
        <w:jc w:val="both"/>
        <w:rPr>
          <w:color w:val="000000"/>
          <w:sz w:val="28"/>
          <w:lang w:eastAsia="lv-LV"/>
        </w:rPr>
      </w:pPr>
      <w:r w:rsidRPr="00F62B79">
        <w:rPr>
          <w:sz w:val="28"/>
        </w:rPr>
        <w:t xml:space="preserve">Koncepcijā paredzēts, ka nepieciešamie izdevumi politikas koncepcijas atbalstāmā rīcības varianta īstenošanai sākot no 2013.gada sastāda </w:t>
      </w:r>
      <w:r w:rsidRPr="00083F65">
        <w:rPr>
          <w:b/>
          <w:sz w:val="28"/>
        </w:rPr>
        <w:t>4 </w:t>
      </w:r>
      <w:r w:rsidR="00F47A6F">
        <w:rPr>
          <w:b/>
          <w:sz w:val="28"/>
        </w:rPr>
        <w:t>424</w:t>
      </w:r>
      <w:r w:rsidRPr="00083F65">
        <w:rPr>
          <w:b/>
          <w:sz w:val="28"/>
        </w:rPr>
        <w:t>,</w:t>
      </w:r>
      <w:r w:rsidR="00F47A6F">
        <w:rPr>
          <w:b/>
          <w:sz w:val="28"/>
        </w:rPr>
        <w:t>5</w:t>
      </w:r>
      <w:r>
        <w:rPr>
          <w:sz w:val="28"/>
        </w:rPr>
        <w:t xml:space="preserve"> tūkst.</w:t>
      </w:r>
      <w:r w:rsidRPr="00F62B79">
        <w:rPr>
          <w:sz w:val="28"/>
        </w:rPr>
        <w:t xml:space="preserve"> </w:t>
      </w:r>
      <w:r>
        <w:rPr>
          <w:sz w:val="28"/>
        </w:rPr>
        <w:t>LVL</w:t>
      </w:r>
      <w:r w:rsidRPr="00F62B79">
        <w:rPr>
          <w:sz w:val="28"/>
        </w:rPr>
        <w:t xml:space="preserve"> uz pieciem gadiem. Papildus finansējums nepieciešams, jo līdz šim no valsts budžeta kosmosa politikas īstenošanai finansējums nav piešķirts, taču atbalstāmais rīcības variants paredz no 2013.gada otrā ceturkšņa uzsākt </w:t>
      </w:r>
      <w:proofErr w:type="spellStart"/>
      <w:r w:rsidRPr="00F62B79">
        <w:rPr>
          <w:sz w:val="28"/>
        </w:rPr>
        <w:t>inovatīvo</w:t>
      </w:r>
      <w:proofErr w:type="spellEnd"/>
      <w:r w:rsidRPr="00F62B79">
        <w:rPr>
          <w:sz w:val="28"/>
        </w:rPr>
        <w:t xml:space="preserve"> PECS projektu realizāciju EKA ietvaros.</w:t>
      </w:r>
      <w:r w:rsidR="00267F4B">
        <w:rPr>
          <w:sz w:val="28"/>
        </w:rPr>
        <w:t xml:space="preserve"> </w:t>
      </w:r>
      <w:r w:rsidR="00267F4B" w:rsidRPr="00DB75F4">
        <w:rPr>
          <w:color w:val="000000"/>
          <w:sz w:val="28"/>
          <w:lang w:eastAsia="lv-LV"/>
        </w:rPr>
        <w:t xml:space="preserve">Jautājums par papildu finansējumu </w:t>
      </w:r>
      <w:r w:rsidR="00267F4B">
        <w:rPr>
          <w:color w:val="000000"/>
          <w:sz w:val="28"/>
          <w:lang w:eastAsia="lv-LV"/>
        </w:rPr>
        <w:t>PECS projektu realizācijai tiks izskatīts</w:t>
      </w:r>
      <w:r w:rsidR="00267F4B" w:rsidRPr="00DB75F4">
        <w:rPr>
          <w:color w:val="000000"/>
          <w:sz w:val="28"/>
          <w:lang w:eastAsia="lv-LV"/>
        </w:rPr>
        <w:t xml:space="preserve"> Ministru kabinetā 2013.gada valsts budžeta likumprojekta izstrādes gaitā</w:t>
      </w:r>
      <w:r w:rsidR="00267F4B">
        <w:rPr>
          <w:color w:val="000000"/>
          <w:sz w:val="28"/>
          <w:lang w:eastAsia="lv-LV"/>
        </w:rPr>
        <w:t>. Vēršam uzmanību, ka Izglītības un zinātnes ministrija ir izstrādājusi likumprojektu</w:t>
      </w:r>
      <w:r w:rsidR="00267F4B" w:rsidRPr="00B07183">
        <w:rPr>
          <w:b/>
        </w:rPr>
        <w:t xml:space="preserve"> </w:t>
      </w:r>
      <w:r w:rsidR="00267F4B" w:rsidRPr="00DB75F4">
        <w:rPr>
          <w:color w:val="000000"/>
          <w:spacing w:val="15"/>
          <w:sz w:val="28"/>
        </w:rPr>
        <w:t>„</w:t>
      </w:r>
      <w:r w:rsidR="00267F4B" w:rsidRPr="00DB75F4">
        <w:rPr>
          <w:color w:val="000000"/>
          <w:sz w:val="28"/>
        </w:rPr>
        <w:t xml:space="preserve">Par </w:t>
      </w:r>
      <w:r w:rsidR="00267F4B" w:rsidRPr="00DB75F4">
        <w:rPr>
          <w:sz w:val="28"/>
        </w:rPr>
        <w:t>Latvijas Republikas un Eiropas Kosmosa aģentūras Eiropas sadarbības valsts līgumu” (VSS-619), kur</w:t>
      </w:r>
      <w:r w:rsidR="00267F4B">
        <w:rPr>
          <w:sz w:val="28"/>
        </w:rPr>
        <w:t>š noteiktā</w:t>
      </w:r>
      <w:r w:rsidR="00267F4B" w:rsidRPr="00DB75F4">
        <w:rPr>
          <w:sz w:val="28"/>
        </w:rPr>
        <w:t xml:space="preserve"> kārtībā tiks iesniegts Ministru kabinetā</w:t>
      </w:r>
      <w:r w:rsidR="00267F4B">
        <w:rPr>
          <w:sz w:val="28"/>
        </w:rPr>
        <w:t xml:space="preserve">. </w:t>
      </w:r>
      <w:r w:rsidR="00267F4B" w:rsidRPr="00DB75F4">
        <w:rPr>
          <w:sz w:val="28"/>
        </w:rPr>
        <w:t xml:space="preserve"> </w:t>
      </w:r>
    </w:p>
    <w:p w:rsidR="00F3023C" w:rsidRPr="00F62B79" w:rsidRDefault="00F3023C" w:rsidP="00F3023C">
      <w:pPr>
        <w:ind w:firstLine="660"/>
        <w:jc w:val="both"/>
        <w:rPr>
          <w:sz w:val="28"/>
        </w:rPr>
      </w:pPr>
    </w:p>
    <w:p w:rsidR="00F3023C" w:rsidRDefault="00F3023C" w:rsidP="00F3023C">
      <w:pPr>
        <w:ind w:firstLine="660"/>
        <w:jc w:val="both"/>
        <w:rPr>
          <w:sz w:val="28"/>
        </w:rPr>
      </w:pPr>
    </w:p>
    <w:p w:rsidR="00F3023C" w:rsidRDefault="00F3023C" w:rsidP="00F3023C">
      <w:pPr>
        <w:tabs>
          <w:tab w:val="right" w:pos="8931"/>
        </w:tabs>
        <w:rPr>
          <w:sz w:val="28"/>
        </w:rPr>
      </w:pPr>
    </w:p>
    <w:p w:rsidR="00F3023C" w:rsidRDefault="00F3023C" w:rsidP="00F3023C">
      <w:pPr>
        <w:tabs>
          <w:tab w:val="right" w:pos="8931"/>
        </w:tabs>
        <w:rPr>
          <w:sz w:val="28"/>
        </w:rPr>
      </w:pPr>
      <w:r>
        <w:rPr>
          <w:sz w:val="28"/>
        </w:rPr>
        <w:t>Izglītības un zinātnes ministrs</w:t>
      </w:r>
      <w:r>
        <w:rPr>
          <w:sz w:val="28"/>
        </w:rPr>
        <w:tab/>
      </w:r>
      <w:proofErr w:type="spellStart"/>
      <w:r>
        <w:rPr>
          <w:sz w:val="28"/>
        </w:rPr>
        <w:t>R.Broks</w:t>
      </w:r>
      <w:proofErr w:type="spellEnd"/>
      <w:r>
        <w:rPr>
          <w:sz w:val="28"/>
        </w:rPr>
        <w:t xml:space="preserve"> </w:t>
      </w:r>
    </w:p>
    <w:p w:rsidR="00204B6A" w:rsidRDefault="00204B6A"/>
    <w:p w:rsidR="00AB424F" w:rsidRDefault="00AB424F" w:rsidP="00AB424F">
      <w:pPr>
        <w:pStyle w:val="Subtitle"/>
        <w:widowControl/>
        <w:spacing w:before="0" w:after="0"/>
        <w:rPr>
          <w:b w:val="0"/>
          <w:sz w:val="20"/>
          <w:lang w:val="lv-LV"/>
        </w:rPr>
      </w:pPr>
    </w:p>
    <w:p w:rsidR="00AB424F" w:rsidRDefault="00AB424F" w:rsidP="00AB424F">
      <w:pPr>
        <w:pStyle w:val="Subtitle"/>
        <w:widowControl/>
        <w:spacing w:before="0" w:after="0"/>
        <w:rPr>
          <w:b w:val="0"/>
          <w:sz w:val="20"/>
          <w:lang w:val="lv-LV"/>
        </w:rPr>
      </w:pPr>
      <w:r w:rsidRPr="001E2ACC">
        <w:rPr>
          <w:b w:val="0"/>
          <w:sz w:val="20"/>
          <w:lang w:val="lv-LV"/>
        </w:rPr>
        <w:t xml:space="preserve">Kaspars </w:t>
      </w:r>
      <w:proofErr w:type="spellStart"/>
      <w:r w:rsidRPr="001E2ACC">
        <w:rPr>
          <w:b w:val="0"/>
          <w:sz w:val="20"/>
          <w:lang w:val="lv-LV"/>
        </w:rPr>
        <w:t>Karolis</w:t>
      </w:r>
      <w:proofErr w:type="spellEnd"/>
    </w:p>
    <w:p w:rsidR="00AB424F" w:rsidRPr="008259C1" w:rsidRDefault="00AB424F" w:rsidP="00AB424F">
      <w:pPr>
        <w:rPr>
          <w:sz w:val="20"/>
          <w:szCs w:val="20"/>
          <w:lang w:eastAsia="lv-LV"/>
        </w:rPr>
      </w:pPr>
      <w:r w:rsidRPr="008259C1">
        <w:rPr>
          <w:sz w:val="20"/>
          <w:szCs w:val="20"/>
          <w:lang w:eastAsia="lv-LV"/>
        </w:rPr>
        <w:t>67047996</w:t>
      </w:r>
    </w:p>
    <w:p w:rsidR="00AB424F" w:rsidRPr="008259C1" w:rsidRDefault="00AB424F" w:rsidP="00AB424F">
      <w:pPr>
        <w:pStyle w:val="Subtitle"/>
        <w:widowControl/>
        <w:spacing w:before="0" w:after="0"/>
        <w:rPr>
          <w:lang w:val="lv-LV"/>
        </w:rPr>
      </w:pPr>
      <w:proofErr w:type="spellStart"/>
      <w:r>
        <w:rPr>
          <w:b w:val="0"/>
          <w:sz w:val="20"/>
          <w:lang w:val="lv-LV"/>
        </w:rPr>
        <w:t>Kaspars.karolis@izm.gov.lv</w:t>
      </w:r>
      <w:proofErr w:type="spellEnd"/>
      <w:r>
        <w:rPr>
          <w:b w:val="0"/>
          <w:sz w:val="20"/>
          <w:lang w:val="lv-LV"/>
        </w:rPr>
        <w:t xml:space="preserve">, </w:t>
      </w:r>
    </w:p>
    <w:p w:rsidR="00AB424F" w:rsidRDefault="00AB424F"/>
    <w:sectPr w:rsidR="00AB424F" w:rsidSect="00F3023C">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D59" w:rsidRDefault="00A60D59" w:rsidP="00F3023C">
      <w:r>
        <w:separator/>
      </w:r>
    </w:p>
  </w:endnote>
  <w:endnote w:type="continuationSeparator" w:id="0">
    <w:p w:rsidR="00A60D59" w:rsidRDefault="00A60D59" w:rsidP="00F3023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3C" w:rsidRPr="0090734B" w:rsidRDefault="00F3023C" w:rsidP="00F3023C">
    <w:pPr>
      <w:pStyle w:val="Footer"/>
      <w:jc w:val="both"/>
      <w:rPr>
        <w:szCs w:val="24"/>
      </w:rPr>
    </w:pPr>
    <w:r>
      <w:rPr>
        <w:szCs w:val="24"/>
      </w:rPr>
      <w:t>IZMKops</w:t>
    </w:r>
    <w:r w:rsidR="00F47A6F">
      <w:rPr>
        <w:szCs w:val="24"/>
      </w:rPr>
      <w:t>_</w:t>
    </w:r>
    <w:r w:rsidR="0031692E">
      <w:rPr>
        <w:szCs w:val="24"/>
      </w:rPr>
      <w:t>20</w:t>
    </w:r>
    <w:r w:rsidR="00F47A6F">
      <w:rPr>
        <w:szCs w:val="24"/>
      </w:rPr>
      <w:t xml:space="preserve">0911; </w:t>
    </w:r>
    <w:r>
      <w:rPr>
        <w:szCs w:val="24"/>
      </w:rPr>
      <w:t>koncepcija p</w:t>
    </w:r>
    <w:r w:rsidRPr="0090734B">
      <w:rPr>
        <w:szCs w:val="24"/>
      </w:rPr>
      <w:t xml:space="preserve">ar kosmosa tehnoloģiju attīstību un kosmosa </w:t>
    </w:r>
    <w:proofErr w:type="spellStart"/>
    <w:r w:rsidRPr="0090734B">
      <w:rPr>
        <w:szCs w:val="24"/>
      </w:rPr>
      <w:t>rīcībpolitikas</w:t>
    </w:r>
    <w:proofErr w:type="spellEnd"/>
    <w:r>
      <w:rPr>
        <w:szCs w:val="24"/>
      </w:rPr>
      <w:t xml:space="preserve"> veidošanu valstī</w:t>
    </w:r>
  </w:p>
  <w:p w:rsidR="00F3023C" w:rsidRDefault="00F302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92E" w:rsidRPr="0090734B" w:rsidRDefault="0031692E" w:rsidP="0031692E">
    <w:pPr>
      <w:pStyle w:val="Footer"/>
      <w:jc w:val="both"/>
      <w:rPr>
        <w:szCs w:val="24"/>
      </w:rPr>
    </w:pPr>
    <w:r>
      <w:rPr>
        <w:szCs w:val="24"/>
      </w:rPr>
      <w:t>IZMKops_200911; koncepcija p</w:t>
    </w:r>
    <w:r w:rsidRPr="0090734B">
      <w:rPr>
        <w:szCs w:val="24"/>
      </w:rPr>
      <w:t xml:space="preserve">ar kosmosa tehnoloģiju attīstību un kosmosa </w:t>
    </w:r>
    <w:proofErr w:type="spellStart"/>
    <w:r w:rsidRPr="0090734B">
      <w:rPr>
        <w:szCs w:val="24"/>
      </w:rPr>
      <w:t>rīcībpolitikas</w:t>
    </w:r>
    <w:proofErr w:type="spellEnd"/>
    <w:r>
      <w:rPr>
        <w:szCs w:val="24"/>
      </w:rPr>
      <w:t xml:space="preserve"> veidošanu valstī</w:t>
    </w:r>
  </w:p>
  <w:p w:rsidR="0031692E" w:rsidRDefault="00316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D59" w:rsidRDefault="00A60D59" w:rsidP="00F3023C">
      <w:r>
        <w:separator/>
      </w:r>
    </w:p>
  </w:footnote>
  <w:footnote w:type="continuationSeparator" w:id="0">
    <w:p w:rsidR="00A60D59" w:rsidRDefault="00A60D59" w:rsidP="00F3023C">
      <w:r>
        <w:continuationSeparator/>
      </w:r>
    </w:p>
  </w:footnote>
  <w:footnote w:id="1">
    <w:p w:rsidR="00F3023C" w:rsidRDefault="00F3023C" w:rsidP="00F3023C">
      <w:pPr>
        <w:pStyle w:val="FootnoteText"/>
      </w:pPr>
      <w:r>
        <w:rPr>
          <w:rStyle w:val="FootnoteReference"/>
        </w:rPr>
        <w:footnoteRef/>
      </w:r>
      <w:r>
        <w:t xml:space="preserve"> Analīzē galvenokārt analizēta Latvijas </w:t>
      </w:r>
      <w:proofErr w:type="spellStart"/>
      <w:r w:rsidRPr="00FF729F">
        <w:rPr>
          <w:i/>
        </w:rPr>
        <w:t>upstream</w:t>
      </w:r>
      <w:proofErr w:type="spellEnd"/>
      <w:r>
        <w:t xml:space="preserve"> nozares kapacitāte un apjoms. Analīzē neietver </w:t>
      </w:r>
      <w:proofErr w:type="spellStart"/>
      <w:r w:rsidRPr="00FF729F">
        <w:rPr>
          <w:i/>
        </w:rPr>
        <w:t>downstream</w:t>
      </w:r>
      <w:proofErr w:type="spellEnd"/>
      <w:r>
        <w:t xml:space="preserve"> nozares segmentus – piemēram, satelīttelevīziju, satelītu komunikāciju, </w:t>
      </w:r>
      <w:proofErr w:type="spellStart"/>
      <w:r>
        <w:t>satelītnavigācijas</w:t>
      </w:r>
      <w:proofErr w:type="spellEnd"/>
      <w:r>
        <w:t xml:space="preserve"> iekārtas un pakalpojumus, u.c.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4894"/>
      <w:docPartObj>
        <w:docPartGallery w:val="Page Numbers (Top of Page)"/>
        <w:docPartUnique/>
      </w:docPartObj>
    </w:sdtPr>
    <w:sdtContent>
      <w:p w:rsidR="00F3023C" w:rsidRDefault="00473469">
        <w:pPr>
          <w:pStyle w:val="Header"/>
          <w:jc w:val="center"/>
        </w:pPr>
        <w:fldSimple w:instr=" PAGE   \* MERGEFORMAT ">
          <w:r w:rsidR="0031692E">
            <w:rPr>
              <w:noProof/>
            </w:rPr>
            <w:t>2</w:t>
          </w:r>
        </w:fldSimple>
      </w:p>
    </w:sdtContent>
  </w:sdt>
  <w:p w:rsidR="00F3023C" w:rsidRDefault="00F302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194"/>
    <w:multiLevelType w:val="hybridMultilevel"/>
    <w:tmpl w:val="B1DCBA86"/>
    <w:lvl w:ilvl="0" w:tplc="3E1AFA6C">
      <w:start w:val="1"/>
      <w:numFmt w:val="decimal"/>
      <w:pStyle w:val="Numeretslists"/>
      <w:lvlText w:val="%1)"/>
      <w:lvlJc w:val="left"/>
      <w:pPr>
        <w:ind w:left="785"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BC85F02"/>
    <w:multiLevelType w:val="hybridMultilevel"/>
    <w:tmpl w:val="1302AFAC"/>
    <w:lvl w:ilvl="0" w:tplc="6EBCB53C">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
    <w:nsid w:val="61CB0426"/>
    <w:multiLevelType w:val="hybridMultilevel"/>
    <w:tmpl w:val="6AF83E88"/>
    <w:lvl w:ilvl="0" w:tplc="28AE262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nsid w:val="70577857"/>
    <w:multiLevelType w:val="hybridMultilevel"/>
    <w:tmpl w:val="E578EB8A"/>
    <w:lvl w:ilvl="0" w:tplc="BD7E114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
    <w:nsid w:val="72D230CB"/>
    <w:multiLevelType w:val="hybridMultilevel"/>
    <w:tmpl w:val="3C62007C"/>
    <w:lvl w:ilvl="0" w:tplc="28AE262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0"/>
    <w:lvlOverride w:ilvl="0">
      <w:startOverride w:val="1"/>
    </w:lvlOverride>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3023C"/>
    <w:rsid w:val="00014AF5"/>
    <w:rsid w:val="00022FA1"/>
    <w:rsid w:val="00094585"/>
    <w:rsid w:val="000D2242"/>
    <w:rsid w:val="00170B5B"/>
    <w:rsid w:val="00204B6A"/>
    <w:rsid w:val="00267F4B"/>
    <w:rsid w:val="00280B1A"/>
    <w:rsid w:val="002A0F79"/>
    <w:rsid w:val="0031692E"/>
    <w:rsid w:val="0037265F"/>
    <w:rsid w:val="003E042F"/>
    <w:rsid w:val="00473469"/>
    <w:rsid w:val="00480B2E"/>
    <w:rsid w:val="004B7B13"/>
    <w:rsid w:val="0065443C"/>
    <w:rsid w:val="006E5AB0"/>
    <w:rsid w:val="0071675B"/>
    <w:rsid w:val="007362A4"/>
    <w:rsid w:val="007812A1"/>
    <w:rsid w:val="007F0085"/>
    <w:rsid w:val="00803F8D"/>
    <w:rsid w:val="0082212D"/>
    <w:rsid w:val="008420C6"/>
    <w:rsid w:val="008603D5"/>
    <w:rsid w:val="00A43443"/>
    <w:rsid w:val="00A53998"/>
    <w:rsid w:val="00A60D59"/>
    <w:rsid w:val="00AB424F"/>
    <w:rsid w:val="00CB7EA6"/>
    <w:rsid w:val="00E01EC3"/>
    <w:rsid w:val="00ED76A1"/>
    <w:rsid w:val="00F3023C"/>
    <w:rsid w:val="00F47A6F"/>
    <w:rsid w:val="00FA443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3C"/>
    <w:rPr>
      <w:rFonts w:ascii="Times New Roman" w:hAnsi="Times New Roman"/>
      <w:sz w:val="24"/>
      <w:szCs w:val="28"/>
      <w:lang w:eastAsia="en-US"/>
    </w:rPr>
  </w:style>
  <w:style w:type="paragraph" w:styleId="Heading1">
    <w:name w:val="heading 1"/>
    <w:basedOn w:val="Normal"/>
    <w:next w:val="Normal"/>
    <w:link w:val="Heading1Char"/>
    <w:uiPriority w:val="9"/>
    <w:qFormat/>
    <w:rsid w:val="0071675B"/>
    <w:pPr>
      <w:pageBreakBefore/>
      <w:spacing w:after="240"/>
      <w:jc w:val="center"/>
      <w:outlineLvl w:val="0"/>
    </w:pPr>
    <w:rPr>
      <w:rFonts w:ascii="Calibri" w:hAnsi="Calibri"/>
      <w:b/>
      <w:bCs/>
      <w:sz w:val="36"/>
    </w:rPr>
  </w:style>
  <w:style w:type="paragraph" w:styleId="Heading2">
    <w:name w:val="heading 2"/>
    <w:basedOn w:val="Normal"/>
    <w:next w:val="Normal"/>
    <w:link w:val="Heading2Char"/>
    <w:uiPriority w:val="9"/>
    <w:qFormat/>
    <w:rsid w:val="0071675B"/>
    <w:pPr>
      <w:keepNext/>
      <w:keepLines/>
      <w:spacing w:before="120" w:after="120"/>
      <w:outlineLvl w:val="1"/>
    </w:pPr>
    <w:rPr>
      <w:rFonts w:eastAsia="Times New Roman"/>
      <w:b/>
      <w:bCs/>
      <w:sz w:val="32"/>
      <w:szCs w:val="26"/>
    </w:rPr>
  </w:style>
  <w:style w:type="paragraph" w:styleId="Heading3">
    <w:name w:val="heading 3"/>
    <w:basedOn w:val="Normal"/>
    <w:next w:val="Normal"/>
    <w:link w:val="Heading3Char"/>
    <w:uiPriority w:val="9"/>
    <w:qFormat/>
    <w:rsid w:val="0071675B"/>
    <w:pPr>
      <w:keepNext/>
      <w:keepLines/>
      <w:spacing w:after="120"/>
      <w:outlineLvl w:val="2"/>
    </w:pPr>
    <w:rPr>
      <w:rFonts w:eastAsia="Times New Roman"/>
      <w:b/>
      <w:bCs/>
      <w:sz w:val="28"/>
    </w:rPr>
  </w:style>
  <w:style w:type="paragraph" w:styleId="Heading4">
    <w:name w:val="heading 4"/>
    <w:basedOn w:val="Normal"/>
    <w:next w:val="Normal"/>
    <w:link w:val="Heading4Char"/>
    <w:uiPriority w:val="9"/>
    <w:qFormat/>
    <w:rsid w:val="0071675B"/>
    <w:pPr>
      <w:keepNext/>
      <w:keepLines/>
      <w:outlineLvl w:val="3"/>
    </w:pPr>
    <w:rPr>
      <w:rFonts w:eastAsia="Times New Roman"/>
      <w:b/>
      <w:bCs/>
      <w:i/>
      <w:iCs/>
      <w:szCs w:val="20"/>
      <w:lang w:eastAsia="lv-LV"/>
    </w:rPr>
  </w:style>
  <w:style w:type="paragraph" w:styleId="Heading5">
    <w:name w:val="heading 5"/>
    <w:basedOn w:val="Normal"/>
    <w:next w:val="Normal"/>
    <w:link w:val="Heading5Char"/>
    <w:qFormat/>
    <w:rsid w:val="0071675B"/>
    <w:pPr>
      <w:tabs>
        <w:tab w:val="num" w:pos="1008"/>
      </w:tabs>
      <w:spacing w:before="240" w:after="60"/>
      <w:ind w:left="1008" w:hanging="1008"/>
      <w:outlineLvl w:val="4"/>
    </w:pPr>
    <w:rPr>
      <w:b/>
      <w:bCs/>
      <w:i/>
      <w:iCs/>
      <w:sz w:val="26"/>
      <w:szCs w:val="26"/>
      <w:lang w:eastAsia="lv-LV"/>
    </w:rPr>
  </w:style>
  <w:style w:type="paragraph" w:styleId="Heading6">
    <w:name w:val="heading 6"/>
    <w:basedOn w:val="Normal"/>
    <w:next w:val="Normal"/>
    <w:link w:val="Heading6Char"/>
    <w:qFormat/>
    <w:rsid w:val="0071675B"/>
    <w:pPr>
      <w:spacing w:before="240" w:after="60"/>
      <w:outlineLvl w:val="5"/>
    </w:pPr>
    <w:rPr>
      <w:rFonts w:eastAsia="Times New Roman"/>
      <w:b/>
      <w:bCs/>
      <w:sz w:val="22"/>
      <w:szCs w:val="20"/>
      <w:lang w:eastAsia="lv-LV"/>
    </w:rPr>
  </w:style>
  <w:style w:type="paragraph" w:styleId="Heading7">
    <w:name w:val="heading 7"/>
    <w:basedOn w:val="Normal"/>
    <w:next w:val="Normal"/>
    <w:link w:val="Heading7Char"/>
    <w:qFormat/>
    <w:rsid w:val="0071675B"/>
    <w:pPr>
      <w:tabs>
        <w:tab w:val="num" w:pos="1296"/>
      </w:tabs>
      <w:spacing w:before="240" w:after="60"/>
      <w:ind w:left="1296" w:hanging="1296"/>
      <w:outlineLvl w:val="6"/>
    </w:pPr>
    <w:rPr>
      <w:szCs w:val="24"/>
      <w:lang w:eastAsia="lv-LV"/>
    </w:rPr>
  </w:style>
  <w:style w:type="paragraph" w:styleId="Heading8">
    <w:name w:val="heading 8"/>
    <w:basedOn w:val="Normal"/>
    <w:next w:val="Normal"/>
    <w:link w:val="Heading8Char"/>
    <w:qFormat/>
    <w:rsid w:val="0071675B"/>
    <w:pPr>
      <w:tabs>
        <w:tab w:val="num" w:pos="1440"/>
      </w:tabs>
      <w:spacing w:before="240" w:after="60"/>
      <w:ind w:left="1440" w:hanging="1440"/>
      <w:outlineLvl w:val="7"/>
    </w:pPr>
    <w:rPr>
      <w:i/>
      <w:iCs/>
      <w:szCs w:val="24"/>
      <w:lang w:eastAsia="lv-LV"/>
    </w:rPr>
  </w:style>
  <w:style w:type="paragraph" w:styleId="Heading9">
    <w:name w:val="heading 9"/>
    <w:basedOn w:val="Normal"/>
    <w:next w:val="Normal"/>
    <w:link w:val="Heading9Char"/>
    <w:uiPriority w:val="9"/>
    <w:qFormat/>
    <w:rsid w:val="0071675B"/>
    <w:pPr>
      <w:keepNext/>
      <w:keepLines/>
      <w:spacing w:before="200"/>
      <w:outlineLvl w:val="8"/>
    </w:pPr>
    <w:rPr>
      <w:rFonts w:ascii="Cambria" w:eastAsia="Times New Roman"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75B"/>
    <w:rPr>
      <w:b/>
      <w:bCs/>
      <w:sz w:val="36"/>
      <w:szCs w:val="28"/>
      <w:lang w:val="lv-LV" w:eastAsia="en-US" w:bidi="ar-SA"/>
    </w:rPr>
  </w:style>
  <w:style w:type="character" w:customStyle="1" w:styleId="Heading2Char">
    <w:name w:val="Heading 2 Char"/>
    <w:basedOn w:val="DefaultParagraphFont"/>
    <w:link w:val="Heading2"/>
    <w:uiPriority w:val="9"/>
    <w:rsid w:val="0071675B"/>
    <w:rPr>
      <w:rFonts w:ascii="Times New Roman" w:eastAsia="Times New Roman" w:hAnsi="Times New Roman"/>
      <w:b/>
      <w:bCs/>
      <w:sz w:val="32"/>
      <w:szCs w:val="26"/>
      <w:lang w:eastAsia="en-US"/>
    </w:rPr>
  </w:style>
  <w:style w:type="character" w:customStyle="1" w:styleId="Heading3Char">
    <w:name w:val="Heading 3 Char"/>
    <w:basedOn w:val="DefaultParagraphFont"/>
    <w:link w:val="Heading3"/>
    <w:uiPriority w:val="9"/>
    <w:rsid w:val="0071675B"/>
    <w:rPr>
      <w:rFonts w:ascii="Times New Roman" w:eastAsia="Times New Roman" w:hAnsi="Times New Roman"/>
      <w:b/>
      <w:bCs/>
      <w:sz w:val="28"/>
      <w:szCs w:val="28"/>
      <w:lang w:eastAsia="en-US"/>
    </w:rPr>
  </w:style>
  <w:style w:type="character" w:customStyle="1" w:styleId="Heading4Char">
    <w:name w:val="Heading 4 Char"/>
    <w:basedOn w:val="DefaultParagraphFont"/>
    <w:link w:val="Heading4"/>
    <w:uiPriority w:val="9"/>
    <w:rsid w:val="0071675B"/>
    <w:rPr>
      <w:rFonts w:ascii="Times New Roman" w:eastAsia="Times New Roman" w:hAnsi="Times New Roman" w:cs="Times New Roman"/>
      <w:b/>
      <w:bCs/>
      <w:i/>
      <w:iCs/>
      <w:sz w:val="24"/>
    </w:rPr>
  </w:style>
  <w:style w:type="character" w:customStyle="1" w:styleId="Heading5Char">
    <w:name w:val="Heading 5 Char"/>
    <w:basedOn w:val="DefaultParagraphFont"/>
    <w:link w:val="Heading5"/>
    <w:rsid w:val="0071675B"/>
    <w:rPr>
      <w:rFonts w:ascii="Times New Roman" w:hAnsi="Times New Roman"/>
      <w:b/>
      <w:bCs/>
      <w:i/>
      <w:iCs/>
      <w:sz w:val="26"/>
      <w:szCs w:val="26"/>
    </w:rPr>
  </w:style>
  <w:style w:type="character" w:customStyle="1" w:styleId="Heading6Char">
    <w:name w:val="Heading 6 Char"/>
    <w:basedOn w:val="DefaultParagraphFont"/>
    <w:link w:val="Heading6"/>
    <w:rsid w:val="0071675B"/>
    <w:rPr>
      <w:rFonts w:ascii="Times New Roman" w:eastAsia="Times New Roman" w:hAnsi="Times New Roman" w:cs="Times New Roman"/>
      <w:b/>
      <w:bCs/>
      <w:sz w:val="22"/>
      <w:lang w:eastAsia="lv-LV"/>
    </w:rPr>
  </w:style>
  <w:style w:type="character" w:customStyle="1" w:styleId="Heading7Char">
    <w:name w:val="Heading 7 Char"/>
    <w:basedOn w:val="DefaultParagraphFont"/>
    <w:link w:val="Heading7"/>
    <w:rsid w:val="0071675B"/>
    <w:rPr>
      <w:rFonts w:ascii="Times New Roman" w:hAnsi="Times New Roman"/>
      <w:sz w:val="24"/>
      <w:szCs w:val="24"/>
    </w:rPr>
  </w:style>
  <w:style w:type="character" w:customStyle="1" w:styleId="Heading8Char">
    <w:name w:val="Heading 8 Char"/>
    <w:basedOn w:val="DefaultParagraphFont"/>
    <w:link w:val="Heading8"/>
    <w:rsid w:val="0071675B"/>
    <w:rPr>
      <w:rFonts w:ascii="Times New Roman" w:hAnsi="Times New Roman"/>
      <w:i/>
      <w:iCs/>
      <w:sz w:val="24"/>
      <w:szCs w:val="24"/>
    </w:rPr>
  </w:style>
  <w:style w:type="character" w:customStyle="1" w:styleId="Heading9Char">
    <w:name w:val="Heading 9 Char"/>
    <w:basedOn w:val="DefaultParagraphFont"/>
    <w:link w:val="Heading9"/>
    <w:uiPriority w:val="9"/>
    <w:rsid w:val="0071675B"/>
    <w:rPr>
      <w:rFonts w:ascii="Cambria" w:eastAsia="Times New Roman" w:hAnsi="Cambria" w:cs="Times New Roman"/>
      <w:i/>
      <w:iCs/>
      <w:color w:val="404040"/>
      <w:sz w:val="20"/>
      <w:szCs w:val="20"/>
    </w:rPr>
  </w:style>
  <w:style w:type="paragraph" w:styleId="TOC1">
    <w:name w:val="toc 1"/>
    <w:basedOn w:val="Normal"/>
    <w:next w:val="Normal"/>
    <w:autoRedefine/>
    <w:uiPriority w:val="39"/>
    <w:unhideWhenUsed/>
    <w:qFormat/>
    <w:rsid w:val="0071675B"/>
    <w:pPr>
      <w:tabs>
        <w:tab w:val="right" w:leader="dot" w:pos="9061"/>
      </w:tabs>
      <w:spacing w:before="120" w:after="120"/>
    </w:pPr>
    <w:rPr>
      <w:b/>
      <w:bCs/>
      <w:caps/>
      <w:noProof/>
      <w:szCs w:val="24"/>
    </w:rPr>
  </w:style>
  <w:style w:type="paragraph" w:styleId="TOC2">
    <w:name w:val="toc 2"/>
    <w:basedOn w:val="Normal"/>
    <w:next w:val="Normal"/>
    <w:autoRedefine/>
    <w:uiPriority w:val="39"/>
    <w:unhideWhenUsed/>
    <w:qFormat/>
    <w:rsid w:val="0071675B"/>
    <w:pPr>
      <w:ind w:left="240"/>
    </w:pPr>
    <w:rPr>
      <w:smallCaps/>
      <w:sz w:val="20"/>
      <w:szCs w:val="20"/>
    </w:rPr>
  </w:style>
  <w:style w:type="paragraph" w:styleId="TOC3">
    <w:name w:val="toc 3"/>
    <w:basedOn w:val="Normal"/>
    <w:next w:val="Normal"/>
    <w:autoRedefine/>
    <w:uiPriority w:val="39"/>
    <w:unhideWhenUsed/>
    <w:qFormat/>
    <w:rsid w:val="0071675B"/>
    <w:pPr>
      <w:ind w:left="480"/>
    </w:pPr>
    <w:rPr>
      <w:i/>
      <w:iCs/>
      <w:sz w:val="20"/>
      <w:szCs w:val="20"/>
    </w:rPr>
  </w:style>
  <w:style w:type="paragraph" w:styleId="Caption">
    <w:name w:val="caption"/>
    <w:basedOn w:val="Normal"/>
    <w:next w:val="Normal"/>
    <w:link w:val="CaptionChar"/>
    <w:uiPriority w:val="35"/>
    <w:qFormat/>
    <w:rsid w:val="0071675B"/>
    <w:pPr>
      <w:spacing w:after="200"/>
    </w:pPr>
    <w:rPr>
      <w:bCs/>
      <w:szCs w:val="24"/>
    </w:rPr>
  </w:style>
  <w:style w:type="character" w:customStyle="1" w:styleId="CaptionChar">
    <w:name w:val="Caption Char"/>
    <w:basedOn w:val="DefaultParagraphFont"/>
    <w:link w:val="Caption"/>
    <w:uiPriority w:val="35"/>
    <w:rsid w:val="0071675B"/>
    <w:rPr>
      <w:rFonts w:ascii="Times New Roman" w:hAnsi="Times New Roman"/>
      <w:bCs/>
      <w:sz w:val="24"/>
      <w:szCs w:val="24"/>
      <w:lang w:eastAsia="en-US"/>
    </w:rPr>
  </w:style>
  <w:style w:type="paragraph" w:styleId="TableofFigures">
    <w:name w:val="table of figures"/>
    <w:basedOn w:val="Normal"/>
    <w:next w:val="Normal"/>
    <w:autoRedefine/>
    <w:uiPriority w:val="99"/>
    <w:semiHidden/>
    <w:unhideWhenUsed/>
    <w:qFormat/>
    <w:rsid w:val="0071675B"/>
    <w:pPr>
      <w:spacing w:before="40" w:after="40"/>
    </w:pPr>
  </w:style>
  <w:style w:type="paragraph" w:styleId="Subtitle">
    <w:name w:val="Subtitle"/>
    <w:basedOn w:val="Normal"/>
    <w:next w:val="Normal"/>
    <w:link w:val="SubtitleChar"/>
    <w:qFormat/>
    <w:rsid w:val="0071675B"/>
    <w:pPr>
      <w:keepNext/>
      <w:keepLines/>
      <w:widowControl w:val="0"/>
      <w:suppressAutoHyphens/>
      <w:spacing w:before="600" w:after="600"/>
      <w:ind w:right="4820"/>
    </w:pPr>
    <w:rPr>
      <w:rFonts w:eastAsia="Times New Roman"/>
      <w:b/>
      <w:sz w:val="26"/>
      <w:szCs w:val="20"/>
      <w:lang w:val="en-AU" w:eastAsia="lv-LV"/>
    </w:rPr>
  </w:style>
  <w:style w:type="character" w:customStyle="1" w:styleId="SubtitleChar">
    <w:name w:val="Subtitle Char"/>
    <w:basedOn w:val="DefaultParagraphFont"/>
    <w:link w:val="Subtitle"/>
    <w:rsid w:val="0071675B"/>
    <w:rPr>
      <w:rFonts w:ascii="Times New Roman" w:eastAsia="Times New Roman" w:hAnsi="Times New Roman" w:cs="Times New Roman"/>
      <w:b/>
      <w:sz w:val="26"/>
      <w:szCs w:val="20"/>
      <w:lang w:val="en-AU"/>
    </w:rPr>
  </w:style>
  <w:style w:type="character" w:styleId="Strong">
    <w:name w:val="Strong"/>
    <w:basedOn w:val="DefaultParagraphFont"/>
    <w:uiPriority w:val="22"/>
    <w:qFormat/>
    <w:rsid w:val="0071675B"/>
    <w:rPr>
      <w:b/>
      <w:bCs/>
    </w:rPr>
  </w:style>
  <w:style w:type="character" w:styleId="Emphasis">
    <w:name w:val="Emphasis"/>
    <w:basedOn w:val="DefaultParagraphFont"/>
    <w:uiPriority w:val="20"/>
    <w:qFormat/>
    <w:rsid w:val="0071675B"/>
    <w:rPr>
      <w:i/>
      <w:iCs/>
    </w:rPr>
  </w:style>
  <w:style w:type="paragraph" w:styleId="NoSpacing">
    <w:name w:val="No Spacing"/>
    <w:uiPriority w:val="1"/>
    <w:qFormat/>
    <w:rsid w:val="0071675B"/>
    <w:rPr>
      <w:rFonts w:ascii="Times New Roman" w:hAnsi="Times New Roman"/>
      <w:sz w:val="24"/>
      <w:szCs w:val="28"/>
      <w:lang w:eastAsia="en-US"/>
    </w:rPr>
  </w:style>
  <w:style w:type="paragraph" w:styleId="ListParagraph">
    <w:name w:val="List Paragraph"/>
    <w:basedOn w:val="Normal"/>
    <w:uiPriority w:val="34"/>
    <w:qFormat/>
    <w:rsid w:val="0071675B"/>
    <w:pPr>
      <w:ind w:left="720"/>
      <w:contextualSpacing/>
    </w:pPr>
  </w:style>
  <w:style w:type="paragraph" w:styleId="TOCHeading">
    <w:name w:val="TOC Heading"/>
    <w:basedOn w:val="Heading1"/>
    <w:next w:val="Normal"/>
    <w:uiPriority w:val="39"/>
    <w:qFormat/>
    <w:rsid w:val="0071675B"/>
    <w:pPr>
      <w:spacing w:line="276" w:lineRule="auto"/>
      <w:outlineLvl w:val="9"/>
    </w:pPr>
    <w:rPr>
      <w:rFonts w:ascii="Times New Roman" w:eastAsia="Times New Roman" w:hAnsi="Times New Roman"/>
      <w:lang w:val="en-US"/>
    </w:rPr>
  </w:style>
  <w:style w:type="paragraph" w:customStyle="1" w:styleId="ColorfulList-Accent11">
    <w:name w:val="Colorful List - Accent 11"/>
    <w:basedOn w:val="Normal"/>
    <w:uiPriority w:val="34"/>
    <w:qFormat/>
    <w:rsid w:val="0071675B"/>
    <w:pPr>
      <w:ind w:left="720"/>
      <w:contextualSpacing/>
    </w:pPr>
  </w:style>
  <w:style w:type="paragraph" w:styleId="FootnoteText">
    <w:name w:val="footnote text"/>
    <w:basedOn w:val="Normal"/>
    <w:link w:val="FootnoteTextChar"/>
    <w:uiPriority w:val="99"/>
    <w:rsid w:val="00F3023C"/>
    <w:rPr>
      <w:rFonts w:eastAsia="Times New Roman"/>
      <w:sz w:val="20"/>
      <w:szCs w:val="20"/>
      <w:lang w:eastAsia="lv-LV"/>
    </w:rPr>
  </w:style>
  <w:style w:type="character" w:customStyle="1" w:styleId="FootnoteTextChar">
    <w:name w:val="Footnote Text Char"/>
    <w:basedOn w:val="DefaultParagraphFont"/>
    <w:link w:val="FootnoteText"/>
    <w:uiPriority w:val="99"/>
    <w:rsid w:val="00F3023C"/>
    <w:rPr>
      <w:rFonts w:ascii="Times New Roman" w:eastAsia="Times New Roman" w:hAnsi="Times New Roman"/>
    </w:rPr>
  </w:style>
  <w:style w:type="character" w:styleId="FootnoteReference">
    <w:name w:val="footnote reference"/>
    <w:basedOn w:val="DefaultParagraphFont"/>
    <w:uiPriority w:val="99"/>
    <w:rsid w:val="00F3023C"/>
    <w:rPr>
      <w:vertAlign w:val="superscript"/>
    </w:rPr>
  </w:style>
  <w:style w:type="character" w:styleId="Hyperlink">
    <w:name w:val="Hyperlink"/>
    <w:basedOn w:val="DefaultParagraphFont"/>
    <w:uiPriority w:val="99"/>
    <w:unhideWhenUsed/>
    <w:rsid w:val="00F3023C"/>
    <w:rPr>
      <w:color w:val="0000FF"/>
      <w:u w:val="single"/>
    </w:rPr>
  </w:style>
  <w:style w:type="paragraph" w:customStyle="1" w:styleId="Numeretslists">
    <w:name w:val="Numerets_lists"/>
    <w:basedOn w:val="ListParagraph"/>
    <w:qFormat/>
    <w:rsid w:val="00F3023C"/>
    <w:pPr>
      <w:numPr>
        <w:numId w:val="1"/>
      </w:numPr>
      <w:spacing w:after="120" w:line="276" w:lineRule="auto"/>
      <w:ind w:left="714" w:hanging="357"/>
      <w:contextualSpacing w:val="0"/>
      <w:jc w:val="both"/>
    </w:pPr>
    <w:rPr>
      <w:szCs w:val="24"/>
    </w:rPr>
  </w:style>
  <w:style w:type="paragraph" w:styleId="Header">
    <w:name w:val="header"/>
    <w:basedOn w:val="Normal"/>
    <w:link w:val="HeaderChar"/>
    <w:uiPriority w:val="99"/>
    <w:unhideWhenUsed/>
    <w:rsid w:val="00F3023C"/>
    <w:pPr>
      <w:tabs>
        <w:tab w:val="center" w:pos="4153"/>
        <w:tab w:val="right" w:pos="8306"/>
      </w:tabs>
    </w:pPr>
  </w:style>
  <w:style w:type="character" w:customStyle="1" w:styleId="HeaderChar">
    <w:name w:val="Header Char"/>
    <w:basedOn w:val="DefaultParagraphFont"/>
    <w:link w:val="Header"/>
    <w:uiPriority w:val="99"/>
    <w:rsid w:val="00F3023C"/>
    <w:rPr>
      <w:rFonts w:ascii="Times New Roman" w:hAnsi="Times New Roman"/>
      <w:sz w:val="24"/>
      <w:szCs w:val="28"/>
      <w:lang w:eastAsia="en-US"/>
    </w:rPr>
  </w:style>
  <w:style w:type="paragraph" w:styleId="Footer">
    <w:name w:val="footer"/>
    <w:basedOn w:val="Normal"/>
    <w:link w:val="FooterChar"/>
    <w:uiPriority w:val="99"/>
    <w:semiHidden/>
    <w:unhideWhenUsed/>
    <w:rsid w:val="00F3023C"/>
    <w:pPr>
      <w:tabs>
        <w:tab w:val="center" w:pos="4153"/>
        <w:tab w:val="right" w:pos="8306"/>
      </w:tabs>
    </w:pPr>
  </w:style>
  <w:style w:type="character" w:customStyle="1" w:styleId="FooterChar">
    <w:name w:val="Footer Char"/>
    <w:basedOn w:val="DefaultParagraphFont"/>
    <w:link w:val="Footer"/>
    <w:uiPriority w:val="99"/>
    <w:semiHidden/>
    <w:rsid w:val="00F3023C"/>
    <w:rPr>
      <w:rFonts w:ascii="Times New Roman" w:hAnsi="Times New Roman"/>
      <w:sz w:val="24"/>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8402</Words>
  <Characters>4790</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KKarolis</dc:creator>
  <cp:keywords/>
  <dc:description/>
  <cp:lastModifiedBy>KKarolis</cp:lastModifiedBy>
  <cp:revision>8</cp:revision>
  <dcterms:created xsi:type="dcterms:W3CDTF">2011-09-07T13:24:00Z</dcterms:created>
  <dcterms:modified xsi:type="dcterms:W3CDTF">2011-09-20T07:29:00Z</dcterms:modified>
</cp:coreProperties>
</file>