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FD" w:rsidRPr="00A51BFD" w:rsidRDefault="00A51BFD" w:rsidP="00A51BFD">
      <w:pPr>
        <w:ind w:firstLine="720"/>
        <w:jc w:val="right"/>
        <w:rPr>
          <w:sz w:val="28"/>
          <w:szCs w:val="28"/>
        </w:rPr>
      </w:pPr>
      <w:r w:rsidRPr="00A51BFD">
        <w:rPr>
          <w:sz w:val="28"/>
          <w:szCs w:val="28"/>
        </w:rPr>
        <w:t>28.pielikums</w:t>
      </w:r>
      <w:r w:rsidRPr="00A51BFD">
        <w:rPr>
          <w:sz w:val="28"/>
          <w:szCs w:val="28"/>
        </w:rPr>
        <w:br/>
        <w:t>Ministru kabineta</w:t>
      </w:r>
      <w:r w:rsidRPr="00A51BFD">
        <w:rPr>
          <w:sz w:val="28"/>
          <w:szCs w:val="28"/>
        </w:rPr>
        <w:br/>
        <w:t>201</w:t>
      </w:r>
      <w:r w:rsidR="001606CC">
        <w:rPr>
          <w:sz w:val="28"/>
          <w:szCs w:val="28"/>
        </w:rPr>
        <w:t>3</w:t>
      </w:r>
      <w:r w:rsidRPr="00A51BFD">
        <w:rPr>
          <w:sz w:val="28"/>
          <w:szCs w:val="28"/>
        </w:rPr>
        <w:t>.gada _______________</w:t>
      </w:r>
      <w:r w:rsidRPr="00A51BFD">
        <w:rPr>
          <w:sz w:val="28"/>
          <w:szCs w:val="28"/>
        </w:rPr>
        <w:br/>
        <w:t>noteikumiem Nr._____</w:t>
      </w:r>
    </w:p>
    <w:p w:rsidR="00A51BFD" w:rsidRPr="00A51BFD" w:rsidRDefault="00A51BFD" w:rsidP="00A51BFD">
      <w:pPr>
        <w:ind w:firstLine="720"/>
        <w:rPr>
          <w:sz w:val="28"/>
          <w:szCs w:val="28"/>
        </w:rPr>
      </w:pPr>
    </w:p>
    <w:p w:rsidR="00A51BFD" w:rsidRPr="00A51BFD" w:rsidRDefault="00A51BFD" w:rsidP="00FC77C8">
      <w:pPr>
        <w:ind w:firstLine="720"/>
        <w:jc w:val="center"/>
        <w:rPr>
          <w:b/>
          <w:sz w:val="28"/>
          <w:szCs w:val="28"/>
        </w:rPr>
      </w:pPr>
      <w:r w:rsidRPr="00A51BFD">
        <w:rPr>
          <w:b/>
          <w:sz w:val="28"/>
          <w:szCs w:val="28"/>
        </w:rPr>
        <w:t>Vispārējās vidējās izglī</w:t>
      </w:r>
      <w:r w:rsidR="00FC77C8">
        <w:rPr>
          <w:b/>
          <w:sz w:val="28"/>
          <w:szCs w:val="28"/>
        </w:rPr>
        <w:t>tības</w:t>
      </w:r>
      <w:r w:rsidRPr="00A51BFD">
        <w:rPr>
          <w:b/>
          <w:sz w:val="28"/>
          <w:szCs w:val="28"/>
        </w:rPr>
        <w:t xml:space="preserve"> </w:t>
      </w:r>
      <w:r w:rsidR="00FC77C8">
        <w:rPr>
          <w:b/>
          <w:sz w:val="28"/>
          <w:szCs w:val="28"/>
        </w:rPr>
        <w:t>tālmācības programmu</w:t>
      </w:r>
      <w:r w:rsidRPr="00A51BFD">
        <w:rPr>
          <w:b/>
          <w:sz w:val="28"/>
          <w:szCs w:val="28"/>
        </w:rPr>
        <w:t xml:space="preserve"> paraugs </w:t>
      </w:r>
    </w:p>
    <w:p w:rsidR="00A51BFD" w:rsidRPr="00A51BFD" w:rsidRDefault="00A51BFD" w:rsidP="00A51BFD">
      <w:pPr>
        <w:ind w:firstLine="720"/>
        <w:rPr>
          <w:b/>
          <w:sz w:val="28"/>
          <w:szCs w:val="28"/>
        </w:rPr>
      </w:pPr>
    </w:p>
    <w:p w:rsidR="00A51BFD" w:rsidRPr="00A51BFD" w:rsidRDefault="00A51BFD" w:rsidP="00A51BFD">
      <w:pPr>
        <w:ind w:firstLine="720"/>
        <w:jc w:val="center"/>
        <w:rPr>
          <w:b/>
          <w:sz w:val="28"/>
          <w:szCs w:val="28"/>
        </w:rPr>
      </w:pPr>
      <w:r w:rsidRPr="00A51BFD">
        <w:rPr>
          <w:b/>
          <w:sz w:val="28"/>
          <w:szCs w:val="28"/>
        </w:rPr>
        <w:t>I. Izglītības programmas mērķi un uzdevumi</w:t>
      </w:r>
    </w:p>
    <w:p w:rsidR="00A51BFD" w:rsidRPr="00A51BFD" w:rsidRDefault="00A51BFD" w:rsidP="00A51BFD">
      <w:pPr>
        <w:ind w:firstLine="720"/>
        <w:jc w:val="center"/>
        <w:rPr>
          <w:b/>
          <w:sz w:val="28"/>
          <w:szCs w:val="28"/>
        </w:rPr>
      </w:pPr>
    </w:p>
    <w:p w:rsidR="00D23971" w:rsidRDefault="0031301F" w:rsidP="00D23971">
      <w:pPr>
        <w:pStyle w:val="ListParagraph"/>
        <w:numPr>
          <w:ilvl w:val="0"/>
          <w:numId w:val="3"/>
        </w:numPr>
        <w:tabs>
          <w:tab w:val="left" w:pos="851"/>
        </w:tabs>
        <w:spacing w:after="240"/>
        <w:ind w:left="0" w:firstLine="567"/>
        <w:jc w:val="both"/>
        <w:rPr>
          <w:sz w:val="28"/>
          <w:szCs w:val="28"/>
        </w:rPr>
      </w:pPr>
      <w:r w:rsidRPr="00D23971">
        <w:rPr>
          <w:sz w:val="28"/>
          <w:szCs w:val="28"/>
        </w:rPr>
        <w:t>Vispārējās vidējās izglītības tālmācības programmu (turpmāk – izglītības programma) galvenos mērķus un uzdevumus nosaka valsts vispārējās vidējās izglītības standarts.</w:t>
      </w:r>
    </w:p>
    <w:p w:rsidR="00D23971" w:rsidRPr="00A51BFD" w:rsidRDefault="00D23971" w:rsidP="00D23971">
      <w:pPr>
        <w:pStyle w:val="NormalWeb"/>
        <w:numPr>
          <w:ilvl w:val="0"/>
          <w:numId w:val="3"/>
        </w:numPr>
        <w:tabs>
          <w:tab w:val="left" w:pos="851"/>
        </w:tabs>
        <w:spacing w:before="0" w:after="240"/>
        <w:ind w:left="0" w:firstLine="567"/>
        <w:jc w:val="both"/>
        <w:rPr>
          <w:sz w:val="28"/>
          <w:szCs w:val="28"/>
        </w:rPr>
      </w:pPr>
      <w:r w:rsidRPr="00A51BFD">
        <w:rPr>
          <w:rFonts w:eastAsia="Calibri"/>
          <w:bCs/>
          <w:sz w:val="28"/>
          <w:szCs w:val="28"/>
        </w:rPr>
        <w:t xml:space="preserve">Izglītības programmas </w:t>
      </w:r>
      <w:r w:rsidR="00CA56D4">
        <w:rPr>
          <w:rFonts w:eastAsia="Calibri"/>
          <w:bCs/>
          <w:sz w:val="28"/>
          <w:szCs w:val="28"/>
        </w:rPr>
        <w:t>īpašais</w:t>
      </w:r>
      <w:r>
        <w:rPr>
          <w:rFonts w:eastAsia="Calibri"/>
          <w:bCs/>
          <w:sz w:val="28"/>
          <w:szCs w:val="28"/>
        </w:rPr>
        <w:t xml:space="preserve"> mērķis i</w:t>
      </w:r>
      <w:r w:rsidRPr="00A51BFD">
        <w:rPr>
          <w:rFonts w:eastAsia="Calibri"/>
          <w:bCs/>
          <w:sz w:val="28"/>
          <w:szCs w:val="28"/>
        </w:rPr>
        <w:t>r dot</w:t>
      </w:r>
      <w:r w:rsidRPr="00A51BFD">
        <w:rPr>
          <w:rFonts w:eastAsia="Calibri"/>
          <w:sz w:val="28"/>
          <w:szCs w:val="28"/>
        </w:rPr>
        <w:t xml:space="preserve"> iespēju iegūt izglītību </w:t>
      </w:r>
      <w:r w:rsidRPr="00A51BFD">
        <w:rPr>
          <w:sz w:val="28"/>
          <w:szCs w:val="28"/>
        </w:rPr>
        <w:t>neklātienē tālmācības f</w:t>
      </w:r>
      <w:r>
        <w:rPr>
          <w:sz w:val="28"/>
          <w:szCs w:val="28"/>
        </w:rPr>
        <w:t>ormā personām, kurā</w:t>
      </w:r>
      <w:r w:rsidRPr="00A51BFD">
        <w:rPr>
          <w:sz w:val="28"/>
          <w:szCs w:val="28"/>
        </w:rPr>
        <w:t>m nav iespēju regulāri apmeklēt izglītības iestādi (darba, dzīves vietas, veselības stāvokļa, soci</w:t>
      </w:r>
      <w:r>
        <w:rPr>
          <w:sz w:val="28"/>
          <w:szCs w:val="28"/>
        </w:rPr>
        <w:t>ālu vai citu apstākļu dēļ), kuras</w:t>
      </w:r>
      <w:r w:rsidRPr="00A51BFD">
        <w:rPr>
          <w:sz w:val="28"/>
          <w:szCs w:val="28"/>
        </w:rPr>
        <w:t xml:space="preserve"> dod priekšroku individuālam mācību tempam</w:t>
      </w:r>
      <w:r>
        <w:rPr>
          <w:rFonts w:eastAsia="Calibri"/>
          <w:sz w:val="28"/>
          <w:szCs w:val="28"/>
        </w:rPr>
        <w:t xml:space="preserve"> un kuras ir gatavas</w:t>
      </w:r>
      <w:r w:rsidRPr="00A51BFD">
        <w:rPr>
          <w:rFonts w:eastAsia="Calibri"/>
          <w:sz w:val="28"/>
          <w:szCs w:val="28"/>
        </w:rPr>
        <w:t xml:space="preserve"> patstāvīgai mācību vielas apguvei.</w:t>
      </w:r>
    </w:p>
    <w:p w:rsidR="0031301F" w:rsidRPr="00A60528" w:rsidRDefault="00D23971" w:rsidP="00D23971">
      <w:pPr>
        <w:pStyle w:val="naisf"/>
        <w:spacing w:before="0" w:after="240"/>
        <w:ind w:firstLine="567"/>
        <w:rPr>
          <w:sz w:val="28"/>
          <w:szCs w:val="28"/>
        </w:rPr>
      </w:pPr>
      <w:r>
        <w:rPr>
          <w:sz w:val="28"/>
          <w:szCs w:val="28"/>
        </w:rPr>
        <w:t>3</w:t>
      </w:r>
      <w:r w:rsidR="0031301F" w:rsidRPr="00A60528">
        <w:rPr>
          <w:sz w:val="28"/>
          <w:szCs w:val="28"/>
        </w:rPr>
        <w:t xml:space="preserve">. Vispārizglītojošā virziena izglītības programmas uzdevums ir nodrošināt līdzsvarotu </w:t>
      </w:r>
      <w:r w:rsidR="0031301F">
        <w:rPr>
          <w:sz w:val="28"/>
          <w:szCs w:val="28"/>
        </w:rPr>
        <w:t xml:space="preserve">visu izglītības jomu </w:t>
      </w:r>
      <w:r w:rsidR="0031301F" w:rsidRPr="00A60528">
        <w:rPr>
          <w:sz w:val="28"/>
          <w:szCs w:val="28"/>
        </w:rPr>
        <w:t xml:space="preserve">mācību priekšmetu </w:t>
      </w:r>
      <w:r w:rsidR="0031301F">
        <w:rPr>
          <w:sz w:val="28"/>
          <w:szCs w:val="28"/>
        </w:rPr>
        <w:t>apguvi</w:t>
      </w:r>
      <w:r w:rsidR="0031301F" w:rsidRPr="00A60528">
        <w:rPr>
          <w:sz w:val="28"/>
          <w:szCs w:val="28"/>
        </w:rPr>
        <w:t xml:space="preserve"> un attīstīt interesi par dažādiem cilvēku darbības un zinātnes virzieniem.</w:t>
      </w:r>
    </w:p>
    <w:p w:rsidR="0031301F" w:rsidRPr="00A60528" w:rsidRDefault="00D23971" w:rsidP="00737075">
      <w:pPr>
        <w:pStyle w:val="naisf"/>
        <w:spacing w:before="0" w:after="0"/>
        <w:ind w:firstLine="567"/>
        <w:rPr>
          <w:sz w:val="28"/>
          <w:szCs w:val="28"/>
        </w:rPr>
      </w:pPr>
      <w:r>
        <w:rPr>
          <w:sz w:val="28"/>
          <w:szCs w:val="28"/>
        </w:rPr>
        <w:t>4</w:t>
      </w:r>
      <w:r w:rsidR="0031301F" w:rsidRPr="00A60528">
        <w:rPr>
          <w:sz w:val="28"/>
          <w:szCs w:val="28"/>
        </w:rPr>
        <w:t>. Humanitārā un sociālā virziena izglītības programmas uzdevums ir nodrošināt iespēju paplašināti un padziļināti apgūt valodu un sociālo zinātņu jomas mācību priekšmetus, pilnveidot prasmi orientēties mūsdienu sabiedrības sociāli ekonomis</w:t>
      </w:r>
      <w:r w:rsidR="0031301F" w:rsidRPr="00A60528">
        <w:rPr>
          <w:sz w:val="28"/>
          <w:szCs w:val="28"/>
        </w:rPr>
        <w:softHyphen/>
        <w:t>kajās attiecībās, padziļināti izprast latviešu tautas un citu tautu kultūru Eiropas un pasaules kultūras kontekstā, veicināt izglītojamā konkurētspēju humanitāro un sociālo zinātņu studijās.</w:t>
      </w:r>
    </w:p>
    <w:p w:rsidR="0031301F" w:rsidRPr="00A60528" w:rsidRDefault="0031301F" w:rsidP="00737075">
      <w:pPr>
        <w:pStyle w:val="naisf"/>
        <w:spacing w:before="0" w:after="0"/>
        <w:ind w:firstLine="567"/>
        <w:rPr>
          <w:sz w:val="28"/>
          <w:szCs w:val="28"/>
        </w:rPr>
      </w:pPr>
    </w:p>
    <w:p w:rsidR="0031301F" w:rsidRPr="00A60528" w:rsidRDefault="00D23971" w:rsidP="00737075">
      <w:pPr>
        <w:pStyle w:val="naisf"/>
        <w:spacing w:before="0" w:after="0"/>
        <w:ind w:firstLine="567"/>
        <w:rPr>
          <w:sz w:val="28"/>
          <w:szCs w:val="28"/>
        </w:rPr>
      </w:pPr>
      <w:r>
        <w:rPr>
          <w:sz w:val="28"/>
          <w:szCs w:val="28"/>
        </w:rPr>
        <w:t>5</w:t>
      </w:r>
      <w:r w:rsidR="0031301F" w:rsidRPr="00A60528">
        <w:rPr>
          <w:sz w:val="28"/>
          <w:szCs w:val="28"/>
        </w:rPr>
        <w:t xml:space="preserve">. Matemātikas, dabaszinību un tehnikas virziena izglītības programmas uzdevums ir nodrošināt iespēju padziļināt zināšanas un izpratni par vispārējām dabas likumsakarībām un to lomu cilvēka un sabiedrības dzīvē, veicināt dabas daudzveidības un vienotības izziņu, pilnveidot prasmes un pieredzi eksperimentālajā darbā, rosināt pētnieciskajai darbībai, padziļinot teorētiskās zināšanas un prasmes matemātikā un dabaszinātņu priekšmetos, nodrošināt iespēju apgūt matemātikas un informātikas valodu tehnoloģisko, sabiedrisko un dabaszinātnisko procesu modelēšanai un prognozēšanai, veicināt izglītojamā konkurētspēju </w:t>
      </w:r>
      <w:r w:rsidR="00077C5F">
        <w:rPr>
          <w:sz w:val="28"/>
          <w:szCs w:val="28"/>
        </w:rPr>
        <w:t>izvēlēto</w:t>
      </w:r>
      <w:r w:rsidR="0031301F" w:rsidRPr="00A60528">
        <w:rPr>
          <w:sz w:val="28"/>
          <w:szCs w:val="28"/>
        </w:rPr>
        <w:t xml:space="preserve"> zinātņu studijās.</w:t>
      </w:r>
    </w:p>
    <w:p w:rsidR="0031301F" w:rsidRPr="00A60528" w:rsidRDefault="0031301F" w:rsidP="00737075">
      <w:pPr>
        <w:pStyle w:val="naisf"/>
        <w:spacing w:before="0" w:after="0"/>
        <w:ind w:firstLine="567"/>
        <w:rPr>
          <w:sz w:val="28"/>
          <w:szCs w:val="28"/>
        </w:rPr>
      </w:pPr>
    </w:p>
    <w:p w:rsidR="0031301F" w:rsidRPr="00A60528" w:rsidRDefault="00D23971" w:rsidP="00737075">
      <w:pPr>
        <w:pStyle w:val="naisf"/>
        <w:spacing w:before="0" w:after="0"/>
        <w:ind w:firstLine="567"/>
        <w:rPr>
          <w:sz w:val="28"/>
          <w:szCs w:val="28"/>
        </w:rPr>
      </w:pPr>
      <w:r>
        <w:rPr>
          <w:sz w:val="28"/>
          <w:szCs w:val="28"/>
        </w:rPr>
        <w:t>6</w:t>
      </w:r>
      <w:r w:rsidR="0031301F">
        <w:rPr>
          <w:sz w:val="28"/>
          <w:szCs w:val="28"/>
        </w:rPr>
        <w:t>. Profesionālā</w:t>
      </w:r>
      <w:r w:rsidR="0031301F" w:rsidRPr="00A60528">
        <w:rPr>
          <w:sz w:val="28"/>
          <w:szCs w:val="28"/>
        </w:rPr>
        <w:t xml:space="preserve"> virziena izglītības programmas uzdevums ir nodrošināt iespēju apgūt zināšanas, prasmes un iemaņas gan vispārizglītojošajos, gan ar attiecīgo profesionālo orientāciju saistītajos mācību priekšmetos, radot </w:t>
      </w:r>
      <w:r w:rsidR="0031301F" w:rsidRPr="00A60528">
        <w:rPr>
          <w:sz w:val="28"/>
          <w:szCs w:val="28"/>
        </w:rPr>
        <w:lastRenderedPageBreak/>
        <w:t>motivāciju profesionālās karjeras izvēlei un veicinot izglītojamā konkurētspēju tālākas profesionālās izglītības apguvē.</w:t>
      </w:r>
    </w:p>
    <w:p w:rsidR="0031301F" w:rsidRPr="00A60528" w:rsidRDefault="0031301F" w:rsidP="00737075">
      <w:pPr>
        <w:ind w:firstLine="567"/>
        <w:jc w:val="both"/>
        <w:rPr>
          <w:sz w:val="28"/>
          <w:szCs w:val="28"/>
        </w:rPr>
      </w:pPr>
    </w:p>
    <w:p w:rsidR="00077C5F" w:rsidRDefault="00D23971" w:rsidP="00737075">
      <w:pPr>
        <w:ind w:firstLine="567"/>
        <w:jc w:val="both"/>
        <w:rPr>
          <w:sz w:val="28"/>
          <w:szCs w:val="28"/>
        </w:rPr>
      </w:pPr>
      <w:r>
        <w:rPr>
          <w:sz w:val="28"/>
          <w:szCs w:val="28"/>
        </w:rPr>
        <w:t>7</w:t>
      </w:r>
      <w:r w:rsidR="0031301F" w:rsidRPr="00A60528">
        <w:rPr>
          <w:sz w:val="28"/>
          <w:szCs w:val="28"/>
        </w:rPr>
        <w:t>. Mazākumtautību izglītības programmu mērķis ir sekmēt izglī</w:t>
      </w:r>
      <w:r w:rsidR="00077C5F">
        <w:rPr>
          <w:sz w:val="28"/>
          <w:szCs w:val="28"/>
        </w:rPr>
        <w:t>tojamā sociāli aktīvu attieksmi:</w:t>
      </w:r>
    </w:p>
    <w:p w:rsidR="00FD0E61" w:rsidRDefault="00FD0E61" w:rsidP="0031301F">
      <w:pPr>
        <w:ind w:firstLine="720"/>
        <w:jc w:val="both"/>
        <w:rPr>
          <w:sz w:val="28"/>
          <w:szCs w:val="28"/>
        </w:rPr>
      </w:pPr>
    </w:p>
    <w:p w:rsidR="0031301F" w:rsidRPr="00A60528" w:rsidRDefault="00D23971" w:rsidP="0031301F">
      <w:pPr>
        <w:ind w:firstLine="720"/>
        <w:jc w:val="both"/>
        <w:rPr>
          <w:sz w:val="28"/>
          <w:szCs w:val="28"/>
        </w:rPr>
      </w:pPr>
      <w:r>
        <w:rPr>
          <w:sz w:val="28"/>
          <w:szCs w:val="28"/>
        </w:rPr>
        <w:t>7</w:t>
      </w:r>
      <w:r w:rsidR="00077C5F">
        <w:rPr>
          <w:sz w:val="28"/>
          <w:szCs w:val="28"/>
        </w:rPr>
        <w:t>.1.</w:t>
      </w:r>
      <w:r w:rsidR="0031301F" w:rsidRPr="00A60528">
        <w:rPr>
          <w:sz w:val="28"/>
          <w:szCs w:val="28"/>
        </w:rPr>
        <w:t xml:space="preserve"> saglabājot un attīstot savu valodu,</w:t>
      </w:r>
      <w:r w:rsidR="00077C5F">
        <w:rPr>
          <w:sz w:val="28"/>
          <w:szCs w:val="28"/>
        </w:rPr>
        <w:t xml:space="preserve"> etnisko un kultūras savdabību,</w:t>
      </w:r>
    </w:p>
    <w:p w:rsidR="0031301F" w:rsidRPr="00A60528" w:rsidRDefault="00D23971" w:rsidP="0031301F">
      <w:pPr>
        <w:ind w:firstLine="720"/>
        <w:jc w:val="both"/>
        <w:rPr>
          <w:sz w:val="28"/>
          <w:szCs w:val="28"/>
        </w:rPr>
      </w:pPr>
      <w:r>
        <w:rPr>
          <w:sz w:val="28"/>
          <w:szCs w:val="28"/>
        </w:rPr>
        <w:t>7</w:t>
      </w:r>
      <w:r w:rsidR="0031301F" w:rsidRPr="00A60528">
        <w:rPr>
          <w:sz w:val="28"/>
          <w:szCs w:val="28"/>
        </w:rPr>
        <w:t>.</w:t>
      </w:r>
      <w:r w:rsidR="00077C5F">
        <w:rPr>
          <w:sz w:val="28"/>
          <w:szCs w:val="28"/>
        </w:rPr>
        <w:t>2</w:t>
      </w:r>
      <w:r w:rsidR="0031301F" w:rsidRPr="00A60528">
        <w:rPr>
          <w:sz w:val="28"/>
          <w:szCs w:val="28"/>
        </w:rPr>
        <w:t>. padziļin</w:t>
      </w:r>
      <w:r w:rsidR="00077C5F">
        <w:rPr>
          <w:sz w:val="28"/>
          <w:szCs w:val="28"/>
        </w:rPr>
        <w:t>ot</w:t>
      </w:r>
      <w:r w:rsidR="0031301F" w:rsidRPr="00A60528">
        <w:rPr>
          <w:sz w:val="28"/>
          <w:szCs w:val="28"/>
        </w:rPr>
        <w:t xml:space="preserve"> izpratni par latviešu valodas lomu daudzkultūru sabiedrībā;</w:t>
      </w:r>
    </w:p>
    <w:p w:rsidR="0031301F" w:rsidRPr="00A60528" w:rsidRDefault="00D23971" w:rsidP="0031301F">
      <w:pPr>
        <w:ind w:firstLine="720"/>
        <w:jc w:val="both"/>
        <w:rPr>
          <w:sz w:val="28"/>
          <w:szCs w:val="28"/>
        </w:rPr>
      </w:pPr>
      <w:r>
        <w:rPr>
          <w:sz w:val="28"/>
          <w:szCs w:val="28"/>
        </w:rPr>
        <w:t>7</w:t>
      </w:r>
      <w:r w:rsidR="0031301F" w:rsidRPr="00A60528">
        <w:rPr>
          <w:sz w:val="28"/>
          <w:szCs w:val="28"/>
        </w:rPr>
        <w:t>.</w:t>
      </w:r>
      <w:r w:rsidR="00077C5F">
        <w:rPr>
          <w:sz w:val="28"/>
          <w:szCs w:val="28"/>
        </w:rPr>
        <w:t>3</w:t>
      </w:r>
      <w:r w:rsidR="0031301F" w:rsidRPr="00A60528">
        <w:rPr>
          <w:sz w:val="28"/>
          <w:szCs w:val="28"/>
        </w:rPr>
        <w:t>. pilnveido</w:t>
      </w:r>
      <w:r w:rsidR="00077C5F">
        <w:rPr>
          <w:sz w:val="28"/>
          <w:szCs w:val="28"/>
        </w:rPr>
        <w:t>jot</w:t>
      </w:r>
      <w:r w:rsidR="0031301F" w:rsidRPr="00A60528">
        <w:rPr>
          <w:sz w:val="28"/>
          <w:szCs w:val="28"/>
        </w:rPr>
        <w:t xml:space="preserve"> izglītojamā dzimtās valodas un literatūras kompetences kā personības garīgās, intelektuālās attīstības un </w:t>
      </w:r>
      <w:proofErr w:type="spellStart"/>
      <w:r w:rsidR="0031301F" w:rsidRPr="00A60528">
        <w:rPr>
          <w:sz w:val="28"/>
          <w:szCs w:val="28"/>
        </w:rPr>
        <w:t>pašrealizācijas</w:t>
      </w:r>
      <w:proofErr w:type="spellEnd"/>
      <w:r w:rsidR="0031301F" w:rsidRPr="00A60528">
        <w:rPr>
          <w:sz w:val="28"/>
          <w:szCs w:val="28"/>
        </w:rPr>
        <w:t xml:space="preserve"> līdzekli daudzkultūru sabiedrībā;</w:t>
      </w:r>
    </w:p>
    <w:p w:rsidR="00A51BFD" w:rsidRPr="00A51BFD" w:rsidRDefault="00D23971" w:rsidP="00D23971">
      <w:pPr>
        <w:ind w:firstLine="720"/>
        <w:jc w:val="both"/>
        <w:rPr>
          <w:sz w:val="28"/>
          <w:szCs w:val="28"/>
        </w:rPr>
      </w:pPr>
      <w:r>
        <w:rPr>
          <w:sz w:val="28"/>
          <w:szCs w:val="28"/>
        </w:rPr>
        <w:t>7</w:t>
      </w:r>
      <w:r w:rsidR="0031301F" w:rsidRPr="00A60528">
        <w:rPr>
          <w:sz w:val="28"/>
          <w:szCs w:val="28"/>
        </w:rPr>
        <w:t>.</w:t>
      </w:r>
      <w:r w:rsidR="00077C5F">
        <w:rPr>
          <w:sz w:val="28"/>
          <w:szCs w:val="28"/>
        </w:rPr>
        <w:t>4</w:t>
      </w:r>
      <w:r w:rsidR="0031301F" w:rsidRPr="00A60528">
        <w:rPr>
          <w:sz w:val="28"/>
          <w:szCs w:val="28"/>
        </w:rPr>
        <w:t>. veicin</w:t>
      </w:r>
      <w:r w:rsidR="00077C5F">
        <w:rPr>
          <w:sz w:val="28"/>
          <w:szCs w:val="28"/>
        </w:rPr>
        <w:t>ot</w:t>
      </w:r>
      <w:r w:rsidR="0031301F" w:rsidRPr="00A60528">
        <w:rPr>
          <w:sz w:val="28"/>
          <w:szCs w:val="28"/>
        </w:rPr>
        <w:t xml:space="preserve"> izglītības satura un valodas integrētu apguvi.</w:t>
      </w:r>
    </w:p>
    <w:p w:rsidR="00A51BFD" w:rsidRPr="00A51BFD" w:rsidRDefault="00A51BFD" w:rsidP="00A51BFD">
      <w:pPr>
        <w:pStyle w:val="BodyText"/>
        <w:spacing w:before="0" w:beforeAutospacing="0" w:after="0" w:afterAutospacing="0"/>
        <w:ind w:firstLine="720"/>
        <w:jc w:val="both"/>
        <w:rPr>
          <w:rFonts w:ascii="Times New Roman" w:hAnsi="Times New Roman"/>
          <w:sz w:val="28"/>
          <w:szCs w:val="28"/>
          <w:lang w:val="lv-LV"/>
        </w:rPr>
      </w:pPr>
    </w:p>
    <w:p w:rsidR="00A51BFD" w:rsidRPr="00A51BFD" w:rsidRDefault="0031301F" w:rsidP="00A51BFD">
      <w:pPr>
        <w:pStyle w:val="BodyText"/>
        <w:spacing w:before="0" w:beforeAutospacing="0" w:after="0" w:afterAutospacing="0"/>
        <w:ind w:firstLine="720"/>
        <w:jc w:val="both"/>
        <w:rPr>
          <w:rFonts w:ascii="Times New Roman" w:hAnsi="Times New Roman"/>
          <w:sz w:val="28"/>
          <w:szCs w:val="28"/>
          <w:lang w:val="lv-LV"/>
        </w:rPr>
      </w:pPr>
      <w:r>
        <w:rPr>
          <w:rFonts w:ascii="Times New Roman" w:hAnsi="Times New Roman"/>
          <w:sz w:val="28"/>
          <w:szCs w:val="28"/>
          <w:lang w:val="lv-LV"/>
        </w:rPr>
        <w:t>8</w:t>
      </w:r>
      <w:r w:rsidR="00A51BFD" w:rsidRPr="00A51BFD">
        <w:rPr>
          <w:rFonts w:ascii="Times New Roman" w:hAnsi="Times New Roman"/>
          <w:sz w:val="28"/>
          <w:szCs w:val="28"/>
          <w:lang w:val="lv-LV"/>
        </w:rPr>
        <w:t>. Izglītības programma nodrošina tālmācībai īpaši organizētu mācību procesu ar sistematizētiem un izkārtotiem mācību materiāliem un dažādu tehnisko un elektronisko tālsaziņas līdzekļu izmantošanu, kā arī individuālu mācīšanās tempu un specifisku iegūto zināšanu pārbaudes un sasniegtā izglītības līmeņa novērtēšanas veidu un kārtību.</w:t>
      </w:r>
    </w:p>
    <w:p w:rsidR="00A51BFD" w:rsidRPr="00A51BFD" w:rsidRDefault="00A51BFD" w:rsidP="00A51BFD">
      <w:pPr>
        <w:pStyle w:val="BodyText"/>
        <w:spacing w:before="0" w:beforeAutospacing="0" w:after="0" w:afterAutospacing="0"/>
        <w:ind w:firstLine="720"/>
        <w:jc w:val="center"/>
        <w:rPr>
          <w:rFonts w:ascii="Times New Roman" w:hAnsi="Times New Roman"/>
          <w:b/>
          <w:sz w:val="28"/>
          <w:szCs w:val="28"/>
          <w:lang w:val="lv-LV"/>
        </w:rPr>
      </w:pPr>
    </w:p>
    <w:p w:rsidR="00A51BFD" w:rsidRPr="00A51BFD" w:rsidRDefault="00A51BFD" w:rsidP="00A51BFD">
      <w:pPr>
        <w:pStyle w:val="BodyText"/>
        <w:spacing w:before="0" w:beforeAutospacing="0" w:after="0" w:afterAutospacing="0"/>
        <w:ind w:firstLine="720"/>
        <w:jc w:val="center"/>
        <w:rPr>
          <w:rFonts w:ascii="Times New Roman" w:hAnsi="Times New Roman"/>
          <w:b/>
          <w:sz w:val="28"/>
          <w:szCs w:val="28"/>
          <w:lang w:val="lv-LV"/>
        </w:rPr>
      </w:pPr>
      <w:r w:rsidRPr="00A51BFD">
        <w:rPr>
          <w:rFonts w:ascii="Times New Roman" w:hAnsi="Times New Roman"/>
          <w:b/>
          <w:sz w:val="28"/>
          <w:szCs w:val="28"/>
          <w:lang w:val="lv-LV"/>
        </w:rPr>
        <w:t>II. Izglītības saturs</w:t>
      </w:r>
    </w:p>
    <w:p w:rsidR="00A51BFD" w:rsidRPr="00A51BFD" w:rsidRDefault="00A51BFD" w:rsidP="00A51BFD">
      <w:pPr>
        <w:ind w:firstLine="720"/>
        <w:jc w:val="both"/>
        <w:rPr>
          <w:sz w:val="28"/>
          <w:szCs w:val="28"/>
        </w:rPr>
      </w:pPr>
    </w:p>
    <w:p w:rsidR="00A51BFD" w:rsidRPr="00A51BFD" w:rsidRDefault="00EC3F76" w:rsidP="00A51BFD">
      <w:pPr>
        <w:ind w:firstLine="720"/>
        <w:jc w:val="both"/>
        <w:rPr>
          <w:sz w:val="28"/>
          <w:szCs w:val="28"/>
        </w:rPr>
      </w:pPr>
      <w:r>
        <w:rPr>
          <w:sz w:val="28"/>
          <w:szCs w:val="28"/>
        </w:rPr>
        <w:t>9</w:t>
      </w:r>
      <w:r w:rsidR="00A51BFD" w:rsidRPr="00A51BFD">
        <w:rPr>
          <w:sz w:val="28"/>
          <w:szCs w:val="28"/>
        </w:rPr>
        <w:t xml:space="preserve">. </w:t>
      </w:r>
      <w:r w:rsidR="0031301F">
        <w:rPr>
          <w:sz w:val="28"/>
          <w:szCs w:val="28"/>
        </w:rPr>
        <w:t>I</w:t>
      </w:r>
      <w:r w:rsidR="0031301F" w:rsidRPr="00A60528">
        <w:rPr>
          <w:sz w:val="28"/>
          <w:szCs w:val="28"/>
        </w:rPr>
        <w:t>zglītība</w:t>
      </w:r>
      <w:r w:rsidR="0031301F">
        <w:rPr>
          <w:sz w:val="28"/>
          <w:szCs w:val="28"/>
        </w:rPr>
        <w:t>s programmas obligāto saturu un obligātos</w:t>
      </w:r>
      <w:r w:rsidR="0031301F" w:rsidRPr="00A60528">
        <w:rPr>
          <w:sz w:val="28"/>
          <w:szCs w:val="28"/>
        </w:rPr>
        <w:t xml:space="preserve"> m</w:t>
      </w:r>
      <w:r w:rsidR="0031301F">
        <w:rPr>
          <w:sz w:val="28"/>
          <w:szCs w:val="28"/>
        </w:rPr>
        <w:t>ācību priekšmetus nosaka</w:t>
      </w:r>
      <w:r w:rsidR="0031301F" w:rsidRPr="00A60528">
        <w:rPr>
          <w:sz w:val="28"/>
          <w:szCs w:val="28"/>
        </w:rPr>
        <w:t xml:space="preserve"> </w:t>
      </w:r>
      <w:r w:rsidR="0031301F" w:rsidRPr="001E756F">
        <w:rPr>
          <w:sz w:val="28"/>
          <w:szCs w:val="28"/>
        </w:rPr>
        <w:t>valsts vispārē</w:t>
      </w:r>
      <w:r w:rsidR="0031301F">
        <w:rPr>
          <w:sz w:val="28"/>
          <w:szCs w:val="28"/>
        </w:rPr>
        <w:t>jās vidējās izglītības standarts</w:t>
      </w:r>
      <w:r w:rsidR="0031301F" w:rsidRPr="00A60528">
        <w:rPr>
          <w:sz w:val="28"/>
          <w:szCs w:val="28"/>
        </w:rPr>
        <w:t>.</w:t>
      </w:r>
    </w:p>
    <w:p w:rsidR="00A51BFD" w:rsidRPr="00A51BFD" w:rsidRDefault="00A51BFD" w:rsidP="00A51BFD">
      <w:pPr>
        <w:ind w:firstLine="720"/>
        <w:jc w:val="both"/>
        <w:rPr>
          <w:b/>
          <w:sz w:val="28"/>
          <w:szCs w:val="28"/>
        </w:rPr>
      </w:pPr>
    </w:p>
    <w:p w:rsidR="00A51BFD" w:rsidRPr="00A51BFD" w:rsidRDefault="00A51BFD" w:rsidP="00A51BFD">
      <w:pPr>
        <w:ind w:firstLine="720"/>
        <w:jc w:val="center"/>
        <w:rPr>
          <w:b/>
          <w:sz w:val="28"/>
          <w:szCs w:val="28"/>
        </w:rPr>
      </w:pPr>
      <w:r w:rsidRPr="00A51BFD">
        <w:rPr>
          <w:b/>
          <w:sz w:val="28"/>
          <w:szCs w:val="28"/>
        </w:rPr>
        <w:t xml:space="preserve">III. Izglītības programmas īstenošanas </w:t>
      </w:r>
      <w:smartTag w:uri="schemas-tilde-lv/tildestengine" w:element="veidnes">
        <w:smartTagPr>
          <w:attr w:name="id" w:val="-1"/>
          <w:attr w:name="baseform" w:val="plāns"/>
          <w:attr w:name="text" w:val="plāns&#10;"/>
        </w:smartTagPr>
        <w:r w:rsidRPr="00A51BFD">
          <w:rPr>
            <w:b/>
            <w:sz w:val="28"/>
            <w:szCs w:val="28"/>
          </w:rPr>
          <w:t>plāns</w:t>
        </w:r>
      </w:smartTag>
    </w:p>
    <w:p w:rsidR="00A51BFD" w:rsidRPr="00A51BFD" w:rsidRDefault="00A51BFD" w:rsidP="00A51BFD">
      <w:pPr>
        <w:pStyle w:val="BodyText"/>
        <w:spacing w:before="0" w:beforeAutospacing="0" w:after="0" w:afterAutospacing="0"/>
        <w:ind w:firstLine="720"/>
        <w:jc w:val="both"/>
        <w:rPr>
          <w:rFonts w:ascii="Times New Roman" w:hAnsi="Times New Roman"/>
          <w:sz w:val="28"/>
          <w:szCs w:val="28"/>
          <w:lang w:val="lv-LV"/>
        </w:rPr>
      </w:pPr>
      <w:r w:rsidRPr="00A51BFD">
        <w:rPr>
          <w:rFonts w:ascii="Times New Roman" w:hAnsi="Times New Roman"/>
          <w:sz w:val="28"/>
          <w:szCs w:val="28"/>
          <w:lang w:val="lv-LV"/>
        </w:rPr>
        <w:tab/>
      </w:r>
    </w:p>
    <w:p w:rsidR="00A51BFD" w:rsidRPr="00A51BFD" w:rsidRDefault="00EC3F76" w:rsidP="00A51BFD">
      <w:pPr>
        <w:pStyle w:val="BodyTextIndent"/>
        <w:spacing w:after="0"/>
        <w:ind w:left="0" w:firstLine="720"/>
        <w:jc w:val="both"/>
        <w:rPr>
          <w:sz w:val="28"/>
          <w:szCs w:val="28"/>
        </w:rPr>
      </w:pPr>
      <w:r>
        <w:rPr>
          <w:rFonts w:eastAsia="Arial Unicode MS"/>
          <w:sz w:val="28"/>
          <w:szCs w:val="28"/>
        </w:rPr>
        <w:t>10</w:t>
      </w:r>
      <w:r w:rsidR="00A51BFD" w:rsidRPr="00A51BFD">
        <w:rPr>
          <w:rFonts w:eastAsia="Arial Unicode MS"/>
          <w:sz w:val="28"/>
          <w:szCs w:val="28"/>
        </w:rPr>
        <w:t xml:space="preserve">. </w:t>
      </w:r>
      <w:r w:rsidR="00A51BFD" w:rsidRPr="00A51BFD">
        <w:rPr>
          <w:sz w:val="28"/>
          <w:szCs w:val="28"/>
        </w:rPr>
        <w:t xml:space="preserve">Izglītības programmu </w:t>
      </w:r>
      <w:r w:rsidR="000C3BE9">
        <w:rPr>
          <w:sz w:val="28"/>
          <w:szCs w:val="28"/>
        </w:rPr>
        <w:t xml:space="preserve">atbilstoši mācību darba organizācijas formu (klātienes grupu konsultācijas, klātienes individuālās konsultācijas, individuālās neklātienes konsultācijas, ieskaites) specifikai </w:t>
      </w:r>
      <w:r w:rsidR="00A51BFD" w:rsidRPr="00A51BFD">
        <w:rPr>
          <w:sz w:val="28"/>
          <w:szCs w:val="28"/>
        </w:rPr>
        <w:t>īsteno pēc šāda ieteicamā mācību priekšmetu, konsultāciju un ieskaišu plāna:</w:t>
      </w:r>
    </w:p>
    <w:p w:rsidR="00A51BFD" w:rsidRPr="00A51BFD" w:rsidRDefault="00EC3F76" w:rsidP="00A51BFD">
      <w:pPr>
        <w:pStyle w:val="BodyText"/>
        <w:spacing w:before="0" w:beforeAutospacing="0" w:after="0" w:afterAutospacing="0"/>
        <w:ind w:firstLine="720"/>
        <w:jc w:val="both"/>
        <w:rPr>
          <w:rFonts w:ascii="Times New Roman" w:hAnsi="Times New Roman"/>
          <w:sz w:val="28"/>
          <w:szCs w:val="28"/>
          <w:lang w:val="lv-LV"/>
        </w:rPr>
      </w:pPr>
      <w:r>
        <w:rPr>
          <w:rFonts w:ascii="Times New Roman" w:hAnsi="Times New Roman"/>
          <w:sz w:val="28"/>
          <w:szCs w:val="28"/>
          <w:lang w:val="lv-LV"/>
        </w:rPr>
        <w:t>10</w:t>
      </w:r>
      <w:r w:rsidR="00A51BFD" w:rsidRPr="00A51BFD">
        <w:rPr>
          <w:rFonts w:ascii="Times New Roman" w:hAnsi="Times New Roman"/>
          <w:sz w:val="28"/>
          <w:szCs w:val="28"/>
          <w:lang w:val="lv-LV"/>
        </w:rPr>
        <w:t>.1. 10.klasē:</w:t>
      </w:r>
    </w:p>
    <w:tbl>
      <w:tblPr>
        <w:tblW w:w="0" w:type="auto"/>
        <w:tblLook w:val="04A0"/>
      </w:tblPr>
      <w:tblGrid>
        <w:gridCol w:w="2090"/>
        <w:gridCol w:w="1625"/>
        <w:gridCol w:w="1685"/>
        <w:gridCol w:w="1703"/>
        <w:gridCol w:w="1056"/>
        <w:gridCol w:w="1128"/>
      </w:tblGrid>
      <w:tr w:rsidR="00A51BFD" w:rsidRPr="00A51BFD">
        <w:trPr>
          <w:trHeight w:val="79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51BFD" w:rsidRPr="00A51BFD" w:rsidRDefault="00A51BFD" w:rsidP="00F8266F">
            <w:r w:rsidRPr="00A51BFD">
              <w:t>Mācību priekšmeti</w:t>
            </w:r>
          </w:p>
        </w:tc>
        <w:tc>
          <w:tcPr>
            <w:tcW w:w="0" w:type="auto"/>
            <w:tcBorders>
              <w:top w:val="single" w:sz="4" w:space="0" w:color="auto"/>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Klātienes grupu konsultācijas</w:t>
            </w:r>
          </w:p>
        </w:tc>
        <w:tc>
          <w:tcPr>
            <w:tcW w:w="0" w:type="auto"/>
            <w:tcBorders>
              <w:top w:val="single" w:sz="4" w:space="0" w:color="auto"/>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Klātienes individuālas konsultācijas</w:t>
            </w:r>
          </w:p>
        </w:tc>
        <w:tc>
          <w:tcPr>
            <w:tcW w:w="0" w:type="auto"/>
            <w:tcBorders>
              <w:top w:val="single" w:sz="4" w:space="0" w:color="auto"/>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Individuālas neklātienes konsultācijas</w:t>
            </w:r>
          </w:p>
        </w:tc>
        <w:tc>
          <w:tcPr>
            <w:tcW w:w="0" w:type="auto"/>
            <w:tcBorders>
              <w:top w:val="single" w:sz="4" w:space="0" w:color="auto"/>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Ieskaites</w:t>
            </w:r>
          </w:p>
        </w:tc>
        <w:tc>
          <w:tcPr>
            <w:tcW w:w="0" w:type="auto"/>
            <w:tcBorders>
              <w:top w:val="single" w:sz="4" w:space="0" w:color="auto"/>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Mācību stundu skaits gadā</w:t>
            </w:r>
          </w:p>
        </w:tc>
      </w:tr>
      <w:tr w:rsidR="00A51BFD" w:rsidRPr="00A51BFD">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F8266F">
            <w:r w:rsidRPr="00A51BFD">
              <w:t>Latviešu valoda</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4</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1</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noWrap/>
            <w:vAlign w:val="center"/>
          </w:tcPr>
          <w:p w:rsidR="00A51BFD" w:rsidRPr="00A51BFD" w:rsidRDefault="00A51BFD" w:rsidP="00F8266F">
            <w:pPr>
              <w:jc w:val="center"/>
            </w:pPr>
            <w:r w:rsidRPr="00A51BFD">
              <w:t>70</w:t>
            </w:r>
          </w:p>
        </w:tc>
      </w:tr>
      <w:tr w:rsidR="00A51BFD" w:rsidRPr="00A51BFD">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F8266F">
            <w:pPr>
              <w:rPr>
                <w:vertAlign w:val="superscript"/>
              </w:rPr>
            </w:pPr>
            <w:r w:rsidRPr="00A51BFD">
              <w:t>Mazākumtautību valoda un literatūra</w:t>
            </w:r>
            <w:r w:rsidRPr="00A51BFD">
              <w:rPr>
                <w:vertAlign w:val="superscript"/>
              </w:rPr>
              <w:t>*</w:t>
            </w:r>
          </w:p>
        </w:tc>
        <w:tc>
          <w:tcPr>
            <w:tcW w:w="0" w:type="auto"/>
            <w:tcBorders>
              <w:top w:val="nil"/>
              <w:left w:val="nil"/>
              <w:bottom w:val="single" w:sz="4" w:space="0" w:color="auto"/>
              <w:right w:val="single" w:sz="4" w:space="0" w:color="auto"/>
            </w:tcBorders>
            <w:shd w:val="clear" w:color="auto" w:fill="auto"/>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tcPr>
          <w:p w:rsidR="00A51BFD" w:rsidRPr="00A51BFD" w:rsidRDefault="00A51BFD" w:rsidP="00F8266F">
            <w:pPr>
              <w:jc w:val="center"/>
            </w:pPr>
            <w:r w:rsidRPr="00A51BFD">
              <w:t>1</w:t>
            </w:r>
          </w:p>
        </w:tc>
        <w:tc>
          <w:tcPr>
            <w:tcW w:w="0" w:type="auto"/>
            <w:tcBorders>
              <w:top w:val="nil"/>
              <w:left w:val="nil"/>
              <w:bottom w:val="single" w:sz="4" w:space="0" w:color="auto"/>
              <w:right w:val="single" w:sz="4" w:space="0" w:color="auto"/>
            </w:tcBorders>
            <w:shd w:val="clear" w:color="auto" w:fill="auto"/>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noWrap/>
          </w:tcPr>
          <w:p w:rsidR="00A51BFD" w:rsidRPr="00A51BFD" w:rsidRDefault="00A51BFD" w:rsidP="00F8266F">
            <w:pPr>
              <w:jc w:val="center"/>
            </w:pPr>
            <w:r w:rsidRPr="00A51BFD">
              <w:t>70</w:t>
            </w:r>
          </w:p>
        </w:tc>
      </w:tr>
      <w:tr w:rsidR="00A51BFD" w:rsidRPr="00A51BFD">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F8266F">
            <w:r w:rsidRPr="00A51BFD">
              <w:t>Pirmā svešvaloda</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4</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noWrap/>
            <w:vAlign w:val="center"/>
          </w:tcPr>
          <w:p w:rsidR="00A51BFD" w:rsidRPr="00A51BFD" w:rsidRDefault="00A51BFD" w:rsidP="00F8266F">
            <w:pPr>
              <w:jc w:val="center"/>
            </w:pPr>
            <w:r w:rsidRPr="00A51BFD">
              <w:t>105</w:t>
            </w:r>
          </w:p>
        </w:tc>
      </w:tr>
      <w:tr w:rsidR="00A51BFD" w:rsidRPr="00A51BFD">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F8266F">
            <w:r w:rsidRPr="00A51BFD">
              <w:t>Matemātika</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6</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4</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4</w:t>
            </w:r>
          </w:p>
        </w:tc>
        <w:tc>
          <w:tcPr>
            <w:tcW w:w="0" w:type="auto"/>
            <w:tcBorders>
              <w:top w:val="nil"/>
              <w:left w:val="nil"/>
              <w:bottom w:val="single" w:sz="4" w:space="0" w:color="auto"/>
              <w:right w:val="single" w:sz="4" w:space="0" w:color="auto"/>
            </w:tcBorders>
            <w:shd w:val="clear" w:color="auto" w:fill="auto"/>
            <w:noWrap/>
            <w:vAlign w:val="center"/>
          </w:tcPr>
          <w:p w:rsidR="00A51BFD" w:rsidRPr="00A51BFD" w:rsidRDefault="00A51BFD" w:rsidP="00F8266F">
            <w:pPr>
              <w:jc w:val="center"/>
            </w:pPr>
            <w:r w:rsidRPr="00A51BFD">
              <w:t>140</w:t>
            </w:r>
          </w:p>
        </w:tc>
      </w:tr>
      <w:tr w:rsidR="00A51BFD" w:rsidRPr="00A51BFD">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F8266F">
            <w:r w:rsidRPr="00A51BFD">
              <w:t>Informātika</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1</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noWrap/>
            <w:vAlign w:val="center"/>
          </w:tcPr>
          <w:p w:rsidR="00A51BFD" w:rsidRPr="00A51BFD" w:rsidRDefault="00A51BFD" w:rsidP="00F8266F">
            <w:pPr>
              <w:jc w:val="center"/>
            </w:pPr>
            <w:r w:rsidRPr="00A51BFD">
              <w:t>70</w:t>
            </w:r>
          </w:p>
        </w:tc>
      </w:tr>
      <w:tr w:rsidR="00A51BFD" w:rsidRPr="00A51BFD">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F8266F">
            <w:r w:rsidRPr="00A51BFD">
              <w:lastRenderedPageBreak/>
              <w:t>Latvijas un pasaules vēsture</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4</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1</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noWrap/>
            <w:vAlign w:val="center"/>
          </w:tcPr>
          <w:p w:rsidR="00A51BFD" w:rsidRPr="00A51BFD" w:rsidRDefault="00A51BFD" w:rsidP="00F8266F">
            <w:pPr>
              <w:jc w:val="center"/>
            </w:pPr>
            <w:r w:rsidRPr="00A51BFD">
              <w:t>70</w:t>
            </w:r>
          </w:p>
        </w:tc>
      </w:tr>
      <w:tr w:rsidR="00A51BFD" w:rsidRPr="00A51BFD">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F8266F">
            <w:r w:rsidRPr="00A51BFD">
              <w:t>Fizika</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4</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noWrap/>
            <w:vAlign w:val="center"/>
          </w:tcPr>
          <w:p w:rsidR="00A51BFD" w:rsidRPr="00A51BFD" w:rsidRDefault="00A51BFD" w:rsidP="00F8266F">
            <w:pPr>
              <w:jc w:val="center"/>
            </w:pPr>
            <w:r w:rsidRPr="00A51BFD">
              <w:t>105</w:t>
            </w:r>
          </w:p>
        </w:tc>
      </w:tr>
      <w:tr w:rsidR="00A51BFD" w:rsidRPr="00A51BFD">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F8266F">
            <w:r w:rsidRPr="00A51BFD">
              <w:t>Ķīmija</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4</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noWrap/>
            <w:vAlign w:val="center"/>
          </w:tcPr>
          <w:p w:rsidR="00A51BFD" w:rsidRPr="00A51BFD" w:rsidRDefault="00A51BFD" w:rsidP="00F8266F">
            <w:pPr>
              <w:jc w:val="center"/>
            </w:pPr>
            <w:r w:rsidRPr="00A51BFD">
              <w:t>70</w:t>
            </w:r>
          </w:p>
        </w:tc>
      </w:tr>
      <w:tr w:rsidR="00A51BFD" w:rsidRPr="00A51BFD">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F8266F">
            <w:r w:rsidRPr="00A51BFD">
              <w:t>Bioloģija</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3</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noWrap/>
            <w:vAlign w:val="center"/>
          </w:tcPr>
          <w:p w:rsidR="00A51BFD" w:rsidRPr="00A51BFD" w:rsidRDefault="00A51BFD" w:rsidP="00F8266F">
            <w:pPr>
              <w:jc w:val="center"/>
            </w:pPr>
            <w:r w:rsidRPr="00A51BFD">
              <w:t>70</w:t>
            </w:r>
          </w:p>
        </w:tc>
      </w:tr>
      <w:tr w:rsidR="00A51BFD" w:rsidRPr="00A51BFD">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F8266F">
            <w:r w:rsidRPr="00A51BFD">
              <w:t>Literatūra</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4</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1</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vAlign w:val="center"/>
          </w:tcPr>
          <w:p w:rsidR="00A51BFD" w:rsidRPr="00A51BFD" w:rsidRDefault="00A51BFD" w:rsidP="00F8266F">
            <w:pPr>
              <w:jc w:val="center"/>
            </w:pPr>
            <w:r w:rsidRPr="00A51BFD">
              <w:t>2</w:t>
            </w:r>
          </w:p>
        </w:tc>
        <w:tc>
          <w:tcPr>
            <w:tcW w:w="0" w:type="auto"/>
            <w:tcBorders>
              <w:top w:val="nil"/>
              <w:left w:val="nil"/>
              <w:bottom w:val="single" w:sz="4" w:space="0" w:color="auto"/>
              <w:right w:val="single" w:sz="4" w:space="0" w:color="auto"/>
            </w:tcBorders>
            <w:shd w:val="clear" w:color="auto" w:fill="auto"/>
            <w:noWrap/>
            <w:vAlign w:val="center"/>
          </w:tcPr>
          <w:p w:rsidR="00A51BFD" w:rsidRPr="00A51BFD" w:rsidRDefault="00A51BFD" w:rsidP="00F8266F">
            <w:pPr>
              <w:jc w:val="center"/>
            </w:pPr>
            <w:r w:rsidRPr="00A51BFD">
              <w:t>70</w:t>
            </w:r>
          </w:p>
        </w:tc>
      </w:tr>
      <w:tr w:rsidR="00A51BFD" w:rsidRPr="00A51BFD">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51BFD" w:rsidRPr="00A51BFD" w:rsidRDefault="00A51BFD" w:rsidP="00F8266F">
            <w:r w:rsidRPr="00A51BFD">
              <w:t>Kopā</w:t>
            </w:r>
            <w:r w:rsidR="000C3BE9">
              <w:t xml:space="preserve"> (mācību darba organizācijas formas)</w:t>
            </w:r>
            <w:r w:rsidRPr="00A51BFD">
              <w:t>:</w:t>
            </w:r>
          </w:p>
        </w:tc>
        <w:tc>
          <w:tcPr>
            <w:tcW w:w="0" w:type="auto"/>
            <w:tcBorders>
              <w:top w:val="single" w:sz="4" w:space="0" w:color="auto"/>
              <w:left w:val="nil"/>
              <w:bottom w:val="single" w:sz="4" w:space="0" w:color="auto"/>
              <w:right w:val="single" w:sz="4" w:space="0" w:color="auto"/>
            </w:tcBorders>
            <w:shd w:val="clear" w:color="auto" w:fill="auto"/>
            <w:vAlign w:val="center"/>
          </w:tcPr>
          <w:p w:rsidR="00A51BFD" w:rsidRPr="00A51BFD" w:rsidRDefault="00F13C8B" w:rsidP="00F8266F">
            <w:pPr>
              <w:jc w:val="center"/>
            </w:pPr>
            <w:fldSimple w:instr=" =SUM(ABOVE) ">
              <w:r w:rsidR="00A51BFD" w:rsidRPr="00A51BFD">
                <w:rPr>
                  <w:noProof/>
                </w:rPr>
                <w:t>35</w:t>
              </w:r>
            </w:fldSimple>
          </w:p>
        </w:tc>
        <w:tc>
          <w:tcPr>
            <w:tcW w:w="0" w:type="auto"/>
            <w:tcBorders>
              <w:top w:val="single" w:sz="4" w:space="0" w:color="auto"/>
              <w:left w:val="nil"/>
              <w:bottom w:val="single" w:sz="4" w:space="0" w:color="auto"/>
              <w:right w:val="single" w:sz="4" w:space="0" w:color="auto"/>
            </w:tcBorders>
            <w:shd w:val="clear" w:color="auto" w:fill="auto"/>
            <w:vAlign w:val="center"/>
          </w:tcPr>
          <w:p w:rsidR="00A51BFD" w:rsidRPr="00A51BFD" w:rsidRDefault="00F13C8B" w:rsidP="00F8266F">
            <w:pPr>
              <w:jc w:val="center"/>
            </w:pPr>
            <w:fldSimple w:instr=" =SUM(ABOVE) ">
              <w:r w:rsidR="00A51BFD" w:rsidRPr="00A51BFD">
                <w:rPr>
                  <w:noProof/>
                </w:rPr>
                <w:t>14</w:t>
              </w:r>
            </w:fldSimple>
          </w:p>
        </w:tc>
        <w:tc>
          <w:tcPr>
            <w:tcW w:w="0" w:type="auto"/>
            <w:tcBorders>
              <w:top w:val="single" w:sz="4" w:space="0" w:color="auto"/>
              <w:left w:val="nil"/>
              <w:bottom w:val="single" w:sz="4" w:space="0" w:color="auto"/>
              <w:right w:val="single" w:sz="4" w:space="0" w:color="auto"/>
            </w:tcBorders>
            <w:shd w:val="clear" w:color="auto" w:fill="auto"/>
            <w:vAlign w:val="center"/>
          </w:tcPr>
          <w:p w:rsidR="00A51BFD" w:rsidRPr="00A51BFD" w:rsidRDefault="00F13C8B" w:rsidP="00F8266F">
            <w:pPr>
              <w:jc w:val="center"/>
            </w:pPr>
            <w:fldSimple w:instr=" =SUM(ABOVE) ">
              <w:r w:rsidR="00A51BFD" w:rsidRPr="00A51BFD">
                <w:rPr>
                  <w:noProof/>
                </w:rPr>
                <w:t>20</w:t>
              </w:r>
            </w:fldSimple>
          </w:p>
        </w:tc>
        <w:tc>
          <w:tcPr>
            <w:tcW w:w="0" w:type="auto"/>
            <w:tcBorders>
              <w:top w:val="single" w:sz="4" w:space="0" w:color="auto"/>
              <w:left w:val="nil"/>
              <w:bottom w:val="single" w:sz="4" w:space="0" w:color="auto"/>
              <w:right w:val="single" w:sz="4" w:space="0" w:color="auto"/>
            </w:tcBorders>
            <w:shd w:val="clear" w:color="auto" w:fill="auto"/>
            <w:vAlign w:val="center"/>
          </w:tcPr>
          <w:p w:rsidR="00A51BFD" w:rsidRPr="00A51BFD" w:rsidRDefault="00F13C8B" w:rsidP="00F8266F">
            <w:pPr>
              <w:jc w:val="center"/>
            </w:pPr>
            <w:fldSimple w:instr=" =SUM(ABOVE) ">
              <w:r w:rsidR="00A51BFD" w:rsidRPr="00A51BFD">
                <w:rPr>
                  <w:noProof/>
                </w:rPr>
                <w:t>20</w:t>
              </w:r>
            </w:fldSimple>
          </w:p>
        </w:tc>
        <w:tc>
          <w:tcPr>
            <w:tcW w:w="0" w:type="auto"/>
            <w:tcBorders>
              <w:top w:val="single" w:sz="4" w:space="0" w:color="auto"/>
              <w:left w:val="nil"/>
              <w:bottom w:val="single" w:sz="4" w:space="0" w:color="auto"/>
              <w:right w:val="single" w:sz="4" w:space="0" w:color="auto"/>
            </w:tcBorders>
            <w:shd w:val="clear" w:color="auto" w:fill="auto"/>
            <w:noWrap/>
            <w:vAlign w:val="center"/>
          </w:tcPr>
          <w:p w:rsidR="00A51BFD" w:rsidRPr="00A51BFD" w:rsidRDefault="00F13C8B" w:rsidP="00F8266F">
            <w:pPr>
              <w:jc w:val="center"/>
            </w:pPr>
            <w:fldSimple w:instr=" =SUM(ABOVE) ">
              <w:r w:rsidR="00A51BFD" w:rsidRPr="00A51BFD">
                <w:rPr>
                  <w:noProof/>
                </w:rPr>
                <w:t>770</w:t>
              </w:r>
            </w:fldSimple>
          </w:p>
        </w:tc>
      </w:tr>
    </w:tbl>
    <w:p w:rsidR="00A51BFD" w:rsidRPr="00A51BFD" w:rsidRDefault="00A51BFD" w:rsidP="00A51BFD">
      <w:pPr>
        <w:ind w:firstLine="720"/>
        <w:rPr>
          <w:rFonts w:eastAsia="Arial Unicode MS"/>
          <w:color w:val="000000"/>
          <w:sz w:val="28"/>
          <w:szCs w:val="28"/>
        </w:rPr>
      </w:pPr>
    </w:p>
    <w:p w:rsidR="00A51BFD" w:rsidRPr="00A51BFD" w:rsidRDefault="00EC3F76" w:rsidP="00A51BFD">
      <w:pPr>
        <w:pStyle w:val="BodyText"/>
        <w:spacing w:before="0" w:beforeAutospacing="0" w:after="0" w:afterAutospacing="0"/>
        <w:ind w:firstLine="720"/>
        <w:jc w:val="both"/>
        <w:rPr>
          <w:rFonts w:ascii="Times New Roman" w:hAnsi="Times New Roman"/>
          <w:sz w:val="28"/>
          <w:szCs w:val="28"/>
          <w:lang w:val="lv-LV"/>
        </w:rPr>
      </w:pPr>
      <w:r>
        <w:rPr>
          <w:rFonts w:ascii="Times New Roman" w:hAnsi="Times New Roman"/>
          <w:sz w:val="28"/>
          <w:szCs w:val="28"/>
          <w:lang w:val="lv-LV"/>
        </w:rPr>
        <w:t>10</w:t>
      </w:r>
      <w:r w:rsidR="00A51BFD" w:rsidRPr="00A51BFD">
        <w:rPr>
          <w:rFonts w:ascii="Times New Roman" w:hAnsi="Times New Roman"/>
          <w:sz w:val="28"/>
          <w:szCs w:val="28"/>
          <w:lang w:val="lv-LV"/>
        </w:rPr>
        <w:t>.2. 11.klasē:</w:t>
      </w:r>
    </w:p>
    <w:tbl>
      <w:tblPr>
        <w:tblW w:w="0" w:type="auto"/>
        <w:tblLayout w:type="fixed"/>
        <w:tblLook w:val="04A0"/>
      </w:tblPr>
      <w:tblGrid>
        <w:gridCol w:w="2093"/>
        <w:gridCol w:w="1559"/>
        <w:gridCol w:w="1701"/>
        <w:gridCol w:w="1701"/>
        <w:gridCol w:w="1134"/>
        <w:gridCol w:w="1099"/>
      </w:tblGrid>
      <w:tr w:rsidR="00A51BFD" w:rsidRPr="0048665D">
        <w:trPr>
          <w:trHeight w:val="795"/>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A51BFD" w:rsidRPr="0048665D" w:rsidRDefault="00A51BFD" w:rsidP="0048665D">
            <w:r w:rsidRPr="0048665D">
              <w:t>Mācību priekšmeti</w:t>
            </w:r>
          </w:p>
        </w:tc>
        <w:tc>
          <w:tcPr>
            <w:tcW w:w="1559" w:type="dxa"/>
            <w:tcBorders>
              <w:top w:val="single" w:sz="4" w:space="0" w:color="auto"/>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Klātienes grupu konsultācijas</w:t>
            </w:r>
          </w:p>
        </w:tc>
        <w:tc>
          <w:tcPr>
            <w:tcW w:w="1701" w:type="dxa"/>
            <w:tcBorders>
              <w:top w:val="single" w:sz="4" w:space="0" w:color="auto"/>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Klātienes individuālas konsultācijas</w:t>
            </w:r>
          </w:p>
        </w:tc>
        <w:tc>
          <w:tcPr>
            <w:tcW w:w="1701" w:type="dxa"/>
            <w:tcBorders>
              <w:top w:val="single" w:sz="4" w:space="0" w:color="auto"/>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Individuālas neklātienes konsultācijas</w:t>
            </w:r>
          </w:p>
        </w:tc>
        <w:tc>
          <w:tcPr>
            <w:tcW w:w="1134" w:type="dxa"/>
            <w:tcBorders>
              <w:top w:val="single" w:sz="4" w:space="0" w:color="auto"/>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Ieskaites</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A51BFD" w:rsidRPr="0048665D" w:rsidRDefault="00A51BFD" w:rsidP="009F27C8">
            <w:pPr>
              <w:jc w:val="center"/>
            </w:pPr>
            <w:r w:rsidRPr="0048665D">
              <w:t>Mācību stundu skaits gadā</w:t>
            </w:r>
          </w:p>
        </w:tc>
      </w:tr>
      <w:tr w:rsidR="00A51BFD" w:rsidRPr="0048665D">
        <w:trPr>
          <w:trHeight w:val="375"/>
        </w:trPr>
        <w:tc>
          <w:tcPr>
            <w:tcW w:w="2093" w:type="dxa"/>
            <w:tcBorders>
              <w:top w:val="nil"/>
              <w:left w:val="single" w:sz="4" w:space="0" w:color="auto"/>
              <w:bottom w:val="single" w:sz="4" w:space="0" w:color="auto"/>
              <w:right w:val="single" w:sz="4" w:space="0" w:color="auto"/>
            </w:tcBorders>
            <w:shd w:val="clear" w:color="auto" w:fill="auto"/>
            <w:vAlign w:val="center"/>
          </w:tcPr>
          <w:p w:rsidR="00A51BFD" w:rsidRPr="0048665D" w:rsidRDefault="00A51BFD" w:rsidP="0048665D">
            <w:r w:rsidRPr="0048665D">
              <w:t>Latviešu valoda</w:t>
            </w:r>
          </w:p>
        </w:tc>
        <w:tc>
          <w:tcPr>
            <w:tcW w:w="1559"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4</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1</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134"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099" w:type="dxa"/>
            <w:tcBorders>
              <w:top w:val="nil"/>
              <w:left w:val="nil"/>
              <w:bottom w:val="single" w:sz="4" w:space="0" w:color="auto"/>
              <w:right w:val="single" w:sz="4" w:space="0" w:color="auto"/>
            </w:tcBorders>
            <w:shd w:val="clear" w:color="auto" w:fill="auto"/>
            <w:noWrap/>
            <w:vAlign w:val="center"/>
          </w:tcPr>
          <w:p w:rsidR="00A51BFD" w:rsidRPr="0048665D" w:rsidRDefault="00A51BFD" w:rsidP="009F27C8">
            <w:pPr>
              <w:jc w:val="center"/>
            </w:pPr>
            <w:r w:rsidRPr="0048665D">
              <w:t>70</w:t>
            </w:r>
          </w:p>
        </w:tc>
      </w:tr>
      <w:tr w:rsidR="00A51BFD" w:rsidRPr="0048665D">
        <w:trPr>
          <w:trHeight w:val="375"/>
        </w:trPr>
        <w:tc>
          <w:tcPr>
            <w:tcW w:w="2093" w:type="dxa"/>
            <w:tcBorders>
              <w:top w:val="nil"/>
              <w:left w:val="single" w:sz="4" w:space="0" w:color="auto"/>
              <w:bottom w:val="single" w:sz="4" w:space="0" w:color="auto"/>
              <w:right w:val="single" w:sz="4" w:space="0" w:color="auto"/>
            </w:tcBorders>
            <w:shd w:val="clear" w:color="auto" w:fill="auto"/>
            <w:vAlign w:val="center"/>
          </w:tcPr>
          <w:p w:rsidR="00A51BFD" w:rsidRPr="0048665D" w:rsidRDefault="00A51BFD" w:rsidP="0048665D">
            <w:pPr>
              <w:rPr>
                <w:vertAlign w:val="superscript"/>
              </w:rPr>
            </w:pPr>
            <w:r w:rsidRPr="0048665D">
              <w:t>Mazākumtautību valoda un literatūra</w:t>
            </w:r>
            <w:r w:rsidRPr="0048665D">
              <w:rPr>
                <w:vertAlign w:val="superscript"/>
              </w:rPr>
              <w:t>*</w:t>
            </w:r>
          </w:p>
        </w:tc>
        <w:tc>
          <w:tcPr>
            <w:tcW w:w="1559" w:type="dxa"/>
            <w:tcBorders>
              <w:top w:val="nil"/>
              <w:left w:val="nil"/>
              <w:bottom w:val="single" w:sz="4" w:space="0" w:color="auto"/>
              <w:right w:val="single" w:sz="4" w:space="0" w:color="auto"/>
            </w:tcBorders>
            <w:shd w:val="clear" w:color="auto" w:fill="auto"/>
          </w:tcPr>
          <w:p w:rsidR="00A51BFD" w:rsidRPr="0048665D" w:rsidRDefault="00A51BFD" w:rsidP="009F27C8">
            <w:pPr>
              <w:jc w:val="center"/>
            </w:pPr>
            <w:r w:rsidRPr="0048665D">
              <w:t>2</w:t>
            </w:r>
          </w:p>
        </w:tc>
        <w:tc>
          <w:tcPr>
            <w:tcW w:w="1701" w:type="dxa"/>
            <w:tcBorders>
              <w:top w:val="nil"/>
              <w:left w:val="nil"/>
              <w:bottom w:val="single" w:sz="4" w:space="0" w:color="auto"/>
              <w:right w:val="single" w:sz="4" w:space="0" w:color="auto"/>
            </w:tcBorders>
            <w:shd w:val="clear" w:color="auto" w:fill="auto"/>
          </w:tcPr>
          <w:p w:rsidR="00A51BFD" w:rsidRPr="0048665D" w:rsidRDefault="00A51BFD" w:rsidP="009F27C8">
            <w:pPr>
              <w:jc w:val="center"/>
            </w:pPr>
            <w:r w:rsidRPr="0048665D">
              <w:t>1</w:t>
            </w:r>
          </w:p>
        </w:tc>
        <w:tc>
          <w:tcPr>
            <w:tcW w:w="1701" w:type="dxa"/>
            <w:tcBorders>
              <w:top w:val="nil"/>
              <w:left w:val="nil"/>
              <w:bottom w:val="single" w:sz="4" w:space="0" w:color="auto"/>
              <w:right w:val="single" w:sz="4" w:space="0" w:color="auto"/>
            </w:tcBorders>
            <w:shd w:val="clear" w:color="auto" w:fill="auto"/>
          </w:tcPr>
          <w:p w:rsidR="00A51BFD" w:rsidRPr="0048665D" w:rsidRDefault="00A51BFD" w:rsidP="009F27C8">
            <w:pPr>
              <w:jc w:val="center"/>
            </w:pPr>
            <w:r w:rsidRPr="0048665D">
              <w:t>2</w:t>
            </w:r>
          </w:p>
        </w:tc>
        <w:tc>
          <w:tcPr>
            <w:tcW w:w="1134" w:type="dxa"/>
            <w:tcBorders>
              <w:top w:val="nil"/>
              <w:left w:val="nil"/>
              <w:bottom w:val="single" w:sz="4" w:space="0" w:color="auto"/>
              <w:right w:val="single" w:sz="4" w:space="0" w:color="auto"/>
            </w:tcBorders>
            <w:shd w:val="clear" w:color="auto" w:fill="auto"/>
          </w:tcPr>
          <w:p w:rsidR="00A51BFD" w:rsidRPr="0048665D" w:rsidRDefault="00A51BFD" w:rsidP="009F27C8">
            <w:pPr>
              <w:jc w:val="center"/>
            </w:pPr>
            <w:r w:rsidRPr="0048665D">
              <w:t>2</w:t>
            </w:r>
          </w:p>
        </w:tc>
        <w:tc>
          <w:tcPr>
            <w:tcW w:w="1099" w:type="dxa"/>
            <w:tcBorders>
              <w:top w:val="nil"/>
              <w:left w:val="nil"/>
              <w:bottom w:val="single" w:sz="4" w:space="0" w:color="auto"/>
              <w:right w:val="single" w:sz="4" w:space="0" w:color="auto"/>
            </w:tcBorders>
            <w:shd w:val="clear" w:color="auto" w:fill="auto"/>
            <w:noWrap/>
          </w:tcPr>
          <w:p w:rsidR="00A51BFD" w:rsidRPr="0048665D" w:rsidRDefault="00A51BFD" w:rsidP="009F27C8">
            <w:pPr>
              <w:jc w:val="center"/>
            </w:pPr>
            <w:r w:rsidRPr="0048665D">
              <w:t>70</w:t>
            </w:r>
          </w:p>
        </w:tc>
      </w:tr>
      <w:tr w:rsidR="00A51BFD" w:rsidRPr="0048665D">
        <w:trPr>
          <w:trHeight w:val="375"/>
        </w:trPr>
        <w:tc>
          <w:tcPr>
            <w:tcW w:w="2093" w:type="dxa"/>
            <w:tcBorders>
              <w:top w:val="nil"/>
              <w:left w:val="single" w:sz="4" w:space="0" w:color="auto"/>
              <w:bottom w:val="single" w:sz="4" w:space="0" w:color="auto"/>
              <w:right w:val="single" w:sz="4" w:space="0" w:color="auto"/>
            </w:tcBorders>
            <w:shd w:val="clear" w:color="auto" w:fill="auto"/>
            <w:vAlign w:val="center"/>
          </w:tcPr>
          <w:p w:rsidR="00A51BFD" w:rsidRPr="0048665D" w:rsidRDefault="00A51BFD" w:rsidP="0048665D">
            <w:r w:rsidRPr="0048665D">
              <w:t>Pirmā svešvaloda</w:t>
            </w:r>
          </w:p>
        </w:tc>
        <w:tc>
          <w:tcPr>
            <w:tcW w:w="1559"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4</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1</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134"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099" w:type="dxa"/>
            <w:tcBorders>
              <w:top w:val="nil"/>
              <w:left w:val="nil"/>
              <w:bottom w:val="single" w:sz="4" w:space="0" w:color="auto"/>
              <w:right w:val="single" w:sz="4" w:space="0" w:color="auto"/>
            </w:tcBorders>
            <w:shd w:val="clear" w:color="auto" w:fill="auto"/>
            <w:noWrap/>
            <w:vAlign w:val="center"/>
          </w:tcPr>
          <w:p w:rsidR="00A51BFD" w:rsidRPr="0048665D" w:rsidRDefault="00A51BFD" w:rsidP="009F27C8">
            <w:pPr>
              <w:jc w:val="center"/>
            </w:pPr>
            <w:r w:rsidRPr="0048665D">
              <w:t>105</w:t>
            </w:r>
          </w:p>
        </w:tc>
      </w:tr>
      <w:tr w:rsidR="00A51BFD" w:rsidRPr="0048665D">
        <w:trPr>
          <w:trHeight w:val="375"/>
        </w:trPr>
        <w:tc>
          <w:tcPr>
            <w:tcW w:w="2093" w:type="dxa"/>
            <w:tcBorders>
              <w:top w:val="nil"/>
              <w:left w:val="single" w:sz="4" w:space="0" w:color="auto"/>
              <w:bottom w:val="single" w:sz="4" w:space="0" w:color="auto"/>
              <w:right w:val="single" w:sz="4" w:space="0" w:color="auto"/>
            </w:tcBorders>
            <w:shd w:val="clear" w:color="auto" w:fill="auto"/>
            <w:vAlign w:val="center"/>
          </w:tcPr>
          <w:p w:rsidR="00A51BFD" w:rsidRPr="0048665D" w:rsidRDefault="00A51BFD" w:rsidP="0048665D">
            <w:r w:rsidRPr="0048665D">
              <w:t>Matemātika</w:t>
            </w:r>
          </w:p>
        </w:tc>
        <w:tc>
          <w:tcPr>
            <w:tcW w:w="1559"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6</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4</w:t>
            </w:r>
          </w:p>
        </w:tc>
        <w:tc>
          <w:tcPr>
            <w:tcW w:w="1134"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4</w:t>
            </w:r>
          </w:p>
        </w:tc>
        <w:tc>
          <w:tcPr>
            <w:tcW w:w="1099" w:type="dxa"/>
            <w:tcBorders>
              <w:top w:val="nil"/>
              <w:left w:val="nil"/>
              <w:bottom w:val="single" w:sz="4" w:space="0" w:color="auto"/>
              <w:right w:val="single" w:sz="4" w:space="0" w:color="auto"/>
            </w:tcBorders>
            <w:shd w:val="clear" w:color="auto" w:fill="auto"/>
            <w:noWrap/>
            <w:vAlign w:val="center"/>
          </w:tcPr>
          <w:p w:rsidR="00A51BFD" w:rsidRPr="0048665D" w:rsidRDefault="00A51BFD" w:rsidP="009F27C8">
            <w:pPr>
              <w:jc w:val="center"/>
            </w:pPr>
            <w:r w:rsidRPr="0048665D">
              <w:t>140</w:t>
            </w:r>
          </w:p>
        </w:tc>
      </w:tr>
      <w:tr w:rsidR="00A51BFD" w:rsidRPr="0048665D">
        <w:trPr>
          <w:trHeight w:val="375"/>
        </w:trPr>
        <w:tc>
          <w:tcPr>
            <w:tcW w:w="2093" w:type="dxa"/>
            <w:tcBorders>
              <w:top w:val="nil"/>
              <w:left w:val="single" w:sz="4" w:space="0" w:color="auto"/>
              <w:bottom w:val="single" w:sz="4" w:space="0" w:color="auto"/>
              <w:right w:val="single" w:sz="4" w:space="0" w:color="auto"/>
            </w:tcBorders>
            <w:shd w:val="clear" w:color="auto" w:fill="auto"/>
            <w:vAlign w:val="center"/>
          </w:tcPr>
          <w:p w:rsidR="00A51BFD" w:rsidRPr="0048665D" w:rsidRDefault="00A51BFD" w:rsidP="0048665D">
            <w:r w:rsidRPr="0048665D">
              <w:t>Latvijas un pasaules vēsture</w:t>
            </w:r>
          </w:p>
        </w:tc>
        <w:tc>
          <w:tcPr>
            <w:tcW w:w="1559"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3</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1</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134"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099" w:type="dxa"/>
            <w:tcBorders>
              <w:top w:val="nil"/>
              <w:left w:val="nil"/>
              <w:bottom w:val="single" w:sz="4" w:space="0" w:color="auto"/>
              <w:right w:val="single" w:sz="4" w:space="0" w:color="auto"/>
            </w:tcBorders>
            <w:shd w:val="clear" w:color="auto" w:fill="auto"/>
            <w:noWrap/>
            <w:vAlign w:val="center"/>
          </w:tcPr>
          <w:p w:rsidR="00A51BFD" w:rsidRPr="0048665D" w:rsidRDefault="00A51BFD" w:rsidP="009F27C8">
            <w:pPr>
              <w:jc w:val="center"/>
            </w:pPr>
            <w:r w:rsidRPr="0048665D">
              <w:t>70</w:t>
            </w:r>
          </w:p>
        </w:tc>
      </w:tr>
      <w:tr w:rsidR="00A51BFD" w:rsidRPr="0048665D">
        <w:trPr>
          <w:trHeight w:val="375"/>
        </w:trPr>
        <w:tc>
          <w:tcPr>
            <w:tcW w:w="2093" w:type="dxa"/>
            <w:tcBorders>
              <w:top w:val="nil"/>
              <w:left w:val="single" w:sz="4" w:space="0" w:color="auto"/>
              <w:bottom w:val="single" w:sz="4" w:space="0" w:color="auto"/>
              <w:right w:val="single" w:sz="4" w:space="0" w:color="auto"/>
            </w:tcBorders>
            <w:shd w:val="clear" w:color="auto" w:fill="auto"/>
            <w:vAlign w:val="center"/>
          </w:tcPr>
          <w:p w:rsidR="00A51BFD" w:rsidRPr="0048665D" w:rsidRDefault="00A51BFD" w:rsidP="0048665D">
            <w:r w:rsidRPr="0048665D">
              <w:t>Fizika</w:t>
            </w:r>
          </w:p>
        </w:tc>
        <w:tc>
          <w:tcPr>
            <w:tcW w:w="1559"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4</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134"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099" w:type="dxa"/>
            <w:tcBorders>
              <w:top w:val="nil"/>
              <w:left w:val="nil"/>
              <w:bottom w:val="single" w:sz="4" w:space="0" w:color="auto"/>
              <w:right w:val="single" w:sz="4" w:space="0" w:color="auto"/>
            </w:tcBorders>
            <w:shd w:val="clear" w:color="auto" w:fill="auto"/>
            <w:noWrap/>
            <w:vAlign w:val="center"/>
          </w:tcPr>
          <w:p w:rsidR="00A51BFD" w:rsidRPr="0048665D" w:rsidRDefault="00A51BFD" w:rsidP="009F27C8">
            <w:pPr>
              <w:jc w:val="center"/>
            </w:pPr>
            <w:r w:rsidRPr="0048665D">
              <w:t>105</w:t>
            </w:r>
          </w:p>
        </w:tc>
      </w:tr>
      <w:tr w:rsidR="00A51BFD" w:rsidRPr="0048665D">
        <w:trPr>
          <w:trHeight w:val="375"/>
        </w:trPr>
        <w:tc>
          <w:tcPr>
            <w:tcW w:w="2093" w:type="dxa"/>
            <w:tcBorders>
              <w:top w:val="nil"/>
              <w:left w:val="single" w:sz="4" w:space="0" w:color="auto"/>
              <w:bottom w:val="single" w:sz="4" w:space="0" w:color="auto"/>
              <w:right w:val="single" w:sz="4" w:space="0" w:color="auto"/>
            </w:tcBorders>
            <w:shd w:val="clear" w:color="auto" w:fill="auto"/>
            <w:vAlign w:val="center"/>
          </w:tcPr>
          <w:p w:rsidR="00A51BFD" w:rsidRPr="0048665D" w:rsidRDefault="00A51BFD" w:rsidP="0048665D">
            <w:r w:rsidRPr="0048665D">
              <w:t>Ķīmija</w:t>
            </w:r>
          </w:p>
        </w:tc>
        <w:tc>
          <w:tcPr>
            <w:tcW w:w="1559"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4</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134"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099" w:type="dxa"/>
            <w:tcBorders>
              <w:top w:val="nil"/>
              <w:left w:val="nil"/>
              <w:bottom w:val="single" w:sz="4" w:space="0" w:color="auto"/>
              <w:right w:val="single" w:sz="4" w:space="0" w:color="auto"/>
            </w:tcBorders>
            <w:shd w:val="clear" w:color="auto" w:fill="auto"/>
            <w:noWrap/>
            <w:vAlign w:val="center"/>
          </w:tcPr>
          <w:p w:rsidR="00A51BFD" w:rsidRPr="0048665D" w:rsidRDefault="00A51BFD" w:rsidP="009F27C8">
            <w:pPr>
              <w:jc w:val="center"/>
            </w:pPr>
            <w:r w:rsidRPr="0048665D">
              <w:t>70</w:t>
            </w:r>
          </w:p>
        </w:tc>
      </w:tr>
      <w:tr w:rsidR="00A51BFD" w:rsidRPr="0048665D">
        <w:trPr>
          <w:trHeight w:val="375"/>
        </w:trPr>
        <w:tc>
          <w:tcPr>
            <w:tcW w:w="2093" w:type="dxa"/>
            <w:tcBorders>
              <w:top w:val="nil"/>
              <w:left w:val="single" w:sz="4" w:space="0" w:color="auto"/>
              <w:bottom w:val="single" w:sz="4" w:space="0" w:color="auto"/>
              <w:right w:val="single" w:sz="4" w:space="0" w:color="auto"/>
            </w:tcBorders>
            <w:shd w:val="clear" w:color="auto" w:fill="auto"/>
            <w:vAlign w:val="center"/>
          </w:tcPr>
          <w:p w:rsidR="00A51BFD" w:rsidRPr="0048665D" w:rsidRDefault="00A51BFD" w:rsidP="0048665D">
            <w:r w:rsidRPr="0048665D">
              <w:t>Bioloģija</w:t>
            </w:r>
          </w:p>
        </w:tc>
        <w:tc>
          <w:tcPr>
            <w:tcW w:w="1559"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3</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134"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099" w:type="dxa"/>
            <w:tcBorders>
              <w:top w:val="nil"/>
              <w:left w:val="nil"/>
              <w:bottom w:val="single" w:sz="4" w:space="0" w:color="auto"/>
              <w:right w:val="single" w:sz="4" w:space="0" w:color="auto"/>
            </w:tcBorders>
            <w:shd w:val="clear" w:color="auto" w:fill="auto"/>
            <w:noWrap/>
            <w:vAlign w:val="center"/>
          </w:tcPr>
          <w:p w:rsidR="00A51BFD" w:rsidRPr="0048665D" w:rsidRDefault="00A51BFD" w:rsidP="009F27C8">
            <w:pPr>
              <w:jc w:val="center"/>
            </w:pPr>
            <w:r w:rsidRPr="0048665D">
              <w:t>70</w:t>
            </w:r>
          </w:p>
        </w:tc>
      </w:tr>
      <w:tr w:rsidR="00A51BFD" w:rsidRPr="0048665D">
        <w:trPr>
          <w:trHeight w:val="375"/>
        </w:trPr>
        <w:tc>
          <w:tcPr>
            <w:tcW w:w="2093" w:type="dxa"/>
            <w:tcBorders>
              <w:top w:val="nil"/>
              <w:left w:val="single" w:sz="4" w:space="0" w:color="auto"/>
              <w:bottom w:val="single" w:sz="4" w:space="0" w:color="auto"/>
              <w:right w:val="single" w:sz="4" w:space="0" w:color="auto"/>
            </w:tcBorders>
            <w:shd w:val="clear" w:color="auto" w:fill="auto"/>
            <w:vAlign w:val="center"/>
          </w:tcPr>
          <w:p w:rsidR="00A51BFD" w:rsidRPr="0048665D" w:rsidRDefault="00A51BFD" w:rsidP="0048665D">
            <w:r w:rsidRPr="0048665D">
              <w:t>Literatūra</w:t>
            </w:r>
          </w:p>
        </w:tc>
        <w:tc>
          <w:tcPr>
            <w:tcW w:w="1559"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3</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134"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099" w:type="dxa"/>
            <w:tcBorders>
              <w:top w:val="nil"/>
              <w:left w:val="nil"/>
              <w:bottom w:val="single" w:sz="4" w:space="0" w:color="auto"/>
              <w:right w:val="single" w:sz="4" w:space="0" w:color="auto"/>
            </w:tcBorders>
            <w:shd w:val="clear" w:color="auto" w:fill="auto"/>
            <w:noWrap/>
            <w:vAlign w:val="center"/>
          </w:tcPr>
          <w:p w:rsidR="00A51BFD" w:rsidRPr="0048665D" w:rsidRDefault="00A51BFD" w:rsidP="009F27C8">
            <w:pPr>
              <w:jc w:val="center"/>
            </w:pPr>
            <w:r w:rsidRPr="0048665D">
              <w:t>70</w:t>
            </w:r>
          </w:p>
        </w:tc>
      </w:tr>
      <w:tr w:rsidR="00A51BFD" w:rsidRPr="0048665D">
        <w:trPr>
          <w:trHeight w:val="375"/>
        </w:trPr>
        <w:tc>
          <w:tcPr>
            <w:tcW w:w="9287" w:type="dxa"/>
            <w:gridSpan w:val="6"/>
            <w:tcBorders>
              <w:top w:val="nil"/>
              <w:left w:val="single" w:sz="4" w:space="0" w:color="auto"/>
              <w:bottom w:val="single" w:sz="4" w:space="0" w:color="auto"/>
              <w:right w:val="single" w:sz="4" w:space="0" w:color="auto"/>
            </w:tcBorders>
            <w:shd w:val="clear" w:color="auto" w:fill="auto"/>
            <w:noWrap/>
            <w:vAlign w:val="center"/>
          </w:tcPr>
          <w:p w:rsidR="00A51BFD" w:rsidRPr="0048665D" w:rsidRDefault="00A51BFD" w:rsidP="009F27C8">
            <w:pPr>
              <w:jc w:val="center"/>
            </w:pPr>
            <w:r w:rsidRPr="0048665D">
              <w:t>Izvēles mācību priekšmeti</w:t>
            </w:r>
          </w:p>
        </w:tc>
      </w:tr>
      <w:tr w:rsidR="00A51BFD" w:rsidRPr="0048665D">
        <w:trPr>
          <w:trHeight w:val="375"/>
        </w:trPr>
        <w:tc>
          <w:tcPr>
            <w:tcW w:w="2093" w:type="dxa"/>
            <w:tcBorders>
              <w:top w:val="nil"/>
              <w:left w:val="single" w:sz="4" w:space="0" w:color="auto"/>
              <w:bottom w:val="single" w:sz="4" w:space="0" w:color="auto"/>
              <w:right w:val="single" w:sz="4" w:space="0" w:color="auto"/>
            </w:tcBorders>
            <w:shd w:val="clear" w:color="auto" w:fill="auto"/>
            <w:noWrap/>
            <w:vAlign w:val="center"/>
          </w:tcPr>
          <w:p w:rsidR="00A51BFD" w:rsidRPr="0048665D" w:rsidRDefault="00A51BFD" w:rsidP="0048665D">
            <w:r w:rsidRPr="0048665D">
              <w:t>Ekonomika</w:t>
            </w:r>
          </w:p>
        </w:tc>
        <w:tc>
          <w:tcPr>
            <w:tcW w:w="1559"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1</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1</w:t>
            </w:r>
          </w:p>
        </w:tc>
        <w:tc>
          <w:tcPr>
            <w:tcW w:w="1134"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1</w:t>
            </w:r>
          </w:p>
        </w:tc>
        <w:tc>
          <w:tcPr>
            <w:tcW w:w="1099" w:type="dxa"/>
            <w:tcBorders>
              <w:top w:val="nil"/>
              <w:left w:val="nil"/>
              <w:bottom w:val="single" w:sz="4" w:space="0" w:color="auto"/>
              <w:right w:val="single" w:sz="4" w:space="0" w:color="auto"/>
            </w:tcBorders>
            <w:shd w:val="clear" w:color="auto" w:fill="auto"/>
            <w:noWrap/>
            <w:vAlign w:val="center"/>
          </w:tcPr>
          <w:p w:rsidR="00A51BFD" w:rsidRPr="0048665D" w:rsidRDefault="00A51BFD" w:rsidP="009F27C8">
            <w:pPr>
              <w:jc w:val="center"/>
            </w:pPr>
            <w:r w:rsidRPr="0048665D">
              <w:t>35</w:t>
            </w:r>
          </w:p>
        </w:tc>
      </w:tr>
      <w:tr w:rsidR="00A51BFD" w:rsidRPr="0048665D">
        <w:trPr>
          <w:trHeight w:val="375"/>
        </w:trPr>
        <w:tc>
          <w:tcPr>
            <w:tcW w:w="2093" w:type="dxa"/>
            <w:tcBorders>
              <w:top w:val="nil"/>
              <w:left w:val="single" w:sz="4" w:space="0" w:color="auto"/>
              <w:bottom w:val="single" w:sz="4" w:space="0" w:color="auto"/>
              <w:right w:val="single" w:sz="4" w:space="0" w:color="auto"/>
            </w:tcBorders>
            <w:shd w:val="clear" w:color="auto" w:fill="auto"/>
            <w:vAlign w:val="center"/>
          </w:tcPr>
          <w:p w:rsidR="00A51BFD" w:rsidRPr="0048665D" w:rsidRDefault="00A51BFD" w:rsidP="0048665D">
            <w:r w:rsidRPr="0048665D">
              <w:t>Politika un tiesības</w:t>
            </w:r>
          </w:p>
        </w:tc>
        <w:tc>
          <w:tcPr>
            <w:tcW w:w="1559"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1</w:t>
            </w:r>
          </w:p>
        </w:tc>
        <w:tc>
          <w:tcPr>
            <w:tcW w:w="1701"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134" w:type="dxa"/>
            <w:tcBorders>
              <w:top w:val="nil"/>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w:t>
            </w:r>
          </w:p>
        </w:tc>
        <w:tc>
          <w:tcPr>
            <w:tcW w:w="1099" w:type="dxa"/>
            <w:tcBorders>
              <w:top w:val="nil"/>
              <w:left w:val="nil"/>
              <w:bottom w:val="single" w:sz="4" w:space="0" w:color="auto"/>
              <w:right w:val="single" w:sz="4" w:space="0" w:color="auto"/>
            </w:tcBorders>
            <w:shd w:val="clear" w:color="auto" w:fill="auto"/>
            <w:noWrap/>
            <w:vAlign w:val="center"/>
          </w:tcPr>
          <w:p w:rsidR="00A51BFD" w:rsidRPr="0048665D" w:rsidRDefault="00A51BFD" w:rsidP="009F27C8">
            <w:pPr>
              <w:jc w:val="center"/>
            </w:pPr>
            <w:r w:rsidRPr="0048665D">
              <w:t>70</w:t>
            </w:r>
          </w:p>
        </w:tc>
      </w:tr>
      <w:tr w:rsidR="00A51BFD" w:rsidRPr="0048665D">
        <w:trPr>
          <w:trHeight w:val="375"/>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rsidR="00A51BFD" w:rsidRPr="0048665D" w:rsidRDefault="00A51BFD" w:rsidP="000C3BE9">
            <w:r w:rsidRPr="0048665D">
              <w:t>Kopā</w:t>
            </w:r>
            <w:r w:rsidR="000C3BE9">
              <w:t xml:space="preserve"> (mācību darba organizācijas formas)</w:t>
            </w:r>
            <w:r w:rsidR="000C3BE9" w:rsidRPr="00A51BFD">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A51BFD" w:rsidRPr="0048665D" w:rsidRDefault="00F13C8B" w:rsidP="009F27C8">
            <w:pPr>
              <w:jc w:val="center"/>
            </w:pPr>
            <w:fldSimple w:instr=" =SUM(ABOVE) ">
              <w:r w:rsidR="00A51BFD" w:rsidRPr="0048665D">
                <w:rPr>
                  <w:noProof/>
                </w:rPr>
                <w:t>35</w:t>
              </w:r>
            </w:fldSimple>
          </w:p>
        </w:tc>
        <w:tc>
          <w:tcPr>
            <w:tcW w:w="1701" w:type="dxa"/>
            <w:tcBorders>
              <w:top w:val="single" w:sz="4" w:space="0" w:color="auto"/>
              <w:left w:val="nil"/>
              <w:bottom w:val="single" w:sz="4" w:space="0" w:color="auto"/>
              <w:right w:val="single" w:sz="4" w:space="0" w:color="auto"/>
            </w:tcBorders>
            <w:shd w:val="clear" w:color="auto" w:fill="auto"/>
            <w:vAlign w:val="center"/>
          </w:tcPr>
          <w:p w:rsidR="00A51BFD" w:rsidRPr="0048665D" w:rsidRDefault="00F13C8B" w:rsidP="009F27C8">
            <w:pPr>
              <w:jc w:val="center"/>
            </w:pPr>
            <w:fldSimple w:instr=" =SUM(ABOVE) ">
              <w:r w:rsidR="00A51BFD" w:rsidRPr="0048665D">
                <w:rPr>
                  <w:noProof/>
                </w:rPr>
                <w:t>15</w:t>
              </w:r>
            </w:fldSimple>
          </w:p>
        </w:tc>
        <w:tc>
          <w:tcPr>
            <w:tcW w:w="1701" w:type="dxa"/>
            <w:tcBorders>
              <w:top w:val="single" w:sz="4" w:space="0" w:color="auto"/>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21</w:t>
            </w:r>
          </w:p>
        </w:tc>
        <w:tc>
          <w:tcPr>
            <w:tcW w:w="1134" w:type="dxa"/>
            <w:tcBorders>
              <w:top w:val="single" w:sz="4" w:space="0" w:color="auto"/>
              <w:left w:val="nil"/>
              <w:bottom w:val="single" w:sz="4" w:space="0" w:color="auto"/>
              <w:right w:val="single" w:sz="4" w:space="0" w:color="auto"/>
            </w:tcBorders>
            <w:shd w:val="clear" w:color="auto" w:fill="auto"/>
            <w:vAlign w:val="center"/>
          </w:tcPr>
          <w:p w:rsidR="00A51BFD" w:rsidRPr="0048665D" w:rsidRDefault="00A51BFD" w:rsidP="009F27C8">
            <w:pPr>
              <w:jc w:val="center"/>
            </w:pPr>
            <w:r w:rsidRPr="0048665D">
              <w:t>21</w:t>
            </w:r>
          </w:p>
        </w:tc>
        <w:tc>
          <w:tcPr>
            <w:tcW w:w="1099" w:type="dxa"/>
            <w:tcBorders>
              <w:top w:val="single" w:sz="4" w:space="0" w:color="auto"/>
              <w:left w:val="nil"/>
              <w:bottom w:val="single" w:sz="4" w:space="0" w:color="auto"/>
              <w:right w:val="single" w:sz="4" w:space="0" w:color="auto"/>
            </w:tcBorders>
            <w:shd w:val="clear" w:color="auto" w:fill="auto"/>
            <w:noWrap/>
            <w:vAlign w:val="center"/>
          </w:tcPr>
          <w:p w:rsidR="00A51BFD" w:rsidRPr="0048665D" w:rsidRDefault="00F13C8B" w:rsidP="009F27C8">
            <w:pPr>
              <w:jc w:val="center"/>
            </w:pPr>
            <w:fldSimple w:instr=" =SUM(ABOVE) ">
              <w:r w:rsidR="00A51BFD" w:rsidRPr="0048665D">
                <w:rPr>
                  <w:noProof/>
                </w:rPr>
                <w:t>805</w:t>
              </w:r>
            </w:fldSimple>
          </w:p>
        </w:tc>
      </w:tr>
    </w:tbl>
    <w:p w:rsidR="00A51BFD" w:rsidRPr="00A51BFD" w:rsidRDefault="00A51BFD" w:rsidP="00A51BFD">
      <w:pPr>
        <w:pStyle w:val="BodyText"/>
        <w:spacing w:before="0" w:beforeAutospacing="0" w:after="0" w:afterAutospacing="0"/>
        <w:ind w:firstLine="720"/>
        <w:jc w:val="both"/>
        <w:rPr>
          <w:rFonts w:ascii="Times New Roman" w:hAnsi="Times New Roman"/>
          <w:sz w:val="28"/>
          <w:szCs w:val="28"/>
          <w:highlight w:val="yellow"/>
          <w:lang w:val="lv-LV"/>
        </w:rPr>
      </w:pPr>
    </w:p>
    <w:p w:rsidR="00A51BFD" w:rsidRPr="00A51BFD" w:rsidRDefault="00EC3F76" w:rsidP="00A51BFD">
      <w:pPr>
        <w:pStyle w:val="BodyText"/>
        <w:spacing w:before="0" w:beforeAutospacing="0" w:after="0" w:afterAutospacing="0"/>
        <w:ind w:firstLine="720"/>
        <w:jc w:val="both"/>
        <w:rPr>
          <w:rFonts w:ascii="Times New Roman" w:hAnsi="Times New Roman"/>
          <w:sz w:val="28"/>
          <w:szCs w:val="28"/>
          <w:lang w:val="lv-LV"/>
        </w:rPr>
      </w:pPr>
      <w:r>
        <w:rPr>
          <w:rFonts w:ascii="Times New Roman" w:hAnsi="Times New Roman"/>
          <w:sz w:val="28"/>
          <w:szCs w:val="28"/>
          <w:lang w:val="lv-LV"/>
        </w:rPr>
        <w:t>10</w:t>
      </w:r>
      <w:r w:rsidR="00A51BFD" w:rsidRPr="00A51BFD">
        <w:rPr>
          <w:rFonts w:ascii="Times New Roman" w:hAnsi="Times New Roman"/>
          <w:sz w:val="28"/>
          <w:szCs w:val="28"/>
          <w:lang w:val="lv-LV"/>
        </w:rPr>
        <w:t>.3. 12.klasē:</w:t>
      </w:r>
    </w:p>
    <w:tbl>
      <w:tblPr>
        <w:tblW w:w="5000" w:type="pct"/>
        <w:tblLayout w:type="fixed"/>
        <w:tblLook w:val="04A0"/>
      </w:tblPr>
      <w:tblGrid>
        <w:gridCol w:w="2092"/>
        <w:gridCol w:w="1560"/>
        <w:gridCol w:w="1701"/>
        <w:gridCol w:w="1707"/>
        <w:gridCol w:w="1127"/>
        <w:gridCol w:w="1100"/>
      </w:tblGrid>
      <w:tr w:rsidR="00A51BFD" w:rsidRPr="00A51BFD">
        <w:trPr>
          <w:trHeight w:val="416"/>
        </w:trPr>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51BFD" w:rsidRPr="00A51BFD" w:rsidRDefault="00A51BFD" w:rsidP="009F27C8">
            <w:r w:rsidRPr="00A51BFD">
              <w:t>Mācību priekšmeti</w:t>
            </w:r>
          </w:p>
        </w:tc>
        <w:tc>
          <w:tcPr>
            <w:tcW w:w="840" w:type="pct"/>
            <w:tcBorders>
              <w:top w:val="single" w:sz="4" w:space="0" w:color="auto"/>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Klātienes grupu konsultācijas</w:t>
            </w:r>
          </w:p>
        </w:tc>
        <w:tc>
          <w:tcPr>
            <w:tcW w:w="916" w:type="pct"/>
            <w:tcBorders>
              <w:top w:val="single" w:sz="4" w:space="0" w:color="auto"/>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Klātienes individuālas konsultācijas</w:t>
            </w:r>
          </w:p>
        </w:tc>
        <w:tc>
          <w:tcPr>
            <w:tcW w:w="919" w:type="pct"/>
            <w:tcBorders>
              <w:top w:val="single" w:sz="4" w:space="0" w:color="auto"/>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Individuālas neklātienes konsultācijas</w:t>
            </w:r>
          </w:p>
        </w:tc>
        <w:tc>
          <w:tcPr>
            <w:tcW w:w="607" w:type="pct"/>
            <w:tcBorders>
              <w:top w:val="single" w:sz="4" w:space="0" w:color="auto"/>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Ieskaites</w:t>
            </w:r>
          </w:p>
        </w:tc>
        <w:tc>
          <w:tcPr>
            <w:tcW w:w="592" w:type="pct"/>
            <w:tcBorders>
              <w:top w:val="single" w:sz="4" w:space="0" w:color="auto"/>
              <w:left w:val="nil"/>
              <w:bottom w:val="single" w:sz="4" w:space="0" w:color="auto"/>
              <w:right w:val="single" w:sz="4" w:space="0" w:color="auto"/>
            </w:tcBorders>
            <w:shd w:val="clear" w:color="auto" w:fill="auto"/>
            <w:noWrap/>
            <w:vAlign w:val="center"/>
          </w:tcPr>
          <w:p w:rsidR="00A51BFD" w:rsidRPr="00A51BFD" w:rsidRDefault="00A51BFD" w:rsidP="009F27C8">
            <w:pPr>
              <w:jc w:val="center"/>
            </w:pPr>
            <w:r w:rsidRPr="00A51BFD">
              <w:t>Mācību stundu skaits gadā</w:t>
            </w:r>
          </w:p>
        </w:tc>
      </w:tr>
      <w:tr w:rsidR="00A51BFD" w:rsidRPr="00A51BFD">
        <w:trPr>
          <w:trHeight w:val="375"/>
        </w:trPr>
        <w:tc>
          <w:tcPr>
            <w:tcW w:w="1126" w:type="pct"/>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9F27C8">
            <w:r w:rsidRPr="00A51BFD">
              <w:t>Latviešu valoda</w:t>
            </w:r>
          </w:p>
        </w:tc>
        <w:tc>
          <w:tcPr>
            <w:tcW w:w="840"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4</w:t>
            </w:r>
          </w:p>
        </w:tc>
        <w:tc>
          <w:tcPr>
            <w:tcW w:w="916"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1</w:t>
            </w:r>
          </w:p>
        </w:tc>
        <w:tc>
          <w:tcPr>
            <w:tcW w:w="919"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607"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592" w:type="pct"/>
            <w:tcBorders>
              <w:top w:val="nil"/>
              <w:left w:val="nil"/>
              <w:bottom w:val="single" w:sz="4" w:space="0" w:color="auto"/>
              <w:right w:val="single" w:sz="4" w:space="0" w:color="auto"/>
            </w:tcBorders>
            <w:shd w:val="clear" w:color="auto" w:fill="auto"/>
            <w:noWrap/>
            <w:vAlign w:val="center"/>
          </w:tcPr>
          <w:p w:rsidR="00A51BFD" w:rsidRPr="00A51BFD" w:rsidRDefault="00A51BFD" w:rsidP="009F27C8">
            <w:pPr>
              <w:jc w:val="center"/>
            </w:pPr>
            <w:r w:rsidRPr="00A51BFD">
              <w:t>70</w:t>
            </w:r>
          </w:p>
        </w:tc>
      </w:tr>
      <w:tr w:rsidR="00A51BFD" w:rsidRPr="00A51BFD">
        <w:trPr>
          <w:trHeight w:val="375"/>
        </w:trPr>
        <w:tc>
          <w:tcPr>
            <w:tcW w:w="1126" w:type="pct"/>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9F27C8">
            <w:pPr>
              <w:rPr>
                <w:vertAlign w:val="superscript"/>
              </w:rPr>
            </w:pPr>
            <w:r w:rsidRPr="00A51BFD">
              <w:t xml:space="preserve">Mazākumtautību valoda un </w:t>
            </w:r>
            <w:r w:rsidRPr="00A51BFD">
              <w:lastRenderedPageBreak/>
              <w:t>literatūra</w:t>
            </w:r>
            <w:r w:rsidRPr="00A51BFD">
              <w:rPr>
                <w:vertAlign w:val="superscript"/>
              </w:rPr>
              <w:t>*</w:t>
            </w:r>
          </w:p>
        </w:tc>
        <w:tc>
          <w:tcPr>
            <w:tcW w:w="840" w:type="pct"/>
            <w:tcBorders>
              <w:top w:val="nil"/>
              <w:left w:val="nil"/>
              <w:bottom w:val="single" w:sz="4" w:space="0" w:color="auto"/>
              <w:right w:val="single" w:sz="4" w:space="0" w:color="auto"/>
            </w:tcBorders>
            <w:shd w:val="clear" w:color="auto" w:fill="auto"/>
          </w:tcPr>
          <w:p w:rsidR="00A51BFD" w:rsidRPr="00A51BFD" w:rsidRDefault="00A51BFD" w:rsidP="009F27C8">
            <w:pPr>
              <w:jc w:val="center"/>
            </w:pPr>
            <w:r w:rsidRPr="00A51BFD">
              <w:lastRenderedPageBreak/>
              <w:t>2</w:t>
            </w:r>
          </w:p>
        </w:tc>
        <w:tc>
          <w:tcPr>
            <w:tcW w:w="916" w:type="pct"/>
            <w:tcBorders>
              <w:top w:val="nil"/>
              <w:left w:val="nil"/>
              <w:bottom w:val="single" w:sz="4" w:space="0" w:color="auto"/>
              <w:right w:val="single" w:sz="4" w:space="0" w:color="auto"/>
            </w:tcBorders>
            <w:shd w:val="clear" w:color="auto" w:fill="auto"/>
          </w:tcPr>
          <w:p w:rsidR="00A51BFD" w:rsidRPr="00A51BFD" w:rsidRDefault="00A51BFD" w:rsidP="009F27C8">
            <w:pPr>
              <w:jc w:val="center"/>
            </w:pPr>
            <w:r w:rsidRPr="00A51BFD">
              <w:t>1</w:t>
            </w:r>
          </w:p>
        </w:tc>
        <w:tc>
          <w:tcPr>
            <w:tcW w:w="919" w:type="pct"/>
            <w:tcBorders>
              <w:top w:val="nil"/>
              <w:left w:val="nil"/>
              <w:bottom w:val="single" w:sz="4" w:space="0" w:color="auto"/>
              <w:right w:val="single" w:sz="4" w:space="0" w:color="auto"/>
            </w:tcBorders>
            <w:shd w:val="clear" w:color="auto" w:fill="auto"/>
          </w:tcPr>
          <w:p w:rsidR="00A51BFD" w:rsidRPr="00A51BFD" w:rsidRDefault="00A51BFD" w:rsidP="009F27C8">
            <w:pPr>
              <w:jc w:val="center"/>
            </w:pPr>
            <w:r w:rsidRPr="00A51BFD">
              <w:t>2</w:t>
            </w:r>
          </w:p>
        </w:tc>
        <w:tc>
          <w:tcPr>
            <w:tcW w:w="607" w:type="pct"/>
            <w:tcBorders>
              <w:top w:val="nil"/>
              <w:left w:val="nil"/>
              <w:bottom w:val="single" w:sz="4" w:space="0" w:color="auto"/>
              <w:right w:val="single" w:sz="4" w:space="0" w:color="auto"/>
            </w:tcBorders>
            <w:shd w:val="clear" w:color="auto" w:fill="auto"/>
          </w:tcPr>
          <w:p w:rsidR="00A51BFD" w:rsidRPr="00A51BFD" w:rsidRDefault="00A51BFD" w:rsidP="009F27C8">
            <w:pPr>
              <w:jc w:val="center"/>
            </w:pPr>
            <w:r w:rsidRPr="00A51BFD">
              <w:t>2</w:t>
            </w:r>
          </w:p>
        </w:tc>
        <w:tc>
          <w:tcPr>
            <w:tcW w:w="592" w:type="pct"/>
            <w:tcBorders>
              <w:top w:val="nil"/>
              <w:left w:val="nil"/>
              <w:bottom w:val="single" w:sz="4" w:space="0" w:color="auto"/>
              <w:right w:val="single" w:sz="4" w:space="0" w:color="auto"/>
            </w:tcBorders>
            <w:shd w:val="clear" w:color="auto" w:fill="auto"/>
            <w:noWrap/>
          </w:tcPr>
          <w:p w:rsidR="00A51BFD" w:rsidRPr="00A51BFD" w:rsidRDefault="00A51BFD" w:rsidP="009F27C8">
            <w:pPr>
              <w:jc w:val="center"/>
            </w:pPr>
            <w:r w:rsidRPr="00A51BFD">
              <w:t>70</w:t>
            </w:r>
          </w:p>
        </w:tc>
      </w:tr>
      <w:tr w:rsidR="00A51BFD" w:rsidRPr="00A51BFD">
        <w:trPr>
          <w:trHeight w:val="375"/>
        </w:trPr>
        <w:tc>
          <w:tcPr>
            <w:tcW w:w="1126" w:type="pct"/>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9F27C8">
            <w:r w:rsidRPr="00A51BFD">
              <w:lastRenderedPageBreak/>
              <w:t>Pirmā svešvaloda</w:t>
            </w:r>
          </w:p>
        </w:tc>
        <w:tc>
          <w:tcPr>
            <w:tcW w:w="840"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4</w:t>
            </w:r>
          </w:p>
        </w:tc>
        <w:tc>
          <w:tcPr>
            <w:tcW w:w="916"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1</w:t>
            </w:r>
          </w:p>
        </w:tc>
        <w:tc>
          <w:tcPr>
            <w:tcW w:w="919"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607"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592" w:type="pct"/>
            <w:tcBorders>
              <w:top w:val="nil"/>
              <w:left w:val="nil"/>
              <w:bottom w:val="single" w:sz="4" w:space="0" w:color="auto"/>
              <w:right w:val="single" w:sz="4" w:space="0" w:color="auto"/>
            </w:tcBorders>
            <w:shd w:val="clear" w:color="auto" w:fill="auto"/>
            <w:noWrap/>
            <w:vAlign w:val="center"/>
          </w:tcPr>
          <w:p w:rsidR="00A51BFD" w:rsidRPr="00A51BFD" w:rsidRDefault="00A51BFD" w:rsidP="009F27C8">
            <w:pPr>
              <w:jc w:val="center"/>
            </w:pPr>
            <w:r w:rsidRPr="00A51BFD">
              <w:t>105</w:t>
            </w:r>
          </w:p>
        </w:tc>
      </w:tr>
      <w:tr w:rsidR="00A51BFD" w:rsidRPr="00A51BFD">
        <w:trPr>
          <w:trHeight w:val="375"/>
        </w:trPr>
        <w:tc>
          <w:tcPr>
            <w:tcW w:w="1126" w:type="pct"/>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9F27C8">
            <w:r w:rsidRPr="00A51BFD">
              <w:t>Matemātika</w:t>
            </w:r>
          </w:p>
        </w:tc>
        <w:tc>
          <w:tcPr>
            <w:tcW w:w="840"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6</w:t>
            </w:r>
          </w:p>
        </w:tc>
        <w:tc>
          <w:tcPr>
            <w:tcW w:w="916"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919"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4</w:t>
            </w:r>
          </w:p>
        </w:tc>
        <w:tc>
          <w:tcPr>
            <w:tcW w:w="607"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4</w:t>
            </w:r>
          </w:p>
        </w:tc>
        <w:tc>
          <w:tcPr>
            <w:tcW w:w="592" w:type="pct"/>
            <w:tcBorders>
              <w:top w:val="nil"/>
              <w:left w:val="nil"/>
              <w:bottom w:val="single" w:sz="4" w:space="0" w:color="auto"/>
              <w:right w:val="single" w:sz="4" w:space="0" w:color="auto"/>
            </w:tcBorders>
            <w:shd w:val="clear" w:color="auto" w:fill="auto"/>
            <w:noWrap/>
            <w:vAlign w:val="center"/>
          </w:tcPr>
          <w:p w:rsidR="00A51BFD" w:rsidRPr="00A51BFD" w:rsidRDefault="00A51BFD" w:rsidP="009F27C8">
            <w:pPr>
              <w:jc w:val="center"/>
            </w:pPr>
            <w:r w:rsidRPr="00A51BFD">
              <w:t>140</w:t>
            </w:r>
          </w:p>
        </w:tc>
      </w:tr>
      <w:tr w:rsidR="00A51BFD" w:rsidRPr="00A51BFD">
        <w:trPr>
          <w:trHeight w:val="375"/>
        </w:trPr>
        <w:tc>
          <w:tcPr>
            <w:tcW w:w="1126" w:type="pct"/>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9F27C8">
            <w:r w:rsidRPr="00A51BFD">
              <w:t>Latvijas un pasaules vēsture</w:t>
            </w:r>
          </w:p>
        </w:tc>
        <w:tc>
          <w:tcPr>
            <w:tcW w:w="840"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3</w:t>
            </w:r>
          </w:p>
        </w:tc>
        <w:tc>
          <w:tcPr>
            <w:tcW w:w="916"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1</w:t>
            </w:r>
          </w:p>
        </w:tc>
        <w:tc>
          <w:tcPr>
            <w:tcW w:w="919"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607"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592" w:type="pct"/>
            <w:tcBorders>
              <w:top w:val="nil"/>
              <w:left w:val="nil"/>
              <w:bottom w:val="single" w:sz="4" w:space="0" w:color="auto"/>
              <w:right w:val="single" w:sz="4" w:space="0" w:color="auto"/>
            </w:tcBorders>
            <w:shd w:val="clear" w:color="auto" w:fill="auto"/>
            <w:noWrap/>
            <w:vAlign w:val="center"/>
          </w:tcPr>
          <w:p w:rsidR="00A51BFD" w:rsidRPr="00A51BFD" w:rsidRDefault="00A51BFD" w:rsidP="009F27C8">
            <w:pPr>
              <w:jc w:val="center"/>
            </w:pPr>
            <w:r w:rsidRPr="00A51BFD">
              <w:t>70</w:t>
            </w:r>
          </w:p>
        </w:tc>
      </w:tr>
      <w:tr w:rsidR="00A51BFD" w:rsidRPr="00A51BFD">
        <w:trPr>
          <w:trHeight w:val="375"/>
        </w:trPr>
        <w:tc>
          <w:tcPr>
            <w:tcW w:w="1126" w:type="pct"/>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9F27C8">
            <w:r w:rsidRPr="00A51BFD">
              <w:t>Fizika</w:t>
            </w:r>
          </w:p>
        </w:tc>
        <w:tc>
          <w:tcPr>
            <w:tcW w:w="840"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3</w:t>
            </w:r>
          </w:p>
        </w:tc>
        <w:tc>
          <w:tcPr>
            <w:tcW w:w="916"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919"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607"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592" w:type="pct"/>
            <w:tcBorders>
              <w:top w:val="nil"/>
              <w:left w:val="nil"/>
              <w:bottom w:val="single" w:sz="4" w:space="0" w:color="auto"/>
              <w:right w:val="single" w:sz="4" w:space="0" w:color="auto"/>
            </w:tcBorders>
            <w:shd w:val="clear" w:color="auto" w:fill="auto"/>
            <w:noWrap/>
            <w:vAlign w:val="center"/>
          </w:tcPr>
          <w:p w:rsidR="00A51BFD" w:rsidRPr="00A51BFD" w:rsidRDefault="00A51BFD" w:rsidP="009F27C8">
            <w:pPr>
              <w:jc w:val="center"/>
            </w:pPr>
            <w:r w:rsidRPr="00A51BFD">
              <w:t>70</w:t>
            </w:r>
          </w:p>
        </w:tc>
      </w:tr>
      <w:tr w:rsidR="00A51BFD" w:rsidRPr="00A51BFD">
        <w:trPr>
          <w:trHeight w:val="375"/>
        </w:trPr>
        <w:tc>
          <w:tcPr>
            <w:tcW w:w="1126" w:type="pct"/>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9F27C8">
            <w:r w:rsidRPr="00A51BFD">
              <w:t>Ķīmija</w:t>
            </w:r>
          </w:p>
        </w:tc>
        <w:tc>
          <w:tcPr>
            <w:tcW w:w="840"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3</w:t>
            </w:r>
          </w:p>
        </w:tc>
        <w:tc>
          <w:tcPr>
            <w:tcW w:w="916"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919"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607"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592" w:type="pct"/>
            <w:tcBorders>
              <w:top w:val="nil"/>
              <w:left w:val="nil"/>
              <w:bottom w:val="single" w:sz="4" w:space="0" w:color="auto"/>
              <w:right w:val="single" w:sz="4" w:space="0" w:color="auto"/>
            </w:tcBorders>
            <w:shd w:val="clear" w:color="auto" w:fill="auto"/>
            <w:noWrap/>
            <w:vAlign w:val="center"/>
          </w:tcPr>
          <w:p w:rsidR="00A51BFD" w:rsidRPr="00A51BFD" w:rsidRDefault="00A51BFD" w:rsidP="009F27C8">
            <w:pPr>
              <w:jc w:val="center"/>
            </w:pPr>
            <w:r w:rsidRPr="00A51BFD">
              <w:t>70</w:t>
            </w:r>
          </w:p>
        </w:tc>
      </w:tr>
      <w:tr w:rsidR="00A51BFD" w:rsidRPr="00A51BFD">
        <w:trPr>
          <w:trHeight w:val="375"/>
        </w:trPr>
        <w:tc>
          <w:tcPr>
            <w:tcW w:w="1126" w:type="pct"/>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9F27C8">
            <w:r w:rsidRPr="00A51BFD">
              <w:t>Bioloģija</w:t>
            </w:r>
          </w:p>
        </w:tc>
        <w:tc>
          <w:tcPr>
            <w:tcW w:w="840"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3</w:t>
            </w:r>
          </w:p>
        </w:tc>
        <w:tc>
          <w:tcPr>
            <w:tcW w:w="916"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919"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607"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592" w:type="pct"/>
            <w:tcBorders>
              <w:top w:val="nil"/>
              <w:left w:val="nil"/>
              <w:bottom w:val="single" w:sz="4" w:space="0" w:color="auto"/>
              <w:right w:val="single" w:sz="4" w:space="0" w:color="auto"/>
            </w:tcBorders>
            <w:shd w:val="clear" w:color="auto" w:fill="auto"/>
            <w:noWrap/>
            <w:vAlign w:val="center"/>
          </w:tcPr>
          <w:p w:rsidR="00A51BFD" w:rsidRPr="00A51BFD" w:rsidRDefault="00A51BFD" w:rsidP="009F27C8">
            <w:pPr>
              <w:jc w:val="center"/>
            </w:pPr>
            <w:r w:rsidRPr="00A51BFD">
              <w:t>35</w:t>
            </w:r>
          </w:p>
        </w:tc>
      </w:tr>
      <w:tr w:rsidR="00A51BFD" w:rsidRPr="00A51BFD">
        <w:trPr>
          <w:trHeight w:val="375"/>
        </w:trPr>
        <w:tc>
          <w:tcPr>
            <w:tcW w:w="1126" w:type="pct"/>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9F27C8">
            <w:r w:rsidRPr="00A51BFD">
              <w:t>Literatūra</w:t>
            </w:r>
          </w:p>
        </w:tc>
        <w:tc>
          <w:tcPr>
            <w:tcW w:w="840"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3</w:t>
            </w:r>
          </w:p>
        </w:tc>
        <w:tc>
          <w:tcPr>
            <w:tcW w:w="916"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1</w:t>
            </w:r>
          </w:p>
        </w:tc>
        <w:tc>
          <w:tcPr>
            <w:tcW w:w="919"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607"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592" w:type="pct"/>
            <w:tcBorders>
              <w:top w:val="nil"/>
              <w:left w:val="nil"/>
              <w:bottom w:val="single" w:sz="4" w:space="0" w:color="auto"/>
              <w:right w:val="single" w:sz="4" w:space="0" w:color="auto"/>
            </w:tcBorders>
            <w:shd w:val="clear" w:color="auto" w:fill="auto"/>
            <w:noWrap/>
            <w:vAlign w:val="center"/>
          </w:tcPr>
          <w:p w:rsidR="00A51BFD" w:rsidRPr="00A51BFD" w:rsidRDefault="00A51BFD" w:rsidP="009F27C8">
            <w:pPr>
              <w:jc w:val="center"/>
            </w:pPr>
            <w:r w:rsidRPr="00A51BFD">
              <w:t>70</w:t>
            </w:r>
          </w:p>
        </w:tc>
      </w:tr>
      <w:tr w:rsidR="00A51BFD" w:rsidRPr="00A51BFD">
        <w:trPr>
          <w:trHeight w:val="375"/>
        </w:trPr>
        <w:tc>
          <w:tcPr>
            <w:tcW w:w="1126" w:type="pct"/>
            <w:tcBorders>
              <w:top w:val="nil"/>
              <w:left w:val="single" w:sz="4" w:space="0" w:color="auto"/>
              <w:bottom w:val="single" w:sz="4" w:space="0" w:color="auto"/>
              <w:right w:val="single" w:sz="4" w:space="0" w:color="auto"/>
            </w:tcBorders>
            <w:shd w:val="clear" w:color="auto" w:fill="auto"/>
            <w:vAlign w:val="center"/>
          </w:tcPr>
          <w:p w:rsidR="00A51BFD" w:rsidRPr="00A51BFD" w:rsidRDefault="00A51BFD" w:rsidP="009F27C8">
            <w:r w:rsidRPr="00A51BFD">
              <w:t>Mūzika vai vizuālā māksla</w:t>
            </w:r>
          </w:p>
        </w:tc>
        <w:tc>
          <w:tcPr>
            <w:tcW w:w="840"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916"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1</w:t>
            </w:r>
          </w:p>
        </w:tc>
        <w:tc>
          <w:tcPr>
            <w:tcW w:w="919"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607"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592" w:type="pct"/>
            <w:tcBorders>
              <w:top w:val="nil"/>
              <w:left w:val="nil"/>
              <w:bottom w:val="single" w:sz="4" w:space="0" w:color="auto"/>
              <w:right w:val="single" w:sz="4" w:space="0" w:color="auto"/>
            </w:tcBorders>
            <w:shd w:val="clear" w:color="auto" w:fill="auto"/>
            <w:noWrap/>
            <w:vAlign w:val="center"/>
          </w:tcPr>
          <w:p w:rsidR="00A51BFD" w:rsidRPr="00A51BFD" w:rsidRDefault="00A51BFD" w:rsidP="009F27C8">
            <w:pPr>
              <w:jc w:val="center"/>
            </w:pPr>
            <w:r w:rsidRPr="00A51BFD">
              <w:t>70</w:t>
            </w:r>
          </w:p>
        </w:tc>
      </w:tr>
      <w:tr w:rsidR="00A51BFD" w:rsidRPr="00A51BFD">
        <w:trPr>
          <w:trHeight w:val="375"/>
        </w:trPr>
        <w:tc>
          <w:tcPr>
            <w:tcW w:w="5000" w:type="pct"/>
            <w:gridSpan w:val="6"/>
            <w:tcBorders>
              <w:top w:val="nil"/>
              <w:left w:val="single" w:sz="4" w:space="0" w:color="auto"/>
              <w:bottom w:val="single" w:sz="4" w:space="0" w:color="auto"/>
              <w:right w:val="single" w:sz="4" w:space="0" w:color="auto"/>
            </w:tcBorders>
            <w:shd w:val="clear" w:color="auto" w:fill="auto"/>
            <w:noWrap/>
            <w:vAlign w:val="center"/>
          </w:tcPr>
          <w:p w:rsidR="00A51BFD" w:rsidRPr="00A51BFD" w:rsidRDefault="00A51BFD" w:rsidP="009F27C8">
            <w:pPr>
              <w:jc w:val="center"/>
            </w:pPr>
            <w:r w:rsidRPr="00A51BFD">
              <w:t>Izvēles mācību priekšmeti</w:t>
            </w:r>
          </w:p>
        </w:tc>
      </w:tr>
      <w:tr w:rsidR="00A51BFD" w:rsidRPr="00A51BFD">
        <w:trPr>
          <w:trHeight w:val="375"/>
        </w:trPr>
        <w:tc>
          <w:tcPr>
            <w:tcW w:w="1126" w:type="pct"/>
            <w:tcBorders>
              <w:top w:val="nil"/>
              <w:left w:val="single" w:sz="4" w:space="0" w:color="auto"/>
              <w:bottom w:val="single" w:sz="4" w:space="0" w:color="auto"/>
              <w:right w:val="single" w:sz="4" w:space="0" w:color="auto"/>
            </w:tcBorders>
            <w:shd w:val="clear" w:color="auto" w:fill="auto"/>
            <w:noWrap/>
            <w:vAlign w:val="center"/>
          </w:tcPr>
          <w:p w:rsidR="00A51BFD" w:rsidRPr="00A51BFD" w:rsidRDefault="00A51BFD" w:rsidP="009F27C8">
            <w:r w:rsidRPr="00A51BFD">
              <w:t>Veselības mācība</w:t>
            </w:r>
          </w:p>
        </w:tc>
        <w:tc>
          <w:tcPr>
            <w:tcW w:w="840"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1</w:t>
            </w:r>
          </w:p>
        </w:tc>
        <w:tc>
          <w:tcPr>
            <w:tcW w:w="916"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0</w:t>
            </w:r>
          </w:p>
        </w:tc>
        <w:tc>
          <w:tcPr>
            <w:tcW w:w="919"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1</w:t>
            </w:r>
          </w:p>
        </w:tc>
        <w:tc>
          <w:tcPr>
            <w:tcW w:w="607"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1</w:t>
            </w:r>
          </w:p>
        </w:tc>
        <w:tc>
          <w:tcPr>
            <w:tcW w:w="592" w:type="pct"/>
            <w:tcBorders>
              <w:top w:val="nil"/>
              <w:left w:val="nil"/>
              <w:bottom w:val="single" w:sz="4" w:space="0" w:color="auto"/>
              <w:right w:val="single" w:sz="4" w:space="0" w:color="auto"/>
            </w:tcBorders>
            <w:shd w:val="clear" w:color="auto" w:fill="auto"/>
            <w:noWrap/>
            <w:vAlign w:val="center"/>
          </w:tcPr>
          <w:p w:rsidR="00A51BFD" w:rsidRPr="00A51BFD" w:rsidRDefault="00A51BFD" w:rsidP="009F27C8">
            <w:pPr>
              <w:jc w:val="center"/>
            </w:pPr>
            <w:r w:rsidRPr="00A51BFD">
              <w:t>35</w:t>
            </w:r>
          </w:p>
        </w:tc>
      </w:tr>
      <w:tr w:rsidR="00A51BFD" w:rsidRPr="00A51BFD">
        <w:trPr>
          <w:trHeight w:val="375"/>
        </w:trPr>
        <w:tc>
          <w:tcPr>
            <w:tcW w:w="1126" w:type="pct"/>
            <w:tcBorders>
              <w:top w:val="nil"/>
              <w:left w:val="single" w:sz="4" w:space="0" w:color="auto"/>
              <w:bottom w:val="single" w:sz="4" w:space="0" w:color="auto"/>
              <w:right w:val="single" w:sz="4" w:space="0" w:color="auto"/>
            </w:tcBorders>
            <w:shd w:val="clear" w:color="auto" w:fill="auto"/>
            <w:noWrap/>
            <w:vAlign w:val="center"/>
          </w:tcPr>
          <w:p w:rsidR="00A51BFD" w:rsidRPr="00A51BFD" w:rsidRDefault="00A51BFD" w:rsidP="009F27C8">
            <w:r w:rsidRPr="00A51BFD">
              <w:t>Ekonomika</w:t>
            </w:r>
          </w:p>
        </w:tc>
        <w:tc>
          <w:tcPr>
            <w:tcW w:w="840"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916"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1</w:t>
            </w:r>
          </w:p>
        </w:tc>
        <w:tc>
          <w:tcPr>
            <w:tcW w:w="919"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607" w:type="pct"/>
            <w:tcBorders>
              <w:top w:val="nil"/>
              <w:left w:val="nil"/>
              <w:bottom w:val="single" w:sz="4" w:space="0" w:color="auto"/>
              <w:right w:val="single" w:sz="4" w:space="0" w:color="auto"/>
            </w:tcBorders>
            <w:shd w:val="clear" w:color="auto" w:fill="auto"/>
            <w:vAlign w:val="center"/>
          </w:tcPr>
          <w:p w:rsidR="00A51BFD" w:rsidRPr="00A51BFD" w:rsidRDefault="00A51BFD" w:rsidP="009F27C8">
            <w:pPr>
              <w:jc w:val="center"/>
            </w:pPr>
            <w:r w:rsidRPr="00A51BFD">
              <w:t>2</w:t>
            </w:r>
          </w:p>
        </w:tc>
        <w:tc>
          <w:tcPr>
            <w:tcW w:w="592" w:type="pct"/>
            <w:tcBorders>
              <w:top w:val="nil"/>
              <w:left w:val="nil"/>
              <w:bottom w:val="single" w:sz="4" w:space="0" w:color="auto"/>
              <w:right w:val="single" w:sz="4" w:space="0" w:color="auto"/>
            </w:tcBorders>
            <w:shd w:val="clear" w:color="auto" w:fill="auto"/>
            <w:noWrap/>
            <w:vAlign w:val="center"/>
          </w:tcPr>
          <w:p w:rsidR="00A51BFD" w:rsidRPr="00A51BFD" w:rsidRDefault="00A51BFD" w:rsidP="009F27C8">
            <w:pPr>
              <w:jc w:val="center"/>
            </w:pPr>
            <w:r w:rsidRPr="00A51BFD">
              <w:t>70</w:t>
            </w:r>
          </w:p>
        </w:tc>
      </w:tr>
      <w:tr w:rsidR="00A51BFD" w:rsidRPr="00A51BFD">
        <w:trPr>
          <w:trHeight w:val="375"/>
        </w:trPr>
        <w:tc>
          <w:tcPr>
            <w:tcW w:w="1126" w:type="pct"/>
            <w:tcBorders>
              <w:top w:val="single" w:sz="4" w:space="0" w:color="auto"/>
              <w:left w:val="single" w:sz="4" w:space="0" w:color="auto"/>
              <w:bottom w:val="single" w:sz="4" w:space="0" w:color="auto"/>
              <w:right w:val="single" w:sz="4" w:space="0" w:color="auto"/>
            </w:tcBorders>
            <w:shd w:val="clear" w:color="auto" w:fill="auto"/>
            <w:vAlign w:val="center"/>
          </w:tcPr>
          <w:p w:rsidR="00A51BFD" w:rsidRPr="00A51BFD" w:rsidRDefault="00A51BFD" w:rsidP="000C3BE9">
            <w:r w:rsidRPr="00A51BFD">
              <w:t>Kopā</w:t>
            </w:r>
            <w:r w:rsidR="000C3BE9">
              <w:t xml:space="preserve"> (mācību darba organizācijas formas)</w:t>
            </w:r>
            <w:r w:rsidR="000C3BE9" w:rsidRPr="00A51BFD">
              <w:t>:</w:t>
            </w:r>
          </w:p>
        </w:tc>
        <w:tc>
          <w:tcPr>
            <w:tcW w:w="840" w:type="pct"/>
            <w:tcBorders>
              <w:top w:val="single" w:sz="4" w:space="0" w:color="auto"/>
              <w:left w:val="nil"/>
              <w:bottom w:val="single" w:sz="4" w:space="0" w:color="auto"/>
              <w:right w:val="single" w:sz="4" w:space="0" w:color="auto"/>
            </w:tcBorders>
            <w:shd w:val="clear" w:color="auto" w:fill="auto"/>
            <w:vAlign w:val="center"/>
          </w:tcPr>
          <w:p w:rsidR="00A51BFD" w:rsidRPr="00A51BFD" w:rsidRDefault="00F13C8B" w:rsidP="009F27C8">
            <w:pPr>
              <w:jc w:val="center"/>
            </w:pPr>
            <w:fldSimple w:instr=" =SUM(ABOVE) ">
              <w:r w:rsidR="00A51BFD" w:rsidRPr="00A51BFD">
                <w:rPr>
                  <w:noProof/>
                </w:rPr>
                <w:t>34</w:t>
              </w:r>
            </w:fldSimple>
          </w:p>
        </w:tc>
        <w:tc>
          <w:tcPr>
            <w:tcW w:w="916" w:type="pct"/>
            <w:tcBorders>
              <w:top w:val="single" w:sz="4" w:space="0" w:color="auto"/>
              <w:left w:val="nil"/>
              <w:bottom w:val="single" w:sz="4" w:space="0" w:color="auto"/>
              <w:right w:val="single" w:sz="4" w:space="0" w:color="auto"/>
            </w:tcBorders>
            <w:shd w:val="clear" w:color="auto" w:fill="auto"/>
            <w:vAlign w:val="center"/>
          </w:tcPr>
          <w:p w:rsidR="00A51BFD" w:rsidRPr="00A51BFD" w:rsidRDefault="00F13C8B" w:rsidP="009F27C8">
            <w:pPr>
              <w:jc w:val="center"/>
            </w:pPr>
            <w:fldSimple w:instr=" =SUM(ABOVE) ">
              <w:r w:rsidR="00A51BFD" w:rsidRPr="00A51BFD">
                <w:rPr>
                  <w:noProof/>
                </w:rPr>
                <w:t>14</w:t>
              </w:r>
            </w:fldSimple>
          </w:p>
        </w:tc>
        <w:tc>
          <w:tcPr>
            <w:tcW w:w="919" w:type="pct"/>
            <w:tcBorders>
              <w:top w:val="single" w:sz="4" w:space="0" w:color="auto"/>
              <w:left w:val="nil"/>
              <w:bottom w:val="single" w:sz="4" w:space="0" w:color="auto"/>
              <w:right w:val="single" w:sz="4" w:space="0" w:color="auto"/>
            </w:tcBorders>
            <w:shd w:val="clear" w:color="auto" w:fill="auto"/>
            <w:vAlign w:val="center"/>
          </w:tcPr>
          <w:p w:rsidR="00A51BFD" w:rsidRPr="00A51BFD" w:rsidRDefault="00F13C8B" w:rsidP="009F27C8">
            <w:pPr>
              <w:jc w:val="center"/>
            </w:pPr>
            <w:fldSimple w:instr=" =SUM(ABOVE) ">
              <w:r w:rsidR="00A51BFD" w:rsidRPr="00A51BFD">
                <w:rPr>
                  <w:noProof/>
                </w:rPr>
                <w:t>23</w:t>
              </w:r>
            </w:fldSimple>
          </w:p>
        </w:tc>
        <w:tc>
          <w:tcPr>
            <w:tcW w:w="607" w:type="pct"/>
            <w:tcBorders>
              <w:top w:val="single" w:sz="4" w:space="0" w:color="auto"/>
              <w:left w:val="nil"/>
              <w:bottom w:val="single" w:sz="4" w:space="0" w:color="auto"/>
              <w:right w:val="single" w:sz="4" w:space="0" w:color="auto"/>
            </w:tcBorders>
            <w:shd w:val="clear" w:color="auto" w:fill="auto"/>
            <w:vAlign w:val="center"/>
          </w:tcPr>
          <w:p w:rsidR="00A51BFD" w:rsidRPr="00A51BFD" w:rsidRDefault="00F13C8B" w:rsidP="009F27C8">
            <w:pPr>
              <w:jc w:val="center"/>
            </w:pPr>
            <w:fldSimple w:instr=" =SUM(ABOVE) ">
              <w:r w:rsidR="00A51BFD" w:rsidRPr="00A51BFD">
                <w:rPr>
                  <w:noProof/>
                </w:rPr>
                <w:t>23</w:t>
              </w:r>
            </w:fldSimple>
          </w:p>
        </w:tc>
        <w:tc>
          <w:tcPr>
            <w:tcW w:w="592" w:type="pct"/>
            <w:tcBorders>
              <w:top w:val="single" w:sz="4" w:space="0" w:color="auto"/>
              <w:left w:val="nil"/>
              <w:bottom w:val="single" w:sz="4" w:space="0" w:color="auto"/>
              <w:right w:val="single" w:sz="4" w:space="0" w:color="auto"/>
            </w:tcBorders>
            <w:shd w:val="clear" w:color="auto" w:fill="auto"/>
            <w:noWrap/>
            <w:vAlign w:val="center"/>
          </w:tcPr>
          <w:p w:rsidR="00A51BFD" w:rsidRPr="00A51BFD" w:rsidRDefault="00F13C8B" w:rsidP="009F27C8">
            <w:pPr>
              <w:jc w:val="center"/>
            </w:pPr>
            <w:fldSimple w:instr=" =SUM(ABOVE) ">
              <w:r w:rsidR="00A51BFD" w:rsidRPr="00A51BFD">
                <w:rPr>
                  <w:noProof/>
                </w:rPr>
                <w:t>805</w:t>
              </w:r>
            </w:fldSimple>
          </w:p>
        </w:tc>
      </w:tr>
    </w:tbl>
    <w:p w:rsidR="002F3284" w:rsidRPr="00F8266F" w:rsidRDefault="002F3284" w:rsidP="002F3284">
      <w:pPr>
        <w:pStyle w:val="BodyText"/>
        <w:spacing w:before="0" w:beforeAutospacing="0" w:after="0" w:afterAutospacing="0"/>
        <w:ind w:left="357"/>
        <w:jc w:val="both"/>
        <w:rPr>
          <w:rFonts w:ascii="Times New Roman" w:hAnsi="Times New Roman"/>
          <w:i/>
          <w:lang w:val="lv-LV"/>
        </w:rPr>
      </w:pPr>
      <w:r w:rsidRPr="00F8266F">
        <w:rPr>
          <w:rFonts w:ascii="Times New Roman" w:hAnsi="Times New Roman"/>
          <w:i/>
          <w:vertAlign w:val="superscript"/>
          <w:lang w:val="lv-LV"/>
        </w:rPr>
        <w:t>*</w:t>
      </w:r>
      <w:r w:rsidRPr="00F8266F">
        <w:rPr>
          <w:rFonts w:ascii="Times New Roman" w:hAnsi="Times New Roman"/>
          <w:i/>
          <w:lang w:val="lv-LV"/>
        </w:rPr>
        <w:t xml:space="preserve"> - tikai mazākumtautību izglītības programmās</w:t>
      </w:r>
    </w:p>
    <w:p w:rsidR="00A51BFD" w:rsidRPr="00A51BFD" w:rsidRDefault="00A51BFD" w:rsidP="00A51BFD">
      <w:pPr>
        <w:pStyle w:val="BodyText"/>
        <w:spacing w:before="0" w:beforeAutospacing="0" w:after="0" w:afterAutospacing="0"/>
        <w:ind w:firstLine="720"/>
        <w:jc w:val="both"/>
        <w:rPr>
          <w:rFonts w:ascii="Times New Roman" w:hAnsi="Times New Roman"/>
          <w:color w:val="FF0000"/>
          <w:sz w:val="28"/>
          <w:szCs w:val="28"/>
          <w:lang w:val="lv-LV"/>
        </w:rPr>
      </w:pPr>
    </w:p>
    <w:p w:rsidR="00A51BFD" w:rsidRPr="00A51BFD" w:rsidRDefault="00EC3F76" w:rsidP="00A51BFD">
      <w:pPr>
        <w:ind w:firstLine="720"/>
        <w:jc w:val="both"/>
        <w:rPr>
          <w:sz w:val="28"/>
          <w:szCs w:val="28"/>
        </w:rPr>
      </w:pPr>
      <w:r>
        <w:rPr>
          <w:sz w:val="28"/>
          <w:szCs w:val="28"/>
        </w:rPr>
        <w:t>11</w:t>
      </w:r>
      <w:r w:rsidR="00A51BFD" w:rsidRPr="00A51BFD">
        <w:rPr>
          <w:sz w:val="28"/>
          <w:szCs w:val="28"/>
        </w:rPr>
        <w:t>. Mācību priekšmetu, konsultāciju un ieskaišu plānā norādītais mācību stundu skaits gadā katrā mācību priekšmetā nor</w:t>
      </w:r>
      <w:r>
        <w:rPr>
          <w:sz w:val="28"/>
          <w:szCs w:val="28"/>
        </w:rPr>
        <w:t>āda, cik daudz laika izglītojamam</w:t>
      </w:r>
      <w:r w:rsidR="00A51BFD" w:rsidRPr="00A51BFD">
        <w:rPr>
          <w:sz w:val="28"/>
          <w:szCs w:val="28"/>
        </w:rPr>
        <w:t xml:space="preserve"> ieteicams veltīt patstāvīgai mācību priekšmeta apguvei un ieskaitēm.</w:t>
      </w:r>
    </w:p>
    <w:p w:rsidR="00A51BFD" w:rsidRPr="00A51BFD" w:rsidRDefault="00A51BFD" w:rsidP="00A51BFD">
      <w:pPr>
        <w:ind w:firstLine="720"/>
        <w:jc w:val="both"/>
        <w:rPr>
          <w:sz w:val="28"/>
          <w:szCs w:val="28"/>
        </w:rPr>
      </w:pPr>
    </w:p>
    <w:p w:rsidR="00A51BFD" w:rsidRPr="00A51BFD" w:rsidRDefault="00EC3F76" w:rsidP="00A51BFD">
      <w:pPr>
        <w:ind w:firstLine="720"/>
        <w:jc w:val="both"/>
        <w:rPr>
          <w:sz w:val="28"/>
          <w:szCs w:val="28"/>
        </w:rPr>
      </w:pPr>
      <w:r>
        <w:rPr>
          <w:sz w:val="28"/>
          <w:szCs w:val="28"/>
        </w:rPr>
        <w:t>12</w:t>
      </w:r>
      <w:r w:rsidR="0031301F">
        <w:rPr>
          <w:sz w:val="28"/>
          <w:szCs w:val="28"/>
        </w:rPr>
        <w:t>. Mācību satura apguvei izmanto</w:t>
      </w:r>
      <w:r w:rsidR="00A51BFD" w:rsidRPr="00A51BFD">
        <w:rPr>
          <w:sz w:val="28"/>
          <w:szCs w:val="28"/>
        </w:rPr>
        <w:t xml:space="preserve"> Valsts izglītības satura centra apstip</w:t>
      </w:r>
      <w:r w:rsidR="0031301F">
        <w:rPr>
          <w:sz w:val="28"/>
          <w:szCs w:val="28"/>
        </w:rPr>
        <w:t>rināto mācību literatūru</w:t>
      </w:r>
      <w:r w:rsidR="00A51BFD" w:rsidRPr="00A51BFD">
        <w:rPr>
          <w:sz w:val="28"/>
          <w:szCs w:val="28"/>
        </w:rPr>
        <w:t>, kā arī izglītības iestādes izveidoto</w:t>
      </w:r>
      <w:r w:rsidR="0031301F">
        <w:rPr>
          <w:sz w:val="28"/>
          <w:szCs w:val="28"/>
        </w:rPr>
        <w:t>s tālmācības mācību materiālus.</w:t>
      </w:r>
    </w:p>
    <w:p w:rsidR="00A51BFD" w:rsidRPr="00A51BFD" w:rsidRDefault="00A51BFD" w:rsidP="00A51BFD">
      <w:pPr>
        <w:ind w:firstLine="720"/>
        <w:jc w:val="both"/>
        <w:rPr>
          <w:sz w:val="28"/>
          <w:szCs w:val="28"/>
        </w:rPr>
      </w:pPr>
    </w:p>
    <w:p w:rsidR="00A51BFD" w:rsidRPr="00A51BFD" w:rsidRDefault="00EC3F76" w:rsidP="00A51BFD">
      <w:pPr>
        <w:ind w:firstLine="720"/>
        <w:jc w:val="both"/>
        <w:rPr>
          <w:sz w:val="28"/>
          <w:szCs w:val="28"/>
        </w:rPr>
      </w:pPr>
      <w:r>
        <w:rPr>
          <w:sz w:val="28"/>
          <w:szCs w:val="28"/>
        </w:rPr>
        <w:t>13</w:t>
      </w:r>
      <w:r w:rsidR="00A51BFD" w:rsidRPr="00A51BFD">
        <w:rPr>
          <w:sz w:val="28"/>
          <w:szCs w:val="28"/>
        </w:rPr>
        <w:t>. Tālmācības mācību procesu papildina:</w:t>
      </w:r>
    </w:p>
    <w:p w:rsidR="00A51BFD" w:rsidRPr="00A51BFD" w:rsidRDefault="00EC3F76" w:rsidP="00A51BFD">
      <w:pPr>
        <w:ind w:firstLine="720"/>
        <w:jc w:val="both"/>
        <w:rPr>
          <w:sz w:val="28"/>
          <w:szCs w:val="28"/>
        </w:rPr>
      </w:pPr>
      <w:r>
        <w:rPr>
          <w:sz w:val="28"/>
          <w:szCs w:val="28"/>
        </w:rPr>
        <w:t>13</w:t>
      </w:r>
      <w:r w:rsidR="00A51BFD" w:rsidRPr="00A51BFD">
        <w:rPr>
          <w:sz w:val="28"/>
          <w:szCs w:val="28"/>
        </w:rPr>
        <w:t>.1. klātienes grupu konsultācijas pēc izglītības iestādes noteikta plāna. Klātienes konsultācijas organizē kā diskusijas, grupu darbu, aktīvu</w:t>
      </w:r>
      <w:r>
        <w:rPr>
          <w:sz w:val="28"/>
          <w:szCs w:val="28"/>
        </w:rPr>
        <w:t xml:space="preserve"> domu un pieredzes apmaiņu, </w:t>
      </w:r>
      <w:r w:rsidR="00A51BFD" w:rsidRPr="00A51BFD">
        <w:rPr>
          <w:sz w:val="28"/>
          <w:szCs w:val="28"/>
        </w:rPr>
        <w:t xml:space="preserve">nepieciešamības </w:t>
      </w:r>
      <w:r>
        <w:rPr>
          <w:sz w:val="28"/>
          <w:szCs w:val="28"/>
        </w:rPr>
        <w:t xml:space="preserve">gadījumā </w:t>
      </w:r>
      <w:r w:rsidR="00A51BFD" w:rsidRPr="00A51BFD">
        <w:rPr>
          <w:sz w:val="28"/>
          <w:szCs w:val="28"/>
        </w:rPr>
        <w:t>veicot pašpārbaudes uzdevumus, testus vai praktiskos un laboratorijas darbus, kas padziļina izpratni un palīdz noskaidrot jautājumus saistībā ar mācību vielas apguvi;</w:t>
      </w:r>
    </w:p>
    <w:p w:rsidR="00A51BFD" w:rsidRPr="00A51BFD" w:rsidRDefault="00EC3F76" w:rsidP="00A51BFD">
      <w:pPr>
        <w:ind w:firstLine="720"/>
        <w:jc w:val="both"/>
        <w:rPr>
          <w:sz w:val="28"/>
          <w:szCs w:val="28"/>
        </w:rPr>
      </w:pPr>
      <w:r>
        <w:rPr>
          <w:sz w:val="28"/>
          <w:szCs w:val="28"/>
        </w:rPr>
        <w:t>13</w:t>
      </w:r>
      <w:r w:rsidR="00A51BFD" w:rsidRPr="00A51BFD">
        <w:rPr>
          <w:sz w:val="28"/>
          <w:szCs w:val="28"/>
        </w:rPr>
        <w:t>.2. individuālas klātienes konsultācijas pēc izglītojamā pieprasījuma, vienojoties par norises laiku ar mācību priekšmeta pedagogu;</w:t>
      </w:r>
    </w:p>
    <w:p w:rsidR="00A51BFD" w:rsidRPr="00A51BFD" w:rsidRDefault="00EC3F76" w:rsidP="00A51BFD">
      <w:pPr>
        <w:ind w:firstLine="720"/>
        <w:jc w:val="both"/>
        <w:rPr>
          <w:sz w:val="28"/>
          <w:szCs w:val="28"/>
        </w:rPr>
      </w:pPr>
      <w:r>
        <w:rPr>
          <w:sz w:val="28"/>
          <w:szCs w:val="28"/>
        </w:rPr>
        <w:t>13</w:t>
      </w:r>
      <w:r w:rsidR="00A51BFD" w:rsidRPr="00A51BFD">
        <w:rPr>
          <w:sz w:val="28"/>
          <w:szCs w:val="28"/>
        </w:rPr>
        <w:t>.3. individuālas neklātienes konsultācijas ar elektronisko tālsaziņas līdzekļu starpniecību.</w:t>
      </w:r>
    </w:p>
    <w:p w:rsidR="00A51BFD" w:rsidRPr="00A51BFD" w:rsidRDefault="00A51BFD" w:rsidP="00A51BFD">
      <w:pPr>
        <w:ind w:firstLine="720"/>
        <w:jc w:val="both"/>
        <w:rPr>
          <w:sz w:val="28"/>
          <w:szCs w:val="28"/>
        </w:rPr>
      </w:pPr>
    </w:p>
    <w:p w:rsidR="00A51BFD" w:rsidRPr="00A51BFD" w:rsidRDefault="00EC3F76" w:rsidP="00A51BFD">
      <w:pPr>
        <w:ind w:firstLine="720"/>
        <w:jc w:val="both"/>
        <w:rPr>
          <w:sz w:val="28"/>
          <w:szCs w:val="28"/>
        </w:rPr>
      </w:pPr>
      <w:r>
        <w:rPr>
          <w:sz w:val="28"/>
          <w:szCs w:val="28"/>
        </w:rPr>
        <w:t>14</w:t>
      </w:r>
      <w:r w:rsidR="00A51BFD" w:rsidRPr="00A51BFD">
        <w:rPr>
          <w:sz w:val="28"/>
          <w:szCs w:val="28"/>
        </w:rPr>
        <w:t>. Katrā mācību priekšmetā ir noteikts obligāto ieskaišu skaits katram mācību priekšmetam:</w:t>
      </w:r>
    </w:p>
    <w:p w:rsidR="00A51BFD" w:rsidRPr="00A51BFD" w:rsidRDefault="00EC3F76" w:rsidP="00FD0E61">
      <w:pPr>
        <w:ind w:firstLine="567"/>
        <w:jc w:val="both"/>
        <w:rPr>
          <w:sz w:val="28"/>
          <w:szCs w:val="28"/>
        </w:rPr>
      </w:pPr>
      <w:r>
        <w:rPr>
          <w:sz w:val="28"/>
          <w:szCs w:val="28"/>
        </w:rPr>
        <w:lastRenderedPageBreak/>
        <w:t>14</w:t>
      </w:r>
      <w:r w:rsidR="00A51BFD" w:rsidRPr="00A51BFD">
        <w:rPr>
          <w:sz w:val="28"/>
          <w:szCs w:val="28"/>
        </w:rPr>
        <w:t>.1. katrai ieskaitei ir noteikti vērtēšanas kritēriji, vērtēšanas skala un izpildes laiks;</w:t>
      </w:r>
    </w:p>
    <w:p w:rsidR="00A51BFD" w:rsidRPr="00A51BFD" w:rsidRDefault="00EC3F76" w:rsidP="00FD0E61">
      <w:pPr>
        <w:ind w:firstLine="567"/>
        <w:jc w:val="both"/>
        <w:rPr>
          <w:sz w:val="28"/>
          <w:szCs w:val="28"/>
        </w:rPr>
      </w:pPr>
      <w:r>
        <w:rPr>
          <w:sz w:val="28"/>
          <w:szCs w:val="28"/>
        </w:rPr>
        <w:t>14</w:t>
      </w:r>
      <w:r w:rsidR="00A51BFD" w:rsidRPr="00A51BFD">
        <w:rPr>
          <w:sz w:val="28"/>
          <w:szCs w:val="28"/>
        </w:rPr>
        <w:t>.2.</w:t>
      </w:r>
      <w:r>
        <w:rPr>
          <w:sz w:val="28"/>
          <w:szCs w:val="28"/>
        </w:rPr>
        <w:t xml:space="preserve"> ieskaites kārto</w:t>
      </w:r>
      <w:r w:rsidR="00A51BFD" w:rsidRPr="00A51BFD">
        <w:rPr>
          <w:sz w:val="28"/>
          <w:szCs w:val="28"/>
        </w:rPr>
        <w:t xml:space="preserve"> izmantojot elektroniskos tālsaziņas līdzekļus. Pēc ieskaites izpildes un nosūtīšanas izglītojamais ne ilgāk kā divu nedēļu laikā saņem iegūto vērtējumu elektroniskā veidā;</w:t>
      </w:r>
    </w:p>
    <w:p w:rsidR="00A51BFD" w:rsidRPr="00A51BFD" w:rsidRDefault="00EC3F76" w:rsidP="00FD0E61">
      <w:pPr>
        <w:ind w:firstLine="567"/>
        <w:jc w:val="both"/>
        <w:rPr>
          <w:sz w:val="28"/>
          <w:szCs w:val="28"/>
        </w:rPr>
      </w:pPr>
      <w:r>
        <w:rPr>
          <w:sz w:val="28"/>
          <w:szCs w:val="28"/>
        </w:rPr>
        <w:t>14</w:t>
      </w:r>
      <w:r w:rsidR="00A51BFD" w:rsidRPr="00A51BFD">
        <w:rPr>
          <w:sz w:val="28"/>
          <w:szCs w:val="28"/>
        </w:rPr>
        <w:t xml:space="preserve">.3. katrā mācību priekšmetā pedagogs var noteikt </w:t>
      </w:r>
      <w:proofErr w:type="spellStart"/>
      <w:r w:rsidR="00A51BFD" w:rsidRPr="00A51BFD">
        <w:rPr>
          <w:sz w:val="28"/>
          <w:szCs w:val="28"/>
        </w:rPr>
        <w:t>starpieskaites</w:t>
      </w:r>
      <w:proofErr w:type="spellEnd"/>
      <w:r w:rsidR="00A51BFD" w:rsidRPr="00A51BFD">
        <w:rPr>
          <w:sz w:val="28"/>
          <w:szCs w:val="28"/>
        </w:rPr>
        <w:t>, kuras ir saskaņotas ar izglītības iestādes vadītāju;</w:t>
      </w:r>
    </w:p>
    <w:p w:rsidR="00A51BFD" w:rsidRPr="00A51BFD" w:rsidRDefault="00EC3F76" w:rsidP="00FD0E61">
      <w:pPr>
        <w:ind w:firstLine="567"/>
        <w:jc w:val="both"/>
        <w:rPr>
          <w:sz w:val="28"/>
          <w:szCs w:val="28"/>
        </w:rPr>
      </w:pPr>
      <w:r>
        <w:rPr>
          <w:sz w:val="28"/>
          <w:szCs w:val="28"/>
        </w:rPr>
        <w:t>14</w:t>
      </w:r>
      <w:r w:rsidR="00A51BFD" w:rsidRPr="00A51BFD">
        <w:rPr>
          <w:sz w:val="28"/>
          <w:szCs w:val="28"/>
        </w:rPr>
        <w:t>.4. ieskaites var kārtot arī klātienē izglītības iestādē.</w:t>
      </w:r>
    </w:p>
    <w:p w:rsidR="00A51BFD" w:rsidRPr="00A51BFD" w:rsidRDefault="00A51BFD" w:rsidP="00FD0E61">
      <w:pPr>
        <w:ind w:firstLine="567"/>
        <w:jc w:val="both"/>
        <w:rPr>
          <w:sz w:val="28"/>
          <w:szCs w:val="28"/>
        </w:rPr>
      </w:pPr>
    </w:p>
    <w:p w:rsidR="000C3BE9" w:rsidRDefault="00EC3F76" w:rsidP="00FD0E61">
      <w:pPr>
        <w:ind w:firstLine="567"/>
        <w:jc w:val="both"/>
        <w:rPr>
          <w:sz w:val="28"/>
          <w:szCs w:val="28"/>
        </w:rPr>
      </w:pPr>
      <w:r>
        <w:rPr>
          <w:sz w:val="28"/>
          <w:szCs w:val="28"/>
        </w:rPr>
        <w:t>15</w:t>
      </w:r>
      <w:r w:rsidR="00A51BFD" w:rsidRPr="00A51BFD">
        <w:rPr>
          <w:sz w:val="28"/>
          <w:szCs w:val="28"/>
        </w:rPr>
        <w:t>. Ieskaites var kārtot izglītojamā</w:t>
      </w:r>
      <w:r w:rsidR="000C3BE9">
        <w:rPr>
          <w:sz w:val="28"/>
          <w:szCs w:val="28"/>
        </w:rPr>
        <w:t xml:space="preserve"> individuāli izvēlētos termiņos, darba organizācijā ievērojot, ka:</w:t>
      </w:r>
    </w:p>
    <w:p w:rsidR="000C3BE9" w:rsidRDefault="000C3BE9" w:rsidP="00FD0E61">
      <w:pPr>
        <w:ind w:firstLine="567"/>
        <w:jc w:val="both"/>
        <w:rPr>
          <w:sz w:val="28"/>
          <w:szCs w:val="28"/>
        </w:rPr>
      </w:pPr>
      <w:r>
        <w:rPr>
          <w:sz w:val="28"/>
          <w:szCs w:val="28"/>
        </w:rPr>
        <w:t>15.1. k</w:t>
      </w:r>
      <w:r w:rsidR="00A51BFD" w:rsidRPr="00A51BFD">
        <w:rPr>
          <w:sz w:val="28"/>
          <w:szCs w:val="28"/>
        </w:rPr>
        <w:t>atra mācību semestra sākumā izglītojamais ar izglītības iestādi sask</w:t>
      </w:r>
      <w:r>
        <w:rPr>
          <w:sz w:val="28"/>
          <w:szCs w:val="28"/>
        </w:rPr>
        <w:t>aņo ieskaišu veikšanas grafiku;</w:t>
      </w:r>
    </w:p>
    <w:p w:rsidR="000C3BE9" w:rsidRDefault="000C3BE9" w:rsidP="00FD0E61">
      <w:pPr>
        <w:ind w:firstLine="567"/>
        <w:jc w:val="both"/>
        <w:rPr>
          <w:sz w:val="28"/>
          <w:szCs w:val="28"/>
        </w:rPr>
      </w:pPr>
      <w:r>
        <w:rPr>
          <w:sz w:val="28"/>
          <w:szCs w:val="28"/>
        </w:rPr>
        <w:t>15.2. t</w:t>
      </w:r>
      <w:r w:rsidR="00A51BFD" w:rsidRPr="00A51BFD">
        <w:rPr>
          <w:sz w:val="28"/>
          <w:szCs w:val="28"/>
        </w:rPr>
        <w:t xml:space="preserve">ermiņu ieskaites veikšanai </w:t>
      </w:r>
      <w:r>
        <w:rPr>
          <w:sz w:val="28"/>
          <w:szCs w:val="28"/>
        </w:rPr>
        <w:t xml:space="preserve">izglītības iestāde </w:t>
      </w:r>
      <w:r w:rsidR="00A51BFD" w:rsidRPr="00A51BFD">
        <w:rPr>
          <w:sz w:val="28"/>
          <w:szCs w:val="28"/>
        </w:rPr>
        <w:t>nosaka nedē</w:t>
      </w:r>
      <w:r>
        <w:rPr>
          <w:sz w:val="28"/>
          <w:szCs w:val="28"/>
        </w:rPr>
        <w:t>ļas ietvaros;</w:t>
      </w:r>
    </w:p>
    <w:p w:rsidR="00A51BFD" w:rsidRPr="00A51BFD" w:rsidRDefault="000C3BE9" w:rsidP="00FD0E61">
      <w:pPr>
        <w:ind w:firstLine="567"/>
        <w:jc w:val="both"/>
        <w:rPr>
          <w:sz w:val="28"/>
          <w:szCs w:val="28"/>
        </w:rPr>
      </w:pPr>
      <w:r>
        <w:rPr>
          <w:sz w:val="28"/>
          <w:szCs w:val="28"/>
        </w:rPr>
        <w:t>15.3. p</w:t>
      </w:r>
      <w:r w:rsidR="00A51BFD" w:rsidRPr="00A51BFD">
        <w:rPr>
          <w:sz w:val="28"/>
          <w:szCs w:val="28"/>
        </w:rPr>
        <w:t>ēc obligāto ieskaišu par vienas klases k</w:t>
      </w:r>
      <w:r w:rsidR="00EC3F76">
        <w:rPr>
          <w:sz w:val="28"/>
          <w:szCs w:val="28"/>
        </w:rPr>
        <w:t>ursu nokārtošanas, izglītojamo pārceļ</w:t>
      </w:r>
      <w:r w:rsidR="00A51BFD" w:rsidRPr="00A51BFD">
        <w:rPr>
          <w:sz w:val="28"/>
          <w:szCs w:val="28"/>
        </w:rPr>
        <w:t xml:space="preserve"> nākamajā klasē.</w:t>
      </w:r>
    </w:p>
    <w:p w:rsidR="00A51BFD" w:rsidRPr="00A51BFD" w:rsidRDefault="00A51BFD" w:rsidP="00FD0E61">
      <w:pPr>
        <w:ind w:firstLine="567"/>
        <w:jc w:val="both"/>
        <w:rPr>
          <w:sz w:val="28"/>
          <w:szCs w:val="28"/>
        </w:rPr>
      </w:pPr>
    </w:p>
    <w:p w:rsidR="00A51BFD" w:rsidRPr="00A51BFD" w:rsidRDefault="00EC3F76" w:rsidP="00FD0E61">
      <w:pPr>
        <w:ind w:firstLine="567"/>
        <w:jc w:val="both"/>
        <w:rPr>
          <w:sz w:val="28"/>
          <w:szCs w:val="28"/>
        </w:rPr>
      </w:pPr>
      <w:r>
        <w:rPr>
          <w:sz w:val="28"/>
          <w:szCs w:val="28"/>
        </w:rPr>
        <w:t>16</w:t>
      </w:r>
      <w:r w:rsidR="00A51BFD" w:rsidRPr="00A51BFD">
        <w:rPr>
          <w:sz w:val="28"/>
          <w:szCs w:val="28"/>
        </w:rPr>
        <w:t>. Izglītības iestādes izveidotajā tālmācības elektroniskajā vidē tālmācības procesa atbalstam tiek nodrošināta pieeja:</w:t>
      </w:r>
    </w:p>
    <w:p w:rsidR="00A51BFD" w:rsidRPr="00A51BFD" w:rsidRDefault="00EC3F76" w:rsidP="00FD0E61">
      <w:pPr>
        <w:ind w:firstLine="567"/>
        <w:jc w:val="both"/>
        <w:rPr>
          <w:sz w:val="28"/>
          <w:szCs w:val="28"/>
        </w:rPr>
      </w:pPr>
      <w:r>
        <w:rPr>
          <w:sz w:val="28"/>
          <w:szCs w:val="28"/>
        </w:rPr>
        <w:t>16</w:t>
      </w:r>
      <w:r w:rsidR="00A51BFD" w:rsidRPr="00A51BFD">
        <w:rPr>
          <w:sz w:val="28"/>
          <w:szCs w:val="28"/>
        </w:rPr>
        <w:t>.1. izglītības programmai, klātienes konsultāciju grafikam, mācību priekšmetu programmām un tematiskajiem plāniem atbilstoši katra mācību priekšmeta standartam un ieskaišu grafikam, ieteicamās mācību literatūras sarakstam, aktuālai informācijai;</w:t>
      </w:r>
    </w:p>
    <w:p w:rsidR="00A51BFD" w:rsidRPr="00A51BFD" w:rsidRDefault="00EC3F76" w:rsidP="00FD0E61">
      <w:pPr>
        <w:pStyle w:val="BodyTextIndent"/>
        <w:spacing w:after="0"/>
        <w:ind w:left="0" w:firstLine="567"/>
        <w:jc w:val="both"/>
        <w:rPr>
          <w:rFonts w:eastAsia="Arial Unicode MS"/>
          <w:color w:val="000000"/>
          <w:sz w:val="28"/>
          <w:szCs w:val="28"/>
        </w:rPr>
      </w:pPr>
      <w:r>
        <w:rPr>
          <w:rFonts w:eastAsia="Arial Unicode MS"/>
          <w:sz w:val="28"/>
          <w:szCs w:val="28"/>
        </w:rPr>
        <w:t>16</w:t>
      </w:r>
      <w:r w:rsidR="00A51BFD" w:rsidRPr="00A51BFD">
        <w:rPr>
          <w:rFonts w:eastAsia="Arial Unicode MS"/>
          <w:sz w:val="28"/>
          <w:szCs w:val="28"/>
        </w:rPr>
        <w:t xml:space="preserve">.2. izmantojot individuālu pieejas kodu, izglītojamajam ir iespēja izmantot izglītības iestādes </w:t>
      </w:r>
      <w:r w:rsidR="00A51BFD" w:rsidRPr="00A51BFD">
        <w:rPr>
          <w:sz w:val="28"/>
          <w:szCs w:val="28"/>
        </w:rPr>
        <w:t xml:space="preserve">tālmācības elektroniskajā vidē </w:t>
      </w:r>
      <w:r w:rsidR="00A51BFD" w:rsidRPr="00A51BFD">
        <w:rPr>
          <w:rFonts w:eastAsia="Arial Unicode MS"/>
          <w:sz w:val="28"/>
          <w:szCs w:val="28"/>
        </w:rPr>
        <w:t>ietverto informāciju (aktualitātes, individuālais konsultāciju un ieskaišu grafiks</w:t>
      </w:r>
      <w:r w:rsidR="00A51BFD" w:rsidRPr="00A51BFD">
        <w:rPr>
          <w:rFonts w:eastAsia="Arial Unicode MS"/>
          <w:color w:val="000000"/>
          <w:sz w:val="28"/>
          <w:szCs w:val="28"/>
        </w:rPr>
        <w:t>, tālmācības mācību materiāli, saņemtie ieskaišu vērtējumi u.c.);</w:t>
      </w:r>
    </w:p>
    <w:p w:rsidR="00A51BFD" w:rsidRPr="00A51BFD" w:rsidRDefault="00EC3F76" w:rsidP="00FD0E61">
      <w:pPr>
        <w:pStyle w:val="BodyTextIndent"/>
        <w:spacing w:after="0"/>
        <w:ind w:left="0" w:firstLine="567"/>
        <w:jc w:val="both"/>
        <w:rPr>
          <w:rFonts w:eastAsia="Arial Unicode MS"/>
          <w:color w:val="000000"/>
          <w:sz w:val="28"/>
          <w:szCs w:val="28"/>
        </w:rPr>
      </w:pPr>
      <w:r>
        <w:rPr>
          <w:rFonts w:eastAsia="Arial Unicode MS"/>
          <w:color w:val="000000"/>
          <w:sz w:val="28"/>
          <w:szCs w:val="28"/>
        </w:rPr>
        <w:t>16</w:t>
      </w:r>
      <w:r w:rsidR="00A51BFD" w:rsidRPr="00A51BFD">
        <w:rPr>
          <w:rFonts w:eastAsia="Arial Unicode MS"/>
          <w:color w:val="000000"/>
          <w:sz w:val="28"/>
          <w:szCs w:val="28"/>
        </w:rPr>
        <w:t>.3. izmantojot individuālu pieejas kodu, izglītojamais var piekļūt elektroniskam diskusiju forumam, tajā iespējams saņemt pedagoģisko un organizatorisko atbalstu, uzdot jautājumus noteikta mācību priekšmeta pedagogam, saņemt atbildi, kā arī īstenot atgriezenisko saikni, sniedzot ierosinājumus, ieteikumus mācību darba uzlabošanai;</w:t>
      </w:r>
    </w:p>
    <w:p w:rsidR="00A51BFD" w:rsidRPr="00A51BFD" w:rsidRDefault="00EC3F76" w:rsidP="00FD0E61">
      <w:pPr>
        <w:pStyle w:val="BodyTextIndent"/>
        <w:spacing w:after="0"/>
        <w:ind w:left="0" w:firstLine="567"/>
        <w:jc w:val="both"/>
        <w:rPr>
          <w:rFonts w:eastAsia="Arial Unicode MS"/>
          <w:color w:val="000000"/>
          <w:sz w:val="28"/>
          <w:szCs w:val="28"/>
        </w:rPr>
      </w:pPr>
      <w:r>
        <w:rPr>
          <w:rFonts w:eastAsia="Arial Unicode MS"/>
          <w:color w:val="000000"/>
          <w:sz w:val="28"/>
          <w:szCs w:val="28"/>
        </w:rPr>
        <w:t>16</w:t>
      </w:r>
      <w:r w:rsidR="00A51BFD" w:rsidRPr="00A51BFD">
        <w:rPr>
          <w:rFonts w:eastAsia="Arial Unicode MS"/>
          <w:color w:val="000000"/>
          <w:sz w:val="28"/>
          <w:szCs w:val="28"/>
        </w:rPr>
        <w:t>.4. daudzveidīgiem informatīviem materiāliem, izglītības iestādes elektroniskām vēstulēm, ja nepieciešams – atgādinājumiem u.c. izglītojamo mācību darba organizatoriskam atbalstam.</w:t>
      </w:r>
    </w:p>
    <w:p w:rsidR="00A51BFD" w:rsidRPr="00A51BFD" w:rsidRDefault="00A51BFD" w:rsidP="00FD0E61">
      <w:pPr>
        <w:ind w:firstLine="567"/>
        <w:jc w:val="both"/>
        <w:rPr>
          <w:sz w:val="28"/>
          <w:szCs w:val="28"/>
        </w:rPr>
      </w:pPr>
    </w:p>
    <w:p w:rsidR="00A51BFD" w:rsidRPr="00A51BFD" w:rsidRDefault="00EC3F76" w:rsidP="00FD0E61">
      <w:pPr>
        <w:ind w:firstLine="567"/>
        <w:jc w:val="both"/>
        <w:rPr>
          <w:sz w:val="28"/>
          <w:szCs w:val="28"/>
        </w:rPr>
      </w:pPr>
      <w:r>
        <w:rPr>
          <w:sz w:val="28"/>
          <w:szCs w:val="28"/>
        </w:rPr>
        <w:t>17</w:t>
      </w:r>
      <w:r w:rsidR="00A51BFD" w:rsidRPr="00A51BFD">
        <w:rPr>
          <w:sz w:val="28"/>
          <w:szCs w:val="28"/>
        </w:rPr>
        <w:t>. Izglītības programmā papildus var būt iekļauta zinātniski pētnieciska darba izstrāde.</w:t>
      </w:r>
    </w:p>
    <w:p w:rsidR="00A51BFD" w:rsidRPr="00A51BFD" w:rsidRDefault="00A51BFD" w:rsidP="00FD0E61">
      <w:pPr>
        <w:ind w:firstLine="567"/>
        <w:jc w:val="both"/>
        <w:rPr>
          <w:sz w:val="28"/>
          <w:szCs w:val="28"/>
        </w:rPr>
      </w:pPr>
    </w:p>
    <w:p w:rsidR="00A51BFD" w:rsidRPr="00A51BFD" w:rsidRDefault="00EC3F76" w:rsidP="00FD0E61">
      <w:pPr>
        <w:ind w:firstLine="567"/>
        <w:jc w:val="both"/>
        <w:rPr>
          <w:sz w:val="28"/>
          <w:szCs w:val="28"/>
        </w:rPr>
      </w:pPr>
      <w:r>
        <w:rPr>
          <w:sz w:val="28"/>
          <w:szCs w:val="28"/>
        </w:rPr>
        <w:t>18. Valsts pārbaudījumus</w:t>
      </w:r>
      <w:r w:rsidR="00A51BFD" w:rsidRPr="00A51BFD">
        <w:rPr>
          <w:sz w:val="28"/>
          <w:szCs w:val="28"/>
        </w:rPr>
        <w:t xml:space="preserve"> par vispārējās vi</w:t>
      </w:r>
      <w:r>
        <w:rPr>
          <w:sz w:val="28"/>
          <w:szCs w:val="28"/>
        </w:rPr>
        <w:t>dējās izglītības ieguvi nosaka</w:t>
      </w:r>
      <w:r w:rsidR="00A51BFD" w:rsidRPr="00A51BFD">
        <w:rPr>
          <w:sz w:val="28"/>
          <w:szCs w:val="28"/>
        </w:rPr>
        <w:t xml:space="preserve"> </w:t>
      </w:r>
      <w:r w:rsidRPr="001E756F">
        <w:rPr>
          <w:sz w:val="28"/>
          <w:szCs w:val="28"/>
        </w:rPr>
        <w:t>valsts vispārē</w:t>
      </w:r>
      <w:r>
        <w:rPr>
          <w:sz w:val="28"/>
          <w:szCs w:val="28"/>
        </w:rPr>
        <w:t>jās vidējās izglītības standarts</w:t>
      </w:r>
      <w:r w:rsidRPr="001E756F">
        <w:rPr>
          <w:sz w:val="28"/>
          <w:szCs w:val="28"/>
        </w:rPr>
        <w:t>.</w:t>
      </w:r>
    </w:p>
    <w:p w:rsidR="00A51BFD" w:rsidRPr="00A51BFD" w:rsidRDefault="00A51BFD" w:rsidP="00FD0E61">
      <w:pPr>
        <w:ind w:firstLine="567"/>
        <w:jc w:val="both"/>
        <w:rPr>
          <w:sz w:val="28"/>
          <w:szCs w:val="28"/>
        </w:rPr>
      </w:pPr>
    </w:p>
    <w:p w:rsidR="00A51BFD" w:rsidRPr="00A51BFD" w:rsidRDefault="00EC3F76" w:rsidP="00FD0E61">
      <w:pPr>
        <w:ind w:firstLine="567"/>
        <w:jc w:val="both"/>
        <w:rPr>
          <w:sz w:val="28"/>
          <w:szCs w:val="28"/>
        </w:rPr>
      </w:pPr>
      <w:r>
        <w:rPr>
          <w:sz w:val="28"/>
          <w:szCs w:val="28"/>
        </w:rPr>
        <w:lastRenderedPageBreak/>
        <w:t>19</w:t>
      </w:r>
      <w:r w:rsidR="00A51BFD" w:rsidRPr="00A51BFD">
        <w:rPr>
          <w:sz w:val="28"/>
          <w:szCs w:val="28"/>
        </w:rPr>
        <w:t>. Izglītības programmas īstenošanas gaitā konstatētās nepilnība</w:t>
      </w:r>
      <w:r>
        <w:rPr>
          <w:sz w:val="28"/>
          <w:szCs w:val="28"/>
        </w:rPr>
        <w:t>s vai radušās neskaidrības risina</w:t>
      </w:r>
      <w:r w:rsidR="00A51BFD" w:rsidRPr="00A51BFD">
        <w:rPr>
          <w:sz w:val="28"/>
          <w:szCs w:val="28"/>
        </w:rPr>
        <w:t xml:space="preserve"> savstarpējā izglītojamo un izglītības iestādes administrācijas pārrunu vai rakstiskā formā.</w:t>
      </w:r>
    </w:p>
    <w:p w:rsidR="00A51BFD" w:rsidRPr="00A51BFD" w:rsidRDefault="00A51BFD" w:rsidP="00FD0E61">
      <w:pPr>
        <w:pStyle w:val="BodyText"/>
        <w:spacing w:before="0" w:beforeAutospacing="0" w:after="0" w:afterAutospacing="0"/>
        <w:ind w:firstLine="567"/>
        <w:jc w:val="both"/>
        <w:rPr>
          <w:rFonts w:ascii="Times New Roman" w:hAnsi="Times New Roman"/>
          <w:sz w:val="28"/>
          <w:szCs w:val="28"/>
          <w:lang w:val="lv-LV"/>
        </w:rPr>
      </w:pPr>
    </w:p>
    <w:p w:rsidR="00A51BFD" w:rsidRPr="00A51BFD" w:rsidRDefault="00A51BFD" w:rsidP="00A51BFD">
      <w:pPr>
        <w:pStyle w:val="BodyText"/>
        <w:spacing w:before="0" w:beforeAutospacing="0" w:after="0" w:afterAutospacing="0"/>
        <w:ind w:firstLine="720"/>
        <w:jc w:val="center"/>
        <w:rPr>
          <w:rFonts w:ascii="Times New Roman" w:hAnsi="Times New Roman"/>
          <w:b/>
          <w:sz w:val="28"/>
          <w:szCs w:val="28"/>
          <w:lang w:val="lv-LV"/>
        </w:rPr>
      </w:pPr>
      <w:r w:rsidRPr="00A51BFD">
        <w:rPr>
          <w:rFonts w:ascii="Times New Roman" w:hAnsi="Times New Roman"/>
          <w:b/>
          <w:sz w:val="28"/>
          <w:szCs w:val="28"/>
          <w:lang w:val="lv-LV"/>
        </w:rPr>
        <w:t>IV. Prasības attiecībā uz iepriekš iegūto izglītību</w:t>
      </w:r>
    </w:p>
    <w:p w:rsidR="00A51BFD" w:rsidRPr="00A51BFD" w:rsidRDefault="00A51BFD" w:rsidP="00A51BFD">
      <w:pPr>
        <w:ind w:firstLine="720"/>
        <w:jc w:val="both"/>
        <w:rPr>
          <w:sz w:val="28"/>
          <w:szCs w:val="28"/>
        </w:rPr>
      </w:pPr>
    </w:p>
    <w:p w:rsidR="00B718A2" w:rsidRPr="00727698" w:rsidRDefault="00EC3F76" w:rsidP="00FD0E61">
      <w:pPr>
        <w:ind w:firstLine="567"/>
        <w:jc w:val="both"/>
        <w:rPr>
          <w:sz w:val="28"/>
          <w:szCs w:val="28"/>
        </w:rPr>
      </w:pPr>
      <w:r>
        <w:rPr>
          <w:sz w:val="28"/>
          <w:szCs w:val="28"/>
        </w:rPr>
        <w:t>20</w:t>
      </w:r>
      <w:r w:rsidR="00A51BFD" w:rsidRPr="00A51BFD">
        <w:rPr>
          <w:sz w:val="28"/>
          <w:szCs w:val="28"/>
        </w:rPr>
        <w:t xml:space="preserve">. </w:t>
      </w:r>
      <w:r w:rsidR="00B718A2" w:rsidRPr="00727698">
        <w:rPr>
          <w:sz w:val="28"/>
          <w:szCs w:val="28"/>
        </w:rPr>
        <w:t xml:space="preserve">Vispārējās vidējās izglītības tālmācības programmā izglītojamo 10.klasē uzņem pēc pamatizglītības ieguves saskaņā ar Vispārējās izglītības likuma 41.pantu. 11.klasē vai 12.klasē izglītojamo uzņem, ievērojot Ministru kabineta noteiktās </w:t>
      </w:r>
      <w:r w:rsidR="00B718A2" w:rsidRPr="00727698">
        <w:rPr>
          <w:bCs/>
          <w:sz w:val="28"/>
          <w:szCs w:val="28"/>
        </w:rPr>
        <w:t>obligātās prasības pārcelšanai uz nākamo klasi.</w:t>
      </w:r>
    </w:p>
    <w:p w:rsidR="00C07DE1" w:rsidRPr="00C07DE1" w:rsidRDefault="00C07DE1" w:rsidP="00A51BFD">
      <w:pPr>
        <w:ind w:firstLine="720"/>
        <w:jc w:val="both"/>
        <w:rPr>
          <w:sz w:val="28"/>
          <w:szCs w:val="28"/>
        </w:rPr>
      </w:pPr>
    </w:p>
    <w:p w:rsidR="00A51BFD" w:rsidRPr="00A51BFD" w:rsidRDefault="00EC3F76" w:rsidP="00FD0E61">
      <w:pPr>
        <w:ind w:firstLine="567"/>
        <w:jc w:val="both"/>
        <w:rPr>
          <w:sz w:val="28"/>
          <w:szCs w:val="28"/>
        </w:rPr>
      </w:pPr>
      <w:r>
        <w:rPr>
          <w:bCs/>
          <w:sz w:val="28"/>
          <w:szCs w:val="28"/>
        </w:rPr>
        <w:t>21</w:t>
      </w:r>
      <w:r w:rsidR="00A51BFD" w:rsidRPr="00A51BFD">
        <w:rPr>
          <w:bCs/>
          <w:sz w:val="28"/>
          <w:szCs w:val="28"/>
        </w:rPr>
        <w:t xml:space="preserve">. Izglītības iestāde ir tiesīga </w:t>
      </w:r>
      <w:r w:rsidR="00A51BFD" w:rsidRPr="00A51BFD">
        <w:rPr>
          <w:sz w:val="28"/>
          <w:szCs w:val="28"/>
        </w:rPr>
        <w:t>rīkot iestājpārbaudījumus vai noteikt papildu prasības uzņemšanai izglītības programmā saskaņā ar Vispārējās izglītības likuma 41.pantā noteikto</w:t>
      </w:r>
      <w:r w:rsidR="00A51BFD" w:rsidRPr="00A51BFD">
        <w:rPr>
          <w:bCs/>
          <w:sz w:val="28"/>
          <w:szCs w:val="28"/>
        </w:rPr>
        <w:t>.</w:t>
      </w:r>
    </w:p>
    <w:p w:rsidR="00A51BFD" w:rsidRPr="00A51BFD" w:rsidRDefault="00A51BFD" w:rsidP="00A51BFD">
      <w:pPr>
        <w:ind w:firstLine="720"/>
        <w:jc w:val="both"/>
        <w:rPr>
          <w:sz w:val="28"/>
          <w:szCs w:val="28"/>
        </w:rPr>
      </w:pPr>
    </w:p>
    <w:p w:rsidR="00A51BFD" w:rsidRPr="00A51BFD" w:rsidRDefault="00A51BFD" w:rsidP="00A51BFD">
      <w:pPr>
        <w:ind w:firstLine="720"/>
        <w:jc w:val="center"/>
        <w:rPr>
          <w:b/>
          <w:sz w:val="28"/>
          <w:szCs w:val="28"/>
        </w:rPr>
      </w:pPr>
      <w:r w:rsidRPr="00A51BFD">
        <w:rPr>
          <w:b/>
          <w:sz w:val="28"/>
          <w:szCs w:val="28"/>
        </w:rPr>
        <w:t>V. Iegūtās izglītības vērtēšanas kritēriji un kārtība</w:t>
      </w:r>
    </w:p>
    <w:p w:rsidR="00A51BFD" w:rsidRPr="00A51BFD" w:rsidRDefault="00A51BFD" w:rsidP="00A51BFD">
      <w:pPr>
        <w:pStyle w:val="BodyText"/>
        <w:spacing w:before="0" w:beforeAutospacing="0" w:after="0" w:afterAutospacing="0"/>
        <w:ind w:firstLine="720"/>
        <w:jc w:val="center"/>
        <w:rPr>
          <w:rFonts w:ascii="Times New Roman" w:hAnsi="Times New Roman"/>
          <w:b/>
          <w:sz w:val="28"/>
          <w:szCs w:val="28"/>
          <w:lang w:val="lv-LV"/>
        </w:rPr>
      </w:pPr>
    </w:p>
    <w:p w:rsidR="00A51BFD" w:rsidRPr="00A51BFD" w:rsidRDefault="00EC3F76" w:rsidP="00FD0E61">
      <w:pPr>
        <w:ind w:firstLine="567"/>
        <w:jc w:val="both"/>
        <w:rPr>
          <w:sz w:val="28"/>
          <w:szCs w:val="28"/>
        </w:rPr>
      </w:pPr>
      <w:r>
        <w:rPr>
          <w:sz w:val="28"/>
          <w:szCs w:val="28"/>
        </w:rPr>
        <w:t>22</w:t>
      </w:r>
      <w:r w:rsidR="00A51BFD" w:rsidRPr="00A51BFD">
        <w:rPr>
          <w:sz w:val="28"/>
          <w:szCs w:val="28"/>
        </w:rPr>
        <w:t>.</w:t>
      </w:r>
      <w:r w:rsidR="00737075">
        <w:rPr>
          <w:sz w:val="28"/>
          <w:szCs w:val="28"/>
        </w:rPr>
        <w:t xml:space="preserve"> </w:t>
      </w:r>
      <w:r w:rsidR="00A51BFD" w:rsidRPr="00A51BFD">
        <w:rPr>
          <w:sz w:val="28"/>
          <w:szCs w:val="28"/>
        </w:rPr>
        <w:t>Izglītojamo iegūtās vispārējās vidējās izg</w:t>
      </w:r>
      <w:r>
        <w:rPr>
          <w:sz w:val="28"/>
          <w:szCs w:val="28"/>
        </w:rPr>
        <w:t xml:space="preserve">lītības vērtēšanas pamatprincipus, </w:t>
      </w:r>
      <w:r w:rsidR="003A40FA">
        <w:rPr>
          <w:sz w:val="28"/>
          <w:szCs w:val="28"/>
        </w:rPr>
        <w:t xml:space="preserve">kritērijus, </w:t>
      </w:r>
      <w:r>
        <w:rPr>
          <w:sz w:val="28"/>
          <w:szCs w:val="28"/>
        </w:rPr>
        <w:t>kārtību, obligātos</w:t>
      </w:r>
      <w:r w:rsidR="00A51BFD" w:rsidRPr="00A51BFD">
        <w:rPr>
          <w:sz w:val="28"/>
          <w:szCs w:val="28"/>
        </w:rPr>
        <w:t xml:space="preserve"> valsts pā</w:t>
      </w:r>
      <w:r>
        <w:rPr>
          <w:sz w:val="28"/>
          <w:szCs w:val="28"/>
        </w:rPr>
        <w:t>rbaudījumus</w:t>
      </w:r>
      <w:r w:rsidR="00A51BFD" w:rsidRPr="00A51BFD">
        <w:rPr>
          <w:sz w:val="28"/>
          <w:szCs w:val="28"/>
        </w:rPr>
        <w:t xml:space="preserve">, kā arī </w:t>
      </w:r>
      <w:r w:rsidR="00A51BFD" w:rsidRPr="00A51BFD">
        <w:rPr>
          <w:bCs/>
          <w:sz w:val="28"/>
          <w:szCs w:val="28"/>
        </w:rPr>
        <w:t>mācību sasniegumu</w:t>
      </w:r>
      <w:r>
        <w:rPr>
          <w:bCs/>
          <w:sz w:val="28"/>
          <w:szCs w:val="28"/>
        </w:rPr>
        <w:t xml:space="preserve"> vērtēšanas formas un metodiskos paņēmienus</w:t>
      </w:r>
      <w:r>
        <w:rPr>
          <w:sz w:val="28"/>
          <w:szCs w:val="28"/>
        </w:rPr>
        <w:t xml:space="preserve"> nosaka</w:t>
      </w:r>
      <w:r w:rsidR="00A51BFD" w:rsidRPr="00A51BFD">
        <w:rPr>
          <w:sz w:val="28"/>
          <w:szCs w:val="28"/>
        </w:rPr>
        <w:t xml:space="preserve"> </w:t>
      </w:r>
      <w:r w:rsidRPr="001E756F">
        <w:rPr>
          <w:sz w:val="28"/>
          <w:szCs w:val="28"/>
        </w:rPr>
        <w:t>valsts vispārē</w:t>
      </w:r>
      <w:r>
        <w:rPr>
          <w:sz w:val="28"/>
          <w:szCs w:val="28"/>
        </w:rPr>
        <w:t>jās vidējās izglītības standarts</w:t>
      </w:r>
      <w:r w:rsidRPr="001E756F">
        <w:rPr>
          <w:sz w:val="28"/>
          <w:szCs w:val="28"/>
        </w:rPr>
        <w:t>.</w:t>
      </w:r>
    </w:p>
    <w:p w:rsidR="00A51BFD" w:rsidRPr="00A51BFD" w:rsidRDefault="00A51BFD" w:rsidP="00FD0E61">
      <w:pPr>
        <w:ind w:firstLine="567"/>
        <w:jc w:val="both"/>
        <w:rPr>
          <w:color w:val="FF0000"/>
          <w:sz w:val="28"/>
          <w:szCs w:val="28"/>
        </w:rPr>
      </w:pPr>
    </w:p>
    <w:p w:rsidR="00A51BFD" w:rsidRPr="00367873" w:rsidRDefault="00EC3F76" w:rsidP="00FD0E61">
      <w:pPr>
        <w:ind w:firstLine="567"/>
        <w:jc w:val="both"/>
        <w:rPr>
          <w:sz w:val="28"/>
          <w:szCs w:val="28"/>
        </w:rPr>
      </w:pPr>
      <w:r w:rsidRPr="00367873">
        <w:rPr>
          <w:sz w:val="28"/>
          <w:szCs w:val="28"/>
        </w:rPr>
        <w:t>23</w:t>
      </w:r>
      <w:r w:rsidR="00A51BFD" w:rsidRPr="00367873">
        <w:rPr>
          <w:sz w:val="28"/>
          <w:szCs w:val="28"/>
        </w:rPr>
        <w:t xml:space="preserve">. Izglītības programmas apguvi katrā klasē apliecina liecība. </w:t>
      </w:r>
      <w:r w:rsidR="00367873" w:rsidRPr="00367873">
        <w:rPr>
          <w:sz w:val="28"/>
          <w:szCs w:val="28"/>
        </w:rPr>
        <w:t>I</w:t>
      </w:r>
      <w:r w:rsidR="00A51BFD" w:rsidRPr="00367873">
        <w:rPr>
          <w:sz w:val="28"/>
          <w:szCs w:val="28"/>
        </w:rPr>
        <w:t>zglītojamo pārcelšana</w:t>
      </w:r>
      <w:r w:rsidR="00367873" w:rsidRPr="00367873">
        <w:rPr>
          <w:sz w:val="28"/>
          <w:szCs w:val="28"/>
        </w:rPr>
        <w:t xml:space="preserve"> </w:t>
      </w:r>
      <w:r w:rsidR="00A51BFD" w:rsidRPr="00367873">
        <w:rPr>
          <w:sz w:val="28"/>
          <w:szCs w:val="28"/>
        </w:rPr>
        <w:t xml:space="preserve">nākamajā klasē </w:t>
      </w:r>
      <w:r w:rsidR="00367873" w:rsidRPr="00367873">
        <w:rPr>
          <w:sz w:val="28"/>
          <w:szCs w:val="28"/>
        </w:rPr>
        <w:t xml:space="preserve">notiek saskaņā ar </w:t>
      </w:r>
      <w:r w:rsidR="00A51BFD" w:rsidRPr="00367873">
        <w:rPr>
          <w:sz w:val="28"/>
          <w:szCs w:val="28"/>
        </w:rPr>
        <w:t>Ministru kabinet</w:t>
      </w:r>
      <w:r w:rsidR="00367873" w:rsidRPr="00367873">
        <w:rPr>
          <w:sz w:val="28"/>
          <w:szCs w:val="28"/>
        </w:rPr>
        <w:t>a noteikumiem</w:t>
      </w:r>
      <w:r w:rsidR="00392AEE" w:rsidRPr="00367873">
        <w:rPr>
          <w:sz w:val="28"/>
          <w:szCs w:val="28"/>
        </w:rPr>
        <w:t xml:space="preserve"> </w:t>
      </w:r>
      <w:r w:rsidR="00367873" w:rsidRPr="00367873">
        <w:rPr>
          <w:sz w:val="28"/>
          <w:szCs w:val="28"/>
        </w:rPr>
        <w:t>par obligātajām prasībām</w:t>
      </w:r>
      <w:r w:rsidR="007E3152" w:rsidRPr="00367873">
        <w:rPr>
          <w:sz w:val="28"/>
          <w:szCs w:val="28"/>
        </w:rPr>
        <w:t xml:space="preserve"> </w:t>
      </w:r>
      <w:r w:rsidR="00367873" w:rsidRPr="00367873">
        <w:rPr>
          <w:sz w:val="28"/>
          <w:szCs w:val="28"/>
        </w:rPr>
        <w:t>izglītojamo pārcelšanai</w:t>
      </w:r>
      <w:r w:rsidR="007E3152" w:rsidRPr="00367873">
        <w:rPr>
          <w:sz w:val="28"/>
          <w:szCs w:val="28"/>
        </w:rPr>
        <w:t xml:space="preserve"> </w:t>
      </w:r>
      <w:r w:rsidR="00367873" w:rsidRPr="00367873">
        <w:rPr>
          <w:sz w:val="28"/>
          <w:szCs w:val="28"/>
        </w:rPr>
        <w:t>nākamajā klasē</w:t>
      </w:r>
      <w:r w:rsidR="00FD0E61">
        <w:rPr>
          <w:sz w:val="28"/>
          <w:szCs w:val="28"/>
        </w:rPr>
        <w:t>.</w:t>
      </w:r>
    </w:p>
    <w:p w:rsidR="00A51BFD" w:rsidRPr="00A51BFD" w:rsidRDefault="00A51BFD" w:rsidP="00FD0E61">
      <w:pPr>
        <w:ind w:firstLine="567"/>
        <w:jc w:val="both"/>
        <w:rPr>
          <w:sz w:val="28"/>
          <w:szCs w:val="28"/>
        </w:rPr>
      </w:pPr>
    </w:p>
    <w:p w:rsidR="00A51BFD" w:rsidRPr="00A51BFD" w:rsidRDefault="00EC3F76" w:rsidP="00FD0E61">
      <w:pPr>
        <w:pStyle w:val="naisf"/>
        <w:spacing w:before="0" w:after="0"/>
        <w:ind w:firstLine="567"/>
        <w:rPr>
          <w:sz w:val="28"/>
          <w:szCs w:val="28"/>
        </w:rPr>
      </w:pPr>
      <w:r>
        <w:rPr>
          <w:sz w:val="28"/>
          <w:szCs w:val="28"/>
        </w:rPr>
        <w:t>24</w:t>
      </w:r>
      <w:r w:rsidR="00A51BFD" w:rsidRPr="00A51BFD">
        <w:rPr>
          <w:sz w:val="28"/>
          <w:szCs w:val="28"/>
        </w:rPr>
        <w:t xml:space="preserve">. </w:t>
      </w:r>
      <w:r w:rsidRPr="00A60528">
        <w:rPr>
          <w:sz w:val="28"/>
          <w:szCs w:val="28"/>
        </w:rPr>
        <w:t xml:space="preserve">Par vispārējās vidējās izglītības programmas apguvi izglītojamie saņem atestātu par vispārējo vidējo izglītību, sekmju izrakstu un vispārējās vidējās izglītības sertifikātu </w:t>
      </w:r>
      <w:r w:rsidR="00392AEE" w:rsidRPr="00A60528">
        <w:rPr>
          <w:sz w:val="28"/>
          <w:szCs w:val="28"/>
        </w:rPr>
        <w:t>Ministru kabineta</w:t>
      </w:r>
      <w:r w:rsidR="00392AEE" w:rsidRPr="00A60528">
        <w:rPr>
          <w:i/>
          <w:iCs/>
          <w:sz w:val="28"/>
          <w:szCs w:val="28"/>
        </w:rPr>
        <w:t xml:space="preserve"> </w:t>
      </w:r>
      <w:r w:rsidR="00367873">
        <w:rPr>
          <w:sz w:val="28"/>
          <w:szCs w:val="28"/>
        </w:rPr>
        <w:t>noteiktajā kārtībā</w:t>
      </w:r>
      <w:r w:rsidR="00FD0E61">
        <w:rPr>
          <w:sz w:val="28"/>
          <w:szCs w:val="28"/>
        </w:rPr>
        <w:t>.</w:t>
      </w:r>
    </w:p>
    <w:p w:rsidR="00A51BFD" w:rsidRPr="00A51BFD" w:rsidRDefault="00A51BFD" w:rsidP="00FD0E61">
      <w:pPr>
        <w:pStyle w:val="naisf"/>
        <w:spacing w:before="0" w:after="0"/>
        <w:ind w:firstLine="567"/>
        <w:rPr>
          <w:sz w:val="28"/>
          <w:szCs w:val="28"/>
        </w:rPr>
      </w:pPr>
    </w:p>
    <w:p w:rsidR="00A51BFD" w:rsidRPr="00A51BFD" w:rsidRDefault="00A51BFD" w:rsidP="00A51BFD">
      <w:pPr>
        <w:pStyle w:val="BodyText"/>
        <w:spacing w:before="0" w:beforeAutospacing="0" w:after="0" w:afterAutospacing="0"/>
        <w:ind w:firstLine="720"/>
        <w:jc w:val="center"/>
        <w:rPr>
          <w:rFonts w:ascii="Times New Roman" w:hAnsi="Times New Roman"/>
          <w:b/>
          <w:sz w:val="28"/>
          <w:szCs w:val="28"/>
          <w:lang w:val="lv-LV"/>
        </w:rPr>
      </w:pPr>
      <w:r w:rsidRPr="00A51BFD">
        <w:rPr>
          <w:rFonts w:ascii="Times New Roman" w:hAnsi="Times New Roman"/>
          <w:b/>
          <w:sz w:val="28"/>
          <w:szCs w:val="28"/>
          <w:lang w:val="lv-LV"/>
        </w:rPr>
        <w:t>VI. Izglītības programmas īstenošanai nepieciešamā personāla,</w:t>
      </w:r>
    </w:p>
    <w:p w:rsidR="00A51BFD" w:rsidRPr="00A51BFD" w:rsidRDefault="00A51BFD" w:rsidP="00A51BFD">
      <w:pPr>
        <w:pStyle w:val="BodyText"/>
        <w:spacing w:before="0" w:beforeAutospacing="0" w:after="0" w:afterAutospacing="0"/>
        <w:ind w:firstLine="720"/>
        <w:jc w:val="center"/>
        <w:rPr>
          <w:rFonts w:ascii="Times New Roman" w:hAnsi="Times New Roman"/>
          <w:b/>
          <w:sz w:val="28"/>
          <w:szCs w:val="28"/>
          <w:lang w:val="lv-LV"/>
        </w:rPr>
      </w:pPr>
      <w:r w:rsidRPr="00A51BFD">
        <w:rPr>
          <w:rFonts w:ascii="Times New Roman" w:hAnsi="Times New Roman"/>
          <w:b/>
          <w:sz w:val="28"/>
          <w:szCs w:val="28"/>
          <w:lang w:val="lv-LV"/>
        </w:rPr>
        <w:t>finanšu un materiālo līdzekļu izvērtējums un pamatojums</w:t>
      </w:r>
    </w:p>
    <w:p w:rsidR="00A51BFD" w:rsidRPr="00A51BFD" w:rsidRDefault="00A51BFD" w:rsidP="00FD0E61">
      <w:pPr>
        <w:pStyle w:val="BodyText"/>
        <w:spacing w:before="0" w:beforeAutospacing="0" w:after="0" w:afterAutospacing="0"/>
        <w:ind w:firstLine="567"/>
        <w:jc w:val="center"/>
        <w:rPr>
          <w:rFonts w:ascii="Times New Roman" w:hAnsi="Times New Roman"/>
          <w:b/>
          <w:sz w:val="28"/>
          <w:szCs w:val="28"/>
          <w:lang w:val="lv-LV"/>
        </w:rPr>
      </w:pPr>
    </w:p>
    <w:p w:rsidR="00A51BFD" w:rsidRPr="00A51BFD" w:rsidRDefault="00EC3F76" w:rsidP="00FD0E61">
      <w:pPr>
        <w:ind w:firstLine="567"/>
        <w:jc w:val="both"/>
        <w:rPr>
          <w:sz w:val="28"/>
          <w:szCs w:val="28"/>
        </w:rPr>
      </w:pPr>
      <w:r>
        <w:rPr>
          <w:sz w:val="28"/>
          <w:szCs w:val="28"/>
        </w:rPr>
        <w:t>25</w:t>
      </w:r>
      <w:r w:rsidR="00A51BFD" w:rsidRPr="00A51BFD">
        <w:rPr>
          <w:sz w:val="28"/>
          <w:szCs w:val="28"/>
        </w:rPr>
        <w:t>. Izglītības programmas īstenošanai nepieciešamo pedagogu profesiju un amatu sarakstu, prasības pedagogiem nepieciešamajai izglītībai un profesionālajai kvalifikācijai atbilstoši pedagogu profesijām, kā arī p</w:t>
      </w:r>
      <w:r w:rsidR="00392AEE">
        <w:rPr>
          <w:sz w:val="28"/>
          <w:szCs w:val="28"/>
        </w:rPr>
        <w:t>edagogu profesionālās pilnveidei</w:t>
      </w:r>
      <w:r w:rsidR="00A51BFD" w:rsidRPr="00A51BFD">
        <w:rPr>
          <w:sz w:val="28"/>
          <w:szCs w:val="28"/>
        </w:rPr>
        <w:t xml:space="preserve"> </w:t>
      </w:r>
      <w:r w:rsidR="00392AEE">
        <w:rPr>
          <w:sz w:val="28"/>
          <w:szCs w:val="28"/>
        </w:rPr>
        <w:t>nosaka Ministru kabineta noteiktajā kārtībā</w:t>
      </w:r>
      <w:r w:rsidR="00A51BFD" w:rsidRPr="00A51BFD">
        <w:rPr>
          <w:sz w:val="28"/>
          <w:szCs w:val="28"/>
        </w:rPr>
        <w:t>.</w:t>
      </w:r>
    </w:p>
    <w:p w:rsidR="00A51BFD" w:rsidRPr="00A51BFD" w:rsidRDefault="00A51BFD" w:rsidP="00FD0E61">
      <w:pPr>
        <w:pStyle w:val="BodyText"/>
        <w:spacing w:before="0" w:beforeAutospacing="0" w:after="0" w:afterAutospacing="0"/>
        <w:ind w:firstLine="567"/>
        <w:jc w:val="both"/>
        <w:rPr>
          <w:rFonts w:ascii="Times New Roman" w:hAnsi="Times New Roman"/>
          <w:sz w:val="28"/>
          <w:szCs w:val="28"/>
          <w:lang w:val="lv-LV"/>
        </w:rPr>
      </w:pPr>
    </w:p>
    <w:p w:rsidR="00A51BFD" w:rsidRPr="00A51BFD" w:rsidRDefault="00EC3F76" w:rsidP="00FD0E61">
      <w:pPr>
        <w:pStyle w:val="BodyText"/>
        <w:spacing w:before="0" w:beforeAutospacing="0" w:after="0" w:afterAutospacing="0"/>
        <w:ind w:firstLine="567"/>
        <w:jc w:val="both"/>
        <w:rPr>
          <w:rFonts w:ascii="Times New Roman" w:hAnsi="Times New Roman"/>
          <w:sz w:val="28"/>
          <w:szCs w:val="28"/>
          <w:lang w:val="lv-LV"/>
        </w:rPr>
      </w:pPr>
      <w:r>
        <w:rPr>
          <w:rFonts w:ascii="Times New Roman" w:hAnsi="Times New Roman"/>
          <w:sz w:val="28"/>
          <w:szCs w:val="28"/>
          <w:lang w:val="lv-LV"/>
        </w:rPr>
        <w:t>26</w:t>
      </w:r>
      <w:r w:rsidR="00A51BFD" w:rsidRPr="00A51BFD">
        <w:rPr>
          <w:rFonts w:ascii="Times New Roman" w:hAnsi="Times New Roman"/>
          <w:sz w:val="28"/>
          <w:szCs w:val="28"/>
          <w:lang w:val="lv-LV"/>
        </w:rPr>
        <w:t xml:space="preserve">. Maksu par vidējās izglītības ieguvi valsts vai pašvaldību dibinātā izglītības iestādē sedz no valsts un pašvaldības budžeta Ministru kabineta noteiktajā kārtībā. </w:t>
      </w:r>
      <w:r w:rsidR="00A51BFD" w:rsidRPr="00A51BFD">
        <w:rPr>
          <w:rFonts w:ascii="Times New Roman" w:eastAsia="Times New Roman" w:hAnsi="Times New Roman"/>
          <w:sz w:val="28"/>
          <w:szCs w:val="28"/>
          <w:lang w:val="lv-LV" w:eastAsia="lv-LV"/>
        </w:rPr>
        <w:t>Privātās vispārējās vidējās izglītības iestādes ir tiesīgas noteikt mācību maksu.</w:t>
      </w:r>
    </w:p>
    <w:p w:rsidR="00A51BFD" w:rsidRPr="00A51BFD" w:rsidRDefault="00A51BFD" w:rsidP="00FD0E61">
      <w:pPr>
        <w:ind w:firstLine="567"/>
        <w:jc w:val="both"/>
        <w:rPr>
          <w:sz w:val="28"/>
          <w:szCs w:val="28"/>
        </w:rPr>
      </w:pPr>
    </w:p>
    <w:p w:rsidR="00A51BFD" w:rsidRPr="00A51BFD" w:rsidRDefault="00EC3F76" w:rsidP="00FD0E61">
      <w:pPr>
        <w:ind w:firstLine="567"/>
        <w:jc w:val="both"/>
        <w:rPr>
          <w:sz w:val="28"/>
          <w:szCs w:val="28"/>
        </w:rPr>
      </w:pPr>
      <w:r>
        <w:rPr>
          <w:sz w:val="28"/>
          <w:szCs w:val="28"/>
        </w:rPr>
        <w:t>27</w:t>
      </w:r>
      <w:r w:rsidR="00A51BFD" w:rsidRPr="00A51BFD">
        <w:rPr>
          <w:sz w:val="28"/>
          <w:szCs w:val="28"/>
        </w:rPr>
        <w:t>. Pedagogu darba samaksas kārtību un zemāko darba samaksas apmēru par vien</w:t>
      </w:r>
      <w:r w:rsidR="00392AEE">
        <w:rPr>
          <w:sz w:val="28"/>
          <w:szCs w:val="28"/>
        </w:rPr>
        <w:t>u likmi nosaka Ministru kabineta noteiktajā kārtībā</w:t>
      </w:r>
      <w:r w:rsidR="00A51BFD" w:rsidRPr="00A51BFD">
        <w:rPr>
          <w:sz w:val="28"/>
          <w:szCs w:val="28"/>
        </w:rPr>
        <w:t>.</w:t>
      </w:r>
    </w:p>
    <w:p w:rsidR="00A51BFD" w:rsidRPr="00A51BFD" w:rsidRDefault="00A51BFD" w:rsidP="00FD0E61">
      <w:pPr>
        <w:ind w:firstLine="567"/>
        <w:jc w:val="both"/>
        <w:rPr>
          <w:sz w:val="28"/>
          <w:szCs w:val="28"/>
        </w:rPr>
      </w:pPr>
    </w:p>
    <w:p w:rsidR="003445CF" w:rsidRPr="00464B1D" w:rsidRDefault="00EC3F76" w:rsidP="003445CF">
      <w:pPr>
        <w:ind w:firstLine="720"/>
        <w:jc w:val="both"/>
        <w:rPr>
          <w:sz w:val="28"/>
          <w:szCs w:val="28"/>
        </w:rPr>
      </w:pPr>
      <w:r w:rsidRPr="00464B1D">
        <w:rPr>
          <w:sz w:val="28"/>
          <w:szCs w:val="28"/>
        </w:rPr>
        <w:t>28</w:t>
      </w:r>
      <w:r w:rsidR="00A51BFD" w:rsidRPr="00464B1D">
        <w:rPr>
          <w:sz w:val="28"/>
          <w:szCs w:val="28"/>
        </w:rPr>
        <w:t xml:space="preserve">. </w:t>
      </w:r>
      <w:r w:rsidR="003445CF" w:rsidRPr="00464B1D">
        <w:rPr>
          <w:sz w:val="28"/>
          <w:szCs w:val="28"/>
        </w:rPr>
        <w:t>Apmaksājamo stundu skaitu nedēļā 10. – 12.klasei plāno un aprēķina saskaņā ar normatīvajos aktos noteikto un atbilstoši mācību priekšmetu un mācību stundu plānam.</w:t>
      </w:r>
    </w:p>
    <w:p w:rsidR="00A51BFD" w:rsidRPr="00464B1D" w:rsidRDefault="00A51BFD" w:rsidP="00FD0E61">
      <w:pPr>
        <w:ind w:firstLine="567"/>
        <w:jc w:val="both"/>
        <w:rPr>
          <w:sz w:val="28"/>
          <w:szCs w:val="28"/>
        </w:rPr>
      </w:pPr>
    </w:p>
    <w:p w:rsidR="00A51BFD" w:rsidRPr="00464B1D" w:rsidRDefault="00EC3F76" w:rsidP="00FD0E61">
      <w:pPr>
        <w:ind w:firstLine="567"/>
        <w:jc w:val="both"/>
        <w:rPr>
          <w:sz w:val="28"/>
          <w:szCs w:val="28"/>
        </w:rPr>
      </w:pPr>
      <w:r w:rsidRPr="00464B1D">
        <w:rPr>
          <w:sz w:val="28"/>
          <w:szCs w:val="28"/>
        </w:rPr>
        <w:t>29</w:t>
      </w:r>
      <w:r w:rsidR="00A51BFD" w:rsidRPr="00464B1D">
        <w:rPr>
          <w:sz w:val="28"/>
          <w:szCs w:val="28"/>
        </w:rPr>
        <w:t>. Mācību satura apguvei izmantojamo mācību līdzekļu un tālmācības mācību materiālu uzskaitījums dots katra mācību priekšmeta programmā.</w:t>
      </w:r>
    </w:p>
    <w:p w:rsidR="00A51BFD" w:rsidRPr="00464B1D" w:rsidRDefault="00A51BFD" w:rsidP="00FD0E61">
      <w:pPr>
        <w:ind w:firstLine="567"/>
        <w:jc w:val="both"/>
        <w:rPr>
          <w:sz w:val="28"/>
          <w:szCs w:val="28"/>
        </w:rPr>
      </w:pPr>
    </w:p>
    <w:p w:rsidR="00A51BFD" w:rsidRPr="00464B1D" w:rsidRDefault="00DF2543" w:rsidP="00FD0E61">
      <w:pPr>
        <w:pStyle w:val="NormalWeb"/>
        <w:spacing w:before="0" w:after="0"/>
        <w:ind w:firstLine="567"/>
        <w:jc w:val="both"/>
        <w:rPr>
          <w:sz w:val="28"/>
          <w:szCs w:val="28"/>
        </w:rPr>
      </w:pPr>
      <w:r w:rsidRPr="00464B1D">
        <w:rPr>
          <w:sz w:val="28"/>
          <w:szCs w:val="28"/>
        </w:rPr>
        <w:t>30. Katru pedagogu nodrošina</w:t>
      </w:r>
      <w:r w:rsidR="00A51BFD" w:rsidRPr="00464B1D">
        <w:rPr>
          <w:sz w:val="28"/>
          <w:szCs w:val="28"/>
        </w:rPr>
        <w:t xml:space="preserve"> ar datoru ar interneta piesl</w:t>
      </w:r>
      <w:r w:rsidRPr="00464B1D">
        <w:rPr>
          <w:sz w:val="28"/>
          <w:szCs w:val="28"/>
        </w:rPr>
        <w:t>ēgumu. Izglītības iestādi nodrošina</w:t>
      </w:r>
      <w:r w:rsidR="00A51BFD" w:rsidRPr="00464B1D">
        <w:rPr>
          <w:sz w:val="28"/>
          <w:szCs w:val="28"/>
        </w:rPr>
        <w:t xml:space="preserve"> ar izglītības programmas īstenošanai nepieciešamajām</w:t>
      </w:r>
      <w:r w:rsidRPr="00464B1D">
        <w:rPr>
          <w:sz w:val="28"/>
          <w:szCs w:val="28"/>
        </w:rPr>
        <w:t xml:space="preserve"> informācijas tehnoloģijām. Izglītības programmas īstenošanai</w:t>
      </w:r>
      <w:r w:rsidR="00A51BFD" w:rsidRPr="00464B1D">
        <w:rPr>
          <w:sz w:val="28"/>
          <w:szCs w:val="28"/>
        </w:rPr>
        <w:t xml:space="preserve"> </w:t>
      </w:r>
      <w:r w:rsidRPr="00464B1D">
        <w:rPr>
          <w:sz w:val="28"/>
          <w:szCs w:val="28"/>
        </w:rPr>
        <w:t>ir izveidota elektroniska vide</w:t>
      </w:r>
      <w:r w:rsidR="00A51BFD" w:rsidRPr="00464B1D">
        <w:rPr>
          <w:sz w:val="28"/>
          <w:szCs w:val="28"/>
        </w:rPr>
        <w:t xml:space="preserve"> tālmācības procesa nodrošināšanai.</w:t>
      </w:r>
    </w:p>
    <w:p w:rsidR="00A51BFD" w:rsidRPr="00464B1D" w:rsidRDefault="00A51BFD" w:rsidP="00FD0E61">
      <w:pPr>
        <w:pStyle w:val="NormalWeb"/>
        <w:spacing w:before="0" w:after="0"/>
        <w:ind w:firstLine="567"/>
        <w:rPr>
          <w:sz w:val="28"/>
          <w:szCs w:val="28"/>
        </w:rPr>
      </w:pPr>
    </w:p>
    <w:p w:rsidR="00EC3F76" w:rsidRPr="00464B1D" w:rsidRDefault="00DF2543" w:rsidP="00FD0E61">
      <w:pPr>
        <w:ind w:firstLine="567"/>
        <w:jc w:val="both"/>
        <w:rPr>
          <w:sz w:val="28"/>
          <w:szCs w:val="28"/>
        </w:rPr>
      </w:pPr>
      <w:r w:rsidRPr="00464B1D">
        <w:rPr>
          <w:sz w:val="28"/>
          <w:szCs w:val="28"/>
        </w:rPr>
        <w:t>31</w:t>
      </w:r>
      <w:r w:rsidR="00A51BFD" w:rsidRPr="00464B1D">
        <w:rPr>
          <w:sz w:val="28"/>
          <w:szCs w:val="28"/>
        </w:rPr>
        <w:t xml:space="preserve">. </w:t>
      </w:r>
      <w:r w:rsidR="00457E6C" w:rsidRPr="00464B1D">
        <w:rPr>
          <w:sz w:val="28"/>
          <w:szCs w:val="28"/>
        </w:rPr>
        <w:t>Higiēnas prasības vispārējās pamatizglītības iestādēm (tajā skaitā iestādes ēkai, telpām un to iekārtojumam, apkurei, ventilācijai, apgaismojumam, mēbeļu augstuma atbilstībai u.c.) nosaka Ministru kabineta noteiktajā kārtībā</w:t>
      </w:r>
      <w:r w:rsidR="00EC3F76" w:rsidRPr="00464B1D">
        <w:rPr>
          <w:bCs/>
          <w:sz w:val="28"/>
          <w:szCs w:val="28"/>
        </w:rPr>
        <w:t>.</w:t>
      </w:r>
    </w:p>
    <w:p w:rsidR="00A51BFD" w:rsidRPr="00464B1D" w:rsidRDefault="00A51BFD" w:rsidP="00FD0E61">
      <w:pPr>
        <w:ind w:firstLine="567"/>
        <w:jc w:val="both"/>
        <w:rPr>
          <w:sz w:val="28"/>
          <w:szCs w:val="28"/>
        </w:rPr>
      </w:pPr>
    </w:p>
    <w:p w:rsidR="00A51BFD" w:rsidRPr="00A51BFD" w:rsidRDefault="00A51BFD" w:rsidP="00A51BFD">
      <w:pPr>
        <w:ind w:firstLine="720"/>
        <w:jc w:val="both"/>
        <w:rPr>
          <w:sz w:val="28"/>
          <w:szCs w:val="28"/>
        </w:rPr>
      </w:pPr>
    </w:p>
    <w:p w:rsidR="004B70CC" w:rsidRDefault="004B70CC" w:rsidP="004B70CC">
      <w:pPr>
        <w:ind w:left="720"/>
        <w:rPr>
          <w:sz w:val="28"/>
          <w:szCs w:val="28"/>
        </w:rPr>
      </w:pPr>
      <w:r>
        <w:rPr>
          <w:sz w:val="28"/>
          <w:szCs w:val="28"/>
        </w:rPr>
        <w:t xml:space="preserve">Iekšlietu ministrs, </w:t>
      </w:r>
    </w:p>
    <w:p w:rsidR="004B70CC" w:rsidRDefault="004B70CC" w:rsidP="004B70CC">
      <w:pPr>
        <w:ind w:firstLine="709"/>
        <w:rPr>
          <w:sz w:val="28"/>
          <w:szCs w:val="28"/>
        </w:rPr>
      </w:pPr>
      <w:r>
        <w:rPr>
          <w:sz w:val="28"/>
          <w:szCs w:val="28"/>
        </w:rPr>
        <w:t>i</w:t>
      </w:r>
      <w:r w:rsidRPr="0047627A">
        <w:rPr>
          <w:sz w:val="28"/>
          <w:szCs w:val="28"/>
        </w:rPr>
        <w:t>zglītības un zinā</w:t>
      </w:r>
      <w:r>
        <w:rPr>
          <w:sz w:val="28"/>
          <w:szCs w:val="28"/>
        </w:rPr>
        <w:t xml:space="preserve">tnes ministra </w:t>
      </w:r>
    </w:p>
    <w:p w:rsidR="004B70CC" w:rsidRDefault="004B70CC" w:rsidP="004B70CC">
      <w:pPr>
        <w:ind w:firstLine="709"/>
        <w:rPr>
          <w:sz w:val="28"/>
          <w:szCs w:val="28"/>
        </w:rPr>
      </w:pPr>
      <w:r>
        <w:rPr>
          <w:sz w:val="28"/>
          <w:szCs w:val="28"/>
        </w:rPr>
        <w:t>pienākumu izpildītājs</w:t>
      </w:r>
      <w:r w:rsidRPr="0047627A">
        <w:rPr>
          <w:sz w:val="28"/>
          <w:szCs w:val="28"/>
        </w:rPr>
        <w:tab/>
      </w:r>
      <w:r w:rsidRPr="0047627A">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4B70CC" w:rsidRPr="00C25D95" w:rsidRDefault="004B70CC" w:rsidP="004B70CC">
      <w:pPr>
        <w:jc w:val="both"/>
        <w:rPr>
          <w:sz w:val="28"/>
          <w:szCs w:val="28"/>
        </w:rPr>
      </w:pPr>
    </w:p>
    <w:p w:rsidR="004B70CC" w:rsidRPr="00C25D95" w:rsidRDefault="004B70CC" w:rsidP="004B70CC">
      <w:pPr>
        <w:jc w:val="right"/>
        <w:rPr>
          <w:sz w:val="28"/>
          <w:szCs w:val="28"/>
        </w:rPr>
      </w:pPr>
    </w:p>
    <w:p w:rsidR="004B70CC" w:rsidRPr="00C25D95" w:rsidRDefault="004B70CC" w:rsidP="004B70CC">
      <w:pPr>
        <w:ind w:firstLine="709"/>
        <w:rPr>
          <w:b/>
          <w:bCs/>
          <w:color w:val="FF0000"/>
          <w:sz w:val="28"/>
          <w:szCs w:val="28"/>
        </w:rPr>
      </w:pPr>
      <w:r w:rsidRPr="00C25D95">
        <w:rPr>
          <w:sz w:val="28"/>
          <w:szCs w:val="28"/>
        </w:rPr>
        <w:t>Iesniedzējs:</w:t>
      </w:r>
      <w:r w:rsidRPr="00C25D95">
        <w:rPr>
          <w:b/>
          <w:bCs/>
          <w:color w:val="FF0000"/>
          <w:sz w:val="28"/>
          <w:szCs w:val="28"/>
        </w:rPr>
        <w:t xml:space="preserve"> </w:t>
      </w:r>
    </w:p>
    <w:p w:rsidR="004B70CC" w:rsidRDefault="004B70CC" w:rsidP="004B70CC">
      <w:pPr>
        <w:ind w:left="720"/>
        <w:rPr>
          <w:sz w:val="28"/>
          <w:szCs w:val="28"/>
        </w:rPr>
      </w:pPr>
      <w:r>
        <w:rPr>
          <w:sz w:val="28"/>
          <w:szCs w:val="28"/>
        </w:rPr>
        <w:t xml:space="preserve">Iekšlietu ministrs, </w:t>
      </w:r>
    </w:p>
    <w:p w:rsidR="004B70CC" w:rsidRDefault="004B70CC" w:rsidP="004B70CC">
      <w:pPr>
        <w:ind w:firstLine="709"/>
        <w:rPr>
          <w:sz w:val="28"/>
          <w:szCs w:val="28"/>
        </w:rPr>
      </w:pPr>
      <w:r>
        <w:rPr>
          <w:sz w:val="28"/>
          <w:szCs w:val="28"/>
        </w:rPr>
        <w:t>i</w:t>
      </w:r>
      <w:r w:rsidRPr="0047627A">
        <w:rPr>
          <w:sz w:val="28"/>
          <w:szCs w:val="28"/>
        </w:rPr>
        <w:t>zglītības un zinā</w:t>
      </w:r>
      <w:r>
        <w:rPr>
          <w:sz w:val="28"/>
          <w:szCs w:val="28"/>
        </w:rPr>
        <w:t xml:space="preserve">tnes ministra </w:t>
      </w:r>
    </w:p>
    <w:p w:rsidR="004B70CC" w:rsidRDefault="004B70CC" w:rsidP="004B70CC">
      <w:pPr>
        <w:ind w:firstLine="709"/>
        <w:rPr>
          <w:sz w:val="28"/>
          <w:szCs w:val="28"/>
        </w:rPr>
      </w:pPr>
      <w:r>
        <w:rPr>
          <w:sz w:val="28"/>
          <w:szCs w:val="28"/>
        </w:rPr>
        <w:t>pienākumu izpildītājs</w:t>
      </w:r>
      <w:r w:rsidRPr="0047627A">
        <w:rPr>
          <w:sz w:val="28"/>
          <w:szCs w:val="28"/>
        </w:rPr>
        <w:tab/>
      </w:r>
      <w:r w:rsidRPr="0047627A">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R.Kozlovskis</w:t>
      </w:r>
      <w:proofErr w:type="spellEnd"/>
    </w:p>
    <w:p w:rsidR="00FD0E61" w:rsidRDefault="00FD0E61" w:rsidP="00FD0E61">
      <w:pPr>
        <w:ind w:firstLine="720"/>
        <w:rPr>
          <w:sz w:val="28"/>
          <w:szCs w:val="28"/>
        </w:rPr>
      </w:pPr>
    </w:p>
    <w:p w:rsidR="00FD0E61" w:rsidRDefault="00FD0E61" w:rsidP="00FD0E61">
      <w:pPr>
        <w:ind w:firstLine="720"/>
        <w:rPr>
          <w:sz w:val="28"/>
          <w:szCs w:val="28"/>
        </w:rPr>
      </w:pPr>
    </w:p>
    <w:p w:rsidR="00FD0E61" w:rsidRDefault="00FD0E61" w:rsidP="00FD0E61">
      <w:pPr>
        <w:ind w:firstLine="720"/>
        <w:rPr>
          <w:bCs/>
          <w:kern w:val="2"/>
          <w:sz w:val="28"/>
          <w:szCs w:val="28"/>
        </w:rPr>
      </w:pPr>
      <w:r>
        <w:rPr>
          <w:sz w:val="28"/>
          <w:szCs w:val="28"/>
        </w:rPr>
        <w:t xml:space="preserve">Vizē: </w:t>
      </w:r>
    </w:p>
    <w:p w:rsidR="00FD0E61" w:rsidRDefault="00FD0E61" w:rsidP="00FD0E61">
      <w:pPr>
        <w:ind w:left="426" w:firstLine="294"/>
        <w:rPr>
          <w:bCs/>
          <w:kern w:val="2"/>
          <w:sz w:val="28"/>
          <w:szCs w:val="28"/>
        </w:rPr>
      </w:pPr>
      <w:bookmarkStart w:id="0" w:name="str06"/>
      <w:bookmarkEnd w:id="0"/>
      <w:r>
        <w:rPr>
          <w:bCs/>
          <w:kern w:val="2"/>
          <w:sz w:val="28"/>
          <w:szCs w:val="28"/>
        </w:rPr>
        <w:t xml:space="preserve">Valsts sekretāre </w:t>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S.Liepiņa</w:t>
      </w:r>
    </w:p>
    <w:p w:rsidR="00FD0E61" w:rsidRDefault="00FD0E61" w:rsidP="00FD0E61">
      <w:pPr>
        <w:ind w:left="426" w:firstLine="294"/>
        <w:rPr>
          <w:bCs/>
          <w:kern w:val="2"/>
          <w:sz w:val="28"/>
          <w:szCs w:val="28"/>
        </w:rPr>
      </w:pPr>
    </w:p>
    <w:p w:rsidR="00FD0E61" w:rsidRDefault="00FD0E61" w:rsidP="00FD0E61"/>
    <w:p w:rsidR="002E66AE" w:rsidRDefault="002E66AE" w:rsidP="00FD0E61"/>
    <w:p w:rsidR="002E66AE" w:rsidRDefault="002E66AE" w:rsidP="00FD0E61"/>
    <w:p w:rsidR="00FD0E61" w:rsidRDefault="004B70CC" w:rsidP="00FD0E61">
      <w:pPr>
        <w:ind w:firstLine="720"/>
      </w:pPr>
      <w:r>
        <w:t>23</w:t>
      </w:r>
      <w:r w:rsidR="002E66AE">
        <w:t>.0</w:t>
      </w:r>
      <w:r w:rsidR="001C74A4">
        <w:t>4</w:t>
      </w:r>
      <w:r w:rsidR="00FD0E61">
        <w:t>.2013</w:t>
      </w:r>
      <w:r>
        <w:t>.</w:t>
      </w:r>
    </w:p>
    <w:p w:rsidR="00FD0E61" w:rsidRPr="001B09AE" w:rsidRDefault="00FD0E61" w:rsidP="00FD0E61">
      <w:r w:rsidRPr="001B09AE">
        <w:tab/>
      </w:r>
      <w:r>
        <w:t>1</w:t>
      </w:r>
      <w:r w:rsidR="001C74A4">
        <w:t>51</w:t>
      </w:r>
      <w:r w:rsidR="004B70CC">
        <w:t>0</w:t>
      </w:r>
    </w:p>
    <w:p w:rsidR="00FD0E61" w:rsidRPr="001B09AE" w:rsidRDefault="00FD0E61" w:rsidP="00FD0E61">
      <w:r w:rsidRPr="001B09AE">
        <w:tab/>
      </w:r>
      <w:bookmarkStart w:id="1" w:name="OLE_LINK7"/>
      <w:bookmarkStart w:id="2" w:name="OLE_LINK8"/>
      <w:proofErr w:type="spellStart"/>
      <w:r>
        <w:t>I.</w:t>
      </w:r>
      <w:r w:rsidR="002E66AE">
        <w:t>Ī</w:t>
      </w:r>
      <w:r>
        <w:t>vāne</w:t>
      </w:r>
      <w:proofErr w:type="spellEnd"/>
    </w:p>
    <w:p w:rsidR="00956DFA" w:rsidRPr="00986F2D" w:rsidRDefault="00FD0E61" w:rsidP="00FD0E61">
      <w:pPr>
        <w:ind w:firstLine="720"/>
      </w:pPr>
      <w:r w:rsidRPr="00FB74EF">
        <w:t xml:space="preserve">67047849, </w:t>
      </w:r>
      <w:hyperlink r:id="rId7" w:history="1">
        <w:r w:rsidRPr="00FB74EF">
          <w:rPr>
            <w:rStyle w:val="Hyperlink"/>
            <w:color w:val="auto"/>
            <w:u w:val="none"/>
          </w:rPr>
          <w:t>ineta.ivane@izm.gov.lv</w:t>
        </w:r>
      </w:hyperlink>
      <w:bookmarkEnd w:id="1"/>
      <w:bookmarkEnd w:id="2"/>
    </w:p>
    <w:sectPr w:rsidR="00956DFA" w:rsidRPr="00986F2D" w:rsidSect="007A176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21" w:rsidRDefault="00301921" w:rsidP="007A1763">
      <w:r>
        <w:separator/>
      </w:r>
    </w:p>
  </w:endnote>
  <w:endnote w:type="continuationSeparator" w:id="0">
    <w:p w:rsidR="00301921" w:rsidRDefault="00301921" w:rsidP="007A17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E61" w:rsidRPr="00DF2543" w:rsidRDefault="00FD0E61" w:rsidP="00FD0E61">
    <w:pPr>
      <w:jc w:val="both"/>
    </w:pPr>
    <w:proofErr w:type="spellStart"/>
    <w:r w:rsidRPr="000D33AC">
      <w:t>IZMNot</w:t>
    </w:r>
    <w:r>
      <w:t>p28</w:t>
    </w:r>
    <w:r w:rsidRPr="000D33AC">
      <w:t>_</w:t>
    </w:r>
    <w:r w:rsidR="00EC1ECD">
      <w:t>23</w:t>
    </w:r>
    <w:r w:rsidR="001C74A4">
      <w:t>04</w:t>
    </w:r>
    <w:r>
      <w:t>13</w:t>
    </w:r>
    <w:r w:rsidR="00464B1D">
      <w:t>_standar</w:t>
    </w:r>
    <w:r w:rsidR="00EC1ECD">
      <w:t>ts</w:t>
    </w:r>
    <w:proofErr w:type="spellEnd"/>
    <w:r w:rsidRPr="000D33AC">
      <w:t xml:space="preserve">; </w:t>
    </w:r>
    <w:proofErr w:type="spellStart"/>
    <w:r>
      <w:t>28.pielikums</w:t>
    </w:r>
    <w:proofErr w:type="spellEnd"/>
    <w:r>
      <w:t xml:space="preserve"> </w:t>
    </w:r>
    <w:r w:rsidRPr="000D33AC">
      <w:t>Ministru kabineta noteikumu projekts „</w:t>
    </w:r>
    <w:r w:rsidRPr="000D33AC">
      <w:rPr>
        <w:bCs/>
      </w:rPr>
      <w:t>Noteikumi par valsts vispārējās vidējās izglītības standartu, mācību priekšmetu standartiem</w:t>
    </w:r>
    <w:r w:rsidRPr="000D33AC">
      <w:t xml:space="preserve"> un izglītības programmu paraugiem</w:t>
    </w:r>
    <w:r w:rsidRPr="006172ED">
      <w:t>”</w:t>
    </w:r>
  </w:p>
  <w:p w:rsidR="000C3BE9" w:rsidRPr="00FD0E61" w:rsidRDefault="000C3BE9" w:rsidP="00FD0E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E9" w:rsidRPr="00DF2543" w:rsidRDefault="000C3BE9" w:rsidP="00DF2543">
    <w:pPr>
      <w:jc w:val="both"/>
    </w:pPr>
    <w:proofErr w:type="spellStart"/>
    <w:r w:rsidRPr="000D33AC">
      <w:t>IZMNot</w:t>
    </w:r>
    <w:r>
      <w:t>p28</w:t>
    </w:r>
    <w:r w:rsidRPr="000D33AC">
      <w:t>_</w:t>
    </w:r>
    <w:r w:rsidR="00EC1ECD">
      <w:t>23</w:t>
    </w:r>
    <w:r w:rsidR="00817D96">
      <w:t>0</w:t>
    </w:r>
    <w:r w:rsidR="001C74A4">
      <w:t>4</w:t>
    </w:r>
    <w:r w:rsidR="00FD0E61">
      <w:t>13</w:t>
    </w:r>
    <w:r w:rsidRPr="000D33AC">
      <w:t>_standarts</w:t>
    </w:r>
    <w:proofErr w:type="spellEnd"/>
    <w:r w:rsidRPr="000D33AC">
      <w:t xml:space="preserve">; </w:t>
    </w:r>
    <w:proofErr w:type="spellStart"/>
    <w:r>
      <w:t>28.pielikums</w:t>
    </w:r>
    <w:proofErr w:type="spellEnd"/>
    <w:r>
      <w:t xml:space="preserve"> </w:t>
    </w:r>
    <w:r w:rsidRPr="000D33AC">
      <w:t>Ministru kabineta noteikumu projekts „</w:t>
    </w:r>
    <w:r w:rsidRPr="000D33AC">
      <w:rPr>
        <w:bCs/>
      </w:rPr>
      <w:t>Noteikumi par valsts vispārējās vidējās izglītības standartu, mācību priekšmetu standartiem</w:t>
    </w:r>
    <w:r w:rsidRPr="000D33AC">
      <w:t xml:space="preserve"> un izglītības programmu paraugiem</w:t>
    </w:r>
    <w:r w:rsidRPr="006172ED">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21" w:rsidRDefault="00301921" w:rsidP="007A1763">
      <w:r>
        <w:separator/>
      </w:r>
    </w:p>
  </w:footnote>
  <w:footnote w:type="continuationSeparator" w:id="0">
    <w:p w:rsidR="00301921" w:rsidRDefault="00301921" w:rsidP="007A1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BE9" w:rsidRDefault="00F13C8B">
    <w:pPr>
      <w:pStyle w:val="Header"/>
      <w:jc w:val="center"/>
    </w:pPr>
    <w:r>
      <w:fldChar w:fldCharType="begin"/>
    </w:r>
    <w:r w:rsidR="00826EB5">
      <w:instrText xml:space="preserve"> PAGE   \* MERGEFORMAT </w:instrText>
    </w:r>
    <w:r>
      <w:fldChar w:fldCharType="separate"/>
    </w:r>
    <w:r w:rsidR="004B70CC">
      <w:rPr>
        <w:noProof/>
      </w:rPr>
      <w:t>2</w:t>
    </w:r>
    <w:r>
      <w:fldChar w:fldCharType="end"/>
    </w:r>
  </w:p>
  <w:p w:rsidR="000C3BE9" w:rsidRDefault="000C3B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90783"/>
    <w:multiLevelType w:val="hybridMultilevel"/>
    <w:tmpl w:val="789440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A5335B6"/>
    <w:multiLevelType w:val="hybridMultilevel"/>
    <w:tmpl w:val="293C5AB2"/>
    <w:lvl w:ilvl="0" w:tplc="2EC45D28">
      <w:start w:val="1"/>
      <w:numFmt w:val="decimal"/>
      <w:lvlText w:val="%1."/>
      <w:lvlJc w:val="left"/>
      <w:pPr>
        <w:ind w:left="1407" w:hanging="84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70220ED9"/>
    <w:multiLevelType w:val="hybridMultilevel"/>
    <w:tmpl w:val="D0BC3BCC"/>
    <w:lvl w:ilvl="0" w:tplc="004EF320">
      <w:start w:val="30"/>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A1763"/>
    <w:rsid w:val="0000199A"/>
    <w:rsid w:val="0004573F"/>
    <w:rsid w:val="0007717A"/>
    <w:rsid w:val="00077C5F"/>
    <w:rsid w:val="00080378"/>
    <w:rsid w:val="00090ED0"/>
    <w:rsid w:val="000B7D18"/>
    <w:rsid w:val="000C28D7"/>
    <w:rsid w:val="000C3BE9"/>
    <w:rsid w:val="000D329F"/>
    <w:rsid w:val="000E2F63"/>
    <w:rsid w:val="000E5A8D"/>
    <w:rsid w:val="00106F02"/>
    <w:rsid w:val="00142E38"/>
    <w:rsid w:val="00156686"/>
    <w:rsid w:val="001606CC"/>
    <w:rsid w:val="00172456"/>
    <w:rsid w:val="001908AF"/>
    <w:rsid w:val="001C74A4"/>
    <w:rsid w:val="001D3B73"/>
    <w:rsid w:val="0022554C"/>
    <w:rsid w:val="00232E35"/>
    <w:rsid w:val="002346E8"/>
    <w:rsid w:val="0026202C"/>
    <w:rsid w:val="002939A4"/>
    <w:rsid w:val="002D222C"/>
    <w:rsid w:val="002D4AC8"/>
    <w:rsid w:val="002E66AE"/>
    <w:rsid w:val="002F3284"/>
    <w:rsid w:val="002F6D1A"/>
    <w:rsid w:val="002F7C64"/>
    <w:rsid w:val="00301921"/>
    <w:rsid w:val="00303519"/>
    <w:rsid w:val="00305478"/>
    <w:rsid w:val="003113A0"/>
    <w:rsid w:val="0031301F"/>
    <w:rsid w:val="0032030E"/>
    <w:rsid w:val="00322DB5"/>
    <w:rsid w:val="00331178"/>
    <w:rsid w:val="0033519A"/>
    <w:rsid w:val="003445CF"/>
    <w:rsid w:val="00350268"/>
    <w:rsid w:val="003557EA"/>
    <w:rsid w:val="00367873"/>
    <w:rsid w:val="00392AEE"/>
    <w:rsid w:val="003A40FA"/>
    <w:rsid w:val="003B5EA6"/>
    <w:rsid w:val="003F5FA4"/>
    <w:rsid w:val="00457E6C"/>
    <w:rsid w:val="00464B1D"/>
    <w:rsid w:val="00466116"/>
    <w:rsid w:val="00466AEA"/>
    <w:rsid w:val="004721B2"/>
    <w:rsid w:val="00474C58"/>
    <w:rsid w:val="00482D0E"/>
    <w:rsid w:val="0048665D"/>
    <w:rsid w:val="00491AC4"/>
    <w:rsid w:val="004B602B"/>
    <w:rsid w:val="004B70CC"/>
    <w:rsid w:val="004F3AF6"/>
    <w:rsid w:val="005163F4"/>
    <w:rsid w:val="00524A43"/>
    <w:rsid w:val="00570CE0"/>
    <w:rsid w:val="00575858"/>
    <w:rsid w:val="005B6CF2"/>
    <w:rsid w:val="005D198D"/>
    <w:rsid w:val="005E251A"/>
    <w:rsid w:val="005F2353"/>
    <w:rsid w:val="00636D18"/>
    <w:rsid w:val="00644CC7"/>
    <w:rsid w:val="006504F0"/>
    <w:rsid w:val="006928AD"/>
    <w:rsid w:val="006B2CFA"/>
    <w:rsid w:val="006C2E07"/>
    <w:rsid w:val="0071795C"/>
    <w:rsid w:val="00727698"/>
    <w:rsid w:val="00737075"/>
    <w:rsid w:val="007379DF"/>
    <w:rsid w:val="00751125"/>
    <w:rsid w:val="00752578"/>
    <w:rsid w:val="007658BE"/>
    <w:rsid w:val="007734D9"/>
    <w:rsid w:val="00790B02"/>
    <w:rsid w:val="007A1763"/>
    <w:rsid w:val="007B17D4"/>
    <w:rsid w:val="007E3152"/>
    <w:rsid w:val="007F634B"/>
    <w:rsid w:val="00812173"/>
    <w:rsid w:val="00817D96"/>
    <w:rsid w:val="00824137"/>
    <w:rsid w:val="00826EB5"/>
    <w:rsid w:val="008471DD"/>
    <w:rsid w:val="0085013D"/>
    <w:rsid w:val="00855E68"/>
    <w:rsid w:val="008C0C51"/>
    <w:rsid w:val="008D1E3B"/>
    <w:rsid w:val="008E1C4F"/>
    <w:rsid w:val="008E6857"/>
    <w:rsid w:val="0091462D"/>
    <w:rsid w:val="00956DFA"/>
    <w:rsid w:val="00961015"/>
    <w:rsid w:val="009771CB"/>
    <w:rsid w:val="00986F2D"/>
    <w:rsid w:val="009D2F4A"/>
    <w:rsid w:val="009F25B5"/>
    <w:rsid w:val="009F27C8"/>
    <w:rsid w:val="009F372B"/>
    <w:rsid w:val="00A02226"/>
    <w:rsid w:val="00A230A9"/>
    <w:rsid w:val="00A375CE"/>
    <w:rsid w:val="00A51BFD"/>
    <w:rsid w:val="00A56B8C"/>
    <w:rsid w:val="00A60528"/>
    <w:rsid w:val="00A74149"/>
    <w:rsid w:val="00A94241"/>
    <w:rsid w:val="00AF120E"/>
    <w:rsid w:val="00B22C28"/>
    <w:rsid w:val="00B24A78"/>
    <w:rsid w:val="00B718A2"/>
    <w:rsid w:val="00B906AF"/>
    <w:rsid w:val="00B93254"/>
    <w:rsid w:val="00BD16FB"/>
    <w:rsid w:val="00C07DE1"/>
    <w:rsid w:val="00C13648"/>
    <w:rsid w:val="00C518DF"/>
    <w:rsid w:val="00C5565D"/>
    <w:rsid w:val="00C90F86"/>
    <w:rsid w:val="00CA56D4"/>
    <w:rsid w:val="00CB35E5"/>
    <w:rsid w:val="00CE4734"/>
    <w:rsid w:val="00D038B7"/>
    <w:rsid w:val="00D141EF"/>
    <w:rsid w:val="00D23971"/>
    <w:rsid w:val="00D24802"/>
    <w:rsid w:val="00D27A10"/>
    <w:rsid w:val="00D322DC"/>
    <w:rsid w:val="00D5326C"/>
    <w:rsid w:val="00D54F0D"/>
    <w:rsid w:val="00D565F3"/>
    <w:rsid w:val="00D63F80"/>
    <w:rsid w:val="00D8152E"/>
    <w:rsid w:val="00D90BCB"/>
    <w:rsid w:val="00DC2FE5"/>
    <w:rsid w:val="00DE06E7"/>
    <w:rsid w:val="00DF062F"/>
    <w:rsid w:val="00DF2543"/>
    <w:rsid w:val="00E05428"/>
    <w:rsid w:val="00E30147"/>
    <w:rsid w:val="00E52E53"/>
    <w:rsid w:val="00E5666F"/>
    <w:rsid w:val="00E5681D"/>
    <w:rsid w:val="00E93292"/>
    <w:rsid w:val="00E93678"/>
    <w:rsid w:val="00EA1368"/>
    <w:rsid w:val="00EB64D9"/>
    <w:rsid w:val="00EC1ECD"/>
    <w:rsid w:val="00EC3F76"/>
    <w:rsid w:val="00EF0E69"/>
    <w:rsid w:val="00F10097"/>
    <w:rsid w:val="00F13C8B"/>
    <w:rsid w:val="00F15DA8"/>
    <w:rsid w:val="00F219B9"/>
    <w:rsid w:val="00F330B3"/>
    <w:rsid w:val="00F4023E"/>
    <w:rsid w:val="00F76BCA"/>
    <w:rsid w:val="00F8266F"/>
    <w:rsid w:val="00F94F2B"/>
    <w:rsid w:val="00FA2490"/>
    <w:rsid w:val="00FA3420"/>
    <w:rsid w:val="00FB27F8"/>
    <w:rsid w:val="00FB71D1"/>
    <w:rsid w:val="00FC77C8"/>
    <w:rsid w:val="00FC7CFD"/>
    <w:rsid w:val="00FD0E61"/>
    <w:rsid w:val="00FD5503"/>
    <w:rsid w:val="00FE3787"/>
    <w:rsid w:val="00FF65A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63"/>
    <w:rPr>
      <w:rFonts w:ascii="Times New Roman" w:eastAsia="Times New Roman" w:hAnsi="Times New Roman"/>
      <w:sz w:val="24"/>
      <w:szCs w:val="24"/>
    </w:rPr>
  </w:style>
  <w:style w:type="paragraph" w:styleId="Heading1">
    <w:name w:val="heading 1"/>
    <w:basedOn w:val="Normal"/>
    <w:next w:val="Normal"/>
    <w:link w:val="Heading1Char"/>
    <w:qFormat/>
    <w:rsid w:val="00A6052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autoRedefine/>
    <w:qFormat/>
    <w:rsid w:val="00A60528"/>
    <w:pPr>
      <w:keepNext/>
      <w:spacing w:before="240" w:after="60"/>
      <w:outlineLvl w:val="1"/>
    </w:pPr>
    <w:rPr>
      <w:rFonts w:cs="Arial"/>
      <w:b/>
      <w:bCs/>
      <w:iCs/>
      <w:szCs w:val="28"/>
    </w:rPr>
  </w:style>
  <w:style w:type="paragraph" w:styleId="Heading3">
    <w:name w:val="heading 3"/>
    <w:basedOn w:val="Normal"/>
    <w:next w:val="Normal"/>
    <w:link w:val="Heading3Char"/>
    <w:qFormat/>
    <w:rsid w:val="00A6052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1763"/>
    <w:pPr>
      <w:tabs>
        <w:tab w:val="center" w:pos="4153"/>
        <w:tab w:val="right" w:pos="8306"/>
      </w:tabs>
    </w:pPr>
  </w:style>
  <w:style w:type="character" w:customStyle="1" w:styleId="HeaderChar">
    <w:name w:val="Header Char"/>
    <w:basedOn w:val="DefaultParagraphFont"/>
    <w:link w:val="Header"/>
    <w:uiPriority w:val="99"/>
    <w:rsid w:val="007A176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A1763"/>
    <w:pPr>
      <w:tabs>
        <w:tab w:val="center" w:pos="4153"/>
        <w:tab w:val="right" w:pos="8306"/>
      </w:tabs>
    </w:pPr>
  </w:style>
  <w:style w:type="character" w:customStyle="1" w:styleId="FooterChar">
    <w:name w:val="Footer Char"/>
    <w:basedOn w:val="DefaultParagraphFont"/>
    <w:link w:val="Footer"/>
    <w:uiPriority w:val="99"/>
    <w:rsid w:val="007A1763"/>
    <w:rPr>
      <w:rFonts w:ascii="Times New Roman" w:eastAsia="Times New Roman" w:hAnsi="Times New Roman" w:cs="Times New Roman"/>
      <w:sz w:val="24"/>
      <w:szCs w:val="24"/>
      <w:lang w:eastAsia="lv-LV"/>
    </w:rPr>
  </w:style>
  <w:style w:type="paragraph" w:styleId="BalloonText">
    <w:name w:val="Balloon Text"/>
    <w:basedOn w:val="Normal"/>
    <w:link w:val="BalloonTextChar"/>
    <w:unhideWhenUsed/>
    <w:rsid w:val="007A1763"/>
    <w:rPr>
      <w:rFonts w:ascii="Tahoma" w:hAnsi="Tahoma" w:cs="Tahoma"/>
      <w:sz w:val="16"/>
      <w:szCs w:val="16"/>
    </w:rPr>
  </w:style>
  <w:style w:type="character" w:customStyle="1" w:styleId="BalloonTextChar">
    <w:name w:val="Balloon Text Char"/>
    <w:basedOn w:val="DefaultParagraphFont"/>
    <w:link w:val="BalloonText"/>
    <w:rsid w:val="007A1763"/>
    <w:rPr>
      <w:rFonts w:ascii="Tahoma" w:eastAsia="Times New Roman" w:hAnsi="Tahoma" w:cs="Tahoma"/>
      <w:sz w:val="16"/>
      <w:szCs w:val="16"/>
      <w:lang w:eastAsia="lv-LV"/>
    </w:rPr>
  </w:style>
  <w:style w:type="character" w:styleId="Hyperlink">
    <w:name w:val="Hyperlink"/>
    <w:basedOn w:val="DefaultParagraphFont"/>
    <w:uiPriority w:val="99"/>
    <w:rsid w:val="007A1763"/>
    <w:rPr>
      <w:color w:val="0000FF"/>
      <w:u w:val="single"/>
    </w:rPr>
  </w:style>
  <w:style w:type="character" w:customStyle="1" w:styleId="Heading1Char">
    <w:name w:val="Heading 1 Char"/>
    <w:basedOn w:val="DefaultParagraphFont"/>
    <w:link w:val="Heading1"/>
    <w:rsid w:val="00A60528"/>
    <w:rPr>
      <w:rFonts w:ascii="Cambria" w:eastAsia="Times New Roman" w:hAnsi="Cambria" w:cs="Times New Roman"/>
      <w:b/>
      <w:bCs/>
      <w:color w:val="365F91"/>
      <w:sz w:val="28"/>
      <w:szCs w:val="28"/>
      <w:lang w:eastAsia="lv-LV"/>
    </w:rPr>
  </w:style>
  <w:style w:type="character" w:customStyle="1" w:styleId="Heading2Char">
    <w:name w:val="Heading 2 Char"/>
    <w:basedOn w:val="DefaultParagraphFont"/>
    <w:link w:val="Heading2"/>
    <w:rsid w:val="00A60528"/>
    <w:rPr>
      <w:rFonts w:ascii="Times New Roman" w:eastAsia="Times New Roman" w:hAnsi="Times New Roman" w:cs="Arial"/>
      <w:b/>
      <w:bCs/>
      <w:iCs/>
      <w:sz w:val="24"/>
      <w:szCs w:val="28"/>
      <w:lang w:eastAsia="lv-LV"/>
    </w:rPr>
  </w:style>
  <w:style w:type="character" w:customStyle="1" w:styleId="Heading3Char">
    <w:name w:val="Heading 3 Char"/>
    <w:basedOn w:val="DefaultParagraphFont"/>
    <w:link w:val="Heading3"/>
    <w:semiHidden/>
    <w:rsid w:val="00A60528"/>
    <w:rPr>
      <w:rFonts w:ascii="Cambria" w:eastAsia="Times New Roman" w:hAnsi="Cambria" w:cs="Times New Roman"/>
      <w:b/>
      <w:bCs/>
      <w:color w:val="4F81BD"/>
      <w:sz w:val="24"/>
      <w:szCs w:val="24"/>
      <w:lang w:eastAsia="lv-LV"/>
    </w:rPr>
  </w:style>
  <w:style w:type="character" w:styleId="PageNumber">
    <w:name w:val="page number"/>
    <w:basedOn w:val="DefaultParagraphFont"/>
    <w:rsid w:val="00A60528"/>
  </w:style>
  <w:style w:type="paragraph" w:styleId="HTMLPreformatted">
    <w:name w:val="HTML Preformatted"/>
    <w:basedOn w:val="Normal"/>
    <w:link w:val="HTMLPreformattedChar"/>
    <w:uiPriority w:val="99"/>
    <w:rsid w:val="00A605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60528"/>
    <w:rPr>
      <w:rFonts w:ascii="Courier New" w:eastAsia="Times New Roman" w:hAnsi="Courier New" w:cs="Courier New"/>
      <w:sz w:val="20"/>
      <w:szCs w:val="20"/>
      <w:lang w:eastAsia="lv-LV"/>
    </w:rPr>
  </w:style>
  <w:style w:type="paragraph" w:customStyle="1" w:styleId="naislab">
    <w:name w:val="naislab"/>
    <w:basedOn w:val="Normal"/>
    <w:rsid w:val="00A60528"/>
    <w:pPr>
      <w:spacing w:before="50" w:after="50"/>
      <w:jc w:val="right"/>
    </w:pPr>
  </w:style>
  <w:style w:type="paragraph" w:customStyle="1" w:styleId="naisf">
    <w:name w:val="naisf"/>
    <w:basedOn w:val="Normal"/>
    <w:rsid w:val="00A60528"/>
    <w:pPr>
      <w:spacing w:before="50" w:after="50"/>
      <w:ind w:firstLine="250"/>
      <w:jc w:val="both"/>
    </w:pPr>
  </w:style>
  <w:style w:type="paragraph" w:customStyle="1" w:styleId="naisnod">
    <w:name w:val="naisnod"/>
    <w:basedOn w:val="Normal"/>
    <w:rsid w:val="00A60528"/>
    <w:pPr>
      <w:spacing w:before="150" w:after="100"/>
      <w:jc w:val="center"/>
    </w:pPr>
    <w:rPr>
      <w:b/>
      <w:bCs/>
    </w:rPr>
  </w:style>
  <w:style w:type="paragraph" w:customStyle="1" w:styleId="naisc">
    <w:name w:val="naisc"/>
    <w:basedOn w:val="Normal"/>
    <w:rsid w:val="00A60528"/>
    <w:pPr>
      <w:spacing w:before="50" w:after="50"/>
      <w:jc w:val="center"/>
    </w:pPr>
  </w:style>
  <w:style w:type="paragraph" w:customStyle="1" w:styleId="naiskr">
    <w:name w:val="naiskr"/>
    <w:basedOn w:val="Normal"/>
    <w:rsid w:val="00A60528"/>
    <w:pPr>
      <w:spacing w:before="50" w:after="50"/>
    </w:pPr>
  </w:style>
  <w:style w:type="paragraph" w:styleId="NormalWeb">
    <w:name w:val="Normal (Web)"/>
    <w:basedOn w:val="Normal"/>
    <w:unhideWhenUsed/>
    <w:rsid w:val="00A60528"/>
    <w:pPr>
      <w:spacing w:before="50" w:after="50"/>
    </w:pPr>
  </w:style>
  <w:style w:type="paragraph" w:customStyle="1" w:styleId="nais1">
    <w:name w:val="nais1"/>
    <w:basedOn w:val="Normal"/>
    <w:rsid w:val="00A60528"/>
    <w:pPr>
      <w:spacing w:before="50" w:after="50"/>
      <w:ind w:left="298" w:firstLine="248"/>
      <w:jc w:val="both"/>
    </w:pPr>
  </w:style>
  <w:style w:type="paragraph" w:customStyle="1" w:styleId="nais2">
    <w:name w:val="nais2"/>
    <w:basedOn w:val="Normal"/>
    <w:rsid w:val="00A60528"/>
    <w:pPr>
      <w:spacing w:before="50" w:after="50"/>
      <w:ind w:left="596" w:firstLine="248"/>
      <w:jc w:val="both"/>
    </w:pPr>
  </w:style>
  <w:style w:type="paragraph" w:customStyle="1" w:styleId="naispant">
    <w:name w:val="naispant"/>
    <w:basedOn w:val="Normal"/>
    <w:rsid w:val="00A60528"/>
    <w:pPr>
      <w:spacing w:before="50" w:after="50"/>
      <w:ind w:left="248" w:firstLine="248"/>
      <w:jc w:val="both"/>
    </w:pPr>
    <w:rPr>
      <w:b/>
      <w:bCs/>
    </w:rPr>
  </w:style>
  <w:style w:type="paragraph" w:styleId="BodyText">
    <w:name w:val="Body Text"/>
    <w:basedOn w:val="Normal"/>
    <w:link w:val="BodyTextChar"/>
    <w:rsid w:val="00A60528"/>
    <w:pPr>
      <w:spacing w:before="100" w:beforeAutospacing="1" w:after="100" w:afterAutospacing="1"/>
    </w:pPr>
    <w:rPr>
      <w:rFonts w:ascii="Arial Unicode MS" w:eastAsia="Arial Unicode MS" w:hAnsi="Arial Unicode MS"/>
      <w:color w:val="000000"/>
      <w:lang w:val="en-GB" w:eastAsia="en-US"/>
    </w:rPr>
  </w:style>
  <w:style w:type="character" w:customStyle="1" w:styleId="BodyTextChar">
    <w:name w:val="Body Text Char"/>
    <w:basedOn w:val="DefaultParagraphFont"/>
    <w:link w:val="BodyText"/>
    <w:rsid w:val="00A60528"/>
    <w:rPr>
      <w:rFonts w:ascii="Arial Unicode MS" w:eastAsia="Arial Unicode MS" w:hAnsi="Arial Unicode MS" w:cs="Times New Roman"/>
      <w:color w:val="000000"/>
      <w:sz w:val="24"/>
      <w:szCs w:val="24"/>
      <w:lang w:val="en-GB"/>
    </w:rPr>
  </w:style>
  <w:style w:type="paragraph" w:styleId="BodyText2">
    <w:name w:val="Body Text 2"/>
    <w:basedOn w:val="Normal"/>
    <w:link w:val="BodyText2Char"/>
    <w:rsid w:val="00A60528"/>
    <w:pPr>
      <w:spacing w:before="100" w:beforeAutospacing="1" w:after="100" w:afterAutospacing="1"/>
    </w:pPr>
    <w:rPr>
      <w:rFonts w:ascii="Arial Unicode MS" w:eastAsia="Arial Unicode MS" w:hAnsi="Arial Unicode MS"/>
      <w:color w:val="000000"/>
      <w:lang w:val="en-GB" w:eastAsia="en-US"/>
    </w:rPr>
  </w:style>
  <w:style w:type="character" w:customStyle="1" w:styleId="BodyText2Char">
    <w:name w:val="Body Text 2 Char"/>
    <w:basedOn w:val="DefaultParagraphFont"/>
    <w:link w:val="BodyText2"/>
    <w:rsid w:val="00A60528"/>
    <w:rPr>
      <w:rFonts w:ascii="Arial Unicode MS" w:eastAsia="Arial Unicode MS" w:hAnsi="Arial Unicode MS" w:cs="Times New Roman"/>
      <w:color w:val="000000"/>
      <w:sz w:val="24"/>
      <w:szCs w:val="24"/>
      <w:lang w:val="en-GB"/>
    </w:rPr>
  </w:style>
  <w:style w:type="character" w:styleId="Strong">
    <w:name w:val="Strong"/>
    <w:basedOn w:val="DefaultParagraphFont"/>
    <w:qFormat/>
    <w:rsid w:val="00A60528"/>
    <w:rPr>
      <w:b/>
      <w:bCs/>
    </w:rPr>
  </w:style>
  <w:style w:type="paragraph" w:styleId="BodyTextIndent">
    <w:name w:val="Body Text Indent"/>
    <w:basedOn w:val="Normal"/>
    <w:link w:val="BodyTextIndentChar"/>
    <w:rsid w:val="00A60528"/>
    <w:pPr>
      <w:spacing w:after="120"/>
      <w:ind w:left="283"/>
    </w:pPr>
  </w:style>
  <w:style w:type="character" w:customStyle="1" w:styleId="BodyTextIndentChar">
    <w:name w:val="Body Text Indent Char"/>
    <w:basedOn w:val="DefaultParagraphFont"/>
    <w:link w:val="BodyTextIndent"/>
    <w:rsid w:val="00A60528"/>
    <w:rPr>
      <w:rFonts w:ascii="Times New Roman" w:eastAsia="Times New Roman" w:hAnsi="Times New Roman" w:cs="Times New Roman"/>
      <w:sz w:val="24"/>
      <w:szCs w:val="24"/>
      <w:lang w:eastAsia="lv-LV"/>
    </w:rPr>
  </w:style>
  <w:style w:type="table" w:styleId="TableGrid">
    <w:name w:val="Table Grid"/>
    <w:basedOn w:val="TableNormal"/>
    <w:uiPriority w:val="59"/>
    <w:rsid w:val="00A60528"/>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ize21">
    <w:name w:val="fontsize21"/>
    <w:basedOn w:val="DefaultParagraphFont"/>
    <w:rsid w:val="00A60528"/>
    <w:rPr>
      <w:sz w:val="12"/>
      <w:szCs w:val="12"/>
    </w:rPr>
  </w:style>
  <w:style w:type="paragraph" w:styleId="ListParagraph">
    <w:name w:val="List Paragraph"/>
    <w:basedOn w:val="Normal"/>
    <w:uiPriority w:val="34"/>
    <w:qFormat/>
    <w:rsid w:val="00A60528"/>
    <w:pPr>
      <w:ind w:left="720"/>
      <w:contextualSpacing/>
    </w:pPr>
  </w:style>
  <w:style w:type="character" w:styleId="CommentReference">
    <w:name w:val="annotation reference"/>
    <w:basedOn w:val="DefaultParagraphFont"/>
    <w:uiPriority w:val="99"/>
    <w:semiHidden/>
    <w:unhideWhenUsed/>
    <w:rsid w:val="007E3152"/>
    <w:rPr>
      <w:sz w:val="16"/>
      <w:szCs w:val="16"/>
    </w:rPr>
  </w:style>
  <w:style w:type="paragraph" w:styleId="CommentText">
    <w:name w:val="annotation text"/>
    <w:basedOn w:val="Normal"/>
    <w:link w:val="CommentTextChar"/>
    <w:uiPriority w:val="99"/>
    <w:semiHidden/>
    <w:unhideWhenUsed/>
    <w:rsid w:val="007E3152"/>
    <w:rPr>
      <w:sz w:val="20"/>
      <w:szCs w:val="20"/>
    </w:rPr>
  </w:style>
  <w:style w:type="character" w:customStyle="1" w:styleId="CommentTextChar">
    <w:name w:val="Comment Text Char"/>
    <w:basedOn w:val="DefaultParagraphFont"/>
    <w:link w:val="CommentText"/>
    <w:uiPriority w:val="99"/>
    <w:semiHidden/>
    <w:rsid w:val="007E315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E3152"/>
    <w:rPr>
      <w:b/>
      <w:bCs/>
    </w:rPr>
  </w:style>
  <w:style w:type="character" w:customStyle="1" w:styleId="CommentSubjectChar">
    <w:name w:val="Comment Subject Char"/>
    <w:basedOn w:val="CommentTextChar"/>
    <w:link w:val="CommentSubject"/>
    <w:uiPriority w:val="99"/>
    <w:semiHidden/>
    <w:rsid w:val="007E315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gars.grinis@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1533</Words>
  <Characters>10794</Characters>
  <Application>Microsoft Office Word</Application>
  <DocSecurity>0</DocSecurity>
  <Lines>337</Lines>
  <Paragraphs>224</Paragraphs>
  <ScaleCrop>false</ScaleCrop>
  <HeadingPairs>
    <vt:vector size="2" baseType="variant">
      <vt:variant>
        <vt:lpstr>Title</vt:lpstr>
      </vt:variant>
      <vt:variant>
        <vt:i4>1</vt:i4>
      </vt:variant>
    </vt:vector>
  </HeadingPairs>
  <TitlesOfParts>
    <vt:vector size="1" baseType="lpstr">
      <vt:lpstr>MK noteikumu projekts „Noteikumi par valsts vispārējās vidējās izglītības standartu, mācību priekšmetu standartiem un izglītības programmu paraugiem"</vt:lpstr>
    </vt:vector>
  </TitlesOfParts>
  <Manager>Evija Papule</Manager>
  <Company>IZM</Company>
  <LinksUpToDate>false</LinksUpToDate>
  <CharactersWithSpaces>12103</CharactersWithSpaces>
  <SharedDoc>false</SharedDoc>
  <HLinks>
    <vt:vector size="6" baseType="variant">
      <vt:variant>
        <vt:i4>2752526</vt:i4>
      </vt:variant>
      <vt:variant>
        <vt:i4>39</vt:i4>
      </vt:variant>
      <vt:variant>
        <vt:i4>0</vt:i4>
      </vt:variant>
      <vt:variant>
        <vt:i4>5</vt:i4>
      </vt:variant>
      <vt:variant>
        <vt:lpwstr>mailto:edgars.grinis@izm.gov.lv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valsts vispārējās vidējās izglītības standartu, mācību priekšmetu standartiem un izglītības programmu paraugiem"</dc:title>
  <dc:subject>28.pielikums. Tālmācība</dc:subject>
  <dc:creator>I.Īvāne</dc:creator>
  <cp:keywords/>
  <dc:description>I.Ivāne
67047849, ineta.ivane@izm.gov.lv</dc:description>
  <cp:lastModifiedBy>dmergupe</cp:lastModifiedBy>
  <cp:revision>4</cp:revision>
  <dcterms:created xsi:type="dcterms:W3CDTF">2013-04-23T13:03:00Z</dcterms:created>
  <dcterms:modified xsi:type="dcterms:W3CDTF">2013-04-23T13:05:00Z</dcterms:modified>
</cp:coreProperties>
</file>