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4B" w:rsidRPr="009F2FC3" w:rsidRDefault="0090734B" w:rsidP="0090734B">
      <w:pPr>
        <w:pStyle w:val="Heading2"/>
      </w:pPr>
      <w:bookmarkStart w:id="0" w:name="_Toc303092682"/>
      <w:r w:rsidRPr="009F2FC3">
        <w:t>1. Pielikums. Eiropas kosmosa politika un Lisabonas līgums</w:t>
      </w:r>
      <w:bookmarkEnd w:id="0"/>
      <w:r w:rsidRPr="009F2FC3">
        <w:t xml:space="preserve"> </w:t>
      </w:r>
    </w:p>
    <w:p w:rsidR="0090734B" w:rsidRDefault="0090734B" w:rsidP="0090734B">
      <w:pPr>
        <w:jc w:val="both"/>
        <w:rPr>
          <w:i/>
          <w:sz w:val="28"/>
        </w:rPr>
      </w:pPr>
    </w:p>
    <w:p w:rsidR="0090734B" w:rsidRDefault="0090734B" w:rsidP="0090734B">
      <w:pPr>
        <w:jc w:val="both"/>
        <w:rPr>
          <w:sz w:val="28"/>
        </w:rPr>
      </w:pPr>
      <w:r>
        <w:rPr>
          <w:sz w:val="28"/>
        </w:rPr>
        <w:tab/>
        <w:t xml:space="preserve">Līdz 2009.gada 1.decembrim Eiropas kosmosa politika tika īstenota saskaņā ar Kopienas līgumu. Situācija mainās ar </w:t>
      </w:r>
      <w:r w:rsidRPr="0011227E">
        <w:rPr>
          <w:sz w:val="28"/>
        </w:rPr>
        <w:t>Lisabonas līguma</w:t>
      </w:r>
      <w:r w:rsidR="0011227E" w:rsidRPr="0011227E">
        <w:rPr>
          <w:sz w:val="28"/>
        </w:rPr>
        <w:t>, ar ko gr</w:t>
      </w:r>
      <w:r w:rsidR="0011227E">
        <w:rPr>
          <w:sz w:val="28"/>
        </w:rPr>
        <w:t>oza Līgumu par Eiropas Savienības darb</w:t>
      </w:r>
      <w:r w:rsidR="005C04AD">
        <w:rPr>
          <w:sz w:val="28"/>
        </w:rPr>
        <w:t>ību (turpmāk -  Lisabonas līgums</w:t>
      </w:r>
      <w:r w:rsidR="0011227E">
        <w:rPr>
          <w:sz w:val="28"/>
        </w:rPr>
        <w:t xml:space="preserve">) </w:t>
      </w:r>
      <w:r w:rsidR="0011227E" w:rsidRPr="0011227E">
        <w:rPr>
          <w:sz w:val="28"/>
        </w:rPr>
        <w:t xml:space="preserve"> un Eiropas Kopienas dibināšanas līgumu</w:t>
      </w:r>
      <w:r>
        <w:rPr>
          <w:sz w:val="28"/>
        </w:rPr>
        <w:t xml:space="preserve"> stāšanos spēkā 2009.gada 1.decembrī, kas precīzi noformulē ES kompetenci kosmosa sektorā. </w:t>
      </w:r>
    </w:p>
    <w:p w:rsidR="0090734B" w:rsidRDefault="0090734B" w:rsidP="0090734B">
      <w:pPr>
        <w:autoSpaceDE w:val="0"/>
        <w:autoSpaceDN w:val="0"/>
        <w:adjustRightInd w:val="0"/>
        <w:ind w:firstLine="720"/>
        <w:jc w:val="both"/>
        <w:rPr>
          <w:sz w:val="28"/>
        </w:rPr>
      </w:pPr>
      <w:r>
        <w:rPr>
          <w:sz w:val="28"/>
        </w:rPr>
        <w:t>Līgumā par ES darbību</w:t>
      </w:r>
      <w:r w:rsidRPr="00575FEF">
        <w:rPr>
          <w:sz w:val="28"/>
        </w:rPr>
        <w:t xml:space="preserve"> 189 (1) pants skan šādi: „</w:t>
      </w:r>
      <w:r w:rsidRPr="00575FEF">
        <w:rPr>
          <w:sz w:val="28"/>
          <w:lang w:eastAsia="lv-LV"/>
        </w:rPr>
        <w:t>Lai veicinātu zinātnes un tehnikas attīstību, rūpniecības konkurētspēju un politikas īstenošanu, Savienība izstrādā Eiropas kosmosa politiku. Tālab tā var sekmēt kopīgas iniciatīvas, atbalstīt zinātnisko  izpēti un tehnoloģiju attīstību, kā arī koordinēt kosmosa izpētei un izmantošanai nepieciešamos</w:t>
      </w:r>
      <w:r>
        <w:rPr>
          <w:sz w:val="28"/>
          <w:lang w:eastAsia="lv-LV"/>
        </w:rPr>
        <w:t xml:space="preserve"> pūliņus</w:t>
      </w:r>
      <w:r w:rsidRPr="00575FEF">
        <w:rPr>
          <w:sz w:val="28"/>
          <w:lang w:eastAsia="lv-LV"/>
        </w:rPr>
        <w:t>.</w:t>
      </w:r>
      <w:r w:rsidRPr="00575FEF">
        <w:rPr>
          <w:sz w:val="28"/>
        </w:rPr>
        <w:t>”</w:t>
      </w:r>
      <w:r>
        <w:rPr>
          <w:rStyle w:val="FootnoteReference"/>
          <w:sz w:val="28"/>
        </w:rPr>
        <w:footnoteReference w:id="1"/>
      </w:r>
    </w:p>
    <w:p w:rsidR="0090734B" w:rsidRDefault="0090734B" w:rsidP="0090734B">
      <w:pPr>
        <w:autoSpaceDE w:val="0"/>
        <w:autoSpaceDN w:val="0"/>
        <w:adjustRightInd w:val="0"/>
        <w:ind w:firstLine="720"/>
        <w:jc w:val="both"/>
        <w:rPr>
          <w:sz w:val="28"/>
          <w:lang w:eastAsia="lv-LV"/>
        </w:rPr>
      </w:pPr>
      <w:r>
        <w:rPr>
          <w:sz w:val="28"/>
          <w:lang w:eastAsia="lv-LV"/>
        </w:rPr>
        <w:t xml:space="preserve">Šis līguma pants iezīmē skaidru ES mandātu izstrādāt Eiropas kosmosa politiku un dod Eiropas Komisijai tiesisko ietvaru realizēt tās tiesības iniciēt ar kosmosa sektoru saistītās aktivitātes un koordinēt nepieciešamos pasākumus kosmosa izpētei un izmantošanai. Līdz ar to Lisabonas līguma 189.pants nostiprina kosmosa politiku, kā ES kopējo politiku. Tomēr tagadējā ES kompetence neattur dalībvalstis īstenot savu kosmosa politiku un brīvi to īstenot EKA programmas ietvaros. </w:t>
      </w:r>
      <w:r w:rsidRPr="00E05513">
        <w:rPr>
          <w:sz w:val="28"/>
          <w:lang w:eastAsia="lv-LV"/>
        </w:rPr>
        <w:t xml:space="preserve">Šī iemesla dēļ Lisabonas līguma 189(2) paredz ka, </w:t>
      </w:r>
      <w:r w:rsidRPr="008313EB">
        <w:rPr>
          <w:i/>
          <w:sz w:val="28"/>
          <w:lang w:eastAsia="lv-LV"/>
        </w:rPr>
        <w:t>„Lai veicinātu 1. punktā minēto mērķu sasniegšanu, Eiropas Parlaments un Padome saskaņā ar parasto likumdošanas procedūru nosaka vajadzīgos pasākumus, kas var būt arī Eiropas kosmosa programmas izstrāde, neparedzot dalībvalstu normatīvo aktu saskaņošanu.”.</w:t>
      </w:r>
    </w:p>
    <w:p w:rsidR="0090734B" w:rsidRDefault="0090734B" w:rsidP="0090734B">
      <w:pPr>
        <w:autoSpaceDE w:val="0"/>
        <w:autoSpaceDN w:val="0"/>
        <w:adjustRightInd w:val="0"/>
        <w:jc w:val="both"/>
        <w:rPr>
          <w:sz w:val="28"/>
          <w:lang w:eastAsia="lv-LV"/>
        </w:rPr>
      </w:pPr>
      <w:r>
        <w:rPr>
          <w:sz w:val="28"/>
          <w:lang w:eastAsia="lv-LV"/>
        </w:rPr>
        <w:tab/>
        <w:t>Līdz ar to tie var saturēt</w:t>
      </w:r>
      <w:r w:rsidRPr="00E05513">
        <w:rPr>
          <w:sz w:val="28"/>
          <w:lang w:eastAsia="lv-LV"/>
        </w:rPr>
        <w:t xml:space="preserve"> likumdošanas pasākumus, kas var būt Eiropas</w:t>
      </w:r>
      <w:r w:rsidR="005C04AD">
        <w:rPr>
          <w:sz w:val="28"/>
          <w:lang w:eastAsia="lv-LV"/>
        </w:rPr>
        <w:t xml:space="preserve"> </w:t>
      </w:r>
      <w:r>
        <w:rPr>
          <w:sz w:val="28"/>
          <w:lang w:eastAsia="lv-LV"/>
        </w:rPr>
        <w:t>Kosmosa programma</w:t>
      </w:r>
      <w:r w:rsidRPr="00E05513">
        <w:rPr>
          <w:sz w:val="28"/>
          <w:lang w:eastAsia="lv-LV"/>
        </w:rPr>
        <w:t xml:space="preserve">, </w:t>
      </w:r>
      <w:r>
        <w:rPr>
          <w:sz w:val="28"/>
          <w:lang w:eastAsia="lv-LV"/>
        </w:rPr>
        <w:t>ietverot (bet neaprobežojoties ar to) kopīgas iniciatīvas</w:t>
      </w:r>
      <w:r w:rsidRPr="00E05513">
        <w:rPr>
          <w:sz w:val="28"/>
          <w:lang w:eastAsia="lv-LV"/>
        </w:rPr>
        <w:t xml:space="preserve"> kosmosa</w:t>
      </w:r>
      <w:r>
        <w:rPr>
          <w:sz w:val="28"/>
          <w:lang w:eastAsia="lv-LV"/>
        </w:rPr>
        <w:t xml:space="preserve"> izpētē, ieguvē un pētniecībā.  </w:t>
      </w:r>
    </w:p>
    <w:p w:rsidR="0090734B" w:rsidRDefault="005C04AD" w:rsidP="0090734B">
      <w:pPr>
        <w:autoSpaceDE w:val="0"/>
        <w:autoSpaceDN w:val="0"/>
        <w:adjustRightInd w:val="0"/>
        <w:ind w:firstLine="720"/>
        <w:jc w:val="both"/>
        <w:rPr>
          <w:sz w:val="28"/>
          <w:lang w:eastAsia="lv-LV"/>
        </w:rPr>
      </w:pPr>
      <w:r>
        <w:rPr>
          <w:sz w:val="28"/>
        </w:rPr>
        <w:t>Lisabonas līgums</w:t>
      </w:r>
      <w:r w:rsidR="0090734B">
        <w:rPr>
          <w:sz w:val="28"/>
        </w:rPr>
        <w:t xml:space="preserve"> </w:t>
      </w:r>
      <w:r w:rsidR="0090734B" w:rsidRPr="00B20EDA">
        <w:rPr>
          <w:sz w:val="28"/>
          <w:lang w:eastAsia="lv-LV"/>
        </w:rPr>
        <w:t xml:space="preserve"> </w:t>
      </w:r>
      <w:r w:rsidR="0090734B" w:rsidRPr="00873BC7">
        <w:rPr>
          <w:sz w:val="28"/>
          <w:lang w:eastAsia="lv-LV"/>
        </w:rPr>
        <w:t xml:space="preserve">189(3) </w:t>
      </w:r>
      <w:r>
        <w:rPr>
          <w:sz w:val="28"/>
          <w:lang w:eastAsia="lv-LV"/>
        </w:rPr>
        <w:t xml:space="preserve">pants </w:t>
      </w:r>
      <w:r w:rsidR="0090734B" w:rsidRPr="00873BC7">
        <w:rPr>
          <w:sz w:val="28"/>
          <w:lang w:eastAsia="lv-LV"/>
        </w:rPr>
        <w:t xml:space="preserve">paredz, ka „Savienība izveido nepieciešamās attiecības ar Eiropas Kosmosa aģentūru”. </w:t>
      </w:r>
      <w:r w:rsidR="0090734B">
        <w:rPr>
          <w:sz w:val="28"/>
          <w:lang w:eastAsia="lv-LV"/>
        </w:rPr>
        <w:t xml:space="preserve">Šis nosacījums dod </w:t>
      </w:r>
      <w:r>
        <w:rPr>
          <w:sz w:val="28"/>
          <w:lang w:eastAsia="lv-LV"/>
        </w:rPr>
        <w:t>ES</w:t>
      </w:r>
      <w:r w:rsidR="0090734B">
        <w:rPr>
          <w:sz w:val="28"/>
          <w:lang w:eastAsia="lv-LV"/>
        </w:rPr>
        <w:t xml:space="preserve"> brīvu mandātu veidot attiecības ar EKA, kura uzsver nepieciešamību sadarbībai starp abām organizācijām kosmosa jomā. Tomēr Lisabonas līgumā nav nodefinēts attiecību raksturs ar EKA un šis nosacījums nekādi neietekmē eksistējošās attiecības starp Eiropas Komisiju un EKA, tai skaitā savstarpēji noslēgto </w:t>
      </w:r>
      <w:proofErr w:type="spellStart"/>
      <w:r w:rsidR="0090734B">
        <w:rPr>
          <w:sz w:val="28"/>
          <w:lang w:eastAsia="lv-LV"/>
        </w:rPr>
        <w:t>Pamatnolīgumu</w:t>
      </w:r>
      <w:proofErr w:type="spellEnd"/>
      <w:r w:rsidR="0090734B">
        <w:rPr>
          <w:sz w:val="28"/>
          <w:lang w:eastAsia="lv-LV"/>
        </w:rPr>
        <w:t xml:space="preserve"> un delegāciju līgumus (kam pamatā ir finanšu nosacījumi). ES un EKA darbību reglamentē to </w:t>
      </w:r>
      <w:proofErr w:type="spellStart"/>
      <w:r w:rsidR="0090734B">
        <w:rPr>
          <w:sz w:val="28"/>
          <w:lang w:eastAsia="lv-LV"/>
        </w:rPr>
        <w:t>pamatnolīgums</w:t>
      </w:r>
      <w:proofErr w:type="spellEnd"/>
      <w:r w:rsidR="0090734B">
        <w:rPr>
          <w:sz w:val="28"/>
          <w:lang w:eastAsia="lv-LV"/>
        </w:rPr>
        <w:t xml:space="preserve"> un lēmumus pieņem atbilstošā </w:t>
      </w:r>
      <w:r w:rsidR="0090734B">
        <w:rPr>
          <w:sz w:val="28"/>
          <w:lang w:eastAsia="lv-LV"/>
        </w:rPr>
        <w:lastRenderedPageBreak/>
        <w:t xml:space="preserve">Padome. Eksistējošā institucionālā asimetrija starp šīm divām organizācijām (pārnacionālās un starpvaldību) ir radījusi virkni problēmu. </w:t>
      </w:r>
    </w:p>
    <w:p w:rsidR="0090734B" w:rsidRDefault="0090734B" w:rsidP="0090734B">
      <w:pPr>
        <w:autoSpaceDE w:val="0"/>
        <w:autoSpaceDN w:val="0"/>
        <w:adjustRightInd w:val="0"/>
        <w:jc w:val="both"/>
        <w:rPr>
          <w:sz w:val="28"/>
          <w:lang w:eastAsia="lv-LV"/>
        </w:rPr>
      </w:pPr>
      <w:r>
        <w:rPr>
          <w:sz w:val="28"/>
          <w:lang w:eastAsia="lv-LV"/>
        </w:rPr>
        <w:tab/>
        <w:t xml:space="preserve">EK ir labi izveidoti kanāli sadarbībai un mijiedarbībai ar dalībvalstīm  pārvaldot un īstenojot ES programmas </w:t>
      </w:r>
      <w:r w:rsidRPr="0032070E">
        <w:rPr>
          <w:sz w:val="28"/>
          <w:lang w:eastAsia="lv-LV"/>
        </w:rPr>
        <w:t>(tādas kā Kosmosa prioritāte FP7)</w:t>
      </w:r>
      <w:r>
        <w:rPr>
          <w:sz w:val="28"/>
          <w:lang w:eastAsia="lv-LV"/>
        </w:rPr>
        <w:t xml:space="preserve"> programmu komiteju ietvaros. Formālā mijiedarbība starp EK un dalībvalstīm tiek īstenota Padomē, kad Padome apstiprina Rezolūcijas uz EK paziņojumu bāzes. Tāpat konsultācijas neformālo sanāksmju ietvaros tiek organizētas regulāri.</w:t>
      </w:r>
    </w:p>
    <w:p w:rsidR="0090734B" w:rsidRPr="00E620CD" w:rsidRDefault="0090734B" w:rsidP="0090734B">
      <w:pPr>
        <w:autoSpaceDE w:val="0"/>
        <w:autoSpaceDN w:val="0"/>
        <w:adjustRightInd w:val="0"/>
        <w:jc w:val="both"/>
        <w:rPr>
          <w:rStyle w:val="longtext"/>
          <w:sz w:val="28"/>
          <w:shd w:val="clear" w:color="auto" w:fill="FFFFFF"/>
        </w:rPr>
      </w:pPr>
      <w:r>
        <w:rPr>
          <w:sz w:val="28"/>
          <w:lang w:eastAsia="lv-LV"/>
        </w:rPr>
        <w:tab/>
      </w:r>
      <w:r w:rsidRPr="00E620CD">
        <w:rPr>
          <w:sz w:val="28"/>
          <w:lang w:eastAsia="lv-LV"/>
        </w:rPr>
        <w:t xml:space="preserve"> </w:t>
      </w:r>
      <w:r w:rsidRPr="00E620CD">
        <w:rPr>
          <w:rStyle w:val="longtext"/>
          <w:sz w:val="28"/>
          <w:shd w:val="clear" w:color="auto" w:fill="FFFFFF"/>
        </w:rPr>
        <w:t>EKA arī</w:t>
      </w:r>
      <w:r>
        <w:rPr>
          <w:rStyle w:val="longtext"/>
          <w:sz w:val="28"/>
          <w:shd w:val="clear" w:color="auto" w:fill="FFFFFF"/>
        </w:rPr>
        <w:t xml:space="preserve"> ir vienošanā</w:t>
      </w:r>
      <w:r w:rsidR="005C04AD">
        <w:rPr>
          <w:rStyle w:val="longtext"/>
          <w:sz w:val="28"/>
          <w:shd w:val="clear" w:color="auto" w:fill="FFFFFF"/>
        </w:rPr>
        <w:t>s ar savām d</w:t>
      </w:r>
      <w:r w:rsidRPr="00E620CD">
        <w:rPr>
          <w:rStyle w:val="longtext"/>
          <w:sz w:val="28"/>
          <w:shd w:val="clear" w:color="auto" w:fill="FFFFFF"/>
        </w:rPr>
        <w:t>alībvalstīm par</w:t>
      </w:r>
      <w:r>
        <w:rPr>
          <w:sz w:val="28"/>
          <w:shd w:val="clear" w:color="auto" w:fill="FFFFFF"/>
        </w:rPr>
        <w:t xml:space="preserve"> </w:t>
      </w:r>
      <w:r w:rsidRPr="00E620CD">
        <w:rPr>
          <w:rStyle w:val="longtext"/>
          <w:sz w:val="28"/>
          <w:shd w:val="clear" w:color="auto" w:fill="FFFFFF"/>
        </w:rPr>
        <w:t>sav</w:t>
      </w:r>
      <w:r>
        <w:rPr>
          <w:rStyle w:val="longtext"/>
          <w:sz w:val="28"/>
          <w:shd w:val="clear" w:color="auto" w:fill="FFFFFF"/>
        </w:rPr>
        <w:t>u programmu</w:t>
      </w:r>
      <w:r w:rsidRPr="00E620CD">
        <w:rPr>
          <w:rStyle w:val="longtext"/>
          <w:sz w:val="28"/>
          <w:shd w:val="clear" w:color="auto" w:fill="FFFFFF"/>
        </w:rPr>
        <w:t xml:space="preserve"> pārvaldību, izmantojot tematiskās programmas </w:t>
      </w:r>
      <w:r>
        <w:rPr>
          <w:rStyle w:val="longtext"/>
          <w:sz w:val="28"/>
          <w:shd w:val="clear" w:color="auto" w:fill="FFFFFF"/>
        </w:rPr>
        <w:t>valdi</w:t>
      </w:r>
      <w:r w:rsidRPr="00E620CD">
        <w:rPr>
          <w:rStyle w:val="longtext"/>
          <w:sz w:val="28"/>
          <w:shd w:val="clear" w:color="auto" w:fill="FFFFFF"/>
        </w:rPr>
        <w:t xml:space="preserve"> un</w:t>
      </w:r>
      <w:r>
        <w:rPr>
          <w:sz w:val="28"/>
          <w:shd w:val="clear" w:color="auto" w:fill="FFFFFF"/>
        </w:rPr>
        <w:t xml:space="preserve"> </w:t>
      </w:r>
      <w:r>
        <w:rPr>
          <w:rStyle w:val="longtext"/>
          <w:sz w:val="28"/>
          <w:shd w:val="clear" w:color="auto" w:fill="FFFFFF"/>
        </w:rPr>
        <w:t>komitejas, kā arī p</w:t>
      </w:r>
      <w:r w:rsidRPr="00E620CD">
        <w:rPr>
          <w:rStyle w:val="longtext"/>
          <w:sz w:val="28"/>
          <w:shd w:val="clear" w:color="auto" w:fill="FFFFFF"/>
        </w:rPr>
        <w:t xml:space="preserve">adomes un </w:t>
      </w:r>
      <w:r>
        <w:rPr>
          <w:rStyle w:val="longtext"/>
          <w:sz w:val="28"/>
          <w:shd w:val="clear" w:color="auto" w:fill="FFFFFF"/>
        </w:rPr>
        <w:t>komitejas</w:t>
      </w:r>
      <w:r w:rsidRPr="00E620CD">
        <w:rPr>
          <w:rStyle w:val="longtext"/>
          <w:sz w:val="28"/>
          <w:shd w:val="clear" w:color="auto" w:fill="FFFFFF"/>
        </w:rPr>
        <w:t xml:space="preserve"> attiecībā uz juridiskaj</w:t>
      </w:r>
      <w:r>
        <w:rPr>
          <w:rStyle w:val="longtext"/>
          <w:sz w:val="28"/>
          <w:shd w:val="clear" w:color="auto" w:fill="FFFFFF"/>
        </w:rPr>
        <w:t>ā</w:t>
      </w:r>
      <w:r w:rsidRPr="00E620CD">
        <w:rPr>
          <w:rStyle w:val="longtext"/>
          <w:sz w:val="28"/>
          <w:shd w:val="clear" w:color="auto" w:fill="FFFFFF"/>
        </w:rPr>
        <w:t>m,</w:t>
      </w:r>
      <w:r>
        <w:rPr>
          <w:sz w:val="28"/>
          <w:shd w:val="clear" w:color="auto" w:fill="FFFFFF"/>
        </w:rPr>
        <w:t xml:space="preserve"> </w:t>
      </w:r>
      <w:r>
        <w:rPr>
          <w:rStyle w:val="longtext"/>
          <w:sz w:val="28"/>
          <w:shd w:val="clear" w:color="auto" w:fill="FFFFFF"/>
        </w:rPr>
        <w:t xml:space="preserve">finansiālajām, rūpnieciskajām </w:t>
      </w:r>
      <w:r w:rsidRPr="00E620CD">
        <w:rPr>
          <w:rStyle w:val="longtext"/>
          <w:sz w:val="28"/>
          <w:shd w:val="clear" w:color="auto" w:fill="FFFFFF"/>
        </w:rPr>
        <w:t xml:space="preserve">un starptautisko attiecību </w:t>
      </w:r>
      <w:r>
        <w:rPr>
          <w:rStyle w:val="longtext"/>
          <w:sz w:val="28"/>
          <w:shd w:val="clear" w:color="auto" w:fill="FFFFFF"/>
        </w:rPr>
        <w:t xml:space="preserve">politiku </w:t>
      </w:r>
      <w:r w:rsidRPr="00E620CD">
        <w:rPr>
          <w:rStyle w:val="longtext"/>
          <w:sz w:val="28"/>
          <w:shd w:val="clear" w:color="auto" w:fill="FFFFFF"/>
        </w:rPr>
        <w:t>jomā</w:t>
      </w:r>
      <w:r>
        <w:rPr>
          <w:rStyle w:val="longtext"/>
          <w:sz w:val="28"/>
          <w:shd w:val="clear" w:color="auto" w:fill="FFFFFF"/>
        </w:rPr>
        <w:t>m</w:t>
      </w:r>
      <w:r w:rsidRPr="00E620CD">
        <w:rPr>
          <w:rStyle w:val="longtext"/>
          <w:sz w:val="28"/>
          <w:shd w:val="clear" w:color="auto" w:fill="FFFFFF"/>
        </w:rPr>
        <w:t xml:space="preserve">. </w:t>
      </w:r>
    </w:p>
    <w:p w:rsidR="0090734B" w:rsidRDefault="0090734B" w:rsidP="0090734B">
      <w:pPr>
        <w:autoSpaceDE w:val="0"/>
        <w:autoSpaceDN w:val="0"/>
        <w:adjustRightInd w:val="0"/>
        <w:ind w:firstLine="720"/>
        <w:jc w:val="both"/>
        <w:rPr>
          <w:sz w:val="28"/>
          <w:lang w:eastAsia="lv-LV"/>
        </w:rPr>
      </w:pPr>
      <w:r w:rsidRPr="00E620CD">
        <w:rPr>
          <w:rStyle w:val="longtext"/>
          <w:sz w:val="28"/>
          <w:shd w:val="clear" w:color="auto" w:fill="FFFFFF"/>
        </w:rPr>
        <w:t xml:space="preserve">Ņemot vērā iespēju palielināt </w:t>
      </w:r>
      <w:r>
        <w:rPr>
          <w:rStyle w:val="longtext"/>
          <w:sz w:val="28"/>
          <w:shd w:val="clear" w:color="auto" w:fill="FFFFFF"/>
        </w:rPr>
        <w:t>ES</w:t>
      </w:r>
      <w:r w:rsidRPr="00E620CD">
        <w:rPr>
          <w:rStyle w:val="longtext"/>
          <w:sz w:val="28"/>
          <w:shd w:val="clear" w:color="auto" w:fill="FFFFFF"/>
        </w:rPr>
        <w:t xml:space="preserve"> iesaistīšanos kosmosa jautājumos, </w:t>
      </w:r>
      <w:r>
        <w:rPr>
          <w:rStyle w:val="longtext"/>
          <w:sz w:val="28"/>
          <w:shd w:val="clear" w:color="auto" w:fill="FFFFFF"/>
        </w:rPr>
        <w:t>ES ir</w:t>
      </w:r>
      <w:r>
        <w:rPr>
          <w:sz w:val="28"/>
          <w:shd w:val="clear" w:color="auto" w:fill="FFFFFF"/>
        </w:rPr>
        <w:t xml:space="preserve"> </w:t>
      </w:r>
      <w:r>
        <w:rPr>
          <w:rStyle w:val="longtext"/>
          <w:sz w:val="28"/>
          <w:shd w:val="clear" w:color="auto" w:fill="FFFFFF"/>
        </w:rPr>
        <w:t>nepieciešams</w:t>
      </w:r>
      <w:r w:rsidRPr="00E620CD">
        <w:rPr>
          <w:rStyle w:val="longtext"/>
          <w:sz w:val="28"/>
          <w:shd w:val="clear" w:color="auto" w:fill="FFFFFF"/>
        </w:rPr>
        <w:t xml:space="preserve"> pastiprināt </w:t>
      </w:r>
      <w:r>
        <w:rPr>
          <w:rStyle w:val="longtext"/>
          <w:sz w:val="28"/>
          <w:shd w:val="clear" w:color="auto" w:fill="FFFFFF"/>
        </w:rPr>
        <w:t>sadarbību</w:t>
      </w:r>
      <w:r w:rsidRPr="00E620CD">
        <w:rPr>
          <w:rStyle w:val="longtext"/>
          <w:sz w:val="28"/>
          <w:shd w:val="clear" w:color="auto" w:fill="FFFFFF"/>
        </w:rPr>
        <w:t xml:space="preserve"> ar dalībvalstīm, tostarp institucionālā</w:t>
      </w:r>
      <w:r>
        <w:rPr>
          <w:sz w:val="28"/>
          <w:shd w:val="clear" w:color="auto" w:fill="FFFFFF"/>
        </w:rPr>
        <w:t xml:space="preserve"> </w:t>
      </w:r>
      <w:r w:rsidRPr="00E620CD">
        <w:rPr>
          <w:rStyle w:val="longtext"/>
          <w:sz w:val="28"/>
          <w:shd w:val="clear" w:color="auto" w:fill="FFFFFF"/>
        </w:rPr>
        <w:t>līmenī, jo īpaši, lai risinātu politi</w:t>
      </w:r>
      <w:r>
        <w:rPr>
          <w:rStyle w:val="longtext"/>
          <w:sz w:val="28"/>
          <w:shd w:val="clear" w:color="auto" w:fill="FFFFFF"/>
        </w:rPr>
        <w:t xml:space="preserve">skus jautājumus, kuri ir </w:t>
      </w:r>
      <w:r w:rsidRPr="00E620CD">
        <w:rPr>
          <w:rStyle w:val="longtext"/>
          <w:sz w:val="28"/>
          <w:shd w:val="clear" w:color="auto" w:fill="FFFFFF"/>
        </w:rPr>
        <w:t>ES</w:t>
      </w:r>
      <w:r>
        <w:rPr>
          <w:sz w:val="28"/>
          <w:shd w:val="clear" w:color="auto" w:fill="FFFFFF"/>
        </w:rPr>
        <w:t xml:space="preserve"> </w:t>
      </w:r>
      <w:r>
        <w:rPr>
          <w:rStyle w:val="longtext"/>
          <w:sz w:val="28"/>
          <w:shd w:val="clear" w:color="auto" w:fill="FFFFFF"/>
        </w:rPr>
        <w:t xml:space="preserve">dimensijā </w:t>
      </w:r>
      <w:r w:rsidRPr="00E620CD">
        <w:rPr>
          <w:rStyle w:val="longtext"/>
          <w:sz w:val="28"/>
          <w:shd w:val="clear" w:color="auto" w:fill="FFFFFF"/>
        </w:rPr>
        <w:t>kā, piemēram, ES ie</w:t>
      </w:r>
      <w:r>
        <w:rPr>
          <w:rStyle w:val="longtext"/>
          <w:sz w:val="28"/>
          <w:shd w:val="clear" w:color="auto" w:fill="FFFFFF"/>
        </w:rPr>
        <w:t>pirkumu vai drošības jautājumi</w:t>
      </w:r>
      <w:r w:rsidRPr="00E620CD">
        <w:rPr>
          <w:rStyle w:val="longtext"/>
          <w:sz w:val="28"/>
          <w:shd w:val="clear" w:color="auto" w:fill="FFFFFF"/>
        </w:rPr>
        <w:t>.</w:t>
      </w:r>
      <w:r>
        <w:rPr>
          <w:sz w:val="28"/>
          <w:lang w:eastAsia="lv-LV"/>
        </w:rPr>
        <w:t xml:space="preserve"> </w:t>
      </w:r>
    </w:p>
    <w:p w:rsidR="0090734B" w:rsidRDefault="0090734B" w:rsidP="0090734B">
      <w:pPr>
        <w:autoSpaceDE w:val="0"/>
        <w:autoSpaceDN w:val="0"/>
        <w:adjustRightInd w:val="0"/>
        <w:ind w:firstLine="720"/>
        <w:jc w:val="both"/>
        <w:rPr>
          <w:sz w:val="28"/>
          <w:lang w:eastAsia="lv-LV"/>
        </w:rPr>
      </w:pPr>
      <w:r>
        <w:rPr>
          <w:sz w:val="28"/>
          <w:lang w:eastAsia="lv-LV"/>
        </w:rPr>
        <w:t xml:space="preserve">Attiecības starp ES un EKA ir formāli noformulētas EK un EKA </w:t>
      </w:r>
      <w:proofErr w:type="spellStart"/>
      <w:r>
        <w:rPr>
          <w:sz w:val="28"/>
          <w:lang w:eastAsia="lv-LV"/>
        </w:rPr>
        <w:t>Pamatnolīgumā</w:t>
      </w:r>
      <w:proofErr w:type="spellEnd"/>
      <w:r>
        <w:rPr>
          <w:sz w:val="28"/>
          <w:lang w:eastAsia="lv-LV"/>
        </w:rPr>
        <w:t>, kas parakstīts 2004.gadā un 2008.gadā pagarināts vēl uz 4 gadiem.</w:t>
      </w:r>
      <w:r>
        <w:rPr>
          <w:rStyle w:val="FootnoteReference"/>
          <w:sz w:val="28"/>
          <w:lang w:eastAsia="lv-LV"/>
        </w:rPr>
        <w:footnoteReference w:id="2"/>
      </w:r>
      <w:r>
        <w:rPr>
          <w:sz w:val="28"/>
          <w:lang w:eastAsia="lv-LV"/>
        </w:rPr>
        <w:t xml:space="preserve"> </w:t>
      </w:r>
      <w:proofErr w:type="spellStart"/>
      <w:r>
        <w:rPr>
          <w:sz w:val="28"/>
          <w:lang w:eastAsia="lv-LV"/>
        </w:rPr>
        <w:t>Pamatnolīgums</w:t>
      </w:r>
      <w:proofErr w:type="spellEnd"/>
      <w:r>
        <w:rPr>
          <w:sz w:val="28"/>
          <w:lang w:eastAsia="lv-LV"/>
        </w:rPr>
        <w:t xml:space="preserve"> izveidoja Kosmosa Padomi, kas ir kopēja ES un EKA institūcija. Šie nosacījumi strādā labi, tomēr ņemot vērā, ka ES tiek vairāk iesaistīta Kosmosa jautājumos sadarbības nosacījumi  un darba metodes var mainīties. </w:t>
      </w:r>
    </w:p>
    <w:p w:rsidR="0090734B" w:rsidRDefault="0090734B" w:rsidP="0090734B">
      <w:pPr>
        <w:autoSpaceDE w:val="0"/>
        <w:autoSpaceDN w:val="0"/>
        <w:adjustRightInd w:val="0"/>
        <w:ind w:firstLine="720"/>
        <w:jc w:val="both"/>
        <w:rPr>
          <w:sz w:val="28"/>
          <w:lang w:eastAsia="lv-LV"/>
        </w:rPr>
      </w:pPr>
      <w:r w:rsidRPr="00E05513">
        <w:rPr>
          <w:sz w:val="28"/>
          <w:lang w:eastAsia="lv-LV"/>
        </w:rPr>
        <w:t xml:space="preserve">2007.gada maijā EKA un </w:t>
      </w:r>
      <w:r>
        <w:rPr>
          <w:sz w:val="28"/>
          <w:lang w:eastAsia="lv-LV"/>
        </w:rPr>
        <w:t>EK izstrādāja, un Eiropas P</w:t>
      </w:r>
      <w:r w:rsidRPr="00E05513">
        <w:rPr>
          <w:sz w:val="28"/>
          <w:lang w:eastAsia="lv-LV"/>
        </w:rPr>
        <w:t>arlaments apstiprināja Eiropas kosmosa politiku</w:t>
      </w:r>
      <w:r>
        <w:rPr>
          <w:sz w:val="28"/>
          <w:lang w:eastAsia="lv-LV"/>
        </w:rPr>
        <w:t>,</w:t>
      </w:r>
      <w:r w:rsidRPr="00E05513">
        <w:rPr>
          <w:rStyle w:val="FootnoteReference"/>
          <w:sz w:val="28"/>
          <w:lang w:eastAsia="lv-LV"/>
        </w:rPr>
        <w:footnoteReference w:id="3"/>
      </w:r>
      <w:r>
        <w:rPr>
          <w:sz w:val="28"/>
          <w:lang w:eastAsia="lv-LV"/>
        </w:rPr>
        <w:t xml:space="preserve"> kura ir balstīta uz kosmosa miermīlīgu izmantošanu un izveido </w:t>
      </w:r>
      <w:proofErr w:type="spellStart"/>
      <w:r>
        <w:rPr>
          <w:sz w:val="28"/>
          <w:lang w:eastAsia="lv-LV"/>
        </w:rPr>
        <w:t>pamatvīziju</w:t>
      </w:r>
      <w:proofErr w:type="spellEnd"/>
      <w:r>
        <w:rPr>
          <w:sz w:val="28"/>
          <w:lang w:eastAsia="lv-LV"/>
        </w:rPr>
        <w:t xml:space="preserve"> un stratēģiju kosmosa sektorā, ietverot tādus jautājumus, kā drošība un aizsardzība, pieeja kosmosam un izpēte </w:t>
      </w:r>
      <w:proofErr w:type="spellStart"/>
      <w:r>
        <w:rPr>
          <w:sz w:val="28"/>
          <w:lang w:eastAsia="lv-LV"/>
        </w:rPr>
        <w:t>uc</w:t>
      </w:r>
      <w:proofErr w:type="spellEnd"/>
      <w:r>
        <w:rPr>
          <w:sz w:val="28"/>
          <w:lang w:eastAsia="lv-LV"/>
        </w:rPr>
        <w:t xml:space="preserve">. </w:t>
      </w:r>
    </w:p>
    <w:p w:rsidR="0090734B" w:rsidRDefault="0090734B" w:rsidP="0090734B">
      <w:pPr>
        <w:autoSpaceDE w:val="0"/>
        <w:autoSpaceDN w:val="0"/>
        <w:adjustRightInd w:val="0"/>
        <w:ind w:firstLine="720"/>
        <w:jc w:val="both"/>
        <w:rPr>
          <w:sz w:val="28"/>
          <w:lang w:eastAsia="lv-LV"/>
        </w:rPr>
      </w:pPr>
      <w:r>
        <w:rPr>
          <w:sz w:val="28"/>
          <w:lang w:eastAsia="lv-LV"/>
        </w:rPr>
        <w:t xml:space="preserve">Ņemot vērā kosmosa tehnoloģiju komplicēto izstrādes gaitu un augstās izmaksas tikai lielākās valstis ir spējīgas izveidot atsevišķu kosmosa programmu. Tādai valstij kā Latvijai piedalīšanās EK un EKA izstrādātajā Eiropas Kosmosa politikā nodrošina iespēju izstrādāt savas nacionālās kosmosa iespējas. </w:t>
      </w:r>
    </w:p>
    <w:p w:rsidR="0090734B" w:rsidRDefault="005C04AD" w:rsidP="0090734B">
      <w:pPr>
        <w:autoSpaceDE w:val="0"/>
        <w:autoSpaceDN w:val="0"/>
        <w:adjustRightInd w:val="0"/>
        <w:ind w:firstLine="720"/>
        <w:jc w:val="both"/>
        <w:rPr>
          <w:sz w:val="28"/>
          <w:lang w:eastAsia="lv-LV"/>
        </w:rPr>
      </w:pPr>
      <w:r>
        <w:rPr>
          <w:sz w:val="28"/>
          <w:lang w:eastAsia="lv-LV"/>
        </w:rPr>
        <w:t xml:space="preserve">Eiropas </w:t>
      </w:r>
      <w:r w:rsidR="0090734B">
        <w:rPr>
          <w:sz w:val="28"/>
          <w:lang w:eastAsia="lv-LV"/>
        </w:rPr>
        <w:t>Kosmosa politikas galvenie elementi ir:</w:t>
      </w:r>
    </w:p>
    <w:p w:rsidR="0090734B" w:rsidRDefault="0090734B" w:rsidP="0090734B">
      <w:pPr>
        <w:numPr>
          <w:ilvl w:val="0"/>
          <w:numId w:val="1"/>
        </w:numPr>
        <w:autoSpaceDE w:val="0"/>
        <w:autoSpaceDN w:val="0"/>
        <w:adjustRightInd w:val="0"/>
        <w:jc w:val="both"/>
        <w:rPr>
          <w:sz w:val="28"/>
          <w:lang w:eastAsia="lv-LV"/>
        </w:rPr>
      </w:pPr>
      <w:r>
        <w:rPr>
          <w:sz w:val="28"/>
          <w:lang w:eastAsia="lv-LV"/>
        </w:rPr>
        <w:t xml:space="preserve">izstrādāt Eiropas Kosmosa programmu un koordinēt nacionāla un Eiropas līmeņa kosmosa aktivitātes; </w:t>
      </w:r>
    </w:p>
    <w:p w:rsidR="0090734B" w:rsidRDefault="0090734B" w:rsidP="0090734B">
      <w:pPr>
        <w:numPr>
          <w:ilvl w:val="0"/>
          <w:numId w:val="1"/>
        </w:numPr>
        <w:autoSpaceDE w:val="0"/>
        <w:autoSpaceDN w:val="0"/>
        <w:adjustRightInd w:val="0"/>
        <w:jc w:val="both"/>
        <w:rPr>
          <w:sz w:val="28"/>
          <w:lang w:eastAsia="lv-LV"/>
        </w:rPr>
      </w:pPr>
      <w:r>
        <w:rPr>
          <w:sz w:val="28"/>
          <w:lang w:eastAsia="lv-LV"/>
        </w:rPr>
        <w:t xml:space="preserve">palielināt </w:t>
      </w:r>
      <w:proofErr w:type="spellStart"/>
      <w:r>
        <w:rPr>
          <w:sz w:val="28"/>
          <w:lang w:eastAsia="lv-LV"/>
        </w:rPr>
        <w:t>sinerģiju</w:t>
      </w:r>
      <w:proofErr w:type="spellEnd"/>
      <w:r>
        <w:rPr>
          <w:sz w:val="28"/>
          <w:lang w:eastAsia="lv-LV"/>
        </w:rPr>
        <w:t xml:space="preserve"> starp aizsardzības un civilajām kosmosa programmām; </w:t>
      </w:r>
    </w:p>
    <w:p w:rsidR="0090734B" w:rsidRPr="00EF4237" w:rsidRDefault="0090734B" w:rsidP="0090734B">
      <w:pPr>
        <w:numPr>
          <w:ilvl w:val="0"/>
          <w:numId w:val="1"/>
        </w:numPr>
        <w:autoSpaceDE w:val="0"/>
        <w:autoSpaceDN w:val="0"/>
        <w:adjustRightInd w:val="0"/>
        <w:jc w:val="both"/>
        <w:rPr>
          <w:sz w:val="28"/>
          <w:lang w:eastAsia="lv-LV"/>
        </w:rPr>
      </w:pPr>
      <w:r>
        <w:rPr>
          <w:sz w:val="28"/>
          <w:lang w:eastAsia="lv-LV"/>
        </w:rPr>
        <w:t xml:space="preserve">izveidot vienotu starptautisko attiecību stratēģiju kosmosam. </w:t>
      </w:r>
    </w:p>
    <w:p w:rsidR="0090734B" w:rsidRDefault="0090734B" w:rsidP="0090734B">
      <w:pPr>
        <w:autoSpaceDE w:val="0"/>
        <w:autoSpaceDN w:val="0"/>
        <w:adjustRightInd w:val="0"/>
        <w:ind w:firstLine="720"/>
        <w:jc w:val="both"/>
        <w:rPr>
          <w:sz w:val="28"/>
          <w:lang w:eastAsia="lv-LV"/>
        </w:rPr>
      </w:pPr>
      <w:r>
        <w:rPr>
          <w:sz w:val="28"/>
          <w:lang w:eastAsia="lv-LV"/>
        </w:rPr>
        <w:lastRenderedPageBreak/>
        <w:t xml:space="preserve">Paredzams, ka šī pieeja labāk nodrošinās Eiropu ar kosmosa izpēti un ievedīs jaunā dimensijā ES starptautiskās attiecības. Eiropas kosmosa politikā tiek arī norādīts, ka jebkurai nacionālai dalībvalsts kosmosa politikai ir jābūt saskaņā ar Eiropas kosmosa politiku. </w:t>
      </w:r>
    </w:p>
    <w:p w:rsidR="0090734B" w:rsidRDefault="0090734B" w:rsidP="0090734B">
      <w:pPr>
        <w:autoSpaceDE w:val="0"/>
        <w:autoSpaceDN w:val="0"/>
        <w:adjustRightInd w:val="0"/>
        <w:ind w:firstLine="720"/>
        <w:jc w:val="both"/>
        <w:rPr>
          <w:sz w:val="28"/>
          <w:lang w:eastAsia="lv-LV"/>
        </w:rPr>
      </w:pPr>
      <w:r>
        <w:rPr>
          <w:sz w:val="28"/>
          <w:lang w:eastAsia="lv-LV"/>
        </w:rPr>
        <w:t xml:space="preserve">Eiropas kosmosa politika paredz atbalstīt turpmākos centienus izveidot un izmantot divus lielākos Eiropas kosmosa projektus </w:t>
      </w:r>
      <w:proofErr w:type="spellStart"/>
      <w:r>
        <w:rPr>
          <w:sz w:val="28"/>
          <w:lang w:eastAsia="lv-LV"/>
        </w:rPr>
        <w:t>Galileo</w:t>
      </w:r>
      <w:proofErr w:type="spellEnd"/>
      <w:r>
        <w:rPr>
          <w:rStyle w:val="FootnoteReference"/>
          <w:sz w:val="28"/>
          <w:lang w:eastAsia="lv-LV"/>
        </w:rPr>
        <w:footnoteReference w:id="4"/>
      </w:r>
      <w:r>
        <w:rPr>
          <w:sz w:val="28"/>
          <w:lang w:eastAsia="lv-LV"/>
        </w:rPr>
        <w:t xml:space="preserve"> un </w:t>
      </w:r>
      <w:r w:rsidRPr="00287EB1">
        <w:rPr>
          <w:sz w:val="28"/>
          <w:lang w:eastAsia="lv-LV"/>
        </w:rPr>
        <w:t>GMES</w:t>
      </w:r>
      <w:r>
        <w:rPr>
          <w:sz w:val="28"/>
          <w:lang w:eastAsia="lv-LV"/>
        </w:rPr>
        <w:t xml:space="preserve">. Tāpat Eiropas kosmosa politika atbalsta satelītu pielietojumu izmantošanu kā līdzekli, lai pārvarētu digitālo iespēju plaisas </w:t>
      </w:r>
      <w:r w:rsidRPr="000D4B14">
        <w:rPr>
          <w:sz w:val="28"/>
          <w:lang w:eastAsia="lv-LV"/>
        </w:rPr>
        <w:t xml:space="preserve">starp valstīm, jo īpaši, lai nodrošinātu </w:t>
      </w:r>
      <w:r>
        <w:rPr>
          <w:sz w:val="28"/>
          <w:lang w:eastAsia="lv-LV"/>
        </w:rPr>
        <w:t xml:space="preserve">tādus </w:t>
      </w:r>
      <w:r w:rsidRPr="000D4B14">
        <w:rPr>
          <w:sz w:val="28"/>
          <w:lang w:eastAsia="lv-LV"/>
        </w:rPr>
        <w:t>sabiedriskos pakalpojumu</w:t>
      </w:r>
      <w:r>
        <w:rPr>
          <w:sz w:val="28"/>
          <w:lang w:eastAsia="lv-LV"/>
        </w:rPr>
        <w:t>s</w:t>
      </w:r>
      <w:r w:rsidRPr="000D4B14">
        <w:rPr>
          <w:sz w:val="28"/>
          <w:lang w:eastAsia="lv-LV"/>
        </w:rPr>
        <w:t xml:space="preserve"> kā  e-pārvalde, </w:t>
      </w:r>
      <w:proofErr w:type="spellStart"/>
      <w:r w:rsidRPr="000D4B14">
        <w:rPr>
          <w:sz w:val="28"/>
          <w:lang w:eastAsia="lv-LV"/>
        </w:rPr>
        <w:t>telemedicīn</w:t>
      </w:r>
      <w:r>
        <w:rPr>
          <w:sz w:val="28"/>
          <w:lang w:eastAsia="lv-LV"/>
        </w:rPr>
        <w:t>a</w:t>
      </w:r>
      <w:proofErr w:type="spellEnd"/>
      <w:r w:rsidRPr="000D4B14">
        <w:rPr>
          <w:sz w:val="28"/>
          <w:lang w:eastAsia="lv-LV"/>
        </w:rPr>
        <w:t xml:space="preserve"> un tālmācīb</w:t>
      </w:r>
      <w:r>
        <w:rPr>
          <w:sz w:val="28"/>
          <w:lang w:eastAsia="lv-LV"/>
        </w:rPr>
        <w:t>a</w:t>
      </w:r>
      <w:r w:rsidRPr="000D4B14">
        <w:rPr>
          <w:sz w:val="28"/>
          <w:lang w:eastAsia="lv-LV"/>
        </w:rPr>
        <w:t>.</w:t>
      </w:r>
      <w:r w:rsidRPr="009B5F76">
        <w:t xml:space="preserve"> </w:t>
      </w:r>
      <w:r w:rsidRPr="009B5F76">
        <w:rPr>
          <w:sz w:val="28"/>
          <w:lang w:eastAsia="lv-LV"/>
        </w:rPr>
        <w:t>Atbalsts tehnoloģiju un zinātnes progresam būs vērst</w:t>
      </w:r>
      <w:r>
        <w:rPr>
          <w:sz w:val="28"/>
          <w:lang w:eastAsia="lv-LV"/>
        </w:rPr>
        <w:t>s</w:t>
      </w:r>
      <w:r w:rsidRPr="009B5F76">
        <w:rPr>
          <w:sz w:val="28"/>
          <w:lang w:eastAsia="lv-LV"/>
        </w:rPr>
        <w:t xml:space="preserve"> uz noteiktām kritiskajām tehnoloģijām, tostarp turpmāku Eiropas iesaistīšanos</w:t>
      </w:r>
      <w:r>
        <w:rPr>
          <w:sz w:val="28"/>
          <w:lang w:eastAsia="lv-LV"/>
        </w:rPr>
        <w:t xml:space="preserve"> SKS darbībā</w:t>
      </w:r>
      <w:r w:rsidRPr="009B5F76">
        <w:rPr>
          <w:sz w:val="28"/>
          <w:lang w:eastAsia="lv-LV"/>
        </w:rPr>
        <w:t>. Eiropas kosmosa politika</w:t>
      </w:r>
      <w:r>
        <w:rPr>
          <w:sz w:val="28"/>
          <w:lang w:eastAsia="lv-LV"/>
        </w:rPr>
        <w:t xml:space="preserve"> būs </w:t>
      </w:r>
      <w:r w:rsidR="005C04AD">
        <w:rPr>
          <w:sz w:val="28"/>
          <w:lang w:eastAsia="lv-LV"/>
        </w:rPr>
        <w:t>nozīmīga</w:t>
      </w:r>
      <w:r>
        <w:rPr>
          <w:sz w:val="28"/>
          <w:lang w:eastAsia="lv-LV"/>
        </w:rPr>
        <w:t>, a</w:t>
      </w:r>
      <w:r w:rsidRPr="009B5F76">
        <w:rPr>
          <w:sz w:val="28"/>
          <w:lang w:eastAsia="lv-LV"/>
        </w:rPr>
        <w:t>ttīstot rūpniecības politiku arī turpmāk</w:t>
      </w:r>
      <w:r>
        <w:rPr>
          <w:sz w:val="28"/>
          <w:lang w:eastAsia="lv-LV"/>
        </w:rPr>
        <w:t xml:space="preserve">. </w:t>
      </w:r>
    </w:p>
    <w:p w:rsidR="0090734B" w:rsidRDefault="0090734B" w:rsidP="0090734B">
      <w:pPr>
        <w:autoSpaceDE w:val="0"/>
        <w:autoSpaceDN w:val="0"/>
        <w:adjustRightInd w:val="0"/>
        <w:ind w:firstLine="720"/>
        <w:jc w:val="both"/>
        <w:rPr>
          <w:sz w:val="28"/>
          <w:lang w:eastAsia="lv-LV"/>
        </w:rPr>
      </w:pPr>
    </w:p>
    <w:p w:rsidR="003669D7" w:rsidRDefault="003669D7" w:rsidP="0090734B">
      <w:pPr>
        <w:autoSpaceDE w:val="0"/>
        <w:autoSpaceDN w:val="0"/>
        <w:adjustRightInd w:val="0"/>
        <w:ind w:firstLine="720"/>
        <w:jc w:val="both"/>
        <w:rPr>
          <w:sz w:val="28"/>
          <w:lang w:eastAsia="lv-LV"/>
        </w:rPr>
      </w:pPr>
    </w:p>
    <w:p w:rsidR="003669D7" w:rsidRDefault="003669D7" w:rsidP="003669D7">
      <w:pPr>
        <w:pStyle w:val="Subtitle"/>
        <w:widowControl/>
        <w:spacing w:before="0" w:after="0"/>
        <w:rPr>
          <w:b w:val="0"/>
          <w:sz w:val="20"/>
          <w:lang w:val="lv-LV"/>
        </w:rPr>
      </w:pPr>
      <w:r>
        <w:rPr>
          <w:b w:val="0"/>
          <w:sz w:val="20"/>
          <w:lang w:val="lv-LV"/>
        </w:rPr>
        <w:t xml:space="preserve">Kaspars </w:t>
      </w:r>
      <w:proofErr w:type="spellStart"/>
      <w:r>
        <w:rPr>
          <w:b w:val="0"/>
          <w:sz w:val="20"/>
          <w:lang w:val="lv-LV"/>
        </w:rPr>
        <w:t>Karolis</w:t>
      </w:r>
      <w:proofErr w:type="spellEnd"/>
    </w:p>
    <w:p w:rsidR="003669D7" w:rsidRDefault="003669D7" w:rsidP="003669D7">
      <w:pPr>
        <w:rPr>
          <w:sz w:val="20"/>
          <w:szCs w:val="20"/>
          <w:lang w:eastAsia="lv-LV"/>
        </w:rPr>
      </w:pPr>
      <w:r>
        <w:rPr>
          <w:sz w:val="20"/>
          <w:szCs w:val="20"/>
          <w:lang w:eastAsia="lv-LV"/>
        </w:rPr>
        <w:t>67047996</w:t>
      </w:r>
    </w:p>
    <w:p w:rsidR="003669D7" w:rsidRDefault="003669D7" w:rsidP="003669D7">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204B6A" w:rsidRDefault="00204B6A"/>
    <w:sectPr w:rsidR="00204B6A" w:rsidSect="003669D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EC" w:rsidRDefault="00957CEC" w:rsidP="0090734B">
      <w:r>
        <w:separator/>
      </w:r>
    </w:p>
  </w:endnote>
  <w:endnote w:type="continuationSeparator" w:id="0">
    <w:p w:rsidR="00957CEC" w:rsidRDefault="00957CEC" w:rsidP="00907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4B" w:rsidRPr="0090734B" w:rsidRDefault="0090734B" w:rsidP="0090734B">
    <w:pPr>
      <w:pStyle w:val="Footer"/>
      <w:jc w:val="both"/>
      <w:rPr>
        <w:szCs w:val="24"/>
      </w:rPr>
    </w:pPr>
    <w:r w:rsidRPr="0090734B">
      <w:rPr>
        <w:szCs w:val="24"/>
      </w:rPr>
      <w:t>IZMP1_070911_</w:t>
    </w:r>
    <w:r>
      <w:rPr>
        <w:szCs w:val="24"/>
      </w:rPr>
      <w:t>koncepcija</w:t>
    </w:r>
    <w:r w:rsidR="00557FE1">
      <w:rPr>
        <w:szCs w:val="24"/>
      </w:rPr>
      <w:t xml:space="preserve"> p</w:t>
    </w:r>
    <w:r w:rsidRPr="0090734B">
      <w:rPr>
        <w:szCs w:val="24"/>
      </w:rPr>
      <w:t xml:space="preserve">ar kosmosa tehnoloģiju attīstību un kosmosa </w:t>
    </w:r>
    <w:proofErr w:type="spellStart"/>
    <w:r w:rsidRPr="0090734B">
      <w:rPr>
        <w:szCs w:val="24"/>
      </w:rPr>
      <w:t>rīcībpolitikas</w:t>
    </w:r>
    <w:proofErr w:type="spellEnd"/>
    <w:r w:rsidR="00557FE1">
      <w:rPr>
        <w:szCs w:val="24"/>
      </w:rPr>
      <w:t xml:space="preserve"> veidošanu valstī</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88" w:rsidRPr="0090734B" w:rsidRDefault="009E1988" w:rsidP="009E1988">
    <w:pPr>
      <w:pStyle w:val="Footer"/>
      <w:jc w:val="both"/>
      <w:rPr>
        <w:szCs w:val="24"/>
      </w:rPr>
    </w:pPr>
    <w:r w:rsidRPr="0090734B">
      <w:rPr>
        <w:szCs w:val="24"/>
      </w:rPr>
      <w:t>IZMP1_070911_</w:t>
    </w:r>
    <w:r>
      <w:rPr>
        <w:szCs w:val="24"/>
      </w:rPr>
      <w:t>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9E1988" w:rsidRDefault="009E1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EC" w:rsidRDefault="00957CEC" w:rsidP="0090734B">
      <w:r>
        <w:separator/>
      </w:r>
    </w:p>
  </w:footnote>
  <w:footnote w:type="continuationSeparator" w:id="0">
    <w:p w:rsidR="00957CEC" w:rsidRDefault="00957CEC" w:rsidP="0090734B">
      <w:r>
        <w:continuationSeparator/>
      </w:r>
    </w:p>
  </w:footnote>
  <w:footnote w:id="1">
    <w:p w:rsidR="0090734B" w:rsidRDefault="0090734B" w:rsidP="0090734B">
      <w:pPr>
        <w:pStyle w:val="FootnoteText"/>
      </w:pPr>
      <w:r>
        <w:rPr>
          <w:rStyle w:val="FootnoteReference"/>
        </w:rPr>
        <w:footnoteRef/>
      </w:r>
      <w:r>
        <w:t xml:space="preserve"> Līguma par Eiropas Savienības darbību konsolidētā versija, Eiropas Savienības oficiālais vēstnesis.2008, p.114 </w:t>
      </w:r>
    </w:p>
  </w:footnote>
  <w:footnote w:id="2">
    <w:p w:rsidR="0090734B" w:rsidRDefault="0090734B" w:rsidP="0090734B">
      <w:pPr>
        <w:pStyle w:val="FootnoteText"/>
      </w:pPr>
      <w:r>
        <w:rPr>
          <w:rStyle w:val="FootnoteReference"/>
        </w:rPr>
        <w:footnoteRef/>
      </w:r>
      <w:r>
        <w:t xml:space="preserve"> </w:t>
      </w:r>
      <w:proofErr w:type="spellStart"/>
      <w:r>
        <w:t>Framework</w:t>
      </w:r>
      <w:proofErr w:type="spellEnd"/>
      <w:r>
        <w:t xml:space="preserve"> </w:t>
      </w:r>
      <w:proofErr w:type="spellStart"/>
      <w:r>
        <w:t>Agreement</w:t>
      </w:r>
      <w:proofErr w:type="spellEnd"/>
      <w:r>
        <w:t xml:space="preserve"> </w:t>
      </w:r>
      <w:proofErr w:type="spellStart"/>
      <w:r>
        <w:t>between</w:t>
      </w:r>
      <w:proofErr w:type="spellEnd"/>
      <w:r>
        <w:t xml:space="preserve"> </w:t>
      </w:r>
      <w:proofErr w:type="spellStart"/>
      <w:r>
        <w:t>European</w:t>
      </w:r>
      <w:proofErr w:type="spellEnd"/>
      <w:r>
        <w:t xml:space="preserve"> </w:t>
      </w:r>
      <w:proofErr w:type="spellStart"/>
      <w:r>
        <w:t>Community</w:t>
      </w:r>
      <w:proofErr w:type="spellEnd"/>
      <w:r>
        <w:t xml:space="preserve"> </w:t>
      </w:r>
      <w:proofErr w:type="spellStart"/>
      <w:r>
        <w:t>and</w:t>
      </w:r>
      <w:proofErr w:type="spellEnd"/>
      <w:r>
        <w:t xml:space="preserve"> </w:t>
      </w:r>
      <w:proofErr w:type="spellStart"/>
      <w:r>
        <w:t>European</w:t>
      </w:r>
      <w:proofErr w:type="spellEnd"/>
      <w:r>
        <w:t xml:space="preserve"> </w:t>
      </w:r>
      <w:proofErr w:type="spellStart"/>
      <w:r>
        <w:t>Space</w:t>
      </w:r>
      <w:proofErr w:type="spellEnd"/>
      <w:r>
        <w:t xml:space="preserve"> </w:t>
      </w:r>
      <w:proofErr w:type="spellStart"/>
      <w:r>
        <w:t>Agency</w:t>
      </w:r>
      <w:proofErr w:type="spellEnd"/>
      <w:r>
        <w:t>. 2003</w:t>
      </w:r>
    </w:p>
  </w:footnote>
  <w:footnote w:id="3">
    <w:p w:rsidR="0090734B" w:rsidRPr="00582988" w:rsidRDefault="0090734B" w:rsidP="0090734B">
      <w:pPr>
        <w:autoSpaceDE w:val="0"/>
        <w:autoSpaceDN w:val="0"/>
        <w:adjustRightInd w:val="0"/>
        <w:rPr>
          <w:sz w:val="20"/>
          <w:szCs w:val="20"/>
          <w:lang w:eastAsia="lv-LV"/>
        </w:rPr>
      </w:pPr>
      <w:r>
        <w:rPr>
          <w:rStyle w:val="FootnoteReference"/>
        </w:rPr>
        <w:footnoteRef/>
      </w:r>
      <w:r>
        <w:t xml:space="preserve"> </w:t>
      </w:r>
      <w:r w:rsidRPr="00582988">
        <w:rPr>
          <w:sz w:val="20"/>
          <w:szCs w:val="20"/>
          <w:lang w:eastAsia="lv-LV"/>
        </w:rPr>
        <w:t xml:space="preserve">COM(2007) 212 </w:t>
      </w:r>
      <w:proofErr w:type="spellStart"/>
      <w:r w:rsidRPr="00582988">
        <w:rPr>
          <w:sz w:val="20"/>
          <w:szCs w:val="20"/>
          <w:lang w:eastAsia="lv-LV"/>
        </w:rPr>
        <w:t>final</w:t>
      </w:r>
      <w:proofErr w:type="spellEnd"/>
      <w:r w:rsidRPr="00582988">
        <w:rPr>
          <w:sz w:val="20"/>
          <w:szCs w:val="20"/>
          <w:lang w:eastAsia="lv-LV"/>
        </w:rPr>
        <w:t>, „</w:t>
      </w:r>
      <w:proofErr w:type="spellStart"/>
      <w:r w:rsidRPr="00582988">
        <w:rPr>
          <w:sz w:val="20"/>
          <w:szCs w:val="20"/>
          <w:lang w:eastAsia="lv-LV"/>
        </w:rPr>
        <w:t>European</w:t>
      </w:r>
      <w:proofErr w:type="spellEnd"/>
      <w:r w:rsidRPr="00582988">
        <w:rPr>
          <w:sz w:val="20"/>
          <w:szCs w:val="20"/>
          <w:lang w:eastAsia="lv-LV"/>
        </w:rPr>
        <w:t xml:space="preserve"> </w:t>
      </w:r>
      <w:proofErr w:type="spellStart"/>
      <w:r w:rsidRPr="00582988">
        <w:rPr>
          <w:sz w:val="20"/>
          <w:szCs w:val="20"/>
          <w:lang w:eastAsia="lv-LV"/>
        </w:rPr>
        <w:t>Space</w:t>
      </w:r>
      <w:proofErr w:type="spellEnd"/>
      <w:r w:rsidRPr="00582988">
        <w:rPr>
          <w:sz w:val="20"/>
          <w:szCs w:val="20"/>
          <w:lang w:eastAsia="lv-LV"/>
        </w:rPr>
        <w:t xml:space="preserve"> </w:t>
      </w:r>
      <w:proofErr w:type="spellStart"/>
      <w:r w:rsidRPr="00582988">
        <w:rPr>
          <w:sz w:val="20"/>
          <w:szCs w:val="20"/>
          <w:lang w:eastAsia="lv-LV"/>
        </w:rPr>
        <w:t>Policy</w:t>
      </w:r>
      <w:proofErr w:type="spellEnd"/>
      <w:r w:rsidRPr="00582988">
        <w:rPr>
          <w:sz w:val="20"/>
          <w:szCs w:val="20"/>
          <w:lang w:eastAsia="lv-LV"/>
        </w:rPr>
        <w:t xml:space="preserve">, </w:t>
      </w:r>
      <w:proofErr w:type="spellStart"/>
      <w:r w:rsidRPr="00582988">
        <w:rPr>
          <w:sz w:val="20"/>
          <w:szCs w:val="20"/>
          <w:lang w:eastAsia="lv-LV"/>
        </w:rPr>
        <w:t>Communication</w:t>
      </w:r>
      <w:proofErr w:type="spellEnd"/>
      <w:r w:rsidRPr="00582988">
        <w:rPr>
          <w:sz w:val="20"/>
          <w:szCs w:val="20"/>
          <w:lang w:eastAsia="lv-LV"/>
        </w:rPr>
        <w:t xml:space="preserve"> </w:t>
      </w:r>
      <w:proofErr w:type="spellStart"/>
      <w:r w:rsidRPr="00582988">
        <w:rPr>
          <w:sz w:val="20"/>
          <w:szCs w:val="20"/>
          <w:lang w:eastAsia="lv-LV"/>
        </w:rPr>
        <w:t>from</w:t>
      </w:r>
      <w:proofErr w:type="spellEnd"/>
      <w:r w:rsidRPr="00582988">
        <w:rPr>
          <w:sz w:val="20"/>
          <w:szCs w:val="20"/>
          <w:lang w:eastAsia="lv-LV"/>
        </w:rPr>
        <w:t xml:space="preserve"> </w:t>
      </w:r>
      <w:proofErr w:type="spellStart"/>
      <w:r w:rsidRPr="00582988">
        <w:rPr>
          <w:sz w:val="20"/>
          <w:szCs w:val="20"/>
          <w:lang w:eastAsia="lv-LV"/>
        </w:rPr>
        <w:t>the</w:t>
      </w:r>
      <w:proofErr w:type="spellEnd"/>
      <w:r w:rsidRPr="00582988">
        <w:rPr>
          <w:sz w:val="20"/>
          <w:szCs w:val="20"/>
          <w:lang w:eastAsia="lv-LV"/>
        </w:rPr>
        <w:t xml:space="preserve"> </w:t>
      </w:r>
      <w:proofErr w:type="spellStart"/>
      <w:r w:rsidRPr="00582988">
        <w:rPr>
          <w:sz w:val="20"/>
          <w:szCs w:val="20"/>
          <w:lang w:eastAsia="lv-LV"/>
        </w:rPr>
        <w:t>Commission</w:t>
      </w:r>
      <w:proofErr w:type="spellEnd"/>
      <w:r w:rsidRPr="00582988">
        <w:rPr>
          <w:sz w:val="20"/>
          <w:szCs w:val="20"/>
          <w:lang w:eastAsia="lv-LV"/>
        </w:rPr>
        <w:t xml:space="preserve"> to </w:t>
      </w:r>
      <w:proofErr w:type="spellStart"/>
      <w:r w:rsidRPr="00582988">
        <w:rPr>
          <w:sz w:val="20"/>
          <w:szCs w:val="20"/>
          <w:lang w:eastAsia="lv-LV"/>
        </w:rPr>
        <w:t>the</w:t>
      </w:r>
      <w:proofErr w:type="spellEnd"/>
      <w:r w:rsidRPr="00582988">
        <w:rPr>
          <w:sz w:val="20"/>
          <w:szCs w:val="20"/>
          <w:lang w:eastAsia="lv-LV"/>
        </w:rPr>
        <w:t xml:space="preserve"> </w:t>
      </w:r>
      <w:proofErr w:type="spellStart"/>
      <w:r w:rsidRPr="00582988">
        <w:rPr>
          <w:sz w:val="20"/>
          <w:szCs w:val="20"/>
          <w:lang w:eastAsia="lv-LV"/>
        </w:rPr>
        <w:t>Council</w:t>
      </w:r>
      <w:proofErr w:type="spellEnd"/>
      <w:r w:rsidRPr="00582988">
        <w:rPr>
          <w:sz w:val="20"/>
          <w:szCs w:val="20"/>
          <w:lang w:eastAsia="lv-LV"/>
        </w:rPr>
        <w:t xml:space="preserve"> </w:t>
      </w:r>
      <w:proofErr w:type="spellStart"/>
      <w:r w:rsidRPr="00582988">
        <w:rPr>
          <w:sz w:val="20"/>
          <w:szCs w:val="20"/>
          <w:lang w:eastAsia="lv-LV"/>
        </w:rPr>
        <w:t>and</w:t>
      </w:r>
      <w:proofErr w:type="spellEnd"/>
      <w:r w:rsidRPr="00582988">
        <w:rPr>
          <w:sz w:val="20"/>
          <w:szCs w:val="20"/>
          <w:lang w:eastAsia="lv-LV"/>
        </w:rPr>
        <w:t xml:space="preserve"> </w:t>
      </w:r>
      <w:proofErr w:type="spellStart"/>
      <w:r w:rsidRPr="00582988">
        <w:rPr>
          <w:sz w:val="20"/>
          <w:szCs w:val="20"/>
          <w:lang w:eastAsia="lv-LV"/>
        </w:rPr>
        <w:t>the</w:t>
      </w:r>
      <w:proofErr w:type="spellEnd"/>
    </w:p>
    <w:p w:rsidR="0090734B" w:rsidRDefault="0090734B" w:rsidP="0090734B">
      <w:pPr>
        <w:pStyle w:val="FootnoteText"/>
      </w:pPr>
      <w:proofErr w:type="spellStart"/>
      <w:r w:rsidRPr="00582988">
        <w:t>European</w:t>
      </w:r>
      <w:proofErr w:type="spellEnd"/>
      <w:r w:rsidRPr="00582988">
        <w:t xml:space="preserve"> </w:t>
      </w:r>
      <w:proofErr w:type="spellStart"/>
      <w:r w:rsidRPr="00582988">
        <w:t>Parliament</w:t>
      </w:r>
      <w:proofErr w:type="spellEnd"/>
      <w:r w:rsidRPr="00582988">
        <w:t xml:space="preserve">“, 26 </w:t>
      </w:r>
      <w:proofErr w:type="spellStart"/>
      <w:r w:rsidRPr="00582988">
        <w:t>April</w:t>
      </w:r>
      <w:proofErr w:type="spellEnd"/>
      <w:r w:rsidRPr="00582988">
        <w:t xml:space="preserve"> 2007</w:t>
      </w:r>
    </w:p>
  </w:footnote>
  <w:footnote w:id="4">
    <w:p w:rsidR="0090734B" w:rsidRDefault="0090734B" w:rsidP="0090734B">
      <w:pPr>
        <w:pStyle w:val="FootnoteText"/>
      </w:pPr>
      <w:r>
        <w:rPr>
          <w:rStyle w:val="FootnoteReference"/>
        </w:rPr>
        <w:footnoteRef/>
      </w:r>
      <w:r>
        <w:t xml:space="preserve"> Eiropas globālā navigācijas satelītu sistēma - </w:t>
      </w:r>
      <w:proofErr w:type="spellStart"/>
      <w:r>
        <w:t>Galileo</w:t>
      </w:r>
      <w:proofErr w:type="spellEnd"/>
      <w:r>
        <w:t xml:space="preserve"> nodrošinās lietotājiem ļoti precīzus laika noteikšanas un pozicionēšanas pakalpojumus.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4892"/>
      <w:docPartObj>
        <w:docPartGallery w:val="Page Numbers (Top of Page)"/>
        <w:docPartUnique/>
      </w:docPartObj>
    </w:sdtPr>
    <w:sdtContent>
      <w:p w:rsidR="00557FE1" w:rsidRDefault="007535CC">
        <w:pPr>
          <w:pStyle w:val="Header"/>
          <w:jc w:val="center"/>
        </w:pPr>
        <w:fldSimple w:instr=" PAGE   \* MERGEFORMAT ">
          <w:r w:rsidR="005C04AD">
            <w:rPr>
              <w:noProof/>
            </w:rPr>
            <w:t>2</w:t>
          </w:r>
        </w:fldSimple>
      </w:p>
    </w:sdtContent>
  </w:sdt>
  <w:p w:rsidR="00557FE1" w:rsidRDefault="00557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C7F"/>
    <w:multiLevelType w:val="hybridMultilevel"/>
    <w:tmpl w:val="0B287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Wingdings"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Wingdings"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0734B"/>
    <w:rsid w:val="00014AF5"/>
    <w:rsid w:val="00022FA1"/>
    <w:rsid w:val="00094585"/>
    <w:rsid w:val="000A1CA1"/>
    <w:rsid w:val="0011227E"/>
    <w:rsid w:val="001178DA"/>
    <w:rsid w:val="00185C48"/>
    <w:rsid w:val="00204B6A"/>
    <w:rsid w:val="00280B1A"/>
    <w:rsid w:val="003669D7"/>
    <w:rsid w:val="003E042F"/>
    <w:rsid w:val="00480B2E"/>
    <w:rsid w:val="004B6ADB"/>
    <w:rsid w:val="004B7B13"/>
    <w:rsid w:val="00501B7D"/>
    <w:rsid w:val="00557FE1"/>
    <w:rsid w:val="005C04AD"/>
    <w:rsid w:val="00653952"/>
    <w:rsid w:val="0065443C"/>
    <w:rsid w:val="006E5AB0"/>
    <w:rsid w:val="0071675B"/>
    <w:rsid w:val="007535CC"/>
    <w:rsid w:val="00803F8D"/>
    <w:rsid w:val="008420C6"/>
    <w:rsid w:val="008603D5"/>
    <w:rsid w:val="0090734B"/>
    <w:rsid w:val="009205BD"/>
    <w:rsid w:val="00957CEC"/>
    <w:rsid w:val="009E1988"/>
    <w:rsid w:val="00A43443"/>
    <w:rsid w:val="00C52A54"/>
    <w:rsid w:val="00CA0882"/>
    <w:rsid w:val="00CB7EA6"/>
    <w:rsid w:val="00E01EC3"/>
    <w:rsid w:val="00E76B81"/>
    <w:rsid w:val="00F559AD"/>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4B"/>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uiPriority w:val="11"/>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uiPriority w:val="11"/>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FootnoteText">
    <w:name w:val="footnote text"/>
    <w:basedOn w:val="Normal"/>
    <w:link w:val="FootnoteTextChar"/>
    <w:uiPriority w:val="99"/>
    <w:rsid w:val="0090734B"/>
    <w:rPr>
      <w:rFonts w:eastAsia="Times New Roman"/>
      <w:sz w:val="20"/>
      <w:szCs w:val="20"/>
      <w:lang w:eastAsia="lv-LV"/>
    </w:rPr>
  </w:style>
  <w:style w:type="character" w:customStyle="1" w:styleId="FootnoteTextChar">
    <w:name w:val="Footnote Text Char"/>
    <w:basedOn w:val="DefaultParagraphFont"/>
    <w:link w:val="FootnoteText"/>
    <w:uiPriority w:val="99"/>
    <w:rsid w:val="0090734B"/>
    <w:rPr>
      <w:rFonts w:ascii="Times New Roman" w:eastAsia="Times New Roman" w:hAnsi="Times New Roman"/>
    </w:rPr>
  </w:style>
  <w:style w:type="character" w:styleId="FootnoteReference">
    <w:name w:val="footnote reference"/>
    <w:basedOn w:val="DefaultParagraphFont"/>
    <w:uiPriority w:val="99"/>
    <w:rsid w:val="0090734B"/>
    <w:rPr>
      <w:vertAlign w:val="superscript"/>
    </w:rPr>
  </w:style>
  <w:style w:type="character" w:customStyle="1" w:styleId="longtext">
    <w:name w:val="long_text"/>
    <w:basedOn w:val="DefaultParagraphFont"/>
    <w:rsid w:val="0090734B"/>
  </w:style>
  <w:style w:type="paragraph" w:styleId="Header">
    <w:name w:val="header"/>
    <w:basedOn w:val="Normal"/>
    <w:link w:val="HeaderChar"/>
    <w:uiPriority w:val="99"/>
    <w:unhideWhenUsed/>
    <w:rsid w:val="0090734B"/>
    <w:pPr>
      <w:tabs>
        <w:tab w:val="center" w:pos="4153"/>
        <w:tab w:val="right" w:pos="8306"/>
      </w:tabs>
    </w:pPr>
  </w:style>
  <w:style w:type="character" w:customStyle="1" w:styleId="HeaderChar">
    <w:name w:val="Header Char"/>
    <w:basedOn w:val="DefaultParagraphFont"/>
    <w:link w:val="Header"/>
    <w:uiPriority w:val="99"/>
    <w:rsid w:val="0090734B"/>
    <w:rPr>
      <w:rFonts w:ascii="Times New Roman" w:hAnsi="Times New Roman"/>
      <w:sz w:val="24"/>
      <w:szCs w:val="28"/>
      <w:lang w:eastAsia="en-US"/>
    </w:rPr>
  </w:style>
  <w:style w:type="paragraph" w:styleId="Footer">
    <w:name w:val="footer"/>
    <w:basedOn w:val="Normal"/>
    <w:link w:val="FooterChar"/>
    <w:uiPriority w:val="99"/>
    <w:semiHidden/>
    <w:unhideWhenUsed/>
    <w:rsid w:val="0090734B"/>
    <w:pPr>
      <w:tabs>
        <w:tab w:val="center" w:pos="4153"/>
        <w:tab w:val="right" w:pos="8306"/>
      </w:tabs>
    </w:pPr>
  </w:style>
  <w:style w:type="character" w:customStyle="1" w:styleId="FooterChar">
    <w:name w:val="Footer Char"/>
    <w:basedOn w:val="DefaultParagraphFont"/>
    <w:link w:val="Footer"/>
    <w:uiPriority w:val="99"/>
    <w:semiHidden/>
    <w:rsid w:val="0090734B"/>
    <w:rPr>
      <w:rFonts w:ascii="Times New Roman" w:hAnsi="Times New Roman"/>
      <w:sz w:val="24"/>
      <w:szCs w:val="28"/>
      <w:lang w:eastAsia="en-US"/>
    </w:rPr>
  </w:style>
</w:styles>
</file>

<file path=word/webSettings.xml><?xml version="1.0" encoding="utf-8"?>
<w:webSettings xmlns:r="http://schemas.openxmlformats.org/officeDocument/2006/relationships" xmlns:w="http://schemas.openxmlformats.org/wordprocessingml/2006/main">
  <w:divs>
    <w:div w:id="6548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3538</Words>
  <Characters>2017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8</cp:revision>
  <dcterms:created xsi:type="dcterms:W3CDTF">2011-09-07T12:50:00Z</dcterms:created>
  <dcterms:modified xsi:type="dcterms:W3CDTF">2011-09-15T10:39:00Z</dcterms:modified>
</cp:coreProperties>
</file>